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8C267" w14:textId="77777777" w:rsidR="00A2699D" w:rsidRPr="00C3439A" w:rsidRDefault="00A2699D">
      <w:pPr>
        <w:widowControl w:val="0"/>
        <w:pBdr>
          <w:top w:val="nil"/>
          <w:left w:val="nil"/>
          <w:bottom w:val="nil"/>
          <w:right w:val="nil"/>
          <w:between w:val="nil"/>
        </w:pBdr>
        <w:spacing w:line="276" w:lineRule="auto"/>
        <w:rPr>
          <w:rFonts w:ascii="Palatino Linotype" w:hAnsi="Palatino Linotype"/>
          <w:color w:val="000000" w:themeColor="text1"/>
        </w:rPr>
      </w:pPr>
    </w:p>
    <w:p w14:paraId="1B66BE3D" w14:textId="77777777" w:rsidR="00A2699D" w:rsidRPr="009859BE" w:rsidRDefault="007322B5">
      <w:pPr>
        <w:tabs>
          <w:tab w:val="left" w:pos="3465"/>
        </w:tabs>
        <w:spacing w:line="360" w:lineRule="auto"/>
        <w:ind w:right="-787"/>
        <w:jc w:val="both"/>
        <w:rPr>
          <w:rFonts w:ascii="Palatino Linotype" w:eastAsia="Palatino Linotype" w:hAnsi="Palatino Linotype" w:cs="Palatino Linotype"/>
          <w:color w:val="000000" w:themeColor="text1"/>
        </w:rPr>
      </w:pPr>
      <w:bookmarkStart w:id="0" w:name="_GoBack"/>
      <w:bookmarkEnd w:id="0"/>
      <w:r w:rsidRPr="009859BE">
        <w:rPr>
          <w:rFonts w:ascii="Palatino Linotype" w:eastAsia="Palatino Linotype" w:hAnsi="Palatino Linotype" w:cs="Palatino Linotype"/>
          <w:color w:val="000000" w:themeColor="text1"/>
        </w:rPr>
        <w:t>Resolución del Pleno del Instituto de Transparencia, Acceso a la Información Pública y Protección de Datos Personales del Estado de México y Municipios, con domicilio en Metepec, Estado de México; de fecha veinte (20) de marzo de dos mil veinticinco.</w:t>
      </w:r>
    </w:p>
    <w:p w14:paraId="4F9CF550" w14:textId="77777777" w:rsidR="00A2699D" w:rsidRPr="009859BE" w:rsidRDefault="00A2699D">
      <w:pPr>
        <w:tabs>
          <w:tab w:val="left" w:pos="3465"/>
        </w:tabs>
        <w:spacing w:line="360" w:lineRule="auto"/>
        <w:ind w:right="-787"/>
        <w:jc w:val="both"/>
        <w:rPr>
          <w:rFonts w:ascii="Palatino Linotype" w:eastAsia="Palatino Linotype" w:hAnsi="Palatino Linotype" w:cs="Palatino Linotype"/>
          <w:color w:val="000000" w:themeColor="text1"/>
        </w:rPr>
      </w:pPr>
    </w:p>
    <w:p w14:paraId="537BDF05" w14:textId="0E0BA44B" w:rsidR="00A2699D" w:rsidRPr="009859BE" w:rsidRDefault="007322B5">
      <w:pPr>
        <w:spacing w:line="360" w:lineRule="auto"/>
        <w:ind w:right="-787"/>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b/>
          <w:color w:val="000000" w:themeColor="text1"/>
        </w:rPr>
        <w:t>VISTO</w:t>
      </w:r>
      <w:r w:rsidRPr="009859BE">
        <w:rPr>
          <w:rFonts w:ascii="Palatino Linotype" w:eastAsia="Palatino Linotype" w:hAnsi="Palatino Linotype" w:cs="Palatino Linotype"/>
          <w:color w:val="000000" w:themeColor="text1"/>
        </w:rPr>
        <w:t xml:space="preserve"> el expediente electrónico formado con motivo del recurso de revisión </w:t>
      </w:r>
      <w:r w:rsidRPr="009859BE">
        <w:rPr>
          <w:rFonts w:ascii="Palatino Linotype" w:eastAsia="Palatino Linotype" w:hAnsi="Palatino Linotype" w:cs="Palatino Linotype"/>
          <w:b/>
          <w:color w:val="000000" w:themeColor="text1"/>
        </w:rPr>
        <w:t>00278/INFOEM/IP/RR/2025</w:t>
      </w:r>
      <w:r w:rsidRPr="009859BE">
        <w:rPr>
          <w:rFonts w:ascii="Palatino Linotype" w:eastAsia="Palatino Linotype" w:hAnsi="Palatino Linotype" w:cs="Palatino Linotype"/>
          <w:color w:val="000000" w:themeColor="text1"/>
        </w:rPr>
        <w:t>,</w:t>
      </w:r>
      <w:r w:rsidRPr="009859BE">
        <w:rPr>
          <w:rFonts w:ascii="Palatino Linotype" w:eastAsia="Palatino Linotype" w:hAnsi="Palatino Linotype" w:cs="Palatino Linotype"/>
          <w:b/>
          <w:color w:val="000000" w:themeColor="text1"/>
        </w:rPr>
        <w:t xml:space="preserve"> </w:t>
      </w:r>
      <w:r w:rsidRPr="009859BE">
        <w:rPr>
          <w:rFonts w:ascii="Palatino Linotype" w:eastAsia="Palatino Linotype" w:hAnsi="Palatino Linotype" w:cs="Palatino Linotype"/>
          <w:color w:val="000000" w:themeColor="text1"/>
        </w:rPr>
        <w:t xml:space="preserve">promovido por </w:t>
      </w:r>
      <w:r w:rsidR="00E00B6C">
        <w:rPr>
          <w:rFonts w:ascii="Palatino Linotype" w:eastAsia="Palatino Linotype" w:hAnsi="Palatino Linotype" w:cs="Palatino Linotype"/>
          <w:b/>
          <w:color w:val="000000" w:themeColor="text1"/>
        </w:rPr>
        <w:t>XXXX</w:t>
      </w:r>
      <w:r w:rsidRPr="009859BE">
        <w:rPr>
          <w:rFonts w:ascii="Palatino Linotype" w:eastAsia="Palatino Linotype" w:hAnsi="Palatino Linotype" w:cs="Palatino Linotype"/>
          <w:color w:val="000000" w:themeColor="text1"/>
        </w:rPr>
        <w:t xml:space="preserve">, a quien en lo sucesivo se le identificará como el </w:t>
      </w:r>
      <w:r w:rsidRPr="009859BE">
        <w:rPr>
          <w:rFonts w:ascii="Palatino Linotype" w:eastAsia="Palatino Linotype" w:hAnsi="Palatino Linotype" w:cs="Palatino Linotype"/>
          <w:b/>
          <w:color w:val="000000" w:themeColor="text1"/>
        </w:rPr>
        <w:t>“RECURRENTE”</w:t>
      </w:r>
      <w:r w:rsidRPr="009859BE">
        <w:rPr>
          <w:rFonts w:ascii="Palatino Linotype" w:eastAsia="Palatino Linotype" w:hAnsi="Palatino Linotype" w:cs="Palatino Linotype"/>
          <w:color w:val="000000" w:themeColor="text1"/>
        </w:rPr>
        <w:t xml:space="preserve">, en contra de la respuesta del </w:t>
      </w:r>
      <w:r w:rsidRPr="009859BE">
        <w:rPr>
          <w:rFonts w:ascii="Palatino Linotype" w:eastAsia="Palatino Linotype" w:hAnsi="Palatino Linotype" w:cs="Palatino Linotype"/>
          <w:b/>
          <w:color w:val="000000" w:themeColor="text1"/>
        </w:rPr>
        <w:t xml:space="preserve">Ayuntamiento de Cuautitlán Izcalli, </w:t>
      </w:r>
      <w:r w:rsidRPr="009859BE">
        <w:rPr>
          <w:rFonts w:ascii="Palatino Linotype" w:eastAsia="Palatino Linotype" w:hAnsi="Palatino Linotype" w:cs="Palatino Linotype"/>
          <w:color w:val="000000" w:themeColor="text1"/>
        </w:rPr>
        <w:t>en adelante el</w:t>
      </w:r>
      <w:r w:rsidRPr="009859BE">
        <w:rPr>
          <w:rFonts w:ascii="Palatino Linotype" w:eastAsia="Palatino Linotype" w:hAnsi="Palatino Linotype" w:cs="Palatino Linotype"/>
          <w:b/>
          <w:color w:val="000000" w:themeColor="text1"/>
        </w:rPr>
        <w:t xml:space="preserve"> </w:t>
      </w:r>
      <w:r w:rsidRPr="009859BE">
        <w:rPr>
          <w:rFonts w:ascii="Palatino Linotype" w:eastAsia="Palatino Linotype" w:hAnsi="Palatino Linotype" w:cs="Palatino Linotype"/>
          <w:color w:val="000000" w:themeColor="text1"/>
        </w:rPr>
        <w:t>“</w:t>
      </w:r>
      <w:r w:rsidRPr="009859BE">
        <w:rPr>
          <w:rFonts w:ascii="Palatino Linotype" w:eastAsia="Palatino Linotype" w:hAnsi="Palatino Linotype" w:cs="Palatino Linotype"/>
          <w:b/>
          <w:color w:val="000000" w:themeColor="text1"/>
        </w:rPr>
        <w:t>SUJETO OBLIGADO”</w:t>
      </w:r>
      <w:r w:rsidRPr="009859BE">
        <w:rPr>
          <w:rFonts w:ascii="Palatino Linotype" w:eastAsia="Palatino Linotype" w:hAnsi="Palatino Linotype" w:cs="Palatino Linotype"/>
          <w:color w:val="000000" w:themeColor="text1"/>
        </w:rPr>
        <w:t>, se procede a dictar la presente resolución, con base en los siguientes:</w:t>
      </w:r>
    </w:p>
    <w:p w14:paraId="52279E4E" w14:textId="77777777" w:rsidR="00A2699D" w:rsidRPr="009859BE" w:rsidRDefault="00A2699D">
      <w:pPr>
        <w:spacing w:line="360" w:lineRule="auto"/>
        <w:ind w:right="-787"/>
        <w:jc w:val="both"/>
        <w:rPr>
          <w:rFonts w:ascii="Palatino Linotype" w:eastAsia="Palatino Linotype" w:hAnsi="Palatino Linotype" w:cs="Palatino Linotype"/>
          <w:color w:val="000000" w:themeColor="text1"/>
        </w:rPr>
      </w:pPr>
    </w:p>
    <w:p w14:paraId="54F0E7DB" w14:textId="77777777" w:rsidR="00A2699D" w:rsidRPr="009859BE" w:rsidRDefault="007322B5">
      <w:pPr>
        <w:pStyle w:val="Ttulo1"/>
        <w:spacing w:before="0" w:line="360" w:lineRule="auto"/>
        <w:ind w:right="-787"/>
        <w:jc w:val="center"/>
        <w:rPr>
          <w:rFonts w:ascii="Palatino Linotype" w:eastAsia="Palatino Linotype" w:hAnsi="Palatino Linotype" w:cs="Palatino Linotype"/>
          <w:b/>
          <w:color w:val="000000" w:themeColor="text1"/>
          <w:sz w:val="24"/>
          <w:szCs w:val="24"/>
        </w:rPr>
      </w:pPr>
      <w:bookmarkStart w:id="1" w:name="_heading=h.gjdgxs" w:colFirst="0" w:colLast="0"/>
      <w:bookmarkEnd w:id="1"/>
      <w:r w:rsidRPr="009859BE">
        <w:rPr>
          <w:rFonts w:ascii="Palatino Linotype" w:eastAsia="Palatino Linotype" w:hAnsi="Palatino Linotype" w:cs="Palatino Linotype"/>
          <w:b/>
          <w:color w:val="000000" w:themeColor="text1"/>
          <w:sz w:val="24"/>
          <w:szCs w:val="24"/>
        </w:rPr>
        <w:t>A N T E C E D E N T E S</w:t>
      </w:r>
    </w:p>
    <w:p w14:paraId="38FBAE60" w14:textId="77777777" w:rsidR="00A2699D" w:rsidRPr="009859BE" w:rsidRDefault="00A2699D">
      <w:pPr>
        <w:ind w:right="-787"/>
        <w:rPr>
          <w:rFonts w:ascii="Palatino Linotype" w:eastAsia="Palatino Linotype" w:hAnsi="Palatino Linotype" w:cs="Palatino Linotype"/>
          <w:color w:val="000000" w:themeColor="text1"/>
        </w:rPr>
      </w:pPr>
    </w:p>
    <w:p w14:paraId="2A5D6F58" w14:textId="77777777" w:rsidR="00A2699D" w:rsidRPr="009859BE" w:rsidRDefault="007322B5">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El </w:t>
      </w:r>
      <w:r w:rsidRPr="009859BE">
        <w:rPr>
          <w:rFonts w:ascii="Palatino Linotype" w:eastAsia="Palatino Linotype" w:hAnsi="Palatino Linotype" w:cs="Palatino Linotype"/>
          <w:b/>
          <w:color w:val="000000" w:themeColor="text1"/>
        </w:rPr>
        <w:t>cuatro de diciembre de dos</w:t>
      </w:r>
      <w:r w:rsidRPr="009859BE">
        <w:rPr>
          <w:rFonts w:ascii="Palatino Linotype" w:eastAsia="Palatino Linotype" w:hAnsi="Palatino Linotype" w:cs="Palatino Linotype"/>
          <w:color w:val="000000" w:themeColor="text1"/>
        </w:rPr>
        <w:t xml:space="preserve"> </w:t>
      </w:r>
      <w:r w:rsidRPr="009859BE">
        <w:rPr>
          <w:rFonts w:ascii="Palatino Linotype" w:eastAsia="Palatino Linotype" w:hAnsi="Palatino Linotype" w:cs="Palatino Linotype"/>
          <w:b/>
          <w:color w:val="000000" w:themeColor="text1"/>
        </w:rPr>
        <w:t xml:space="preserve">mil veinticuatro, </w:t>
      </w:r>
      <w:r w:rsidRPr="009859BE">
        <w:rPr>
          <w:rFonts w:ascii="Palatino Linotype" w:eastAsia="Palatino Linotype" w:hAnsi="Palatino Linotype" w:cs="Palatino Linotype"/>
          <w:color w:val="000000" w:themeColor="text1"/>
        </w:rPr>
        <w:t xml:space="preserve">se presentó ante el </w:t>
      </w:r>
      <w:r w:rsidRPr="009859BE">
        <w:rPr>
          <w:rFonts w:ascii="Palatino Linotype" w:eastAsia="Palatino Linotype" w:hAnsi="Palatino Linotype" w:cs="Palatino Linotype"/>
          <w:b/>
          <w:color w:val="000000" w:themeColor="text1"/>
        </w:rPr>
        <w:t>SUJETO OBLIGADO</w:t>
      </w:r>
      <w:r w:rsidRPr="009859BE">
        <w:rPr>
          <w:rFonts w:ascii="Palatino Linotype" w:eastAsia="Palatino Linotype" w:hAnsi="Palatino Linotype" w:cs="Palatino Linotype"/>
          <w:color w:val="000000" w:themeColor="text1"/>
        </w:rPr>
        <w:t xml:space="preserve"> vía SAIMEX, las solicitudes de información pública registrada con número de folio </w:t>
      </w:r>
      <w:r w:rsidRPr="009859BE">
        <w:rPr>
          <w:rFonts w:ascii="Palatino Linotype" w:eastAsia="Palatino Linotype" w:hAnsi="Palatino Linotype" w:cs="Palatino Linotype"/>
          <w:b/>
          <w:color w:val="000000" w:themeColor="text1"/>
        </w:rPr>
        <w:t xml:space="preserve">01051/CUAUTIZC/IP/2024, </w:t>
      </w:r>
      <w:r w:rsidRPr="009859BE">
        <w:rPr>
          <w:rFonts w:ascii="Palatino Linotype" w:eastAsia="Palatino Linotype" w:hAnsi="Palatino Linotype" w:cs="Palatino Linotype"/>
          <w:color w:val="000000" w:themeColor="text1"/>
        </w:rPr>
        <w:t>en la que se solicitó la siguiente información:</w:t>
      </w:r>
    </w:p>
    <w:p w14:paraId="5D854DF8" w14:textId="77777777" w:rsidR="00A2699D" w:rsidRPr="009859BE" w:rsidRDefault="00A269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themeColor="text1"/>
        </w:rPr>
      </w:pPr>
    </w:p>
    <w:p w14:paraId="5E0D1C7A" w14:textId="4C4486CF" w:rsidR="00A2699D" w:rsidRPr="009859BE" w:rsidRDefault="007322B5">
      <w:pPr>
        <w:ind w:left="1133" w:right="-220"/>
        <w:jc w:val="both"/>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i/>
          <w:color w:val="000000" w:themeColor="text1"/>
        </w:rPr>
        <w:t xml:space="preserve">“Quiero saber si existe algún procedimiento para modificar, cancelar, revocar, sustituir o cualquier otro relacionado con la claves catastral </w:t>
      </w:r>
      <w:r w:rsidR="00E00B6C">
        <w:rPr>
          <w:rFonts w:ascii="Palatino Linotype" w:eastAsia="Palatino Linotype" w:hAnsi="Palatino Linotype" w:cs="Palatino Linotype"/>
          <w:i/>
          <w:color w:val="000000" w:themeColor="text1"/>
        </w:rPr>
        <w:t>XXXX</w:t>
      </w:r>
      <w:r w:rsidRPr="009859BE">
        <w:rPr>
          <w:rFonts w:ascii="Palatino Linotype" w:eastAsia="Palatino Linotype" w:hAnsi="Palatino Linotype" w:cs="Palatino Linotype"/>
          <w:i/>
          <w:color w:val="000000" w:themeColor="text1"/>
        </w:rPr>
        <w:t xml:space="preserve"> asignada al bien inmueble municipal ubicado en Avenida Transformación con número de inventario CIZC121-5213-03-33 o CIZC121-5213-03-32. Quiero saber si existe algún procedimiento para modificar, cancelar, revocar, sustituir o cualquier otro relacionado con la claves catastral </w:t>
      </w:r>
      <w:r w:rsidR="00E00B6C">
        <w:rPr>
          <w:rFonts w:ascii="Palatino Linotype" w:eastAsia="Palatino Linotype" w:hAnsi="Palatino Linotype" w:cs="Palatino Linotype"/>
          <w:i/>
          <w:color w:val="000000" w:themeColor="text1"/>
        </w:rPr>
        <w:t>XXXX</w:t>
      </w:r>
      <w:r w:rsidRPr="009859BE">
        <w:rPr>
          <w:rFonts w:ascii="Palatino Linotype" w:eastAsia="Palatino Linotype" w:hAnsi="Palatino Linotype" w:cs="Palatino Linotype"/>
          <w:i/>
          <w:color w:val="000000" w:themeColor="text1"/>
        </w:rPr>
        <w:t xml:space="preserve"> asignada al bien inmueble municipal ubicado en Avenida Transformación con número de inventario CIZC121-5213-03-33 o CIZC121-5213-03-32. Quiero saber el nombre cargo y salario del servidor público que determino la inscripción del inmueble ubicado en la avenida asociación nacional de industriales del estado de México y la asignación de la clave catastral </w:t>
      </w:r>
      <w:r w:rsidR="00E00B6C">
        <w:rPr>
          <w:rFonts w:ascii="Palatino Linotype" w:eastAsia="Palatino Linotype" w:hAnsi="Palatino Linotype" w:cs="Palatino Linotype"/>
          <w:i/>
          <w:color w:val="000000" w:themeColor="text1"/>
        </w:rPr>
        <w:lastRenderedPageBreak/>
        <w:t>XXXX</w:t>
      </w:r>
      <w:r w:rsidRPr="009859BE">
        <w:rPr>
          <w:rFonts w:ascii="Palatino Linotype" w:eastAsia="Palatino Linotype" w:hAnsi="Palatino Linotype" w:cs="Palatino Linotype"/>
          <w:i/>
          <w:color w:val="000000" w:themeColor="text1"/>
        </w:rPr>
        <w:t xml:space="preserve">, así como la fecha en la que se realizó este acto administrativo. Quiero la versión pública </w:t>
      </w:r>
      <w:proofErr w:type="gramStart"/>
      <w:r w:rsidRPr="009859BE">
        <w:rPr>
          <w:rFonts w:ascii="Palatino Linotype" w:eastAsia="Palatino Linotype" w:hAnsi="Palatino Linotype" w:cs="Palatino Linotype"/>
          <w:i/>
          <w:color w:val="000000" w:themeColor="text1"/>
        </w:rPr>
        <w:t>de los documento presentados</w:t>
      </w:r>
      <w:proofErr w:type="gramEnd"/>
      <w:r w:rsidRPr="009859BE">
        <w:rPr>
          <w:rFonts w:ascii="Palatino Linotype" w:eastAsia="Palatino Linotype" w:hAnsi="Palatino Linotype" w:cs="Palatino Linotype"/>
          <w:i/>
          <w:color w:val="000000" w:themeColor="text1"/>
        </w:rPr>
        <w:t xml:space="preserve"> ante la autoridad para realizar la inscripción del inmueble ubicado en la avenida asociación nacional de industriales del estado de México y la asignación de la clave catastral </w:t>
      </w:r>
      <w:r w:rsidR="00E00B6C">
        <w:rPr>
          <w:rFonts w:ascii="Palatino Linotype" w:eastAsia="Palatino Linotype" w:hAnsi="Palatino Linotype" w:cs="Palatino Linotype"/>
          <w:i/>
          <w:color w:val="000000" w:themeColor="text1"/>
        </w:rPr>
        <w:t>XXXX</w:t>
      </w:r>
      <w:r w:rsidRPr="009859BE">
        <w:rPr>
          <w:rFonts w:ascii="Palatino Linotype" w:eastAsia="Palatino Linotype" w:hAnsi="Palatino Linotype" w:cs="Palatino Linotype"/>
          <w:i/>
          <w:color w:val="000000" w:themeColor="text1"/>
        </w:rPr>
        <w:t>, así como la fecha en la que se realizó este acto administrativo. Quiero saber si en la dirección jurídica existe algún expediente relacionado con los inmuebles municipales identificados con números CIZC121-5213-03-33 o CIZC121-5213-03-32, si existen saber el tipo de expediente, el nombre de las partes, los números de expedientes y ante que instancia se desahogaron. Para el caso de que los asuntos ya hayan concluido la versión pública de las resoluciones correspondientes.”(SIC)</w:t>
      </w:r>
    </w:p>
    <w:p w14:paraId="380A580D" w14:textId="77777777" w:rsidR="00A2699D" w:rsidRPr="009859BE" w:rsidRDefault="00A269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themeColor="text1"/>
        </w:rPr>
      </w:pPr>
    </w:p>
    <w:p w14:paraId="7FE0BB7E" w14:textId="77777777" w:rsidR="00A2699D" w:rsidRPr="009859BE" w:rsidRDefault="007322B5">
      <w:pPr>
        <w:numPr>
          <w:ilvl w:val="0"/>
          <w:numId w:val="4"/>
        </w:numPr>
        <w:pBdr>
          <w:top w:val="nil"/>
          <w:left w:val="nil"/>
          <w:bottom w:val="nil"/>
          <w:right w:val="nil"/>
          <w:between w:val="nil"/>
        </w:pBdr>
        <w:spacing w:line="360" w:lineRule="auto"/>
        <w:ind w:left="1276" w:right="-787"/>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Modalidad de entrega de la información: Vía </w:t>
      </w:r>
      <w:r w:rsidRPr="009859BE">
        <w:rPr>
          <w:rFonts w:ascii="Palatino Linotype" w:eastAsia="Palatino Linotype" w:hAnsi="Palatino Linotype" w:cs="Palatino Linotype"/>
          <w:b/>
          <w:color w:val="000000" w:themeColor="text1"/>
        </w:rPr>
        <w:t>SAIMEX.</w:t>
      </w:r>
    </w:p>
    <w:p w14:paraId="6B85C9A1" w14:textId="77777777" w:rsidR="00A2699D" w:rsidRPr="009859BE" w:rsidRDefault="00A269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themeColor="text1"/>
        </w:rPr>
      </w:pPr>
    </w:p>
    <w:p w14:paraId="0695253F" w14:textId="77777777" w:rsidR="00A2699D" w:rsidRPr="009859BE" w:rsidRDefault="007322B5">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En cumplimiento al artículo 162, de la Ley de Transparencia y Acceso a la Información Pública del Estado de México y Municipios, en fechas </w:t>
      </w:r>
      <w:r w:rsidRPr="009859BE">
        <w:rPr>
          <w:rFonts w:ascii="Palatino Linotype" w:eastAsia="Palatino Linotype" w:hAnsi="Palatino Linotype" w:cs="Palatino Linotype"/>
          <w:b/>
          <w:color w:val="000000" w:themeColor="text1"/>
        </w:rPr>
        <w:t>cuatro de diciembre de dos mil veinticuatro,</w:t>
      </w:r>
      <w:r w:rsidRPr="009859BE">
        <w:rPr>
          <w:rFonts w:ascii="Palatino Linotype" w:eastAsia="Palatino Linotype" w:hAnsi="Palatino Linotype" w:cs="Palatino Linotype"/>
          <w:color w:val="000000" w:themeColor="text1"/>
        </w:rPr>
        <w:t xml:space="preserve"> la Titular de la Unidad de Transparencia del </w:t>
      </w:r>
      <w:r w:rsidRPr="009859BE">
        <w:rPr>
          <w:rFonts w:ascii="Palatino Linotype" w:eastAsia="Palatino Linotype" w:hAnsi="Palatino Linotype" w:cs="Palatino Linotype"/>
          <w:b/>
          <w:color w:val="000000" w:themeColor="text1"/>
        </w:rPr>
        <w:t>SUJETO OBLIGADO</w:t>
      </w:r>
      <w:r w:rsidRPr="009859BE">
        <w:rPr>
          <w:rFonts w:ascii="Palatino Linotype" w:eastAsia="Palatino Linotype" w:hAnsi="Palatino Linotype" w:cs="Palatino Linotype"/>
          <w:color w:val="000000" w:themeColor="text1"/>
        </w:rPr>
        <w:t xml:space="preserve"> turnar la solicitud de información a los servidores públicos que estimó pertinentes.</w:t>
      </w:r>
    </w:p>
    <w:p w14:paraId="22C289D3" w14:textId="77777777" w:rsidR="00A2699D" w:rsidRPr="009859BE" w:rsidRDefault="00A269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themeColor="text1"/>
        </w:rPr>
      </w:pPr>
    </w:p>
    <w:p w14:paraId="1C2E3660" w14:textId="77777777" w:rsidR="00A2699D" w:rsidRPr="009859BE" w:rsidRDefault="007322B5">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De las constancias que obran en el </w:t>
      </w:r>
      <w:r w:rsidRPr="009859BE">
        <w:rPr>
          <w:rFonts w:ascii="Palatino Linotype" w:eastAsia="Palatino Linotype" w:hAnsi="Palatino Linotype" w:cs="Palatino Linotype"/>
          <w:b/>
          <w:color w:val="000000" w:themeColor="text1"/>
        </w:rPr>
        <w:t>SAIMEX</w:t>
      </w:r>
      <w:r w:rsidRPr="009859BE">
        <w:rPr>
          <w:rFonts w:ascii="Palatino Linotype" w:eastAsia="Palatino Linotype" w:hAnsi="Palatino Linotype" w:cs="Palatino Linotype"/>
          <w:color w:val="000000" w:themeColor="text1"/>
        </w:rPr>
        <w:t xml:space="preserve">, se advierte que el </w:t>
      </w:r>
      <w:r w:rsidRPr="009859BE">
        <w:rPr>
          <w:rFonts w:ascii="Palatino Linotype" w:eastAsia="Palatino Linotype" w:hAnsi="Palatino Linotype" w:cs="Palatino Linotype"/>
          <w:b/>
          <w:color w:val="000000" w:themeColor="text1"/>
        </w:rPr>
        <w:t>quince de enero de dos mil veinticinco</w:t>
      </w:r>
      <w:r w:rsidRPr="009859BE">
        <w:rPr>
          <w:rFonts w:ascii="Palatino Linotype" w:eastAsia="Palatino Linotype" w:hAnsi="Palatino Linotype" w:cs="Palatino Linotype"/>
          <w:color w:val="000000" w:themeColor="text1"/>
        </w:rPr>
        <w:t xml:space="preserve">, </w:t>
      </w:r>
      <w:r w:rsidRPr="009859BE">
        <w:rPr>
          <w:rFonts w:ascii="Palatino Linotype" w:eastAsia="Palatino Linotype" w:hAnsi="Palatino Linotype" w:cs="Palatino Linotype"/>
          <w:b/>
          <w:color w:val="000000" w:themeColor="text1"/>
        </w:rPr>
        <w:t>EL SUJETO OBLIGADO</w:t>
      </w:r>
      <w:r w:rsidRPr="009859BE">
        <w:rPr>
          <w:rFonts w:ascii="Palatino Linotype" w:eastAsia="Palatino Linotype" w:hAnsi="Palatino Linotype" w:cs="Palatino Linotype"/>
          <w:color w:val="000000" w:themeColor="text1"/>
        </w:rPr>
        <w:t xml:space="preserve"> notificó una prórroga de siete días para dar respuesta a la solicitud de información planteada por </w:t>
      </w:r>
      <w:r w:rsidRPr="009859BE">
        <w:rPr>
          <w:rFonts w:ascii="Palatino Linotype" w:eastAsia="Palatino Linotype" w:hAnsi="Palatino Linotype" w:cs="Palatino Linotype"/>
          <w:b/>
          <w:color w:val="000000" w:themeColor="text1"/>
        </w:rPr>
        <w:t>LA PARTE RECURRENTE</w:t>
      </w:r>
      <w:r w:rsidRPr="009859BE">
        <w:rPr>
          <w:rFonts w:ascii="Palatino Linotype" w:eastAsia="Palatino Linotype" w:hAnsi="Palatino Linotype" w:cs="Palatino Linotype"/>
          <w:color w:val="000000" w:themeColor="text1"/>
        </w:rPr>
        <w:t>.</w:t>
      </w:r>
    </w:p>
    <w:p w14:paraId="33E8C8BB" w14:textId="77777777" w:rsidR="00A2699D" w:rsidRPr="009859BE" w:rsidRDefault="00A269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themeColor="text1"/>
        </w:rPr>
      </w:pPr>
    </w:p>
    <w:p w14:paraId="04698F32" w14:textId="77777777" w:rsidR="00A2699D" w:rsidRPr="009859BE" w:rsidRDefault="007322B5">
      <w:pPr>
        <w:numPr>
          <w:ilvl w:val="0"/>
          <w:numId w:val="2"/>
        </w:numPr>
        <w:spacing w:line="360" w:lineRule="auto"/>
        <w:ind w:left="0" w:right="-787" w:firstLine="0"/>
        <w:jc w:val="both"/>
        <w:rPr>
          <w:rFonts w:ascii="Palatino Linotype" w:eastAsia="Palatino Linotype" w:hAnsi="Palatino Linotype" w:cs="Palatino Linotype"/>
          <w:b/>
          <w:color w:val="000000" w:themeColor="text1"/>
        </w:rPr>
      </w:pPr>
      <w:r w:rsidRPr="009859BE">
        <w:rPr>
          <w:rFonts w:ascii="Palatino Linotype" w:eastAsia="Palatino Linotype" w:hAnsi="Palatino Linotype" w:cs="Palatino Linotype"/>
          <w:color w:val="000000" w:themeColor="text1"/>
        </w:rPr>
        <w:t>Posteriormente, el</w:t>
      </w:r>
      <w:r w:rsidRPr="009859BE">
        <w:rPr>
          <w:rFonts w:ascii="Palatino Linotype" w:eastAsia="Palatino Linotype" w:hAnsi="Palatino Linotype" w:cs="Palatino Linotype"/>
          <w:b/>
          <w:color w:val="000000" w:themeColor="text1"/>
        </w:rPr>
        <w:t xml:space="preserve"> veintitrés de enero de dos mil veinticinco</w:t>
      </w:r>
      <w:r w:rsidRPr="009859BE">
        <w:rPr>
          <w:rFonts w:ascii="Palatino Linotype" w:eastAsia="Palatino Linotype" w:hAnsi="Palatino Linotype" w:cs="Palatino Linotype"/>
          <w:color w:val="000000" w:themeColor="text1"/>
        </w:rPr>
        <w:t xml:space="preserve">, el </w:t>
      </w:r>
      <w:r w:rsidRPr="009859BE">
        <w:rPr>
          <w:rFonts w:ascii="Palatino Linotype" w:eastAsia="Palatino Linotype" w:hAnsi="Palatino Linotype" w:cs="Palatino Linotype"/>
          <w:b/>
          <w:color w:val="000000" w:themeColor="text1"/>
        </w:rPr>
        <w:t xml:space="preserve">SUJETO OBLIGADO </w:t>
      </w:r>
      <w:r w:rsidRPr="009859BE">
        <w:rPr>
          <w:rFonts w:ascii="Palatino Linotype" w:eastAsia="Palatino Linotype" w:hAnsi="Palatino Linotype" w:cs="Palatino Linotype"/>
          <w:color w:val="000000" w:themeColor="text1"/>
        </w:rPr>
        <w:t xml:space="preserve">entregó su respuesta a la solicitud </w:t>
      </w:r>
      <w:r w:rsidRPr="009859BE">
        <w:rPr>
          <w:rFonts w:ascii="Palatino Linotype" w:eastAsia="Palatino Linotype" w:hAnsi="Palatino Linotype" w:cs="Palatino Linotype"/>
          <w:b/>
          <w:color w:val="000000" w:themeColor="text1"/>
        </w:rPr>
        <w:t xml:space="preserve">01051/CUAUTIZC/IP/2024, </w:t>
      </w:r>
      <w:r w:rsidRPr="009859BE">
        <w:rPr>
          <w:rFonts w:ascii="Palatino Linotype" w:eastAsia="Palatino Linotype" w:hAnsi="Palatino Linotype" w:cs="Palatino Linotype"/>
          <w:color w:val="000000" w:themeColor="text1"/>
        </w:rPr>
        <w:t>por medio del expediente electrónico SAIMEX, cuyo contenido a grosso modo, se enlista de la manera siguiente:</w:t>
      </w:r>
    </w:p>
    <w:p w14:paraId="60A71BCC" w14:textId="77777777" w:rsidR="00A2699D" w:rsidRPr="009859BE" w:rsidRDefault="007322B5">
      <w:pPr>
        <w:ind w:left="708" w:right="-220"/>
        <w:jc w:val="both"/>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i/>
          <w:color w:val="000000" w:themeColor="text1"/>
        </w:rPr>
        <w:lastRenderedPageBreak/>
        <w:t>“… Se informa que, la información solicitada refiere una solicitud referente a predios municipales identificados como CIZ121-5213-03-32 y CIZ121-5213-03-33 y que los mismos son materia de un expediente de investigación CM/AINV/IZC/1087/2024 ante la contraloría Municipal, el cual fue clasificado como reservado en fecha 11 de diciembre del presente año a solicitud de la Contraloría Municipal, bajo el número de acuerdo CTM/CUT/SO027/004/ARP/2024…”</w:t>
      </w:r>
    </w:p>
    <w:p w14:paraId="05E24884" w14:textId="77777777" w:rsidR="00A2699D" w:rsidRPr="009859BE" w:rsidRDefault="00A2699D">
      <w:pPr>
        <w:ind w:left="708" w:right="-220"/>
        <w:jc w:val="both"/>
        <w:rPr>
          <w:rFonts w:ascii="Palatino Linotype" w:eastAsia="Palatino Linotype" w:hAnsi="Palatino Linotype" w:cs="Palatino Linotype"/>
          <w:i/>
          <w:color w:val="000000" w:themeColor="text1"/>
        </w:rPr>
      </w:pPr>
    </w:p>
    <w:p w14:paraId="5504968A" w14:textId="77777777" w:rsidR="00A2699D" w:rsidRPr="009859BE" w:rsidRDefault="007322B5">
      <w:pPr>
        <w:ind w:left="708" w:right="-220"/>
        <w:jc w:val="both"/>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i/>
          <w:color w:val="000000" w:themeColor="text1"/>
        </w:rPr>
        <w:t>… se hace de su conocimiento que, no se tiene el registro en lo particular del señalamiento de algún servidor público como autoridad responsable, no obstante, en aras de orientar al solicitante se informa que la autoridad responsable en los expedientes de amparo refiere únicamente la figura, es decir el cargo. Por lo anterior expuesto no es posible, entregar la información como lo señala el peticionario…</w:t>
      </w:r>
    </w:p>
    <w:p w14:paraId="2C101AE1" w14:textId="77777777" w:rsidR="00A2699D" w:rsidRPr="009859BE" w:rsidRDefault="00A2699D">
      <w:pPr>
        <w:ind w:left="708" w:right="-220"/>
        <w:jc w:val="both"/>
        <w:rPr>
          <w:rFonts w:ascii="Palatino Linotype" w:eastAsia="Palatino Linotype" w:hAnsi="Palatino Linotype" w:cs="Palatino Linotype"/>
          <w:i/>
          <w:color w:val="000000" w:themeColor="text1"/>
        </w:rPr>
      </w:pPr>
    </w:p>
    <w:p w14:paraId="00E3EF0D" w14:textId="77777777" w:rsidR="00A2699D" w:rsidRPr="009859BE" w:rsidRDefault="007322B5">
      <w:pPr>
        <w:ind w:left="708" w:right="-220"/>
        <w:jc w:val="both"/>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i/>
          <w:color w:val="000000" w:themeColor="text1"/>
        </w:rPr>
        <w:t>… Sobre el particular, con fundamento en los artículos 11, 12 segundo párrafo, y demás aplicables de la Ley de Transparencia y Acceso a la Información Pública del Estado de México y Municipios (LTAIPEMyM), de conformidad con las facultades y atribuciones normativas de esta Tesorería Municipal establecidas en el Artículo 32 del Reglamento de Organización Interna de la Administración Pública del Municipio de Cuautitlán Izcalli, Estado de México. (2022-2024), le informo que la Tesorería Municipal es parcialmente competente para dar respuesta a la solicitud, únicamente por lo que hace a los procedimientos de asignación de las claves catastrales señaladas, por lo que hace al procedimiento para cancelar, modificar, revocar o sustituir, le informo que los mismos no se encuentran contemplados en la normatividad en la materia por lo que lo que dichos procedimientos no existen…</w:t>
      </w:r>
    </w:p>
    <w:p w14:paraId="435679DF" w14:textId="77777777" w:rsidR="00A2699D" w:rsidRPr="009859BE" w:rsidRDefault="00A2699D">
      <w:pPr>
        <w:ind w:left="708" w:right="-220"/>
        <w:jc w:val="both"/>
        <w:rPr>
          <w:rFonts w:ascii="Palatino Linotype" w:eastAsia="Palatino Linotype" w:hAnsi="Palatino Linotype" w:cs="Palatino Linotype"/>
          <w:i/>
          <w:color w:val="000000" w:themeColor="text1"/>
        </w:rPr>
      </w:pPr>
    </w:p>
    <w:p w14:paraId="678E4A09" w14:textId="77777777" w:rsidR="00A2699D" w:rsidRPr="009859BE" w:rsidRDefault="007322B5">
      <w:pPr>
        <w:ind w:left="708" w:right="-220"/>
        <w:jc w:val="both"/>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i/>
          <w:color w:val="000000" w:themeColor="text1"/>
        </w:rPr>
        <w:t xml:space="preserve">… hago de su conocimiento que por lo que hace a los bienes inmuebles de propiedad municipal, la Tesorería Municipal, es incompetente para pronunciarse respecto de la información solicitada en relación a los números de inventario que refiere… </w:t>
      </w:r>
    </w:p>
    <w:p w14:paraId="58BB2165" w14:textId="77777777" w:rsidR="00A2699D" w:rsidRPr="009859BE" w:rsidRDefault="00A2699D">
      <w:pPr>
        <w:ind w:left="708" w:right="-220"/>
        <w:jc w:val="both"/>
        <w:rPr>
          <w:rFonts w:ascii="Palatino Linotype" w:eastAsia="Palatino Linotype" w:hAnsi="Palatino Linotype" w:cs="Palatino Linotype"/>
          <w:i/>
          <w:color w:val="000000" w:themeColor="text1"/>
        </w:rPr>
      </w:pPr>
    </w:p>
    <w:p w14:paraId="1DFD0FA3" w14:textId="77777777" w:rsidR="00A2699D" w:rsidRPr="009859BE" w:rsidRDefault="007322B5">
      <w:pPr>
        <w:ind w:left="708" w:right="-220"/>
        <w:jc w:val="both"/>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i/>
          <w:color w:val="000000" w:themeColor="text1"/>
        </w:rPr>
        <w:t xml:space="preserve">… informo la incompetencia por parte de esta dependencia, toda vez que de acuerdo a las facultades de esta Dirección a mi cargo, descritas en los artículos 48 del Reglamento de Organización Interna de la Administración Pública del Municipio de Cuautitlán Izcalli, Estado de México (2022-2024) y 7 del Reglamento Interno de la Dirección de Administración del Municipio de Cuautitlán Izcalli, Estado de México, no se encuentra el generar, poseer, administrar o resguardar lo requerido en la solicitud de mérito. </w:t>
      </w:r>
      <w:r w:rsidRPr="009859BE">
        <w:rPr>
          <w:rFonts w:ascii="Palatino Linotype" w:eastAsia="Palatino Linotype" w:hAnsi="Palatino Linotype" w:cs="Palatino Linotype"/>
          <w:i/>
          <w:color w:val="000000" w:themeColor="text1"/>
        </w:rPr>
        <w:lastRenderedPageBreak/>
        <w:t>GABRIELA ELIZABETH MORALES CRUZ COORIDINADORA DE TRANSPARENCIA DE CUAUTITLÁN IZCALLI, ESTADO DE MÉXICO PRESENTE…” (Sic)</w:t>
      </w:r>
    </w:p>
    <w:p w14:paraId="104DA1EE" w14:textId="77777777" w:rsidR="00A2699D" w:rsidRPr="009859BE" w:rsidRDefault="00A2699D">
      <w:pPr>
        <w:tabs>
          <w:tab w:val="left" w:pos="0"/>
        </w:tabs>
        <w:spacing w:line="360" w:lineRule="auto"/>
        <w:ind w:left="360" w:right="-787"/>
        <w:jc w:val="both"/>
        <w:rPr>
          <w:rFonts w:ascii="Palatino Linotype" w:eastAsia="Verdana" w:hAnsi="Palatino Linotype" w:cs="Verdana"/>
          <w:color w:val="000000" w:themeColor="text1"/>
        </w:rPr>
      </w:pPr>
    </w:p>
    <w:p w14:paraId="3924B0AE" w14:textId="77777777" w:rsidR="00E131E4" w:rsidRPr="009859BE" w:rsidRDefault="007322B5" w:rsidP="00E131E4">
      <w:pPr>
        <w:numPr>
          <w:ilvl w:val="0"/>
          <w:numId w:val="2"/>
        </w:numPr>
        <w:spacing w:line="360" w:lineRule="auto"/>
        <w:ind w:left="0" w:right="-929"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El </w:t>
      </w:r>
      <w:r w:rsidRPr="009859BE">
        <w:rPr>
          <w:rFonts w:ascii="Palatino Linotype" w:eastAsia="Palatino Linotype" w:hAnsi="Palatino Linotype" w:cs="Palatino Linotype"/>
          <w:b/>
          <w:color w:val="000000" w:themeColor="text1"/>
        </w:rPr>
        <w:t>veintisiete de enero de dos mil veinticinco</w:t>
      </w:r>
      <w:r w:rsidRPr="009859BE">
        <w:rPr>
          <w:rFonts w:ascii="Palatino Linotype" w:eastAsia="Palatino Linotype" w:hAnsi="Palatino Linotype" w:cs="Palatino Linotype"/>
          <w:color w:val="000000" w:themeColor="text1"/>
        </w:rPr>
        <w:t xml:space="preserve">, el solicitante interpuso recurso de revisión en la solicitud de información </w:t>
      </w:r>
      <w:r w:rsidRPr="009859BE">
        <w:rPr>
          <w:rFonts w:ascii="Palatino Linotype" w:eastAsia="Palatino Linotype" w:hAnsi="Palatino Linotype" w:cs="Palatino Linotype"/>
          <w:b/>
          <w:color w:val="000000" w:themeColor="text1"/>
        </w:rPr>
        <w:t xml:space="preserve">01051/CUAUTIZC/IP/2024, </w:t>
      </w:r>
      <w:r w:rsidRPr="009859BE">
        <w:rPr>
          <w:rFonts w:ascii="Palatino Linotype" w:eastAsia="Palatino Linotype" w:hAnsi="Palatino Linotype" w:cs="Palatino Linotype"/>
          <w:color w:val="000000" w:themeColor="text1"/>
        </w:rPr>
        <w:t xml:space="preserve">en contra de la respuesta emitida por el </w:t>
      </w:r>
      <w:r w:rsidRPr="009859BE">
        <w:rPr>
          <w:rFonts w:ascii="Palatino Linotype" w:eastAsia="Palatino Linotype" w:hAnsi="Palatino Linotype" w:cs="Palatino Linotype"/>
          <w:b/>
          <w:color w:val="000000" w:themeColor="text1"/>
        </w:rPr>
        <w:t>SUJETO OBLIGADO</w:t>
      </w:r>
      <w:r w:rsidRPr="009859BE">
        <w:rPr>
          <w:rFonts w:ascii="Palatino Linotype" w:eastAsia="Palatino Linotype" w:hAnsi="Palatino Linotype" w:cs="Palatino Linotype"/>
          <w:color w:val="000000" w:themeColor="text1"/>
        </w:rPr>
        <w:t>, señalando las siguientes razones o motivos de inconformidad:</w:t>
      </w:r>
    </w:p>
    <w:tbl>
      <w:tblPr>
        <w:tblStyle w:val="a1"/>
        <w:tblpPr w:leftFromText="141" w:rightFromText="141" w:vertAnchor="text" w:horzAnchor="margin" w:tblpXSpec="right" w:tblpY="283"/>
        <w:tblW w:w="76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969"/>
      </w:tblGrid>
      <w:tr w:rsidR="00E131E4" w:rsidRPr="009859BE" w14:paraId="214EB5B7" w14:textId="77777777" w:rsidTr="00E131E4">
        <w:tc>
          <w:tcPr>
            <w:tcW w:w="3685" w:type="dxa"/>
          </w:tcPr>
          <w:p w14:paraId="698FFF7E" w14:textId="77777777" w:rsidR="00E131E4" w:rsidRPr="009859BE" w:rsidRDefault="00E131E4" w:rsidP="00E131E4">
            <w:pPr>
              <w:ind w:right="-66"/>
              <w:jc w:val="center"/>
              <w:rPr>
                <w:rFonts w:ascii="Palatino Linotype" w:eastAsia="Palatino Linotype" w:hAnsi="Palatino Linotype" w:cs="Palatino Linotype"/>
                <w:b/>
                <w:i/>
                <w:color w:val="000000" w:themeColor="text1"/>
              </w:rPr>
            </w:pPr>
            <w:r w:rsidRPr="009859BE">
              <w:rPr>
                <w:rFonts w:ascii="Palatino Linotype" w:eastAsia="Palatino Linotype" w:hAnsi="Palatino Linotype" w:cs="Palatino Linotype"/>
                <w:b/>
                <w:i/>
                <w:color w:val="000000" w:themeColor="text1"/>
              </w:rPr>
              <w:t>Acto Impugnado:</w:t>
            </w:r>
          </w:p>
        </w:tc>
        <w:tc>
          <w:tcPr>
            <w:tcW w:w="3969" w:type="dxa"/>
          </w:tcPr>
          <w:p w14:paraId="5449765D" w14:textId="77777777" w:rsidR="00E131E4" w:rsidRPr="009859BE" w:rsidRDefault="00E131E4" w:rsidP="00E131E4">
            <w:pPr>
              <w:ind w:right="-66"/>
              <w:jc w:val="center"/>
              <w:rPr>
                <w:rFonts w:ascii="Palatino Linotype" w:eastAsia="Palatino Linotype" w:hAnsi="Palatino Linotype" w:cs="Palatino Linotype"/>
                <w:b/>
                <w:i/>
                <w:color w:val="000000" w:themeColor="text1"/>
              </w:rPr>
            </w:pPr>
            <w:r w:rsidRPr="009859BE">
              <w:rPr>
                <w:rFonts w:ascii="Palatino Linotype" w:eastAsia="Palatino Linotype" w:hAnsi="Palatino Linotype" w:cs="Palatino Linotype"/>
                <w:b/>
                <w:i/>
                <w:color w:val="000000" w:themeColor="text1"/>
              </w:rPr>
              <w:t>Razones o Motivos de  Inconformidad.</w:t>
            </w:r>
          </w:p>
        </w:tc>
      </w:tr>
      <w:tr w:rsidR="00E131E4" w:rsidRPr="009859BE" w14:paraId="4E1083E8" w14:textId="77777777" w:rsidTr="00E131E4">
        <w:tc>
          <w:tcPr>
            <w:tcW w:w="3685" w:type="dxa"/>
          </w:tcPr>
          <w:p w14:paraId="639DDE7B" w14:textId="77777777" w:rsidR="00E131E4" w:rsidRPr="009859BE" w:rsidRDefault="00E131E4" w:rsidP="00E131E4">
            <w:pPr>
              <w:spacing w:line="276" w:lineRule="auto"/>
              <w:ind w:right="-66"/>
              <w:jc w:val="center"/>
              <w:rPr>
                <w:rFonts w:ascii="Palatino Linotype" w:eastAsia="Palatino Linotype" w:hAnsi="Palatino Linotype" w:cs="Palatino Linotype"/>
                <w:b/>
                <w:i/>
                <w:color w:val="000000" w:themeColor="text1"/>
              </w:rPr>
            </w:pPr>
          </w:p>
          <w:p w14:paraId="3A6D0CF2" w14:textId="77777777" w:rsidR="00E131E4" w:rsidRPr="009859BE" w:rsidRDefault="00E131E4" w:rsidP="00E131E4">
            <w:pPr>
              <w:spacing w:line="276" w:lineRule="auto"/>
              <w:jc w:val="center"/>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i/>
                <w:color w:val="000000" w:themeColor="text1"/>
              </w:rPr>
              <w:t>“La respuesta incompleta del sujeto obligado.”(sic)</w:t>
            </w:r>
          </w:p>
          <w:p w14:paraId="049667D9" w14:textId="77777777" w:rsidR="00E131E4" w:rsidRPr="009859BE" w:rsidRDefault="00E131E4" w:rsidP="00E131E4">
            <w:pPr>
              <w:spacing w:line="276" w:lineRule="auto"/>
              <w:ind w:right="-66"/>
              <w:jc w:val="center"/>
              <w:rPr>
                <w:rFonts w:ascii="Palatino Linotype" w:eastAsia="Palatino Linotype" w:hAnsi="Palatino Linotype" w:cs="Palatino Linotype"/>
                <w:i/>
                <w:color w:val="000000" w:themeColor="text1"/>
              </w:rPr>
            </w:pPr>
          </w:p>
        </w:tc>
        <w:tc>
          <w:tcPr>
            <w:tcW w:w="3969" w:type="dxa"/>
          </w:tcPr>
          <w:p w14:paraId="191AB1B2" w14:textId="77777777" w:rsidR="00E131E4" w:rsidRPr="009859BE" w:rsidRDefault="00E131E4" w:rsidP="00E131E4">
            <w:pPr>
              <w:spacing w:line="276" w:lineRule="auto"/>
              <w:ind w:right="-66"/>
              <w:jc w:val="center"/>
              <w:rPr>
                <w:rFonts w:ascii="Palatino Linotype" w:eastAsia="Palatino Linotype" w:hAnsi="Palatino Linotype" w:cs="Palatino Linotype"/>
                <w:i/>
                <w:color w:val="000000" w:themeColor="text1"/>
              </w:rPr>
            </w:pPr>
          </w:p>
          <w:p w14:paraId="301FC68B" w14:textId="77777777" w:rsidR="00E131E4" w:rsidRPr="009859BE" w:rsidRDefault="00E131E4" w:rsidP="00E131E4">
            <w:pPr>
              <w:spacing w:line="276" w:lineRule="auto"/>
              <w:ind w:right="-66"/>
              <w:jc w:val="center"/>
              <w:rPr>
                <w:rFonts w:ascii="Palatino Linotype" w:eastAsia="Palatino Linotype" w:hAnsi="Palatino Linotype" w:cs="Palatino Linotype"/>
                <w:b/>
                <w:i/>
                <w:color w:val="000000" w:themeColor="text1"/>
              </w:rPr>
            </w:pPr>
            <w:r w:rsidRPr="009859BE">
              <w:rPr>
                <w:rFonts w:ascii="Palatino Linotype" w:eastAsia="Palatino Linotype" w:hAnsi="Palatino Linotype" w:cs="Palatino Linotype"/>
                <w:i/>
                <w:color w:val="000000" w:themeColor="text1"/>
              </w:rPr>
              <w:t>“no se agrega la información que señala en la respuesta.”(sic)</w:t>
            </w:r>
          </w:p>
        </w:tc>
      </w:tr>
    </w:tbl>
    <w:p w14:paraId="020DF9AF" w14:textId="77777777" w:rsidR="00E131E4" w:rsidRPr="009859BE" w:rsidRDefault="00E131E4" w:rsidP="00E131E4">
      <w:pPr>
        <w:spacing w:line="360" w:lineRule="auto"/>
        <w:ind w:right="-929"/>
        <w:jc w:val="both"/>
        <w:rPr>
          <w:rFonts w:ascii="Palatino Linotype" w:eastAsia="Palatino Linotype" w:hAnsi="Palatino Linotype" w:cs="Palatino Linotype"/>
          <w:color w:val="000000" w:themeColor="text1"/>
        </w:rPr>
      </w:pPr>
    </w:p>
    <w:p w14:paraId="6D306977" w14:textId="77777777" w:rsidR="00E131E4" w:rsidRPr="009859BE" w:rsidRDefault="00E131E4" w:rsidP="00E131E4">
      <w:pPr>
        <w:spacing w:line="360" w:lineRule="auto"/>
        <w:ind w:right="-929"/>
        <w:jc w:val="both"/>
        <w:rPr>
          <w:rFonts w:ascii="Palatino Linotype" w:eastAsia="Palatino Linotype" w:hAnsi="Palatino Linotype" w:cs="Palatino Linotype"/>
          <w:color w:val="000000" w:themeColor="text1"/>
        </w:rPr>
      </w:pPr>
    </w:p>
    <w:p w14:paraId="754AF197" w14:textId="77777777" w:rsidR="00E131E4" w:rsidRPr="009859BE" w:rsidRDefault="00E131E4" w:rsidP="00E131E4">
      <w:pPr>
        <w:spacing w:line="360" w:lineRule="auto"/>
        <w:ind w:right="-929"/>
        <w:jc w:val="both"/>
        <w:rPr>
          <w:rFonts w:ascii="Palatino Linotype" w:eastAsia="Palatino Linotype" w:hAnsi="Palatino Linotype" w:cs="Palatino Linotype"/>
          <w:color w:val="000000" w:themeColor="text1"/>
        </w:rPr>
      </w:pPr>
    </w:p>
    <w:p w14:paraId="57232C42" w14:textId="77777777" w:rsidR="00E131E4" w:rsidRPr="009859BE" w:rsidRDefault="00E131E4" w:rsidP="00E131E4">
      <w:pPr>
        <w:spacing w:line="360" w:lineRule="auto"/>
        <w:ind w:right="-929"/>
        <w:jc w:val="both"/>
        <w:rPr>
          <w:rFonts w:ascii="Palatino Linotype" w:eastAsia="Palatino Linotype" w:hAnsi="Palatino Linotype" w:cs="Palatino Linotype"/>
          <w:color w:val="000000" w:themeColor="text1"/>
        </w:rPr>
      </w:pPr>
    </w:p>
    <w:p w14:paraId="6B659370" w14:textId="77777777" w:rsidR="00E131E4" w:rsidRPr="009859BE" w:rsidRDefault="00E131E4" w:rsidP="00E131E4">
      <w:pPr>
        <w:spacing w:line="360" w:lineRule="auto"/>
        <w:ind w:right="-929"/>
        <w:jc w:val="both"/>
        <w:rPr>
          <w:rFonts w:ascii="Palatino Linotype" w:eastAsia="Palatino Linotype" w:hAnsi="Palatino Linotype" w:cs="Palatino Linotype"/>
          <w:color w:val="000000" w:themeColor="text1"/>
        </w:rPr>
      </w:pPr>
    </w:p>
    <w:p w14:paraId="32D619A3" w14:textId="77777777" w:rsidR="00E131E4" w:rsidRPr="009859BE" w:rsidRDefault="00E131E4" w:rsidP="00E131E4">
      <w:pPr>
        <w:spacing w:line="360" w:lineRule="auto"/>
        <w:ind w:right="-929"/>
        <w:jc w:val="both"/>
        <w:rPr>
          <w:rFonts w:ascii="Palatino Linotype" w:eastAsia="Palatino Linotype" w:hAnsi="Palatino Linotype" w:cs="Palatino Linotype"/>
          <w:color w:val="000000" w:themeColor="text1"/>
        </w:rPr>
      </w:pPr>
    </w:p>
    <w:p w14:paraId="35C12347" w14:textId="4F9AD5EE" w:rsidR="00E131E4" w:rsidRPr="009859BE" w:rsidRDefault="00E131E4" w:rsidP="00E131E4">
      <w:pPr>
        <w:numPr>
          <w:ilvl w:val="0"/>
          <w:numId w:val="2"/>
        </w:numPr>
        <w:spacing w:line="360" w:lineRule="auto"/>
        <w:ind w:left="0" w:right="-929"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 fecha </w:t>
      </w:r>
      <w:r w:rsidRPr="009859BE">
        <w:rPr>
          <w:rFonts w:ascii="Palatino Linotype" w:eastAsia="Palatino Linotype" w:hAnsi="Palatino Linotype" w:cs="Palatino Linotype"/>
          <w:b/>
          <w:color w:val="000000" w:themeColor="text1"/>
        </w:rPr>
        <w:t>treinta de enero de dos mil veinticinco</w:t>
      </w:r>
      <w:r w:rsidRPr="009859BE">
        <w:rPr>
          <w:rFonts w:ascii="Palatino Linotype" w:eastAsia="Palatino Linotype" w:hAnsi="Palatino Linotype" w:cs="Palatino Linotype"/>
          <w:color w:val="000000" w:themeColor="text1"/>
        </w:rPr>
        <w:t xml:space="preserve">, puso a disposición de las partes el expediente electrónico vía </w:t>
      </w:r>
      <w:r w:rsidRPr="009859BE">
        <w:rPr>
          <w:rFonts w:ascii="Palatino Linotype" w:eastAsia="Palatino Linotype" w:hAnsi="Palatino Linotype" w:cs="Palatino Linotype"/>
          <w:b/>
          <w:color w:val="000000" w:themeColor="text1"/>
        </w:rPr>
        <w:t xml:space="preserve">SAIMEX, </w:t>
      </w:r>
      <w:r w:rsidRPr="009859BE">
        <w:rPr>
          <w:rFonts w:ascii="Palatino Linotype" w:eastAsia="Palatino Linotype" w:hAnsi="Palatino Linotype" w:cs="Palatino Linotype"/>
          <w:color w:val="000000" w:themeColor="text1"/>
        </w:rPr>
        <w:t xml:space="preserve">a efecto de que en un plazo máximo de siete días manifestara lo que a su derecho conviniera, ofreciera pruebas y alegatos según corresponda al caso concreto, y el </w:t>
      </w:r>
      <w:r w:rsidRPr="009859BE">
        <w:rPr>
          <w:rFonts w:ascii="Palatino Linotype" w:eastAsia="Palatino Linotype" w:hAnsi="Palatino Linotype" w:cs="Palatino Linotype"/>
          <w:b/>
          <w:color w:val="000000" w:themeColor="text1"/>
        </w:rPr>
        <w:t>SUJETO OBLIGADO</w:t>
      </w:r>
      <w:r w:rsidRPr="009859BE">
        <w:rPr>
          <w:rFonts w:ascii="Palatino Linotype" w:eastAsia="Palatino Linotype" w:hAnsi="Palatino Linotype" w:cs="Palatino Linotype"/>
          <w:color w:val="000000" w:themeColor="text1"/>
        </w:rPr>
        <w:t xml:space="preserve"> presentará el Informe Justificado procedente.</w:t>
      </w:r>
    </w:p>
    <w:p w14:paraId="70E30086" w14:textId="77777777" w:rsidR="00A2699D" w:rsidRPr="009859BE" w:rsidRDefault="00A2699D">
      <w:pPr>
        <w:spacing w:line="360" w:lineRule="auto"/>
        <w:ind w:left="993" w:right="-929"/>
        <w:jc w:val="both"/>
        <w:rPr>
          <w:rFonts w:ascii="Palatino Linotype" w:eastAsia="Palatino Linotype" w:hAnsi="Palatino Linotype" w:cs="Palatino Linotype"/>
          <w:color w:val="000000" w:themeColor="text1"/>
        </w:rPr>
      </w:pPr>
    </w:p>
    <w:p w14:paraId="4F980FC9" w14:textId="77777777" w:rsidR="00A2699D" w:rsidRPr="009859BE" w:rsidRDefault="00A2699D">
      <w:pPr>
        <w:spacing w:line="360" w:lineRule="auto"/>
        <w:ind w:left="993" w:right="-929"/>
        <w:jc w:val="both"/>
        <w:rPr>
          <w:rFonts w:ascii="Palatino Linotype" w:eastAsia="Palatino Linotype" w:hAnsi="Palatino Linotype" w:cs="Palatino Linotype"/>
          <w:color w:val="000000" w:themeColor="text1"/>
        </w:rPr>
      </w:pPr>
    </w:p>
    <w:p w14:paraId="17A27CA5" w14:textId="77777777" w:rsidR="00A2699D" w:rsidRPr="009859BE" w:rsidRDefault="00A2699D">
      <w:pPr>
        <w:spacing w:line="360" w:lineRule="auto"/>
        <w:ind w:left="993" w:right="-929"/>
        <w:jc w:val="both"/>
        <w:rPr>
          <w:rFonts w:ascii="Palatino Linotype" w:eastAsia="Palatino Linotype" w:hAnsi="Palatino Linotype" w:cs="Palatino Linotype"/>
          <w:color w:val="000000" w:themeColor="text1"/>
        </w:rPr>
      </w:pPr>
    </w:p>
    <w:p w14:paraId="4F948BA0" w14:textId="77777777" w:rsidR="00A2699D" w:rsidRPr="009859BE" w:rsidRDefault="00A2699D">
      <w:pPr>
        <w:spacing w:line="360" w:lineRule="auto"/>
        <w:ind w:left="993" w:right="-929"/>
        <w:jc w:val="both"/>
        <w:rPr>
          <w:rFonts w:ascii="Palatino Linotype" w:eastAsia="Palatino Linotype" w:hAnsi="Palatino Linotype" w:cs="Palatino Linotype"/>
          <w:color w:val="000000" w:themeColor="text1"/>
        </w:rPr>
      </w:pPr>
    </w:p>
    <w:p w14:paraId="10BD501F" w14:textId="77777777" w:rsidR="00A2699D" w:rsidRPr="009859BE" w:rsidRDefault="00A2699D">
      <w:pPr>
        <w:spacing w:line="360" w:lineRule="auto"/>
        <w:ind w:left="993" w:right="-929"/>
        <w:jc w:val="both"/>
        <w:rPr>
          <w:rFonts w:ascii="Palatino Linotype" w:eastAsia="Palatino Linotype" w:hAnsi="Palatino Linotype" w:cs="Palatino Linotype"/>
          <w:color w:val="000000" w:themeColor="text1"/>
        </w:rPr>
      </w:pPr>
    </w:p>
    <w:p w14:paraId="49B76451" w14:textId="77777777" w:rsidR="00A2699D" w:rsidRPr="009859BE" w:rsidRDefault="00A2699D">
      <w:pPr>
        <w:spacing w:line="360" w:lineRule="auto"/>
        <w:ind w:left="993" w:right="-929"/>
        <w:jc w:val="both"/>
        <w:rPr>
          <w:rFonts w:ascii="Palatino Linotype" w:eastAsia="Palatino Linotype" w:hAnsi="Palatino Linotype" w:cs="Palatino Linotype"/>
          <w:color w:val="000000" w:themeColor="text1"/>
        </w:rPr>
      </w:pPr>
    </w:p>
    <w:p w14:paraId="68B10C6B" w14:textId="0785B41D" w:rsidR="00A32A72" w:rsidRPr="009859BE" w:rsidRDefault="007322B5" w:rsidP="00A32A72">
      <w:pPr>
        <w:numPr>
          <w:ilvl w:val="0"/>
          <w:numId w:val="5"/>
        </w:numPr>
        <w:spacing w:line="360" w:lineRule="auto"/>
        <w:ind w:left="0" w:right="-929" w:firstLine="0"/>
        <w:jc w:val="both"/>
        <w:rPr>
          <w:rFonts w:ascii="Palatino Linotype" w:eastAsia="Palatino Linotype" w:hAnsi="Palatino Linotype" w:cs="Palatino Linotype"/>
          <w:color w:val="000000" w:themeColor="text1"/>
        </w:rPr>
      </w:pPr>
      <w:bookmarkStart w:id="2" w:name="_heading=h.3znysh7" w:colFirst="0" w:colLast="0"/>
      <w:bookmarkEnd w:id="2"/>
      <w:r w:rsidRPr="009859BE">
        <w:rPr>
          <w:rFonts w:ascii="Palatino Linotype" w:eastAsia="Palatino Linotype" w:hAnsi="Palatino Linotype" w:cs="Palatino Linotype"/>
          <w:color w:val="000000" w:themeColor="text1"/>
        </w:rPr>
        <w:t xml:space="preserve">De las constancias que obran en el expediente electrónico del SAIMEX, se advierte que el </w:t>
      </w:r>
      <w:r w:rsidRPr="009859BE">
        <w:rPr>
          <w:rFonts w:ascii="Palatino Linotype" w:eastAsia="Palatino Linotype" w:hAnsi="Palatino Linotype" w:cs="Palatino Linotype"/>
          <w:b/>
          <w:color w:val="000000" w:themeColor="text1"/>
        </w:rPr>
        <w:t>SUJETO OBLIGADO</w:t>
      </w:r>
      <w:r w:rsidRPr="009859BE">
        <w:rPr>
          <w:rFonts w:ascii="Palatino Linotype" w:eastAsia="Palatino Linotype" w:hAnsi="Palatino Linotype" w:cs="Palatino Linotype"/>
          <w:color w:val="000000" w:themeColor="text1"/>
        </w:rPr>
        <w:t xml:space="preserve"> rindió su informe justificado en fecha </w:t>
      </w:r>
      <w:r w:rsidRPr="009859BE">
        <w:rPr>
          <w:rFonts w:ascii="Palatino Linotype" w:eastAsia="Palatino Linotype" w:hAnsi="Palatino Linotype" w:cs="Palatino Linotype"/>
          <w:b/>
          <w:color w:val="000000" w:themeColor="text1"/>
        </w:rPr>
        <w:t>cinco de febrero de dos mil veinticinco</w:t>
      </w:r>
      <w:r w:rsidRPr="009859BE">
        <w:rPr>
          <w:rFonts w:ascii="Palatino Linotype" w:eastAsia="Palatino Linotype" w:hAnsi="Palatino Linotype" w:cs="Palatino Linotype"/>
          <w:color w:val="000000" w:themeColor="text1"/>
        </w:rPr>
        <w:t>, a través de los siguientes archivos:</w:t>
      </w:r>
    </w:p>
    <w:p w14:paraId="6C9D46C6" w14:textId="77777777" w:rsidR="00A32A72" w:rsidRPr="009859BE" w:rsidRDefault="00A32A72" w:rsidP="00A32A72">
      <w:pPr>
        <w:spacing w:line="360" w:lineRule="auto"/>
        <w:ind w:right="-929"/>
        <w:jc w:val="both"/>
        <w:rPr>
          <w:rFonts w:ascii="Palatino Linotype" w:eastAsia="Palatino Linotype" w:hAnsi="Palatino Linotype" w:cs="Palatino Linotype"/>
          <w:color w:val="000000" w:themeColor="text1"/>
        </w:rPr>
      </w:pPr>
    </w:p>
    <w:p w14:paraId="4143393A" w14:textId="77777777" w:rsidR="00A2699D" w:rsidRPr="009859BE" w:rsidRDefault="007322B5">
      <w:pPr>
        <w:numPr>
          <w:ilvl w:val="0"/>
          <w:numId w:val="1"/>
        </w:numPr>
        <w:pBdr>
          <w:top w:val="nil"/>
          <w:left w:val="nil"/>
          <w:bottom w:val="nil"/>
          <w:right w:val="nil"/>
          <w:between w:val="nil"/>
        </w:pBdr>
        <w:spacing w:line="360" w:lineRule="auto"/>
        <w:ind w:left="992" w:right="-234"/>
        <w:jc w:val="both"/>
        <w:rPr>
          <w:rFonts w:ascii="Palatino Linotype" w:eastAsia="Palatino Linotype" w:hAnsi="Palatino Linotype" w:cs="Palatino Linotype"/>
          <w:b/>
          <w:i/>
          <w:color w:val="000000" w:themeColor="text1"/>
        </w:rPr>
      </w:pPr>
      <w:r w:rsidRPr="009859BE">
        <w:rPr>
          <w:rFonts w:ascii="Palatino Linotype" w:eastAsia="Palatino Linotype" w:hAnsi="Palatino Linotype" w:cs="Palatino Linotype"/>
          <w:b/>
          <w:i/>
          <w:color w:val="000000" w:themeColor="text1"/>
        </w:rPr>
        <w:t xml:space="preserve">“Respuesta a solicitud 1051(2).pdf”: </w:t>
      </w:r>
      <w:r w:rsidRPr="009859BE">
        <w:rPr>
          <w:rFonts w:ascii="Palatino Linotype" w:eastAsia="Palatino Linotype" w:hAnsi="Palatino Linotype" w:cs="Palatino Linotype"/>
          <w:i/>
          <w:color w:val="000000" w:themeColor="text1"/>
        </w:rPr>
        <w:t>Consta de un oficio de fecha 21 de enero del 2025, suscrito por la titular de la Secretaría del Ayuntamiento de Cuautitlán Izcalli, bajo el número de oficio SA/0266/2025, dirigido a la Coordinadora de Transparencia de Cuautitlán Izcalli, y el cual consta de doce anexos con el que se remite la respuesta de la Titular del Registro Administrativo de la Propiedad Pública Municipal de Cuautitlán Izcalli.</w:t>
      </w:r>
    </w:p>
    <w:p w14:paraId="4AF74C7F" w14:textId="77777777" w:rsidR="00A2699D" w:rsidRPr="009859BE" w:rsidRDefault="007322B5">
      <w:pPr>
        <w:pBdr>
          <w:top w:val="nil"/>
          <w:left w:val="nil"/>
          <w:bottom w:val="nil"/>
          <w:right w:val="nil"/>
          <w:between w:val="nil"/>
        </w:pBdr>
        <w:spacing w:line="360" w:lineRule="auto"/>
        <w:ind w:left="992" w:right="-234" w:hanging="360"/>
        <w:jc w:val="both"/>
        <w:rPr>
          <w:rFonts w:ascii="Palatino Linotype" w:eastAsia="Palatino Linotype" w:hAnsi="Palatino Linotype" w:cs="Palatino Linotype"/>
          <w:b/>
          <w:i/>
          <w:color w:val="000000" w:themeColor="text1"/>
        </w:rPr>
      </w:pPr>
      <w:r w:rsidRPr="009859BE">
        <w:rPr>
          <w:rFonts w:ascii="Palatino Linotype" w:eastAsia="Palatino Linotype" w:hAnsi="Palatino Linotype" w:cs="Palatino Linotype"/>
          <w:i/>
          <w:color w:val="000000" w:themeColor="text1"/>
        </w:rPr>
        <w:t xml:space="preserve"> </w:t>
      </w:r>
    </w:p>
    <w:p w14:paraId="0C3E8998" w14:textId="77777777" w:rsidR="00A2699D" w:rsidRPr="009859BE" w:rsidRDefault="007322B5">
      <w:pPr>
        <w:numPr>
          <w:ilvl w:val="0"/>
          <w:numId w:val="1"/>
        </w:numPr>
        <w:pBdr>
          <w:top w:val="nil"/>
          <w:left w:val="nil"/>
          <w:bottom w:val="nil"/>
          <w:right w:val="nil"/>
          <w:between w:val="nil"/>
        </w:pBdr>
        <w:spacing w:line="360" w:lineRule="auto"/>
        <w:ind w:left="992" w:right="-234"/>
        <w:jc w:val="both"/>
        <w:rPr>
          <w:rFonts w:ascii="Palatino Linotype" w:eastAsia="Palatino Linotype" w:hAnsi="Palatino Linotype" w:cs="Palatino Linotype"/>
          <w:b/>
          <w:i/>
          <w:color w:val="000000" w:themeColor="text1"/>
        </w:rPr>
      </w:pPr>
      <w:r w:rsidRPr="009859BE">
        <w:rPr>
          <w:rFonts w:ascii="Palatino Linotype" w:eastAsia="Palatino Linotype" w:hAnsi="Palatino Linotype" w:cs="Palatino Linotype"/>
          <w:b/>
          <w:i/>
          <w:color w:val="000000" w:themeColor="text1"/>
        </w:rPr>
        <w:t xml:space="preserve">“Informe Justificado RR 00278.pdf”: </w:t>
      </w:r>
      <w:r w:rsidRPr="009859BE">
        <w:rPr>
          <w:rFonts w:ascii="Palatino Linotype" w:eastAsia="Palatino Linotype" w:hAnsi="Palatino Linotype" w:cs="Palatino Linotype"/>
          <w:i/>
          <w:color w:val="000000" w:themeColor="text1"/>
        </w:rPr>
        <w:t>Suscrito por la Coordinadora de Transparencia del Ayuntamiento de Cuautitlán Izcalli, dirigido a la Comisionada María del Rosario Mejía Ayala del Infoem, de fecha 05 de febrero de 2025, con el cual presenta su informe justificado sobre la respuesta incompleta que emitió el sujeto obligado y que consta de una foja útil, suscrita por uno solo de sus lados.</w:t>
      </w:r>
    </w:p>
    <w:p w14:paraId="56313D72" w14:textId="77777777" w:rsidR="00A2699D" w:rsidRPr="009859BE" w:rsidRDefault="00A2699D">
      <w:pPr>
        <w:pBdr>
          <w:top w:val="nil"/>
          <w:left w:val="nil"/>
          <w:bottom w:val="nil"/>
          <w:right w:val="nil"/>
          <w:between w:val="nil"/>
        </w:pBdr>
        <w:spacing w:line="360" w:lineRule="auto"/>
        <w:ind w:left="992" w:right="-234" w:hanging="360"/>
        <w:jc w:val="both"/>
        <w:rPr>
          <w:rFonts w:ascii="Palatino Linotype" w:eastAsia="Palatino Linotype" w:hAnsi="Palatino Linotype" w:cs="Palatino Linotype"/>
          <w:b/>
          <w:i/>
          <w:color w:val="000000" w:themeColor="text1"/>
        </w:rPr>
      </w:pPr>
    </w:p>
    <w:p w14:paraId="3A0F2537" w14:textId="77777777" w:rsidR="00A2699D" w:rsidRPr="009859BE" w:rsidRDefault="007322B5">
      <w:pPr>
        <w:numPr>
          <w:ilvl w:val="0"/>
          <w:numId w:val="1"/>
        </w:numPr>
        <w:pBdr>
          <w:top w:val="nil"/>
          <w:left w:val="nil"/>
          <w:bottom w:val="nil"/>
          <w:right w:val="nil"/>
          <w:between w:val="nil"/>
        </w:pBdr>
        <w:spacing w:line="360" w:lineRule="auto"/>
        <w:ind w:left="992" w:right="-234"/>
        <w:jc w:val="both"/>
        <w:rPr>
          <w:rFonts w:ascii="Palatino Linotype" w:eastAsia="Palatino Linotype" w:hAnsi="Palatino Linotype" w:cs="Palatino Linotype"/>
          <w:b/>
          <w:i/>
          <w:color w:val="000000" w:themeColor="text1"/>
        </w:rPr>
      </w:pPr>
      <w:r w:rsidRPr="009859BE">
        <w:rPr>
          <w:rFonts w:ascii="Palatino Linotype" w:eastAsia="Palatino Linotype" w:hAnsi="Palatino Linotype" w:cs="Palatino Linotype"/>
          <w:b/>
          <w:i/>
          <w:color w:val="000000" w:themeColor="text1"/>
        </w:rPr>
        <w:t xml:space="preserve">“1051(15).pdf”: </w:t>
      </w:r>
      <w:r w:rsidRPr="009859BE">
        <w:rPr>
          <w:rFonts w:ascii="Palatino Linotype" w:eastAsia="Palatino Linotype" w:hAnsi="Palatino Linotype" w:cs="Palatino Linotype"/>
          <w:i/>
          <w:color w:val="000000" w:themeColor="text1"/>
        </w:rPr>
        <w:t>Consta de un oficio de fecha 18 de diciembre de 2025, con numero de oficio</w:t>
      </w:r>
      <w:r w:rsidRPr="009859BE">
        <w:rPr>
          <w:rFonts w:ascii="Palatino Linotype" w:eastAsia="Palatino Linotype" w:hAnsi="Palatino Linotype" w:cs="Palatino Linotype"/>
          <w:b/>
          <w:i/>
          <w:color w:val="000000" w:themeColor="text1"/>
        </w:rPr>
        <w:t xml:space="preserve"> </w:t>
      </w:r>
      <w:r w:rsidRPr="009859BE">
        <w:rPr>
          <w:rFonts w:ascii="Palatino Linotype" w:eastAsia="Palatino Linotype" w:hAnsi="Palatino Linotype" w:cs="Palatino Linotype"/>
          <w:i/>
          <w:color w:val="000000" w:themeColor="text1"/>
        </w:rPr>
        <w:t xml:space="preserve">DJ/03940/2024, suscrito por el Titular de la Dirección Jurídica del Ayuntamiento de Cuautitlán Izcalli, dirigido a la Titular de la Coordinación de </w:t>
      </w:r>
      <w:r w:rsidRPr="009859BE">
        <w:rPr>
          <w:rFonts w:ascii="Palatino Linotype" w:eastAsia="Palatino Linotype" w:hAnsi="Palatino Linotype" w:cs="Palatino Linotype"/>
          <w:i/>
          <w:color w:val="000000" w:themeColor="text1"/>
        </w:rPr>
        <w:lastRenderedPageBreak/>
        <w:t>Transparencia del Ayuntamiento de Cuautitlán Izcalli, documento suscrito por un solo lado de sus caras y que consta de dos fojas, una sola utilizada y la otra en blanco.</w:t>
      </w:r>
    </w:p>
    <w:p w14:paraId="721390E9" w14:textId="77777777" w:rsidR="00A2699D" w:rsidRPr="009859BE" w:rsidRDefault="00A2699D">
      <w:pPr>
        <w:pBdr>
          <w:top w:val="nil"/>
          <w:left w:val="nil"/>
          <w:bottom w:val="nil"/>
          <w:right w:val="nil"/>
          <w:between w:val="nil"/>
        </w:pBdr>
        <w:spacing w:line="360" w:lineRule="auto"/>
        <w:ind w:left="992" w:right="-234" w:hanging="360"/>
        <w:jc w:val="both"/>
        <w:rPr>
          <w:rFonts w:ascii="Palatino Linotype" w:eastAsia="Palatino Linotype" w:hAnsi="Palatino Linotype" w:cs="Palatino Linotype"/>
          <w:b/>
          <w:i/>
          <w:color w:val="000000" w:themeColor="text1"/>
        </w:rPr>
      </w:pPr>
    </w:p>
    <w:p w14:paraId="73AB23FE" w14:textId="77777777" w:rsidR="00A2699D" w:rsidRPr="009859BE" w:rsidRDefault="007322B5">
      <w:pPr>
        <w:numPr>
          <w:ilvl w:val="0"/>
          <w:numId w:val="1"/>
        </w:numPr>
        <w:pBdr>
          <w:top w:val="nil"/>
          <w:left w:val="nil"/>
          <w:bottom w:val="nil"/>
          <w:right w:val="nil"/>
          <w:between w:val="nil"/>
        </w:pBdr>
        <w:spacing w:line="360" w:lineRule="auto"/>
        <w:ind w:left="992" w:right="-234"/>
        <w:jc w:val="both"/>
        <w:rPr>
          <w:rFonts w:ascii="Palatino Linotype" w:eastAsia="Palatino Linotype" w:hAnsi="Palatino Linotype" w:cs="Palatino Linotype"/>
          <w:b/>
          <w:i/>
          <w:color w:val="000000" w:themeColor="text1"/>
        </w:rPr>
      </w:pPr>
      <w:r w:rsidRPr="009859BE">
        <w:rPr>
          <w:rFonts w:ascii="Palatino Linotype" w:eastAsia="Palatino Linotype" w:hAnsi="Palatino Linotype" w:cs="Palatino Linotype"/>
          <w:b/>
          <w:i/>
          <w:color w:val="000000" w:themeColor="text1"/>
        </w:rPr>
        <w:t xml:space="preserve">“INCOMPETENCIA 1051 (5).pdf”: </w:t>
      </w:r>
      <w:r w:rsidRPr="009859BE">
        <w:rPr>
          <w:rFonts w:ascii="Palatino Linotype" w:eastAsia="Palatino Linotype" w:hAnsi="Palatino Linotype" w:cs="Palatino Linotype"/>
          <w:i/>
          <w:color w:val="000000" w:themeColor="text1"/>
        </w:rPr>
        <w:t xml:space="preserve">Oficio de fecha 09 de diciembre de 2024, con número de oficio DA/7880/2024, </w:t>
      </w:r>
      <w:r w:rsidRPr="009859BE">
        <w:rPr>
          <w:rFonts w:ascii="Palatino Linotype" w:eastAsia="Palatino Linotype" w:hAnsi="Palatino Linotype" w:cs="Palatino Linotype"/>
          <w:i/>
          <w:color w:val="000000" w:themeColor="text1"/>
        </w:rPr>
        <w:tab/>
        <w:t>sucrito por el Director de Adminsitración del Ayuntamiento de Cuautitlán Izcalli, dirigido a la Coordinadora de Transparencia del Ayuntamiento de Cuautitlán Izcalli, escrito que consta de dos fojas.</w:t>
      </w:r>
    </w:p>
    <w:p w14:paraId="0790B01A" w14:textId="77777777" w:rsidR="00A2699D" w:rsidRPr="009859BE" w:rsidRDefault="00A2699D">
      <w:pPr>
        <w:pBdr>
          <w:top w:val="nil"/>
          <w:left w:val="nil"/>
          <w:bottom w:val="nil"/>
          <w:right w:val="nil"/>
          <w:between w:val="nil"/>
        </w:pBdr>
        <w:spacing w:line="360" w:lineRule="auto"/>
        <w:ind w:left="992" w:right="-234" w:hanging="360"/>
        <w:jc w:val="both"/>
        <w:rPr>
          <w:rFonts w:ascii="Palatino Linotype" w:eastAsia="Palatino Linotype" w:hAnsi="Palatino Linotype" w:cs="Palatino Linotype"/>
          <w:b/>
          <w:i/>
          <w:color w:val="000000" w:themeColor="text1"/>
        </w:rPr>
      </w:pPr>
    </w:p>
    <w:p w14:paraId="54C08D6A" w14:textId="77777777" w:rsidR="00A2699D" w:rsidRPr="009859BE" w:rsidRDefault="007322B5">
      <w:pPr>
        <w:numPr>
          <w:ilvl w:val="0"/>
          <w:numId w:val="1"/>
        </w:numPr>
        <w:pBdr>
          <w:top w:val="nil"/>
          <w:left w:val="nil"/>
          <w:bottom w:val="nil"/>
          <w:right w:val="nil"/>
          <w:between w:val="nil"/>
        </w:pBdr>
        <w:spacing w:line="360" w:lineRule="auto"/>
        <w:ind w:left="992" w:right="-234"/>
        <w:jc w:val="both"/>
        <w:rPr>
          <w:rFonts w:ascii="Palatino Linotype" w:eastAsia="Palatino Linotype" w:hAnsi="Palatino Linotype" w:cs="Palatino Linotype"/>
          <w:b/>
          <w:i/>
          <w:color w:val="000000" w:themeColor="text1"/>
        </w:rPr>
      </w:pPr>
      <w:r w:rsidRPr="009859BE">
        <w:rPr>
          <w:rFonts w:ascii="Palatino Linotype" w:eastAsia="Palatino Linotype" w:hAnsi="Palatino Linotype" w:cs="Palatino Linotype"/>
          <w:b/>
          <w:i/>
          <w:color w:val="000000" w:themeColor="text1"/>
        </w:rPr>
        <w:t xml:space="preserve">“1051 (14).pdf”: </w:t>
      </w:r>
      <w:r w:rsidRPr="009859BE">
        <w:rPr>
          <w:rFonts w:ascii="Palatino Linotype" w:eastAsia="Palatino Linotype" w:hAnsi="Palatino Linotype" w:cs="Palatino Linotype"/>
          <w:i/>
          <w:color w:val="000000" w:themeColor="text1"/>
        </w:rPr>
        <w:t xml:space="preserve">Consta de un oficio de fecha 17 de diciembre de 2024, con número de oficio TM/4945/2024, suscrito por el Tesorero Municipal del Ayuntamiento de Cuautitlán Izcalli, dirigido a la Coordinadora de Transparencia del Ayuntamiento de Cuautitlán Izcalli, mismo que consta de dos fojas. </w:t>
      </w:r>
    </w:p>
    <w:p w14:paraId="79FE0FA5" w14:textId="77777777" w:rsidR="00A2699D" w:rsidRPr="009859BE" w:rsidRDefault="00A2699D">
      <w:pPr>
        <w:spacing w:line="360" w:lineRule="auto"/>
        <w:ind w:right="-929"/>
        <w:jc w:val="both"/>
        <w:rPr>
          <w:rFonts w:ascii="Palatino Linotype" w:eastAsia="Palatino Linotype" w:hAnsi="Palatino Linotype" w:cs="Palatino Linotype"/>
          <w:color w:val="000000" w:themeColor="text1"/>
        </w:rPr>
      </w:pPr>
    </w:p>
    <w:p w14:paraId="59111E62" w14:textId="640E1FF8" w:rsidR="00A32A72" w:rsidRPr="009859BE" w:rsidRDefault="00A32A72" w:rsidP="00A32A72">
      <w:pPr>
        <w:numPr>
          <w:ilvl w:val="0"/>
          <w:numId w:val="5"/>
        </w:numPr>
        <w:spacing w:line="360" w:lineRule="auto"/>
        <w:ind w:left="0" w:right="-929"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El diez (10) de marzo de dos mil veinticinco, el RECURRENTE se desistió del recurso de revisión.</w:t>
      </w:r>
    </w:p>
    <w:p w14:paraId="65FD21E7" w14:textId="77777777" w:rsidR="00A32A72" w:rsidRPr="009859BE" w:rsidRDefault="00A32A72" w:rsidP="00A32A72">
      <w:pPr>
        <w:spacing w:line="360" w:lineRule="auto"/>
        <w:ind w:left="928" w:right="-929"/>
        <w:jc w:val="both"/>
        <w:rPr>
          <w:rFonts w:ascii="Palatino Linotype" w:eastAsia="Palatino Linotype" w:hAnsi="Palatino Linotype" w:cs="Palatino Linotype"/>
          <w:color w:val="000000" w:themeColor="text1"/>
        </w:rPr>
      </w:pPr>
    </w:p>
    <w:p w14:paraId="22AB1B9D" w14:textId="2F5B605A" w:rsidR="00A2699D" w:rsidRPr="009859BE" w:rsidRDefault="00A32A72">
      <w:pPr>
        <w:numPr>
          <w:ilvl w:val="0"/>
          <w:numId w:val="5"/>
        </w:numPr>
        <w:spacing w:line="360" w:lineRule="auto"/>
        <w:ind w:left="0" w:right="-929"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Se decretó el cierre de instrucción en fecha </w:t>
      </w:r>
      <w:r w:rsidRPr="009859BE">
        <w:rPr>
          <w:rFonts w:ascii="Palatino Linotype" w:eastAsia="Palatino Linotype" w:hAnsi="Palatino Linotype" w:cs="Palatino Linotype"/>
          <w:b/>
          <w:color w:val="000000" w:themeColor="text1"/>
        </w:rPr>
        <w:t>trece de marzo de dos mil veinticinco</w:t>
      </w:r>
      <w:r w:rsidRPr="009859BE">
        <w:rPr>
          <w:rFonts w:ascii="Palatino Linotype" w:eastAsia="Palatino Linotype" w:hAnsi="Palatino Linotype" w:cs="Palatino Linotype"/>
          <w:color w:val="000000" w:themeColor="text1"/>
        </w:rPr>
        <w:t>, en términos del artículo 185, fracción VI, de la Ley de Transparencia y Acceso a la Información Pública del Estado de México y Municipios, ordenándose turnar el expediente a la resolución que en derecho proceda, por lo que no habiendo más que hacer constar, y--------------------------</w:t>
      </w:r>
    </w:p>
    <w:p w14:paraId="5F8C2FCA" w14:textId="77777777" w:rsidR="00E131E4" w:rsidRPr="009859BE" w:rsidRDefault="00E131E4" w:rsidP="00E131E4">
      <w:pPr>
        <w:spacing w:line="360" w:lineRule="auto"/>
        <w:ind w:right="-929"/>
        <w:jc w:val="both"/>
        <w:rPr>
          <w:rFonts w:ascii="Palatino Linotype" w:eastAsia="Palatino Linotype" w:hAnsi="Palatino Linotype" w:cs="Palatino Linotype"/>
          <w:color w:val="000000" w:themeColor="text1"/>
        </w:rPr>
      </w:pPr>
    </w:p>
    <w:p w14:paraId="20124315" w14:textId="77777777" w:rsidR="00E131E4" w:rsidRPr="009859BE" w:rsidRDefault="00E131E4" w:rsidP="00E131E4">
      <w:pPr>
        <w:spacing w:line="360" w:lineRule="auto"/>
        <w:ind w:right="-929"/>
        <w:jc w:val="both"/>
        <w:rPr>
          <w:rFonts w:ascii="Palatino Linotype" w:eastAsia="Palatino Linotype" w:hAnsi="Palatino Linotype" w:cs="Palatino Linotype"/>
          <w:color w:val="000000" w:themeColor="text1"/>
        </w:rPr>
      </w:pPr>
    </w:p>
    <w:p w14:paraId="194F1474" w14:textId="77777777" w:rsidR="00A2699D" w:rsidRPr="009859BE" w:rsidRDefault="00A2699D">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themeColor="text1"/>
        </w:rPr>
      </w:pPr>
    </w:p>
    <w:p w14:paraId="09D06562" w14:textId="77777777" w:rsidR="00A2699D" w:rsidRPr="009859BE" w:rsidRDefault="007322B5">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themeColor="text1"/>
        </w:rPr>
      </w:pPr>
      <w:r w:rsidRPr="009859BE">
        <w:rPr>
          <w:rFonts w:ascii="Palatino Linotype" w:eastAsia="Palatino Linotype" w:hAnsi="Palatino Linotype" w:cs="Palatino Linotype"/>
          <w:b/>
          <w:color w:val="000000" w:themeColor="text1"/>
        </w:rPr>
        <w:lastRenderedPageBreak/>
        <w:t>C O N S I D E R A N D O</w:t>
      </w:r>
    </w:p>
    <w:p w14:paraId="1ACE1FC5" w14:textId="77777777" w:rsidR="00A2699D" w:rsidRPr="009859BE" w:rsidRDefault="00A2699D">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themeColor="text1"/>
        </w:rPr>
      </w:pPr>
    </w:p>
    <w:p w14:paraId="70A580C3" w14:textId="77777777" w:rsidR="00A2699D" w:rsidRPr="009859BE" w:rsidRDefault="007322B5">
      <w:pPr>
        <w:pStyle w:val="Ttulo2"/>
        <w:spacing w:before="0" w:line="360" w:lineRule="auto"/>
        <w:ind w:right="-787"/>
        <w:rPr>
          <w:rFonts w:ascii="Palatino Linotype" w:eastAsia="Palatino Linotype" w:hAnsi="Palatino Linotype" w:cs="Palatino Linotype"/>
          <w:b/>
          <w:color w:val="000000" w:themeColor="text1"/>
          <w:sz w:val="24"/>
          <w:szCs w:val="24"/>
        </w:rPr>
      </w:pPr>
      <w:bookmarkStart w:id="3" w:name="_heading=h.2et92p0" w:colFirst="0" w:colLast="0"/>
      <w:bookmarkEnd w:id="3"/>
      <w:r w:rsidRPr="009859BE">
        <w:rPr>
          <w:rFonts w:ascii="Palatino Linotype" w:eastAsia="Palatino Linotype" w:hAnsi="Palatino Linotype" w:cs="Palatino Linotype"/>
          <w:b/>
          <w:color w:val="000000" w:themeColor="text1"/>
          <w:sz w:val="24"/>
          <w:szCs w:val="24"/>
        </w:rPr>
        <w:t>PRIMERO. De la competencia</w:t>
      </w:r>
    </w:p>
    <w:p w14:paraId="18499B86" w14:textId="77777777" w:rsidR="00A2699D" w:rsidRPr="009859BE" w:rsidRDefault="007322B5">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AE01FB2" w14:textId="77777777" w:rsidR="00A2699D" w:rsidRPr="009859BE" w:rsidRDefault="00A2699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themeColor="text1"/>
        </w:rPr>
      </w:pPr>
    </w:p>
    <w:p w14:paraId="632CDC75" w14:textId="77777777" w:rsidR="00A2699D" w:rsidRPr="009859BE" w:rsidRDefault="007322B5">
      <w:pPr>
        <w:pStyle w:val="Ttulo2"/>
        <w:spacing w:before="0" w:line="360" w:lineRule="auto"/>
        <w:ind w:right="-787"/>
        <w:rPr>
          <w:rFonts w:ascii="Palatino Linotype" w:eastAsia="Palatino Linotype" w:hAnsi="Palatino Linotype" w:cs="Palatino Linotype"/>
          <w:b/>
          <w:color w:val="000000" w:themeColor="text1"/>
          <w:sz w:val="24"/>
          <w:szCs w:val="24"/>
        </w:rPr>
      </w:pPr>
      <w:bookmarkStart w:id="4" w:name="_heading=h.tyjcwt" w:colFirst="0" w:colLast="0"/>
      <w:bookmarkEnd w:id="4"/>
      <w:r w:rsidRPr="009859BE">
        <w:rPr>
          <w:rFonts w:ascii="Palatino Linotype" w:eastAsia="Palatino Linotype" w:hAnsi="Palatino Linotype" w:cs="Palatino Linotype"/>
          <w:b/>
          <w:color w:val="000000" w:themeColor="text1"/>
          <w:sz w:val="24"/>
          <w:szCs w:val="24"/>
        </w:rPr>
        <w:t>SEGUNDO. De la oportunidad y procedencia.</w:t>
      </w:r>
    </w:p>
    <w:p w14:paraId="4B126AD1" w14:textId="77777777" w:rsidR="00A2699D" w:rsidRPr="009859BE" w:rsidRDefault="007322B5">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Este Órgano Garante considera que los medios de impugnación reúnen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1C98A680" w14:textId="77777777" w:rsidR="00A2699D" w:rsidRPr="009859BE" w:rsidRDefault="00A2699D">
      <w:pPr>
        <w:pBdr>
          <w:top w:val="nil"/>
          <w:left w:val="nil"/>
          <w:bottom w:val="nil"/>
          <w:right w:val="nil"/>
          <w:between w:val="nil"/>
        </w:pBdr>
        <w:spacing w:line="360" w:lineRule="auto"/>
        <w:ind w:left="993" w:right="-787"/>
        <w:jc w:val="both"/>
        <w:rPr>
          <w:rFonts w:ascii="Palatino Linotype" w:eastAsia="Palatino Linotype" w:hAnsi="Palatino Linotype" w:cs="Palatino Linotype"/>
          <w:color w:val="000000" w:themeColor="text1"/>
        </w:rPr>
      </w:pPr>
    </w:p>
    <w:p w14:paraId="2738366C" w14:textId="77777777" w:rsidR="00A2699D" w:rsidRPr="009859BE" w:rsidRDefault="007322B5">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A su vez, se advierte que el escrito contiene las formalidades previstas por el artículo 180, último párrafo, de la Ley de Transparencia y Acceso a la Información Pública del Estado </w:t>
      </w:r>
      <w:r w:rsidRPr="009859BE">
        <w:rPr>
          <w:rFonts w:ascii="Palatino Linotype" w:eastAsia="Palatino Linotype" w:hAnsi="Palatino Linotype" w:cs="Palatino Linotype"/>
          <w:color w:val="000000" w:themeColor="text1"/>
        </w:rPr>
        <w:lastRenderedPageBreak/>
        <w:t>de México y Municipios, por lo que es procedente que este Instituto de Transparencia, Acceso a la Información Pública y Protección de Datos Personales del Estado de México y Municipios, conozca y resuelva el presente recurso.</w:t>
      </w:r>
    </w:p>
    <w:p w14:paraId="328C905F" w14:textId="77777777" w:rsidR="00A2699D" w:rsidRPr="009859BE" w:rsidRDefault="00A2699D">
      <w:pPr>
        <w:spacing w:line="360" w:lineRule="auto"/>
        <w:ind w:right="-787"/>
        <w:jc w:val="both"/>
        <w:rPr>
          <w:rFonts w:ascii="Palatino Linotype" w:eastAsia="Palatino Linotype" w:hAnsi="Palatino Linotype" w:cs="Palatino Linotype"/>
          <w:color w:val="000000" w:themeColor="text1"/>
        </w:rPr>
      </w:pPr>
    </w:p>
    <w:p w14:paraId="558B5CC2" w14:textId="77777777" w:rsidR="00A2699D" w:rsidRPr="009859BE" w:rsidRDefault="007322B5">
      <w:pPr>
        <w:pStyle w:val="Ttulo1"/>
        <w:spacing w:before="0" w:line="360" w:lineRule="auto"/>
        <w:ind w:right="-787"/>
        <w:rPr>
          <w:rFonts w:ascii="Palatino Linotype" w:eastAsia="Palatino Linotype" w:hAnsi="Palatino Linotype" w:cs="Palatino Linotype"/>
          <w:b/>
          <w:color w:val="000000" w:themeColor="text1"/>
          <w:sz w:val="24"/>
          <w:szCs w:val="24"/>
        </w:rPr>
      </w:pPr>
      <w:bookmarkStart w:id="5" w:name="_heading=h.3dy6vkm" w:colFirst="0" w:colLast="0"/>
      <w:bookmarkEnd w:id="5"/>
      <w:r w:rsidRPr="009859BE">
        <w:rPr>
          <w:rFonts w:ascii="Palatino Linotype" w:eastAsia="Palatino Linotype" w:hAnsi="Palatino Linotype" w:cs="Palatino Linotype"/>
          <w:b/>
          <w:color w:val="000000" w:themeColor="text1"/>
          <w:sz w:val="24"/>
          <w:szCs w:val="24"/>
        </w:rPr>
        <w:t>TERCERO. De las causales de sobreseimiento</w:t>
      </w:r>
    </w:p>
    <w:p w14:paraId="5E726CEB" w14:textId="77777777" w:rsidR="00A2699D" w:rsidRPr="009859BE" w:rsidRDefault="007322B5">
      <w:pPr>
        <w:numPr>
          <w:ilvl w:val="0"/>
          <w:numId w:val="5"/>
        </w:numP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Acotada la </w:t>
      </w:r>
      <w:r w:rsidRPr="009859BE">
        <w:rPr>
          <w:rFonts w:ascii="Palatino Linotype" w:eastAsia="Palatino Linotype" w:hAnsi="Palatino Linotype" w:cs="Palatino Linotype"/>
          <w:i/>
          <w:color w:val="000000" w:themeColor="text1"/>
        </w:rPr>
        <w:t>Litis</w:t>
      </w:r>
      <w:r w:rsidRPr="009859BE">
        <w:rPr>
          <w:rFonts w:ascii="Palatino Linotype" w:eastAsia="Palatino Linotype" w:hAnsi="Palatino Linotype" w:cs="Palatino Linotype"/>
          <w:color w:val="000000" w:themeColor="text1"/>
        </w:rPr>
        <w:t>, es dable puntualizar inicialmente en términos generales, que el Derecho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66C96988"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57E27167" w14:textId="77777777" w:rsidR="00A2699D" w:rsidRPr="009859BE" w:rsidRDefault="007322B5">
      <w:pPr>
        <w:numPr>
          <w:ilvl w:val="0"/>
          <w:numId w:val="5"/>
        </w:numP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52564F2"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269E5A4D" w14:textId="77777777" w:rsidR="00A2699D" w:rsidRPr="009859BE" w:rsidRDefault="007322B5">
      <w:pPr>
        <w:numPr>
          <w:ilvl w:val="0"/>
          <w:numId w:val="5"/>
        </w:numP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lastRenderedPageBreak/>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23FB1344"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721EE2A1" w14:textId="77777777" w:rsidR="00A2699D" w:rsidRPr="009859BE" w:rsidRDefault="007322B5">
      <w:pPr>
        <w:numPr>
          <w:ilvl w:val="0"/>
          <w:numId w:val="5"/>
        </w:numPr>
        <w:spacing w:line="360" w:lineRule="auto"/>
        <w:ind w:left="0" w:right="-787" w:firstLine="0"/>
        <w:jc w:val="both"/>
        <w:rPr>
          <w:rFonts w:ascii="Palatino Linotype" w:eastAsia="Palatino Linotype" w:hAnsi="Palatino Linotype" w:cs="Palatino Linotype"/>
          <w:color w:val="000000" w:themeColor="text1"/>
        </w:rPr>
      </w:pPr>
      <w:bookmarkStart w:id="6" w:name="_heading=h.4d34og8" w:colFirst="0" w:colLast="0"/>
      <w:bookmarkEnd w:id="6"/>
      <w:r w:rsidRPr="009859BE">
        <w:rPr>
          <w:rFonts w:ascii="Palatino Linotype" w:eastAsia="Palatino Linotype" w:hAnsi="Palatino Linotype" w:cs="Palatino Linotype"/>
          <w:color w:val="000000" w:themeColor="text1"/>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5E92CE8"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7D6C81D7" w14:textId="77777777" w:rsidR="00A2699D" w:rsidRPr="009859BE" w:rsidRDefault="007322B5">
      <w:pPr>
        <w:numPr>
          <w:ilvl w:val="0"/>
          <w:numId w:val="5"/>
        </w:numP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Luego entonces, si bien es cierto ya se emitió un pronunciamiento por parte del </w:t>
      </w:r>
      <w:r w:rsidRPr="009859BE">
        <w:rPr>
          <w:rFonts w:ascii="Palatino Linotype" w:eastAsia="Palatino Linotype" w:hAnsi="Palatino Linotype" w:cs="Palatino Linotype"/>
          <w:b/>
          <w:color w:val="000000" w:themeColor="text1"/>
        </w:rPr>
        <w:t>SUJETO OBLIGADO</w:t>
      </w:r>
      <w:r w:rsidRPr="009859BE">
        <w:rPr>
          <w:rFonts w:ascii="Palatino Linotype" w:eastAsia="Palatino Linotype" w:hAnsi="Palatino Linotype" w:cs="Palatino Linotype"/>
          <w:color w:val="000000" w:themeColor="text1"/>
        </w:rPr>
        <w:t>, del soporte documental requerido respecto del cual este Órgano Garante carece de facultades para dudar de la veracidad de tales pronunciamientos.</w:t>
      </w:r>
    </w:p>
    <w:p w14:paraId="46BE12D6"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04E56DCB" w14:textId="77777777" w:rsidR="00A2699D" w:rsidRPr="009859BE" w:rsidRDefault="007322B5">
      <w:pPr>
        <w:numPr>
          <w:ilvl w:val="0"/>
          <w:numId w:val="5"/>
        </w:numP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Para lo cual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9859BE">
        <w:rPr>
          <w:rFonts w:ascii="Palatino Linotype" w:eastAsia="Palatino Linotype" w:hAnsi="Palatino Linotype" w:cs="Palatino Linotype"/>
          <w:i/>
          <w:color w:val="000000" w:themeColor="text1"/>
        </w:rPr>
        <w:t>máxime</w:t>
      </w:r>
      <w:r w:rsidRPr="009859BE">
        <w:rPr>
          <w:rFonts w:ascii="Palatino Linotype" w:eastAsia="Palatino Linotype" w:hAnsi="Palatino Linotype" w:cs="Palatino Linotype"/>
          <w:color w:val="000000" w:themeColor="text1"/>
        </w:rPr>
        <w:t xml:space="preserve"> que </w:t>
      </w:r>
      <w:r w:rsidRPr="009859BE">
        <w:rPr>
          <w:rFonts w:ascii="Palatino Linotype" w:eastAsia="Palatino Linotype" w:hAnsi="Palatino Linotype" w:cs="Palatino Linotype"/>
          <w:b/>
          <w:color w:val="000000" w:themeColor="text1"/>
          <w:u w:val="single"/>
        </w:rPr>
        <w:t xml:space="preserve">al momento que ponen a disposición ésta, la misma tiene el </w:t>
      </w:r>
      <w:r w:rsidRPr="009859BE">
        <w:rPr>
          <w:rFonts w:ascii="Palatino Linotype" w:eastAsia="Palatino Linotype" w:hAnsi="Palatino Linotype" w:cs="Palatino Linotype"/>
          <w:b/>
          <w:color w:val="000000" w:themeColor="text1"/>
          <w:u w:val="single"/>
        </w:rPr>
        <w:lastRenderedPageBreak/>
        <w:t>carácter de oficial y se presume veraz; tan es así que, la misma queda registrada en el Sistema de Acceso a la Información Mexiquense (SAIMEX).</w:t>
      </w:r>
    </w:p>
    <w:p w14:paraId="70B1B43F"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6C5CDB3B" w14:textId="77777777" w:rsidR="00A2699D" w:rsidRPr="009859BE" w:rsidRDefault="007322B5">
      <w:pPr>
        <w:numPr>
          <w:ilvl w:val="0"/>
          <w:numId w:val="5"/>
        </w:numP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Así mismo, la </w:t>
      </w:r>
      <w:r w:rsidRPr="009859BE">
        <w:rPr>
          <w:rFonts w:ascii="Palatino Linotype" w:eastAsia="Palatino Linotype" w:hAnsi="Palatino Linotype" w:cs="Palatino Linotype"/>
          <w:b/>
          <w:color w:val="000000" w:themeColor="text1"/>
        </w:rPr>
        <w:t xml:space="preserve">Ley de Transparencia y Acceso a la Información Pública del Estado de </w:t>
      </w:r>
      <w:r w:rsidRPr="009859BE">
        <w:rPr>
          <w:rFonts w:ascii="Palatino Linotype" w:eastAsia="Palatino Linotype" w:hAnsi="Palatino Linotype" w:cs="Palatino Linotype"/>
          <w:color w:val="000000" w:themeColor="text1"/>
        </w:rPr>
        <w:t>México</w:t>
      </w:r>
      <w:r w:rsidRPr="009859BE">
        <w:rPr>
          <w:rFonts w:ascii="Palatino Linotype" w:eastAsia="Palatino Linotype" w:hAnsi="Palatino Linotype" w:cs="Palatino Linotype"/>
          <w:b/>
          <w:color w:val="000000" w:themeColor="text1"/>
        </w:rPr>
        <w:t xml:space="preserve"> y Municipios</w:t>
      </w:r>
      <w:r w:rsidRPr="009859BE">
        <w:rPr>
          <w:rFonts w:ascii="Palatino Linotype" w:eastAsia="Palatino Linotype" w:hAnsi="Palatino Linotype" w:cs="Palatino Linotype"/>
          <w:color w:val="000000" w:themeColor="text1"/>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01688FAE" w14:textId="77777777" w:rsidR="001006E7" w:rsidRPr="009859BE" w:rsidRDefault="001006E7" w:rsidP="001006E7">
      <w:pPr>
        <w:spacing w:line="360" w:lineRule="auto"/>
        <w:ind w:right="-787"/>
        <w:jc w:val="both"/>
        <w:rPr>
          <w:rFonts w:ascii="Palatino Linotype" w:eastAsia="Palatino Linotype" w:hAnsi="Palatino Linotype" w:cs="Palatino Linotype"/>
          <w:color w:val="000000" w:themeColor="text1"/>
        </w:rPr>
      </w:pPr>
    </w:p>
    <w:p w14:paraId="41535A7F" w14:textId="77777777" w:rsidR="00A2699D" w:rsidRPr="009859BE" w:rsidRDefault="007322B5">
      <w:pPr>
        <w:pBdr>
          <w:top w:val="nil"/>
          <w:left w:val="nil"/>
          <w:bottom w:val="nil"/>
          <w:right w:val="nil"/>
          <w:between w:val="nil"/>
        </w:pBdr>
        <w:spacing w:line="360" w:lineRule="auto"/>
        <w:ind w:left="1133" w:right="-93"/>
        <w:jc w:val="both"/>
        <w:rPr>
          <w:rFonts w:ascii="Palatino Linotype" w:eastAsia="Palatino Linotype" w:hAnsi="Palatino Linotype" w:cs="Palatino Linotype"/>
          <w:b/>
          <w:i/>
          <w:color w:val="000000" w:themeColor="text1"/>
        </w:rPr>
      </w:pPr>
      <w:r w:rsidRPr="009859BE">
        <w:rPr>
          <w:rFonts w:ascii="Palatino Linotype" w:eastAsia="Palatino Linotype" w:hAnsi="Palatino Linotype" w:cs="Palatino Linotype"/>
          <w:i/>
          <w:color w:val="000000" w:themeColor="text1"/>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9859BE">
        <w:rPr>
          <w:rFonts w:ascii="Palatino Linotype" w:eastAsia="Palatino Linotype" w:hAnsi="Palatino Linotype" w:cs="Palatino Linotype"/>
          <w:b/>
          <w:i/>
          <w:color w:val="000000" w:themeColor="text1"/>
        </w:rPr>
        <w:t>Los Sujetos Obligados deben poner en práctica, políticas y programas de acceso a la información que se apeguen a criterios de publicidad, veracidad, oportunidad, precisión y suficiencia en beneficio de los solicitantes.</w:t>
      </w:r>
    </w:p>
    <w:p w14:paraId="35C3A1EA"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2D275770" w14:textId="77777777" w:rsidR="00A2699D" w:rsidRPr="009859BE" w:rsidRDefault="007322B5">
      <w:pPr>
        <w:numPr>
          <w:ilvl w:val="0"/>
          <w:numId w:val="5"/>
        </w:numP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Numerales que compelen al </w:t>
      </w:r>
      <w:r w:rsidRPr="009859BE">
        <w:rPr>
          <w:rFonts w:ascii="Palatino Linotype" w:eastAsia="Palatino Linotype" w:hAnsi="Palatino Linotype" w:cs="Palatino Linotype"/>
          <w:b/>
          <w:color w:val="000000" w:themeColor="text1"/>
        </w:rPr>
        <w:t>SUJETO OBLIGADO</w:t>
      </w:r>
      <w:r w:rsidRPr="009859BE">
        <w:rPr>
          <w:rFonts w:ascii="Palatino Linotype" w:eastAsia="Palatino Linotype" w:hAnsi="Palatino Linotype" w:cs="Palatino Linotype"/>
          <w:color w:val="000000" w:themeColor="text1"/>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w:t>
      </w:r>
      <w:r w:rsidRPr="009859BE">
        <w:rPr>
          <w:rFonts w:ascii="Palatino Linotype" w:eastAsia="Palatino Linotype" w:hAnsi="Palatino Linotype" w:cs="Palatino Linotype"/>
          <w:color w:val="000000" w:themeColor="text1"/>
        </w:rPr>
        <w:lastRenderedPageBreak/>
        <w:t>de acceso a la información pública se tendrá por cumplida cuando el solicitante tenga a su disposición la información requerida.</w:t>
      </w:r>
    </w:p>
    <w:p w14:paraId="59523DD3"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431AB533" w14:textId="77777777" w:rsidR="00A2699D" w:rsidRPr="009859BE" w:rsidRDefault="007322B5">
      <w:pPr>
        <w:numPr>
          <w:ilvl w:val="0"/>
          <w:numId w:val="5"/>
        </w:numP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También lo es que resulta dable mencionar que se omitirá un análisis respecto del contenido de lo entregado a efecto de determinar si corresponde a la información solicitada o en su caso ordenar su entrega; toda vez que el ahora </w:t>
      </w:r>
      <w:r w:rsidRPr="009859BE">
        <w:rPr>
          <w:rFonts w:ascii="Palatino Linotype" w:eastAsia="Palatino Linotype" w:hAnsi="Palatino Linotype" w:cs="Palatino Linotype"/>
          <w:b/>
          <w:color w:val="000000" w:themeColor="text1"/>
        </w:rPr>
        <w:t xml:space="preserve">RECURRENTE </w:t>
      </w:r>
      <w:r w:rsidRPr="009859BE">
        <w:rPr>
          <w:rFonts w:ascii="Palatino Linotype" w:eastAsia="Palatino Linotype" w:hAnsi="Palatino Linotype" w:cs="Palatino Linotype"/>
          <w:color w:val="000000" w:themeColor="text1"/>
        </w:rPr>
        <w:t xml:space="preserve">de </w:t>
      </w:r>
      <w:r w:rsidRPr="009859BE">
        <w:rPr>
          <w:rFonts w:ascii="Palatino Linotype" w:eastAsia="Palatino Linotype" w:hAnsi="Palatino Linotype" w:cs="Palatino Linotype"/>
          <w:i/>
          <w:color w:val="000000" w:themeColor="text1"/>
        </w:rPr>
        <w:t>mutuo propio</w:t>
      </w:r>
      <w:r w:rsidRPr="009859BE">
        <w:rPr>
          <w:rFonts w:ascii="Palatino Linotype" w:eastAsia="Palatino Linotype" w:hAnsi="Palatino Linotype" w:cs="Palatino Linotype"/>
          <w:color w:val="000000" w:themeColor="text1"/>
        </w:rPr>
        <w:t xml:space="preserve"> tomó la decisión irrevocable de desistirse del recurso de revisión, al quedar registrado en el SAIMEX, como se observa a continuación:</w:t>
      </w:r>
    </w:p>
    <w:p w14:paraId="72A62E6E" w14:textId="77777777" w:rsidR="00A2699D" w:rsidRPr="009859BE" w:rsidRDefault="007322B5">
      <w:pPr>
        <w:spacing w:line="360" w:lineRule="auto"/>
        <w:ind w:right="-787"/>
        <w:jc w:val="both"/>
        <w:rPr>
          <w:rFonts w:ascii="Palatino Linotype" w:eastAsia="Palatino Linotype" w:hAnsi="Palatino Linotype" w:cs="Palatino Linotype"/>
          <w:color w:val="000000" w:themeColor="text1"/>
        </w:rPr>
      </w:pPr>
      <w:r w:rsidRPr="009859BE">
        <w:rPr>
          <w:rFonts w:ascii="Palatino Linotype" w:hAnsi="Palatino Linotype"/>
          <w:noProof/>
          <w:color w:val="000000" w:themeColor="text1"/>
          <w:lang w:val="es-MX" w:eastAsia="es-MX"/>
        </w:rPr>
        <w:drawing>
          <wp:anchor distT="0" distB="0" distL="114300" distR="114300" simplePos="0" relativeHeight="251658240" behindDoc="0" locked="0" layoutInCell="1" hidden="0" allowOverlap="1" wp14:anchorId="561ACA9F" wp14:editId="5CDC23E8">
            <wp:simplePos x="0" y="0"/>
            <wp:positionH relativeFrom="column">
              <wp:posOffset>1767839</wp:posOffset>
            </wp:positionH>
            <wp:positionV relativeFrom="paragraph">
              <wp:posOffset>13335</wp:posOffset>
            </wp:positionV>
            <wp:extent cx="2676525" cy="359092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76525" cy="3590925"/>
                    </a:xfrm>
                    <a:prstGeom prst="rect">
                      <a:avLst/>
                    </a:prstGeom>
                    <a:ln/>
                  </pic:spPr>
                </pic:pic>
              </a:graphicData>
            </a:graphic>
          </wp:anchor>
        </w:drawing>
      </w:r>
    </w:p>
    <w:p w14:paraId="6C50280C" w14:textId="77777777" w:rsidR="00A2699D" w:rsidRPr="009859BE" w:rsidRDefault="00A2699D">
      <w:pPr>
        <w:spacing w:line="360" w:lineRule="auto"/>
        <w:ind w:right="-787"/>
        <w:jc w:val="both"/>
        <w:rPr>
          <w:rFonts w:ascii="Palatino Linotype" w:eastAsia="Palatino Linotype" w:hAnsi="Palatino Linotype" w:cs="Palatino Linotype"/>
          <w:color w:val="000000" w:themeColor="text1"/>
        </w:rPr>
      </w:pPr>
    </w:p>
    <w:p w14:paraId="5A1D3863" w14:textId="77777777" w:rsidR="00A2699D" w:rsidRPr="009859BE" w:rsidRDefault="00A2699D">
      <w:pPr>
        <w:spacing w:line="360" w:lineRule="auto"/>
        <w:ind w:right="-787"/>
        <w:jc w:val="both"/>
        <w:rPr>
          <w:rFonts w:ascii="Palatino Linotype" w:eastAsia="Palatino Linotype" w:hAnsi="Palatino Linotype" w:cs="Palatino Linotype"/>
          <w:color w:val="000000" w:themeColor="text1"/>
        </w:rPr>
      </w:pPr>
    </w:p>
    <w:p w14:paraId="2E091AB0"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2E519AEB"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0BB10011"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205C45B9"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0EEB90DE"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7E215323"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5F7F5249" w14:textId="77777777" w:rsidR="00A2699D" w:rsidRPr="009859BE" w:rsidRDefault="007322B5">
      <w:pPr>
        <w:spacing w:line="360" w:lineRule="auto"/>
        <w:ind w:left="993" w:right="-787"/>
        <w:jc w:val="both"/>
        <w:rPr>
          <w:rFonts w:ascii="Palatino Linotype" w:eastAsia="Palatino Linotype" w:hAnsi="Palatino Linotype" w:cs="Palatino Linotype"/>
          <w:color w:val="000000" w:themeColor="text1"/>
        </w:rPr>
      </w:pPr>
      <w:r w:rsidRPr="009859BE">
        <w:rPr>
          <w:rFonts w:ascii="Palatino Linotype" w:hAnsi="Palatino Linotype"/>
          <w:noProof/>
          <w:color w:val="000000" w:themeColor="text1"/>
          <w:lang w:val="es-MX" w:eastAsia="es-MX"/>
        </w:rPr>
        <mc:AlternateContent>
          <mc:Choice Requires="wpg">
            <w:drawing>
              <wp:anchor distT="0" distB="0" distL="114300" distR="114300" simplePos="0" relativeHeight="251659264" behindDoc="0" locked="0" layoutInCell="1" hidden="0" allowOverlap="1" wp14:anchorId="045A5593" wp14:editId="18919729">
                <wp:simplePos x="0" y="0"/>
                <wp:positionH relativeFrom="column">
                  <wp:posOffset>1828800</wp:posOffset>
                </wp:positionH>
                <wp:positionV relativeFrom="paragraph">
                  <wp:posOffset>177800</wp:posOffset>
                </wp:positionV>
                <wp:extent cx="2619375" cy="400050"/>
                <wp:effectExtent l="0" t="0" r="0" b="0"/>
                <wp:wrapNone/>
                <wp:docPr id="3" name="Rectángulo 3"/>
                <wp:cNvGraphicFramePr/>
                <a:graphic xmlns:a="http://schemas.openxmlformats.org/drawingml/2006/main">
                  <a:graphicData uri="http://schemas.microsoft.com/office/word/2010/wordprocessingShape">
                    <wps:wsp>
                      <wps:cNvSpPr/>
                      <wps:spPr>
                        <a:xfrm>
                          <a:off x="4050600" y="3594263"/>
                          <a:ext cx="2590800" cy="371475"/>
                        </a:xfrm>
                        <a:prstGeom prst="rect">
                          <a:avLst/>
                        </a:prstGeom>
                        <a:noFill/>
                        <a:ln w="28575" cap="flat" cmpd="sng">
                          <a:solidFill>
                            <a:srgbClr val="C00000"/>
                          </a:solidFill>
                          <a:prstDash val="solid"/>
                          <a:miter lim="800000"/>
                          <a:headEnd type="none" w="sm" len="sm"/>
                          <a:tailEnd type="none" w="sm" len="sm"/>
                        </a:ln>
                      </wps:spPr>
                      <wps:txbx>
                        <w:txbxContent>
                          <w:p w14:paraId="489DB2AD" w14:textId="77777777" w:rsidR="00A2699D" w:rsidRDefault="00A2699D">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177800</wp:posOffset>
                </wp:positionV>
                <wp:extent cx="2619375" cy="4000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619375" cy="400050"/>
                        </a:xfrm>
                        <a:prstGeom prst="rect"/>
                        <a:ln/>
                      </pic:spPr>
                    </pic:pic>
                  </a:graphicData>
                </a:graphic>
              </wp:anchor>
            </w:drawing>
          </mc:Fallback>
        </mc:AlternateContent>
      </w:r>
    </w:p>
    <w:p w14:paraId="32849C01"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235CC3A7" w14:textId="77777777" w:rsidR="001006E7" w:rsidRPr="009859BE" w:rsidRDefault="001006E7">
      <w:pPr>
        <w:spacing w:line="360" w:lineRule="auto"/>
        <w:ind w:left="993" w:right="-787"/>
        <w:jc w:val="both"/>
        <w:rPr>
          <w:rFonts w:ascii="Palatino Linotype" w:eastAsia="Palatino Linotype" w:hAnsi="Palatino Linotype" w:cs="Palatino Linotype"/>
          <w:color w:val="000000" w:themeColor="text1"/>
        </w:rPr>
      </w:pPr>
    </w:p>
    <w:p w14:paraId="38CAB569" w14:textId="77777777" w:rsidR="001006E7" w:rsidRPr="009859BE" w:rsidRDefault="001006E7">
      <w:pPr>
        <w:spacing w:line="360" w:lineRule="auto"/>
        <w:ind w:left="993" w:right="-787"/>
        <w:jc w:val="both"/>
        <w:rPr>
          <w:rFonts w:ascii="Palatino Linotype" w:eastAsia="Palatino Linotype" w:hAnsi="Palatino Linotype" w:cs="Palatino Linotype"/>
          <w:color w:val="000000" w:themeColor="text1"/>
        </w:rPr>
      </w:pPr>
    </w:p>
    <w:p w14:paraId="246191E8" w14:textId="77777777" w:rsidR="00A2699D" w:rsidRPr="009859BE" w:rsidRDefault="007322B5">
      <w:pPr>
        <w:numPr>
          <w:ilvl w:val="0"/>
          <w:numId w:val="5"/>
        </w:numP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En atención a las consideraciones anteriores, este Instituto advierte que en el presente caso, se actualiza la hipótesis prevista en el artículo 192, fracción I, de la Ley de Transparencia </w:t>
      </w:r>
      <w:r w:rsidRPr="009859BE">
        <w:rPr>
          <w:rFonts w:ascii="Palatino Linotype" w:eastAsia="Palatino Linotype" w:hAnsi="Palatino Linotype" w:cs="Palatino Linotype"/>
          <w:color w:val="000000" w:themeColor="text1"/>
        </w:rPr>
        <w:lastRenderedPageBreak/>
        <w:t xml:space="preserve">y Acceso a la Información Pública del Estado de México y Municipios, que dispone lo siguiente: </w:t>
      </w:r>
    </w:p>
    <w:p w14:paraId="4E2725F5" w14:textId="77777777" w:rsidR="00A2699D" w:rsidRPr="009859BE" w:rsidRDefault="007322B5">
      <w:pPr>
        <w:spacing w:line="360" w:lineRule="auto"/>
        <w:ind w:left="1134" w:right="-93"/>
        <w:jc w:val="both"/>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i/>
          <w:color w:val="000000" w:themeColor="text1"/>
        </w:rPr>
        <w:t>“</w:t>
      </w:r>
      <w:r w:rsidRPr="009859BE">
        <w:rPr>
          <w:rFonts w:ascii="Palatino Linotype" w:eastAsia="Palatino Linotype" w:hAnsi="Palatino Linotype" w:cs="Palatino Linotype"/>
          <w:b/>
          <w:i/>
          <w:color w:val="000000" w:themeColor="text1"/>
        </w:rPr>
        <w:t>Artículo 192.</w:t>
      </w:r>
      <w:r w:rsidRPr="009859BE">
        <w:rPr>
          <w:rFonts w:ascii="Palatino Linotype" w:eastAsia="Palatino Linotype" w:hAnsi="Palatino Linotype" w:cs="Palatino Linotype"/>
          <w:i/>
          <w:color w:val="000000" w:themeColor="text1"/>
        </w:rPr>
        <w:t xml:space="preserve"> </w:t>
      </w:r>
      <w:r w:rsidRPr="009859BE">
        <w:rPr>
          <w:rFonts w:ascii="Palatino Linotype" w:eastAsia="Palatino Linotype" w:hAnsi="Palatino Linotype" w:cs="Palatino Linotype"/>
          <w:b/>
          <w:i/>
          <w:color w:val="000000" w:themeColor="text1"/>
          <w:u w:val="single"/>
        </w:rPr>
        <w:t>El recurso será sobreseído</w:t>
      </w:r>
      <w:r w:rsidRPr="009859BE">
        <w:rPr>
          <w:rFonts w:ascii="Palatino Linotype" w:eastAsia="Palatino Linotype" w:hAnsi="Palatino Linotype" w:cs="Palatino Linotype"/>
          <w:i/>
          <w:color w:val="000000" w:themeColor="text1"/>
        </w:rPr>
        <w:t xml:space="preserve">, en todo o en parte, </w:t>
      </w:r>
      <w:r w:rsidRPr="009859BE">
        <w:rPr>
          <w:rFonts w:ascii="Palatino Linotype" w:eastAsia="Palatino Linotype" w:hAnsi="Palatino Linotype" w:cs="Palatino Linotype"/>
          <w:b/>
          <w:i/>
          <w:color w:val="000000" w:themeColor="text1"/>
          <w:u w:val="single"/>
        </w:rPr>
        <w:t>cuando una vez admitido</w:t>
      </w:r>
      <w:r w:rsidRPr="009859BE">
        <w:rPr>
          <w:rFonts w:ascii="Palatino Linotype" w:eastAsia="Palatino Linotype" w:hAnsi="Palatino Linotype" w:cs="Palatino Linotype"/>
          <w:i/>
          <w:color w:val="000000" w:themeColor="text1"/>
        </w:rPr>
        <w:t>, se actualicen alguno de los siguientes supuestos:</w:t>
      </w:r>
    </w:p>
    <w:p w14:paraId="4EE7F614" w14:textId="77777777" w:rsidR="00A2699D" w:rsidRPr="009859BE" w:rsidRDefault="007322B5">
      <w:pPr>
        <w:spacing w:line="360" w:lineRule="auto"/>
        <w:ind w:left="1134" w:right="-93"/>
        <w:jc w:val="both"/>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b/>
          <w:i/>
          <w:color w:val="000000" w:themeColor="text1"/>
        </w:rPr>
        <w:t>I.</w:t>
      </w:r>
      <w:r w:rsidRPr="009859BE">
        <w:rPr>
          <w:rFonts w:ascii="Palatino Linotype" w:eastAsia="Palatino Linotype" w:hAnsi="Palatino Linotype" w:cs="Palatino Linotype"/>
          <w:i/>
          <w:color w:val="000000" w:themeColor="text1"/>
        </w:rPr>
        <w:t xml:space="preserve"> </w:t>
      </w:r>
      <w:r w:rsidRPr="009859BE">
        <w:rPr>
          <w:rFonts w:ascii="Palatino Linotype" w:eastAsia="Palatino Linotype" w:hAnsi="Palatino Linotype" w:cs="Palatino Linotype"/>
          <w:b/>
          <w:i/>
          <w:color w:val="000000" w:themeColor="text1"/>
          <w:u w:val="single"/>
        </w:rPr>
        <w:t>LA RECURRENTE se desista expresamente del recurso</w:t>
      </w:r>
      <w:r w:rsidRPr="009859BE">
        <w:rPr>
          <w:rFonts w:ascii="Palatino Linotype" w:eastAsia="Palatino Linotype" w:hAnsi="Palatino Linotype" w:cs="Palatino Linotype"/>
          <w:i/>
          <w:color w:val="000000" w:themeColor="text1"/>
        </w:rPr>
        <w:t>;”</w:t>
      </w:r>
    </w:p>
    <w:p w14:paraId="33D84172" w14:textId="77777777" w:rsidR="00A2699D" w:rsidRPr="009859BE" w:rsidRDefault="00A2699D">
      <w:pPr>
        <w:tabs>
          <w:tab w:val="left" w:pos="851"/>
        </w:tabs>
        <w:spacing w:line="360" w:lineRule="auto"/>
        <w:ind w:right="-787"/>
        <w:jc w:val="both"/>
        <w:rPr>
          <w:rFonts w:ascii="Palatino Linotype" w:eastAsia="Palatino Linotype" w:hAnsi="Palatino Linotype" w:cs="Palatino Linotype"/>
          <w:color w:val="000000" w:themeColor="text1"/>
        </w:rPr>
      </w:pPr>
    </w:p>
    <w:p w14:paraId="0A5386A3" w14:textId="77777777" w:rsidR="00A2699D" w:rsidRPr="009859BE" w:rsidRDefault="007322B5">
      <w:pPr>
        <w:numPr>
          <w:ilvl w:val="0"/>
          <w:numId w:val="5"/>
        </w:numPr>
        <w:spacing w:line="360" w:lineRule="auto"/>
        <w:ind w:left="0" w:right="-787" w:firstLine="0"/>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color w:val="000000" w:themeColor="text1"/>
        </w:rPr>
        <w:t xml:space="preserve">En consecuencia, se determina </w:t>
      </w:r>
      <w:r w:rsidRPr="009859BE">
        <w:rPr>
          <w:rFonts w:ascii="Palatino Linotype" w:eastAsia="Palatino Linotype" w:hAnsi="Palatino Linotype" w:cs="Palatino Linotype"/>
          <w:b/>
          <w:color w:val="000000" w:themeColor="text1"/>
        </w:rPr>
        <w:t>SOBRESEER</w:t>
      </w:r>
      <w:r w:rsidRPr="009859BE">
        <w:rPr>
          <w:rFonts w:ascii="Palatino Linotype" w:eastAsia="Palatino Linotype" w:hAnsi="Palatino Linotype" w:cs="Palatino Linotype"/>
          <w:color w:val="000000" w:themeColor="text1"/>
        </w:rPr>
        <w:t xml:space="preserve"> el presente Recurso de Revisión, en términos del artículo 186, fracción I, de la Ley de Transparencia y Acceso a la Información Pública del Estado de México y Municipios:</w:t>
      </w:r>
    </w:p>
    <w:p w14:paraId="4160D4FC" w14:textId="77777777" w:rsidR="00A2699D" w:rsidRPr="009859BE" w:rsidRDefault="007322B5">
      <w:pPr>
        <w:spacing w:line="360" w:lineRule="auto"/>
        <w:ind w:left="993" w:right="-787"/>
        <w:jc w:val="both"/>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i/>
          <w:color w:val="000000" w:themeColor="text1"/>
        </w:rPr>
        <w:t>“</w:t>
      </w:r>
      <w:r w:rsidRPr="009859BE">
        <w:rPr>
          <w:rFonts w:ascii="Palatino Linotype" w:eastAsia="Palatino Linotype" w:hAnsi="Palatino Linotype" w:cs="Palatino Linotype"/>
          <w:b/>
          <w:i/>
          <w:color w:val="000000" w:themeColor="text1"/>
        </w:rPr>
        <w:t xml:space="preserve">Artículo 186. </w:t>
      </w:r>
      <w:r w:rsidRPr="009859BE">
        <w:rPr>
          <w:rFonts w:ascii="Palatino Linotype" w:eastAsia="Palatino Linotype" w:hAnsi="Palatino Linotype" w:cs="Palatino Linotype"/>
          <w:b/>
          <w:i/>
          <w:color w:val="000000" w:themeColor="text1"/>
          <w:u w:val="single"/>
        </w:rPr>
        <w:t>Las resoluciones del Instituto podrán</w:t>
      </w:r>
      <w:r w:rsidRPr="009859BE">
        <w:rPr>
          <w:rFonts w:ascii="Palatino Linotype" w:eastAsia="Palatino Linotype" w:hAnsi="Palatino Linotype" w:cs="Palatino Linotype"/>
          <w:i/>
          <w:color w:val="000000" w:themeColor="text1"/>
        </w:rPr>
        <w:t xml:space="preserve">: </w:t>
      </w:r>
    </w:p>
    <w:p w14:paraId="3AD7A31C" w14:textId="77777777" w:rsidR="00A2699D" w:rsidRPr="009859BE" w:rsidRDefault="007322B5">
      <w:pPr>
        <w:numPr>
          <w:ilvl w:val="0"/>
          <w:numId w:val="3"/>
        </w:numPr>
        <w:pBdr>
          <w:top w:val="nil"/>
          <w:left w:val="nil"/>
          <w:bottom w:val="nil"/>
          <w:right w:val="nil"/>
          <w:between w:val="nil"/>
        </w:pBdr>
        <w:spacing w:line="360" w:lineRule="auto"/>
        <w:ind w:left="1560" w:right="-787" w:hanging="425"/>
        <w:jc w:val="both"/>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i/>
          <w:color w:val="000000" w:themeColor="text1"/>
        </w:rPr>
        <w:t xml:space="preserve">Desechar o </w:t>
      </w:r>
      <w:r w:rsidRPr="009859BE">
        <w:rPr>
          <w:rFonts w:ascii="Palatino Linotype" w:eastAsia="Palatino Linotype" w:hAnsi="Palatino Linotype" w:cs="Palatino Linotype"/>
          <w:b/>
          <w:i/>
          <w:color w:val="000000" w:themeColor="text1"/>
          <w:u w:val="single"/>
        </w:rPr>
        <w:t>sobreseer el recurso</w:t>
      </w:r>
      <w:r w:rsidRPr="009859BE">
        <w:rPr>
          <w:rFonts w:ascii="Palatino Linotype" w:eastAsia="Palatino Linotype" w:hAnsi="Palatino Linotype" w:cs="Palatino Linotype"/>
          <w:i/>
          <w:color w:val="000000" w:themeColor="text1"/>
        </w:rPr>
        <w:t xml:space="preserve">;” </w:t>
      </w:r>
    </w:p>
    <w:p w14:paraId="7D9941A9" w14:textId="77777777" w:rsidR="00A2699D" w:rsidRPr="009859BE" w:rsidRDefault="00A2699D">
      <w:pPr>
        <w:pBdr>
          <w:top w:val="nil"/>
          <w:left w:val="nil"/>
          <w:bottom w:val="nil"/>
          <w:right w:val="nil"/>
          <w:between w:val="nil"/>
        </w:pBdr>
        <w:tabs>
          <w:tab w:val="left" w:pos="851"/>
        </w:tabs>
        <w:spacing w:line="360" w:lineRule="auto"/>
        <w:ind w:right="-787"/>
        <w:jc w:val="both"/>
        <w:rPr>
          <w:rFonts w:ascii="Palatino Linotype" w:eastAsia="Palatino Linotype" w:hAnsi="Palatino Linotype" w:cs="Palatino Linotype"/>
          <w:i/>
          <w:color w:val="000000" w:themeColor="text1"/>
        </w:rPr>
      </w:pPr>
    </w:p>
    <w:p w14:paraId="7B78DE16" w14:textId="539E5705" w:rsidR="00A2699D" w:rsidRPr="009859BE" w:rsidRDefault="007322B5">
      <w:pPr>
        <w:spacing w:line="360" w:lineRule="auto"/>
        <w:ind w:right="-787"/>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b/>
          <w:color w:val="000000" w:themeColor="text1"/>
        </w:rPr>
        <w:t xml:space="preserve">24. </w:t>
      </w:r>
      <w:r w:rsidR="001006E7" w:rsidRPr="009859BE">
        <w:rPr>
          <w:rFonts w:ascii="Palatino Linotype" w:eastAsia="Palatino Linotype" w:hAnsi="Palatino Linotype" w:cs="Palatino Linotype"/>
          <w:b/>
          <w:color w:val="000000" w:themeColor="text1"/>
        </w:rPr>
        <w:tab/>
      </w:r>
      <w:r w:rsidRPr="009859BE">
        <w:rPr>
          <w:rFonts w:ascii="Palatino Linotype" w:eastAsia="Palatino Linotype" w:hAnsi="Palatino Linotype" w:cs="Palatino Linotype"/>
          <w:color w:val="000000" w:themeColor="text1"/>
        </w:rPr>
        <w:t xml:space="preserve">Derivado de lo anterior, es conveniente referir que este Órgano Garante no se pronuncia sobre las razones o motivos de inconformidad expuestos por el </w:t>
      </w:r>
      <w:r w:rsidRPr="009859BE">
        <w:rPr>
          <w:rFonts w:ascii="Palatino Linotype" w:eastAsia="Palatino Linotype" w:hAnsi="Palatino Linotype" w:cs="Palatino Linotype"/>
          <w:b/>
          <w:color w:val="000000" w:themeColor="text1"/>
        </w:rPr>
        <w:t>RECURRENTE</w:t>
      </w:r>
      <w:r w:rsidRPr="009859BE">
        <w:rPr>
          <w:rFonts w:ascii="Palatino Linotype" w:eastAsia="Palatino Linotype" w:hAnsi="Palatino Linotype" w:cs="Palatino Linotype"/>
          <w:color w:val="000000" w:themeColor="text1"/>
        </w:rPr>
        <w:t>, toda vez que se infiere al desistimiento voluntario realizado por el mismo,</w:t>
      </w:r>
      <w:r w:rsidRPr="009859BE">
        <w:rPr>
          <w:rFonts w:ascii="Palatino Linotype" w:eastAsia="Palatino Linotype" w:hAnsi="Palatino Linotype" w:cs="Palatino Linotype"/>
          <w:b/>
          <w:color w:val="000000" w:themeColor="text1"/>
        </w:rPr>
        <w:t xml:space="preserve"> </w:t>
      </w:r>
      <w:r w:rsidRPr="009859BE">
        <w:rPr>
          <w:rFonts w:ascii="Palatino Linotype" w:eastAsia="Palatino Linotype" w:hAnsi="Palatino Linotype" w:cs="Palatino Linotype"/>
          <w:color w:val="000000" w:themeColor="text1"/>
        </w:rPr>
        <w:t xml:space="preserve">en fecha </w:t>
      </w:r>
      <w:r w:rsidRPr="009859BE">
        <w:rPr>
          <w:rFonts w:ascii="Palatino Linotype" w:eastAsia="Palatino Linotype" w:hAnsi="Palatino Linotype" w:cs="Palatino Linotype"/>
          <w:b/>
          <w:color w:val="000000" w:themeColor="text1"/>
        </w:rPr>
        <w:t xml:space="preserve">diez de marzo del año dos mil veinticinco, </w:t>
      </w:r>
      <w:r w:rsidRPr="009859BE">
        <w:rPr>
          <w:rFonts w:ascii="Palatino Linotype" w:eastAsia="Palatino Linotype" w:hAnsi="Palatino Linotype" w:cs="Palatino Linotype"/>
          <w:color w:val="000000" w:themeColor="text1"/>
        </w:rPr>
        <w:t>siendo aplicable la Tesis Aislada (Constitucional) de la Décima Época, visible en el Semanario Judicial de la Federación, emitida por la Segunda Sala, CDXXV/2014 (10a.), con número de registro 2008086 cuyo rubro y texto establece lo siguiente:</w:t>
      </w:r>
    </w:p>
    <w:p w14:paraId="7C7D431D" w14:textId="77777777" w:rsidR="001006E7" w:rsidRPr="009859BE" w:rsidRDefault="001006E7">
      <w:pPr>
        <w:spacing w:line="360" w:lineRule="auto"/>
        <w:ind w:right="-787"/>
        <w:jc w:val="both"/>
        <w:rPr>
          <w:rFonts w:ascii="Palatino Linotype" w:eastAsia="Palatino Linotype" w:hAnsi="Palatino Linotype" w:cs="Palatino Linotype"/>
          <w:color w:val="000000" w:themeColor="text1"/>
        </w:rPr>
      </w:pPr>
    </w:p>
    <w:p w14:paraId="66ECEF32" w14:textId="77777777" w:rsidR="00A2699D" w:rsidRPr="009859BE" w:rsidRDefault="007322B5">
      <w:pPr>
        <w:ind w:left="1133" w:right="-85"/>
        <w:jc w:val="both"/>
        <w:rPr>
          <w:rFonts w:ascii="Palatino Linotype" w:eastAsia="Palatino Linotype" w:hAnsi="Palatino Linotype" w:cs="Palatino Linotype"/>
          <w:b/>
          <w:i/>
          <w:color w:val="000000" w:themeColor="text1"/>
        </w:rPr>
      </w:pPr>
      <w:r w:rsidRPr="009859BE">
        <w:rPr>
          <w:rFonts w:ascii="Palatino Linotype" w:eastAsia="Palatino Linotype" w:hAnsi="Palatino Linotype" w:cs="Palatino Linotype"/>
          <w:b/>
          <w:i/>
          <w:color w:val="000000" w:themeColor="text1"/>
        </w:rPr>
        <w:t>“AUTONOMÍA DE LA VOLUNTAD. ES UN PRINCIPIO DE RANGO CONSTITUCIONAL.</w:t>
      </w:r>
    </w:p>
    <w:p w14:paraId="2AA13F16" w14:textId="77777777" w:rsidR="00A2699D" w:rsidRPr="009859BE" w:rsidRDefault="007322B5">
      <w:pPr>
        <w:ind w:left="1133" w:right="-85"/>
        <w:jc w:val="both"/>
        <w:rPr>
          <w:rFonts w:ascii="Palatino Linotype" w:eastAsia="Palatino Linotype" w:hAnsi="Palatino Linotype" w:cs="Palatino Linotype"/>
          <w:i/>
          <w:color w:val="000000" w:themeColor="text1"/>
        </w:rPr>
      </w:pPr>
      <w:r w:rsidRPr="009859BE">
        <w:rPr>
          <w:rFonts w:ascii="Palatino Linotype" w:eastAsia="Palatino Linotype" w:hAnsi="Palatino Linotype" w:cs="Palatino Linotype"/>
          <w:i/>
          <w:color w:val="000000" w:themeColor="text1"/>
        </w:rPr>
        <w:t xml:space="preserve">A consideración de esta Primera Sala de la Suprema Corte de Justicia de la Nación, el </w:t>
      </w:r>
      <w:r w:rsidRPr="009859BE">
        <w:rPr>
          <w:rFonts w:ascii="Palatino Linotype" w:eastAsia="Palatino Linotype" w:hAnsi="Palatino Linotype" w:cs="Palatino Linotype"/>
          <w:b/>
          <w:i/>
          <w:color w:val="000000" w:themeColor="text1"/>
        </w:rPr>
        <w:t>principio de autonomía de la voluntad</w:t>
      </w:r>
      <w:r w:rsidRPr="009859BE">
        <w:rPr>
          <w:rFonts w:ascii="Palatino Linotype" w:eastAsia="Palatino Linotype" w:hAnsi="Palatino Linotype" w:cs="Palatino Linotype"/>
          <w:i/>
          <w:color w:val="000000" w:themeColor="text1"/>
        </w:rPr>
        <w:t xml:space="preserve"> goza de rango constitucional y no debe ser reconducido a un simple principio que rige el derecho civil. Así las cosas, el respeto del individuo como persona requiere el respeto de su autodeterminación </w:t>
      </w:r>
      <w:r w:rsidRPr="009859BE">
        <w:rPr>
          <w:rFonts w:ascii="Palatino Linotype" w:eastAsia="Palatino Linotype" w:hAnsi="Palatino Linotype" w:cs="Palatino Linotype"/>
          <w:i/>
          <w:color w:val="000000" w:themeColor="text1"/>
        </w:rPr>
        <w:lastRenderedPageBreak/>
        <w:t>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w:t>
      </w:r>
    </w:p>
    <w:p w14:paraId="06FDF461" w14:textId="77777777" w:rsidR="00A2699D" w:rsidRPr="009859BE" w:rsidRDefault="00A2699D">
      <w:pPr>
        <w:spacing w:line="360" w:lineRule="auto"/>
        <w:ind w:left="1133" w:right="-85"/>
        <w:jc w:val="both"/>
        <w:rPr>
          <w:rFonts w:ascii="Palatino Linotype" w:eastAsia="Palatino Linotype" w:hAnsi="Palatino Linotype" w:cs="Palatino Linotype"/>
          <w:b/>
          <w:color w:val="000000" w:themeColor="text1"/>
        </w:rPr>
      </w:pPr>
    </w:p>
    <w:p w14:paraId="5794E85B" w14:textId="6C84A9BE" w:rsidR="00A2699D" w:rsidRPr="009859BE" w:rsidRDefault="007322B5">
      <w:pPr>
        <w:spacing w:line="360" w:lineRule="auto"/>
        <w:ind w:right="-787"/>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b/>
          <w:color w:val="000000" w:themeColor="text1"/>
        </w:rPr>
        <w:t>25.</w:t>
      </w:r>
      <w:r w:rsidRPr="009859BE">
        <w:rPr>
          <w:rFonts w:ascii="Palatino Linotype" w:eastAsia="Palatino Linotype" w:hAnsi="Palatino Linotype" w:cs="Palatino Linotype"/>
          <w:color w:val="000000" w:themeColor="text1"/>
        </w:rPr>
        <w:t xml:space="preserve"> </w:t>
      </w:r>
      <w:r w:rsidR="001006E7" w:rsidRPr="009859BE">
        <w:rPr>
          <w:rFonts w:ascii="Palatino Linotype" w:eastAsia="Palatino Linotype" w:hAnsi="Palatino Linotype" w:cs="Palatino Linotype"/>
          <w:color w:val="000000" w:themeColor="text1"/>
        </w:rPr>
        <w:tab/>
      </w:r>
      <w:r w:rsidRPr="009859BE">
        <w:rPr>
          <w:rFonts w:ascii="Palatino Linotype" w:eastAsia="Palatino Linotype" w:hAnsi="Palatino Linotype" w:cs="Palatino Linotype"/>
          <w:color w:val="000000" w:themeColor="text1"/>
        </w:rPr>
        <w:t xml:space="preserve">De lo anteriormente, se advierte la manifestación implícita por el </w:t>
      </w:r>
      <w:r w:rsidRPr="009859BE">
        <w:rPr>
          <w:rFonts w:ascii="Palatino Linotype" w:eastAsia="Palatino Linotype" w:hAnsi="Palatino Linotype" w:cs="Palatino Linotype"/>
          <w:b/>
          <w:color w:val="000000" w:themeColor="text1"/>
        </w:rPr>
        <w:t>RECURRENTE</w:t>
      </w:r>
      <w:r w:rsidRPr="009859BE">
        <w:rPr>
          <w:rFonts w:ascii="Palatino Linotype" w:eastAsia="Palatino Linotype" w:hAnsi="Palatino Linotype" w:cs="Palatino Linotype"/>
          <w:color w:val="000000" w:themeColor="text1"/>
        </w:rPr>
        <w:t xml:space="preserve"> respecto a desistirse de la pretensión plasmada, por lo que acepta que el procedimiento concluya sin provocar consecuencias de derecho; al mismo tiempo genera que este Órgano Garante no ingrese al análisis de los planteamientos señalados en la Litis, y únicamente realice el análisis respecto a las actuaciones que subsistan, sin necesidad de ordenar la información de la que se impugnó en el escrito recursal.</w:t>
      </w:r>
    </w:p>
    <w:p w14:paraId="06A2D0F7" w14:textId="77777777" w:rsidR="00A2699D" w:rsidRPr="009859BE" w:rsidRDefault="00A2699D">
      <w:pPr>
        <w:spacing w:line="360" w:lineRule="auto"/>
        <w:ind w:left="993" w:right="-787"/>
        <w:jc w:val="both"/>
        <w:rPr>
          <w:rFonts w:ascii="Palatino Linotype" w:eastAsia="Palatino Linotype" w:hAnsi="Palatino Linotype" w:cs="Palatino Linotype"/>
          <w:color w:val="000000" w:themeColor="text1"/>
        </w:rPr>
      </w:pPr>
    </w:p>
    <w:p w14:paraId="2F374868" w14:textId="3870C1C1" w:rsidR="00A2699D" w:rsidRPr="009859BE" w:rsidRDefault="007322B5">
      <w:pPr>
        <w:spacing w:line="360" w:lineRule="auto"/>
        <w:ind w:right="-787"/>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b/>
          <w:color w:val="000000" w:themeColor="text1"/>
        </w:rPr>
        <w:t>26.</w:t>
      </w:r>
      <w:r w:rsidRPr="009859BE">
        <w:rPr>
          <w:rFonts w:ascii="Palatino Linotype" w:eastAsia="Palatino Linotype" w:hAnsi="Palatino Linotype" w:cs="Palatino Linotype"/>
          <w:color w:val="000000" w:themeColor="text1"/>
        </w:rPr>
        <w:t xml:space="preserve"> </w:t>
      </w:r>
      <w:r w:rsidR="001006E7" w:rsidRPr="009859BE">
        <w:rPr>
          <w:rFonts w:ascii="Palatino Linotype" w:eastAsia="Palatino Linotype" w:hAnsi="Palatino Linotype" w:cs="Palatino Linotype"/>
          <w:color w:val="000000" w:themeColor="text1"/>
        </w:rPr>
        <w:tab/>
      </w:r>
      <w:r w:rsidRPr="009859BE">
        <w:rPr>
          <w:rFonts w:ascii="Palatino Linotype" w:eastAsia="Palatino Linotype" w:hAnsi="Palatino Linotype" w:cs="Palatino Linotype"/>
          <w:color w:val="000000" w:themeColor="text1"/>
        </w:rPr>
        <w:t xml:space="preserve">Por lo anteriormente expuesto y fundado, este </w:t>
      </w:r>
      <w:r w:rsidRPr="009859BE">
        <w:rPr>
          <w:rFonts w:ascii="Palatino Linotype" w:eastAsia="Palatino Linotype" w:hAnsi="Palatino Linotype" w:cs="Palatino Linotype"/>
          <w:b/>
          <w:color w:val="000000" w:themeColor="text1"/>
        </w:rPr>
        <w:t>ÓRGANO GARANTE</w:t>
      </w:r>
      <w:r w:rsidRPr="009859BE">
        <w:rPr>
          <w:rFonts w:ascii="Palatino Linotype" w:eastAsia="Palatino Linotype" w:hAnsi="Palatino Linotype" w:cs="Palatino Linotype"/>
          <w:color w:val="000000" w:themeColor="text1"/>
        </w:rPr>
        <w:t xml:space="preserve"> emite los siguientes:</w:t>
      </w:r>
    </w:p>
    <w:p w14:paraId="76E18BDA" w14:textId="77777777" w:rsidR="00A2699D" w:rsidRPr="009859BE" w:rsidRDefault="00A2699D">
      <w:pPr>
        <w:spacing w:line="360" w:lineRule="auto"/>
        <w:ind w:right="-787"/>
        <w:jc w:val="both"/>
        <w:rPr>
          <w:rFonts w:ascii="Palatino Linotype" w:eastAsia="Palatino Linotype" w:hAnsi="Palatino Linotype" w:cs="Palatino Linotype"/>
          <w:color w:val="000000" w:themeColor="text1"/>
        </w:rPr>
      </w:pPr>
    </w:p>
    <w:p w14:paraId="45BF34BD" w14:textId="77777777" w:rsidR="00A2699D" w:rsidRPr="009859BE" w:rsidRDefault="007322B5">
      <w:pPr>
        <w:pStyle w:val="Ttulo1"/>
        <w:spacing w:before="0" w:line="360" w:lineRule="auto"/>
        <w:ind w:right="-787"/>
        <w:jc w:val="center"/>
        <w:rPr>
          <w:rFonts w:ascii="Palatino Linotype" w:eastAsia="Palatino Linotype" w:hAnsi="Palatino Linotype" w:cs="Palatino Linotype"/>
          <w:b/>
          <w:color w:val="000000" w:themeColor="text1"/>
          <w:sz w:val="24"/>
          <w:szCs w:val="24"/>
        </w:rPr>
      </w:pPr>
      <w:r w:rsidRPr="009859BE">
        <w:rPr>
          <w:rFonts w:ascii="Palatino Linotype" w:eastAsia="Palatino Linotype" w:hAnsi="Palatino Linotype" w:cs="Palatino Linotype"/>
          <w:b/>
          <w:color w:val="000000" w:themeColor="text1"/>
          <w:sz w:val="24"/>
          <w:szCs w:val="24"/>
        </w:rPr>
        <w:t>R E S O L U T I V O S</w:t>
      </w:r>
    </w:p>
    <w:p w14:paraId="53570AF4" w14:textId="77777777" w:rsidR="00A2699D" w:rsidRPr="009859BE" w:rsidRDefault="00A2699D">
      <w:pPr>
        <w:ind w:right="-787"/>
        <w:rPr>
          <w:rFonts w:ascii="Palatino Linotype" w:eastAsia="Palatino Linotype" w:hAnsi="Palatino Linotype" w:cs="Palatino Linotype"/>
          <w:color w:val="000000" w:themeColor="text1"/>
        </w:rPr>
      </w:pPr>
    </w:p>
    <w:p w14:paraId="4D4C19BE" w14:textId="77777777" w:rsidR="00A2699D" w:rsidRPr="009859BE" w:rsidRDefault="007322B5">
      <w:pPr>
        <w:widowControl w:val="0"/>
        <w:tabs>
          <w:tab w:val="left" w:pos="1701"/>
        </w:tabs>
        <w:spacing w:line="360" w:lineRule="auto"/>
        <w:ind w:right="-787"/>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b/>
          <w:color w:val="000000" w:themeColor="text1"/>
        </w:rPr>
        <w:t xml:space="preserve">PRIMERO. </w:t>
      </w:r>
      <w:r w:rsidRPr="009859BE">
        <w:rPr>
          <w:rFonts w:ascii="Palatino Linotype" w:eastAsia="Palatino Linotype" w:hAnsi="Palatino Linotype" w:cs="Palatino Linotype"/>
          <w:color w:val="000000" w:themeColor="text1"/>
        </w:rPr>
        <w:t>Se</w:t>
      </w:r>
      <w:r w:rsidRPr="009859BE">
        <w:rPr>
          <w:rFonts w:ascii="Palatino Linotype" w:eastAsia="Palatino Linotype" w:hAnsi="Palatino Linotype" w:cs="Palatino Linotype"/>
          <w:b/>
          <w:color w:val="000000" w:themeColor="text1"/>
        </w:rPr>
        <w:t xml:space="preserve"> SOBRESEE </w:t>
      </w:r>
      <w:r w:rsidRPr="009859BE">
        <w:rPr>
          <w:rFonts w:ascii="Palatino Linotype" w:eastAsia="Palatino Linotype" w:hAnsi="Palatino Linotype" w:cs="Palatino Linotype"/>
          <w:color w:val="000000" w:themeColor="text1"/>
        </w:rPr>
        <w:t xml:space="preserve">el Recurso de Revisión </w:t>
      </w:r>
      <w:r w:rsidRPr="009859BE">
        <w:rPr>
          <w:rFonts w:ascii="Palatino Linotype" w:eastAsia="Palatino Linotype" w:hAnsi="Palatino Linotype" w:cs="Palatino Linotype"/>
          <w:b/>
          <w:color w:val="000000" w:themeColor="text1"/>
        </w:rPr>
        <w:t xml:space="preserve">00278/INFOEM/IP/RR/2025, </w:t>
      </w:r>
      <w:r w:rsidRPr="009859BE">
        <w:rPr>
          <w:rFonts w:ascii="Palatino Linotype" w:eastAsia="Palatino Linotype" w:hAnsi="Palatino Linotype" w:cs="Palatino Linotype"/>
          <w:color w:val="000000" w:themeColor="text1"/>
        </w:rPr>
        <w:t xml:space="preserve">por </w:t>
      </w:r>
      <w:r w:rsidRPr="009859BE">
        <w:rPr>
          <w:rFonts w:ascii="Palatino Linotype" w:eastAsia="Palatino Linotype" w:hAnsi="Palatino Linotype" w:cs="Palatino Linotype"/>
          <w:b/>
          <w:color w:val="000000" w:themeColor="text1"/>
        </w:rPr>
        <w:t xml:space="preserve">actualizarse la causal de improcedencia </w:t>
      </w:r>
      <w:r w:rsidRPr="009859BE">
        <w:rPr>
          <w:rFonts w:ascii="Palatino Linotype" w:eastAsia="Palatino Linotype" w:hAnsi="Palatino Linotype" w:cs="Palatino Linotype"/>
          <w:color w:val="000000" w:themeColor="text1"/>
        </w:rPr>
        <w:t xml:space="preserve">establecida en el artículo 192, fracción I, de la Ley de Transparencia y Acceso a la Información Pública del Estado de México y Municipios, por </w:t>
      </w:r>
      <w:r w:rsidRPr="009859BE">
        <w:rPr>
          <w:rFonts w:ascii="Palatino Linotype" w:eastAsia="Palatino Linotype" w:hAnsi="Palatino Linotype" w:cs="Palatino Linotype"/>
          <w:b/>
          <w:color w:val="000000" w:themeColor="text1"/>
        </w:rPr>
        <w:t>haberse desistido expresamente EL RECURRENTE</w:t>
      </w:r>
      <w:r w:rsidRPr="009859BE">
        <w:rPr>
          <w:rFonts w:ascii="Palatino Linotype" w:eastAsia="Palatino Linotype" w:hAnsi="Palatino Linotype" w:cs="Palatino Linotype"/>
          <w:color w:val="000000" w:themeColor="text1"/>
        </w:rPr>
        <w:t>, en términos del Considerando</w:t>
      </w:r>
      <w:r w:rsidRPr="009859BE">
        <w:rPr>
          <w:rFonts w:ascii="Palatino Linotype" w:eastAsia="Palatino Linotype" w:hAnsi="Palatino Linotype" w:cs="Palatino Linotype"/>
          <w:b/>
          <w:color w:val="000000" w:themeColor="text1"/>
        </w:rPr>
        <w:t xml:space="preserve"> TERCERO </w:t>
      </w:r>
      <w:r w:rsidRPr="009859BE">
        <w:rPr>
          <w:rFonts w:ascii="Palatino Linotype" w:eastAsia="Palatino Linotype" w:hAnsi="Palatino Linotype" w:cs="Palatino Linotype"/>
          <w:color w:val="000000" w:themeColor="text1"/>
        </w:rPr>
        <w:t>de la presente Resolución.</w:t>
      </w:r>
    </w:p>
    <w:p w14:paraId="7B846576" w14:textId="77777777" w:rsidR="00A2699D" w:rsidRPr="009859BE" w:rsidRDefault="00A2699D">
      <w:pPr>
        <w:widowControl w:val="0"/>
        <w:tabs>
          <w:tab w:val="left" w:pos="1701"/>
        </w:tabs>
        <w:spacing w:line="360" w:lineRule="auto"/>
        <w:ind w:right="-787"/>
        <w:jc w:val="both"/>
        <w:rPr>
          <w:rFonts w:ascii="Palatino Linotype" w:eastAsia="Palatino Linotype" w:hAnsi="Palatino Linotype" w:cs="Palatino Linotype"/>
          <w:color w:val="000000" w:themeColor="text1"/>
        </w:rPr>
      </w:pPr>
    </w:p>
    <w:p w14:paraId="21355F19" w14:textId="77777777" w:rsidR="00A2699D" w:rsidRPr="009859BE" w:rsidRDefault="007322B5">
      <w:pPr>
        <w:widowControl w:val="0"/>
        <w:tabs>
          <w:tab w:val="left" w:pos="1701"/>
        </w:tabs>
        <w:spacing w:line="360" w:lineRule="auto"/>
        <w:ind w:right="-787"/>
        <w:jc w:val="both"/>
        <w:rPr>
          <w:rFonts w:ascii="Palatino Linotype" w:eastAsia="Palatino Linotype" w:hAnsi="Palatino Linotype" w:cs="Palatino Linotype"/>
          <w:color w:val="000000" w:themeColor="text1"/>
        </w:rPr>
      </w:pPr>
      <w:bookmarkStart w:id="7" w:name="_heading=h.17dp8vu" w:colFirst="0" w:colLast="0"/>
      <w:bookmarkEnd w:id="7"/>
      <w:r w:rsidRPr="009859BE">
        <w:rPr>
          <w:rFonts w:ascii="Palatino Linotype" w:eastAsia="Palatino Linotype" w:hAnsi="Palatino Linotype" w:cs="Palatino Linotype"/>
          <w:b/>
          <w:color w:val="000000" w:themeColor="text1"/>
        </w:rPr>
        <w:lastRenderedPageBreak/>
        <w:t xml:space="preserve">SEGUNDO. Notifíquese </w:t>
      </w:r>
      <w:r w:rsidRPr="009859BE">
        <w:rPr>
          <w:rFonts w:ascii="Palatino Linotype" w:eastAsia="Palatino Linotype" w:hAnsi="Palatino Linotype" w:cs="Palatino Linotype"/>
          <w:color w:val="000000" w:themeColor="text1"/>
        </w:rPr>
        <w:t xml:space="preserve">al Titular de la Unidad de Transparencia de </w:t>
      </w:r>
      <w:r w:rsidRPr="009859BE">
        <w:rPr>
          <w:rFonts w:ascii="Palatino Linotype" w:eastAsia="Palatino Linotype" w:hAnsi="Palatino Linotype" w:cs="Palatino Linotype"/>
          <w:b/>
          <w:color w:val="000000" w:themeColor="text1"/>
        </w:rPr>
        <w:t xml:space="preserve">EL SUJETO OBLIGADO, </w:t>
      </w:r>
      <w:r w:rsidRPr="009859BE">
        <w:rPr>
          <w:rFonts w:ascii="Palatino Linotype" w:eastAsia="Palatino Linotype" w:hAnsi="Palatino Linotype" w:cs="Palatino Linotype"/>
          <w:color w:val="000000" w:themeColor="text1"/>
        </w:rPr>
        <w:t xml:space="preserve">vía SAIMEX para su conocimiento. </w:t>
      </w:r>
    </w:p>
    <w:p w14:paraId="178E060B" w14:textId="77777777" w:rsidR="00A2699D" w:rsidRPr="009859BE" w:rsidRDefault="00A2699D">
      <w:pPr>
        <w:widowControl w:val="0"/>
        <w:tabs>
          <w:tab w:val="left" w:pos="1701"/>
        </w:tabs>
        <w:spacing w:line="360" w:lineRule="auto"/>
        <w:ind w:right="-787"/>
        <w:jc w:val="both"/>
        <w:rPr>
          <w:rFonts w:ascii="Palatino Linotype" w:eastAsia="Palatino Linotype" w:hAnsi="Palatino Linotype" w:cs="Palatino Linotype"/>
          <w:color w:val="000000" w:themeColor="text1"/>
        </w:rPr>
      </w:pPr>
    </w:p>
    <w:p w14:paraId="3E8AA42B" w14:textId="77777777" w:rsidR="00A2699D" w:rsidRPr="009859BE" w:rsidRDefault="007322B5">
      <w:pPr>
        <w:widowControl w:val="0"/>
        <w:tabs>
          <w:tab w:val="left" w:pos="1701"/>
        </w:tabs>
        <w:spacing w:line="360" w:lineRule="auto"/>
        <w:ind w:right="-787"/>
        <w:jc w:val="both"/>
        <w:rPr>
          <w:rFonts w:ascii="Palatino Linotype" w:eastAsia="Palatino Linotype" w:hAnsi="Palatino Linotype" w:cs="Palatino Linotype"/>
          <w:b/>
          <w:color w:val="000000" w:themeColor="text1"/>
        </w:rPr>
      </w:pPr>
      <w:r w:rsidRPr="009859BE">
        <w:rPr>
          <w:rFonts w:ascii="Palatino Linotype" w:eastAsia="Palatino Linotype" w:hAnsi="Palatino Linotype" w:cs="Palatino Linotype"/>
          <w:b/>
          <w:color w:val="000000" w:themeColor="text1"/>
        </w:rPr>
        <w:t>TERCERO</w:t>
      </w:r>
      <w:r w:rsidRPr="009859BE">
        <w:rPr>
          <w:rFonts w:ascii="Palatino Linotype" w:eastAsia="Palatino Linotype" w:hAnsi="Palatino Linotype" w:cs="Palatino Linotype"/>
          <w:color w:val="000000" w:themeColor="text1"/>
        </w:rPr>
        <w:t xml:space="preserve">. </w:t>
      </w:r>
      <w:r w:rsidRPr="009859BE">
        <w:rPr>
          <w:rFonts w:ascii="Palatino Linotype" w:eastAsia="Palatino Linotype" w:hAnsi="Palatino Linotype" w:cs="Palatino Linotype"/>
          <w:b/>
          <w:color w:val="000000" w:themeColor="text1"/>
        </w:rPr>
        <w:t>Notifíquese</w:t>
      </w:r>
      <w:r w:rsidRPr="009859BE">
        <w:rPr>
          <w:rFonts w:ascii="Palatino Linotype" w:eastAsia="Palatino Linotype" w:hAnsi="Palatino Linotype" w:cs="Palatino Linotype"/>
          <w:color w:val="000000" w:themeColor="text1"/>
        </w:rPr>
        <w:t xml:space="preserve"> a </w:t>
      </w:r>
      <w:r w:rsidRPr="009859BE">
        <w:rPr>
          <w:rFonts w:ascii="Palatino Linotype" w:eastAsia="Palatino Linotype" w:hAnsi="Palatino Linotype" w:cs="Palatino Linotype"/>
          <w:b/>
          <w:color w:val="000000" w:themeColor="text1"/>
        </w:rPr>
        <w:t>EL RECURRENTE</w:t>
      </w:r>
      <w:r w:rsidRPr="009859BE">
        <w:rPr>
          <w:rFonts w:ascii="Palatino Linotype" w:eastAsia="Palatino Linotype" w:hAnsi="Palatino Linotype" w:cs="Palatino Linotype"/>
          <w:color w:val="000000" w:themeColor="text1"/>
        </w:rPr>
        <w:t xml:space="preserve"> la presente Resolución vía </w:t>
      </w:r>
      <w:r w:rsidRPr="009859BE">
        <w:rPr>
          <w:rFonts w:ascii="Palatino Linotype" w:eastAsia="Palatino Linotype" w:hAnsi="Palatino Linotype" w:cs="Palatino Linotype"/>
          <w:b/>
          <w:color w:val="000000" w:themeColor="text1"/>
        </w:rPr>
        <w:t>SAIMEX.</w:t>
      </w:r>
    </w:p>
    <w:p w14:paraId="67C8ED18" w14:textId="77777777" w:rsidR="00A2699D" w:rsidRPr="009859BE" w:rsidRDefault="00A2699D">
      <w:pPr>
        <w:widowControl w:val="0"/>
        <w:tabs>
          <w:tab w:val="left" w:pos="1701"/>
        </w:tabs>
        <w:spacing w:line="360" w:lineRule="auto"/>
        <w:ind w:right="-787"/>
        <w:jc w:val="both"/>
        <w:rPr>
          <w:rFonts w:ascii="Palatino Linotype" w:eastAsia="Palatino Linotype" w:hAnsi="Palatino Linotype" w:cs="Palatino Linotype"/>
          <w:b/>
          <w:color w:val="000000" w:themeColor="text1"/>
        </w:rPr>
      </w:pPr>
    </w:p>
    <w:p w14:paraId="223CAC01" w14:textId="77777777" w:rsidR="00A2699D" w:rsidRPr="009859BE" w:rsidRDefault="007322B5">
      <w:pPr>
        <w:shd w:val="clear" w:color="auto" w:fill="FFFFFF"/>
        <w:spacing w:line="360" w:lineRule="auto"/>
        <w:ind w:right="-787"/>
        <w:jc w:val="both"/>
        <w:rPr>
          <w:rFonts w:ascii="Palatino Linotype" w:eastAsia="Palatino Linotype" w:hAnsi="Palatino Linotype" w:cs="Palatino Linotype"/>
          <w:color w:val="000000" w:themeColor="text1"/>
        </w:rPr>
      </w:pPr>
      <w:r w:rsidRPr="009859BE">
        <w:rPr>
          <w:rFonts w:ascii="Palatino Linotype" w:eastAsia="Palatino Linotype" w:hAnsi="Palatino Linotype" w:cs="Palatino Linotype"/>
          <w:b/>
          <w:color w:val="000000" w:themeColor="text1"/>
        </w:rPr>
        <w:t>CUARTO.</w:t>
      </w:r>
      <w:r w:rsidRPr="009859BE">
        <w:rPr>
          <w:rFonts w:ascii="Palatino Linotype" w:eastAsia="Palatino Linotype" w:hAnsi="Palatino Linotype" w:cs="Palatino Linotype"/>
          <w:color w:val="000000" w:themeColor="text1"/>
        </w:rPr>
        <w:t xml:space="preserve"> Se hace del conocimiento de </w:t>
      </w:r>
      <w:r w:rsidRPr="009859BE">
        <w:rPr>
          <w:rFonts w:ascii="Palatino Linotype" w:eastAsia="Palatino Linotype" w:hAnsi="Palatino Linotype" w:cs="Palatino Linotype"/>
          <w:b/>
          <w:color w:val="000000" w:themeColor="text1"/>
        </w:rPr>
        <w:t>EL RECURRENTE</w:t>
      </w:r>
      <w:r w:rsidRPr="009859BE">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C9F66A0" w14:textId="77777777" w:rsidR="00A2699D" w:rsidRPr="009859BE" w:rsidRDefault="00A2699D">
      <w:pPr>
        <w:shd w:val="clear" w:color="auto" w:fill="FFFFFF"/>
        <w:spacing w:line="360" w:lineRule="auto"/>
        <w:ind w:right="-787"/>
        <w:jc w:val="both"/>
        <w:rPr>
          <w:rFonts w:ascii="Palatino Linotype" w:eastAsia="Palatino Linotype" w:hAnsi="Palatino Linotype" w:cs="Palatino Linotype"/>
          <w:color w:val="000000" w:themeColor="text1"/>
        </w:rPr>
      </w:pPr>
      <w:bookmarkStart w:id="8" w:name="_heading=h.2s8eyo1" w:colFirst="0" w:colLast="0"/>
      <w:bookmarkEnd w:id="8"/>
    </w:p>
    <w:p w14:paraId="39478BD5" w14:textId="77777777" w:rsidR="001006E7" w:rsidRDefault="001006E7" w:rsidP="001006E7">
      <w:pPr>
        <w:spacing w:before="240" w:after="240" w:line="360" w:lineRule="auto"/>
        <w:ind w:right="-800"/>
        <w:jc w:val="both"/>
        <w:rPr>
          <w:rFonts w:ascii="Palatino Linotype" w:eastAsia="Palatino Linotype" w:hAnsi="Palatino Linotype" w:cs="Palatino Linotype"/>
        </w:rPr>
      </w:pPr>
      <w:r w:rsidRPr="009859B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14:paraId="1D545532" w14:textId="77777777" w:rsidR="00A2699D" w:rsidRPr="00C3439A" w:rsidRDefault="00A2699D">
      <w:pPr>
        <w:spacing w:line="360" w:lineRule="auto"/>
        <w:ind w:right="-787"/>
        <w:jc w:val="both"/>
        <w:rPr>
          <w:rFonts w:ascii="Palatino Linotype" w:eastAsia="Palatino Linotype" w:hAnsi="Palatino Linotype" w:cs="Palatino Linotype"/>
          <w:color w:val="000000" w:themeColor="text1"/>
        </w:rPr>
      </w:pPr>
    </w:p>
    <w:p w14:paraId="47550E38" w14:textId="77777777" w:rsidR="00A2699D" w:rsidRPr="00C3439A" w:rsidRDefault="00A2699D">
      <w:pPr>
        <w:spacing w:line="360" w:lineRule="auto"/>
        <w:ind w:right="-787"/>
        <w:jc w:val="both"/>
        <w:rPr>
          <w:rFonts w:ascii="Palatino Linotype" w:eastAsia="Palatino Linotype" w:hAnsi="Palatino Linotype" w:cs="Palatino Linotype"/>
          <w:color w:val="000000" w:themeColor="text1"/>
        </w:rPr>
      </w:pPr>
    </w:p>
    <w:p w14:paraId="250F56E2" w14:textId="77777777" w:rsidR="00A2699D" w:rsidRPr="00C3439A" w:rsidRDefault="00A2699D">
      <w:pPr>
        <w:spacing w:line="360" w:lineRule="auto"/>
        <w:ind w:right="-787"/>
        <w:jc w:val="both"/>
        <w:rPr>
          <w:rFonts w:ascii="Palatino Linotype" w:eastAsia="Palatino Linotype" w:hAnsi="Palatino Linotype" w:cs="Palatino Linotype"/>
          <w:color w:val="000000" w:themeColor="text1"/>
        </w:rPr>
      </w:pPr>
    </w:p>
    <w:p w14:paraId="5884DC17" w14:textId="77777777" w:rsidR="00A2699D" w:rsidRPr="00C3439A" w:rsidRDefault="00A2699D">
      <w:pPr>
        <w:spacing w:line="360" w:lineRule="auto"/>
        <w:ind w:right="-787"/>
        <w:jc w:val="both"/>
        <w:rPr>
          <w:rFonts w:ascii="Palatino Linotype" w:eastAsia="Palatino Linotype" w:hAnsi="Palatino Linotype" w:cs="Palatino Linotype"/>
          <w:color w:val="000000" w:themeColor="text1"/>
        </w:rPr>
      </w:pPr>
    </w:p>
    <w:p w14:paraId="7BFC3CD6" w14:textId="77777777" w:rsidR="00A2699D" w:rsidRPr="00C3439A" w:rsidRDefault="00A2699D">
      <w:pPr>
        <w:spacing w:line="360" w:lineRule="auto"/>
        <w:ind w:right="-787"/>
        <w:jc w:val="both"/>
        <w:rPr>
          <w:rFonts w:ascii="Palatino Linotype" w:eastAsia="Palatino Linotype" w:hAnsi="Palatino Linotype" w:cs="Palatino Linotype"/>
          <w:color w:val="000000" w:themeColor="text1"/>
        </w:rPr>
      </w:pPr>
    </w:p>
    <w:p w14:paraId="16B6DFD2" w14:textId="77777777" w:rsidR="00A2699D" w:rsidRPr="00C3439A" w:rsidRDefault="00A2699D">
      <w:pPr>
        <w:spacing w:line="360" w:lineRule="auto"/>
        <w:ind w:right="-787"/>
        <w:jc w:val="both"/>
        <w:rPr>
          <w:rFonts w:ascii="Palatino Linotype" w:eastAsia="Palatino Linotype" w:hAnsi="Palatino Linotype" w:cs="Palatino Linotype"/>
          <w:color w:val="000000" w:themeColor="text1"/>
        </w:rPr>
      </w:pPr>
    </w:p>
    <w:p w14:paraId="00B53B5B" w14:textId="77777777" w:rsidR="00A2699D" w:rsidRPr="00C3439A" w:rsidRDefault="00A2699D">
      <w:pPr>
        <w:spacing w:line="360" w:lineRule="auto"/>
        <w:ind w:right="-787"/>
        <w:jc w:val="both"/>
        <w:rPr>
          <w:rFonts w:ascii="Palatino Linotype" w:eastAsia="Palatino Linotype" w:hAnsi="Palatino Linotype" w:cs="Palatino Linotype"/>
          <w:color w:val="000000" w:themeColor="text1"/>
        </w:rPr>
      </w:pPr>
    </w:p>
    <w:p w14:paraId="43B2D126" w14:textId="77777777" w:rsidR="00A2699D" w:rsidRPr="00C3439A" w:rsidRDefault="00A2699D">
      <w:pPr>
        <w:spacing w:line="360" w:lineRule="auto"/>
        <w:ind w:right="-787"/>
        <w:jc w:val="both"/>
        <w:rPr>
          <w:rFonts w:ascii="Palatino Linotype" w:eastAsia="Palatino Linotype" w:hAnsi="Palatino Linotype" w:cs="Palatino Linotype"/>
          <w:color w:val="000000" w:themeColor="text1"/>
        </w:rPr>
      </w:pPr>
    </w:p>
    <w:p w14:paraId="3E0E7666" w14:textId="77777777" w:rsidR="00A2699D" w:rsidRPr="00C3439A" w:rsidRDefault="00A2699D">
      <w:pPr>
        <w:spacing w:line="360" w:lineRule="auto"/>
        <w:ind w:right="-787"/>
        <w:jc w:val="both"/>
        <w:rPr>
          <w:rFonts w:ascii="Palatino Linotype" w:eastAsia="Palatino Linotype" w:hAnsi="Palatino Linotype" w:cs="Palatino Linotype"/>
          <w:color w:val="000000" w:themeColor="text1"/>
        </w:rPr>
      </w:pPr>
    </w:p>
    <w:p w14:paraId="4BE0F2F5" w14:textId="77777777" w:rsidR="00A2699D" w:rsidRPr="00C3439A" w:rsidRDefault="00A2699D">
      <w:pPr>
        <w:spacing w:line="360" w:lineRule="auto"/>
        <w:ind w:right="-787"/>
        <w:rPr>
          <w:rFonts w:ascii="Palatino Linotype" w:eastAsia="Palatino Linotype" w:hAnsi="Palatino Linotype" w:cs="Palatino Linotype"/>
          <w:color w:val="000000" w:themeColor="text1"/>
        </w:rPr>
      </w:pPr>
    </w:p>
    <w:p w14:paraId="0FD57AEC" w14:textId="77777777" w:rsidR="00A2699D" w:rsidRPr="00C3439A" w:rsidRDefault="00A2699D">
      <w:pPr>
        <w:spacing w:line="360" w:lineRule="auto"/>
        <w:ind w:right="-787"/>
        <w:rPr>
          <w:rFonts w:ascii="Palatino Linotype" w:eastAsia="Palatino Linotype" w:hAnsi="Palatino Linotype" w:cs="Palatino Linotype"/>
          <w:color w:val="000000" w:themeColor="text1"/>
        </w:rPr>
      </w:pPr>
    </w:p>
    <w:p w14:paraId="0BD96204" w14:textId="77777777" w:rsidR="00A2699D" w:rsidRPr="00C3439A" w:rsidRDefault="00A2699D">
      <w:pPr>
        <w:spacing w:line="360" w:lineRule="auto"/>
        <w:ind w:right="-787"/>
        <w:rPr>
          <w:rFonts w:ascii="Palatino Linotype" w:eastAsia="Palatino Linotype" w:hAnsi="Palatino Linotype" w:cs="Palatino Linotype"/>
          <w:color w:val="000000" w:themeColor="text1"/>
        </w:rPr>
      </w:pPr>
    </w:p>
    <w:p w14:paraId="2D91E25C" w14:textId="77777777" w:rsidR="00A2699D" w:rsidRPr="00C3439A" w:rsidRDefault="00A2699D">
      <w:pPr>
        <w:spacing w:line="360" w:lineRule="auto"/>
        <w:ind w:right="-787"/>
        <w:rPr>
          <w:rFonts w:ascii="Palatino Linotype" w:eastAsia="Palatino Linotype" w:hAnsi="Palatino Linotype" w:cs="Palatino Linotype"/>
          <w:color w:val="000000" w:themeColor="text1"/>
        </w:rPr>
      </w:pPr>
    </w:p>
    <w:p w14:paraId="50A5B205" w14:textId="77777777" w:rsidR="00A2699D" w:rsidRPr="00C3439A" w:rsidRDefault="00A2699D">
      <w:pPr>
        <w:spacing w:line="360" w:lineRule="auto"/>
        <w:ind w:right="-787"/>
        <w:rPr>
          <w:rFonts w:ascii="Palatino Linotype" w:eastAsia="Palatino Linotype" w:hAnsi="Palatino Linotype" w:cs="Palatino Linotype"/>
          <w:color w:val="000000" w:themeColor="text1"/>
        </w:rPr>
      </w:pPr>
    </w:p>
    <w:p w14:paraId="7FAB5868" w14:textId="77777777" w:rsidR="00A2699D" w:rsidRPr="00C3439A" w:rsidRDefault="00A2699D">
      <w:pPr>
        <w:spacing w:line="360" w:lineRule="auto"/>
        <w:ind w:right="-787"/>
        <w:rPr>
          <w:rFonts w:ascii="Palatino Linotype" w:eastAsia="Palatino Linotype" w:hAnsi="Palatino Linotype" w:cs="Palatino Linotype"/>
          <w:color w:val="000000" w:themeColor="text1"/>
        </w:rPr>
      </w:pPr>
    </w:p>
    <w:p w14:paraId="6B6B91E1" w14:textId="77777777" w:rsidR="00A2699D" w:rsidRPr="00C3439A" w:rsidRDefault="00A2699D">
      <w:pPr>
        <w:spacing w:line="360" w:lineRule="auto"/>
        <w:ind w:right="-787"/>
        <w:rPr>
          <w:rFonts w:ascii="Palatino Linotype" w:eastAsia="Palatino Linotype" w:hAnsi="Palatino Linotype" w:cs="Palatino Linotype"/>
          <w:color w:val="000000" w:themeColor="text1"/>
        </w:rPr>
      </w:pPr>
    </w:p>
    <w:p w14:paraId="18C84792" w14:textId="77777777" w:rsidR="00A2699D" w:rsidRPr="00C3439A" w:rsidRDefault="007322B5">
      <w:pPr>
        <w:tabs>
          <w:tab w:val="left" w:pos="3374"/>
        </w:tabs>
        <w:spacing w:line="360" w:lineRule="auto"/>
        <w:ind w:right="-787"/>
        <w:rPr>
          <w:rFonts w:ascii="Palatino Linotype" w:eastAsia="Palatino Linotype" w:hAnsi="Palatino Linotype" w:cs="Palatino Linotype"/>
          <w:color w:val="000000" w:themeColor="text1"/>
        </w:rPr>
      </w:pPr>
      <w:r w:rsidRPr="00C3439A">
        <w:rPr>
          <w:rFonts w:ascii="Palatino Linotype" w:eastAsia="Palatino Linotype" w:hAnsi="Palatino Linotype" w:cs="Palatino Linotype"/>
          <w:color w:val="000000" w:themeColor="text1"/>
        </w:rPr>
        <w:tab/>
      </w:r>
    </w:p>
    <w:p w14:paraId="566E75FE" w14:textId="77777777" w:rsidR="00A2699D" w:rsidRPr="00C3439A" w:rsidRDefault="00A2699D">
      <w:pPr>
        <w:tabs>
          <w:tab w:val="left" w:pos="3374"/>
        </w:tabs>
        <w:spacing w:line="360" w:lineRule="auto"/>
        <w:ind w:right="-787"/>
        <w:rPr>
          <w:rFonts w:ascii="Palatino Linotype" w:eastAsia="Palatino Linotype" w:hAnsi="Palatino Linotype" w:cs="Palatino Linotype"/>
          <w:color w:val="000000" w:themeColor="text1"/>
        </w:rPr>
      </w:pPr>
    </w:p>
    <w:p w14:paraId="66B175D3" w14:textId="77777777" w:rsidR="00A2699D" w:rsidRPr="00C3439A" w:rsidRDefault="00A2699D">
      <w:pPr>
        <w:tabs>
          <w:tab w:val="left" w:pos="3374"/>
        </w:tabs>
        <w:spacing w:line="360" w:lineRule="auto"/>
        <w:ind w:right="-787"/>
        <w:rPr>
          <w:rFonts w:ascii="Palatino Linotype" w:eastAsia="Palatino Linotype" w:hAnsi="Palatino Linotype" w:cs="Palatino Linotype"/>
          <w:color w:val="000000" w:themeColor="text1"/>
        </w:rPr>
      </w:pPr>
    </w:p>
    <w:p w14:paraId="410216B7" w14:textId="77777777" w:rsidR="00A2699D" w:rsidRPr="00C3439A" w:rsidRDefault="00A2699D">
      <w:pPr>
        <w:tabs>
          <w:tab w:val="left" w:pos="3374"/>
        </w:tabs>
        <w:spacing w:line="360" w:lineRule="auto"/>
        <w:ind w:right="-787"/>
        <w:rPr>
          <w:rFonts w:ascii="Palatino Linotype" w:eastAsia="Palatino Linotype" w:hAnsi="Palatino Linotype" w:cs="Palatino Linotype"/>
          <w:color w:val="000000" w:themeColor="text1"/>
        </w:rPr>
      </w:pPr>
    </w:p>
    <w:p w14:paraId="082E3603" w14:textId="77777777" w:rsidR="00A2699D" w:rsidRPr="00C3439A" w:rsidRDefault="00A2699D">
      <w:pPr>
        <w:tabs>
          <w:tab w:val="left" w:pos="3374"/>
        </w:tabs>
        <w:spacing w:line="360" w:lineRule="auto"/>
        <w:ind w:right="-787"/>
        <w:rPr>
          <w:rFonts w:ascii="Palatino Linotype" w:eastAsia="Palatino Linotype" w:hAnsi="Palatino Linotype" w:cs="Palatino Linotype"/>
          <w:color w:val="000000" w:themeColor="text1"/>
        </w:rPr>
      </w:pPr>
    </w:p>
    <w:p w14:paraId="6FDAC829" w14:textId="77777777" w:rsidR="00A2699D" w:rsidRPr="00C3439A" w:rsidRDefault="00A2699D">
      <w:pPr>
        <w:tabs>
          <w:tab w:val="left" w:pos="3374"/>
        </w:tabs>
        <w:spacing w:line="360" w:lineRule="auto"/>
        <w:ind w:right="-787"/>
        <w:rPr>
          <w:rFonts w:ascii="Palatino Linotype" w:eastAsia="Palatino Linotype" w:hAnsi="Palatino Linotype" w:cs="Palatino Linotype"/>
          <w:color w:val="000000" w:themeColor="text1"/>
        </w:rPr>
      </w:pPr>
    </w:p>
    <w:p w14:paraId="373DBA24" w14:textId="77777777" w:rsidR="00A2699D" w:rsidRPr="00C3439A" w:rsidRDefault="00A2699D">
      <w:pPr>
        <w:spacing w:line="360" w:lineRule="auto"/>
        <w:ind w:right="-787"/>
        <w:rPr>
          <w:rFonts w:ascii="Palatino Linotype" w:eastAsia="Palatino Linotype" w:hAnsi="Palatino Linotype" w:cs="Palatino Linotype"/>
          <w:color w:val="000000" w:themeColor="text1"/>
        </w:rPr>
      </w:pPr>
    </w:p>
    <w:sectPr w:rsidR="00A2699D" w:rsidRPr="00C3439A">
      <w:headerReference w:type="even" r:id="rId10"/>
      <w:headerReference w:type="default" r:id="rId11"/>
      <w:footerReference w:type="default" r:id="rId12"/>
      <w:headerReference w:type="first" r:id="rId13"/>
      <w:footerReference w:type="first" r:id="rId14"/>
      <w:pgSz w:w="12240" w:h="15840"/>
      <w:pgMar w:top="2694" w:right="1701" w:bottom="1702" w:left="1559"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E11A6" w14:textId="77777777" w:rsidR="00F9096B" w:rsidRDefault="00F9096B">
      <w:r>
        <w:separator/>
      </w:r>
    </w:p>
  </w:endnote>
  <w:endnote w:type="continuationSeparator" w:id="0">
    <w:p w14:paraId="778EE5BD" w14:textId="77777777" w:rsidR="00F9096B" w:rsidRDefault="00F9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81DB" w14:textId="77777777" w:rsidR="00A2699D" w:rsidRDefault="007322B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00B6C">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00B6C">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14:paraId="74579090" w14:textId="77777777" w:rsidR="00A2699D" w:rsidRDefault="00A2699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04A5" w14:textId="77777777" w:rsidR="00A2699D" w:rsidRDefault="007322B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00B6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00B6C">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14:paraId="0360F055" w14:textId="77777777" w:rsidR="00A2699D" w:rsidRDefault="00A2699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2E69" w14:textId="77777777" w:rsidR="00F9096B" w:rsidRDefault="00F9096B">
      <w:r>
        <w:separator/>
      </w:r>
    </w:p>
  </w:footnote>
  <w:footnote w:type="continuationSeparator" w:id="0">
    <w:p w14:paraId="11F51099" w14:textId="77777777" w:rsidR="00F9096B" w:rsidRDefault="00F90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E5BC" w14:textId="77777777" w:rsidR="00A2699D" w:rsidRDefault="00F9096B">
    <w:pPr>
      <w:pBdr>
        <w:top w:val="nil"/>
        <w:left w:val="nil"/>
        <w:bottom w:val="nil"/>
        <w:right w:val="nil"/>
        <w:between w:val="nil"/>
      </w:pBdr>
      <w:tabs>
        <w:tab w:val="center" w:pos="4419"/>
        <w:tab w:val="right" w:pos="8838"/>
      </w:tabs>
      <w:rPr>
        <w:color w:val="000000"/>
      </w:rPr>
    </w:pPr>
    <w:r>
      <w:rPr>
        <w:color w:val="000000"/>
      </w:rPr>
      <w:pict w14:anchorId="76B09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0DBEC" w14:textId="77777777" w:rsidR="00A2699D" w:rsidRDefault="00A2699D">
    <w:pPr>
      <w:widowControl w:val="0"/>
      <w:pBdr>
        <w:top w:val="nil"/>
        <w:left w:val="nil"/>
        <w:bottom w:val="nil"/>
        <w:right w:val="nil"/>
        <w:between w:val="nil"/>
      </w:pBdr>
      <w:spacing w:line="276" w:lineRule="auto"/>
      <w:rPr>
        <w:color w:val="000000"/>
      </w:rPr>
    </w:pPr>
  </w:p>
  <w:tbl>
    <w:tblPr>
      <w:tblStyle w:val="a2"/>
      <w:tblW w:w="7275" w:type="dxa"/>
      <w:tblInd w:w="2694" w:type="dxa"/>
      <w:tblLayout w:type="fixed"/>
      <w:tblLook w:val="0400" w:firstRow="0" w:lastRow="0" w:firstColumn="0" w:lastColumn="0" w:noHBand="0" w:noVBand="1"/>
    </w:tblPr>
    <w:tblGrid>
      <w:gridCol w:w="3260"/>
      <w:gridCol w:w="4015"/>
    </w:tblGrid>
    <w:tr w:rsidR="00A2699D" w14:paraId="3D1A0FDD" w14:textId="77777777">
      <w:trPr>
        <w:trHeight w:val="227"/>
      </w:trPr>
      <w:tc>
        <w:tcPr>
          <w:tcW w:w="3260" w:type="dxa"/>
          <w:vAlign w:val="center"/>
        </w:tcPr>
        <w:p w14:paraId="2C31D543" w14:textId="77777777" w:rsidR="00A2699D" w:rsidRDefault="007322B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15" w:type="dxa"/>
          <w:vAlign w:val="center"/>
        </w:tcPr>
        <w:p w14:paraId="0ECF2DBB" w14:textId="77777777" w:rsidR="00A2699D" w:rsidRDefault="007322B5">
          <w:pPr>
            <w:tabs>
              <w:tab w:val="center" w:pos="4419"/>
              <w:tab w:val="right" w:pos="8838"/>
            </w:tabs>
            <w:ind w:right="-116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00278/INFOEM/IP/RR/2025</w:t>
          </w:r>
        </w:p>
      </w:tc>
    </w:tr>
    <w:tr w:rsidR="00A2699D" w14:paraId="0E79F8C3" w14:textId="77777777">
      <w:trPr>
        <w:trHeight w:val="242"/>
      </w:trPr>
      <w:tc>
        <w:tcPr>
          <w:tcW w:w="3260" w:type="dxa"/>
          <w:vAlign w:val="center"/>
        </w:tcPr>
        <w:p w14:paraId="2BDF5C37" w14:textId="77777777" w:rsidR="00A2699D" w:rsidRDefault="007322B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15" w:type="dxa"/>
          <w:vAlign w:val="center"/>
        </w:tcPr>
        <w:p w14:paraId="32E17609" w14:textId="77777777" w:rsidR="00A2699D" w:rsidRDefault="007322B5">
          <w:pPr>
            <w:pBdr>
              <w:top w:val="nil"/>
              <w:left w:val="nil"/>
              <w:bottom w:val="nil"/>
              <w:right w:val="nil"/>
              <w:between w:val="nil"/>
            </w:pBdr>
            <w:tabs>
              <w:tab w:val="center" w:pos="4419"/>
              <w:tab w:val="right" w:pos="8838"/>
            </w:tabs>
            <w:ind w:right="-1160"/>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Cuautitlán Izcalli</w:t>
          </w:r>
        </w:p>
      </w:tc>
    </w:tr>
    <w:tr w:rsidR="00A2699D" w14:paraId="361F9F40" w14:textId="77777777">
      <w:trPr>
        <w:trHeight w:val="342"/>
      </w:trPr>
      <w:tc>
        <w:tcPr>
          <w:tcW w:w="3260" w:type="dxa"/>
          <w:vAlign w:val="center"/>
        </w:tcPr>
        <w:p w14:paraId="7848FADF" w14:textId="77777777" w:rsidR="00A2699D" w:rsidRDefault="007322B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15" w:type="dxa"/>
          <w:vAlign w:val="center"/>
        </w:tcPr>
        <w:p w14:paraId="22CD3965" w14:textId="77777777" w:rsidR="00A2699D" w:rsidRDefault="007322B5">
          <w:pPr>
            <w:pBdr>
              <w:top w:val="nil"/>
              <w:left w:val="nil"/>
              <w:bottom w:val="nil"/>
              <w:right w:val="nil"/>
              <w:between w:val="nil"/>
            </w:pBdr>
            <w:tabs>
              <w:tab w:val="center" w:pos="4419"/>
              <w:tab w:val="right" w:pos="8838"/>
            </w:tabs>
            <w:ind w:right="-116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62D1FA1" w14:textId="77777777" w:rsidR="00A2699D" w:rsidRDefault="00F9096B">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6F05C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1.85pt;margin-top:-138.9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091F" w14:textId="77777777" w:rsidR="00A2699D" w:rsidRDefault="00A2699D">
    <w:pPr>
      <w:widowControl w:val="0"/>
      <w:pBdr>
        <w:top w:val="nil"/>
        <w:left w:val="nil"/>
        <w:bottom w:val="nil"/>
        <w:right w:val="nil"/>
        <w:between w:val="nil"/>
      </w:pBdr>
      <w:spacing w:line="276" w:lineRule="auto"/>
      <w:rPr>
        <w:color w:val="000000"/>
        <w:sz w:val="14"/>
        <w:szCs w:val="14"/>
      </w:rPr>
    </w:pPr>
  </w:p>
  <w:tbl>
    <w:tblPr>
      <w:tblStyle w:val="a3"/>
      <w:tblW w:w="8080" w:type="dxa"/>
      <w:tblInd w:w="1985" w:type="dxa"/>
      <w:tblLayout w:type="fixed"/>
      <w:tblLook w:val="0400" w:firstRow="0" w:lastRow="0" w:firstColumn="0" w:lastColumn="0" w:noHBand="0" w:noVBand="1"/>
    </w:tblPr>
    <w:tblGrid>
      <w:gridCol w:w="3969"/>
      <w:gridCol w:w="4111"/>
    </w:tblGrid>
    <w:tr w:rsidR="00A2699D" w14:paraId="4CBAF070" w14:textId="77777777">
      <w:trPr>
        <w:trHeight w:val="227"/>
      </w:trPr>
      <w:tc>
        <w:tcPr>
          <w:tcW w:w="3969" w:type="dxa"/>
          <w:vAlign w:val="center"/>
        </w:tcPr>
        <w:p w14:paraId="1A059B91" w14:textId="77777777" w:rsidR="00A2699D" w:rsidRDefault="007322B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14:paraId="642DD115" w14:textId="77777777" w:rsidR="00A2699D" w:rsidRDefault="007322B5">
          <w:pPr>
            <w:pBdr>
              <w:top w:val="nil"/>
              <w:left w:val="nil"/>
              <w:bottom w:val="nil"/>
              <w:right w:val="nil"/>
              <w:between w:val="nil"/>
            </w:pBdr>
            <w:tabs>
              <w:tab w:val="center" w:pos="4944"/>
              <w:tab w:val="right" w:pos="8838"/>
            </w:tabs>
            <w:ind w:right="-1139"/>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00278/INFOEM/IP/RR/2025</w:t>
          </w:r>
        </w:p>
      </w:tc>
    </w:tr>
    <w:tr w:rsidR="00A2699D" w14:paraId="144634B2" w14:textId="77777777">
      <w:trPr>
        <w:trHeight w:val="242"/>
      </w:trPr>
      <w:tc>
        <w:tcPr>
          <w:tcW w:w="3969" w:type="dxa"/>
          <w:vAlign w:val="center"/>
        </w:tcPr>
        <w:p w14:paraId="3AA6E269" w14:textId="77777777" w:rsidR="00A2699D" w:rsidRDefault="007322B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tcPr>
        <w:p w14:paraId="2F48BB4D" w14:textId="57916FEB" w:rsidR="00A2699D" w:rsidRDefault="00E00B6C">
          <w:pPr>
            <w:pBdr>
              <w:top w:val="nil"/>
              <w:left w:val="nil"/>
              <w:bottom w:val="nil"/>
              <w:right w:val="nil"/>
              <w:between w:val="nil"/>
            </w:pBdr>
            <w:tabs>
              <w:tab w:val="center" w:pos="4944"/>
              <w:tab w:val="right" w:pos="8838"/>
              <w:tab w:val="left" w:pos="521"/>
            </w:tabs>
            <w:ind w:right="-1139"/>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XXXX</w:t>
          </w:r>
        </w:p>
      </w:tc>
    </w:tr>
    <w:tr w:rsidR="00A2699D" w14:paraId="7FD96826" w14:textId="77777777">
      <w:trPr>
        <w:trHeight w:val="342"/>
      </w:trPr>
      <w:tc>
        <w:tcPr>
          <w:tcW w:w="3969" w:type="dxa"/>
          <w:vAlign w:val="center"/>
        </w:tcPr>
        <w:p w14:paraId="64603B39" w14:textId="77777777" w:rsidR="00A2699D" w:rsidRDefault="007322B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14:paraId="5ACCDA23" w14:textId="77777777" w:rsidR="00A2699D" w:rsidRDefault="007322B5">
          <w:pPr>
            <w:pBdr>
              <w:top w:val="nil"/>
              <w:left w:val="nil"/>
              <w:bottom w:val="nil"/>
              <w:right w:val="nil"/>
              <w:between w:val="nil"/>
            </w:pBdr>
            <w:tabs>
              <w:tab w:val="center" w:pos="4944"/>
              <w:tab w:val="right" w:pos="8838"/>
            </w:tabs>
            <w:ind w:right="-1139"/>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Ayuntamiento de Cuautitlán Izcalli</w:t>
          </w:r>
        </w:p>
      </w:tc>
    </w:tr>
    <w:tr w:rsidR="00A2699D" w14:paraId="49774056" w14:textId="77777777">
      <w:trPr>
        <w:trHeight w:val="342"/>
      </w:trPr>
      <w:tc>
        <w:tcPr>
          <w:tcW w:w="3969" w:type="dxa"/>
          <w:vAlign w:val="center"/>
        </w:tcPr>
        <w:p w14:paraId="527D682C" w14:textId="77777777" w:rsidR="00A2699D" w:rsidRDefault="007322B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14:paraId="30124F41" w14:textId="77777777" w:rsidR="00A2699D" w:rsidRDefault="007322B5">
          <w:pPr>
            <w:pBdr>
              <w:top w:val="nil"/>
              <w:left w:val="nil"/>
              <w:bottom w:val="nil"/>
              <w:right w:val="nil"/>
              <w:between w:val="nil"/>
            </w:pBdr>
            <w:tabs>
              <w:tab w:val="center" w:pos="4944"/>
              <w:tab w:val="right" w:pos="8838"/>
            </w:tabs>
            <w:ind w:right="-1139"/>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EEC0745" w14:textId="77777777" w:rsidR="00A2699D" w:rsidRDefault="00F9096B">
    <w:pPr>
      <w:pBdr>
        <w:top w:val="nil"/>
        <w:left w:val="nil"/>
        <w:bottom w:val="nil"/>
        <w:right w:val="nil"/>
        <w:between w:val="nil"/>
      </w:pBdr>
      <w:tabs>
        <w:tab w:val="right" w:pos="8838"/>
      </w:tabs>
      <w:rPr>
        <w:color w:val="000000"/>
        <w:sz w:val="16"/>
        <w:szCs w:val="16"/>
      </w:rPr>
    </w:pPr>
    <w:r>
      <w:rPr>
        <w:sz w:val="14"/>
        <w:szCs w:val="14"/>
      </w:rPr>
      <w:pict w14:anchorId="4CCF5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78.75pt;margin-top:-145.05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3047E"/>
    <w:multiLevelType w:val="multilevel"/>
    <w:tmpl w:val="1E0883AC"/>
    <w:lvl w:ilvl="0">
      <w:start w:val="7"/>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B6349A"/>
    <w:multiLevelType w:val="multilevel"/>
    <w:tmpl w:val="7EFAC88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15:restartNumberingAfterBreak="0">
    <w:nsid w:val="5AD1543B"/>
    <w:multiLevelType w:val="multilevel"/>
    <w:tmpl w:val="23DAC8EE"/>
    <w:lvl w:ilvl="0">
      <w:start w:val="1"/>
      <w:numFmt w:val="lowerLetter"/>
      <w:lvlText w:val="%1."/>
      <w:lvlJc w:val="left"/>
      <w:pPr>
        <w:ind w:left="1713" w:hanging="360"/>
      </w:pPr>
      <w:rPr>
        <w:b/>
        <w:i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 w15:restartNumberingAfterBreak="0">
    <w:nsid w:val="7B2D4361"/>
    <w:multiLevelType w:val="multilevel"/>
    <w:tmpl w:val="677C8464"/>
    <w:lvl w:ilvl="0">
      <w:start w:val="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7C2C7DDE"/>
    <w:multiLevelType w:val="multilevel"/>
    <w:tmpl w:val="F74CD610"/>
    <w:lvl w:ilvl="0">
      <w:start w:val="1"/>
      <w:numFmt w:val="decimal"/>
      <w:lvlText w:val="%1."/>
      <w:lvlJc w:val="left"/>
      <w:pPr>
        <w:ind w:left="36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9D"/>
    <w:rsid w:val="001006E7"/>
    <w:rsid w:val="004177E4"/>
    <w:rsid w:val="007322B5"/>
    <w:rsid w:val="009511DB"/>
    <w:rsid w:val="009859BE"/>
    <w:rsid w:val="00A2699D"/>
    <w:rsid w:val="00A32A72"/>
    <w:rsid w:val="00C3439A"/>
    <w:rsid w:val="00C349C7"/>
    <w:rsid w:val="00E00B6C"/>
    <w:rsid w:val="00E07D85"/>
    <w:rsid w:val="00E131E4"/>
    <w:rsid w:val="00F909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73D7A6"/>
  <w15:docId w15:val="{2B4EE144-35A6-4AB8-BBF2-F1DE55C4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4D1B9C"/>
    <w:rPr>
      <w:color w:val="0563C1" w:themeColor="hyperlink"/>
      <w:u w:val="single"/>
    </w:rPr>
  </w:style>
  <w:style w:type="paragraph" w:customStyle="1" w:styleId="Default">
    <w:name w:val="Default"/>
    <w:qFormat/>
    <w:rsid w:val="00853081"/>
    <w:pPr>
      <w:autoSpaceDE w:val="0"/>
      <w:autoSpaceDN w:val="0"/>
      <w:adjustRightInd w:val="0"/>
    </w:pPr>
    <w:rPr>
      <w:rFonts w:ascii="Palatino Linotype" w:hAnsi="Palatino Linotype" w:cs="Palatino Linotype"/>
      <w:color w:val="000000"/>
    </w:rPr>
  </w:style>
  <w:style w:type="table" w:customStyle="1" w:styleId="Tablanormal12">
    <w:name w:val="Tabla normal 12"/>
    <w:basedOn w:val="Tablanormal"/>
    <w:next w:val="Tablanormal1"/>
    <w:uiPriority w:val="41"/>
    <w:rsid w:val="00F00D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AF40E2"/>
    <w:rPr>
      <w:sz w:val="16"/>
      <w:szCs w:val="16"/>
    </w:rPr>
  </w:style>
  <w:style w:type="paragraph" w:styleId="Textocomentario">
    <w:name w:val="annotation text"/>
    <w:basedOn w:val="Normal"/>
    <w:link w:val="TextocomentarioCar"/>
    <w:uiPriority w:val="99"/>
    <w:semiHidden/>
    <w:unhideWhenUsed/>
    <w:rsid w:val="00AF40E2"/>
    <w:rPr>
      <w:sz w:val="20"/>
      <w:szCs w:val="20"/>
    </w:rPr>
  </w:style>
  <w:style w:type="character" w:customStyle="1" w:styleId="TextocomentarioCar">
    <w:name w:val="Texto comentario Car"/>
    <w:basedOn w:val="Fuentedeprrafopredeter"/>
    <w:link w:val="Textocomentario"/>
    <w:uiPriority w:val="99"/>
    <w:semiHidden/>
    <w:rsid w:val="00AF40E2"/>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F40E2"/>
    <w:rPr>
      <w:b/>
      <w:bCs/>
    </w:rPr>
  </w:style>
  <w:style w:type="character" w:customStyle="1" w:styleId="AsuntodelcomentarioCar">
    <w:name w:val="Asunto del comentario Car"/>
    <w:basedOn w:val="TextocomentarioCar"/>
    <w:link w:val="Asuntodelcomentario"/>
    <w:uiPriority w:val="99"/>
    <w:semiHidden/>
    <w:rsid w:val="00AF40E2"/>
    <w:rPr>
      <w:rFonts w:eastAsiaTheme="minorEastAsia"/>
      <w:b/>
      <w:bCs/>
      <w:sz w:val="20"/>
      <w:szCs w:val="20"/>
      <w:lang w:eastAsia="es-ES"/>
    </w:rPr>
  </w:style>
  <w:style w:type="paragraph" w:styleId="Textodeglobo">
    <w:name w:val="Balloon Text"/>
    <w:basedOn w:val="Normal"/>
    <w:link w:val="TextodegloboCar"/>
    <w:uiPriority w:val="99"/>
    <w:semiHidden/>
    <w:unhideWhenUsed/>
    <w:rsid w:val="00AF40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0E2"/>
    <w:rPr>
      <w:rFonts w:ascii="Segoe UI" w:eastAsiaTheme="minorEastAsia" w:hAnsi="Segoe UI" w:cs="Segoe UI"/>
      <w:sz w:val="18"/>
      <w:szCs w:val="18"/>
      <w:lang w:eastAsia="es-ES"/>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LFUeHySmEnH45g+gUz+C3p+qA==">CgMxLjAyCGguZ2pkZ3hzMgloLjN6bnlzaDcyCWguMmV0OTJwMDIIaC50eWpjd3QyCWguM2R5NnZrbTIJaC40ZDM0b2c4MgloLjE3ZHA4dnUyCWguMnM4ZXlvMTgAciExQkUwN25zT011R1pwWjhiZXctMW9TVVBtcnlEWmI4ZUU=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3144</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7</cp:revision>
  <cp:lastPrinted>2025-03-24T15:39:00Z</cp:lastPrinted>
  <dcterms:created xsi:type="dcterms:W3CDTF">2025-03-11T16:44:00Z</dcterms:created>
  <dcterms:modified xsi:type="dcterms:W3CDTF">2025-04-01T18:32:00Z</dcterms:modified>
</cp:coreProperties>
</file>