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D3E9094" w14:textId="77777777" w:rsidR="00342378" w:rsidRPr="00AC4A81" w:rsidRDefault="00342378">
          <w:pPr>
            <w:pStyle w:val="TtuloTDC"/>
            <w:rPr>
              <w:rFonts w:ascii="Palatino Linotype" w:hAnsi="Palatino Linotype"/>
              <w:color w:val="auto"/>
              <w:sz w:val="22"/>
              <w:szCs w:val="22"/>
            </w:rPr>
          </w:pPr>
          <w:r w:rsidRPr="00AC4A81">
            <w:rPr>
              <w:rFonts w:ascii="Palatino Linotype" w:hAnsi="Palatino Linotype"/>
              <w:color w:val="auto"/>
              <w:sz w:val="22"/>
              <w:szCs w:val="22"/>
              <w:lang w:val="es-ES"/>
            </w:rPr>
            <w:t>Contenido</w:t>
          </w:r>
        </w:p>
        <w:p w14:paraId="23D05286" w14:textId="69982F2F" w:rsidR="00AC4A81" w:rsidRPr="00AC4A81" w:rsidRDefault="00342378">
          <w:pPr>
            <w:pStyle w:val="TDC1"/>
            <w:tabs>
              <w:tab w:val="right" w:leader="dot" w:pos="9034"/>
            </w:tabs>
            <w:rPr>
              <w:rFonts w:asciiTheme="minorHAnsi" w:eastAsiaTheme="minorEastAsia" w:hAnsiTheme="minorHAnsi" w:cstheme="minorBidi"/>
              <w:noProof/>
              <w:sz w:val="22"/>
              <w:szCs w:val="22"/>
              <w:lang w:eastAsia="es-MX"/>
            </w:rPr>
          </w:pPr>
          <w:r w:rsidRPr="00AC4A81">
            <w:rPr>
              <w:rFonts w:ascii="Palatino Linotype" w:hAnsi="Palatino Linotype"/>
              <w:bCs/>
              <w:sz w:val="22"/>
              <w:szCs w:val="22"/>
              <w:lang w:val="es-ES"/>
            </w:rPr>
            <w:fldChar w:fldCharType="begin"/>
          </w:r>
          <w:r w:rsidRPr="00AC4A81">
            <w:rPr>
              <w:rFonts w:ascii="Palatino Linotype" w:hAnsi="Palatino Linotype"/>
              <w:bCs/>
              <w:sz w:val="22"/>
              <w:szCs w:val="22"/>
              <w:lang w:val="es-ES"/>
            </w:rPr>
            <w:instrText xml:space="preserve"> TOC \o "1-3" \h \z \u </w:instrText>
          </w:r>
          <w:r w:rsidRPr="00AC4A81">
            <w:rPr>
              <w:rFonts w:ascii="Palatino Linotype" w:hAnsi="Palatino Linotype"/>
              <w:bCs/>
              <w:sz w:val="22"/>
              <w:szCs w:val="22"/>
              <w:lang w:val="es-ES"/>
            </w:rPr>
            <w:fldChar w:fldCharType="separate"/>
          </w:r>
          <w:hyperlink w:anchor="_Toc205477920" w:history="1">
            <w:r w:rsidR="00AC4A81" w:rsidRPr="00AC4A81">
              <w:rPr>
                <w:rStyle w:val="Hipervnculo"/>
                <w:rFonts w:ascii="Palatino Linotype" w:hAnsi="Palatino Linotype"/>
                <w:noProof/>
              </w:rPr>
              <w:t>A N T E C E D E N T E S</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_Toc205477920 \h </w:instrText>
            </w:r>
            <w:r w:rsidR="00AC4A81" w:rsidRPr="00AC4A81">
              <w:rPr>
                <w:noProof/>
                <w:webHidden/>
              </w:rPr>
            </w:r>
            <w:r w:rsidR="00AC4A81" w:rsidRPr="00AC4A81">
              <w:rPr>
                <w:noProof/>
                <w:webHidden/>
              </w:rPr>
              <w:fldChar w:fldCharType="separate"/>
            </w:r>
            <w:r w:rsidR="006211A6">
              <w:rPr>
                <w:noProof/>
                <w:webHidden/>
              </w:rPr>
              <w:t>2</w:t>
            </w:r>
            <w:r w:rsidR="00AC4A81" w:rsidRPr="00AC4A81">
              <w:rPr>
                <w:noProof/>
                <w:webHidden/>
              </w:rPr>
              <w:fldChar w:fldCharType="end"/>
            </w:r>
          </w:hyperlink>
        </w:p>
        <w:p w14:paraId="09FAAE42" w14:textId="3AE74CDE"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21" w:history="1">
            <w:r w:rsidR="00AC4A81" w:rsidRPr="00AC4A81">
              <w:rPr>
                <w:rStyle w:val="Hipervnculo"/>
                <w:rFonts w:ascii="Palatino Linotype" w:hAnsi="Palatino Linotype" w:cs="Tahoma"/>
                <w:noProof/>
              </w:rPr>
              <w:t>I. Presentación de la solicitud de información</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_Toc205477921 \h </w:instrText>
            </w:r>
            <w:r w:rsidR="00AC4A81" w:rsidRPr="00AC4A81">
              <w:rPr>
                <w:noProof/>
                <w:webHidden/>
              </w:rPr>
            </w:r>
            <w:r w:rsidR="00AC4A81" w:rsidRPr="00AC4A81">
              <w:rPr>
                <w:noProof/>
                <w:webHidden/>
              </w:rPr>
              <w:fldChar w:fldCharType="separate"/>
            </w:r>
            <w:r w:rsidR="006211A6">
              <w:rPr>
                <w:noProof/>
                <w:webHidden/>
              </w:rPr>
              <w:t>2</w:t>
            </w:r>
            <w:r w:rsidR="00AC4A81" w:rsidRPr="00AC4A81">
              <w:rPr>
                <w:noProof/>
                <w:webHidden/>
              </w:rPr>
              <w:fldChar w:fldCharType="end"/>
            </w:r>
          </w:hyperlink>
        </w:p>
        <w:p w14:paraId="70FBC9B4" w14:textId="0A2D9D89"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22" w:history="1">
            <w:r w:rsidR="00AC4A81" w:rsidRPr="00AC4A81">
              <w:rPr>
                <w:rStyle w:val="Hipervnculo"/>
                <w:rFonts w:ascii="Palatino Linotype" w:hAnsi="Palatino Linotype" w:cs="Tahoma"/>
                <w:noProof/>
              </w:rPr>
              <w:t>II. Respuesta del Sujeto Obligado</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_Toc205477922 \h </w:instrText>
            </w:r>
            <w:r w:rsidR="00AC4A81" w:rsidRPr="00AC4A81">
              <w:rPr>
                <w:noProof/>
                <w:webHidden/>
              </w:rPr>
            </w:r>
            <w:r w:rsidR="00AC4A81" w:rsidRPr="00AC4A81">
              <w:rPr>
                <w:noProof/>
                <w:webHidden/>
              </w:rPr>
              <w:fldChar w:fldCharType="separate"/>
            </w:r>
            <w:r w:rsidR="006211A6">
              <w:rPr>
                <w:noProof/>
                <w:webHidden/>
              </w:rPr>
              <w:t>3</w:t>
            </w:r>
            <w:r w:rsidR="00AC4A81" w:rsidRPr="00AC4A81">
              <w:rPr>
                <w:noProof/>
                <w:webHidden/>
              </w:rPr>
              <w:fldChar w:fldCharType="end"/>
            </w:r>
          </w:hyperlink>
        </w:p>
        <w:p w14:paraId="0675F348" w14:textId="30E94A7A"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23" w:history="1">
            <w:r w:rsidR="00AC4A81" w:rsidRPr="00AC4A81">
              <w:rPr>
                <w:rStyle w:val="Hipervnculo"/>
                <w:rFonts w:ascii="Palatino Linotype" w:hAnsi="Palatino Linotype" w:cs="Tahoma"/>
                <w:noProof/>
              </w:rPr>
              <w:t>III. Interposición del Recurso de Revisión</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_Toc205477923 \h </w:instrText>
            </w:r>
            <w:r w:rsidR="00AC4A81" w:rsidRPr="00AC4A81">
              <w:rPr>
                <w:noProof/>
                <w:webHidden/>
              </w:rPr>
            </w:r>
            <w:r w:rsidR="00AC4A81" w:rsidRPr="00AC4A81">
              <w:rPr>
                <w:noProof/>
                <w:webHidden/>
              </w:rPr>
              <w:fldChar w:fldCharType="separate"/>
            </w:r>
            <w:r w:rsidR="006211A6">
              <w:rPr>
                <w:noProof/>
                <w:webHidden/>
              </w:rPr>
              <w:t>4</w:t>
            </w:r>
            <w:r w:rsidR="00AC4A81" w:rsidRPr="00AC4A81">
              <w:rPr>
                <w:noProof/>
                <w:webHidden/>
              </w:rPr>
              <w:fldChar w:fldCharType="end"/>
            </w:r>
          </w:hyperlink>
        </w:p>
        <w:p w14:paraId="7602D26A" w14:textId="6A89899A"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24" w:history="1">
            <w:r w:rsidR="00AC4A81" w:rsidRPr="00AC4A81">
              <w:rPr>
                <w:rStyle w:val="Hipervnculo"/>
                <w:rFonts w:ascii="Palatino Linotype" w:hAnsi="Palatino Linotype"/>
                <w:noProof/>
              </w:rPr>
              <w:t>IV. Trámite del Recurso de Revisión ante el Instituto</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_Toc205477924 \h </w:instrText>
            </w:r>
            <w:r w:rsidR="00AC4A81" w:rsidRPr="00AC4A81">
              <w:rPr>
                <w:noProof/>
                <w:webHidden/>
              </w:rPr>
            </w:r>
            <w:r w:rsidR="00AC4A81" w:rsidRPr="00AC4A81">
              <w:rPr>
                <w:noProof/>
                <w:webHidden/>
              </w:rPr>
              <w:fldChar w:fldCharType="separate"/>
            </w:r>
            <w:r w:rsidR="006211A6">
              <w:rPr>
                <w:noProof/>
                <w:webHidden/>
              </w:rPr>
              <w:t>5</w:t>
            </w:r>
            <w:r w:rsidR="00AC4A81" w:rsidRPr="00AC4A81">
              <w:rPr>
                <w:noProof/>
                <w:webHidden/>
              </w:rPr>
              <w:fldChar w:fldCharType="end"/>
            </w:r>
          </w:hyperlink>
        </w:p>
        <w:p w14:paraId="654F34BA" w14:textId="37F43334" w:rsidR="00AC4A81" w:rsidRPr="00AC4A81" w:rsidRDefault="0035411A">
          <w:pPr>
            <w:pStyle w:val="TDC3"/>
            <w:tabs>
              <w:tab w:val="right" w:leader="dot" w:pos="9034"/>
            </w:tabs>
            <w:rPr>
              <w:rFonts w:asciiTheme="minorHAnsi" w:eastAsiaTheme="minorEastAsia" w:hAnsiTheme="minorHAnsi" w:cstheme="minorBidi"/>
              <w:noProof/>
              <w:sz w:val="22"/>
              <w:szCs w:val="22"/>
              <w:lang w:eastAsia="es-MX"/>
            </w:rPr>
          </w:pPr>
          <w:hyperlink w:anchor="_Toc205477925" w:history="1">
            <w:r w:rsidR="00AC4A81" w:rsidRPr="00AC4A81">
              <w:rPr>
                <w:rStyle w:val="Hipervnculo"/>
                <w:rFonts w:ascii="Palatino Linotype" w:hAnsi="Palatino Linotype"/>
                <w:noProof/>
              </w:rPr>
              <w:t>a) Turno del Recurso de Revisión.</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_Toc205477925 \h </w:instrText>
            </w:r>
            <w:r w:rsidR="00AC4A81" w:rsidRPr="00AC4A81">
              <w:rPr>
                <w:noProof/>
                <w:webHidden/>
              </w:rPr>
            </w:r>
            <w:r w:rsidR="00AC4A81" w:rsidRPr="00AC4A81">
              <w:rPr>
                <w:noProof/>
                <w:webHidden/>
              </w:rPr>
              <w:fldChar w:fldCharType="separate"/>
            </w:r>
            <w:r w:rsidR="006211A6">
              <w:rPr>
                <w:noProof/>
                <w:webHidden/>
              </w:rPr>
              <w:t>5</w:t>
            </w:r>
            <w:r w:rsidR="00AC4A81" w:rsidRPr="00AC4A81">
              <w:rPr>
                <w:noProof/>
                <w:webHidden/>
              </w:rPr>
              <w:fldChar w:fldCharType="end"/>
            </w:r>
          </w:hyperlink>
        </w:p>
        <w:p w14:paraId="2AA6A61A" w14:textId="44417AB0" w:rsidR="00AC4A81" w:rsidRPr="00AC4A81" w:rsidRDefault="0035411A">
          <w:pPr>
            <w:pStyle w:val="TDC3"/>
            <w:tabs>
              <w:tab w:val="right" w:leader="dot" w:pos="9034"/>
            </w:tabs>
            <w:rPr>
              <w:rFonts w:asciiTheme="minorHAnsi" w:eastAsiaTheme="minorEastAsia" w:hAnsiTheme="minorHAnsi" w:cstheme="minorBidi"/>
              <w:noProof/>
              <w:sz w:val="22"/>
              <w:szCs w:val="22"/>
              <w:lang w:eastAsia="es-MX"/>
            </w:rPr>
          </w:pPr>
          <w:hyperlink w:anchor="_Toc205477926" w:history="1">
            <w:r w:rsidR="00AC4A81" w:rsidRPr="00AC4A81">
              <w:rPr>
                <w:rStyle w:val="Hipervnculo"/>
                <w:rFonts w:ascii="Palatino Linotype" w:hAnsi="Palatino Linotype"/>
                <w:noProof/>
              </w:rPr>
              <w:t>b) Correo de la Dirección General de Informática:</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_Toc205477926 \h </w:instrText>
            </w:r>
            <w:r w:rsidR="00AC4A81" w:rsidRPr="00AC4A81">
              <w:rPr>
                <w:noProof/>
                <w:webHidden/>
              </w:rPr>
            </w:r>
            <w:r w:rsidR="00AC4A81" w:rsidRPr="00AC4A81">
              <w:rPr>
                <w:noProof/>
                <w:webHidden/>
              </w:rPr>
              <w:fldChar w:fldCharType="separate"/>
            </w:r>
            <w:r w:rsidR="006211A6">
              <w:rPr>
                <w:noProof/>
                <w:webHidden/>
              </w:rPr>
              <w:t>5</w:t>
            </w:r>
            <w:r w:rsidR="00AC4A81" w:rsidRPr="00AC4A81">
              <w:rPr>
                <w:noProof/>
                <w:webHidden/>
              </w:rPr>
              <w:fldChar w:fldCharType="end"/>
            </w:r>
          </w:hyperlink>
        </w:p>
        <w:p w14:paraId="563F07D0" w14:textId="3F1EC5AE" w:rsidR="00AC4A81" w:rsidRPr="00AC4A81" w:rsidRDefault="0035411A">
          <w:pPr>
            <w:pStyle w:val="TDC3"/>
            <w:tabs>
              <w:tab w:val="right" w:leader="dot" w:pos="9034"/>
            </w:tabs>
            <w:rPr>
              <w:rFonts w:asciiTheme="minorHAnsi" w:eastAsiaTheme="minorEastAsia" w:hAnsiTheme="minorHAnsi" w:cstheme="minorBidi"/>
              <w:noProof/>
              <w:sz w:val="22"/>
              <w:szCs w:val="22"/>
              <w:lang w:eastAsia="es-MX"/>
            </w:rPr>
          </w:pPr>
          <w:hyperlink w:anchor="_Toc205477927" w:history="1">
            <w:r w:rsidR="00AC4A81" w:rsidRPr="00AC4A81">
              <w:rPr>
                <w:rStyle w:val="Hipervnculo"/>
                <w:rFonts w:ascii="Palatino Linotype" w:hAnsi="Palatino Linotype"/>
                <w:noProof/>
              </w:rPr>
              <w:t>c) Admisión del Recurso de Revisión.</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_Toc205477927 \h </w:instrText>
            </w:r>
            <w:r w:rsidR="00AC4A81" w:rsidRPr="00AC4A81">
              <w:rPr>
                <w:noProof/>
                <w:webHidden/>
              </w:rPr>
            </w:r>
            <w:r w:rsidR="00AC4A81" w:rsidRPr="00AC4A81">
              <w:rPr>
                <w:noProof/>
                <w:webHidden/>
              </w:rPr>
              <w:fldChar w:fldCharType="separate"/>
            </w:r>
            <w:r w:rsidR="006211A6">
              <w:rPr>
                <w:noProof/>
                <w:webHidden/>
              </w:rPr>
              <w:t>5</w:t>
            </w:r>
            <w:r w:rsidR="00AC4A81" w:rsidRPr="00AC4A81">
              <w:rPr>
                <w:noProof/>
                <w:webHidden/>
              </w:rPr>
              <w:fldChar w:fldCharType="end"/>
            </w:r>
          </w:hyperlink>
        </w:p>
        <w:p w14:paraId="4B1BA4A2" w14:textId="0261DA3C" w:rsidR="00AC4A81" w:rsidRPr="00AC4A81" w:rsidRDefault="0035411A">
          <w:pPr>
            <w:pStyle w:val="TDC3"/>
            <w:tabs>
              <w:tab w:val="right" w:leader="dot" w:pos="9034"/>
            </w:tabs>
            <w:rPr>
              <w:rFonts w:asciiTheme="minorHAnsi" w:eastAsiaTheme="minorEastAsia" w:hAnsiTheme="minorHAnsi" w:cstheme="minorBidi"/>
              <w:noProof/>
              <w:sz w:val="22"/>
              <w:szCs w:val="22"/>
              <w:lang w:eastAsia="es-MX"/>
            </w:rPr>
          </w:pPr>
          <w:hyperlink w:anchor="_Toc205477928" w:history="1">
            <w:r w:rsidR="00AC4A81" w:rsidRPr="00AC4A81">
              <w:rPr>
                <w:rStyle w:val="Hipervnculo"/>
                <w:rFonts w:ascii="Palatino Linotype" w:hAnsi="Palatino Linotype"/>
                <w:noProof/>
              </w:rPr>
              <w:t>d) Informe Justificado.</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_Toc205477928 \h </w:instrText>
            </w:r>
            <w:r w:rsidR="00AC4A81" w:rsidRPr="00AC4A81">
              <w:rPr>
                <w:noProof/>
                <w:webHidden/>
              </w:rPr>
            </w:r>
            <w:r w:rsidR="00AC4A81" w:rsidRPr="00AC4A81">
              <w:rPr>
                <w:noProof/>
                <w:webHidden/>
              </w:rPr>
              <w:fldChar w:fldCharType="separate"/>
            </w:r>
            <w:r w:rsidR="006211A6">
              <w:rPr>
                <w:noProof/>
                <w:webHidden/>
              </w:rPr>
              <w:t>6</w:t>
            </w:r>
            <w:r w:rsidR="00AC4A81" w:rsidRPr="00AC4A81">
              <w:rPr>
                <w:noProof/>
                <w:webHidden/>
              </w:rPr>
              <w:fldChar w:fldCharType="end"/>
            </w:r>
          </w:hyperlink>
        </w:p>
        <w:p w14:paraId="7E87AE2B" w14:textId="6A7E0333" w:rsidR="00AC4A81" w:rsidRPr="00AC4A81" w:rsidRDefault="0035411A">
          <w:pPr>
            <w:pStyle w:val="TDC3"/>
            <w:tabs>
              <w:tab w:val="right" w:leader="dot" w:pos="9034"/>
            </w:tabs>
            <w:rPr>
              <w:rFonts w:asciiTheme="minorHAnsi" w:eastAsiaTheme="minorEastAsia" w:hAnsiTheme="minorHAnsi" w:cstheme="minorBidi"/>
              <w:noProof/>
              <w:sz w:val="22"/>
              <w:szCs w:val="22"/>
              <w:lang w:eastAsia="es-MX"/>
            </w:rPr>
          </w:pPr>
          <w:hyperlink w:anchor="_Toc205477929" w:history="1">
            <w:r w:rsidR="00AC4A81" w:rsidRPr="00AC4A81">
              <w:rPr>
                <w:rStyle w:val="Hipervnculo"/>
                <w:rFonts w:ascii="Palatino Linotype" w:hAnsi="Palatino Linotype"/>
                <w:noProof/>
              </w:rPr>
              <w:t>e) Cierre de instrucción</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_Toc205477929 \h </w:instrText>
            </w:r>
            <w:r w:rsidR="00AC4A81" w:rsidRPr="00AC4A81">
              <w:rPr>
                <w:noProof/>
                <w:webHidden/>
              </w:rPr>
            </w:r>
            <w:r w:rsidR="00AC4A81" w:rsidRPr="00AC4A81">
              <w:rPr>
                <w:noProof/>
                <w:webHidden/>
              </w:rPr>
              <w:fldChar w:fldCharType="separate"/>
            </w:r>
            <w:r w:rsidR="006211A6">
              <w:rPr>
                <w:noProof/>
                <w:webHidden/>
              </w:rPr>
              <w:t>6</w:t>
            </w:r>
            <w:r w:rsidR="00AC4A81" w:rsidRPr="00AC4A81">
              <w:rPr>
                <w:noProof/>
                <w:webHidden/>
              </w:rPr>
              <w:fldChar w:fldCharType="end"/>
            </w:r>
          </w:hyperlink>
        </w:p>
        <w:p w14:paraId="3631A73A" w14:textId="62C356A4" w:rsidR="00AC4A81" w:rsidRPr="00AC4A81" w:rsidRDefault="0035411A">
          <w:pPr>
            <w:pStyle w:val="TDC1"/>
            <w:tabs>
              <w:tab w:val="right" w:leader="dot" w:pos="9034"/>
            </w:tabs>
            <w:rPr>
              <w:rFonts w:asciiTheme="minorHAnsi" w:eastAsiaTheme="minorEastAsia" w:hAnsiTheme="minorHAnsi" w:cstheme="minorBidi"/>
              <w:noProof/>
              <w:sz w:val="22"/>
              <w:szCs w:val="22"/>
              <w:lang w:eastAsia="es-MX"/>
            </w:rPr>
          </w:pPr>
          <w:hyperlink w:anchor="_Toc205477930" w:history="1">
            <w:r w:rsidR="00AC4A81" w:rsidRPr="00AC4A81">
              <w:rPr>
                <w:rStyle w:val="Hipervnculo"/>
                <w:rFonts w:ascii="Palatino Linotype" w:hAnsi="Palatino Linotype"/>
                <w:noProof/>
              </w:rPr>
              <w:t>C O N S I D E R A N D O S</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_Toc205477930 \h </w:instrText>
            </w:r>
            <w:r w:rsidR="00AC4A81" w:rsidRPr="00AC4A81">
              <w:rPr>
                <w:noProof/>
                <w:webHidden/>
              </w:rPr>
            </w:r>
            <w:r w:rsidR="00AC4A81" w:rsidRPr="00AC4A81">
              <w:rPr>
                <w:noProof/>
                <w:webHidden/>
              </w:rPr>
              <w:fldChar w:fldCharType="separate"/>
            </w:r>
            <w:r w:rsidR="006211A6">
              <w:rPr>
                <w:noProof/>
                <w:webHidden/>
              </w:rPr>
              <w:t>6</w:t>
            </w:r>
            <w:r w:rsidR="00AC4A81" w:rsidRPr="00AC4A81">
              <w:rPr>
                <w:noProof/>
                <w:webHidden/>
              </w:rPr>
              <w:fldChar w:fldCharType="end"/>
            </w:r>
          </w:hyperlink>
        </w:p>
        <w:p w14:paraId="29E91C6F" w14:textId="738BE4D9"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31" w:history="1">
            <w:r w:rsidR="00AC4A81" w:rsidRPr="00AC4A81">
              <w:rPr>
                <w:rStyle w:val="Hipervnculo"/>
                <w:rFonts w:ascii="Palatino Linotype" w:eastAsia="Calibri" w:hAnsi="Palatino Linotype"/>
                <w:noProof/>
                <w:lang w:eastAsia="es-MX"/>
              </w:rPr>
              <w:t xml:space="preserve">PRIMERO. </w:t>
            </w:r>
            <w:r w:rsidR="00AC4A81" w:rsidRPr="00AC4A81">
              <w:rPr>
                <w:rStyle w:val="Hipervnculo"/>
                <w:rFonts w:ascii="Palatino Linotype" w:hAnsi="Palatino Linotype"/>
                <w:noProof/>
              </w:rPr>
              <w:t>Competencia</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_Toc205477931 \h </w:instrText>
            </w:r>
            <w:r w:rsidR="00AC4A81" w:rsidRPr="00AC4A81">
              <w:rPr>
                <w:noProof/>
                <w:webHidden/>
              </w:rPr>
            </w:r>
            <w:r w:rsidR="00AC4A81" w:rsidRPr="00AC4A81">
              <w:rPr>
                <w:noProof/>
                <w:webHidden/>
              </w:rPr>
              <w:fldChar w:fldCharType="separate"/>
            </w:r>
            <w:r w:rsidR="006211A6">
              <w:rPr>
                <w:noProof/>
                <w:webHidden/>
              </w:rPr>
              <w:t>6</w:t>
            </w:r>
            <w:r w:rsidR="00AC4A81" w:rsidRPr="00AC4A81">
              <w:rPr>
                <w:noProof/>
                <w:webHidden/>
              </w:rPr>
              <w:fldChar w:fldCharType="end"/>
            </w:r>
          </w:hyperlink>
        </w:p>
        <w:p w14:paraId="6EF4A949" w14:textId="57600CF3"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32" w:history="1">
            <w:r w:rsidR="00AC4A81" w:rsidRPr="00AC4A81">
              <w:rPr>
                <w:rStyle w:val="Hipervnculo"/>
                <w:rFonts w:ascii="Palatino Linotype" w:eastAsia="Calibri" w:hAnsi="Palatino Linotype"/>
                <w:noProof/>
                <w:lang w:eastAsia="es-MX"/>
              </w:rPr>
              <w:t>SEGUNDO. Causales de improcedencia y sobreseimiento</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_Toc205477932 \h </w:instrText>
            </w:r>
            <w:r w:rsidR="00AC4A81" w:rsidRPr="00AC4A81">
              <w:rPr>
                <w:noProof/>
                <w:webHidden/>
              </w:rPr>
            </w:r>
            <w:r w:rsidR="00AC4A81" w:rsidRPr="00AC4A81">
              <w:rPr>
                <w:noProof/>
                <w:webHidden/>
              </w:rPr>
              <w:fldChar w:fldCharType="separate"/>
            </w:r>
            <w:r w:rsidR="006211A6">
              <w:rPr>
                <w:noProof/>
                <w:webHidden/>
              </w:rPr>
              <w:t>7</w:t>
            </w:r>
            <w:r w:rsidR="00AC4A81" w:rsidRPr="00AC4A81">
              <w:rPr>
                <w:noProof/>
                <w:webHidden/>
              </w:rPr>
              <w:fldChar w:fldCharType="end"/>
            </w:r>
          </w:hyperlink>
        </w:p>
        <w:p w14:paraId="3B0F42FE" w14:textId="42D31664" w:rsidR="00AC4A81" w:rsidRPr="00AC4A81" w:rsidRDefault="0035411A">
          <w:pPr>
            <w:pStyle w:val="TDC3"/>
            <w:tabs>
              <w:tab w:val="right" w:leader="dot" w:pos="9034"/>
            </w:tabs>
            <w:rPr>
              <w:rFonts w:asciiTheme="minorHAnsi" w:eastAsiaTheme="minorEastAsia" w:hAnsiTheme="minorHAnsi" w:cstheme="minorBidi"/>
              <w:noProof/>
              <w:sz w:val="22"/>
              <w:szCs w:val="22"/>
              <w:lang w:eastAsia="es-MX"/>
            </w:rPr>
          </w:pPr>
          <w:hyperlink w:anchor="_Toc205477933" w:history="1">
            <w:r w:rsidR="00AC4A81" w:rsidRPr="00AC4A81">
              <w:rPr>
                <w:rStyle w:val="Hipervnculo"/>
                <w:rFonts w:ascii="Palatino Linotype" w:eastAsia="Calibri" w:hAnsi="Palatino Linotype" w:cs="Arial"/>
                <w:noProof/>
                <w:lang w:eastAsia="es-ES_tradnl"/>
              </w:rPr>
              <w:t>Causales de sobreseimiento</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_Toc205477933 \h </w:instrText>
            </w:r>
            <w:r w:rsidR="00AC4A81" w:rsidRPr="00AC4A81">
              <w:rPr>
                <w:noProof/>
                <w:webHidden/>
              </w:rPr>
            </w:r>
            <w:r w:rsidR="00AC4A81" w:rsidRPr="00AC4A81">
              <w:rPr>
                <w:noProof/>
                <w:webHidden/>
              </w:rPr>
              <w:fldChar w:fldCharType="separate"/>
            </w:r>
            <w:r w:rsidR="006211A6">
              <w:rPr>
                <w:noProof/>
                <w:webHidden/>
              </w:rPr>
              <w:t>7</w:t>
            </w:r>
            <w:r w:rsidR="00AC4A81" w:rsidRPr="00AC4A81">
              <w:rPr>
                <w:noProof/>
                <w:webHidden/>
              </w:rPr>
              <w:fldChar w:fldCharType="end"/>
            </w:r>
          </w:hyperlink>
        </w:p>
        <w:p w14:paraId="5389CC49" w14:textId="4DE8B310"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34" w:history="1">
            <w:r w:rsidR="00AC4A81" w:rsidRPr="00AC4A81">
              <w:rPr>
                <w:rStyle w:val="Hipervnculo"/>
                <w:rFonts w:ascii="Palatino Linotype" w:eastAsia="Calibri" w:hAnsi="Palatino Linotype"/>
                <w:noProof/>
                <w:lang w:eastAsia="es-ES_tradnl"/>
              </w:rPr>
              <w:t>TERCERO. Determinación de la Controversia</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_Toc205477934 \h </w:instrText>
            </w:r>
            <w:r w:rsidR="00AC4A81" w:rsidRPr="00AC4A81">
              <w:rPr>
                <w:noProof/>
                <w:webHidden/>
              </w:rPr>
            </w:r>
            <w:r w:rsidR="00AC4A81" w:rsidRPr="00AC4A81">
              <w:rPr>
                <w:noProof/>
                <w:webHidden/>
              </w:rPr>
              <w:fldChar w:fldCharType="separate"/>
            </w:r>
            <w:r w:rsidR="006211A6">
              <w:rPr>
                <w:noProof/>
                <w:webHidden/>
              </w:rPr>
              <w:t>8</w:t>
            </w:r>
            <w:r w:rsidR="00AC4A81" w:rsidRPr="00AC4A81">
              <w:rPr>
                <w:noProof/>
                <w:webHidden/>
              </w:rPr>
              <w:fldChar w:fldCharType="end"/>
            </w:r>
          </w:hyperlink>
        </w:p>
        <w:p w14:paraId="686EE755" w14:textId="368975FD"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35" w:history="1">
            <w:r w:rsidR="00AC4A81" w:rsidRPr="00AC4A81">
              <w:rPr>
                <w:rStyle w:val="Hipervnculo"/>
                <w:rFonts w:ascii="Palatino Linotype" w:eastAsia="Calibri" w:hAnsi="Palatino Linotype" w:cs="Arial"/>
                <w:noProof/>
                <w:lang w:eastAsia="es-ES_tradnl"/>
              </w:rPr>
              <w:t>CUARTO. Marco normativo aplicable en materia de transparencia y acceso a la información pública</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_Toc205477935 \h </w:instrText>
            </w:r>
            <w:r w:rsidR="00AC4A81" w:rsidRPr="00AC4A81">
              <w:rPr>
                <w:noProof/>
                <w:webHidden/>
              </w:rPr>
            </w:r>
            <w:r w:rsidR="00AC4A81" w:rsidRPr="00AC4A81">
              <w:rPr>
                <w:noProof/>
                <w:webHidden/>
              </w:rPr>
              <w:fldChar w:fldCharType="separate"/>
            </w:r>
            <w:r w:rsidR="006211A6">
              <w:rPr>
                <w:noProof/>
                <w:webHidden/>
              </w:rPr>
              <w:t>9</w:t>
            </w:r>
            <w:r w:rsidR="00AC4A81" w:rsidRPr="00AC4A81">
              <w:rPr>
                <w:noProof/>
                <w:webHidden/>
              </w:rPr>
              <w:fldChar w:fldCharType="end"/>
            </w:r>
          </w:hyperlink>
        </w:p>
        <w:p w14:paraId="01AD876B" w14:textId="1DC90C33"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36" w:history="1">
            <w:r w:rsidR="00AC4A81" w:rsidRPr="00AC4A81">
              <w:rPr>
                <w:rStyle w:val="Hipervnculo"/>
                <w:rFonts w:ascii="Palatino Linotype" w:eastAsia="Calibri" w:hAnsi="Palatino Linotype"/>
                <w:noProof/>
                <w:lang w:eastAsia="es-ES_tradnl"/>
              </w:rPr>
              <w:t>QUINTO. Estudio de Fondo</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_Toc205477936 \h </w:instrText>
            </w:r>
            <w:r w:rsidR="00AC4A81" w:rsidRPr="00AC4A81">
              <w:rPr>
                <w:noProof/>
                <w:webHidden/>
              </w:rPr>
            </w:r>
            <w:r w:rsidR="00AC4A81" w:rsidRPr="00AC4A81">
              <w:rPr>
                <w:noProof/>
                <w:webHidden/>
              </w:rPr>
              <w:fldChar w:fldCharType="separate"/>
            </w:r>
            <w:r w:rsidR="006211A6">
              <w:rPr>
                <w:noProof/>
                <w:webHidden/>
              </w:rPr>
              <w:t>10</w:t>
            </w:r>
            <w:r w:rsidR="00AC4A81" w:rsidRPr="00AC4A81">
              <w:rPr>
                <w:noProof/>
                <w:webHidden/>
              </w:rPr>
              <w:fldChar w:fldCharType="end"/>
            </w:r>
          </w:hyperlink>
        </w:p>
        <w:p w14:paraId="7930B7AF" w14:textId="3EDAB222" w:rsidR="00AC4A81" w:rsidRPr="00AC4A81" w:rsidRDefault="0035411A">
          <w:pPr>
            <w:pStyle w:val="TDC2"/>
            <w:tabs>
              <w:tab w:val="right" w:leader="dot" w:pos="9034"/>
            </w:tabs>
            <w:rPr>
              <w:rFonts w:asciiTheme="minorHAnsi" w:eastAsiaTheme="minorEastAsia" w:hAnsiTheme="minorHAnsi" w:cstheme="minorBidi"/>
              <w:noProof/>
              <w:sz w:val="22"/>
              <w:szCs w:val="22"/>
              <w:lang w:eastAsia="es-MX"/>
            </w:rPr>
          </w:pPr>
          <w:hyperlink w:anchor="_Toc205477937" w:history="1">
            <w:r w:rsidR="00AC4A81" w:rsidRPr="00AC4A81">
              <w:rPr>
                <w:rStyle w:val="Hipervnculo"/>
                <w:rFonts w:ascii="Palatino Linotype" w:hAnsi="Palatino Linotype"/>
                <w:noProof/>
              </w:rPr>
              <w:t>SEXTO. Decisión</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_Toc205477937 \h </w:instrText>
            </w:r>
            <w:r w:rsidR="00AC4A81" w:rsidRPr="00AC4A81">
              <w:rPr>
                <w:noProof/>
                <w:webHidden/>
              </w:rPr>
            </w:r>
            <w:r w:rsidR="00AC4A81" w:rsidRPr="00AC4A81">
              <w:rPr>
                <w:noProof/>
                <w:webHidden/>
              </w:rPr>
              <w:fldChar w:fldCharType="separate"/>
            </w:r>
            <w:r w:rsidR="006211A6">
              <w:rPr>
                <w:noProof/>
                <w:webHidden/>
              </w:rPr>
              <w:t>48</w:t>
            </w:r>
            <w:r w:rsidR="00AC4A81" w:rsidRPr="00AC4A81">
              <w:rPr>
                <w:noProof/>
                <w:webHidden/>
              </w:rPr>
              <w:fldChar w:fldCharType="end"/>
            </w:r>
          </w:hyperlink>
        </w:p>
        <w:p w14:paraId="5D03AE09" w14:textId="38B30951" w:rsidR="00AC4A81" w:rsidRPr="00AC4A81" w:rsidRDefault="0035411A">
          <w:pPr>
            <w:pStyle w:val="TDC1"/>
            <w:tabs>
              <w:tab w:val="right" w:leader="dot" w:pos="9034"/>
            </w:tabs>
            <w:rPr>
              <w:rFonts w:asciiTheme="minorHAnsi" w:eastAsiaTheme="minorEastAsia" w:hAnsiTheme="minorHAnsi" w:cstheme="minorBidi"/>
              <w:noProof/>
              <w:sz w:val="22"/>
              <w:szCs w:val="22"/>
              <w:lang w:eastAsia="es-MX"/>
            </w:rPr>
          </w:pPr>
          <w:hyperlink w:anchor="_Toc205477938" w:history="1">
            <w:r w:rsidR="00AC4A81" w:rsidRPr="00AC4A81">
              <w:rPr>
                <w:rStyle w:val="Hipervnculo"/>
                <w:rFonts w:ascii="Palatino Linotype" w:eastAsia="Calibri" w:hAnsi="Palatino Linotype"/>
                <w:noProof/>
                <w:lang w:eastAsia="en-US"/>
              </w:rPr>
              <w:t>R E S U E L V E</w:t>
            </w:r>
            <w:r w:rsidR="00AC4A81" w:rsidRPr="00AC4A81">
              <w:rPr>
                <w:noProof/>
                <w:webHidden/>
              </w:rPr>
              <w:tab/>
            </w:r>
            <w:r w:rsidR="00AC4A81" w:rsidRPr="00AC4A81">
              <w:rPr>
                <w:noProof/>
                <w:webHidden/>
              </w:rPr>
              <w:fldChar w:fldCharType="begin"/>
            </w:r>
            <w:r w:rsidR="00AC4A81" w:rsidRPr="00AC4A81">
              <w:rPr>
                <w:noProof/>
                <w:webHidden/>
              </w:rPr>
              <w:instrText xml:space="preserve"> PAGEREF _Toc205477938 \h </w:instrText>
            </w:r>
            <w:r w:rsidR="00AC4A81" w:rsidRPr="00AC4A81">
              <w:rPr>
                <w:noProof/>
                <w:webHidden/>
              </w:rPr>
            </w:r>
            <w:r w:rsidR="00AC4A81" w:rsidRPr="00AC4A81">
              <w:rPr>
                <w:noProof/>
                <w:webHidden/>
              </w:rPr>
              <w:fldChar w:fldCharType="separate"/>
            </w:r>
            <w:r w:rsidR="006211A6">
              <w:rPr>
                <w:noProof/>
                <w:webHidden/>
              </w:rPr>
              <w:t>49</w:t>
            </w:r>
            <w:r w:rsidR="00AC4A81" w:rsidRPr="00AC4A81">
              <w:rPr>
                <w:noProof/>
                <w:webHidden/>
              </w:rPr>
              <w:fldChar w:fldCharType="end"/>
            </w:r>
          </w:hyperlink>
        </w:p>
        <w:p w14:paraId="3C724B7D" w14:textId="77777777" w:rsidR="00342378" w:rsidRDefault="00342378">
          <w:r w:rsidRPr="00AC4A81">
            <w:rPr>
              <w:rFonts w:ascii="Palatino Linotype" w:hAnsi="Palatino Linotype"/>
              <w:bCs/>
              <w:sz w:val="22"/>
              <w:szCs w:val="22"/>
              <w:lang w:val="es-ES"/>
            </w:rPr>
            <w:fldChar w:fldCharType="end"/>
          </w:r>
        </w:p>
      </w:sdtContent>
    </w:sdt>
    <w:p w14:paraId="07C6D53A" w14:textId="77777777" w:rsidR="00ED76AF" w:rsidRDefault="00ED76AF" w:rsidP="006B0B50">
      <w:pPr>
        <w:tabs>
          <w:tab w:val="left" w:pos="3969"/>
        </w:tabs>
        <w:spacing w:line="360" w:lineRule="auto"/>
        <w:contextualSpacing/>
        <w:jc w:val="both"/>
        <w:rPr>
          <w:rFonts w:ascii="Palatino Linotype" w:hAnsi="Palatino Linotype" w:cs="Tahoma"/>
          <w:bCs/>
          <w:sz w:val="22"/>
          <w:szCs w:val="22"/>
        </w:rPr>
      </w:pPr>
    </w:p>
    <w:p w14:paraId="71EED8E0" w14:textId="77777777" w:rsidR="00501E1B" w:rsidRDefault="00501E1B" w:rsidP="006B0B50">
      <w:pPr>
        <w:tabs>
          <w:tab w:val="left" w:pos="3969"/>
        </w:tabs>
        <w:spacing w:line="360" w:lineRule="auto"/>
        <w:contextualSpacing/>
        <w:jc w:val="both"/>
        <w:rPr>
          <w:rFonts w:ascii="Palatino Linotype" w:hAnsi="Palatino Linotype" w:cs="Tahoma"/>
          <w:bCs/>
          <w:sz w:val="22"/>
          <w:szCs w:val="22"/>
        </w:rPr>
      </w:pPr>
    </w:p>
    <w:p w14:paraId="7302FC2A"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5490BB96"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4F794BB9"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7B5AD710"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66F97F5D"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0C980B0C"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3FEC934A" w14:textId="77777777" w:rsidR="0021782D" w:rsidRDefault="0021782D" w:rsidP="00FF426B">
      <w:pPr>
        <w:spacing w:line="360" w:lineRule="auto"/>
        <w:contextualSpacing/>
        <w:jc w:val="both"/>
        <w:rPr>
          <w:rFonts w:ascii="Palatino Linotype" w:hAnsi="Palatino Linotype" w:cs="Tahoma"/>
          <w:bCs/>
          <w:sz w:val="22"/>
          <w:szCs w:val="22"/>
        </w:rPr>
      </w:pPr>
    </w:p>
    <w:p w14:paraId="71DB661B" w14:textId="77777777" w:rsidR="0021782D" w:rsidRDefault="0021782D" w:rsidP="00FF426B">
      <w:pPr>
        <w:spacing w:line="360" w:lineRule="auto"/>
        <w:contextualSpacing/>
        <w:jc w:val="both"/>
        <w:rPr>
          <w:rFonts w:ascii="Palatino Linotype" w:hAnsi="Palatino Linotype" w:cs="Tahoma"/>
          <w:bCs/>
          <w:sz w:val="22"/>
          <w:szCs w:val="22"/>
        </w:rPr>
      </w:pPr>
    </w:p>
    <w:p w14:paraId="08E90D0D" w14:textId="77777777" w:rsidR="0021782D" w:rsidRDefault="0021782D" w:rsidP="00FF426B">
      <w:pPr>
        <w:spacing w:line="360" w:lineRule="auto"/>
        <w:contextualSpacing/>
        <w:jc w:val="both"/>
        <w:rPr>
          <w:rFonts w:ascii="Palatino Linotype" w:hAnsi="Palatino Linotype" w:cs="Tahoma"/>
          <w:bCs/>
          <w:sz w:val="22"/>
          <w:szCs w:val="22"/>
        </w:rPr>
      </w:pPr>
    </w:p>
    <w:p w14:paraId="6FA66D48" w14:textId="77777777" w:rsidR="00E35DF9" w:rsidRPr="00D31FC5" w:rsidRDefault="00E35DF9" w:rsidP="00FF426B">
      <w:pPr>
        <w:spacing w:line="360" w:lineRule="auto"/>
        <w:contextualSpacing/>
        <w:jc w:val="both"/>
        <w:rPr>
          <w:rFonts w:ascii="Palatino Linotype" w:hAnsi="Palatino Linotype" w:cs="Tahoma"/>
          <w:bCs/>
          <w:sz w:val="22"/>
          <w:szCs w:val="22"/>
        </w:rPr>
      </w:pPr>
      <w:r w:rsidRPr="00D31FC5">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D31FC5">
        <w:rPr>
          <w:rFonts w:ascii="Palatino Linotype" w:hAnsi="Palatino Linotype" w:cs="Tahoma"/>
          <w:bCs/>
          <w:sz w:val="22"/>
          <w:szCs w:val="22"/>
        </w:rPr>
        <w:t xml:space="preserve"> </w:t>
      </w:r>
      <w:r w:rsidR="00B645B8">
        <w:rPr>
          <w:rFonts w:ascii="Palatino Linotype" w:hAnsi="Palatino Linotype" w:cs="Tahoma"/>
          <w:bCs/>
          <w:sz w:val="22"/>
          <w:szCs w:val="22"/>
        </w:rPr>
        <w:t>seis de agosto</w:t>
      </w:r>
      <w:r w:rsidR="00F770EE">
        <w:rPr>
          <w:rFonts w:ascii="Palatino Linotype" w:hAnsi="Palatino Linotype" w:cs="Tahoma"/>
          <w:bCs/>
          <w:sz w:val="22"/>
          <w:szCs w:val="22"/>
        </w:rPr>
        <w:t xml:space="preserve"> </w:t>
      </w:r>
      <w:r w:rsidR="008453FA" w:rsidRPr="00D31FC5">
        <w:rPr>
          <w:rFonts w:ascii="Palatino Linotype" w:hAnsi="Palatino Linotype" w:cs="Tahoma"/>
          <w:bCs/>
          <w:sz w:val="22"/>
          <w:szCs w:val="22"/>
        </w:rPr>
        <w:t>de dos mil veinti</w:t>
      </w:r>
      <w:r w:rsidR="00F93A36" w:rsidRPr="00D31FC5">
        <w:rPr>
          <w:rFonts w:ascii="Palatino Linotype" w:hAnsi="Palatino Linotype" w:cs="Tahoma"/>
          <w:bCs/>
          <w:sz w:val="22"/>
          <w:szCs w:val="22"/>
        </w:rPr>
        <w:t>c</w:t>
      </w:r>
      <w:r w:rsidR="009C323D">
        <w:rPr>
          <w:rFonts w:ascii="Palatino Linotype" w:hAnsi="Palatino Linotype" w:cs="Tahoma"/>
          <w:bCs/>
          <w:sz w:val="22"/>
          <w:szCs w:val="22"/>
        </w:rPr>
        <w:t>inc</w:t>
      </w:r>
      <w:r w:rsidR="00F93A36" w:rsidRPr="00D31FC5">
        <w:rPr>
          <w:rFonts w:ascii="Palatino Linotype" w:hAnsi="Palatino Linotype" w:cs="Tahoma"/>
          <w:bCs/>
          <w:sz w:val="22"/>
          <w:szCs w:val="22"/>
        </w:rPr>
        <w:t>o</w:t>
      </w:r>
      <w:r w:rsidRPr="00D31FC5">
        <w:rPr>
          <w:rFonts w:ascii="Palatino Linotype" w:hAnsi="Palatino Linotype" w:cs="Tahoma"/>
          <w:bCs/>
          <w:sz w:val="22"/>
          <w:szCs w:val="22"/>
        </w:rPr>
        <w:t>.</w:t>
      </w:r>
    </w:p>
    <w:p w14:paraId="5EBB60E2" w14:textId="77777777" w:rsidR="00E35DF9" w:rsidRPr="00D31FC5" w:rsidRDefault="00E35DF9" w:rsidP="00FF426B">
      <w:pPr>
        <w:spacing w:line="360" w:lineRule="auto"/>
        <w:contextualSpacing/>
        <w:jc w:val="both"/>
        <w:rPr>
          <w:rFonts w:ascii="Palatino Linotype" w:hAnsi="Palatino Linotype" w:cs="Tahoma"/>
          <w:bCs/>
          <w:sz w:val="22"/>
          <w:szCs w:val="22"/>
        </w:rPr>
      </w:pPr>
    </w:p>
    <w:p w14:paraId="5580B683" w14:textId="77777777" w:rsidR="00E35DF9" w:rsidRPr="00D31FC5" w:rsidRDefault="00E35DF9" w:rsidP="00FF426B">
      <w:pPr>
        <w:spacing w:line="360" w:lineRule="auto"/>
        <w:contextualSpacing/>
        <w:jc w:val="both"/>
        <w:rPr>
          <w:rFonts w:ascii="Palatino Linotype" w:hAnsi="Palatino Linotype" w:cs="Tahoma"/>
          <w:bCs/>
          <w:sz w:val="22"/>
          <w:szCs w:val="22"/>
        </w:rPr>
      </w:pPr>
      <w:r w:rsidRPr="00D31FC5">
        <w:rPr>
          <w:rFonts w:ascii="Palatino Linotype" w:hAnsi="Palatino Linotype" w:cs="Tahoma"/>
          <w:b/>
          <w:bCs/>
          <w:color w:val="0D0D0D" w:themeColor="text1" w:themeTint="F2"/>
          <w:sz w:val="22"/>
          <w:szCs w:val="22"/>
        </w:rPr>
        <w:t xml:space="preserve">VISTO </w:t>
      </w:r>
      <w:r w:rsidR="00D0542E" w:rsidRPr="00D31FC5">
        <w:rPr>
          <w:rFonts w:ascii="Palatino Linotype" w:hAnsi="Palatino Linotype" w:cs="Tahoma"/>
          <w:bCs/>
          <w:color w:val="0D0D0D" w:themeColor="text1" w:themeTint="F2"/>
          <w:sz w:val="22"/>
          <w:szCs w:val="22"/>
        </w:rPr>
        <w:t>el expediente</w:t>
      </w:r>
      <w:r w:rsidRPr="00D31FC5">
        <w:rPr>
          <w:rFonts w:ascii="Palatino Linotype" w:hAnsi="Palatino Linotype" w:cs="Tahoma"/>
          <w:bCs/>
          <w:color w:val="0D0D0D" w:themeColor="text1" w:themeTint="F2"/>
          <w:sz w:val="22"/>
          <w:szCs w:val="22"/>
        </w:rPr>
        <w:t xml:space="preserve"> conformado con motivo de</w:t>
      </w:r>
      <w:r w:rsidR="00E30210" w:rsidRPr="00D31FC5">
        <w:rPr>
          <w:rFonts w:ascii="Palatino Linotype" w:hAnsi="Palatino Linotype" w:cs="Tahoma"/>
          <w:bCs/>
          <w:color w:val="0D0D0D" w:themeColor="text1" w:themeTint="F2"/>
          <w:sz w:val="22"/>
          <w:szCs w:val="22"/>
        </w:rPr>
        <w:t>l</w:t>
      </w:r>
      <w:r w:rsidRPr="00D31FC5">
        <w:rPr>
          <w:rFonts w:ascii="Palatino Linotype" w:hAnsi="Palatino Linotype" w:cs="Tahoma"/>
          <w:bCs/>
          <w:color w:val="0D0D0D" w:themeColor="text1" w:themeTint="F2"/>
          <w:sz w:val="22"/>
          <w:szCs w:val="22"/>
        </w:rPr>
        <w:t xml:space="preserve"> Recurso de Revisión</w:t>
      </w:r>
      <w:r w:rsidR="0089175F" w:rsidRPr="00D31FC5">
        <w:rPr>
          <w:rFonts w:ascii="Palatino Linotype" w:hAnsi="Palatino Linotype" w:cs="Tahoma"/>
          <w:bCs/>
          <w:color w:val="0D0D0D" w:themeColor="text1" w:themeTint="F2"/>
          <w:sz w:val="22"/>
          <w:szCs w:val="22"/>
        </w:rPr>
        <w:t xml:space="preserve"> </w:t>
      </w:r>
      <w:r w:rsidR="00B645B8">
        <w:rPr>
          <w:rFonts w:ascii="Palatino Linotype" w:hAnsi="Palatino Linotype" w:cs="Tahoma"/>
          <w:b/>
          <w:bCs/>
          <w:color w:val="0D0D0D" w:themeColor="text1" w:themeTint="F2"/>
          <w:sz w:val="22"/>
          <w:szCs w:val="22"/>
        </w:rPr>
        <w:t>01531</w:t>
      </w:r>
      <w:r w:rsidR="0089175F" w:rsidRPr="00D31FC5">
        <w:rPr>
          <w:rFonts w:ascii="Palatino Linotype" w:hAnsi="Palatino Linotype" w:cs="Tahoma"/>
          <w:b/>
          <w:bCs/>
          <w:color w:val="0D0D0D" w:themeColor="text1" w:themeTint="F2"/>
          <w:sz w:val="22"/>
          <w:szCs w:val="22"/>
        </w:rPr>
        <w:t>/INFOEM/IP/RR/202</w:t>
      </w:r>
      <w:r w:rsidR="00CD10BF">
        <w:rPr>
          <w:rFonts w:ascii="Palatino Linotype" w:hAnsi="Palatino Linotype" w:cs="Tahoma"/>
          <w:b/>
          <w:bCs/>
          <w:color w:val="0D0D0D" w:themeColor="text1" w:themeTint="F2"/>
          <w:sz w:val="22"/>
          <w:szCs w:val="22"/>
        </w:rPr>
        <w:t>5</w:t>
      </w:r>
      <w:r w:rsidR="0089175F" w:rsidRPr="00D31FC5">
        <w:rPr>
          <w:rFonts w:ascii="Palatino Linotype" w:hAnsi="Palatino Linotype" w:cs="Tahoma"/>
          <w:b/>
          <w:bCs/>
          <w:color w:val="0D0D0D" w:themeColor="text1" w:themeTint="F2"/>
          <w:sz w:val="22"/>
          <w:szCs w:val="22"/>
        </w:rPr>
        <w:t>,</w:t>
      </w:r>
      <w:r w:rsidRPr="00D31FC5">
        <w:rPr>
          <w:rFonts w:ascii="Palatino Linotype" w:hAnsi="Palatino Linotype" w:cs="Tahoma"/>
          <w:bCs/>
          <w:color w:val="0D0D0D" w:themeColor="text1" w:themeTint="F2"/>
          <w:sz w:val="22"/>
          <w:szCs w:val="22"/>
        </w:rPr>
        <w:t xml:space="preserve"> interpuesto</w:t>
      </w:r>
      <w:r w:rsidR="00C74F5F" w:rsidRPr="00D31FC5">
        <w:rPr>
          <w:rFonts w:ascii="Palatino Linotype" w:hAnsi="Palatino Linotype" w:cs="Tahoma"/>
          <w:color w:val="0D0D0D" w:themeColor="text1" w:themeTint="F2"/>
          <w:sz w:val="22"/>
          <w:szCs w:val="22"/>
        </w:rPr>
        <w:t xml:space="preserve"> </w:t>
      </w:r>
      <w:r w:rsidR="007E4927" w:rsidRPr="00D31FC5">
        <w:rPr>
          <w:rFonts w:ascii="Palatino Linotype" w:hAnsi="Palatino Linotype" w:cs="Tahoma"/>
          <w:bCs/>
          <w:color w:val="0D0D0D" w:themeColor="text1" w:themeTint="F2"/>
          <w:sz w:val="22"/>
          <w:szCs w:val="22"/>
        </w:rPr>
        <w:t>por</w:t>
      </w:r>
      <w:r w:rsidR="00383BDB" w:rsidRPr="00D31FC5">
        <w:rPr>
          <w:rFonts w:ascii="Palatino Linotype" w:hAnsi="Palatino Linotype" w:cs="Tahoma"/>
          <w:bCs/>
          <w:color w:val="0D0D0D" w:themeColor="text1" w:themeTint="F2"/>
          <w:sz w:val="22"/>
          <w:szCs w:val="22"/>
        </w:rPr>
        <w:t xml:space="preserve"> </w:t>
      </w:r>
      <w:r w:rsidR="00CD52E7" w:rsidRPr="00CD52E7">
        <w:rPr>
          <w:rFonts w:ascii="Palatino Linotype" w:hAnsi="Palatino Linotype" w:cs="Tahoma"/>
          <w:color w:val="0D0D0D" w:themeColor="text1" w:themeTint="F2"/>
          <w:sz w:val="22"/>
          <w:szCs w:val="22"/>
        </w:rPr>
        <w:t>un</w:t>
      </w:r>
      <w:r w:rsidR="00F770EE">
        <w:rPr>
          <w:rFonts w:ascii="Palatino Linotype" w:hAnsi="Palatino Linotype" w:cs="Tahoma"/>
          <w:color w:val="0D0D0D" w:themeColor="text1" w:themeTint="F2"/>
          <w:sz w:val="22"/>
          <w:szCs w:val="22"/>
        </w:rPr>
        <w:t xml:space="preserve"> </w:t>
      </w:r>
      <w:r w:rsidRPr="00D31FC5">
        <w:rPr>
          <w:rFonts w:ascii="Palatino Linotype" w:hAnsi="Palatino Linotype" w:cs="Tahoma"/>
          <w:bCs/>
          <w:color w:val="0D0D0D" w:themeColor="text1" w:themeTint="F2"/>
          <w:sz w:val="22"/>
          <w:szCs w:val="22"/>
        </w:rPr>
        <w:t>Recurrente o Particular, en contra de la respuesta del Sujeto Obligado</w:t>
      </w:r>
      <w:r w:rsidRPr="00D31FC5">
        <w:rPr>
          <w:rFonts w:ascii="Palatino Linotype" w:hAnsi="Palatino Linotype"/>
          <w:sz w:val="22"/>
          <w:szCs w:val="22"/>
        </w:rPr>
        <w:t xml:space="preserve"> </w:t>
      </w:r>
      <w:r w:rsidR="00B645B8">
        <w:rPr>
          <w:rFonts w:ascii="Palatino Linotype" w:eastAsia="Calibri" w:hAnsi="Palatino Linotype" w:cs="Tahoma"/>
          <w:b/>
          <w:bCs/>
          <w:sz w:val="22"/>
          <w:szCs w:val="22"/>
          <w:lang w:eastAsia="en-US"/>
        </w:rPr>
        <w:t>Ayuntamiento de Luvianos</w:t>
      </w:r>
      <w:r w:rsidRPr="00D31FC5">
        <w:rPr>
          <w:rFonts w:ascii="Palatino Linotype" w:hAnsi="Palatino Linotype" w:cs="Tahoma"/>
          <w:b/>
          <w:color w:val="0D0D0D" w:themeColor="text1" w:themeTint="F2"/>
          <w:sz w:val="22"/>
          <w:szCs w:val="22"/>
        </w:rPr>
        <w:t xml:space="preserve">, </w:t>
      </w:r>
      <w:r w:rsidRPr="00D31FC5">
        <w:rPr>
          <w:rFonts w:ascii="Palatino Linotype" w:hAnsi="Palatino Linotype" w:cs="Tahoma"/>
          <w:bCs/>
          <w:color w:val="0D0D0D" w:themeColor="text1" w:themeTint="F2"/>
          <w:sz w:val="22"/>
          <w:szCs w:val="22"/>
        </w:rPr>
        <w:t>se emite la presente Resolución, con base en los Antecedentes y C</w:t>
      </w:r>
      <w:r w:rsidRPr="00D31FC5">
        <w:rPr>
          <w:rFonts w:ascii="Palatino Linotype" w:hAnsi="Palatino Linotype" w:cs="Tahoma"/>
          <w:bCs/>
          <w:sz w:val="22"/>
          <w:szCs w:val="22"/>
        </w:rPr>
        <w:t>onsiderandos que a continuación se exponen:</w:t>
      </w:r>
    </w:p>
    <w:p w14:paraId="45E69575" w14:textId="77777777" w:rsidR="00BB1F81" w:rsidRPr="00D31FC5" w:rsidRDefault="00BB1F81" w:rsidP="00FF426B">
      <w:pPr>
        <w:spacing w:line="360" w:lineRule="auto"/>
        <w:contextualSpacing/>
        <w:jc w:val="both"/>
        <w:rPr>
          <w:rFonts w:ascii="Palatino Linotype" w:hAnsi="Palatino Linotype" w:cs="Tahoma"/>
          <w:b/>
          <w:color w:val="0D0D0D" w:themeColor="text1" w:themeTint="F2"/>
          <w:sz w:val="18"/>
          <w:szCs w:val="22"/>
        </w:rPr>
      </w:pPr>
    </w:p>
    <w:p w14:paraId="3A00897D" w14:textId="77777777" w:rsidR="00E35DF9" w:rsidRPr="00342378" w:rsidRDefault="00E35DF9" w:rsidP="00342378">
      <w:pPr>
        <w:pStyle w:val="Ttulo1"/>
        <w:jc w:val="center"/>
        <w:rPr>
          <w:rFonts w:ascii="Palatino Linotype" w:hAnsi="Palatino Linotype"/>
          <w:b/>
          <w:sz w:val="22"/>
          <w:szCs w:val="22"/>
        </w:rPr>
      </w:pPr>
      <w:bookmarkStart w:id="1" w:name="_Toc205477920"/>
      <w:r w:rsidRPr="00342378">
        <w:rPr>
          <w:rFonts w:ascii="Palatino Linotype" w:hAnsi="Palatino Linotype"/>
          <w:b/>
          <w:color w:val="auto"/>
          <w:sz w:val="22"/>
          <w:szCs w:val="22"/>
        </w:rPr>
        <w:t>A N T E C E D E N T E S</w:t>
      </w:r>
      <w:bookmarkEnd w:id="1"/>
    </w:p>
    <w:p w14:paraId="41A74E09" w14:textId="77777777" w:rsidR="001E7B8B" w:rsidRPr="00D31FC5" w:rsidRDefault="001E7B8B" w:rsidP="00FF426B">
      <w:pPr>
        <w:pStyle w:val="Prrafodelista"/>
        <w:tabs>
          <w:tab w:val="left" w:pos="567"/>
        </w:tabs>
        <w:spacing w:line="360" w:lineRule="auto"/>
        <w:ind w:left="0"/>
        <w:jc w:val="both"/>
        <w:rPr>
          <w:rFonts w:ascii="Palatino Linotype" w:hAnsi="Palatino Linotype" w:cs="Tahoma"/>
          <w:b/>
          <w:szCs w:val="22"/>
        </w:rPr>
      </w:pPr>
    </w:p>
    <w:p w14:paraId="4A699000" w14:textId="77777777" w:rsidR="00E35DF9" w:rsidRPr="00342378" w:rsidRDefault="00E35DF9" w:rsidP="00342378">
      <w:pPr>
        <w:pStyle w:val="Ttulo2"/>
        <w:rPr>
          <w:rFonts w:ascii="Palatino Linotype" w:hAnsi="Palatino Linotype" w:cs="Tahoma"/>
          <w:b/>
          <w:color w:val="auto"/>
          <w:sz w:val="22"/>
          <w:szCs w:val="22"/>
        </w:rPr>
      </w:pPr>
      <w:bookmarkStart w:id="2" w:name="_Toc205477921"/>
      <w:r w:rsidRPr="00342378">
        <w:rPr>
          <w:rFonts w:ascii="Palatino Linotype" w:hAnsi="Palatino Linotype" w:cs="Tahoma"/>
          <w:b/>
          <w:color w:val="auto"/>
          <w:sz w:val="22"/>
          <w:szCs w:val="22"/>
        </w:rPr>
        <w:t>I. Presentación de la solicitud de información</w:t>
      </w:r>
      <w:bookmarkEnd w:id="2"/>
    </w:p>
    <w:p w14:paraId="4EC63CF2" w14:textId="77777777" w:rsidR="00E35DF9" w:rsidRPr="00D31FC5"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261CEDCD" w14:textId="77777777" w:rsidR="00E35DF9" w:rsidRPr="00D31FC5" w:rsidRDefault="00BB1F81" w:rsidP="00FF426B">
      <w:pPr>
        <w:tabs>
          <w:tab w:val="left" w:pos="567"/>
        </w:tabs>
        <w:spacing w:line="360" w:lineRule="auto"/>
        <w:contextualSpacing/>
        <w:jc w:val="both"/>
        <w:rPr>
          <w:rFonts w:ascii="Palatino Linotype" w:hAnsi="Palatino Linotype" w:cs="Tahoma"/>
          <w:sz w:val="22"/>
          <w:szCs w:val="22"/>
        </w:rPr>
      </w:pPr>
      <w:r w:rsidRPr="00D31FC5">
        <w:rPr>
          <w:rFonts w:ascii="Palatino Linotype" w:hAnsi="Palatino Linotype" w:cs="Tahoma"/>
          <w:sz w:val="22"/>
          <w:szCs w:val="22"/>
        </w:rPr>
        <w:t>El</w:t>
      </w:r>
      <w:r w:rsidR="00E35DF9" w:rsidRPr="00D31FC5">
        <w:rPr>
          <w:rFonts w:ascii="Palatino Linotype" w:hAnsi="Palatino Linotype" w:cs="Tahoma"/>
          <w:sz w:val="22"/>
          <w:szCs w:val="22"/>
        </w:rPr>
        <w:t xml:space="preserve"> </w:t>
      </w:r>
      <w:r w:rsidR="00B645B8">
        <w:rPr>
          <w:rFonts w:ascii="Palatino Linotype" w:hAnsi="Palatino Linotype" w:cs="Tahoma"/>
          <w:sz w:val="22"/>
          <w:szCs w:val="22"/>
        </w:rPr>
        <w:t>seis</w:t>
      </w:r>
      <w:r w:rsidR="00751507">
        <w:rPr>
          <w:rFonts w:ascii="Palatino Linotype" w:hAnsi="Palatino Linotype" w:cs="Tahoma"/>
          <w:sz w:val="22"/>
          <w:szCs w:val="22"/>
        </w:rPr>
        <w:t xml:space="preserve"> de febrero</w:t>
      </w:r>
      <w:r w:rsidR="00D6115B">
        <w:rPr>
          <w:rFonts w:ascii="Palatino Linotype" w:hAnsi="Palatino Linotype" w:cs="Tahoma"/>
          <w:sz w:val="22"/>
          <w:szCs w:val="22"/>
        </w:rPr>
        <w:t xml:space="preserve"> de dos mil veinticinco</w:t>
      </w:r>
      <w:r w:rsidR="00E35DF9" w:rsidRPr="00D31FC5">
        <w:rPr>
          <w:rFonts w:ascii="Palatino Linotype" w:hAnsi="Palatino Linotype" w:cs="Tahoma"/>
          <w:sz w:val="22"/>
          <w:szCs w:val="22"/>
        </w:rPr>
        <w:t xml:space="preserve">, </w:t>
      </w:r>
      <w:r w:rsidR="00C247E5" w:rsidRPr="00D31FC5">
        <w:rPr>
          <w:rFonts w:ascii="Palatino Linotype" w:hAnsi="Palatino Linotype" w:cs="Tahoma"/>
          <w:sz w:val="22"/>
          <w:szCs w:val="22"/>
        </w:rPr>
        <w:t>el</w:t>
      </w:r>
      <w:r w:rsidR="00E35DF9" w:rsidRPr="00D31FC5">
        <w:rPr>
          <w:rFonts w:ascii="Palatino Linotype" w:hAnsi="Palatino Linotype" w:cs="Tahoma"/>
          <w:sz w:val="22"/>
          <w:szCs w:val="22"/>
        </w:rPr>
        <w:t xml:space="preserve"> Particular presentó solicitud de acceso a la i</w:t>
      </w:r>
      <w:r w:rsidR="009D6672" w:rsidRPr="00D31FC5">
        <w:rPr>
          <w:rFonts w:ascii="Palatino Linotype" w:hAnsi="Palatino Linotype" w:cs="Tahoma"/>
          <w:sz w:val="22"/>
          <w:szCs w:val="22"/>
        </w:rPr>
        <w:t>nformación pública, a través de</w:t>
      </w:r>
      <w:r w:rsidR="00EA2594" w:rsidRPr="00D31FC5">
        <w:rPr>
          <w:rFonts w:ascii="Palatino Linotype" w:hAnsi="Palatino Linotype" w:cs="Tahoma"/>
          <w:sz w:val="22"/>
          <w:szCs w:val="22"/>
        </w:rPr>
        <w:t xml:space="preserve">l </w:t>
      </w:r>
      <w:r w:rsidR="00062387" w:rsidRPr="00D31FC5">
        <w:rPr>
          <w:rFonts w:ascii="Palatino Linotype" w:hAnsi="Palatino Linotype" w:cs="Tahoma"/>
          <w:sz w:val="22"/>
          <w:szCs w:val="22"/>
        </w:rPr>
        <w:t>Sistema de Acceso a la</w:t>
      </w:r>
      <w:r w:rsidR="000973B8" w:rsidRPr="00D31FC5">
        <w:rPr>
          <w:rFonts w:ascii="Palatino Linotype" w:hAnsi="Palatino Linotype" w:cs="Tahoma"/>
          <w:sz w:val="22"/>
          <w:szCs w:val="22"/>
        </w:rPr>
        <w:t xml:space="preserve"> Información Mexiquense</w:t>
      </w:r>
      <w:r w:rsidRPr="00D31FC5">
        <w:rPr>
          <w:rFonts w:ascii="Palatino Linotype" w:hAnsi="Palatino Linotype" w:cs="Tahoma"/>
          <w:sz w:val="22"/>
          <w:szCs w:val="22"/>
        </w:rPr>
        <w:t>, en lo sucesivo</w:t>
      </w:r>
      <w:r w:rsidR="000973B8" w:rsidRPr="00D31FC5">
        <w:rPr>
          <w:rFonts w:ascii="Palatino Linotype" w:hAnsi="Palatino Linotype" w:cs="Tahoma"/>
          <w:sz w:val="22"/>
          <w:szCs w:val="22"/>
        </w:rPr>
        <w:t xml:space="preserve"> </w:t>
      </w:r>
      <w:r w:rsidRPr="00D31FC5">
        <w:rPr>
          <w:rFonts w:ascii="Palatino Linotype" w:hAnsi="Palatino Linotype" w:cs="Tahoma"/>
          <w:sz w:val="22"/>
          <w:szCs w:val="22"/>
        </w:rPr>
        <w:t xml:space="preserve">el </w:t>
      </w:r>
      <w:r w:rsidR="000973B8" w:rsidRPr="00D31FC5">
        <w:rPr>
          <w:rFonts w:ascii="Palatino Linotype" w:hAnsi="Palatino Linotype" w:cs="Tahoma"/>
          <w:sz w:val="22"/>
          <w:szCs w:val="22"/>
        </w:rPr>
        <w:t>SAIMEX</w:t>
      </w:r>
      <w:r w:rsidR="00E35DF9" w:rsidRPr="00D31FC5">
        <w:rPr>
          <w:rFonts w:ascii="Palatino Linotype" w:hAnsi="Palatino Linotype" w:cs="Tahoma"/>
          <w:sz w:val="22"/>
          <w:szCs w:val="22"/>
        </w:rPr>
        <w:t xml:space="preserve">, ante </w:t>
      </w:r>
      <w:r w:rsidR="009C323D">
        <w:rPr>
          <w:rFonts w:ascii="Palatino Linotype" w:hAnsi="Palatino Linotype" w:cs="Tahoma"/>
          <w:sz w:val="22"/>
          <w:szCs w:val="22"/>
        </w:rPr>
        <w:t>e</w:t>
      </w:r>
      <w:r w:rsidR="00212285" w:rsidRPr="00D31FC5">
        <w:rPr>
          <w:rFonts w:ascii="Palatino Linotype" w:hAnsi="Palatino Linotype" w:cs="Tahoma"/>
          <w:sz w:val="22"/>
          <w:szCs w:val="22"/>
        </w:rPr>
        <w:t>l</w:t>
      </w:r>
      <w:r w:rsidR="00E35DF9" w:rsidRPr="00D31FC5">
        <w:rPr>
          <w:rFonts w:ascii="Palatino Linotype" w:hAnsi="Palatino Linotype" w:cs="Tahoma"/>
          <w:sz w:val="22"/>
          <w:szCs w:val="22"/>
        </w:rPr>
        <w:t xml:space="preserve"> </w:t>
      </w:r>
      <w:r w:rsidR="00B645B8">
        <w:rPr>
          <w:rFonts w:ascii="Palatino Linotype" w:hAnsi="Palatino Linotype" w:cs="Tahoma"/>
          <w:b/>
          <w:bCs/>
          <w:sz w:val="22"/>
          <w:szCs w:val="22"/>
        </w:rPr>
        <w:t>Ayuntamiento de Luvianos</w:t>
      </w:r>
      <w:r w:rsidR="00E35DF9" w:rsidRPr="00D31FC5">
        <w:rPr>
          <w:rFonts w:ascii="Palatino Linotype" w:hAnsi="Palatino Linotype" w:cs="Tahoma"/>
          <w:sz w:val="22"/>
          <w:szCs w:val="22"/>
        </w:rPr>
        <w:t xml:space="preserve">, </w:t>
      </w:r>
      <w:r w:rsidR="003A12F1" w:rsidRPr="00D31FC5">
        <w:rPr>
          <w:rFonts w:ascii="Palatino Linotype" w:hAnsi="Palatino Linotype" w:cs="Tahoma"/>
          <w:sz w:val="22"/>
          <w:szCs w:val="22"/>
        </w:rPr>
        <w:t xml:space="preserve">misma que fue registrada con el número de folio </w:t>
      </w:r>
      <w:r w:rsidR="00B645B8" w:rsidRPr="00B645B8">
        <w:rPr>
          <w:rFonts w:ascii="Palatino Linotype" w:hAnsi="Palatino Linotype" w:cs="Tahoma"/>
          <w:b/>
          <w:bCs/>
          <w:sz w:val="22"/>
          <w:szCs w:val="22"/>
        </w:rPr>
        <w:t>00006/LUVIANOS/IP/2025</w:t>
      </w:r>
      <w:r w:rsidR="003A12F1" w:rsidRPr="00D31FC5">
        <w:rPr>
          <w:rFonts w:ascii="Palatino Linotype" w:hAnsi="Palatino Linotype" w:cs="Tahoma"/>
          <w:b/>
          <w:bCs/>
          <w:sz w:val="22"/>
          <w:szCs w:val="22"/>
        </w:rPr>
        <w:t xml:space="preserve">, </w:t>
      </w:r>
      <w:r w:rsidR="00E35DF9" w:rsidRPr="00D31FC5">
        <w:rPr>
          <w:rFonts w:ascii="Palatino Linotype" w:hAnsi="Palatino Linotype" w:cs="Tahoma"/>
          <w:sz w:val="22"/>
          <w:szCs w:val="22"/>
        </w:rPr>
        <w:t xml:space="preserve">mediante </w:t>
      </w:r>
      <w:r w:rsidR="0074594A" w:rsidRPr="00D31FC5">
        <w:rPr>
          <w:rFonts w:ascii="Palatino Linotype" w:hAnsi="Palatino Linotype" w:cs="Tahoma"/>
          <w:sz w:val="22"/>
          <w:szCs w:val="22"/>
        </w:rPr>
        <w:t>l</w:t>
      </w:r>
      <w:r w:rsidR="00B50512" w:rsidRPr="00D31FC5">
        <w:rPr>
          <w:rFonts w:ascii="Palatino Linotype" w:hAnsi="Palatino Linotype" w:cs="Tahoma"/>
          <w:sz w:val="22"/>
          <w:szCs w:val="22"/>
        </w:rPr>
        <w:t>a</w:t>
      </w:r>
      <w:r w:rsidR="00E35DF9" w:rsidRPr="00D31FC5">
        <w:rPr>
          <w:rFonts w:ascii="Palatino Linotype" w:hAnsi="Palatino Linotype" w:cs="Tahoma"/>
          <w:sz w:val="22"/>
          <w:szCs w:val="22"/>
        </w:rPr>
        <w:t xml:space="preserve"> cual requirió lo siguiente: </w:t>
      </w:r>
    </w:p>
    <w:p w14:paraId="3EDB9BCD" w14:textId="77777777" w:rsidR="00D807FB" w:rsidRPr="00D31FC5" w:rsidRDefault="00D807FB" w:rsidP="00FF426B">
      <w:pPr>
        <w:tabs>
          <w:tab w:val="left" w:pos="567"/>
        </w:tabs>
        <w:spacing w:line="360" w:lineRule="auto"/>
        <w:contextualSpacing/>
        <w:jc w:val="both"/>
        <w:rPr>
          <w:rFonts w:ascii="Palatino Linotype" w:hAnsi="Palatino Linotype" w:cs="Tahoma"/>
          <w:sz w:val="22"/>
        </w:rPr>
      </w:pPr>
    </w:p>
    <w:p w14:paraId="09F4E882" w14:textId="77777777" w:rsidR="00D807FB" w:rsidRPr="00D31FC5"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D31FC5">
        <w:rPr>
          <w:rFonts w:ascii="Palatino Linotype" w:hAnsi="Palatino Linotype" w:cs="Tahoma"/>
          <w:b/>
          <w:bCs/>
        </w:rPr>
        <w:t>DESCRIPCIÓN CLARA Y PRECISA DE LA INFORMACIÓN SOLICITADA</w:t>
      </w:r>
    </w:p>
    <w:p w14:paraId="13887F52" w14:textId="77777777" w:rsidR="000F2B83" w:rsidRPr="00D31FC5" w:rsidRDefault="009D6672" w:rsidP="00B336AC">
      <w:pPr>
        <w:pStyle w:val="Prrafodelista"/>
        <w:tabs>
          <w:tab w:val="left" w:pos="567"/>
        </w:tabs>
        <w:spacing w:line="360" w:lineRule="auto"/>
        <w:ind w:left="567" w:right="539"/>
        <w:jc w:val="both"/>
        <w:rPr>
          <w:rFonts w:ascii="Palatino Linotype" w:hAnsi="Palatino Linotype"/>
          <w:i/>
          <w:iCs/>
          <w:color w:val="000000"/>
          <w:sz w:val="20"/>
          <w:szCs w:val="20"/>
        </w:rPr>
      </w:pPr>
      <w:r w:rsidRPr="00D31FC5">
        <w:rPr>
          <w:rFonts w:ascii="Palatino Linotype" w:hAnsi="Palatino Linotype"/>
          <w:i/>
          <w:iCs/>
          <w:color w:val="000000"/>
          <w:sz w:val="20"/>
          <w:szCs w:val="20"/>
        </w:rPr>
        <w:t>“</w:t>
      </w:r>
      <w:r w:rsidR="00430783" w:rsidRPr="00430783">
        <w:rPr>
          <w:rFonts w:ascii="Palatino Linotype" w:hAnsi="Palatino Linotype"/>
          <w:i/>
          <w:iCs/>
          <w:color w:val="000000"/>
          <w:sz w:val="20"/>
          <w:szCs w:val="20"/>
        </w:rPr>
        <w:t xml:space="preserve">Copia de recibo de nómina del mes de enero 2025en versión pública de todos los trabajadores del ayuntamiento, incluyendo protección civil y seguridad </w:t>
      </w:r>
      <w:proofErr w:type="gramStart"/>
      <w:r w:rsidR="00430783" w:rsidRPr="00430783">
        <w:rPr>
          <w:rFonts w:ascii="Palatino Linotype" w:hAnsi="Palatino Linotype"/>
          <w:i/>
          <w:iCs/>
          <w:color w:val="000000"/>
          <w:sz w:val="20"/>
          <w:szCs w:val="20"/>
        </w:rPr>
        <w:t>pública,.</w:t>
      </w:r>
      <w:proofErr w:type="gramEnd"/>
      <w:r w:rsidR="00430783" w:rsidRPr="00430783">
        <w:rPr>
          <w:rFonts w:ascii="Palatino Linotype" w:hAnsi="Palatino Linotype"/>
          <w:i/>
          <w:iCs/>
          <w:color w:val="000000"/>
          <w:sz w:val="20"/>
          <w:szCs w:val="20"/>
        </w:rPr>
        <w:t xml:space="preserve"> El programa anual de Obras propuesta para el 2025. Tabulador de sueldas para el ejercicio 2025. Relación de vales de gasolina del mes de enero, ingresos totales del mes de enero 2025, incluyendo participaciones, e ingresos propios. Relación de cuentas mancomunadas del ayuntamiento. Copia de recibos de nómina del mes de enero 2025 del sistema DIF municipal, en versión pública. Copia de vales de gasolina emitidos </w:t>
      </w:r>
      <w:r w:rsidR="00430783" w:rsidRPr="00430783">
        <w:rPr>
          <w:rFonts w:ascii="Palatino Linotype" w:hAnsi="Palatino Linotype"/>
          <w:i/>
          <w:iCs/>
          <w:color w:val="000000"/>
          <w:sz w:val="20"/>
          <w:szCs w:val="20"/>
        </w:rPr>
        <w:lastRenderedPageBreak/>
        <w:t xml:space="preserve">por el DIF, relación de pagos de CFE, Telmex, y adquisición de materiales del capítulo 2000, del año 2020 al </w:t>
      </w:r>
      <w:proofErr w:type="gramStart"/>
      <w:r w:rsidR="00430783" w:rsidRPr="00430783">
        <w:rPr>
          <w:rFonts w:ascii="Palatino Linotype" w:hAnsi="Palatino Linotype"/>
          <w:i/>
          <w:iCs/>
          <w:color w:val="000000"/>
          <w:sz w:val="20"/>
          <w:szCs w:val="20"/>
        </w:rPr>
        <w:t>2025,</w:t>
      </w:r>
      <w:r w:rsidR="003A3191">
        <w:rPr>
          <w:rFonts w:ascii="Palatino Linotype" w:hAnsi="Palatino Linotype"/>
          <w:i/>
          <w:iCs/>
          <w:color w:val="000000"/>
          <w:sz w:val="20"/>
          <w:szCs w:val="20"/>
        </w:rPr>
        <w:t>.</w:t>
      </w:r>
      <w:proofErr w:type="gramEnd"/>
      <w:r w:rsidR="00B50512" w:rsidRPr="00D31FC5">
        <w:rPr>
          <w:rFonts w:ascii="Palatino Linotype" w:hAnsi="Palatino Linotype"/>
          <w:i/>
          <w:iCs/>
          <w:color w:val="000000"/>
          <w:sz w:val="20"/>
          <w:szCs w:val="20"/>
        </w:rPr>
        <w:t>"</w:t>
      </w:r>
      <w:r w:rsidR="00A650C6" w:rsidRPr="00D31FC5">
        <w:rPr>
          <w:rFonts w:ascii="Palatino Linotype" w:hAnsi="Palatino Linotype"/>
          <w:i/>
          <w:iCs/>
          <w:color w:val="000000"/>
          <w:sz w:val="20"/>
          <w:szCs w:val="20"/>
        </w:rPr>
        <w:t xml:space="preserve"> </w:t>
      </w:r>
      <w:r w:rsidR="00D74B06" w:rsidRPr="00D31FC5">
        <w:rPr>
          <w:rFonts w:ascii="Palatino Linotype" w:hAnsi="Palatino Linotype"/>
          <w:i/>
          <w:iCs/>
          <w:color w:val="000000"/>
          <w:sz w:val="20"/>
          <w:szCs w:val="20"/>
        </w:rPr>
        <w:t>(Sic)</w:t>
      </w:r>
      <w:r w:rsidR="007A0F69" w:rsidRPr="00D31FC5">
        <w:rPr>
          <w:rFonts w:ascii="Palatino Linotype" w:hAnsi="Palatino Linotype"/>
          <w:i/>
          <w:iCs/>
          <w:color w:val="000000"/>
          <w:sz w:val="20"/>
          <w:szCs w:val="20"/>
        </w:rPr>
        <w:t>.</w:t>
      </w:r>
    </w:p>
    <w:p w14:paraId="76893A30" w14:textId="77777777" w:rsidR="007E4927" w:rsidRPr="00D31FC5"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098A35A2" w14:textId="77777777" w:rsidR="00E35DF9" w:rsidRPr="00D31FC5"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D31FC5">
        <w:rPr>
          <w:rFonts w:ascii="Palatino Linotype" w:hAnsi="Palatino Linotype" w:cs="Tahoma"/>
          <w:b/>
          <w:sz w:val="20"/>
          <w:szCs w:val="22"/>
        </w:rPr>
        <w:t>MODALIDAD DE ENTREGA</w:t>
      </w:r>
      <w:r w:rsidR="00007985">
        <w:rPr>
          <w:rFonts w:ascii="Palatino Linotype" w:hAnsi="Palatino Linotype" w:cs="Tahoma"/>
          <w:b/>
          <w:sz w:val="20"/>
          <w:szCs w:val="22"/>
        </w:rPr>
        <w:t xml:space="preserve"> </w:t>
      </w:r>
      <w:r w:rsidR="007E4927" w:rsidRPr="00D31FC5">
        <w:rPr>
          <w:rFonts w:ascii="Palatino Linotype" w:hAnsi="Palatino Linotype" w:cs="Tahoma"/>
          <w:i/>
          <w:sz w:val="20"/>
          <w:szCs w:val="22"/>
        </w:rPr>
        <w:t>“</w:t>
      </w:r>
      <w:r w:rsidR="00062387" w:rsidRPr="00D31FC5">
        <w:rPr>
          <w:rFonts w:ascii="Palatino Linotype" w:hAnsi="Palatino Linotype" w:cs="Tahoma"/>
          <w:i/>
          <w:sz w:val="20"/>
          <w:szCs w:val="22"/>
        </w:rPr>
        <w:t>A través del SAIMEX</w:t>
      </w:r>
      <w:r w:rsidR="007E4927" w:rsidRPr="00D31FC5">
        <w:rPr>
          <w:rFonts w:ascii="Palatino Linotype" w:hAnsi="Palatino Linotype" w:cs="Tahoma"/>
          <w:i/>
          <w:sz w:val="20"/>
          <w:szCs w:val="22"/>
        </w:rPr>
        <w:t>”</w:t>
      </w:r>
      <w:r w:rsidR="00365A36">
        <w:rPr>
          <w:rFonts w:ascii="Palatino Linotype" w:hAnsi="Palatino Linotype" w:cs="Tahoma"/>
          <w:i/>
          <w:sz w:val="20"/>
          <w:szCs w:val="22"/>
        </w:rPr>
        <w:t>.</w:t>
      </w:r>
    </w:p>
    <w:p w14:paraId="16383470" w14:textId="77777777" w:rsidR="006B3762" w:rsidRDefault="006B3762" w:rsidP="00EA2594">
      <w:pPr>
        <w:autoSpaceDE w:val="0"/>
        <w:autoSpaceDN w:val="0"/>
        <w:adjustRightInd w:val="0"/>
        <w:spacing w:line="360" w:lineRule="auto"/>
        <w:jc w:val="both"/>
        <w:rPr>
          <w:rFonts w:ascii="Palatino Linotype" w:hAnsi="Palatino Linotype"/>
          <w:b/>
          <w:bCs/>
          <w:color w:val="000000" w:themeColor="text1"/>
          <w:sz w:val="22"/>
          <w:szCs w:val="22"/>
          <w:lang w:eastAsia="en-US"/>
        </w:rPr>
      </w:pPr>
    </w:p>
    <w:p w14:paraId="05406317" w14:textId="77777777" w:rsidR="00681D84" w:rsidRPr="00D31FC5" w:rsidRDefault="007401D6" w:rsidP="00342378">
      <w:pPr>
        <w:pStyle w:val="Ttulo2"/>
      </w:pPr>
      <w:bookmarkStart w:id="3" w:name="_Toc205477922"/>
      <w:r>
        <w:rPr>
          <w:rFonts w:ascii="Palatino Linotype" w:hAnsi="Palatino Linotype" w:cs="Tahoma"/>
          <w:b/>
          <w:color w:val="auto"/>
          <w:sz w:val="22"/>
          <w:szCs w:val="22"/>
        </w:rPr>
        <w:t>I</w:t>
      </w:r>
      <w:r w:rsidR="00F86BFB" w:rsidRPr="00342378">
        <w:rPr>
          <w:rFonts w:ascii="Palatino Linotype" w:hAnsi="Palatino Linotype" w:cs="Tahoma"/>
          <w:b/>
          <w:color w:val="auto"/>
          <w:sz w:val="22"/>
          <w:szCs w:val="22"/>
        </w:rPr>
        <w:t xml:space="preserve">I. </w:t>
      </w:r>
      <w:r w:rsidR="00681D84" w:rsidRPr="00342378">
        <w:rPr>
          <w:rFonts w:ascii="Palatino Linotype" w:hAnsi="Palatino Linotype" w:cs="Tahoma"/>
          <w:b/>
          <w:color w:val="auto"/>
          <w:sz w:val="22"/>
          <w:szCs w:val="22"/>
        </w:rPr>
        <w:t>Respuesta del Sujeto Obligado</w:t>
      </w:r>
      <w:bookmarkEnd w:id="3"/>
    </w:p>
    <w:p w14:paraId="122617E4" w14:textId="77777777" w:rsidR="00E0128F" w:rsidRPr="00D31FC5"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5A6F3196" w14:textId="77777777" w:rsidR="00430783"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D31FC5">
        <w:rPr>
          <w:rFonts w:ascii="Palatino Linotype" w:hAnsi="Palatino Linotype" w:cs="Tahoma"/>
          <w:sz w:val="22"/>
          <w:szCs w:val="22"/>
        </w:rPr>
        <w:t>El</w:t>
      </w:r>
      <w:r w:rsidR="00681D84" w:rsidRPr="00D31FC5">
        <w:rPr>
          <w:rFonts w:ascii="Palatino Linotype" w:hAnsi="Palatino Linotype" w:cs="Tahoma"/>
          <w:sz w:val="22"/>
          <w:szCs w:val="22"/>
        </w:rPr>
        <w:t xml:space="preserve"> </w:t>
      </w:r>
      <w:r w:rsidR="00430783">
        <w:rPr>
          <w:rFonts w:ascii="Palatino Linotype" w:hAnsi="Palatino Linotype" w:cs="Tahoma"/>
          <w:sz w:val="22"/>
          <w:szCs w:val="22"/>
        </w:rPr>
        <w:t>diecisiete</w:t>
      </w:r>
      <w:r w:rsidR="00FA33D1">
        <w:rPr>
          <w:rFonts w:ascii="Palatino Linotype" w:hAnsi="Palatino Linotype" w:cs="Tahoma"/>
          <w:sz w:val="22"/>
          <w:szCs w:val="22"/>
        </w:rPr>
        <w:t xml:space="preserve"> de febrero</w:t>
      </w:r>
      <w:r w:rsidR="00F86BFB">
        <w:rPr>
          <w:rFonts w:ascii="Palatino Linotype" w:hAnsi="Palatino Linotype" w:cs="Tahoma"/>
          <w:sz w:val="22"/>
          <w:szCs w:val="22"/>
        </w:rPr>
        <w:t xml:space="preserve"> </w:t>
      </w:r>
      <w:r w:rsidR="00B71F2C" w:rsidRPr="00D31FC5">
        <w:rPr>
          <w:rFonts w:ascii="Palatino Linotype" w:hAnsi="Palatino Linotype" w:cs="Tahoma"/>
          <w:sz w:val="22"/>
          <w:szCs w:val="22"/>
        </w:rPr>
        <w:t>de dos mil veinti</w:t>
      </w:r>
      <w:r w:rsidR="00F93A36" w:rsidRPr="00D31FC5">
        <w:rPr>
          <w:rFonts w:ascii="Palatino Linotype" w:hAnsi="Palatino Linotype" w:cs="Tahoma"/>
          <w:sz w:val="22"/>
          <w:szCs w:val="22"/>
        </w:rPr>
        <w:t>c</w:t>
      </w:r>
      <w:r w:rsidR="00CD10BF">
        <w:rPr>
          <w:rFonts w:ascii="Palatino Linotype" w:hAnsi="Palatino Linotype" w:cs="Tahoma"/>
          <w:sz w:val="22"/>
          <w:szCs w:val="22"/>
        </w:rPr>
        <w:t>inco</w:t>
      </w:r>
      <w:r w:rsidR="00681D84" w:rsidRPr="00D31FC5">
        <w:rPr>
          <w:rFonts w:ascii="Palatino Linotype" w:hAnsi="Palatino Linotype" w:cs="Tahoma"/>
          <w:sz w:val="22"/>
          <w:szCs w:val="22"/>
        </w:rPr>
        <w:t xml:space="preserve">, </w:t>
      </w:r>
      <w:r w:rsidR="00D74B06" w:rsidRPr="00D31FC5">
        <w:rPr>
          <w:rFonts w:ascii="Palatino Linotype" w:hAnsi="Palatino Linotype" w:cs="Tahoma"/>
          <w:sz w:val="22"/>
          <w:szCs w:val="22"/>
        </w:rPr>
        <w:t xml:space="preserve">el Sujeto Obligado </w:t>
      </w:r>
      <w:r w:rsidR="008453FA" w:rsidRPr="00D31FC5">
        <w:rPr>
          <w:rFonts w:ascii="Palatino Linotype" w:hAnsi="Palatino Linotype" w:cs="Tahoma"/>
          <w:sz w:val="22"/>
          <w:szCs w:val="22"/>
        </w:rPr>
        <w:t xml:space="preserve">otorgó respuesta a través del </w:t>
      </w:r>
      <w:r w:rsidRPr="00D31FC5">
        <w:rPr>
          <w:rFonts w:ascii="Palatino Linotype" w:hAnsi="Palatino Linotype" w:cs="Tahoma"/>
          <w:sz w:val="22"/>
          <w:szCs w:val="22"/>
        </w:rPr>
        <w:t>SAIMEX</w:t>
      </w:r>
      <w:r w:rsidR="008453FA" w:rsidRPr="00D31FC5">
        <w:rPr>
          <w:rFonts w:ascii="Palatino Linotype" w:hAnsi="Palatino Linotype" w:cs="Tahoma"/>
          <w:sz w:val="22"/>
          <w:szCs w:val="22"/>
        </w:rPr>
        <w:t xml:space="preserve"> en </w:t>
      </w:r>
      <w:r w:rsidR="009C323D">
        <w:rPr>
          <w:rFonts w:ascii="Palatino Linotype" w:hAnsi="Palatino Linotype" w:cs="Tahoma"/>
          <w:sz w:val="22"/>
          <w:szCs w:val="22"/>
        </w:rPr>
        <w:t>l</w:t>
      </w:r>
      <w:r w:rsidR="00430783">
        <w:rPr>
          <w:rFonts w:ascii="Palatino Linotype" w:hAnsi="Palatino Linotype" w:cs="Tahoma"/>
          <w:sz w:val="22"/>
          <w:szCs w:val="22"/>
        </w:rPr>
        <w:t xml:space="preserve">a que adjuntó el archivo </w:t>
      </w:r>
      <w:r w:rsidR="00430783" w:rsidRPr="00430783">
        <w:rPr>
          <w:rFonts w:ascii="Palatino Linotype" w:hAnsi="Palatino Linotype" w:cs="Tahoma"/>
          <w:b/>
          <w:i/>
          <w:sz w:val="22"/>
          <w:szCs w:val="22"/>
        </w:rPr>
        <w:t>RESPUESTA 00006.pdf</w:t>
      </w:r>
      <w:r w:rsidR="00430783">
        <w:rPr>
          <w:rFonts w:ascii="Palatino Linotype" w:hAnsi="Palatino Linotype" w:cs="Tahoma"/>
          <w:sz w:val="22"/>
          <w:szCs w:val="22"/>
        </w:rPr>
        <w:t xml:space="preserve"> por medio del cual el Tesorero del Ayuntamiento manifestó lo siguiente: </w:t>
      </w:r>
    </w:p>
    <w:p w14:paraId="76CE2453" w14:textId="77777777" w:rsidR="00F86BFB" w:rsidRPr="00F86BFB" w:rsidRDefault="00F86BFB" w:rsidP="009C323D">
      <w:pPr>
        <w:autoSpaceDE w:val="0"/>
        <w:autoSpaceDN w:val="0"/>
        <w:adjustRightInd w:val="0"/>
        <w:spacing w:line="360" w:lineRule="auto"/>
        <w:contextualSpacing/>
        <w:jc w:val="both"/>
        <w:rPr>
          <w:rFonts w:ascii="Palatino Linotype" w:hAnsi="Palatino Linotype" w:cs="Tahoma"/>
          <w:sz w:val="22"/>
          <w:szCs w:val="22"/>
        </w:rPr>
      </w:pPr>
    </w:p>
    <w:p w14:paraId="5D548660" w14:textId="77777777" w:rsidR="00996302" w:rsidRPr="00D31FC5"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31FC5">
        <w:rPr>
          <w:rFonts w:ascii="Palatino Linotype" w:hAnsi="Palatino Linotype" w:cs="Tahoma"/>
          <w:i/>
          <w:szCs w:val="22"/>
        </w:rPr>
        <w:t>“…</w:t>
      </w:r>
      <w:r w:rsidR="00F25E23" w:rsidRPr="00D31FC5">
        <w:rPr>
          <w:rFonts w:ascii="Palatino Linotype" w:hAnsi="Palatino Linotype" w:cs="Tahoma"/>
          <w:i/>
          <w:szCs w:val="22"/>
        </w:rPr>
        <w:t xml:space="preserve"> </w:t>
      </w:r>
    </w:p>
    <w:p w14:paraId="0EB40564"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i/>
          <w:szCs w:val="22"/>
        </w:rPr>
        <w:t>Con relación a la solicitud de información presentada, se informa lo siguiente:</w:t>
      </w:r>
    </w:p>
    <w:p w14:paraId="2B3F921D"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b/>
          <w:i/>
          <w:szCs w:val="22"/>
        </w:rPr>
        <w:t>1. Copia de recibo de nómina del mes de enero de 2025 en versión pública de todos los trabajadores del ayuntamiento, incluyendo Protección Civil y Seguridad Pública</w:t>
      </w:r>
      <w:r w:rsidRPr="00430783">
        <w:rPr>
          <w:rFonts w:ascii="Palatino Linotype" w:hAnsi="Palatino Linotype" w:cs="Tahoma"/>
          <w:i/>
          <w:szCs w:val="22"/>
        </w:rPr>
        <w:t>: La información solicitada es considerada pública conforme a la Ley de Transparencia. Sin embargo, entregar dicha información en este momento podría comprometer la seguridad de los trabajadores, en especial de los elementos de Protección Civil y Seguridad Pública, dada la situación de huelgas y el cierre del ayuntamiento al inicio de la administración, lo cual generó riesgos adicionales para el personal. Por ello, para proteger la integridad de los mismos, la información será publicada en el primer trimestre de 2025 en la plataforma de</w:t>
      </w:r>
    </w:p>
    <w:p w14:paraId="40D532A2"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i/>
          <w:szCs w:val="22"/>
        </w:rPr>
        <w:t>IPOMEX, en la fracción de Remuneraciones.</w:t>
      </w:r>
    </w:p>
    <w:p w14:paraId="4E04515C"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b/>
          <w:i/>
          <w:szCs w:val="22"/>
        </w:rPr>
        <w:t>2. Programa Anual de Obras 2025</w:t>
      </w:r>
      <w:r w:rsidRPr="00430783">
        <w:rPr>
          <w:rFonts w:ascii="Palatino Linotype" w:hAnsi="Palatino Linotype" w:cs="Tahoma"/>
          <w:i/>
          <w:szCs w:val="22"/>
        </w:rPr>
        <w:t>: Actualmente no contamos con los lineamientos técnicos ni con los montos definitivos para las obras del ejercicio 2025, por lo que no es posible entregar esta información en su totalidad. Sin embargo, se publicará el programa correspondiente tan pronto como estos detalles estén disponibles, lo cual se tiene previsto para el primer trimestre de 2025.</w:t>
      </w:r>
    </w:p>
    <w:p w14:paraId="16B20E77"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b/>
          <w:i/>
          <w:szCs w:val="22"/>
        </w:rPr>
        <w:t>3. Tabulador de sueldos para el ejercicio 2025:</w:t>
      </w:r>
      <w:r w:rsidRPr="00430783">
        <w:rPr>
          <w:rFonts w:ascii="Palatino Linotype" w:hAnsi="Palatino Linotype" w:cs="Tahoma"/>
          <w:i/>
          <w:szCs w:val="22"/>
        </w:rPr>
        <w:t xml:space="preserve"> Esta información será publicada en el primer trimestre de 2025, ya que, por el momento, no es posible proporcionar un tabulador exacto que cumpla </w:t>
      </w:r>
      <w:r w:rsidRPr="00430783">
        <w:rPr>
          <w:rFonts w:ascii="Palatino Linotype" w:hAnsi="Palatino Linotype" w:cs="Tahoma"/>
          <w:i/>
          <w:szCs w:val="22"/>
        </w:rPr>
        <w:lastRenderedPageBreak/>
        <w:t>con todos los requisitos de veracidad. Como mencionamos anteriormente, la información será disponible en la plataforma de IPOMEX.</w:t>
      </w:r>
    </w:p>
    <w:p w14:paraId="47E1AF1E"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b/>
          <w:i/>
          <w:szCs w:val="22"/>
        </w:rPr>
        <w:t>4. Relación de vales de gasolina del mes de enero de 2025:</w:t>
      </w:r>
      <w:r w:rsidRPr="00430783">
        <w:rPr>
          <w:rFonts w:ascii="Palatino Linotype" w:hAnsi="Palatino Linotype" w:cs="Tahoma"/>
          <w:i/>
          <w:szCs w:val="22"/>
        </w:rPr>
        <w:t xml:space="preserve"> Al igual que en el caso de los recibos de nómina, esta información contiene datos que podrían poner en riesgo la seguridad de los trabajadores a quienes se les otorgaron los vales. Dado lo anterior, esta información será publicada en el primer trimestre de 2025.</w:t>
      </w:r>
    </w:p>
    <w:p w14:paraId="3807DB1B"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430783">
        <w:rPr>
          <w:rFonts w:ascii="Palatino Linotype" w:hAnsi="Palatino Linotype" w:cs="Tahoma"/>
          <w:b/>
          <w:i/>
          <w:szCs w:val="22"/>
        </w:rPr>
        <w:t>5. Ingresos totales del mes de enero 2025, incluyendo participaciones e ingresos propios:</w:t>
      </w:r>
    </w:p>
    <w:p w14:paraId="206D600B"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i/>
          <w:szCs w:val="22"/>
        </w:rPr>
        <w:t>Esta información también será publicada en el primer trimestre de 2025. No obstante, se destaca que la toma de posesión de la nueva administración y la falta de acceso al área de Tesorería de la administración pasada han retrasado el proceso contable y la elaboración de dicha información.</w:t>
      </w:r>
    </w:p>
    <w:p w14:paraId="1F0A598B"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b/>
          <w:i/>
          <w:szCs w:val="22"/>
        </w:rPr>
        <w:t>6. Relación de cuentas mancomunadas del ayuntamiento</w:t>
      </w:r>
      <w:r w:rsidRPr="00430783">
        <w:rPr>
          <w:rFonts w:ascii="Palatino Linotype" w:hAnsi="Palatino Linotype" w:cs="Tahoma"/>
          <w:i/>
          <w:szCs w:val="22"/>
        </w:rPr>
        <w:t>: Esta información está siendo procesada y será publicada en los plazos establecidos, conforme se avance con la normalización de las actividades administrativas.</w:t>
      </w:r>
    </w:p>
    <w:p w14:paraId="6B19F146" w14:textId="77777777" w:rsidR="00430783" w:rsidRP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b/>
          <w:i/>
          <w:szCs w:val="22"/>
        </w:rPr>
        <w:t>7. Copia de recibos de nómina del mes de enero de 2025 del sistema DIF Municipal, en versión pública:</w:t>
      </w:r>
      <w:r w:rsidRPr="00430783">
        <w:rPr>
          <w:rFonts w:ascii="Palatino Linotype" w:hAnsi="Palatino Linotype" w:cs="Tahoma"/>
          <w:i/>
          <w:szCs w:val="22"/>
        </w:rPr>
        <w:t xml:space="preserve"> La información solicitada corresponde a un organismo descentralizado, el cual tiene su propia unidad de transparencia. Por lo tanto, no somos competentes para responder a esta solicitud en relación al DIF Municipal. Para obtener dicha información, es necesario dirigirse a la unidad de transparencia del DIF.</w:t>
      </w:r>
    </w:p>
    <w:p w14:paraId="5D4A0B15" w14:textId="77777777" w:rsidR="00430783" w:rsidRDefault="00430783"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30783">
        <w:rPr>
          <w:rFonts w:ascii="Palatino Linotype" w:hAnsi="Palatino Linotype" w:cs="Tahoma"/>
          <w:i/>
          <w:szCs w:val="22"/>
        </w:rPr>
        <w:t xml:space="preserve">De este modo se destaca que en ningún momento se está negando la información, </w:t>
      </w:r>
      <w:proofErr w:type="gramStart"/>
      <w:r w:rsidRPr="00430783">
        <w:rPr>
          <w:rFonts w:ascii="Palatino Linotype" w:hAnsi="Palatino Linotype" w:cs="Tahoma"/>
          <w:i/>
          <w:szCs w:val="22"/>
        </w:rPr>
        <w:t>sino</w:t>
      </w:r>
      <w:proofErr w:type="gramEnd"/>
      <w:r w:rsidRPr="00430783">
        <w:rPr>
          <w:rFonts w:ascii="Palatino Linotype" w:hAnsi="Palatino Linotype" w:cs="Tahoma"/>
          <w:i/>
          <w:szCs w:val="22"/>
        </w:rPr>
        <w:t xml:space="preserve">, por el contrario, solo se está argumentando la situación que impide hacer la entrega de la </w:t>
      </w:r>
      <w:proofErr w:type="spellStart"/>
      <w:r w:rsidRPr="00430783">
        <w:rPr>
          <w:rFonts w:ascii="Palatino Linotype" w:hAnsi="Palatino Linotype" w:cs="Tahoma"/>
          <w:i/>
          <w:szCs w:val="22"/>
        </w:rPr>
        <w:t>inhermación</w:t>
      </w:r>
      <w:proofErr w:type="spellEnd"/>
      <w:r w:rsidRPr="00430783">
        <w:rPr>
          <w:rFonts w:ascii="Palatino Linotype" w:hAnsi="Palatino Linotype" w:cs="Tahoma"/>
          <w:i/>
          <w:szCs w:val="22"/>
        </w:rPr>
        <w:t xml:space="preserve"> mediante la modalidad que requiere el particular.</w:t>
      </w:r>
    </w:p>
    <w:p w14:paraId="7C97F9D2" w14:textId="77777777" w:rsidR="007401D6" w:rsidRDefault="00785311" w:rsidP="0043078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6D57DB48" w14:textId="77777777" w:rsidR="007401D6"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E844BDF" w14:textId="77777777" w:rsidR="001A412B" w:rsidRPr="00342378" w:rsidRDefault="007812D1" w:rsidP="00342378">
      <w:pPr>
        <w:pStyle w:val="Ttulo2"/>
        <w:rPr>
          <w:rFonts w:ascii="Palatino Linotype" w:hAnsi="Palatino Linotype" w:cs="Tahoma"/>
          <w:b/>
          <w:color w:val="auto"/>
          <w:sz w:val="22"/>
          <w:szCs w:val="22"/>
        </w:rPr>
      </w:pPr>
      <w:bookmarkStart w:id="4" w:name="_Toc205477923"/>
      <w:bookmarkEnd w:id="0"/>
      <w:r w:rsidRPr="00342378">
        <w:rPr>
          <w:rFonts w:ascii="Palatino Linotype" w:hAnsi="Palatino Linotype" w:cs="Tahoma"/>
          <w:b/>
          <w:color w:val="auto"/>
          <w:sz w:val="22"/>
          <w:szCs w:val="22"/>
        </w:rPr>
        <w:t>I</w:t>
      </w:r>
      <w:r w:rsidR="00BF4B55">
        <w:rPr>
          <w:rFonts w:ascii="Palatino Linotype" w:hAnsi="Palatino Linotype" w:cs="Tahoma"/>
          <w:b/>
          <w:color w:val="auto"/>
          <w:sz w:val="22"/>
          <w:szCs w:val="22"/>
        </w:rPr>
        <w:t>II</w:t>
      </w:r>
      <w:r w:rsidR="009A7587" w:rsidRPr="00342378">
        <w:rPr>
          <w:rFonts w:ascii="Palatino Linotype" w:hAnsi="Palatino Linotype" w:cs="Tahoma"/>
          <w:b/>
          <w:color w:val="auto"/>
          <w:sz w:val="22"/>
          <w:szCs w:val="22"/>
        </w:rPr>
        <w:t>. Interposición del Recurso de Revisión</w:t>
      </w:r>
      <w:bookmarkEnd w:id="4"/>
    </w:p>
    <w:p w14:paraId="145F8773" w14:textId="77777777" w:rsidR="00F87649" w:rsidRPr="00D31FC5"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2FDC0DA9" w14:textId="77777777" w:rsidR="009A7587" w:rsidRPr="00D31FC5" w:rsidRDefault="009A7587" w:rsidP="00FF426B">
      <w:pPr>
        <w:tabs>
          <w:tab w:val="left" w:pos="3122"/>
        </w:tabs>
        <w:spacing w:line="360" w:lineRule="auto"/>
        <w:contextualSpacing/>
        <w:jc w:val="both"/>
        <w:rPr>
          <w:rFonts w:ascii="Palatino Linotype" w:hAnsi="Palatino Linotype" w:cs="Tahoma"/>
          <w:sz w:val="22"/>
          <w:szCs w:val="22"/>
        </w:rPr>
      </w:pPr>
      <w:r w:rsidRPr="00D31FC5">
        <w:rPr>
          <w:rFonts w:ascii="Palatino Linotype" w:hAnsi="Palatino Linotype" w:cs="Tahoma"/>
          <w:sz w:val="22"/>
          <w:szCs w:val="22"/>
        </w:rPr>
        <w:t>Con fecha</w:t>
      </w:r>
      <w:r w:rsidR="00E13C8C" w:rsidRPr="00D31FC5">
        <w:rPr>
          <w:rFonts w:ascii="Palatino Linotype" w:hAnsi="Palatino Linotype" w:cs="Tahoma"/>
          <w:sz w:val="22"/>
          <w:szCs w:val="22"/>
        </w:rPr>
        <w:t xml:space="preserve"> </w:t>
      </w:r>
      <w:r w:rsidR="00430783">
        <w:rPr>
          <w:rFonts w:ascii="Palatino Linotype" w:hAnsi="Palatino Linotype" w:cs="Tahoma"/>
          <w:sz w:val="22"/>
          <w:szCs w:val="22"/>
        </w:rPr>
        <w:t>diecisiete</w:t>
      </w:r>
      <w:r w:rsidR="00B336AC">
        <w:rPr>
          <w:rFonts w:ascii="Palatino Linotype" w:hAnsi="Palatino Linotype" w:cs="Tahoma"/>
          <w:sz w:val="22"/>
          <w:szCs w:val="22"/>
        </w:rPr>
        <w:t xml:space="preserve"> de febrero</w:t>
      </w:r>
      <w:r w:rsidR="009C323D">
        <w:rPr>
          <w:rFonts w:ascii="Palatino Linotype" w:hAnsi="Palatino Linotype" w:cs="Tahoma"/>
          <w:sz w:val="22"/>
          <w:szCs w:val="22"/>
        </w:rPr>
        <w:t xml:space="preserve"> </w:t>
      </w:r>
      <w:r w:rsidR="00B267E1" w:rsidRPr="00D31FC5">
        <w:rPr>
          <w:rFonts w:ascii="Palatino Linotype" w:hAnsi="Palatino Linotype" w:cs="Tahoma"/>
          <w:sz w:val="22"/>
          <w:szCs w:val="22"/>
        </w:rPr>
        <w:t>de dos mil veinti</w:t>
      </w:r>
      <w:r w:rsidR="00F93A36" w:rsidRPr="00D31FC5">
        <w:rPr>
          <w:rFonts w:ascii="Palatino Linotype" w:hAnsi="Palatino Linotype" w:cs="Tahoma"/>
          <w:sz w:val="22"/>
          <w:szCs w:val="22"/>
        </w:rPr>
        <w:t>c</w:t>
      </w:r>
      <w:r w:rsidR="00BF4B55">
        <w:rPr>
          <w:rFonts w:ascii="Palatino Linotype" w:hAnsi="Palatino Linotype" w:cs="Tahoma"/>
          <w:sz w:val="22"/>
          <w:szCs w:val="22"/>
        </w:rPr>
        <w:t>inco</w:t>
      </w:r>
      <w:r w:rsidRPr="00D31FC5">
        <w:rPr>
          <w:rFonts w:ascii="Palatino Linotype" w:hAnsi="Palatino Linotype" w:cs="Tahoma"/>
          <w:sz w:val="22"/>
          <w:szCs w:val="22"/>
        </w:rPr>
        <w:t xml:space="preserve">, a través del </w:t>
      </w:r>
      <w:r w:rsidR="00BB1F81" w:rsidRPr="00D31FC5">
        <w:rPr>
          <w:rFonts w:ascii="Palatino Linotype" w:hAnsi="Palatino Linotype" w:cs="Tahoma"/>
          <w:sz w:val="22"/>
          <w:szCs w:val="22"/>
          <w:lang w:val="es-ES"/>
        </w:rPr>
        <w:t>SAIMEX</w:t>
      </w:r>
      <w:r w:rsidR="00A048C7" w:rsidRPr="00D31FC5">
        <w:rPr>
          <w:rFonts w:ascii="Palatino Linotype" w:hAnsi="Palatino Linotype" w:cs="Tahoma"/>
          <w:sz w:val="22"/>
          <w:szCs w:val="22"/>
        </w:rPr>
        <w:t>, se interpus</w:t>
      </w:r>
      <w:r w:rsidR="003C3E71" w:rsidRPr="00D31FC5">
        <w:rPr>
          <w:rFonts w:ascii="Palatino Linotype" w:hAnsi="Palatino Linotype" w:cs="Tahoma"/>
          <w:sz w:val="22"/>
          <w:szCs w:val="22"/>
        </w:rPr>
        <w:t>o</w:t>
      </w:r>
      <w:r w:rsidR="00A048C7" w:rsidRPr="00D31FC5">
        <w:rPr>
          <w:rFonts w:ascii="Palatino Linotype" w:hAnsi="Palatino Linotype" w:cs="Tahoma"/>
          <w:sz w:val="22"/>
          <w:szCs w:val="22"/>
        </w:rPr>
        <w:t xml:space="preserve"> </w:t>
      </w:r>
      <w:r w:rsidR="003C3E71" w:rsidRPr="00D31FC5">
        <w:rPr>
          <w:rFonts w:ascii="Palatino Linotype" w:hAnsi="Palatino Linotype" w:cs="Tahoma"/>
          <w:sz w:val="22"/>
          <w:szCs w:val="22"/>
        </w:rPr>
        <w:t>el</w:t>
      </w:r>
      <w:r w:rsidRPr="00D31FC5">
        <w:rPr>
          <w:rFonts w:ascii="Palatino Linotype" w:hAnsi="Palatino Linotype" w:cs="Tahoma"/>
          <w:sz w:val="22"/>
          <w:szCs w:val="22"/>
        </w:rPr>
        <w:t xml:space="preserve"> presente Recurso de Revisión por</w:t>
      </w:r>
      <w:r w:rsidR="008E6658" w:rsidRPr="00D31FC5">
        <w:rPr>
          <w:rFonts w:ascii="Palatino Linotype" w:hAnsi="Palatino Linotype" w:cs="Tahoma"/>
          <w:sz w:val="22"/>
          <w:szCs w:val="22"/>
        </w:rPr>
        <w:t xml:space="preserve"> </w:t>
      </w:r>
      <w:r w:rsidR="0035716C" w:rsidRPr="00D31FC5">
        <w:rPr>
          <w:rFonts w:ascii="Palatino Linotype" w:hAnsi="Palatino Linotype" w:cs="Tahoma"/>
          <w:sz w:val="22"/>
          <w:szCs w:val="22"/>
        </w:rPr>
        <w:t xml:space="preserve">el </w:t>
      </w:r>
      <w:r w:rsidRPr="00D31FC5">
        <w:rPr>
          <w:rFonts w:ascii="Palatino Linotype" w:hAnsi="Palatino Linotype" w:cs="Tahoma"/>
          <w:sz w:val="22"/>
          <w:szCs w:val="22"/>
        </w:rPr>
        <w:t xml:space="preserve">Recurrente, en contra de </w:t>
      </w:r>
      <w:r w:rsidR="00655265" w:rsidRPr="00D31FC5">
        <w:rPr>
          <w:rFonts w:ascii="Palatino Linotype" w:hAnsi="Palatino Linotype" w:cs="Tahoma"/>
          <w:sz w:val="22"/>
          <w:szCs w:val="22"/>
        </w:rPr>
        <w:t>la respuesta emitida</w:t>
      </w:r>
      <w:r w:rsidRPr="00D31FC5">
        <w:rPr>
          <w:rFonts w:ascii="Palatino Linotype" w:hAnsi="Palatino Linotype" w:cs="Tahoma"/>
          <w:sz w:val="22"/>
          <w:szCs w:val="22"/>
        </w:rPr>
        <w:t xml:space="preserve"> por el Sujeto Obligado a </w:t>
      </w:r>
      <w:r w:rsidR="00655265" w:rsidRPr="00D31FC5">
        <w:rPr>
          <w:rFonts w:ascii="Palatino Linotype" w:hAnsi="Palatino Linotype" w:cs="Tahoma"/>
          <w:sz w:val="22"/>
          <w:szCs w:val="22"/>
        </w:rPr>
        <w:t>la solicitud</w:t>
      </w:r>
      <w:r w:rsidRPr="00D31FC5">
        <w:rPr>
          <w:rFonts w:ascii="Palatino Linotype" w:hAnsi="Palatino Linotype" w:cs="Tahoma"/>
          <w:sz w:val="22"/>
          <w:szCs w:val="22"/>
        </w:rPr>
        <w:t xml:space="preserve"> de información, en los siguientes términos:</w:t>
      </w:r>
    </w:p>
    <w:p w14:paraId="2804DFCB" w14:textId="77777777" w:rsidR="00AB6595" w:rsidRPr="00D31FC5" w:rsidRDefault="00AB6595" w:rsidP="00FF57AD">
      <w:pPr>
        <w:tabs>
          <w:tab w:val="left" w:pos="4995"/>
        </w:tabs>
        <w:spacing w:line="360" w:lineRule="auto"/>
        <w:contextualSpacing/>
        <w:jc w:val="both"/>
        <w:rPr>
          <w:rFonts w:ascii="Palatino Linotype" w:hAnsi="Palatino Linotype" w:cs="Tahoma"/>
          <w:sz w:val="22"/>
          <w:szCs w:val="22"/>
        </w:rPr>
      </w:pPr>
    </w:p>
    <w:p w14:paraId="5E0A2897" w14:textId="77777777" w:rsidR="00D5699B" w:rsidRPr="00D31FC5" w:rsidRDefault="00D5699B" w:rsidP="00FF426B">
      <w:pPr>
        <w:spacing w:line="360" w:lineRule="auto"/>
        <w:ind w:left="567" w:right="539"/>
        <w:contextualSpacing/>
        <w:jc w:val="both"/>
        <w:rPr>
          <w:rFonts w:ascii="Palatino Linotype" w:hAnsi="Palatino Linotype" w:cs="Tahoma"/>
          <w:b/>
          <w:bCs/>
          <w:szCs w:val="22"/>
        </w:rPr>
      </w:pPr>
      <w:r w:rsidRPr="00D31FC5">
        <w:rPr>
          <w:rFonts w:ascii="Palatino Linotype" w:hAnsi="Palatino Linotype" w:cs="Tahoma"/>
          <w:b/>
          <w:bCs/>
          <w:szCs w:val="22"/>
        </w:rPr>
        <w:lastRenderedPageBreak/>
        <w:t>ACTO IMPUGNADO</w:t>
      </w:r>
    </w:p>
    <w:p w14:paraId="46C40B63" w14:textId="77777777" w:rsidR="003D1770" w:rsidRPr="007E3047" w:rsidRDefault="007E4927" w:rsidP="00FF426B">
      <w:pPr>
        <w:spacing w:line="360" w:lineRule="auto"/>
        <w:ind w:left="567" w:right="539"/>
        <w:contextualSpacing/>
        <w:jc w:val="both"/>
        <w:rPr>
          <w:rFonts w:ascii="Palatino Linotype" w:hAnsi="Palatino Linotype" w:cs="Tahoma"/>
          <w:bCs/>
          <w:szCs w:val="22"/>
        </w:rPr>
      </w:pPr>
      <w:r w:rsidRPr="00D31FC5">
        <w:rPr>
          <w:rFonts w:ascii="Palatino Linotype" w:hAnsi="Palatino Linotype" w:cs="Tahoma"/>
          <w:bCs/>
          <w:i/>
          <w:szCs w:val="22"/>
        </w:rPr>
        <w:t>“</w:t>
      </w:r>
      <w:r w:rsidR="00430783" w:rsidRPr="00430783">
        <w:rPr>
          <w:rFonts w:ascii="Palatino Linotype" w:hAnsi="Palatino Linotype" w:cs="Tahoma"/>
          <w:bCs/>
          <w:i/>
          <w:szCs w:val="22"/>
        </w:rPr>
        <w:t>No recibí la información solicitada</w:t>
      </w:r>
      <w:r w:rsidR="00E55401" w:rsidRPr="00D31FC5">
        <w:rPr>
          <w:rFonts w:ascii="Palatino Linotype" w:hAnsi="Palatino Linotype" w:cs="Tahoma"/>
          <w:bCs/>
          <w:i/>
          <w:szCs w:val="22"/>
        </w:rPr>
        <w:t>"</w:t>
      </w:r>
      <w:r w:rsidR="007E3047">
        <w:rPr>
          <w:rFonts w:ascii="Palatino Linotype" w:hAnsi="Palatino Linotype" w:cs="Tahoma"/>
          <w:bCs/>
          <w:i/>
          <w:szCs w:val="22"/>
        </w:rPr>
        <w:t xml:space="preserve"> </w:t>
      </w:r>
      <w:r w:rsidR="007E3047" w:rsidRPr="007E3047">
        <w:rPr>
          <w:rFonts w:ascii="Palatino Linotype" w:hAnsi="Palatino Linotype" w:cs="Tahoma"/>
          <w:bCs/>
          <w:i/>
          <w:szCs w:val="22"/>
        </w:rPr>
        <w:t>(Sic)</w:t>
      </w:r>
      <w:r w:rsidR="00D63A43">
        <w:rPr>
          <w:rFonts w:ascii="Palatino Linotype" w:hAnsi="Palatino Linotype" w:cs="Tahoma"/>
          <w:bCs/>
          <w:i/>
          <w:szCs w:val="22"/>
        </w:rPr>
        <w:t>.</w:t>
      </w:r>
    </w:p>
    <w:p w14:paraId="69F5A955" w14:textId="77777777" w:rsidR="00CE2F19" w:rsidRPr="00D31FC5" w:rsidRDefault="00CE2F19" w:rsidP="00CE2F19">
      <w:pPr>
        <w:spacing w:line="360" w:lineRule="auto"/>
        <w:ind w:left="567" w:right="539"/>
        <w:contextualSpacing/>
        <w:jc w:val="both"/>
        <w:rPr>
          <w:rFonts w:ascii="Palatino Linotype" w:hAnsi="Palatino Linotype" w:cs="Tahoma"/>
          <w:bCs/>
          <w:szCs w:val="22"/>
        </w:rPr>
      </w:pPr>
    </w:p>
    <w:p w14:paraId="106E0FF4" w14:textId="77777777" w:rsidR="00CE2F19" w:rsidRPr="00D31FC5" w:rsidRDefault="00CE2F19" w:rsidP="00CE2F19">
      <w:pPr>
        <w:spacing w:line="360" w:lineRule="auto"/>
        <w:ind w:left="567" w:right="539"/>
        <w:contextualSpacing/>
        <w:jc w:val="both"/>
        <w:rPr>
          <w:rFonts w:ascii="Palatino Linotype" w:hAnsi="Palatino Linotype" w:cs="Tahoma"/>
          <w:b/>
          <w:bCs/>
          <w:szCs w:val="22"/>
        </w:rPr>
      </w:pPr>
      <w:r w:rsidRPr="00D31FC5">
        <w:rPr>
          <w:rFonts w:ascii="Palatino Linotype" w:hAnsi="Palatino Linotype" w:cs="Tahoma"/>
          <w:b/>
          <w:bCs/>
          <w:szCs w:val="22"/>
        </w:rPr>
        <w:t>RAZONES O MOTIVOS DE LA INCONFORMIDAD</w:t>
      </w:r>
    </w:p>
    <w:p w14:paraId="6966B098" w14:textId="77777777" w:rsidR="00CE2F19" w:rsidRDefault="00CE2F19" w:rsidP="00CE2F19">
      <w:pPr>
        <w:spacing w:line="360" w:lineRule="auto"/>
        <w:ind w:left="567" w:right="539"/>
        <w:contextualSpacing/>
        <w:jc w:val="both"/>
        <w:rPr>
          <w:rFonts w:ascii="Palatino Linotype" w:hAnsi="Palatino Linotype" w:cs="Tahoma"/>
          <w:bCs/>
          <w:i/>
          <w:szCs w:val="24"/>
        </w:rPr>
      </w:pPr>
      <w:r w:rsidRPr="00D31FC5">
        <w:rPr>
          <w:rFonts w:ascii="Palatino Linotype" w:hAnsi="Palatino Linotype" w:cs="Tahoma"/>
          <w:bCs/>
          <w:i/>
          <w:szCs w:val="24"/>
        </w:rPr>
        <w:t>“</w:t>
      </w:r>
      <w:bookmarkStart w:id="5" w:name="_Hlk181699048"/>
      <w:r w:rsidR="00430783" w:rsidRPr="00430783">
        <w:rPr>
          <w:rFonts w:ascii="Palatino Linotype" w:hAnsi="Palatino Linotype" w:cs="Tahoma"/>
          <w:bCs/>
          <w:i/>
          <w:szCs w:val="24"/>
        </w:rPr>
        <w:t>No dieron respuesta a la información solicitada</w:t>
      </w:r>
      <w:r w:rsidRPr="00D31FC5">
        <w:rPr>
          <w:rFonts w:ascii="Palatino Linotype" w:hAnsi="Palatino Linotype" w:cs="Tahoma"/>
          <w:bCs/>
          <w:i/>
          <w:szCs w:val="24"/>
        </w:rPr>
        <w:t>”</w:t>
      </w:r>
    </w:p>
    <w:p w14:paraId="2391B6D3" w14:textId="77777777" w:rsidR="00342378" w:rsidRPr="00D31FC5" w:rsidRDefault="00342378" w:rsidP="00342378">
      <w:pPr>
        <w:spacing w:line="360" w:lineRule="auto"/>
        <w:ind w:right="539"/>
        <w:contextualSpacing/>
        <w:jc w:val="both"/>
        <w:rPr>
          <w:rFonts w:ascii="Palatino Linotype" w:hAnsi="Palatino Linotype" w:cs="Tahoma"/>
          <w:bCs/>
          <w:i/>
          <w:szCs w:val="24"/>
        </w:rPr>
      </w:pPr>
    </w:p>
    <w:p w14:paraId="281F7CF1" w14:textId="77777777" w:rsidR="009A7587" w:rsidRPr="00342378" w:rsidRDefault="00BF4B55" w:rsidP="00342378">
      <w:pPr>
        <w:pStyle w:val="Ttulo2"/>
        <w:rPr>
          <w:rFonts w:ascii="Palatino Linotype" w:eastAsia="Batang" w:hAnsi="Palatino Linotype" w:cs="Tahoma"/>
          <w:b/>
          <w:bCs/>
          <w:color w:val="auto"/>
          <w:sz w:val="22"/>
          <w:szCs w:val="22"/>
        </w:rPr>
      </w:pPr>
      <w:bookmarkStart w:id="6" w:name="_Toc205477924"/>
      <w:bookmarkEnd w:id="5"/>
      <w:r>
        <w:rPr>
          <w:rStyle w:val="Ttulo2Car"/>
          <w:rFonts w:ascii="Palatino Linotype" w:hAnsi="Palatino Linotype"/>
          <w:b/>
          <w:color w:val="auto"/>
          <w:sz w:val="22"/>
          <w:szCs w:val="22"/>
        </w:rPr>
        <w:t>I</w:t>
      </w:r>
      <w:r w:rsidR="00FF1049" w:rsidRPr="00342378">
        <w:rPr>
          <w:rStyle w:val="Ttulo2Car"/>
          <w:rFonts w:ascii="Palatino Linotype" w:hAnsi="Palatino Linotype"/>
          <w:b/>
          <w:color w:val="auto"/>
          <w:sz w:val="22"/>
          <w:szCs w:val="22"/>
        </w:rPr>
        <w:t>V</w:t>
      </w:r>
      <w:r w:rsidR="009A7587" w:rsidRPr="00342378">
        <w:rPr>
          <w:rStyle w:val="Ttulo2Car"/>
          <w:rFonts w:ascii="Palatino Linotype" w:hAnsi="Palatino Linotype"/>
          <w:b/>
          <w:color w:val="auto"/>
          <w:sz w:val="22"/>
          <w:szCs w:val="22"/>
        </w:rPr>
        <w:t>. Trámite del Recurso de Revisión ante el Instituto</w:t>
      </w:r>
      <w:bookmarkEnd w:id="6"/>
    </w:p>
    <w:p w14:paraId="5B08FD8B" w14:textId="77777777" w:rsidR="007E4927" w:rsidRPr="00D31FC5" w:rsidRDefault="007E4927" w:rsidP="00FF426B">
      <w:pPr>
        <w:spacing w:line="360" w:lineRule="auto"/>
        <w:contextualSpacing/>
        <w:jc w:val="both"/>
        <w:rPr>
          <w:rFonts w:ascii="Palatino Linotype" w:eastAsia="Batang" w:hAnsi="Palatino Linotype" w:cs="Tahoma"/>
          <w:b/>
          <w:bCs/>
          <w:sz w:val="22"/>
          <w:szCs w:val="22"/>
        </w:rPr>
      </w:pPr>
    </w:p>
    <w:p w14:paraId="02F3AF17" w14:textId="77777777" w:rsidR="00C950E3" w:rsidRPr="00D31FC5" w:rsidRDefault="009A7587" w:rsidP="00FF426B">
      <w:pPr>
        <w:spacing w:line="360" w:lineRule="auto"/>
        <w:contextualSpacing/>
        <w:jc w:val="both"/>
        <w:rPr>
          <w:rFonts w:ascii="Palatino Linotype" w:eastAsia="Batang" w:hAnsi="Palatino Linotype" w:cs="Tahoma"/>
          <w:bCs/>
          <w:sz w:val="22"/>
          <w:szCs w:val="22"/>
        </w:rPr>
      </w:pPr>
      <w:bookmarkStart w:id="7" w:name="_Toc205477925"/>
      <w:r w:rsidRPr="00342378">
        <w:rPr>
          <w:rStyle w:val="Ttulo3Car"/>
          <w:rFonts w:ascii="Palatino Linotype" w:hAnsi="Palatino Linotype"/>
          <w:b/>
          <w:color w:val="auto"/>
          <w:sz w:val="22"/>
          <w:szCs w:val="22"/>
        </w:rPr>
        <w:t>a) Turno del Recurso de Revisión</w:t>
      </w:r>
      <w:r w:rsidRPr="00342378">
        <w:rPr>
          <w:rStyle w:val="Ttulo3Car"/>
          <w:rFonts w:ascii="Palatino Linotype" w:hAnsi="Palatino Linotype"/>
          <w:color w:val="auto"/>
          <w:sz w:val="22"/>
          <w:szCs w:val="22"/>
        </w:rPr>
        <w:t>.</w:t>
      </w:r>
      <w:bookmarkEnd w:id="7"/>
      <w:r w:rsidRPr="00D31FC5">
        <w:rPr>
          <w:rFonts w:ascii="Palatino Linotype" w:eastAsia="Batang" w:hAnsi="Palatino Linotype" w:cs="Tahoma"/>
          <w:b/>
          <w:bCs/>
          <w:sz w:val="22"/>
          <w:szCs w:val="22"/>
        </w:rPr>
        <w:t xml:space="preserve"> </w:t>
      </w:r>
      <w:r w:rsidR="00A06844" w:rsidRPr="00D31FC5">
        <w:rPr>
          <w:rFonts w:ascii="Palatino Linotype" w:eastAsia="Batang" w:hAnsi="Palatino Linotype" w:cs="Tahoma"/>
          <w:bCs/>
          <w:sz w:val="22"/>
          <w:szCs w:val="22"/>
        </w:rPr>
        <w:t xml:space="preserve">El </w:t>
      </w:r>
      <w:r w:rsidR="00430783">
        <w:rPr>
          <w:rFonts w:ascii="Palatino Linotype" w:hAnsi="Palatino Linotype" w:cs="Tahoma"/>
          <w:sz w:val="22"/>
          <w:szCs w:val="22"/>
        </w:rPr>
        <w:t>diecisiete</w:t>
      </w:r>
      <w:r w:rsidR="00805163">
        <w:rPr>
          <w:rFonts w:ascii="Palatino Linotype" w:hAnsi="Palatino Linotype" w:cs="Tahoma"/>
          <w:sz w:val="22"/>
          <w:szCs w:val="22"/>
        </w:rPr>
        <w:t xml:space="preserve"> de febrero </w:t>
      </w:r>
      <w:r w:rsidR="00BF4B55" w:rsidRPr="00BF4B55">
        <w:rPr>
          <w:rFonts w:ascii="Palatino Linotype" w:hAnsi="Palatino Linotype" w:cs="Tahoma"/>
          <w:sz w:val="22"/>
          <w:szCs w:val="22"/>
        </w:rPr>
        <w:t>de dos mil veinticinco</w:t>
      </w:r>
      <w:r w:rsidR="00A06844" w:rsidRPr="00D31FC5">
        <w:rPr>
          <w:rFonts w:ascii="Palatino Linotype" w:eastAsia="Batang" w:hAnsi="Palatino Linotype" w:cs="Tahoma"/>
          <w:bCs/>
          <w:sz w:val="22"/>
          <w:szCs w:val="22"/>
        </w:rPr>
        <w:t xml:space="preserve">, </w:t>
      </w:r>
      <w:r w:rsidR="00D5699B" w:rsidRPr="00D31FC5">
        <w:rPr>
          <w:rFonts w:ascii="Palatino Linotype" w:eastAsia="Batang" w:hAnsi="Palatino Linotype" w:cs="Tahoma"/>
          <w:bCs/>
          <w:sz w:val="22"/>
          <w:szCs w:val="22"/>
        </w:rPr>
        <w:t xml:space="preserve">el </w:t>
      </w:r>
      <w:r w:rsidR="00BB1F81" w:rsidRPr="00D31FC5">
        <w:rPr>
          <w:rFonts w:ascii="Palatino Linotype" w:eastAsia="Batang" w:hAnsi="Palatino Linotype" w:cs="Tahoma"/>
          <w:bCs/>
          <w:sz w:val="22"/>
          <w:szCs w:val="22"/>
        </w:rPr>
        <w:t>SAIMEX</w:t>
      </w:r>
      <w:r w:rsidR="00D5699B" w:rsidRPr="00D31FC5">
        <w:rPr>
          <w:rFonts w:ascii="Palatino Linotype" w:eastAsia="Batang" w:hAnsi="Palatino Linotype" w:cs="Tahoma"/>
          <w:bCs/>
          <w:sz w:val="22"/>
          <w:szCs w:val="22"/>
        </w:rPr>
        <w:t xml:space="preserve">, asignó el número de expediente </w:t>
      </w:r>
      <w:r w:rsidR="00430783">
        <w:rPr>
          <w:rFonts w:ascii="Palatino Linotype" w:eastAsia="Batang" w:hAnsi="Palatino Linotype" w:cs="Tahoma"/>
          <w:b/>
          <w:bCs/>
          <w:sz w:val="22"/>
          <w:szCs w:val="22"/>
        </w:rPr>
        <w:t>01531</w:t>
      </w:r>
      <w:r w:rsidR="00D5699B" w:rsidRPr="00D31FC5">
        <w:rPr>
          <w:rFonts w:ascii="Palatino Linotype" w:eastAsia="Batang" w:hAnsi="Palatino Linotype" w:cs="Tahoma"/>
          <w:b/>
          <w:bCs/>
          <w:sz w:val="22"/>
          <w:szCs w:val="22"/>
        </w:rPr>
        <w:t>/INFOEM/IP/RR/202</w:t>
      </w:r>
      <w:r w:rsidR="00BF4B55">
        <w:rPr>
          <w:rFonts w:ascii="Palatino Linotype" w:eastAsia="Batang" w:hAnsi="Palatino Linotype" w:cs="Tahoma"/>
          <w:b/>
          <w:bCs/>
          <w:sz w:val="22"/>
          <w:szCs w:val="22"/>
        </w:rPr>
        <w:t>5</w:t>
      </w:r>
      <w:r w:rsidR="00D5699B" w:rsidRPr="00D31FC5">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31FC5">
        <w:rPr>
          <w:rFonts w:ascii="Palatino Linotype" w:eastAsia="Batang" w:hAnsi="Palatino Linotype" w:cs="Tahoma"/>
          <w:b/>
          <w:bCs/>
          <w:sz w:val="22"/>
          <w:szCs w:val="22"/>
        </w:rPr>
        <w:t>Comisionado Ponente Luis Gustavo Parra Noriega</w:t>
      </w:r>
      <w:r w:rsidR="00D5699B" w:rsidRPr="00D31FC5">
        <w:rPr>
          <w:rFonts w:ascii="Palatino Linotype" w:eastAsia="Batang" w:hAnsi="Palatino Linotype" w:cs="Tahoma"/>
          <w:bCs/>
          <w:sz w:val="22"/>
          <w:szCs w:val="22"/>
        </w:rPr>
        <w:t>, para los efectos del artículo 185, fracción I</w:t>
      </w:r>
      <w:r w:rsidR="00BB1F81" w:rsidRPr="00D31FC5">
        <w:rPr>
          <w:rFonts w:ascii="Palatino Linotype" w:eastAsia="Batang" w:hAnsi="Palatino Linotype" w:cs="Tahoma"/>
          <w:bCs/>
          <w:sz w:val="22"/>
          <w:szCs w:val="22"/>
        </w:rPr>
        <w:t>,</w:t>
      </w:r>
      <w:r w:rsidR="00D5699B" w:rsidRPr="00D31FC5">
        <w:rPr>
          <w:rFonts w:ascii="Palatino Linotype" w:eastAsia="Batang" w:hAnsi="Palatino Linotype" w:cs="Tahoma"/>
          <w:bCs/>
          <w:sz w:val="22"/>
          <w:szCs w:val="22"/>
        </w:rPr>
        <w:t xml:space="preserve"> de la Ley de Transparencia y Acceso a la Información Pública del Estado de México y Municipios.</w:t>
      </w:r>
    </w:p>
    <w:p w14:paraId="5990C6EB" w14:textId="77777777" w:rsidR="00D5699B" w:rsidRDefault="00D5699B" w:rsidP="00FF426B">
      <w:pPr>
        <w:spacing w:line="360" w:lineRule="auto"/>
        <w:contextualSpacing/>
        <w:jc w:val="both"/>
        <w:rPr>
          <w:rFonts w:ascii="Palatino Linotype" w:eastAsia="Batang" w:hAnsi="Palatino Linotype" w:cs="Tahoma"/>
          <w:b/>
          <w:bCs/>
          <w:sz w:val="22"/>
          <w:szCs w:val="22"/>
        </w:rPr>
      </w:pPr>
    </w:p>
    <w:p w14:paraId="222BFCBE" w14:textId="77777777" w:rsidR="00430783" w:rsidRPr="00430783" w:rsidRDefault="00430783" w:rsidP="00430783">
      <w:pPr>
        <w:spacing w:line="360" w:lineRule="auto"/>
        <w:contextualSpacing/>
        <w:jc w:val="both"/>
        <w:rPr>
          <w:rFonts w:ascii="Palatino Linotype" w:eastAsia="Batang" w:hAnsi="Palatino Linotype" w:cs="Tahoma"/>
          <w:bCs/>
          <w:sz w:val="22"/>
          <w:szCs w:val="22"/>
        </w:rPr>
      </w:pPr>
      <w:bookmarkStart w:id="8" w:name="_Toc205477926"/>
      <w:r w:rsidRPr="004F6A94">
        <w:rPr>
          <w:rStyle w:val="Ttulo3Car"/>
          <w:rFonts w:ascii="Palatino Linotype" w:hAnsi="Palatino Linotype"/>
          <w:b/>
          <w:color w:val="auto"/>
          <w:sz w:val="22"/>
        </w:rPr>
        <w:t>b) Correo de la Dirección General de Informática:</w:t>
      </w:r>
      <w:bookmarkEnd w:id="8"/>
      <w:r w:rsidRPr="004F6A94">
        <w:rPr>
          <w:rFonts w:ascii="Palatino Linotype" w:eastAsia="Batang" w:hAnsi="Palatino Linotype" w:cs="Tahoma"/>
          <w:b/>
          <w:bCs/>
          <w:szCs w:val="22"/>
        </w:rPr>
        <w:t xml:space="preserve"> </w:t>
      </w:r>
      <w:r w:rsidR="004F6A94">
        <w:rPr>
          <w:rFonts w:ascii="Palatino Linotype" w:eastAsia="Batang" w:hAnsi="Palatino Linotype" w:cs="Tahoma"/>
          <w:bCs/>
          <w:sz w:val="22"/>
          <w:szCs w:val="22"/>
        </w:rPr>
        <w:t>Y</w:t>
      </w:r>
      <w:r>
        <w:rPr>
          <w:rFonts w:ascii="Palatino Linotype" w:eastAsia="Batang" w:hAnsi="Palatino Linotype" w:cs="Tahoma"/>
          <w:bCs/>
          <w:sz w:val="22"/>
          <w:szCs w:val="22"/>
        </w:rPr>
        <w:t xml:space="preserve">a que el Recurso de Revisión no se encontraba visible en el SAIMEX, el siete de julio de dos mil veinticinco se recibió correo por parte de la Dirección General de Informática, en el que informó </w:t>
      </w:r>
      <w:r w:rsidRPr="00430783">
        <w:rPr>
          <w:rFonts w:ascii="Palatino Linotype" w:eastAsia="Batang" w:hAnsi="Palatino Linotype" w:cs="Tahoma"/>
          <w:bCs/>
          <w:sz w:val="22"/>
          <w:szCs w:val="22"/>
        </w:rPr>
        <w:t xml:space="preserve">que el recurso 01531/INFOEM/IP/RR/2025 </w:t>
      </w:r>
      <w:r>
        <w:rPr>
          <w:rFonts w:ascii="Palatino Linotype" w:eastAsia="Batang" w:hAnsi="Palatino Linotype" w:cs="Tahoma"/>
          <w:bCs/>
          <w:sz w:val="22"/>
          <w:szCs w:val="22"/>
        </w:rPr>
        <w:t xml:space="preserve">ya se encontraba </w:t>
      </w:r>
      <w:r w:rsidRPr="00430783">
        <w:rPr>
          <w:rFonts w:ascii="Palatino Linotype" w:eastAsia="Batang" w:hAnsi="Palatino Linotype" w:cs="Tahoma"/>
          <w:bCs/>
          <w:sz w:val="22"/>
          <w:szCs w:val="22"/>
        </w:rPr>
        <w:t xml:space="preserve">visible de manera correcta en la bandeja del Comisionado Luis Gustavo Parra Noriega, </w:t>
      </w:r>
      <w:r>
        <w:rPr>
          <w:rFonts w:ascii="Palatino Linotype" w:eastAsia="Batang" w:hAnsi="Palatino Linotype" w:cs="Tahoma"/>
          <w:bCs/>
          <w:sz w:val="22"/>
          <w:szCs w:val="22"/>
        </w:rPr>
        <w:t xml:space="preserve">ya que </w:t>
      </w:r>
      <w:r w:rsidRPr="00430783">
        <w:rPr>
          <w:rFonts w:ascii="Palatino Linotype" w:eastAsia="Batang" w:hAnsi="Palatino Linotype" w:cs="Tahoma"/>
          <w:bCs/>
          <w:sz w:val="22"/>
          <w:szCs w:val="22"/>
        </w:rPr>
        <w:t xml:space="preserve">el motivo por el cual no se permitía la correcta visualización y a su vez la admisión, </w:t>
      </w:r>
      <w:r w:rsidR="004F6A94">
        <w:rPr>
          <w:rFonts w:ascii="Palatino Linotype" w:eastAsia="Batang" w:hAnsi="Palatino Linotype" w:cs="Tahoma"/>
          <w:bCs/>
          <w:sz w:val="22"/>
          <w:szCs w:val="22"/>
        </w:rPr>
        <w:t>fue</w:t>
      </w:r>
      <w:r w:rsidRPr="00430783">
        <w:rPr>
          <w:rFonts w:ascii="Palatino Linotype" w:eastAsia="Batang" w:hAnsi="Palatino Linotype" w:cs="Tahoma"/>
          <w:bCs/>
          <w:sz w:val="22"/>
          <w:szCs w:val="22"/>
        </w:rPr>
        <w:t xml:space="preserve"> derivado del movimiento que realizo el sujeto obligado para turnar alguna solicitud de información, teniendo abierta una o más ventanas con solicitudes o recursos diversos.</w:t>
      </w:r>
    </w:p>
    <w:p w14:paraId="0C8BC790" w14:textId="77777777" w:rsidR="00430783" w:rsidRPr="00430783" w:rsidRDefault="00430783" w:rsidP="00430783">
      <w:pPr>
        <w:spacing w:line="360" w:lineRule="auto"/>
        <w:contextualSpacing/>
        <w:jc w:val="both"/>
        <w:rPr>
          <w:rFonts w:ascii="Palatino Linotype" w:eastAsia="Batang" w:hAnsi="Palatino Linotype" w:cs="Tahoma"/>
          <w:bCs/>
          <w:sz w:val="22"/>
          <w:szCs w:val="22"/>
        </w:rPr>
      </w:pPr>
    </w:p>
    <w:p w14:paraId="69739E2D" w14:textId="77777777" w:rsidR="00253937" w:rsidRPr="00D31FC5" w:rsidRDefault="00430783" w:rsidP="00FF426B">
      <w:pPr>
        <w:spacing w:line="360" w:lineRule="auto"/>
        <w:contextualSpacing/>
        <w:jc w:val="both"/>
        <w:rPr>
          <w:rFonts w:ascii="Palatino Linotype" w:hAnsi="Palatino Linotype" w:cs="Tahoma"/>
          <w:bCs/>
          <w:sz w:val="22"/>
          <w:szCs w:val="22"/>
          <w:lang w:val="es-ES_tradnl"/>
        </w:rPr>
      </w:pPr>
      <w:bookmarkStart w:id="9" w:name="_Toc205477927"/>
      <w:r>
        <w:rPr>
          <w:rStyle w:val="Ttulo3Car"/>
          <w:rFonts w:ascii="Palatino Linotype" w:hAnsi="Palatino Linotype"/>
          <w:b/>
          <w:color w:val="auto"/>
          <w:sz w:val="22"/>
          <w:szCs w:val="22"/>
        </w:rPr>
        <w:t>c</w:t>
      </w:r>
      <w:r w:rsidR="009A7587" w:rsidRPr="00342378">
        <w:rPr>
          <w:rStyle w:val="Ttulo3Car"/>
          <w:rFonts w:ascii="Palatino Linotype" w:hAnsi="Palatino Linotype"/>
          <w:b/>
          <w:color w:val="auto"/>
          <w:sz w:val="22"/>
          <w:szCs w:val="22"/>
        </w:rPr>
        <w:t>) Admisión del Recurso de Revisión</w:t>
      </w:r>
      <w:r w:rsidR="009A7587" w:rsidRPr="00342378">
        <w:rPr>
          <w:rStyle w:val="Ttulo3Car"/>
          <w:rFonts w:ascii="Palatino Linotype" w:hAnsi="Palatino Linotype"/>
          <w:color w:val="auto"/>
          <w:sz w:val="22"/>
          <w:szCs w:val="22"/>
        </w:rPr>
        <w:t>.</w:t>
      </w:r>
      <w:bookmarkEnd w:id="9"/>
      <w:r w:rsidR="009A7587" w:rsidRPr="00D31FC5">
        <w:rPr>
          <w:rFonts w:ascii="Palatino Linotype" w:eastAsia="Batang" w:hAnsi="Palatino Linotype" w:cs="Tahoma"/>
          <w:b/>
          <w:bCs/>
          <w:sz w:val="22"/>
          <w:szCs w:val="22"/>
          <w:lang w:val="es-ES_tradnl"/>
        </w:rPr>
        <w:t xml:space="preserve"> </w:t>
      </w:r>
      <w:r w:rsidR="009A7587" w:rsidRPr="00D31FC5">
        <w:rPr>
          <w:rFonts w:ascii="Palatino Linotype" w:hAnsi="Palatino Linotype" w:cs="Tahoma"/>
          <w:bCs/>
          <w:sz w:val="22"/>
          <w:szCs w:val="22"/>
        </w:rPr>
        <w:t>El</w:t>
      </w:r>
      <w:r w:rsidR="00EB3A2C" w:rsidRPr="00D31FC5">
        <w:rPr>
          <w:rFonts w:ascii="Palatino Linotype" w:hAnsi="Palatino Linotype" w:cs="Tahoma"/>
          <w:bCs/>
          <w:sz w:val="22"/>
          <w:szCs w:val="22"/>
        </w:rPr>
        <w:t xml:space="preserve"> </w:t>
      </w:r>
      <w:r>
        <w:rPr>
          <w:rFonts w:ascii="Palatino Linotype" w:hAnsi="Palatino Linotype" w:cs="Tahoma"/>
          <w:bCs/>
          <w:sz w:val="22"/>
          <w:szCs w:val="22"/>
        </w:rPr>
        <w:t xml:space="preserve">siete de julio </w:t>
      </w:r>
      <w:r w:rsidR="00BF4B55" w:rsidRPr="00BF4B55">
        <w:rPr>
          <w:rFonts w:ascii="Palatino Linotype" w:hAnsi="Palatino Linotype" w:cs="Tahoma"/>
          <w:bCs/>
          <w:sz w:val="22"/>
          <w:szCs w:val="22"/>
        </w:rPr>
        <w:t>de dos mil veinticinco</w:t>
      </w:r>
      <w:r w:rsidR="009A7587" w:rsidRPr="00D31FC5">
        <w:rPr>
          <w:rFonts w:ascii="Palatino Linotype" w:hAnsi="Palatino Linotype" w:cs="Tahoma"/>
          <w:bCs/>
          <w:sz w:val="22"/>
          <w:szCs w:val="22"/>
        </w:rPr>
        <w:t xml:space="preserve">, </w:t>
      </w:r>
      <w:r w:rsidR="001F787A" w:rsidRPr="00D31FC5">
        <w:rPr>
          <w:rFonts w:ascii="Palatino Linotype" w:hAnsi="Palatino Linotype" w:cs="Tahoma"/>
          <w:bCs/>
          <w:sz w:val="22"/>
          <w:szCs w:val="22"/>
        </w:rPr>
        <w:t xml:space="preserve">se acordó la admisión del </w:t>
      </w:r>
      <w:r w:rsidR="001F787A" w:rsidRPr="00D31FC5">
        <w:rPr>
          <w:rFonts w:ascii="Palatino Linotype" w:hAnsi="Palatino Linotype" w:cs="Tahoma"/>
          <w:bCs/>
          <w:sz w:val="22"/>
          <w:szCs w:val="22"/>
          <w:lang w:val="es-ES_tradnl"/>
        </w:rPr>
        <w:t xml:space="preserve">Recurso de Revisión interpuesto por el Recurrente en contra del </w:t>
      </w:r>
      <w:r w:rsidR="001F787A" w:rsidRPr="00D31FC5">
        <w:rPr>
          <w:rFonts w:ascii="Palatino Linotype" w:hAnsi="Palatino Linotype" w:cs="Tahoma"/>
          <w:b/>
          <w:bCs/>
          <w:sz w:val="22"/>
          <w:szCs w:val="22"/>
          <w:lang w:val="es-ES_tradnl"/>
        </w:rPr>
        <w:t>Sujeto Obligado</w:t>
      </w:r>
      <w:r w:rsidR="001F787A" w:rsidRPr="00D31FC5">
        <w:rPr>
          <w:rFonts w:ascii="Palatino Linotype" w:hAnsi="Palatino Linotype" w:cs="Tahoma"/>
          <w:bCs/>
          <w:sz w:val="22"/>
          <w:szCs w:val="22"/>
          <w:lang w:val="es-ES_tradnl"/>
        </w:rPr>
        <w:t>, en términos del artículo 185, fracciones I, II y IV</w:t>
      </w:r>
      <w:r w:rsidR="00BB1F81" w:rsidRPr="00D31FC5">
        <w:rPr>
          <w:rFonts w:ascii="Palatino Linotype" w:hAnsi="Palatino Linotype" w:cs="Tahoma"/>
          <w:bCs/>
          <w:sz w:val="22"/>
          <w:szCs w:val="22"/>
          <w:lang w:val="es-ES_tradnl"/>
        </w:rPr>
        <w:t>,</w:t>
      </w:r>
      <w:r w:rsidR="001F787A" w:rsidRPr="00D31FC5">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D31FC5">
        <w:rPr>
          <w:rFonts w:ascii="Palatino Linotype" w:hAnsi="Palatino Linotype" w:cs="Tahoma"/>
          <w:bCs/>
          <w:sz w:val="22"/>
          <w:szCs w:val="22"/>
          <w:lang w:val="es-ES_tradnl"/>
        </w:rPr>
        <w:t xml:space="preserve">o a </w:t>
      </w:r>
      <w:r w:rsidR="000C6179" w:rsidRPr="00D31FC5">
        <w:rPr>
          <w:rFonts w:ascii="Palatino Linotype" w:hAnsi="Palatino Linotype" w:cs="Tahoma"/>
          <w:bCs/>
          <w:sz w:val="22"/>
          <w:szCs w:val="22"/>
          <w:lang w:val="es-ES_tradnl"/>
        </w:rPr>
        <w:lastRenderedPageBreak/>
        <w:t>las partes el mismo día</w:t>
      </w:r>
      <w:r w:rsidR="001F787A" w:rsidRPr="00D31FC5">
        <w:rPr>
          <w:rFonts w:ascii="Palatino Linotype" w:hAnsi="Palatino Linotype" w:cs="Tahoma"/>
          <w:bCs/>
          <w:sz w:val="22"/>
          <w:szCs w:val="22"/>
          <w:lang w:val="es-ES_tradnl"/>
        </w:rPr>
        <w:t xml:space="preserve"> a través del </w:t>
      </w:r>
      <w:r w:rsidR="00BB1F81" w:rsidRPr="00D31FC5">
        <w:rPr>
          <w:rFonts w:ascii="Palatino Linotype" w:hAnsi="Palatino Linotype" w:cs="Tahoma"/>
          <w:bCs/>
          <w:sz w:val="22"/>
          <w:szCs w:val="22"/>
          <w:lang w:val="es-ES_tradnl"/>
        </w:rPr>
        <w:t>SAIMEX</w:t>
      </w:r>
      <w:r w:rsidR="001F787A" w:rsidRPr="00D31FC5">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3880D66" w14:textId="77777777" w:rsidR="00253937" w:rsidRPr="00D31FC5" w:rsidRDefault="00253937" w:rsidP="00FF426B">
      <w:pPr>
        <w:spacing w:line="360" w:lineRule="auto"/>
        <w:contextualSpacing/>
        <w:jc w:val="both"/>
        <w:rPr>
          <w:rFonts w:ascii="Palatino Linotype" w:hAnsi="Palatino Linotype" w:cs="Tahoma"/>
          <w:bCs/>
          <w:sz w:val="22"/>
          <w:szCs w:val="22"/>
          <w:lang w:val="es-ES_tradnl"/>
        </w:rPr>
      </w:pPr>
    </w:p>
    <w:p w14:paraId="6576CEDB" w14:textId="77777777" w:rsidR="00430783" w:rsidRDefault="00430783" w:rsidP="00430783">
      <w:pPr>
        <w:spacing w:line="360" w:lineRule="auto"/>
        <w:jc w:val="both"/>
        <w:rPr>
          <w:rFonts w:ascii="Palatino Linotype" w:hAnsi="Palatino Linotype" w:cs="Tahoma"/>
          <w:sz w:val="22"/>
          <w:szCs w:val="22"/>
        </w:rPr>
      </w:pPr>
      <w:bookmarkStart w:id="10" w:name="_Toc190261913"/>
      <w:bookmarkStart w:id="11" w:name="_Toc205477928"/>
      <w:r>
        <w:rPr>
          <w:rStyle w:val="Ttulo3Car"/>
          <w:rFonts w:ascii="Palatino Linotype" w:hAnsi="Palatino Linotype"/>
          <w:b/>
          <w:color w:val="auto"/>
          <w:sz w:val="22"/>
          <w:szCs w:val="22"/>
        </w:rPr>
        <w:t>d</w:t>
      </w:r>
      <w:r w:rsidR="00007985" w:rsidRPr="00FF5303">
        <w:rPr>
          <w:rStyle w:val="Ttulo3Car"/>
          <w:rFonts w:ascii="Palatino Linotype" w:hAnsi="Palatino Linotype"/>
          <w:b/>
          <w:color w:val="auto"/>
          <w:sz w:val="22"/>
          <w:szCs w:val="22"/>
        </w:rPr>
        <w:t>) Informe Justificado.</w:t>
      </w:r>
      <w:bookmarkEnd w:id="10"/>
      <w:bookmarkEnd w:id="11"/>
      <w:r w:rsidR="00007985" w:rsidRPr="00FF5303">
        <w:rPr>
          <w:rFonts w:ascii="Palatino Linotype" w:eastAsia="Batang" w:hAnsi="Palatino Linotype" w:cs="Tahoma"/>
          <w:b/>
          <w:bCs/>
          <w:sz w:val="22"/>
          <w:szCs w:val="22"/>
          <w:lang w:val="es-ES_tradnl"/>
        </w:rPr>
        <w:t xml:space="preserve"> </w:t>
      </w:r>
      <w:r>
        <w:rPr>
          <w:rFonts w:ascii="Palatino Linotype" w:eastAsia="Batang" w:hAnsi="Palatino Linotype" w:cs="Tahoma"/>
          <w:bCs/>
          <w:sz w:val="22"/>
          <w:szCs w:val="22"/>
          <w:lang w:val="es-ES_tradnl"/>
        </w:rPr>
        <w:t xml:space="preserve">Tanto el Sujeto Obligado como el Particular fueron omisos en realizar manifestación alguna que a su derecho asistiera. </w:t>
      </w:r>
    </w:p>
    <w:p w14:paraId="19EA885E" w14:textId="77777777" w:rsidR="00EA2594" w:rsidRPr="00D31FC5" w:rsidRDefault="00EA2594" w:rsidP="00EA2594">
      <w:pPr>
        <w:spacing w:line="360" w:lineRule="auto"/>
        <w:jc w:val="both"/>
        <w:rPr>
          <w:rFonts w:ascii="Palatino Linotype" w:hAnsi="Palatino Linotype" w:cs="Tahoma"/>
          <w:b/>
          <w:sz w:val="22"/>
          <w:szCs w:val="24"/>
        </w:rPr>
      </w:pPr>
    </w:p>
    <w:p w14:paraId="557E4BB3" w14:textId="64615A3A" w:rsidR="00ED5DF5" w:rsidRPr="00D31FC5" w:rsidRDefault="00007985" w:rsidP="00FF426B">
      <w:pPr>
        <w:spacing w:line="360" w:lineRule="auto"/>
        <w:jc w:val="both"/>
        <w:rPr>
          <w:rFonts w:ascii="Palatino Linotype" w:hAnsi="Palatino Linotype" w:cs="Tahoma"/>
          <w:sz w:val="22"/>
          <w:szCs w:val="22"/>
        </w:rPr>
      </w:pPr>
      <w:bookmarkStart w:id="12" w:name="_Toc205477929"/>
      <w:r>
        <w:rPr>
          <w:rStyle w:val="Ttulo3Car"/>
          <w:rFonts w:ascii="Palatino Linotype" w:hAnsi="Palatino Linotype"/>
          <w:b/>
          <w:color w:val="auto"/>
          <w:sz w:val="22"/>
          <w:szCs w:val="22"/>
        </w:rPr>
        <w:t>e</w:t>
      </w:r>
      <w:r w:rsidR="007B18BE">
        <w:rPr>
          <w:rStyle w:val="Ttulo3Car"/>
          <w:rFonts w:ascii="Palatino Linotype" w:hAnsi="Palatino Linotype"/>
          <w:b/>
          <w:color w:val="auto"/>
          <w:sz w:val="22"/>
          <w:szCs w:val="22"/>
        </w:rPr>
        <w:t xml:space="preserve">) </w:t>
      </w:r>
      <w:r w:rsidR="00ED5DF5" w:rsidRPr="00342378">
        <w:rPr>
          <w:rStyle w:val="Ttulo3Car"/>
          <w:rFonts w:ascii="Palatino Linotype" w:hAnsi="Palatino Linotype"/>
          <w:b/>
          <w:color w:val="auto"/>
          <w:sz w:val="22"/>
          <w:szCs w:val="22"/>
        </w:rPr>
        <w:t>Cierre de instrucción</w:t>
      </w:r>
      <w:bookmarkEnd w:id="12"/>
      <w:r w:rsidR="00ED5DF5" w:rsidRPr="00342378">
        <w:rPr>
          <w:rFonts w:ascii="Palatino Linotype" w:hAnsi="Palatino Linotype" w:cs="Tahoma"/>
          <w:b/>
          <w:bCs/>
          <w:sz w:val="22"/>
          <w:szCs w:val="22"/>
        </w:rPr>
        <w:t xml:space="preserve">. </w:t>
      </w:r>
      <w:r w:rsidR="00ED5DF5" w:rsidRPr="00D31FC5">
        <w:rPr>
          <w:rFonts w:ascii="Palatino Linotype" w:hAnsi="Palatino Linotype" w:cs="Tahoma"/>
          <w:sz w:val="22"/>
          <w:szCs w:val="22"/>
        </w:rPr>
        <w:t>El</w:t>
      </w:r>
      <w:r w:rsidR="000F437A" w:rsidRPr="00D31FC5">
        <w:rPr>
          <w:rFonts w:ascii="Palatino Linotype" w:hAnsi="Palatino Linotype" w:cs="Tahoma"/>
          <w:sz w:val="22"/>
          <w:szCs w:val="22"/>
        </w:rPr>
        <w:t xml:space="preserve"> </w:t>
      </w:r>
      <w:r w:rsidR="00430783">
        <w:rPr>
          <w:rFonts w:ascii="Palatino Linotype" w:hAnsi="Palatino Linotype" w:cs="Tahoma"/>
          <w:sz w:val="22"/>
          <w:szCs w:val="22"/>
        </w:rPr>
        <w:t xml:space="preserve">dieciocho de julio </w:t>
      </w:r>
      <w:r w:rsidR="00E95147" w:rsidRPr="00D31FC5">
        <w:rPr>
          <w:rFonts w:ascii="Palatino Linotype" w:hAnsi="Palatino Linotype" w:cs="Tahoma"/>
          <w:sz w:val="22"/>
          <w:szCs w:val="22"/>
        </w:rPr>
        <w:t>de dos mil veinti</w:t>
      </w:r>
      <w:r w:rsidR="00F93A36" w:rsidRPr="00D31FC5">
        <w:rPr>
          <w:rFonts w:ascii="Palatino Linotype" w:hAnsi="Palatino Linotype" w:cs="Tahoma"/>
          <w:sz w:val="22"/>
          <w:szCs w:val="22"/>
        </w:rPr>
        <w:t>c</w:t>
      </w:r>
      <w:r w:rsidR="009C323D">
        <w:rPr>
          <w:rFonts w:ascii="Palatino Linotype" w:hAnsi="Palatino Linotype" w:cs="Tahoma"/>
          <w:sz w:val="22"/>
          <w:szCs w:val="22"/>
        </w:rPr>
        <w:t>inco</w:t>
      </w:r>
      <w:r w:rsidR="00ED5DF5" w:rsidRPr="00D31FC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D31FC5">
        <w:rPr>
          <w:rFonts w:ascii="Palatino Linotype" w:hAnsi="Palatino Linotype" w:cs="Tahoma"/>
          <w:sz w:val="22"/>
          <w:szCs w:val="22"/>
        </w:rPr>
        <w:t>el mismo día</w:t>
      </w:r>
      <w:r w:rsidR="00ED5DF5" w:rsidRPr="00D31FC5">
        <w:rPr>
          <w:rFonts w:ascii="Palatino Linotype" w:hAnsi="Palatino Linotype" w:cs="Tahoma"/>
          <w:sz w:val="22"/>
          <w:szCs w:val="22"/>
        </w:rPr>
        <w:t xml:space="preserve">, a través del </w:t>
      </w:r>
      <w:r w:rsidR="00BB1F81" w:rsidRPr="00D31FC5">
        <w:rPr>
          <w:rFonts w:ascii="Palatino Linotype" w:hAnsi="Palatino Linotype" w:cs="Tahoma"/>
          <w:sz w:val="22"/>
          <w:szCs w:val="22"/>
          <w:lang w:val="es-ES"/>
        </w:rPr>
        <w:t>SAIMEX</w:t>
      </w:r>
      <w:r w:rsidR="00ED5DF5" w:rsidRPr="00D31FC5">
        <w:rPr>
          <w:rFonts w:ascii="Palatino Linotype" w:hAnsi="Palatino Linotype" w:cs="Tahoma"/>
          <w:sz w:val="22"/>
          <w:szCs w:val="22"/>
        </w:rPr>
        <w:t>.</w:t>
      </w:r>
    </w:p>
    <w:p w14:paraId="692AEBCA" w14:textId="77777777" w:rsidR="0079675C" w:rsidRPr="00D31FC5" w:rsidRDefault="0079675C" w:rsidP="00FF426B">
      <w:pPr>
        <w:spacing w:line="360" w:lineRule="auto"/>
        <w:jc w:val="both"/>
        <w:rPr>
          <w:rFonts w:ascii="Palatino Linotype" w:hAnsi="Palatino Linotype" w:cs="Tahoma"/>
          <w:sz w:val="22"/>
          <w:szCs w:val="22"/>
        </w:rPr>
      </w:pPr>
    </w:p>
    <w:p w14:paraId="2EA49573" w14:textId="77777777" w:rsidR="004F2D88" w:rsidRPr="00D31FC5" w:rsidRDefault="004F2D88" w:rsidP="00FF426B">
      <w:pPr>
        <w:spacing w:line="360" w:lineRule="auto"/>
        <w:contextualSpacing/>
        <w:jc w:val="both"/>
        <w:rPr>
          <w:rFonts w:ascii="Palatino Linotype" w:hAnsi="Palatino Linotype" w:cs="Tahoma"/>
          <w:color w:val="000000"/>
          <w:sz w:val="22"/>
          <w:szCs w:val="22"/>
        </w:rPr>
      </w:pPr>
      <w:r w:rsidRPr="00D31FC5">
        <w:rPr>
          <w:rFonts w:ascii="Palatino Linotype" w:hAnsi="Palatino Linotype" w:cs="Tahoma"/>
          <w:color w:val="000000"/>
          <w:sz w:val="22"/>
          <w:szCs w:val="22"/>
        </w:rPr>
        <w:t xml:space="preserve">En </w:t>
      </w:r>
      <w:r w:rsidR="00367F82" w:rsidRPr="00D31FC5">
        <w:rPr>
          <w:rFonts w:ascii="Palatino Linotype" w:hAnsi="Palatino Linotype" w:cs="Tahoma"/>
          <w:color w:val="000000"/>
          <w:sz w:val="22"/>
          <w:szCs w:val="22"/>
        </w:rPr>
        <w:t>razón de que fue debidamente su</w:t>
      </w:r>
      <w:r w:rsidRPr="00D31FC5">
        <w:rPr>
          <w:rFonts w:ascii="Palatino Linotype" w:hAnsi="Palatino Linotype" w:cs="Tahoma"/>
          <w:color w:val="000000"/>
          <w:sz w:val="22"/>
          <w:szCs w:val="22"/>
        </w:rPr>
        <w:t xml:space="preserve">stanciado el expediente </w:t>
      </w:r>
      <w:r w:rsidR="00367F82" w:rsidRPr="00D31FC5">
        <w:rPr>
          <w:rFonts w:ascii="Palatino Linotype" w:hAnsi="Palatino Linotype" w:cs="Tahoma"/>
          <w:color w:val="000000"/>
          <w:sz w:val="22"/>
          <w:szCs w:val="22"/>
        </w:rPr>
        <w:t xml:space="preserve">electrónico </w:t>
      </w:r>
      <w:r w:rsidRPr="00D31FC5">
        <w:rPr>
          <w:rFonts w:ascii="Palatino Linotype" w:hAnsi="Palatino Linotype" w:cs="Tahoma"/>
          <w:color w:val="000000"/>
          <w:sz w:val="22"/>
          <w:szCs w:val="22"/>
        </w:rPr>
        <w:t>y no exist</w:t>
      </w:r>
      <w:r w:rsidR="00367F82" w:rsidRPr="00D31FC5">
        <w:rPr>
          <w:rFonts w:ascii="Palatino Linotype" w:hAnsi="Palatino Linotype" w:cs="Tahoma"/>
          <w:color w:val="000000"/>
          <w:sz w:val="22"/>
          <w:szCs w:val="22"/>
        </w:rPr>
        <w:t>e</w:t>
      </w:r>
      <w:r w:rsidRPr="00D31FC5">
        <w:rPr>
          <w:rFonts w:ascii="Palatino Linotype" w:hAnsi="Palatino Linotype" w:cs="Tahoma"/>
          <w:color w:val="000000"/>
          <w:sz w:val="22"/>
          <w:szCs w:val="22"/>
        </w:rPr>
        <w:t xml:space="preserve"> dilige</w:t>
      </w:r>
      <w:r w:rsidR="00367F82" w:rsidRPr="00D31FC5">
        <w:rPr>
          <w:rFonts w:ascii="Palatino Linotype" w:hAnsi="Palatino Linotype" w:cs="Tahoma"/>
          <w:color w:val="000000"/>
          <w:sz w:val="22"/>
          <w:szCs w:val="22"/>
        </w:rPr>
        <w:t xml:space="preserve">ncia pendiente de desahogo, se </w:t>
      </w:r>
      <w:r w:rsidRPr="00D31FC5">
        <w:rPr>
          <w:rFonts w:ascii="Palatino Linotype" w:hAnsi="Palatino Linotype" w:cs="Tahoma"/>
          <w:color w:val="000000"/>
          <w:sz w:val="22"/>
          <w:szCs w:val="22"/>
        </w:rPr>
        <w:t>emit</w:t>
      </w:r>
      <w:r w:rsidR="00367F82" w:rsidRPr="00D31FC5">
        <w:rPr>
          <w:rFonts w:ascii="Palatino Linotype" w:hAnsi="Palatino Linotype" w:cs="Tahoma"/>
          <w:color w:val="000000"/>
          <w:sz w:val="22"/>
          <w:szCs w:val="22"/>
        </w:rPr>
        <w:t>e</w:t>
      </w:r>
      <w:r w:rsidRPr="00D31FC5">
        <w:rPr>
          <w:rFonts w:ascii="Palatino Linotype" w:hAnsi="Palatino Linotype" w:cs="Tahoma"/>
          <w:color w:val="000000"/>
          <w:sz w:val="22"/>
          <w:szCs w:val="22"/>
        </w:rPr>
        <w:t xml:space="preserve"> la resolución que conforme a Derecho proceda, de acuerdo a l</w:t>
      </w:r>
      <w:r w:rsidR="009A620E" w:rsidRPr="00D31FC5">
        <w:rPr>
          <w:rFonts w:ascii="Palatino Linotype" w:hAnsi="Palatino Linotype" w:cs="Tahoma"/>
          <w:color w:val="000000"/>
          <w:sz w:val="22"/>
          <w:szCs w:val="22"/>
        </w:rPr>
        <w:t>o</w:t>
      </w:r>
      <w:r w:rsidRPr="00D31FC5">
        <w:rPr>
          <w:rFonts w:ascii="Palatino Linotype" w:hAnsi="Palatino Linotype" w:cs="Tahoma"/>
          <w:color w:val="000000"/>
          <w:sz w:val="22"/>
          <w:szCs w:val="22"/>
        </w:rPr>
        <w:t xml:space="preserve">s siguientes: </w:t>
      </w:r>
    </w:p>
    <w:p w14:paraId="38F6F6BC" w14:textId="77777777" w:rsidR="00EA4E4A" w:rsidRPr="00342378" w:rsidRDefault="00EA4E4A" w:rsidP="00342378">
      <w:pPr>
        <w:pStyle w:val="Ttulo1"/>
        <w:jc w:val="center"/>
        <w:rPr>
          <w:rFonts w:ascii="Palatino Linotype" w:hAnsi="Palatino Linotype"/>
          <w:b/>
          <w:color w:val="auto"/>
          <w:sz w:val="22"/>
          <w:szCs w:val="22"/>
        </w:rPr>
      </w:pPr>
      <w:bookmarkStart w:id="13" w:name="_Toc205477930"/>
      <w:r w:rsidRPr="00342378">
        <w:rPr>
          <w:rFonts w:ascii="Palatino Linotype" w:hAnsi="Palatino Linotype"/>
          <w:b/>
          <w:color w:val="auto"/>
          <w:sz w:val="22"/>
          <w:szCs w:val="22"/>
        </w:rPr>
        <w:t>C O N S I D E R A N D O S</w:t>
      </w:r>
      <w:bookmarkEnd w:id="13"/>
    </w:p>
    <w:p w14:paraId="756459A5" w14:textId="77777777" w:rsidR="00EA4E4A" w:rsidRPr="00D31FC5" w:rsidRDefault="00EA4E4A" w:rsidP="00FF426B">
      <w:pPr>
        <w:spacing w:line="360" w:lineRule="auto"/>
        <w:contextualSpacing/>
        <w:jc w:val="both"/>
        <w:rPr>
          <w:rFonts w:ascii="Palatino Linotype" w:hAnsi="Palatino Linotype" w:cs="Tahoma"/>
          <w:b/>
          <w:sz w:val="22"/>
          <w:szCs w:val="22"/>
        </w:rPr>
      </w:pPr>
    </w:p>
    <w:p w14:paraId="25CFF67F" w14:textId="77777777" w:rsidR="00EA4E4A" w:rsidRPr="00E42394" w:rsidRDefault="00EA4E4A" w:rsidP="00342378">
      <w:pPr>
        <w:pStyle w:val="Ttulo2"/>
        <w:rPr>
          <w:rFonts w:ascii="Palatino Linotype" w:hAnsi="Palatino Linotype"/>
          <w:b/>
          <w:sz w:val="22"/>
          <w:szCs w:val="22"/>
        </w:rPr>
      </w:pPr>
      <w:bookmarkStart w:id="14" w:name="_Toc205477931"/>
      <w:r w:rsidRPr="00E42394">
        <w:rPr>
          <w:rFonts w:ascii="Palatino Linotype" w:eastAsia="Calibri" w:hAnsi="Palatino Linotype"/>
          <w:b/>
          <w:color w:val="auto"/>
          <w:sz w:val="22"/>
          <w:szCs w:val="22"/>
          <w:lang w:eastAsia="es-MX"/>
        </w:rPr>
        <w:t xml:space="preserve">PRIMERO. </w:t>
      </w:r>
      <w:r w:rsidRPr="00E42394">
        <w:rPr>
          <w:rFonts w:ascii="Palatino Linotype" w:hAnsi="Palatino Linotype"/>
          <w:b/>
          <w:color w:val="auto"/>
          <w:sz w:val="22"/>
          <w:szCs w:val="22"/>
        </w:rPr>
        <w:t>Competencia</w:t>
      </w:r>
      <w:bookmarkEnd w:id="14"/>
    </w:p>
    <w:p w14:paraId="36301AD0" w14:textId="77777777" w:rsidR="00EA4E4A" w:rsidRPr="00D31FC5"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3960871D" w14:textId="77777777" w:rsidR="007B18BE" w:rsidRPr="007B18BE" w:rsidRDefault="007B18BE" w:rsidP="007B18BE">
      <w:pPr>
        <w:spacing w:line="360" w:lineRule="auto"/>
        <w:jc w:val="both"/>
        <w:rPr>
          <w:rFonts w:ascii="Palatino Linotype" w:eastAsia="Palatino Linotype" w:hAnsi="Palatino Linotype" w:cs="Palatino Linotype"/>
          <w:color w:val="000000"/>
          <w:sz w:val="22"/>
          <w:szCs w:val="22"/>
          <w:lang w:eastAsia="es-MX"/>
        </w:rPr>
      </w:pPr>
      <w:r w:rsidRPr="007B18BE">
        <w:rPr>
          <w:rFonts w:ascii="Palatino Linotype" w:eastAsia="Palatino Linotype" w:hAnsi="Palatino Linotype" w:cs="Palatino Linotype"/>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w:t>
      </w:r>
      <w:r w:rsidRPr="007B18BE">
        <w:rPr>
          <w:rFonts w:ascii="Palatino Linotype" w:eastAsia="Palatino Linotype" w:hAnsi="Palatino Linotype" w:cs="Palatino Linotype"/>
          <w:color w:val="000000"/>
          <w:sz w:val="22"/>
          <w:szCs w:val="22"/>
          <w:lang w:eastAsia="es-MX"/>
        </w:rPr>
        <w:lastRenderedPageBreak/>
        <w:t>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60B3064" w14:textId="77777777" w:rsidR="007B4146" w:rsidRPr="00D31FC5" w:rsidRDefault="007B4146" w:rsidP="00FF426B">
      <w:pPr>
        <w:spacing w:line="360" w:lineRule="auto"/>
        <w:jc w:val="both"/>
        <w:rPr>
          <w:rFonts w:ascii="Palatino Linotype" w:hAnsi="Palatino Linotype" w:cs="Tahoma"/>
          <w:sz w:val="22"/>
          <w:szCs w:val="22"/>
          <w:shd w:val="clear" w:color="auto" w:fill="FFFFFF"/>
        </w:rPr>
      </w:pPr>
    </w:p>
    <w:p w14:paraId="264C66FD" w14:textId="77777777" w:rsidR="00CE0B4C" w:rsidRPr="00E42394" w:rsidRDefault="00CE0B4C" w:rsidP="00342378">
      <w:pPr>
        <w:pStyle w:val="Ttulo2"/>
        <w:rPr>
          <w:rFonts w:ascii="Palatino Linotype" w:eastAsia="Calibri" w:hAnsi="Palatino Linotype"/>
          <w:b/>
          <w:color w:val="auto"/>
          <w:sz w:val="22"/>
          <w:szCs w:val="22"/>
          <w:lang w:eastAsia="es-MX"/>
        </w:rPr>
      </w:pPr>
      <w:bookmarkStart w:id="15" w:name="_Toc205477932"/>
      <w:r w:rsidRPr="00E42394">
        <w:rPr>
          <w:rFonts w:ascii="Palatino Linotype" w:eastAsia="Calibri" w:hAnsi="Palatino Linotype"/>
          <w:b/>
          <w:color w:val="auto"/>
          <w:sz w:val="22"/>
          <w:szCs w:val="22"/>
          <w:lang w:eastAsia="es-MX"/>
        </w:rPr>
        <w:t>SEGUNDO. Causales de improcedencia y sobreseimiento</w:t>
      </w:r>
      <w:bookmarkEnd w:id="15"/>
    </w:p>
    <w:p w14:paraId="5C17B8B9" w14:textId="77777777" w:rsidR="00566562" w:rsidRPr="00D31FC5"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166F9F" w14:textId="77777777" w:rsidR="00CE0B4C" w:rsidRPr="00D31FC5"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31FC5">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8C4D525" w14:textId="77777777" w:rsidR="00CE0B4C" w:rsidRPr="00D31FC5"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231B0A0" w14:textId="77777777" w:rsidR="00CE0B4C"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31FC5">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751CF34" w14:textId="77777777" w:rsidR="00BF4B55" w:rsidRPr="00D31FC5"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886D900" w14:textId="77777777" w:rsidR="00CE0B4C" w:rsidRPr="00E42394" w:rsidRDefault="00CE0B4C" w:rsidP="00342378">
      <w:pPr>
        <w:pStyle w:val="Ttulo3"/>
        <w:rPr>
          <w:rFonts w:ascii="Palatino Linotype" w:eastAsia="Calibri" w:hAnsi="Palatino Linotype" w:cs="Arial"/>
          <w:b/>
          <w:color w:val="auto"/>
          <w:sz w:val="22"/>
          <w:szCs w:val="22"/>
          <w:lang w:eastAsia="es-ES_tradnl"/>
        </w:rPr>
      </w:pPr>
      <w:bookmarkStart w:id="16" w:name="_Toc205477933"/>
      <w:r w:rsidRPr="00E42394">
        <w:rPr>
          <w:rFonts w:ascii="Palatino Linotype" w:eastAsia="Calibri" w:hAnsi="Palatino Linotype" w:cs="Arial"/>
          <w:b/>
          <w:color w:val="auto"/>
          <w:sz w:val="22"/>
          <w:szCs w:val="22"/>
          <w:lang w:eastAsia="es-ES_tradnl"/>
        </w:rPr>
        <w:t>Causales de sobreseimiento</w:t>
      </w:r>
      <w:bookmarkEnd w:id="16"/>
    </w:p>
    <w:p w14:paraId="683FD068" w14:textId="77777777" w:rsidR="00CE0B4C" w:rsidRPr="00D31FC5" w:rsidRDefault="00CE0B4C" w:rsidP="00FF426B">
      <w:pPr>
        <w:spacing w:line="360" w:lineRule="auto"/>
        <w:jc w:val="both"/>
        <w:rPr>
          <w:rFonts w:ascii="Palatino Linotype" w:eastAsia="Calibri" w:hAnsi="Palatino Linotype" w:cs="Tahoma"/>
          <w:sz w:val="22"/>
          <w:szCs w:val="22"/>
          <w:lang w:eastAsia="es-ES_tradnl"/>
        </w:rPr>
      </w:pPr>
    </w:p>
    <w:p w14:paraId="732B05E9" w14:textId="77777777" w:rsidR="00CE0B4C" w:rsidRDefault="00CE0B4C" w:rsidP="00FF426B">
      <w:pPr>
        <w:spacing w:line="360" w:lineRule="auto"/>
        <w:jc w:val="both"/>
        <w:rPr>
          <w:rFonts w:ascii="Palatino Linotype" w:eastAsia="Calibri" w:hAnsi="Palatino Linotype" w:cs="Tahoma"/>
          <w:sz w:val="22"/>
          <w:szCs w:val="22"/>
          <w:lang w:eastAsia="es-ES_tradnl"/>
        </w:rPr>
      </w:pPr>
      <w:r w:rsidRPr="00D31FC5">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D31FC5">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D31FC5">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D31FC5">
        <w:rPr>
          <w:rFonts w:ascii="Palatino Linotype" w:eastAsia="Calibri" w:hAnsi="Palatino Linotype" w:cs="Tahoma"/>
          <w:bCs/>
          <w:sz w:val="22"/>
          <w:szCs w:val="22"/>
          <w:lang w:eastAsia="es-ES_tradnl"/>
        </w:rPr>
        <w:t xml:space="preserve">Por tales motivos, </w:t>
      </w:r>
      <w:r w:rsidRPr="00D31FC5">
        <w:rPr>
          <w:rFonts w:ascii="Palatino Linotype" w:eastAsia="Calibri" w:hAnsi="Palatino Linotype" w:cs="Tahoma"/>
          <w:sz w:val="22"/>
          <w:szCs w:val="22"/>
          <w:lang w:eastAsia="es-ES_tradnl"/>
        </w:rPr>
        <w:t xml:space="preserve">se considera procedente entrar al fondo del presente asunto. </w:t>
      </w:r>
    </w:p>
    <w:p w14:paraId="548EBD92" w14:textId="77777777" w:rsidR="00472490" w:rsidRPr="00D31FC5" w:rsidRDefault="00472490" w:rsidP="00FF426B">
      <w:pPr>
        <w:spacing w:line="360" w:lineRule="auto"/>
        <w:jc w:val="both"/>
        <w:rPr>
          <w:rFonts w:ascii="Palatino Linotype" w:eastAsia="Calibri" w:hAnsi="Palatino Linotype" w:cs="Tahoma"/>
          <w:sz w:val="22"/>
          <w:szCs w:val="22"/>
          <w:lang w:eastAsia="es-ES_tradnl"/>
        </w:rPr>
      </w:pPr>
    </w:p>
    <w:p w14:paraId="030B62AF" w14:textId="77777777" w:rsidR="00CE0B4C" w:rsidRPr="00FF5303" w:rsidRDefault="00CE0B4C" w:rsidP="00FF5303">
      <w:pPr>
        <w:pStyle w:val="Ttulo2"/>
        <w:rPr>
          <w:rFonts w:ascii="Palatino Linotype" w:eastAsia="Calibri" w:hAnsi="Palatino Linotype"/>
          <w:b/>
          <w:color w:val="auto"/>
          <w:sz w:val="22"/>
          <w:lang w:val="es-ES" w:eastAsia="es-ES_tradnl"/>
        </w:rPr>
      </w:pPr>
      <w:bookmarkStart w:id="17" w:name="_Toc205477934"/>
      <w:r w:rsidRPr="00FF5303">
        <w:rPr>
          <w:rFonts w:ascii="Palatino Linotype" w:eastAsia="Calibri" w:hAnsi="Palatino Linotype"/>
          <w:b/>
          <w:color w:val="auto"/>
          <w:sz w:val="22"/>
          <w:lang w:eastAsia="es-ES_tradnl"/>
        </w:rPr>
        <w:t>TERCERO. Determinación de la Controversia</w:t>
      </w:r>
      <w:bookmarkEnd w:id="17"/>
    </w:p>
    <w:p w14:paraId="66D5827A" w14:textId="77777777" w:rsidR="00CE0B4C" w:rsidRPr="00D31FC5"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7FB774A" w14:textId="77777777" w:rsidR="000D0BE5" w:rsidRDefault="00CE0B4C" w:rsidP="00EA1A4A">
      <w:pPr>
        <w:tabs>
          <w:tab w:val="left" w:pos="4962"/>
        </w:tabs>
        <w:spacing w:line="360" w:lineRule="auto"/>
        <w:jc w:val="both"/>
        <w:rPr>
          <w:rFonts w:ascii="Palatino Linotype" w:eastAsia="Calibri" w:hAnsi="Palatino Linotype" w:cs="Tahoma"/>
          <w:iCs/>
          <w:sz w:val="22"/>
          <w:szCs w:val="22"/>
          <w:lang w:val="es-ES" w:eastAsia="es-ES_tradnl"/>
        </w:rPr>
      </w:pPr>
      <w:r w:rsidRPr="00D31FC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D31FC5">
        <w:rPr>
          <w:rFonts w:ascii="Palatino Linotype" w:eastAsia="Calibri" w:hAnsi="Palatino Linotype" w:cs="Tahoma"/>
          <w:iCs/>
          <w:sz w:val="22"/>
          <w:szCs w:val="22"/>
          <w:lang w:val="es-ES" w:eastAsia="es-ES_tradnl"/>
        </w:rPr>
        <w:t xml:space="preserve">Particular </w:t>
      </w:r>
      <w:r w:rsidRPr="00D31FC5">
        <w:rPr>
          <w:rFonts w:ascii="Palatino Linotype" w:eastAsia="Calibri" w:hAnsi="Palatino Linotype" w:cs="Tahoma"/>
          <w:iCs/>
          <w:sz w:val="22"/>
          <w:szCs w:val="22"/>
          <w:lang w:val="es-ES" w:eastAsia="es-ES_tradnl"/>
        </w:rPr>
        <w:t>solicitó a</w:t>
      </w:r>
      <w:r w:rsidR="00212285" w:rsidRPr="00D31FC5">
        <w:rPr>
          <w:rFonts w:ascii="Palatino Linotype" w:eastAsia="Calibri" w:hAnsi="Palatino Linotype" w:cs="Tahoma"/>
          <w:iCs/>
          <w:sz w:val="22"/>
          <w:szCs w:val="22"/>
          <w:lang w:val="es-ES" w:eastAsia="es-ES_tradnl"/>
        </w:rPr>
        <w:t>l</w:t>
      </w:r>
      <w:r w:rsidR="0003473A" w:rsidRPr="00D31FC5">
        <w:rPr>
          <w:rFonts w:ascii="Palatino Linotype" w:eastAsia="Calibri" w:hAnsi="Palatino Linotype" w:cs="Tahoma"/>
          <w:iCs/>
          <w:sz w:val="22"/>
          <w:szCs w:val="22"/>
          <w:lang w:val="es-ES" w:eastAsia="es-ES_tradnl"/>
        </w:rPr>
        <w:t xml:space="preserve"> </w:t>
      </w:r>
      <w:r w:rsidR="00B645B8">
        <w:rPr>
          <w:rFonts w:ascii="Palatino Linotype" w:eastAsia="Calibri" w:hAnsi="Palatino Linotype" w:cs="Tahoma"/>
          <w:iCs/>
          <w:sz w:val="22"/>
          <w:szCs w:val="22"/>
          <w:lang w:val="es-ES" w:eastAsia="es-ES_tradnl"/>
        </w:rPr>
        <w:t>Ayuntamiento de Luvianos</w:t>
      </w:r>
      <w:r w:rsidRPr="00D31FC5">
        <w:rPr>
          <w:rFonts w:ascii="Palatino Linotype" w:eastAsia="Calibri" w:hAnsi="Palatino Linotype" w:cs="Tahoma"/>
          <w:iCs/>
          <w:sz w:val="22"/>
          <w:szCs w:val="22"/>
          <w:lang w:val="es-ES" w:eastAsia="es-ES_tradnl"/>
        </w:rPr>
        <w:t>,</w:t>
      </w:r>
      <w:r w:rsidR="00BB41B8">
        <w:rPr>
          <w:rFonts w:ascii="Palatino Linotype" w:eastAsia="Calibri" w:hAnsi="Palatino Linotype" w:cs="Tahoma"/>
          <w:iCs/>
          <w:sz w:val="22"/>
          <w:szCs w:val="22"/>
          <w:lang w:val="es-ES" w:eastAsia="es-ES_tradnl"/>
        </w:rPr>
        <w:t xml:space="preserve"> </w:t>
      </w:r>
      <w:r w:rsidR="000D0BE5">
        <w:rPr>
          <w:rFonts w:ascii="Palatino Linotype" w:eastAsia="Calibri" w:hAnsi="Palatino Linotype" w:cs="Tahoma"/>
          <w:iCs/>
          <w:sz w:val="22"/>
          <w:szCs w:val="22"/>
          <w:lang w:val="es-ES" w:eastAsia="es-ES_tradnl"/>
        </w:rPr>
        <w:t>lo siguiente:</w:t>
      </w:r>
    </w:p>
    <w:p w14:paraId="751C0AC0" w14:textId="77777777" w:rsidR="003A3191" w:rsidRDefault="003A3191" w:rsidP="00EA1A4A">
      <w:pPr>
        <w:tabs>
          <w:tab w:val="left" w:pos="4962"/>
        </w:tabs>
        <w:spacing w:line="360" w:lineRule="auto"/>
        <w:jc w:val="both"/>
        <w:rPr>
          <w:rFonts w:ascii="Palatino Linotype" w:eastAsia="Calibri" w:hAnsi="Palatino Linotype" w:cs="Tahoma"/>
          <w:iCs/>
          <w:sz w:val="22"/>
          <w:szCs w:val="22"/>
          <w:lang w:val="es-ES" w:eastAsia="es-ES_tradnl"/>
        </w:rPr>
      </w:pPr>
    </w:p>
    <w:p w14:paraId="4FD562C8" w14:textId="4EB3C4B6" w:rsidR="003A3191" w:rsidRPr="004F6A94" w:rsidRDefault="00772E50" w:rsidP="00071831">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Recibos</w:t>
      </w:r>
      <w:r w:rsidR="003A3191" w:rsidRPr="004F6A94">
        <w:rPr>
          <w:rFonts w:ascii="Palatino Linotype" w:eastAsia="Calibri" w:hAnsi="Palatino Linotype" w:cs="Tahoma"/>
          <w:iCs/>
          <w:szCs w:val="22"/>
          <w:lang w:val="es-ES" w:eastAsia="es-ES_tradnl"/>
        </w:rPr>
        <w:t xml:space="preserve"> de nómina </w:t>
      </w:r>
      <w:r>
        <w:rPr>
          <w:rFonts w:ascii="Palatino Linotype" w:eastAsia="Calibri" w:hAnsi="Palatino Linotype" w:cs="Tahoma"/>
          <w:iCs/>
          <w:szCs w:val="22"/>
          <w:lang w:val="es-ES" w:eastAsia="es-ES_tradnl"/>
        </w:rPr>
        <w:t>de la primera y segunda quincena de enero de dos mil veinticinco, de todos los servidores públicos adscritos al A</w:t>
      </w:r>
      <w:r w:rsidR="003A3191" w:rsidRPr="004F6A94">
        <w:rPr>
          <w:rFonts w:ascii="Palatino Linotype" w:eastAsia="Calibri" w:hAnsi="Palatino Linotype" w:cs="Tahoma"/>
          <w:iCs/>
          <w:szCs w:val="22"/>
          <w:lang w:val="es-ES" w:eastAsia="es-ES_tradnl"/>
        </w:rPr>
        <w:t>yuntamiento</w:t>
      </w:r>
      <w:r>
        <w:rPr>
          <w:rFonts w:ascii="Palatino Linotype" w:eastAsia="Calibri" w:hAnsi="Palatino Linotype" w:cs="Tahoma"/>
          <w:iCs/>
          <w:szCs w:val="22"/>
          <w:lang w:val="es-ES" w:eastAsia="es-ES_tradnl"/>
        </w:rPr>
        <w:t xml:space="preserve"> y Sistema Municipal para el Desarrollo Integral de la Familia;</w:t>
      </w:r>
    </w:p>
    <w:p w14:paraId="483B7663" w14:textId="57ABEF87" w:rsidR="003A3191" w:rsidRPr="004F6A94" w:rsidRDefault="003A3191" w:rsidP="00071831">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sidRPr="004F6A94">
        <w:rPr>
          <w:rFonts w:ascii="Palatino Linotype" w:eastAsia="Calibri" w:hAnsi="Palatino Linotype" w:cs="Tahoma"/>
          <w:iCs/>
          <w:szCs w:val="22"/>
          <w:lang w:val="es-ES" w:eastAsia="es-ES_tradnl"/>
        </w:rPr>
        <w:t xml:space="preserve">El </w:t>
      </w:r>
      <w:r w:rsidR="00772E50">
        <w:rPr>
          <w:rFonts w:ascii="Palatino Linotype" w:eastAsia="Calibri" w:hAnsi="Palatino Linotype" w:cs="Tahoma"/>
          <w:iCs/>
          <w:szCs w:val="22"/>
          <w:lang w:val="es-ES" w:eastAsia="es-ES_tradnl"/>
        </w:rPr>
        <w:t>P</w:t>
      </w:r>
      <w:r w:rsidRPr="004F6A94">
        <w:rPr>
          <w:rFonts w:ascii="Palatino Linotype" w:eastAsia="Calibri" w:hAnsi="Palatino Linotype" w:cs="Tahoma"/>
          <w:iCs/>
          <w:szCs w:val="22"/>
          <w:lang w:val="es-ES" w:eastAsia="es-ES_tradnl"/>
        </w:rPr>
        <w:t xml:space="preserve">rograma </w:t>
      </w:r>
      <w:r w:rsidR="00772E50">
        <w:rPr>
          <w:rFonts w:ascii="Palatino Linotype" w:eastAsia="Calibri" w:hAnsi="Palatino Linotype" w:cs="Tahoma"/>
          <w:iCs/>
          <w:szCs w:val="22"/>
          <w:lang w:val="es-ES" w:eastAsia="es-ES_tradnl"/>
        </w:rPr>
        <w:t>A</w:t>
      </w:r>
      <w:r w:rsidRPr="004F6A94">
        <w:rPr>
          <w:rFonts w:ascii="Palatino Linotype" w:eastAsia="Calibri" w:hAnsi="Palatino Linotype" w:cs="Tahoma"/>
          <w:iCs/>
          <w:szCs w:val="22"/>
          <w:lang w:val="es-ES" w:eastAsia="es-ES_tradnl"/>
        </w:rPr>
        <w:t xml:space="preserve">nual de Obras </w:t>
      </w:r>
      <w:r w:rsidR="00772E50">
        <w:rPr>
          <w:rFonts w:ascii="Palatino Linotype" w:eastAsia="Calibri" w:hAnsi="Palatino Linotype" w:cs="Tahoma"/>
          <w:iCs/>
          <w:szCs w:val="22"/>
          <w:lang w:val="es-ES" w:eastAsia="es-ES_tradnl"/>
        </w:rPr>
        <w:t>y el Tabulador de Sueldos para el ejercicio fiscal dos mil veinticinco;</w:t>
      </w:r>
    </w:p>
    <w:p w14:paraId="35A61928" w14:textId="3B235E38" w:rsidR="003A3191" w:rsidRPr="004F6A94" w:rsidRDefault="003A3191" w:rsidP="00071831">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sidRPr="004F6A94">
        <w:rPr>
          <w:rFonts w:ascii="Palatino Linotype" w:eastAsia="Calibri" w:hAnsi="Palatino Linotype" w:cs="Tahoma"/>
          <w:iCs/>
          <w:szCs w:val="22"/>
          <w:lang w:val="es-ES" w:eastAsia="es-ES_tradnl"/>
        </w:rPr>
        <w:t>Relación de vales de gasolina del mes de enero</w:t>
      </w:r>
      <w:r w:rsidR="00772E50">
        <w:rPr>
          <w:rFonts w:ascii="Palatino Linotype" w:eastAsia="Calibri" w:hAnsi="Palatino Linotype" w:cs="Tahoma"/>
          <w:iCs/>
          <w:szCs w:val="22"/>
          <w:lang w:val="es-ES" w:eastAsia="es-ES_tradnl"/>
        </w:rPr>
        <w:t xml:space="preserve"> de dicho año;</w:t>
      </w:r>
    </w:p>
    <w:p w14:paraId="401FECD9" w14:textId="20DA03CD" w:rsidR="003A3191" w:rsidRPr="004F6A94" w:rsidRDefault="003A3191" w:rsidP="00071831">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sidRPr="004F6A94">
        <w:rPr>
          <w:rFonts w:ascii="Palatino Linotype" w:eastAsia="Calibri" w:hAnsi="Palatino Linotype" w:cs="Tahoma"/>
          <w:iCs/>
          <w:szCs w:val="22"/>
          <w:lang w:val="es-ES" w:eastAsia="es-ES_tradnl"/>
        </w:rPr>
        <w:t xml:space="preserve">Ingresos totales del mes de enero </w:t>
      </w:r>
      <w:r w:rsidR="00772E50">
        <w:rPr>
          <w:rFonts w:ascii="Palatino Linotype" w:eastAsia="Calibri" w:hAnsi="Palatino Linotype" w:cs="Tahoma"/>
          <w:iCs/>
          <w:szCs w:val="22"/>
          <w:lang w:val="es-ES" w:eastAsia="es-ES_tradnl"/>
        </w:rPr>
        <w:t>de dos mil veinticinco</w:t>
      </w:r>
      <w:r w:rsidRPr="004F6A94">
        <w:rPr>
          <w:rFonts w:ascii="Palatino Linotype" w:eastAsia="Calibri" w:hAnsi="Palatino Linotype" w:cs="Tahoma"/>
          <w:iCs/>
          <w:szCs w:val="22"/>
          <w:lang w:val="es-ES" w:eastAsia="es-ES_tradnl"/>
        </w:rPr>
        <w:t xml:space="preserve">, incluyendo participaciones, e ingresos propios. </w:t>
      </w:r>
    </w:p>
    <w:p w14:paraId="23CE0817" w14:textId="1A9B9B85" w:rsidR="003A3191" w:rsidRPr="004F6A94" w:rsidRDefault="003A3191" w:rsidP="00071831">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sidRPr="004F6A94">
        <w:rPr>
          <w:rFonts w:ascii="Palatino Linotype" w:eastAsia="Calibri" w:hAnsi="Palatino Linotype" w:cs="Tahoma"/>
          <w:iCs/>
          <w:szCs w:val="22"/>
          <w:lang w:val="es-ES" w:eastAsia="es-ES_tradnl"/>
        </w:rPr>
        <w:t>Relación de cuentas mancomunadas del ayuntamiento</w:t>
      </w:r>
      <w:r w:rsidR="00772E50">
        <w:rPr>
          <w:rFonts w:ascii="Palatino Linotype" w:eastAsia="Calibri" w:hAnsi="Palatino Linotype" w:cs="Tahoma"/>
          <w:iCs/>
          <w:szCs w:val="22"/>
          <w:lang w:val="es-ES" w:eastAsia="es-ES_tradnl"/>
        </w:rPr>
        <w:t>, vigentes a la fecha de la solicitud</w:t>
      </w:r>
      <w:r w:rsidRPr="004F6A94">
        <w:rPr>
          <w:rFonts w:ascii="Palatino Linotype" w:eastAsia="Calibri" w:hAnsi="Palatino Linotype" w:cs="Tahoma"/>
          <w:iCs/>
          <w:szCs w:val="22"/>
          <w:lang w:val="es-ES" w:eastAsia="es-ES_tradnl"/>
        </w:rPr>
        <w:t xml:space="preserve">. </w:t>
      </w:r>
    </w:p>
    <w:p w14:paraId="0A75E50A" w14:textId="7E018890" w:rsidR="003A3191" w:rsidRPr="00071831" w:rsidRDefault="00772E50" w:rsidP="00071831">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V</w:t>
      </w:r>
      <w:r w:rsidR="003A3191" w:rsidRPr="00071831">
        <w:rPr>
          <w:rFonts w:ascii="Palatino Linotype" w:eastAsia="Calibri" w:hAnsi="Palatino Linotype" w:cs="Tahoma"/>
          <w:iCs/>
          <w:szCs w:val="22"/>
          <w:lang w:val="es-ES" w:eastAsia="es-ES_tradnl"/>
        </w:rPr>
        <w:t xml:space="preserve">ales de gasolina emitidos por el </w:t>
      </w:r>
      <w:r>
        <w:rPr>
          <w:rFonts w:ascii="Palatino Linotype" w:eastAsia="Calibri" w:hAnsi="Palatino Linotype" w:cs="Tahoma"/>
          <w:iCs/>
          <w:szCs w:val="22"/>
          <w:lang w:val="es-ES" w:eastAsia="es-ES_tradnl"/>
        </w:rPr>
        <w:t>Sistema Municipal para el Desarrollo Integral de la Familia</w:t>
      </w:r>
      <w:r w:rsidR="003A3191" w:rsidRPr="00071831">
        <w:rPr>
          <w:rFonts w:ascii="Palatino Linotype" w:eastAsia="Calibri" w:hAnsi="Palatino Linotype" w:cs="Tahoma"/>
          <w:iCs/>
          <w:szCs w:val="22"/>
          <w:lang w:val="es-ES" w:eastAsia="es-ES_tradnl"/>
        </w:rPr>
        <w:t>,</w:t>
      </w:r>
      <w:r>
        <w:rPr>
          <w:rFonts w:ascii="Palatino Linotype" w:eastAsia="Calibri" w:hAnsi="Palatino Linotype" w:cs="Tahoma"/>
          <w:iCs/>
          <w:szCs w:val="22"/>
          <w:lang w:val="es-ES" w:eastAsia="es-ES_tradnl"/>
        </w:rPr>
        <w:t xml:space="preserve"> así como,</w:t>
      </w:r>
      <w:r w:rsidR="003A3191" w:rsidRPr="00071831">
        <w:rPr>
          <w:rFonts w:ascii="Palatino Linotype" w:eastAsia="Calibri" w:hAnsi="Palatino Linotype" w:cs="Tahoma"/>
          <w:iCs/>
          <w:szCs w:val="22"/>
          <w:lang w:val="es-ES" w:eastAsia="es-ES_tradnl"/>
        </w:rPr>
        <w:t xml:space="preserve"> relación de pagos de CFE, Telmex, y adquisición de materiales del capítulo 2000, del año 2020 al 2025.</w:t>
      </w:r>
    </w:p>
    <w:p w14:paraId="67E06EAC" w14:textId="77777777" w:rsidR="00DE4F95" w:rsidRDefault="00DE4F95" w:rsidP="008A1F77">
      <w:pPr>
        <w:tabs>
          <w:tab w:val="left" w:pos="4962"/>
        </w:tabs>
        <w:spacing w:line="360" w:lineRule="auto"/>
        <w:jc w:val="both"/>
        <w:rPr>
          <w:rFonts w:ascii="Palatino Linotype" w:eastAsia="Calibri" w:hAnsi="Palatino Linotype" w:cs="Tahoma"/>
          <w:iCs/>
          <w:sz w:val="22"/>
          <w:szCs w:val="22"/>
          <w:lang w:val="es-ES" w:eastAsia="es-ES_tradnl"/>
        </w:rPr>
      </w:pPr>
    </w:p>
    <w:p w14:paraId="2802A59C" w14:textId="77777777" w:rsidR="00A511BB" w:rsidRPr="00D31FC5" w:rsidRDefault="00993BF4" w:rsidP="00071831">
      <w:pPr>
        <w:tabs>
          <w:tab w:val="left" w:pos="4962"/>
        </w:tabs>
        <w:spacing w:line="360" w:lineRule="auto"/>
        <w:jc w:val="both"/>
        <w:rPr>
          <w:rFonts w:ascii="Palatino Linotype" w:eastAsia="Calibri" w:hAnsi="Palatino Linotype" w:cs="Tahoma"/>
          <w:iCs/>
          <w:sz w:val="22"/>
          <w:szCs w:val="22"/>
          <w:lang w:val="es-ES" w:eastAsia="es-ES_tradnl"/>
        </w:rPr>
      </w:pPr>
      <w:r w:rsidRPr="00D31FC5">
        <w:rPr>
          <w:rFonts w:ascii="Palatino Linotype" w:eastAsia="Calibri" w:hAnsi="Palatino Linotype" w:cs="Tahoma"/>
          <w:iCs/>
          <w:sz w:val="22"/>
          <w:szCs w:val="22"/>
          <w:lang w:val="es-ES" w:eastAsia="es-ES_tradnl"/>
        </w:rPr>
        <w:t>E</w:t>
      </w:r>
      <w:r w:rsidR="0044640B" w:rsidRPr="00D31FC5">
        <w:rPr>
          <w:rFonts w:ascii="Palatino Linotype" w:eastAsia="Calibri" w:hAnsi="Palatino Linotype" w:cs="Tahoma"/>
          <w:iCs/>
          <w:sz w:val="22"/>
          <w:szCs w:val="22"/>
          <w:lang w:val="es-ES" w:eastAsia="es-ES_tradnl"/>
        </w:rPr>
        <w:t>n respuesta</w:t>
      </w:r>
      <w:r w:rsidR="007F34CB" w:rsidRPr="00D31FC5">
        <w:rPr>
          <w:rFonts w:ascii="Palatino Linotype" w:eastAsia="Calibri" w:hAnsi="Palatino Linotype" w:cs="Tahoma"/>
          <w:iCs/>
          <w:sz w:val="22"/>
          <w:szCs w:val="22"/>
          <w:lang w:val="es-ES" w:eastAsia="es-ES_tradnl"/>
        </w:rPr>
        <w:t>,</w:t>
      </w:r>
      <w:r w:rsidR="0044640B" w:rsidRPr="00D31FC5">
        <w:rPr>
          <w:rFonts w:ascii="Palatino Linotype" w:eastAsia="Calibri" w:hAnsi="Palatino Linotype" w:cs="Tahoma"/>
          <w:iCs/>
          <w:sz w:val="22"/>
          <w:szCs w:val="22"/>
          <w:lang w:val="es-ES" w:eastAsia="es-ES_tradnl"/>
        </w:rPr>
        <w:t xml:space="preserve"> el Sujeto Obligado</w:t>
      </w:r>
      <w:r w:rsidR="0018547D" w:rsidRPr="00D31FC5">
        <w:rPr>
          <w:rFonts w:ascii="Palatino Linotype" w:eastAsia="Calibri" w:hAnsi="Palatino Linotype" w:cs="Tahoma"/>
          <w:iCs/>
          <w:sz w:val="22"/>
          <w:szCs w:val="22"/>
          <w:lang w:val="es-ES" w:eastAsia="es-ES_tradnl"/>
        </w:rPr>
        <w:t xml:space="preserve"> </w:t>
      </w:r>
      <w:r w:rsidR="00071831">
        <w:rPr>
          <w:rFonts w:ascii="Palatino Linotype" w:eastAsia="Calibri" w:hAnsi="Palatino Linotype" w:cs="Tahoma"/>
          <w:iCs/>
          <w:sz w:val="22"/>
          <w:szCs w:val="22"/>
          <w:lang w:val="es-ES" w:eastAsia="es-ES_tradnl"/>
        </w:rPr>
        <w:t xml:space="preserve">sobre el punto 1 y 4 señaló que no podía proporcionar la información debido a que podía poner en riesgo la seguridad de los trabajadores, sobre los puntos 2, 3, 5 y señaló que aún no contaba con la información ya que estaba siendo procesada, pero que sería publicada, </w:t>
      </w:r>
      <w:r w:rsidR="0004574F" w:rsidRPr="00D31FC5">
        <w:rPr>
          <w:rFonts w:ascii="Palatino Linotype" w:eastAsia="Calibri" w:hAnsi="Palatino Linotype" w:cs="Tahoma"/>
          <w:iCs/>
          <w:sz w:val="22"/>
          <w:szCs w:val="22"/>
          <w:lang w:val="es-ES" w:eastAsia="es-ES_tradnl"/>
        </w:rPr>
        <w:t xml:space="preserve">derivado de ello </w:t>
      </w:r>
      <w:r w:rsidR="00EA1A4A">
        <w:rPr>
          <w:rFonts w:ascii="Palatino Linotype" w:eastAsia="Calibri" w:hAnsi="Palatino Linotype" w:cs="Tahoma"/>
          <w:iCs/>
          <w:sz w:val="22"/>
          <w:szCs w:val="22"/>
          <w:lang w:val="es-ES" w:eastAsia="es-ES_tradnl"/>
        </w:rPr>
        <w:t xml:space="preserve">el Particular </w:t>
      </w:r>
      <w:r w:rsidR="00002CF8" w:rsidRPr="00D31FC5">
        <w:rPr>
          <w:rFonts w:ascii="Palatino Linotype" w:eastAsia="Calibri" w:hAnsi="Palatino Linotype" w:cs="Tahoma"/>
          <w:iCs/>
          <w:sz w:val="22"/>
          <w:szCs w:val="22"/>
          <w:lang w:val="es-ES" w:eastAsia="es-ES_tradnl"/>
        </w:rPr>
        <w:t>se inconformó</w:t>
      </w:r>
      <w:r w:rsidR="00AB2EDE" w:rsidRPr="00D31FC5">
        <w:rPr>
          <w:rFonts w:ascii="Palatino Linotype" w:eastAsia="Calibri" w:hAnsi="Palatino Linotype" w:cs="Tahoma"/>
          <w:iCs/>
          <w:sz w:val="22"/>
          <w:szCs w:val="22"/>
          <w:lang w:val="es-ES" w:eastAsia="es-ES_tradnl"/>
        </w:rPr>
        <w:t xml:space="preserve"> </w:t>
      </w:r>
      <w:r w:rsidR="004E5D3C" w:rsidRPr="00D31FC5">
        <w:rPr>
          <w:rFonts w:ascii="Palatino Linotype" w:eastAsia="Calibri" w:hAnsi="Palatino Linotype" w:cs="Tahoma"/>
          <w:iCs/>
          <w:sz w:val="22"/>
          <w:szCs w:val="22"/>
          <w:lang w:val="es-ES" w:eastAsia="es-ES_tradnl"/>
        </w:rPr>
        <w:t>por</w:t>
      </w:r>
      <w:r w:rsidR="00071831">
        <w:rPr>
          <w:rFonts w:ascii="Palatino Linotype" w:eastAsia="Calibri" w:hAnsi="Palatino Linotype" w:cs="Tahoma"/>
          <w:iCs/>
          <w:sz w:val="22"/>
          <w:szCs w:val="22"/>
          <w:lang w:val="es-ES" w:eastAsia="es-ES_tradnl"/>
        </w:rPr>
        <w:t xml:space="preserve"> no recibir la información solicitada </w:t>
      </w:r>
      <w:r w:rsidR="00120425" w:rsidRPr="00D31FC5">
        <w:rPr>
          <w:rFonts w:ascii="Palatino Linotype" w:eastAsia="Calibri" w:hAnsi="Palatino Linotype" w:cs="Tahoma"/>
          <w:bCs/>
          <w:sz w:val="22"/>
          <w:szCs w:val="22"/>
          <w:lang w:val="es-ES_tradnl" w:eastAsia="en-US"/>
        </w:rPr>
        <w:t xml:space="preserve">así </w:t>
      </w:r>
      <w:r w:rsidR="00A511BB" w:rsidRPr="00D31FC5">
        <w:rPr>
          <w:rFonts w:ascii="Palatino Linotype" w:eastAsia="Calibri" w:hAnsi="Palatino Linotype" w:cs="Tahoma"/>
          <w:color w:val="000000"/>
          <w:sz w:val="22"/>
          <w:szCs w:val="22"/>
        </w:rPr>
        <w:t xml:space="preserve">en el asunto que nos ocupa se actualiza la causal de procedencia señalada en el </w:t>
      </w:r>
      <w:r w:rsidR="00A511BB" w:rsidRPr="00D31FC5">
        <w:rPr>
          <w:rFonts w:ascii="Palatino Linotype" w:eastAsia="Calibri" w:hAnsi="Palatino Linotype" w:cs="Tahoma"/>
          <w:sz w:val="22"/>
          <w:szCs w:val="22"/>
        </w:rPr>
        <w:t xml:space="preserve">artículo 179, </w:t>
      </w:r>
      <w:r w:rsidR="005638D9" w:rsidRPr="00D31FC5">
        <w:rPr>
          <w:rFonts w:ascii="Palatino Linotype" w:eastAsia="Calibri" w:hAnsi="Palatino Linotype" w:cs="Tahoma"/>
          <w:sz w:val="22"/>
          <w:szCs w:val="22"/>
        </w:rPr>
        <w:t xml:space="preserve">fracción </w:t>
      </w:r>
      <w:r w:rsidR="00071831">
        <w:rPr>
          <w:rFonts w:ascii="Palatino Linotype" w:eastAsia="Calibri" w:hAnsi="Palatino Linotype" w:cs="Tahoma"/>
          <w:sz w:val="22"/>
          <w:szCs w:val="22"/>
        </w:rPr>
        <w:t>I</w:t>
      </w:r>
      <w:r w:rsidR="00E52703" w:rsidRPr="00D31FC5">
        <w:rPr>
          <w:rFonts w:ascii="Palatino Linotype" w:eastAsia="Calibri" w:hAnsi="Palatino Linotype" w:cs="Tahoma"/>
          <w:sz w:val="22"/>
          <w:szCs w:val="22"/>
        </w:rPr>
        <w:t>,</w:t>
      </w:r>
      <w:r w:rsidR="00A511BB" w:rsidRPr="00D31FC5">
        <w:rPr>
          <w:rFonts w:ascii="Palatino Linotype" w:eastAsia="Calibri" w:hAnsi="Palatino Linotype" w:cs="Tahoma"/>
          <w:sz w:val="22"/>
          <w:szCs w:val="22"/>
        </w:rPr>
        <w:t xml:space="preserve"> de la Ley de la materia</w:t>
      </w:r>
      <w:r w:rsidR="00A511BB" w:rsidRPr="00D31FC5">
        <w:rPr>
          <w:rFonts w:ascii="Palatino Linotype" w:eastAsia="Calibri" w:hAnsi="Palatino Linotype" w:cs="Tahoma"/>
          <w:bCs/>
          <w:sz w:val="22"/>
          <w:szCs w:val="22"/>
        </w:rPr>
        <w:t>.</w:t>
      </w:r>
    </w:p>
    <w:p w14:paraId="08982572" w14:textId="77777777" w:rsidR="00CE0B4C" w:rsidRPr="00D31FC5"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4FE13CBD" w14:textId="77777777" w:rsidR="00571944"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D31FC5">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EE3EC97" w14:textId="77777777" w:rsidR="00FF5303" w:rsidRPr="00FF5303"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58F80CBC" w14:textId="77777777" w:rsidR="00CE0B4C" w:rsidRPr="00FF5303" w:rsidRDefault="00CE0B4C" w:rsidP="00FF5303">
      <w:pPr>
        <w:pStyle w:val="Ttulo2"/>
        <w:jc w:val="both"/>
        <w:rPr>
          <w:rFonts w:ascii="Palatino Linotype" w:eastAsia="Calibri" w:hAnsi="Palatino Linotype" w:cs="Arial"/>
          <w:b/>
          <w:color w:val="auto"/>
          <w:sz w:val="22"/>
          <w:lang w:eastAsia="es-ES_tradnl"/>
        </w:rPr>
      </w:pPr>
      <w:bookmarkStart w:id="18" w:name="_Toc205477935"/>
      <w:r w:rsidRPr="00FF5303">
        <w:rPr>
          <w:rFonts w:ascii="Palatino Linotype" w:eastAsia="Calibri" w:hAnsi="Palatino Linotype" w:cs="Arial"/>
          <w:b/>
          <w:color w:val="auto"/>
          <w:sz w:val="22"/>
          <w:lang w:eastAsia="es-ES_tradnl"/>
        </w:rPr>
        <w:t>CUARTO. Marco normativo aplicable en materia de transparencia y acceso a la información pública</w:t>
      </w:r>
      <w:bookmarkEnd w:id="18"/>
    </w:p>
    <w:p w14:paraId="3F0D64C2" w14:textId="77777777" w:rsidR="00CE0B4C" w:rsidRPr="00D31FC5" w:rsidRDefault="00CE0B4C" w:rsidP="00FF426B">
      <w:pPr>
        <w:spacing w:line="360" w:lineRule="auto"/>
        <w:contextualSpacing/>
        <w:jc w:val="both"/>
        <w:rPr>
          <w:rFonts w:ascii="Palatino Linotype" w:hAnsi="Palatino Linotype" w:cs="Tahoma"/>
          <w:sz w:val="22"/>
          <w:szCs w:val="22"/>
        </w:rPr>
      </w:pPr>
    </w:p>
    <w:p w14:paraId="7FDF45DB" w14:textId="77777777" w:rsidR="00CE0B4C" w:rsidRPr="00D31FC5" w:rsidRDefault="00CE0B4C" w:rsidP="00FF426B">
      <w:pPr>
        <w:widowControl w:val="0"/>
        <w:spacing w:line="360" w:lineRule="auto"/>
        <w:contextualSpacing/>
        <w:jc w:val="both"/>
        <w:rPr>
          <w:rFonts w:ascii="Palatino Linotype" w:hAnsi="Palatino Linotype" w:cs="Tahoma"/>
          <w:sz w:val="22"/>
          <w:szCs w:val="22"/>
        </w:rPr>
      </w:pPr>
      <w:r w:rsidRPr="00D31FC5">
        <w:rPr>
          <w:rFonts w:ascii="Palatino Linotype" w:hAnsi="Palatino Linotype" w:cs="Tahoma"/>
          <w:sz w:val="22"/>
          <w:szCs w:val="22"/>
        </w:rPr>
        <w:t>El artículo 6°, Apartado A), fracción I</w:t>
      </w:r>
      <w:r w:rsidR="00D63A43">
        <w:rPr>
          <w:rFonts w:ascii="Palatino Linotype" w:hAnsi="Palatino Linotype" w:cs="Tahoma"/>
          <w:sz w:val="22"/>
          <w:szCs w:val="22"/>
        </w:rPr>
        <w:t>,</w:t>
      </w:r>
      <w:r w:rsidRPr="00D31FC5">
        <w:rPr>
          <w:rFonts w:ascii="Palatino Linotype" w:hAnsi="Palatino Linotype" w:cs="Tahoma"/>
          <w:sz w:val="22"/>
          <w:szCs w:val="22"/>
        </w:rPr>
        <w:t xml:space="preserve"> de la Constitución Política de los Estados Unidos Mexicanos, establece que toda la información en posesión de cualquier </w:t>
      </w:r>
      <w:r w:rsidR="005A1884" w:rsidRPr="00D31FC5">
        <w:rPr>
          <w:rFonts w:ascii="Palatino Linotype" w:hAnsi="Palatino Linotype" w:cs="Tahoma"/>
          <w:sz w:val="22"/>
          <w:szCs w:val="22"/>
        </w:rPr>
        <w:t>autoridad</w:t>
      </w:r>
      <w:r w:rsidRPr="00D31FC5">
        <w:rPr>
          <w:rFonts w:ascii="Palatino Linotype" w:hAnsi="Palatino Linotype" w:cs="Tahoma"/>
          <w:sz w:val="22"/>
          <w:szCs w:val="22"/>
        </w:rPr>
        <w:t xml:space="preserve"> es pública y sólo podrá ser reservada temporalmente por razones de interés público.</w:t>
      </w:r>
    </w:p>
    <w:p w14:paraId="3387EB87" w14:textId="77777777" w:rsidR="00CE0B4C" w:rsidRPr="00D31FC5" w:rsidRDefault="00CE0B4C" w:rsidP="00FF426B">
      <w:pPr>
        <w:spacing w:line="360" w:lineRule="auto"/>
        <w:jc w:val="both"/>
        <w:rPr>
          <w:rFonts w:ascii="Palatino Linotype" w:hAnsi="Palatino Linotype" w:cs="Tahoma"/>
          <w:sz w:val="22"/>
          <w:szCs w:val="22"/>
        </w:rPr>
      </w:pPr>
    </w:p>
    <w:p w14:paraId="00637562" w14:textId="77777777" w:rsidR="00CE0B4C" w:rsidRPr="00D31FC5" w:rsidRDefault="00CE0B4C" w:rsidP="00FF426B">
      <w:pPr>
        <w:spacing w:line="360" w:lineRule="auto"/>
        <w:jc w:val="both"/>
        <w:rPr>
          <w:rFonts w:ascii="Palatino Linotype" w:hAnsi="Palatino Linotype" w:cs="Tahoma"/>
          <w:sz w:val="22"/>
          <w:szCs w:val="22"/>
        </w:rPr>
      </w:pPr>
      <w:r w:rsidRPr="00D31FC5">
        <w:rPr>
          <w:rFonts w:ascii="Palatino Linotype" w:hAnsi="Palatino Linotype" w:cs="Tahoma"/>
          <w:sz w:val="22"/>
          <w:szCs w:val="22"/>
        </w:rPr>
        <w:t>En materia local, el artículo 5°, fracción I</w:t>
      </w:r>
      <w:r w:rsidR="00002CF8" w:rsidRPr="00D31FC5">
        <w:rPr>
          <w:rFonts w:ascii="Palatino Linotype" w:hAnsi="Palatino Linotype" w:cs="Tahoma"/>
          <w:sz w:val="22"/>
          <w:szCs w:val="22"/>
        </w:rPr>
        <w:t>,</w:t>
      </w:r>
      <w:r w:rsidRPr="00D31FC5">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AF431" w14:textId="77777777" w:rsidR="00CE0B4C" w:rsidRPr="00D31FC5" w:rsidRDefault="00CE0B4C" w:rsidP="00FF426B">
      <w:pPr>
        <w:spacing w:line="360" w:lineRule="auto"/>
        <w:jc w:val="both"/>
        <w:rPr>
          <w:rFonts w:ascii="Palatino Linotype" w:hAnsi="Palatino Linotype" w:cs="Tahoma"/>
          <w:sz w:val="22"/>
          <w:szCs w:val="22"/>
        </w:rPr>
      </w:pPr>
    </w:p>
    <w:p w14:paraId="0D96A923" w14:textId="77777777" w:rsidR="00CE0B4C" w:rsidRPr="00D31FC5" w:rsidRDefault="00CE0B4C" w:rsidP="00FF426B">
      <w:pPr>
        <w:spacing w:line="360" w:lineRule="auto"/>
        <w:jc w:val="both"/>
        <w:rPr>
          <w:rFonts w:ascii="Palatino Linotype" w:hAnsi="Palatino Linotype" w:cs="Tahoma"/>
          <w:sz w:val="22"/>
          <w:szCs w:val="22"/>
        </w:rPr>
      </w:pPr>
      <w:r w:rsidRPr="00D31FC5">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67E36171" w14:textId="77777777" w:rsidR="00CE0B4C" w:rsidRPr="00D31FC5" w:rsidRDefault="00CE0B4C" w:rsidP="00FF426B">
      <w:pPr>
        <w:spacing w:line="360" w:lineRule="auto"/>
        <w:jc w:val="both"/>
        <w:rPr>
          <w:rFonts w:ascii="Palatino Linotype" w:hAnsi="Palatino Linotype" w:cs="Tahoma"/>
          <w:sz w:val="22"/>
          <w:szCs w:val="22"/>
        </w:rPr>
      </w:pPr>
    </w:p>
    <w:p w14:paraId="191E1FC8" w14:textId="77777777" w:rsidR="00CE0B4C" w:rsidRPr="00D31FC5" w:rsidRDefault="00CE0B4C" w:rsidP="00FF426B">
      <w:pPr>
        <w:spacing w:line="360" w:lineRule="auto"/>
        <w:jc w:val="both"/>
        <w:rPr>
          <w:rFonts w:ascii="Palatino Linotype" w:hAnsi="Palatino Linotype" w:cs="Tahoma"/>
          <w:sz w:val="22"/>
          <w:szCs w:val="22"/>
        </w:rPr>
      </w:pPr>
      <w:r w:rsidRPr="00D31FC5">
        <w:rPr>
          <w:rFonts w:ascii="Palatino Linotype" w:hAnsi="Palatino Linotype" w:cs="Tahoma"/>
          <w:sz w:val="22"/>
          <w:szCs w:val="22"/>
        </w:rPr>
        <w:t>El artículo 12, que, quienes generen, recopilen, administren, manejen, procesen, archiven o conserven información pública serán responsables de la misma.</w:t>
      </w:r>
    </w:p>
    <w:p w14:paraId="33B5F0DB" w14:textId="77777777" w:rsidR="00EF5683" w:rsidRPr="00D31FC5" w:rsidRDefault="00EF5683" w:rsidP="00FF426B">
      <w:pPr>
        <w:spacing w:line="360" w:lineRule="auto"/>
        <w:jc w:val="both"/>
        <w:rPr>
          <w:rFonts w:ascii="Palatino Linotype" w:hAnsi="Palatino Linotype" w:cs="Tahoma"/>
          <w:sz w:val="22"/>
          <w:szCs w:val="22"/>
        </w:rPr>
      </w:pPr>
    </w:p>
    <w:p w14:paraId="65E5DA0C" w14:textId="77777777" w:rsidR="00CE0B4C" w:rsidRPr="00D31FC5" w:rsidRDefault="00CE0B4C" w:rsidP="00FF426B">
      <w:pPr>
        <w:spacing w:line="360" w:lineRule="auto"/>
        <w:jc w:val="both"/>
        <w:rPr>
          <w:rFonts w:ascii="Palatino Linotype" w:hAnsi="Palatino Linotype" w:cs="Tahoma"/>
          <w:sz w:val="22"/>
          <w:szCs w:val="22"/>
        </w:rPr>
      </w:pPr>
      <w:r w:rsidRPr="00D31FC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DEAEC0E" w14:textId="77777777" w:rsidR="00F66601" w:rsidRPr="00D31FC5" w:rsidRDefault="00F66601" w:rsidP="00FF426B">
      <w:pPr>
        <w:spacing w:line="360" w:lineRule="auto"/>
        <w:jc w:val="both"/>
        <w:rPr>
          <w:rFonts w:ascii="Palatino Linotype" w:hAnsi="Palatino Linotype" w:cs="Tahoma"/>
          <w:sz w:val="22"/>
          <w:szCs w:val="22"/>
        </w:rPr>
      </w:pPr>
    </w:p>
    <w:p w14:paraId="786EABED" w14:textId="77777777" w:rsidR="00CE0B4C" w:rsidRDefault="00CE0B4C" w:rsidP="00FF426B">
      <w:pPr>
        <w:spacing w:line="360" w:lineRule="auto"/>
        <w:jc w:val="both"/>
        <w:rPr>
          <w:rFonts w:ascii="Palatino Linotype" w:hAnsi="Palatino Linotype" w:cs="Tahoma"/>
          <w:sz w:val="22"/>
          <w:szCs w:val="22"/>
        </w:rPr>
      </w:pPr>
      <w:r w:rsidRPr="00D31FC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C690F1" w14:textId="77777777" w:rsidR="00EA1A4A" w:rsidRPr="00D31FC5" w:rsidRDefault="00EA1A4A" w:rsidP="00FF426B">
      <w:pPr>
        <w:spacing w:line="360" w:lineRule="auto"/>
        <w:jc w:val="both"/>
        <w:rPr>
          <w:rFonts w:ascii="Palatino Linotype" w:hAnsi="Palatino Linotype" w:cs="Tahoma"/>
          <w:sz w:val="22"/>
          <w:szCs w:val="22"/>
        </w:rPr>
      </w:pPr>
    </w:p>
    <w:p w14:paraId="04B3527C" w14:textId="77777777" w:rsidR="00CE0B4C" w:rsidRPr="00FF5303" w:rsidRDefault="00CE0B4C" w:rsidP="00FF5303">
      <w:pPr>
        <w:pStyle w:val="Ttulo2"/>
        <w:rPr>
          <w:rFonts w:ascii="Palatino Linotype" w:hAnsi="Palatino Linotype"/>
          <w:b/>
          <w:color w:val="auto"/>
          <w:sz w:val="22"/>
          <w:lang w:val="es-ES"/>
        </w:rPr>
      </w:pPr>
      <w:bookmarkStart w:id="19" w:name="_Toc205477936"/>
      <w:r w:rsidRPr="00FF5303">
        <w:rPr>
          <w:rFonts w:ascii="Palatino Linotype" w:eastAsia="Calibri" w:hAnsi="Palatino Linotype"/>
          <w:b/>
          <w:color w:val="auto"/>
          <w:sz w:val="22"/>
          <w:lang w:eastAsia="es-ES_tradnl"/>
        </w:rPr>
        <w:t>QUINTO. Estudio de Fondo</w:t>
      </w:r>
      <w:bookmarkEnd w:id="19"/>
    </w:p>
    <w:p w14:paraId="6E7005DB" w14:textId="77777777" w:rsidR="00040101" w:rsidRPr="00D31FC5" w:rsidRDefault="00040101" w:rsidP="00FF426B">
      <w:pPr>
        <w:spacing w:line="360" w:lineRule="auto"/>
        <w:ind w:right="-93"/>
        <w:jc w:val="both"/>
        <w:rPr>
          <w:rFonts w:ascii="Palatino Linotype" w:hAnsi="Palatino Linotype" w:cs="Tahoma"/>
          <w:b/>
          <w:sz w:val="22"/>
          <w:szCs w:val="22"/>
          <w:lang w:val="es-ES"/>
        </w:rPr>
      </w:pPr>
    </w:p>
    <w:p w14:paraId="5A9DA635" w14:textId="77777777" w:rsidR="007F486F" w:rsidRDefault="007F486F" w:rsidP="007F486F">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acceso a la información pública.</w:t>
      </w:r>
      <w:r w:rsidR="00377B52">
        <w:rPr>
          <w:rFonts w:ascii="Palatino Linotype" w:hAnsi="Palatino Linotype" w:cs="Tahoma"/>
          <w:sz w:val="22"/>
          <w:szCs w:val="22"/>
        </w:rPr>
        <w:t xml:space="preserve"> Razón por la cual se procede a analizar cada uno de los puntos requeridos por el Particular:</w:t>
      </w:r>
    </w:p>
    <w:p w14:paraId="131F94A1" w14:textId="77777777" w:rsidR="007F486F" w:rsidRDefault="007F486F" w:rsidP="007F486F">
      <w:pPr>
        <w:spacing w:line="360" w:lineRule="auto"/>
        <w:jc w:val="both"/>
        <w:rPr>
          <w:rFonts w:ascii="Palatino Linotype" w:hAnsi="Palatino Linotype" w:cs="Tahoma"/>
          <w:sz w:val="22"/>
          <w:szCs w:val="22"/>
        </w:rPr>
      </w:pPr>
    </w:p>
    <w:p w14:paraId="200513FB" w14:textId="3FB520F4" w:rsidR="00772E50" w:rsidRDefault="00772E50" w:rsidP="007F486F">
      <w:pPr>
        <w:spacing w:line="360" w:lineRule="auto"/>
        <w:jc w:val="both"/>
        <w:rPr>
          <w:rFonts w:ascii="Palatino Linotype" w:hAnsi="Palatino Linotype" w:cs="Tahoma"/>
          <w:b/>
          <w:bCs/>
          <w:sz w:val="22"/>
          <w:szCs w:val="22"/>
        </w:rPr>
      </w:pPr>
      <w:r>
        <w:rPr>
          <w:rFonts w:ascii="Palatino Linotype" w:hAnsi="Palatino Linotype" w:cs="Tahoma"/>
          <w:b/>
          <w:bCs/>
          <w:sz w:val="22"/>
          <w:szCs w:val="22"/>
        </w:rPr>
        <w:t>Recibos de nómina de las dos quincenas de enero de dos mil veinticinco, de los servidores públicos adscritos al Ayuntamiento.</w:t>
      </w:r>
    </w:p>
    <w:p w14:paraId="6D51DD20" w14:textId="77777777" w:rsidR="00772E50" w:rsidRPr="00772E50" w:rsidRDefault="00772E50" w:rsidP="007F486F">
      <w:pPr>
        <w:spacing w:line="360" w:lineRule="auto"/>
        <w:jc w:val="both"/>
        <w:rPr>
          <w:rFonts w:ascii="Palatino Linotype" w:hAnsi="Palatino Linotype" w:cs="Tahoma"/>
          <w:b/>
          <w:bCs/>
          <w:sz w:val="22"/>
          <w:szCs w:val="22"/>
        </w:rPr>
      </w:pPr>
    </w:p>
    <w:p w14:paraId="3D95A826" w14:textId="77777777" w:rsidR="00C06017" w:rsidRPr="005A66C6" w:rsidRDefault="00C06017" w:rsidP="00C0601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eastAsia="es-ES_tradnl"/>
        </w:rPr>
        <w:lastRenderedPageBreak/>
        <w:t xml:space="preserve">En relación al presente punto, </w:t>
      </w:r>
      <w:r w:rsidRPr="005A66C6">
        <w:rPr>
          <w:rFonts w:ascii="Palatino Linotype" w:eastAsia="Calibri" w:hAnsi="Palatino Linotype" w:cs="Tahoma"/>
          <w:bCs/>
          <w:sz w:val="22"/>
          <w:szCs w:val="22"/>
          <w:lang w:eastAsia="en-US"/>
        </w:rPr>
        <w:t>conviene precisar en lo que consisten</w:t>
      </w:r>
      <w:r>
        <w:rPr>
          <w:rFonts w:ascii="Palatino Linotype" w:eastAsia="Calibri" w:hAnsi="Palatino Linotype" w:cs="Tahoma"/>
          <w:bCs/>
          <w:sz w:val="22"/>
          <w:szCs w:val="22"/>
          <w:lang w:eastAsia="en-US"/>
        </w:rPr>
        <w:t xml:space="preserve"> los comprobantes de pago o recibos de nómina</w:t>
      </w:r>
      <w:r w:rsidRPr="005A66C6">
        <w:rPr>
          <w:rFonts w:ascii="Palatino Linotype" w:eastAsia="Calibri" w:hAnsi="Palatino Linotype" w:cs="Tahoma"/>
          <w:bCs/>
          <w:sz w:val="22"/>
          <w:szCs w:val="22"/>
          <w:lang w:eastAsia="en-US"/>
        </w:rPr>
        <w:t>, al respecto, el Glosario localizado en la página de Transparencia Presupuestaria de la Secretaría de Hacienda y Crédito Público (</w:t>
      </w:r>
      <w:hyperlink r:id="rId8" w:history="1">
        <w:r w:rsidRPr="005A66C6">
          <w:rPr>
            <w:rStyle w:val="Hipervnculo"/>
            <w:rFonts w:ascii="Palatino Linotype" w:eastAsia="Calibri" w:hAnsi="Palatino Linotype" w:cs="Tahoma"/>
            <w:bCs/>
            <w:sz w:val="22"/>
            <w:szCs w:val="22"/>
            <w:lang w:eastAsia="en-US"/>
          </w:rPr>
          <w:t>http://www.transparenciapresupuestaria.gob.mx/es/PTP/Glosario</w:t>
        </w:r>
      </w:hyperlink>
      <w:r w:rsidRPr="005A66C6">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31609478" w14:textId="77777777" w:rsidR="00C06017" w:rsidRPr="005A66C6" w:rsidRDefault="00C06017" w:rsidP="00C06017">
      <w:pPr>
        <w:spacing w:line="360" w:lineRule="auto"/>
        <w:ind w:right="-93"/>
        <w:jc w:val="both"/>
        <w:rPr>
          <w:rFonts w:ascii="Palatino Linotype" w:eastAsia="Calibri" w:hAnsi="Palatino Linotype" w:cs="Tahoma"/>
          <w:bCs/>
          <w:sz w:val="22"/>
          <w:szCs w:val="22"/>
          <w:lang w:eastAsia="en-US"/>
        </w:rPr>
      </w:pPr>
    </w:p>
    <w:p w14:paraId="612C9130" w14:textId="77777777" w:rsidR="00C06017" w:rsidRDefault="00C06017" w:rsidP="00C06017">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w:t>
      </w:r>
      <w:r>
        <w:rPr>
          <w:rFonts w:ascii="Palatino Linotype" w:eastAsia="Calibri" w:hAnsi="Palatino Linotype" w:cs="Tahoma"/>
          <w:sz w:val="22"/>
          <w:szCs w:val="22"/>
          <w:lang w:eastAsia="es-ES_tradnl"/>
        </w:rPr>
        <w:t xml:space="preserve"> </w:t>
      </w:r>
      <w:r w:rsidRPr="005A66C6">
        <w:rPr>
          <w:rFonts w:ascii="Palatino Linotype" w:eastAsia="Calibri" w:hAnsi="Palatino Linotype" w:cs="Tahoma"/>
          <w:sz w:val="22"/>
          <w:szCs w:val="22"/>
          <w:lang w:eastAsia="es-ES_tradnl"/>
        </w:rPr>
        <w:t>En ese contexto y respecto de la solicitud del Particular se advierte que su pretensión es obtener el documento que contenga las percepciones que recib</w:t>
      </w:r>
      <w:r>
        <w:rPr>
          <w:rFonts w:ascii="Palatino Linotype" w:eastAsia="Calibri" w:hAnsi="Palatino Linotype" w:cs="Tahoma"/>
          <w:sz w:val="22"/>
          <w:szCs w:val="22"/>
          <w:lang w:eastAsia="es-ES_tradnl"/>
        </w:rPr>
        <w:t>ió la servidora pública mencionada en la solicitud.</w:t>
      </w:r>
    </w:p>
    <w:p w14:paraId="05CAD73A" w14:textId="77777777" w:rsidR="00C06017" w:rsidRPr="005A66C6" w:rsidRDefault="00C06017" w:rsidP="00C06017">
      <w:pPr>
        <w:tabs>
          <w:tab w:val="left" w:pos="4962"/>
        </w:tabs>
        <w:spacing w:line="360" w:lineRule="auto"/>
        <w:jc w:val="both"/>
        <w:rPr>
          <w:rFonts w:ascii="Palatino Linotype" w:eastAsia="Calibri" w:hAnsi="Palatino Linotype" w:cs="Tahoma"/>
          <w:sz w:val="22"/>
          <w:szCs w:val="22"/>
          <w:lang w:eastAsia="es-ES_tradnl"/>
        </w:rPr>
      </w:pPr>
    </w:p>
    <w:p w14:paraId="51AF780D" w14:textId="77777777" w:rsidR="00C06017" w:rsidRPr="005A66C6" w:rsidRDefault="00C06017" w:rsidP="00C06017">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539D7C77" w14:textId="77777777" w:rsidR="00C06017" w:rsidRPr="005A66C6" w:rsidRDefault="00C06017" w:rsidP="00C06017">
      <w:pPr>
        <w:tabs>
          <w:tab w:val="left" w:pos="4962"/>
        </w:tabs>
        <w:spacing w:line="360" w:lineRule="auto"/>
        <w:jc w:val="both"/>
        <w:rPr>
          <w:rFonts w:ascii="Palatino Linotype" w:eastAsia="Calibri" w:hAnsi="Palatino Linotype" w:cs="Tahoma"/>
          <w:sz w:val="22"/>
          <w:szCs w:val="22"/>
          <w:lang w:eastAsia="es-ES_tradnl"/>
        </w:rPr>
      </w:pPr>
    </w:p>
    <w:p w14:paraId="5BBCB0BA" w14:textId="77777777" w:rsidR="00C06017" w:rsidRPr="005A66C6" w:rsidRDefault="00C06017" w:rsidP="00C06017">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0D4C50E" w14:textId="77777777" w:rsidR="00C06017" w:rsidRPr="005A66C6" w:rsidRDefault="00C06017" w:rsidP="00C06017">
      <w:pPr>
        <w:tabs>
          <w:tab w:val="left" w:pos="4962"/>
        </w:tabs>
        <w:spacing w:line="360" w:lineRule="auto"/>
        <w:jc w:val="both"/>
        <w:rPr>
          <w:rFonts w:ascii="Palatino Linotype" w:eastAsia="Calibri" w:hAnsi="Palatino Linotype" w:cs="Tahoma"/>
          <w:sz w:val="22"/>
          <w:szCs w:val="22"/>
          <w:lang w:eastAsia="es-ES_tradnl"/>
        </w:rPr>
      </w:pPr>
    </w:p>
    <w:p w14:paraId="2D98A319" w14:textId="77777777" w:rsidR="00C06017" w:rsidRPr="005A66C6" w:rsidRDefault="00C06017" w:rsidP="00C06017">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53B5B70B" w14:textId="77777777" w:rsidR="00C06017" w:rsidRPr="005A66C6" w:rsidRDefault="00C06017" w:rsidP="00C06017">
      <w:pPr>
        <w:tabs>
          <w:tab w:val="left" w:pos="4962"/>
        </w:tabs>
        <w:spacing w:line="360" w:lineRule="auto"/>
        <w:ind w:left="567" w:right="539"/>
        <w:jc w:val="both"/>
        <w:rPr>
          <w:rFonts w:ascii="Palatino Linotype" w:hAnsi="Palatino Linotype" w:cs="Tahoma"/>
          <w:sz w:val="22"/>
          <w:szCs w:val="22"/>
        </w:rPr>
      </w:pPr>
    </w:p>
    <w:p w14:paraId="7D3C0D57" w14:textId="77777777" w:rsidR="00C06017" w:rsidRPr="005A66C6" w:rsidRDefault="00C06017" w:rsidP="00C06017">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ARTÍCULO 220 K.- La institución o dependencia pública tiene la obligación de conservar y exhibir en el proceso los documentos que a continuación se precisan:</w:t>
      </w:r>
    </w:p>
    <w:p w14:paraId="03D8B579" w14:textId="77777777" w:rsidR="00C06017" w:rsidRPr="005A66C6" w:rsidRDefault="00C06017" w:rsidP="00C06017">
      <w:pPr>
        <w:tabs>
          <w:tab w:val="left" w:pos="4962"/>
        </w:tabs>
        <w:spacing w:line="360" w:lineRule="auto"/>
        <w:ind w:left="567" w:right="567"/>
        <w:jc w:val="both"/>
        <w:rPr>
          <w:rFonts w:ascii="Palatino Linotype" w:hAnsi="Palatino Linotype" w:cs="Tahoma"/>
          <w:i/>
        </w:rPr>
      </w:pPr>
      <w:r>
        <w:rPr>
          <w:rFonts w:ascii="Palatino Linotype" w:hAnsi="Palatino Linotype" w:cs="Tahoma"/>
          <w:i/>
        </w:rPr>
        <w:t>I…</w:t>
      </w:r>
    </w:p>
    <w:p w14:paraId="2BB6A7F8" w14:textId="77777777" w:rsidR="00C06017" w:rsidRPr="005A66C6" w:rsidRDefault="00C06017" w:rsidP="00C06017">
      <w:pPr>
        <w:tabs>
          <w:tab w:val="left" w:pos="4962"/>
        </w:tabs>
        <w:spacing w:line="360" w:lineRule="auto"/>
        <w:ind w:left="567" w:right="567"/>
        <w:jc w:val="both"/>
        <w:rPr>
          <w:rFonts w:ascii="Palatino Linotype" w:hAnsi="Palatino Linotype" w:cs="Tahoma"/>
          <w:b/>
          <w:i/>
          <w:u w:val="single"/>
        </w:rPr>
      </w:pPr>
      <w:r w:rsidRPr="005A66C6">
        <w:rPr>
          <w:rFonts w:ascii="Palatino Linotype" w:hAnsi="Palatino Linotype" w:cs="Tahoma"/>
          <w:b/>
          <w:i/>
          <w:u w:val="single"/>
        </w:rPr>
        <w:t>II. Recibos de pagos de salarios o las constancias documentales del pago de salario cuando sea por depósito o mediante información electrónica;</w:t>
      </w:r>
    </w:p>
    <w:p w14:paraId="195693BD" w14:textId="77777777" w:rsidR="00C06017" w:rsidRPr="005A66C6" w:rsidRDefault="00C06017" w:rsidP="00C06017">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III.</w:t>
      </w:r>
      <w:r>
        <w:rPr>
          <w:rFonts w:ascii="Palatino Linotype" w:hAnsi="Palatino Linotype" w:cs="Tahoma"/>
          <w:i/>
        </w:rPr>
        <w:t>..</w:t>
      </w:r>
    </w:p>
    <w:p w14:paraId="296E6771" w14:textId="77777777" w:rsidR="00C06017" w:rsidRPr="005A66C6" w:rsidRDefault="00C06017" w:rsidP="00C06017">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5A66C6">
        <w:rPr>
          <w:rFonts w:ascii="Palatino Linotype" w:hAnsi="Palatino Linotype" w:cs="Tahoma"/>
          <w:i/>
        </w:rPr>
        <w:t xml:space="preserve"> y</w:t>
      </w:r>
    </w:p>
    <w:p w14:paraId="0B833338" w14:textId="77777777" w:rsidR="00C06017" w:rsidRPr="005A66C6" w:rsidRDefault="00C06017" w:rsidP="00C06017">
      <w:pPr>
        <w:tabs>
          <w:tab w:val="left" w:pos="4962"/>
        </w:tabs>
        <w:spacing w:line="360" w:lineRule="auto"/>
        <w:ind w:left="567" w:right="567"/>
        <w:jc w:val="both"/>
        <w:rPr>
          <w:rFonts w:ascii="Palatino Linotype" w:hAnsi="Palatino Linotype" w:cs="Tahoma"/>
          <w:i/>
        </w:rPr>
      </w:pPr>
      <w:r>
        <w:rPr>
          <w:rFonts w:ascii="Palatino Linotype" w:hAnsi="Palatino Linotype" w:cs="Tahoma"/>
          <w:i/>
        </w:rPr>
        <w:t>V…</w:t>
      </w:r>
    </w:p>
    <w:p w14:paraId="4350A4AA" w14:textId="77777777" w:rsidR="00C06017" w:rsidRPr="005A66C6" w:rsidRDefault="00C06017" w:rsidP="00C06017">
      <w:pPr>
        <w:tabs>
          <w:tab w:val="left" w:pos="4962"/>
        </w:tabs>
        <w:spacing w:line="360" w:lineRule="auto"/>
        <w:ind w:left="567" w:right="567"/>
        <w:jc w:val="both"/>
        <w:rPr>
          <w:rFonts w:ascii="Palatino Linotype" w:hAnsi="Palatino Linotype" w:cs="Tahoma"/>
          <w:sz w:val="22"/>
          <w:szCs w:val="22"/>
        </w:rPr>
      </w:pPr>
    </w:p>
    <w:p w14:paraId="07C9E5E1" w14:textId="77777777" w:rsidR="00C06017" w:rsidRDefault="00C06017" w:rsidP="00C06017">
      <w:pPr>
        <w:spacing w:line="360" w:lineRule="auto"/>
        <w:jc w:val="both"/>
        <w:rPr>
          <w:rFonts w:ascii="Palatino Linotype" w:eastAsia="Calibri" w:hAnsi="Palatino Linotype" w:cs="Tahoma"/>
          <w:bCs/>
          <w:sz w:val="22"/>
          <w:szCs w:val="22"/>
          <w:lang w:eastAsia="en-US"/>
        </w:rPr>
      </w:pPr>
      <w:r w:rsidRPr="005A66C6">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w:t>
      </w:r>
      <w:r>
        <w:rPr>
          <w:rFonts w:ascii="Palatino Linotype" w:eastAsia="Calibri" w:hAnsi="Palatino Linotype" w:cs="Tahoma"/>
          <w:bCs/>
          <w:sz w:val="22"/>
          <w:szCs w:val="22"/>
          <w:lang w:eastAsia="en-US"/>
        </w:rPr>
        <w:t>rmación magnética o electrónica.</w:t>
      </w:r>
    </w:p>
    <w:p w14:paraId="67848D3A" w14:textId="77777777" w:rsidR="00C06017" w:rsidRDefault="00C06017" w:rsidP="00C06017">
      <w:pPr>
        <w:spacing w:line="360" w:lineRule="auto"/>
        <w:jc w:val="both"/>
        <w:rPr>
          <w:rFonts w:ascii="Palatino Linotype" w:eastAsia="Calibri" w:hAnsi="Palatino Linotype" w:cs="Tahoma"/>
          <w:bCs/>
          <w:sz w:val="22"/>
          <w:szCs w:val="22"/>
          <w:lang w:eastAsia="en-US"/>
        </w:rPr>
      </w:pPr>
    </w:p>
    <w:p w14:paraId="632AD584" w14:textId="77777777" w:rsidR="00C06017" w:rsidRPr="00400D1B" w:rsidRDefault="00C06017" w:rsidP="00C06017">
      <w:pPr>
        <w:spacing w:line="360" w:lineRule="auto"/>
        <w:jc w:val="both"/>
        <w:rPr>
          <w:rFonts w:ascii="Palatino Linotype" w:hAnsi="Palatino Linotype" w:cs="Tahoma"/>
          <w:bCs/>
          <w:sz w:val="22"/>
          <w:szCs w:val="24"/>
          <w:lang w:val="es-ES_tradnl"/>
        </w:rPr>
      </w:pPr>
      <w:r>
        <w:rPr>
          <w:rFonts w:ascii="Palatino Linotype" w:eastAsia="Calibri" w:hAnsi="Palatino Linotype" w:cs="Tahoma"/>
          <w:bCs/>
          <w:sz w:val="22"/>
          <w:szCs w:val="22"/>
          <w:lang w:eastAsia="en-US"/>
        </w:rPr>
        <w:t xml:space="preserve">Derivado de lo anterior, es de recordar que en respuesta </w:t>
      </w:r>
      <w:r w:rsidRPr="00400D1B">
        <w:rPr>
          <w:rFonts w:ascii="Palatino Linotype" w:hAnsi="Palatino Linotype" w:cs="Tahoma"/>
          <w:sz w:val="22"/>
          <w:szCs w:val="22"/>
        </w:rPr>
        <w:t xml:space="preserve">el Sujeto Obligado a través del Tesorero Municipal señalo que no era posible proporcionar, </w:t>
      </w:r>
      <w:r>
        <w:rPr>
          <w:rFonts w:ascii="Palatino Linotype" w:hAnsi="Palatino Linotype" w:cs="Tahoma"/>
          <w:sz w:val="22"/>
          <w:szCs w:val="22"/>
        </w:rPr>
        <w:t xml:space="preserve">la información pese a ser pública ya que </w:t>
      </w:r>
      <w:r w:rsidRPr="00C06017">
        <w:rPr>
          <w:rFonts w:ascii="Palatino Linotype" w:hAnsi="Palatino Linotype" w:cs="Tahoma"/>
          <w:sz w:val="22"/>
          <w:szCs w:val="22"/>
        </w:rPr>
        <w:t>podría comprometer la seguridad de los trabajadores</w:t>
      </w:r>
      <w:r w:rsidRPr="00400D1B">
        <w:rPr>
          <w:rFonts w:ascii="Palatino Linotype" w:hAnsi="Palatino Linotype" w:cs="Tahoma"/>
          <w:sz w:val="22"/>
          <w:szCs w:val="22"/>
        </w:rPr>
        <w:t xml:space="preserve">, </w:t>
      </w:r>
      <w:r>
        <w:rPr>
          <w:rFonts w:ascii="Palatino Linotype" w:hAnsi="Palatino Linotype" w:cs="Tahoma"/>
          <w:sz w:val="22"/>
          <w:szCs w:val="22"/>
        </w:rPr>
        <w:t>por lo que es de señalar que</w:t>
      </w:r>
      <w:r w:rsidRPr="00400D1B">
        <w:rPr>
          <w:rFonts w:ascii="Palatino Linotype" w:hAnsi="Palatino Linotype" w:cs="Tahoma"/>
          <w:sz w:val="22"/>
          <w:szCs w:val="22"/>
        </w:rPr>
        <w:t xml:space="preserve"> no proporcionó ninguna acuerdo que validar</w:t>
      </w:r>
      <w:r>
        <w:rPr>
          <w:rFonts w:ascii="Palatino Linotype" w:hAnsi="Palatino Linotype" w:cs="Tahoma"/>
          <w:sz w:val="22"/>
          <w:szCs w:val="22"/>
        </w:rPr>
        <w:t>a</w:t>
      </w:r>
      <w:r w:rsidRPr="00400D1B">
        <w:rPr>
          <w:rFonts w:ascii="Palatino Linotype" w:hAnsi="Palatino Linotype" w:cs="Tahoma"/>
          <w:sz w:val="22"/>
          <w:szCs w:val="22"/>
        </w:rPr>
        <w:t xml:space="preserve"> la negativa de la información </w:t>
      </w:r>
      <w:r w:rsidRPr="00400D1B">
        <w:rPr>
          <w:rFonts w:ascii="Palatino Linotype" w:hAnsi="Palatino Linotype" w:cs="Tahoma"/>
          <w:bCs/>
          <w:iCs/>
          <w:sz w:val="22"/>
          <w:szCs w:val="24"/>
          <w:lang w:val="es-ES"/>
        </w:rPr>
        <w:t xml:space="preserve">por ello se realizan las siguientes consideraciones: </w:t>
      </w:r>
      <w:r w:rsidRPr="00400D1B">
        <w:rPr>
          <w:rFonts w:ascii="Palatino Linotype" w:hAnsi="Palatino Linotype" w:cs="Tahoma"/>
          <w:bCs/>
          <w:sz w:val="22"/>
          <w:szCs w:val="24"/>
          <w:lang w:val="es-ES_tradnl"/>
        </w:rPr>
        <w:t xml:space="preserve">según Trujillo, Humberto (2019), en el “Diccionario de Transparencia y Acceso a la Información Pública” (p. 201), </w:t>
      </w:r>
      <w:r w:rsidRPr="00400D1B">
        <w:rPr>
          <w:rFonts w:ascii="Palatino Linotype" w:hAnsi="Palatino Linotype" w:cs="Tahoma"/>
          <w:b/>
          <w:bCs/>
          <w:sz w:val="22"/>
          <w:szCs w:val="24"/>
          <w:lang w:val="es-ES_tradnl"/>
        </w:rPr>
        <w:t xml:space="preserve">la negativa de acceso a la información </w:t>
      </w:r>
      <w:r w:rsidRPr="00400D1B">
        <w:rPr>
          <w:rFonts w:ascii="Palatino Linotype" w:hAnsi="Palatino Linotype" w:cs="Tahoma"/>
          <w:bCs/>
          <w:sz w:val="22"/>
          <w:szCs w:val="24"/>
          <w:lang w:val="es-ES_tradnl"/>
        </w:rPr>
        <w:t xml:space="preserve">ocurre cuanto de manera fundada y motivada, una autoridad la niega o la limita, por alguna de las siguientes razones: </w:t>
      </w:r>
    </w:p>
    <w:p w14:paraId="7D4E14EC" w14:textId="77777777" w:rsidR="00C06017" w:rsidRPr="00400D1B" w:rsidRDefault="00C06017" w:rsidP="00C06017">
      <w:pPr>
        <w:spacing w:line="360" w:lineRule="auto"/>
        <w:ind w:right="-93"/>
        <w:contextualSpacing/>
        <w:jc w:val="both"/>
        <w:rPr>
          <w:rFonts w:ascii="Palatino Linotype" w:hAnsi="Palatino Linotype" w:cs="Tahoma"/>
          <w:bCs/>
          <w:sz w:val="22"/>
          <w:szCs w:val="24"/>
          <w:lang w:val="es-ES_tradnl"/>
        </w:rPr>
      </w:pPr>
    </w:p>
    <w:p w14:paraId="3785981F" w14:textId="77777777" w:rsidR="00C06017" w:rsidRPr="00400D1B" w:rsidRDefault="00C06017" w:rsidP="00C06017">
      <w:pPr>
        <w:numPr>
          <w:ilvl w:val="0"/>
          <w:numId w:val="17"/>
        </w:numPr>
        <w:spacing w:line="360" w:lineRule="auto"/>
        <w:ind w:right="-93"/>
        <w:contextualSpacing/>
        <w:jc w:val="both"/>
        <w:rPr>
          <w:rFonts w:ascii="Palatino Linotype" w:hAnsi="Palatino Linotype" w:cs="Tahoma"/>
          <w:b/>
          <w:bCs/>
          <w:sz w:val="22"/>
          <w:szCs w:val="24"/>
          <w:lang w:val="es-ES_tradnl"/>
        </w:rPr>
      </w:pPr>
      <w:r w:rsidRPr="00400D1B">
        <w:rPr>
          <w:rFonts w:ascii="Palatino Linotype" w:hAnsi="Palatino Linotype" w:cs="Tahoma"/>
          <w:b/>
          <w:bCs/>
          <w:sz w:val="22"/>
          <w:szCs w:val="24"/>
          <w:lang w:val="es-ES_tradnl"/>
        </w:rPr>
        <w:lastRenderedPageBreak/>
        <w:t xml:space="preserve">La inexistencia de la información (p. 171): </w:t>
      </w:r>
      <w:r w:rsidRPr="00400D1B">
        <w:rPr>
          <w:rFonts w:ascii="Palatino Linotype" w:hAnsi="Palatino Linotype" w:cs="Tahoma"/>
          <w:bCs/>
          <w:sz w:val="22"/>
          <w:szCs w:val="24"/>
          <w:lang w:val="es-ES_tradnl"/>
        </w:rPr>
        <w:t>Sucede cuando la información solicitada no se encuentra en los archivos públicos o clasificados de los entes sujetos a las Leyes de Transparencia.</w:t>
      </w:r>
    </w:p>
    <w:p w14:paraId="1B29B6CE" w14:textId="77777777" w:rsidR="00C06017" w:rsidRPr="00400D1B" w:rsidRDefault="00C06017" w:rsidP="00C06017">
      <w:pPr>
        <w:spacing w:line="360" w:lineRule="auto"/>
        <w:ind w:right="-93"/>
        <w:contextualSpacing/>
        <w:jc w:val="both"/>
        <w:rPr>
          <w:rFonts w:ascii="Palatino Linotype" w:hAnsi="Palatino Linotype" w:cs="Tahoma"/>
          <w:b/>
          <w:bCs/>
          <w:sz w:val="22"/>
          <w:szCs w:val="24"/>
          <w:lang w:val="es-ES_tradnl"/>
        </w:rPr>
      </w:pPr>
    </w:p>
    <w:p w14:paraId="2A56B2A3" w14:textId="77777777" w:rsidR="00C06017" w:rsidRPr="00400D1B" w:rsidRDefault="00C06017" w:rsidP="00C06017">
      <w:pPr>
        <w:numPr>
          <w:ilvl w:val="0"/>
          <w:numId w:val="17"/>
        </w:numPr>
        <w:spacing w:line="360" w:lineRule="auto"/>
        <w:ind w:right="-93"/>
        <w:contextualSpacing/>
        <w:jc w:val="both"/>
        <w:rPr>
          <w:rFonts w:ascii="Palatino Linotype" w:hAnsi="Palatino Linotype" w:cs="Tahoma"/>
          <w:b/>
          <w:bCs/>
          <w:sz w:val="22"/>
          <w:szCs w:val="24"/>
          <w:lang w:val="es-ES_tradnl"/>
        </w:rPr>
      </w:pPr>
      <w:r w:rsidRPr="00400D1B">
        <w:rPr>
          <w:rFonts w:ascii="Palatino Linotype" w:hAnsi="Palatino Linotype" w:cs="Tahoma"/>
          <w:b/>
          <w:bCs/>
          <w:sz w:val="22"/>
          <w:szCs w:val="24"/>
          <w:lang w:val="es-ES_tradnl"/>
        </w:rPr>
        <w:t xml:space="preserve">La incompetencia del Sujeto Obligado (p. 171): </w:t>
      </w:r>
      <w:r w:rsidRPr="00400D1B">
        <w:rPr>
          <w:rFonts w:ascii="Palatino Linotype" w:hAnsi="Palatino Linotype" w:cs="Tahoma"/>
          <w:bCs/>
          <w:sz w:val="22"/>
          <w:szCs w:val="24"/>
          <w:lang w:val="es-ES_tradnl"/>
        </w:rPr>
        <w:t>Ocurre cuando el Sujeto Obligado carece de atribuciones para poseer la información peticionada.</w:t>
      </w:r>
    </w:p>
    <w:p w14:paraId="5B0FDAB9" w14:textId="77777777" w:rsidR="00C06017" w:rsidRPr="00400D1B" w:rsidRDefault="00C06017" w:rsidP="00C06017">
      <w:pPr>
        <w:spacing w:line="360" w:lineRule="auto"/>
        <w:ind w:right="-93"/>
        <w:contextualSpacing/>
        <w:jc w:val="both"/>
        <w:rPr>
          <w:rFonts w:ascii="Palatino Linotype" w:hAnsi="Palatino Linotype" w:cs="Tahoma"/>
          <w:b/>
          <w:bCs/>
          <w:sz w:val="22"/>
          <w:szCs w:val="24"/>
          <w:lang w:val="es-ES_tradnl"/>
        </w:rPr>
      </w:pPr>
    </w:p>
    <w:p w14:paraId="0A46DE4D" w14:textId="77777777" w:rsidR="00C06017" w:rsidRPr="00400D1B" w:rsidRDefault="00C06017" w:rsidP="00C06017">
      <w:pPr>
        <w:numPr>
          <w:ilvl w:val="0"/>
          <w:numId w:val="17"/>
        </w:numPr>
        <w:spacing w:line="360" w:lineRule="auto"/>
        <w:ind w:right="-93"/>
        <w:contextualSpacing/>
        <w:jc w:val="both"/>
        <w:rPr>
          <w:rFonts w:ascii="Palatino Linotype" w:hAnsi="Palatino Linotype" w:cs="Tahoma"/>
          <w:b/>
          <w:bCs/>
          <w:sz w:val="22"/>
          <w:szCs w:val="24"/>
          <w:lang w:val="es-ES_tradnl"/>
        </w:rPr>
      </w:pPr>
      <w:r w:rsidRPr="00400D1B">
        <w:rPr>
          <w:rFonts w:ascii="Palatino Linotype" w:hAnsi="Palatino Linotype" w:cs="Tahoma"/>
          <w:b/>
          <w:bCs/>
          <w:sz w:val="22"/>
          <w:szCs w:val="24"/>
          <w:lang w:val="es-ES_tradnl"/>
        </w:rPr>
        <w:t xml:space="preserve">La clasificación de la información (p. 70): </w:t>
      </w:r>
      <w:r w:rsidRPr="00400D1B">
        <w:rPr>
          <w:rFonts w:ascii="Palatino Linotype" w:hAnsi="Palatino Linotype" w:cs="Tahoma"/>
          <w:bCs/>
          <w:sz w:val="22"/>
          <w:szCs w:val="24"/>
          <w:lang w:val="es-ES_tradnl"/>
        </w:rPr>
        <w:t>Es el proceso o conjunto de acciones que realizan los sujetos obligados para establecer que determinada información se encuentra en alguno de los supuestos de reserva o confidencialidad establecidos en la legislación en materia de transparencia.</w:t>
      </w:r>
    </w:p>
    <w:p w14:paraId="5BCAE372" w14:textId="77777777" w:rsidR="00C06017" w:rsidRPr="00400D1B" w:rsidRDefault="00C06017" w:rsidP="00C06017">
      <w:pPr>
        <w:spacing w:line="360" w:lineRule="auto"/>
        <w:ind w:right="-93"/>
        <w:contextualSpacing/>
        <w:jc w:val="both"/>
        <w:rPr>
          <w:rFonts w:ascii="Palatino Linotype" w:hAnsi="Palatino Linotype" w:cs="Tahoma"/>
          <w:sz w:val="22"/>
          <w:szCs w:val="24"/>
          <w:lang w:val="es-ES_tradnl"/>
        </w:rPr>
      </w:pPr>
    </w:p>
    <w:p w14:paraId="11848474" w14:textId="77777777" w:rsidR="00C06017" w:rsidRPr="00400D1B" w:rsidRDefault="00C06017" w:rsidP="00C06017">
      <w:pPr>
        <w:spacing w:line="360" w:lineRule="auto"/>
        <w:ind w:right="-93"/>
        <w:contextualSpacing/>
        <w:jc w:val="both"/>
        <w:rPr>
          <w:rFonts w:ascii="Palatino Linotype" w:hAnsi="Palatino Linotype" w:cs="Tahoma"/>
          <w:b/>
          <w:bCs/>
          <w:iCs/>
          <w:sz w:val="22"/>
          <w:szCs w:val="24"/>
          <w:lang w:val="es-ES"/>
        </w:rPr>
      </w:pPr>
      <w:r w:rsidRPr="00400D1B">
        <w:rPr>
          <w:rFonts w:ascii="Palatino Linotype" w:hAnsi="Palatino Linotype" w:cs="Tahoma"/>
          <w:sz w:val="22"/>
          <w:szCs w:val="24"/>
          <w:lang w:val="es-ES_tradnl"/>
        </w:rPr>
        <w:t>En ese orden de ideas y en atención a lo anterior, es de señalar que l</w:t>
      </w:r>
      <w:r w:rsidRPr="00400D1B">
        <w:rPr>
          <w:rFonts w:ascii="Palatino Linotype" w:hAnsi="Palatino Linotype" w:cs="Tahoma"/>
          <w:sz w:val="22"/>
          <w:szCs w:val="24"/>
          <w:lang w:val="es-ES"/>
        </w:rPr>
        <w:t xml:space="preserve">as </w:t>
      </w:r>
      <w:r w:rsidRPr="00400D1B">
        <w:rPr>
          <w:rFonts w:ascii="Palatino Linotype" w:hAnsi="Palatino Linotype" w:cs="Tahoma"/>
          <w:bCs/>
          <w:iCs/>
          <w:sz w:val="22"/>
          <w:szCs w:val="24"/>
          <w:lang w:val="es-ES"/>
        </w:rPr>
        <w:t xml:space="preserve">excepciones al derecho de acceso a la información, consisten en que la documentación sea inexistente, </w:t>
      </w:r>
      <w:r w:rsidRPr="00400D1B">
        <w:rPr>
          <w:rFonts w:ascii="Palatino Linotype" w:hAnsi="Palatino Linotype" w:cs="Tahoma"/>
          <w:b/>
          <w:bCs/>
          <w:iCs/>
          <w:sz w:val="22"/>
          <w:szCs w:val="24"/>
          <w:lang w:val="es-ES"/>
        </w:rPr>
        <w:t>se encuentre clasificada</w:t>
      </w:r>
      <w:r w:rsidRPr="00400D1B">
        <w:rPr>
          <w:rFonts w:ascii="Palatino Linotype" w:hAnsi="Palatino Linotype" w:cs="Tahoma"/>
          <w:bCs/>
          <w:iCs/>
          <w:sz w:val="22"/>
          <w:szCs w:val="24"/>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400D1B">
        <w:rPr>
          <w:rFonts w:ascii="Palatino Linotype" w:hAnsi="Palatino Linotype" w:cs="Tahoma"/>
          <w:b/>
          <w:bCs/>
          <w:iCs/>
          <w:sz w:val="22"/>
          <w:szCs w:val="24"/>
          <w:lang w:val="es-ES"/>
        </w:rPr>
        <w:t>confidenciales o reservados.</w:t>
      </w:r>
    </w:p>
    <w:p w14:paraId="23DA092B" w14:textId="77777777" w:rsidR="00C06017" w:rsidRPr="00400D1B" w:rsidRDefault="00C06017" w:rsidP="00C06017">
      <w:pPr>
        <w:spacing w:line="360" w:lineRule="auto"/>
        <w:ind w:right="-93"/>
        <w:jc w:val="both"/>
        <w:rPr>
          <w:rFonts w:ascii="Palatino Linotype" w:hAnsi="Palatino Linotype" w:cs="Tahoma"/>
          <w:b/>
          <w:bCs/>
          <w:iCs/>
          <w:sz w:val="22"/>
          <w:szCs w:val="24"/>
          <w:lang w:val="es-ES"/>
        </w:rPr>
      </w:pPr>
    </w:p>
    <w:p w14:paraId="7E9E84D8" w14:textId="77777777" w:rsidR="00C06017" w:rsidRPr="00400D1B" w:rsidRDefault="00C06017" w:rsidP="00C06017">
      <w:pPr>
        <w:spacing w:line="360" w:lineRule="auto"/>
        <w:ind w:right="-93"/>
        <w:jc w:val="both"/>
        <w:rPr>
          <w:rFonts w:ascii="Palatino Linotype" w:hAnsi="Palatino Linotype" w:cs="Tahoma"/>
          <w:sz w:val="22"/>
          <w:szCs w:val="24"/>
          <w:lang w:val="es-ES"/>
        </w:rPr>
      </w:pPr>
      <w:r w:rsidRPr="00400D1B">
        <w:rPr>
          <w:rFonts w:ascii="Palatino Linotype" w:hAnsi="Palatino Linotype" w:cs="Tahoma"/>
          <w:sz w:val="22"/>
          <w:szCs w:val="24"/>
          <w:lang w:val="es-ES_tradnl"/>
        </w:rPr>
        <w:t xml:space="preserve">Así, en los artículos 122, 128 y 130 de la Ley Transparencia y Acceso a la Información Pública del Estado de México y Municipios, se prevé que </w:t>
      </w:r>
      <w:r w:rsidRPr="00400D1B">
        <w:rPr>
          <w:rFonts w:ascii="Palatino Linotype" w:hAnsi="Palatino Linotype" w:cs="Tahoma"/>
          <w:b/>
          <w:sz w:val="22"/>
          <w:szCs w:val="24"/>
          <w:lang w:val="es-ES_tradnl"/>
        </w:rPr>
        <w:t xml:space="preserve">la clasificación </w:t>
      </w:r>
      <w:r w:rsidRPr="00400D1B">
        <w:rPr>
          <w:rFonts w:ascii="Palatino Linotype" w:hAnsi="Palatino Linotype" w:cs="Tahoma"/>
          <w:sz w:val="22"/>
          <w:szCs w:val="24"/>
          <w:lang w:val="es-ES_tradnl"/>
        </w:rPr>
        <w:t xml:space="preserve">es el proceso mediante el cual los sujetos obligados determinan que la información en su poder </w:t>
      </w:r>
      <w:proofErr w:type="spellStart"/>
      <w:r w:rsidRPr="00400D1B">
        <w:rPr>
          <w:rFonts w:ascii="Palatino Linotype" w:hAnsi="Palatino Linotype" w:cs="Tahoma"/>
          <w:sz w:val="22"/>
          <w:szCs w:val="24"/>
          <w:lang w:val="es-ES_tradnl"/>
        </w:rPr>
        <w:t>actualiza</w:t>
      </w:r>
      <w:proofErr w:type="spellEnd"/>
      <w:r w:rsidRPr="00400D1B">
        <w:rPr>
          <w:rFonts w:ascii="Palatino Linotype" w:hAnsi="Palatino Linotype" w:cs="Tahoma"/>
          <w:sz w:val="22"/>
          <w:szCs w:val="24"/>
          <w:lang w:val="es-ES_tradnl"/>
        </w:rPr>
        <w:t xml:space="preserve"> alguno de los supuestos de reserva o confidencialidad. </w:t>
      </w:r>
      <w:r w:rsidRPr="00400D1B">
        <w:rPr>
          <w:rFonts w:ascii="Palatino Linotype" w:hAnsi="Palatino Linotype" w:cs="Tahoma"/>
          <w:sz w:val="22"/>
          <w:szCs w:val="24"/>
          <w:lang w:val="es-ES"/>
        </w:rPr>
        <w:t>Además, que dichos entes deberán aplicar de manera restrictiva y limitada, las excepciones al derecho de acceso a la información, por lo que, tendrán que acreditar la procedencia.</w:t>
      </w:r>
    </w:p>
    <w:p w14:paraId="225B4496" w14:textId="77777777" w:rsidR="00C06017" w:rsidRPr="00400D1B" w:rsidRDefault="00C06017" w:rsidP="00C06017">
      <w:pPr>
        <w:spacing w:line="360" w:lineRule="auto"/>
        <w:ind w:right="-93"/>
        <w:jc w:val="both"/>
        <w:rPr>
          <w:rFonts w:ascii="Palatino Linotype" w:hAnsi="Palatino Linotype" w:cs="Tahoma"/>
          <w:sz w:val="22"/>
          <w:szCs w:val="24"/>
          <w:lang w:val="es-ES_tradnl"/>
        </w:rPr>
      </w:pPr>
    </w:p>
    <w:p w14:paraId="2262FA8C" w14:textId="77777777" w:rsidR="00C06017" w:rsidRPr="00400D1B" w:rsidRDefault="00C06017" w:rsidP="00C06017">
      <w:pPr>
        <w:spacing w:line="360" w:lineRule="auto"/>
        <w:ind w:right="-93"/>
        <w:jc w:val="both"/>
        <w:rPr>
          <w:rFonts w:ascii="Palatino Linotype" w:hAnsi="Palatino Linotype" w:cs="Tahoma"/>
          <w:sz w:val="22"/>
          <w:szCs w:val="24"/>
          <w:lang w:val="es-ES"/>
        </w:rPr>
      </w:pPr>
      <w:r w:rsidRPr="00400D1B">
        <w:rPr>
          <w:rFonts w:ascii="Palatino Linotype" w:hAnsi="Palatino Linotype" w:cs="Tahoma"/>
          <w:sz w:val="22"/>
          <w:szCs w:val="24"/>
          <w:lang w:val="es-ES"/>
        </w:rPr>
        <w:lastRenderedPageBreak/>
        <w:t xml:space="preserve">Por lo cual, en los casos en que se niegue el acceso a la información, por actualizarse alguno de los supuestos de clasificación, </w:t>
      </w:r>
      <w:r w:rsidRPr="00400D1B">
        <w:rPr>
          <w:rFonts w:ascii="Palatino Linotype" w:hAnsi="Palatino Linotype" w:cs="Tahoma"/>
          <w:b/>
          <w:sz w:val="22"/>
          <w:szCs w:val="24"/>
          <w:lang w:val="es-ES"/>
        </w:rPr>
        <w:t xml:space="preserve">el Comité de Transparencia deberá confirmar, modificar o revocar la decisión; </w:t>
      </w:r>
      <w:r w:rsidRPr="00400D1B">
        <w:rPr>
          <w:rFonts w:ascii="Palatino Linotype" w:hAnsi="Palatino Linotype" w:cs="Tahoma"/>
          <w:sz w:val="22"/>
          <w:szCs w:val="24"/>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A328E59" w14:textId="77777777" w:rsidR="00C06017" w:rsidRPr="00400D1B" w:rsidRDefault="00C06017" w:rsidP="00C06017">
      <w:pPr>
        <w:spacing w:line="360" w:lineRule="auto"/>
        <w:ind w:right="-93"/>
        <w:jc w:val="both"/>
        <w:rPr>
          <w:rFonts w:ascii="Palatino Linotype" w:hAnsi="Palatino Linotype" w:cs="Tahoma"/>
          <w:sz w:val="22"/>
          <w:szCs w:val="24"/>
          <w:lang w:val="es-ES"/>
        </w:rPr>
      </w:pPr>
    </w:p>
    <w:p w14:paraId="108BBCBC" w14:textId="77777777" w:rsidR="00C06017" w:rsidRPr="00400D1B" w:rsidRDefault="00C06017" w:rsidP="00C06017">
      <w:pPr>
        <w:spacing w:line="360" w:lineRule="auto"/>
        <w:ind w:right="-93"/>
        <w:jc w:val="both"/>
        <w:rPr>
          <w:rFonts w:ascii="Palatino Linotype" w:hAnsi="Palatino Linotype" w:cs="Tahoma"/>
          <w:b/>
          <w:bCs/>
          <w:sz w:val="22"/>
          <w:szCs w:val="24"/>
          <w:lang w:val="es-ES_tradnl"/>
        </w:rPr>
      </w:pPr>
      <w:r w:rsidRPr="00400D1B">
        <w:rPr>
          <w:rFonts w:ascii="Palatino Linotype" w:hAnsi="Palatino Linotype" w:cs="Tahoma"/>
          <w:sz w:val="22"/>
          <w:szCs w:val="24"/>
          <w:lang w:val="es-ES"/>
        </w:rPr>
        <w:t xml:space="preserve">Por su parte, </w:t>
      </w:r>
      <w:r w:rsidRPr="00400D1B">
        <w:rPr>
          <w:rFonts w:ascii="Palatino Linotype" w:hAnsi="Palatino Linotype" w:cs="Tahoma"/>
          <w:bCs/>
          <w:sz w:val="22"/>
          <w:szCs w:val="24"/>
          <w:lang w:val="es-ES_tradnl"/>
        </w:rPr>
        <w:t xml:space="preserve">según Bonifaz, Leticia (2016), en la “Ley General de Transparencia y Acceso a la Información Pública Comentada” (p. 342), la </w:t>
      </w:r>
      <w:r w:rsidRPr="00400D1B">
        <w:rPr>
          <w:rFonts w:ascii="Palatino Linotype" w:hAnsi="Palatino Linotype" w:cs="Tahoma"/>
          <w:b/>
          <w:bCs/>
          <w:sz w:val="22"/>
          <w:szCs w:val="24"/>
          <w:lang w:val="es-ES_tradnl"/>
        </w:rPr>
        <w:t>clasificación de la información</w:t>
      </w:r>
      <w:r w:rsidRPr="00400D1B">
        <w:rPr>
          <w:rFonts w:ascii="Palatino Linotype" w:hAnsi="Palatino Linotype" w:cs="Tahoma"/>
          <w:bCs/>
          <w:sz w:val="22"/>
          <w:szCs w:val="24"/>
          <w:lang w:val="es-ES_tradnl"/>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400D1B">
        <w:rPr>
          <w:rFonts w:ascii="Palatino Linotype" w:hAnsi="Palatino Linotype" w:cs="Tahoma"/>
          <w:b/>
          <w:bCs/>
          <w:sz w:val="22"/>
          <w:szCs w:val="24"/>
          <w:lang w:val="es-ES_tradnl"/>
        </w:rPr>
        <w:t>de manera adecuada la negativa de información.</w:t>
      </w:r>
    </w:p>
    <w:p w14:paraId="5BD427F3" w14:textId="77777777" w:rsidR="00C06017" w:rsidRPr="00400D1B" w:rsidRDefault="00C06017" w:rsidP="00C06017">
      <w:pPr>
        <w:spacing w:line="360" w:lineRule="auto"/>
        <w:ind w:right="-93"/>
        <w:jc w:val="both"/>
        <w:rPr>
          <w:rFonts w:ascii="Palatino Linotype" w:hAnsi="Palatino Linotype" w:cs="Tahoma"/>
          <w:sz w:val="22"/>
          <w:szCs w:val="24"/>
        </w:rPr>
      </w:pPr>
    </w:p>
    <w:p w14:paraId="750D8332" w14:textId="77777777" w:rsidR="00C06017" w:rsidRPr="00400D1B" w:rsidRDefault="00C06017" w:rsidP="00C06017">
      <w:pPr>
        <w:spacing w:line="360" w:lineRule="auto"/>
        <w:ind w:right="-93"/>
        <w:jc w:val="both"/>
        <w:rPr>
          <w:rFonts w:ascii="Palatino Linotype" w:hAnsi="Palatino Linotype" w:cs="Tahoma"/>
          <w:sz w:val="22"/>
          <w:szCs w:val="24"/>
          <w:lang w:val="es-ES_tradnl"/>
        </w:rPr>
      </w:pPr>
      <w:r w:rsidRPr="00400D1B">
        <w:rPr>
          <w:rFonts w:ascii="Palatino Linotype" w:hAnsi="Palatino Linotype" w:cs="Tahoma"/>
          <w:sz w:val="22"/>
          <w:szCs w:val="24"/>
          <w:lang w:val="es-ES_tradnl"/>
        </w:rPr>
        <w:t xml:space="preserve">Además, el artículo 131 de la Ley referida, así como el Quinto de los Lineamientos Generales en Materia de Clasificación y Desclasificación de la Información, así como para la Elaboración de Versiones Públicas –Lineamientos Generales-, vigentes a la fecha de la solicitud, establecen que los sujetos obligados </w:t>
      </w:r>
      <w:r w:rsidRPr="00400D1B">
        <w:rPr>
          <w:rFonts w:ascii="Palatino Linotype" w:hAnsi="Palatino Linotype" w:cs="Tahoma"/>
          <w:b/>
          <w:sz w:val="22"/>
          <w:szCs w:val="24"/>
          <w:lang w:val="es-ES_tradnl"/>
        </w:rPr>
        <w:t>deberán fundar y motivar</w:t>
      </w:r>
      <w:r w:rsidRPr="00400D1B">
        <w:rPr>
          <w:rFonts w:ascii="Palatino Linotype" w:hAnsi="Palatino Linotype" w:cs="Tahoma"/>
          <w:sz w:val="22"/>
          <w:szCs w:val="24"/>
          <w:lang w:val="es-ES_tradnl"/>
        </w:rPr>
        <w:t xml:space="preserve"> debidamente la clasificación de la información.</w:t>
      </w:r>
    </w:p>
    <w:p w14:paraId="226F00EA" w14:textId="77777777" w:rsidR="00C06017" w:rsidRPr="00400D1B" w:rsidRDefault="00C06017" w:rsidP="00C06017">
      <w:pPr>
        <w:spacing w:line="360" w:lineRule="auto"/>
        <w:ind w:right="-93"/>
        <w:jc w:val="both"/>
        <w:rPr>
          <w:rFonts w:ascii="Palatino Linotype" w:hAnsi="Palatino Linotype" w:cs="Tahoma"/>
          <w:b/>
          <w:sz w:val="22"/>
          <w:szCs w:val="24"/>
          <w:lang w:val="es-ES_tradnl"/>
        </w:rPr>
      </w:pPr>
    </w:p>
    <w:p w14:paraId="1782CC47" w14:textId="77777777" w:rsidR="00C06017" w:rsidRPr="00400D1B" w:rsidRDefault="00C06017" w:rsidP="00C06017">
      <w:pPr>
        <w:spacing w:line="360" w:lineRule="auto"/>
        <w:ind w:right="-93"/>
        <w:jc w:val="both"/>
        <w:rPr>
          <w:rFonts w:ascii="Palatino Linotype" w:hAnsi="Palatino Linotype" w:cs="Tahoma"/>
          <w:bCs/>
          <w:iCs/>
          <w:sz w:val="22"/>
          <w:szCs w:val="24"/>
          <w:lang w:val="es-ES_tradnl"/>
        </w:rPr>
      </w:pPr>
      <w:r w:rsidRPr="00400D1B">
        <w:rPr>
          <w:rFonts w:ascii="Palatino Linotype" w:hAnsi="Palatino Linotype" w:cs="Tahoma"/>
          <w:sz w:val="22"/>
          <w:szCs w:val="24"/>
          <w:lang w:val="es-ES_tradnl"/>
        </w:rPr>
        <w:t>Al respecto, e</w:t>
      </w:r>
      <w:r w:rsidRPr="00400D1B">
        <w:rPr>
          <w:rFonts w:ascii="Palatino Linotype" w:hAnsi="Palatino Linotype" w:cs="Tahoma"/>
          <w:bCs/>
          <w:iCs/>
          <w:sz w:val="22"/>
          <w:szCs w:val="24"/>
          <w:lang w:val="es-ES_tradnl"/>
        </w:rPr>
        <w:t>l Octavo de los Lineamientos Generales, precisa lo siguiente:</w:t>
      </w:r>
    </w:p>
    <w:p w14:paraId="0FE38D46" w14:textId="77777777" w:rsidR="00C06017" w:rsidRPr="00400D1B" w:rsidRDefault="00C06017" w:rsidP="00C06017">
      <w:pPr>
        <w:spacing w:line="360" w:lineRule="auto"/>
        <w:ind w:right="-93"/>
        <w:jc w:val="both"/>
        <w:rPr>
          <w:rFonts w:ascii="Palatino Linotype" w:hAnsi="Palatino Linotype" w:cs="Tahoma"/>
          <w:bCs/>
          <w:iCs/>
          <w:sz w:val="22"/>
          <w:szCs w:val="24"/>
          <w:lang w:val="es-ES_tradnl"/>
        </w:rPr>
      </w:pPr>
    </w:p>
    <w:p w14:paraId="27AF62DD" w14:textId="77777777" w:rsidR="00C06017" w:rsidRPr="00400D1B" w:rsidRDefault="00C06017" w:rsidP="00C06017">
      <w:pPr>
        <w:numPr>
          <w:ilvl w:val="0"/>
          <w:numId w:val="16"/>
        </w:numPr>
        <w:spacing w:line="360" w:lineRule="auto"/>
        <w:ind w:right="-93"/>
        <w:jc w:val="both"/>
        <w:rPr>
          <w:rFonts w:ascii="Palatino Linotype" w:hAnsi="Palatino Linotype" w:cs="Tahoma"/>
          <w:bCs/>
          <w:sz w:val="22"/>
          <w:szCs w:val="24"/>
          <w:lang w:val="es-ES_tradnl"/>
        </w:rPr>
      </w:pPr>
      <w:r w:rsidRPr="00400D1B">
        <w:rPr>
          <w:rFonts w:ascii="Palatino Linotype" w:hAnsi="Palatino Linotype" w:cs="Tahoma"/>
          <w:b/>
          <w:bCs/>
          <w:sz w:val="22"/>
          <w:szCs w:val="24"/>
          <w:lang w:val="es-ES_tradnl"/>
        </w:rPr>
        <w:t>Para fundar la clasificación</w:t>
      </w:r>
      <w:r w:rsidRPr="00400D1B">
        <w:rPr>
          <w:rFonts w:ascii="Palatino Linotype" w:hAnsi="Palatino Linotype" w:cs="Tahoma"/>
          <w:bCs/>
          <w:sz w:val="22"/>
          <w:szCs w:val="24"/>
          <w:lang w:val="es-ES_tradnl"/>
        </w:rPr>
        <w:t xml:space="preserve"> de la información se deberán señalar el artículo, fracción, inciso, párrafo o numeral de la Ley aplicable;</w:t>
      </w:r>
    </w:p>
    <w:p w14:paraId="0E70871D" w14:textId="77777777" w:rsidR="00C06017" w:rsidRPr="00400D1B" w:rsidRDefault="00C06017" w:rsidP="00C06017">
      <w:pPr>
        <w:numPr>
          <w:ilvl w:val="0"/>
          <w:numId w:val="16"/>
        </w:numPr>
        <w:spacing w:line="360" w:lineRule="auto"/>
        <w:ind w:right="-93"/>
        <w:jc w:val="both"/>
        <w:rPr>
          <w:rFonts w:ascii="Palatino Linotype" w:hAnsi="Palatino Linotype" w:cs="Tahoma"/>
          <w:bCs/>
          <w:sz w:val="22"/>
          <w:szCs w:val="24"/>
          <w:lang w:val="es-ES_tradnl"/>
        </w:rPr>
      </w:pPr>
      <w:r w:rsidRPr="00400D1B">
        <w:rPr>
          <w:rFonts w:ascii="Palatino Linotype" w:hAnsi="Palatino Linotype" w:cs="Tahoma"/>
          <w:b/>
          <w:bCs/>
          <w:sz w:val="22"/>
          <w:szCs w:val="24"/>
          <w:lang w:val="es-ES_tradnl"/>
        </w:rPr>
        <w:t>Para motivar la clasificación</w:t>
      </w:r>
      <w:r w:rsidRPr="00400D1B">
        <w:rPr>
          <w:rFonts w:ascii="Palatino Linotype" w:hAnsi="Palatino Linotype" w:cs="Tahoma"/>
          <w:bCs/>
          <w:sz w:val="22"/>
          <w:szCs w:val="24"/>
          <w:lang w:val="es-ES_tradnl"/>
        </w:rPr>
        <w:t xml:space="preserve"> se deberán indicar las razones y circunstancias especiales que lo llevaron a concluir que el caso particular se ajusta al supuesto previsto por la norma legal invocada; la cual, en el caso de que se trate de información reservada, la </w:t>
      </w:r>
      <w:r w:rsidRPr="00400D1B">
        <w:rPr>
          <w:rFonts w:ascii="Palatino Linotype" w:hAnsi="Palatino Linotype" w:cs="Tahoma"/>
          <w:bCs/>
          <w:sz w:val="22"/>
          <w:szCs w:val="24"/>
          <w:lang w:val="es-ES_tradnl"/>
        </w:rPr>
        <w:lastRenderedPageBreak/>
        <w:t>motivación, deberá comprender el análisis de la prueba de daño, así como, las circunstancias que justifican el establecimiento de determinado plazo de reserva.</w:t>
      </w:r>
    </w:p>
    <w:p w14:paraId="0DFC1A50" w14:textId="77777777" w:rsidR="00C06017" w:rsidRPr="00400D1B" w:rsidRDefault="00C06017" w:rsidP="00C06017">
      <w:pPr>
        <w:spacing w:line="360" w:lineRule="auto"/>
        <w:ind w:right="-93"/>
        <w:jc w:val="both"/>
        <w:rPr>
          <w:rFonts w:ascii="Palatino Linotype" w:hAnsi="Palatino Linotype" w:cs="Tahoma"/>
          <w:bCs/>
          <w:sz w:val="22"/>
          <w:szCs w:val="24"/>
          <w:lang w:val="es-ES_tradnl"/>
        </w:rPr>
      </w:pPr>
    </w:p>
    <w:p w14:paraId="1B8A1A13" w14:textId="77777777" w:rsidR="00C06017" w:rsidRPr="00400D1B" w:rsidRDefault="00C06017" w:rsidP="00C06017">
      <w:pPr>
        <w:spacing w:line="360" w:lineRule="auto"/>
        <w:ind w:right="-93"/>
        <w:jc w:val="both"/>
        <w:rPr>
          <w:rFonts w:ascii="Palatino Linotype" w:hAnsi="Palatino Linotype" w:cs="Tahoma"/>
          <w:sz w:val="22"/>
          <w:szCs w:val="24"/>
          <w:lang w:val="es-ES_tradnl"/>
        </w:rPr>
      </w:pPr>
      <w:r w:rsidRPr="00400D1B">
        <w:rPr>
          <w:rFonts w:ascii="Palatino Linotype" w:hAnsi="Palatino Linotype" w:cs="Tahoma"/>
          <w:sz w:val="22"/>
          <w:szCs w:val="24"/>
          <w:lang w:val="es-ES_tradnl"/>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1C17086C" w14:textId="77777777" w:rsidR="00C06017" w:rsidRPr="00400D1B" w:rsidRDefault="00C06017" w:rsidP="00C06017">
      <w:pPr>
        <w:spacing w:line="360" w:lineRule="auto"/>
        <w:ind w:right="-93"/>
        <w:jc w:val="both"/>
        <w:rPr>
          <w:rFonts w:ascii="Palatino Linotype" w:hAnsi="Palatino Linotype" w:cs="Tahoma"/>
          <w:sz w:val="22"/>
          <w:szCs w:val="24"/>
          <w:lang w:val="es-ES_tradnl"/>
        </w:rPr>
      </w:pPr>
    </w:p>
    <w:p w14:paraId="3AAACF95" w14:textId="77777777" w:rsidR="00C06017" w:rsidRPr="00400D1B" w:rsidRDefault="00C06017" w:rsidP="00C06017">
      <w:pPr>
        <w:spacing w:line="360" w:lineRule="auto"/>
        <w:ind w:left="567" w:right="539"/>
        <w:jc w:val="both"/>
        <w:rPr>
          <w:rFonts w:ascii="Palatino Linotype" w:hAnsi="Palatino Linotype" w:cs="Tahoma"/>
          <w:i/>
          <w:szCs w:val="24"/>
          <w:lang w:val="es-ES_tradnl"/>
        </w:rPr>
      </w:pPr>
      <w:r w:rsidRPr="00400D1B">
        <w:rPr>
          <w:rFonts w:ascii="Palatino Linotype" w:hAnsi="Palatino Linotype" w:cs="Tahoma"/>
          <w:b/>
          <w:i/>
          <w:szCs w:val="24"/>
          <w:lang w:val="es-ES_tradnl"/>
        </w:rPr>
        <w:t xml:space="preserve">“FUNDAMENTACION Y MOTIVACION, CONCEPTO DE. </w:t>
      </w:r>
      <w:r w:rsidRPr="00400D1B">
        <w:rPr>
          <w:rFonts w:ascii="Palatino Linotype" w:hAnsi="Palatino Linotype" w:cs="Tahoma"/>
          <w:i/>
          <w:szCs w:val="24"/>
          <w:lang w:val="es-ES_tradnl"/>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5EA5162" w14:textId="77777777" w:rsidR="00C06017" w:rsidRPr="00400D1B" w:rsidRDefault="00C06017" w:rsidP="00C06017">
      <w:pPr>
        <w:spacing w:line="360" w:lineRule="auto"/>
        <w:ind w:right="-93"/>
        <w:jc w:val="both"/>
        <w:rPr>
          <w:rFonts w:ascii="Palatino Linotype" w:hAnsi="Palatino Linotype" w:cs="Tahoma"/>
          <w:sz w:val="22"/>
          <w:szCs w:val="24"/>
          <w:lang w:val="es-ES_tradnl"/>
        </w:rPr>
      </w:pPr>
    </w:p>
    <w:p w14:paraId="4940F6AA" w14:textId="77777777" w:rsidR="00C06017" w:rsidRPr="00400D1B" w:rsidRDefault="00C06017" w:rsidP="00C06017">
      <w:pPr>
        <w:spacing w:line="360" w:lineRule="auto"/>
        <w:ind w:right="-93"/>
        <w:jc w:val="both"/>
        <w:rPr>
          <w:rFonts w:ascii="Palatino Linotype" w:hAnsi="Palatino Linotype" w:cs="Tahoma"/>
          <w:sz w:val="22"/>
          <w:szCs w:val="24"/>
          <w:lang w:val="es-ES_tradnl"/>
        </w:rPr>
      </w:pPr>
      <w:r w:rsidRPr="00400D1B">
        <w:rPr>
          <w:rFonts w:ascii="Palatino Linotype" w:hAnsi="Palatino Linotype" w:cs="Tahoma"/>
          <w:sz w:val="22"/>
          <w:szCs w:val="24"/>
          <w:lang w:val="es-ES_tradnl"/>
        </w:rPr>
        <w:t>Conforme a lo anterior, se advierte lo siguiente:</w:t>
      </w:r>
    </w:p>
    <w:p w14:paraId="5C43BE55" w14:textId="77777777" w:rsidR="00C06017" w:rsidRPr="00400D1B" w:rsidRDefault="00C06017" w:rsidP="00C06017">
      <w:pPr>
        <w:spacing w:line="360" w:lineRule="auto"/>
        <w:ind w:right="-93"/>
        <w:jc w:val="both"/>
        <w:rPr>
          <w:rFonts w:ascii="Palatino Linotype" w:hAnsi="Palatino Linotype" w:cs="Tahoma"/>
          <w:sz w:val="22"/>
          <w:szCs w:val="24"/>
          <w:lang w:val="es-ES_tradnl"/>
        </w:rPr>
      </w:pPr>
    </w:p>
    <w:p w14:paraId="2DE9B645" w14:textId="77777777" w:rsidR="00C06017" w:rsidRPr="00400D1B" w:rsidRDefault="00C06017" w:rsidP="00C06017">
      <w:pPr>
        <w:numPr>
          <w:ilvl w:val="0"/>
          <w:numId w:val="18"/>
        </w:numPr>
        <w:spacing w:line="360" w:lineRule="auto"/>
        <w:ind w:right="-93"/>
        <w:jc w:val="both"/>
        <w:rPr>
          <w:rFonts w:ascii="Palatino Linotype" w:hAnsi="Palatino Linotype" w:cs="Tahoma"/>
          <w:b/>
          <w:sz w:val="22"/>
          <w:szCs w:val="24"/>
          <w:lang w:val="es-ES_tradnl"/>
        </w:rPr>
      </w:pPr>
      <w:r w:rsidRPr="00400D1B">
        <w:rPr>
          <w:rFonts w:ascii="Palatino Linotype" w:hAnsi="Palatino Linotype" w:cs="Tahoma"/>
          <w:b/>
          <w:sz w:val="22"/>
          <w:szCs w:val="24"/>
          <w:lang w:val="es-ES_tradnl"/>
        </w:rPr>
        <w:t xml:space="preserve">Fundamentación: </w:t>
      </w:r>
      <w:r w:rsidRPr="00400D1B">
        <w:rPr>
          <w:rFonts w:ascii="Palatino Linotype" w:hAnsi="Palatino Linotype" w:cs="Tahoma"/>
          <w:sz w:val="22"/>
          <w:szCs w:val="24"/>
          <w:lang w:val="es-ES_tradnl"/>
        </w:rPr>
        <w:t>Obligación de la autoridad que emite un acto, para citar los preceptos legales, sustantivos y adjetivos, en que se apoye para la determinación tomada.</w:t>
      </w:r>
    </w:p>
    <w:p w14:paraId="7A02446A" w14:textId="77777777" w:rsidR="00C06017" w:rsidRPr="00400D1B" w:rsidRDefault="00C06017" w:rsidP="00C06017">
      <w:pPr>
        <w:numPr>
          <w:ilvl w:val="0"/>
          <w:numId w:val="18"/>
        </w:numPr>
        <w:spacing w:line="360" w:lineRule="auto"/>
        <w:ind w:right="-93"/>
        <w:jc w:val="both"/>
        <w:rPr>
          <w:rFonts w:ascii="Palatino Linotype" w:hAnsi="Palatino Linotype" w:cs="Tahoma"/>
          <w:b/>
          <w:sz w:val="22"/>
          <w:szCs w:val="24"/>
          <w:lang w:val="es-ES_tradnl"/>
        </w:rPr>
      </w:pPr>
      <w:r w:rsidRPr="00400D1B">
        <w:rPr>
          <w:rFonts w:ascii="Palatino Linotype" w:hAnsi="Palatino Linotype" w:cs="Tahoma"/>
          <w:b/>
          <w:sz w:val="22"/>
          <w:szCs w:val="24"/>
          <w:lang w:val="es-ES_tradnl"/>
        </w:rPr>
        <w:t xml:space="preserve">Motivación: </w:t>
      </w:r>
      <w:r w:rsidRPr="00400D1B">
        <w:rPr>
          <w:rFonts w:ascii="Palatino Linotype" w:hAnsi="Palatino Linotype" w:cs="Tahoma"/>
          <w:sz w:val="22"/>
          <w:szCs w:val="24"/>
          <w:lang w:val="es-ES_tradnl"/>
        </w:rPr>
        <w:t>Razonamientos lógico-jurídicos sobre porque se consideró en el caso en concreto, que se ajusta a la hipótesis normativa.</w:t>
      </w:r>
    </w:p>
    <w:p w14:paraId="44077E0F" w14:textId="77777777" w:rsidR="00C06017" w:rsidRPr="00400D1B" w:rsidRDefault="00C06017" w:rsidP="00C06017">
      <w:pPr>
        <w:spacing w:line="360" w:lineRule="auto"/>
        <w:ind w:right="-93"/>
        <w:jc w:val="both"/>
        <w:rPr>
          <w:rFonts w:ascii="Palatino Linotype" w:hAnsi="Palatino Linotype" w:cs="Tahoma"/>
          <w:sz w:val="22"/>
          <w:szCs w:val="24"/>
          <w:lang w:val="es-ES_tradnl"/>
        </w:rPr>
      </w:pPr>
    </w:p>
    <w:p w14:paraId="37BA4499" w14:textId="1A2F8E2A" w:rsidR="00772E50" w:rsidRPr="00772E50" w:rsidRDefault="00772E50" w:rsidP="00772E50">
      <w:pPr>
        <w:spacing w:line="360" w:lineRule="auto"/>
        <w:jc w:val="both"/>
        <w:rPr>
          <w:rFonts w:ascii="Palatino Linotype" w:eastAsia="Calibri" w:hAnsi="Palatino Linotype" w:cs="Tahoma"/>
          <w:bCs/>
          <w:iCs/>
          <w:sz w:val="22"/>
          <w:szCs w:val="22"/>
          <w:lang w:val="es-ES" w:eastAsia="en-US"/>
        </w:rPr>
      </w:pPr>
      <w:r w:rsidRPr="00772E50">
        <w:rPr>
          <w:rFonts w:ascii="Palatino Linotype" w:eastAsia="Calibri" w:hAnsi="Palatino Linotype" w:cs="Tahoma"/>
          <w:bCs/>
          <w:iCs/>
          <w:sz w:val="22"/>
          <w:szCs w:val="22"/>
          <w:lang w:val="es-ES" w:eastAsia="en-US"/>
        </w:rPr>
        <w:t xml:space="preserve">Conforme a lo anterior, se logra vislumbrar que el Sujeto Obligado no fundó, ni motivó la clasificación, pues no señaló las causales específicas aplicables de los artículos 140 y 143 de la </w:t>
      </w:r>
      <w:r w:rsidRPr="00772E50">
        <w:rPr>
          <w:rFonts w:ascii="Palatino Linotype" w:eastAsia="Calibri" w:hAnsi="Palatino Linotype" w:cs="Tahoma"/>
          <w:bCs/>
          <w:iCs/>
          <w:sz w:val="22"/>
          <w:szCs w:val="22"/>
          <w:lang w:val="es-ES" w:eastAsia="en-US"/>
        </w:rPr>
        <w:lastRenderedPageBreak/>
        <w:t>Ley de la materia, ni los motivos se actualizaban; lo cual toma relevancia, pues en el presente caso, la información se relaciona sobre las remuneraciones pagadas a los servidores públicos y el ejercicio de recursos públicos.</w:t>
      </w:r>
    </w:p>
    <w:p w14:paraId="7FE67A38" w14:textId="77777777" w:rsidR="00772E50" w:rsidRPr="00772E50" w:rsidRDefault="00772E50" w:rsidP="00772E50">
      <w:pPr>
        <w:spacing w:line="360" w:lineRule="auto"/>
        <w:jc w:val="both"/>
        <w:rPr>
          <w:rFonts w:ascii="Palatino Linotype" w:eastAsia="Calibri" w:hAnsi="Palatino Linotype" w:cs="Tahoma"/>
          <w:bCs/>
          <w:iCs/>
          <w:sz w:val="22"/>
          <w:szCs w:val="22"/>
          <w:lang w:val="es-ES" w:eastAsia="en-US"/>
        </w:rPr>
      </w:pPr>
    </w:p>
    <w:p w14:paraId="47EBB1FA" w14:textId="2D6DA119" w:rsidR="00772E50" w:rsidRPr="00772E50" w:rsidRDefault="00772E50" w:rsidP="00772E50">
      <w:pPr>
        <w:spacing w:line="360" w:lineRule="auto"/>
        <w:jc w:val="both"/>
        <w:rPr>
          <w:rFonts w:ascii="Palatino Linotype" w:hAnsi="Palatino Linotype" w:cs="Arial"/>
          <w:color w:val="000000"/>
          <w:sz w:val="22"/>
          <w:szCs w:val="22"/>
          <w:lang w:val="x-none"/>
        </w:rPr>
      </w:pPr>
      <w:r w:rsidRPr="00772E50">
        <w:rPr>
          <w:rFonts w:ascii="Palatino Linotype" w:eastAsia="Calibri" w:hAnsi="Palatino Linotype" w:cs="Tahoma"/>
          <w:bCs/>
          <w:iCs/>
          <w:sz w:val="22"/>
          <w:szCs w:val="22"/>
          <w:lang w:val="es-ES" w:eastAsia="en-US"/>
        </w:rPr>
        <w:t>Conforme a lo anterior</w:t>
      </w:r>
      <w:r w:rsidRPr="00772E50">
        <w:rPr>
          <w:rFonts w:ascii="Palatino Linotype" w:eastAsia="Palatino Linotype" w:hAnsi="Palatino Linotype" w:cs="Palatino Linotype"/>
          <w:color w:val="000000"/>
          <w:sz w:val="22"/>
          <w:szCs w:val="22"/>
          <w:lang w:eastAsia="es-MX"/>
        </w:rPr>
        <w:t xml:space="preserve">, la nómina solicitada </w:t>
      </w:r>
      <w:r w:rsidRPr="00772E50">
        <w:rPr>
          <w:rFonts w:ascii="Palatino Linotype" w:eastAsia="Calibri" w:hAnsi="Palatino Linotype" w:cs="Tahoma"/>
          <w:bCs/>
          <w:color w:val="000000"/>
          <w:sz w:val="22"/>
          <w:szCs w:val="22"/>
          <w:lang w:eastAsia="es-MX"/>
        </w:rPr>
        <w:t>rinde cuentas de la forma en que utiliza el Ayuntamiento los recursos públicos</w:t>
      </w:r>
      <w:r w:rsidRPr="00772E50">
        <w:rPr>
          <w:rFonts w:ascii="Palatino Linotype" w:hAnsi="Palatino Linotype" w:cs="Tahoma"/>
          <w:bCs/>
          <w:iCs/>
          <w:color w:val="000000"/>
          <w:sz w:val="22"/>
          <w:szCs w:val="22"/>
          <w:lang w:val="es-ES_tradnl"/>
        </w:rPr>
        <w:t>; sobre</w:t>
      </w:r>
      <w:r w:rsidRPr="00772E50">
        <w:rPr>
          <w:rFonts w:ascii="Palatino Linotype" w:hAnsi="Palatino Linotype" w:cs="Tahoma"/>
          <w:color w:val="000000"/>
          <w:sz w:val="22"/>
          <w:szCs w:val="22"/>
          <w:lang w:val="es-ES"/>
        </w:rPr>
        <w:t xml:space="preserve"> el tema, </w:t>
      </w:r>
      <w:r w:rsidRPr="00772E50">
        <w:rPr>
          <w:rFonts w:ascii="Palatino Linotype" w:hAnsi="Palatino Linotype" w:cs="Arial"/>
          <w:bCs/>
          <w:color w:val="000000"/>
          <w:sz w:val="22"/>
          <w:szCs w:val="22"/>
        </w:rPr>
        <w:t xml:space="preserve">según Arizmendi, Guillermo (2016), en la “Ley General de Transparencia y Acceso a la Información Pública Comentada” (p. 240 y 241), los recursos públicos, deber ser administrado con responsabilidad y transparencia. </w:t>
      </w:r>
      <w:r w:rsidRPr="00772E50">
        <w:rPr>
          <w:rFonts w:ascii="Palatino Linotype" w:hAnsi="Palatino Linotype" w:cs="Tahoma"/>
          <w:color w:val="000000"/>
          <w:sz w:val="22"/>
          <w:szCs w:val="22"/>
          <w:lang w:val="es-ES"/>
        </w:rPr>
        <w:t xml:space="preserve">En ese orden de ideas, según Trujillo, Humberto (2019), en el “Diccionario de Transparencia y Acceso a la Información Pública” (p. 276), </w:t>
      </w:r>
      <w:r w:rsidRPr="00772E50">
        <w:rPr>
          <w:rFonts w:ascii="Palatino Linotype" w:hAnsi="Palatino Linotype" w:cs="Tahoma"/>
          <w:b/>
          <w:color w:val="000000"/>
          <w:sz w:val="22"/>
          <w:szCs w:val="22"/>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38179292" w14:textId="77777777" w:rsidR="00772E50" w:rsidRPr="00772E50" w:rsidRDefault="00772E50" w:rsidP="00772E50">
      <w:pPr>
        <w:spacing w:line="360" w:lineRule="auto"/>
        <w:jc w:val="both"/>
        <w:rPr>
          <w:rFonts w:ascii="Palatino Linotype" w:hAnsi="Palatino Linotype" w:cs="Tahoma"/>
          <w:b/>
          <w:color w:val="000000"/>
          <w:sz w:val="22"/>
          <w:szCs w:val="22"/>
          <w:lang w:val="es-ES"/>
        </w:rPr>
      </w:pPr>
    </w:p>
    <w:p w14:paraId="7B5EC134" w14:textId="77777777" w:rsidR="00772E50" w:rsidRPr="00772E50" w:rsidRDefault="00772E50" w:rsidP="00772E50">
      <w:pPr>
        <w:spacing w:line="360" w:lineRule="auto"/>
        <w:jc w:val="both"/>
        <w:rPr>
          <w:rFonts w:ascii="Palatino Linotype" w:hAnsi="Palatino Linotype" w:cs="Tahoma"/>
          <w:color w:val="000000"/>
          <w:sz w:val="22"/>
          <w:szCs w:val="22"/>
        </w:rPr>
      </w:pPr>
      <w:r w:rsidRPr="00772E50">
        <w:rPr>
          <w:rFonts w:ascii="Palatino Linotype" w:hAnsi="Palatino Linotype" w:cs="Tahoma"/>
          <w:color w:val="000000"/>
          <w:sz w:val="22"/>
          <w:szCs w:val="22"/>
          <w:lang w:val="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772E50">
        <w:rPr>
          <w:rFonts w:ascii="Palatino Linotype" w:hAnsi="Palatino Linotype" w:cs="Tahoma"/>
          <w:b/>
          <w:color w:val="000000"/>
          <w:sz w:val="22"/>
          <w:szCs w:val="22"/>
          <w:lang w:val="es-ES"/>
        </w:rPr>
        <w:t xml:space="preserve">transparencia </w:t>
      </w:r>
      <w:r w:rsidRPr="00772E50">
        <w:rPr>
          <w:rFonts w:ascii="Palatino Linotype" w:hAnsi="Palatino Linotype" w:cs="Tahoma"/>
          <w:color w:val="000000"/>
          <w:sz w:val="22"/>
          <w:szCs w:val="22"/>
          <w:lang w:val="es-ES"/>
        </w:rPr>
        <w:t xml:space="preserve">y honradez; sobre lo referido,  </w:t>
      </w:r>
      <w:r w:rsidRPr="00772E50">
        <w:rPr>
          <w:rFonts w:ascii="Palatino Linotype" w:hAnsi="Palatino Linotype" w:cs="Tahoma"/>
          <w:color w:val="000000"/>
          <w:sz w:val="22"/>
          <w:szCs w:val="22"/>
        </w:rPr>
        <w:t>la Tesis número 1a.CXLV/2009, Novena Época, publicada en el Semanario Judicial de la Federación, Tomo XXX, de septiembre de dos mil nueve, (p. 2712), establece lo siguiente:</w:t>
      </w:r>
    </w:p>
    <w:p w14:paraId="7D26E3BE" w14:textId="77777777" w:rsidR="00772E50" w:rsidRPr="00772E50" w:rsidRDefault="00772E50" w:rsidP="00772E50">
      <w:pPr>
        <w:spacing w:line="360" w:lineRule="auto"/>
        <w:jc w:val="both"/>
        <w:rPr>
          <w:rFonts w:ascii="Palatino Linotype" w:hAnsi="Palatino Linotype" w:cs="Tahoma"/>
          <w:color w:val="000000"/>
          <w:sz w:val="22"/>
          <w:szCs w:val="22"/>
          <w:lang w:val="es-ES"/>
        </w:rPr>
      </w:pPr>
    </w:p>
    <w:p w14:paraId="57FBF9F7" w14:textId="77777777" w:rsidR="00772E50" w:rsidRPr="00772E50" w:rsidRDefault="00772E50" w:rsidP="00772E50">
      <w:pPr>
        <w:spacing w:line="360" w:lineRule="auto"/>
        <w:ind w:left="567" w:right="567"/>
        <w:jc w:val="both"/>
        <w:rPr>
          <w:rFonts w:ascii="Palatino Linotype" w:hAnsi="Palatino Linotype" w:cs="Tahoma"/>
          <w:bCs/>
          <w:i/>
          <w:iCs/>
          <w:color w:val="000000"/>
          <w:lang w:val="es-ES"/>
        </w:rPr>
      </w:pPr>
      <w:r w:rsidRPr="00772E50">
        <w:rPr>
          <w:rFonts w:ascii="Palatino Linotype" w:hAnsi="Palatino Linotype" w:cs="Tahoma"/>
          <w:b/>
          <w:bCs/>
          <w:i/>
          <w:iCs/>
          <w:color w:val="000000"/>
          <w:lang w:val="es-ES"/>
        </w:rPr>
        <w:t>“</w:t>
      </w:r>
      <w:r w:rsidRPr="00772E50">
        <w:rPr>
          <w:rFonts w:ascii="Palatino Linotype" w:hAnsi="Palatino Linotype" w:cs="Tahoma"/>
          <w:b/>
          <w:bCs/>
          <w:i/>
          <w:iCs/>
          <w:color w:val="000000"/>
        </w:rPr>
        <w:t xml:space="preserve">GASTO PÚBLICO. EL ARTÍCULO 134 DE LA CONSTITUCIÓN POLÍTICA DE LOS ESTADOS UNIDOS MEXICANOS ELEVA A RANGO CONSTITUCIONAL LOS PRINCIPIOS DE LEGALIDAD, EFICIENCIA, EFICACIA, ECONOMÍA, TRANSPARENCIA Y HONRADEZ EN ESTA MATERIA. </w:t>
      </w:r>
      <w:r w:rsidRPr="00772E50">
        <w:rPr>
          <w:rFonts w:ascii="Palatino Linotype" w:hAnsi="Palatino Linotype" w:cs="Tahoma"/>
          <w:bCs/>
          <w:i/>
          <w:iCs/>
          <w:color w:val="000000"/>
        </w:rPr>
        <w:t xml:space="preserve">Del citado precepto constitucional se advierte que el correcto ejercicio del gasto público se salvaguarda por los siguientes principios: 1. Legalidad, en tanto que debe estar prescrito en el Presupuesto de Egresos o, en su defecto, en una </w:t>
      </w:r>
      <w:r w:rsidRPr="00772E50">
        <w:rPr>
          <w:rFonts w:ascii="Palatino Linotype" w:hAnsi="Palatino Linotype" w:cs="Tahoma"/>
          <w:bCs/>
          <w:i/>
          <w:iCs/>
          <w:color w:val="000000"/>
        </w:rPr>
        <w:lastRenderedPageBreak/>
        <w:t>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772E50">
        <w:rPr>
          <w:rFonts w:ascii="Palatino Linotype" w:hAnsi="Palatino Linotype" w:cs="Tahoma"/>
          <w:bCs/>
          <w:i/>
          <w:iCs/>
          <w:color w:val="000000"/>
          <w:lang w:val="es-ES"/>
        </w:rPr>
        <w:t>”</w:t>
      </w:r>
    </w:p>
    <w:p w14:paraId="78B16200" w14:textId="77777777" w:rsidR="00772E50" w:rsidRPr="00772E50" w:rsidRDefault="00772E50" w:rsidP="00772E50">
      <w:pPr>
        <w:spacing w:line="360" w:lineRule="auto"/>
        <w:jc w:val="both"/>
        <w:rPr>
          <w:rFonts w:ascii="Palatino Linotype" w:hAnsi="Palatino Linotype" w:cs="Tahoma"/>
          <w:bCs/>
          <w:iCs/>
          <w:color w:val="000000"/>
          <w:sz w:val="22"/>
          <w:szCs w:val="22"/>
          <w:lang w:val="es-ES"/>
        </w:rPr>
      </w:pPr>
    </w:p>
    <w:p w14:paraId="4809A212" w14:textId="77777777" w:rsidR="00772E50" w:rsidRPr="00772E50" w:rsidRDefault="00772E50" w:rsidP="00772E50">
      <w:pPr>
        <w:spacing w:line="360" w:lineRule="auto"/>
        <w:jc w:val="both"/>
        <w:rPr>
          <w:rFonts w:ascii="Palatino Linotype" w:hAnsi="Palatino Linotype" w:cs="Tahoma"/>
          <w:bCs/>
          <w:iCs/>
          <w:color w:val="000000"/>
          <w:sz w:val="22"/>
          <w:szCs w:val="22"/>
          <w:lang w:val="es-ES"/>
        </w:rPr>
      </w:pPr>
      <w:r w:rsidRPr="00772E50">
        <w:rPr>
          <w:rFonts w:ascii="Palatino Linotype" w:hAnsi="Palatino Linotype" w:cs="Tahoma"/>
          <w:bCs/>
          <w:iCs/>
          <w:color w:val="000000"/>
          <w:sz w:val="22"/>
          <w:szCs w:val="22"/>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349B60FC" w14:textId="77777777" w:rsidR="00772E50" w:rsidRPr="00772E50" w:rsidRDefault="00772E50" w:rsidP="00772E50">
      <w:pPr>
        <w:spacing w:line="360" w:lineRule="auto"/>
        <w:jc w:val="both"/>
        <w:rPr>
          <w:rFonts w:ascii="Palatino Linotype" w:hAnsi="Palatino Linotype" w:cs="Tahoma"/>
          <w:bCs/>
          <w:iCs/>
          <w:color w:val="000000"/>
          <w:sz w:val="22"/>
          <w:szCs w:val="22"/>
          <w:lang w:val="es-ES"/>
        </w:rPr>
      </w:pPr>
    </w:p>
    <w:p w14:paraId="47E47239" w14:textId="77777777" w:rsidR="00772E50" w:rsidRPr="00772E50" w:rsidRDefault="00772E50" w:rsidP="00772E50">
      <w:pPr>
        <w:spacing w:line="360" w:lineRule="auto"/>
        <w:jc w:val="both"/>
        <w:rPr>
          <w:rFonts w:ascii="Palatino Linotype" w:hAnsi="Palatino Linotype" w:cs="Tahoma"/>
          <w:color w:val="000000"/>
          <w:sz w:val="22"/>
          <w:szCs w:val="22"/>
          <w:lang w:val="es-ES"/>
        </w:rPr>
      </w:pPr>
      <w:r w:rsidRPr="00772E50">
        <w:rPr>
          <w:rFonts w:ascii="Palatino Linotype" w:hAnsi="Palatino Linotype" w:cs="Tahoma"/>
          <w:bCs/>
          <w:iCs/>
          <w:color w:val="000000"/>
          <w:sz w:val="22"/>
          <w:szCs w:val="22"/>
          <w:lang w:val="es-ES"/>
        </w:rPr>
        <w:t xml:space="preserve">Al respecto, </w:t>
      </w:r>
      <w:r w:rsidRPr="00772E50">
        <w:rPr>
          <w:rFonts w:ascii="Palatino Linotype" w:hAnsi="Palatino Linotype" w:cs="Tahoma"/>
          <w:color w:val="000000"/>
          <w:sz w:val="22"/>
          <w:szCs w:val="22"/>
          <w:lang w:val="es-ES"/>
        </w:rPr>
        <w:t xml:space="preserve">según Merino, Mauricio (2019), en el “Diccionario de Transparencia y Acceso a la Información Pública” (p. 276), </w:t>
      </w:r>
      <w:r w:rsidRPr="00772E50">
        <w:rPr>
          <w:rFonts w:ascii="Palatino Linotype" w:hAnsi="Palatino Linotype" w:cs="Tahoma"/>
          <w:b/>
          <w:color w:val="000000"/>
          <w:sz w:val="22"/>
          <w:szCs w:val="22"/>
          <w:lang w:val="es-ES"/>
        </w:rPr>
        <w:t xml:space="preserve">la rendición de cuentas, </w:t>
      </w:r>
      <w:r w:rsidRPr="00772E50">
        <w:rPr>
          <w:rFonts w:ascii="Palatino Linotype" w:hAnsi="Palatino Linotype" w:cs="Tahoma"/>
          <w:color w:val="000000"/>
          <w:sz w:val="22"/>
          <w:szCs w:val="22"/>
          <w:lang w:val="es-ES"/>
        </w:rPr>
        <w:t xml:space="preserve">es un ejercicio de transparencia e información pública; es un medio a través del cual los gobiernos informan al público de sus actividades, </w:t>
      </w:r>
      <w:r w:rsidRPr="00772E50">
        <w:rPr>
          <w:rFonts w:ascii="Palatino Linotype" w:hAnsi="Palatino Linotype" w:cs="Tahoma"/>
          <w:b/>
          <w:color w:val="000000"/>
          <w:sz w:val="22"/>
          <w:szCs w:val="22"/>
          <w:lang w:val="es-ES"/>
        </w:rPr>
        <w:t>de los recursos que han ejercido</w:t>
      </w:r>
      <w:r w:rsidRPr="00772E50">
        <w:rPr>
          <w:rFonts w:ascii="Palatino Linotype" w:hAnsi="Palatino Linotype" w:cs="Tahoma"/>
          <w:color w:val="000000"/>
          <w:sz w:val="22"/>
          <w:szCs w:val="22"/>
          <w:lang w:val="es-ES"/>
        </w:rPr>
        <w:t xml:space="preserve"> y de los resultados obtenidos.</w:t>
      </w:r>
    </w:p>
    <w:p w14:paraId="21FEC3E9" w14:textId="77777777" w:rsidR="00772E50" w:rsidRPr="00772E50" w:rsidRDefault="00772E50" w:rsidP="00772E50">
      <w:pPr>
        <w:spacing w:line="360" w:lineRule="auto"/>
        <w:jc w:val="both"/>
        <w:rPr>
          <w:rFonts w:ascii="Palatino Linotype" w:hAnsi="Palatino Linotype" w:cs="Tahoma"/>
          <w:color w:val="000000"/>
          <w:sz w:val="22"/>
          <w:szCs w:val="22"/>
          <w:lang w:val="es-ES"/>
        </w:rPr>
      </w:pPr>
    </w:p>
    <w:p w14:paraId="45AE74E5" w14:textId="77777777" w:rsidR="00772E50" w:rsidRPr="00772E50" w:rsidRDefault="00772E50" w:rsidP="00772E50">
      <w:pPr>
        <w:spacing w:line="360" w:lineRule="auto"/>
        <w:jc w:val="both"/>
        <w:rPr>
          <w:rFonts w:ascii="Palatino Linotype" w:hAnsi="Palatino Linotype" w:cs="Tahoma"/>
          <w:bCs/>
          <w:iCs/>
          <w:color w:val="000000"/>
          <w:sz w:val="22"/>
          <w:szCs w:val="22"/>
          <w:lang w:val="es-ES"/>
        </w:rPr>
      </w:pPr>
      <w:r w:rsidRPr="00772E50">
        <w:rPr>
          <w:rFonts w:ascii="Palatino Linotype" w:hAnsi="Palatino Linotype" w:cs="Tahoma"/>
          <w:bCs/>
          <w:iCs/>
          <w:color w:val="000000"/>
          <w:sz w:val="22"/>
          <w:szCs w:val="22"/>
          <w:lang w:val="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50C75852" w14:textId="77777777" w:rsidR="00772E50" w:rsidRPr="00772E50" w:rsidRDefault="00772E50" w:rsidP="00772E50">
      <w:pPr>
        <w:spacing w:line="360" w:lineRule="auto"/>
        <w:jc w:val="both"/>
        <w:rPr>
          <w:rFonts w:ascii="Palatino Linotype" w:hAnsi="Palatino Linotype" w:cs="Tahoma"/>
          <w:bCs/>
          <w:iCs/>
          <w:color w:val="000000"/>
          <w:sz w:val="22"/>
          <w:szCs w:val="22"/>
          <w:lang w:val="es-ES"/>
        </w:rPr>
      </w:pPr>
    </w:p>
    <w:p w14:paraId="0A94278C" w14:textId="77777777" w:rsidR="00772E50" w:rsidRPr="00772E50" w:rsidRDefault="00772E50" w:rsidP="00772E50">
      <w:pPr>
        <w:spacing w:line="360" w:lineRule="auto"/>
        <w:jc w:val="both"/>
        <w:rPr>
          <w:rFonts w:ascii="Palatino Linotype" w:hAnsi="Palatino Linotype" w:cs="Tahoma"/>
          <w:bCs/>
          <w:iCs/>
          <w:color w:val="000000"/>
          <w:sz w:val="22"/>
          <w:szCs w:val="22"/>
          <w:lang w:val="es-ES"/>
        </w:rPr>
      </w:pPr>
      <w:r w:rsidRPr="00772E50">
        <w:rPr>
          <w:rFonts w:ascii="Palatino Linotype" w:hAnsi="Palatino Linotype" w:cs="Tahoma"/>
          <w:bCs/>
          <w:iCs/>
          <w:color w:val="000000"/>
          <w:sz w:val="22"/>
          <w:szCs w:val="22"/>
          <w:lang w:val="es-ES"/>
        </w:rPr>
        <w:lastRenderedPageBreak/>
        <w:t xml:space="preserve">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70BDCC98" w14:textId="77777777" w:rsidR="00772E50" w:rsidRPr="00772E50" w:rsidRDefault="00772E50" w:rsidP="00772E50">
      <w:pPr>
        <w:spacing w:line="360" w:lineRule="auto"/>
        <w:jc w:val="both"/>
        <w:rPr>
          <w:rFonts w:ascii="Palatino Linotype" w:hAnsi="Palatino Linotype" w:cs="Tahoma"/>
          <w:bCs/>
          <w:iCs/>
          <w:color w:val="000000"/>
          <w:sz w:val="22"/>
          <w:szCs w:val="22"/>
          <w:lang w:val="es-ES"/>
        </w:rPr>
      </w:pPr>
    </w:p>
    <w:p w14:paraId="3C5EDFE6" w14:textId="77777777" w:rsidR="00772E50" w:rsidRPr="00772E50" w:rsidRDefault="00772E50" w:rsidP="00772E50">
      <w:pPr>
        <w:spacing w:line="360" w:lineRule="auto"/>
        <w:jc w:val="both"/>
        <w:rPr>
          <w:rFonts w:ascii="Palatino Linotype" w:hAnsi="Palatino Linotype" w:cs="Tahoma"/>
          <w:bCs/>
          <w:iCs/>
          <w:color w:val="000000"/>
          <w:sz w:val="22"/>
          <w:szCs w:val="22"/>
        </w:rPr>
      </w:pPr>
      <w:r w:rsidRPr="00772E50">
        <w:rPr>
          <w:rFonts w:ascii="Palatino Linotype" w:hAnsi="Palatino Linotype" w:cs="Tahoma"/>
          <w:bCs/>
          <w:iCs/>
          <w:color w:val="000000"/>
          <w:sz w:val="22"/>
          <w:szCs w:val="22"/>
        </w:rPr>
        <w:t>Conforme a lo anterior, se logra vislumbrar que, en el presente caso, la información solicitada, rinde cuentas de la forma de utilización de los recursos públicos con los que contaba el Sujeto Obligado, así como, las remuneraciones pagadas a los servidores públicos.</w:t>
      </w:r>
    </w:p>
    <w:p w14:paraId="1EC05DFD" w14:textId="77777777" w:rsidR="00772E50" w:rsidRPr="00772E50" w:rsidRDefault="00772E50" w:rsidP="00772E50">
      <w:pPr>
        <w:spacing w:line="360" w:lineRule="auto"/>
        <w:jc w:val="both"/>
        <w:rPr>
          <w:rFonts w:ascii="Palatino Linotype" w:eastAsia="Calibri" w:hAnsi="Palatino Linotype" w:cs="Tahoma"/>
          <w:bCs/>
          <w:iCs/>
          <w:sz w:val="22"/>
          <w:szCs w:val="22"/>
          <w:lang w:val="es-ES" w:eastAsia="en-US"/>
        </w:rPr>
      </w:pPr>
    </w:p>
    <w:p w14:paraId="54E267CF" w14:textId="77777777" w:rsidR="00772E50" w:rsidRPr="00772E50" w:rsidRDefault="00772E50" w:rsidP="00772E50">
      <w:pPr>
        <w:widowControl w:val="0"/>
        <w:autoSpaceDE w:val="0"/>
        <w:autoSpaceDN w:val="0"/>
        <w:adjustRightInd w:val="0"/>
        <w:spacing w:line="360" w:lineRule="auto"/>
        <w:jc w:val="both"/>
        <w:rPr>
          <w:rFonts w:ascii="Palatino Linotype" w:eastAsia="Calibri" w:hAnsi="Palatino Linotype"/>
          <w:b/>
          <w:iCs/>
          <w:color w:val="000000" w:themeColor="text1"/>
          <w:sz w:val="22"/>
          <w:szCs w:val="22"/>
          <w:lang w:val="es-ES" w:eastAsia="en-US"/>
        </w:rPr>
      </w:pPr>
      <w:r w:rsidRPr="00772E50">
        <w:rPr>
          <w:rFonts w:ascii="Palatino Linotype" w:eastAsia="Calibri" w:hAnsi="Palatino Linotype"/>
          <w:bCs/>
          <w:iCs/>
          <w:color w:val="000000" w:themeColor="text1"/>
          <w:sz w:val="22"/>
          <w:szCs w:val="22"/>
          <w:lang w:val="es-ES" w:eastAsia="en-US"/>
        </w:rPr>
        <w:t xml:space="preserve">En ese contexto, </w:t>
      </w:r>
      <w:r w:rsidRPr="00772E50">
        <w:rPr>
          <w:rFonts w:ascii="Palatino Linotype" w:eastAsia="Calibri" w:hAnsi="Palatino Linotype" w:cs="Tahoma"/>
          <w:iCs/>
          <w:color w:val="000000" w:themeColor="text1"/>
          <w:sz w:val="22"/>
          <w:szCs w:val="24"/>
          <w:lang w:val="es-ES_tradnl" w:eastAsia="en-US"/>
        </w:rPr>
        <w:t xml:space="preserve">el artículo 148 de la </w:t>
      </w:r>
      <w:r w:rsidRPr="00772E50">
        <w:rPr>
          <w:rFonts w:ascii="Palatino Linotype" w:eastAsia="Calibri" w:hAnsi="Palatino Linotype"/>
          <w:bCs/>
          <w:iCs/>
          <w:color w:val="000000" w:themeColor="text1"/>
          <w:sz w:val="22"/>
          <w:szCs w:val="22"/>
          <w:lang w:val="es-ES" w:eastAsia="en-US"/>
        </w:rPr>
        <w:t xml:space="preserve">Ley de Transparencia y Acceso a la Información Pública del Estado de México y Municipios y el </w:t>
      </w:r>
      <w:r w:rsidRPr="00772E50">
        <w:rPr>
          <w:rFonts w:ascii="Palatino Linotype" w:eastAsia="Calibri" w:hAnsi="Palatino Linotype"/>
          <w:color w:val="000000" w:themeColor="text1"/>
          <w:sz w:val="22"/>
          <w:szCs w:val="22"/>
          <w:lang w:eastAsia="en-US"/>
        </w:rPr>
        <w:t>Quincuagésimo séptimo, fracción I, de los Lineamientos Generales,</w:t>
      </w:r>
      <w:r w:rsidRPr="00772E50">
        <w:rPr>
          <w:rFonts w:ascii="Palatino Linotype" w:eastAsia="Calibri" w:hAnsi="Palatino Linotype"/>
          <w:bCs/>
          <w:iCs/>
          <w:color w:val="000000" w:themeColor="text1"/>
          <w:sz w:val="22"/>
          <w:szCs w:val="22"/>
          <w:lang w:val="es-ES" w:eastAsia="en-US"/>
        </w:rPr>
        <w:t xml:space="preserve"> </w:t>
      </w:r>
      <w:r w:rsidRPr="00772E50">
        <w:rPr>
          <w:rFonts w:ascii="Palatino Linotype" w:eastAsia="Calibri" w:hAnsi="Palatino Linotype"/>
          <w:b/>
          <w:iCs/>
          <w:color w:val="000000" w:themeColor="text1"/>
          <w:sz w:val="22"/>
          <w:szCs w:val="22"/>
          <w:lang w:val="es-ES" w:eastAsia="en-US"/>
        </w:rPr>
        <w:t>precisan que es información pública que no podrá omitirse de las versiones públicas, aquella que sea una obligación de transparencia</w:t>
      </w:r>
      <w:r w:rsidRPr="00772E50">
        <w:rPr>
          <w:rFonts w:ascii="Palatino Linotype" w:eastAsia="Calibri" w:hAnsi="Palatino Linotype"/>
          <w:bCs/>
          <w:iCs/>
          <w:color w:val="000000" w:themeColor="text1"/>
          <w:sz w:val="22"/>
          <w:szCs w:val="22"/>
          <w:lang w:val="es-ES" w:eastAsia="en-US"/>
        </w:rPr>
        <w:t>, como lo son las remuneraciones de los servidores públicos, en términos del artículo 92, fracción VIII, de la Ley referida</w:t>
      </w:r>
      <w:r w:rsidRPr="00772E50">
        <w:rPr>
          <w:rFonts w:ascii="Palatino Linotype" w:eastAsia="Calibri" w:hAnsi="Palatino Linotype"/>
          <w:b/>
          <w:iCs/>
          <w:color w:val="000000" w:themeColor="text1"/>
          <w:sz w:val="22"/>
          <w:szCs w:val="22"/>
          <w:lang w:val="es-ES" w:eastAsia="en-US"/>
        </w:rPr>
        <w:t>.</w:t>
      </w:r>
    </w:p>
    <w:p w14:paraId="0CB5532F" w14:textId="77777777" w:rsidR="00772E50" w:rsidRPr="00772E50" w:rsidRDefault="00772E50" w:rsidP="00772E50">
      <w:pPr>
        <w:widowControl w:val="0"/>
        <w:autoSpaceDE w:val="0"/>
        <w:autoSpaceDN w:val="0"/>
        <w:adjustRightInd w:val="0"/>
        <w:spacing w:line="360" w:lineRule="auto"/>
        <w:jc w:val="both"/>
        <w:rPr>
          <w:rFonts w:ascii="Palatino Linotype" w:eastAsia="Calibri" w:hAnsi="Palatino Linotype"/>
          <w:bCs/>
          <w:iCs/>
          <w:color w:val="000000" w:themeColor="text1"/>
          <w:sz w:val="22"/>
          <w:szCs w:val="22"/>
          <w:lang w:val="es-ES" w:eastAsia="en-US"/>
        </w:rPr>
      </w:pPr>
    </w:p>
    <w:p w14:paraId="2344E387" w14:textId="77777777" w:rsidR="00772E50" w:rsidRPr="00772E50" w:rsidRDefault="00772E50" w:rsidP="00772E50">
      <w:pPr>
        <w:spacing w:line="360" w:lineRule="auto"/>
        <w:jc w:val="both"/>
        <w:rPr>
          <w:rFonts w:ascii="Palatino Linotype" w:eastAsia="Palatino Linotype" w:hAnsi="Palatino Linotype" w:cs="Tahoma"/>
          <w:bCs/>
          <w:color w:val="000000"/>
          <w:sz w:val="22"/>
          <w:szCs w:val="22"/>
          <w:lang w:val="es-ES" w:eastAsia="es-MX"/>
        </w:rPr>
      </w:pPr>
      <w:r w:rsidRPr="00772E50">
        <w:rPr>
          <w:rFonts w:ascii="Palatino Linotype" w:eastAsia="Palatino Linotype" w:hAnsi="Palatino Linotype" w:cs="Tahoma"/>
          <w:bCs/>
          <w:color w:val="000000"/>
          <w:sz w:val="22"/>
          <w:szCs w:val="22"/>
          <w:lang w:val="es-ES" w:eastAsia="es-MX"/>
        </w:rPr>
        <w:t xml:space="preserve">En ese contexto, los artículos 3°, fracción XLV, y 137 de la Ley de Transparencia y Acceso a la Información Pública del Estado de México y Municipios y los numerales Segundo, fracción XVIII, y Quincuagésimo sexto de los </w:t>
      </w:r>
      <w:r w:rsidRPr="00772E50">
        <w:rPr>
          <w:rFonts w:ascii="Palatino Linotype" w:eastAsia="Palatino Linotype" w:hAnsi="Palatino Linotype" w:cs="Palatino Linotype"/>
          <w:color w:val="000000"/>
          <w:sz w:val="22"/>
          <w:szCs w:val="22"/>
          <w:lang w:eastAsia="es-MX"/>
        </w:rPr>
        <w:t>Lineamientos Generales</w:t>
      </w:r>
      <w:r w:rsidRPr="00772E50">
        <w:rPr>
          <w:rFonts w:ascii="Palatino Linotype" w:eastAsia="Palatino Linotype" w:hAnsi="Palatino Linotype" w:cs="Tahoma"/>
          <w:bCs/>
          <w:color w:val="000000"/>
          <w:sz w:val="22"/>
          <w:szCs w:val="22"/>
          <w:lang w:val="es-ES" w:eastAsia="es-MX"/>
        </w:rPr>
        <w:t>,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24D98763" w14:textId="77777777" w:rsidR="00772E50" w:rsidRPr="00772E50" w:rsidRDefault="00772E50" w:rsidP="00772E50">
      <w:pPr>
        <w:spacing w:line="360" w:lineRule="auto"/>
        <w:ind w:right="-93"/>
        <w:jc w:val="both"/>
        <w:rPr>
          <w:rFonts w:ascii="Palatino Linotype" w:eastAsia="Palatino Linotype" w:hAnsi="Palatino Linotype" w:cs="Palatino Linotype"/>
          <w:color w:val="000000"/>
          <w:sz w:val="22"/>
          <w:szCs w:val="22"/>
          <w:lang w:eastAsia="es-MX"/>
        </w:rPr>
      </w:pPr>
    </w:p>
    <w:p w14:paraId="482BB688" w14:textId="335365AE" w:rsidR="00772E50" w:rsidRPr="00772E50" w:rsidRDefault="00772E50" w:rsidP="00772E50">
      <w:pPr>
        <w:spacing w:line="360" w:lineRule="auto"/>
        <w:jc w:val="both"/>
        <w:rPr>
          <w:rFonts w:ascii="Palatino Linotype" w:eastAsia="Palatino Linotype" w:hAnsi="Palatino Linotype" w:cs="Tahoma"/>
          <w:b/>
          <w:color w:val="000000"/>
          <w:sz w:val="22"/>
          <w:szCs w:val="22"/>
          <w:lang w:val="es-ES" w:eastAsia="es-MX"/>
        </w:rPr>
      </w:pPr>
      <w:r w:rsidRPr="00772E50">
        <w:rPr>
          <w:rFonts w:ascii="Palatino Linotype" w:eastAsia="Palatino Linotype" w:hAnsi="Palatino Linotype" w:cs="Tahoma"/>
          <w:bCs/>
          <w:color w:val="000000"/>
          <w:sz w:val="22"/>
          <w:szCs w:val="22"/>
          <w:lang w:val="es-ES" w:eastAsia="es-MX"/>
        </w:rPr>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cuenta de la información solicitada, con lo cual se robustece que no procede la clasificación aludida</w:t>
      </w:r>
      <w:r w:rsidR="00E256D6">
        <w:rPr>
          <w:rFonts w:ascii="Palatino Linotype" w:eastAsia="Palatino Linotype" w:hAnsi="Palatino Linotype" w:cs="Tahoma"/>
          <w:bCs/>
          <w:color w:val="000000"/>
          <w:sz w:val="22"/>
          <w:szCs w:val="22"/>
          <w:lang w:val="es-ES" w:eastAsia="es-MX"/>
        </w:rPr>
        <w:t>; por lo que, deberá proporcionar la versión pública de los recibos de nómina.</w:t>
      </w:r>
    </w:p>
    <w:p w14:paraId="25751478" w14:textId="77777777" w:rsidR="007A6284" w:rsidRPr="00E256D6" w:rsidRDefault="007A6284" w:rsidP="00C06017">
      <w:pPr>
        <w:tabs>
          <w:tab w:val="left" w:pos="4962"/>
        </w:tabs>
        <w:spacing w:line="360" w:lineRule="auto"/>
        <w:contextualSpacing/>
        <w:jc w:val="both"/>
        <w:rPr>
          <w:rFonts w:ascii="Palatino Linotype" w:hAnsi="Palatino Linotype" w:cs="Tahoma"/>
          <w:sz w:val="24"/>
          <w:szCs w:val="28"/>
        </w:rPr>
      </w:pPr>
    </w:p>
    <w:p w14:paraId="4A1BD17A" w14:textId="0C559A70" w:rsidR="007A6284" w:rsidRPr="00E256D6" w:rsidRDefault="00E256D6" w:rsidP="00E256D6">
      <w:pPr>
        <w:tabs>
          <w:tab w:val="left" w:pos="4962"/>
        </w:tabs>
        <w:spacing w:line="360" w:lineRule="auto"/>
        <w:jc w:val="both"/>
        <w:rPr>
          <w:rFonts w:ascii="Palatino Linotype" w:eastAsia="Calibri" w:hAnsi="Palatino Linotype" w:cs="Tahoma"/>
          <w:b/>
          <w:iCs/>
          <w:sz w:val="22"/>
          <w:szCs w:val="24"/>
          <w:lang w:val="es-ES" w:eastAsia="es-ES_tradnl"/>
        </w:rPr>
      </w:pPr>
      <w:r w:rsidRPr="00E256D6">
        <w:rPr>
          <w:rFonts w:ascii="Palatino Linotype" w:eastAsia="Calibri" w:hAnsi="Palatino Linotype" w:cs="Tahoma"/>
          <w:b/>
          <w:iCs/>
          <w:sz w:val="22"/>
          <w:szCs w:val="24"/>
          <w:lang w:val="es-ES" w:eastAsia="es-ES_tradnl"/>
        </w:rPr>
        <w:t>Progra</w:t>
      </w:r>
      <w:r>
        <w:rPr>
          <w:rFonts w:ascii="Palatino Linotype" w:eastAsia="Calibri" w:hAnsi="Palatino Linotype" w:cs="Tahoma"/>
          <w:b/>
          <w:iCs/>
          <w:sz w:val="22"/>
          <w:szCs w:val="24"/>
          <w:lang w:val="es-ES" w:eastAsia="es-ES_tradnl"/>
        </w:rPr>
        <w:t>ma Anual de Obras y Tabulador de Sueldos del 2025.</w:t>
      </w:r>
    </w:p>
    <w:p w14:paraId="28400040" w14:textId="77777777" w:rsidR="00C06017" w:rsidRPr="00E256D6" w:rsidRDefault="00C06017" w:rsidP="00C06017">
      <w:pPr>
        <w:tabs>
          <w:tab w:val="left" w:pos="4962"/>
        </w:tabs>
        <w:spacing w:line="360" w:lineRule="auto"/>
        <w:contextualSpacing/>
        <w:jc w:val="both"/>
        <w:rPr>
          <w:rFonts w:ascii="Palatino Linotype" w:hAnsi="Palatino Linotype" w:cs="Tahoma"/>
          <w:sz w:val="24"/>
          <w:szCs w:val="28"/>
        </w:rPr>
      </w:pPr>
    </w:p>
    <w:p w14:paraId="3A56634E" w14:textId="77777777" w:rsidR="008306F4" w:rsidRPr="00D168C3" w:rsidRDefault="008306F4" w:rsidP="008306F4">
      <w:pPr>
        <w:spacing w:line="360" w:lineRule="auto"/>
        <w:ind w:right="-91"/>
        <w:contextualSpacing/>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En relación a los presentes puntos el Tesorero Municipal señaló que para el </w:t>
      </w:r>
      <w:r w:rsidRPr="004D790E">
        <w:rPr>
          <w:rFonts w:ascii="Palatino Linotype" w:hAnsi="Palatino Linotype" w:cs="Tahoma"/>
          <w:sz w:val="22"/>
          <w:szCs w:val="22"/>
        </w:rPr>
        <w:t xml:space="preserve">Programa Anual de Obra </w:t>
      </w:r>
      <w:r>
        <w:rPr>
          <w:rFonts w:ascii="Palatino Linotype" w:hAnsi="Palatino Linotype" w:cs="Tahoma"/>
          <w:sz w:val="22"/>
          <w:szCs w:val="22"/>
        </w:rPr>
        <w:t xml:space="preserve">no contaba </w:t>
      </w:r>
      <w:r w:rsidRPr="008306F4">
        <w:rPr>
          <w:rFonts w:ascii="Palatino Linotype" w:hAnsi="Palatino Linotype" w:cs="Tahoma"/>
          <w:sz w:val="22"/>
          <w:szCs w:val="22"/>
        </w:rPr>
        <w:t xml:space="preserve">con los lineamientos técnicos ni con los montos definitivos para las obras del ejercicio </w:t>
      </w:r>
      <w:r>
        <w:rPr>
          <w:rFonts w:ascii="Palatino Linotype" w:hAnsi="Palatino Linotype" w:cs="Tahoma"/>
          <w:sz w:val="22"/>
          <w:szCs w:val="22"/>
        </w:rPr>
        <w:t>dos mil veinticinco</w:t>
      </w:r>
      <w:r w:rsidR="005F449F">
        <w:rPr>
          <w:rFonts w:ascii="Palatino Linotype" w:hAnsi="Palatino Linotype" w:cs="Tahoma"/>
          <w:sz w:val="22"/>
          <w:szCs w:val="22"/>
        </w:rPr>
        <w:t xml:space="preserve">, y sobre el Tabulador que </w:t>
      </w:r>
      <w:r w:rsidR="005F449F" w:rsidRPr="005F449F">
        <w:rPr>
          <w:rFonts w:ascii="Palatino Linotype" w:hAnsi="Palatino Linotype" w:cs="Tahoma"/>
          <w:sz w:val="22"/>
          <w:szCs w:val="22"/>
        </w:rPr>
        <w:t>no e</w:t>
      </w:r>
      <w:r w:rsidR="005F449F">
        <w:rPr>
          <w:rFonts w:ascii="Palatino Linotype" w:hAnsi="Palatino Linotype" w:cs="Tahoma"/>
          <w:sz w:val="22"/>
          <w:szCs w:val="22"/>
        </w:rPr>
        <w:t>ra</w:t>
      </w:r>
      <w:r w:rsidR="005F449F" w:rsidRPr="005F449F">
        <w:rPr>
          <w:rFonts w:ascii="Palatino Linotype" w:hAnsi="Palatino Linotype" w:cs="Tahoma"/>
          <w:sz w:val="22"/>
          <w:szCs w:val="22"/>
        </w:rPr>
        <w:t xml:space="preserve"> posible proporcionar</w:t>
      </w:r>
      <w:r w:rsidR="005F449F">
        <w:rPr>
          <w:rFonts w:ascii="Palatino Linotype" w:hAnsi="Palatino Linotype" w:cs="Tahoma"/>
          <w:sz w:val="22"/>
          <w:szCs w:val="22"/>
        </w:rPr>
        <w:t>lo</w:t>
      </w:r>
      <w:r w:rsidR="005F449F" w:rsidRPr="005F449F">
        <w:rPr>
          <w:rFonts w:ascii="Palatino Linotype" w:hAnsi="Palatino Linotype" w:cs="Tahoma"/>
          <w:sz w:val="22"/>
          <w:szCs w:val="22"/>
        </w:rPr>
        <w:t xml:space="preserve"> exacto que cumpla con todos los requisitos de veracidad</w:t>
      </w:r>
      <w:r>
        <w:rPr>
          <w:rFonts w:ascii="Palatino Linotype" w:hAnsi="Palatino Linotype" w:cs="Tahoma"/>
          <w:sz w:val="22"/>
          <w:szCs w:val="22"/>
        </w:rPr>
        <w:t xml:space="preserve">, en ese sentido </w:t>
      </w:r>
      <w:r w:rsidRPr="00D168C3">
        <w:rPr>
          <w:rFonts w:ascii="Palatino Linotype" w:eastAsia="Calibri" w:hAnsi="Palatino Linotype" w:cs="Tahoma"/>
          <w:iCs/>
          <w:sz w:val="22"/>
          <w:szCs w:val="22"/>
          <w:lang w:eastAsia="es-ES_tradnl"/>
        </w:rPr>
        <w:t xml:space="preserve">se trae a colación el Código Financiero del Estado de México y Municipios que en su artículo 351 señala que los Ayuntamientos al aprobar en forma definitiva su presupuesto de egresos, deberán publicar en la "Gaceta Municipal" de manera clara y entendible, todas y cada una de las partidas que lo integran, las remuneraciones de todo tipo aprobadas para las y los miembros del ayuntamiento y para las personas servidoras públicas en general, incluyendo mandos medios y superiores de la administración municipal, a más tardar el </w:t>
      </w:r>
      <w:r>
        <w:rPr>
          <w:rFonts w:ascii="Palatino Linotype" w:eastAsia="Calibri" w:hAnsi="Palatino Linotype" w:cs="Tahoma"/>
          <w:iCs/>
          <w:sz w:val="22"/>
          <w:szCs w:val="22"/>
          <w:lang w:eastAsia="es-ES_tradnl"/>
        </w:rPr>
        <w:t>veinticinco</w:t>
      </w:r>
      <w:r w:rsidRPr="00D168C3">
        <w:rPr>
          <w:rFonts w:ascii="Palatino Linotype" w:eastAsia="Calibri" w:hAnsi="Palatino Linotype" w:cs="Tahoma"/>
          <w:iCs/>
          <w:sz w:val="22"/>
          <w:szCs w:val="22"/>
          <w:lang w:eastAsia="es-ES_tradnl"/>
        </w:rPr>
        <w:t xml:space="preserve"> de febrero del año para el cual habrá de aplicar dicho presupuesto.</w:t>
      </w:r>
    </w:p>
    <w:p w14:paraId="1F2C68D3" w14:textId="77777777" w:rsidR="008306F4" w:rsidRPr="00D168C3" w:rsidRDefault="008306F4" w:rsidP="008306F4">
      <w:pPr>
        <w:spacing w:line="360" w:lineRule="auto"/>
        <w:ind w:right="-93"/>
        <w:jc w:val="both"/>
        <w:rPr>
          <w:rFonts w:ascii="Palatino Linotype" w:eastAsia="Calibri" w:hAnsi="Palatino Linotype" w:cs="Tahoma"/>
          <w:iCs/>
          <w:sz w:val="22"/>
          <w:szCs w:val="22"/>
          <w:lang w:eastAsia="es-ES_tradnl"/>
        </w:rPr>
      </w:pPr>
    </w:p>
    <w:p w14:paraId="05BE370E" w14:textId="77777777" w:rsidR="008306F4" w:rsidRPr="00D808D4" w:rsidRDefault="008306F4" w:rsidP="008306F4">
      <w:pPr>
        <w:spacing w:line="360" w:lineRule="auto"/>
        <w:ind w:right="-93"/>
        <w:jc w:val="both"/>
        <w:rPr>
          <w:rFonts w:ascii="Palatino Linotype" w:hAnsi="Palatino Linotype" w:cs="Tahoma"/>
          <w:sz w:val="22"/>
          <w:szCs w:val="22"/>
        </w:rPr>
      </w:pPr>
      <w:r w:rsidRPr="00D168C3">
        <w:rPr>
          <w:rFonts w:ascii="Palatino Linotype" w:eastAsia="Calibri" w:hAnsi="Palatino Linotype" w:cs="Tahoma"/>
          <w:iCs/>
          <w:sz w:val="22"/>
          <w:szCs w:val="22"/>
          <w:lang w:eastAsia="es-ES_tradnl"/>
        </w:rPr>
        <w:t xml:space="preserve">Derivado de lo anterior, </w:t>
      </w:r>
      <w:r>
        <w:rPr>
          <w:rFonts w:ascii="Palatino Linotype" w:eastAsia="Calibri" w:hAnsi="Palatino Linotype" w:cs="Tahoma"/>
          <w:iCs/>
          <w:sz w:val="22"/>
          <w:szCs w:val="22"/>
          <w:lang w:eastAsia="es-ES_tradnl"/>
        </w:rPr>
        <w:t xml:space="preserve">es necesario señalar que el Manual para </w:t>
      </w:r>
      <w:r w:rsidRPr="00D808D4">
        <w:rPr>
          <w:rFonts w:ascii="Palatino Linotype" w:eastAsia="Calibri" w:hAnsi="Palatino Linotype" w:cs="Tahoma"/>
          <w:bCs/>
          <w:iCs/>
          <w:sz w:val="22"/>
          <w:szCs w:val="22"/>
          <w:lang w:val="es-ES" w:eastAsia="en-US"/>
        </w:rPr>
        <w:t xml:space="preserve">la Planeación, Programación y Presupuesto de Egresos Municipal para el ejercicio fiscal dos mil </w:t>
      </w:r>
      <w:r>
        <w:rPr>
          <w:rFonts w:ascii="Palatino Linotype" w:eastAsia="Calibri" w:hAnsi="Palatino Linotype" w:cs="Tahoma"/>
          <w:bCs/>
          <w:iCs/>
          <w:sz w:val="22"/>
          <w:szCs w:val="22"/>
          <w:lang w:val="es-ES" w:eastAsia="en-US"/>
        </w:rPr>
        <w:t>veinticinco</w:t>
      </w:r>
      <w:r w:rsidRPr="00D808D4">
        <w:rPr>
          <w:rFonts w:ascii="Palatino Linotype" w:hAnsi="Palatino Linotype" w:cs="Tahoma"/>
          <w:sz w:val="22"/>
          <w:szCs w:val="22"/>
        </w:rPr>
        <w:t xml:space="preserve">, </w:t>
      </w:r>
      <w:proofErr w:type="gramStart"/>
      <w:r w:rsidRPr="00D808D4">
        <w:rPr>
          <w:rFonts w:ascii="Palatino Linotype" w:hAnsi="Palatino Linotype" w:cs="Tahoma"/>
          <w:sz w:val="22"/>
          <w:szCs w:val="22"/>
        </w:rPr>
        <w:t>que</w:t>
      </w:r>
      <w:proofErr w:type="gramEnd"/>
      <w:r w:rsidRPr="00D808D4">
        <w:rPr>
          <w:rFonts w:ascii="Palatino Linotype" w:hAnsi="Palatino Linotype" w:cs="Tahoma"/>
          <w:sz w:val="22"/>
          <w:szCs w:val="22"/>
        </w:rPr>
        <w:t xml:space="preserve"> en su apartado de Introducción, precisa que tiene como propósito dicho manual, apoyar a los Ayuntamientos y entidades públicas municipales, para integrar el Anteproyecto y Proyecto de Presupuesto de Egresos Municipal.</w:t>
      </w:r>
    </w:p>
    <w:p w14:paraId="6D52C3BD" w14:textId="77777777" w:rsidR="008306F4" w:rsidRPr="00D808D4" w:rsidRDefault="008306F4" w:rsidP="008306F4">
      <w:pPr>
        <w:tabs>
          <w:tab w:val="left" w:pos="4962"/>
        </w:tabs>
        <w:spacing w:line="360" w:lineRule="auto"/>
        <w:jc w:val="both"/>
        <w:rPr>
          <w:rFonts w:ascii="Palatino Linotype" w:hAnsi="Palatino Linotype" w:cs="Tahoma"/>
          <w:sz w:val="22"/>
          <w:szCs w:val="22"/>
        </w:rPr>
      </w:pPr>
    </w:p>
    <w:p w14:paraId="1B2C1795" w14:textId="77777777" w:rsidR="008306F4" w:rsidRDefault="008306F4" w:rsidP="008306F4">
      <w:pPr>
        <w:spacing w:line="360" w:lineRule="auto"/>
        <w:ind w:right="-93"/>
        <w:jc w:val="both"/>
        <w:rPr>
          <w:rFonts w:ascii="Palatino Linotype" w:eastAsia="Calibri" w:hAnsi="Palatino Linotype" w:cs="Tahoma"/>
          <w:bCs/>
          <w:sz w:val="22"/>
          <w:szCs w:val="22"/>
          <w:lang w:eastAsia="en-US"/>
        </w:rPr>
      </w:pPr>
      <w:r w:rsidRPr="00D808D4">
        <w:rPr>
          <w:rFonts w:ascii="Palatino Linotype" w:eastAsia="Calibri" w:hAnsi="Palatino Linotype" w:cs="Tahoma"/>
          <w:bCs/>
          <w:sz w:val="22"/>
          <w:szCs w:val="22"/>
          <w:lang w:eastAsia="en-US"/>
        </w:rPr>
        <w:t>Del Manual anteriormente referido, en el punto 3.</w:t>
      </w:r>
      <w:r>
        <w:rPr>
          <w:rFonts w:ascii="Palatino Linotype" w:eastAsia="Calibri" w:hAnsi="Palatino Linotype" w:cs="Tahoma"/>
          <w:bCs/>
          <w:sz w:val="22"/>
          <w:szCs w:val="22"/>
          <w:lang w:eastAsia="en-US"/>
        </w:rPr>
        <w:t>4</w:t>
      </w:r>
      <w:r w:rsidRPr="00D808D4">
        <w:rPr>
          <w:rFonts w:ascii="Palatino Linotype" w:eastAsia="Calibri" w:hAnsi="Palatino Linotype" w:cs="Tahoma"/>
          <w:bCs/>
          <w:sz w:val="22"/>
          <w:szCs w:val="22"/>
          <w:lang w:eastAsia="en-US"/>
        </w:rPr>
        <w:t xml:space="preserve"> </w:t>
      </w:r>
      <w:r w:rsidRPr="00924635">
        <w:rPr>
          <w:rFonts w:ascii="Palatino Linotype" w:eastAsia="Calibri" w:hAnsi="Palatino Linotype" w:cs="Tahoma"/>
          <w:bCs/>
          <w:sz w:val="22"/>
          <w:szCs w:val="22"/>
          <w:lang w:eastAsia="en-US"/>
        </w:rPr>
        <w:t>Tercera Etapa: P</w:t>
      </w:r>
      <w:r>
        <w:rPr>
          <w:rFonts w:ascii="Palatino Linotype" w:eastAsia="Calibri" w:hAnsi="Palatino Linotype" w:cs="Tahoma"/>
          <w:bCs/>
          <w:sz w:val="22"/>
          <w:szCs w:val="22"/>
          <w:lang w:eastAsia="en-US"/>
        </w:rPr>
        <w:t>resupuesto de Egresos Municipal señala que l</w:t>
      </w:r>
      <w:r w:rsidRPr="00924635">
        <w:rPr>
          <w:rFonts w:ascii="Palatino Linotype" w:eastAsia="Calibri" w:hAnsi="Palatino Linotype" w:cs="Tahoma"/>
          <w:bCs/>
          <w:sz w:val="22"/>
          <w:szCs w:val="22"/>
          <w:lang w:eastAsia="en-US"/>
        </w:rPr>
        <w:t xml:space="preserve">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924635">
        <w:rPr>
          <w:rFonts w:ascii="Palatino Linotype" w:eastAsia="Calibri" w:hAnsi="Palatino Linotype" w:cs="Tahoma"/>
          <w:bCs/>
          <w:sz w:val="22"/>
          <w:szCs w:val="22"/>
          <w:u w:val="single"/>
          <w:lang w:eastAsia="en-US"/>
        </w:rPr>
        <w:t xml:space="preserve">El </w:t>
      </w:r>
      <w:proofErr w:type="gramStart"/>
      <w:r w:rsidRPr="00924635">
        <w:rPr>
          <w:rFonts w:ascii="Palatino Linotype" w:eastAsia="Calibri" w:hAnsi="Palatino Linotype" w:cs="Tahoma"/>
          <w:bCs/>
          <w:sz w:val="22"/>
          <w:szCs w:val="22"/>
          <w:u w:val="single"/>
          <w:lang w:eastAsia="en-US"/>
        </w:rPr>
        <w:t>Presidente</w:t>
      </w:r>
      <w:proofErr w:type="gramEnd"/>
      <w:r w:rsidRPr="00924635">
        <w:rPr>
          <w:rFonts w:ascii="Palatino Linotype" w:eastAsia="Calibri" w:hAnsi="Palatino Linotype" w:cs="Tahoma"/>
          <w:bCs/>
          <w:sz w:val="22"/>
          <w:szCs w:val="22"/>
          <w:u w:val="single"/>
          <w:lang w:eastAsia="en-US"/>
        </w:rPr>
        <w:t xml:space="preserve"> Municipal, promulgará y publicará el Presupuesto de Egresos Municipal, a más tardar el día 25 de febrero de cada año debiendo enviarlo al Órgano Superior de Fiscalización en la misma fecha, observando asimismo lo dispuesto en el artículo 47 de la Ley de Fiscalización Superior del Estado de México vigente</w:t>
      </w:r>
      <w:r w:rsidRPr="00924635">
        <w:rPr>
          <w:rFonts w:ascii="Palatino Linotype" w:eastAsia="Calibri" w:hAnsi="Palatino Linotype" w:cs="Tahoma"/>
          <w:bCs/>
          <w:sz w:val="22"/>
          <w:szCs w:val="22"/>
          <w:lang w:eastAsia="en-US"/>
        </w:rPr>
        <w:t>.</w:t>
      </w:r>
    </w:p>
    <w:p w14:paraId="05917497" w14:textId="77777777" w:rsidR="008306F4" w:rsidRDefault="008306F4" w:rsidP="008306F4">
      <w:pPr>
        <w:spacing w:line="360" w:lineRule="auto"/>
        <w:ind w:right="-93"/>
        <w:jc w:val="both"/>
        <w:rPr>
          <w:rFonts w:ascii="Palatino Linotype" w:eastAsia="Calibri" w:hAnsi="Palatino Linotype" w:cs="Tahoma"/>
          <w:bCs/>
          <w:sz w:val="22"/>
          <w:szCs w:val="22"/>
          <w:lang w:eastAsia="en-US"/>
        </w:rPr>
      </w:pPr>
    </w:p>
    <w:p w14:paraId="383286F1" w14:textId="77777777" w:rsidR="008306F4" w:rsidRDefault="008306F4" w:rsidP="008306F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señala </w:t>
      </w:r>
      <w:r w:rsidRPr="00924635">
        <w:rPr>
          <w:rFonts w:ascii="Palatino Linotype" w:eastAsia="Calibri" w:hAnsi="Palatino Linotype" w:cs="Tahoma"/>
          <w:bCs/>
          <w:sz w:val="22"/>
          <w:szCs w:val="22"/>
          <w:lang w:eastAsia="en-US"/>
        </w:rPr>
        <w:t>Información Vinc</w:t>
      </w:r>
      <w:r>
        <w:rPr>
          <w:rFonts w:ascii="Palatino Linotype" w:eastAsia="Calibri" w:hAnsi="Palatino Linotype" w:cs="Tahoma"/>
          <w:bCs/>
          <w:sz w:val="22"/>
          <w:szCs w:val="22"/>
          <w:lang w:eastAsia="en-US"/>
        </w:rPr>
        <w:t>ulada al Presupuesto de Egresos dentro de la que se encuentra el Programa Anual de Obra PbRM-07</w:t>
      </w:r>
      <w:r w:rsidR="005F449F">
        <w:rPr>
          <w:rFonts w:ascii="Palatino Linotype" w:eastAsia="Calibri" w:hAnsi="Palatino Linotype" w:cs="Tahoma"/>
          <w:bCs/>
          <w:sz w:val="22"/>
          <w:szCs w:val="22"/>
          <w:lang w:eastAsia="en-US"/>
        </w:rPr>
        <w:t>ª y el Tabulador de Sueldos PbRM-05</w:t>
      </w:r>
      <w:r>
        <w:rPr>
          <w:rFonts w:ascii="Palatino Linotype" w:eastAsia="Calibri" w:hAnsi="Palatino Linotype" w:cs="Tahoma"/>
          <w:bCs/>
          <w:sz w:val="22"/>
          <w:szCs w:val="22"/>
          <w:lang w:eastAsia="en-US"/>
        </w:rPr>
        <w:t>, que además ejemplifica con la siguiente imagen:</w:t>
      </w:r>
    </w:p>
    <w:p w14:paraId="056FAD56" w14:textId="77777777" w:rsidR="008306F4" w:rsidRDefault="008306F4" w:rsidP="008306F4">
      <w:pPr>
        <w:spacing w:line="360" w:lineRule="auto"/>
        <w:ind w:right="-93"/>
        <w:jc w:val="both"/>
        <w:rPr>
          <w:rFonts w:ascii="Palatino Linotype" w:eastAsia="Calibri" w:hAnsi="Palatino Linotype" w:cs="Tahoma"/>
          <w:bCs/>
          <w:sz w:val="22"/>
          <w:szCs w:val="22"/>
          <w:lang w:eastAsia="en-US"/>
        </w:rPr>
      </w:pPr>
    </w:p>
    <w:p w14:paraId="2859714B" w14:textId="77777777" w:rsidR="008306F4" w:rsidRDefault="008306F4" w:rsidP="008306F4">
      <w:pPr>
        <w:tabs>
          <w:tab w:val="left" w:pos="4962"/>
        </w:tabs>
        <w:spacing w:line="360" w:lineRule="auto"/>
        <w:jc w:val="center"/>
        <w:rPr>
          <w:rFonts w:ascii="Palatino Linotype" w:eastAsia="Calibri" w:hAnsi="Palatino Linotype" w:cs="Tahoma"/>
          <w:iCs/>
          <w:sz w:val="22"/>
          <w:szCs w:val="22"/>
          <w:lang w:eastAsia="es-ES_tradnl"/>
        </w:rPr>
      </w:pPr>
      <w:r w:rsidRPr="00924635">
        <w:rPr>
          <w:rFonts w:ascii="Palatino Linotype" w:eastAsia="Calibri" w:hAnsi="Palatino Linotype" w:cs="Tahoma"/>
          <w:iCs/>
          <w:noProof/>
          <w:sz w:val="22"/>
          <w:szCs w:val="22"/>
          <w:lang w:eastAsia="es-MX"/>
        </w:rPr>
        <w:drawing>
          <wp:inline distT="0" distB="0" distL="0" distR="0" wp14:anchorId="0702BB0D" wp14:editId="0ECE9880">
            <wp:extent cx="3524595" cy="29022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6138" cy="2919957"/>
                    </a:xfrm>
                    <a:prstGeom prst="rect">
                      <a:avLst/>
                    </a:prstGeom>
                  </pic:spPr>
                </pic:pic>
              </a:graphicData>
            </a:graphic>
          </wp:inline>
        </w:drawing>
      </w:r>
    </w:p>
    <w:p w14:paraId="0A5C14CE" w14:textId="77777777" w:rsidR="008306F4" w:rsidRDefault="008306F4" w:rsidP="008306F4">
      <w:pPr>
        <w:tabs>
          <w:tab w:val="left" w:pos="4962"/>
        </w:tabs>
        <w:spacing w:line="360" w:lineRule="auto"/>
        <w:jc w:val="both"/>
        <w:rPr>
          <w:rFonts w:ascii="Palatino Linotype" w:eastAsia="Calibri" w:hAnsi="Palatino Linotype" w:cs="Tahoma"/>
          <w:iCs/>
          <w:sz w:val="22"/>
          <w:szCs w:val="22"/>
          <w:lang w:eastAsia="es-ES_tradnl"/>
        </w:rPr>
      </w:pPr>
    </w:p>
    <w:p w14:paraId="1E3B65DF" w14:textId="6B073DAB" w:rsidR="00E256D6" w:rsidRDefault="008306F4" w:rsidP="008306F4">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Derivado de lo anterior, se puede concluir que el Programa anual de obra</w:t>
      </w:r>
      <w:r w:rsidR="005F449F">
        <w:rPr>
          <w:rFonts w:ascii="Palatino Linotype" w:eastAsia="Calibri" w:hAnsi="Palatino Linotype" w:cs="Tahoma"/>
          <w:iCs/>
          <w:sz w:val="22"/>
          <w:szCs w:val="22"/>
          <w:lang w:eastAsia="es-ES_tradnl"/>
        </w:rPr>
        <w:t xml:space="preserve"> y el Tabulador de sueldos </w:t>
      </w:r>
      <w:r>
        <w:rPr>
          <w:rFonts w:ascii="Palatino Linotype" w:eastAsia="Calibri" w:hAnsi="Palatino Linotype" w:cs="Tahoma"/>
          <w:iCs/>
          <w:sz w:val="22"/>
          <w:szCs w:val="22"/>
          <w:lang w:eastAsia="es-ES_tradnl"/>
        </w:rPr>
        <w:t>forma</w:t>
      </w:r>
      <w:r w:rsidR="005F449F">
        <w:rPr>
          <w:rFonts w:ascii="Palatino Linotype" w:eastAsia="Calibri" w:hAnsi="Palatino Linotype" w:cs="Tahoma"/>
          <w:iCs/>
          <w:sz w:val="22"/>
          <w:szCs w:val="22"/>
          <w:lang w:eastAsia="es-ES_tradnl"/>
        </w:rPr>
        <w:t>n</w:t>
      </w:r>
      <w:r>
        <w:rPr>
          <w:rFonts w:ascii="Palatino Linotype" w:eastAsia="Calibri" w:hAnsi="Palatino Linotype" w:cs="Tahoma"/>
          <w:iCs/>
          <w:sz w:val="22"/>
          <w:szCs w:val="22"/>
          <w:lang w:eastAsia="es-ES_tradnl"/>
        </w:rPr>
        <w:t xml:space="preserve"> parte del presupuesto de egresos, el cual ya de acuerdo a la normatividad citada </w:t>
      </w:r>
      <w:r w:rsidR="005F449F">
        <w:rPr>
          <w:rFonts w:ascii="Palatino Linotype" w:eastAsia="Calibri" w:hAnsi="Palatino Linotype" w:cs="Tahoma"/>
          <w:iCs/>
          <w:sz w:val="22"/>
          <w:szCs w:val="22"/>
          <w:lang w:eastAsia="es-ES_tradnl"/>
        </w:rPr>
        <w:t xml:space="preserve">se </w:t>
      </w:r>
      <w:r>
        <w:rPr>
          <w:rFonts w:ascii="Palatino Linotype" w:eastAsia="Calibri" w:hAnsi="Palatino Linotype" w:cs="Tahoma"/>
          <w:iCs/>
          <w:sz w:val="22"/>
          <w:szCs w:val="22"/>
          <w:lang w:eastAsia="es-ES_tradnl"/>
        </w:rPr>
        <w:t>deb</w:t>
      </w:r>
      <w:r w:rsidR="005F449F">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 xml:space="preserve"> aproba</w:t>
      </w:r>
      <w:r w:rsidR="005F449F">
        <w:rPr>
          <w:rFonts w:ascii="Palatino Linotype" w:eastAsia="Calibri" w:hAnsi="Palatino Linotype" w:cs="Tahoma"/>
          <w:iCs/>
          <w:sz w:val="22"/>
          <w:szCs w:val="22"/>
          <w:lang w:eastAsia="es-ES_tradnl"/>
        </w:rPr>
        <w:t>r a más tardar el veinticinco de febrero del ejercicio fiscal correspondiente</w:t>
      </w:r>
      <w:r>
        <w:rPr>
          <w:rFonts w:ascii="Palatino Linotype" w:eastAsia="Calibri" w:hAnsi="Palatino Linotype" w:cs="Tahoma"/>
          <w:iCs/>
          <w:sz w:val="22"/>
          <w:szCs w:val="22"/>
          <w:lang w:eastAsia="es-ES_tradnl"/>
        </w:rPr>
        <w:t xml:space="preserve">, razón por la cual, resulta </w:t>
      </w:r>
      <w:r w:rsidR="005F449F">
        <w:rPr>
          <w:rFonts w:ascii="Palatino Linotype" w:eastAsia="Calibri" w:hAnsi="Palatino Linotype" w:cs="Tahoma"/>
          <w:iCs/>
          <w:sz w:val="22"/>
          <w:szCs w:val="22"/>
          <w:lang w:eastAsia="es-ES_tradnl"/>
        </w:rPr>
        <w:t>cierta la manifestación realizada por el Sujeto Obligado en razón de que aún no cuenta con la información interés del Solicitante</w:t>
      </w:r>
      <w:r w:rsidR="00E256D6">
        <w:rPr>
          <w:rFonts w:ascii="Palatino Linotype" w:eastAsia="Calibri" w:hAnsi="Palatino Linotype" w:cs="Tahoma"/>
          <w:iCs/>
          <w:sz w:val="22"/>
          <w:szCs w:val="22"/>
          <w:lang w:eastAsia="es-ES_tradnl"/>
        </w:rPr>
        <w:t>, es decir, la información solicitada era inexistente a la fecha de la solicitud.</w:t>
      </w:r>
    </w:p>
    <w:p w14:paraId="1520E35B" w14:textId="77777777" w:rsidR="00E256D6" w:rsidRDefault="00E256D6" w:rsidP="008306F4">
      <w:pPr>
        <w:spacing w:line="360" w:lineRule="auto"/>
        <w:jc w:val="both"/>
        <w:rPr>
          <w:rFonts w:ascii="Palatino Linotype" w:eastAsia="Calibri" w:hAnsi="Palatino Linotype" w:cs="Tahoma"/>
          <w:iCs/>
          <w:sz w:val="22"/>
          <w:szCs w:val="22"/>
          <w:lang w:eastAsia="es-ES_tradnl"/>
        </w:rPr>
      </w:pPr>
    </w:p>
    <w:p w14:paraId="1B530177" w14:textId="2DC6FE5D"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t>S</w:t>
      </w:r>
      <w:r w:rsidRPr="00E256D6">
        <w:rPr>
          <w:rFonts w:ascii="Palatino Linotype" w:eastAsia="Calibri" w:hAnsi="Palatino Linotype"/>
          <w:color w:val="000000" w:themeColor="text1"/>
          <w:sz w:val="22"/>
          <w:szCs w:val="22"/>
          <w:lang w:eastAsia="en-US"/>
        </w:rPr>
        <w:t xml:space="preserve">obre el tema, el Criterio SO/014/2017, emitido por el Instituto Nacional de Transparencia, Acceso a la 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5A6BEEFF"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p>
    <w:p w14:paraId="79BC9263"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r w:rsidRPr="00E256D6">
        <w:rPr>
          <w:rFonts w:ascii="Palatino Linotype" w:eastAsia="Calibri" w:hAnsi="Palatino Linotype"/>
          <w:color w:val="000000" w:themeColor="text1"/>
          <w:sz w:val="22"/>
          <w:szCs w:val="22"/>
          <w:lang w:eastAsia="en-US"/>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5248D36E"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p>
    <w:p w14:paraId="4EE3F95A"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r w:rsidRPr="00E256D6">
        <w:rPr>
          <w:rFonts w:ascii="Palatino Linotype" w:eastAsia="Calibri" w:hAnsi="Palatino Linotype"/>
          <w:color w:val="000000" w:themeColor="text1"/>
          <w:sz w:val="22"/>
          <w:szCs w:val="22"/>
          <w:lang w:eastAsia="en-US"/>
        </w:rPr>
        <w:t xml:space="preserve">Así, es posible concluir que la </w:t>
      </w:r>
      <w:r w:rsidRPr="00E256D6">
        <w:rPr>
          <w:rFonts w:ascii="Palatino Linotype" w:eastAsia="Calibri" w:hAnsi="Palatino Linotype"/>
          <w:b/>
          <w:bCs/>
          <w:color w:val="000000" w:themeColor="text1"/>
          <w:sz w:val="22"/>
          <w:szCs w:val="22"/>
          <w:lang w:eastAsia="en-US"/>
        </w:rPr>
        <w:t>inexistencia</w:t>
      </w:r>
      <w:r w:rsidRPr="00E256D6">
        <w:rPr>
          <w:rFonts w:ascii="Palatino Linotype" w:eastAsia="Calibri" w:hAnsi="Palatino Linotype"/>
          <w:color w:val="000000" w:themeColor="text1"/>
          <w:sz w:val="22"/>
          <w:szCs w:val="22"/>
          <w:lang w:eastAsia="en-US"/>
        </w:rPr>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1AE1DC19"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p>
    <w:p w14:paraId="65C55BDC" w14:textId="7643E4F5"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r w:rsidRPr="00E256D6">
        <w:rPr>
          <w:rFonts w:ascii="Palatino Linotype" w:eastAsia="Calibri" w:hAnsi="Palatino Linotype"/>
          <w:color w:val="000000" w:themeColor="text1"/>
          <w:sz w:val="22"/>
          <w:szCs w:val="22"/>
          <w:lang w:eastAsia="en-US"/>
        </w:rPr>
        <w:t xml:space="preserve">Así, se logra vislumbrar que </w:t>
      </w:r>
      <w:r>
        <w:rPr>
          <w:rFonts w:ascii="Palatino Linotype" w:eastAsia="Calibri" w:hAnsi="Palatino Linotype"/>
          <w:color w:val="000000" w:themeColor="text1"/>
          <w:sz w:val="22"/>
          <w:szCs w:val="22"/>
          <w:lang w:eastAsia="en-US"/>
        </w:rPr>
        <w:t>el Sujeto Obligado</w:t>
      </w:r>
      <w:r w:rsidRPr="00E256D6">
        <w:rPr>
          <w:rFonts w:ascii="Palatino Linotype" w:eastAsia="Calibri" w:hAnsi="Palatino Linotype"/>
          <w:color w:val="000000" w:themeColor="text1"/>
          <w:sz w:val="22"/>
          <w:szCs w:val="22"/>
          <w:lang w:eastAsia="en-US"/>
        </w:rPr>
        <w:t xml:space="preserve"> aludió que no contaba con la información solicitada, lo cual toma relevancia, pues este Instituto realizó una búsqueda en la página </w:t>
      </w:r>
      <w:r w:rsidRPr="00E256D6">
        <w:rPr>
          <w:rFonts w:ascii="Palatino Linotype" w:eastAsia="Calibri" w:hAnsi="Palatino Linotype"/>
          <w:color w:val="000000" w:themeColor="text1"/>
          <w:sz w:val="22"/>
          <w:szCs w:val="22"/>
          <w:lang w:eastAsia="en-US"/>
        </w:rPr>
        <w:lastRenderedPageBreak/>
        <w:t>oficial, el Portal de Información Pública de Oficio Mexiquense y las cuentas oficiales de las redes sociales del Sujeto Obligado, y no localizó algún indicio de la existencia de la información peticionada</w:t>
      </w:r>
      <w:r>
        <w:rPr>
          <w:rFonts w:ascii="Palatino Linotype" w:eastAsia="Calibri" w:hAnsi="Palatino Linotype"/>
          <w:color w:val="000000" w:themeColor="text1"/>
          <w:sz w:val="22"/>
          <w:szCs w:val="22"/>
          <w:lang w:eastAsia="en-US"/>
        </w:rPr>
        <w:t xml:space="preserve"> a la fecha de la solicitud, pues no se había aprobado el Presupuesto Municipal.</w:t>
      </w:r>
    </w:p>
    <w:p w14:paraId="5F61EA46"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p>
    <w:p w14:paraId="4A657A16"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r w:rsidRPr="00E256D6">
        <w:rPr>
          <w:rFonts w:ascii="Palatino Linotype" w:eastAsia="Calibri" w:hAnsi="Palatino Linotype"/>
          <w:color w:val="000000" w:themeColor="text1"/>
          <w:sz w:val="22"/>
          <w:szCs w:val="22"/>
          <w:lang w:eastAsia="en-US"/>
        </w:rPr>
        <w:t>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32098518"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p>
    <w:p w14:paraId="3243C129"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r w:rsidRPr="00E256D6">
        <w:rPr>
          <w:rFonts w:ascii="Palatino Linotype" w:eastAsia="Calibri" w:hAnsi="Palatino Linotype"/>
          <w:color w:val="000000" w:themeColor="text1"/>
          <w:sz w:val="22"/>
          <w:szCs w:val="22"/>
          <w:lang w:eastAsia="en-US"/>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C561AC2" w14:textId="77777777"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p>
    <w:p w14:paraId="3E4D6EA6" w14:textId="1A1162C4" w:rsidR="00E256D6" w:rsidRPr="00E256D6" w:rsidRDefault="00E256D6" w:rsidP="00E256D6">
      <w:pPr>
        <w:spacing w:after="160" w:line="360" w:lineRule="auto"/>
        <w:contextualSpacing/>
        <w:jc w:val="both"/>
        <w:rPr>
          <w:rFonts w:ascii="Palatino Linotype" w:eastAsia="Calibri" w:hAnsi="Palatino Linotype"/>
          <w:color w:val="000000" w:themeColor="text1"/>
          <w:sz w:val="22"/>
          <w:szCs w:val="22"/>
          <w:lang w:eastAsia="en-US"/>
        </w:rPr>
      </w:pPr>
      <w:r w:rsidRPr="00E256D6">
        <w:rPr>
          <w:rFonts w:ascii="Palatino Linotype" w:eastAsia="Calibri" w:hAnsi="Palatino Linotype"/>
          <w:color w:val="000000" w:themeColor="text1"/>
          <w:sz w:val="22"/>
          <w:szCs w:val="22"/>
          <w:lang w:eastAsia="en-US"/>
        </w:rPr>
        <w:t>Así, dicho criterio aplica al caso en concreto</w:t>
      </w:r>
      <w:r>
        <w:rPr>
          <w:rFonts w:ascii="Palatino Linotype" w:eastAsia="Calibri" w:hAnsi="Palatino Linotype"/>
          <w:color w:val="000000" w:themeColor="text1"/>
          <w:sz w:val="22"/>
          <w:szCs w:val="22"/>
          <w:lang w:eastAsia="en-US"/>
        </w:rPr>
        <w:t xml:space="preserve">, pues a la fecha de la solicitud no se había aprobado el Presupuesto Municipal </w:t>
      </w:r>
      <w:proofErr w:type="gramStart"/>
      <w:r>
        <w:rPr>
          <w:rFonts w:ascii="Palatino Linotype" w:eastAsia="Calibri" w:hAnsi="Palatino Linotype"/>
          <w:color w:val="000000" w:themeColor="text1"/>
          <w:sz w:val="22"/>
          <w:szCs w:val="22"/>
          <w:lang w:eastAsia="en-US"/>
        </w:rPr>
        <w:t>y</w:t>
      </w:r>
      <w:proofErr w:type="gramEnd"/>
      <w:r>
        <w:rPr>
          <w:rFonts w:ascii="Palatino Linotype" w:eastAsia="Calibri" w:hAnsi="Palatino Linotype"/>
          <w:color w:val="000000" w:themeColor="text1"/>
          <w:sz w:val="22"/>
          <w:szCs w:val="22"/>
          <w:lang w:eastAsia="en-US"/>
        </w:rPr>
        <w:t xml:space="preserve"> por lo tanto, tampoco los documentos requeridos y por lo tanto, se tiene por atendido el requerimiento de información.</w:t>
      </w:r>
      <w:r w:rsidRPr="00E256D6">
        <w:rPr>
          <w:rFonts w:ascii="Palatino Linotype" w:eastAsia="Calibri" w:hAnsi="Palatino Linotype"/>
          <w:color w:val="000000" w:themeColor="text1"/>
          <w:sz w:val="22"/>
          <w:szCs w:val="22"/>
          <w:lang w:eastAsia="en-US"/>
        </w:rPr>
        <w:t xml:space="preserve"> </w:t>
      </w:r>
    </w:p>
    <w:p w14:paraId="16BD7F82" w14:textId="77777777" w:rsidR="00E256D6" w:rsidRDefault="00E256D6" w:rsidP="008306F4">
      <w:pPr>
        <w:spacing w:line="360" w:lineRule="auto"/>
        <w:jc w:val="both"/>
        <w:rPr>
          <w:rFonts w:ascii="Palatino Linotype" w:eastAsia="Calibri" w:hAnsi="Palatino Linotype" w:cs="Tahoma"/>
          <w:iCs/>
          <w:sz w:val="22"/>
          <w:szCs w:val="22"/>
          <w:lang w:eastAsia="es-ES_tradnl"/>
        </w:rPr>
      </w:pPr>
    </w:p>
    <w:p w14:paraId="2B7D36AB" w14:textId="77777777" w:rsidR="005F449F" w:rsidRPr="00E256D6" w:rsidRDefault="005F449F" w:rsidP="00E256D6">
      <w:pPr>
        <w:tabs>
          <w:tab w:val="left" w:pos="4962"/>
        </w:tabs>
        <w:spacing w:line="360" w:lineRule="auto"/>
        <w:jc w:val="both"/>
        <w:rPr>
          <w:rFonts w:ascii="Palatino Linotype" w:eastAsia="Calibri" w:hAnsi="Palatino Linotype" w:cs="Tahoma"/>
          <w:b/>
          <w:iCs/>
          <w:sz w:val="22"/>
          <w:szCs w:val="24"/>
          <w:lang w:val="es-ES" w:eastAsia="es-ES_tradnl"/>
        </w:rPr>
      </w:pPr>
      <w:r w:rsidRPr="00E256D6">
        <w:rPr>
          <w:rFonts w:ascii="Palatino Linotype" w:eastAsia="Calibri" w:hAnsi="Palatino Linotype" w:cs="Tahoma"/>
          <w:b/>
          <w:iCs/>
          <w:sz w:val="22"/>
          <w:szCs w:val="24"/>
          <w:lang w:val="es-ES" w:eastAsia="es-ES_tradnl"/>
        </w:rPr>
        <w:t>Relación de vales de gasolina del mes de enero</w:t>
      </w:r>
    </w:p>
    <w:p w14:paraId="7DA6FF61" w14:textId="77777777" w:rsidR="005F449F" w:rsidRDefault="005F449F" w:rsidP="00377B52">
      <w:pPr>
        <w:spacing w:line="360" w:lineRule="auto"/>
        <w:jc w:val="both"/>
        <w:rPr>
          <w:rFonts w:ascii="Palatino Linotype" w:eastAsia="Calibri" w:hAnsi="Palatino Linotype" w:cs="Tahoma"/>
          <w:iCs/>
          <w:sz w:val="22"/>
          <w:szCs w:val="22"/>
          <w:lang w:eastAsia="es-ES_tradnl"/>
        </w:rPr>
      </w:pPr>
    </w:p>
    <w:p w14:paraId="0AA03476" w14:textId="77777777" w:rsidR="003254B5" w:rsidRDefault="005F449F" w:rsidP="005F449F">
      <w:pPr>
        <w:spacing w:line="360" w:lineRule="auto"/>
        <w:ind w:right="-93"/>
        <w:jc w:val="both"/>
        <w:rPr>
          <w:rFonts w:ascii="Palatino Linotype" w:hAnsi="Palatino Linotype" w:cs="Tahoma"/>
          <w:bCs/>
          <w:sz w:val="22"/>
          <w:szCs w:val="22"/>
        </w:rPr>
      </w:pPr>
      <w:r>
        <w:rPr>
          <w:rFonts w:ascii="Palatino Linotype" w:eastAsia="Calibri" w:hAnsi="Palatino Linotype" w:cs="Tahoma"/>
          <w:iCs/>
          <w:sz w:val="22"/>
          <w:szCs w:val="22"/>
          <w:lang w:val="es-ES" w:eastAsia="es-ES_tradnl"/>
        </w:rPr>
        <w:t>S</w:t>
      </w:r>
      <w:r w:rsidRPr="000F5189">
        <w:rPr>
          <w:rFonts w:ascii="Palatino Linotype" w:eastAsia="Calibri" w:hAnsi="Palatino Linotype" w:cs="Tahoma"/>
          <w:iCs/>
          <w:sz w:val="22"/>
          <w:szCs w:val="22"/>
          <w:lang w:val="es-ES" w:eastAsia="es-ES_tradnl"/>
        </w:rPr>
        <w:t>obre el tema de</w:t>
      </w:r>
      <w:r>
        <w:rPr>
          <w:rFonts w:ascii="Palatino Linotype" w:eastAsia="Calibri" w:hAnsi="Palatino Linotype" w:cs="Tahoma"/>
          <w:iCs/>
          <w:sz w:val="22"/>
          <w:szCs w:val="22"/>
          <w:lang w:val="es-ES" w:eastAsia="es-ES_tradnl"/>
        </w:rPr>
        <w:t>l presente punto</w:t>
      </w:r>
      <w:r w:rsidRPr="000F5189">
        <w:rPr>
          <w:rFonts w:ascii="Palatino Linotype" w:eastAsia="Calibri" w:hAnsi="Palatino Linotype" w:cs="Tahoma"/>
          <w:iCs/>
          <w:sz w:val="22"/>
          <w:szCs w:val="22"/>
          <w:lang w:val="es-ES" w:eastAsia="es-ES_tradnl"/>
        </w:rPr>
        <w:t xml:space="preserve"> </w:t>
      </w:r>
      <w:r w:rsidRPr="000F5189">
        <w:rPr>
          <w:rFonts w:ascii="Palatino Linotype" w:hAnsi="Palatino Linotype" w:cs="Tahoma"/>
          <w:bCs/>
          <w:sz w:val="22"/>
          <w:szCs w:val="22"/>
        </w:rPr>
        <w:t>se trae a colación el Manual para la Planeación, Programación y Presupuesto de Egresos Municipal para</w:t>
      </w:r>
      <w:r w:rsidRPr="00AA2980">
        <w:rPr>
          <w:rFonts w:ascii="Palatino Linotype" w:hAnsi="Palatino Linotype" w:cs="Tahoma"/>
          <w:bCs/>
          <w:sz w:val="22"/>
          <w:szCs w:val="22"/>
        </w:rPr>
        <w:t xml:space="preserve"> el Ejercicio Fiscal 20</w:t>
      </w:r>
      <w:r>
        <w:rPr>
          <w:rFonts w:ascii="Palatino Linotype" w:hAnsi="Palatino Linotype" w:cs="Tahoma"/>
          <w:bCs/>
          <w:sz w:val="22"/>
          <w:szCs w:val="22"/>
        </w:rPr>
        <w:t>25</w:t>
      </w:r>
      <w:r w:rsidRPr="00AA2980">
        <w:rPr>
          <w:rFonts w:ascii="Palatino Linotype" w:hAnsi="Palatino Linotype" w:cs="Tahoma"/>
          <w:bCs/>
          <w:sz w:val="22"/>
          <w:szCs w:val="22"/>
        </w:rPr>
        <w:t xml:space="preserve">, </w:t>
      </w:r>
      <w:r>
        <w:rPr>
          <w:rFonts w:ascii="Palatino Linotype" w:hAnsi="Palatino Linotype" w:cs="Tahoma"/>
          <w:bCs/>
          <w:sz w:val="22"/>
          <w:szCs w:val="22"/>
        </w:rPr>
        <w:t xml:space="preserve">el cual </w:t>
      </w:r>
      <w:r w:rsidRPr="00AA2980">
        <w:rPr>
          <w:rFonts w:ascii="Palatino Linotype" w:hAnsi="Palatino Linotype" w:cs="Tahoma"/>
          <w:bCs/>
          <w:sz w:val="22"/>
          <w:szCs w:val="22"/>
        </w:rPr>
        <w:t xml:space="preserve">establece </w:t>
      </w:r>
      <w:r>
        <w:rPr>
          <w:rFonts w:ascii="Palatino Linotype" w:hAnsi="Palatino Linotype" w:cs="Tahoma"/>
          <w:bCs/>
          <w:sz w:val="22"/>
          <w:szCs w:val="22"/>
        </w:rPr>
        <w:t>el Clasificador por objeto de</w:t>
      </w:r>
      <w:r w:rsidR="003254B5">
        <w:rPr>
          <w:rFonts w:ascii="Palatino Linotype" w:hAnsi="Palatino Linotype" w:cs="Tahoma"/>
          <w:bCs/>
          <w:sz w:val="22"/>
          <w:szCs w:val="22"/>
        </w:rPr>
        <w:t>l</w:t>
      </w:r>
      <w:r>
        <w:rPr>
          <w:rFonts w:ascii="Palatino Linotype" w:hAnsi="Palatino Linotype" w:cs="Tahoma"/>
          <w:bCs/>
          <w:sz w:val="22"/>
          <w:szCs w:val="22"/>
        </w:rPr>
        <w:t xml:space="preserve"> gasto el cual </w:t>
      </w:r>
      <w:r w:rsidR="003254B5">
        <w:rPr>
          <w:rFonts w:ascii="Palatino Linotype" w:hAnsi="Palatino Linotype" w:cs="Tahoma"/>
          <w:bCs/>
          <w:sz w:val="22"/>
          <w:szCs w:val="22"/>
        </w:rPr>
        <w:t>dentro de sus finalidades p</w:t>
      </w:r>
      <w:r w:rsidR="003254B5" w:rsidRPr="003254B5">
        <w:rPr>
          <w:rFonts w:ascii="Palatino Linotype" w:hAnsi="Palatino Linotype" w:cs="Tahoma"/>
          <w:bCs/>
          <w:sz w:val="22"/>
          <w:szCs w:val="22"/>
        </w:rPr>
        <w:t xml:space="preserve">ermite identificar con </w:t>
      </w:r>
      <w:r w:rsidR="003254B5" w:rsidRPr="003254B5">
        <w:rPr>
          <w:rFonts w:ascii="Palatino Linotype" w:hAnsi="Palatino Linotype" w:cs="Tahoma"/>
          <w:bCs/>
          <w:sz w:val="22"/>
          <w:szCs w:val="22"/>
        </w:rPr>
        <w:lastRenderedPageBreak/>
        <w:t xml:space="preserve">claridad y transparencia los bienes y servicios que se adquieren, las transferencias que se realizan y las aplicaciones previstas en el presupuesto. </w:t>
      </w:r>
    </w:p>
    <w:p w14:paraId="3F094F09" w14:textId="77777777" w:rsidR="005F449F" w:rsidRDefault="005F449F" w:rsidP="005F449F">
      <w:pPr>
        <w:spacing w:line="360" w:lineRule="auto"/>
        <w:ind w:right="-93"/>
        <w:jc w:val="both"/>
        <w:rPr>
          <w:rFonts w:ascii="Palatino Linotype" w:hAnsi="Palatino Linotype" w:cs="Tahoma"/>
          <w:bCs/>
          <w:sz w:val="22"/>
          <w:szCs w:val="22"/>
        </w:rPr>
      </w:pPr>
    </w:p>
    <w:p w14:paraId="6329E0A3" w14:textId="77777777" w:rsidR="005F449F" w:rsidRDefault="005F449F" w:rsidP="005F449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De acuerdo al </w:t>
      </w:r>
      <w:r w:rsidRPr="008B6089">
        <w:rPr>
          <w:rFonts w:ascii="Palatino Linotype" w:hAnsi="Palatino Linotype" w:cs="Tahoma"/>
          <w:bCs/>
          <w:sz w:val="22"/>
          <w:szCs w:val="22"/>
        </w:rPr>
        <w:t xml:space="preserve">nivel de desagregación del Clasificador por Objeto del Gasto Estatal y Municipal, </w:t>
      </w:r>
      <w:r>
        <w:rPr>
          <w:rFonts w:ascii="Palatino Linotype" w:hAnsi="Palatino Linotype" w:cs="Tahoma"/>
          <w:bCs/>
          <w:sz w:val="22"/>
          <w:szCs w:val="22"/>
        </w:rPr>
        <w:t xml:space="preserve">se encuentra el capítulo de gasto </w:t>
      </w:r>
      <w:r w:rsidRPr="008B6089">
        <w:rPr>
          <w:rFonts w:ascii="Palatino Linotype" w:hAnsi="Palatino Linotype" w:cs="Tahoma"/>
          <w:b/>
          <w:bCs/>
          <w:sz w:val="22"/>
          <w:szCs w:val="22"/>
        </w:rPr>
        <w:t>2000 MATERIALES Y SUMINISTROS</w:t>
      </w:r>
      <w:r w:rsidRPr="008B6089">
        <w:rPr>
          <w:rFonts w:ascii="Palatino Linotype" w:hAnsi="Palatino Linotype" w:cs="Tahoma"/>
          <w:bCs/>
          <w:sz w:val="22"/>
          <w:szCs w:val="22"/>
        </w:rPr>
        <w:t xml:space="preserve"> </w:t>
      </w:r>
      <w:r>
        <w:rPr>
          <w:rFonts w:ascii="Palatino Linotype" w:hAnsi="Palatino Linotype" w:cs="Tahoma"/>
          <w:bCs/>
          <w:sz w:val="22"/>
          <w:szCs w:val="22"/>
        </w:rPr>
        <w:t>el cual a</w:t>
      </w:r>
      <w:r w:rsidRPr="008B6089">
        <w:rPr>
          <w:rFonts w:ascii="Palatino Linotype" w:hAnsi="Palatino Linotype" w:cs="Tahoma"/>
          <w:bCs/>
          <w:sz w:val="22"/>
          <w:szCs w:val="22"/>
        </w:rPr>
        <w:t>grupa las asignaciones destinadas a la adquisición de toda clase de</w:t>
      </w:r>
      <w:r>
        <w:rPr>
          <w:rFonts w:ascii="Palatino Linotype" w:hAnsi="Palatino Linotype" w:cs="Tahoma"/>
          <w:bCs/>
          <w:sz w:val="22"/>
          <w:szCs w:val="22"/>
        </w:rPr>
        <w:t xml:space="preserve"> </w:t>
      </w:r>
      <w:r w:rsidRPr="008B6089">
        <w:rPr>
          <w:rFonts w:ascii="Palatino Linotype" w:hAnsi="Palatino Linotype" w:cs="Tahoma"/>
          <w:bCs/>
          <w:sz w:val="22"/>
          <w:szCs w:val="22"/>
        </w:rPr>
        <w:t>insumos y suministros requeridos para la prestación de bienes y servicios públicos y para el desempeño de las</w:t>
      </w:r>
      <w:r>
        <w:rPr>
          <w:rFonts w:ascii="Palatino Linotype" w:hAnsi="Palatino Linotype" w:cs="Tahoma"/>
          <w:bCs/>
          <w:sz w:val="22"/>
          <w:szCs w:val="22"/>
        </w:rPr>
        <w:t xml:space="preserve"> </w:t>
      </w:r>
      <w:r w:rsidRPr="008B6089">
        <w:rPr>
          <w:rFonts w:ascii="Palatino Linotype" w:hAnsi="Palatino Linotype" w:cs="Tahoma"/>
          <w:bCs/>
          <w:sz w:val="22"/>
          <w:szCs w:val="22"/>
        </w:rPr>
        <w:t>actividades administrativas</w:t>
      </w:r>
    </w:p>
    <w:p w14:paraId="589BBB49" w14:textId="77777777" w:rsidR="005F449F" w:rsidRPr="008B6089" w:rsidRDefault="005F449F" w:rsidP="005F449F">
      <w:pPr>
        <w:spacing w:line="360" w:lineRule="auto"/>
        <w:ind w:right="-93"/>
        <w:jc w:val="both"/>
        <w:rPr>
          <w:rFonts w:ascii="Palatino Linotype" w:hAnsi="Palatino Linotype" w:cs="Tahoma"/>
          <w:bCs/>
          <w:sz w:val="22"/>
          <w:szCs w:val="22"/>
        </w:rPr>
      </w:pPr>
    </w:p>
    <w:p w14:paraId="696CB2D6" w14:textId="77777777" w:rsidR="005F449F" w:rsidRDefault="005F449F" w:rsidP="005F449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Dentro de dicho capítulo se encuentran los siguientes conceptos y partidas:</w:t>
      </w:r>
    </w:p>
    <w:p w14:paraId="0A15BB59" w14:textId="77777777" w:rsidR="005F449F" w:rsidRPr="00184AE8" w:rsidRDefault="005F449F" w:rsidP="005F449F">
      <w:pPr>
        <w:spacing w:line="360" w:lineRule="auto"/>
        <w:ind w:left="567" w:right="539"/>
        <w:jc w:val="both"/>
        <w:rPr>
          <w:rFonts w:ascii="Palatino Linotype" w:hAnsi="Palatino Linotype" w:cs="Tahoma"/>
          <w:bCs/>
          <w:i/>
          <w:szCs w:val="22"/>
        </w:rPr>
      </w:pPr>
    </w:p>
    <w:p w14:paraId="7EC1059E" w14:textId="77777777" w:rsidR="005F449F" w:rsidRPr="00184AE8" w:rsidRDefault="005F449F" w:rsidP="005F449F">
      <w:pPr>
        <w:spacing w:line="360" w:lineRule="auto"/>
        <w:ind w:left="567" w:right="539"/>
        <w:jc w:val="both"/>
        <w:rPr>
          <w:rFonts w:ascii="Palatino Linotype" w:hAnsi="Palatino Linotype" w:cs="Tahoma"/>
          <w:b/>
          <w:bCs/>
          <w:i/>
          <w:szCs w:val="22"/>
        </w:rPr>
      </w:pPr>
      <w:r w:rsidRPr="00184AE8">
        <w:rPr>
          <w:rFonts w:ascii="Palatino Linotype" w:hAnsi="Palatino Linotype" w:cs="Tahoma"/>
          <w:b/>
          <w:bCs/>
          <w:i/>
          <w:szCs w:val="22"/>
        </w:rPr>
        <w:t>2600 COMBUSTIBLES, LUBRICANTES Y ADITIVOS.</w:t>
      </w:r>
    </w:p>
    <w:p w14:paraId="4E0178C1" w14:textId="77777777" w:rsidR="003254B5" w:rsidRDefault="003254B5" w:rsidP="005F449F">
      <w:pPr>
        <w:spacing w:line="360" w:lineRule="auto"/>
        <w:ind w:left="567" w:right="539"/>
        <w:jc w:val="both"/>
        <w:rPr>
          <w:rFonts w:ascii="Palatino Linotype" w:hAnsi="Palatino Linotype" w:cs="Tahoma"/>
          <w:bCs/>
          <w:i/>
          <w:szCs w:val="22"/>
        </w:rPr>
      </w:pPr>
      <w:r w:rsidRPr="003254B5">
        <w:rPr>
          <w:rFonts w:ascii="Palatino Linotype" w:hAnsi="Palatino Linotype" w:cs="Tahoma"/>
          <w:bCs/>
          <w:i/>
          <w:szCs w:val="22"/>
        </w:rPr>
        <w:t>Asignaciones destinadas a la adquisición de combustibles, lubricantes y aditivos de todo tipo, necesarios para el funcionamiento de vehículos de transporte terrestres, aéreos, marítimos, lacustres y fluviales; así como de maquinaria y equipo.</w:t>
      </w:r>
    </w:p>
    <w:p w14:paraId="298275C8" w14:textId="77777777" w:rsidR="003254B5" w:rsidRDefault="005F449F" w:rsidP="005F449F">
      <w:pPr>
        <w:spacing w:line="360" w:lineRule="auto"/>
        <w:ind w:left="567" w:right="539"/>
        <w:jc w:val="both"/>
        <w:rPr>
          <w:rFonts w:ascii="Palatino Linotype" w:hAnsi="Palatino Linotype" w:cs="Tahoma"/>
          <w:bCs/>
          <w:i/>
          <w:szCs w:val="22"/>
        </w:rPr>
      </w:pPr>
      <w:r w:rsidRPr="00184AE8">
        <w:rPr>
          <w:rFonts w:ascii="Palatino Linotype" w:hAnsi="Palatino Linotype" w:cs="Tahoma"/>
          <w:b/>
          <w:bCs/>
          <w:i/>
          <w:szCs w:val="22"/>
        </w:rPr>
        <w:t xml:space="preserve">2610 </w:t>
      </w:r>
      <w:proofErr w:type="gramStart"/>
      <w:r w:rsidR="003254B5" w:rsidRPr="003254B5">
        <w:rPr>
          <w:rFonts w:ascii="Palatino Linotype" w:hAnsi="Palatino Linotype" w:cs="Tahoma"/>
          <w:b/>
          <w:bCs/>
          <w:i/>
          <w:szCs w:val="22"/>
        </w:rPr>
        <w:t>Combustibles</w:t>
      </w:r>
      <w:proofErr w:type="gramEnd"/>
      <w:r w:rsidR="003254B5" w:rsidRPr="003254B5">
        <w:rPr>
          <w:rFonts w:ascii="Palatino Linotype" w:hAnsi="Palatino Linotype" w:cs="Tahoma"/>
          <w:b/>
          <w:bCs/>
          <w:i/>
          <w:szCs w:val="22"/>
        </w:rPr>
        <w:t>, lubricantes y aditivos</w:t>
      </w:r>
      <w:r w:rsidR="003254B5" w:rsidRPr="003254B5">
        <w:rPr>
          <w:rFonts w:ascii="Palatino Linotype" w:hAnsi="Palatino Linotype" w:cs="Tahoma"/>
          <w:bCs/>
          <w:i/>
          <w:szCs w:val="22"/>
        </w:rPr>
        <w:t xml:space="preserve">. Asignaciones destinadas a la adquisición de productos derivados del petróleo (como gasolina, diésel, leña, etc.), aceites y grasas lubricantes para el uso en equipo de transporte e industrial y regeneración de aceite usado. Incluye el etanol y el biogás, entre otros. Excluye el petróleo crudo y gas natural, así como los combustibles utilizados como materia prima. </w:t>
      </w:r>
    </w:p>
    <w:p w14:paraId="0CED4231" w14:textId="77777777" w:rsidR="005F449F" w:rsidRDefault="005F449F" w:rsidP="005F449F">
      <w:pPr>
        <w:spacing w:line="360" w:lineRule="auto"/>
        <w:ind w:left="567" w:right="539"/>
        <w:jc w:val="both"/>
        <w:rPr>
          <w:rFonts w:ascii="Palatino Linotype" w:hAnsi="Palatino Linotype" w:cs="Tahoma"/>
          <w:bCs/>
          <w:i/>
          <w:szCs w:val="22"/>
        </w:rPr>
      </w:pPr>
      <w:r w:rsidRPr="00184AE8">
        <w:rPr>
          <w:rFonts w:ascii="Palatino Linotype" w:hAnsi="Palatino Linotype" w:cs="Tahoma"/>
          <w:b/>
          <w:bCs/>
          <w:i/>
          <w:szCs w:val="22"/>
        </w:rPr>
        <w:t>2611</w:t>
      </w:r>
      <w:r w:rsidRPr="00184AE8">
        <w:rPr>
          <w:rFonts w:ascii="Palatino Linotype" w:hAnsi="Palatino Linotype" w:cs="Tahoma"/>
          <w:bCs/>
          <w:i/>
          <w:szCs w:val="22"/>
        </w:rPr>
        <w:t xml:space="preserve"> </w:t>
      </w:r>
      <w:proofErr w:type="gramStart"/>
      <w:r w:rsidR="003254B5" w:rsidRPr="003254B5">
        <w:rPr>
          <w:rFonts w:ascii="Palatino Linotype" w:hAnsi="Palatino Linotype" w:cs="Tahoma"/>
          <w:b/>
          <w:bCs/>
          <w:i/>
          <w:szCs w:val="22"/>
        </w:rPr>
        <w:t>Combustibles</w:t>
      </w:r>
      <w:proofErr w:type="gramEnd"/>
      <w:r w:rsidR="003254B5" w:rsidRPr="003254B5">
        <w:rPr>
          <w:rFonts w:ascii="Palatino Linotype" w:hAnsi="Palatino Linotype" w:cs="Tahoma"/>
          <w:b/>
          <w:bCs/>
          <w:i/>
          <w:szCs w:val="22"/>
        </w:rPr>
        <w:t>, lubricantes y aditivos</w:t>
      </w:r>
      <w:r w:rsidR="003254B5" w:rsidRPr="003254B5">
        <w:rPr>
          <w:rFonts w:ascii="Palatino Linotype" w:hAnsi="Palatino Linotype" w:cs="Tahoma"/>
          <w:bCs/>
          <w:i/>
          <w:szCs w:val="22"/>
        </w:rPr>
        <w:t>. Asignaciones destinadas a la adquisición de toda clase de combustibles, en estado líquido o gaseoso, crudos o refinados, así como de lubricantes y aditivos, requeridos para el funcionamiento de vehículos y equipos de transporte terrestre, aéreo o lacustre, así como, para maquinaria, equipo de producción, Plantas de emergencia, servicios administrativos y elaboración de alimentos.</w:t>
      </w:r>
    </w:p>
    <w:p w14:paraId="0510FEB0" w14:textId="77777777" w:rsidR="003254B5" w:rsidRPr="00184AE8" w:rsidRDefault="003254B5" w:rsidP="005F449F">
      <w:pPr>
        <w:spacing w:line="360" w:lineRule="auto"/>
        <w:ind w:left="567" w:right="539"/>
        <w:jc w:val="both"/>
        <w:rPr>
          <w:rFonts w:ascii="Palatino Linotype" w:hAnsi="Palatino Linotype" w:cs="Tahoma"/>
          <w:bCs/>
          <w:i/>
          <w:szCs w:val="22"/>
        </w:rPr>
      </w:pPr>
    </w:p>
    <w:p w14:paraId="780751D8" w14:textId="77777777" w:rsidR="0005001F" w:rsidRDefault="005F449F" w:rsidP="005F449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val="es-ES" w:eastAsia="es-ES_tradnl"/>
        </w:rPr>
        <w:t xml:space="preserve">Así de lo anterior, se advierte que el Sujeto Obligado cuenta con presupuesto asignado para la distribución de gasolina, en primer término, tenemos que el Ayuntamiento en respuesta </w:t>
      </w:r>
      <w:r w:rsidR="003254B5">
        <w:rPr>
          <w:rFonts w:ascii="Palatino Linotype" w:eastAsia="Calibri" w:hAnsi="Palatino Linotype" w:cs="Tahoma"/>
          <w:iCs/>
          <w:sz w:val="22"/>
          <w:szCs w:val="22"/>
          <w:lang w:val="es-ES" w:eastAsia="es-ES_tradnl"/>
        </w:rPr>
        <w:lastRenderedPageBreak/>
        <w:t>únicamente señaló que proporcionar la información pondría en riesgo la seguridad de los servidores públicos, sin embargo, como ya se analizó en el punto 1 para negar el acceso a la información pública se debe analizar los supuestos de clasificación en los que pudiera encuadrar los documentos requeridos y en todo caso generar un acuerdo en el que de manera fundada y motivada detalle los impedimentos por los cuales se niega la información, situación que en el presente caso no aconteció</w:t>
      </w:r>
      <w:r w:rsidR="0005001F">
        <w:rPr>
          <w:rFonts w:ascii="Palatino Linotype" w:eastAsia="Calibri" w:hAnsi="Palatino Linotype" w:cs="Tahoma"/>
          <w:iCs/>
          <w:sz w:val="22"/>
          <w:szCs w:val="22"/>
          <w:lang w:val="es-ES" w:eastAsia="es-ES_tradnl"/>
        </w:rPr>
        <w:t xml:space="preserve">. </w:t>
      </w:r>
      <w:r>
        <w:rPr>
          <w:rFonts w:ascii="Palatino Linotype" w:hAnsi="Palatino Linotype" w:cs="Tahoma"/>
          <w:sz w:val="22"/>
          <w:szCs w:val="24"/>
          <w:lang w:eastAsia="es-MX"/>
        </w:rPr>
        <w:t xml:space="preserve">En esa tesitura, se concluye que el Sujeto Obligado no satisfizo el derecho de acceso </w:t>
      </w:r>
      <w:r>
        <w:rPr>
          <w:rFonts w:ascii="Palatino Linotype" w:eastAsia="Calibri" w:hAnsi="Palatino Linotype" w:cs="Tahoma"/>
          <w:bCs/>
          <w:sz w:val="22"/>
          <w:szCs w:val="22"/>
          <w:lang w:eastAsia="en-US"/>
        </w:rPr>
        <w:t>a la información del ahora Recurrente, toda vez que no dio atención al requerimiento formulado, por lo que deberá realizar una búsqueda exhaustiva y razonable de los documentos donde conste</w:t>
      </w:r>
      <w:r w:rsidR="0005001F">
        <w:rPr>
          <w:rFonts w:ascii="Palatino Linotype" w:eastAsia="Calibri" w:hAnsi="Palatino Linotype" w:cs="Tahoma"/>
          <w:bCs/>
          <w:sz w:val="22"/>
          <w:szCs w:val="22"/>
          <w:lang w:eastAsia="en-US"/>
        </w:rPr>
        <w:t>n la relación</w:t>
      </w:r>
      <w:r w:rsidR="0005001F" w:rsidRPr="0005001F">
        <w:rPr>
          <w:rFonts w:ascii="Palatino Linotype" w:eastAsia="Calibri" w:hAnsi="Palatino Linotype" w:cs="Tahoma"/>
          <w:bCs/>
          <w:sz w:val="22"/>
          <w:szCs w:val="22"/>
          <w:lang w:eastAsia="en-US"/>
        </w:rPr>
        <w:t xml:space="preserve"> de vales de gasolina del mes de enero de</w:t>
      </w:r>
      <w:r w:rsidR="0005001F">
        <w:rPr>
          <w:rFonts w:ascii="Palatino Linotype" w:eastAsia="Calibri" w:hAnsi="Palatino Linotype" w:cs="Tahoma"/>
          <w:bCs/>
          <w:sz w:val="22"/>
          <w:szCs w:val="22"/>
          <w:lang w:eastAsia="en-US"/>
        </w:rPr>
        <w:t>l año en curso.</w:t>
      </w:r>
      <w:r w:rsidR="0005001F" w:rsidRPr="0005001F">
        <w:rPr>
          <w:rFonts w:ascii="Palatino Linotype" w:eastAsia="Calibri" w:hAnsi="Palatino Linotype" w:cs="Tahoma"/>
          <w:bCs/>
          <w:sz w:val="22"/>
          <w:szCs w:val="22"/>
          <w:lang w:eastAsia="en-US"/>
        </w:rPr>
        <w:t xml:space="preserve"> </w:t>
      </w:r>
    </w:p>
    <w:p w14:paraId="4BDBB63E" w14:textId="77777777" w:rsidR="0005001F" w:rsidRDefault="0005001F" w:rsidP="005F449F">
      <w:pPr>
        <w:spacing w:line="360" w:lineRule="auto"/>
        <w:ind w:right="-93"/>
        <w:jc w:val="both"/>
        <w:rPr>
          <w:rFonts w:ascii="Palatino Linotype" w:eastAsia="Calibri" w:hAnsi="Palatino Linotype" w:cs="Tahoma"/>
          <w:bCs/>
          <w:sz w:val="22"/>
          <w:szCs w:val="22"/>
          <w:lang w:eastAsia="en-US"/>
        </w:rPr>
      </w:pPr>
    </w:p>
    <w:p w14:paraId="46EB3C38" w14:textId="77777777" w:rsidR="005F449F" w:rsidRPr="00E256D6" w:rsidRDefault="0005001F" w:rsidP="00E256D6">
      <w:pPr>
        <w:tabs>
          <w:tab w:val="left" w:pos="4962"/>
        </w:tabs>
        <w:spacing w:line="360" w:lineRule="auto"/>
        <w:jc w:val="both"/>
        <w:rPr>
          <w:rFonts w:ascii="Palatino Linotype" w:eastAsia="Calibri" w:hAnsi="Palatino Linotype" w:cs="Tahoma"/>
          <w:b/>
          <w:iCs/>
          <w:sz w:val="22"/>
          <w:szCs w:val="24"/>
          <w:lang w:val="es-ES" w:eastAsia="es-ES_tradnl"/>
        </w:rPr>
      </w:pPr>
      <w:r w:rsidRPr="00E256D6">
        <w:rPr>
          <w:rFonts w:ascii="Palatino Linotype" w:eastAsia="Calibri" w:hAnsi="Palatino Linotype" w:cs="Tahoma"/>
          <w:b/>
          <w:iCs/>
          <w:sz w:val="22"/>
          <w:szCs w:val="24"/>
          <w:lang w:val="es-ES" w:eastAsia="es-ES_tradnl"/>
        </w:rPr>
        <w:t>Ingresos totales del mes de enero 2025, incluyendo participaciones, e ingresos propios.</w:t>
      </w:r>
    </w:p>
    <w:p w14:paraId="49720610" w14:textId="77777777" w:rsidR="0005001F" w:rsidRDefault="0005001F" w:rsidP="005F449F">
      <w:pPr>
        <w:tabs>
          <w:tab w:val="left" w:pos="4962"/>
        </w:tabs>
        <w:spacing w:line="360" w:lineRule="auto"/>
        <w:jc w:val="both"/>
        <w:rPr>
          <w:rFonts w:ascii="Palatino Linotype" w:eastAsia="Calibri" w:hAnsi="Palatino Linotype" w:cs="Tahoma"/>
          <w:iCs/>
          <w:sz w:val="22"/>
          <w:szCs w:val="22"/>
          <w:lang w:val="es-ES" w:eastAsia="es-ES_tradnl"/>
        </w:rPr>
      </w:pPr>
    </w:p>
    <w:p w14:paraId="365F65DC" w14:textId="77777777" w:rsidR="00250A67" w:rsidRDefault="00250A67" w:rsidP="005F449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Al respecto sobre lo requerido en el presente punto, la Ley de Ingresos de los municipios del Estado de México para el Ejercicio Fiscal dos mil veinticinco establece en su artículo 1 que l</w:t>
      </w:r>
      <w:r w:rsidRPr="00250A67">
        <w:rPr>
          <w:rFonts w:ascii="Palatino Linotype" w:eastAsia="Calibri" w:hAnsi="Palatino Linotype" w:cs="Tahoma"/>
          <w:iCs/>
          <w:sz w:val="22"/>
          <w:szCs w:val="22"/>
          <w:lang w:val="es-ES" w:eastAsia="es-ES_tradnl"/>
        </w:rPr>
        <w:t xml:space="preserve">a hacienda pública de los municipios del Estado de México, percibirá durante el Ejercicio Fiscal 2025, los ingresos provenientes de </w:t>
      </w:r>
      <w:r>
        <w:rPr>
          <w:rFonts w:ascii="Palatino Linotype" w:eastAsia="Calibri" w:hAnsi="Palatino Linotype" w:cs="Tahoma"/>
          <w:iCs/>
          <w:sz w:val="22"/>
          <w:szCs w:val="22"/>
          <w:lang w:val="es-ES" w:eastAsia="es-ES_tradnl"/>
        </w:rPr>
        <w:t xml:space="preserve">diferentes conceptos dentro de los que se encuentran los Impuestos, cuotas y aportaciones de seguridad social, Contribuciones de mejoras, Derechos, Productos, Aprovechamientos, </w:t>
      </w:r>
      <w:r w:rsidRPr="00250A67">
        <w:rPr>
          <w:rFonts w:ascii="Palatino Linotype" w:eastAsia="Calibri" w:hAnsi="Palatino Linotype" w:cs="Tahoma"/>
          <w:iCs/>
          <w:sz w:val="22"/>
          <w:szCs w:val="22"/>
          <w:lang w:val="es-ES" w:eastAsia="es-ES_tradnl"/>
        </w:rPr>
        <w:t>Ingresos por venta de bienes y prestación de servicios y otros ingresos</w:t>
      </w:r>
      <w:r>
        <w:rPr>
          <w:rFonts w:ascii="Palatino Linotype" w:eastAsia="Calibri" w:hAnsi="Palatino Linotype" w:cs="Tahoma"/>
          <w:iCs/>
          <w:sz w:val="22"/>
          <w:szCs w:val="22"/>
          <w:lang w:val="es-ES" w:eastAsia="es-ES_tradnl"/>
        </w:rPr>
        <w:t xml:space="preserve">, </w:t>
      </w:r>
      <w:r w:rsidRPr="00250A67">
        <w:rPr>
          <w:rFonts w:ascii="Palatino Linotype" w:eastAsia="Calibri" w:hAnsi="Palatino Linotype" w:cs="Tahoma"/>
          <w:iCs/>
          <w:sz w:val="22"/>
          <w:szCs w:val="22"/>
          <w:lang w:val="es-ES" w:eastAsia="es-ES_tradnl"/>
        </w:rPr>
        <w:t>Participaciones, aportaciones, convenios, incentivos, derivados de la colaboración fiscal y f</w:t>
      </w:r>
      <w:r>
        <w:rPr>
          <w:rFonts w:ascii="Palatino Linotype" w:eastAsia="Calibri" w:hAnsi="Palatino Linotype" w:cs="Tahoma"/>
          <w:iCs/>
          <w:sz w:val="22"/>
          <w:szCs w:val="22"/>
          <w:lang w:val="es-ES" w:eastAsia="es-ES_tradnl"/>
        </w:rPr>
        <w:t xml:space="preserve">ondos distintos de aportaciones, </w:t>
      </w:r>
      <w:r w:rsidRPr="00250A67">
        <w:rPr>
          <w:rFonts w:ascii="Palatino Linotype" w:eastAsia="Calibri" w:hAnsi="Palatino Linotype" w:cs="Tahoma"/>
          <w:iCs/>
          <w:sz w:val="22"/>
          <w:szCs w:val="22"/>
          <w:lang w:val="es-ES" w:eastAsia="es-ES_tradnl"/>
        </w:rPr>
        <w:t>Transferencias, asignaciones, subsidios y subvencio</w:t>
      </w:r>
      <w:r>
        <w:rPr>
          <w:rFonts w:ascii="Palatino Linotype" w:eastAsia="Calibri" w:hAnsi="Palatino Linotype" w:cs="Tahoma"/>
          <w:iCs/>
          <w:sz w:val="22"/>
          <w:szCs w:val="22"/>
          <w:lang w:val="es-ES" w:eastAsia="es-ES_tradnl"/>
        </w:rPr>
        <w:t>nes, y pensiones y jubilaciones e Ingreso</w:t>
      </w:r>
      <w:r w:rsidR="002B7FFB">
        <w:rPr>
          <w:rFonts w:ascii="Palatino Linotype" w:eastAsia="Calibri" w:hAnsi="Palatino Linotype" w:cs="Tahoma"/>
          <w:iCs/>
          <w:sz w:val="22"/>
          <w:szCs w:val="22"/>
          <w:lang w:val="es-ES" w:eastAsia="es-ES_tradnl"/>
        </w:rPr>
        <w:t>s derivados de financiamientos.</w:t>
      </w:r>
    </w:p>
    <w:p w14:paraId="04D37ECB" w14:textId="77777777" w:rsidR="002B7FFB" w:rsidRDefault="002B7FFB" w:rsidP="005F449F">
      <w:pPr>
        <w:tabs>
          <w:tab w:val="left" w:pos="4962"/>
        </w:tabs>
        <w:spacing w:line="360" w:lineRule="auto"/>
        <w:jc w:val="both"/>
        <w:rPr>
          <w:rFonts w:ascii="Palatino Linotype" w:eastAsia="Calibri" w:hAnsi="Palatino Linotype" w:cs="Tahoma"/>
          <w:iCs/>
          <w:sz w:val="22"/>
          <w:szCs w:val="22"/>
          <w:lang w:val="es-ES" w:eastAsia="es-ES_tradnl"/>
        </w:rPr>
      </w:pPr>
    </w:p>
    <w:p w14:paraId="40B3EB5E" w14:textId="77777777" w:rsidR="002B7FFB" w:rsidRPr="002B7FFB" w:rsidRDefault="002B7FFB" w:rsidP="002B7FF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Aunado a lo anterior, es de señalar que sobre los ingresos no solo se trata de información pública sino que además es una obligación de transparencia establecida en la Ley de la materia en su artículo 92 fracción </w:t>
      </w:r>
      <w:r w:rsidRPr="002B7FFB">
        <w:rPr>
          <w:rFonts w:ascii="Palatino Linotype" w:eastAsia="Calibri" w:hAnsi="Palatino Linotype" w:cs="Tahoma"/>
          <w:iCs/>
          <w:sz w:val="22"/>
          <w:szCs w:val="22"/>
          <w:lang w:val="es-ES" w:eastAsia="es-ES_tradnl"/>
        </w:rPr>
        <w:t>XLVII</w:t>
      </w:r>
      <w:r>
        <w:rPr>
          <w:rFonts w:ascii="Palatino Linotype" w:eastAsia="Calibri" w:hAnsi="Palatino Linotype" w:cs="Tahoma"/>
          <w:iCs/>
          <w:sz w:val="22"/>
          <w:szCs w:val="22"/>
          <w:lang w:val="es-ES" w:eastAsia="es-ES_tradnl"/>
        </w:rPr>
        <w:t>, en que señala que</w:t>
      </w:r>
      <w:r w:rsidRPr="002B7FFB">
        <w:t xml:space="preserve"> </w:t>
      </w:r>
      <w:r>
        <w:rPr>
          <w:rFonts w:ascii="Palatino Linotype" w:eastAsia="Calibri" w:hAnsi="Palatino Linotype" w:cs="Tahoma"/>
          <w:iCs/>
          <w:sz w:val="22"/>
          <w:szCs w:val="22"/>
          <w:lang w:val="es-ES" w:eastAsia="es-ES_tradnl"/>
        </w:rPr>
        <w:t>l</w:t>
      </w:r>
      <w:r w:rsidRPr="002B7FFB">
        <w:rPr>
          <w:rFonts w:ascii="Palatino Linotype" w:eastAsia="Calibri" w:hAnsi="Palatino Linotype" w:cs="Tahoma"/>
          <w:iCs/>
          <w:sz w:val="22"/>
          <w:szCs w:val="22"/>
          <w:lang w:val="es-ES" w:eastAsia="es-ES_tradnl"/>
        </w:rPr>
        <w:t xml:space="preserve">os sujetos obligados deberán poner a disposición del público de manera permanente y actualizada de forma sencilla, precisa y </w:t>
      </w:r>
      <w:r w:rsidRPr="002B7FFB">
        <w:rPr>
          <w:rFonts w:ascii="Palatino Linotype" w:eastAsia="Calibri" w:hAnsi="Palatino Linotype" w:cs="Tahoma"/>
          <w:iCs/>
          <w:sz w:val="22"/>
          <w:szCs w:val="22"/>
          <w:lang w:val="es-ES" w:eastAsia="es-ES_tradnl"/>
        </w:rPr>
        <w:lastRenderedPageBreak/>
        <w:t>entendible</w:t>
      </w:r>
      <w:r>
        <w:rPr>
          <w:rFonts w:ascii="Palatino Linotype" w:eastAsia="Calibri" w:hAnsi="Palatino Linotype" w:cs="Tahoma"/>
          <w:iCs/>
          <w:sz w:val="22"/>
          <w:szCs w:val="22"/>
          <w:lang w:val="es-ES" w:eastAsia="es-ES_tradnl"/>
        </w:rPr>
        <w:t>, entre otra l</w:t>
      </w:r>
      <w:r w:rsidRPr="002B7FFB">
        <w:rPr>
          <w:rFonts w:ascii="Palatino Linotype" w:eastAsia="Calibri" w:hAnsi="Palatino Linotype" w:cs="Tahoma"/>
          <w:iCs/>
          <w:sz w:val="22"/>
          <w:szCs w:val="22"/>
          <w:lang w:val="es-ES" w:eastAsia="es-ES_tradnl"/>
        </w:rPr>
        <w:t xml:space="preserve">os ingresos recibidos por cualquier concepto señalando el nombre de los responsables de recibirlos, administrarlos y ejercerlos, indicando </w:t>
      </w:r>
      <w:r>
        <w:rPr>
          <w:rFonts w:ascii="Palatino Linotype" w:eastAsia="Calibri" w:hAnsi="Palatino Linotype" w:cs="Tahoma"/>
          <w:iCs/>
          <w:sz w:val="22"/>
          <w:szCs w:val="22"/>
          <w:lang w:val="es-ES" w:eastAsia="es-ES_tradnl"/>
        </w:rPr>
        <w:t xml:space="preserve">el destino de cada uno de ellos, por ello es de señalar </w:t>
      </w:r>
      <w:r>
        <w:rPr>
          <w:rFonts w:ascii="Palatino Linotype" w:eastAsia="Calibri" w:hAnsi="Palatino Linotype" w:cs="Tahoma"/>
          <w:iCs/>
          <w:sz w:val="22"/>
          <w:szCs w:val="22"/>
          <w:lang w:eastAsia="es-ES_tradnl"/>
        </w:rPr>
        <w:t xml:space="preserve">que </w:t>
      </w:r>
      <w:r w:rsidRPr="002B7FFB">
        <w:rPr>
          <w:rFonts w:ascii="Palatino Linotype" w:eastAsia="Calibri" w:hAnsi="Palatino Linotype" w:cs="Tahoma"/>
          <w:iCs/>
          <w:sz w:val="22"/>
          <w:szCs w:val="22"/>
          <w:lang w:eastAsia="es-ES_tradnl"/>
        </w:rPr>
        <w:t>los ayuntamientos están obligados a transparentar el uso y destino de l</w:t>
      </w:r>
      <w:r w:rsidR="00415516">
        <w:rPr>
          <w:rFonts w:ascii="Palatino Linotype" w:eastAsia="Calibri" w:hAnsi="Palatino Linotype" w:cs="Tahoma"/>
          <w:iCs/>
          <w:sz w:val="22"/>
          <w:szCs w:val="22"/>
          <w:lang w:eastAsia="es-ES_tradnl"/>
        </w:rPr>
        <w:t>os recursos públicos que reciben</w:t>
      </w:r>
      <w:r w:rsidRPr="002B7FFB">
        <w:rPr>
          <w:rFonts w:ascii="Palatino Linotype" w:eastAsia="Calibri" w:hAnsi="Palatino Linotype" w:cs="Tahoma"/>
          <w:iCs/>
          <w:sz w:val="22"/>
          <w:szCs w:val="22"/>
          <w:lang w:eastAsia="es-ES_tradnl"/>
        </w:rPr>
        <w:t>. En este sentido, los ingresos que perciben los municipios—ya sea por concepto de impuestos, derechos, productos, aprovechamientos, participaciones o aportaciones federales y estatales— deben ser del conocimiento público. Esta obligación se deriva del derecho de acceso a la información, que garantiza a toda persona la posibilidad de conocer, consultar y solicitar datos relacionados con la gestión pública, especialmente aquellos vinculados con el manejo de recursos financieros.</w:t>
      </w:r>
    </w:p>
    <w:p w14:paraId="515942C6" w14:textId="77777777" w:rsidR="002B7FFB" w:rsidRPr="002B7FFB" w:rsidRDefault="002B7FFB" w:rsidP="002B7FFB">
      <w:pPr>
        <w:spacing w:line="360" w:lineRule="auto"/>
        <w:jc w:val="both"/>
        <w:rPr>
          <w:rFonts w:ascii="Palatino Linotype" w:eastAsia="Calibri" w:hAnsi="Palatino Linotype" w:cs="Tahoma"/>
          <w:iCs/>
          <w:sz w:val="22"/>
          <w:szCs w:val="22"/>
          <w:lang w:eastAsia="es-ES_tradnl"/>
        </w:rPr>
      </w:pPr>
    </w:p>
    <w:p w14:paraId="686386A9" w14:textId="77777777" w:rsidR="005F449F" w:rsidRDefault="002B7FFB" w:rsidP="002B7FFB">
      <w:pPr>
        <w:spacing w:line="360" w:lineRule="auto"/>
        <w:jc w:val="both"/>
        <w:rPr>
          <w:rFonts w:ascii="Palatino Linotype" w:eastAsia="Calibri" w:hAnsi="Palatino Linotype" w:cs="Tahoma"/>
          <w:iCs/>
          <w:sz w:val="22"/>
          <w:szCs w:val="22"/>
          <w:lang w:eastAsia="es-ES_tradnl"/>
        </w:rPr>
      </w:pPr>
      <w:r w:rsidRPr="002B7FFB">
        <w:rPr>
          <w:rFonts w:ascii="Palatino Linotype" w:eastAsia="Calibri" w:hAnsi="Palatino Linotype" w:cs="Tahoma"/>
          <w:iCs/>
          <w:sz w:val="22"/>
          <w:szCs w:val="22"/>
          <w:lang w:eastAsia="es-ES_tradnl"/>
        </w:rPr>
        <w:t xml:space="preserve">La publicidad de los ingresos municipales en el Estado de México no solo fortalece la transparencia gubernamental, sino que también permite a la ciudadanía evaluar la eficiencia en la recaudación y uso de estos fondos. Los sujetos obligados, como lo son los ayuntamientos, deben difundir de forma proactiva esta información en sus portales de transparencia, detallando montos, fuentes de ingresos y su aplicación. Esta apertura es esencial para fomentar la participación ciudadana informada, prevenir la corrupción y fortalecer la confianza en las instituciones públicas. La omisión o el ocultamiento de estos datos </w:t>
      </w:r>
      <w:r w:rsidR="00415516" w:rsidRPr="002B7FFB">
        <w:rPr>
          <w:rFonts w:ascii="Palatino Linotype" w:eastAsia="Calibri" w:hAnsi="Palatino Linotype" w:cs="Tahoma"/>
          <w:iCs/>
          <w:sz w:val="22"/>
          <w:szCs w:val="22"/>
          <w:lang w:eastAsia="es-ES_tradnl"/>
        </w:rPr>
        <w:t>constituyen</w:t>
      </w:r>
      <w:r w:rsidRPr="002B7FFB">
        <w:rPr>
          <w:rFonts w:ascii="Palatino Linotype" w:eastAsia="Calibri" w:hAnsi="Palatino Linotype" w:cs="Tahoma"/>
          <w:iCs/>
          <w:sz w:val="22"/>
          <w:szCs w:val="22"/>
          <w:lang w:eastAsia="es-ES_tradnl"/>
        </w:rPr>
        <w:t xml:space="preserve"> una violación al derecho humano de acceso a la información.</w:t>
      </w:r>
    </w:p>
    <w:p w14:paraId="4D31EE57" w14:textId="77777777" w:rsidR="00415516" w:rsidRDefault="00415516" w:rsidP="002B7FFB">
      <w:pPr>
        <w:spacing w:line="360" w:lineRule="auto"/>
        <w:jc w:val="both"/>
        <w:rPr>
          <w:rFonts w:ascii="Palatino Linotype" w:eastAsia="Calibri" w:hAnsi="Palatino Linotype" w:cs="Tahoma"/>
          <w:iCs/>
          <w:sz w:val="22"/>
          <w:szCs w:val="22"/>
          <w:lang w:eastAsia="es-ES_tradnl"/>
        </w:rPr>
      </w:pPr>
    </w:p>
    <w:p w14:paraId="0F915D7E" w14:textId="2478134C" w:rsidR="00415516" w:rsidRPr="008E61EE" w:rsidRDefault="00415516" w:rsidP="002B7FFB">
      <w:pPr>
        <w:spacing w:line="360" w:lineRule="auto"/>
        <w:jc w:val="both"/>
        <w:rPr>
          <w:rFonts w:ascii="Palatino Linotype" w:eastAsia="Calibri" w:hAnsi="Palatino Linotype" w:cs="Tahoma"/>
          <w:iCs/>
          <w:sz w:val="22"/>
          <w:szCs w:val="22"/>
          <w:lang w:eastAsia="es-ES_tradnl"/>
        </w:rPr>
      </w:pPr>
      <w:r w:rsidRPr="008E61EE">
        <w:rPr>
          <w:rFonts w:ascii="Palatino Linotype" w:eastAsia="Calibri" w:hAnsi="Palatino Linotype" w:cs="Tahoma"/>
          <w:iCs/>
          <w:sz w:val="22"/>
          <w:szCs w:val="22"/>
          <w:lang w:eastAsia="es-ES_tradnl"/>
        </w:rPr>
        <w:t>Por lo anterior, la respuesta proporcionada por el Sujeto Obligado en el sentido de que la toma de la nueva administración ha retrasado la publicidad de la información, ya que se ha reiterado los supuestos en los que encuadra la negativa de la información y lo supuestos para no entregarla, sin embargo, lo requerido en el presente punto no encuadra en ningún supuesto, por lo que lo p</w:t>
      </w:r>
      <w:r w:rsidR="00FA60B2" w:rsidRPr="008E61EE">
        <w:rPr>
          <w:rFonts w:ascii="Palatino Linotype" w:eastAsia="Calibri" w:hAnsi="Palatino Linotype" w:cs="Tahoma"/>
          <w:iCs/>
          <w:sz w:val="22"/>
          <w:szCs w:val="22"/>
          <w:lang w:eastAsia="es-ES_tradnl"/>
        </w:rPr>
        <w:t xml:space="preserve">rocedente es ordenar su entrega, además de que se localizó en la liga electrónica </w:t>
      </w:r>
      <w:hyperlink r:id="rId10" w:history="1">
        <w:r w:rsidR="00FA60B2" w:rsidRPr="008E61EE">
          <w:rPr>
            <w:rStyle w:val="Hipervnculo"/>
            <w:rFonts w:ascii="Palatino Linotype" w:eastAsia="Calibri" w:hAnsi="Palatino Linotype" w:cs="Tahoma"/>
            <w:iCs/>
            <w:sz w:val="22"/>
            <w:szCs w:val="22"/>
            <w:lang w:eastAsia="es-ES_tradnl"/>
          </w:rPr>
          <w:t>https://luvianos.gob.mx/svc/link/ayuntamiento_lgcg_2025_1t_d14-calendario-de-ingresos-base-mensual_130525105026.pdf</w:t>
        </w:r>
      </w:hyperlink>
      <w:r w:rsidR="00FA60B2" w:rsidRPr="008E61EE">
        <w:rPr>
          <w:rFonts w:ascii="Palatino Linotype" w:eastAsia="Calibri" w:hAnsi="Palatino Linotype" w:cs="Tahoma"/>
          <w:iCs/>
          <w:sz w:val="22"/>
          <w:szCs w:val="22"/>
          <w:lang w:eastAsia="es-ES_tradnl"/>
        </w:rPr>
        <w:t xml:space="preserve"> el PbRM-08ª correspondiente al Presupuesto de ingresos de tallado del Sujeto Obligado en el que se encuentra el calendario de ingresos del </w:t>
      </w:r>
      <w:r w:rsidR="00FA60B2" w:rsidRPr="008E61EE">
        <w:rPr>
          <w:rFonts w:ascii="Palatino Linotype" w:eastAsia="Calibri" w:hAnsi="Palatino Linotype" w:cs="Tahoma"/>
          <w:iCs/>
          <w:sz w:val="22"/>
          <w:szCs w:val="22"/>
          <w:lang w:eastAsia="es-ES_tradnl"/>
        </w:rPr>
        <w:lastRenderedPageBreak/>
        <w:t>Sujeto Obligado en el que se observa que tiene diversos montos calendarizados para el mes de enero como se muestra con la siguiente imagen:</w:t>
      </w:r>
    </w:p>
    <w:p w14:paraId="422F4B77" w14:textId="77777777" w:rsidR="00FA60B2" w:rsidRPr="008E61EE" w:rsidRDefault="00FA60B2" w:rsidP="002B7FFB">
      <w:pPr>
        <w:spacing w:line="360" w:lineRule="auto"/>
        <w:jc w:val="both"/>
        <w:rPr>
          <w:rFonts w:ascii="Palatino Linotype" w:eastAsia="Calibri" w:hAnsi="Palatino Linotype" w:cs="Tahoma"/>
          <w:iCs/>
          <w:sz w:val="22"/>
          <w:szCs w:val="22"/>
          <w:lang w:eastAsia="es-ES_tradnl"/>
        </w:rPr>
      </w:pPr>
    </w:p>
    <w:p w14:paraId="56BC751A" w14:textId="5A902601" w:rsidR="002B7FFB" w:rsidRPr="008E61EE" w:rsidRDefault="00FA60B2" w:rsidP="00FA60B2">
      <w:pPr>
        <w:spacing w:line="360" w:lineRule="auto"/>
        <w:jc w:val="center"/>
        <w:rPr>
          <w:rFonts w:ascii="Palatino Linotype" w:eastAsia="Calibri" w:hAnsi="Palatino Linotype" w:cs="Tahoma"/>
          <w:iCs/>
          <w:sz w:val="22"/>
          <w:szCs w:val="22"/>
          <w:lang w:eastAsia="es-ES_tradnl"/>
        </w:rPr>
      </w:pPr>
      <w:r w:rsidRPr="008E61EE">
        <w:rPr>
          <w:rFonts w:ascii="Palatino Linotype" w:eastAsia="Calibri" w:hAnsi="Palatino Linotype" w:cs="Tahoma"/>
          <w:iCs/>
          <w:noProof/>
          <w:sz w:val="22"/>
          <w:szCs w:val="22"/>
          <w:lang w:eastAsia="es-MX"/>
        </w:rPr>
        <w:drawing>
          <wp:inline distT="0" distB="0" distL="0" distR="0" wp14:anchorId="670EC848" wp14:editId="7E74B6FF">
            <wp:extent cx="2693784" cy="49601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61" cy="4981139"/>
                    </a:xfrm>
                    <a:prstGeom prst="rect">
                      <a:avLst/>
                    </a:prstGeom>
                  </pic:spPr>
                </pic:pic>
              </a:graphicData>
            </a:graphic>
          </wp:inline>
        </w:drawing>
      </w:r>
    </w:p>
    <w:p w14:paraId="0E7C1668" w14:textId="77777777" w:rsidR="00FA60B2" w:rsidRPr="008E61EE" w:rsidRDefault="00FA60B2" w:rsidP="00E256D6">
      <w:pPr>
        <w:tabs>
          <w:tab w:val="left" w:pos="4962"/>
        </w:tabs>
        <w:spacing w:line="360" w:lineRule="auto"/>
        <w:jc w:val="both"/>
        <w:rPr>
          <w:rFonts w:ascii="Palatino Linotype" w:eastAsia="Calibri" w:hAnsi="Palatino Linotype" w:cs="Tahoma"/>
          <w:b/>
          <w:iCs/>
          <w:szCs w:val="22"/>
          <w:lang w:val="es-ES" w:eastAsia="es-ES_tradnl"/>
        </w:rPr>
      </w:pPr>
    </w:p>
    <w:p w14:paraId="4974411D" w14:textId="5B7A840C" w:rsidR="00FA60B2" w:rsidRPr="00AC4A81" w:rsidRDefault="00FA60B2" w:rsidP="00E256D6">
      <w:pPr>
        <w:tabs>
          <w:tab w:val="left" w:pos="4962"/>
        </w:tabs>
        <w:spacing w:line="360" w:lineRule="auto"/>
        <w:jc w:val="both"/>
        <w:rPr>
          <w:rFonts w:ascii="Palatino Linotype" w:eastAsia="Calibri" w:hAnsi="Palatino Linotype" w:cs="Tahoma"/>
          <w:iCs/>
          <w:sz w:val="22"/>
          <w:szCs w:val="22"/>
          <w:lang w:val="es-ES" w:eastAsia="es-ES_tradnl"/>
        </w:rPr>
      </w:pPr>
      <w:r w:rsidRPr="00AC4A81">
        <w:rPr>
          <w:rFonts w:ascii="Palatino Linotype" w:eastAsia="Calibri" w:hAnsi="Palatino Linotype" w:cs="Tahoma"/>
          <w:iCs/>
          <w:sz w:val="22"/>
          <w:szCs w:val="22"/>
          <w:lang w:val="es-ES" w:eastAsia="es-ES_tradnl"/>
        </w:rPr>
        <w:t xml:space="preserve">Derivado de lo anterior, se observa que el Ayuntamiento debe contar con los documentos en donde consten los ingresos recibidos en la temporalidad interés del solicitante, y no es justificante el hecho de que únicamente señale que la </w:t>
      </w:r>
      <w:r w:rsidRPr="00AC4A81">
        <w:rPr>
          <w:rFonts w:ascii="Palatino Linotype" w:eastAsia="Calibri" w:hAnsi="Palatino Linotype" w:cs="Tahoma"/>
          <w:iCs/>
          <w:sz w:val="22"/>
          <w:szCs w:val="22"/>
          <w:lang w:eastAsia="es-ES_tradnl"/>
        </w:rPr>
        <w:t xml:space="preserve">nueva administración ha retrasado la publicidad de la información, ya que se ha reiterado los supuestos en los que encuadra la negativa de la información y lo supuestos para no entregarla, sin embargo, lo requerido en el </w:t>
      </w:r>
      <w:r w:rsidRPr="00AC4A81">
        <w:rPr>
          <w:rFonts w:ascii="Palatino Linotype" w:eastAsia="Calibri" w:hAnsi="Palatino Linotype" w:cs="Tahoma"/>
          <w:iCs/>
          <w:sz w:val="22"/>
          <w:szCs w:val="22"/>
          <w:lang w:eastAsia="es-ES_tradnl"/>
        </w:rPr>
        <w:lastRenderedPageBreak/>
        <w:t>presente punto no encuadra en ningún supuesto, por lo que lo procedente es ordenar su entrega</w:t>
      </w:r>
      <w:r w:rsidR="00290814" w:rsidRPr="00AC4A81">
        <w:rPr>
          <w:rFonts w:ascii="Palatino Linotype" w:eastAsia="Calibri" w:hAnsi="Palatino Linotype" w:cs="Tahoma"/>
          <w:iCs/>
          <w:sz w:val="22"/>
          <w:szCs w:val="22"/>
          <w:lang w:eastAsia="es-ES_tradnl"/>
        </w:rPr>
        <w:t>.</w:t>
      </w:r>
    </w:p>
    <w:p w14:paraId="155012B9" w14:textId="77777777" w:rsidR="00FA60B2" w:rsidRPr="00FA60B2" w:rsidRDefault="00FA60B2" w:rsidP="00E256D6">
      <w:pPr>
        <w:tabs>
          <w:tab w:val="left" w:pos="4962"/>
        </w:tabs>
        <w:spacing w:line="360" w:lineRule="auto"/>
        <w:jc w:val="both"/>
        <w:rPr>
          <w:rFonts w:ascii="Palatino Linotype" w:eastAsia="Calibri" w:hAnsi="Palatino Linotype" w:cs="Tahoma"/>
          <w:iCs/>
          <w:szCs w:val="22"/>
          <w:lang w:val="es-ES" w:eastAsia="es-ES_tradnl"/>
        </w:rPr>
      </w:pPr>
    </w:p>
    <w:p w14:paraId="16E5477B" w14:textId="2F244038" w:rsidR="00415516" w:rsidRPr="00AC4A81" w:rsidRDefault="00415516" w:rsidP="00E256D6">
      <w:pPr>
        <w:tabs>
          <w:tab w:val="left" w:pos="4962"/>
        </w:tabs>
        <w:spacing w:line="360" w:lineRule="auto"/>
        <w:jc w:val="both"/>
        <w:rPr>
          <w:rFonts w:ascii="Palatino Linotype" w:eastAsia="Calibri" w:hAnsi="Palatino Linotype" w:cs="Tahoma"/>
          <w:b/>
          <w:iCs/>
          <w:sz w:val="22"/>
          <w:szCs w:val="22"/>
          <w:lang w:val="es-ES" w:eastAsia="es-ES_tradnl"/>
        </w:rPr>
      </w:pPr>
      <w:r w:rsidRPr="00AC4A81">
        <w:rPr>
          <w:rFonts w:ascii="Palatino Linotype" w:eastAsia="Calibri" w:hAnsi="Palatino Linotype" w:cs="Tahoma"/>
          <w:b/>
          <w:iCs/>
          <w:sz w:val="22"/>
          <w:szCs w:val="22"/>
          <w:lang w:val="es-ES" w:eastAsia="es-ES_tradnl"/>
        </w:rPr>
        <w:t>Relación de cuentas</w:t>
      </w:r>
      <w:r w:rsidR="00AC4A81">
        <w:rPr>
          <w:rFonts w:ascii="Palatino Linotype" w:eastAsia="Calibri" w:hAnsi="Palatino Linotype" w:cs="Tahoma"/>
          <w:b/>
          <w:iCs/>
          <w:sz w:val="22"/>
          <w:szCs w:val="22"/>
          <w:lang w:val="es-ES" w:eastAsia="es-ES_tradnl"/>
        </w:rPr>
        <w:t xml:space="preserve"> mancomunadas del ayuntamiento</w:t>
      </w:r>
    </w:p>
    <w:p w14:paraId="74F3F5C6" w14:textId="77777777" w:rsidR="002B7FFB" w:rsidRDefault="002B7FFB" w:rsidP="00377B52">
      <w:pPr>
        <w:spacing w:line="360" w:lineRule="auto"/>
        <w:jc w:val="both"/>
        <w:rPr>
          <w:rFonts w:ascii="Palatino Linotype" w:eastAsia="Calibri" w:hAnsi="Palatino Linotype" w:cs="Tahoma"/>
          <w:iCs/>
          <w:sz w:val="22"/>
          <w:szCs w:val="22"/>
          <w:lang w:eastAsia="es-ES_tradnl"/>
        </w:rPr>
      </w:pPr>
    </w:p>
    <w:p w14:paraId="4E28A0B2" w14:textId="77777777" w:rsidR="00415516" w:rsidRDefault="00143BAC" w:rsidP="00104DEF">
      <w:pPr>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val="es-ES" w:eastAsia="en-US"/>
        </w:rPr>
        <w:t xml:space="preserve">En relación al presente punto se localizó la liga electrónica </w:t>
      </w:r>
      <w:hyperlink r:id="rId12" w:history="1">
        <w:r w:rsidRPr="001612D9">
          <w:rPr>
            <w:rStyle w:val="Hipervnculo"/>
            <w:rFonts w:ascii="Palatino Linotype" w:eastAsia="Calibri" w:hAnsi="Palatino Linotype" w:cs="Tahoma"/>
            <w:bCs/>
            <w:iCs/>
            <w:sz w:val="22"/>
            <w:szCs w:val="22"/>
            <w:lang w:val="es-ES" w:eastAsia="en-US"/>
          </w:rPr>
          <w:t>https://www.bbva.mx/educacion-financiera/banca-digital/cuenta-digital-cuenta-mancomunada.html</w:t>
        </w:r>
      </w:hyperlink>
      <w:r>
        <w:rPr>
          <w:rFonts w:ascii="Palatino Linotype" w:eastAsia="Calibri" w:hAnsi="Palatino Linotype" w:cs="Tahoma"/>
          <w:bCs/>
          <w:iCs/>
          <w:sz w:val="22"/>
          <w:szCs w:val="22"/>
          <w:lang w:val="es-ES" w:eastAsia="en-US"/>
        </w:rPr>
        <w:t xml:space="preserve"> en la cual </w:t>
      </w:r>
      <w:r w:rsidR="002037C7">
        <w:rPr>
          <w:rFonts w:ascii="Palatino Linotype" w:eastAsia="Calibri" w:hAnsi="Palatino Linotype" w:cs="Tahoma"/>
          <w:bCs/>
          <w:iCs/>
          <w:sz w:val="22"/>
          <w:szCs w:val="22"/>
          <w:lang w:val="es-ES" w:eastAsia="en-US"/>
        </w:rPr>
        <w:t xml:space="preserve">señala que </w:t>
      </w:r>
      <w:r>
        <w:rPr>
          <w:rFonts w:ascii="Palatino Linotype" w:eastAsia="Calibri" w:hAnsi="Palatino Linotype" w:cs="Tahoma"/>
          <w:bCs/>
          <w:iCs/>
          <w:sz w:val="22"/>
          <w:szCs w:val="22"/>
          <w:lang w:val="es-ES" w:eastAsia="en-US"/>
        </w:rPr>
        <w:t xml:space="preserve">una cuenta mancomunada </w:t>
      </w:r>
      <w:r w:rsidRPr="00143BAC">
        <w:rPr>
          <w:rFonts w:ascii="Palatino Linotype" w:eastAsia="Calibri" w:hAnsi="Palatino Linotype" w:cs="Tahoma"/>
          <w:bCs/>
          <w:iCs/>
          <w:sz w:val="22"/>
          <w:szCs w:val="22"/>
          <w:lang w:eastAsia="en-US"/>
        </w:rPr>
        <w:t>es un tipo de cuenta bancaria que tiene dos o más titulares con derecho a operar con la misma, siempre y cuando reciba la misma cantidad de derechos que los otros beneficiarios.</w:t>
      </w:r>
      <w:r>
        <w:rPr>
          <w:rFonts w:ascii="Palatino Linotype" w:eastAsia="Calibri" w:hAnsi="Palatino Linotype" w:cs="Tahoma"/>
          <w:bCs/>
          <w:iCs/>
          <w:sz w:val="22"/>
          <w:szCs w:val="22"/>
          <w:lang w:eastAsia="en-US"/>
        </w:rPr>
        <w:t xml:space="preserve"> </w:t>
      </w:r>
    </w:p>
    <w:p w14:paraId="07A99892" w14:textId="77777777" w:rsidR="002037C7" w:rsidRDefault="002037C7" w:rsidP="00104DEF">
      <w:pPr>
        <w:spacing w:line="360" w:lineRule="auto"/>
        <w:ind w:right="-93"/>
        <w:jc w:val="both"/>
        <w:rPr>
          <w:rFonts w:ascii="Palatino Linotype" w:eastAsia="Calibri" w:hAnsi="Palatino Linotype" w:cs="Tahoma"/>
          <w:bCs/>
          <w:iCs/>
          <w:sz w:val="22"/>
          <w:szCs w:val="22"/>
          <w:lang w:eastAsia="en-US"/>
        </w:rPr>
      </w:pPr>
    </w:p>
    <w:p w14:paraId="104ECC98" w14:textId="77777777" w:rsidR="00D91F0F" w:rsidRPr="0086711A" w:rsidRDefault="002037C7" w:rsidP="00D91F0F">
      <w:pPr>
        <w:spacing w:line="360" w:lineRule="auto"/>
        <w:contextualSpacing/>
        <w:jc w:val="both"/>
        <w:rPr>
          <w:rFonts w:ascii="Palatino Linotype" w:hAnsi="Palatino Linotype" w:cs="Tahoma"/>
          <w:sz w:val="22"/>
          <w:szCs w:val="22"/>
        </w:rPr>
      </w:pPr>
      <w:r>
        <w:rPr>
          <w:rFonts w:ascii="Palatino Linotype" w:eastAsia="Calibri" w:hAnsi="Palatino Linotype" w:cs="Tahoma"/>
          <w:bCs/>
          <w:iCs/>
          <w:sz w:val="22"/>
          <w:szCs w:val="22"/>
          <w:lang w:eastAsia="en-US"/>
        </w:rPr>
        <w:t xml:space="preserve">En ese sentido, es de recordar que en respuesta al presente punto el Tesorero Municipal señalo </w:t>
      </w:r>
      <w:r w:rsidR="00D91F0F">
        <w:rPr>
          <w:rFonts w:ascii="Palatino Linotype" w:eastAsia="Calibri" w:hAnsi="Palatino Linotype" w:cs="Tahoma"/>
          <w:bCs/>
          <w:iCs/>
          <w:sz w:val="22"/>
          <w:szCs w:val="22"/>
          <w:lang w:eastAsia="en-US"/>
        </w:rPr>
        <w:t xml:space="preserve">que la información está siendo procesada, no obstante, sobre el presente punto, no se encuentra impedimento alguno para poder entregar la información relacionada con las cuentas bancarias que se encuentren mancomunadas del Ayuntamiento, así </w:t>
      </w:r>
      <w:r w:rsidR="00D91F0F" w:rsidRPr="0086711A">
        <w:rPr>
          <w:rFonts w:ascii="Palatino Linotype" w:hAnsi="Palatino Linotype" w:cs="Tahoma"/>
          <w:sz w:val="22"/>
          <w:szCs w:val="22"/>
        </w:rPr>
        <w:t>sobre el tema de cuentas bancarias, el artículo 46, fracción I, incisos a), b), c) y d), y XVI de la Ley de Instituciones de Crédito, establecen que dentro de las operaciones que pueden desarrollar las Instituciones de Crédito se encuentran las siguientes:</w:t>
      </w:r>
    </w:p>
    <w:p w14:paraId="3A0B957F" w14:textId="77777777" w:rsidR="00D91F0F" w:rsidRPr="0086711A" w:rsidRDefault="00D91F0F" w:rsidP="00D91F0F">
      <w:pPr>
        <w:spacing w:line="360" w:lineRule="auto"/>
        <w:contextualSpacing/>
        <w:jc w:val="both"/>
        <w:rPr>
          <w:rFonts w:ascii="Palatino Linotype" w:hAnsi="Palatino Linotype" w:cs="Tahoma"/>
          <w:sz w:val="22"/>
          <w:szCs w:val="22"/>
        </w:rPr>
      </w:pPr>
    </w:p>
    <w:p w14:paraId="6972FE67" w14:textId="77777777" w:rsidR="00D91F0F" w:rsidRPr="0086711A" w:rsidRDefault="00D91F0F" w:rsidP="00D91F0F">
      <w:pPr>
        <w:numPr>
          <w:ilvl w:val="0"/>
          <w:numId w:val="25"/>
        </w:num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t xml:space="preserve">Recibir depósitos de dinero: </w:t>
      </w:r>
    </w:p>
    <w:p w14:paraId="7B96AA61" w14:textId="77777777" w:rsidR="00D91F0F" w:rsidRPr="0086711A" w:rsidRDefault="00D91F0F" w:rsidP="00D91F0F">
      <w:pPr>
        <w:numPr>
          <w:ilvl w:val="1"/>
          <w:numId w:val="25"/>
        </w:num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t xml:space="preserve">A la vista. </w:t>
      </w:r>
    </w:p>
    <w:p w14:paraId="5E1339D5" w14:textId="77777777" w:rsidR="00D91F0F" w:rsidRPr="0086711A" w:rsidRDefault="00D91F0F" w:rsidP="00D91F0F">
      <w:pPr>
        <w:numPr>
          <w:ilvl w:val="1"/>
          <w:numId w:val="25"/>
        </w:num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t>Retirables en días preestablecidos.</w:t>
      </w:r>
    </w:p>
    <w:p w14:paraId="229E7E1E" w14:textId="77777777" w:rsidR="00D91F0F" w:rsidRPr="0086711A" w:rsidRDefault="00D91F0F" w:rsidP="00D91F0F">
      <w:pPr>
        <w:numPr>
          <w:ilvl w:val="1"/>
          <w:numId w:val="25"/>
        </w:num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t>De ahorro y:</w:t>
      </w:r>
    </w:p>
    <w:p w14:paraId="3559014B" w14:textId="77777777" w:rsidR="00D91F0F" w:rsidRPr="0086711A" w:rsidRDefault="00D91F0F" w:rsidP="00D91F0F">
      <w:pPr>
        <w:numPr>
          <w:ilvl w:val="1"/>
          <w:numId w:val="25"/>
        </w:num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t xml:space="preserve">A plazo o con previo aviso. </w:t>
      </w:r>
    </w:p>
    <w:p w14:paraId="32935D29" w14:textId="77777777" w:rsidR="00D91F0F" w:rsidRPr="0086711A" w:rsidRDefault="00D91F0F" w:rsidP="00D91F0F">
      <w:pPr>
        <w:numPr>
          <w:ilvl w:val="0"/>
          <w:numId w:val="25"/>
        </w:num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t xml:space="preserve">Recibir depósitos en administración o custodio, o en garantía por cuenta de terceros, de títulos o valores y en general documentos mercantiles. </w:t>
      </w:r>
    </w:p>
    <w:p w14:paraId="5A69A93D" w14:textId="77777777" w:rsidR="00D91F0F" w:rsidRPr="0086711A" w:rsidRDefault="00D91F0F" w:rsidP="00D91F0F">
      <w:pPr>
        <w:spacing w:line="360" w:lineRule="auto"/>
        <w:contextualSpacing/>
        <w:jc w:val="both"/>
        <w:rPr>
          <w:rFonts w:ascii="Palatino Linotype" w:hAnsi="Palatino Linotype" w:cs="Tahoma"/>
          <w:sz w:val="22"/>
          <w:szCs w:val="22"/>
        </w:rPr>
      </w:pPr>
    </w:p>
    <w:p w14:paraId="228E5D9B" w14:textId="77777777" w:rsidR="00D91F0F" w:rsidRPr="0086711A" w:rsidRDefault="00D91F0F" w:rsidP="00D91F0F">
      <w:p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lastRenderedPageBreak/>
        <w:t xml:space="preserve">En ese contexto, en seguimiento a lo previsto al artículo 2° del Código de Comercio, el artículo 2516 del Código Civil Federal establece que el depósito es un contrato por el cual el depositario se obliga hacia el depositante a recibir una cosa, mueble o inmueble que aquel confía, y a guardarla para restituirla cuando lo pida el depositante. En esa misma línea, el Capítulo II de la Ley General de Títulos y Operaciones de Crédito, prevé tres tipos de operaciones de crédito de depósito que se pueden realizar, a saber: i) depósito bancario de dinero, </w:t>
      </w:r>
      <w:proofErr w:type="spellStart"/>
      <w:r w:rsidRPr="0086711A">
        <w:rPr>
          <w:rFonts w:ascii="Palatino Linotype" w:hAnsi="Palatino Linotype" w:cs="Tahoma"/>
          <w:sz w:val="22"/>
          <w:szCs w:val="22"/>
        </w:rPr>
        <w:t>ii</w:t>
      </w:r>
      <w:proofErr w:type="spellEnd"/>
      <w:r w:rsidRPr="0086711A">
        <w:rPr>
          <w:rFonts w:ascii="Palatino Linotype" w:hAnsi="Palatino Linotype" w:cs="Tahoma"/>
          <w:sz w:val="22"/>
          <w:szCs w:val="22"/>
        </w:rPr>
        <w:t xml:space="preserve">) depósito bancario de títulos y </w:t>
      </w:r>
      <w:proofErr w:type="spellStart"/>
      <w:r w:rsidRPr="0086711A">
        <w:rPr>
          <w:rFonts w:ascii="Palatino Linotype" w:hAnsi="Palatino Linotype" w:cs="Tahoma"/>
          <w:sz w:val="22"/>
          <w:szCs w:val="22"/>
        </w:rPr>
        <w:t>iii</w:t>
      </w:r>
      <w:proofErr w:type="spellEnd"/>
      <w:r w:rsidRPr="0086711A">
        <w:rPr>
          <w:rFonts w:ascii="Palatino Linotype" w:hAnsi="Palatino Linotype" w:cs="Tahoma"/>
          <w:sz w:val="22"/>
          <w:szCs w:val="22"/>
        </w:rPr>
        <w:t xml:space="preserve">) depósito de mercancías en almacenes generales. </w:t>
      </w:r>
    </w:p>
    <w:p w14:paraId="4AA9D1FC" w14:textId="77777777" w:rsidR="00D91F0F" w:rsidRPr="0086711A" w:rsidRDefault="00D91F0F" w:rsidP="00D91F0F">
      <w:pPr>
        <w:spacing w:line="360" w:lineRule="auto"/>
        <w:contextualSpacing/>
        <w:jc w:val="both"/>
        <w:rPr>
          <w:rFonts w:ascii="Palatino Linotype" w:hAnsi="Palatino Linotype" w:cs="Tahoma"/>
          <w:sz w:val="22"/>
          <w:szCs w:val="22"/>
        </w:rPr>
      </w:pPr>
    </w:p>
    <w:p w14:paraId="6FE97FBE" w14:textId="77777777" w:rsidR="00D91F0F" w:rsidRPr="0086711A" w:rsidRDefault="00D91F0F" w:rsidP="00D91F0F">
      <w:p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t xml:space="preserve">En ese orden de ideas, el artículo 2°, fracción III, de la Ley General de Títulos y Operaciones de Crédito establece que los actos y las operaciones que regula esta Ley General, se regirán por los </w:t>
      </w:r>
      <w:r w:rsidRPr="0086711A">
        <w:rPr>
          <w:rFonts w:ascii="Palatino Linotype" w:hAnsi="Palatino Linotype" w:cs="Tahoma"/>
          <w:b/>
          <w:bCs/>
          <w:sz w:val="22"/>
          <w:szCs w:val="22"/>
        </w:rPr>
        <w:t>usos bancarios y mercantiles</w:t>
      </w:r>
      <w:r w:rsidRPr="0086711A">
        <w:rPr>
          <w:rFonts w:ascii="Palatino Linotype" w:hAnsi="Palatino Linotype" w:cs="Tahoma"/>
          <w:sz w:val="22"/>
          <w:szCs w:val="22"/>
        </w:rPr>
        <w:t xml:space="preserve">, es así que, a manera de contextualización (consultados en: </w:t>
      </w:r>
      <w:hyperlink r:id="rId13" w:history="1">
        <w:r w:rsidRPr="0086711A">
          <w:rPr>
            <w:rStyle w:val="Hipervnculo"/>
            <w:rFonts w:ascii="Palatino Linotype" w:hAnsi="Palatino Linotype" w:cs="Tahoma"/>
            <w:sz w:val="22"/>
            <w:szCs w:val="22"/>
          </w:rPr>
          <w:t>https://www.bbva.mx/educacion-financiera/banca-digital/como-abrir-una-cuenta-bancaria.html</w:t>
        </w:r>
      </w:hyperlink>
      <w:r w:rsidRPr="0086711A">
        <w:rPr>
          <w:rFonts w:ascii="Palatino Linotype" w:hAnsi="Palatino Linotype" w:cs="Tahoma"/>
          <w:sz w:val="22"/>
          <w:szCs w:val="22"/>
        </w:rPr>
        <w:t xml:space="preserve"> y </w:t>
      </w:r>
      <w:hyperlink r:id="rId14" w:history="1">
        <w:r w:rsidRPr="0086711A">
          <w:rPr>
            <w:rStyle w:val="Hipervnculo"/>
            <w:rFonts w:ascii="Palatino Linotype" w:hAnsi="Palatino Linotype" w:cs="Tahoma"/>
            <w:sz w:val="22"/>
            <w:szCs w:val="22"/>
          </w:rPr>
          <w:t>https://www.bbva.mx/educacion-financiera/banca-digital/estado-de-cuenta-digital-mas-facil-y-sin-papel.html</w:t>
        </w:r>
      </w:hyperlink>
      <w:r w:rsidRPr="0086711A">
        <w:rPr>
          <w:rFonts w:ascii="Palatino Linotype" w:hAnsi="Palatino Linotype" w:cs="Tahoma"/>
          <w:sz w:val="22"/>
          <w:szCs w:val="22"/>
        </w:rPr>
        <w:t xml:space="preserve">) cuenta bancaria y estado de cuenta se definen como: </w:t>
      </w:r>
    </w:p>
    <w:p w14:paraId="6BD69C00" w14:textId="77777777" w:rsidR="00D91F0F" w:rsidRPr="0086711A" w:rsidRDefault="00D91F0F" w:rsidP="00D91F0F">
      <w:pPr>
        <w:spacing w:line="360" w:lineRule="auto"/>
        <w:contextualSpacing/>
        <w:jc w:val="both"/>
        <w:rPr>
          <w:rFonts w:ascii="Palatino Linotype" w:hAnsi="Palatino Linotype" w:cs="Tahoma"/>
          <w:sz w:val="22"/>
          <w:szCs w:val="22"/>
        </w:rPr>
      </w:pPr>
    </w:p>
    <w:p w14:paraId="232B8F22" w14:textId="77777777" w:rsidR="00D91F0F" w:rsidRPr="0086711A" w:rsidRDefault="00D91F0F" w:rsidP="00D91F0F">
      <w:pPr>
        <w:numPr>
          <w:ilvl w:val="0"/>
          <w:numId w:val="26"/>
        </w:numPr>
        <w:spacing w:line="360" w:lineRule="auto"/>
        <w:contextualSpacing/>
        <w:jc w:val="both"/>
        <w:rPr>
          <w:rFonts w:ascii="Palatino Linotype" w:hAnsi="Palatino Linotype" w:cs="Tahoma"/>
          <w:sz w:val="22"/>
          <w:szCs w:val="22"/>
        </w:rPr>
      </w:pPr>
      <w:r w:rsidRPr="0086711A">
        <w:rPr>
          <w:rFonts w:ascii="Palatino Linotype" w:hAnsi="Palatino Linotype" w:cs="Tahoma"/>
          <w:b/>
          <w:bCs/>
          <w:sz w:val="22"/>
          <w:szCs w:val="22"/>
        </w:rPr>
        <w:t>Cuenta bancaria:</w:t>
      </w:r>
      <w:r w:rsidRPr="0086711A">
        <w:rPr>
          <w:rFonts w:ascii="Palatino Linotype" w:hAnsi="Palatino Linotype" w:cs="Tahoma"/>
          <w:sz w:val="22"/>
          <w:szCs w:val="22"/>
        </w:rPr>
        <w:t xml:space="preserve"> Una cuenta bancaria es un registro que mantiene un banco, en el que guarda dinero y contabiliza todas las entradas y salidas de efectivo, así como los créditos en curso, inversiones y productos relacionados.</w:t>
      </w:r>
    </w:p>
    <w:p w14:paraId="591ECAD1" w14:textId="77777777" w:rsidR="00D91F0F" w:rsidRPr="0086711A" w:rsidRDefault="00D91F0F" w:rsidP="00D91F0F">
      <w:pPr>
        <w:spacing w:line="360" w:lineRule="auto"/>
        <w:contextualSpacing/>
        <w:jc w:val="both"/>
        <w:rPr>
          <w:rFonts w:ascii="Palatino Linotype" w:hAnsi="Palatino Linotype" w:cs="Tahoma"/>
          <w:sz w:val="22"/>
          <w:szCs w:val="22"/>
        </w:rPr>
      </w:pPr>
    </w:p>
    <w:p w14:paraId="0D578800" w14:textId="77777777" w:rsidR="00D91F0F" w:rsidRPr="0086711A" w:rsidRDefault="00D91F0F" w:rsidP="00D91F0F">
      <w:pPr>
        <w:numPr>
          <w:ilvl w:val="0"/>
          <w:numId w:val="26"/>
        </w:numPr>
        <w:spacing w:line="360" w:lineRule="auto"/>
        <w:contextualSpacing/>
        <w:jc w:val="both"/>
        <w:rPr>
          <w:rFonts w:ascii="Palatino Linotype" w:hAnsi="Palatino Linotype" w:cs="Tahoma"/>
          <w:sz w:val="22"/>
          <w:szCs w:val="22"/>
        </w:rPr>
      </w:pPr>
      <w:r w:rsidRPr="0086711A">
        <w:rPr>
          <w:rFonts w:ascii="Palatino Linotype" w:hAnsi="Palatino Linotype" w:cs="Tahoma"/>
          <w:b/>
          <w:bCs/>
          <w:sz w:val="22"/>
          <w:szCs w:val="22"/>
        </w:rPr>
        <w:t>Estado de cuenta:</w:t>
      </w:r>
      <w:r w:rsidRPr="0086711A">
        <w:rPr>
          <w:rFonts w:ascii="Palatino Linotype" w:hAnsi="Palatino Linotype" w:cs="Tahoma"/>
          <w:sz w:val="22"/>
          <w:szCs w:val="22"/>
        </w:rPr>
        <w:t xml:space="preserve"> 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14:paraId="720913D5" w14:textId="77777777" w:rsidR="00D91F0F" w:rsidRPr="0086711A" w:rsidRDefault="00D91F0F" w:rsidP="00D91F0F">
      <w:pPr>
        <w:spacing w:line="360" w:lineRule="auto"/>
        <w:contextualSpacing/>
        <w:jc w:val="both"/>
        <w:rPr>
          <w:rFonts w:ascii="Palatino Linotype" w:hAnsi="Palatino Linotype" w:cs="Tahoma"/>
          <w:sz w:val="22"/>
          <w:szCs w:val="22"/>
        </w:rPr>
      </w:pPr>
    </w:p>
    <w:p w14:paraId="614AB62F" w14:textId="77777777" w:rsidR="00D91F0F" w:rsidRPr="0086711A" w:rsidRDefault="00D91F0F" w:rsidP="00D91F0F">
      <w:pPr>
        <w:spacing w:line="360" w:lineRule="auto"/>
        <w:contextualSpacing/>
        <w:jc w:val="both"/>
        <w:rPr>
          <w:rFonts w:ascii="Palatino Linotype" w:hAnsi="Palatino Linotype" w:cs="Tahoma"/>
          <w:sz w:val="22"/>
          <w:szCs w:val="22"/>
        </w:rPr>
      </w:pPr>
      <w:r w:rsidRPr="0086711A">
        <w:rPr>
          <w:rFonts w:ascii="Palatino Linotype" w:hAnsi="Palatino Linotype" w:cs="Tahoma"/>
          <w:bCs/>
          <w:sz w:val="22"/>
          <w:szCs w:val="22"/>
        </w:rPr>
        <w:lastRenderedPageBreak/>
        <w:t xml:space="preserve">En ese contexto, </w:t>
      </w:r>
      <w:r w:rsidRPr="0086711A">
        <w:rPr>
          <w:rFonts w:ascii="Palatino Linotype" w:hAnsi="Palatino Linotype" w:cs="Tahoma"/>
          <w:sz w:val="22"/>
          <w:szCs w:val="22"/>
          <w:lang w:val="es-ES"/>
        </w:rPr>
        <w:t xml:space="preserve">las cuentas de los sujetos obligados resultan ser públicas de acuerdo al </w:t>
      </w:r>
      <w:r w:rsidRPr="0086711A">
        <w:rPr>
          <w:rFonts w:ascii="Palatino Linotype" w:hAnsi="Palatino Linotype" w:cs="Tahoma"/>
          <w:sz w:val="22"/>
          <w:szCs w:val="22"/>
        </w:rPr>
        <w:t>Criterio orientador 11/17 emitido por el entonces Pleno del Instituto Nacional de Transparencia, Acceso a la Información y Protección de Datos Personales se establece lo siguiente:</w:t>
      </w:r>
    </w:p>
    <w:p w14:paraId="0A3C00D2" w14:textId="77777777" w:rsidR="00D91F0F" w:rsidRPr="0086711A" w:rsidRDefault="00D91F0F" w:rsidP="00D91F0F">
      <w:pPr>
        <w:spacing w:line="360" w:lineRule="auto"/>
        <w:ind w:left="567" w:right="567"/>
        <w:jc w:val="both"/>
        <w:rPr>
          <w:rFonts w:ascii="Palatino Linotype" w:hAnsi="Palatino Linotype" w:cs="Tahoma"/>
          <w:sz w:val="22"/>
          <w:szCs w:val="22"/>
        </w:rPr>
      </w:pPr>
    </w:p>
    <w:p w14:paraId="3AF8204D" w14:textId="77777777" w:rsidR="00D91F0F" w:rsidRPr="0086711A" w:rsidRDefault="00D91F0F" w:rsidP="00D91F0F">
      <w:pPr>
        <w:spacing w:line="360" w:lineRule="auto"/>
        <w:ind w:left="567" w:right="567"/>
        <w:jc w:val="both"/>
        <w:rPr>
          <w:rFonts w:ascii="Palatino Linotype" w:hAnsi="Palatino Linotype"/>
          <w:i/>
          <w:iCs/>
          <w:lang w:val="es-ES"/>
        </w:rPr>
      </w:pPr>
      <w:r w:rsidRPr="0086711A">
        <w:rPr>
          <w:rFonts w:ascii="Palatino Linotype" w:hAnsi="Palatino Linotype"/>
          <w:b/>
          <w:i/>
          <w:iCs/>
          <w:lang w:val="es-ES"/>
        </w:rPr>
        <w:t>“Cuentas bancarias y/o CLABE interbancaria de sujetos obligados que reciben y/o transfieren recursos públicos, son información pública.</w:t>
      </w:r>
      <w:r w:rsidRPr="0086711A">
        <w:rPr>
          <w:rFonts w:ascii="Palatino Linotype" w:hAnsi="Palatino Linotype"/>
          <w:i/>
          <w:iCs/>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BFC03A9" w14:textId="77777777" w:rsidR="00D91F0F" w:rsidRPr="0086711A" w:rsidRDefault="00D91F0F" w:rsidP="00D91F0F">
      <w:pPr>
        <w:spacing w:line="360" w:lineRule="auto"/>
        <w:rPr>
          <w:lang w:val="es-ES"/>
        </w:rPr>
      </w:pPr>
    </w:p>
    <w:p w14:paraId="6E25547E" w14:textId="77777777" w:rsidR="00D91F0F" w:rsidRPr="0086711A" w:rsidRDefault="00D91F0F" w:rsidP="00D91F0F">
      <w:pPr>
        <w:spacing w:line="360" w:lineRule="auto"/>
        <w:contextualSpacing/>
        <w:jc w:val="both"/>
        <w:rPr>
          <w:rFonts w:ascii="Palatino Linotype" w:hAnsi="Palatino Linotype" w:cs="Tahoma"/>
          <w:sz w:val="22"/>
          <w:szCs w:val="22"/>
        </w:rPr>
      </w:pPr>
      <w:r w:rsidRPr="0086711A">
        <w:rPr>
          <w:rFonts w:ascii="Palatino Linotype" w:hAnsi="Palatino Linotype" w:cs="Tahoma"/>
          <w:sz w:val="22"/>
          <w:szCs w:val="22"/>
        </w:rPr>
        <w:t xml:space="preserve">Conforme a lo señalado, se logra vislumbrar que el Sujeto Obligado deberá entregar los documentos </w:t>
      </w:r>
      <w:r>
        <w:rPr>
          <w:rFonts w:ascii="Palatino Linotype" w:hAnsi="Palatino Linotype" w:cs="Tahoma"/>
          <w:sz w:val="22"/>
          <w:szCs w:val="22"/>
        </w:rPr>
        <w:t xml:space="preserve">en los que cuenten las cuentas mancomunadas, no obstante, si bien en respuesta señaló que se estaba integrando la información, no se tiene certeza de que tenga este tipo de cuentas, por lo que de ser el caso de que no cuente con la información deberá de hacerlo del conocimiento del Particular de manera precisa y clara, ya </w:t>
      </w:r>
      <w:r w:rsidRPr="0086711A">
        <w:rPr>
          <w:rFonts w:ascii="Palatino Linotype" w:hAnsi="Palatino Linotype" w:cs="Tahoma"/>
          <w:sz w:val="22"/>
          <w:szCs w:val="22"/>
        </w:rPr>
        <w:t>que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9274768" w14:textId="77777777" w:rsidR="002037C7" w:rsidRDefault="002037C7" w:rsidP="00104DEF">
      <w:pPr>
        <w:spacing w:line="360" w:lineRule="auto"/>
        <w:ind w:right="-93"/>
        <w:jc w:val="both"/>
        <w:rPr>
          <w:rFonts w:ascii="Palatino Linotype" w:eastAsia="Calibri" w:hAnsi="Palatino Linotype" w:cs="Tahoma"/>
          <w:bCs/>
          <w:iCs/>
          <w:sz w:val="22"/>
          <w:szCs w:val="22"/>
          <w:lang w:eastAsia="en-US"/>
        </w:rPr>
      </w:pPr>
    </w:p>
    <w:p w14:paraId="2B657932" w14:textId="72C89C0C" w:rsidR="00E256D6" w:rsidRDefault="00E256D6" w:rsidP="004A19E4">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I</w:t>
      </w:r>
      <w:r w:rsidRPr="00E256D6">
        <w:rPr>
          <w:rFonts w:ascii="Palatino Linotype" w:eastAsia="Calibri" w:hAnsi="Palatino Linotype" w:cs="Tahoma"/>
          <w:b/>
          <w:bCs/>
          <w:sz w:val="22"/>
          <w:szCs w:val="22"/>
          <w:lang w:val="es-ES" w:eastAsia="es-ES_tradnl"/>
        </w:rPr>
        <w:t>nformación del Sistema Municipal para el Desarrollo Integral de la Familia</w:t>
      </w:r>
    </w:p>
    <w:p w14:paraId="3779D3F4" w14:textId="77777777" w:rsidR="00E256D6" w:rsidRDefault="00E256D6" w:rsidP="004A19E4">
      <w:pPr>
        <w:spacing w:line="360" w:lineRule="auto"/>
        <w:jc w:val="both"/>
        <w:rPr>
          <w:rFonts w:ascii="Palatino Linotype" w:eastAsia="Calibri" w:hAnsi="Palatino Linotype" w:cs="Tahoma"/>
          <w:sz w:val="22"/>
          <w:szCs w:val="22"/>
          <w:lang w:val="es-ES" w:eastAsia="es-ES_tradnl"/>
        </w:rPr>
      </w:pPr>
    </w:p>
    <w:p w14:paraId="5D5220A5" w14:textId="6EE738C5" w:rsidR="004A19E4" w:rsidRPr="00A84B64" w:rsidRDefault="004A19E4" w:rsidP="004A19E4">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Como se puede observar de los presentes puntos, el Particular solicitó información relacionada con el </w:t>
      </w:r>
      <w:r w:rsidRPr="004A19E4">
        <w:rPr>
          <w:rFonts w:ascii="Palatino Linotype" w:eastAsia="Calibri" w:hAnsi="Palatino Linotype" w:cs="Tahoma"/>
          <w:sz w:val="22"/>
          <w:szCs w:val="22"/>
          <w:lang w:val="es-ES" w:eastAsia="es-ES_tradnl"/>
        </w:rPr>
        <w:t>Sistema Municipal para el Desarrollo Integral de la Familia del Municipio de Luvianos</w:t>
      </w:r>
      <w:r w:rsidRPr="00DF626D">
        <w:rPr>
          <w:rFonts w:ascii="Palatino Linotype" w:eastAsia="Calibri" w:hAnsi="Palatino Linotype" w:cs="Tahoma"/>
          <w:sz w:val="22"/>
          <w:szCs w:val="22"/>
          <w:lang w:val="es-ES" w:eastAsia="es-ES_tradnl"/>
        </w:rPr>
        <w:t xml:space="preserve">, </w:t>
      </w:r>
      <w:r>
        <w:rPr>
          <w:rFonts w:ascii="Palatino Linotype" w:eastAsia="Calibri" w:hAnsi="Palatino Linotype" w:cs="Tahoma"/>
          <w:sz w:val="22"/>
          <w:szCs w:val="22"/>
          <w:lang w:val="es-ES" w:eastAsia="es-ES_tradnl"/>
        </w:rPr>
        <w:t xml:space="preserve">por lo que en respuesta al punto 7 el Ayuntamiento señaló que la información correspondía a otro sujeto obligado, </w:t>
      </w:r>
      <w:r w:rsidRPr="00DF626D">
        <w:rPr>
          <w:rFonts w:ascii="Palatino Linotype" w:eastAsia="Calibri" w:hAnsi="Palatino Linotype" w:cs="Tahoma"/>
          <w:sz w:val="22"/>
          <w:szCs w:val="22"/>
          <w:lang w:val="es-ES" w:eastAsia="es-ES_tradnl"/>
        </w:rPr>
        <w:t>es decir se declaró incompetente, por ello conviene realizar las siguientes consideraciones</w:t>
      </w:r>
      <w:r>
        <w:rPr>
          <w:rFonts w:ascii="Palatino Linotype" w:eastAsia="Calibri" w:hAnsi="Palatino Linotype" w:cs="Tahoma"/>
          <w:sz w:val="22"/>
          <w:szCs w:val="22"/>
          <w:lang w:val="es-ES" w:eastAsia="es-ES_tradnl"/>
        </w:rPr>
        <w:t>;</w:t>
      </w:r>
      <w:r w:rsidRPr="00DF626D">
        <w:rPr>
          <w:rFonts w:ascii="Palatino Linotype" w:eastAsia="Calibri" w:hAnsi="Palatino Linotype" w:cs="Tahoma"/>
          <w:sz w:val="22"/>
          <w:szCs w:val="22"/>
          <w:lang w:val="es-ES" w:eastAsia="es-ES_tradnl"/>
        </w:rPr>
        <w:t xml:space="preserve"> </w:t>
      </w:r>
      <w:r>
        <w:rPr>
          <w:rFonts w:ascii="Palatino Linotype" w:eastAsia="Calibri" w:hAnsi="Palatino Linotype" w:cs="Tahoma"/>
          <w:sz w:val="22"/>
          <w:szCs w:val="22"/>
          <w:lang w:val="es-ES" w:eastAsia="es-ES_tradnl"/>
        </w:rPr>
        <w:t>a</w:t>
      </w:r>
      <w:r w:rsidRPr="00DF626D">
        <w:rPr>
          <w:rFonts w:ascii="Palatino Linotype" w:eastAsia="Calibri" w:hAnsi="Palatino Linotype" w:cs="Tahoma"/>
          <w:sz w:val="22"/>
          <w:szCs w:val="22"/>
          <w:lang w:eastAsia="es-ES_tradnl"/>
        </w:rPr>
        <w:t xml:space="preserve">l respecto, los artículos 49, fracción II, 53, fracción III </w:t>
      </w:r>
      <w:r w:rsidRPr="00DF626D">
        <w:rPr>
          <w:rFonts w:ascii="Palatino Linotype" w:eastAsia="Calibri" w:hAnsi="Palatino Linotype" w:cs="Tahoma"/>
          <w:sz w:val="22"/>
          <w:szCs w:val="22"/>
          <w:lang w:eastAsia="es-ES_tradnl"/>
        </w:rPr>
        <w:lastRenderedPageBreak/>
        <w:t xml:space="preserve">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DF626D">
        <w:rPr>
          <w:rFonts w:ascii="Palatino Linotype" w:eastAsia="Calibri" w:hAnsi="Palatino Linotype" w:cs="Tahoma"/>
          <w:b/>
          <w:sz w:val="22"/>
          <w:szCs w:val="22"/>
          <w:lang w:eastAsia="es-ES_tradnl"/>
        </w:rPr>
        <w:t>cuando la misma no sea competencia del sujeto obligado ante el cual se formule la solicitud de acceso.</w:t>
      </w:r>
    </w:p>
    <w:p w14:paraId="32BB3787" w14:textId="77777777" w:rsidR="004A19E4" w:rsidRPr="00DF626D" w:rsidRDefault="004A19E4" w:rsidP="004A19E4">
      <w:pPr>
        <w:spacing w:line="360" w:lineRule="auto"/>
        <w:jc w:val="both"/>
        <w:rPr>
          <w:rFonts w:ascii="Palatino Linotype" w:eastAsia="Calibri" w:hAnsi="Palatino Linotype" w:cs="Tahoma"/>
          <w:b/>
          <w:sz w:val="22"/>
          <w:szCs w:val="22"/>
          <w:lang w:eastAsia="es-ES_tradnl"/>
        </w:rPr>
      </w:pPr>
    </w:p>
    <w:p w14:paraId="534E0ADC" w14:textId="77777777" w:rsidR="004A19E4" w:rsidRPr="00DF626D" w:rsidRDefault="004A19E4" w:rsidP="004A19E4">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eastAsia="es-ES_tradnl"/>
        </w:rPr>
        <w:t xml:space="preserve">Asimismo, que los Comités de Transparencia tienen entre sus atribuciones confirmar, modificar o revocar la </w:t>
      </w:r>
      <w:r w:rsidRPr="00DF626D">
        <w:rPr>
          <w:rFonts w:ascii="Palatino Linotype" w:eastAsia="Calibri" w:hAnsi="Palatino Linotype" w:cs="Tahoma"/>
          <w:b/>
          <w:sz w:val="22"/>
          <w:szCs w:val="22"/>
          <w:lang w:eastAsia="es-ES_tradnl"/>
        </w:rPr>
        <w:t>declaración de incompetencia</w:t>
      </w:r>
      <w:r w:rsidRPr="00DF626D">
        <w:rPr>
          <w:rFonts w:ascii="Palatino Linotype" w:eastAsia="Calibri" w:hAnsi="Palatino Linotype" w:cs="Tahoma"/>
          <w:sz w:val="22"/>
          <w:szCs w:val="22"/>
          <w:lang w:eastAsia="es-ES_tradnl"/>
        </w:rPr>
        <w:t xml:space="preserve"> que realicen los titulares de las unidades administrativas. En esa tesitura, cuando las Unidades de Transparencia determinen </w:t>
      </w:r>
      <w:r w:rsidRPr="00DF626D">
        <w:rPr>
          <w:rFonts w:ascii="Palatino Linotype" w:eastAsia="Calibri" w:hAnsi="Palatino Linotype" w:cs="Tahoma"/>
          <w:b/>
          <w:sz w:val="22"/>
          <w:szCs w:val="22"/>
          <w:lang w:eastAsia="es-ES_tradnl"/>
        </w:rPr>
        <w:t>la notoria incompetencia</w:t>
      </w:r>
      <w:r w:rsidRPr="00DF626D">
        <w:rPr>
          <w:rFonts w:ascii="Palatino Linotype" w:eastAsia="Calibri" w:hAnsi="Palatino Linotype" w:cs="Tahoma"/>
          <w:sz w:val="22"/>
          <w:szCs w:val="22"/>
          <w:lang w:eastAsia="es-ES_tradnl"/>
        </w:rPr>
        <w:t xml:space="preserve"> por parte de los sujetos obligados deberán comunicar al solicitante la misma dentro de los tres días posteriores a la recepción de la solicitud. </w:t>
      </w:r>
    </w:p>
    <w:p w14:paraId="74038B6F" w14:textId="77777777" w:rsidR="004A19E4" w:rsidRPr="00DF626D" w:rsidRDefault="004A19E4" w:rsidP="004A19E4">
      <w:pPr>
        <w:spacing w:line="360" w:lineRule="auto"/>
        <w:jc w:val="both"/>
        <w:rPr>
          <w:rFonts w:ascii="Palatino Linotype" w:eastAsia="Calibri" w:hAnsi="Palatino Linotype" w:cs="Tahoma"/>
          <w:sz w:val="22"/>
          <w:szCs w:val="22"/>
          <w:lang w:eastAsia="es-ES_tradnl"/>
        </w:rPr>
      </w:pPr>
    </w:p>
    <w:p w14:paraId="470928A5" w14:textId="77777777" w:rsidR="004A19E4" w:rsidRPr="00DF626D" w:rsidRDefault="004A19E4" w:rsidP="004A19E4">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sz w:val="22"/>
          <w:szCs w:val="22"/>
          <w:lang w:eastAsia="es-ES_tradnl"/>
        </w:rPr>
        <w:t>Como se logra observar, si bien la Ley de la materia, prevé el supuesto de incompetencia para que los sujetos obligados den atención a solitudes de información, también lo es, que no se precisa en que consiste dicho concepto; sobre dicha situación</w:t>
      </w:r>
      <w:r w:rsidRPr="00DF626D">
        <w:rPr>
          <w:rFonts w:ascii="Palatino Linotype" w:eastAsia="Calibri" w:hAnsi="Palatino Linotype" w:cs="Tahoma"/>
          <w:sz w:val="22"/>
          <w:szCs w:val="22"/>
          <w:lang w:val="es-ES_tradnl" w:eastAsia="es-ES_tradnl"/>
        </w:rPr>
        <w:t xml:space="preserve">, </w:t>
      </w:r>
      <w:r w:rsidRPr="00DF626D">
        <w:rPr>
          <w:rFonts w:ascii="Palatino Linotype" w:eastAsia="Calibri" w:hAnsi="Palatino Linotype" w:cs="Tahoma"/>
          <w:bCs/>
          <w:sz w:val="22"/>
          <w:szCs w:val="22"/>
          <w:lang w:eastAsia="es-ES_tradnl"/>
        </w:rPr>
        <w:t>según Cabanellas, Guillermo (1993), en el “Diccionario Jurídico Elemental” (p. 32 y 161), precisó los siguientes conceptos:</w:t>
      </w:r>
    </w:p>
    <w:p w14:paraId="45691D94" w14:textId="77777777" w:rsidR="004A19E4" w:rsidRPr="00DF626D" w:rsidRDefault="004A19E4" w:rsidP="004A19E4">
      <w:pPr>
        <w:spacing w:line="360" w:lineRule="auto"/>
        <w:jc w:val="both"/>
        <w:rPr>
          <w:rFonts w:ascii="Palatino Linotype" w:eastAsia="Calibri" w:hAnsi="Palatino Linotype" w:cs="Tahoma"/>
          <w:bCs/>
          <w:sz w:val="22"/>
          <w:szCs w:val="22"/>
          <w:lang w:eastAsia="es-ES_tradnl"/>
        </w:rPr>
      </w:pPr>
    </w:p>
    <w:p w14:paraId="6CA09639" w14:textId="77777777" w:rsidR="004A19E4" w:rsidRPr="00DF626D" w:rsidRDefault="004A19E4" w:rsidP="004A19E4">
      <w:pPr>
        <w:numPr>
          <w:ilvl w:val="0"/>
          <w:numId w:val="29"/>
        </w:num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
          <w:bCs/>
          <w:sz w:val="22"/>
          <w:szCs w:val="22"/>
          <w:lang w:eastAsia="es-ES_tradnl"/>
        </w:rPr>
        <w:t xml:space="preserve">Competencia: </w:t>
      </w:r>
      <w:r w:rsidRPr="00DF626D">
        <w:rPr>
          <w:rFonts w:ascii="Palatino Linotype" w:eastAsia="Calibri" w:hAnsi="Palatino Linotype" w:cs="Tahoma"/>
          <w:bCs/>
          <w:sz w:val="22"/>
          <w:szCs w:val="22"/>
          <w:lang w:eastAsia="es-ES_tradnl"/>
        </w:rPr>
        <w:t>La capacidad de una autoridad para conocer sobre una materia o asunto.</w:t>
      </w:r>
    </w:p>
    <w:p w14:paraId="67AFF247" w14:textId="77777777" w:rsidR="004A19E4" w:rsidRPr="00DF626D" w:rsidRDefault="004A19E4" w:rsidP="004A19E4">
      <w:pPr>
        <w:numPr>
          <w:ilvl w:val="0"/>
          <w:numId w:val="29"/>
        </w:num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
          <w:bCs/>
          <w:sz w:val="22"/>
          <w:szCs w:val="22"/>
          <w:lang w:eastAsia="es-ES_tradnl"/>
        </w:rPr>
        <w:t>Incompetencia:</w:t>
      </w:r>
      <w:r w:rsidRPr="00DF626D">
        <w:rPr>
          <w:rFonts w:ascii="Palatino Linotype" w:eastAsia="Calibri" w:hAnsi="Palatino Linotype" w:cs="Tahoma"/>
          <w:bCs/>
          <w:sz w:val="22"/>
          <w:szCs w:val="22"/>
          <w:lang w:eastAsia="es-ES_tradnl"/>
        </w:rPr>
        <w:t xml:space="preserve"> Falta de Competencia.</w:t>
      </w:r>
    </w:p>
    <w:p w14:paraId="63EE8B72" w14:textId="77777777" w:rsidR="004A19E4" w:rsidRPr="00DF626D" w:rsidRDefault="004A19E4" w:rsidP="004A19E4">
      <w:pPr>
        <w:spacing w:line="360" w:lineRule="auto"/>
        <w:jc w:val="both"/>
        <w:rPr>
          <w:rFonts w:ascii="Palatino Linotype" w:eastAsia="Calibri" w:hAnsi="Palatino Linotype" w:cs="Tahoma"/>
          <w:sz w:val="22"/>
          <w:szCs w:val="22"/>
          <w:lang w:eastAsia="es-ES_tradnl"/>
        </w:rPr>
      </w:pPr>
    </w:p>
    <w:p w14:paraId="516885B4" w14:textId="77777777" w:rsidR="004A19E4" w:rsidRPr="00DF626D" w:rsidRDefault="004A19E4" w:rsidP="004A19E4">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val="es-ES_tradnl" w:eastAsia="es-ES_tradnl"/>
        </w:rPr>
        <w:t xml:space="preserve">Por lo que, </w:t>
      </w:r>
      <w:r w:rsidRPr="00DF626D">
        <w:rPr>
          <w:rFonts w:ascii="Palatino Linotype" w:eastAsia="Calibri" w:hAnsi="Palatino Linotype" w:cs="Tahoma"/>
          <w:b/>
          <w:sz w:val="22"/>
          <w:szCs w:val="22"/>
          <w:lang w:val="es-ES_tradnl" w:eastAsia="es-ES_tradnl"/>
        </w:rPr>
        <w:t>la incompetencia</w:t>
      </w:r>
      <w:r w:rsidRPr="00DF626D">
        <w:rPr>
          <w:rFonts w:ascii="Palatino Linotype" w:eastAsia="Calibri" w:hAnsi="Palatino Linotype" w:cs="Tahoma"/>
          <w:sz w:val="22"/>
          <w:szCs w:val="22"/>
          <w:lang w:val="es-ES_tradnl" w:eastAsia="es-ES_tradnl"/>
        </w:rPr>
        <w:t>, radica en la incapacidad de una autoridad para conocer de un tema o asunto; en el mismo sentido, conviene traer a cuenta tesis</w:t>
      </w:r>
      <w:r w:rsidRPr="00DF626D">
        <w:rPr>
          <w:rFonts w:ascii="Palatino Linotype" w:eastAsia="Calibri" w:hAnsi="Palatino Linotype" w:cs="Tahoma"/>
          <w:sz w:val="22"/>
          <w:szCs w:val="22"/>
          <w:lang w:eastAsia="es-ES_tradnl"/>
        </w:rPr>
        <w:t xml:space="preserve"> aislada número III.2o.P.11 K, publicada en el Semanario Judicial de la Federación y su Gaceta, Novena Época, Tomo XV, </w:t>
      </w:r>
      <w:proofErr w:type="gramStart"/>
      <w:r w:rsidRPr="00DF626D">
        <w:rPr>
          <w:rFonts w:ascii="Palatino Linotype" w:eastAsia="Calibri" w:hAnsi="Palatino Linotype" w:cs="Tahoma"/>
          <w:sz w:val="22"/>
          <w:szCs w:val="22"/>
          <w:lang w:eastAsia="es-ES_tradnl"/>
        </w:rPr>
        <w:t>Mayo</w:t>
      </w:r>
      <w:proofErr w:type="gramEnd"/>
      <w:r w:rsidRPr="00DF626D">
        <w:rPr>
          <w:rFonts w:ascii="Palatino Linotype" w:eastAsia="Calibri" w:hAnsi="Palatino Linotype" w:cs="Tahoma"/>
          <w:sz w:val="22"/>
          <w:szCs w:val="22"/>
          <w:lang w:eastAsia="es-ES_tradnl"/>
        </w:rPr>
        <w:t xml:space="preserve"> de 2002, Pág. 1243, ya que precisa lo siguiente: </w:t>
      </w:r>
    </w:p>
    <w:p w14:paraId="31DE3CCF" w14:textId="77777777" w:rsidR="004A19E4" w:rsidRPr="00DF626D" w:rsidRDefault="004A19E4" w:rsidP="004A19E4">
      <w:pPr>
        <w:spacing w:line="360" w:lineRule="auto"/>
        <w:jc w:val="both"/>
        <w:rPr>
          <w:rFonts w:ascii="Palatino Linotype" w:eastAsia="Calibri" w:hAnsi="Palatino Linotype" w:cs="Tahoma"/>
          <w:sz w:val="22"/>
          <w:szCs w:val="22"/>
          <w:lang w:val="es-ES_tradnl" w:eastAsia="es-ES_tradnl"/>
        </w:rPr>
      </w:pPr>
    </w:p>
    <w:p w14:paraId="35CF92B0" w14:textId="77777777" w:rsidR="004A19E4" w:rsidRPr="00DF626D" w:rsidRDefault="004A19E4" w:rsidP="004A19E4">
      <w:pPr>
        <w:spacing w:line="360" w:lineRule="auto"/>
        <w:ind w:left="567" w:right="539"/>
        <w:jc w:val="both"/>
        <w:rPr>
          <w:rFonts w:ascii="Palatino Linotype" w:eastAsia="Calibri" w:hAnsi="Palatino Linotype" w:cs="Tahoma"/>
          <w:i/>
          <w:szCs w:val="22"/>
          <w:lang w:val="es-ES_tradnl" w:eastAsia="es-ES_tradnl"/>
        </w:rPr>
      </w:pPr>
      <w:r w:rsidRPr="00DF626D">
        <w:rPr>
          <w:rFonts w:ascii="Palatino Linotype" w:eastAsia="Calibri" w:hAnsi="Palatino Linotype" w:cs="Tahoma"/>
          <w:b/>
          <w:bCs/>
          <w:i/>
          <w:szCs w:val="22"/>
          <w:lang w:val="es-ES_tradnl" w:eastAsia="es-ES_tradnl"/>
        </w:rPr>
        <w:lastRenderedPageBreak/>
        <w:t xml:space="preserve">“LEGITIMACIÓN DE FUNCIONARIOS PÚBLICOS. LOS TRIBUNALES DE AMPARO, POR ESTAR VINCULADOS CON EL CONCEPTO DE COMPETENCIA A QUE SE REFIERE EL ARTÍCULO 16 CONSTITUCIONAL, NO PUEDEN CONOCER DE AQUÉLLA. </w:t>
      </w:r>
      <w:r w:rsidRPr="00DF626D">
        <w:rPr>
          <w:rFonts w:ascii="Palatino Linotype" w:eastAsia="Calibri" w:hAnsi="Palatino Linotype" w:cs="Tahoma"/>
          <w:i/>
          <w:szCs w:val="22"/>
          <w:lang w:val="es-ES_tradnl" w:eastAsia="es-ES_tradnl"/>
        </w:rPr>
        <w:t>El artículo </w:t>
      </w:r>
      <w:hyperlink r:id="rId15" w:history="1">
        <w:r w:rsidRPr="00DF626D">
          <w:rPr>
            <w:rStyle w:val="Hipervnculo"/>
            <w:rFonts w:ascii="Palatino Linotype" w:eastAsia="Calibri" w:hAnsi="Palatino Linotype" w:cs="Tahoma"/>
            <w:i/>
            <w:szCs w:val="22"/>
            <w:lang w:val="es-ES_tradnl" w:eastAsia="es-ES_tradnl"/>
          </w:rPr>
          <w:t>16 constitucional</w:t>
        </w:r>
      </w:hyperlink>
      <w:r w:rsidRPr="00DF626D">
        <w:rPr>
          <w:rFonts w:ascii="Palatino Linotype" w:eastAsia="Calibri" w:hAnsi="Palatino Linotype" w:cs="Tahoma"/>
          <w:i/>
          <w:szCs w:val="22"/>
          <w:lang w:val="es-ES_tradnl" w:eastAsia="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73B3A55" w14:textId="77777777" w:rsidR="004A19E4" w:rsidRPr="00DF626D" w:rsidRDefault="004A19E4" w:rsidP="004A19E4">
      <w:pPr>
        <w:spacing w:line="360" w:lineRule="auto"/>
        <w:jc w:val="both"/>
        <w:rPr>
          <w:rFonts w:ascii="Palatino Linotype" w:eastAsia="Calibri" w:hAnsi="Palatino Linotype" w:cs="Tahoma"/>
          <w:sz w:val="22"/>
          <w:szCs w:val="22"/>
          <w:lang w:val="es-ES_tradnl" w:eastAsia="es-ES_tradnl"/>
        </w:rPr>
      </w:pPr>
    </w:p>
    <w:p w14:paraId="3639CB43" w14:textId="77777777" w:rsidR="004A19E4" w:rsidRPr="00DF626D" w:rsidRDefault="004A19E4" w:rsidP="004A19E4">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val="es-ES_tradnl" w:eastAsia="es-ES_tradnl"/>
        </w:rPr>
        <w:t xml:space="preserve">De la misma manera, resulta necesario traer a colación, </w:t>
      </w:r>
      <w:r w:rsidRPr="00DF626D">
        <w:rPr>
          <w:rFonts w:ascii="Palatino Linotype" w:eastAsia="Calibri" w:hAnsi="Palatino Linotype" w:cs="Tahoma"/>
          <w:bCs/>
          <w:sz w:val="22"/>
          <w:szCs w:val="22"/>
          <w:lang w:val="es-ES" w:eastAsia="es-ES_tradnl"/>
        </w:rPr>
        <w:t xml:space="preserve">Criterio de Interpretación, de la Segunda Época, con clave de control </w:t>
      </w:r>
      <w:r w:rsidRPr="00DF626D">
        <w:rPr>
          <w:rFonts w:ascii="Palatino Linotype" w:eastAsia="Calibri" w:hAnsi="Palatino Linotype" w:cs="Tahoma"/>
          <w:bCs/>
          <w:sz w:val="22"/>
          <w:szCs w:val="22"/>
          <w:lang w:eastAsia="es-ES_tradnl"/>
        </w:rPr>
        <w:t>SO/013/2017</w:t>
      </w:r>
      <w:r w:rsidRPr="00DF626D">
        <w:rPr>
          <w:rFonts w:ascii="Palatino Linotype" w:eastAsia="Calibri" w:hAnsi="Palatino Linotype" w:cs="Tahoma"/>
          <w:sz w:val="22"/>
          <w:szCs w:val="22"/>
          <w:lang w:val="es-ES" w:eastAsia="es-ES_tradnl"/>
        </w:rPr>
        <w:t xml:space="preserve">, </w:t>
      </w:r>
      <w:r w:rsidRPr="00DF626D">
        <w:rPr>
          <w:rFonts w:ascii="Palatino Linotype" w:eastAsia="Calibri" w:hAnsi="Palatino Linotype" w:cs="Tahoma"/>
          <w:sz w:val="22"/>
          <w:szCs w:val="22"/>
          <w:lang w:eastAsia="es-ES_tradnl"/>
        </w:rPr>
        <w:t xml:space="preserve">emitido por el Instituto Nacional de Transparencia, Acceso a la Información y Protección de Datos Personales, que dispone lo siguiente: </w:t>
      </w:r>
    </w:p>
    <w:p w14:paraId="623790E5" w14:textId="77777777" w:rsidR="004A19E4" w:rsidRPr="00DF626D" w:rsidRDefault="004A19E4" w:rsidP="004A19E4">
      <w:pPr>
        <w:spacing w:line="360" w:lineRule="auto"/>
        <w:jc w:val="both"/>
        <w:rPr>
          <w:rFonts w:ascii="Palatino Linotype" w:eastAsia="Calibri" w:hAnsi="Palatino Linotype" w:cs="Tahoma"/>
          <w:sz w:val="22"/>
          <w:szCs w:val="22"/>
          <w:lang w:eastAsia="es-ES_tradnl"/>
        </w:rPr>
      </w:pPr>
    </w:p>
    <w:p w14:paraId="08BE8CF1" w14:textId="77777777" w:rsidR="004A19E4" w:rsidRPr="00DF626D" w:rsidRDefault="004A19E4" w:rsidP="004A19E4">
      <w:pPr>
        <w:spacing w:line="360" w:lineRule="auto"/>
        <w:ind w:left="567" w:right="539"/>
        <w:jc w:val="both"/>
        <w:rPr>
          <w:rFonts w:ascii="Palatino Linotype" w:eastAsia="Calibri" w:hAnsi="Palatino Linotype" w:cs="Tahoma"/>
          <w:i/>
          <w:szCs w:val="22"/>
          <w:lang w:eastAsia="es-ES_tradnl"/>
        </w:rPr>
      </w:pPr>
      <w:r w:rsidRPr="00DF626D">
        <w:rPr>
          <w:rFonts w:ascii="Palatino Linotype" w:eastAsia="Calibri" w:hAnsi="Palatino Linotype" w:cs="Tahoma"/>
          <w:i/>
          <w:szCs w:val="22"/>
          <w:lang w:eastAsia="es-ES_tradnl"/>
        </w:rPr>
        <w:t>“</w:t>
      </w:r>
      <w:r w:rsidRPr="00DF626D">
        <w:rPr>
          <w:rFonts w:ascii="Palatino Linotype" w:eastAsia="Calibri" w:hAnsi="Palatino Linotype" w:cs="Tahoma"/>
          <w:b/>
          <w:bCs/>
          <w:i/>
          <w:szCs w:val="22"/>
          <w:lang w:eastAsia="es-ES_tradnl"/>
        </w:rPr>
        <w:t xml:space="preserve">Incompetencia. </w:t>
      </w:r>
      <w:r w:rsidRPr="00DF626D">
        <w:rPr>
          <w:rFonts w:ascii="Palatino Linotype" w:eastAsia="Calibri" w:hAnsi="Palatino Linotype" w:cs="Tahoma"/>
          <w:i/>
          <w:szCs w:val="22"/>
          <w:lang w:eastAsia="es-ES_tradnl"/>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131B4AC" w14:textId="77777777" w:rsidR="004A19E4" w:rsidRPr="00DF626D" w:rsidRDefault="004A19E4" w:rsidP="004A19E4">
      <w:pPr>
        <w:spacing w:line="360" w:lineRule="auto"/>
        <w:jc w:val="both"/>
        <w:rPr>
          <w:rFonts w:ascii="Palatino Linotype" w:eastAsia="Calibri" w:hAnsi="Palatino Linotype" w:cs="Tahoma"/>
          <w:sz w:val="22"/>
          <w:szCs w:val="22"/>
          <w:lang w:val="es-ES_tradnl" w:eastAsia="es-ES_tradnl"/>
        </w:rPr>
      </w:pPr>
    </w:p>
    <w:p w14:paraId="3AECEA06" w14:textId="77777777" w:rsidR="004A19E4" w:rsidRPr="00DF626D" w:rsidRDefault="004A19E4" w:rsidP="004A19E4">
      <w:pPr>
        <w:spacing w:line="360" w:lineRule="auto"/>
        <w:jc w:val="both"/>
        <w:rPr>
          <w:rFonts w:ascii="Palatino Linotype" w:eastAsia="Calibri" w:hAnsi="Palatino Linotype" w:cs="Tahoma"/>
          <w:b/>
          <w:sz w:val="22"/>
          <w:szCs w:val="22"/>
          <w:lang w:eastAsia="es-ES_tradnl"/>
        </w:rPr>
      </w:pPr>
      <w:r w:rsidRPr="00DF626D">
        <w:rPr>
          <w:rFonts w:ascii="Palatino Linotype" w:eastAsia="Calibri" w:hAnsi="Palatino Linotype" w:cs="Tahoma"/>
          <w:sz w:val="22"/>
          <w:szCs w:val="22"/>
          <w:lang w:val="es-ES_tradnl" w:eastAsia="es-ES_tradnl"/>
        </w:rPr>
        <w:t xml:space="preserve">En tal virtud, la </w:t>
      </w:r>
      <w:r w:rsidRPr="00DF626D">
        <w:rPr>
          <w:rFonts w:ascii="Palatino Linotype" w:eastAsia="Calibri" w:hAnsi="Palatino Linotype" w:cs="Tahoma"/>
          <w:b/>
          <w:sz w:val="22"/>
          <w:szCs w:val="22"/>
          <w:lang w:val="es-ES_tradnl" w:eastAsia="es-ES_tradnl"/>
        </w:rPr>
        <w:t xml:space="preserve">incompetencia </w:t>
      </w:r>
      <w:r w:rsidRPr="00DF626D">
        <w:rPr>
          <w:rFonts w:ascii="Palatino Linotype" w:eastAsia="Calibri" w:hAnsi="Palatino Linotype" w:cs="Tahoma"/>
          <w:sz w:val="22"/>
          <w:szCs w:val="22"/>
          <w:lang w:val="es-ES_tradnl" w:eastAsia="es-ES_tradnl"/>
        </w:rPr>
        <w:t xml:space="preserve">implica que, de conformidad con las atribuciones conferidas al Sujeto Obligado, no habría razón por la cual este deba contar con la información solicitada, en cuyo caso, tendría que orientar al particular para que acuda a la instancia competente. En otro orden de ideas, dicho concepto refiere a la ausencia de atribuciones por parte de los Entes </w:t>
      </w:r>
      <w:r w:rsidRPr="00DF626D">
        <w:rPr>
          <w:rFonts w:ascii="Palatino Linotype" w:eastAsia="Calibri" w:hAnsi="Palatino Linotype" w:cs="Tahoma"/>
          <w:sz w:val="22"/>
          <w:szCs w:val="22"/>
          <w:lang w:val="es-ES_tradnl" w:eastAsia="es-ES_tradnl"/>
        </w:rPr>
        <w:lastRenderedPageBreak/>
        <w:t>sujetos a las Leyes de Transparencia, para contar con la información que se requiere; es decir, se trata de una situación que se dilucida a partir de las facultades atribuidas a este.</w:t>
      </w:r>
    </w:p>
    <w:p w14:paraId="2DDAC338" w14:textId="77777777" w:rsidR="004A19E4" w:rsidRPr="00DF626D" w:rsidRDefault="004A19E4" w:rsidP="004A19E4">
      <w:pPr>
        <w:spacing w:line="360" w:lineRule="auto"/>
        <w:jc w:val="both"/>
        <w:rPr>
          <w:rFonts w:ascii="Palatino Linotype" w:eastAsia="Calibri" w:hAnsi="Palatino Linotype" w:cs="Tahoma"/>
          <w:sz w:val="22"/>
          <w:szCs w:val="22"/>
          <w:lang w:eastAsia="es-ES_tradnl"/>
        </w:rPr>
      </w:pPr>
    </w:p>
    <w:p w14:paraId="3C80096B" w14:textId="77777777" w:rsidR="004A19E4" w:rsidRPr="000F0262" w:rsidRDefault="004A19E4" w:rsidP="004A19E4">
      <w:pPr>
        <w:spacing w:line="360" w:lineRule="auto"/>
        <w:ind w:right="-93"/>
        <w:jc w:val="both"/>
        <w:rPr>
          <w:rFonts w:ascii="Palatino Linotype" w:eastAsia="Calibri" w:hAnsi="Palatino Linotype" w:cs="Tahoma"/>
          <w:bCs/>
          <w:sz w:val="22"/>
          <w:szCs w:val="22"/>
          <w:lang w:eastAsia="en-US"/>
        </w:rPr>
      </w:pPr>
      <w:r w:rsidRPr="00DF626D">
        <w:rPr>
          <w:rFonts w:ascii="Palatino Linotype" w:eastAsia="Calibri" w:hAnsi="Palatino Linotype" w:cs="Tahoma"/>
          <w:iCs/>
          <w:sz w:val="22"/>
          <w:szCs w:val="22"/>
          <w:lang w:eastAsia="es-ES_tradnl"/>
        </w:rPr>
        <w:t xml:space="preserve">Bajo esa tesitura, </w:t>
      </w:r>
      <w:r w:rsidRPr="000F0262">
        <w:rPr>
          <w:rFonts w:ascii="Palatino Linotype" w:eastAsia="Calibri" w:hAnsi="Palatino Linotype" w:cs="Tahoma"/>
          <w:bCs/>
          <w:sz w:val="22"/>
          <w:szCs w:val="22"/>
          <w:lang w:eastAsia="en-US"/>
        </w:rPr>
        <w:t>es conveniente agregar que el Padrón de Sujetos Obligados en Materia de Transparencia y Acceso a la Información Pública del Estado de México y Municipios, permite identificar a los Sujetos Obligados que deben cumplir con las obligaciones, procesos, procedimientos, y responsabilidades establecidas en la Ley General de Transparencia y Acceso a la Información Pública y Protección de Datos Personales y por el propio Instituto, en los términos que las mismas determinen.</w:t>
      </w:r>
    </w:p>
    <w:p w14:paraId="16F6320E" w14:textId="77777777" w:rsidR="004A19E4" w:rsidRPr="000F0262" w:rsidRDefault="004A19E4" w:rsidP="004A19E4">
      <w:pPr>
        <w:spacing w:line="360" w:lineRule="auto"/>
        <w:ind w:right="-93"/>
        <w:jc w:val="both"/>
        <w:rPr>
          <w:rFonts w:ascii="Palatino Linotype" w:eastAsia="Calibri" w:hAnsi="Palatino Linotype" w:cs="Tahoma"/>
          <w:bCs/>
          <w:sz w:val="22"/>
          <w:szCs w:val="22"/>
          <w:lang w:eastAsia="en-US"/>
        </w:rPr>
      </w:pPr>
    </w:p>
    <w:p w14:paraId="7DEAF0F0" w14:textId="77777777" w:rsidR="00447D74" w:rsidRPr="000F0262" w:rsidRDefault="004A19E4" w:rsidP="00447D74">
      <w:pPr>
        <w:spacing w:line="360" w:lineRule="auto"/>
        <w:ind w:right="-93"/>
        <w:jc w:val="both"/>
        <w:rPr>
          <w:rFonts w:ascii="Palatino Linotype" w:hAnsi="Palatino Linotype" w:cs="Tahoma"/>
          <w:b/>
          <w:sz w:val="22"/>
          <w:szCs w:val="22"/>
        </w:rPr>
      </w:pPr>
      <w:r w:rsidRPr="000F0262">
        <w:rPr>
          <w:rFonts w:ascii="Palatino Linotype" w:eastAsia="Calibri" w:hAnsi="Palatino Linotype" w:cs="Tahoma"/>
          <w:bCs/>
          <w:sz w:val="22"/>
          <w:szCs w:val="22"/>
          <w:lang w:eastAsia="en-US"/>
        </w:rPr>
        <w:t xml:space="preserve">En este sentido debe precisarse que del referido </w:t>
      </w:r>
      <w:r>
        <w:rPr>
          <w:rFonts w:ascii="Palatino Linotype" w:eastAsia="Calibri" w:hAnsi="Palatino Linotype" w:cs="Tahoma"/>
          <w:bCs/>
          <w:sz w:val="22"/>
          <w:szCs w:val="22"/>
          <w:lang w:eastAsia="en-US"/>
        </w:rPr>
        <w:t>padrón</w:t>
      </w:r>
      <w:r w:rsidRPr="000F0262">
        <w:rPr>
          <w:rFonts w:ascii="Palatino Linotype" w:eastAsia="Calibri" w:hAnsi="Palatino Linotype" w:cs="Tahoma"/>
          <w:bCs/>
          <w:sz w:val="22"/>
          <w:szCs w:val="22"/>
          <w:lang w:eastAsia="en-US"/>
        </w:rPr>
        <w:t xml:space="preserve"> establece como Sujeto Obligado</w:t>
      </w:r>
      <w:r>
        <w:rPr>
          <w:rFonts w:ascii="Palatino Linotype" w:eastAsia="Calibri" w:hAnsi="Palatino Linotype" w:cs="Tahoma"/>
          <w:bCs/>
          <w:sz w:val="22"/>
          <w:szCs w:val="22"/>
          <w:lang w:eastAsia="en-US"/>
        </w:rPr>
        <w:t xml:space="preserve"> al </w:t>
      </w:r>
      <w:r w:rsidRPr="004A19E4">
        <w:rPr>
          <w:rFonts w:ascii="Palatino Linotype" w:eastAsia="Calibri" w:hAnsi="Palatino Linotype" w:cs="Tahoma"/>
          <w:bCs/>
          <w:sz w:val="22"/>
          <w:szCs w:val="22"/>
          <w:lang w:eastAsia="en-US"/>
        </w:rPr>
        <w:t>Sistema Municipal para el Desarrollo Integral de la Familia de Luvianos</w:t>
      </w:r>
      <w:r>
        <w:rPr>
          <w:rFonts w:ascii="Palatino Linotype" w:eastAsia="Calibri" w:hAnsi="Palatino Linotype" w:cs="Tahoma"/>
          <w:bCs/>
          <w:sz w:val="22"/>
          <w:szCs w:val="22"/>
          <w:lang w:eastAsia="en-US"/>
        </w:rPr>
        <w:t xml:space="preserve">, </w:t>
      </w:r>
      <w:r w:rsidR="00447D74">
        <w:rPr>
          <w:rFonts w:ascii="Palatino Linotype" w:eastAsia="Calibri" w:hAnsi="Palatino Linotype" w:cs="Tahoma"/>
          <w:bCs/>
          <w:sz w:val="22"/>
          <w:szCs w:val="22"/>
          <w:lang w:eastAsia="en-US"/>
        </w:rPr>
        <w:t>por lo que</w:t>
      </w:r>
      <w:r w:rsidR="00447D74" w:rsidRPr="00DF626D">
        <w:rPr>
          <w:rFonts w:ascii="Palatino Linotype" w:eastAsia="Calibri" w:hAnsi="Palatino Linotype" w:cs="Tahoma"/>
          <w:sz w:val="22"/>
          <w:szCs w:val="22"/>
          <w:lang w:eastAsia="es-ES_tradnl"/>
        </w:rPr>
        <w:t>, se logra vislumbrar que el</w:t>
      </w:r>
      <w:r w:rsidR="00447D74">
        <w:rPr>
          <w:rFonts w:ascii="Palatino Linotype" w:eastAsia="Calibri" w:hAnsi="Palatino Linotype" w:cs="Tahoma"/>
          <w:sz w:val="22"/>
          <w:szCs w:val="22"/>
          <w:lang w:eastAsia="es-ES_tradnl"/>
        </w:rPr>
        <w:t xml:space="preserve"> Ayuntamiento de Luvianos no cuenta en sus archivos con la información solicitada, por lo que los presentes puntos no pueden ser atendidos por este al ser notoria la incompetencia.</w:t>
      </w:r>
      <w:r w:rsidR="00447D74" w:rsidRPr="000F0262">
        <w:rPr>
          <w:rFonts w:ascii="Palatino Linotype" w:hAnsi="Palatino Linotype" w:cs="Tahoma"/>
          <w:b/>
          <w:sz w:val="22"/>
          <w:szCs w:val="22"/>
        </w:rPr>
        <w:t xml:space="preserve"> </w:t>
      </w:r>
    </w:p>
    <w:p w14:paraId="392A2DAF" w14:textId="77777777" w:rsidR="004A19E4" w:rsidRDefault="004A19E4" w:rsidP="004A19E4">
      <w:pPr>
        <w:spacing w:line="360" w:lineRule="auto"/>
        <w:jc w:val="both"/>
        <w:rPr>
          <w:rFonts w:ascii="Palatino Linotype" w:eastAsia="Calibri" w:hAnsi="Palatino Linotype" w:cs="Tahoma"/>
          <w:iCs/>
          <w:sz w:val="22"/>
          <w:szCs w:val="22"/>
          <w:lang w:eastAsia="es-ES_tradnl"/>
        </w:rPr>
      </w:pPr>
    </w:p>
    <w:p w14:paraId="3E4E3718" w14:textId="6E481328" w:rsidR="00E256D6" w:rsidRPr="00E256D6" w:rsidRDefault="00E256D6" w:rsidP="004A19E4">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Conforme a lo anterior, se logra vislumbrar que el agravio realizado es </w:t>
      </w:r>
      <w:r>
        <w:rPr>
          <w:rFonts w:ascii="Palatino Linotype" w:eastAsia="Calibri" w:hAnsi="Palatino Linotype" w:cs="Tahoma"/>
          <w:b/>
          <w:bCs/>
          <w:iCs/>
          <w:sz w:val="22"/>
          <w:szCs w:val="22"/>
          <w:lang w:eastAsia="es-ES_tradnl"/>
        </w:rPr>
        <w:t xml:space="preserve">PARCIALMENTE FUNDADO, </w:t>
      </w:r>
      <w:r>
        <w:rPr>
          <w:rFonts w:ascii="Palatino Linotype" w:eastAsia="Calibri" w:hAnsi="Palatino Linotype" w:cs="Tahoma"/>
          <w:iCs/>
          <w:sz w:val="22"/>
          <w:szCs w:val="22"/>
          <w:lang w:eastAsia="es-ES_tradnl"/>
        </w:rPr>
        <w:t>pues el Sujeto Obligado atendió parte de la solicitud de información, al señalar las razones por las cuales no contaba con determinada información y declararse de otra parte incompetente.</w:t>
      </w:r>
    </w:p>
    <w:p w14:paraId="14877310" w14:textId="77777777" w:rsidR="00E256D6" w:rsidRDefault="00E256D6" w:rsidP="004A19E4">
      <w:pPr>
        <w:spacing w:line="360" w:lineRule="auto"/>
        <w:jc w:val="both"/>
        <w:rPr>
          <w:rFonts w:ascii="Palatino Linotype" w:eastAsia="Calibri" w:hAnsi="Palatino Linotype" w:cs="Tahoma"/>
          <w:iCs/>
          <w:sz w:val="22"/>
          <w:szCs w:val="22"/>
          <w:lang w:eastAsia="es-ES_tradnl"/>
        </w:rPr>
      </w:pPr>
    </w:p>
    <w:p w14:paraId="22276E37" w14:textId="77777777" w:rsidR="00447D74" w:rsidRPr="002D4542" w:rsidRDefault="00447D74" w:rsidP="00447D74">
      <w:pPr>
        <w:spacing w:line="360" w:lineRule="auto"/>
        <w:jc w:val="both"/>
        <w:rPr>
          <w:rFonts w:ascii="Palatino Linotype" w:eastAsia="Calibri" w:hAnsi="Palatino Linotype" w:cs="Tahoma"/>
          <w:b/>
          <w:sz w:val="22"/>
          <w:szCs w:val="22"/>
          <w:lang w:eastAsia="es-ES_tradnl"/>
        </w:rPr>
      </w:pPr>
      <w:r w:rsidRPr="002D4542">
        <w:rPr>
          <w:rFonts w:ascii="Palatino Linotype" w:eastAsia="Calibri" w:hAnsi="Palatino Linotype" w:cs="Tahoma"/>
          <w:b/>
          <w:sz w:val="22"/>
          <w:szCs w:val="22"/>
          <w:lang w:eastAsia="es-ES_tradnl"/>
        </w:rPr>
        <w:t>Versión Pública</w:t>
      </w:r>
    </w:p>
    <w:p w14:paraId="5DBBED13" w14:textId="77777777" w:rsidR="00447D74" w:rsidRPr="002D4542" w:rsidRDefault="00447D74" w:rsidP="00447D74">
      <w:pPr>
        <w:spacing w:line="360" w:lineRule="auto"/>
        <w:jc w:val="both"/>
        <w:rPr>
          <w:rFonts w:ascii="Palatino Linotype" w:hAnsi="Palatino Linotype"/>
          <w:b/>
          <w:caps/>
          <w:noProof/>
          <w:szCs w:val="22"/>
          <w:lang w:eastAsia="es-MX"/>
        </w:rPr>
      </w:pPr>
    </w:p>
    <w:p w14:paraId="0D82DB7B" w14:textId="77777777" w:rsidR="00447D74" w:rsidRPr="002D4542" w:rsidRDefault="00447D74" w:rsidP="00447D74">
      <w:pPr>
        <w:autoSpaceDE w:val="0"/>
        <w:autoSpaceDN w:val="0"/>
        <w:adjustRightInd w:val="0"/>
        <w:spacing w:line="360" w:lineRule="auto"/>
        <w:jc w:val="both"/>
        <w:rPr>
          <w:rFonts w:ascii="Palatino Linotype" w:hAnsi="Palatino Linotype" w:cs="Tahoma"/>
          <w:bCs/>
          <w:sz w:val="22"/>
          <w:szCs w:val="22"/>
        </w:rPr>
      </w:pPr>
      <w:r w:rsidRPr="002D4542">
        <w:rPr>
          <w:rFonts w:ascii="Palatino Linotype" w:hAnsi="Palatino Linotype" w:cs="Tahoma"/>
          <w:bCs/>
          <w:iCs/>
          <w:sz w:val="22"/>
          <w:szCs w:val="22"/>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2D4542">
        <w:rPr>
          <w:rFonts w:ascii="Palatino Linotype" w:hAnsi="Palatino Linotype" w:cs="Tahoma"/>
          <w:bCs/>
          <w:sz w:val="22"/>
          <w:szCs w:val="22"/>
        </w:rPr>
        <w:t xml:space="preserve">de conformidad con los artículos 49, </w:t>
      </w:r>
      <w:r w:rsidRPr="002D4542">
        <w:rPr>
          <w:rFonts w:ascii="Palatino Linotype" w:hAnsi="Palatino Linotype" w:cs="Tahoma"/>
          <w:bCs/>
          <w:sz w:val="22"/>
          <w:szCs w:val="22"/>
        </w:rPr>
        <w:lastRenderedPageBreak/>
        <w:t>fracciones II y VIII, 143, fracción I y 149 de la Ley de Transparencia y Acceso a la Información Pública del Estado de México y Municipios.</w:t>
      </w:r>
    </w:p>
    <w:p w14:paraId="702AAE89"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3076A818"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531B70F7"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5EC9A22C"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85F6825"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7F2B3E6F"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9073737"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64DDFB71"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303FC50"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3AF34FDF"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2D4542">
        <w:rPr>
          <w:rFonts w:ascii="Palatino Linotype" w:hAnsi="Palatino Linotype" w:cs="Tahoma"/>
          <w:bCs/>
          <w:iCs/>
          <w:sz w:val="22"/>
          <w:szCs w:val="22"/>
        </w:rPr>
        <w:lastRenderedPageBreak/>
        <w:t xml:space="preserve">o fuentes de acceso público, </w:t>
      </w:r>
      <w:proofErr w:type="spellStart"/>
      <w:r w:rsidRPr="002D4542">
        <w:rPr>
          <w:rFonts w:ascii="Palatino Linotype" w:hAnsi="Palatino Linotype" w:cs="Tahoma"/>
          <w:bCs/>
          <w:iCs/>
          <w:sz w:val="22"/>
          <w:szCs w:val="22"/>
        </w:rPr>
        <w:t>ii</w:t>
      </w:r>
      <w:proofErr w:type="spellEnd"/>
      <w:r w:rsidRPr="002D4542">
        <w:rPr>
          <w:rFonts w:ascii="Palatino Linotype" w:hAnsi="Palatino Linotype" w:cs="Tahoma"/>
          <w:bCs/>
          <w:iCs/>
          <w:sz w:val="22"/>
          <w:szCs w:val="22"/>
        </w:rPr>
        <w:t xml:space="preserve">) por ley tenga el carácter de pública, </w:t>
      </w:r>
      <w:proofErr w:type="spellStart"/>
      <w:r w:rsidRPr="002D4542">
        <w:rPr>
          <w:rFonts w:ascii="Palatino Linotype" w:hAnsi="Palatino Linotype" w:cs="Tahoma"/>
          <w:bCs/>
          <w:iCs/>
          <w:sz w:val="22"/>
          <w:szCs w:val="22"/>
        </w:rPr>
        <w:t>iii</w:t>
      </w:r>
      <w:proofErr w:type="spellEnd"/>
      <w:r w:rsidRPr="002D4542">
        <w:rPr>
          <w:rFonts w:ascii="Palatino Linotype" w:hAnsi="Palatino Linotype" w:cs="Tahoma"/>
          <w:bCs/>
          <w:iCs/>
          <w:sz w:val="22"/>
          <w:szCs w:val="22"/>
        </w:rPr>
        <w:t xml:space="preserve">) exista una orden judicial, </w:t>
      </w:r>
      <w:proofErr w:type="spellStart"/>
      <w:r w:rsidRPr="002D4542">
        <w:rPr>
          <w:rFonts w:ascii="Palatino Linotype" w:hAnsi="Palatino Linotype" w:cs="Tahoma"/>
          <w:bCs/>
          <w:iCs/>
          <w:sz w:val="22"/>
          <w:szCs w:val="22"/>
        </w:rPr>
        <w:t>iv</w:t>
      </w:r>
      <w:proofErr w:type="spellEnd"/>
      <w:r w:rsidRPr="002D4542">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234BEA71"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326DAF05"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34E00E9C"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129D4E91" w14:textId="77777777" w:rsidR="00447D74" w:rsidRDefault="00447D74" w:rsidP="00447D74">
      <w:pPr>
        <w:numPr>
          <w:ilvl w:val="0"/>
          <w:numId w:val="31"/>
        </w:num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8165B6C" w14:textId="77777777" w:rsidR="00AC4A81" w:rsidRPr="002D4542" w:rsidRDefault="00AC4A81" w:rsidP="00AC4A81">
      <w:pPr>
        <w:spacing w:line="360" w:lineRule="auto"/>
        <w:ind w:left="720"/>
        <w:contextualSpacing/>
        <w:jc w:val="both"/>
        <w:rPr>
          <w:rFonts w:ascii="Palatino Linotype" w:hAnsi="Palatino Linotype" w:cs="Tahoma"/>
          <w:bCs/>
          <w:iCs/>
          <w:sz w:val="22"/>
          <w:szCs w:val="22"/>
        </w:rPr>
      </w:pPr>
    </w:p>
    <w:p w14:paraId="37DBC6A0" w14:textId="77777777" w:rsidR="00447D74" w:rsidRPr="002D4542" w:rsidRDefault="00447D74" w:rsidP="00447D74">
      <w:pPr>
        <w:numPr>
          <w:ilvl w:val="0"/>
          <w:numId w:val="31"/>
        </w:num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Para la difusión de los datos, se requiera el consentimiento del titular. </w:t>
      </w:r>
    </w:p>
    <w:p w14:paraId="055FB993"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445F00E3"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BB1DF0F"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41C6E6B7"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Además, en el artículo 5° de dicho ordenamiento jurídico, establece que es la Ley aplicable para todo tratamiento de datos personales.</w:t>
      </w:r>
    </w:p>
    <w:p w14:paraId="068DD107"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0998A528"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sidRPr="002D4542">
        <w:rPr>
          <w:rFonts w:ascii="Palatino Linotype" w:hAnsi="Palatino Linotype" w:cs="Tahoma"/>
          <w:bCs/>
          <w:iCs/>
          <w:sz w:val="22"/>
          <w:szCs w:val="22"/>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0049811"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0B4AA849"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A269F68"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46BE3D09"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B385D76"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0C662D85"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46ECFCE4"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0CAE8BCD"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2D4542">
        <w:rPr>
          <w:rFonts w:ascii="Palatino Linotype" w:hAnsi="Palatino Linotype" w:cs="Tahoma"/>
          <w:bCs/>
          <w:iCs/>
          <w:sz w:val="22"/>
          <w:szCs w:val="22"/>
        </w:rPr>
        <w:lastRenderedPageBreak/>
        <w:t>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F35EA34"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72667F3D"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12C49C2"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7B168864" w14:textId="77777777" w:rsidR="00447D74" w:rsidRPr="002D4542" w:rsidRDefault="00447D74" w:rsidP="00447D74">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A7B5A44"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5942B8F2" w14:textId="77777777" w:rsidR="00447D74" w:rsidRPr="002D4542" w:rsidRDefault="00447D74" w:rsidP="00447D74">
      <w:pPr>
        <w:tabs>
          <w:tab w:val="left" w:pos="709"/>
        </w:tabs>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como ya se analizó el </w:t>
      </w:r>
      <w:r w:rsidRPr="002D4542">
        <w:rPr>
          <w:rFonts w:ascii="Palatino Linotype" w:hAnsi="Palatino Linotype" w:cs="Tahoma"/>
          <w:b/>
          <w:bCs/>
          <w:iCs/>
          <w:sz w:val="22"/>
          <w:szCs w:val="22"/>
        </w:rPr>
        <w:t>Registro Federal de Contribuyentes</w:t>
      </w:r>
      <w:r w:rsidRPr="002D4542">
        <w:rPr>
          <w:rFonts w:ascii="Palatino Linotype" w:hAnsi="Palatino Linotype" w:cs="Tahoma"/>
          <w:bCs/>
          <w:iCs/>
          <w:sz w:val="22"/>
          <w:szCs w:val="22"/>
        </w:rPr>
        <w:t xml:space="preserve"> (RFC), además la </w:t>
      </w:r>
      <w:r w:rsidRPr="002D4542">
        <w:rPr>
          <w:rFonts w:ascii="Palatino Linotype" w:hAnsi="Palatino Linotype" w:cs="Tahoma"/>
          <w:b/>
          <w:bCs/>
          <w:iCs/>
          <w:sz w:val="22"/>
          <w:szCs w:val="22"/>
        </w:rPr>
        <w:t xml:space="preserve">Clave Única de Registro de </w:t>
      </w:r>
      <w:r w:rsidRPr="002D4542">
        <w:rPr>
          <w:rFonts w:ascii="Palatino Linotype" w:hAnsi="Palatino Linotype" w:cs="Tahoma"/>
          <w:b/>
          <w:bCs/>
          <w:iCs/>
          <w:sz w:val="22"/>
          <w:szCs w:val="22"/>
        </w:rPr>
        <w:lastRenderedPageBreak/>
        <w:t>Población</w:t>
      </w:r>
      <w:r w:rsidRPr="002D4542">
        <w:rPr>
          <w:rFonts w:ascii="Palatino Linotype" w:hAnsi="Palatino Linotype" w:cs="Tahoma"/>
          <w:bCs/>
          <w:iCs/>
          <w:sz w:val="22"/>
          <w:szCs w:val="22"/>
        </w:rPr>
        <w:t xml:space="preserve"> (CURP), clave de seguridad social, deducciones personales, número de cuenta bancario. </w:t>
      </w:r>
    </w:p>
    <w:p w14:paraId="6FBDF85F" w14:textId="77777777" w:rsidR="00447D74" w:rsidRPr="002D4542" w:rsidRDefault="00447D74" w:rsidP="00447D74">
      <w:pPr>
        <w:spacing w:line="360" w:lineRule="auto"/>
        <w:ind w:right="-93"/>
        <w:jc w:val="both"/>
        <w:rPr>
          <w:rFonts w:ascii="Palatino Linotype" w:hAnsi="Palatino Linotype" w:cs="Tahoma"/>
          <w:bCs/>
          <w:iCs/>
          <w:sz w:val="22"/>
          <w:szCs w:val="22"/>
        </w:rPr>
      </w:pPr>
    </w:p>
    <w:p w14:paraId="65EE5A42" w14:textId="77777777" w:rsidR="00447D74" w:rsidRPr="002D4542" w:rsidRDefault="00447D74" w:rsidP="00447D74">
      <w:pPr>
        <w:pStyle w:val="Prrafodelista"/>
        <w:numPr>
          <w:ilvl w:val="0"/>
          <w:numId w:val="30"/>
        </w:numPr>
        <w:spacing w:line="360" w:lineRule="auto"/>
        <w:ind w:right="-93"/>
        <w:jc w:val="both"/>
        <w:rPr>
          <w:rFonts w:ascii="Palatino Linotype" w:hAnsi="Palatino Linotype" w:cs="Tahoma"/>
          <w:b/>
          <w:bCs/>
          <w:iCs/>
          <w:szCs w:val="22"/>
        </w:rPr>
      </w:pPr>
      <w:r w:rsidRPr="002D4542">
        <w:rPr>
          <w:rFonts w:ascii="Palatino Linotype" w:hAnsi="Palatino Linotype" w:cs="Tahoma"/>
          <w:b/>
          <w:bCs/>
          <w:iCs/>
          <w:szCs w:val="22"/>
        </w:rPr>
        <w:t>Registro Federal de Contribuyentes (RFC)</w:t>
      </w:r>
    </w:p>
    <w:p w14:paraId="040978A9" w14:textId="77777777" w:rsidR="00447D74" w:rsidRPr="002D4542" w:rsidRDefault="00447D74" w:rsidP="00447D74">
      <w:pPr>
        <w:spacing w:line="360" w:lineRule="auto"/>
        <w:ind w:left="360" w:right="-93"/>
        <w:jc w:val="both"/>
        <w:rPr>
          <w:rFonts w:ascii="Palatino Linotype" w:hAnsi="Palatino Linotype" w:cs="Tahoma"/>
          <w:bCs/>
          <w:iCs/>
          <w:sz w:val="22"/>
          <w:szCs w:val="22"/>
        </w:rPr>
      </w:pPr>
    </w:p>
    <w:p w14:paraId="7A66A755" w14:textId="77777777" w:rsidR="00447D74" w:rsidRPr="002D4542" w:rsidRDefault="00447D74" w:rsidP="00447D74">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F2E7412" w14:textId="77777777" w:rsidR="00447D74" w:rsidRPr="002D4542" w:rsidRDefault="00447D74" w:rsidP="00447D74">
      <w:pPr>
        <w:spacing w:line="360" w:lineRule="auto"/>
        <w:ind w:right="-93"/>
        <w:jc w:val="both"/>
        <w:rPr>
          <w:rFonts w:ascii="Palatino Linotype" w:hAnsi="Palatino Linotype" w:cs="Tahoma"/>
          <w:bCs/>
          <w:iCs/>
          <w:sz w:val="22"/>
          <w:szCs w:val="22"/>
        </w:rPr>
      </w:pPr>
    </w:p>
    <w:p w14:paraId="4427AAAF" w14:textId="77777777" w:rsidR="00447D74" w:rsidRPr="002D4542" w:rsidRDefault="00447D74" w:rsidP="00447D74">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2D4542">
        <w:rPr>
          <w:rFonts w:ascii="Palatino Linotype" w:hAnsi="Palatino Linotype" w:cs="Tahoma"/>
          <w:bCs/>
          <w:iCs/>
          <w:sz w:val="22"/>
          <w:szCs w:val="22"/>
        </w:rPr>
        <w:t>homoclave</w:t>
      </w:r>
      <w:proofErr w:type="spellEnd"/>
      <w:r w:rsidRPr="002D4542">
        <w:rPr>
          <w:rFonts w:ascii="Palatino Linotype" w:hAnsi="Palatino Linotype" w:cs="Tahoma"/>
          <w:bCs/>
          <w:iCs/>
          <w:sz w:val="22"/>
          <w:szCs w:val="22"/>
        </w:rPr>
        <w:t xml:space="preserve"> que establece el sistema automático del Servicio de Administración Tributaria.</w:t>
      </w:r>
    </w:p>
    <w:p w14:paraId="40CBD4BD" w14:textId="77777777" w:rsidR="00447D74" w:rsidRPr="002D4542" w:rsidRDefault="00447D74" w:rsidP="00447D74">
      <w:pPr>
        <w:spacing w:line="360" w:lineRule="auto"/>
        <w:ind w:right="-93"/>
        <w:jc w:val="both"/>
        <w:rPr>
          <w:rFonts w:ascii="Palatino Linotype" w:hAnsi="Palatino Linotype" w:cs="Tahoma"/>
          <w:bCs/>
          <w:iCs/>
          <w:sz w:val="22"/>
          <w:szCs w:val="22"/>
        </w:rPr>
      </w:pPr>
    </w:p>
    <w:p w14:paraId="66AD3657" w14:textId="77777777" w:rsidR="00447D74" w:rsidRPr="002D4542" w:rsidRDefault="00447D74" w:rsidP="00447D74">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E0AA616" w14:textId="77777777" w:rsidR="00447D74" w:rsidRPr="002D4542" w:rsidRDefault="00447D74" w:rsidP="00447D74">
      <w:pPr>
        <w:spacing w:line="360" w:lineRule="auto"/>
        <w:ind w:right="-93"/>
        <w:jc w:val="both"/>
        <w:rPr>
          <w:rFonts w:ascii="Palatino Linotype" w:hAnsi="Palatino Linotype" w:cs="Tahoma"/>
          <w:bCs/>
          <w:iCs/>
          <w:sz w:val="22"/>
          <w:szCs w:val="22"/>
        </w:rPr>
      </w:pPr>
    </w:p>
    <w:p w14:paraId="199264D9" w14:textId="77777777" w:rsidR="00447D74" w:rsidRPr="002D4542" w:rsidRDefault="00447D74" w:rsidP="00447D74">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2D4542">
        <w:rPr>
          <w:rFonts w:ascii="Palatino Linotype" w:hAnsi="Palatino Linotype" w:cs="Tahoma"/>
          <w:bCs/>
          <w:iCs/>
          <w:sz w:val="22"/>
          <w:szCs w:val="22"/>
        </w:rPr>
        <w:lastRenderedPageBreak/>
        <w:t xml:space="preserve">involucradas, en el pago de estos, en el presente caso, del pago del Impuesto Sobre el Producto del Trabajo. </w:t>
      </w:r>
    </w:p>
    <w:p w14:paraId="20339DEB" w14:textId="77777777" w:rsidR="00447D74" w:rsidRPr="002D4542" w:rsidRDefault="00447D74" w:rsidP="00447D74">
      <w:pPr>
        <w:spacing w:line="360" w:lineRule="auto"/>
        <w:ind w:right="-93"/>
        <w:jc w:val="both"/>
        <w:rPr>
          <w:rFonts w:ascii="Palatino Linotype" w:hAnsi="Palatino Linotype" w:cs="Tahoma"/>
          <w:bCs/>
          <w:iCs/>
          <w:sz w:val="22"/>
          <w:szCs w:val="22"/>
        </w:rPr>
      </w:pPr>
    </w:p>
    <w:p w14:paraId="773E05FA" w14:textId="77777777" w:rsidR="00447D74" w:rsidRPr="002D4542" w:rsidRDefault="00447D74" w:rsidP="00447D74">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Esto, resulta congruente con el Criterio 19/17 emitido por el Instituto Nacional de Transparencia, Acceso a la Información y Protección de Datos Personales, en el cual se señala lo siguiente:</w:t>
      </w:r>
    </w:p>
    <w:p w14:paraId="21783E36" w14:textId="77777777" w:rsidR="00447D74" w:rsidRPr="002D4542" w:rsidRDefault="00447D74" w:rsidP="00447D74">
      <w:pPr>
        <w:spacing w:line="360" w:lineRule="auto"/>
        <w:ind w:right="-93"/>
        <w:jc w:val="both"/>
        <w:rPr>
          <w:rFonts w:ascii="Palatino Linotype" w:hAnsi="Palatino Linotype" w:cs="Tahoma"/>
          <w:bCs/>
          <w:iCs/>
          <w:sz w:val="22"/>
          <w:szCs w:val="22"/>
        </w:rPr>
      </w:pPr>
    </w:p>
    <w:p w14:paraId="1CF750CC" w14:textId="77777777" w:rsidR="00447D74" w:rsidRPr="002D4542" w:rsidRDefault="00447D74" w:rsidP="00447D74">
      <w:pPr>
        <w:spacing w:line="360" w:lineRule="auto"/>
        <w:ind w:left="567" w:right="539"/>
        <w:jc w:val="both"/>
        <w:rPr>
          <w:rFonts w:ascii="Palatino Linotype" w:hAnsi="Palatino Linotype" w:cs="Tahoma"/>
          <w:bCs/>
          <w:i/>
          <w:iCs/>
        </w:rPr>
      </w:pPr>
      <w:r w:rsidRPr="002D4542">
        <w:rPr>
          <w:rFonts w:ascii="Palatino Linotype" w:hAnsi="Palatino Linotype" w:cs="Tahoma"/>
          <w:bCs/>
          <w:i/>
          <w:iCs/>
        </w:rPr>
        <w:t>“</w:t>
      </w:r>
      <w:r w:rsidRPr="002D4542">
        <w:rPr>
          <w:rFonts w:ascii="Palatino Linotype" w:hAnsi="Palatino Linotype" w:cs="Tahoma"/>
          <w:b/>
          <w:bCs/>
          <w:i/>
          <w:iCs/>
        </w:rPr>
        <w:t>Registro Federal de Contribuyentes (RFC) de personas físicas</w:t>
      </w:r>
      <w:r w:rsidRPr="002D4542">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56E357E8" w14:textId="77777777" w:rsidR="00447D74" w:rsidRPr="002D4542" w:rsidRDefault="00447D74" w:rsidP="00447D74">
      <w:pPr>
        <w:spacing w:line="360" w:lineRule="auto"/>
        <w:ind w:right="-93"/>
        <w:jc w:val="both"/>
        <w:rPr>
          <w:rFonts w:ascii="Palatino Linotype" w:hAnsi="Palatino Linotype" w:cs="Tahoma"/>
          <w:bCs/>
          <w:iCs/>
          <w:sz w:val="22"/>
          <w:szCs w:val="22"/>
        </w:rPr>
      </w:pPr>
    </w:p>
    <w:p w14:paraId="6AB04927" w14:textId="77777777" w:rsidR="00447D74" w:rsidRPr="002D4542" w:rsidRDefault="00447D74" w:rsidP="00447D74">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 xml:space="preserve">De tal suerte, el Registro Federal de Contribuyentes de los servidores públicos no guarda relación con la transparencia de los recursos públicos ni el Código </w:t>
      </w:r>
      <w:proofErr w:type="spellStart"/>
      <w:r w:rsidRPr="002D4542">
        <w:rPr>
          <w:rFonts w:ascii="Palatino Linotype" w:hAnsi="Palatino Linotype" w:cs="Tahoma"/>
          <w:bCs/>
          <w:iCs/>
          <w:sz w:val="22"/>
          <w:szCs w:val="22"/>
        </w:rPr>
        <w:t>Qr</w:t>
      </w:r>
      <w:proofErr w:type="spellEnd"/>
      <w:r w:rsidRPr="002D4542">
        <w:rPr>
          <w:rFonts w:ascii="Palatino Linotype" w:hAnsi="Palatino Linotype" w:cs="Tahoma"/>
          <w:bCs/>
          <w:iCs/>
          <w:sz w:val="22"/>
          <w:szCs w:val="22"/>
        </w:rPr>
        <w:t xml:space="preserve"> ya que este último da cuenta del primero,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7F35043" w14:textId="77777777" w:rsidR="00447D74" w:rsidRPr="002D4542" w:rsidRDefault="00447D74" w:rsidP="00447D74">
      <w:pPr>
        <w:spacing w:line="360" w:lineRule="auto"/>
        <w:contextualSpacing/>
        <w:jc w:val="both"/>
        <w:rPr>
          <w:rFonts w:ascii="Palatino Linotype" w:hAnsi="Palatino Linotype" w:cs="Tahoma"/>
          <w:bCs/>
          <w:iCs/>
          <w:sz w:val="22"/>
          <w:szCs w:val="22"/>
        </w:rPr>
      </w:pPr>
    </w:p>
    <w:p w14:paraId="1C5ACDD1" w14:textId="77777777" w:rsidR="00447D74" w:rsidRPr="002D4542" w:rsidRDefault="00447D74" w:rsidP="00447D74">
      <w:pPr>
        <w:numPr>
          <w:ilvl w:val="0"/>
          <w:numId w:val="32"/>
        </w:numPr>
        <w:spacing w:line="360" w:lineRule="auto"/>
        <w:contextualSpacing/>
        <w:jc w:val="both"/>
        <w:rPr>
          <w:rFonts w:ascii="Palatino Linotype" w:hAnsi="Palatino Linotype" w:cs="Tahoma"/>
          <w:b/>
          <w:sz w:val="22"/>
          <w:szCs w:val="22"/>
        </w:rPr>
      </w:pPr>
      <w:r w:rsidRPr="002D4542">
        <w:rPr>
          <w:rFonts w:ascii="Palatino Linotype" w:hAnsi="Palatino Linotype" w:cs="Tahoma"/>
          <w:b/>
          <w:sz w:val="22"/>
          <w:szCs w:val="22"/>
        </w:rPr>
        <w:t>Clave Única de Registro de Población (CURP)</w:t>
      </w:r>
    </w:p>
    <w:p w14:paraId="62969C99"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470272F9"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440188AF"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09E56D55"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419FFB7E"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317FF1A8"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4668E8E"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3D778CDE"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De conformidad con lo precisado por la propia Secretaría de Gobernación en la dirección </w:t>
      </w:r>
      <w:hyperlink r:id="rId16" w:history="1">
        <w:r w:rsidRPr="002D4542">
          <w:rPr>
            <w:rStyle w:val="Hipervnculo"/>
            <w:rFonts w:ascii="Palatino Linotype" w:hAnsi="Palatino Linotype" w:cs="Tahoma"/>
            <w:sz w:val="22"/>
            <w:szCs w:val="22"/>
            <w:lang w:eastAsia="es-MX"/>
          </w:rPr>
          <w:t>https://consultas.curp.gob.mx/CurpSP/html/informacionecurpPS.html</w:t>
        </w:r>
      </w:hyperlink>
      <w:r w:rsidRPr="002D4542">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D4542">
        <w:rPr>
          <w:rFonts w:ascii="Palatino Linotype" w:hAnsi="Palatino Linotype" w:cs="Tahoma"/>
          <w:b/>
          <w:sz w:val="22"/>
          <w:szCs w:val="22"/>
          <w:lang w:eastAsia="es-MX"/>
        </w:rPr>
        <w:t>se generan a partir de los datos contenidos en el documento probatorio de la identidad</w:t>
      </w:r>
      <w:r w:rsidRPr="002D4542">
        <w:rPr>
          <w:rFonts w:ascii="Palatino Linotype" w:hAnsi="Palatino Linotype" w:cs="Tahoma"/>
          <w:sz w:val="22"/>
          <w:szCs w:val="22"/>
          <w:lang w:eastAsia="es-MX"/>
        </w:rPr>
        <w:t xml:space="preserve"> </w:t>
      </w:r>
      <w:r w:rsidRPr="002D4542">
        <w:rPr>
          <w:rFonts w:ascii="Palatino Linotype" w:hAnsi="Palatino Linotype" w:cs="Tahoma"/>
          <w:b/>
          <w:sz w:val="22"/>
          <w:szCs w:val="22"/>
          <w:lang w:eastAsia="es-MX"/>
        </w:rPr>
        <w:t xml:space="preserve">del interesado </w:t>
      </w:r>
      <w:r w:rsidRPr="002D4542">
        <w:rPr>
          <w:rFonts w:ascii="Palatino Linotype" w:hAnsi="Palatino Linotype" w:cs="Tahoma"/>
          <w:sz w:val="22"/>
          <w:szCs w:val="22"/>
          <w:lang w:eastAsia="es-MX"/>
        </w:rPr>
        <w:t>(acta de nacimiento, carta de naturalización o documento migratorio) de la siguiente forma:</w:t>
      </w:r>
    </w:p>
    <w:p w14:paraId="2E63EBBA"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4A57188F"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 El primero y segundo apellidos, así como al nombre de pila.</w:t>
      </w:r>
    </w:p>
    <w:p w14:paraId="0A560590"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 La fecha de nacimiento.</w:t>
      </w:r>
    </w:p>
    <w:p w14:paraId="21201019"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 El sexo.</w:t>
      </w:r>
    </w:p>
    <w:p w14:paraId="66165E0E"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 La entidad federativa de nacimiento.</w:t>
      </w:r>
    </w:p>
    <w:p w14:paraId="03232A2A"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77153006"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02E03AD1"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6F3D05DE" w14:textId="77777777" w:rsidR="00447D74" w:rsidRPr="002D4542" w:rsidRDefault="00447D74" w:rsidP="00447D74">
      <w:pPr>
        <w:spacing w:line="360" w:lineRule="auto"/>
        <w:contextualSpacing/>
        <w:jc w:val="both"/>
        <w:rPr>
          <w:rFonts w:ascii="Palatino Linotype" w:hAnsi="Palatino Linotype" w:cs="Tahoma"/>
          <w:sz w:val="22"/>
          <w:szCs w:val="22"/>
        </w:rPr>
      </w:pPr>
      <w:r w:rsidRPr="002D4542">
        <w:rPr>
          <w:rFonts w:ascii="Palatino Linotype" w:hAnsi="Palatino Linotype" w:cs="Tahoma"/>
          <w:sz w:val="22"/>
          <w:szCs w:val="22"/>
        </w:rPr>
        <w:t xml:space="preserve">Como se desprende de lo anterior, la </w:t>
      </w:r>
      <w:r w:rsidRPr="002D4542">
        <w:rPr>
          <w:rFonts w:ascii="Palatino Linotype" w:hAnsi="Palatino Linotype" w:cs="Tahoma"/>
          <w:sz w:val="22"/>
          <w:szCs w:val="22"/>
          <w:lang w:eastAsia="es-MX"/>
        </w:rPr>
        <w:t>Clave Única de Registro de Población</w:t>
      </w:r>
      <w:r w:rsidRPr="002D4542">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2D4542">
        <w:rPr>
          <w:rFonts w:ascii="Palatino Linotype" w:hAnsi="Palatino Linotype" w:cs="Tahoma"/>
          <w:sz w:val="22"/>
          <w:szCs w:val="22"/>
        </w:rPr>
        <w:lastRenderedPageBreak/>
        <w:t>de un trámite administrativo requerido por la autoridad federal para hacer identificables a las personas.</w:t>
      </w:r>
    </w:p>
    <w:p w14:paraId="1316FA5C" w14:textId="77777777" w:rsidR="00447D74" w:rsidRPr="002D4542" w:rsidRDefault="00447D74" w:rsidP="00447D74">
      <w:pPr>
        <w:spacing w:line="360" w:lineRule="auto"/>
        <w:contextualSpacing/>
        <w:jc w:val="both"/>
        <w:rPr>
          <w:rFonts w:ascii="Palatino Linotype" w:hAnsi="Palatino Linotype" w:cs="Tahoma"/>
          <w:sz w:val="22"/>
          <w:szCs w:val="22"/>
        </w:rPr>
      </w:pPr>
    </w:p>
    <w:p w14:paraId="738F4468" w14:textId="77777777" w:rsidR="00447D74" w:rsidRPr="002D4542" w:rsidRDefault="00447D74" w:rsidP="00447D74">
      <w:pPr>
        <w:spacing w:line="360" w:lineRule="auto"/>
        <w:jc w:val="both"/>
        <w:rPr>
          <w:rFonts w:ascii="Palatino Linotype" w:eastAsiaTheme="minorHAnsi" w:hAnsi="Palatino Linotype" w:cstheme="minorBidi"/>
          <w:bCs/>
          <w:iCs/>
          <w:color w:val="000000" w:themeColor="text1"/>
          <w:sz w:val="22"/>
          <w:szCs w:val="22"/>
          <w:lang w:eastAsia="en-US"/>
        </w:rPr>
      </w:pPr>
      <w:r w:rsidRPr="002D4542">
        <w:rPr>
          <w:rFonts w:ascii="Palatino Linotype" w:eastAsiaTheme="minorHAnsi" w:hAnsi="Palatino Linotype" w:cstheme="minorBidi"/>
          <w:bCs/>
          <w:iCs/>
          <w:color w:val="000000" w:themeColor="text1"/>
          <w:sz w:val="22"/>
          <w:szCs w:val="22"/>
          <w:lang w:eastAsia="en-US"/>
        </w:rPr>
        <w:t>Situación que se robustece, con el</w:t>
      </w:r>
      <w:r w:rsidRPr="002D4542">
        <w:rPr>
          <w:rFonts w:ascii="Palatino Linotype" w:eastAsia="Calibri" w:hAnsi="Palatino Linotype" w:cs="Tahoma"/>
          <w:bCs/>
          <w:sz w:val="22"/>
          <w:szCs w:val="22"/>
          <w:lang w:val="es-ES" w:eastAsia="en-US"/>
        </w:rPr>
        <w:t xml:space="preserve"> Criterio de Interpretación, de la Segunda Época, con número de registro </w:t>
      </w:r>
      <w:r w:rsidRPr="002D4542">
        <w:rPr>
          <w:rFonts w:ascii="Palatino Linotype" w:eastAsia="Calibri" w:hAnsi="Palatino Linotype" w:cs="Tahoma"/>
          <w:bCs/>
          <w:sz w:val="22"/>
          <w:szCs w:val="22"/>
          <w:lang w:eastAsia="en-US"/>
        </w:rPr>
        <w:t>SO/018/2017</w:t>
      </w:r>
      <w:r w:rsidRPr="002D4542">
        <w:rPr>
          <w:rFonts w:ascii="Palatino Linotype" w:eastAsiaTheme="minorHAnsi" w:hAnsi="Palatino Linotype" w:cstheme="minorBidi"/>
          <w:bCs/>
          <w:iCs/>
          <w:color w:val="000000" w:themeColor="text1"/>
          <w:sz w:val="22"/>
          <w:szCs w:val="22"/>
          <w:lang w:eastAsia="en-US"/>
        </w:rPr>
        <w:t>, emitido por el Instituto Nacional de Transparencia, Acceso a la Información y Protección de Datos Personales, que establece lo siguiente:</w:t>
      </w:r>
    </w:p>
    <w:p w14:paraId="5A403155" w14:textId="77777777" w:rsidR="00447D74" w:rsidRPr="002D4542" w:rsidRDefault="00447D74" w:rsidP="00447D74">
      <w:pPr>
        <w:spacing w:line="360" w:lineRule="auto"/>
        <w:jc w:val="both"/>
        <w:rPr>
          <w:rFonts w:ascii="Palatino Linotype" w:eastAsiaTheme="minorHAnsi" w:hAnsi="Palatino Linotype" w:cstheme="minorBidi"/>
          <w:bCs/>
          <w:iCs/>
          <w:color w:val="000000" w:themeColor="text1"/>
          <w:sz w:val="22"/>
          <w:szCs w:val="22"/>
          <w:lang w:eastAsia="en-US"/>
        </w:rPr>
      </w:pPr>
    </w:p>
    <w:p w14:paraId="6BB164EA" w14:textId="77777777" w:rsidR="00447D74" w:rsidRPr="002D4542" w:rsidRDefault="00447D74" w:rsidP="00447D74">
      <w:pPr>
        <w:spacing w:line="360" w:lineRule="auto"/>
        <w:ind w:left="567" w:right="567"/>
        <w:jc w:val="both"/>
        <w:rPr>
          <w:rFonts w:ascii="Palatino Linotype" w:eastAsiaTheme="minorHAnsi" w:hAnsi="Palatino Linotype" w:cstheme="minorBidi"/>
          <w:bCs/>
          <w:i/>
          <w:iCs/>
          <w:color w:val="000000" w:themeColor="text1"/>
          <w:lang w:eastAsia="en-US"/>
        </w:rPr>
      </w:pPr>
      <w:r w:rsidRPr="002D4542">
        <w:rPr>
          <w:rFonts w:ascii="Palatino Linotype" w:eastAsiaTheme="minorHAnsi" w:hAnsi="Palatino Linotype" w:cstheme="minorBidi"/>
          <w:b/>
          <w:bCs/>
          <w:i/>
          <w:iCs/>
          <w:color w:val="000000" w:themeColor="text1"/>
          <w:lang w:eastAsia="en-US"/>
        </w:rPr>
        <w:t xml:space="preserve">“Clave Única de Registro de Población (CURP). </w:t>
      </w:r>
      <w:r w:rsidRPr="002D4542">
        <w:rPr>
          <w:rFonts w:ascii="Palatino Linotype" w:eastAsiaTheme="minorHAnsi" w:hAnsi="Palatino Linotype" w:cstheme="minorBidi"/>
          <w:bCs/>
          <w:i/>
          <w:iCs/>
          <w:color w:val="000000" w:themeColor="text1"/>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F795973" w14:textId="77777777" w:rsidR="00447D74" w:rsidRPr="002D4542" w:rsidRDefault="00447D74" w:rsidP="00447D74">
      <w:pPr>
        <w:spacing w:line="360" w:lineRule="auto"/>
        <w:contextualSpacing/>
        <w:jc w:val="both"/>
        <w:rPr>
          <w:rFonts w:ascii="Palatino Linotype" w:hAnsi="Palatino Linotype" w:cs="Tahoma"/>
          <w:sz w:val="22"/>
          <w:szCs w:val="22"/>
        </w:rPr>
      </w:pPr>
    </w:p>
    <w:p w14:paraId="3D694EBE" w14:textId="77777777" w:rsidR="00447D74" w:rsidRPr="002D4542" w:rsidRDefault="00447D74" w:rsidP="00447D74">
      <w:pPr>
        <w:spacing w:line="360" w:lineRule="auto"/>
        <w:contextualSpacing/>
        <w:jc w:val="both"/>
        <w:rPr>
          <w:rFonts w:ascii="Palatino Linotype" w:hAnsi="Palatino Linotype" w:cs="Tahoma"/>
          <w:b/>
          <w:sz w:val="22"/>
          <w:szCs w:val="22"/>
        </w:rPr>
      </w:pPr>
      <w:r w:rsidRPr="002D4542">
        <w:rPr>
          <w:rFonts w:ascii="Palatino Linotype" w:hAnsi="Palatino Linotype" w:cs="Tahoma"/>
          <w:sz w:val="22"/>
          <w:szCs w:val="22"/>
        </w:rPr>
        <w:t xml:space="preserve">De acuerdo con lo anterior, </w:t>
      </w:r>
      <w:r w:rsidRPr="002D4542">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0BFEB12F"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44E0099A" w14:textId="77777777" w:rsidR="00447D74" w:rsidRPr="002D4542" w:rsidRDefault="00447D74" w:rsidP="00447D74">
      <w:pPr>
        <w:pStyle w:val="Prrafodelista"/>
        <w:numPr>
          <w:ilvl w:val="0"/>
          <w:numId w:val="33"/>
        </w:numPr>
        <w:spacing w:line="360" w:lineRule="auto"/>
        <w:jc w:val="both"/>
        <w:rPr>
          <w:rFonts w:ascii="Palatino Linotype" w:hAnsi="Palatino Linotype" w:cs="Tahoma"/>
          <w:b/>
          <w:szCs w:val="22"/>
          <w:lang w:eastAsia="es-MX"/>
        </w:rPr>
      </w:pPr>
      <w:r w:rsidRPr="002D4542">
        <w:rPr>
          <w:rFonts w:ascii="Palatino Linotype" w:hAnsi="Palatino Linotype" w:cs="Tahoma"/>
          <w:b/>
          <w:szCs w:val="22"/>
        </w:rPr>
        <w:t>Clave de seguridad social ISSEMYM</w:t>
      </w:r>
    </w:p>
    <w:p w14:paraId="61DD3541" w14:textId="77777777" w:rsidR="00447D74" w:rsidRPr="002D4542" w:rsidRDefault="00447D74" w:rsidP="00447D74">
      <w:pPr>
        <w:pStyle w:val="Prrafodelista"/>
        <w:spacing w:line="360" w:lineRule="auto"/>
        <w:jc w:val="both"/>
        <w:rPr>
          <w:rFonts w:ascii="Palatino Linotype" w:hAnsi="Palatino Linotype" w:cs="Tahoma"/>
          <w:szCs w:val="22"/>
          <w:lang w:eastAsia="es-MX"/>
        </w:rPr>
      </w:pPr>
    </w:p>
    <w:p w14:paraId="7E50F66C"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30A7816"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43AD985E" w14:textId="77777777" w:rsidR="00447D74" w:rsidRPr="002D4542" w:rsidRDefault="00447D74" w:rsidP="00447D74">
      <w:pPr>
        <w:spacing w:line="360" w:lineRule="auto"/>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w:t>
      </w:r>
      <w:r w:rsidRPr="002D4542">
        <w:rPr>
          <w:rFonts w:ascii="Palatino Linotype" w:hAnsi="Palatino Linotype" w:cs="Tahoma"/>
          <w:sz w:val="22"/>
          <w:szCs w:val="22"/>
          <w:lang w:eastAsia="es-MX"/>
        </w:rPr>
        <w:lastRenderedPageBreak/>
        <w:t xml:space="preserve">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2D4542">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75BB26B7" w14:textId="77777777" w:rsidR="00447D74" w:rsidRPr="002D4542" w:rsidRDefault="00447D74" w:rsidP="00447D74">
      <w:pPr>
        <w:pStyle w:val="Prrafodelista"/>
        <w:spacing w:line="360" w:lineRule="auto"/>
        <w:jc w:val="both"/>
        <w:rPr>
          <w:rFonts w:ascii="Palatino Linotype" w:hAnsi="Palatino Linotype" w:cs="Tahoma"/>
          <w:szCs w:val="22"/>
          <w:lang w:eastAsia="es-MX"/>
        </w:rPr>
      </w:pPr>
    </w:p>
    <w:p w14:paraId="27C91FC9"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69D52BAC" w14:textId="77777777" w:rsidR="00447D74" w:rsidRPr="002D4542" w:rsidRDefault="00447D74" w:rsidP="00447D74">
      <w:pPr>
        <w:pStyle w:val="Prrafodelista"/>
        <w:spacing w:line="360" w:lineRule="auto"/>
        <w:jc w:val="both"/>
        <w:rPr>
          <w:rFonts w:ascii="Palatino Linotype" w:hAnsi="Palatino Linotype" w:cs="Tahoma"/>
          <w:szCs w:val="22"/>
          <w:lang w:eastAsia="es-MX"/>
        </w:rPr>
      </w:pPr>
    </w:p>
    <w:p w14:paraId="31F95487"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452CA03A" w14:textId="77777777" w:rsidR="00447D74" w:rsidRPr="002D4542" w:rsidRDefault="00447D74" w:rsidP="00447D74">
      <w:pPr>
        <w:spacing w:line="360" w:lineRule="auto"/>
        <w:contextualSpacing/>
        <w:jc w:val="both"/>
        <w:rPr>
          <w:rFonts w:ascii="Palatino Linotype" w:hAnsi="Palatino Linotype" w:cs="Tahoma"/>
          <w:b/>
          <w:sz w:val="22"/>
          <w:szCs w:val="22"/>
        </w:rPr>
      </w:pPr>
    </w:p>
    <w:p w14:paraId="5C0B9B19" w14:textId="77777777" w:rsidR="00447D74" w:rsidRPr="002D4542" w:rsidRDefault="00447D74" w:rsidP="00447D74">
      <w:pPr>
        <w:numPr>
          <w:ilvl w:val="0"/>
          <w:numId w:val="32"/>
        </w:numPr>
        <w:spacing w:line="360" w:lineRule="auto"/>
        <w:contextualSpacing/>
        <w:jc w:val="both"/>
        <w:rPr>
          <w:rFonts w:ascii="Palatino Linotype" w:hAnsi="Palatino Linotype" w:cs="Tahoma"/>
          <w:bCs/>
          <w:sz w:val="22"/>
          <w:szCs w:val="22"/>
          <w:lang w:eastAsia="es-MX"/>
        </w:rPr>
      </w:pPr>
      <w:r w:rsidRPr="002D4542">
        <w:rPr>
          <w:rFonts w:ascii="Palatino Linotype" w:hAnsi="Palatino Linotype" w:cs="Tahoma"/>
          <w:b/>
          <w:bCs/>
          <w:iCs/>
          <w:sz w:val="22"/>
          <w:szCs w:val="22"/>
          <w:lang w:eastAsia="es-MX"/>
        </w:rPr>
        <w:t>Préstamos o descuentos que se le hagan al servidor público</w:t>
      </w:r>
    </w:p>
    <w:p w14:paraId="4449F99B" w14:textId="77777777" w:rsidR="00447D74" w:rsidRPr="002D4542" w:rsidRDefault="00447D74" w:rsidP="00447D74">
      <w:pPr>
        <w:spacing w:line="360" w:lineRule="auto"/>
        <w:contextualSpacing/>
        <w:jc w:val="both"/>
        <w:rPr>
          <w:rFonts w:ascii="Palatino Linotype" w:hAnsi="Palatino Linotype" w:cs="Tahoma"/>
          <w:b/>
          <w:sz w:val="22"/>
          <w:szCs w:val="22"/>
          <w:lang w:eastAsia="es-MX"/>
        </w:rPr>
      </w:pPr>
    </w:p>
    <w:p w14:paraId="64F97BE2"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14:paraId="52127F5E"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2AAD1310"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lastRenderedPageBreak/>
        <w:t xml:space="preserve"> Asimismo, pueden existir deducciones que se generan con motivo de una sentencia judicial, como es la pensión alimenticia que periódicamente se retira de la cuenta de un empleado, a efecto de que sea entregado a un tercero.  </w:t>
      </w:r>
    </w:p>
    <w:p w14:paraId="4CC12574"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28C6A869"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683792BE"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3705719E" w14:textId="77777777" w:rsidR="00447D74" w:rsidRPr="002D4542" w:rsidRDefault="00447D74" w:rsidP="00447D74">
      <w:pPr>
        <w:spacing w:line="360" w:lineRule="auto"/>
        <w:jc w:val="both"/>
        <w:rPr>
          <w:rFonts w:ascii="Palatino Linotype" w:hAnsi="Palatino Linotype" w:cs="Tahoma"/>
          <w:b/>
          <w:sz w:val="22"/>
          <w:szCs w:val="22"/>
          <w:lang w:val="es-ES"/>
        </w:rPr>
      </w:pPr>
      <w:r w:rsidRPr="002D4542">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14:paraId="66E49822" w14:textId="77777777" w:rsidR="00447D74" w:rsidRPr="002D4542" w:rsidRDefault="00447D74" w:rsidP="00447D74">
      <w:pPr>
        <w:spacing w:line="360" w:lineRule="auto"/>
        <w:jc w:val="both"/>
        <w:rPr>
          <w:rFonts w:ascii="Palatino Linotype" w:hAnsi="Palatino Linotype" w:cs="Tahoma"/>
          <w:b/>
          <w:sz w:val="22"/>
          <w:szCs w:val="22"/>
          <w:lang w:val="es-ES"/>
        </w:rPr>
      </w:pPr>
    </w:p>
    <w:p w14:paraId="6AAD331B" w14:textId="77777777" w:rsidR="00447D74" w:rsidRPr="002D4542" w:rsidRDefault="00447D74" w:rsidP="00447D74">
      <w:pPr>
        <w:pStyle w:val="Prrafodelista"/>
        <w:numPr>
          <w:ilvl w:val="0"/>
          <w:numId w:val="30"/>
        </w:numPr>
        <w:spacing w:line="360" w:lineRule="auto"/>
        <w:ind w:right="-93"/>
        <w:jc w:val="both"/>
        <w:rPr>
          <w:rFonts w:ascii="Palatino Linotype" w:hAnsi="Palatino Linotype" w:cs="Tahoma"/>
          <w:b/>
          <w:szCs w:val="22"/>
        </w:rPr>
      </w:pPr>
      <w:r w:rsidRPr="002D4542">
        <w:rPr>
          <w:rFonts w:ascii="Palatino Linotype" w:hAnsi="Palatino Linotype" w:cs="Tahoma"/>
          <w:b/>
          <w:bCs/>
          <w:iCs/>
          <w:szCs w:val="22"/>
        </w:rPr>
        <w:t>Número de cuenta bancario</w:t>
      </w:r>
    </w:p>
    <w:p w14:paraId="118E7C16" w14:textId="77777777" w:rsidR="00447D74" w:rsidRPr="002D4542" w:rsidRDefault="00447D74" w:rsidP="00447D74">
      <w:pPr>
        <w:spacing w:line="360" w:lineRule="auto"/>
        <w:ind w:right="-93"/>
        <w:jc w:val="both"/>
        <w:rPr>
          <w:rFonts w:ascii="Palatino Linotype" w:hAnsi="Palatino Linotype" w:cs="Tahoma"/>
          <w:sz w:val="22"/>
          <w:szCs w:val="22"/>
        </w:rPr>
      </w:pPr>
    </w:p>
    <w:p w14:paraId="223B1356"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rPr>
        <w:t>Como se precisó anteriormente, uno de los requisitos que indica la nómina del OSFEM que se deben agregar es el número de cuenta bancario al que se deposita</w:t>
      </w:r>
      <w:r w:rsidRPr="002D4542">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4F619EB0"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6F11949C" w14:textId="77777777" w:rsidR="00447D74" w:rsidRPr="002D4542" w:rsidRDefault="00447D74" w:rsidP="00447D74">
      <w:pPr>
        <w:spacing w:line="360" w:lineRule="auto"/>
        <w:jc w:val="both"/>
        <w:rPr>
          <w:rFonts w:ascii="Palatino Linotype" w:hAnsi="Palatino Linotype" w:cs="Tahoma"/>
          <w:sz w:val="22"/>
          <w:szCs w:val="22"/>
        </w:rPr>
      </w:pPr>
      <w:r w:rsidRPr="002D4542">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107F1A3D" w14:textId="77777777" w:rsidR="00447D74" w:rsidRPr="002D4542" w:rsidRDefault="00447D74" w:rsidP="00447D74">
      <w:pPr>
        <w:spacing w:line="360" w:lineRule="auto"/>
        <w:ind w:left="567" w:right="567"/>
        <w:jc w:val="both"/>
        <w:rPr>
          <w:rFonts w:ascii="Palatino Linotype" w:hAnsi="Palatino Linotype" w:cs="Tahoma"/>
          <w:sz w:val="22"/>
          <w:szCs w:val="22"/>
        </w:rPr>
      </w:pPr>
    </w:p>
    <w:p w14:paraId="771E497C" w14:textId="77777777" w:rsidR="00447D74" w:rsidRPr="002D4542" w:rsidRDefault="00447D74" w:rsidP="00447D74">
      <w:pPr>
        <w:spacing w:line="360" w:lineRule="auto"/>
        <w:ind w:left="567" w:right="567"/>
        <w:jc w:val="both"/>
        <w:rPr>
          <w:rFonts w:ascii="Palatino Linotype" w:hAnsi="Palatino Linotype" w:cs="Tahoma"/>
          <w:i/>
        </w:rPr>
      </w:pPr>
      <w:r w:rsidRPr="002D4542">
        <w:rPr>
          <w:rFonts w:ascii="Palatino Linotype" w:hAnsi="Palatino Linotype" w:cs="Tahoma"/>
          <w:i/>
        </w:rPr>
        <w:lastRenderedPageBreak/>
        <w:t>“</w:t>
      </w:r>
      <w:r w:rsidRPr="002D4542">
        <w:rPr>
          <w:rFonts w:ascii="Palatino Linotype" w:hAnsi="Palatino Linotype" w:cs="Tahoma"/>
          <w:b/>
          <w:i/>
        </w:rPr>
        <w:t>Cuentas bancarias y/o CLABE interbancaria de personas físicas y morales privadas.</w:t>
      </w:r>
      <w:r w:rsidRPr="002D4542">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FF60425"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7C09E112" w14:textId="77777777" w:rsidR="00447D74" w:rsidRPr="002D4542" w:rsidRDefault="00447D74" w:rsidP="00447D74">
      <w:pPr>
        <w:spacing w:line="360" w:lineRule="auto"/>
        <w:ind w:right="-93"/>
        <w:jc w:val="both"/>
        <w:rPr>
          <w:rFonts w:ascii="Palatino Linotype" w:hAnsi="Palatino Linotype" w:cs="Tahoma"/>
          <w:sz w:val="22"/>
          <w:szCs w:val="22"/>
        </w:rPr>
      </w:pPr>
      <w:r w:rsidRPr="002D4542">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2D4542">
        <w:rPr>
          <w:rFonts w:ascii="Palatino Linotype" w:hAnsi="Palatino Linotype" w:cs="Tahoma"/>
          <w:sz w:val="22"/>
          <w:szCs w:val="22"/>
        </w:rPr>
        <w:t>artículo 143, fracción I de la Ley de Transparencia y Acceso a la Información Pública del Estado de México y Municipios.</w:t>
      </w:r>
    </w:p>
    <w:p w14:paraId="220C6361" w14:textId="77777777" w:rsidR="00447D74" w:rsidRPr="002D4542" w:rsidRDefault="00447D74" w:rsidP="00447D74">
      <w:pPr>
        <w:spacing w:line="360" w:lineRule="auto"/>
        <w:contextualSpacing/>
        <w:jc w:val="both"/>
        <w:rPr>
          <w:rFonts w:ascii="Palatino Linotype" w:hAnsi="Palatino Linotype" w:cs="Tahoma"/>
          <w:sz w:val="22"/>
          <w:szCs w:val="22"/>
          <w:lang w:eastAsia="es-MX"/>
        </w:rPr>
      </w:pPr>
    </w:p>
    <w:p w14:paraId="504D532F" w14:textId="77777777" w:rsidR="00447D74" w:rsidRPr="002D4542" w:rsidRDefault="00447D74" w:rsidP="00447D74">
      <w:pPr>
        <w:spacing w:line="360" w:lineRule="auto"/>
        <w:ind w:right="-93"/>
        <w:jc w:val="both"/>
        <w:rPr>
          <w:rFonts w:ascii="Palatino Linotype" w:hAnsi="Palatino Linotype" w:cs="Tahoma"/>
          <w:sz w:val="22"/>
          <w:szCs w:val="22"/>
        </w:rPr>
      </w:pPr>
      <w:r w:rsidRPr="002D4542">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417D0ED6" w14:textId="77777777" w:rsidR="00447D74" w:rsidRPr="002D4542" w:rsidRDefault="00447D74" w:rsidP="00447D74">
      <w:pPr>
        <w:spacing w:line="360" w:lineRule="auto"/>
        <w:jc w:val="both"/>
        <w:rPr>
          <w:rFonts w:ascii="Palatino Linotype" w:hAnsi="Palatino Linotype" w:cs="Tahoma"/>
          <w:bCs/>
          <w:iCs/>
          <w:sz w:val="22"/>
          <w:szCs w:val="22"/>
          <w:lang w:val="es-ES"/>
        </w:rPr>
      </w:pPr>
    </w:p>
    <w:p w14:paraId="75AEFCA2" w14:textId="77777777" w:rsidR="004A19E4" w:rsidRPr="00447D74" w:rsidRDefault="00447D74" w:rsidP="00447D74">
      <w:pPr>
        <w:pStyle w:val="Prrafodelista"/>
        <w:numPr>
          <w:ilvl w:val="0"/>
          <w:numId w:val="30"/>
        </w:numPr>
        <w:spacing w:line="360" w:lineRule="auto"/>
        <w:jc w:val="both"/>
        <w:rPr>
          <w:rFonts w:ascii="Palatino Linotype" w:eastAsia="Calibri" w:hAnsi="Palatino Linotype" w:cs="Tahoma"/>
          <w:b/>
          <w:iCs/>
          <w:szCs w:val="22"/>
          <w:lang w:eastAsia="es-ES_tradnl"/>
        </w:rPr>
      </w:pPr>
      <w:r w:rsidRPr="00447D74">
        <w:rPr>
          <w:rFonts w:ascii="Palatino Linotype" w:eastAsia="Calibri" w:hAnsi="Palatino Linotype" w:cs="Tahoma"/>
          <w:b/>
          <w:iCs/>
          <w:szCs w:val="22"/>
          <w:lang w:eastAsia="es-ES_tradnl"/>
        </w:rPr>
        <w:t xml:space="preserve">Elementos operativos </w:t>
      </w:r>
    </w:p>
    <w:p w14:paraId="551ECB56" w14:textId="77777777" w:rsidR="00143BAC" w:rsidRDefault="00143BAC" w:rsidP="00104DEF">
      <w:pPr>
        <w:spacing w:line="360" w:lineRule="auto"/>
        <w:ind w:right="-93"/>
        <w:jc w:val="both"/>
        <w:rPr>
          <w:rFonts w:ascii="Palatino Linotype" w:eastAsia="Calibri" w:hAnsi="Palatino Linotype" w:cs="Tahoma"/>
          <w:bCs/>
          <w:iCs/>
          <w:sz w:val="22"/>
          <w:szCs w:val="22"/>
          <w:lang w:eastAsia="en-US"/>
        </w:rPr>
      </w:pPr>
    </w:p>
    <w:p w14:paraId="196B7F15"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 xml:space="preserve">En ese contexto, tal como se precisó en párrafos anteriores, </w:t>
      </w:r>
      <w:r w:rsidRPr="002D4542">
        <w:rPr>
          <w:rFonts w:ascii="Palatino Linotype" w:eastAsia="Calibri" w:hAnsi="Palatino Linotype" w:cs="Tahoma"/>
          <w:b/>
          <w:bCs/>
          <w:sz w:val="22"/>
          <w:szCs w:val="22"/>
          <w:lang w:eastAsia="en-US"/>
        </w:rPr>
        <w:t xml:space="preserve">los datos de servidores públicos, entre los que se encuentran el nombre de los trabajadores, por regla general, </w:t>
      </w:r>
      <w:r w:rsidRPr="002D4542">
        <w:rPr>
          <w:rFonts w:ascii="Palatino Linotype" w:eastAsia="Calibri" w:hAnsi="Palatino Linotype" w:cs="Tahoma"/>
          <w:bCs/>
          <w:sz w:val="22"/>
          <w:szCs w:val="22"/>
          <w:lang w:eastAsia="en-US"/>
        </w:rPr>
        <w:t>son de naturaleza pública, ya que su publicidad orienta a cumplir los objetivos que persigue la Ley.</w:t>
      </w:r>
    </w:p>
    <w:p w14:paraId="4BF6FE21"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5D8005FD" w14:textId="77777777" w:rsidR="00447D74" w:rsidRPr="002D4542" w:rsidRDefault="00447D74" w:rsidP="00447D74">
      <w:pPr>
        <w:spacing w:line="360" w:lineRule="auto"/>
        <w:jc w:val="both"/>
        <w:rPr>
          <w:rFonts w:ascii="Palatino Linotype" w:hAnsi="Palatino Linotype" w:cs="Tahoma"/>
          <w:sz w:val="22"/>
          <w:szCs w:val="22"/>
        </w:rPr>
      </w:pPr>
      <w:r w:rsidRPr="002D4542">
        <w:rPr>
          <w:rFonts w:ascii="Palatino Linotype" w:eastAsia="Calibri" w:hAnsi="Palatino Linotype" w:cs="Tahoma"/>
          <w:bCs/>
          <w:sz w:val="22"/>
          <w:szCs w:val="22"/>
          <w:lang w:eastAsia="en-US"/>
        </w:rPr>
        <w:lastRenderedPageBreak/>
        <w:t xml:space="preserve">No obstante, resulta necesario traer a colación por analogía, el Criterio 06/09, emitido por </w:t>
      </w:r>
      <w:r w:rsidRPr="002D4542">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13729820" w14:textId="77777777" w:rsidR="00447D74" w:rsidRPr="002D4542" w:rsidRDefault="00447D74" w:rsidP="00447D74">
      <w:pPr>
        <w:spacing w:line="360" w:lineRule="auto"/>
        <w:jc w:val="both"/>
        <w:rPr>
          <w:rFonts w:ascii="Palatino Linotype" w:hAnsi="Palatino Linotype" w:cs="Tahoma"/>
          <w:i/>
          <w:sz w:val="22"/>
          <w:szCs w:val="22"/>
        </w:rPr>
      </w:pPr>
    </w:p>
    <w:p w14:paraId="2E42B59B" w14:textId="77777777" w:rsidR="00447D74" w:rsidRPr="002D4542" w:rsidRDefault="00447D74" w:rsidP="00447D74">
      <w:pPr>
        <w:tabs>
          <w:tab w:val="left" w:pos="4962"/>
        </w:tabs>
        <w:spacing w:line="360" w:lineRule="auto"/>
        <w:ind w:left="567" w:right="567"/>
        <w:jc w:val="both"/>
        <w:rPr>
          <w:rFonts w:ascii="Palatino Linotype" w:hAnsi="Palatino Linotype" w:cs="Tahoma"/>
          <w:i/>
          <w:szCs w:val="22"/>
        </w:rPr>
      </w:pPr>
      <w:r w:rsidRPr="002D4542">
        <w:rPr>
          <w:rFonts w:ascii="Palatino Linotype" w:hAnsi="Palatino Linotype" w:cs="Tahoma"/>
          <w:b/>
          <w:i/>
          <w:szCs w:val="22"/>
        </w:rPr>
        <w:t>“Nombres de servidores públicos dedicados a actividades en materia de seguridad, por excepción pueden considerarse información reservada.</w:t>
      </w:r>
      <w:r w:rsidRPr="002D4542">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2D4542">
        <w:rPr>
          <w:rFonts w:ascii="Palatino Linotype" w:hAnsi="Palatino Linotype" w:cs="Tahoma"/>
          <w:i/>
          <w:szCs w:val="22"/>
        </w:rPr>
        <w:t>obstante</w:t>
      </w:r>
      <w:proofErr w:type="gramEnd"/>
      <w:r w:rsidRPr="002D4542">
        <w:rPr>
          <w:rFonts w:ascii="Palatino Linotype" w:hAnsi="Palatino Linotype" w:cs="Tahoma"/>
          <w:i/>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03DB4B4"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6A4A3C79"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2D4542">
        <w:rPr>
          <w:rFonts w:ascii="Palatino Linotype" w:eastAsia="Calibri" w:hAnsi="Palatino Linotype" w:cs="Tahoma"/>
          <w:bCs/>
          <w:sz w:val="22"/>
          <w:szCs w:val="22"/>
          <w:lang w:eastAsia="en-US"/>
        </w:rPr>
        <w:lastRenderedPageBreak/>
        <w:t>la seguridad del País, Estado y Municipio, anulando, impidiendo u obstaculizando la actuación de los servidores públicos que realizan funciones de carácter operativo.</w:t>
      </w:r>
    </w:p>
    <w:p w14:paraId="3CFEDB0E"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18266D8C"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2D4542">
        <w:rPr>
          <w:rFonts w:ascii="Palatino Linotype" w:eastAsia="Calibri" w:hAnsi="Palatino Linotype" w:cs="Tahoma"/>
          <w:b/>
          <w:bCs/>
          <w:sz w:val="22"/>
          <w:szCs w:val="22"/>
          <w:lang w:eastAsia="en-US"/>
        </w:rPr>
        <w:t>aquellos que realicen actividades operativas en materia de seguridad,</w:t>
      </w:r>
      <w:r w:rsidRPr="002D4542">
        <w:rPr>
          <w:rFonts w:ascii="Palatino Linotype" w:eastAsia="Calibri" w:hAnsi="Palatino Linotype" w:cs="Tahoma"/>
          <w:bCs/>
          <w:sz w:val="22"/>
          <w:szCs w:val="22"/>
          <w:lang w:eastAsia="en-US"/>
        </w:rPr>
        <w:t xml:space="preserve"> como es el caso de los elementos operativos y la policía municipal.</w:t>
      </w:r>
    </w:p>
    <w:p w14:paraId="154555F3"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1FFF06B3"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5B0B614"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3745E7D2"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0FDB32DE"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673B1E60" w14:textId="77777777" w:rsidR="00447D74" w:rsidRPr="002D4542" w:rsidRDefault="00447D74" w:rsidP="00447D74">
      <w:pPr>
        <w:pStyle w:val="Prrafodelista"/>
        <w:numPr>
          <w:ilvl w:val="0"/>
          <w:numId w:val="34"/>
        </w:numPr>
        <w:spacing w:line="360" w:lineRule="auto"/>
        <w:jc w:val="both"/>
        <w:rPr>
          <w:rFonts w:ascii="Palatino Linotype" w:eastAsia="Calibri" w:hAnsi="Palatino Linotype" w:cs="Tahoma"/>
          <w:b/>
          <w:bCs/>
          <w:szCs w:val="22"/>
          <w:lang w:eastAsia="en-US"/>
        </w:rPr>
      </w:pPr>
      <w:r w:rsidRPr="002D4542">
        <w:rPr>
          <w:rFonts w:ascii="Palatino Linotype" w:eastAsia="Calibri" w:hAnsi="Palatino Linotype" w:cs="Tahoma"/>
          <w:b/>
          <w:bCs/>
          <w:szCs w:val="22"/>
          <w:lang w:eastAsia="en-US"/>
        </w:rPr>
        <w:t xml:space="preserve">Instituciones Policiales: </w:t>
      </w:r>
      <w:r w:rsidRPr="002D4542">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2D4542">
        <w:rPr>
          <w:rFonts w:ascii="Palatino Linotype" w:eastAsia="Calibri" w:hAnsi="Palatino Linotype" w:cs="Tahoma"/>
          <w:b/>
          <w:bCs/>
          <w:szCs w:val="22"/>
          <w:lang w:eastAsia="en-US"/>
        </w:rPr>
        <w:t>todas las dependencias encargadas de la seguridad pública a nivel</w:t>
      </w:r>
      <w:r w:rsidRPr="002D4542">
        <w:rPr>
          <w:rFonts w:ascii="Palatino Linotype" w:eastAsia="Calibri" w:hAnsi="Palatino Linotype" w:cs="Tahoma"/>
          <w:bCs/>
          <w:szCs w:val="22"/>
          <w:lang w:eastAsia="en-US"/>
        </w:rPr>
        <w:t xml:space="preserve"> estatal y </w:t>
      </w:r>
      <w:r w:rsidRPr="002D4542">
        <w:rPr>
          <w:rFonts w:ascii="Palatino Linotype" w:eastAsia="Calibri" w:hAnsi="Palatino Linotype" w:cs="Tahoma"/>
          <w:b/>
          <w:bCs/>
          <w:szCs w:val="22"/>
          <w:lang w:eastAsia="en-US"/>
        </w:rPr>
        <w:t>municipal.</w:t>
      </w:r>
    </w:p>
    <w:p w14:paraId="62093DC3" w14:textId="77777777" w:rsidR="00447D74" w:rsidRPr="002D4542" w:rsidRDefault="00447D74" w:rsidP="00447D74">
      <w:pPr>
        <w:pStyle w:val="Prrafodelista"/>
        <w:spacing w:line="360" w:lineRule="auto"/>
        <w:jc w:val="both"/>
        <w:rPr>
          <w:rFonts w:ascii="Palatino Linotype" w:eastAsia="Calibri" w:hAnsi="Palatino Linotype" w:cs="Tahoma"/>
          <w:bCs/>
          <w:szCs w:val="22"/>
          <w:lang w:eastAsia="en-US"/>
        </w:rPr>
      </w:pPr>
    </w:p>
    <w:p w14:paraId="17934978" w14:textId="77777777" w:rsidR="00447D74" w:rsidRPr="002D4542" w:rsidRDefault="00447D74" w:rsidP="00447D74">
      <w:pPr>
        <w:pStyle w:val="Prrafodelista"/>
        <w:numPr>
          <w:ilvl w:val="0"/>
          <w:numId w:val="34"/>
        </w:numPr>
        <w:spacing w:line="360" w:lineRule="auto"/>
        <w:jc w:val="both"/>
        <w:rPr>
          <w:rFonts w:ascii="Palatino Linotype" w:eastAsia="Calibri" w:hAnsi="Palatino Linotype" w:cs="Tahoma"/>
          <w:b/>
          <w:bCs/>
          <w:szCs w:val="22"/>
          <w:lang w:eastAsia="en-US"/>
        </w:rPr>
      </w:pPr>
      <w:r w:rsidRPr="002D4542">
        <w:rPr>
          <w:rFonts w:ascii="Palatino Linotype" w:eastAsia="Calibri" w:hAnsi="Palatino Linotype" w:cs="Tahoma"/>
          <w:b/>
          <w:bCs/>
          <w:szCs w:val="22"/>
          <w:lang w:eastAsia="en-US"/>
        </w:rPr>
        <w:t xml:space="preserve">Instituciones de Seguridad Pública: </w:t>
      </w:r>
      <w:r w:rsidRPr="002D4542">
        <w:rPr>
          <w:rFonts w:ascii="Palatino Linotype" w:eastAsia="Calibri" w:hAnsi="Palatino Linotype" w:cs="Tahoma"/>
          <w:bCs/>
          <w:szCs w:val="22"/>
          <w:lang w:eastAsia="en-US"/>
        </w:rPr>
        <w:t xml:space="preserve">Instituciones Policiales, Procuración de Justicia, Sistema Penitenciario y </w:t>
      </w:r>
      <w:r w:rsidRPr="002D4542">
        <w:rPr>
          <w:rFonts w:ascii="Palatino Linotype" w:eastAsia="Calibri" w:hAnsi="Palatino Linotype" w:cs="Tahoma"/>
          <w:b/>
          <w:bCs/>
          <w:szCs w:val="22"/>
          <w:lang w:eastAsia="en-US"/>
        </w:rPr>
        <w:t xml:space="preserve">dependencias encargadas de la seguridad pública a nivel </w:t>
      </w:r>
      <w:r w:rsidRPr="002D4542">
        <w:rPr>
          <w:rFonts w:ascii="Palatino Linotype" w:eastAsia="Calibri" w:hAnsi="Palatino Linotype" w:cs="Tahoma"/>
          <w:bCs/>
          <w:szCs w:val="22"/>
          <w:lang w:eastAsia="en-US"/>
        </w:rPr>
        <w:t xml:space="preserve">estatal y </w:t>
      </w:r>
      <w:r w:rsidRPr="002D4542">
        <w:rPr>
          <w:rFonts w:ascii="Palatino Linotype" w:eastAsia="Calibri" w:hAnsi="Palatino Linotype" w:cs="Tahoma"/>
          <w:b/>
          <w:bCs/>
          <w:szCs w:val="22"/>
          <w:lang w:eastAsia="en-US"/>
        </w:rPr>
        <w:t>municipal.</w:t>
      </w:r>
    </w:p>
    <w:p w14:paraId="08763C17" w14:textId="77777777" w:rsidR="00447D74" w:rsidRPr="002D4542" w:rsidRDefault="00447D74" w:rsidP="00447D74">
      <w:pPr>
        <w:pStyle w:val="Prrafodelista"/>
        <w:rPr>
          <w:rFonts w:ascii="Palatino Linotype" w:eastAsia="Calibri" w:hAnsi="Palatino Linotype" w:cs="Tahoma"/>
          <w:b/>
          <w:bCs/>
          <w:szCs w:val="22"/>
          <w:lang w:eastAsia="en-US"/>
        </w:rPr>
      </w:pPr>
    </w:p>
    <w:p w14:paraId="3AEBFA60"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iCs/>
          <w:sz w:val="22"/>
          <w:lang w:val="es-ES" w:eastAsia="es-ES_tradnl"/>
        </w:rPr>
        <w:lastRenderedPageBreak/>
        <w:t>Conforme a lo anterior</w:t>
      </w:r>
      <w:r w:rsidRPr="002D4542">
        <w:rPr>
          <w:rFonts w:ascii="Palatino Linotype" w:eastAsia="Calibri" w:hAnsi="Palatino Linotype" w:cs="Tahoma"/>
          <w:bCs/>
          <w:sz w:val="22"/>
          <w:szCs w:val="22"/>
          <w:lang w:eastAsia="en-US"/>
        </w:rPr>
        <w:t>, se puede deducir que la Dirección de Seguridad Ciudadana, es una institución de seguridad pública, pues tiene como atribución principal resguardar el orden público y la paz social, la prevención de delitos y la inhibición de manifestaciones de conductas antisociales.</w:t>
      </w:r>
    </w:p>
    <w:p w14:paraId="09F0FB50"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7CE5D5A5" w14:textId="77777777" w:rsidR="00447D74" w:rsidRPr="002D4542" w:rsidRDefault="00447D74" w:rsidP="00447D74">
      <w:pPr>
        <w:tabs>
          <w:tab w:val="left" w:pos="4962"/>
        </w:tabs>
        <w:spacing w:line="360" w:lineRule="auto"/>
        <w:ind w:right="-28"/>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val="es-ES" w:eastAsia="en-US"/>
        </w:rPr>
        <w:t xml:space="preserve">Además, </w:t>
      </w:r>
      <w:r w:rsidRPr="002D4542">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en la liga electrónica </w:t>
      </w:r>
      <w:hyperlink r:id="rId17" w:history="1">
        <w:r w:rsidRPr="002D4542">
          <w:rPr>
            <w:rStyle w:val="Hipervnculo"/>
            <w:rFonts w:ascii="Palatino Linotype" w:eastAsia="Calibri" w:hAnsi="Palatino Linotype" w:cs="Tahoma"/>
            <w:bCs/>
            <w:sz w:val="22"/>
            <w:szCs w:val="22"/>
            <w:lang w:eastAsia="en-US"/>
          </w:rPr>
          <w:t>http://secretariadoejecutivo.gob.mx/work/models/SecretariadoEjecutivo/Resource/328/1/images/instructivo_final_edo_fuerza(1).pdf</w:t>
        </w:r>
      </w:hyperlink>
      <w:r w:rsidRPr="002D4542">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2D4542">
        <w:rPr>
          <w:rFonts w:ascii="Palatino Linotype" w:eastAsia="Calibri" w:hAnsi="Palatino Linotype" w:cs="Tahoma"/>
          <w:b/>
          <w:bCs/>
          <w:sz w:val="22"/>
          <w:szCs w:val="22"/>
          <w:lang w:eastAsia="en-US"/>
        </w:rPr>
        <w:t>desempeña funciones de mando</w:t>
      </w:r>
      <w:r w:rsidRPr="002D4542">
        <w:rPr>
          <w:rFonts w:ascii="Palatino Linotype" w:eastAsia="Calibri" w:hAnsi="Palatino Linotype" w:cs="Tahoma"/>
          <w:bCs/>
          <w:sz w:val="22"/>
          <w:szCs w:val="22"/>
          <w:lang w:eastAsia="en-US"/>
        </w:rPr>
        <w:t xml:space="preserve">), entre los cuales, se encuentra </w:t>
      </w:r>
      <w:r w:rsidRPr="002D4542">
        <w:rPr>
          <w:rFonts w:ascii="Palatino Linotype" w:eastAsia="Calibri" w:hAnsi="Palatino Linotype" w:cs="Tahoma"/>
          <w:b/>
          <w:bCs/>
          <w:sz w:val="22"/>
          <w:szCs w:val="22"/>
          <w:lang w:eastAsia="en-US"/>
        </w:rPr>
        <w:t>la Policía Municipal</w:t>
      </w:r>
      <w:r w:rsidRPr="002D4542">
        <w:rPr>
          <w:rFonts w:ascii="Palatino Linotype" w:eastAsia="Calibri" w:hAnsi="Palatino Linotype" w:cs="Tahoma"/>
          <w:bCs/>
          <w:sz w:val="22"/>
          <w:szCs w:val="22"/>
          <w:lang w:eastAsia="en-US"/>
        </w:rPr>
        <w:t>.</w:t>
      </w:r>
    </w:p>
    <w:p w14:paraId="184213E1" w14:textId="77777777" w:rsidR="00447D74" w:rsidRPr="002D4542" w:rsidRDefault="00447D74" w:rsidP="00447D74">
      <w:pPr>
        <w:tabs>
          <w:tab w:val="left" w:pos="4962"/>
        </w:tabs>
        <w:spacing w:line="360" w:lineRule="auto"/>
        <w:ind w:right="-28"/>
        <w:jc w:val="both"/>
        <w:rPr>
          <w:rFonts w:ascii="Palatino Linotype" w:eastAsia="Calibri" w:hAnsi="Palatino Linotype" w:cs="Tahoma"/>
          <w:bCs/>
          <w:sz w:val="22"/>
          <w:szCs w:val="22"/>
          <w:lang w:eastAsia="en-US"/>
        </w:rPr>
      </w:pPr>
    </w:p>
    <w:p w14:paraId="3A0158CF" w14:textId="77777777" w:rsidR="00447D74" w:rsidRPr="002D4542" w:rsidRDefault="00447D74" w:rsidP="00447D74">
      <w:pPr>
        <w:tabs>
          <w:tab w:val="left" w:pos="4962"/>
        </w:tabs>
        <w:spacing w:line="360" w:lineRule="auto"/>
        <w:ind w:right="-28"/>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Ciudadana, tiene dos clases de servidores públicos, por una parte, los operativos (policía municipal) y por otra, los administrativos, de apoyo y personal de mando, los cuales no realizan funciones operativas.</w:t>
      </w:r>
    </w:p>
    <w:p w14:paraId="60B8CE45"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2CCE1B70"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w:t>
      </w:r>
      <w:r w:rsidRPr="002D4542">
        <w:rPr>
          <w:rFonts w:ascii="Palatino Linotype" w:eastAsia="Calibri" w:hAnsi="Palatino Linotype" w:cs="Tahoma"/>
          <w:bCs/>
          <w:sz w:val="22"/>
          <w:szCs w:val="22"/>
          <w:lang w:eastAsia="en-US"/>
        </w:rPr>
        <w:lastRenderedPageBreak/>
        <w:t>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9FF6084"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55269712" w14:textId="77777777" w:rsidR="00447D74" w:rsidRDefault="00447D74" w:rsidP="00447D7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47E75C4" w14:textId="77777777" w:rsidR="00447D74" w:rsidRPr="002D4542" w:rsidRDefault="00447D74" w:rsidP="00447D74">
      <w:pPr>
        <w:spacing w:line="360" w:lineRule="auto"/>
        <w:jc w:val="both"/>
        <w:rPr>
          <w:rFonts w:ascii="Palatino Linotype" w:eastAsia="Calibri" w:hAnsi="Palatino Linotype" w:cs="Tahoma"/>
          <w:bCs/>
          <w:sz w:val="22"/>
          <w:szCs w:val="22"/>
          <w:lang w:eastAsia="en-US"/>
        </w:rPr>
      </w:pPr>
    </w:p>
    <w:p w14:paraId="4278AD14" w14:textId="77777777" w:rsidR="00447D74" w:rsidRPr="002D4542" w:rsidRDefault="00447D74" w:rsidP="00447D74">
      <w:pPr>
        <w:tabs>
          <w:tab w:val="left" w:pos="4962"/>
        </w:tabs>
        <w:spacing w:line="360" w:lineRule="auto"/>
        <w:jc w:val="both"/>
        <w:rPr>
          <w:rFonts w:ascii="Palatino Linotype" w:eastAsia="Calibri" w:hAnsi="Palatino Linotype" w:cs="Tahoma"/>
          <w:iCs/>
          <w:sz w:val="22"/>
          <w:szCs w:val="22"/>
          <w:lang w:val="es-ES" w:eastAsia="es-ES_tradnl"/>
        </w:rPr>
      </w:pPr>
      <w:r w:rsidRPr="002D4542">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A94C00B" w14:textId="77777777" w:rsidR="00447D74" w:rsidRPr="002D4542" w:rsidRDefault="00447D74" w:rsidP="00447D74">
      <w:pPr>
        <w:tabs>
          <w:tab w:val="left" w:pos="4962"/>
        </w:tabs>
        <w:spacing w:line="360" w:lineRule="auto"/>
        <w:jc w:val="both"/>
        <w:rPr>
          <w:rFonts w:ascii="Palatino Linotype" w:eastAsia="Calibri" w:hAnsi="Palatino Linotype" w:cs="Tahoma"/>
          <w:iCs/>
          <w:sz w:val="22"/>
          <w:szCs w:val="22"/>
          <w:lang w:val="es-ES" w:eastAsia="es-ES_tradnl"/>
        </w:rPr>
      </w:pPr>
    </w:p>
    <w:p w14:paraId="27982F6D" w14:textId="77777777" w:rsidR="00447D74" w:rsidRPr="002D4542" w:rsidRDefault="00447D74" w:rsidP="00447D74">
      <w:pPr>
        <w:numPr>
          <w:ilvl w:val="0"/>
          <w:numId w:val="35"/>
        </w:numPr>
        <w:tabs>
          <w:tab w:val="left" w:pos="4962"/>
        </w:tabs>
        <w:spacing w:line="360" w:lineRule="auto"/>
        <w:jc w:val="both"/>
        <w:rPr>
          <w:rFonts w:ascii="Palatino Linotype" w:eastAsia="Calibri" w:hAnsi="Palatino Linotype" w:cs="Tahoma"/>
          <w:iCs/>
          <w:sz w:val="22"/>
          <w:szCs w:val="22"/>
          <w:lang w:eastAsia="es-ES_tradnl"/>
        </w:rPr>
      </w:pPr>
      <w:r w:rsidRPr="002D4542">
        <w:rPr>
          <w:rFonts w:ascii="Palatino Linotype" w:eastAsia="Calibri" w:hAnsi="Palatino Linotype" w:cs="Tahoma"/>
          <w:iCs/>
          <w:sz w:val="22"/>
          <w:szCs w:val="22"/>
          <w:lang w:eastAsia="es-ES_tradnl"/>
        </w:rPr>
        <w:t>La divulgación de la información representa un riesgo real, demostrable e identificable de perjuicio significativo al interés público o a la seguridad nacional.</w:t>
      </w:r>
    </w:p>
    <w:p w14:paraId="146042BD" w14:textId="77777777" w:rsidR="00447D74" w:rsidRPr="002D4542" w:rsidRDefault="00447D74" w:rsidP="00447D74">
      <w:pPr>
        <w:numPr>
          <w:ilvl w:val="0"/>
          <w:numId w:val="35"/>
        </w:numPr>
        <w:tabs>
          <w:tab w:val="left" w:pos="4962"/>
        </w:tabs>
        <w:spacing w:line="360" w:lineRule="auto"/>
        <w:jc w:val="both"/>
        <w:rPr>
          <w:rFonts w:ascii="Palatino Linotype" w:eastAsia="Calibri" w:hAnsi="Palatino Linotype" w:cs="Tahoma"/>
          <w:iCs/>
          <w:sz w:val="22"/>
          <w:szCs w:val="22"/>
          <w:lang w:eastAsia="es-ES_tradnl"/>
        </w:rPr>
      </w:pPr>
      <w:r w:rsidRPr="002D4542">
        <w:rPr>
          <w:rFonts w:ascii="Palatino Linotype" w:eastAsia="Calibri" w:hAnsi="Palatino Linotype" w:cs="Tahoma"/>
          <w:iCs/>
          <w:sz w:val="22"/>
          <w:szCs w:val="22"/>
          <w:lang w:eastAsia="es-ES_tradnl"/>
        </w:rPr>
        <w:t>El riesgo de perjuicio supera el interés público general de que se difunda.</w:t>
      </w:r>
    </w:p>
    <w:p w14:paraId="4BED13D7" w14:textId="77777777" w:rsidR="00447D74" w:rsidRPr="002D4542" w:rsidRDefault="00447D74" w:rsidP="00447D74">
      <w:pPr>
        <w:numPr>
          <w:ilvl w:val="0"/>
          <w:numId w:val="35"/>
        </w:numPr>
        <w:tabs>
          <w:tab w:val="left" w:pos="4962"/>
        </w:tabs>
        <w:spacing w:line="360" w:lineRule="auto"/>
        <w:jc w:val="both"/>
        <w:rPr>
          <w:rFonts w:ascii="Palatino Linotype" w:eastAsia="Calibri" w:hAnsi="Palatino Linotype" w:cs="Tahoma"/>
          <w:iCs/>
          <w:sz w:val="22"/>
          <w:szCs w:val="22"/>
          <w:lang w:eastAsia="es-ES_tradnl"/>
        </w:rPr>
      </w:pPr>
      <w:r w:rsidRPr="002D4542">
        <w:rPr>
          <w:rFonts w:ascii="Palatino Linotype" w:eastAsia="Calibri" w:hAnsi="Palatino Linotype" w:cs="Tahoma"/>
          <w:iCs/>
          <w:sz w:val="22"/>
          <w:szCs w:val="22"/>
          <w:lang w:eastAsia="es-ES_tradnl"/>
        </w:rPr>
        <w:t>Que la limitación se adecua al principio de proporcionalidad y representa el medio menos restrictivo disponible para evitar el perjuicio.</w:t>
      </w:r>
    </w:p>
    <w:p w14:paraId="611F0E5F" w14:textId="77777777" w:rsidR="00447D74" w:rsidRPr="002D4542" w:rsidRDefault="00447D74" w:rsidP="00447D74">
      <w:pPr>
        <w:spacing w:line="360" w:lineRule="auto"/>
        <w:jc w:val="both"/>
        <w:rPr>
          <w:rFonts w:ascii="Palatino Linotype" w:eastAsia="Calibri" w:hAnsi="Palatino Linotype" w:cs="Tahoma"/>
          <w:iCs/>
          <w:sz w:val="22"/>
          <w:szCs w:val="22"/>
          <w:lang w:eastAsia="es-ES_tradnl"/>
        </w:rPr>
      </w:pPr>
    </w:p>
    <w:p w14:paraId="7F774898" w14:textId="77777777" w:rsidR="00447D74" w:rsidRPr="002D4542" w:rsidRDefault="00447D74" w:rsidP="00447D74">
      <w:pPr>
        <w:spacing w:line="360" w:lineRule="auto"/>
        <w:jc w:val="both"/>
        <w:rPr>
          <w:rFonts w:ascii="Palatino Linotype" w:eastAsia="Calibri" w:hAnsi="Palatino Linotype" w:cs="Tahoma"/>
          <w:b/>
          <w:iCs/>
          <w:sz w:val="22"/>
          <w:szCs w:val="22"/>
          <w:lang w:val="es-ES" w:eastAsia="es-ES_tradnl"/>
        </w:rPr>
      </w:pPr>
      <w:r w:rsidRPr="002D4542">
        <w:rPr>
          <w:rFonts w:ascii="Palatino Linotype" w:eastAsia="Calibri" w:hAnsi="Palatino Linotype" w:cs="Tahoma"/>
          <w:bCs/>
          <w:sz w:val="22"/>
          <w:szCs w:val="22"/>
          <w:lang w:eastAsia="en-US"/>
        </w:rPr>
        <w:t xml:space="preserve">Por tales consideraciones, </w:t>
      </w:r>
      <w:r w:rsidRPr="002D4542">
        <w:rPr>
          <w:rFonts w:ascii="Palatino Linotype" w:eastAsia="Calibri" w:hAnsi="Palatino Linotype" w:cs="Tahoma"/>
          <w:b/>
          <w:bCs/>
          <w:sz w:val="22"/>
          <w:szCs w:val="22"/>
          <w:lang w:eastAsia="en-US"/>
        </w:rPr>
        <w:t xml:space="preserve">resulta procedente la reserva del nombre de los elementos operativos de la Dirección de Seguridad Ciudadana, en términos del artículo 140, fracción </w:t>
      </w:r>
      <w:r w:rsidRPr="002D4542">
        <w:rPr>
          <w:rFonts w:ascii="Palatino Linotype" w:eastAsia="Calibri" w:hAnsi="Palatino Linotype" w:cs="Tahoma"/>
          <w:b/>
          <w:bCs/>
          <w:sz w:val="22"/>
          <w:szCs w:val="22"/>
          <w:lang w:eastAsia="en-US"/>
        </w:rPr>
        <w:lastRenderedPageBreak/>
        <w:t xml:space="preserve">IV, de </w:t>
      </w:r>
      <w:r w:rsidRPr="002D4542">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1E28F99D" w14:textId="77777777" w:rsidR="00447D74" w:rsidRPr="002D4542" w:rsidRDefault="00447D74" w:rsidP="00447D74">
      <w:pPr>
        <w:spacing w:line="360" w:lineRule="auto"/>
        <w:jc w:val="both"/>
        <w:rPr>
          <w:rFonts w:ascii="Palatino Linotype" w:eastAsia="Calibri" w:hAnsi="Palatino Linotype" w:cs="Tahoma"/>
          <w:b/>
          <w:iCs/>
          <w:sz w:val="22"/>
          <w:szCs w:val="22"/>
          <w:lang w:val="es-ES" w:eastAsia="es-ES_tradnl"/>
        </w:rPr>
      </w:pPr>
    </w:p>
    <w:p w14:paraId="24FCC265" w14:textId="77777777" w:rsidR="00447D74" w:rsidRPr="002D4542" w:rsidRDefault="00447D74" w:rsidP="00447D74">
      <w:pPr>
        <w:autoSpaceDE w:val="0"/>
        <w:autoSpaceDN w:val="0"/>
        <w:spacing w:line="360" w:lineRule="auto"/>
        <w:jc w:val="both"/>
        <w:rPr>
          <w:rFonts w:ascii="Palatino Linotype" w:hAnsi="Palatino Linotype" w:cs="Tahoma"/>
          <w:bCs/>
          <w:sz w:val="22"/>
          <w:szCs w:val="22"/>
        </w:rPr>
      </w:pPr>
      <w:r w:rsidRPr="002D4542">
        <w:rPr>
          <w:rFonts w:ascii="Palatino Linotype" w:eastAsia="Calibri" w:hAnsi="Palatino Linotype" w:cs="Tahoma"/>
          <w:iCs/>
          <w:sz w:val="22"/>
          <w:szCs w:val="22"/>
          <w:lang w:val="es-ES" w:eastAsia="es-ES_tradnl"/>
        </w:rPr>
        <w:t>Finalmente,</w:t>
      </w:r>
      <w:r w:rsidRPr="002D4542">
        <w:rPr>
          <w:rFonts w:ascii="Palatino Linotype" w:eastAsia="Calibri" w:hAnsi="Palatino Linotype" w:cs="Tahoma"/>
          <w:b/>
          <w:iCs/>
          <w:sz w:val="22"/>
          <w:szCs w:val="22"/>
          <w:lang w:val="es-ES" w:eastAsia="es-ES_tradnl"/>
        </w:rPr>
        <w:t xml:space="preserve"> </w:t>
      </w:r>
      <w:r w:rsidRPr="002D4542">
        <w:rPr>
          <w:rFonts w:ascii="Palatino Linotype" w:eastAsia="Calibri" w:hAnsi="Palatino Linotype" w:cs="Tahoma"/>
          <w:bCs/>
          <w:sz w:val="22"/>
          <w:szCs w:val="22"/>
          <w:lang w:eastAsia="en-US"/>
        </w:rPr>
        <w:t xml:space="preserve">respecto al plazo de reserva, el artículo 125 de la Ley de la materia, establece </w:t>
      </w:r>
      <w:r w:rsidRPr="002D4542">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2D4542">
        <w:rPr>
          <w:rFonts w:ascii="Palatino Linotype" w:hAnsi="Palatino Linotype" w:cs="Tahoma"/>
          <w:sz w:val="22"/>
          <w:szCs w:val="22"/>
        </w:rPr>
        <w:t>versiones públicas, deberá clasificar el nombre de los elementos operativos en materia de seguridad, y proporcionar sus remuneraciones, junto con su respectivo acuerdo de Clasificación.</w:t>
      </w:r>
    </w:p>
    <w:p w14:paraId="0FBA65AD" w14:textId="77777777" w:rsidR="00D91F0F" w:rsidRDefault="00D91F0F" w:rsidP="00104DEF">
      <w:pPr>
        <w:spacing w:line="360" w:lineRule="auto"/>
        <w:ind w:right="-93"/>
        <w:jc w:val="both"/>
        <w:rPr>
          <w:rFonts w:ascii="Palatino Linotype" w:eastAsia="Calibri" w:hAnsi="Palatino Linotype" w:cs="Tahoma"/>
          <w:bCs/>
          <w:iCs/>
          <w:sz w:val="22"/>
          <w:szCs w:val="22"/>
          <w:lang w:eastAsia="en-US"/>
        </w:rPr>
      </w:pPr>
    </w:p>
    <w:p w14:paraId="7CDB4E2C" w14:textId="77777777" w:rsidR="00803E3D" w:rsidRPr="00501E1B" w:rsidRDefault="00803E3D" w:rsidP="00501E1B">
      <w:pPr>
        <w:pStyle w:val="Ttulo2"/>
        <w:rPr>
          <w:rFonts w:ascii="Palatino Linotype" w:hAnsi="Palatino Linotype"/>
          <w:b/>
          <w:color w:val="auto"/>
          <w:sz w:val="22"/>
          <w:szCs w:val="22"/>
        </w:rPr>
      </w:pPr>
      <w:bookmarkStart w:id="20" w:name="_Toc205477937"/>
      <w:r w:rsidRPr="00501E1B">
        <w:rPr>
          <w:rFonts w:ascii="Palatino Linotype" w:hAnsi="Palatino Linotype"/>
          <w:b/>
          <w:color w:val="auto"/>
          <w:sz w:val="22"/>
          <w:szCs w:val="22"/>
        </w:rPr>
        <w:t>SEXTO. Decisión</w:t>
      </w:r>
      <w:bookmarkEnd w:id="20"/>
    </w:p>
    <w:p w14:paraId="0452F443" w14:textId="77777777" w:rsidR="00803E3D" w:rsidRPr="00D31FC5" w:rsidRDefault="00803E3D" w:rsidP="00FF426B">
      <w:pPr>
        <w:spacing w:line="360" w:lineRule="auto"/>
        <w:ind w:right="-93"/>
        <w:jc w:val="both"/>
        <w:rPr>
          <w:rFonts w:ascii="Palatino Linotype" w:hAnsi="Palatino Linotype" w:cs="Tahoma"/>
          <w:b/>
          <w:sz w:val="22"/>
          <w:szCs w:val="22"/>
        </w:rPr>
      </w:pPr>
    </w:p>
    <w:p w14:paraId="7D714EA1" w14:textId="77777777" w:rsidR="00803E3D" w:rsidRPr="00D31FC5" w:rsidRDefault="00803E3D" w:rsidP="00FF426B">
      <w:pPr>
        <w:spacing w:line="360" w:lineRule="auto"/>
        <w:ind w:right="-93"/>
        <w:jc w:val="both"/>
        <w:rPr>
          <w:rFonts w:ascii="Palatino Linotype" w:hAnsi="Palatino Linotype" w:cs="Tahoma"/>
          <w:sz w:val="22"/>
          <w:szCs w:val="22"/>
        </w:rPr>
      </w:pPr>
      <w:r w:rsidRPr="00D31FC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70E0F">
        <w:rPr>
          <w:rFonts w:ascii="Palatino Linotype" w:hAnsi="Palatino Linotype" w:cs="Tahoma"/>
          <w:b/>
          <w:sz w:val="22"/>
          <w:szCs w:val="22"/>
        </w:rPr>
        <w:t>MODIFICAR</w:t>
      </w:r>
      <w:r w:rsidR="006059A8">
        <w:rPr>
          <w:rFonts w:ascii="Palatino Linotype" w:hAnsi="Palatino Linotype" w:cs="Tahoma"/>
          <w:b/>
          <w:sz w:val="22"/>
          <w:szCs w:val="22"/>
        </w:rPr>
        <w:t xml:space="preserve"> </w:t>
      </w:r>
      <w:r w:rsidRPr="00D31FC5">
        <w:rPr>
          <w:rFonts w:ascii="Palatino Linotype" w:hAnsi="Palatino Linotype" w:cs="Tahoma"/>
          <w:sz w:val="22"/>
          <w:szCs w:val="22"/>
        </w:rPr>
        <w:t xml:space="preserve">la respuesta otorgada por el Sujeto Obligado a la solicitud de información </w:t>
      </w:r>
      <w:r w:rsidR="00447D74" w:rsidRPr="00447D74">
        <w:rPr>
          <w:rFonts w:ascii="Palatino Linotype" w:hAnsi="Palatino Linotype" w:cs="Tahoma"/>
          <w:b/>
          <w:bCs/>
          <w:sz w:val="22"/>
          <w:szCs w:val="22"/>
        </w:rPr>
        <w:t>00006/LUVIANOS/IP/2025</w:t>
      </w:r>
      <w:r w:rsidRPr="00D31FC5">
        <w:rPr>
          <w:rFonts w:ascii="Palatino Linotype" w:hAnsi="Palatino Linotype" w:cs="Tahoma"/>
          <w:sz w:val="22"/>
          <w:szCs w:val="22"/>
        </w:rPr>
        <w:t xml:space="preserve">, por resultar </w:t>
      </w:r>
      <w:r w:rsidR="00447D74">
        <w:rPr>
          <w:rFonts w:ascii="Palatino Linotype" w:hAnsi="Palatino Linotype" w:cs="Tahoma"/>
          <w:sz w:val="22"/>
          <w:szCs w:val="22"/>
        </w:rPr>
        <w:t xml:space="preserve">parcialmente </w:t>
      </w:r>
      <w:r w:rsidRPr="00D31FC5">
        <w:rPr>
          <w:rFonts w:ascii="Palatino Linotype" w:hAnsi="Palatino Linotype" w:cs="Tahoma"/>
          <w:sz w:val="22"/>
          <w:szCs w:val="22"/>
        </w:rPr>
        <w:t xml:space="preserve">fundadas las razones o motivos de inconformidad hechos valer por el Recurrente, en el Recurso de Revisión </w:t>
      </w:r>
      <w:r w:rsidR="0005755C">
        <w:rPr>
          <w:rFonts w:ascii="Palatino Linotype" w:hAnsi="Palatino Linotype" w:cs="Tahoma"/>
          <w:b/>
          <w:sz w:val="22"/>
          <w:szCs w:val="22"/>
        </w:rPr>
        <w:t>01</w:t>
      </w:r>
      <w:r w:rsidR="00447D74">
        <w:rPr>
          <w:rFonts w:ascii="Palatino Linotype" w:hAnsi="Palatino Linotype" w:cs="Tahoma"/>
          <w:b/>
          <w:sz w:val="22"/>
          <w:szCs w:val="22"/>
        </w:rPr>
        <w:t>53</w:t>
      </w:r>
      <w:r w:rsidR="0005755C">
        <w:rPr>
          <w:rFonts w:ascii="Palatino Linotype" w:hAnsi="Palatino Linotype" w:cs="Tahoma"/>
          <w:b/>
          <w:sz w:val="22"/>
          <w:szCs w:val="22"/>
        </w:rPr>
        <w:t>1</w:t>
      </w:r>
      <w:r w:rsidRPr="00D31FC5">
        <w:rPr>
          <w:rFonts w:ascii="Palatino Linotype" w:hAnsi="Palatino Linotype" w:cs="Tahoma"/>
          <w:b/>
          <w:sz w:val="22"/>
          <w:szCs w:val="22"/>
        </w:rPr>
        <w:t>/INFOEM/IP/RR/202</w:t>
      </w:r>
      <w:r w:rsidR="00E37AF5">
        <w:rPr>
          <w:rFonts w:ascii="Palatino Linotype" w:hAnsi="Palatino Linotype" w:cs="Tahoma"/>
          <w:b/>
          <w:sz w:val="22"/>
          <w:szCs w:val="22"/>
        </w:rPr>
        <w:t>5</w:t>
      </w:r>
      <w:r w:rsidRPr="00D31FC5">
        <w:rPr>
          <w:rFonts w:ascii="Palatino Linotype" w:hAnsi="Palatino Linotype" w:cs="Tahoma"/>
          <w:sz w:val="22"/>
          <w:szCs w:val="22"/>
        </w:rPr>
        <w:t xml:space="preserve">, en consecuencia procede </w:t>
      </w:r>
      <w:r w:rsidRPr="00D31FC5">
        <w:rPr>
          <w:rFonts w:ascii="Palatino Linotype" w:hAnsi="Palatino Linotype" w:cs="Tahoma"/>
          <w:b/>
          <w:sz w:val="22"/>
          <w:szCs w:val="22"/>
        </w:rPr>
        <w:t>ORDENAR</w:t>
      </w:r>
      <w:r w:rsidRPr="00D31FC5">
        <w:rPr>
          <w:rFonts w:ascii="Palatino Linotype" w:hAnsi="Palatino Linotype" w:cs="Tahoma"/>
          <w:sz w:val="22"/>
          <w:szCs w:val="22"/>
        </w:rPr>
        <w:t xml:space="preserve">, </w:t>
      </w:r>
      <w:r w:rsidR="002B6CF8">
        <w:rPr>
          <w:rFonts w:ascii="Palatino Linotype" w:hAnsi="Palatino Linotype" w:cs="Tahoma"/>
          <w:sz w:val="22"/>
          <w:szCs w:val="22"/>
        </w:rPr>
        <w:t>la entrega de la información solicitada.</w:t>
      </w:r>
    </w:p>
    <w:p w14:paraId="7EE281B4" w14:textId="77777777" w:rsidR="00803E3D" w:rsidRPr="00D31FC5" w:rsidRDefault="00803E3D" w:rsidP="00FF426B">
      <w:pPr>
        <w:spacing w:line="360" w:lineRule="auto"/>
        <w:ind w:right="-93"/>
        <w:jc w:val="both"/>
        <w:rPr>
          <w:rFonts w:ascii="Palatino Linotype" w:eastAsia="Palatino Linotype" w:hAnsi="Palatino Linotype" w:cs="Palatino Linotype"/>
          <w:sz w:val="22"/>
          <w:szCs w:val="22"/>
        </w:rPr>
      </w:pPr>
    </w:p>
    <w:p w14:paraId="5296C31C" w14:textId="77777777" w:rsidR="00803E3D" w:rsidRPr="00D31FC5" w:rsidRDefault="00803E3D" w:rsidP="00FF426B">
      <w:pPr>
        <w:spacing w:line="360" w:lineRule="auto"/>
        <w:contextualSpacing/>
        <w:jc w:val="both"/>
        <w:rPr>
          <w:rFonts w:ascii="Palatino Linotype" w:eastAsia="Calibri" w:hAnsi="Palatino Linotype" w:cs="Tahoma"/>
          <w:b/>
          <w:bCs/>
          <w:iCs/>
          <w:sz w:val="22"/>
          <w:szCs w:val="22"/>
          <w:lang w:val="es-ES" w:eastAsia="es-ES_tradnl"/>
        </w:rPr>
      </w:pPr>
      <w:r w:rsidRPr="00D31FC5">
        <w:rPr>
          <w:rFonts w:ascii="Palatino Linotype" w:eastAsia="Calibri" w:hAnsi="Palatino Linotype" w:cs="Tahoma"/>
          <w:b/>
          <w:bCs/>
          <w:iCs/>
          <w:sz w:val="22"/>
          <w:szCs w:val="22"/>
          <w:lang w:val="es-ES" w:eastAsia="es-ES_tradnl"/>
        </w:rPr>
        <w:t>Términos de la Resolución para el Recurrente</w:t>
      </w:r>
    </w:p>
    <w:p w14:paraId="7CC7F896" w14:textId="77777777" w:rsidR="00803E3D" w:rsidRPr="00D31FC5" w:rsidRDefault="00803E3D" w:rsidP="00FF426B">
      <w:pPr>
        <w:spacing w:line="360" w:lineRule="auto"/>
        <w:jc w:val="both"/>
        <w:rPr>
          <w:rFonts w:ascii="Palatino Linotype" w:eastAsia="Calibri" w:hAnsi="Palatino Linotype" w:cs="Tahoma"/>
          <w:iCs/>
          <w:sz w:val="22"/>
          <w:szCs w:val="22"/>
          <w:lang w:eastAsia="es-ES_tradnl"/>
        </w:rPr>
      </w:pPr>
    </w:p>
    <w:p w14:paraId="1E989685" w14:textId="77777777" w:rsidR="00C01727" w:rsidRDefault="00803E3D" w:rsidP="00FF426B">
      <w:pPr>
        <w:spacing w:line="360" w:lineRule="auto"/>
        <w:jc w:val="both"/>
        <w:rPr>
          <w:rFonts w:ascii="Palatino Linotype" w:hAnsi="Palatino Linotype" w:cs="Tahoma"/>
          <w:bCs/>
          <w:sz w:val="22"/>
          <w:szCs w:val="22"/>
          <w:u w:val="single"/>
        </w:rPr>
      </w:pPr>
      <w:r w:rsidRPr="00D31FC5">
        <w:rPr>
          <w:rFonts w:ascii="Palatino Linotype" w:hAnsi="Palatino Linotype" w:cs="Tahoma"/>
          <w:bCs/>
          <w:sz w:val="22"/>
          <w:szCs w:val="22"/>
          <w:u w:val="single"/>
        </w:rPr>
        <w:t xml:space="preserve">Este Instituto, determinó </w:t>
      </w:r>
      <w:r w:rsidR="00E70E0F">
        <w:rPr>
          <w:rFonts w:ascii="Palatino Linotype" w:hAnsi="Palatino Linotype" w:cs="Tahoma"/>
          <w:bCs/>
          <w:sz w:val="22"/>
          <w:szCs w:val="22"/>
          <w:u w:val="single"/>
        </w:rPr>
        <w:t>modificar</w:t>
      </w:r>
      <w:r w:rsidR="00E37AF5">
        <w:rPr>
          <w:rFonts w:ascii="Palatino Linotype" w:hAnsi="Palatino Linotype" w:cs="Tahoma"/>
          <w:bCs/>
          <w:sz w:val="22"/>
          <w:szCs w:val="22"/>
          <w:u w:val="single"/>
        </w:rPr>
        <w:t xml:space="preserve"> </w:t>
      </w:r>
      <w:r w:rsidRPr="00D31FC5">
        <w:rPr>
          <w:rFonts w:ascii="Palatino Linotype" w:hAnsi="Palatino Linotype" w:cs="Tahoma"/>
          <w:bCs/>
          <w:sz w:val="22"/>
          <w:szCs w:val="22"/>
          <w:u w:val="single"/>
        </w:rPr>
        <w:t>la respuesta que le entregó el Sujeto Obligado a su solicitud de acceso, toda vez que</w:t>
      </w:r>
      <w:r w:rsidR="00837A48" w:rsidRPr="00D31FC5">
        <w:rPr>
          <w:rFonts w:ascii="Palatino Linotype" w:hAnsi="Palatino Linotype" w:cs="Tahoma"/>
          <w:bCs/>
          <w:sz w:val="22"/>
          <w:szCs w:val="22"/>
          <w:u w:val="single"/>
        </w:rPr>
        <w:t xml:space="preserve"> </w:t>
      </w:r>
      <w:r w:rsidR="00593980" w:rsidRPr="00D31FC5">
        <w:rPr>
          <w:rFonts w:ascii="Palatino Linotype" w:hAnsi="Palatino Linotype" w:cs="Tahoma"/>
          <w:bCs/>
          <w:sz w:val="22"/>
          <w:szCs w:val="22"/>
          <w:u w:val="single"/>
        </w:rPr>
        <w:t>debe</w:t>
      </w:r>
      <w:r w:rsidR="00FE663A" w:rsidRPr="00D31FC5">
        <w:rPr>
          <w:rFonts w:ascii="Palatino Linotype" w:hAnsi="Palatino Linotype" w:cs="Tahoma"/>
          <w:bCs/>
          <w:sz w:val="22"/>
          <w:szCs w:val="22"/>
          <w:u w:val="single"/>
        </w:rPr>
        <w:t xml:space="preserve"> </w:t>
      </w:r>
      <w:r w:rsidR="002B6CF8">
        <w:rPr>
          <w:rFonts w:ascii="Palatino Linotype" w:hAnsi="Palatino Linotype" w:cs="Tahoma"/>
          <w:bCs/>
          <w:sz w:val="22"/>
          <w:szCs w:val="22"/>
          <w:u w:val="single"/>
        </w:rPr>
        <w:t>entregar la información que es pública</w:t>
      </w:r>
      <w:r w:rsidR="00D74913">
        <w:rPr>
          <w:rFonts w:ascii="Palatino Linotype" w:hAnsi="Palatino Linotype" w:cs="Tahoma"/>
          <w:bCs/>
          <w:sz w:val="22"/>
          <w:szCs w:val="22"/>
          <w:u w:val="single"/>
        </w:rPr>
        <w:t>.</w:t>
      </w:r>
    </w:p>
    <w:p w14:paraId="5ED321E3" w14:textId="77777777" w:rsidR="00876309" w:rsidRPr="00D31FC5" w:rsidRDefault="00876309" w:rsidP="00FF426B">
      <w:pPr>
        <w:spacing w:line="360" w:lineRule="auto"/>
        <w:jc w:val="both"/>
        <w:rPr>
          <w:rFonts w:ascii="Palatino Linotype" w:hAnsi="Palatino Linotype" w:cs="Tahoma"/>
          <w:bCs/>
          <w:sz w:val="22"/>
          <w:szCs w:val="22"/>
          <w:u w:val="single"/>
        </w:rPr>
      </w:pPr>
    </w:p>
    <w:p w14:paraId="64C7FCCB" w14:textId="77777777" w:rsidR="00803E3D" w:rsidRPr="00D31FC5" w:rsidRDefault="00803E3D" w:rsidP="00FF426B">
      <w:pPr>
        <w:spacing w:line="360" w:lineRule="auto"/>
        <w:ind w:right="-93"/>
        <w:jc w:val="both"/>
        <w:rPr>
          <w:rFonts w:ascii="Palatino Linotype" w:hAnsi="Palatino Linotype" w:cs="Tahoma"/>
          <w:bCs/>
          <w:sz w:val="22"/>
          <w:szCs w:val="22"/>
          <w:u w:val="single"/>
        </w:rPr>
      </w:pPr>
      <w:r w:rsidRPr="00D31FC5">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739F732" w14:textId="77777777" w:rsidR="00E03E54" w:rsidRDefault="00E03E54" w:rsidP="00916270">
      <w:pPr>
        <w:spacing w:line="360" w:lineRule="auto"/>
        <w:ind w:right="-91"/>
        <w:jc w:val="center"/>
        <w:rPr>
          <w:rFonts w:ascii="Palatino Linotype" w:eastAsia="Calibri" w:hAnsi="Palatino Linotype" w:cs="Tahoma"/>
          <w:b/>
          <w:bCs/>
          <w:sz w:val="22"/>
          <w:szCs w:val="22"/>
          <w:lang w:eastAsia="en-US"/>
        </w:rPr>
      </w:pPr>
    </w:p>
    <w:p w14:paraId="35CD383E" w14:textId="77777777" w:rsidR="00803E3D" w:rsidRPr="00342378" w:rsidRDefault="00803E3D" w:rsidP="00342378">
      <w:pPr>
        <w:pStyle w:val="Ttulo1"/>
        <w:jc w:val="center"/>
        <w:rPr>
          <w:rFonts w:ascii="Palatino Linotype" w:eastAsia="Calibri" w:hAnsi="Palatino Linotype"/>
          <w:b/>
          <w:color w:val="auto"/>
          <w:sz w:val="22"/>
          <w:szCs w:val="22"/>
          <w:lang w:eastAsia="en-US"/>
        </w:rPr>
      </w:pPr>
      <w:bookmarkStart w:id="21" w:name="_Toc205477938"/>
      <w:r w:rsidRPr="00342378">
        <w:rPr>
          <w:rFonts w:ascii="Palatino Linotype" w:eastAsia="Calibri" w:hAnsi="Palatino Linotype"/>
          <w:b/>
          <w:color w:val="auto"/>
          <w:sz w:val="22"/>
          <w:szCs w:val="22"/>
          <w:lang w:eastAsia="en-US"/>
        </w:rPr>
        <w:t>R E S U E L V E</w:t>
      </w:r>
      <w:bookmarkEnd w:id="21"/>
    </w:p>
    <w:p w14:paraId="1CF37EC3" w14:textId="77777777" w:rsidR="00803E3D" w:rsidRPr="00D31FC5" w:rsidRDefault="00803E3D" w:rsidP="00FF426B">
      <w:pPr>
        <w:spacing w:line="360" w:lineRule="auto"/>
        <w:jc w:val="both"/>
        <w:rPr>
          <w:rFonts w:ascii="Palatino Linotype" w:hAnsi="Palatino Linotype" w:cs="Tahoma"/>
          <w:b/>
          <w:bCs/>
          <w:sz w:val="22"/>
          <w:szCs w:val="22"/>
        </w:rPr>
      </w:pPr>
    </w:p>
    <w:p w14:paraId="4452C952" w14:textId="77777777" w:rsidR="00803E3D" w:rsidRPr="00D31FC5" w:rsidRDefault="00803E3D" w:rsidP="00FF426B">
      <w:pPr>
        <w:spacing w:line="360" w:lineRule="auto"/>
        <w:contextualSpacing/>
        <w:jc w:val="both"/>
        <w:rPr>
          <w:rFonts w:ascii="Palatino Linotype" w:eastAsia="Calibri" w:hAnsi="Palatino Linotype" w:cs="Tahoma"/>
          <w:bCs/>
          <w:sz w:val="22"/>
          <w:szCs w:val="22"/>
          <w:lang w:eastAsia="en-US"/>
        </w:rPr>
      </w:pPr>
      <w:r w:rsidRPr="00D31FC5">
        <w:rPr>
          <w:rFonts w:ascii="Palatino Linotype" w:hAnsi="Palatino Linotype" w:cs="Tahoma"/>
          <w:b/>
          <w:bCs/>
          <w:sz w:val="22"/>
          <w:szCs w:val="22"/>
        </w:rPr>
        <w:t xml:space="preserve">PRIMERO. </w:t>
      </w:r>
      <w:r w:rsidRPr="00D31FC5">
        <w:rPr>
          <w:rFonts w:ascii="Palatino Linotype" w:hAnsi="Palatino Linotype" w:cs="Tahoma"/>
          <w:bCs/>
          <w:sz w:val="22"/>
          <w:szCs w:val="22"/>
        </w:rPr>
        <w:t xml:space="preserve">Se </w:t>
      </w:r>
      <w:r w:rsidR="00E70E0F">
        <w:rPr>
          <w:rFonts w:ascii="Palatino Linotype" w:hAnsi="Palatino Linotype" w:cs="Tahoma"/>
          <w:b/>
          <w:bCs/>
          <w:sz w:val="22"/>
          <w:szCs w:val="22"/>
        </w:rPr>
        <w:t>MODIFICA</w:t>
      </w:r>
      <w:r w:rsidRPr="00D31FC5">
        <w:rPr>
          <w:rFonts w:ascii="Palatino Linotype" w:hAnsi="Palatino Linotype" w:cs="Tahoma"/>
          <w:bCs/>
          <w:sz w:val="22"/>
          <w:szCs w:val="22"/>
        </w:rPr>
        <w:t xml:space="preserve"> la respuesta entregada por </w:t>
      </w:r>
      <w:r w:rsidR="006059A8">
        <w:rPr>
          <w:rFonts w:ascii="Palatino Linotype" w:hAnsi="Palatino Linotype" w:cs="Tahoma"/>
          <w:bCs/>
          <w:sz w:val="22"/>
          <w:szCs w:val="22"/>
        </w:rPr>
        <w:t>e</w:t>
      </w:r>
      <w:r w:rsidRPr="00D31FC5">
        <w:rPr>
          <w:rFonts w:ascii="Palatino Linotype" w:hAnsi="Palatino Linotype" w:cs="Tahoma"/>
          <w:bCs/>
          <w:sz w:val="22"/>
          <w:szCs w:val="22"/>
        </w:rPr>
        <w:t xml:space="preserve">l </w:t>
      </w:r>
      <w:r w:rsidR="00B645B8">
        <w:rPr>
          <w:rFonts w:ascii="Palatino Linotype" w:hAnsi="Palatino Linotype" w:cs="Tahoma"/>
          <w:b/>
          <w:bCs/>
          <w:sz w:val="22"/>
          <w:szCs w:val="22"/>
        </w:rPr>
        <w:t>Ayuntamiento de Luvianos</w:t>
      </w:r>
      <w:r w:rsidR="00716C32" w:rsidRPr="00D31FC5">
        <w:rPr>
          <w:rFonts w:ascii="Palatino Linotype" w:hAnsi="Palatino Linotype" w:cs="Tahoma"/>
          <w:b/>
          <w:bCs/>
          <w:sz w:val="22"/>
          <w:szCs w:val="22"/>
        </w:rPr>
        <w:t xml:space="preserve"> </w:t>
      </w:r>
      <w:r w:rsidRPr="00D31FC5">
        <w:rPr>
          <w:rFonts w:ascii="Palatino Linotype" w:eastAsia="Calibri" w:hAnsi="Palatino Linotype" w:cs="Tahoma"/>
          <w:bCs/>
          <w:sz w:val="22"/>
          <w:szCs w:val="22"/>
          <w:lang w:eastAsia="en-US"/>
        </w:rPr>
        <w:t>a</w:t>
      </w:r>
      <w:r w:rsidRPr="00D31FC5">
        <w:rPr>
          <w:rFonts w:ascii="Palatino Linotype" w:hAnsi="Palatino Linotype" w:cs="Tahoma"/>
          <w:bCs/>
          <w:sz w:val="22"/>
          <w:szCs w:val="22"/>
        </w:rPr>
        <w:t xml:space="preserve"> la solicitud de información </w:t>
      </w:r>
      <w:r w:rsidR="002B6CF8" w:rsidRPr="002B6CF8">
        <w:rPr>
          <w:rFonts w:ascii="Palatino Linotype" w:hAnsi="Palatino Linotype"/>
          <w:b/>
          <w:bCs/>
          <w:sz w:val="22"/>
          <w:szCs w:val="22"/>
        </w:rPr>
        <w:t>00006/LUVIANOS/IP/2025</w:t>
      </w:r>
      <w:r w:rsidR="002B6CF8">
        <w:rPr>
          <w:rFonts w:ascii="Palatino Linotype" w:hAnsi="Palatino Linotype"/>
          <w:b/>
          <w:bCs/>
          <w:sz w:val="22"/>
          <w:szCs w:val="22"/>
        </w:rPr>
        <w:t xml:space="preserve"> </w:t>
      </w:r>
      <w:r w:rsidRPr="00D31FC5">
        <w:rPr>
          <w:rFonts w:ascii="Palatino Linotype" w:hAnsi="Palatino Linotype"/>
          <w:bCs/>
          <w:sz w:val="22"/>
          <w:szCs w:val="22"/>
        </w:rPr>
        <w:t>por resultar</w:t>
      </w:r>
      <w:r w:rsidR="00E70E0F">
        <w:rPr>
          <w:rFonts w:ascii="Palatino Linotype" w:hAnsi="Palatino Linotype"/>
          <w:bCs/>
          <w:sz w:val="22"/>
          <w:szCs w:val="22"/>
        </w:rPr>
        <w:t xml:space="preserve"> </w:t>
      </w:r>
      <w:r w:rsidR="002B6CF8">
        <w:rPr>
          <w:rFonts w:ascii="Palatino Linotype" w:hAnsi="Palatino Linotype"/>
          <w:bCs/>
          <w:sz w:val="22"/>
          <w:szCs w:val="22"/>
        </w:rPr>
        <w:t xml:space="preserve">parcialmente </w:t>
      </w:r>
      <w:r w:rsidRPr="00D31FC5">
        <w:rPr>
          <w:rFonts w:ascii="Palatino Linotype" w:hAnsi="Palatino Linotype"/>
          <w:sz w:val="22"/>
          <w:szCs w:val="22"/>
        </w:rPr>
        <w:t>fundadas</w:t>
      </w:r>
      <w:r w:rsidRPr="00D31FC5">
        <w:rPr>
          <w:rFonts w:ascii="Palatino Linotype" w:hAnsi="Palatino Linotype" w:cs="Tahoma"/>
          <w:bCs/>
          <w:sz w:val="22"/>
          <w:szCs w:val="22"/>
        </w:rPr>
        <w:t xml:space="preserve"> </w:t>
      </w:r>
      <w:r w:rsidRPr="00D31FC5">
        <w:rPr>
          <w:rFonts w:ascii="Palatino Linotype" w:eastAsia="Calibri" w:hAnsi="Palatino Linotype" w:cs="Tahoma"/>
          <w:bCs/>
          <w:sz w:val="22"/>
          <w:szCs w:val="22"/>
          <w:lang w:eastAsia="en-US"/>
        </w:rPr>
        <w:t xml:space="preserve">las razones o motivos de inconformidad hechos valer por el Recurrente en el Recurso de Revisión </w:t>
      </w:r>
      <w:r w:rsidR="0005755C">
        <w:rPr>
          <w:rFonts w:ascii="Palatino Linotype" w:hAnsi="Palatino Linotype" w:cs="Tahoma"/>
          <w:b/>
          <w:bCs/>
          <w:color w:val="0D0D0D" w:themeColor="text1" w:themeTint="F2"/>
          <w:sz w:val="22"/>
          <w:szCs w:val="22"/>
        </w:rPr>
        <w:t>01</w:t>
      </w:r>
      <w:r w:rsidR="002B6CF8">
        <w:rPr>
          <w:rFonts w:ascii="Palatino Linotype" w:hAnsi="Palatino Linotype" w:cs="Tahoma"/>
          <w:b/>
          <w:bCs/>
          <w:color w:val="0D0D0D" w:themeColor="text1" w:themeTint="F2"/>
          <w:sz w:val="22"/>
          <w:szCs w:val="22"/>
        </w:rPr>
        <w:t>53</w:t>
      </w:r>
      <w:r w:rsidR="0005755C">
        <w:rPr>
          <w:rFonts w:ascii="Palatino Linotype" w:hAnsi="Palatino Linotype" w:cs="Tahoma"/>
          <w:b/>
          <w:bCs/>
          <w:color w:val="0D0D0D" w:themeColor="text1" w:themeTint="F2"/>
          <w:sz w:val="22"/>
          <w:szCs w:val="22"/>
        </w:rPr>
        <w:t>1</w:t>
      </w:r>
      <w:r w:rsidRPr="00D31FC5">
        <w:rPr>
          <w:rFonts w:ascii="Palatino Linotype" w:hAnsi="Palatino Linotype" w:cs="Tahoma"/>
          <w:b/>
          <w:bCs/>
          <w:color w:val="0D0D0D" w:themeColor="text1" w:themeTint="F2"/>
          <w:sz w:val="22"/>
          <w:szCs w:val="22"/>
        </w:rPr>
        <w:t>/INFOEM/IP/RR/202</w:t>
      </w:r>
      <w:r w:rsidR="00FB2ACF">
        <w:rPr>
          <w:rFonts w:ascii="Palatino Linotype" w:hAnsi="Palatino Linotype" w:cs="Tahoma"/>
          <w:b/>
          <w:bCs/>
          <w:color w:val="0D0D0D" w:themeColor="text1" w:themeTint="F2"/>
          <w:sz w:val="22"/>
          <w:szCs w:val="22"/>
        </w:rPr>
        <w:t>5</w:t>
      </w:r>
      <w:r w:rsidRPr="00D31FC5">
        <w:rPr>
          <w:rFonts w:ascii="Palatino Linotype" w:eastAsia="Calibri" w:hAnsi="Palatino Linotype" w:cs="Tahoma"/>
          <w:bCs/>
          <w:sz w:val="22"/>
          <w:szCs w:val="22"/>
          <w:lang w:eastAsia="en-US"/>
        </w:rPr>
        <w:t>, en términos de los considerandos QUINTO y SEXTO de la presente Resolución.</w:t>
      </w:r>
    </w:p>
    <w:p w14:paraId="37021765" w14:textId="77777777" w:rsidR="00803E3D" w:rsidRPr="00D31FC5" w:rsidRDefault="00803E3D" w:rsidP="00FF426B">
      <w:pPr>
        <w:spacing w:line="360" w:lineRule="auto"/>
        <w:contextualSpacing/>
        <w:jc w:val="both"/>
        <w:rPr>
          <w:rFonts w:ascii="Palatino Linotype" w:hAnsi="Palatino Linotype" w:cs="Tahoma"/>
          <w:bCs/>
          <w:sz w:val="22"/>
          <w:szCs w:val="22"/>
        </w:rPr>
      </w:pPr>
    </w:p>
    <w:p w14:paraId="664857E7" w14:textId="40FAC1BC" w:rsidR="002B6CF8" w:rsidRDefault="00876309" w:rsidP="0005755C">
      <w:pPr>
        <w:spacing w:line="360" w:lineRule="auto"/>
        <w:ind w:right="-93"/>
        <w:jc w:val="both"/>
        <w:rPr>
          <w:rFonts w:ascii="Palatino Linotype" w:hAnsi="Palatino Linotype" w:cs="Arial"/>
          <w:sz w:val="22"/>
          <w:szCs w:val="22"/>
          <w:lang w:val="es-ES"/>
        </w:rPr>
      </w:pPr>
      <w:r w:rsidRPr="00F10314">
        <w:rPr>
          <w:rFonts w:ascii="Palatino Linotype" w:hAnsi="Palatino Linotype" w:cs="Tahoma"/>
          <w:b/>
          <w:bCs/>
          <w:sz w:val="22"/>
          <w:szCs w:val="22"/>
        </w:rPr>
        <w:t xml:space="preserve">SEGUNDO. </w:t>
      </w:r>
      <w:r w:rsidRPr="00F10314">
        <w:rPr>
          <w:rFonts w:ascii="Palatino Linotype" w:hAnsi="Palatino Linotype" w:cs="Tahoma"/>
          <w:sz w:val="22"/>
          <w:szCs w:val="22"/>
        </w:rPr>
        <w:t xml:space="preserve">Se </w:t>
      </w:r>
      <w:r w:rsidRPr="00F10314">
        <w:rPr>
          <w:rFonts w:ascii="Palatino Linotype" w:hAnsi="Palatino Linotype" w:cs="Tahoma"/>
          <w:b/>
          <w:sz w:val="22"/>
          <w:szCs w:val="22"/>
        </w:rPr>
        <w:t xml:space="preserve">ORDENA </w:t>
      </w:r>
      <w:r w:rsidRPr="00F10314">
        <w:rPr>
          <w:rFonts w:ascii="Palatino Linotype" w:hAnsi="Palatino Linotype" w:cs="Tahoma"/>
          <w:sz w:val="22"/>
          <w:szCs w:val="22"/>
        </w:rPr>
        <w:t xml:space="preserve">al </w:t>
      </w:r>
      <w:r w:rsidR="00B645B8">
        <w:rPr>
          <w:rFonts w:ascii="Palatino Linotype" w:eastAsia="Calibri" w:hAnsi="Palatino Linotype" w:cs="Tahoma"/>
          <w:b/>
          <w:bCs/>
          <w:sz w:val="22"/>
          <w:szCs w:val="22"/>
          <w:lang w:eastAsia="en-US"/>
        </w:rPr>
        <w:t>Ayuntamiento de Luvianos</w:t>
      </w:r>
      <w:r w:rsidRPr="00F10314">
        <w:rPr>
          <w:rFonts w:ascii="Palatino Linotype" w:hAnsi="Palatino Linotype" w:cs="Tahoma"/>
          <w:sz w:val="22"/>
          <w:szCs w:val="22"/>
        </w:rPr>
        <w:t>, a efecto de que, remita</w:t>
      </w:r>
      <w:r w:rsidRPr="00F10314">
        <w:rPr>
          <w:rFonts w:ascii="Palatino Linotype" w:hAnsi="Palatino Linotype" w:cs="Tahoma"/>
          <w:bCs/>
          <w:iCs/>
          <w:sz w:val="22"/>
          <w:szCs w:val="22"/>
          <w:lang w:val="es-ES_tradnl"/>
        </w:rPr>
        <w:t xml:space="preserve">, </w:t>
      </w:r>
      <w:r w:rsidRPr="00F10314">
        <w:rPr>
          <w:rFonts w:ascii="Palatino Linotype" w:hAnsi="Palatino Linotype" w:cs="Tahoma"/>
          <w:bCs/>
          <w:iCs/>
          <w:sz w:val="22"/>
          <w:szCs w:val="22"/>
        </w:rPr>
        <w:t xml:space="preserve">a través </w:t>
      </w:r>
      <w:r w:rsidRPr="00F10314">
        <w:rPr>
          <w:rFonts w:ascii="Palatino Linotype" w:hAnsi="Palatino Linotype" w:cs="Tahoma"/>
          <w:bCs/>
          <w:iCs/>
          <w:sz w:val="22"/>
          <w:szCs w:val="22"/>
          <w:lang w:val="es-ES_tradnl"/>
        </w:rPr>
        <w:t>del SAIMEX</w:t>
      </w:r>
      <w:r w:rsidRPr="00F10314">
        <w:rPr>
          <w:rFonts w:ascii="Palatino Linotype" w:hAnsi="Palatino Linotype" w:cs="Arial"/>
          <w:sz w:val="22"/>
          <w:szCs w:val="22"/>
          <w:lang w:val="es-ES"/>
        </w:rPr>
        <w:t>,</w:t>
      </w:r>
      <w:r w:rsidR="002B6CF8">
        <w:rPr>
          <w:rFonts w:ascii="Palatino Linotype" w:hAnsi="Palatino Linotype" w:cs="Arial"/>
          <w:sz w:val="22"/>
          <w:szCs w:val="22"/>
          <w:lang w:val="es-ES"/>
        </w:rPr>
        <w:t xml:space="preserve"> de ser procedente en versión pública</w:t>
      </w:r>
      <w:r w:rsidR="00E256D6">
        <w:rPr>
          <w:rFonts w:ascii="Palatino Linotype" w:hAnsi="Palatino Linotype" w:cs="Arial"/>
          <w:sz w:val="22"/>
          <w:szCs w:val="22"/>
          <w:lang w:val="es-ES"/>
        </w:rPr>
        <w:t>,</w:t>
      </w:r>
      <w:r w:rsidR="002B6CF8">
        <w:rPr>
          <w:rFonts w:ascii="Palatino Linotype" w:hAnsi="Palatino Linotype" w:cs="Arial"/>
          <w:sz w:val="22"/>
          <w:szCs w:val="22"/>
          <w:lang w:val="es-ES"/>
        </w:rPr>
        <w:t xml:space="preserve"> del mes de enero de dos mil veinticinco, los documentos en donde conste lo siguiente:</w:t>
      </w:r>
    </w:p>
    <w:p w14:paraId="00612D70" w14:textId="77777777" w:rsidR="002B6CF8" w:rsidRDefault="002B6CF8" w:rsidP="0005755C">
      <w:pPr>
        <w:spacing w:line="360" w:lineRule="auto"/>
        <w:ind w:right="-93"/>
        <w:jc w:val="both"/>
        <w:rPr>
          <w:rFonts w:ascii="Palatino Linotype" w:hAnsi="Palatino Linotype" w:cs="Arial"/>
          <w:sz w:val="22"/>
          <w:szCs w:val="22"/>
          <w:lang w:val="es-ES"/>
        </w:rPr>
      </w:pPr>
    </w:p>
    <w:p w14:paraId="2B18C01C" w14:textId="373A3600" w:rsidR="002B6CF8" w:rsidRPr="004F6A94" w:rsidRDefault="002B6CF8" w:rsidP="002B6CF8">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4F6A94">
        <w:rPr>
          <w:rFonts w:ascii="Palatino Linotype" w:eastAsia="Calibri" w:hAnsi="Palatino Linotype" w:cs="Tahoma"/>
          <w:iCs/>
          <w:szCs w:val="22"/>
          <w:lang w:val="es-ES" w:eastAsia="es-ES_tradnl"/>
        </w:rPr>
        <w:t>Recibos de nómina de todos los servidores públicos</w:t>
      </w:r>
      <w:r w:rsidR="00E256D6">
        <w:rPr>
          <w:rFonts w:ascii="Palatino Linotype" w:eastAsia="Calibri" w:hAnsi="Palatino Linotype" w:cs="Tahoma"/>
          <w:iCs/>
          <w:szCs w:val="22"/>
          <w:lang w:val="es-ES" w:eastAsia="es-ES_tradnl"/>
        </w:rPr>
        <w:t xml:space="preserve"> adscritos al Ayuntamiento</w:t>
      </w:r>
      <w:r w:rsidRPr="004F6A94">
        <w:rPr>
          <w:rFonts w:ascii="Palatino Linotype" w:eastAsia="Calibri" w:hAnsi="Palatino Linotype" w:cs="Tahoma"/>
          <w:iCs/>
          <w:szCs w:val="22"/>
          <w:lang w:val="es-ES" w:eastAsia="es-ES_tradnl"/>
        </w:rPr>
        <w:t xml:space="preserve">. </w:t>
      </w:r>
    </w:p>
    <w:p w14:paraId="6F8EC245" w14:textId="77777777" w:rsidR="002B6CF8" w:rsidRPr="004F6A94" w:rsidRDefault="002B6CF8" w:rsidP="002B6CF8">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4F6A94">
        <w:rPr>
          <w:rFonts w:ascii="Palatino Linotype" w:eastAsia="Calibri" w:hAnsi="Palatino Linotype" w:cs="Tahoma"/>
          <w:iCs/>
          <w:szCs w:val="22"/>
          <w:lang w:val="es-ES" w:eastAsia="es-ES_tradnl"/>
        </w:rPr>
        <w:t xml:space="preserve">Relación de vales de gasolina. </w:t>
      </w:r>
    </w:p>
    <w:p w14:paraId="52BFBFF6" w14:textId="0B3BFF33" w:rsidR="002B6CF8" w:rsidRPr="004F6A94" w:rsidRDefault="002B6CF8" w:rsidP="002B6CF8">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4F6A94">
        <w:rPr>
          <w:rFonts w:ascii="Palatino Linotype" w:eastAsia="Calibri" w:hAnsi="Palatino Linotype" w:cs="Tahoma"/>
          <w:iCs/>
          <w:szCs w:val="22"/>
          <w:lang w:val="es-ES" w:eastAsia="es-ES_tradnl"/>
        </w:rPr>
        <w:t xml:space="preserve">Ingresos </w:t>
      </w:r>
      <w:r w:rsidR="00E256D6">
        <w:rPr>
          <w:rFonts w:ascii="Palatino Linotype" w:eastAsia="Calibri" w:hAnsi="Palatino Linotype" w:cs="Tahoma"/>
          <w:iCs/>
          <w:szCs w:val="22"/>
          <w:lang w:val="es-ES" w:eastAsia="es-ES_tradnl"/>
        </w:rPr>
        <w:t xml:space="preserve">totales </w:t>
      </w:r>
      <w:r w:rsidR="004F6A94">
        <w:rPr>
          <w:rFonts w:ascii="Palatino Linotype" w:eastAsia="Calibri" w:hAnsi="Palatino Linotype" w:cs="Tahoma"/>
          <w:iCs/>
          <w:szCs w:val="22"/>
          <w:lang w:val="es-ES" w:eastAsia="es-ES_tradnl"/>
        </w:rPr>
        <w:t>por cualquier concepto.</w:t>
      </w:r>
    </w:p>
    <w:p w14:paraId="2134139D" w14:textId="77777777" w:rsidR="002B6CF8" w:rsidRPr="004F6A94" w:rsidRDefault="002B6CF8" w:rsidP="002B6CF8">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4F6A94">
        <w:rPr>
          <w:rFonts w:ascii="Palatino Linotype" w:eastAsia="Calibri" w:hAnsi="Palatino Linotype" w:cs="Tahoma"/>
          <w:iCs/>
          <w:szCs w:val="22"/>
          <w:lang w:val="es-ES" w:eastAsia="es-ES_tradnl"/>
        </w:rPr>
        <w:t xml:space="preserve">Cuentas bancarias mancomunadas. </w:t>
      </w:r>
    </w:p>
    <w:p w14:paraId="65E1404E" w14:textId="77777777" w:rsidR="002B6CF8" w:rsidRDefault="002B6CF8" w:rsidP="0005755C">
      <w:pPr>
        <w:spacing w:line="360" w:lineRule="auto"/>
        <w:ind w:right="-93"/>
        <w:jc w:val="both"/>
        <w:rPr>
          <w:rFonts w:ascii="Palatino Linotype" w:hAnsi="Palatino Linotype" w:cs="Arial"/>
          <w:sz w:val="22"/>
          <w:szCs w:val="22"/>
          <w:lang w:val="es-ES"/>
        </w:rPr>
      </w:pPr>
    </w:p>
    <w:p w14:paraId="0D6CDB1D" w14:textId="77777777" w:rsidR="002B6CF8" w:rsidRDefault="002B6CF8" w:rsidP="002B6CF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Junto con las versiones públicas que se entreguen</w:t>
      </w:r>
      <w:r w:rsidRPr="00B459FA">
        <w:rPr>
          <w:rFonts w:ascii="Palatino Linotype" w:eastAsia="Calibri" w:hAnsi="Palatino Linotype" w:cs="Tahoma"/>
          <w:bCs/>
          <w:sz w:val="22"/>
          <w:szCs w:val="22"/>
          <w:lang w:eastAsia="en-US"/>
        </w:rPr>
        <w:t xml:space="preserve">, se deberá </w:t>
      </w:r>
      <w:r w:rsidRPr="005C0E48">
        <w:rPr>
          <w:rFonts w:ascii="Palatino Linotype" w:eastAsia="Calibri" w:hAnsi="Palatino Linotype" w:cs="Tahoma"/>
          <w:bCs/>
          <w:sz w:val="22"/>
          <w:szCs w:val="22"/>
          <w:lang w:eastAsia="en-US"/>
        </w:rPr>
        <w:t xml:space="preserve">proporcionar el Acuerdo donde el Comité de Transparencia, confirme la eliminación de los datos, de conformidad con los </w:t>
      </w:r>
      <w:r w:rsidRPr="005C0E48">
        <w:rPr>
          <w:rFonts w:ascii="Palatino Linotype" w:eastAsia="Calibri" w:hAnsi="Palatino Linotype" w:cs="Tahoma"/>
          <w:bCs/>
          <w:sz w:val="22"/>
          <w:szCs w:val="22"/>
          <w:lang w:eastAsia="en-US"/>
        </w:rPr>
        <w:lastRenderedPageBreak/>
        <w:t>artículos 49, fracciones II y VIII, 132, fracción III, de la Ley de Transparencia y Acceso a la Información Pública del Estado de México y Municipios.</w:t>
      </w:r>
    </w:p>
    <w:p w14:paraId="55550D3C" w14:textId="77777777" w:rsidR="00E256D6" w:rsidRPr="005C0E48" w:rsidRDefault="00E256D6" w:rsidP="002B6CF8">
      <w:pPr>
        <w:spacing w:line="360" w:lineRule="auto"/>
        <w:ind w:right="-93"/>
        <w:jc w:val="both"/>
        <w:rPr>
          <w:rFonts w:ascii="Palatino Linotype" w:eastAsia="Calibri" w:hAnsi="Palatino Linotype" w:cs="Tahoma"/>
          <w:bCs/>
          <w:sz w:val="22"/>
          <w:szCs w:val="22"/>
          <w:lang w:eastAsia="en-US"/>
        </w:rPr>
      </w:pPr>
    </w:p>
    <w:p w14:paraId="241E94CB" w14:textId="7D5CFCE3" w:rsidR="00104DEF" w:rsidRDefault="004F6A94" w:rsidP="003F5058">
      <w:pPr>
        <w:spacing w:line="360" w:lineRule="auto"/>
        <w:ind w:right="-93"/>
        <w:jc w:val="both"/>
        <w:rPr>
          <w:rFonts w:ascii="Palatino Linotype" w:eastAsia="Calibri" w:hAnsi="Palatino Linotype" w:cs="Arial"/>
          <w:bCs/>
          <w:sz w:val="22"/>
          <w:szCs w:val="22"/>
          <w:lang w:eastAsia="en-US"/>
        </w:rPr>
      </w:pPr>
      <w:r>
        <w:rPr>
          <w:rFonts w:ascii="Palatino Linotype" w:eastAsia="Calibri" w:hAnsi="Palatino Linotype" w:cs="Arial"/>
          <w:bCs/>
          <w:sz w:val="22"/>
          <w:szCs w:val="22"/>
          <w:lang w:eastAsia="en-US"/>
        </w:rPr>
        <w:t>Para el caso de que no cuente con cuentas bancarias mancomunadas</w:t>
      </w:r>
      <w:r w:rsidR="00E256D6">
        <w:rPr>
          <w:rFonts w:ascii="Palatino Linotype" w:eastAsia="Calibri" w:hAnsi="Palatino Linotype" w:cs="Arial"/>
          <w:bCs/>
          <w:sz w:val="22"/>
          <w:szCs w:val="22"/>
          <w:lang w:eastAsia="en-US"/>
        </w:rPr>
        <w:t xml:space="preserve"> o bien vales de gasolina</w:t>
      </w:r>
      <w:r>
        <w:rPr>
          <w:rFonts w:ascii="Palatino Linotype" w:eastAsia="Calibri" w:hAnsi="Palatino Linotype" w:cs="Arial"/>
          <w:bCs/>
          <w:sz w:val="22"/>
          <w:szCs w:val="22"/>
          <w:lang w:eastAsia="en-US"/>
        </w:rPr>
        <w:t xml:space="preserve"> por no haber sido generadas, deberá hacerlo del conocimiento de la persona Recurrente de manera precisa y clara.</w:t>
      </w:r>
    </w:p>
    <w:p w14:paraId="443EFE7F" w14:textId="77777777" w:rsidR="004F6A94" w:rsidRPr="0005755C" w:rsidRDefault="004F6A94" w:rsidP="003F5058">
      <w:pPr>
        <w:spacing w:line="360" w:lineRule="auto"/>
        <w:ind w:right="-93"/>
        <w:jc w:val="both"/>
        <w:rPr>
          <w:rFonts w:ascii="Palatino Linotype" w:eastAsia="Calibri" w:hAnsi="Palatino Linotype" w:cs="Arial"/>
          <w:bCs/>
          <w:sz w:val="22"/>
          <w:szCs w:val="22"/>
          <w:lang w:eastAsia="en-US"/>
        </w:rPr>
      </w:pPr>
    </w:p>
    <w:p w14:paraId="3FB6244E" w14:textId="77777777" w:rsidR="00E02D8B" w:rsidRPr="00D31FC5" w:rsidRDefault="00E02D8B" w:rsidP="00E02D8B">
      <w:pPr>
        <w:spacing w:line="360" w:lineRule="auto"/>
        <w:contextualSpacing/>
        <w:jc w:val="both"/>
        <w:rPr>
          <w:rFonts w:ascii="Palatino Linotype" w:eastAsia="Calibri" w:hAnsi="Palatino Linotype" w:cs="Tahoma"/>
          <w:bCs/>
          <w:sz w:val="22"/>
          <w:szCs w:val="22"/>
          <w:lang w:eastAsia="en-US"/>
        </w:rPr>
      </w:pPr>
      <w:r w:rsidRPr="00D31FC5">
        <w:rPr>
          <w:rFonts w:ascii="Palatino Linotype" w:eastAsia="Calibri" w:hAnsi="Palatino Linotype" w:cs="Tahoma"/>
          <w:b/>
          <w:bCs/>
          <w:sz w:val="22"/>
          <w:szCs w:val="22"/>
          <w:lang w:eastAsia="en-US"/>
        </w:rPr>
        <w:t>TERCERO. NOTIFÍQUESE</w:t>
      </w:r>
      <w:r w:rsidR="00402735" w:rsidRPr="00D31FC5">
        <w:rPr>
          <w:rFonts w:ascii="Palatino Linotype" w:eastAsia="Calibri" w:hAnsi="Palatino Linotype" w:cs="Tahoma"/>
          <w:b/>
          <w:bCs/>
          <w:sz w:val="22"/>
          <w:szCs w:val="22"/>
          <w:lang w:eastAsia="en-US"/>
        </w:rPr>
        <w:t xml:space="preserve"> POR SAIMEX</w:t>
      </w:r>
      <w:r w:rsidRPr="00D31FC5">
        <w:rPr>
          <w:rFonts w:ascii="Palatino Linotype" w:eastAsia="Calibri" w:hAnsi="Palatino Linotype" w:cs="Tahoma"/>
          <w:b/>
          <w:bCs/>
          <w:sz w:val="22"/>
          <w:szCs w:val="22"/>
          <w:lang w:eastAsia="en-US"/>
        </w:rPr>
        <w:t xml:space="preserve"> </w:t>
      </w:r>
      <w:r w:rsidRPr="00D31FC5">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499B99D4" w14:textId="77777777" w:rsidR="00803E3D" w:rsidRPr="00D31FC5" w:rsidRDefault="00803E3D" w:rsidP="00FF426B">
      <w:pPr>
        <w:spacing w:line="360" w:lineRule="auto"/>
        <w:contextualSpacing/>
        <w:jc w:val="both"/>
        <w:rPr>
          <w:rFonts w:ascii="Palatino Linotype" w:hAnsi="Palatino Linotype" w:cs="Tahoma"/>
          <w:sz w:val="22"/>
          <w:szCs w:val="22"/>
        </w:rPr>
      </w:pPr>
    </w:p>
    <w:p w14:paraId="71693D85" w14:textId="77777777" w:rsidR="00803E3D" w:rsidRPr="00D31FC5" w:rsidRDefault="00803E3D" w:rsidP="00FF426B">
      <w:pPr>
        <w:spacing w:line="360" w:lineRule="auto"/>
        <w:contextualSpacing/>
        <w:jc w:val="both"/>
        <w:rPr>
          <w:rFonts w:ascii="Palatino Linotype" w:hAnsi="Palatino Linotype" w:cs="Tahoma"/>
          <w:iCs/>
          <w:sz w:val="22"/>
          <w:szCs w:val="22"/>
        </w:rPr>
      </w:pPr>
      <w:r w:rsidRPr="00D31FC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69F98C" w14:textId="77777777" w:rsidR="00803E3D" w:rsidRPr="00D31FC5" w:rsidRDefault="00803E3D" w:rsidP="00FF426B">
      <w:pPr>
        <w:spacing w:line="360" w:lineRule="auto"/>
        <w:contextualSpacing/>
        <w:jc w:val="both"/>
        <w:rPr>
          <w:rFonts w:ascii="Palatino Linotype" w:eastAsia="Calibri" w:hAnsi="Palatino Linotype" w:cs="Tahoma"/>
          <w:color w:val="000000"/>
          <w:sz w:val="22"/>
          <w:szCs w:val="22"/>
          <w:lang w:val="es-ES" w:eastAsia="es-MX"/>
        </w:rPr>
      </w:pPr>
    </w:p>
    <w:p w14:paraId="15974ECC" w14:textId="77777777" w:rsidR="006B5FFD" w:rsidRPr="00D31FC5" w:rsidRDefault="00803E3D" w:rsidP="006B5FFD">
      <w:pPr>
        <w:spacing w:line="360" w:lineRule="auto"/>
        <w:contextualSpacing/>
        <w:jc w:val="both"/>
        <w:rPr>
          <w:rFonts w:ascii="Palatino Linotype" w:hAnsi="Palatino Linotype" w:cs="Tahoma"/>
          <w:color w:val="000000" w:themeColor="text1"/>
          <w:sz w:val="22"/>
          <w:szCs w:val="22"/>
        </w:rPr>
      </w:pPr>
      <w:r w:rsidRPr="00D31FC5">
        <w:rPr>
          <w:rFonts w:ascii="Palatino Linotype" w:eastAsia="Calibri" w:hAnsi="Palatino Linotype" w:cs="Tahoma"/>
          <w:b/>
          <w:color w:val="000000" w:themeColor="text1"/>
          <w:sz w:val="22"/>
          <w:szCs w:val="22"/>
          <w:lang w:eastAsia="es-MX"/>
        </w:rPr>
        <w:t>CUARTO</w:t>
      </w:r>
      <w:r w:rsidRPr="00D31FC5">
        <w:rPr>
          <w:rFonts w:ascii="Palatino Linotype" w:eastAsia="Calibri" w:hAnsi="Palatino Linotype" w:cs="Tahoma"/>
          <w:b/>
          <w:bCs/>
          <w:color w:val="000000" w:themeColor="text1"/>
          <w:sz w:val="22"/>
          <w:szCs w:val="22"/>
          <w:lang w:eastAsia="en-US"/>
        </w:rPr>
        <w:t xml:space="preserve">. </w:t>
      </w:r>
      <w:r w:rsidRPr="00D31FC5">
        <w:rPr>
          <w:rFonts w:ascii="Palatino Linotype" w:hAnsi="Palatino Linotype" w:cs="Tahoma"/>
          <w:b/>
          <w:color w:val="000000" w:themeColor="text1"/>
          <w:sz w:val="22"/>
          <w:szCs w:val="22"/>
        </w:rPr>
        <w:t>NOTIFÍQUESE</w:t>
      </w:r>
      <w:r w:rsidRPr="00D31FC5">
        <w:rPr>
          <w:rFonts w:ascii="Palatino Linotype" w:hAnsi="Palatino Linotype" w:cs="Tahoma"/>
          <w:color w:val="000000" w:themeColor="text1"/>
          <w:sz w:val="22"/>
          <w:szCs w:val="22"/>
        </w:rPr>
        <w:t xml:space="preserve"> </w:t>
      </w:r>
      <w:r w:rsidR="00402735" w:rsidRPr="00D31FC5">
        <w:rPr>
          <w:rFonts w:ascii="Palatino Linotype" w:eastAsia="Calibri" w:hAnsi="Palatino Linotype" w:cs="Tahoma"/>
          <w:b/>
          <w:bCs/>
          <w:sz w:val="22"/>
          <w:szCs w:val="22"/>
          <w:lang w:eastAsia="en-US"/>
        </w:rPr>
        <w:t>POR SAIMEX</w:t>
      </w:r>
      <w:r w:rsidR="0004563C" w:rsidRPr="00D31FC5">
        <w:rPr>
          <w:rFonts w:ascii="Palatino Linotype" w:eastAsia="Calibri" w:hAnsi="Palatino Linotype" w:cs="Tahoma"/>
          <w:b/>
          <w:bCs/>
          <w:sz w:val="22"/>
          <w:szCs w:val="22"/>
          <w:lang w:eastAsia="en-US"/>
        </w:rPr>
        <w:t xml:space="preserve"> </w:t>
      </w:r>
      <w:r w:rsidRPr="00D31FC5">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6B5FFD" w:rsidRPr="00D31FC5">
        <w:rPr>
          <w:rFonts w:ascii="Palatino Linotype" w:hAnsi="Palatino Linotype" w:cs="Tahoma"/>
          <w:color w:val="000000" w:themeColor="text1"/>
          <w:sz w:val="22"/>
          <w:szCs w:val="22"/>
        </w:rPr>
        <w:t>érminos de las leyes aplicables</w:t>
      </w:r>
      <w:r w:rsidR="00402735" w:rsidRPr="00D31FC5">
        <w:rPr>
          <w:rFonts w:ascii="Palatino Linotype" w:hAnsi="Palatino Linotype" w:cs="Tahoma"/>
          <w:color w:val="000000" w:themeColor="text1"/>
          <w:sz w:val="22"/>
          <w:szCs w:val="22"/>
        </w:rPr>
        <w:t>.</w:t>
      </w:r>
    </w:p>
    <w:p w14:paraId="68B6A0FA" w14:textId="77777777" w:rsidR="008A73EF" w:rsidRPr="00D31FC5" w:rsidRDefault="008A73EF" w:rsidP="00FF426B">
      <w:pPr>
        <w:spacing w:line="360" w:lineRule="auto"/>
        <w:contextualSpacing/>
        <w:jc w:val="both"/>
        <w:rPr>
          <w:rFonts w:ascii="Palatino Linotype" w:hAnsi="Palatino Linotype" w:cs="Tahoma"/>
          <w:color w:val="000000" w:themeColor="text1"/>
          <w:sz w:val="22"/>
          <w:szCs w:val="22"/>
        </w:rPr>
      </w:pPr>
    </w:p>
    <w:p w14:paraId="414A91DA" w14:textId="330F9C23" w:rsidR="00803E3D" w:rsidRDefault="00803E3D" w:rsidP="00FF426B">
      <w:pPr>
        <w:spacing w:line="360" w:lineRule="auto"/>
        <w:contextualSpacing/>
        <w:jc w:val="both"/>
        <w:rPr>
          <w:rFonts w:ascii="Palatino Linotype" w:hAnsi="Palatino Linotype" w:cs="Tahoma"/>
          <w:sz w:val="22"/>
          <w:szCs w:val="22"/>
        </w:rPr>
      </w:pPr>
      <w:r w:rsidRPr="00D31FC5">
        <w:rPr>
          <w:rFonts w:ascii="Palatino Linotype" w:hAnsi="Palatino Linotype" w:cs="Tahoma"/>
          <w:sz w:val="22"/>
          <w:szCs w:val="22"/>
          <w:lang w:eastAsia="es-MX"/>
        </w:rPr>
        <w:lastRenderedPageBreak/>
        <w:t xml:space="preserve">ASÍ LO RESUELVE, POR </w:t>
      </w:r>
      <w:r w:rsidRPr="00D31FC5">
        <w:rPr>
          <w:rFonts w:ascii="Palatino Linotype" w:hAnsi="Palatino Linotype" w:cs="Tahoma"/>
          <w:b/>
          <w:sz w:val="22"/>
          <w:szCs w:val="22"/>
          <w:lang w:eastAsia="es-MX"/>
        </w:rPr>
        <w:t>UNANIMIDAD</w:t>
      </w:r>
      <w:r w:rsidRPr="00D31FC5">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D4865">
        <w:rPr>
          <w:rFonts w:ascii="Palatino Linotype" w:hAnsi="Palatino Linotype" w:cs="Tahoma"/>
          <w:sz w:val="22"/>
          <w:szCs w:val="22"/>
          <w:lang w:eastAsia="es-MX"/>
        </w:rPr>
        <w:t xml:space="preserve"> </w:t>
      </w:r>
      <w:r w:rsidR="008E61EE">
        <w:rPr>
          <w:rFonts w:ascii="Palatino Linotype" w:hAnsi="Palatino Linotype" w:cs="Tahoma"/>
          <w:sz w:val="22"/>
          <w:szCs w:val="22"/>
          <w:lang w:eastAsia="es-MX"/>
        </w:rPr>
        <w:t xml:space="preserve">CON VOTO PARTICULAR </w:t>
      </w:r>
      <w:r w:rsidRPr="00D31FC5">
        <w:rPr>
          <w:rFonts w:ascii="Palatino Linotype" w:hAnsi="Palatino Linotype" w:cs="Tahoma"/>
          <w:sz w:val="22"/>
          <w:szCs w:val="22"/>
          <w:lang w:eastAsia="es-MX"/>
        </w:rPr>
        <w:t>Y GUADALUPE RAMÍREZ PEÑA</w:t>
      </w:r>
      <w:r w:rsidR="008E61EE">
        <w:rPr>
          <w:rFonts w:ascii="Palatino Linotype" w:hAnsi="Palatino Linotype" w:cs="Tahoma"/>
          <w:sz w:val="22"/>
          <w:szCs w:val="22"/>
          <w:lang w:eastAsia="es-MX"/>
        </w:rPr>
        <w:t xml:space="preserve"> CON VOTO PARTICULAR</w:t>
      </w:r>
      <w:r w:rsidRPr="00D31FC5">
        <w:rPr>
          <w:rFonts w:ascii="Palatino Linotype" w:hAnsi="Palatino Linotype" w:cs="Tahoma"/>
          <w:sz w:val="22"/>
          <w:szCs w:val="22"/>
          <w:lang w:eastAsia="es-MX"/>
        </w:rPr>
        <w:t xml:space="preserve">, EN LA </w:t>
      </w:r>
      <w:r w:rsidR="004F6A94">
        <w:rPr>
          <w:rFonts w:ascii="Palatino Linotype" w:hAnsi="Palatino Linotype" w:cs="Tahoma"/>
          <w:sz w:val="22"/>
          <w:szCs w:val="22"/>
          <w:lang w:eastAsia="es-MX"/>
        </w:rPr>
        <w:t xml:space="preserve">VIGÉSIMA SÉPTIMA </w:t>
      </w:r>
      <w:r w:rsidRPr="00D31FC5">
        <w:rPr>
          <w:rFonts w:ascii="Palatino Linotype" w:hAnsi="Palatino Linotype" w:cs="Tahoma"/>
          <w:sz w:val="22"/>
          <w:szCs w:val="22"/>
          <w:lang w:eastAsia="es-MX"/>
        </w:rPr>
        <w:t xml:space="preserve">SESIÓN ORDINARIA, CELEBRADA EL </w:t>
      </w:r>
      <w:r w:rsidR="004F6A94">
        <w:rPr>
          <w:rFonts w:ascii="Palatino Linotype" w:hAnsi="Palatino Linotype" w:cs="Tahoma"/>
          <w:sz w:val="22"/>
          <w:szCs w:val="22"/>
          <w:lang w:eastAsia="es-MX"/>
        </w:rPr>
        <w:t xml:space="preserve">SEIS DE AGOSTO </w:t>
      </w:r>
      <w:r w:rsidR="00B73D51" w:rsidRPr="00D31FC5">
        <w:rPr>
          <w:rFonts w:ascii="Palatino Linotype" w:hAnsi="Palatino Linotype" w:cs="Tahoma"/>
          <w:sz w:val="22"/>
          <w:szCs w:val="22"/>
          <w:lang w:eastAsia="es-MX"/>
        </w:rPr>
        <w:t>DE DOS MIL VEINTI</w:t>
      </w:r>
      <w:r w:rsidR="004E622C" w:rsidRPr="00D31FC5">
        <w:rPr>
          <w:rFonts w:ascii="Palatino Linotype" w:hAnsi="Palatino Linotype" w:cs="Tahoma"/>
          <w:sz w:val="22"/>
          <w:szCs w:val="22"/>
          <w:lang w:eastAsia="es-MX"/>
        </w:rPr>
        <w:t>C</w:t>
      </w:r>
      <w:r w:rsidR="006059A8">
        <w:rPr>
          <w:rFonts w:ascii="Palatino Linotype" w:hAnsi="Palatino Linotype" w:cs="Tahoma"/>
          <w:sz w:val="22"/>
          <w:szCs w:val="22"/>
          <w:lang w:eastAsia="es-MX"/>
        </w:rPr>
        <w:t>INCO</w:t>
      </w:r>
      <w:r w:rsidRPr="00D31FC5">
        <w:rPr>
          <w:rFonts w:ascii="Palatino Linotype" w:hAnsi="Palatino Linotype" w:cs="Tahoma"/>
          <w:sz w:val="22"/>
          <w:szCs w:val="22"/>
          <w:lang w:eastAsia="es-MX"/>
        </w:rPr>
        <w:t>, ANTE EL SECRETARIO TÉCNICO DEL PLENO, ALEXIS TAPIA RAMÍREZ.</w:t>
      </w:r>
    </w:p>
    <w:p w14:paraId="64CA3BC6" w14:textId="77777777" w:rsidR="00163BAA" w:rsidRDefault="00163BAA" w:rsidP="00FF426B">
      <w:pPr>
        <w:spacing w:line="360" w:lineRule="auto"/>
        <w:contextualSpacing/>
        <w:jc w:val="both"/>
        <w:rPr>
          <w:rFonts w:ascii="Palatino Linotype" w:hAnsi="Palatino Linotype" w:cs="Tahoma"/>
          <w:sz w:val="22"/>
          <w:szCs w:val="22"/>
        </w:rPr>
      </w:pPr>
    </w:p>
    <w:p w14:paraId="3D640421" w14:textId="77777777" w:rsidR="00163BAA" w:rsidRDefault="00163BAA" w:rsidP="00FF426B">
      <w:pPr>
        <w:spacing w:line="360" w:lineRule="auto"/>
        <w:contextualSpacing/>
        <w:jc w:val="both"/>
        <w:rPr>
          <w:rFonts w:ascii="Palatino Linotype" w:hAnsi="Palatino Linotype" w:cs="Tahoma"/>
          <w:sz w:val="22"/>
          <w:szCs w:val="22"/>
        </w:rPr>
      </w:pPr>
    </w:p>
    <w:p w14:paraId="40FF40BA" w14:textId="77777777" w:rsidR="0089175F" w:rsidRDefault="0089175F" w:rsidP="00FF426B">
      <w:pPr>
        <w:spacing w:line="360" w:lineRule="auto"/>
        <w:contextualSpacing/>
        <w:jc w:val="both"/>
        <w:rPr>
          <w:rFonts w:ascii="Palatino Linotype" w:hAnsi="Palatino Linotype" w:cs="Tahoma"/>
          <w:sz w:val="22"/>
          <w:szCs w:val="22"/>
        </w:rPr>
      </w:pPr>
    </w:p>
    <w:p w14:paraId="1B62F823" w14:textId="77777777" w:rsidR="0089175F" w:rsidRDefault="0089175F" w:rsidP="00FF426B">
      <w:pPr>
        <w:spacing w:line="360" w:lineRule="auto"/>
        <w:contextualSpacing/>
        <w:jc w:val="both"/>
        <w:rPr>
          <w:rFonts w:ascii="Palatino Linotype" w:hAnsi="Palatino Linotype" w:cs="Tahoma"/>
          <w:sz w:val="22"/>
          <w:szCs w:val="22"/>
        </w:rPr>
      </w:pPr>
    </w:p>
    <w:p w14:paraId="3ED62504" w14:textId="77777777" w:rsidR="0089175F" w:rsidRDefault="0089175F" w:rsidP="00FF426B">
      <w:pPr>
        <w:spacing w:line="360" w:lineRule="auto"/>
        <w:contextualSpacing/>
        <w:jc w:val="both"/>
        <w:rPr>
          <w:rFonts w:ascii="Palatino Linotype" w:hAnsi="Palatino Linotype" w:cs="Tahoma"/>
          <w:sz w:val="22"/>
          <w:szCs w:val="22"/>
        </w:rPr>
      </w:pPr>
    </w:p>
    <w:p w14:paraId="3856DD2D" w14:textId="77777777" w:rsidR="0089175F" w:rsidRDefault="0089175F" w:rsidP="00FF426B">
      <w:pPr>
        <w:spacing w:line="360" w:lineRule="auto"/>
        <w:contextualSpacing/>
        <w:jc w:val="both"/>
        <w:rPr>
          <w:rFonts w:ascii="Palatino Linotype" w:hAnsi="Palatino Linotype" w:cs="Tahoma"/>
          <w:sz w:val="22"/>
          <w:szCs w:val="22"/>
        </w:rPr>
      </w:pPr>
    </w:p>
    <w:p w14:paraId="776FCF33" w14:textId="77777777" w:rsidR="001F1A77" w:rsidRDefault="001F1A77" w:rsidP="00FF426B">
      <w:pPr>
        <w:spacing w:line="360" w:lineRule="auto"/>
        <w:contextualSpacing/>
        <w:jc w:val="both"/>
        <w:rPr>
          <w:rFonts w:ascii="Palatino Linotype" w:hAnsi="Palatino Linotype" w:cs="Tahoma"/>
          <w:sz w:val="22"/>
          <w:szCs w:val="22"/>
        </w:rPr>
      </w:pPr>
    </w:p>
    <w:p w14:paraId="176CDF26" w14:textId="77777777" w:rsidR="001F1A77" w:rsidRDefault="001F1A77" w:rsidP="00FF426B">
      <w:pPr>
        <w:spacing w:line="360" w:lineRule="auto"/>
        <w:contextualSpacing/>
        <w:jc w:val="both"/>
        <w:rPr>
          <w:rFonts w:ascii="Palatino Linotype" w:hAnsi="Palatino Linotype" w:cs="Tahoma"/>
          <w:sz w:val="22"/>
          <w:szCs w:val="22"/>
        </w:rPr>
      </w:pPr>
    </w:p>
    <w:p w14:paraId="46B985F4" w14:textId="77777777" w:rsidR="000B1059" w:rsidRDefault="000B1059" w:rsidP="00FF426B">
      <w:pPr>
        <w:spacing w:line="360" w:lineRule="auto"/>
        <w:contextualSpacing/>
        <w:jc w:val="both"/>
        <w:rPr>
          <w:rFonts w:ascii="Palatino Linotype" w:hAnsi="Palatino Linotype" w:cs="Tahoma"/>
          <w:sz w:val="22"/>
          <w:szCs w:val="22"/>
        </w:rPr>
      </w:pPr>
    </w:p>
    <w:p w14:paraId="5654B09D" w14:textId="77777777" w:rsidR="000B1059" w:rsidRDefault="000B1059" w:rsidP="00FF426B">
      <w:pPr>
        <w:spacing w:line="360" w:lineRule="auto"/>
        <w:contextualSpacing/>
        <w:jc w:val="both"/>
        <w:rPr>
          <w:rFonts w:ascii="Palatino Linotype" w:hAnsi="Palatino Linotype" w:cs="Tahoma"/>
          <w:sz w:val="22"/>
          <w:szCs w:val="22"/>
        </w:rPr>
      </w:pPr>
    </w:p>
    <w:p w14:paraId="0A08621C" w14:textId="77777777" w:rsidR="000B1059" w:rsidRDefault="000B1059" w:rsidP="00FF426B">
      <w:pPr>
        <w:spacing w:line="360" w:lineRule="auto"/>
        <w:contextualSpacing/>
        <w:jc w:val="both"/>
        <w:rPr>
          <w:rFonts w:ascii="Palatino Linotype" w:hAnsi="Palatino Linotype" w:cs="Tahoma"/>
          <w:sz w:val="22"/>
          <w:szCs w:val="22"/>
        </w:rPr>
      </w:pPr>
    </w:p>
    <w:p w14:paraId="7EA8954C" w14:textId="77777777" w:rsidR="001F1A77" w:rsidRDefault="001F1A77" w:rsidP="00FF426B">
      <w:pPr>
        <w:spacing w:line="360" w:lineRule="auto"/>
        <w:contextualSpacing/>
        <w:jc w:val="both"/>
        <w:rPr>
          <w:rFonts w:ascii="Palatino Linotype" w:hAnsi="Palatino Linotype" w:cs="Tahoma"/>
          <w:sz w:val="22"/>
          <w:szCs w:val="22"/>
        </w:rPr>
      </w:pPr>
    </w:p>
    <w:p w14:paraId="24748F9A" w14:textId="2E94A255" w:rsidR="001F1A77" w:rsidRDefault="001F1A77" w:rsidP="00FF426B">
      <w:pPr>
        <w:spacing w:line="360" w:lineRule="auto"/>
        <w:contextualSpacing/>
        <w:jc w:val="both"/>
        <w:rPr>
          <w:rFonts w:ascii="Palatino Linotype" w:hAnsi="Palatino Linotype" w:cs="Tahoma"/>
          <w:sz w:val="22"/>
          <w:szCs w:val="22"/>
        </w:rPr>
      </w:pPr>
    </w:p>
    <w:p w14:paraId="17246448" w14:textId="6A27E9FB" w:rsidR="008E61EE" w:rsidRDefault="008E61EE" w:rsidP="00FF426B">
      <w:pPr>
        <w:spacing w:line="360" w:lineRule="auto"/>
        <w:contextualSpacing/>
        <w:jc w:val="both"/>
        <w:rPr>
          <w:rFonts w:ascii="Palatino Linotype" w:hAnsi="Palatino Linotype" w:cs="Tahoma"/>
          <w:sz w:val="22"/>
          <w:szCs w:val="22"/>
        </w:rPr>
      </w:pPr>
    </w:p>
    <w:p w14:paraId="18483B7F" w14:textId="261F2D89" w:rsidR="008E61EE" w:rsidRDefault="008E61EE" w:rsidP="00FF426B">
      <w:pPr>
        <w:spacing w:line="360" w:lineRule="auto"/>
        <w:contextualSpacing/>
        <w:jc w:val="both"/>
        <w:rPr>
          <w:rFonts w:ascii="Palatino Linotype" w:hAnsi="Palatino Linotype" w:cs="Tahoma"/>
          <w:sz w:val="22"/>
          <w:szCs w:val="22"/>
        </w:rPr>
      </w:pPr>
    </w:p>
    <w:p w14:paraId="1522B5AB" w14:textId="6FA00CE0" w:rsidR="008E61EE" w:rsidRDefault="008E61EE" w:rsidP="00FF426B">
      <w:pPr>
        <w:spacing w:line="360" w:lineRule="auto"/>
        <w:contextualSpacing/>
        <w:jc w:val="both"/>
        <w:rPr>
          <w:rFonts w:ascii="Palatino Linotype" w:hAnsi="Palatino Linotype" w:cs="Tahoma"/>
          <w:sz w:val="22"/>
          <w:szCs w:val="22"/>
        </w:rPr>
      </w:pPr>
    </w:p>
    <w:p w14:paraId="6A1AF092" w14:textId="268C1357" w:rsidR="008E61EE" w:rsidRDefault="008E61EE" w:rsidP="00FF426B">
      <w:pPr>
        <w:spacing w:line="360" w:lineRule="auto"/>
        <w:contextualSpacing/>
        <w:jc w:val="both"/>
        <w:rPr>
          <w:rFonts w:ascii="Palatino Linotype" w:hAnsi="Palatino Linotype" w:cs="Tahoma"/>
          <w:sz w:val="22"/>
          <w:szCs w:val="22"/>
        </w:rPr>
      </w:pPr>
    </w:p>
    <w:p w14:paraId="66CEC592" w14:textId="257E717E" w:rsidR="008E61EE" w:rsidRDefault="008E61EE" w:rsidP="00FF426B">
      <w:pPr>
        <w:spacing w:line="360" w:lineRule="auto"/>
        <w:contextualSpacing/>
        <w:jc w:val="both"/>
        <w:rPr>
          <w:rFonts w:ascii="Palatino Linotype" w:hAnsi="Palatino Linotype" w:cs="Tahoma"/>
          <w:sz w:val="22"/>
          <w:szCs w:val="22"/>
        </w:rPr>
      </w:pPr>
    </w:p>
    <w:p w14:paraId="7ED4C77C" w14:textId="43F5E2A6" w:rsidR="008E61EE" w:rsidRDefault="008E61EE" w:rsidP="00FF426B">
      <w:pPr>
        <w:spacing w:line="360" w:lineRule="auto"/>
        <w:contextualSpacing/>
        <w:jc w:val="both"/>
        <w:rPr>
          <w:rFonts w:ascii="Palatino Linotype" w:hAnsi="Palatino Linotype" w:cs="Tahoma"/>
          <w:sz w:val="22"/>
          <w:szCs w:val="22"/>
        </w:rPr>
      </w:pPr>
    </w:p>
    <w:p w14:paraId="4B04C4DC" w14:textId="1100FB80" w:rsidR="008E61EE" w:rsidRDefault="008E61EE" w:rsidP="00FF426B">
      <w:pPr>
        <w:spacing w:line="360" w:lineRule="auto"/>
        <w:contextualSpacing/>
        <w:jc w:val="both"/>
        <w:rPr>
          <w:rFonts w:ascii="Palatino Linotype" w:hAnsi="Palatino Linotype" w:cs="Tahoma"/>
          <w:sz w:val="22"/>
          <w:szCs w:val="22"/>
        </w:rPr>
      </w:pPr>
    </w:p>
    <w:p w14:paraId="6DBD0D3A" w14:textId="08B15EF6" w:rsidR="008E61EE" w:rsidRDefault="008E61EE" w:rsidP="00FF426B">
      <w:pPr>
        <w:spacing w:line="360" w:lineRule="auto"/>
        <w:contextualSpacing/>
        <w:jc w:val="both"/>
        <w:rPr>
          <w:rFonts w:ascii="Palatino Linotype" w:hAnsi="Palatino Linotype" w:cs="Tahoma"/>
          <w:sz w:val="22"/>
          <w:szCs w:val="22"/>
        </w:rPr>
      </w:pPr>
    </w:p>
    <w:p w14:paraId="1794C4A2" w14:textId="41483658" w:rsidR="008E61EE" w:rsidRDefault="008E61EE" w:rsidP="00FF426B">
      <w:pPr>
        <w:spacing w:line="360" w:lineRule="auto"/>
        <w:contextualSpacing/>
        <w:jc w:val="both"/>
        <w:rPr>
          <w:rFonts w:ascii="Palatino Linotype" w:hAnsi="Palatino Linotype" w:cs="Tahoma"/>
          <w:sz w:val="22"/>
          <w:szCs w:val="22"/>
        </w:rPr>
      </w:pPr>
    </w:p>
    <w:p w14:paraId="0A59B05A" w14:textId="2DCF3321" w:rsidR="008E61EE" w:rsidRDefault="008E61EE" w:rsidP="00FF426B">
      <w:pPr>
        <w:spacing w:line="360" w:lineRule="auto"/>
        <w:contextualSpacing/>
        <w:jc w:val="both"/>
        <w:rPr>
          <w:rFonts w:ascii="Palatino Linotype" w:hAnsi="Palatino Linotype" w:cs="Tahoma"/>
          <w:sz w:val="22"/>
          <w:szCs w:val="22"/>
        </w:rPr>
      </w:pPr>
    </w:p>
    <w:p w14:paraId="00E948F1" w14:textId="109FF1C3" w:rsidR="008E61EE" w:rsidRDefault="008E61EE" w:rsidP="00FF426B">
      <w:pPr>
        <w:spacing w:line="360" w:lineRule="auto"/>
        <w:contextualSpacing/>
        <w:jc w:val="both"/>
        <w:rPr>
          <w:rFonts w:ascii="Palatino Linotype" w:hAnsi="Palatino Linotype" w:cs="Tahoma"/>
          <w:sz w:val="22"/>
          <w:szCs w:val="22"/>
        </w:rPr>
      </w:pPr>
    </w:p>
    <w:p w14:paraId="630A7FC2" w14:textId="24D42A7B" w:rsidR="008E61EE" w:rsidRDefault="008E61EE" w:rsidP="00FF426B">
      <w:pPr>
        <w:spacing w:line="360" w:lineRule="auto"/>
        <w:contextualSpacing/>
        <w:jc w:val="both"/>
        <w:rPr>
          <w:rFonts w:ascii="Palatino Linotype" w:hAnsi="Palatino Linotype" w:cs="Tahoma"/>
          <w:sz w:val="22"/>
          <w:szCs w:val="22"/>
        </w:rPr>
      </w:pPr>
    </w:p>
    <w:p w14:paraId="7A6E692D" w14:textId="78C5E1E6" w:rsidR="008E61EE" w:rsidRDefault="008E61EE" w:rsidP="00FF426B">
      <w:pPr>
        <w:spacing w:line="360" w:lineRule="auto"/>
        <w:contextualSpacing/>
        <w:jc w:val="both"/>
        <w:rPr>
          <w:rFonts w:ascii="Palatino Linotype" w:hAnsi="Palatino Linotype" w:cs="Tahoma"/>
          <w:sz w:val="22"/>
          <w:szCs w:val="22"/>
        </w:rPr>
      </w:pPr>
    </w:p>
    <w:p w14:paraId="5A782CD0" w14:textId="4F5C15EE" w:rsidR="008E61EE" w:rsidRDefault="008E61EE" w:rsidP="00FF426B">
      <w:pPr>
        <w:spacing w:line="360" w:lineRule="auto"/>
        <w:contextualSpacing/>
        <w:jc w:val="both"/>
        <w:rPr>
          <w:rFonts w:ascii="Palatino Linotype" w:hAnsi="Palatino Linotype" w:cs="Tahoma"/>
          <w:sz w:val="22"/>
          <w:szCs w:val="22"/>
        </w:rPr>
      </w:pPr>
    </w:p>
    <w:p w14:paraId="1AC23AA8" w14:textId="77777777" w:rsidR="008E61EE" w:rsidRDefault="008E61EE" w:rsidP="00FF426B">
      <w:pPr>
        <w:spacing w:line="360" w:lineRule="auto"/>
        <w:contextualSpacing/>
        <w:jc w:val="both"/>
        <w:rPr>
          <w:rFonts w:ascii="Palatino Linotype" w:hAnsi="Palatino Linotype" w:cs="Tahoma"/>
          <w:sz w:val="22"/>
          <w:szCs w:val="22"/>
        </w:rPr>
      </w:pPr>
    </w:p>
    <w:p w14:paraId="26B5DEB0" w14:textId="77777777" w:rsidR="001F1A77" w:rsidRDefault="001F1A77" w:rsidP="00FF426B">
      <w:pPr>
        <w:spacing w:line="360" w:lineRule="auto"/>
        <w:contextualSpacing/>
        <w:jc w:val="both"/>
        <w:rPr>
          <w:rFonts w:ascii="Palatino Linotype" w:hAnsi="Palatino Linotype" w:cs="Tahoma"/>
          <w:sz w:val="22"/>
          <w:szCs w:val="22"/>
        </w:rPr>
      </w:pPr>
    </w:p>
    <w:p w14:paraId="2A2CD450" w14:textId="77777777" w:rsidR="001F1A77" w:rsidRDefault="001F1A77" w:rsidP="00FF426B">
      <w:pPr>
        <w:spacing w:line="360" w:lineRule="auto"/>
        <w:contextualSpacing/>
        <w:jc w:val="both"/>
        <w:rPr>
          <w:rFonts w:ascii="Palatino Linotype" w:hAnsi="Palatino Linotype" w:cs="Tahoma"/>
          <w:sz w:val="22"/>
          <w:szCs w:val="22"/>
        </w:rPr>
      </w:pPr>
    </w:p>
    <w:p w14:paraId="14D9DAC1" w14:textId="77777777" w:rsidR="001F1A77" w:rsidRDefault="001F1A77" w:rsidP="00FF426B">
      <w:pPr>
        <w:spacing w:line="360" w:lineRule="auto"/>
        <w:contextualSpacing/>
        <w:jc w:val="both"/>
        <w:rPr>
          <w:rFonts w:ascii="Palatino Linotype" w:hAnsi="Palatino Linotype" w:cs="Tahoma"/>
          <w:sz w:val="22"/>
          <w:szCs w:val="22"/>
        </w:rPr>
      </w:pPr>
    </w:p>
    <w:p w14:paraId="04A9E1DA" w14:textId="77777777" w:rsidR="001F1A77" w:rsidRDefault="001F1A77" w:rsidP="00FF426B">
      <w:pPr>
        <w:spacing w:line="360" w:lineRule="auto"/>
        <w:contextualSpacing/>
        <w:jc w:val="both"/>
        <w:rPr>
          <w:rFonts w:ascii="Palatino Linotype" w:hAnsi="Palatino Linotype" w:cs="Tahoma"/>
          <w:sz w:val="22"/>
          <w:szCs w:val="22"/>
        </w:rPr>
      </w:pPr>
    </w:p>
    <w:p w14:paraId="044A2378" w14:textId="77777777" w:rsidR="001F1A77" w:rsidRDefault="001F1A77" w:rsidP="00FF426B">
      <w:pPr>
        <w:spacing w:line="360" w:lineRule="auto"/>
        <w:contextualSpacing/>
        <w:jc w:val="both"/>
        <w:rPr>
          <w:rFonts w:ascii="Palatino Linotype" w:hAnsi="Palatino Linotype" w:cs="Tahoma"/>
          <w:sz w:val="22"/>
          <w:szCs w:val="22"/>
        </w:rPr>
      </w:pPr>
    </w:p>
    <w:p w14:paraId="2B3F59B5" w14:textId="77777777" w:rsidR="001F1A77" w:rsidRPr="003A1DF0" w:rsidRDefault="001F1A77" w:rsidP="00FF426B">
      <w:pPr>
        <w:spacing w:line="360" w:lineRule="auto"/>
        <w:contextualSpacing/>
        <w:jc w:val="both"/>
        <w:rPr>
          <w:rFonts w:ascii="Palatino Linotype" w:hAnsi="Palatino Linotype" w:cs="Tahoma"/>
          <w:sz w:val="22"/>
          <w:szCs w:val="22"/>
        </w:rPr>
      </w:pPr>
    </w:p>
    <w:p w14:paraId="3861478D"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18"/>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FAFF" w14:textId="77777777" w:rsidR="0035411A" w:rsidRDefault="0035411A" w:rsidP="00B31222">
      <w:r>
        <w:separator/>
      </w:r>
    </w:p>
  </w:endnote>
  <w:endnote w:type="continuationSeparator" w:id="0">
    <w:p w14:paraId="0D4EB59B" w14:textId="77777777" w:rsidR="0035411A" w:rsidRDefault="0035411A" w:rsidP="00B31222">
      <w:r>
        <w:continuationSeparator/>
      </w:r>
    </w:p>
  </w:endnote>
  <w:endnote w:type="continuationNotice" w:id="1">
    <w:p w14:paraId="645A97A2" w14:textId="77777777" w:rsidR="0035411A" w:rsidRDefault="00354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44AA6E1A" w14:textId="77777777" w:rsidR="00FA60B2" w:rsidRDefault="00FA60B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7A6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7A6A">
              <w:rPr>
                <w:b/>
                <w:bCs/>
                <w:noProof/>
              </w:rPr>
              <w:t>52</w:t>
            </w:r>
            <w:r>
              <w:rPr>
                <w:b/>
                <w:bCs/>
                <w:sz w:val="24"/>
                <w:szCs w:val="24"/>
              </w:rPr>
              <w:fldChar w:fldCharType="end"/>
            </w:r>
          </w:p>
        </w:sdtContent>
      </w:sdt>
    </w:sdtContent>
  </w:sdt>
  <w:p w14:paraId="594EC1CC" w14:textId="77777777" w:rsidR="00FA60B2" w:rsidRDefault="00FA60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975159B" w14:textId="77777777" w:rsidR="00FA60B2" w:rsidRDefault="00FA60B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4A8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4A81">
              <w:rPr>
                <w:b/>
                <w:bCs/>
                <w:noProof/>
              </w:rPr>
              <w:t>52</w:t>
            </w:r>
            <w:r>
              <w:rPr>
                <w:b/>
                <w:bCs/>
                <w:sz w:val="24"/>
                <w:szCs w:val="24"/>
              </w:rPr>
              <w:fldChar w:fldCharType="end"/>
            </w:r>
          </w:p>
        </w:sdtContent>
      </w:sdt>
    </w:sdtContent>
  </w:sdt>
  <w:p w14:paraId="3BCA99CD" w14:textId="77777777" w:rsidR="00FA60B2" w:rsidRDefault="00FA60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CE04" w14:textId="77777777" w:rsidR="0035411A" w:rsidRDefault="0035411A" w:rsidP="00B31222">
      <w:r>
        <w:separator/>
      </w:r>
    </w:p>
  </w:footnote>
  <w:footnote w:type="continuationSeparator" w:id="0">
    <w:p w14:paraId="0A0C9E45" w14:textId="77777777" w:rsidR="0035411A" w:rsidRDefault="0035411A" w:rsidP="00B31222">
      <w:r>
        <w:continuationSeparator/>
      </w:r>
    </w:p>
  </w:footnote>
  <w:footnote w:type="continuationNotice" w:id="1">
    <w:p w14:paraId="722331D7" w14:textId="77777777" w:rsidR="0035411A" w:rsidRDefault="00354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0436" w14:textId="77777777" w:rsidR="00FA60B2" w:rsidRDefault="0035411A">
    <w:pPr>
      <w:pStyle w:val="Encabezado"/>
    </w:pPr>
    <w:r>
      <w:rPr>
        <w:noProof/>
        <w:lang w:eastAsia="es-MX"/>
      </w:rPr>
      <w:pict w14:anchorId="412C1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FA60B2" w:rsidRPr="005C106F" w14:paraId="17DBEF88" w14:textId="77777777" w:rsidTr="00202DB8">
      <w:trPr>
        <w:trHeight w:val="1435"/>
      </w:trPr>
      <w:tc>
        <w:tcPr>
          <w:tcW w:w="2835" w:type="dxa"/>
        </w:tcPr>
        <w:p w14:paraId="6B6F9203" w14:textId="77777777" w:rsidR="00FA60B2" w:rsidRPr="005C106F" w:rsidRDefault="00FA60B2"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4216B09" wp14:editId="21142C56">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32416A69" w14:textId="77777777" w:rsidR="00FA60B2" w:rsidRDefault="00FA60B2"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A60B2" w14:paraId="734FBCDB" w14:textId="77777777" w:rsidTr="00DF3BE8">
            <w:trPr>
              <w:trHeight w:val="144"/>
            </w:trPr>
            <w:tc>
              <w:tcPr>
                <w:tcW w:w="2589" w:type="dxa"/>
              </w:tcPr>
              <w:p w14:paraId="129C1896" w14:textId="77777777" w:rsidR="00FA60B2" w:rsidRPr="00431A70" w:rsidRDefault="00FA60B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967EF30" w14:textId="77777777" w:rsidR="00FA60B2" w:rsidRPr="00431A70" w:rsidRDefault="00FA60B2" w:rsidP="0026209A">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01531</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5</w:t>
                </w:r>
              </w:p>
            </w:tc>
          </w:tr>
          <w:tr w:rsidR="00FA60B2" w14:paraId="45F5508E" w14:textId="77777777" w:rsidTr="00DF3BE8">
            <w:trPr>
              <w:trHeight w:val="283"/>
            </w:trPr>
            <w:tc>
              <w:tcPr>
                <w:tcW w:w="2589" w:type="dxa"/>
              </w:tcPr>
              <w:p w14:paraId="550D1525" w14:textId="77777777" w:rsidR="00FA60B2" w:rsidRPr="00431A70" w:rsidRDefault="00FA60B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1F10262" w14:textId="77777777" w:rsidR="00FA60B2" w:rsidRPr="005F13CF" w:rsidRDefault="00FA60B2"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Luvianos</w:t>
                </w:r>
              </w:p>
            </w:tc>
          </w:tr>
          <w:tr w:rsidR="00FA60B2" w14:paraId="38E46EAC" w14:textId="77777777" w:rsidTr="00DF3BE8">
            <w:trPr>
              <w:trHeight w:val="283"/>
            </w:trPr>
            <w:tc>
              <w:tcPr>
                <w:tcW w:w="2589" w:type="dxa"/>
              </w:tcPr>
              <w:p w14:paraId="6F20213D" w14:textId="77777777" w:rsidR="00FA60B2" w:rsidRPr="00431A70" w:rsidRDefault="00FA60B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EA81034" w14:textId="77777777" w:rsidR="00FA60B2" w:rsidRDefault="00FA60B2"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0827C39" w14:textId="77777777" w:rsidR="00FA60B2" w:rsidRPr="00431A70" w:rsidRDefault="00FA60B2" w:rsidP="005F13CF">
                <w:pPr>
                  <w:tabs>
                    <w:tab w:val="right" w:pos="8838"/>
                  </w:tabs>
                  <w:ind w:left="-106" w:right="171"/>
                  <w:jc w:val="both"/>
                  <w:rPr>
                    <w:rFonts w:ascii="Palatino Linotype" w:eastAsia="Calibri" w:hAnsi="Palatino Linotype" w:cs="Tahoma"/>
                    <w:b/>
                    <w:sz w:val="22"/>
                    <w:szCs w:val="22"/>
                    <w:lang w:eastAsia="en-US"/>
                  </w:rPr>
                </w:pPr>
              </w:p>
            </w:tc>
          </w:tr>
        </w:tbl>
        <w:p w14:paraId="2E769FC4" w14:textId="77777777" w:rsidR="00FA60B2" w:rsidRPr="005C106F" w:rsidRDefault="00FA60B2" w:rsidP="005743D2">
          <w:pPr>
            <w:tabs>
              <w:tab w:val="right" w:pos="8838"/>
            </w:tabs>
            <w:ind w:left="-28"/>
            <w:jc w:val="both"/>
            <w:rPr>
              <w:rFonts w:ascii="Arial" w:eastAsia="Calibri" w:hAnsi="Arial" w:cs="Arial"/>
              <w:b/>
              <w:sz w:val="22"/>
              <w:szCs w:val="22"/>
              <w:lang w:eastAsia="en-US"/>
            </w:rPr>
          </w:pPr>
        </w:p>
      </w:tc>
    </w:tr>
  </w:tbl>
  <w:p w14:paraId="6B80F943" w14:textId="77777777" w:rsidR="00FA60B2" w:rsidRPr="00A25151" w:rsidRDefault="00FA60B2"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FA60B2" w:rsidRPr="00330DA7" w14:paraId="57477F57" w14:textId="77777777" w:rsidTr="003B165A">
      <w:trPr>
        <w:trHeight w:val="1435"/>
      </w:trPr>
      <w:tc>
        <w:tcPr>
          <w:tcW w:w="2835" w:type="dxa"/>
        </w:tcPr>
        <w:p w14:paraId="2EDDDBEF" w14:textId="77777777" w:rsidR="00FA60B2" w:rsidRPr="00330DA7" w:rsidRDefault="00FA60B2"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DF5A095" wp14:editId="731E3696">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A60B2" w:rsidRPr="00431A70" w14:paraId="53AF0AF6" w14:textId="77777777" w:rsidTr="00DF3BE8">
            <w:trPr>
              <w:trHeight w:val="144"/>
            </w:trPr>
            <w:tc>
              <w:tcPr>
                <w:tcW w:w="2589" w:type="dxa"/>
              </w:tcPr>
              <w:p w14:paraId="104B1FE4" w14:textId="77777777" w:rsidR="00FA60B2" w:rsidRPr="00431A70" w:rsidRDefault="00FA60B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D132CEB" w14:textId="77777777" w:rsidR="00FA60B2" w:rsidRPr="00431A70" w:rsidRDefault="00FA60B2" w:rsidP="0026209A">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01531/INFOEM/IP/RR/2025</w:t>
                </w:r>
              </w:p>
            </w:tc>
          </w:tr>
          <w:tr w:rsidR="00FA60B2" w:rsidRPr="00286D0C" w14:paraId="437B47A6" w14:textId="77777777" w:rsidTr="00DF3BE8">
            <w:trPr>
              <w:trHeight w:val="144"/>
            </w:trPr>
            <w:tc>
              <w:tcPr>
                <w:tcW w:w="2589" w:type="dxa"/>
              </w:tcPr>
              <w:p w14:paraId="7D44662A" w14:textId="77777777" w:rsidR="00FA60B2" w:rsidRPr="00431A70" w:rsidRDefault="00FA60B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410618D" w14:textId="41090561" w:rsidR="00FA60B2" w:rsidRPr="00286D0C" w:rsidRDefault="00082E12" w:rsidP="00B645B8">
                <w:pPr>
                  <w:tabs>
                    <w:tab w:val="left" w:pos="3122"/>
                    <w:tab w:val="right" w:pos="8838"/>
                  </w:tabs>
                  <w:ind w:left="-106" w:right="-105"/>
                  <w:jc w:val="both"/>
                  <w:rPr>
                    <w:rFonts w:ascii="Palatino Linotype" w:eastAsia="Calibri" w:hAnsi="Palatino Linotype" w:cs="Tahoma"/>
                    <w:bCs/>
                    <w:sz w:val="22"/>
                    <w:szCs w:val="22"/>
                    <w:lang w:eastAsia="en-US"/>
                  </w:rPr>
                </w:pPr>
                <w:r w:rsidRPr="00082E12">
                  <w:rPr>
                    <w:rFonts w:ascii="Palatino Linotype" w:eastAsia="Calibri" w:hAnsi="Palatino Linotype" w:cs="Tahoma"/>
                    <w:bCs/>
                    <w:sz w:val="22"/>
                    <w:szCs w:val="22"/>
                    <w:highlight w:val="black"/>
                    <w:lang w:eastAsia="en-US"/>
                  </w:rPr>
                  <w:t>XXXXXXXXXXX</w:t>
                </w:r>
              </w:p>
            </w:tc>
          </w:tr>
          <w:tr w:rsidR="00FA60B2" w:rsidRPr="00431A70" w14:paraId="0E92FE2B" w14:textId="77777777" w:rsidTr="00DF3BE8">
            <w:trPr>
              <w:trHeight w:val="283"/>
            </w:trPr>
            <w:tc>
              <w:tcPr>
                <w:tcW w:w="2589" w:type="dxa"/>
              </w:tcPr>
              <w:p w14:paraId="6B787495" w14:textId="77777777" w:rsidR="00FA60B2" w:rsidRPr="00431A70" w:rsidRDefault="00FA60B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71D6AB3" w14:textId="77777777" w:rsidR="00FA60B2" w:rsidRPr="005F13CF" w:rsidRDefault="00FA60B2"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Luvianos </w:t>
                </w:r>
              </w:p>
            </w:tc>
          </w:tr>
          <w:tr w:rsidR="00FA60B2" w:rsidRPr="00431A70" w14:paraId="44E0F223" w14:textId="77777777" w:rsidTr="00DF3BE8">
            <w:trPr>
              <w:trHeight w:val="283"/>
            </w:trPr>
            <w:tc>
              <w:tcPr>
                <w:tcW w:w="2589" w:type="dxa"/>
              </w:tcPr>
              <w:p w14:paraId="382D6062" w14:textId="77777777" w:rsidR="00FA60B2" w:rsidRPr="00431A70" w:rsidRDefault="00FA60B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FD7623F" w14:textId="77777777" w:rsidR="00FA60B2" w:rsidRPr="00431A70" w:rsidRDefault="00FA60B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4B60E19" w14:textId="77777777" w:rsidR="00FA60B2" w:rsidRPr="00330DA7" w:rsidRDefault="00FA60B2" w:rsidP="00DB7E5F">
          <w:pPr>
            <w:tabs>
              <w:tab w:val="right" w:pos="8838"/>
            </w:tabs>
            <w:ind w:left="-28"/>
            <w:jc w:val="both"/>
            <w:rPr>
              <w:rFonts w:ascii="Arial" w:eastAsia="Calibri" w:hAnsi="Arial" w:cs="Arial"/>
              <w:b/>
              <w:sz w:val="22"/>
              <w:szCs w:val="22"/>
              <w:lang w:eastAsia="en-US"/>
            </w:rPr>
          </w:pPr>
        </w:p>
      </w:tc>
    </w:tr>
  </w:tbl>
  <w:p w14:paraId="6CED1787" w14:textId="77777777" w:rsidR="00FA60B2" w:rsidRPr="00330DA7" w:rsidRDefault="00FA60B2"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C05F5F"/>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8499C"/>
    <w:multiLevelType w:val="hybridMultilevel"/>
    <w:tmpl w:val="55423762"/>
    <w:lvl w:ilvl="0" w:tplc="054803B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362C1D"/>
    <w:multiLevelType w:val="hybridMultilevel"/>
    <w:tmpl w:val="F2344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4A2C24"/>
    <w:multiLevelType w:val="hybridMultilevel"/>
    <w:tmpl w:val="44D0519E"/>
    <w:lvl w:ilvl="0" w:tplc="D98C83E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871A75"/>
    <w:multiLevelType w:val="hybridMultilevel"/>
    <w:tmpl w:val="270AE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2F4B07"/>
    <w:multiLevelType w:val="hybridMultilevel"/>
    <w:tmpl w:val="F2344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52387B"/>
    <w:multiLevelType w:val="hybridMultilevel"/>
    <w:tmpl w:val="F2344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353A12"/>
    <w:multiLevelType w:val="hybridMultilevel"/>
    <w:tmpl w:val="E90C12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670C3B"/>
    <w:multiLevelType w:val="hybridMultilevel"/>
    <w:tmpl w:val="F2344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C40E24"/>
    <w:multiLevelType w:val="hybridMultilevel"/>
    <w:tmpl w:val="F2344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E02CBF"/>
    <w:multiLevelType w:val="hybridMultilevel"/>
    <w:tmpl w:val="92F06A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C040D1"/>
    <w:multiLevelType w:val="hybridMultilevel"/>
    <w:tmpl w:val="7436B6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8011BEA"/>
    <w:multiLevelType w:val="hybridMultilevel"/>
    <w:tmpl w:val="31804398"/>
    <w:lvl w:ilvl="0" w:tplc="025491E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5011AE"/>
    <w:multiLevelType w:val="hybridMultilevel"/>
    <w:tmpl w:val="C2ACC5E0"/>
    <w:lvl w:ilvl="0" w:tplc="DFBCBD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C0D1D37"/>
    <w:multiLevelType w:val="hybridMultilevel"/>
    <w:tmpl w:val="8EE43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796900"/>
    <w:multiLevelType w:val="hybridMultilevel"/>
    <w:tmpl w:val="CADE26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6114DB"/>
    <w:multiLevelType w:val="hybridMultilevel"/>
    <w:tmpl w:val="7C764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B17970"/>
    <w:multiLevelType w:val="hybridMultilevel"/>
    <w:tmpl w:val="7AD22C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1"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1C00F6"/>
    <w:multiLevelType w:val="hybridMultilevel"/>
    <w:tmpl w:val="F2344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7"/>
  </w:num>
  <w:num w:numId="6">
    <w:abstractNumId w:val="31"/>
  </w:num>
  <w:num w:numId="7">
    <w:abstractNumId w:val="19"/>
  </w:num>
  <w:num w:numId="8">
    <w:abstractNumId w:val="3"/>
  </w:num>
  <w:num w:numId="9">
    <w:abstractNumId w:val="11"/>
  </w:num>
  <w:num w:numId="10">
    <w:abstractNumId w:val="15"/>
  </w:num>
  <w:num w:numId="11">
    <w:abstractNumId w:val="28"/>
  </w:num>
  <w:num w:numId="12">
    <w:abstractNumId w:val="1"/>
  </w:num>
  <w:num w:numId="13">
    <w:abstractNumId w:val="18"/>
  </w:num>
  <w:num w:numId="14">
    <w:abstractNumId w:val="33"/>
  </w:num>
  <w:num w:numId="15">
    <w:abstractNumId w:val="23"/>
  </w:num>
  <w:num w:numId="16">
    <w:abstractNumId w:val="34"/>
  </w:num>
  <w:num w:numId="17">
    <w:abstractNumId w:val="7"/>
  </w:num>
  <w:num w:numId="18">
    <w:abstractNumId w:val="10"/>
  </w:num>
  <w:num w:numId="19">
    <w:abstractNumId w:val="21"/>
  </w:num>
  <w:num w:numId="20">
    <w:abstractNumId w:val="8"/>
  </w:num>
  <w:num w:numId="21">
    <w:abstractNumId w:val="14"/>
  </w:num>
  <w:num w:numId="22">
    <w:abstractNumId w:val="9"/>
  </w:num>
  <w:num w:numId="23">
    <w:abstractNumId w:val="17"/>
  </w:num>
  <w:num w:numId="24">
    <w:abstractNumId w:val="20"/>
  </w:num>
  <w:num w:numId="25">
    <w:abstractNumId w:val="26"/>
  </w:num>
  <w:num w:numId="26">
    <w:abstractNumId w:val="4"/>
  </w:num>
  <w:num w:numId="27">
    <w:abstractNumId w:val="13"/>
  </w:num>
  <w:num w:numId="28">
    <w:abstractNumId w:val="2"/>
  </w:num>
  <w:num w:numId="29">
    <w:abstractNumId w:val="24"/>
  </w:num>
  <w:num w:numId="30">
    <w:abstractNumId w:val="25"/>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6"/>
  </w:num>
  <w:num w:numId="34">
    <w:abstractNumId w:val="32"/>
  </w:num>
  <w:num w:numId="35">
    <w:abstractNumId w:val="22"/>
  </w:num>
  <w:num w:numId="3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750"/>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01F"/>
    <w:rsid w:val="00050AB0"/>
    <w:rsid w:val="00051243"/>
    <w:rsid w:val="00051E32"/>
    <w:rsid w:val="000523BB"/>
    <w:rsid w:val="000528E6"/>
    <w:rsid w:val="00052CDD"/>
    <w:rsid w:val="00053784"/>
    <w:rsid w:val="00053EEF"/>
    <w:rsid w:val="00054106"/>
    <w:rsid w:val="0005422F"/>
    <w:rsid w:val="00054623"/>
    <w:rsid w:val="00055361"/>
    <w:rsid w:val="00056A85"/>
    <w:rsid w:val="00057250"/>
    <w:rsid w:val="0005755C"/>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831"/>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12"/>
    <w:rsid w:val="00082E37"/>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0BE5"/>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4DEF"/>
    <w:rsid w:val="0010556B"/>
    <w:rsid w:val="00105632"/>
    <w:rsid w:val="001057BC"/>
    <w:rsid w:val="00107D2F"/>
    <w:rsid w:val="00110E1B"/>
    <w:rsid w:val="00111385"/>
    <w:rsid w:val="00111825"/>
    <w:rsid w:val="00111AE8"/>
    <w:rsid w:val="00111EFD"/>
    <w:rsid w:val="001133D5"/>
    <w:rsid w:val="00114068"/>
    <w:rsid w:val="001141F0"/>
    <w:rsid w:val="001147DC"/>
    <w:rsid w:val="00114967"/>
    <w:rsid w:val="001150E9"/>
    <w:rsid w:val="0011560E"/>
    <w:rsid w:val="0011605B"/>
    <w:rsid w:val="001166C8"/>
    <w:rsid w:val="001171BD"/>
    <w:rsid w:val="00117CD7"/>
    <w:rsid w:val="00117FA6"/>
    <w:rsid w:val="00120425"/>
    <w:rsid w:val="0012216D"/>
    <w:rsid w:val="001221B8"/>
    <w:rsid w:val="001227A5"/>
    <w:rsid w:val="001233CB"/>
    <w:rsid w:val="00123533"/>
    <w:rsid w:val="001235DF"/>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6FD3"/>
    <w:rsid w:val="0013791C"/>
    <w:rsid w:val="00137B8F"/>
    <w:rsid w:val="0014037C"/>
    <w:rsid w:val="00140465"/>
    <w:rsid w:val="00141895"/>
    <w:rsid w:val="00141CDA"/>
    <w:rsid w:val="00141DAC"/>
    <w:rsid w:val="00142312"/>
    <w:rsid w:val="0014307A"/>
    <w:rsid w:val="00143BAC"/>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4571"/>
    <w:rsid w:val="001F5C7C"/>
    <w:rsid w:val="001F5D3A"/>
    <w:rsid w:val="001F652C"/>
    <w:rsid w:val="001F787A"/>
    <w:rsid w:val="001F78D9"/>
    <w:rsid w:val="0020024D"/>
    <w:rsid w:val="00200E50"/>
    <w:rsid w:val="002020FA"/>
    <w:rsid w:val="00202DB8"/>
    <w:rsid w:val="002037C7"/>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A67"/>
    <w:rsid w:val="00251186"/>
    <w:rsid w:val="00251FF7"/>
    <w:rsid w:val="002520B1"/>
    <w:rsid w:val="00252669"/>
    <w:rsid w:val="00252B67"/>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87EE1"/>
    <w:rsid w:val="00290814"/>
    <w:rsid w:val="0029110A"/>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6CF8"/>
    <w:rsid w:val="002B7092"/>
    <w:rsid w:val="002B70C7"/>
    <w:rsid w:val="002B7FFB"/>
    <w:rsid w:val="002C0021"/>
    <w:rsid w:val="002C06E4"/>
    <w:rsid w:val="002C0F17"/>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4B5"/>
    <w:rsid w:val="00325EC0"/>
    <w:rsid w:val="00326A83"/>
    <w:rsid w:val="00326EA2"/>
    <w:rsid w:val="0032741D"/>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1A"/>
    <w:rsid w:val="003541D8"/>
    <w:rsid w:val="00354920"/>
    <w:rsid w:val="00355456"/>
    <w:rsid w:val="00355DC6"/>
    <w:rsid w:val="00356A4E"/>
    <w:rsid w:val="00356F72"/>
    <w:rsid w:val="0035716C"/>
    <w:rsid w:val="00357700"/>
    <w:rsid w:val="00360391"/>
    <w:rsid w:val="003604D7"/>
    <w:rsid w:val="003604E7"/>
    <w:rsid w:val="003607DC"/>
    <w:rsid w:val="00361176"/>
    <w:rsid w:val="003613DA"/>
    <w:rsid w:val="0036164E"/>
    <w:rsid w:val="00361E18"/>
    <w:rsid w:val="003622C8"/>
    <w:rsid w:val="0036351E"/>
    <w:rsid w:val="00363615"/>
    <w:rsid w:val="00364521"/>
    <w:rsid w:val="00364D22"/>
    <w:rsid w:val="00365026"/>
    <w:rsid w:val="00365A3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B52"/>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191"/>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3CE1"/>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516"/>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448"/>
    <w:rsid w:val="00426613"/>
    <w:rsid w:val="00427408"/>
    <w:rsid w:val="00427457"/>
    <w:rsid w:val="00430783"/>
    <w:rsid w:val="004317EB"/>
    <w:rsid w:val="00431A70"/>
    <w:rsid w:val="00431C2C"/>
    <w:rsid w:val="004321C5"/>
    <w:rsid w:val="0043257A"/>
    <w:rsid w:val="004327EE"/>
    <w:rsid w:val="00432F20"/>
    <w:rsid w:val="004339FC"/>
    <w:rsid w:val="00434202"/>
    <w:rsid w:val="00435807"/>
    <w:rsid w:val="00436305"/>
    <w:rsid w:val="00436FD3"/>
    <w:rsid w:val="00437B95"/>
    <w:rsid w:val="00437D58"/>
    <w:rsid w:val="004406CF"/>
    <w:rsid w:val="00441804"/>
    <w:rsid w:val="004435B4"/>
    <w:rsid w:val="00443C24"/>
    <w:rsid w:val="00444D0E"/>
    <w:rsid w:val="0044550A"/>
    <w:rsid w:val="00445BB5"/>
    <w:rsid w:val="0044640B"/>
    <w:rsid w:val="004464AF"/>
    <w:rsid w:val="00447C98"/>
    <w:rsid w:val="00447D74"/>
    <w:rsid w:val="00447F7D"/>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9E4"/>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5837"/>
    <w:rsid w:val="004F60EF"/>
    <w:rsid w:val="004F637B"/>
    <w:rsid w:val="004F6532"/>
    <w:rsid w:val="004F67C2"/>
    <w:rsid w:val="004F6A94"/>
    <w:rsid w:val="004F6E78"/>
    <w:rsid w:val="004F72BD"/>
    <w:rsid w:val="00501150"/>
    <w:rsid w:val="00501276"/>
    <w:rsid w:val="005014BB"/>
    <w:rsid w:val="00501A0B"/>
    <w:rsid w:val="00501E1B"/>
    <w:rsid w:val="00502502"/>
    <w:rsid w:val="005028CC"/>
    <w:rsid w:val="005036C3"/>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2499"/>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46CF"/>
    <w:rsid w:val="0053527A"/>
    <w:rsid w:val="00535C1C"/>
    <w:rsid w:val="00535E43"/>
    <w:rsid w:val="00536006"/>
    <w:rsid w:val="005366E5"/>
    <w:rsid w:val="00536B36"/>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2F49"/>
    <w:rsid w:val="00553061"/>
    <w:rsid w:val="00553827"/>
    <w:rsid w:val="00553A6B"/>
    <w:rsid w:val="00553D1F"/>
    <w:rsid w:val="005544AF"/>
    <w:rsid w:val="00554D6A"/>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7487"/>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49F"/>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570E"/>
    <w:rsid w:val="006157C9"/>
    <w:rsid w:val="00616189"/>
    <w:rsid w:val="00616AB4"/>
    <w:rsid w:val="0062078C"/>
    <w:rsid w:val="00620E8F"/>
    <w:rsid w:val="006211A6"/>
    <w:rsid w:val="00621760"/>
    <w:rsid w:val="006217BB"/>
    <w:rsid w:val="0062277D"/>
    <w:rsid w:val="00625134"/>
    <w:rsid w:val="00625ADA"/>
    <w:rsid w:val="00625BD5"/>
    <w:rsid w:val="00625DFB"/>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AD2"/>
    <w:rsid w:val="00736FF2"/>
    <w:rsid w:val="00737108"/>
    <w:rsid w:val="00737D63"/>
    <w:rsid w:val="007401D6"/>
    <w:rsid w:val="00740478"/>
    <w:rsid w:val="00740C8C"/>
    <w:rsid w:val="00741745"/>
    <w:rsid w:val="00741AC4"/>
    <w:rsid w:val="007429E1"/>
    <w:rsid w:val="00742CA5"/>
    <w:rsid w:val="00743504"/>
    <w:rsid w:val="00743CA7"/>
    <w:rsid w:val="0074489F"/>
    <w:rsid w:val="0074594A"/>
    <w:rsid w:val="00746642"/>
    <w:rsid w:val="007469AA"/>
    <w:rsid w:val="00747181"/>
    <w:rsid w:val="0075065B"/>
    <w:rsid w:val="007513F0"/>
    <w:rsid w:val="00751507"/>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2E50"/>
    <w:rsid w:val="007733A0"/>
    <w:rsid w:val="007737B5"/>
    <w:rsid w:val="00773A22"/>
    <w:rsid w:val="00774B5C"/>
    <w:rsid w:val="00774FFE"/>
    <w:rsid w:val="00775638"/>
    <w:rsid w:val="00775677"/>
    <w:rsid w:val="0077599A"/>
    <w:rsid w:val="00775B6D"/>
    <w:rsid w:val="00776648"/>
    <w:rsid w:val="00776811"/>
    <w:rsid w:val="00776C38"/>
    <w:rsid w:val="0077724D"/>
    <w:rsid w:val="00777353"/>
    <w:rsid w:val="00777ABC"/>
    <w:rsid w:val="00777C4E"/>
    <w:rsid w:val="00777DB1"/>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284"/>
    <w:rsid w:val="007A6B15"/>
    <w:rsid w:val="007B00A0"/>
    <w:rsid w:val="007B0C10"/>
    <w:rsid w:val="007B0E89"/>
    <w:rsid w:val="007B18BE"/>
    <w:rsid w:val="007B2C38"/>
    <w:rsid w:val="007B2E54"/>
    <w:rsid w:val="007B31B9"/>
    <w:rsid w:val="007B38DE"/>
    <w:rsid w:val="007B3BE3"/>
    <w:rsid w:val="007B4146"/>
    <w:rsid w:val="007B56A8"/>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C54"/>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06F4"/>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2E30"/>
    <w:rsid w:val="00865800"/>
    <w:rsid w:val="00865B2C"/>
    <w:rsid w:val="0086682F"/>
    <w:rsid w:val="00867687"/>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0F9A"/>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88"/>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155"/>
    <w:rsid w:val="008E2327"/>
    <w:rsid w:val="008E2C9C"/>
    <w:rsid w:val="008E2D66"/>
    <w:rsid w:val="008E3507"/>
    <w:rsid w:val="008E3EFA"/>
    <w:rsid w:val="008E431C"/>
    <w:rsid w:val="008E4A6D"/>
    <w:rsid w:val="008E4FAD"/>
    <w:rsid w:val="008E5077"/>
    <w:rsid w:val="008E5F0E"/>
    <w:rsid w:val="008E61EE"/>
    <w:rsid w:val="008E64F0"/>
    <w:rsid w:val="008E6658"/>
    <w:rsid w:val="008E6FF3"/>
    <w:rsid w:val="008E767B"/>
    <w:rsid w:val="008E7B05"/>
    <w:rsid w:val="008E7EB3"/>
    <w:rsid w:val="008F10EB"/>
    <w:rsid w:val="008F13A5"/>
    <w:rsid w:val="008F18ED"/>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80900"/>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083"/>
    <w:rsid w:val="009D048B"/>
    <w:rsid w:val="009D0A63"/>
    <w:rsid w:val="009D1B5D"/>
    <w:rsid w:val="009D27C3"/>
    <w:rsid w:val="009D28FA"/>
    <w:rsid w:val="009D4200"/>
    <w:rsid w:val="009D43FE"/>
    <w:rsid w:val="009D4E9E"/>
    <w:rsid w:val="009D53FD"/>
    <w:rsid w:val="009D5C19"/>
    <w:rsid w:val="009D6672"/>
    <w:rsid w:val="009D69C6"/>
    <w:rsid w:val="009D6A7B"/>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3CD8"/>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A31"/>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4A81"/>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2C7F"/>
    <w:rsid w:val="00B42E81"/>
    <w:rsid w:val="00B4329D"/>
    <w:rsid w:val="00B457EF"/>
    <w:rsid w:val="00B45BEE"/>
    <w:rsid w:val="00B46A26"/>
    <w:rsid w:val="00B46C8E"/>
    <w:rsid w:val="00B47845"/>
    <w:rsid w:val="00B50512"/>
    <w:rsid w:val="00B50F74"/>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5B8"/>
    <w:rsid w:val="00B64641"/>
    <w:rsid w:val="00B648F6"/>
    <w:rsid w:val="00B65A35"/>
    <w:rsid w:val="00B65E20"/>
    <w:rsid w:val="00B6626B"/>
    <w:rsid w:val="00B66A77"/>
    <w:rsid w:val="00B675DD"/>
    <w:rsid w:val="00B6766A"/>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292"/>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157"/>
    <w:rsid w:val="00C02357"/>
    <w:rsid w:val="00C03070"/>
    <w:rsid w:val="00C046C5"/>
    <w:rsid w:val="00C06017"/>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3FFF"/>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1F0F"/>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56D6"/>
    <w:rsid w:val="00E27B87"/>
    <w:rsid w:val="00E27DDF"/>
    <w:rsid w:val="00E27E01"/>
    <w:rsid w:val="00E30210"/>
    <w:rsid w:val="00E30A90"/>
    <w:rsid w:val="00E310B9"/>
    <w:rsid w:val="00E3117A"/>
    <w:rsid w:val="00E317D9"/>
    <w:rsid w:val="00E3184F"/>
    <w:rsid w:val="00E3195C"/>
    <w:rsid w:val="00E31BED"/>
    <w:rsid w:val="00E32C62"/>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2B9"/>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5F94"/>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3E3"/>
    <w:rsid w:val="00F37F2A"/>
    <w:rsid w:val="00F4004A"/>
    <w:rsid w:val="00F40A86"/>
    <w:rsid w:val="00F40D3A"/>
    <w:rsid w:val="00F40F02"/>
    <w:rsid w:val="00F417A5"/>
    <w:rsid w:val="00F41AEF"/>
    <w:rsid w:val="00F41B19"/>
    <w:rsid w:val="00F41B2F"/>
    <w:rsid w:val="00F420CA"/>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60BC0"/>
    <w:rsid w:val="00F617AC"/>
    <w:rsid w:val="00F61B7F"/>
    <w:rsid w:val="00F62370"/>
    <w:rsid w:val="00F628D3"/>
    <w:rsid w:val="00F62D64"/>
    <w:rsid w:val="00F62EF2"/>
    <w:rsid w:val="00F6433D"/>
    <w:rsid w:val="00F64430"/>
    <w:rsid w:val="00F6497E"/>
    <w:rsid w:val="00F64ED1"/>
    <w:rsid w:val="00F66601"/>
    <w:rsid w:val="00F66BD7"/>
    <w:rsid w:val="00F677E2"/>
    <w:rsid w:val="00F705D2"/>
    <w:rsid w:val="00F70C9C"/>
    <w:rsid w:val="00F715EB"/>
    <w:rsid w:val="00F717E6"/>
    <w:rsid w:val="00F71D2E"/>
    <w:rsid w:val="00F7216B"/>
    <w:rsid w:val="00F7264A"/>
    <w:rsid w:val="00F72E5E"/>
    <w:rsid w:val="00F73751"/>
    <w:rsid w:val="00F73BEE"/>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B2"/>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695"/>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6A"/>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66CEDB"/>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801632">
      <w:bodyDiv w:val="1"/>
      <w:marLeft w:val="0"/>
      <w:marRight w:val="0"/>
      <w:marTop w:val="0"/>
      <w:marBottom w:val="0"/>
      <w:divBdr>
        <w:top w:val="none" w:sz="0" w:space="0" w:color="auto"/>
        <w:left w:val="none" w:sz="0" w:space="0" w:color="auto"/>
        <w:bottom w:val="none" w:sz="0" w:space="0" w:color="auto"/>
        <w:right w:val="none" w:sz="0" w:space="0" w:color="auto"/>
      </w:divBdr>
      <w:divsChild>
        <w:div w:id="306472678">
          <w:marLeft w:val="0"/>
          <w:marRight w:val="0"/>
          <w:marTop w:val="0"/>
          <w:marBottom w:val="0"/>
          <w:divBdr>
            <w:top w:val="none" w:sz="0" w:space="0" w:color="auto"/>
            <w:left w:val="none" w:sz="0" w:space="0" w:color="auto"/>
            <w:bottom w:val="none" w:sz="0" w:space="0" w:color="auto"/>
            <w:right w:val="none" w:sz="0" w:space="0" w:color="auto"/>
          </w:divBdr>
        </w:div>
        <w:div w:id="863789583">
          <w:marLeft w:val="0"/>
          <w:marRight w:val="0"/>
          <w:marTop w:val="0"/>
          <w:marBottom w:val="0"/>
          <w:divBdr>
            <w:top w:val="none" w:sz="0" w:space="0" w:color="auto"/>
            <w:left w:val="none" w:sz="0" w:space="0" w:color="auto"/>
            <w:bottom w:val="none" w:sz="0" w:space="0" w:color="auto"/>
            <w:right w:val="none" w:sz="0" w:space="0" w:color="auto"/>
          </w:divBdr>
        </w:div>
      </w:divsChild>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058828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399122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4494337">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50945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863023">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3049154">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68402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yperlink" Target="https://www.bbva.mx/educacion-financiera/banca-digital/como-abrir-una-cuenta-bancaria.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bva.mx/educacion-financiera/banca-digital/cuenta-digital-cuenta-mancomunada.html" TargetMode="External"/><Relationship Id="rId17"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AbrirModal(1)" TargetMode="External"/><Relationship Id="rId23" Type="http://schemas.openxmlformats.org/officeDocument/2006/relationships/fontTable" Target="fontTable.xml"/><Relationship Id="rId10" Type="http://schemas.openxmlformats.org/officeDocument/2006/relationships/hyperlink" Target="https://luvianos.gob.mx/svc/link/ayuntamiento_lgcg_2025_1t_d14-calendario-de-ingresos-base-mensual_130525105026.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bbva.mx/educacion-financiera/banca-digital/estado-de-cuenta-digital-mas-facil-y-sin-papel.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9B87-D990-49D9-B45F-847DF297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13831</Words>
  <Characters>76075</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LENOVO</cp:lastModifiedBy>
  <cp:revision>5</cp:revision>
  <cp:lastPrinted>2025-08-08T04:45:00Z</cp:lastPrinted>
  <dcterms:created xsi:type="dcterms:W3CDTF">2025-08-08T04:45:00Z</dcterms:created>
  <dcterms:modified xsi:type="dcterms:W3CDTF">2025-09-25T17:38:00Z</dcterms:modified>
</cp:coreProperties>
</file>