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975DD" w:rsidRDefault="00AE3DA7" w:rsidP="00B975DD">
          <w:pPr>
            <w:pStyle w:val="TtulodeTDC"/>
            <w:spacing w:before="0" w:line="240" w:lineRule="auto"/>
            <w:rPr>
              <w:rFonts w:ascii="Palatino Linotype" w:hAnsi="Palatino Linotype"/>
              <w:color w:val="auto"/>
              <w:sz w:val="24"/>
              <w:szCs w:val="24"/>
              <w:lang w:val="es-ES"/>
            </w:rPr>
          </w:pPr>
          <w:r w:rsidRPr="00B975DD">
            <w:rPr>
              <w:rFonts w:ascii="Palatino Linotype" w:hAnsi="Palatino Linotype"/>
              <w:color w:val="auto"/>
              <w:sz w:val="24"/>
              <w:szCs w:val="24"/>
              <w:lang w:val="es-ES"/>
            </w:rPr>
            <w:t>Contenido</w:t>
          </w:r>
        </w:p>
        <w:p w14:paraId="3EB312A7" w14:textId="77777777" w:rsidR="00AA6EA9" w:rsidRPr="00B975DD" w:rsidRDefault="00AA6EA9" w:rsidP="00B975DD">
          <w:pPr>
            <w:spacing w:line="240" w:lineRule="auto"/>
            <w:rPr>
              <w:sz w:val="16"/>
              <w:szCs w:val="16"/>
              <w:lang w:val="es-ES" w:eastAsia="es-MX"/>
            </w:rPr>
          </w:pPr>
        </w:p>
        <w:p w14:paraId="07EE7EB6" w14:textId="77777777" w:rsidR="00B975DD" w:rsidRPr="00B975DD" w:rsidRDefault="00AE3DA7" w:rsidP="00B975DD">
          <w:pPr>
            <w:pStyle w:val="TDC1"/>
            <w:tabs>
              <w:tab w:val="right" w:leader="dot" w:pos="9034"/>
            </w:tabs>
            <w:rPr>
              <w:rFonts w:asciiTheme="minorHAnsi" w:eastAsiaTheme="minorEastAsia" w:hAnsiTheme="minorHAnsi" w:cstheme="minorBidi"/>
              <w:noProof/>
              <w:szCs w:val="22"/>
              <w:lang w:eastAsia="es-MX"/>
            </w:rPr>
          </w:pPr>
          <w:r w:rsidRPr="00B975DD">
            <w:rPr>
              <w:sz w:val="16"/>
              <w:szCs w:val="16"/>
            </w:rPr>
            <w:fldChar w:fldCharType="begin"/>
          </w:r>
          <w:r w:rsidRPr="00B975DD">
            <w:rPr>
              <w:sz w:val="16"/>
              <w:szCs w:val="16"/>
            </w:rPr>
            <w:instrText xml:space="preserve"> TOC \o "1-3" \h \z \u </w:instrText>
          </w:r>
          <w:r w:rsidRPr="00B975DD">
            <w:rPr>
              <w:sz w:val="16"/>
              <w:szCs w:val="16"/>
            </w:rPr>
            <w:fldChar w:fldCharType="separate"/>
          </w:r>
          <w:hyperlink w:anchor="_Toc193960284" w:history="1">
            <w:r w:rsidR="00B975DD" w:rsidRPr="00B975DD">
              <w:rPr>
                <w:rStyle w:val="Hipervnculo"/>
                <w:noProof/>
                <w:color w:val="auto"/>
              </w:rPr>
              <w:t>ANTECEDENTES</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_Toc193960284 \h </w:instrText>
            </w:r>
            <w:r w:rsidR="00B975DD" w:rsidRPr="00B975DD">
              <w:rPr>
                <w:noProof/>
                <w:webHidden/>
              </w:rPr>
            </w:r>
            <w:r w:rsidR="00B975DD" w:rsidRPr="00B975DD">
              <w:rPr>
                <w:noProof/>
                <w:webHidden/>
              </w:rPr>
              <w:fldChar w:fldCharType="separate"/>
            </w:r>
            <w:r w:rsidR="003905C6">
              <w:rPr>
                <w:noProof/>
                <w:webHidden/>
              </w:rPr>
              <w:t>1</w:t>
            </w:r>
            <w:r w:rsidR="00B975DD" w:rsidRPr="00B975DD">
              <w:rPr>
                <w:noProof/>
                <w:webHidden/>
              </w:rPr>
              <w:fldChar w:fldCharType="end"/>
            </w:r>
          </w:hyperlink>
        </w:p>
        <w:p w14:paraId="637FB52D" w14:textId="77777777" w:rsidR="00B975DD" w:rsidRPr="00B975DD" w:rsidRDefault="00250DD0" w:rsidP="00B975DD">
          <w:pPr>
            <w:pStyle w:val="TDC2"/>
            <w:rPr>
              <w:rFonts w:asciiTheme="minorHAnsi" w:eastAsiaTheme="minorEastAsia" w:hAnsiTheme="minorHAnsi" w:cstheme="minorBidi"/>
              <w:noProof/>
              <w:szCs w:val="22"/>
              <w:lang w:eastAsia="es-MX"/>
            </w:rPr>
          </w:pPr>
          <w:hyperlink w:anchor="_Toc193960285" w:history="1">
            <w:r w:rsidR="00B975DD" w:rsidRPr="00B975DD">
              <w:rPr>
                <w:rStyle w:val="Hipervnculo"/>
                <w:noProof/>
                <w:color w:val="auto"/>
              </w:rPr>
              <w:t>DE LAS SOLICITUDES DE INFORMACIÓN</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_Toc193960285 \h </w:instrText>
            </w:r>
            <w:r w:rsidR="00B975DD" w:rsidRPr="00B975DD">
              <w:rPr>
                <w:noProof/>
                <w:webHidden/>
              </w:rPr>
            </w:r>
            <w:r w:rsidR="00B975DD" w:rsidRPr="00B975DD">
              <w:rPr>
                <w:noProof/>
                <w:webHidden/>
              </w:rPr>
              <w:fldChar w:fldCharType="separate"/>
            </w:r>
            <w:r w:rsidR="003905C6">
              <w:rPr>
                <w:noProof/>
                <w:webHidden/>
              </w:rPr>
              <w:t>1</w:t>
            </w:r>
            <w:r w:rsidR="00B975DD" w:rsidRPr="00B975DD">
              <w:rPr>
                <w:noProof/>
                <w:webHidden/>
              </w:rPr>
              <w:fldChar w:fldCharType="end"/>
            </w:r>
          </w:hyperlink>
        </w:p>
        <w:p w14:paraId="35566DDE"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286" w:history="1">
            <w:r w:rsidR="00B975DD" w:rsidRPr="00B975DD">
              <w:rPr>
                <w:rStyle w:val="Hipervnculo"/>
                <w:noProof/>
                <w:color w:val="auto"/>
              </w:rPr>
              <w:t>a) Solicitudes de información</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_Toc193960286 \h </w:instrText>
            </w:r>
            <w:r w:rsidR="00B975DD" w:rsidRPr="00B975DD">
              <w:rPr>
                <w:noProof/>
                <w:webHidden/>
              </w:rPr>
            </w:r>
            <w:r w:rsidR="00B975DD" w:rsidRPr="00B975DD">
              <w:rPr>
                <w:noProof/>
                <w:webHidden/>
              </w:rPr>
              <w:fldChar w:fldCharType="separate"/>
            </w:r>
            <w:r w:rsidR="003905C6">
              <w:rPr>
                <w:noProof/>
                <w:webHidden/>
              </w:rPr>
              <w:t>1</w:t>
            </w:r>
            <w:r w:rsidR="00B975DD" w:rsidRPr="00B975DD">
              <w:rPr>
                <w:noProof/>
                <w:webHidden/>
              </w:rPr>
              <w:fldChar w:fldCharType="end"/>
            </w:r>
          </w:hyperlink>
        </w:p>
        <w:p w14:paraId="4FC1B46A"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287" w:history="1">
            <w:r w:rsidR="00B975DD" w:rsidRPr="00B975DD">
              <w:rPr>
                <w:rStyle w:val="Hipervnculo"/>
                <w:noProof/>
                <w:color w:val="auto"/>
              </w:rPr>
              <w:t>b) Turno de las solicitudes de información</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_Toc193960287 \h </w:instrText>
            </w:r>
            <w:r w:rsidR="00B975DD" w:rsidRPr="00B975DD">
              <w:rPr>
                <w:noProof/>
                <w:webHidden/>
              </w:rPr>
            </w:r>
            <w:r w:rsidR="00B975DD" w:rsidRPr="00B975DD">
              <w:rPr>
                <w:noProof/>
                <w:webHidden/>
              </w:rPr>
              <w:fldChar w:fldCharType="separate"/>
            </w:r>
            <w:r w:rsidR="003905C6">
              <w:rPr>
                <w:noProof/>
                <w:webHidden/>
              </w:rPr>
              <w:t>2</w:t>
            </w:r>
            <w:r w:rsidR="00B975DD" w:rsidRPr="00B975DD">
              <w:rPr>
                <w:noProof/>
                <w:webHidden/>
              </w:rPr>
              <w:fldChar w:fldCharType="end"/>
            </w:r>
          </w:hyperlink>
        </w:p>
        <w:p w14:paraId="55332D62"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288" w:history="1">
            <w:r w:rsidR="00B975DD" w:rsidRPr="00B975DD">
              <w:rPr>
                <w:rStyle w:val="Hipervnculo"/>
                <w:noProof/>
                <w:color w:val="auto"/>
                <w:lang w:val="es-ES"/>
              </w:rPr>
              <w:t xml:space="preserve">c) Respuestas </w:t>
            </w:r>
            <w:r w:rsidR="00B975DD" w:rsidRPr="00B975DD">
              <w:rPr>
                <w:rStyle w:val="Hipervnculo"/>
                <w:rFonts w:eastAsia="Calibri"/>
                <w:noProof/>
                <w:color w:val="auto"/>
                <w:lang w:eastAsia="en-US"/>
              </w:rPr>
              <w:t>del Sujeto Obligado</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_Toc193960288 \h </w:instrText>
            </w:r>
            <w:r w:rsidR="00B975DD" w:rsidRPr="00B975DD">
              <w:rPr>
                <w:noProof/>
                <w:webHidden/>
              </w:rPr>
            </w:r>
            <w:r w:rsidR="00B975DD" w:rsidRPr="00B975DD">
              <w:rPr>
                <w:noProof/>
                <w:webHidden/>
              </w:rPr>
              <w:fldChar w:fldCharType="separate"/>
            </w:r>
            <w:r w:rsidR="003905C6">
              <w:rPr>
                <w:noProof/>
                <w:webHidden/>
              </w:rPr>
              <w:t>2</w:t>
            </w:r>
            <w:r w:rsidR="00B975DD" w:rsidRPr="00B975DD">
              <w:rPr>
                <w:noProof/>
                <w:webHidden/>
              </w:rPr>
              <w:fldChar w:fldCharType="end"/>
            </w:r>
          </w:hyperlink>
        </w:p>
        <w:p w14:paraId="2760F181" w14:textId="77777777" w:rsidR="00B975DD" w:rsidRPr="00B975DD" w:rsidRDefault="00250DD0" w:rsidP="00B975DD">
          <w:pPr>
            <w:pStyle w:val="TDC2"/>
            <w:rPr>
              <w:rFonts w:asciiTheme="minorHAnsi" w:eastAsiaTheme="minorEastAsia" w:hAnsiTheme="minorHAnsi" w:cstheme="minorBidi"/>
              <w:noProof/>
              <w:szCs w:val="22"/>
              <w:lang w:eastAsia="es-MX"/>
            </w:rPr>
          </w:pPr>
          <w:hyperlink w:anchor="_Toc193960289" w:history="1">
            <w:r w:rsidR="00B975DD" w:rsidRPr="00B975DD">
              <w:rPr>
                <w:rStyle w:val="Hipervnculo"/>
                <w:noProof/>
                <w:color w:val="auto"/>
              </w:rPr>
              <w:t>DEL RECURSO DE REVISIÓN</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_Toc193960289 \h </w:instrText>
            </w:r>
            <w:r w:rsidR="00B975DD" w:rsidRPr="00B975DD">
              <w:rPr>
                <w:noProof/>
                <w:webHidden/>
              </w:rPr>
            </w:r>
            <w:r w:rsidR="00B975DD" w:rsidRPr="00B975DD">
              <w:rPr>
                <w:noProof/>
                <w:webHidden/>
              </w:rPr>
              <w:fldChar w:fldCharType="separate"/>
            </w:r>
            <w:r w:rsidR="003905C6">
              <w:rPr>
                <w:noProof/>
                <w:webHidden/>
              </w:rPr>
              <w:t>3</w:t>
            </w:r>
            <w:r w:rsidR="00B975DD" w:rsidRPr="00B975DD">
              <w:rPr>
                <w:noProof/>
                <w:webHidden/>
              </w:rPr>
              <w:fldChar w:fldCharType="end"/>
            </w:r>
          </w:hyperlink>
        </w:p>
        <w:p w14:paraId="4D1DA0BA"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290" w:history="1">
            <w:r w:rsidR="00B975DD" w:rsidRPr="00B975DD">
              <w:rPr>
                <w:rStyle w:val="Hipervnculo"/>
                <w:noProof/>
                <w:color w:val="auto"/>
              </w:rPr>
              <w:t>a) Interposición del Recurso de Revisión</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_Toc193960290 \h </w:instrText>
            </w:r>
            <w:r w:rsidR="00B975DD" w:rsidRPr="00B975DD">
              <w:rPr>
                <w:noProof/>
                <w:webHidden/>
              </w:rPr>
            </w:r>
            <w:r w:rsidR="00B975DD" w:rsidRPr="00B975DD">
              <w:rPr>
                <w:noProof/>
                <w:webHidden/>
              </w:rPr>
              <w:fldChar w:fldCharType="separate"/>
            </w:r>
            <w:r w:rsidR="003905C6">
              <w:rPr>
                <w:noProof/>
                <w:webHidden/>
              </w:rPr>
              <w:t>3</w:t>
            </w:r>
            <w:r w:rsidR="00B975DD" w:rsidRPr="00B975DD">
              <w:rPr>
                <w:noProof/>
                <w:webHidden/>
              </w:rPr>
              <w:fldChar w:fldCharType="end"/>
            </w:r>
          </w:hyperlink>
        </w:p>
        <w:p w14:paraId="04ABE8A0"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291" w:history="1">
            <w:r w:rsidR="00B975DD" w:rsidRPr="00B975DD">
              <w:rPr>
                <w:rStyle w:val="Hipervnculo"/>
                <w:noProof/>
                <w:color w:val="auto"/>
              </w:rPr>
              <w:t>b) Turno del Recurso de Revisión</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_Toc193960291 \h </w:instrText>
            </w:r>
            <w:r w:rsidR="00B975DD" w:rsidRPr="00B975DD">
              <w:rPr>
                <w:noProof/>
                <w:webHidden/>
              </w:rPr>
            </w:r>
            <w:r w:rsidR="00B975DD" w:rsidRPr="00B975DD">
              <w:rPr>
                <w:noProof/>
                <w:webHidden/>
              </w:rPr>
              <w:fldChar w:fldCharType="separate"/>
            </w:r>
            <w:r w:rsidR="003905C6">
              <w:rPr>
                <w:noProof/>
                <w:webHidden/>
              </w:rPr>
              <w:t>4</w:t>
            </w:r>
            <w:r w:rsidR="00B975DD" w:rsidRPr="00B975DD">
              <w:rPr>
                <w:noProof/>
                <w:webHidden/>
              </w:rPr>
              <w:fldChar w:fldCharType="end"/>
            </w:r>
          </w:hyperlink>
        </w:p>
        <w:p w14:paraId="5207E890"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292" w:history="1">
            <w:r w:rsidR="00B975DD" w:rsidRPr="00B975DD">
              <w:rPr>
                <w:rStyle w:val="Hipervnculo"/>
                <w:noProof/>
                <w:color w:val="auto"/>
              </w:rPr>
              <w:t>c) Admisión del Recurso de Revisión</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_Toc193960292 \h </w:instrText>
            </w:r>
            <w:r w:rsidR="00B975DD" w:rsidRPr="00B975DD">
              <w:rPr>
                <w:noProof/>
                <w:webHidden/>
              </w:rPr>
            </w:r>
            <w:r w:rsidR="00B975DD" w:rsidRPr="00B975DD">
              <w:rPr>
                <w:noProof/>
                <w:webHidden/>
              </w:rPr>
              <w:fldChar w:fldCharType="separate"/>
            </w:r>
            <w:r w:rsidR="003905C6">
              <w:rPr>
                <w:noProof/>
                <w:webHidden/>
              </w:rPr>
              <w:t>4</w:t>
            </w:r>
            <w:r w:rsidR="00B975DD" w:rsidRPr="00B975DD">
              <w:rPr>
                <w:noProof/>
                <w:webHidden/>
              </w:rPr>
              <w:fldChar w:fldCharType="end"/>
            </w:r>
          </w:hyperlink>
        </w:p>
        <w:p w14:paraId="1471BD1F"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293" w:history="1">
            <w:r w:rsidR="00B975DD" w:rsidRPr="00B975DD">
              <w:rPr>
                <w:rStyle w:val="Hipervnculo"/>
                <w:noProof/>
                <w:color w:val="auto"/>
              </w:rPr>
              <w:t>d) Acumulación de los Recursos de Revisión</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_Toc193960293 \h </w:instrText>
            </w:r>
            <w:r w:rsidR="00B975DD" w:rsidRPr="00B975DD">
              <w:rPr>
                <w:noProof/>
                <w:webHidden/>
              </w:rPr>
            </w:r>
            <w:r w:rsidR="00B975DD" w:rsidRPr="00B975DD">
              <w:rPr>
                <w:noProof/>
                <w:webHidden/>
              </w:rPr>
              <w:fldChar w:fldCharType="separate"/>
            </w:r>
            <w:r w:rsidR="003905C6">
              <w:rPr>
                <w:noProof/>
                <w:webHidden/>
              </w:rPr>
              <w:t>5</w:t>
            </w:r>
            <w:r w:rsidR="00B975DD" w:rsidRPr="00B975DD">
              <w:rPr>
                <w:noProof/>
                <w:webHidden/>
              </w:rPr>
              <w:fldChar w:fldCharType="end"/>
            </w:r>
          </w:hyperlink>
        </w:p>
        <w:p w14:paraId="6A711BCF"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294" w:history="1">
            <w:r w:rsidR="00B975DD" w:rsidRPr="00B975DD">
              <w:rPr>
                <w:rStyle w:val="Hipervnculo"/>
                <w:noProof/>
                <w:color w:val="auto"/>
              </w:rPr>
              <w:t>e) Informe Justificado del Sujeto Obligado</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_Toc193960294 \h </w:instrText>
            </w:r>
            <w:r w:rsidR="00B975DD" w:rsidRPr="00B975DD">
              <w:rPr>
                <w:noProof/>
                <w:webHidden/>
              </w:rPr>
            </w:r>
            <w:r w:rsidR="00B975DD" w:rsidRPr="00B975DD">
              <w:rPr>
                <w:noProof/>
                <w:webHidden/>
              </w:rPr>
              <w:fldChar w:fldCharType="separate"/>
            </w:r>
            <w:r w:rsidR="003905C6">
              <w:rPr>
                <w:noProof/>
                <w:webHidden/>
              </w:rPr>
              <w:t>5</w:t>
            </w:r>
            <w:r w:rsidR="00B975DD" w:rsidRPr="00B975DD">
              <w:rPr>
                <w:noProof/>
                <w:webHidden/>
              </w:rPr>
              <w:fldChar w:fldCharType="end"/>
            </w:r>
          </w:hyperlink>
        </w:p>
        <w:p w14:paraId="1044D454"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295" w:history="1">
            <w:r w:rsidR="00B975DD" w:rsidRPr="00B975DD">
              <w:rPr>
                <w:rStyle w:val="Hipervnculo"/>
                <w:rFonts w:eastAsia="Calibri"/>
                <w:bCs/>
                <w:noProof/>
                <w:color w:val="auto"/>
                <w:lang w:eastAsia="en-US"/>
              </w:rPr>
              <w:t>f)</w:t>
            </w:r>
            <w:r w:rsidR="00B975DD" w:rsidRPr="00B975DD">
              <w:rPr>
                <w:rStyle w:val="Hipervnculo"/>
                <w:noProof/>
                <w:color w:val="auto"/>
              </w:rPr>
              <w:t xml:space="preserve"> </w:t>
            </w:r>
            <w:r w:rsidR="00B975DD" w:rsidRPr="00B975DD">
              <w:rPr>
                <w:rStyle w:val="Hipervnculo"/>
                <w:noProof/>
                <w:color w:val="auto"/>
                <w:lang w:val="es-ES"/>
              </w:rPr>
              <w:t>Manifestaciones de la Parte Recurrente</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_Toc193960295 \h </w:instrText>
            </w:r>
            <w:r w:rsidR="00B975DD" w:rsidRPr="00B975DD">
              <w:rPr>
                <w:noProof/>
                <w:webHidden/>
              </w:rPr>
            </w:r>
            <w:r w:rsidR="00B975DD" w:rsidRPr="00B975DD">
              <w:rPr>
                <w:noProof/>
                <w:webHidden/>
              </w:rPr>
              <w:fldChar w:fldCharType="separate"/>
            </w:r>
            <w:r w:rsidR="003905C6">
              <w:rPr>
                <w:noProof/>
                <w:webHidden/>
              </w:rPr>
              <w:t>5</w:t>
            </w:r>
            <w:r w:rsidR="00B975DD" w:rsidRPr="00B975DD">
              <w:rPr>
                <w:noProof/>
                <w:webHidden/>
              </w:rPr>
              <w:fldChar w:fldCharType="end"/>
            </w:r>
          </w:hyperlink>
        </w:p>
        <w:p w14:paraId="3B926538"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296" w:history="1">
            <w:r w:rsidR="00B975DD" w:rsidRPr="00B975DD">
              <w:rPr>
                <w:rStyle w:val="Hipervnculo"/>
                <w:rFonts w:eastAsia="Calibri"/>
                <w:noProof/>
                <w:color w:val="auto"/>
              </w:rPr>
              <w:t xml:space="preserve">g) </w:t>
            </w:r>
            <w:r w:rsidR="00B975DD" w:rsidRPr="00B975DD">
              <w:rPr>
                <w:rStyle w:val="Hipervnculo"/>
                <w:noProof/>
                <w:color w:val="auto"/>
              </w:rPr>
              <w:t>Cierre de instrucción</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_Toc193960296 \h </w:instrText>
            </w:r>
            <w:r w:rsidR="00B975DD" w:rsidRPr="00B975DD">
              <w:rPr>
                <w:noProof/>
                <w:webHidden/>
              </w:rPr>
            </w:r>
            <w:r w:rsidR="00B975DD" w:rsidRPr="00B975DD">
              <w:rPr>
                <w:noProof/>
                <w:webHidden/>
              </w:rPr>
              <w:fldChar w:fldCharType="separate"/>
            </w:r>
            <w:r w:rsidR="003905C6">
              <w:rPr>
                <w:noProof/>
                <w:webHidden/>
              </w:rPr>
              <w:t>5</w:t>
            </w:r>
            <w:r w:rsidR="00B975DD" w:rsidRPr="00B975DD">
              <w:rPr>
                <w:noProof/>
                <w:webHidden/>
              </w:rPr>
              <w:fldChar w:fldCharType="end"/>
            </w:r>
          </w:hyperlink>
        </w:p>
        <w:p w14:paraId="7A41F2DA" w14:textId="77777777" w:rsidR="00B975DD" w:rsidRPr="00B975DD" w:rsidRDefault="00250DD0" w:rsidP="00B975DD">
          <w:pPr>
            <w:pStyle w:val="TDC1"/>
            <w:tabs>
              <w:tab w:val="right" w:leader="dot" w:pos="9034"/>
            </w:tabs>
            <w:rPr>
              <w:rFonts w:asciiTheme="minorHAnsi" w:eastAsiaTheme="minorEastAsia" w:hAnsiTheme="minorHAnsi" w:cstheme="minorBidi"/>
              <w:noProof/>
              <w:szCs w:val="22"/>
              <w:lang w:eastAsia="es-MX"/>
            </w:rPr>
          </w:pPr>
          <w:hyperlink w:anchor="_Toc193960297" w:history="1">
            <w:r w:rsidR="00B975DD" w:rsidRPr="00B975DD">
              <w:rPr>
                <w:rStyle w:val="Hipervnculo"/>
                <w:rFonts w:eastAsiaTheme="minorHAnsi"/>
                <w:noProof/>
                <w:color w:val="auto"/>
                <w:lang w:eastAsia="en-US"/>
              </w:rPr>
              <w:t>CONSIDERANDOS</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_Toc193960297 \h </w:instrText>
            </w:r>
            <w:r w:rsidR="00B975DD" w:rsidRPr="00B975DD">
              <w:rPr>
                <w:noProof/>
                <w:webHidden/>
              </w:rPr>
            </w:r>
            <w:r w:rsidR="00B975DD" w:rsidRPr="00B975DD">
              <w:rPr>
                <w:noProof/>
                <w:webHidden/>
              </w:rPr>
              <w:fldChar w:fldCharType="separate"/>
            </w:r>
            <w:r w:rsidR="003905C6">
              <w:rPr>
                <w:noProof/>
                <w:webHidden/>
              </w:rPr>
              <w:t>5</w:t>
            </w:r>
            <w:r w:rsidR="00B975DD" w:rsidRPr="00B975DD">
              <w:rPr>
                <w:noProof/>
                <w:webHidden/>
              </w:rPr>
              <w:fldChar w:fldCharType="end"/>
            </w:r>
          </w:hyperlink>
        </w:p>
        <w:p w14:paraId="4F0E8969" w14:textId="77777777" w:rsidR="00B975DD" w:rsidRPr="00B975DD" w:rsidRDefault="00250DD0" w:rsidP="00B975DD">
          <w:pPr>
            <w:pStyle w:val="TDC2"/>
            <w:rPr>
              <w:rFonts w:asciiTheme="minorHAnsi" w:eastAsiaTheme="minorEastAsia" w:hAnsiTheme="minorHAnsi" w:cstheme="minorBidi"/>
              <w:noProof/>
              <w:szCs w:val="22"/>
              <w:lang w:eastAsia="es-MX"/>
            </w:rPr>
          </w:pPr>
          <w:hyperlink w:anchor="_Toc193960298" w:history="1">
            <w:r w:rsidR="00B975DD" w:rsidRPr="00B975DD">
              <w:rPr>
                <w:rStyle w:val="Hipervnculo"/>
                <w:rFonts w:eastAsia="Batang"/>
                <w:noProof/>
                <w:color w:val="auto"/>
              </w:rPr>
              <w:t>PRIMERO. Procedibilidad</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_Toc193960298 \h </w:instrText>
            </w:r>
            <w:r w:rsidR="00B975DD" w:rsidRPr="00B975DD">
              <w:rPr>
                <w:noProof/>
                <w:webHidden/>
              </w:rPr>
            </w:r>
            <w:r w:rsidR="00B975DD" w:rsidRPr="00B975DD">
              <w:rPr>
                <w:noProof/>
                <w:webHidden/>
              </w:rPr>
              <w:fldChar w:fldCharType="separate"/>
            </w:r>
            <w:r w:rsidR="003905C6">
              <w:rPr>
                <w:noProof/>
                <w:webHidden/>
              </w:rPr>
              <w:t>6</w:t>
            </w:r>
            <w:r w:rsidR="00B975DD" w:rsidRPr="00B975DD">
              <w:rPr>
                <w:noProof/>
                <w:webHidden/>
              </w:rPr>
              <w:fldChar w:fldCharType="end"/>
            </w:r>
          </w:hyperlink>
        </w:p>
        <w:p w14:paraId="7BBA507E"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299" w:history="1">
            <w:r w:rsidR="00B975DD" w:rsidRPr="00B975DD">
              <w:rPr>
                <w:rStyle w:val="Hipervnculo"/>
                <w:noProof/>
                <w:color w:val="auto"/>
              </w:rPr>
              <w:t>a) Competencia del Instituto</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_Toc193960299 \h </w:instrText>
            </w:r>
            <w:r w:rsidR="00B975DD" w:rsidRPr="00B975DD">
              <w:rPr>
                <w:noProof/>
                <w:webHidden/>
              </w:rPr>
            </w:r>
            <w:r w:rsidR="00B975DD" w:rsidRPr="00B975DD">
              <w:rPr>
                <w:noProof/>
                <w:webHidden/>
              </w:rPr>
              <w:fldChar w:fldCharType="separate"/>
            </w:r>
            <w:r w:rsidR="003905C6">
              <w:rPr>
                <w:noProof/>
                <w:webHidden/>
              </w:rPr>
              <w:t>6</w:t>
            </w:r>
            <w:r w:rsidR="00B975DD" w:rsidRPr="00B975DD">
              <w:rPr>
                <w:noProof/>
                <w:webHidden/>
              </w:rPr>
              <w:fldChar w:fldCharType="end"/>
            </w:r>
          </w:hyperlink>
        </w:p>
        <w:p w14:paraId="35AED953"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300" w:history="1">
            <w:r w:rsidR="00B975DD" w:rsidRPr="00B975DD">
              <w:rPr>
                <w:rStyle w:val="Hipervnculo"/>
                <w:noProof/>
                <w:color w:val="auto"/>
              </w:rPr>
              <w:t>b) Legitimidad de la parte recurrente</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_Toc193960300 \h </w:instrText>
            </w:r>
            <w:r w:rsidR="00B975DD" w:rsidRPr="00B975DD">
              <w:rPr>
                <w:noProof/>
                <w:webHidden/>
              </w:rPr>
            </w:r>
            <w:r w:rsidR="00B975DD" w:rsidRPr="00B975DD">
              <w:rPr>
                <w:noProof/>
                <w:webHidden/>
              </w:rPr>
              <w:fldChar w:fldCharType="separate"/>
            </w:r>
            <w:r w:rsidR="003905C6">
              <w:rPr>
                <w:noProof/>
                <w:webHidden/>
              </w:rPr>
              <w:t>6</w:t>
            </w:r>
            <w:r w:rsidR="00B975DD" w:rsidRPr="00B975DD">
              <w:rPr>
                <w:noProof/>
                <w:webHidden/>
              </w:rPr>
              <w:fldChar w:fldCharType="end"/>
            </w:r>
          </w:hyperlink>
        </w:p>
        <w:p w14:paraId="0FD42032"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301" w:history="1">
            <w:r w:rsidR="00B975DD" w:rsidRPr="00B975DD">
              <w:rPr>
                <w:rStyle w:val="Hipervnculo"/>
                <w:rFonts w:eastAsia="Calibri"/>
                <w:noProof/>
                <w:color w:val="auto"/>
                <w:lang w:eastAsia="es-ES_tradnl"/>
              </w:rPr>
              <w:t>c) Plazo para interponer el recurso</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_Toc193960301 \h </w:instrText>
            </w:r>
            <w:r w:rsidR="00B975DD" w:rsidRPr="00B975DD">
              <w:rPr>
                <w:noProof/>
                <w:webHidden/>
              </w:rPr>
            </w:r>
            <w:r w:rsidR="00B975DD" w:rsidRPr="00B975DD">
              <w:rPr>
                <w:noProof/>
                <w:webHidden/>
              </w:rPr>
              <w:fldChar w:fldCharType="separate"/>
            </w:r>
            <w:r w:rsidR="003905C6">
              <w:rPr>
                <w:noProof/>
                <w:webHidden/>
              </w:rPr>
              <w:t>6</w:t>
            </w:r>
            <w:r w:rsidR="00B975DD" w:rsidRPr="00B975DD">
              <w:rPr>
                <w:noProof/>
                <w:webHidden/>
              </w:rPr>
              <w:fldChar w:fldCharType="end"/>
            </w:r>
          </w:hyperlink>
        </w:p>
        <w:p w14:paraId="57E3C5E0"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302" w:history="1">
            <w:r w:rsidR="00B975DD" w:rsidRPr="00B975DD">
              <w:rPr>
                <w:rStyle w:val="Hipervnculo"/>
                <w:rFonts w:eastAsia="Calibri"/>
                <w:noProof/>
                <w:color w:val="auto"/>
                <w:lang w:eastAsia="es-ES_tradnl"/>
              </w:rPr>
              <w:t>d) Causal de procedencia</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_Toc193960302 \h </w:instrText>
            </w:r>
            <w:r w:rsidR="00B975DD" w:rsidRPr="00B975DD">
              <w:rPr>
                <w:noProof/>
                <w:webHidden/>
              </w:rPr>
            </w:r>
            <w:r w:rsidR="00B975DD" w:rsidRPr="00B975DD">
              <w:rPr>
                <w:noProof/>
                <w:webHidden/>
              </w:rPr>
              <w:fldChar w:fldCharType="separate"/>
            </w:r>
            <w:r w:rsidR="003905C6">
              <w:rPr>
                <w:noProof/>
                <w:webHidden/>
              </w:rPr>
              <w:t>7</w:t>
            </w:r>
            <w:r w:rsidR="00B975DD" w:rsidRPr="00B975DD">
              <w:rPr>
                <w:noProof/>
                <w:webHidden/>
              </w:rPr>
              <w:fldChar w:fldCharType="end"/>
            </w:r>
          </w:hyperlink>
        </w:p>
        <w:p w14:paraId="582B068E"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303" w:history="1">
            <w:r w:rsidR="00B975DD" w:rsidRPr="00B975DD">
              <w:rPr>
                <w:rStyle w:val="Hipervnculo"/>
                <w:noProof/>
                <w:color w:val="auto"/>
              </w:rPr>
              <w:t>e) Requisitos formales para la interposición del recurso</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_Toc193960303 \h </w:instrText>
            </w:r>
            <w:r w:rsidR="00B975DD" w:rsidRPr="00B975DD">
              <w:rPr>
                <w:noProof/>
                <w:webHidden/>
              </w:rPr>
            </w:r>
            <w:r w:rsidR="00B975DD" w:rsidRPr="00B975DD">
              <w:rPr>
                <w:noProof/>
                <w:webHidden/>
              </w:rPr>
              <w:fldChar w:fldCharType="separate"/>
            </w:r>
            <w:r w:rsidR="003905C6">
              <w:rPr>
                <w:noProof/>
                <w:webHidden/>
              </w:rPr>
              <w:t>7</w:t>
            </w:r>
            <w:r w:rsidR="00B975DD" w:rsidRPr="00B975DD">
              <w:rPr>
                <w:noProof/>
                <w:webHidden/>
              </w:rPr>
              <w:fldChar w:fldCharType="end"/>
            </w:r>
          </w:hyperlink>
        </w:p>
        <w:p w14:paraId="05A749CF"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304" w:history="1">
            <w:r w:rsidR="00B975DD" w:rsidRPr="00B975DD">
              <w:rPr>
                <w:rStyle w:val="Hipervnculo"/>
                <w:noProof/>
                <w:color w:val="auto"/>
              </w:rPr>
              <w:t>f) Acumulación de los Recursos de Revisión</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_Toc193960304 \h </w:instrText>
            </w:r>
            <w:r w:rsidR="00B975DD" w:rsidRPr="00B975DD">
              <w:rPr>
                <w:noProof/>
                <w:webHidden/>
              </w:rPr>
            </w:r>
            <w:r w:rsidR="00B975DD" w:rsidRPr="00B975DD">
              <w:rPr>
                <w:noProof/>
                <w:webHidden/>
              </w:rPr>
              <w:fldChar w:fldCharType="separate"/>
            </w:r>
            <w:r w:rsidR="003905C6">
              <w:rPr>
                <w:noProof/>
                <w:webHidden/>
              </w:rPr>
              <w:t>8</w:t>
            </w:r>
            <w:r w:rsidR="00B975DD" w:rsidRPr="00B975DD">
              <w:rPr>
                <w:noProof/>
                <w:webHidden/>
              </w:rPr>
              <w:fldChar w:fldCharType="end"/>
            </w:r>
          </w:hyperlink>
        </w:p>
        <w:p w14:paraId="7DC743F7" w14:textId="77777777" w:rsidR="00B975DD" w:rsidRPr="00B975DD" w:rsidRDefault="00250DD0" w:rsidP="00B975DD">
          <w:pPr>
            <w:pStyle w:val="TDC2"/>
            <w:rPr>
              <w:rFonts w:asciiTheme="minorHAnsi" w:eastAsiaTheme="minorEastAsia" w:hAnsiTheme="minorHAnsi" w:cstheme="minorBidi"/>
              <w:noProof/>
              <w:szCs w:val="22"/>
              <w:lang w:eastAsia="es-MX"/>
            </w:rPr>
          </w:pPr>
          <w:hyperlink w:anchor="_Toc193960305" w:history="1">
            <w:r w:rsidR="00B975DD" w:rsidRPr="00B975DD">
              <w:rPr>
                <w:rStyle w:val="Hipervnculo"/>
                <w:noProof/>
                <w:color w:val="auto"/>
              </w:rPr>
              <w:t>SEGUNDO. Estudio de Fondo</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_Toc193960305 \h </w:instrText>
            </w:r>
            <w:r w:rsidR="00B975DD" w:rsidRPr="00B975DD">
              <w:rPr>
                <w:noProof/>
                <w:webHidden/>
              </w:rPr>
            </w:r>
            <w:r w:rsidR="00B975DD" w:rsidRPr="00B975DD">
              <w:rPr>
                <w:noProof/>
                <w:webHidden/>
              </w:rPr>
              <w:fldChar w:fldCharType="separate"/>
            </w:r>
            <w:r w:rsidR="003905C6">
              <w:rPr>
                <w:noProof/>
                <w:webHidden/>
              </w:rPr>
              <w:t>8</w:t>
            </w:r>
            <w:r w:rsidR="00B975DD" w:rsidRPr="00B975DD">
              <w:rPr>
                <w:noProof/>
                <w:webHidden/>
              </w:rPr>
              <w:fldChar w:fldCharType="end"/>
            </w:r>
          </w:hyperlink>
        </w:p>
        <w:p w14:paraId="60875CA8"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306" w:history="1">
            <w:r w:rsidR="00B975DD" w:rsidRPr="00B975DD">
              <w:rPr>
                <w:rStyle w:val="Hipervnculo"/>
                <w:noProof/>
                <w:color w:val="auto"/>
              </w:rPr>
              <w:t>a) Mandato de transparencia y responsabilidad del Sujeto Obligado</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_Toc193960306 \h </w:instrText>
            </w:r>
            <w:r w:rsidR="00B975DD" w:rsidRPr="00B975DD">
              <w:rPr>
                <w:noProof/>
                <w:webHidden/>
              </w:rPr>
            </w:r>
            <w:r w:rsidR="00B975DD" w:rsidRPr="00B975DD">
              <w:rPr>
                <w:noProof/>
                <w:webHidden/>
              </w:rPr>
              <w:fldChar w:fldCharType="separate"/>
            </w:r>
            <w:r w:rsidR="003905C6">
              <w:rPr>
                <w:noProof/>
                <w:webHidden/>
              </w:rPr>
              <w:t>8</w:t>
            </w:r>
            <w:r w:rsidR="00B975DD" w:rsidRPr="00B975DD">
              <w:rPr>
                <w:noProof/>
                <w:webHidden/>
              </w:rPr>
              <w:fldChar w:fldCharType="end"/>
            </w:r>
          </w:hyperlink>
        </w:p>
        <w:p w14:paraId="43FA71AC"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307" w:history="1">
            <w:r w:rsidR="00B975DD" w:rsidRPr="00B975DD">
              <w:rPr>
                <w:rStyle w:val="Hipervnculo"/>
                <w:rFonts w:eastAsia="Calibri"/>
                <w:noProof/>
                <w:color w:val="auto"/>
                <w:lang w:eastAsia="es-ES_tradnl"/>
              </w:rPr>
              <w:t>b) Controversia a resolver</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_Toc193960307 \h </w:instrText>
            </w:r>
            <w:r w:rsidR="00B975DD" w:rsidRPr="00B975DD">
              <w:rPr>
                <w:noProof/>
                <w:webHidden/>
              </w:rPr>
            </w:r>
            <w:r w:rsidR="00B975DD" w:rsidRPr="00B975DD">
              <w:rPr>
                <w:noProof/>
                <w:webHidden/>
              </w:rPr>
              <w:fldChar w:fldCharType="separate"/>
            </w:r>
            <w:r w:rsidR="003905C6">
              <w:rPr>
                <w:noProof/>
                <w:webHidden/>
              </w:rPr>
              <w:t>11</w:t>
            </w:r>
            <w:r w:rsidR="00B975DD" w:rsidRPr="00B975DD">
              <w:rPr>
                <w:noProof/>
                <w:webHidden/>
              </w:rPr>
              <w:fldChar w:fldCharType="end"/>
            </w:r>
          </w:hyperlink>
        </w:p>
        <w:p w14:paraId="79E7A8C0"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308" w:history="1">
            <w:r w:rsidR="00B975DD" w:rsidRPr="00B975DD">
              <w:rPr>
                <w:rStyle w:val="Hipervnculo"/>
                <w:noProof/>
                <w:color w:val="auto"/>
              </w:rPr>
              <w:t>c) Estudio de la controversia</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_Toc193960308 \h </w:instrText>
            </w:r>
            <w:r w:rsidR="00B975DD" w:rsidRPr="00B975DD">
              <w:rPr>
                <w:noProof/>
                <w:webHidden/>
              </w:rPr>
            </w:r>
            <w:r w:rsidR="00B975DD" w:rsidRPr="00B975DD">
              <w:rPr>
                <w:noProof/>
                <w:webHidden/>
              </w:rPr>
              <w:fldChar w:fldCharType="separate"/>
            </w:r>
            <w:r w:rsidR="003905C6">
              <w:rPr>
                <w:noProof/>
                <w:webHidden/>
              </w:rPr>
              <w:t>12</w:t>
            </w:r>
            <w:r w:rsidR="00B975DD" w:rsidRPr="00B975DD">
              <w:rPr>
                <w:noProof/>
                <w:webHidden/>
              </w:rPr>
              <w:fldChar w:fldCharType="end"/>
            </w:r>
          </w:hyperlink>
        </w:p>
        <w:p w14:paraId="4741C2B7"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309" w:history="1">
            <w:r w:rsidR="00B975DD" w:rsidRPr="00B975DD">
              <w:rPr>
                <w:rStyle w:val="Hipervnculo"/>
                <w:noProof/>
                <w:color w:val="auto"/>
              </w:rPr>
              <w:t>d) Versión pública</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_Toc193960309 \h </w:instrText>
            </w:r>
            <w:r w:rsidR="00B975DD" w:rsidRPr="00B975DD">
              <w:rPr>
                <w:noProof/>
                <w:webHidden/>
              </w:rPr>
            </w:r>
            <w:r w:rsidR="00B975DD" w:rsidRPr="00B975DD">
              <w:rPr>
                <w:noProof/>
                <w:webHidden/>
              </w:rPr>
              <w:fldChar w:fldCharType="separate"/>
            </w:r>
            <w:r w:rsidR="003905C6">
              <w:rPr>
                <w:noProof/>
                <w:webHidden/>
              </w:rPr>
              <w:t>20</w:t>
            </w:r>
            <w:r w:rsidR="00B975DD" w:rsidRPr="00B975DD">
              <w:rPr>
                <w:noProof/>
                <w:webHidden/>
              </w:rPr>
              <w:fldChar w:fldCharType="end"/>
            </w:r>
          </w:hyperlink>
        </w:p>
        <w:p w14:paraId="40D7AEC9" w14:textId="77777777" w:rsidR="00B975DD" w:rsidRPr="00B975DD" w:rsidRDefault="00250DD0" w:rsidP="00B975DD">
          <w:pPr>
            <w:pStyle w:val="TDC3"/>
            <w:rPr>
              <w:rFonts w:asciiTheme="minorHAnsi" w:eastAsiaTheme="minorEastAsia" w:hAnsiTheme="minorHAnsi" w:cstheme="minorBidi"/>
              <w:noProof/>
              <w:szCs w:val="22"/>
              <w:lang w:eastAsia="es-MX"/>
            </w:rPr>
          </w:pPr>
          <w:hyperlink w:anchor="_Toc193960310" w:history="1">
            <w:r w:rsidR="00B975DD" w:rsidRPr="00B975DD">
              <w:rPr>
                <w:rStyle w:val="Hipervnculo"/>
                <w:noProof/>
                <w:color w:val="auto"/>
              </w:rPr>
              <w:t>e) Conclusión</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_Toc193960310 \h </w:instrText>
            </w:r>
            <w:r w:rsidR="00B975DD" w:rsidRPr="00B975DD">
              <w:rPr>
                <w:noProof/>
                <w:webHidden/>
              </w:rPr>
            </w:r>
            <w:r w:rsidR="00B975DD" w:rsidRPr="00B975DD">
              <w:rPr>
                <w:noProof/>
                <w:webHidden/>
              </w:rPr>
              <w:fldChar w:fldCharType="separate"/>
            </w:r>
            <w:r w:rsidR="003905C6">
              <w:rPr>
                <w:noProof/>
                <w:webHidden/>
              </w:rPr>
              <w:t>27</w:t>
            </w:r>
            <w:r w:rsidR="00B975DD" w:rsidRPr="00B975DD">
              <w:rPr>
                <w:noProof/>
                <w:webHidden/>
              </w:rPr>
              <w:fldChar w:fldCharType="end"/>
            </w:r>
          </w:hyperlink>
        </w:p>
        <w:p w14:paraId="2D5939BA" w14:textId="77777777" w:rsidR="00B975DD" w:rsidRPr="00B975DD" w:rsidRDefault="00250DD0" w:rsidP="00B975DD">
          <w:pPr>
            <w:pStyle w:val="TDC1"/>
            <w:tabs>
              <w:tab w:val="right" w:leader="dot" w:pos="9034"/>
            </w:tabs>
            <w:rPr>
              <w:rFonts w:asciiTheme="minorHAnsi" w:eastAsiaTheme="minorEastAsia" w:hAnsiTheme="minorHAnsi" w:cstheme="minorBidi"/>
              <w:noProof/>
              <w:szCs w:val="22"/>
              <w:lang w:eastAsia="es-MX"/>
            </w:rPr>
          </w:pPr>
          <w:hyperlink w:anchor="_Toc193960311" w:history="1">
            <w:r w:rsidR="00B975DD" w:rsidRPr="00B975DD">
              <w:rPr>
                <w:rStyle w:val="Hipervnculo"/>
                <w:noProof/>
                <w:color w:val="auto"/>
              </w:rPr>
              <w:t>RESUELVE</w:t>
            </w:r>
            <w:r w:rsidR="00B975DD" w:rsidRPr="00B975DD">
              <w:rPr>
                <w:noProof/>
                <w:webHidden/>
              </w:rPr>
              <w:tab/>
            </w:r>
            <w:r w:rsidR="00B975DD" w:rsidRPr="00B975DD">
              <w:rPr>
                <w:noProof/>
                <w:webHidden/>
              </w:rPr>
              <w:fldChar w:fldCharType="begin"/>
            </w:r>
            <w:r w:rsidR="00B975DD" w:rsidRPr="00B975DD">
              <w:rPr>
                <w:noProof/>
                <w:webHidden/>
              </w:rPr>
              <w:instrText xml:space="preserve"> PAGEREF _Toc193960311 \h </w:instrText>
            </w:r>
            <w:r w:rsidR="00B975DD" w:rsidRPr="00B975DD">
              <w:rPr>
                <w:noProof/>
                <w:webHidden/>
              </w:rPr>
            </w:r>
            <w:r w:rsidR="00B975DD" w:rsidRPr="00B975DD">
              <w:rPr>
                <w:noProof/>
                <w:webHidden/>
              </w:rPr>
              <w:fldChar w:fldCharType="separate"/>
            </w:r>
            <w:r w:rsidR="003905C6">
              <w:rPr>
                <w:noProof/>
                <w:webHidden/>
              </w:rPr>
              <w:t>28</w:t>
            </w:r>
            <w:r w:rsidR="00B975DD" w:rsidRPr="00B975DD">
              <w:rPr>
                <w:noProof/>
                <w:webHidden/>
              </w:rPr>
              <w:fldChar w:fldCharType="end"/>
            </w:r>
          </w:hyperlink>
        </w:p>
        <w:p w14:paraId="0C82FD7A" w14:textId="56536608" w:rsidR="009B2945" w:rsidRPr="00B975DD" w:rsidRDefault="00AE3DA7" w:rsidP="00B975DD">
          <w:pPr>
            <w:spacing w:line="240" w:lineRule="auto"/>
            <w:rPr>
              <w:b/>
              <w:bCs/>
              <w:lang w:val="es-ES"/>
            </w:rPr>
          </w:pPr>
          <w:r w:rsidRPr="00B975DD">
            <w:rPr>
              <w:b/>
              <w:bCs/>
              <w:sz w:val="16"/>
              <w:szCs w:val="16"/>
              <w:lang w:val="es-ES"/>
            </w:rPr>
            <w:fldChar w:fldCharType="end"/>
          </w:r>
        </w:p>
      </w:sdtContent>
    </w:sdt>
    <w:p w14:paraId="603A07E2" w14:textId="77777777" w:rsidR="00646436" w:rsidRPr="00B975DD" w:rsidRDefault="00646436" w:rsidP="00B975DD">
      <w:pPr>
        <w:rPr>
          <w:rFonts w:cs="Tahoma"/>
          <w:szCs w:val="22"/>
        </w:rPr>
        <w:sectPr w:rsidR="00646436" w:rsidRPr="00B975D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5EEAD79" w:rsidR="00775BFC" w:rsidRPr="00B975DD" w:rsidRDefault="00775BFC" w:rsidP="00B975DD">
      <w:r w:rsidRPr="00B975DD">
        <w:lastRenderedPageBreak/>
        <w:t>Resolución del Pleno del Instituto de Transparencia, Acceso a la Información Pública y Protección de Datos Personales del Estado de México y Municipios, con domicilio e</w:t>
      </w:r>
      <w:r w:rsidR="004D0573" w:rsidRPr="00B975DD">
        <w:t>n Metepec, Estado de México, de</w:t>
      </w:r>
      <w:r w:rsidR="00B975DD" w:rsidRPr="00B975DD">
        <w:t>l</w:t>
      </w:r>
      <w:r w:rsidR="004D0573" w:rsidRPr="00B975DD">
        <w:t xml:space="preserve"> </w:t>
      </w:r>
      <w:r w:rsidR="00F6527B" w:rsidRPr="00B975DD">
        <w:rPr>
          <w:b/>
        </w:rPr>
        <w:t xml:space="preserve">veintiséis </w:t>
      </w:r>
      <w:r w:rsidR="00DE63D9" w:rsidRPr="00B975DD">
        <w:rPr>
          <w:b/>
        </w:rPr>
        <w:t>de marzo de dos mil veinticinco</w:t>
      </w:r>
      <w:r w:rsidRPr="00B975DD">
        <w:t>.</w:t>
      </w:r>
    </w:p>
    <w:p w14:paraId="0AF3AAC4" w14:textId="77777777" w:rsidR="00775BFC" w:rsidRPr="00B975DD" w:rsidRDefault="00775BFC" w:rsidP="00B975DD"/>
    <w:p w14:paraId="40EAE038" w14:textId="1CA8BB1E" w:rsidR="00775BFC" w:rsidRPr="00B975DD" w:rsidRDefault="00775BFC" w:rsidP="00B975DD">
      <w:r w:rsidRPr="00B975DD">
        <w:rPr>
          <w:b/>
        </w:rPr>
        <w:t xml:space="preserve">VISTO </w:t>
      </w:r>
      <w:r w:rsidR="008F2666" w:rsidRPr="00B975DD">
        <w:t>los</w:t>
      </w:r>
      <w:r w:rsidRPr="00B975DD">
        <w:t xml:space="preserve"> expediente</w:t>
      </w:r>
      <w:r w:rsidR="008F2666" w:rsidRPr="00B975DD">
        <w:t>s</w:t>
      </w:r>
      <w:r w:rsidRPr="00B975DD">
        <w:t xml:space="preserve"> formado</w:t>
      </w:r>
      <w:r w:rsidR="008F2666" w:rsidRPr="00B975DD">
        <w:t>s</w:t>
      </w:r>
      <w:r w:rsidRPr="00B975DD">
        <w:t xml:space="preserve"> con motivo de</w:t>
      </w:r>
      <w:r w:rsidR="008F2666" w:rsidRPr="00B975DD">
        <w:t xml:space="preserve"> los</w:t>
      </w:r>
      <w:r w:rsidRPr="00B975DD">
        <w:t xml:space="preserve"> Recurso</w:t>
      </w:r>
      <w:r w:rsidR="008F2666" w:rsidRPr="00B975DD">
        <w:t>s</w:t>
      </w:r>
      <w:r w:rsidRPr="00B975DD">
        <w:t xml:space="preserve"> de Revisión </w:t>
      </w:r>
      <w:r w:rsidR="00DE63D9" w:rsidRPr="00B975DD">
        <w:rPr>
          <w:rFonts w:eastAsia="Calibri"/>
          <w:b/>
          <w:lang w:eastAsia="en-US"/>
        </w:rPr>
        <w:t>0</w:t>
      </w:r>
      <w:r w:rsidR="00272BC7" w:rsidRPr="00B975DD">
        <w:rPr>
          <w:rFonts w:eastAsia="Calibri"/>
          <w:b/>
          <w:lang w:eastAsia="en-US"/>
        </w:rPr>
        <w:t>1</w:t>
      </w:r>
      <w:r w:rsidR="00F6527B" w:rsidRPr="00B975DD">
        <w:rPr>
          <w:rFonts w:eastAsia="Calibri"/>
          <w:b/>
          <w:lang w:eastAsia="en-US"/>
        </w:rPr>
        <w:t>032</w:t>
      </w:r>
      <w:r w:rsidR="00DE63D9" w:rsidRPr="00B975DD">
        <w:rPr>
          <w:rFonts w:eastAsia="Calibri"/>
          <w:b/>
          <w:lang w:eastAsia="en-US"/>
        </w:rPr>
        <w:t>/INFOEM/IP/RR/2025</w:t>
      </w:r>
      <w:r w:rsidR="00F6527B" w:rsidRPr="00B975DD">
        <w:rPr>
          <w:rFonts w:eastAsia="Calibri"/>
          <w:b/>
          <w:lang w:eastAsia="en-US"/>
        </w:rPr>
        <w:t xml:space="preserve"> </w:t>
      </w:r>
      <w:r w:rsidR="008F2666" w:rsidRPr="00B975DD">
        <w:rPr>
          <w:rFonts w:eastAsia="Calibri"/>
          <w:lang w:eastAsia="en-US"/>
        </w:rPr>
        <w:t>y</w:t>
      </w:r>
      <w:r w:rsidR="008F2666" w:rsidRPr="00B975DD">
        <w:rPr>
          <w:rFonts w:eastAsia="Calibri"/>
          <w:b/>
          <w:lang w:eastAsia="en-US"/>
        </w:rPr>
        <w:t xml:space="preserve"> </w:t>
      </w:r>
      <w:r w:rsidR="00DE63D9" w:rsidRPr="00B975DD">
        <w:rPr>
          <w:rFonts w:eastAsia="Calibri"/>
          <w:b/>
          <w:lang w:eastAsia="en-US"/>
        </w:rPr>
        <w:t>0</w:t>
      </w:r>
      <w:r w:rsidR="00272BC7" w:rsidRPr="00B975DD">
        <w:rPr>
          <w:rFonts w:eastAsia="Calibri"/>
          <w:b/>
          <w:lang w:eastAsia="en-US"/>
        </w:rPr>
        <w:t>1</w:t>
      </w:r>
      <w:r w:rsidR="00F6527B" w:rsidRPr="00B975DD">
        <w:rPr>
          <w:rFonts w:eastAsia="Calibri"/>
          <w:b/>
          <w:lang w:eastAsia="en-US"/>
        </w:rPr>
        <w:t>305</w:t>
      </w:r>
      <w:r w:rsidR="00DE63D9" w:rsidRPr="00B975DD">
        <w:rPr>
          <w:rFonts w:eastAsia="Calibri"/>
          <w:b/>
          <w:lang w:eastAsia="en-US"/>
        </w:rPr>
        <w:t>/INFOEM/IP/RR/2025</w:t>
      </w:r>
      <w:r w:rsidR="00DE63D9" w:rsidRPr="00B975DD">
        <w:rPr>
          <w:rFonts w:eastAsia="Calibri"/>
          <w:lang w:eastAsia="en-US"/>
        </w:rPr>
        <w:t xml:space="preserve">, </w:t>
      </w:r>
      <w:r w:rsidRPr="00B975DD">
        <w:t>interpuesto</w:t>
      </w:r>
      <w:r w:rsidR="008F2666" w:rsidRPr="00B975DD">
        <w:t>s</w:t>
      </w:r>
      <w:r w:rsidRPr="00B975DD">
        <w:t xml:space="preserve"> por </w:t>
      </w:r>
      <w:r w:rsidR="00272BC7" w:rsidRPr="00B975DD">
        <w:rPr>
          <w:rFonts w:eastAsia="Palatino Linotype" w:cs="Palatino Linotype"/>
          <w:b/>
        </w:rPr>
        <w:t>una persona de manera anónima</w:t>
      </w:r>
      <w:r w:rsidR="008F2666" w:rsidRPr="00B975DD">
        <w:rPr>
          <w:rFonts w:eastAsia="Palatino Linotype" w:cs="Palatino Linotype"/>
        </w:rPr>
        <w:t>,</w:t>
      </w:r>
      <w:r w:rsidRPr="00B975DD">
        <w:t xml:space="preserve"> a quien en lo subsecuente se le denominará </w:t>
      </w:r>
      <w:r w:rsidRPr="00B975DD">
        <w:rPr>
          <w:b/>
          <w:bCs/>
        </w:rPr>
        <w:t>LA PARTE RECURRENTE</w:t>
      </w:r>
      <w:r w:rsidRPr="00B975DD">
        <w:t>, en contra de la</w:t>
      </w:r>
      <w:r w:rsidR="008F2666" w:rsidRPr="00B975DD">
        <w:t>s</w:t>
      </w:r>
      <w:r w:rsidRPr="00B975DD">
        <w:t xml:space="preserve"> </w:t>
      </w:r>
      <w:r w:rsidR="00773DD6" w:rsidRPr="00B975DD">
        <w:t>respuesta</w:t>
      </w:r>
      <w:r w:rsidR="008F2666" w:rsidRPr="00B975DD">
        <w:t>s</w:t>
      </w:r>
      <w:r w:rsidR="00773DD6" w:rsidRPr="00B975DD">
        <w:t xml:space="preserve"> </w:t>
      </w:r>
      <w:r w:rsidR="00BA1AB6" w:rsidRPr="00B975DD">
        <w:t>de</w:t>
      </w:r>
      <w:r w:rsidR="00773DD6" w:rsidRPr="00B975DD">
        <w:t xml:space="preserve">l </w:t>
      </w:r>
      <w:r w:rsidR="008F2666" w:rsidRPr="00B975DD">
        <w:rPr>
          <w:b/>
          <w:bCs/>
        </w:rPr>
        <w:t xml:space="preserve">Ayuntamiento de </w:t>
      </w:r>
      <w:r w:rsidR="00F6527B" w:rsidRPr="00B975DD">
        <w:rPr>
          <w:b/>
          <w:bCs/>
        </w:rPr>
        <w:t>Atlacomulco</w:t>
      </w:r>
      <w:r w:rsidRPr="00B975DD">
        <w:rPr>
          <w:b/>
          <w:bCs/>
        </w:rPr>
        <w:t>,</w:t>
      </w:r>
      <w:r w:rsidRPr="00B975DD">
        <w:t xml:space="preserve"> en adelante </w:t>
      </w:r>
      <w:r w:rsidRPr="00B975DD">
        <w:rPr>
          <w:b/>
          <w:bCs/>
        </w:rPr>
        <w:t>EL SUJETO OBLIGADO</w:t>
      </w:r>
      <w:r w:rsidRPr="00B975DD">
        <w:rPr>
          <w:rFonts w:eastAsia="Calibri"/>
          <w:lang w:eastAsia="en-US"/>
        </w:rPr>
        <w:t xml:space="preserve">, </w:t>
      </w:r>
      <w:r w:rsidRPr="00B975DD">
        <w:t>se emite la presente Resolución con base en los Antecedentes y Considerandos que se exponen a continuación:</w:t>
      </w:r>
    </w:p>
    <w:p w14:paraId="2116968C" w14:textId="77777777" w:rsidR="00775BFC" w:rsidRPr="00B975DD" w:rsidRDefault="00775BFC" w:rsidP="00B975DD"/>
    <w:p w14:paraId="5A444FB6" w14:textId="639D3567" w:rsidR="00664420" w:rsidRPr="00B975DD" w:rsidRDefault="00664420" w:rsidP="00B975DD">
      <w:pPr>
        <w:pStyle w:val="Ttulo1"/>
      </w:pPr>
      <w:bookmarkStart w:id="3" w:name="_Toc193960284"/>
      <w:r w:rsidRPr="00B975DD">
        <w:t>ANTECEDENTES</w:t>
      </w:r>
      <w:bookmarkEnd w:id="3"/>
    </w:p>
    <w:p w14:paraId="5CB5034E" w14:textId="77777777" w:rsidR="00AC2DB8" w:rsidRPr="00B975DD" w:rsidRDefault="00AC2DB8" w:rsidP="00B975DD"/>
    <w:p w14:paraId="09B2D38F" w14:textId="0EBC2D68" w:rsidR="00664420" w:rsidRPr="00B975DD" w:rsidRDefault="00E37A3F" w:rsidP="00B975DD">
      <w:pPr>
        <w:pStyle w:val="Ttulo2"/>
      </w:pPr>
      <w:bookmarkStart w:id="4" w:name="_Toc193960285"/>
      <w:r w:rsidRPr="00B975DD">
        <w:t>DE LA</w:t>
      </w:r>
      <w:r w:rsidR="008F2666" w:rsidRPr="00B975DD">
        <w:t>S</w:t>
      </w:r>
      <w:r w:rsidRPr="00B975DD">
        <w:t xml:space="preserve"> SOLICITUD</w:t>
      </w:r>
      <w:r w:rsidR="008F2666" w:rsidRPr="00B975DD">
        <w:t>ES</w:t>
      </w:r>
      <w:r w:rsidRPr="00B975DD">
        <w:t xml:space="preserve"> DE INFORMACIÓN</w:t>
      </w:r>
      <w:bookmarkEnd w:id="4"/>
    </w:p>
    <w:p w14:paraId="2C6AD1A5" w14:textId="1C762CA2" w:rsidR="00664420" w:rsidRPr="00B975DD" w:rsidRDefault="00E37A3F" w:rsidP="00B975DD">
      <w:pPr>
        <w:pStyle w:val="Ttulo3"/>
      </w:pPr>
      <w:bookmarkStart w:id="5" w:name="_Toc193960286"/>
      <w:r w:rsidRPr="00B975DD">
        <w:t xml:space="preserve">a) </w:t>
      </w:r>
      <w:r w:rsidR="006B10B0" w:rsidRPr="00B975DD">
        <w:t>S</w:t>
      </w:r>
      <w:r w:rsidR="00664420" w:rsidRPr="00B975DD">
        <w:t>olicitud</w:t>
      </w:r>
      <w:r w:rsidR="008F2666" w:rsidRPr="00B975DD">
        <w:t>es</w:t>
      </w:r>
      <w:r w:rsidR="00664420" w:rsidRPr="00B975DD">
        <w:t xml:space="preserve"> de </w:t>
      </w:r>
      <w:r w:rsidR="006B10B0" w:rsidRPr="00B975DD">
        <w:t>i</w:t>
      </w:r>
      <w:r w:rsidR="00664420" w:rsidRPr="00B975DD">
        <w:t>nformación</w:t>
      </w:r>
      <w:bookmarkEnd w:id="5"/>
    </w:p>
    <w:p w14:paraId="06DCD29D" w14:textId="16D26D60" w:rsidR="009A2D78" w:rsidRPr="00B975DD" w:rsidRDefault="006B10B0" w:rsidP="00B975DD">
      <w:pPr>
        <w:pStyle w:val="Prrafodelista"/>
        <w:tabs>
          <w:tab w:val="left" w:pos="0"/>
        </w:tabs>
        <w:ind w:left="0"/>
        <w:contextualSpacing w:val="0"/>
        <w:rPr>
          <w:rFonts w:cs="Tahoma"/>
        </w:rPr>
      </w:pPr>
      <w:r w:rsidRPr="00B975DD">
        <w:rPr>
          <w:rFonts w:cs="Tahoma"/>
        </w:rPr>
        <w:t>El</w:t>
      </w:r>
      <w:r w:rsidR="00664420" w:rsidRPr="00B975DD">
        <w:rPr>
          <w:rFonts w:cs="Tahoma"/>
        </w:rPr>
        <w:t xml:space="preserve"> </w:t>
      </w:r>
      <w:r w:rsidR="00272BC7" w:rsidRPr="00B975DD">
        <w:rPr>
          <w:rFonts w:cs="Tahoma"/>
          <w:b/>
          <w:bCs/>
        </w:rPr>
        <w:t xml:space="preserve">dieciséis </w:t>
      </w:r>
      <w:r w:rsidR="00F6527B" w:rsidRPr="00B975DD">
        <w:rPr>
          <w:rFonts w:cs="Tahoma"/>
          <w:b/>
          <w:bCs/>
        </w:rPr>
        <w:t>y veintiuno de enero de dos mil veinticinco</w:t>
      </w:r>
      <w:r w:rsidR="00664420" w:rsidRPr="00B975DD">
        <w:rPr>
          <w:rFonts w:cs="Tahoma"/>
        </w:rPr>
        <w:t xml:space="preserve">, </w:t>
      </w:r>
      <w:r w:rsidRPr="00B975DD">
        <w:rPr>
          <w:b/>
          <w:bCs/>
        </w:rPr>
        <w:t>LA PARTE RECURRENTE</w:t>
      </w:r>
      <w:r w:rsidR="00664420" w:rsidRPr="00B975DD">
        <w:rPr>
          <w:rFonts w:cs="Tahoma"/>
        </w:rPr>
        <w:t xml:space="preserve"> presentó </w:t>
      </w:r>
      <w:r w:rsidR="008F2666" w:rsidRPr="00B975DD">
        <w:rPr>
          <w:rFonts w:cs="Tahoma"/>
        </w:rPr>
        <w:t>las</w:t>
      </w:r>
      <w:r w:rsidR="00664420" w:rsidRPr="00B975DD">
        <w:rPr>
          <w:rFonts w:cs="Tahoma"/>
        </w:rPr>
        <w:t xml:space="preserve"> solicitud</w:t>
      </w:r>
      <w:r w:rsidR="008F2666" w:rsidRPr="00B975DD">
        <w:rPr>
          <w:rFonts w:cs="Tahoma"/>
        </w:rPr>
        <w:t>es</w:t>
      </w:r>
      <w:r w:rsidR="00664420" w:rsidRPr="00B975DD">
        <w:rPr>
          <w:rFonts w:cs="Tahoma"/>
        </w:rPr>
        <w:t xml:space="preserve"> de acceso a la información pública </w:t>
      </w:r>
      <w:r w:rsidR="001F3515" w:rsidRPr="00B975DD">
        <w:rPr>
          <w:rFonts w:cs="Tahoma"/>
        </w:rPr>
        <w:t xml:space="preserve">ante el </w:t>
      </w:r>
      <w:r w:rsidR="001F3515" w:rsidRPr="00B975DD">
        <w:rPr>
          <w:rFonts w:cs="Tahoma"/>
          <w:b/>
          <w:bCs/>
        </w:rPr>
        <w:t>SUJETO OBLIGADO</w:t>
      </w:r>
      <w:r w:rsidR="001F3515" w:rsidRPr="00B975DD">
        <w:rPr>
          <w:rFonts w:cs="Tahoma"/>
        </w:rPr>
        <w:t xml:space="preserve">, </w:t>
      </w:r>
      <w:r w:rsidR="00664420" w:rsidRPr="00B975DD">
        <w:rPr>
          <w:rFonts w:cs="Tahoma"/>
        </w:rPr>
        <w:t>a través del Sistema de Acceso a la Información Mexiquense</w:t>
      </w:r>
      <w:r w:rsidRPr="00B975DD">
        <w:rPr>
          <w:rFonts w:cs="Tahoma"/>
        </w:rPr>
        <w:t xml:space="preserve"> </w:t>
      </w:r>
      <w:r w:rsidR="009A2D78" w:rsidRPr="00B975DD">
        <w:rPr>
          <w:rFonts w:cs="Tahoma"/>
        </w:rPr>
        <w:t>(</w:t>
      </w:r>
      <w:r w:rsidRPr="00B975DD">
        <w:rPr>
          <w:rFonts w:cs="Tahoma"/>
        </w:rPr>
        <w:t>SAIMEX</w:t>
      </w:r>
      <w:r w:rsidR="009A2D78" w:rsidRPr="00B975DD">
        <w:rPr>
          <w:rFonts w:cs="Tahoma"/>
        </w:rPr>
        <w:t>). Dicha</w:t>
      </w:r>
      <w:r w:rsidR="008F2666" w:rsidRPr="00B975DD">
        <w:rPr>
          <w:rFonts w:cs="Tahoma"/>
        </w:rPr>
        <w:t>s</w:t>
      </w:r>
      <w:r w:rsidR="009A2D78" w:rsidRPr="00B975DD">
        <w:rPr>
          <w:rFonts w:cs="Tahoma"/>
        </w:rPr>
        <w:t xml:space="preserve"> solicitud</w:t>
      </w:r>
      <w:r w:rsidR="008F2666" w:rsidRPr="00B975DD">
        <w:rPr>
          <w:rFonts w:cs="Tahoma"/>
        </w:rPr>
        <w:t>es</w:t>
      </w:r>
      <w:r w:rsidR="009A2D78" w:rsidRPr="00B975DD">
        <w:rPr>
          <w:rFonts w:cs="Tahoma"/>
        </w:rPr>
        <w:t xml:space="preserve"> qued</w:t>
      </w:r>
      <w:r w:rsidR="008F2666" w:rsidRPr="00B975DD">
        <w:rPr>
          <w:rFonts w:cs="Tahoma"/>
        </w:rPr>
        <w:t>aron</w:t>
      </w:r>
      <w:r w:rsidRPr="00B975DD">
        <w:rPr>
          <w:rFonts w:cs="Tahoma"/>
        </w:rPr>
        <w:t xml:space="preserve"> registrada</w:t>
      </w:r>
      <w:r w:rsidR="008F2666" w:rsidRPr="00B975DD">
        <w:rPr>
          <w:rFonts w:cs="Tahoma"/>
        </w:rPr>
        <w:t>s</w:t>
      </w:r>
      <w:r w:rsidRPr="00B975DD">
        <w:rPr>
          <w:rFonts w:cs="Tahoma"/>
        </w:rPr>
        <w:t xml:space="preserve"> c</w:t>
      </w:r>
      <w:r w:rsidR="008F2666" w:rsidRPr="00B975DD">
        <w:rPr>
          <w:rFonts w:cs="Tahoma"/>
        </w:rPr>
        <w:t xml:space="preserve">on </w:t>
      </w:r>
      <w:r w:rsidR="00664420" w:rsidRPr="00B975DD">
        <w:rPr>
          <w:rFonts w:cs="Tahoma"/>
        </w:rPr>
        <w:t>l</w:t>
      </w:r>
      <w:r w:rsidR="008F2666" w:rsidRPr="00B975DD">
        <w:rPr>
          <w:rFonts w:cs="Tahoma"/>
        </w:rPr>
        <w:t>os</w:t>
      </w:r>
      <w:r w:rsidR="00664420" w:rsidRPr="00B975DD">
        <w:rPr>
          <w:rFonts w:cs="Tahoma"/>
        </w:rPr>
        <w:t xml:space="preserve"> número</w:t>
      </w:r>
      <w:r w:rsidR="008F2666" w:rsidRPr="00B975DD">
        <w:rPr>
          <w:rFonts w:cs="Tahoma"/>
        </w:rPr>
        <w:t>s</w:t>
      </w:r>
      <w:r w:rsidR="00664420" w:rsidRPr="00B975DD">
        <w:rPr>
          <w:rFonts w:cs="Tahoma"/>
        </w:rPr>
        <w:t xml:space="preserve"> de folio</w:t>
      </w:r>
      <w:r w:rsidR="00664420" w:rsidRPr="00B975DD">
        <w:rPr>
          <w:rFonts w:cs="Tahoma"/>
          <w:b/>
          <w:bCs/>
        </w:rPr>
        <w:t xml:space="preserve"> </w:t>
      </w:r>
      <w:r w:rsidR="00F6527B" w:rsidRPr="00B975DD">
        <w:rPr>
          <w:rFonts w:cs="Tahoma"/>
          <w:b/>
          <w:bCs/>
        </w:rPr>
        <w:t xml:space="preserve">00046/ATLACOM/IP/2025 </w:t>
      </w:r>
      <w:r w:rsidR="0090467C" w:rsidRPr="00B975DD">
        <w:rPr>
          <w:rFonts w:cs="Tahoma"/>
          <w:bCs/>
        </w:rPr>
        <w:t xml:space="preserve">y </w:t>
      </w:r>
      <w:r w:rsidR="00F6527B" w:rsidRPr="00B975DD">
        <w:rPr>
          <w:rFonts w:cs="Tahoma"/>
          <w:b/>
          <w:bCs/>
        </w:rPr>
        <w:t>000</w:t>
      </w:r>
      <w:r w:rsidR="004623C3" w:rsidRPr="00B975DD">
        <w:rPr>
          <w:rFonts w:cs="Tahoma"/>
          <w:b/>
          <w:bCs/>
        </w:rPr>
        <w:t>74</w:t>
      </w:r>
      <w:r w:rsidR="00F6527B" w:rsidRPr="00B975DD">
        <w:rPr>
          <w:rFonts w:cs="Tahoma"/>
          <w:b/>
          <w:bCs/>
        </w:rPr>
        <w:t xml:space="preserve">/ATLACOM/IP/2025 </w:t>
      </w:r>
      <w:r w:rsidR="002A3601" w:rsidRPr="00B975DD">
        <w:rPr>
          <w:rFonts w:cs="Tahoma"/>
        </w:rPr>
        <w:t xml:space="preserve">en </w:t>
      </w:r>
      <w:r w:rsidR="008F2666" w:rsidRPr="00B975DD">
        <w:rPr>
          <w:rFonts w:cs="Tahoma"/>
        </w:rPr>
        <w:t xml:space="preserve">las que </w:t>
      </w:r>
      <w:r w:rsidR="009A2D78" w:rsidRPr="00B975DD">
        <w:rPr>
          <w:rFonts w:cs="Tahoma"/>
        </w:rPr>
        <w:t>se requirió la siguiente información:</w:t>
      </w:r>
    </w:p>
    <w:p w14:paraId="4493AB96" w14:textId="77777777" w:rsidR="00120950" w:rsidRPr="00B975DD" w:rsidRDefault="00120950" w:rsidP="00B975DD">
      <w:pPr>
        <w:tabs>
          <w:tab w:val="left" w:pos="4667"/>
        </w:tabs>
        <w:ind w:right="567"/>
        <w:rPr>
          <w:rFonts w:cs="Tahoma"/>
          <w:b/>
          <w:bCs/>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6356"/>
      </w:tblGrid>
      <w:tr w:rsidR="00B975DD" w:rsidRPr="00B975DD" w14:paraId="689CF7A8" w14:textId="77777777" w:rsidTr="001038C0">
        <w:trPr>
          <w:trHeight w:val="324"/>
          <w:tblHeader/>
        </w:trPr>
        <w:tc>
          <w:tcPr>
            <w:tcW w:w="3100" w:type="dxa"/>
            <w:shd w:val="clear" w:color="000000" w:fill="D9D9D9"/>
            <w:noWrap/>
            <w:vAlign w:val="center"/>
            <w:hideMark/>
          </w:tcPr>
          <w:p w14:paraId="290EB24C" w14:textId="445F8D8C" w:rsidR="00DE63D9" w:rsidRPr="00B975DD" w:rsidRDefault="00DE63D9" w:rsidP="00B975DD">
            <w:pPr>
              <w:spacing w:line="240" w:lineRule="auto"/>
              <w:jc w:val="center"/>
              <w:rPr>
                <w:rFonts w:cs="Andalus"/>
                <w:b/>
                <w:bCs/>
                <w:szCs w:val="22"/>
              </w:rPr>
            </w:pPr>
            <w:r w:rsidRPr="00B975DD">
              <w:rPr>
                <w:rFonts w:cs="Andalus"/>
                <w:b/>
                <w:bCs/>
                <w:szCs w:val="22"/>
              </w:rPr>
              <w:t xml:space="preserve">Número de solicitud / </w:t>
            </w:r>
          </w:p>
          <w:p w14:paraId="090C8EC8" w14:textId="4B6526BB" w:rsidR="00DE63D9" w:rsidRPr="00B975DD" w:rsidRDefault="00DE63D9" w:rsidP="00B975DD">
            <w:pPr>
              <w:spacing w:line="240" w:lineRule="auto"/>
              <w:jc w:val="center"/>
              <w:rPr>
                <w:rFonts w:cs="Andalus"/>
                <w:b/>
                <w:bCs/>
                <w:szCs w:val="22"/>
              </w:rPr>
            </w:pPr>
            <w:r w:rsidRPr="00B975DD">
              <w:rPr>
                <w:rFonts w:cs="Andalus"/>
                <w:b/>
                <w:bCs/>
                <w:szCs w:val="22"/>
              </w:rPr>
              <w:t>Número de Recurso</w:t>
            </w:r>
          </w:p>
          <w:p w14:paraId="41CE3C96" w14:textId="565FD23E" w:rsidR="00DE63D9" w:rsidRPr="00B975DD" w:rsidRDefault="00DE63D9" w:rsidP="00B975DD">
            <w:pPr>
              <w:spacing w:line="240" w:lineRule="auto"/>
              <w:jc w:val="center"/>
              <w:rPr>
                <w:rFonts w:cs="Andalus"/>
                <w:b/>
                <w:bCs/>
                <w:szCs w:val="22"/>
              </w:rPr>
            </w:pPr>
          </w:p>
        </w:tc>
        <w:tc>
          <w:tcPr>
            <w:tcW w:w="6356" w:type="dxa"/>
            <w:shd w:val="clear" w:color="000000" w:fill="D9D9D9"/>
            <w:noWrap/>
            <w:vAlign w:val="center"/>
            <w:hideMark/>
          </w:tcPr>
          <w:p w14:paraId="1FF72D99" w14:textId="77777777" w:rsidR="00DE63D9" w:rsidRPr="00B975DD" w:rsidRDefault="00DE63D9" w:rsidP="00B975DD">
            <w:pPr>
              <w:spacing w:line="240" w:lineRule="auto"/>
              <w:jc w:val="center"/>
              <w:rPr>
                <w:rFonts w:cs="Andalus"/>
                <w:b/>
                <w:bCs/>
                <w:szCs w:val="22"/>
              </w:rPr>
            </w:pPr>
            <w:r w:rsidRPr="00B975DD">
              <w:rPr>
                <w:rFonts w:cs="Andalus"/>
                <w:b/>
                <w:bCs/>
                <w:szCs w:val="22"/>
              </w:rPr>
              <w:t xml:space="preserve">Contenido de la solicitud </w:t>
            </w:r>
          </w:p>
        </w:tc>
      </w:tr>
      <w:tr w:rsidR="00B975DD" w:rsidRPr="00B975DD" w14:paraId="0E5D9224" w14:textId="77777777" w:rsidTr="001038C0">
        <w:trPr>
          <w:trHeight w:val="962"/>
        </w:trPr>
        <w:tc>
          <w:tcPr>
            <w:tcW w:w="3100" w:type="dxa"/>
            <w:shd w:val="clear" w:color="auto" w:fill="auto"/>
            <w:noWrap/>
          </w:tcPr>
          <w:p w14:paraId="044A8B11" w14:textId="18AFF944" w:rsidR="00A80BE5" w:rsidRPr="00B975DD" w:rsidRDefault="00F6527B" w:rsidP="00B975DD">
            <w:pPr>
              <w:spacing w:line="240" w:lineRule="auto"/>
              <w:jc w:val="center"/>
              <w:rPr>
                <w:rFonts w:cs="Tahoma"/>
                <w:b/>
                <w:bCs/>
                <w:lang w:val="en-US"/>
              </w:rPr>
            </w:pPr>
            <w:r w:rsidRPr="00B975DD">
              <w:rPr>
                <w:rFonts w:cs="Tahoma"/>
                <w:b/>
                <w:bCs/>
              </w:rPr>
              <w:t>00046/ATLACOM/IP/2025</w:t>
            </w:r>
          </w:p>
          <w:p w14:paraId="7115B926" w14:textId="454FEE79" w:rsidR="00DE63D9" w:rsidRPr="00B975DD" w:rsidRDefault="00A80BE5" w:rsidP="00B975DD">
            <w:pPr>
              <w:spacing w:line="240" w:lineRule="auto"/>
              <w:jc w:val="center"/>
              <w:rPr>
                <w:rFonts w:cs="Tahoma"/>
                <w:b/>
                <w:bCs/>
                <w:lang w:val="en-US"/>
              </w:rPr>
            </w:pPr>
            <w:r w:rsidRPr="00B975DD">
              <w:rPr>
                <w:rFonts w:cs="Tahoma"/>
                <w:b/>
                <w:bCs/>
                <w:lang w:val="en-US"/>
              </w:rPr>
              <w:t>01</w:t>
            </w:r>
            <w:r w:rsidR="00F6527B" w:rsidRPr="00B975DD">
              <w:rPr>
                <w:rFonts w:cs="Tahoma"/>
                <w:b/>
                <w:bCs/>
                <w:lang w:val="en-US"/>
              </w:rPr>
              <w:t>032</w:t>
            </w:r>
            <w:r w:rsidRPr="00B975DD">
              <w:rPr>
                <w:rFonts w:cs="Tahoma"/>
                <w:b/>
                <w:bCs/>
                <w:lang w:val="en-US"/>
              </w:rPr>
              <w:t>/INFOEM/IP/RR/2025</w:t>
            </w:r>
          </w:p>
        </w:tc>
        <w:tc>
          <w:tcPr>
            <w:tcW w:w="6356" w:type="dxa"/>
            <w:shd w:val="clear" w:color="auto" w:fill="auto"/>
          </w:tcPr>
          <w:p w14:paraId="696CCF67" w14:textId="5640A79F" w:rsidR="00DE63D9" w:rsidRPr="00B975DD" w:rsidRDefault="00A80BE5" w:rsidP="00B975DD">
            <w:pPr>
              <w:spacing w:line="240" w:lineRule="auto"/>
              <w:rPr>
                <w:rFonts w:cs="Calibri"/>
                <w:i/>
                <w:szCs w:val="22"/>
              </w:rPr>
            </w:pPr>
            <w:r w:rsidRPr="00B975DD">
              <w:rPr>
                <w:rFonts w:cs="Calibri"/>
                <w:i/>
                <w:szCs w:val="22"/>
              </w:rPr>
              <w:t>“</w:t>
            </w:r>
            <w:r w:rsidR="00F6527B" w:rsidRPr="00B975DD">
              <w:rPr>
                <w:rFonts w:cs="Calibri"/>
                <w:i/>
                <w:szCs w:val="22"/>
              </w:rPr>
              <w:t>Pólizas de diciembre y enero</w:t>
            </w:r>
            <w:r w:rsidR="00DE63D9" w:rsidRPr="00B975DD">
              <w:rPr>
                <w:rFonts w:cs="Calibri"/>
                <w:i/>
                <w:szCs w:val="22"/>
              </w:rPr>
              <w:t xml:space="preserve">” (sic) </w:t>
            </w:r>
          </w:p>
        </w:tc>
      </w:tr>
      <w:tr w:rsidR="00A80BE5" w:rsidRPr="00B975DD" w14:paraId="0F0F812F" w14:textId="77777777" w:rsidTr="001038C0">
        <w:trPr>
          <w:trHeight w:val="962"/>
        </w:trPr>
        <w:tc>
          <w:tcPr>
            <w:tcW w:w="3100" w:type="dxa"/>
            <w:shd w:val="clear" w:color="auto" w:fill="auto"/>
            <w:noWrap/>
          </w:tcPr>
          <w:p w14:paraId="4D330D92" w14:textId="19137C9B" w:rsidR="00F6527B" w:rsidRPr="00B975DD" w:rsidRDefault="00F6527B" w:rsidP="00B975DD">
            <w:pPr>
              <w:spacing w:line="240" w:lineRule="auto"/>
              <w:jc w:val="center"/>
              <w:rPr>
                <w:rFonts w:cs="Tahoma"/>
                <w:b/>
                <w:bCs/>
                <w:lang w:val="en-US"/>
              </w:rPr>
            </w:pPr>
            <w:r w:rsidRPr="00B975DD">
              <w:rPr>
                <w:rFonts w:cs="Tahoma"/>
                <w:b/>
                <w:bCs/>
              </w:rPr>
              <w:lastRenderedPageBreak/>
              <w:t>00074/ATLACOM/IP/2025</w:t>
            </w:r>
          </w:p>
          <w:p w14:paraId="6B011C6E" w14:textId="78997B28" w:rsidR="00A80BE5" w:rsidRPr="00B975DD" w:rsidRDefault="00F6527B" w:rsidP="00B975DD">
            <w:pPr>
              <w:spacing w:line="240" w:lineRule="auto"/>
              <w:jc w:val="center"/>
              <w:rPr>
                <w:rFonts w:cs="Tahoma"/>
                <w:b/>
                <w:bCs/>
                <w:lang w:val="en-US"/>
              </w:rPr>
            </w:pPr>
            <w:r w:rsidRPr="00B975DD">
              <w:rPr>
                <w:rFonts w:cs="Tahoma"/>
                <w:b/>
                <w:bCs/>
                <w:lang w:val="en-US"/>
              </w:rPr>
              <w:t>01305/INFOEM/IP/RR/2025</w:t>
            </w:r>
          </w:p>
        </w:tc>
        <w:tc>
          <w:tcPr>
            <w:tcW w:w="6356" w:type="dxa"/>
            <w:shd w:val="clear" w:color="auto" w:fill="auto"/>
          </w:tcPr>
          <w:p w14:paraId="3D8D07AB" w14:textId="230956BE" w:rsidR="00A80BE5" w:rsidRPr="00B975DD" w:rsidRDefault="00A80BE5" w:rsidP="00B975DD">
            <w:pPr>
              <w:spacing w:line="240" w:lineRule="auto"/>
              <w:rPr>
                <w:rFonts w:cs="Calibri"/>
                <w:i/>
                <w:szCs w:val="22"/>
              </w:rPr>
            </w:pPr>
            <w:r w:rsidRPr="00B975DD">
              <w:rPr>
                <w:rFonts w:cs="Calibri"/>
                <w:i/>
                <w:szCs w:val="22"/>
              </w:rPr>
              <w:t>“</w:t>
            </w:r>
            <w:r w:rsidR="00F6527B" w:rsidRPr="00B975DD">
              <w:rPr>
                <w:rFonts w:cs="Calibri"/>
                <w:i/>
                <w:szCs w:val="22"/>
              </w:rPr>
              <w:t>Pólizas de diciembre 2024</w:t>
            </w:r>
            <w:r w:rsidRPr="00B975DD">
              <w:rPr>
                <w:rFonts w:cs="Calibri"/>
                <w:i/>
                <w:szCs w:val="22"/>
              </w:rPr>
              <w:t xml:space="preserve">” (sic) </w:t>
            </w:r>
          </w:p>
          <w:p w14:paraId="24ACAA57" w14:textId="5852E04A" w:rsidR="00A80BE5" w:rsidRPr="00B975DD" w:rsidRDefault="00A80BE5" w:rsidP="00B975DD">
            <w:pPr>
              <w:spacing w:line="240" w:lineRule="auto"/>
              <w:rPr>
                <w:rFonts w:cs="Calibri"/>
                <w:i/>
                <w:szCs w:val="22"/>
              </w:rPr>
            </w:pPr>
          </w:p>
        </w:tc>
      </w:tr>
    </w:tbl>
    <w:p w14:paraId="2A974A5D" w14:textId="77777777" w:rsidR="00DE63D9" w:rsidRPr="00B975DD" w:rsidRDefault="00DE63D9" w:rsidP="00B975DD">
      <w:pPr>
        <w:tabs>
          <w:tab w:val="left" w:pos="4667"/>
        </w:tabs>
        <w:ind w:right="567"/>
        <w:rPr>
          <w:rFonts w:cs="Tahoma"/>
          <w:b/>
          <w:bCs/>
        </w:rPr>
      </w:pPr>
    </w:p>
    <w:p w14:paraId="0BD6321D" w14:textId="56D9ABBC" w:rsidR="00664420" w:rsidRPr="00B975DD" w:rsidRDefault="009A2D78" w:rsidP="00B975DD">
      <w:pPr>
        <w:tabs>
          <w:tab w:val="left" w:pos="4667"/>
        </w:tabs>
        <w:ind w:right="567"/>
        <w:rPr>
          <w:rFonts w:cs="Tahoma"/>
          <w:bCs/>
          <w:szCs w:val="22"/>
        </w:rPr>
      </w:pPr>
      <w:r w:rsidRPr="00B975DD">
        <w:rPr>
          <w:rFonts w:cs="Tahoma"/>
          <w:b/>
          <w:bCs/>
          <w:szCs w:val="22"/>
        </w:rPr>
        <w:t>Modalidad de entrega</w:t>
      </w:r>
      <w:r w:rsidRPr="00B975DD">
        <w:rPr>
          <w:rFonts w:cs="Tahoma"/>
          <w:bCs/>
          <w:szCs w:val="22"/>
        </w:rPr>
        <w:t>: a</w:t>
      </w:r>
      <w:r w:rsidR="00664420" w:rsidRPr="00B975DD">
        <w:rPr>
          <w:rFonts w:cs="Tahoma"/>
          <w:bCs/>
          <w:i/>
          <w:szCs w:val="22"/>
        </w:rPr>
        <w:t xml:space="preserve"> través del </w:t>
      </w:r>
      <w:r w:rsidR="00664420" w:rsidRPr="00B975DD">
        <w:rPr>
          <w:rFonts w:cs="Tahoma"/>
          <w:b/>
          <w:bCs/>
          <w:i/>
          <w:szCs w:val="22"/>
        </w:rPr>
        <w:t>SAIMEX</w:t>
      </w:r>
      <w:r w:rsidRPr="00B975DD">
        <w:rPr>
          <w:rFonts w:cs="Tahoma"/>
          <w:bCs/>
          <w:i/>
          <w:szCs w:val="22"/>
        </w:rPr>
        <w:t>.</w:t>
      </w:r>
    </w:p>
    <w:p w14:paraId="334D2860" w14:textId="77777777" w:rsidR="00664420" w:rsidRPr="00B975DD" w:rsidRDefault="00664420" w:rsidP="00B975DD">
      <w:pPr>
        <w:autoSpaceDE w:val="0"/>
        <w:autoSpaceDN w:val="0"/>
        <w:adjustRightInd w:val="0"/>
        <w:ind w:right="-28"/>
        <w:rPr>
          <w:rFonts w:cs="Tahoma"/>
          <w:bCs/>
          <w:i/>
          <w:szCs w:val="22"/>
        </w:rPr>
      </w:pPr>
    </w:p>
    <w:p w14:paraId="198E7D7B" w14:textId="3AAE7453" w:rsidR="007019CA" w:rsidRPr="00B975DD" w:rsidRDefault="004F4DD8" w:rsidP="00B975DD">
      <w:pPr>
        <w:pStyle w:val="Ttulo3"/>
      </w:pPr>
      <w:bookmarkStart w:id="6" w:name="_Toc193960287"/>
      <w:r w:rsidRPr="00B975DD">
        <w:t xml:space="preserve">b) </w:t>
      </w:r>
      <w:r w:rsidR="007019CA" w:rsidRPr="00B975DD">
        <w:t>Turno de las solicitudes de información</w:t>
      </w:r>
      <w:bookmarkEnd w:id="6"/>
    </w:p>
    <w:p w14:paraId="238316D3" w14:textId="3E2DCC13" w:rsidR="007019CA" w:rsidRPr="00B975DD" w:rsidRDefault="007019CA" w:rsidP="00B975DD">
      <w:pPr>
        <w:rPr>
          <w:bCs/>
        </w:rPr>
      </w:pPr>
      <w:r w:rsidRPr="00B975DD">
        <w:rPr>
          <w:rFonts w:cs="Arial"/>
        </w:rPr>
        <w:t>En cumplimiento al artículo 162 de la Ley de Transparencia y Acceso a la Información Pública del Estado de México y Municipios, el</w:t>
      </w:r>
      <w:r w:rsidRPr="00B975DD">
        <w:rPr>
          <w:rFonts w:cs="Arial"/>
          <w:b/>
        </w:rPr>
        <w:t xml:space="preserve"> </w:t>
      </w:r>
      <w:r w:rsidR="00F6527B" w:rsidRPr="00B975DD">
        <w:rPr>
          <w:rFonts w:cs="Arial"/>
          <w:b/>
        </w:rPr>
        <w:t>veinte y veintidós de enero de dos mil veinticinco</w:t>
      </w:r>
      <w:r w:rsidRPr="00B975DD">
        <w:rPr>
          <w:rFonts w:cs="Arial"/>
        </w:rPr>
        <w:t xml:space="preserve">, el Titular de la Unidad de Transparencia del </w:t>
      </w:r>
      <w:r w:rsidRPr="00B975DD">
        <w:rPr>
          <w:rFonts w:cs="Arial"/>
          <w:b/>
        </w:rPr>
        <w:t>SUJETO OBLIGADO</w:t>
      </w:r>
      <w:r w:rsidRPr="00B975DD">
        <w:rPr>
          <w:rFonts w:cs="Arial"/>
        </w:rPr>
        <w:t xml:space="preserve">, </w:t>
      </w:r>
      <w:r w:rsidRPr="00B975DD">
        <w:rPr>
          <w:bCs/>
        </w:rPr>
        <w:t>turnó los requerimiento de información al servidor públicos habilitado que estimo pertinente, a fin de colmar la solicitud de acceso a la información.</w:t>
      </w:r>
    </w:p>
    <w:p w14:paraId="357647CA" w14:textId="77777777" w:rsidR="007019CA" w:rsidRPr="00B975DD" w:rsidRDefault="007019CA" w:rsidP="00B975DD">
      <w:pPr>
        <w:autoSpaceDE w:val="0"/>
        <w:autoSpaceDN w:val="0"/>
        <w:adjustRightInd w:val="0"/>
        <w:ind w:right="-28"/>
        <w:rPr>
          <w:rFonts w:cs="Tahoma"/>
          <w:bCs/>
          <w:i/>
          <w:szCs w:val="22"/>
        </w:rPr>
      </w:pPr>
    </w:p>
    <w:p w14:paraId="3212BA4D" w14:textId="27524ECB" w:rsidR="00664420" w:rsidRPr="00B975DD" w:rsidRDefault="001038C0" w:rsidP="00B975DD">
      <w:pPr>
        <w:pStyle w:val="Ttulo3"/>
        <w:rPr>
          <w:rFonts w:eastAsia="Calibri"/>
          <w:lang w:eastAsia="en-US"/>
        </w:rPr>
      </w:pPr>
      <w:bookmarkStart w:id="7" w:name="_Toc172051801"/>
      <w:bookmarkStart w:id="8" w:name="_Toc175061278"/>
      <w:bookmarkStart w:id="9" w:name="_Toc178097684"/>
      <w:bookmarkStart w:id="10" w:name="_Toc179360992"/>
      <w:bookmarkStart w:id="11" w:name="_Toc193960288"/>
      <w:r w:rsidRPr="00B975DD">
        <w:rPr>
          <w:lang w:val="es-ES"/>
        </w:rPr>
        <w:t xml:space="preserve">c) </w:t>
      </w:r>
      <w:bookmarkEnd w:id="7"/>
      <w:bookmarkEnd w:id="8"/>
      <w:bookmarkEnd w:id="9"/>
      <w:bookmarkEnd w:id="10"/>
      <w:r w:rsidR="00664420" w:rsidRPr="00B975DD">
        <w:rPr>
          <w:lang w:val="es-ES"/>
        </w:rPr>
        <w:t>Respuesta</w:t>
      </w:r>
      <w:r w:rsidR="008F2666" w:rsidRPr="00B975DD">
        <w:rPr>
          <w:lang w:val="es-ES"/>
        </w:rPr>
        <w:t>s</w:t>
      </w:r>
      <w:r w:rsidR="00664420" w:rsidRPr="00B975DD">
        <w:rPr>
          <w:lang w:val="es-ES"/>
        </w:rPr>
        <w:t xml:space="preserve"> </w:t>
      </w:r>
      <w:r w:rsidR="00664420" w:rsidRPr="00B975DD">
        <w:rPr>
          <w:rFonts w:eastAsia="Calibri"/>
          <w:lang w:eastAsia="en-US"/>
        </w:rPr>
        <w:t>del Sujeto Obligado</w:t>
      </w:r>
      <w:bookmarkEnd w:id="11"/>
    </w:p>
    <w:p w14:paraId="2143017E" w14:textId="1AD49707" w:rsidR="00BA1AB6" w:rsidRPr="00B975DD" w:rsidRDefault="003B0255" w:rsidP="00B975DD">
      <w:pPr>
        <w:rPr>
          <w:lang w:val="es-ES"/>
        </w:rPr>
      </w:pPr>
      <w:r w:rsidRPr="00B975DD">
        <w:rPr>
          <w:lang w:val="es-ES"/>
        </w:rPr>
        <w:t xml:space="preserve">El </w:t>
      </w:r>
      <w:r w:rsidR="00F6527B" w:rsidRPr="00B975DD">
        <w:rPr>
          <w:b/>
          <w:bCs/>
          <w:lang w:val="es-ES"/>
        </w:rPr>
        <w:t xml:space="preserve">siete y doce de febrero </w:t>
      </w:r>
      <w:r w:rsidR="001038C0" w:rsidRPr="00B975DD">
        <w:rPr>
          <w:b/>
          <w:bCs/>
          <w:lang w:val="es-ES"/>
        </w:rPr>
        <w:t>de dos mil veinticinco</w:t>
      </w:r>
      <w:r w:rsidRPr="00B975DD">
        <w:rPr>
          <w:lang w:val="es-ES"/>
        </w:rPr>
        <w:t xml:space="preserve">, el Titular de la Unidad de </w:t>
      </w:r>
      <w:r w:rsidRPr="00B975DD">
        <w:rPr>
          <w:bCs/>
        </w:rPr>
        <w:t>Transparencia</w:t>
      </w:r>
      <w:r w:rsidR="001038C0" w:rsidRPr="00B975DD">
        <w:rPr>
          <w:bCs/>
        </w:rPr>
        <w:t xml:space="preserve"> del</w:t>
      </w:r>
      <w:r w:rsidR="00623AA5" w:rsidRPr="00B975DD">
        <w:rPr>
          <w:lang w:val="es-ES"/>
        </w:rPr>
        <w:t xml:space="preserve"> </w:t>
      </w:r>
      <w:r w:rsidRPr="00B975DD">
        <w:rPr>
          <w:b/>
          <w:lang w:val="es-ES"/>
        </w:rPr>
        <w:t>SUJETO OBLIGADO</w:t>
      </w:r>
      <w:r w:rsidRPr="00B975DD">
        <w:rPr>
          <w:lang w:val="es-ES"/>
        </w:rPr>
        <w:t xml:space="preserve"> notificó la</w:t>
      </w:r>
      <w:r w:rsidR="008F2666" w:rsidRPr="00B975DD">
        <w:rPr>
          <w:lang w:val="es-ES"/>
        </w:rPr>
        <w:t>s</w:t>
      </w:r>
      <w:r w:rsidRPr="00B975DD">
        <w:rPr>
          <w:lang w:val="es-ES"/>
        </w:rPr>
        <w:t xml:space="preserve"> siguiente</w:t>
      </w:r>
      <w:r w:rsidR="008F2666" w:rsidRPr="00B975DD">
        <w:rPr>
          <w:lang w:val="es-ES"/>
        </w:rPr>
        <w:t>s</w:t>
      </w:r>
      <w:r w:rsidRPr="00B975DD">
        <w:rPr>
          <w:lang w:val="es-ES"/>
        </w:rPr>
        <w:t xml:space="preserve"> respuesta</w:t>
      </w:r>
      <w:r w:rsidR="008F2666" w:rsidRPr="00B975DD">
        <w:rPr>
          <w:lang w:val="es-ES"/>
        </w:rPr>
        <w:t>s</w:t>
      </w:r>
      <w:r w:rsidRPr="00B975DD">
        <w:rPr>
          <w:lang w:val="es-ES"/>
        </w:rPr>
        <w:t xml:space="preserve"> a través del </w:t>
      </w:r>
      <w:r w:rsidRPr="00B975DD">
        <w:rPr>
          <w:b/>
          <w:lang w:val="es-ES"/>
        </w:rPr>
        <w:t>SAIMEX</w:t>
      </w:r>
      <w:r w:rsidRPr="00B975DD">
        <w:rPr>
          <w:lang w:val="es-ES"/>
        </w:rPr>
        <w:t>:</w:t>
      </w:r>
    </w:p>
    <w:p w14:paraId="38A47E9E" w14:textId="77777777" w:rsidR="001038C0" w:rsidRPr="00B975DD" w:rsidRDefault="001038C0" w:rsidP="00B975DD">
      <w:pPr>
        <w:rPr>
          <w:lang w:val="es-ES"/>
        </w:rPr>
      </w:pPr>
    </w:p>
    <w:p w14:paraId="299F1F78" w14:textId="77777777" w:rsidR="00F6527B" w:rsidRPr="00B975DD" w:rsidRDefault="001038C0" w:rsidP="00B975DD">
      <w:pPr>
        <w:pStyle w:val="Puesto"/>
      </w:pPr>
      <w:r w:rsidRPr="00B975DD">
        <w:t>“…</w:t>
      </w:r>
      <w:r w:rsidR="00F6527B" w:rsidRPr="00B975DD">
        <w:t>En respuesta a la solicitud recibida, nos permitimos hacer de su conocimiento que con fundamento en el artículo 53, Fracciones: II, V y VI de la Ley de Transparencia y Acceso a la Información Pública del Estado de México y Municipios, le contestamos que:</w:t>
      </w:r>
    </w:p>
    <w:p w14:paraId="207B9975" w14:textId="77777777" w:rsidR="00F6527B" w:rsidRPr="00B975DD" w:rsidRDefault="00F6527B" w:rsidP="00B975DD"/>
    <w:p w14:paraId="5887051A" w14:textId="77777777" w:rsidR="00F6527B" w:rsidRPr="00B975DD" w:rsidRDefault="00F6527B" w:rsidP="00B975DD">
      <w:pPr>
        <w:pStyle w:val="Puesto"/>
      </w:pPr>
      <w:r w:rsidRPr="00B975DD">
        <w:t>Se atiende solicitud de información</w:t>
      </w:r>
    </w:p>
    <w:p w14:paraId="40BADD1E" w14:textId="77777777" w:rsidR="00F6527B" w:rsidRPr="00B975DD" w:rsidRDefault="00F6527B" w:rsidP="00B975DD"/>
    <w:p w14:paraId="4EDB8D5D" w14:textId="77777777" w:rsidR="00F6527B" w:rsidRPr="00B975DD" w:rsidRDefault="00F6527B" w:rsidP="00B975DD">
      <w:pPr>
        <w:pStyle w:val="Puesto"/>
      </w:pPr>
      <w:r w:rsidRPr="00B975DD">
        <w:t>ATENTAMENTE</w:t>
      </w:r>
    </w:p>
    <w:p w14:paraId="5BC1A9E7" w14:textId="77777777" w:rsidR="00F6527B" w:rsidRPr="00B975DD" w:rsidRDefault="00F6527B" w:rsidP="00B975DD"/>
    <w:p w14:paraId="14B9D81D" w14:textId="57CAF73C" w:rsidR="001038C0" w:rsidRPr="00B975DD" w:rsidRDefault="00F6527B" w:rsidP="00B975DD">
      <w:pPr>
        <w:pStyle w:val="Puesto"/>
      </w:pPr>
      <w:r w:rsidRPr="00B975DD">
        <w:t>C. Claudia Monroy Amparo</w:t>
      </w:r>
      <w:r w:rsidR="001038C0" w:rsidRPr="00B975DD">
        <w:t xml:space="preserve">…” (sic) </w:t>
      </w:r>
    </w:p>
    <w:p w14:paraId="789364DA" w14:textId="77777777" w:rsidR="00F0405C" w:rsidRPr="00B975DD" w:rsidRDefault="00F0405C" w:rsidP="00B975DD"/>
    <w:p w14:paraId="6FEFEEEF" w14:textId="70F5C1D8" w:rsidR="001038C0" w:rsidRPr="00B975DD" w:rsidRDefault="001038C0" w:rsidP="00B975DD">
      <w:r w:rsidRPr="00B975DD">
        <w:t xml:space="preserve">Advirtiendo de dichas </w:t>
      </w:r>
      <w:r w:rsidRPr="00B975DD">
        <w:rPr>
          <w:rFonts w:cs="Arial"/>
        </w:rPr>
        <w:t>respuestas</w:t>
      </w:r>
      <w:r w:rsidRPr="00B975DD">
        <w:t xml:space="preserve">, que </w:t>
      </w:r>
      <w:r w:rsidRPr="00B975DD">
        <w:rPr>
          <w:rFonts w:cs="Arial"/>
          <w:b/>
        </w:rPr>
        <w:t>EL SUJETO OBLIGADO</w:t>
      </w:r>
      <w:r w:rsidRPr="00B975DD">
        <w:t xml:space="preserve"> acompañó los archivos electrónicos que se describen a continuación: </w:t>
      </w:r>
    </w:p>
    <w:p w14:paraId="61A13D0E" w14:textId="77777777" w:rsidR="00E34279" w:rsidRPr="00B975DD" w:rsidRDefault="00E34279" w:rsidP="00B975DD">
      <w:pPr>
        <w:rPr>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3"/>
        <w:gridCol w:w="6214"/>
      </w:tblGrid>
      <w:tr w:rsidR="00B975DD" w:rsidRPr="00B975DD" w14:paraId="51D0AE4D" w14:textId="2480EFE5" w:rsidTr="001038C0">
        <w:trPr>
          <w:trHeight w:val="324"/>
          <w:tblHeader/>
        </w:trPr>
        <w:tc>
          <w:tcPr>
            <w:tcW w:w="2853" w:type="dxa"/>
            <w:shd w:val="clear" w:color="000000" w:fill="D9D9D9"/>
            <w:noWrap/>
            <w:vAlign w:val="center"/>
            <w:hideMark/>
          </w:tcPr>
          <w:p w14:paraId="6F034D4C" w14:textId="77777777" w:rsidR="001038C0" w:rsidRPr="00B975DD" w:rsidRDefault="001038C0" w:rsidP="00B975DD">
            <w:pPr>
              <w:spacing w:line="240" w:lineRule="auto"/>
              <w:jc w:val="center"/>
              <w:rPr>
                <w:rFonts w:cs="Andalus"/>
                <w:b/>
                <w:bCs/>
                <w:szCs w:val="22"/>
              </w:rPr>
            </w:pPr>
            <w:r w:rsidRPr="00B975DD">
              <w:rPr>
                <w:rFonts w:cs="Andalus"/>
                <w:b/>
                <w:bCs/>
                <w:szCs w:val="22"/>
              </w:rPr>
              <w:t xml:space="preserve">Número de solicitud / </w:t>
            </w:r>
          </w:p>
          <w:p w14:paraId="6CB95C6F" w14:textId="77777777" w:rsidR="001038C0" w:rsidRPr="00B975DD" w:rsidRDefault="001038C0" w:rsidP="00B975DD">
            <w:pPr>
              <w:spacing w:line="240" w:lineRule="auto"/>
              <w:jc w:val="center"/>
              <w:rPr>
                <w:rFonts w:cs="Andalus"/>
                <w:b/>
                <w:bCs/>
                <w:szCs w:val="22"/>
              </w:rPr>
            </w:pPr>
            <w:r w:rsidRPr="00B975DD">
              <w:rPr>
                <w:rFonts w:cs="Andalus"/>
                <w:b/>
                <w:bCs/>
                <w:szCs w:val="22"/>
              </w:rPr>
              <w:t>Número de Recurso</w:t>
            </w:r>
          </w:p>
          <w:p w14:paraId="1E1C0A09" w14:textId="77777777" w:rsidR="001038C0" w:rsidRPr="00B975DD" w:rsidRDefault="001038C0" w:rsidP="00B975DD">
            <w:pPr>
              <w:spacing w:line="240" w:lineRule="auto"/>
              <w:jc w:val="center"/>
              <w:rPr>
                <w:rFonts w:cs="Andalus"/>
                <w:b/>
                <w:bCs/>
                <w:szCs w:val="22"/>
              </w:rPr>
            </w:pPr>
          </w:p>
        </w:tc>
        <w:tc>
          <w:tcPr>
            <w:tcW w:w="6214" w:type="dxa"/>
            <w:shd w:val="clear" w:color="000000" w:fill="D9D9D9"/>
            <w:noWrap/>
            <w:vAlign w:val="center"/>
            <w:hideMark/>
          </w:tcPr>
          <w:p w14:paraId="34B9AA8D" w14:textId="7B444301" w:rsidR="001038C0" w:rsidRPr="00B975DD" w:rsidRDefault="00A80BE5" w:rsidP="00B975DD">
            <w:pPr>
              <w:spacing w:line="240" w:lineRule="auto"/>
              <w:jc w:val="center"/>
              <w:rPr>
                <w:rFonts w:cs="Andalus"/>
                <w:b/>
                <w:bCs/>
                <w:szCs w:val="22"/>
              </w:rPr>
            </w:pPr>
            <w:r w:rsidRPr="00B975DD">
              <w:rPr>
                <w:rFonts w:cs="Andalus"/>
                <w:b/>
                <w:bCs/>
                <w:szCs w:val="22"/>
              </w:rPr>
              <w:t>Archivos adjuntos</w:t>
            </w:r>
            <w:r w:rsidR="001038C0" w:rsidRPr="00B975DD">
              <w:rPr>
                <w:rFonts w:cs="Andalus"/>
                <w:b/>
                <w:bCs/>
                <w:szCs w:val="22"/>
              </w:rPr>
              <w:t xml:space="preserve"> </w:t>
            </w:r>
          </w:p>
        </w:tc>
      </w:tr>
      <w:tr w:rsidR="00B975DD" w:rsidRPr="00B975DD" w14:paraId="0D6BB4F9" w14:textId="258C3E3B" w:rsidTr="001038C0">
        <w:trPr>
          <w:trHeight w:val="962"/>
        </w:trPr>
        <w:tc>
          <w:tcPr>
            <w:tcW w:w="2853" w:type="dxa"/>
            <w:shd w:val="clear" w:color="auto" w:fill="auto"/>
            <w:noWrap/>
          </w:tcPr>
          <w:p w14:paraId="15830DA5" w14:textId="77777777" w:rsidR="00F6527B" w:rsidRPr="00B975DD" w:rsidRDefault="00F6527B" w:rsidP="00B975DD">
            <w:pPr>
              <w:spacing w:line="240" w:lineRule="auto"/>
              <w:jc w:val="center"/>
              <w:rPr>
                <w:rFonts w:cs="Tahoma"/>
                <w:b/>
                <w:bCs/>
                <w:lang w:val="en-US"/>
              </w:rPr>
            </w:pPr>
            <w:r w:rsidRPr="00B975DD">
              <w:rPr>
                <w:rFonts w:cs="Tahoma"/>
                <w:b/>
                <w:bCs/>
              </w:rPr>
              <w:t>00046/ATLACOM/IP/2025</w:t>
            </w:r>
          </w:p>
          <w:p w14:paraId="4DBB99F6" w14:textId="5FAF4224" w:rsidR="00F6527B" w:rsidRPr="00B975DD" w:rsidRDefault="00F6527B" w:rsidP="00B975DD">
            <w:pPr>
              <w:spacing w:line="240" w:lineRule="auto"/>
              <w:jc w:val="center"/>
              <w:rPr>
                <w:rFonts w:cs="Arial"/>
                <w:b/>
                <w:lang w:val="en-US"/>
              </w:rPr>
            </w:pPr>
            <w:r w:rsidRPr="00B975DD">
              <w:rPr>
                <w:rFonts w:cs="Tahoma"/>
                <w:b/>
                <w:bCs/>
                <w:lang w:val="en-US"/>
              </w:rPr>
              <w:t>01032/INFOEM/IP/RR/2025</w:t>
            </w:r>
          </w:p>
        </w:tc>
        <w:tc>
          <w:tcPr>
            <w:tcW w:w="6214" w:type="dxa"/>
            <w:shd w:val="clear" w:color="auto" w:fill="auto"/>
          </w:tcPr>
          <w:p w14:paraId="32B6E4B3" w14:textId="1B8DAAD6" w:rsidR="00F6527B" w:rsidRPr="00B975DD" w:rsidRDefault="00F6527B" w:rsidP="00B975DD">
            <w:pPr>
              <w:pStyle w:val="Prrafodelista"/>
              <w:numPr>
                <w:ilvl w:val="0"/>
                <w:numId w:val="39"/>
              </w:numPr>
              <w:spacing w:line="240" w:lineRule="auto"/>
              <w:rPr>
                <w:rFonts w:cs="Tahoma"/>
                <w:b/>
                <w:bCs/>
                <w:i/>
              </w:rPr>
            </w:pPr>
            <w:r w:rsidRPr="00B975DD">
              <w:rPr>
                <w:rFonts w:cs="Tahoma"/>
                <w:b/>
                <w:bCs/>
                <w:i/>
              </w:rPr>
              <w:t xml:space="preserve">046_SOL_REP_ADMON_2025.pdf, </w:t>
            </w:r>
            <w:r w:rsidRPr="00B975DD">
              <w:rPr>
                <w:rFonts w:cs="Tahoma"/>
                <w:bCs/>
              </w:rPr>
              <w:t xml:space="preserve">el cual contiene el oficio  número MA/DA/ADQ./018/01/2025 del veintiocho de enero de dos mil veinticinco, por medio del cual la Directora de Administración, refiere que una vez realizada la búsqueda exhaustiva y razonable en los archivos físicos y electrónicos de la Dirección, no obra información respecto de lo solicitado. </w:t>
            </w:r>
          </w:p>
          <w:p w14:paraId="310E51FA" w14:textId="1153E51B" w:rsidR="00F6527B" w:rsidRPr="00B975DD" w:rsidRDefault="00F6527B" w:rsidP="00B975DD">
            <w:pPr>
              <w:pStyle w:val="Prrafodelista"/>
              <w:numPr>
                <w:ilvl w:val="0"/>
                <w:numId w:val="39"/>
              </w:numPr>
              <w:spacing w:line="240" w:lineRule="auto"/>
              <w:rPr>
                <w:rFonts w:cs="Tahoma"/>
                <w:b/>
                <w:bCs/>
                <w:i/>
              </w:rPr>
            </w:pPr>
            <w:r w:rsidRPr="00B975DD">
              <w:rPr>
                <w:rFonts w:cs="Tahoma"/>
                <w:b/>
                <w:bCs/>
                <w:i/>
              </w:rPr>
              <w:t xml:space="preserve">046_RES_UT_2025.pdf, </w:t>
            </w:r>
            <w:r w:rsidRPr="00B975DD">
              <w:rPr>
                <w:rFonts w:cs="Tahoma"/>
                <w:bCs/>
              </w:rPr>
              <w:t xml:space="preserve">el cual contiene el oficio del siete de febrero de dos mil veinticinco, por medio del cual la titular de la Unidad de Transparencia, refiere anexar el oficio del área a la que fue turnada la solicitud. </w:t>
            </w:r>
          </w:p>
        </w:tc>
      </w:tr>
      <w:tr w:rsidR="00F6527B" w:rsidRPr="00B975DD" w14:paraId="4F5A6DBD" w14:textId="6C2C3EB3" w:rsidTr="001038C0">
        <w:trPr>
          <w:trHeight w:val="962"/>
        </w:trPr>
        <w:tc>
          <w:tcPr>
            <w:tcW w:w="2853" w:type="dxa"/>
            <w:shd w:val="clear" w:color="auto" w:fill="auto"/>
            <w:noWrap/>
          </w:tcPr>
          <w:p w14:paraId="6850C16E" w14:textId="77777777" w:rsidR="00F6527B" w:rsidRPr="00B975DD" w:rsidRDefault="00F6527B" w:rsidP="00B975DD">
            <w:pPr>
              <w:spacing w:line="240" w:lineRule="auto"/>
              <w:jc w:val="center"/>
              <w:rPr>
                <w:rFonts w:cs="Tahoma"/>
                <w:b/>
                <w:bCs/>
                <w:lang w:val="en-US"/>
              </w:rPr>
            </w:pPr>
            <w:r w:rsidRPr="00B975DD">
              <w:rPr>
                <w:rFonts w:cs="Tahoma"/>
                <w:b/>
                <w:bCs/>
              </w:rPr>
              <w:t>00074/ATLACOM/IP/2025</w:t>
            </w:r>
          </w:p>
          <w:p w14:paraId="40A14040" w14:textId="7D197EB6" w:rsidR="00F6527B" w:rsidRPr="00B975DD" w:rsidRDefault="00F6527B" w:rsidP="00B975DD">
            <w:pPr>
              <w:spacing w:line="240" w:lineRule="auto"/>
              <w:jc w:val="center"/>
              <w:rPr>
                <w:rFonts w:cs="Tahoma"/>
                <w:b/>
                <w:bCs/>
                <w:lang w:val="en-US"/>
              </w:rPr>
            </w:pPr>
            <w:r w:rsidRPr="00B975DD">
              <w:rPr>
                <w:rFonts w:cs="Tahoma"/>
                <w:b/>
                <w:bCs/>
                <w:lang w:val="en-US"/>
              </w:rPr>
              <w:t>01305/INFOEM/IP/RR/2025</w:t>
            </w:r>
          </w:p>
        </w:tc>
        <w:tc>
          <w:tcPr>
            <w:tcW w:w="6214" w:type="dxa"/>
            <w:shd w:val="clear" w:color="auto" w:fill="auto"/>
          </w:tcPr>
          <w:p w14:paraId="69D01342" w14:textId="33DCA0D6" w:rsidR="00F6527B" w:rsidRPr="00B975DD" w:rsidRDefault="00F6527B" w:rsidP="00B975DD">
            <w:pPr>
              <w:pStyle w:val="Prrafodelista"/>
              <w:numPr>
                <w:ilvl w:val="0"/>
                <w:numId w:val="39"/>
              </w:numPr>
              <w:spacing w:line="240" w:lineRule="auto"/>
              <w:rPr>
                <w:rFonts w:cs="Tahoma"/>
                <w:b/>
                <w:bCs/>
                <w:i/>
              </w:rPr>
            </w:pPr>
            <w:r w:rsidRPr="00B975DD">
              <w:rPr>
                <w:rFonts w:cs="Tahoma"/>
                <w:b/>
                <w:bCs/>
                <w:i/>
              </w:rPr>
              <w:t xml:space="preserve">074_SOL_REP_ADMON_2025.pdf, </w:t>
            </w:r>
            <w:r w:rsidRPr="00B975DD">
              <w:rPr>
                <w:rFonts w:cs="Tahoma"/>
                <w:bCs/>
              </w:rPr>
              <w:t xml:space="preserve">el cual contiene el oficio  número MA/DA/ADQ./017/01/2025 del veintiocho de enero de dos mil veinticinco, por medio del cual la Directora de Administración, refiere que una vez realizada la búsqueda exhaustiva y razonable en los archivos físicos y electrónicos de la Dirección, no obra información respecto de lo solicitado. </w:t>
            </w:r>
          </w:p>
          <w:p w14:paraId="052AA075" w14:textId="235E12FE" w:rsidR="00F6527B" w:rsidRPr="00B975DD" w:rsidRDefault="00F6527B" w:rsidP="00B975DD">
            <w:pPr>
              <w:pStyle w:val="Prrafodelista"/>
              <w:numPr>
                <w:ilvl w:val="0"/>
                <w:numId w:val="39"/>
              </w:numPr>
              <w:spacing w:line="240" w:lineRule="auto"/>
              <w:rPr>
                <w:rFonts w:cs="Tahoma"/>
                <w:b/>
                <w:bCs/>
                <w:i/>
              </w:rPr>
            </w:pPr>
            <w:r w:rsidRPr="00B975DD">
              <w:rPr>
                <w:rFonts w:cs="Tahoma"/>
                <w:b/>
                <w:bCs/>
                <w:i/>
              </w:rPr>
              <w:t xml:space="preserve">074_RESP_UT_2025.pdf, </w:t>
            </w:r>
            <w:r w:rsidRPr="00B975DD">
              <w:rPr>
                <w:rFonts w:cs="Tahoma"/>
                <w:bCs/>
              </w:rPr>
              <w:t>el cual contiene el oficio del doce de febrero de dos mil veinticinco, por medio del cual la titular de la Unidad de Transparencia, refiere anexar el oficio del área a la que fue turnada la solicitud.</w:t>
            </w:r>
          </w:p>
        </w:tc>
      </w:tr>
    </w:tbl>
    <w:p w14:paraId="6B6FE4F6" w14:textId="77777777" w:rsidR="0057464A" w:rsidRPr="00B975DD" w:rsidRDefault="0057464A" w:rsidP="00B975DD"/>
    <w:p w14:paraId="5A5DAB9E" w14:textId="77777777" w:rsidR="00E37A3F" w:rsidRPr="00B975DD" w:rsidRDefault="00E37A3F" w:rsidP="00B975DD">
      <w:pPr>
        <w:pStyle w:val="Ttulo2"/>
        <w:jc w:val="left"/>
      </w:pPr>
      <w:bookmarkStart w:id="12" w:name="_Toc193960289"/>
      <w:r w:rsidRPr="00B975DD">
        <w:t>DEL RECURSO DE REVISIÓN</w:t>
      </w:r>
      <w:bookmarkEnd w:id="12"/>
    </w:p>
    <w:p w14:paraId="2B216813" w14:textId="61ADBB2B" w:rsidR="00664420" w:rsidRPr="00B975DD" w:rsidRDefault="006E25BC" w:rsidP="00B975DD">
      <w:pPr>
        <w:pStyle w:val="Ttulo3"/>
      </w:pPr>
      <w:bookmarkStart w:id="13" w:name="_Toc193960290"/>
      <w:r w:rsidRPr="00B975DD">
        <w:rPr>
          <w:szCs w:val="32"/>
        </w:rPr>
        <w:t>a)</w:t>
      </w:r>
      <w:r w:rsidRPr="00B975DD">
        <w:t xml:space="preserve"> </w:t>
      </w:r>
      <w:r w:rsidR="00664420" w:rsidRPr="00B975DD">
        <w:t>Interposición del Recurso de Revisión</w:t>
      </w:r>
      <w:bookmarkEnd w:id="13"/>
    </w:p>
    <w:p w14:paraId="6279C622" w14:textId="4AAA43B0" w:rsidR="00664420" w:rsidRPr="00B975DD" w:rsidRDefault="00664420" w:rsidP="00B975DD">
      <w:pPr>
        <w:autoSpaceDE w:val="0"/>
        <w:autoSpaceDN w:val="0"/>
        <w:adjustRightInd w:val="0"/>
        <w:ind w:right="-28"/>
        <w:rPr>
          <w:rFonts w:cs="Tahoma"/>
          <w:szCs w:val="22"/>
        </w:rPr>
      </w:pPr>
      <w:r w:rsidRPr="00B975DD">
        <w:rPr>
          <w:rFonts w:cs="Tahoma"/>
          <w:szCs w:val="22"/>
        </w:rPr>
        <w:t xml:space="preserve">El </w:t>
      </w:r>
      <w:r w:rsidR="00F6527B" w:rsidRPr="00B975DD">
        <w:rPr>
          <w:rFonts w:cs="Tahoma"/>
          <w:b/>
          <w:bCs/>
          <w:szCs w:val="22"/>
        </w:rPr>
        <w:t xml:space="preserve">once y trece </w:t>
      </w:r>
      <w:r w:rsidR="00444DE3" w:rsidRPr="00B975DD">
        <w:rPr>
          <w:rFonts w:cs="Tahoma"/>
          <w:b/>
          <w:bCs/>
          <w:szCs w:val="22"/>
        </w:rPr>
        <w:t xml:space="preserve">de febrero de dos mil veinticinco </w:t>
      </w:r>
      <w:r w:rsidR="00F75D23" w:rsidRPr="00B975DD">
        <w:rPr>
          <w:rFonts w:cs="Tahoma"/>
          <w:b/>
          <w:bCs/>
          <w:szCs w:val="22"/>
        </w:rPr>
        <w:t>LA PARTE RECURRENTE</w:t>
      </w:r>
      <w:r w:rsidR="00F75D23" w:rsidRPr="00B975DD">
        <w:rPr>
          <w:rFonts w:cs="Tahoma"/>
          <w:szCs w:val="22"/>
        </w:rPr>
        <w:t xml:space="preserve"> interpuso </w:t>
      </w:r>
      <w:r w:rsidR="0068301E" w:rsidRPr="00B975DD">
        <w:rPr>
          <w:rFonts w:cs="Tahoma"/>
          <w:szCs w:val="22"/>
        </w:rPr>
        <w:t>los</w:t>
      </w:r>
      <w:r w:rsidR="00F75D23" w:rsidRPr="00B975DD">
        <w:rPr>
          <w:rFonts w:cs="Tahoma"/>
          <w:szCs w:val="22"/>
        </w:rPr>
        <w:t xml:space="preserve"> recurso</w:t>
      </w:r>
      <w:r w:rsidR="0068301E" w:rsidRPr="00B975DD">
        <w:rPr>
          <w:rFonts w:cs="Tahoma"/>
          <w:szCs w:val="22"/>
        </w:rPr>
        <w:t>s</w:t>
      </w:r>
      <w:r w:rsidR="00F75D23" w:rsidRPr="00B975DD">
        <w:rPr>
          <w:rFonts w:cs="Tahoma"/>
          <w:szCs w:val="22"/>
        </w:rPr>
        <w:t xml:space="preserve"> de revisión en contra de la</w:t>
      </w:r>
      <w:r w:rsidR="0068301E" w:rsidRPr="00B975DD">
        <w:rPr>
          <w:rFonts w:cs="Tahoma"/>
          <w:szCs w:val="22"/>
        </w:rPr>
        <w:t>s</w:t>
      </w:r>
      <w:r w:rsidR="00F75D23" w:rsidRPr="00B975DD">
        <w:rPr>
          <w:rFonts w:cs="Tahoma"/>
          <w:szCs w:val="22"/>
        </w:rPr>
        <w:t xml:space="preserve"> respuesta</w:t>
      </w:r>
      <w:r w:rsidR="0068301E" w:rsidRPr="00B975DD">
        <w:rPr>
          <w:rFonts w:cs="Tahoma"/>
          <w:szCs w:val="22"/>
        </w:rPr>
        <w:t>s</w:t>
      </w:r>
      <w:r w:rsidR="00F75D23" w:rsidRPr="00B975DD">
        <w:rPr>
          <w:rFonts w:cs="Tahoma"/>
          <w:szCs w:val="22"/>
        </w:rPr>
        <w:t xml:space="preserve"> emitida</w:t>
      </w:r>
      <w:r w:rsidR="0068301E" w:rsidRPr="00B975DD">
        <w:rPr>
          <w:rFonts w:cs="Tahoma"/>
          <w:szCs w:val="22"/>
        </w:rPr>
        <w:t>s</w:t>
      </w:r>
      <w:r w:rsidR="00F75D23" w:rsidRPr="00B975DD">
        <w:rPr>
          <w:rFonts w:cs="Tahoma"/>
          <w:szCs w:val="22"/>
        </w:rPr>
        <w:t xml:space="preserve"> por el </w:t>
      </w:r>
      <w:r w:rsidR="00F75D23" w:rsidRPr="00B975DD">
        <w:rPr>
          <w:rFonts w:cs="Tahoma"/>
          <w:b/>
          <w:bCs/>
          <w:szCs w:val="22"/>
        </w:rPr>
        <w:t>SUJETO OBLIGADO</w:t>
      </w:r>
      <w:r w:rsidR="00953430" w:rsidRPr="00B975DD">
        <w:rPr>
          <w:rFonts w:cs="Tahoma"/>
          <w:szCs w:val="22"/>
        </w:rPr>
        <w:t>, mismo</w:t>
      </w:r>
      <w:r w:rsidR="0068301E" w:rsidRPr="00B975DD">
        <w:rPr>
          <w:rFonts w:cs="Tahoma"/>
          <w:szCs w:val="22"/>
        </w:rPr>
        <w:t>s</w:t>
      </w:r>
      <w:r w:rsidR="00953430" w:rsidRPr="00B975DD">
        <w:rPr>
          <w:rFonts w:cs="Tahoma"/>
          <w:szCs w:val="22"/>
        </w:rPr>
        <w:t xml:space="preserve"> </w:t>
      </w:r>
      <w:r w:rsidR="00953430" w:rsidRPr="00B975DD">
        <w:rPr>
          <w:rFonts w:cs="Tahoma"/>
          <w:szCs w:val="22"/>
        </w:rPr>
        <w:lastRenderedPageBreak/>
        <w:t>que fue</w:t>
      </w:r>
      <w:r w:rsidR="0068301E" w:rsidRPr="00B975DD">
        <w:rPr>
          <w:rFonts w:cs="Tahoma"/>
          <w:szCs w:val="22"/>
        </w:rPr>
        <w:t>ron</w:t>
      </w:r>
      <w:r w:rsidR="00953430" w:rsidRPr="00B975DD">
        <w:rPr>
          <w:rFonts w:cs="Tahoma"/>
          <w:szCs w:val="22"/>
        </w:rPr>
        <w:t xml:space="preserve"> registrado</w:t>
      </w:r>
      <w:r w:rsidR="0068301E" w:rsidRPr="00B975DD">
        <w:rPr>
          <w:rFonts w:cs="Tahoma"/>
          <w:szCs w:val="22"/>
        </w:rPr>
        <w:t>s</w:t>
      </w:r>
      <w:r w:rsidR="00953430" w:rsidRPr="00B975DD">
        <w:rPr>
          <w:rFonts w:cs="Tahoma"/>
          <w:szCs w:val="22"/>
        </w:rPr>
        <w:t xml:space="preserve"> en el </w:t>
      </w:r>
      <w:r w:rsidR="00953430" w:rsidRPr="00B975DD">
        <w:rPr>
          <w:rFonts w:cs="Tahoma"/>
          <w:b/>
          <w:szCs w:val="22"/>
        </w:rPr>
        <w:t>SAIMEX</w:t>
      </w:r>
      <w:r w:rsidR="00953430" w:rsidRPr="00B975DD">
        <w:rPr>
          <w:rFonts w:cs="Tahoma"/>
          <w:szCs w:val="22"/>
        </w:rPr>
        <w:t xml:space="preserve"> con </w:t>
      </w:r>
      <w:r w:rsidR="0068301E" w:rsidRPr="00B975DD">
        <w:rPr>
          <w:rFonts w:cs="Tahoma"/>
          <w:szCs w:val="22"/>
        </w:rPr>
        <w:t>los</w:t>
      </w:r>
      <w:r w:rsidR="00953430" w:rsidRPr="00B975DD">
        <w:rPr>
          <w:rFonts w:cs="Tahoma"/>
          <w:szCs w:val="22"/>
        </w:rPr>
        <w:t xml:space="preserve"> número</w:t>
      </w:r>
      <w:r w:rsidR="0068301E" w:rsidRPr="00B975DD">
        <w:rPr>
          <w:rFonts w:cs="Tahoma"/>
          <w:szCs w:val="22"/>
        </w:rPr>
        <w:t>s</w:t>
      </w:r>
      <w:r w:rsidR="00953430" w:rsidRPr="00B975DD">
        <w:rPr>
          <w:rFonts w:cs="Tahoma"/>
          <w:szCs w:val="22"/>
        </w:rPr>
        <w:t xml:space="preserve"> de expediente </w:t>
      </w:r>
      <w:r w:rsidR="00F6527B" w:rsidRPr="00B975DD">
        <w:rPr>
          <w:rFonts w:eastAsia="Calibri"/>
          <w:b/>
          <w:lang w:eastAsia="en-US"/>
        </w:rPr>
        <w:t xml:space="preserve">01032/INFOEM/IP/RR/2025 </w:t>
      </w:r>
      <w:r w:rsidR="00F6527B" w:rsidRPr="00B975DD">
        <w:rPr>
          <w:rFonts w:eastAsia="Calibri"/>
          <w:lang w:eastAsia="en-US"/>
        </w:rPr>
        <w:t>y</w:t>
      </w:r>
      <w:r w:rsidR="00F6527B" w:rsidRPr="00B975DD">
        <w:rPr>
          <w:rFonts w:eastAsia="Calibri"/>
          <w:b/>
          <w:lang w:eastAsia="en-US"/>
        </w:rPr>
        <w:t xml:space="preserve"> 01305/INFOEM/IP/RR/2025</w:t>
      </w:r>
      <w:r w:rsidR="00953430" w:rsidRPr="00B975DD">
        <w:rPr>
          <w:rFonts w:cs="Tahoma"/>
          <w:szCs w:val="22"/>
        </w:rPr>
        <w:t>, en l</w:t>
      </w:r>
      <w:r w:rsidR="0068301E" w:rsidRPr="00B975DD">
        <w:rPr>
          <w:rFonts w:cs="Tahoma"/>
          <w:szCs w:val="22"/>
        </w:rPr>
        <w:t>os</w:t>
      </w:r>
      <w:r w:rsidR="00953430" w:rsidRPr="00B975DD">
        <w:rPr>
          <w:rFonts w:cs="Tahoma"/>
          <w:szCs w:val="22"/>
        </w:rPr>
        <w:t xml:space="preserve"> cual</w:t>
      </w:r>
      <w:r w:rsidR="0068301E" w:rsidRPr="00B975DD">
        <w:rPr>
          <w:rFonts w:cs="Tahoma"/>
          <w:szCs w:val="22"/>
        </w:rPr>
        <w:t>es</w:t>
      </w:r>
      <w:r w:rsidR="00953430" w:rsidRPr="00B975DD">
        <w:rPr>
          <w:rFonts w:cs="Tahoma"/>
          <w:szCs w:val="22"/>
        </w:rPr>
        <w:t xml:space="preserve"> manifiesta lo siguiente</w:t>
      </w:r>
      <w:r w:rsidRPr="00B975DD">
        <w:rPr>
          <w:rFonts w:cs="Tahoma"/>
          <w:szCs w:val="22"/>
        </w:rPr>
        <w:t>:</w:t>
      </w:r>
    </w:p>
    <w:p w14:paraId="74B30008" w14:textId="77777777" w:rsidR="00664420" w:rsidRPr="00B975DD" w:rsidRDefault="00664420" w:rsidP="00B975DD">
      <w:pPr>
        <w:tabs>
          <w:tab w:val="left" w:pos="4667"/>
        </w:tabs>
        <w:ind w:right="539"/>
        <w:rPr>
          <w:rFonts w:cs="Tahoma"/>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2991"/>
        <w:gridCol w:w="2976"/>
      </w:tblGrid>
      <w:tr w:rsidR="00B975DD" w:rsidRPr="00B975DD" w14:paraId="6F08417B" w14:textId="7499294D" w:rsidTr="004453B1">
        <w:trPr>
          <w:trHeight w:val="324"/>
          <w:tblHeader/>
        </w:trPr>
        <w:tc>
          <w:tcPr>
            <w:tcW w:w="3100" w:type="dxa"/>
            <w:shd w:val="clear" w:color="000000" w:fill="D9D9D9"/>
            <w:noWrap/>
            <w:vAlign w:val="center"/>
            <w:hideMark/>
          </w:tcPr>
          <w:p w14:paraId="7FDE7CD6" w14:textId="77777777" w:rsidR="004453B1" w:rsidRPr="00B975DD" w:rsidRDefault="004453B1" w:rsidP="00B975DD">
            <w:pPr>
              <w:spacing w:line="240" w:lineRule="auto"/>
              <w:jc w:val="center"/>
              <w:rPr>
                <w:rFonts w:cs="Andalus"/>
                <w:b/>
                <w:bCs/>
                <w:szCs w:val="22"/>
              </w:rPr>
            </w:pPr>
            <w:r w:rsidRPr="00B975DD">
              <w:rPr>
                <w:rFonts w:cs="Andalus"/>
                <w:b/>
                <w:bCs/>
                <w:szCs w:val="22"/>
              </w:rPr>
              <w:t xml:space="preserve">Número de solicitud / </w:t>
            </w:r>
          </w:p>
          <w:p w14:paraId="15681A5A" w14:textId="77777777" w:rsidR="004453B1" w:rsidRPr="00B975DD" w:rsidRDefault="004453B1" w:rsidP="00B975DD">
            <w:pPr>
              <w:spacing w:line="240" w:lineRule="auto"/>
              <w:jc w:val="center"/>
              <w:rPr>
                <w:rFonts w:cs="Andalus"/>
                <w:b/>
                <w:bCs/>
                <w:szCs w:val="22"/>
              </w:rPr>
            </w:pPr>
            <w:r w:rsidRPr="00B975DD">
              <w:rPr>
                <w:rFonts w:cs="Andalus"/>
                <w:b/>
                <w:bCs/>
                <w:szCs w:val="22"/>
              </w:rPr>
              <w:t>Número de Recurso</w:t>
            </w:r>
          </w:p>
          <w:p w14:paraId="55C7A4DE" w14:textId="77777777" w:rsidR="004453B1" w:rsidRPr="00B975DD" w:rsidRDefault="004453B1" w:rsidP="00B975DD">
            <w:pPr>
              <w:spacing w:line="240" w:lineRule="auto"/>
              <w:jc w:val="center"/>
              <w:rPr>
                <w:rFonts w:cs="Andalus"/>
                <w:b/>
                <w:bCs/>
                <w:szCs w:val="22"/>
              </w:rPr>
            </w:pPr>
          </w:p>
        </w:tc>
        <w:tc>
          <w:tcPr>
            <w:tcW w:w="2991" w:type="dxa"/>
            <w:shd w:val="clear" w:color="000000" w:fill="D9D9D9"/>
            <w:noWrap/>
            <w:vAlign w:val="center"/>
            <w:hideMark/>
          </w:tcPr>
          <w:p w14:paraId="670CBF00" w14:textId="01832DE9" w:rsidR="004453B1" w:rsidRPr="00B975DD" w:rsidRDefault="004453B1" w:rsidP="00B975DD">
            <w:pPr>
              <w:spacing w:line="240" w:lineRule="auto"/>
              <w:jc w:val="center"/>
              <w:rPr>
                <w:rFonts w:cs="Andalus"/>
                <w:b/>
                <w:bCs/>
                <w:szCs w:val="22"/>
              </w:rPr>
            </w:pPr>
            <w:r w:rsidRPr="00B975DD">
              <w:rPr>
                <w:rFonts w:cs="Andalus"/>
                <w:b/>
                <w:bCs/>
                <w:szCs w:val="22"/>
              </w:rPr>
              <w:t xml:space="preserve">Acto Impugnado  </w:t>
            </w:r>
          </w:p>
        </w:tc>
        <w:tc>
          <w:tcPr>
            <w:tcW w:w="2976" w:type="dxa"/>
            <w:shd w:val="clear" w:color="000000" w:fill="D9D9D9"/>
            <w:vAlign w:val="center"/>
          </w:tcPr>
          <w:p w14:paraId="32D259AC" w14:textId="0F3BFEE7" w:rsidR="004453B1" w:rsidRPr="00B975DD" w:rsidRDefault="004453B1" w:rsidP="00B975DD">
            <w:pPr>
              <w:spacing w:line="240" w:lineRule="auto"/>
              <w:jc w:val="center"/>
              <w:rPr>
                <w:rFonts w:cs="Andalus"/>
                <w:b/>
                <w:bCs/>
                <w:szCs w:val="22"/>
              </w:rPr>
            </w:pPr>
            <w:r w:rsidRPr="00B975DD">
              <w:rPr>
                <w:rFonts w:cs="Andalus"/>
                <w:b/>
                <w:bCs/>
                <w:szCs w:val="22"/>
              </w:rPr>
              <w:t xml:space="preserve">Razones o motivos de inconformidad </w:t>
            </w:r>
          </w:p>
        </w:tc>
      </w:tr>
      <w:tr w:rsidR="00B975DD" w:rsidRPr="00B975DD" w14:paraId="768ED05E" w14:textId="4AC6E823" w:rsidTr="004453B1">
        <w:trPr>
          <w:trHeight w:val="962"/>
        </w:trPr>
        <w:tc>
          <w:tcPr>
            <w:tcW w:w="3100" w:type="dxa"/>
            <w:shd w:val="clear" w:color="auto" w:fill="auto"/>
            <w:noWrap/>
          </w:tcPr>
          <w:p w14:paraId="67EF436A" w14:textId="77777777" w:rsidR="00F6527B" w:rsidRPr="00B975DD" w:rsidRDefault="00F6527B" w:rsidP="00B975DD">
            <w:pPr>
              <w:spacing w:line="240" w:lineRule="auto"/>
              <w:jc w:val="center"/>
              <w:rPr>
                <w:rFonts w:cs="Tahoma"/>
                <w:b/>
                <w:bCs/>
                <w:lang w:val="en-US"/>
              </w:rPr>
            </w:pPr>
            <w:r w:rsidRPr="00B975DD">
              <w:rPr>
                <w:rFonts w:cs="Tahoma"/>
                <w:b/>
                <w:bCs/>
              </w:rPr>
              <w:t>00046/ATLACOM/IP/2025</w:t>
            </w:r>
          </w:p>
          <w:p w14:paraId="2AC50DC3" w14:textId="60FA3656" w:rsidR="00F6527B" w:rsidRPr="00B975DD" w:rsidRDefault="00F6527B" w:rsidP="00B975DD">
            <w:pPr>
              <w:spacing w:line="240" w:lineRule="auto"/>
              <w:jc w:val="center"/>
              <w:rPr>
                <w:rFonts w:cs="Arial"/>
                <w:b/>
                <w:lang w:val="en-US"/>
              </w:rPr>
            </w:pPr>
            <w:r w:rsidRPr="00B975DD">
              <w:rPr>
                <w:rFonts w:cs="Tahoma"/>
                <w:b/>
                <w:bCs/>
                <w:lang w:val="en-US"/>
              </w:rPr>
              <w:t>01032/INFOEM/IP/RR/2025</w:t>
            </w:r>
          </w:p>
        </w:tc>
        <w:tc>
          <w:tcPr>
            <w:tcW w:w="2991" w:type="dxa"/>
            <w:shd w:val="clear" w:color="auto" w:fill="auto"/>
          </w:tcPr>
          <w:p w14:paraId="64ADB1E7" w14:textId="69D9D6B7" w:rsidR="00F6527B" w:rsidRPr="00B975DD" w:rsidRDefault="00F6527B" w:rsidP="00B975DD">
            <w:pPr>
              <w:spacing w:line="240" w:lineRule="auto"/>
              <w:rPr>
                <w:rFonts w:cs="Calibri"/>
                <w:i/>
                <w:szCs w:val="22"/>
              </w:rPr>
            </w:pPr>
            <w:r w:rsidRPr="00B975DD">
              <w:rPr>
                <w:rFonts w:cs="Calibri"/>
                <w:i/>
                <w:szCs w:val="22"/>
              </w:rPr>
              <w:t>“No entregan información solicitada” (sic)</w:t>
            </w:r>
          </w:p>
        </w:tc>
        <w:tc>
          <w:tcPr>
            <w:tcW w:w="2976" w:type="dxa"/>
          </w:tcPr>
          <w:p w14:paraId="4BC45996" w14:textId="1AB4FE4D" w:rsidR="00F6527B" w:rsidRPr="00B975DD" w:rsidRDefault="00F6527B" w:rsidP="00B975DD">
            <w:pPr>
              <w:spacing w:line="240" w:lineRule="auto"/>
              <w:rPr>
                <w:rFonts w:cs="Calibri"/>
                <w:i/>
                <w:szCs w:val="22"/>
              </w:rPr>
            </w:pPr>
            <w:r w:rsidRPr="00B975DD">
              <w:rPr>
                <w:rFonts w:cs="Calibri"/>
                <w:i/>
                <w:szCs w:val="22"/>
              </w:rPr>
              <w:t xml:space="preserve">“No entregan información solicitada” (sic) </w:t>
            </w:r>
          </w:p>
        </w:tc>
      </w:tr>
      <w:tr w:rsidR="00F6527B" w:rsidRPr="00B975DD" w14:paraId="76F5CF2A" w14:textId="46ADA549" w:rsidTr="004453B1">
        <w:trPr>
          <w:trHeight w:val="962"/>
        </w:trPr>
        <w:tc>
          <w:tcPr>
            <w:tcW w:w="3100" w:type="dxa"/>
            <w:shd w:val="clear" w:color="auto" w:fill="auto"/>
            <w:noWrap/>
          </w:tcPr>
          <w:p w14:paraId="71509DB1" w14:textId="77777777" w:rsidR="00F6527B" w:rsidRPr="00B975DD" w:rsidRDefault="00F6527B" w:rsidP="00B975DD">
            <w:pPr>
              <w:spacing w:line="240" w:lineRule="auto"/>
              <w:jc w:val="center"/>
              <w:rPr>
                <w:rFonts w:cs="Tahoma"/>
                <w:b/>
                <w:bCs/>
                <w:lang w:val="en-US"/>
              </w:rPr>
            </w:pPr>
            <w:r w:rsidRPr="00B975DD">
              <w:rPr>
                <w:rFonts w:cs="Tahoma"/>
                <w:b/>
                <w:bCs/>
              </w:rPr>
              <w:t>00074/ATLACOM/IP/2025</w:t>
            </w:r>
          </w:p>
          <w:p w14:paraId="2E906053" w14:textId="3CBE7308" w:rsidR="00F6527B" w:rsidRPr="00B975DD" w:rsidRDefault="00F6527B" w:rsidP="00B975DD">
            <w:pPr>
              <w:spacing w:line="240" w:lineRule="auto"/>
              <w:jc w:val="center"/>
              <w:rPr>
                <w:rFonts w:cs="Tahoma"/>
                <w:b/>
                <w:bCs/>
                <w:lang w:val="en-US"/>
              </w:rPr>
            </w:pPr>
            <w:r w:rsidRPr="00B975DD">
              <w:rPr>
                <w:rFonts w:cs="Tahoma"/>
                <w:b/>
                <w:bCs/>
                <w:lang w:val="en-US"/>
              </w:rPr>
              <w:t>01305/INFOEM/IP/RR/2025</w:t>
            </w:r>
          </w:p>
        </w:tc>
        <w:tc>
          <w:tcPr>
            <w:tcW w:w="2991" w:type="dxa"/>
            <w:shd w:val="clear" w:color="auto" w:fill="auto"/>
          </w:tcPr>
          <w:p w14:paraId="73CC12B0" w14:textId="2A6C821A" w:rsidR="00F6527B" w:rsidRPr="00B975DD" w:rsidRDefault="00F6527B" w:rsidP="00B975DD">
            <w:pPr>
              <w:spacing w:line="240" w:lineRule="auto"/>
              <w:rPr>
                <w:rFonts w:cs="Calibri"/>
                <w:i/>
                <w:szCs w:val="22"/>
              </w:rPr>
            </w:pPr>
            <w:r w:rsidRPr="00B975DD">
              <w:rPr>
                <w:rFonts w:cs="Calibri"/>
                <w:i/>
                <w:szCs w:val="22"/>
              </w:rPr>
              <w:t xml:space="preserve">“No entregan información” (sic) </w:t>
            </w:r>
          </w:p>
        </w:tc>
        <w:tc>
          <w:tcPr>
            <w:tcW w:w="2976" w:type="dxa"/>
          </w:tcPr>
          <w:p w14:paraId="0EAABA8A" w14:textId="326B4885" w:rsidR="00F6527B" w:rsidRPr="00B975DD" w:rsidRDefault="00F6527B" w:rsidP="00B975DD">
            <w:pPr>
              <w:spacing w:line="240" w:lineRule="auto"/>
              <w:rPr>
                <w:rFonts w:cs="Calibri"/>
                <w:i/>
                <w:szCs w:val="22"/>
              </w:rPr>
            </w:pPr>
            <w:r w:rsidRPr="00B975DD">
              <w:rPr>
                <w:rFonts w:cs="Calibri"/>
                <w:i/>
                <w:szCs w:val="22"/>
              </w:rPr>
              <w:t xml:space="preserve">“No dan la información” (sic) </w:t>
            </w:r>
          </w:p>
        </w:tc>
      </w:tr>
    </w:tbl>
    <w:p w14:paraId="1A5667F2" w14:textId="77777777" w:rsidR="00444DE3" w:rsidRPr="00B975DD" w:rsidRDefault="00444DE3" w:rsidP="00B975DD">
      <w:pPr>
        <w:tabs>
          <w:tab w:val="left" w:pos="4667"/>
        </w:tabs>
        <w:ind w:right="539"/>
        <w:rPr>
          <w:rFonts w:cs="Tahoma"/>
          <w:szCs w:val="22"/>
        </w:rPr>
      </w:pPr>
    </w:p>
    <w:p w14:paraId="6804DEF1" w14:textId="3C4F6CB5" w:rsidR="00664420" w:rsidRPr="00B975DD" w:rsidRDefault="006E25BC" w:rsidP="00B975DD">
      <w:pPr>
        <w:pStyle w:val="Ttulo3"/>
      </w:pPr>
      <w:bookmarkStart w:id="14" w:name="_Toc193960291"/>
      <w:r w:rsidRPr="00B975DD">
        <w:t>b</w:t>
      </w:r>
      <w:r w:rsidR="00664420" w:rsidRPr="00B975DD">
        <w:t>) Turno del Recurso de Revisión</w:t>
      </w:r>
      <w:bookmarkEnd w:id="14"/>
    </w:p>
    <w:p w14:paraId="1173671B" w14:textId="592C4C81" w:rsidR="00C72DAA" w:rsidRPr="00B975DD" w:rsidRDefault="00C72DAA" w:rsidP="00B975DD">
      <w:r w:rsidRPr="00B975DD">
        <w:t>Con fundamento en el artículo 185, fracción I de la Ley de Transparencia y Acceso a la Información Pública del Estado de México y Municipios, el</w:t>
      </w:r>
      <w:r w:rsidRPr="00B975DD">
        <w:rPr>
          <w:b/>
          <w:bCs/>
        </w:rPr>
        <w:t xml:space="preserve"> </w:t>
      </w:r>
      <w:r w:rsidR="00EF5E2E" w:rsidRPr="00B975DD">
        <w:rPr>
          <w:rFonts w:eastAsia="Palatino Linotype" w:cs="Palatino Linotype"/>
          <w:b/>
        </w:rPr>
        <w:t xml:space="preserve">once y trece </w:t>
      </w:r>
      <w:r w:rsidR="00ED0CEC" w:rsidRPr="00B975DD">
        <w:rPr>
          <w:rFonts w:eastAsia="Palatino Linotype" w:cs="Palatino Linotype"/>
          <w:b/>
        </w:rPr>
        <w:t xml:space="preserve">de febrero </w:t>
      </w:r>
      <w:r w:rsidR="004453B1" w:rsidRPr="00B975DD">
        <w:rPr>
          <w:rFonts w:eastAsia="Palatino Linotype" w:cs="Palatino Linotype"/>
          <w:b/>
        </w:rPr>
        <w:t>de dos mil veinticinco</w:t>
      </w:r>
      <w:r w:rsidR="00657603" w:rsidRPr="00B975DD">
        <w:rPr>
          <w:rFonts w:eastAsia="Palatino Linotype" w:cs="Palatino Linotype"/>
          <w:b/>
        </w:rPr>
        <w:t xml:space="preserve"> </w:t>
      </w:r>
      <w:r w:rsidRPr="00B975DD">
        <w:t xml:space="preserve">se </w:t>
      </w:r>
      <w:r w:rsidR="00013A12" w:rsidRPr="00B975DD">
        <w:t>tunaron a través del</w:t>
      </w:r>
      <w:r w:rsidR="00013A12" w:rsidRPr="00B975DD">
        <w:rPr>
          <w:rFonts w:eastAsia="Arial Unicode MS"/>
        </w:rPr>
        <w:t xml:space="preserve"> </w:t>
      </w:r>
      <w:r w:rsidR="00013A12" w:rsidRPr="00B975DD">
        <w:rPr>
          <w:rFonts w:eastAsia="Arial Unicode MS"/>
          <w:b/>
          <w:bCs/>
        </w:rPr>
        <w:t>SAIMEX</w:t>
      </w:r>
      <w:r w:rsidR="00013A12" w:rsidRPr="00B975DD">
        <w:t xml:space="preserve"> </w:t>
      </w:r>
      <w:r w:rsidR="00ED0CEC" w:rsidRPr="00B975DD">
        <w:t>los</w:t>
      </w:r>
      <w:r w:rsidR="00013A12" w:rsidRPr="00B975DD">
        <w:t xml:space="preserve"> Recursos de Revisión </w:t>
      </w:r>
      <w:r w:rsidR="004453B1" w:rsidRPr="00B975DD">
        <w:t>a la comisionada</w:t>
      </w:r>
      <w:r w:rsidR="004453B1" w:rsidRPr="00B975DD">
        <w:rPr>
          <w:b/>
        </w:rPr>
        <w:t xml:space="preserve"> Sharon Cristina Morales Martínez, </w:t>
      </w:r>
      <w:r w:rsidRPr="00B975DD">
        <w:t xml:space="preserve">a efecto de decretar su admisión o desechamiento. </w:t>
      </w:r>
    </w:p>
    <w:p w14:paraId="18F305CB" w14:textId="77777777" w:rsidR="00664420" w:rsidRPr="00B975DD" w:rsidRDefault="00664420" w:rsidP="00B975DD">
      <w:pPr>
        <w:rPr>
          <w:rFonts w:eastAsia="Batang" w:cs="Tahoma"/>
          <w:bCs/>
          <w:szCs w:val="22"/>
        </w:rPr>
      </w:pPr>
    </w:p>
    <w:p w14:paraId="3E31EC2D" w14:textId="295256A1" w:rsidR="00664420" w:rsidRPr="00B975DD" w:rsidRDefault="006E25BC" w:rsidP="00B975DD">
      <w:pPr>
        <w:pStyle w:val="Ttulo3"/>
      </w:pPr>
      <w:bookmarkStart w:id="15" w:name="_Toc193960292"/>
      <w:r w:rsidRPr="00B975DD">
        <w:t>c</w:t>
      </w:r>
      <w:r w:rsidR="00664420" w:rsidRPr="00B975DD">
        <w:t>) Admisión del Recurso de Revisión</w:t>
      </w:r>
      <w:bookmarkEnd w:id="15"/>
    </w:p>
    <w:p w14:paraId="240447D5" w14:textId="34791F6C" w:rsidR="000E09C4" w:rsidRPr="00B975DD" w:rsidRDefault="000E09C4" w:rsidP="00B975DD">
      <w:pPr>
        <w:rPr>
          <w:rFonts w:cs="Arial"/>
        </w:rPr>
      </w:pPr>
      <w:r w:rsidRPr="00B975DD">
        <w:rPr>
          <w:rFonts w:cs="Arial"/>
        </w:rPr>
        <w:t xml:space="preserve">El </w:t>
      </w:r>
      <w:r w:rsidR="00EF5E2E" w:rsidRPr="00B975DD">
        <w:rPr>
          <w:rFonts w:eastAsia="Palatino Linotype" w:cs="Palatino Linotype"/>
          <w:b/>
        </w:rPr>
        <w:t xml:space="preserve">doce y dieciocho </w:t>
      </w:r>
      <w:r w:rsidR="00ED0CEC" w:rsidRPr="00B975DD">
        <w:rPr>
          <w:rFonts w:eastAsia="Palatino Linotype" w:cs="Palatino Linotype"/>
          <w:b/>
        </w:rPr>
        <w:t>de febrero d</w:t>
      </w:r>
      <w:r w:rsidR="004453B1" w:rsidRPr="00B975DD">
        <w:rPr>
          <w:rFonts w:eastAsia="Palatino Linotype" w:cs="Palatino Linotype"/>
          <w:b/>
        </w:rPr>
        <w:t>e dos mil veinticinco</w:t>
      </w:r>
      <w:r w:rsidRPr="00B975DD">
        <w:rPr>
          <w:rFonts w:cs="Arial"/>
        </w:rPr>
        <w:t xml:space="preserve"> se acordó la admisión a trámite de</w:t>
      </w:r>
      <w:r w:rsidR="0068301E" w:rsidRPr="00B975DD">
        <w:rPr>
          <w:rFonts w:cs="Arial"/>
        </w:rPr>
        <w:t xml:space="preserve"> </w:t>
      </w:r>
      <w:r w:rsidRPr="00B975DD">
        <w:rPr>
          <w:rFonts w:cs="Arial"/>
        </w:rPr>
        <w:t>l</w:t>
      </w:r>
      <w:r w:rsidR="0068301E" w:rsidRPr="00B975DD">
        <w:rPr>
          <w:rFonts w:cs="Arial"/>
        </w:rPr>
        <w:t>os</w:t>
      </w:r>
      <w:r w:rsidRPr="00B975DD">
        <w:rPr>
          <w:rFonts w:cs="Arial"/>
        </w:rPr>
        <w:t xml:space="preserve"> Recurso</w:t>
      </w:r>
      <w:r w:rsidR="0068301E" w:rsidRPr="00B975DD">
        <w:rPr>
          <w:rFonts w:cs="Arial"/>
        </w:rPr>
        <w:t>s</w:t>
      </w:r>
      <w:r w:rsidRPr="00B975DD">
        <w:rPr>
          <w:rFonts w:cs="Arial"/>
        </w:rPr>
        <w:t xml:space="preserve"> de Revisión y se integr</w:t>
      </w:r>
      <w:r w:rsidR="0068301E" w:rsidRPr="00B975DD">
        <w:rPr>
          <w:rFonts w:cs="Arial"/>
        </w:rPr>
        <w:t xml:space="preserve">aron </w:t>
      </w:r>
      <w:r w:rsidRPr="00B975DD">
        <w:rPr>
          <w:rFonts w:cs="Arial"/>
        </w:rPr>
        <w:t>l</w:t>
      </w:r>
      <w:r w:rsidR="0068301E" w:rsidRPr="00B975DD">
        <w:rPr>
          <w:rFonts w:cs="Arial"/>
        </w:rPr>
        <w:t>os</w:t>
      </w:r>
      <w:r w:rsidRPr="00B975DD">
        <w:rPr>
          <w:rFonts w:cs="Arial"/>
        </w:rPr>
        <w:t xml:space="preserve"> expediente</w:t>
      </w:r>
      <w:r w:rsidR="0068301E" w:rsidRPr="00B975DD">
        <w:rPr>
          <w:rFonts w:cs="Arial"/>
        </w:rPr>
        <w:t>s</w:t>
      </w:r>
      <w:r w:rsidRPr="00B975DD">
        <w:rPr>
          <w:rFonts w:cs="Arial"/>
        </w:rPr>
        <w:t xml:space="preserve"> respectivo</w:t>
      </w:r>
      <w:r w:rsidR="0068301E" w:rsidRPr="00B975DD">
        <w:rPr>
          <w:rFonts w:cs="Arial"/>
        </w:rPr>
        <w:t>s</w:t>
      </w:r>
      <w:r w:rsidRPr="00B975DD">
        <w:rPr>
          <w:rFonts w:cs="Arial"/>
        </w:rPr>
        <w:t>, mismo</w:t>
      </w:r>
      <w:r w:rsidR="0068301E" w:rsidRPr="00B975DD">
        <w:rPr>
          <w:rFonts w:cs="Arial"/>
        </w:rPr>
        <w:t xml:space="preserve">s que se pusieron </w:t>
      </w:r>
      <w:r w:rsidRPr="00B975DD">
        <w:rPr>
          <w:rFonts w:cs="Arial"/>
        </w:rPr>
        <w:t>a disposición de las partes para que, en un plazo de siete días hábiles, manifestaran lo que a su derecho conviniera, conforme a lo dispuesto por el artículo 185</w:t>
      </w:r>
      <w:r w:rsidR="00865CF4" w:rsidRPr="00B975DD">
        <w:rPr>
          <w:rFonts w:cs="Arial"/>
        </w:rPr>
        <w:t>, fracción II</w:t>
      </w:r>
      <w:r w:rsidRPr="00B975DD">
        <w:rPr>
          <w:rFonts w:cs="Arial"/>
        </w:rPr>
        <w:t xml:space="preserve"> de la Ley de Transparencia y Acceso a la Información Pública del Estado de México y Municipios.</w:t>
      </w:r>
    </w:p>
    <w:p w14:paraId="34EC3F86" w14:textId="77777777" w:rsidR="00D2790D" w:rsidRPr="00B975DD" w:rsidRDefault="00D2790D" w:rsidP="00B975DD">
      <w:pPr>
        <w:rPr>
          <w:rFonts w:cs="Arial"/>
        </w:rPr>
      </w:pPr>
    </w:p>
    <w:p w14:paraId="4F7ACE35" w14:textId="77777777" w:rsidR="00C50AC4" w:rsidRPr="00B975DD" w:rsidRDefault="00C50AC4" w:rsidP="00B975DD">
      <w:pPr>
        <w:pStyle w:val="Ttulo3"/>
      </w:pPr>
      <w:bookmarkStart w:id="16" w:name="_Toc165402865"/>
      <w:bookmarkStart w:id="17" w:name="_Toc193960293"/>
      <w:r w:rsidRPr="00B975DD">
        <w:lastRenderedPageBreak/>
        <w:t>d) Acumulación de los Recursos de Revisión</w:t>
      </w:r>
      <w:bookmarkEnd w:id="16"/>
      <w:bookmarkEnd w:id="17"/>
    </w:p>
    <w:p w14:paraId="70218226" w14:textId="29AAD460" w:rsidR="00EF5E2E" w:rsidRPr="00B975DD" w:rsidRDefault="00EF5E2E" w:rsidP="00B975DD">
      <w:pPr>
        <w:ind w:left="-57"/>
        <w:rPr>
          <w:b/>
        </w:rPr>
      </w:pPr>
      <w:r w:rsidRPr="00B975DD">
        <w:rPr>
          <w:rFonts w:cs="Arial"/>
          <w:lang w:val="es-ES_tradnl"/>
        </w:rPr>
        <w:t xml:space="preserve">Por economía procesal y </w:t>
      </w:r>
      <w:r w:rsidRPr="00B975DD">
        <w:rPr>
          <w:rFonts w:cs="Arial"/>
        </w:rPr>
        <w:t xml:space="preserve">con la finalidad de evitar resoluciones contradictorias, en </w:t>
      </w:r>
      <w:r w:rsidRPr="00B975DD">
        <w:t xml:space="preserve">la </w:t>
      </w:r>
      <w:r w:rsidRPr="00B975DD">
        <w:rPr>
          <w:b/>
        </w:rPr>
        <w:t>Séptima  Sesión Ordinaria</w:t>
      </w:r>
      <w:r w:rsidRPr="00B975DD">
        <w:t xml:space="preserve">, celebrada </w:t>
      </w:r>
      <w:r w:rsidRPr="00B975DD">
        <w:rPr>
          <w:bCs/>
        </w:rPr>
        <w:t>el</w:t>
      </w:r>
      <w:r w:rsidRPr="00B975DD">
        <w:rPr>
          <w:b/>
          <w:bCs/>
        </w:rPr>
        <w:t xml:space="preserve"> veintiséis de febrero de dos mil veinticinco</w:t>
      </w:r>
      <w:r w:rsidRPr="00B975DD">
        <w:t xml:space="preserve">, el Pleno de este Instituto </w:t>
      </w:r>
      <w:r w:rsidRPr="00B975DD">
        <w:rPr>
          <w:rFonts w:cs="Arial"/>
        </w:rPr>
        <w:t xml:space="preserve">determinó </w:t>
      </w:r>
      <w:r w:rsidRPr="00B975DD">
        <w:t>acumular los Recursos de Revisión</w:t>
      </w:r>
      <w:bookmarkStart w:id="18" w:name="_Hlk109159636"/>
      <w:r w:rsidRPr="00B975DD">
        <w:rPr>
          <w:rFonts w:cs="Arial"/>
          <w:b/>
          <w:bCs/>
        </w:rPr>
        <w:t xml:space="preserve"> </w:t>
      </w:r>
      <w:bookmarkEnd w:id="18"/>
      <w:r w:rsidRPr="00B975DD">
        <w:rPr>
          <w:rFonts w:eastAsia="Calibri"/>
          <w:b/>
          <w:lang w:eastAsia="en-US"/>
        </w:rPr>
        <w:t xml:space="preserve">01032/INFOEM/IP/RR/2025 </w:t>
      </w:r>
      <w:r w:rsidRPr="00B975DD">
        <w:rPr>
          <w:rFonts w:eastAsia="Calibri"/>
          <w:lang w:eastAsia="en-US"/>
        </w:rPr>
        <w:t>y</w:t>
      </w:r>
      <w:r w:rsidRPr="00B975DD">
        <w:rPr>
          <w:rFonts w:eastAsia="Calibri"/>
          <w:b/>
          <w:lang w:eastAsia="en-US"/>
        </w:rPr>
        <w:t xml:space="preserve"> 01305/INFOEM/IP/RR/2025</w:t>
      </w:r>
      <w:r w:rsidRPr="00B975DD">
        <w:rPr>
          <w:b/>
        </w:rPr>
        <w:t>.</w:t>
      </w:r>
    </w:p>
    <w:p w14:paraId="7CB7F89B" w14:textId="77777777" w:rsidR="00EF5E2E" w:rsidRPr="00B975DD" w:rsidRDefault="00EF5E2E" w:rsidP="00B975DD">
      <w:pPr>
        <w:ind w:left="-57"/>
        <w:rPr>
          <w:b/>
          <w:lang w:val="es-ES_tradnl"/>
        </w:rPr>
      </w:pPr>
    </w:p>
    <w:p w14:paraId="3B820F58" w14:textId="203E335B" w:rsidR="00865CF4" w:rsidRPr="00B975DD" w:rsidRDefault="00C50AC4" w:rsidP="00B975DD">
      <w:pPr>
        <w:pStyle w:val="Ttulo3"/>
      </w:pPr>
      <w:bookmarkStart w:id="19" w:name="_Toc193960294"/>
      <w:r w:rsidRPr="00B975DD">
        <w:t>e</w:t>
      </w:r>
      <w:r w:rsidR="00664420" w:rsidRPr="00B975DD">
        <w:t xml:space="preserve">) </w:t>
      </w:r>
      <w:r w:rsidR="00865CF4" w:rsidRPr="00B975DD">
        <w:t>Informe Justificado del Sujeto Obligado</w:t>
      </w:r>
      <w:bookmarkEnd w:id="19"/>
    </w:p>
    <w:p w14:paraId="6604F95E" w14:textId="77777777" w:rsidR="00EF5E2E" w:rsidRPr="00B975DD" w:rsidRDefault="00EF5E2E" w:rsidP="00B975DD">
      <w:pPr>
        <w:rPr>
          <w:rFonts w:eastAsia="Arial Unicode MS" w:cs="Arial"/>
        </w:rPr>
      </w:pPr>
      <w:r w:rsidRPr="00B975DD">
        <w:rPr>
          <w:rFonts w:cs="Tahoma"/>
          <w:b/>
          <w:szCs w:val="24"/>
        </w:rPr>
        <w:t xml:space="preserve">EL SUJETO OBLIGADO </w:t>
      </w:r>
      <w:r w:rsidRPr="00B975DD">
        <w:rPr>
          <w:rFonts w:eastAsia="Arial Unicode MS" w:cs="Arial"/>
        </w:rPr>
        <w:t>no rindió su informe justificado dentro del término legalmente concedido para tal efecto.</w:t>
      </w:r>
    </w:p>
    <w:p w14:paraId="66BA6FC7" w14:textId="77777777" w:rsidR="00865CF4" w:rsidRPr="00B975DD" w:rsidRDefault="00865CF4" w:rsidP="00B975DD">
      <w:pPr>
        <w:rPr>
          <w:rFonts w:cs="Tahoma"/>
          <w:bCs/>
          <w:szCs w:val="24"/>
        </w:rPr>
      </w:pPr>
    </w:p>
    <w:p w14:paraId="755B7730" w14:textId="2A32318F" w:rsidR="00664420" w:rsidRPr="00B975DD" w:rsidRDefault="00C50AC4" w:rsidP="00B975DD">
      <w:pPr>
        <w:pStyle w:val="Ttulo3"/>
        <w:rPr>
          <w:lang w:val="es-ES"/>
        </w:rPr>
      </w:pPr>
      <w:bookmarkStart w:id="20" w:name="_Toc193960295"/>
      <w:r w:rsidRPr="00B975DD">
        <w:rPr>
          <w:rFonts w:eastAsia="Calibri"/>
          <w:bCs/>
          <w:lang w:eastAsia="en-US"/>
        </w:rPr>
        <w:t>f</w:t>
      </w:r>
      <w:r w:rsidR="00664420" w:rsidRPr="00B975DD">
        <w:rPr>
          <w:rFonts w:eastAsia="Calibri"/>
          <w:bCs/>
          <w:lang w:eastAsia="en-US"/>
        </w:rPr>
        <w:t>)</w:t>
      </w:r>
      <w:r w:rsidR="00664420" w:rsidRPr="00B975DD">
        <w:t xml:space="preserve"> </w:t>
      </w:r>
      <w:r w:rsidR="00865CF4" w:rsidRPr="00B975DD">
        <w:rPr>
          <w:lang w:val="es-ES"/>
        </w:rPr>
        <w:t>Manifestaciones de la Parte Recurrente</w:t>
      </w:r>
      <w:bookmarkEnd w:id="20"/>
    </w:p>
    <w:p w14:paraId="4E8AF011" w14:textId="77777777" w:rsidR="00865CF4" w:rsidRPr="00B975DD" w:rsidRDefault="00865CF4" w:rsidP="00B975DD">
      <w:pPr>
        <w:rPr>
          <w:rFonts w:eastAsia="Arial Unicode MS" w:cs="Arial"/>
        </w:rPr>
      </w:pPr>
      <w:r w:rsidRPr="00B975DD">
        <w:rPr>
          <w:rFonts w:cs="Tahoma"/>
          <w:b/>
          <w:szCs w:val="24"/>
        </w:rPr>
        <w:t xml:space="preserve">LA PARTE RECURRENTE </w:t>
      </w:r>
      <w:r w:rsidRPr="00B975DD">
        <w:rPr>
          <w:rFonts w:eastAsia="Arial Unicode MS" w:cs="Arial"/>
        </w:rPr>
        <w:t>no realizó manifestación alguna dentro del término legalmente concedido para tal efecto, ni presentó pruebas o alegatos.</w:t>
      </w:r>
    </w:p>
    <w:p w14:paraId="43289D82" w14:textId="77777777" w:rsidR="00865CF4" w:rsidRPr="00B975DD" w:rsidRDefault="00865CF4" w:rsidP="00B975DD">
      <w:pPr>
        <w:rPr>
          <w:rFonts w:eastAsia="Arial Unicode MS" w:cs="Arial"/>
        </w:rPr>
      </w:pPr>
    </w:p>
    <w:p w14:paraId="0E651988" w14:textId="0164EC65" w:rsidR="00664420" w:rsidRPr="00B975DD" w:rsidRDefault="00C50AC4" w:rsidP="00B975DD">
      <w:pPr>
        <w:pStyle w:val="Ttulo3"/>
      </w:pPr>
      <w:bookmarkStart w:id="21" w:name="_Toc193960296"/>
      <w:r w:rsidRPr="00B975DD">
        <w:rPr>
          <w:rFonts w:eastAsia="Calibri"/>
        </w:rPr>
        <w:t>g</w:t>
      </w:r>
      <w:r w:rsidR="007517BD" w:rsidRPr="00B975DD">
        <w:rPr>
          <w:rFonts w:eastAsia="Calibri"/>
        </w:rPr>
        <w:t xml:space="preserve">) </w:t>
      </w:r>
      <w:r w:rsidR="00664420" w:rsidRPr="00B975DD">
        <w:t>Cierre de instrucción</w:t>
      </w:r>
      <w:bookmarkEnd w:id="21"/>
    </w:p>
    <w:p w14:paraId="79AF95DC" w14:textId="45F31DDA" w:rsidR="00664420" w:rsidRPr="00B975DD" w:rsidRDefault="00BF091A" w:rsidP="00B975DD">
      <w:r w:rsidRPr="00B975DD">
        <w:rPr>
          <w:rFonts w:cs="Tahoma"/>
          <w:szCs w:val="22"/>
        </w:rPr>
        <w:t>Al no existir diligencias pendientes por desahogar</w:t>
      </w:r>
      <w:r w:rsidRPr="00B975DD">
        <w:rPr>
          <w:rFonts w:cs="Arial"/>
        </w:rPr>
        <w:t xml:space="preserve">, </w:t>
      </w:r>
      <w:r w:rsidRPr="00B975DD">
        <w:rPr>
          <w:rFonts w:cs="Arial"/>
          <w:b/>
        </w:rPr>
        <w:t xml:space="preserve">el </w:t>
      </w:r>
      <w:bookmarkStart w:id="22" w:name="_Hlk104892386"/>
      <w:r w:rsidR="00EF5E2E" w:rsidRPr="00B975DD">
        <w:rPr>
          <w:rFonts w:cs="Arial"/>
          <w:b/>
        </w:rPr>
        <w:t xml:space="preserve">diez de </w:t>
      </w:r>
      <w:r w:rsidR="00D16E34" w:rsidRPr="00B975DD">
        <w:rPr>
          <w:rFonts w:cs="Arial"/>
          <w:b/>
        </w:rPr>
        <w:t xml:space="preserve">marzo </w:t>
      </w:r>
      <w:bookmarkEnd w:id="22"/>
      <w:r w:rsidR="00D16E34" w:rsidRPr="00B975DD">
        <w:rPr>
          <w:rFonts w:cs="Arial"/>
          <w:b/>
        </w:rPr>
        <w:t>de</w:t>
      </w:r>
      <w:r w:rsidRPr="00B975DD">
        <w:rPr>
          <w:rFonts w:cs="Arial"/>
          <w:b/>
        </w:rPr>
        <w:t xml:space="preserve"> dos mil </w:t>
      </w:r>
      <w:r w:rsidR="0075751F" w:rsidRPr="00B975DD">
        <w:rPr>
          <w:rFonts w:cs="Arial"/>
          <w:b/>
        </w:rPr>
        <w:t>veintic</w:t>
      </w:r>
      <w:r w:rsidR="00D16E34" w:rsidRPr="00B975DD">
        <w:rPr>
          <w:rFonts w:cs="Arial"/>
          <w:b/>
        </w:rPr>
        <w:t>inco</w:t>
      </w:r>
      <w:r w:rsidR="0075751F" w:rsidRPr="00B975DD">
        <w:rPr>
          <w:rFonts w:cs="Arial"/>
          <w:b/>
        </w:rPr>
        <w:t xml:space="preserve"> </w:t>
      </w:r>
      <w:r w:rsidRPr="00B975DD">
        <w:rPr>
          <w:rFonts w:cs="Arial"/>
        </w:rPr>
        <w:t xml:space="preserve">la </w:t>
      </w:r>
      <w:r w:rsidRPr="00B975DD">
        <w:rPr>
          <w:rFonts w:cs="Arial"/>
          <w:b/>
          <w:bCs/>
        </w:rPr>
        <w:t xml:space="preserve">Comisionada </w:t>
      </w:r>
      <w:r w:rsidRPr="00B975DD">
        <w:rPr>
          <w:b/>
        </w:rPr>
        <w:t xml:space="preserve">Sharon Cristina Morales Martínez </w:t>
      </w:r>
      <w:r w:rsidR="00B4615A" w:rsidRPr="00B975DD">
        <w:rPr>
          <w:rFonts w:cs="Arial"/>
        </w:rPr>
        <w:t>notificó</w:t>
      </w:r>
      <w:r w:rsidRPr="00B975DD">
        <w:rPr>
          <w:rFonts w:cs="Arial"/>
        </w:rPr>
        <w:t xml:space="preserve"> el cierre de instrucción</w:t>
      </w:r>
      <w:r w:rsidR="0011350D" w:rsidRPr="00B975DD">
        <w:rPr>
          <w:rFonts w:cs="Arial"/>
        </w:rPr>
        <w:t xml:space="preserve"> y</w:t>
      </w:r>
      <w:r w:rsidRPr="00B975DD">
        <w:rPr>
          <w:rFonts w:cs="Arial"/>
        </w:rPr>
        <w:t xml:space="preserve"> </w:t>
      </w:r>
      <w:r w:rsidR="0011350D" w:rsidRPr="00B975DD">
        <w:rPr>
          <w:rFonts w:cs="Arial"/>
        </w:rPr>
        <w:t xml:space="preserve">la </w:t>
      </w:r>
      <w:r w:rsidRPr="00B975DD">
        <w:rPr>
          <w:rFonts w:cs="Arial"/>
        </w:rPr>
        <w:t>remisión de</w:t>
      </w:r>
      <w:r w:rsidR="0068301E" w:rsidRPr="00B975DD">
        <w:rPr>
          <w:rFonts w:cs="Arial"/>
        </w:rPr>
        <w:t xml:space="preserve"> </w:t>
      </w:r>
      <w:r w:rsidRPr="00B975DD">
        <w:rPr>
          <w:rFonts w:cs="Arial"/>
        </w:rPr>
        <w:t>l</w:t>
      </w:r>
      <w:r w:rsidR="0068301E" w:rsidRPr="00B975DD">
        <w:rPr>
          <w:rFonts w:cs="Arial"/>
        </w:rPr>
        <w:t>os</w:t>
      </w:r>
      <w:r w:rsidRPr="00B975DD">
        <w:rPr>
          <w:rFonts w:cs="Arial"/>
        </w:rPr>
        <w:t xml:space="preserve"> expediente</w:t>
      </w:r>
      <w:r w:rsidR="0068301E" w:rsidRPr="00B975DD">
        <w:rPr>
          <w:rFonts w:cs="Arial"/>
        </w:rPr>
        <w:t>s</w:t>
      </w:r>
      <w:r w:rsidRPr="00B975DD">
        <w:rPr>
          <w:rFonts w:cs="Arial"/>
        </w:rPr>
        <w:t xml:space="preserve"> a efecto de ser resuelto</w:t>
      </w:r>
      <w:r w:rsidR="0068301E" w:rsidRPr="00B975DD">
        <w:rPr>
          <w:rFonts w:cs="Arial"/>
        </w:rPr>
        <w:t>s</w:t>
      </w:r>
      <w:r w:rsidRPr="00B975DD">
        <w:rPr>
          <w:rFonts w:cs="Arial"/>
        </w:rPr>
        <w:t>, de conformidad con lo establecido en el artículo 185 fracciones VI y VIII de la Ley de Transparencia y Acceso a la Información Pública del Estado de México y Municipios</w:t>
      </w:r>
      <w:r w:rsidRPr="00B975DD">
        <w:t>.</w:t>
      </w:r>
      <w:r w:rsidR="0011350D" w:rsidRPr="00B975DD">
        <w:t xml:space="preserve"> Dicho acuerdo </w:t>
      </w:r>
      <w:r w:rsidR="00664420" w:rsidRPr="00B975DD">
        <w:rPr>
          <w:rFonts w:cs="Tahoma"/>
          <w:szCs w:val="22"/>
        </w:rPr>
        <w:t xml:space="preserve">fue notificado a las partes el mismo día a través del </w:t>
      </w:r>
      <w:r w:rsidR="00664420" w:rsidRPr="00B975DD">
        <w:rPr>
          <w:rFonts w:cs="Tahoma"/>
          <w:b/>
          <w:szCs w:val="22"/>
          <w:lang w:val="es-ES"/>
        </w:rPr>
        <w:t>SAIMEX</w:t>
      </w:r>
      <w:r w:rsidR="00664420" w:rsidRPr="00B975DD">
        <w:rPr>
          <w:rFonts w:cs="Tahoma"/>
          <w:szCs w:val="22"/>
        </w:rPr>
        <w:t>.</w:t>
      </w:r>
    </w:p>
    <w:p w14:paraId="741683E3" w14:textId="77777777" w:rsidR="0011350D" w:rsidRPr="00B975DD" w:rsidRDefault="0011350D" w:rsidP="00B975DD">
      <w:pPr>
        <w:rPr>
          <w:rFonts w:cs="Tahoma"/>
          <w:szCs w:val="22"/>
        </w:rPr>
      </w:pPr>
    </w:p>
    <w:p w14:paraId="7A9629DE" w14:textId="77777777" w:rsidR="00664420" w:rsidRPr="00B975DD" w:rsidRDefault="00664420" w:rsidP="00B975DD">
      <w:pPr>
        <w:pStyle w:val="Ttulo1"/>
        <w:rPr>
          <w:rFonts w:eastAsiaTheme="minorHAnsi"/>
          <w:lang w:eastAsia="en-US"/>
        </w:rPr>
      </w:pPr>
      <w:bookmarkStart w:id="23" w:name="_Toc193960297"/>
      <w:r w:rsidRPr="00B975DD">
        <w:rPr>
          <w:rFonts w:eastAsiaTheme="minorHAnsi"/>
          <w:lang w:eastAsia="en-US"/>
        </w:rPr>
        <w:t>CONSIDERANDOS</w:t>
      </w:r>
      <w:bookmarkEnd w:id="23"/>
    </w:p>
    <w:p w14:paraId="6DD1243B" w14:textId="77777777" w:rsidR="00664420" w:rsidRPr="00B975DD" w:rsidRDefault="00664420" w:rsidP="00B975DD">
      <w:pPr>
        <w:contextualSpacing/>
        <w:jc w:val="center"/>
        <w:rPr>
          <w:rFonts w:eastAsiaTheme="minorHAnsi" w:cs="Tahoma"/>
          <w:b/>
          <w:szCs w:val="22"/>
          <w:lang w:eastAsia="en-US"/>
        </w:rPr>
      </w:pPr>
    </w:p>
    <w:p w14:paraId="0B67CB92" w14:textId="2E307D3B" w:rsidR="00664420" w:rsidRPr="00B975DD" w:rsidRDefault="00664420" w:rsidP="00B975DD">
      <w:pPr>
        <w:pStyle w:val="Ttulo2"/>
        <w:rPr>
          <w:rFonts w:eastAsia="Batang"/>
        </w:rPr>
      </w:pPr>
      <w:bookmarkStart w:id="24" w:name="_Toc193960298"/>
      <w:r w:rsidRPr="00B975DD">
        <w:rPr>
          <w:rFonts w:eastAsia="Batang"/>
        </w:rPr>
        <w:lastRenderedPageBreak/>
        <w:t xml:space="preserve">PRIMERO. </w:t>
      </w:r>
      <w:r w:rsidR="00BA55A8" w:rsidRPr="00B975DD">
        <w:rPr>
          <w:rFonts w:eastAsia="Batang"/>
        </w:rPr>
        <w:t>Procedibilidad</w:t>
      </w:r>
      <w:bookmarkEnd w:id="24"/>
    </w:p>
    <w:p w14:paraId="39C52BC1" w14:textId="56FCC20D" w:rsidR="00BA55A8" w:rsidRPr="00B975DD" w:rsidRDefault="00BA55A8" w:rsidP="00B975DD">
      <w:pPr>
        <w:pStyle w:val="Ttulo3"/>
      </w:pPr>
      <w:bookmarkStart w:id="25" w:name="_Toc193960299"/>
      <w:r w:rsidRPr="00B975DD">
        <w:t>a) Competencia</w:t>
      </w:r>
      <w:r w:rsidR="00150C49" w:rsidRPr="00B975DD">
        <w:t xml:space="preserve"> del Instituto</w:t>
      </w:r>
      <w:bookmarkEnd w:id="25"/>
    </w:p>
    <w:p w14:paraId="56E64942" w14:textId="6572EDF7" w:rsidR="0011350D" w:rsidRPr="00B975DD" w:rsidRDefault="0011350D" w:rsidP="00B975DD">
      <w:pPr>
        <w:rPr>
          <w:rFonts w:cs="Arial"/>
        </w:rPr>
      </w:pPr>
      <w:r w:rsidRPr="00B975DD">
        <w:t xml:space="preserve">Este Instituto de Transparencia, Acceso a la Información Pública y Protección de Datos Personales del Estado de México y Municipios es competente para conocer y resolver </w:t>
      </w:r>
      <w:r w:rsidR="005F65B7" w:rsidRPr="00B975DD">
        <w:t xml:space="preserve">el </w:t>
      </w:r>
      <w:r w:rsidRPr="00B975D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975D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B975DD" w:rsidRDefault="00DB1C09" w:rsidP="00B975DD">
      <w:pPr>
        <w:rPr>
          <w:rFonts w:cs="Arial"/>
        </w:rPr>
      </w:pPr>
    </w:p>
    <w:p w14:paraId="517A2DD6" w14:textId="4169BE4D" w:rsidR="00664420" w:rsidRPr="00B975DD" w:rsidRDefault="00BA55A8" w:rsidP="00B975DD">
      <w:pPr>
        <w:pStyle w:val="Ttulo3"/>
      </w:pPr>
      <w:bookmarkStart w:id="26" w:name="_Toc193960300"/>
      <w:r w:rsidRPr="00B975DD">
        <w:t>b)</w:t>
      </w:r>
      <w:r w:rsidR="00664420" w:rsidRPr="00B975DD">
        <w:t xml:space="preserve"> </w:t>
      </w:r>
      <w:r w:rsidR="00D91CB4" w:rsidRPr="00B975DD">
        <w:t>Legitimidad</w:t>
      </w:r>
      <w:r w:rsidRPr="00B975DD">
        <w:t xml:space="preserve"> de la parte recurrente</w:t>
      </w:r>
      <w:bookmarkEnd w:id="26"/>
    </w:p>
    <w:p w14:paraId="26FEA382" w14:textId="130B122E" w:rsidR="00D91CB4" w:rsidRPr="00B975DD" w:rsidRDefault="0068301E" w:rsidP="00B975DD">
      <w:pPr>
        <w:rPr>
          <w:rFonts w:cs="Arial"/>
          <w:bCs/>
        </w:rPr>
      </w:pPr>
      <w:r w:rsidRPr="00B975DD">
        <w:rPr>
          <w:rFonts w:cs="Arial"/>
          <w:bCs/>
        </w:rPr>
        <w:t>Los</w:t>
      </w:r>
      <w:r w:rsidR="00D91CB4" w:rsidRPr="00B975DD">
        <w:rPr>
          <w:rFonts w:cs="Arial"/>
          <w:bCs/>
        </w:rPr>
        <w:t xml:space="preserve"> recurso</w:t>
      </w:r>
      <w:r w:rsidRPr="00B975DD">
        <w:rPr>
          <w:rFonts w:cs="Arial"/>
          <w:bCs/>
        </w:rPr>
        <w:t>s</w:t>
      </w:r>
      <w:r w:rsidR="00D91CB4" w:rsidRPr="00B975DD">
        <w:rPr>
          <w:rFonts w:cs="Arial"/>
          <w:bCs/>
        </w:rPr>
        <w:t xml:space="preserve"> de revisión fue</w:t>
      </w:r>
      <w:r w:rsidRPr="00B975DD">
        <w:rPr>
          <w:rFonts w:cs="Arial"/>
          <w:bCs/>
        </w:rPr>
        <w:t>ron</w:t>
      </w:r>
      <w:r w:rsidR="00D91CB4" w:rsidRPr="00B975DD">
        <w:rPr>
          <w:rFonts w:cs="Arial"/>
          <w:bCs/>
        </w:rPr>
        <w:t xml:space="preserve"> interpuesto</w:t>
      </w:r>
      <w:r w:rsidRPr="00B975DD">
        <w:rPr>
          <w:rFonts w:cs="Arial"/>
          <w:bCs/>
        </w:rPr>
        <w:t>s</w:t>
      </w:r>
      <w:r w:rsidR="00D91CB4" w:rsidRPr="00B975DD">
        <w:rPr>
          <w:rFonts w:cs="Arial"/>
          <w:bCs/>
        </w:rPr>
        <w:t xml:space="preserve"> por parte legítima, ya que se present</w:t>
      </w:r>
      <w:r w:rsidRPr="00B975DD">
        <w:rPr>
          <w:rFonts w:cs="Arial"/>
          <w:bCs/>
        </w:rPr>
        <w:t>aron</w:t>
      </w:r>
      <w:r w:rsidR="00D91CB4" w:rsidRPr="00B975DD">
        <w:rPr>
          <w:rFonts w:cs="Arial"/>
          <w:bCs/>
        </w:rPr>
        <w:t xml:space="preserve"> por la misma persona que formuló la</w:t>
      </w:r>
      <w:r w:rsidRPr="00B975DD">
        <w:rPr>
          <w:rFonts w:cs="Arial"/>
          <w:bCs/>
        </w:rPr>
        <w:t>s</w:t>
      </w:r>
      <w:r w:rsidR="00D91CB4" w:rsidRPr="00B975DD">
        <w:rPr>
          <w:rFonts w:cs="Arial"/>
          <w:bCs/>
        </w:rPr>
        <w:t xml:space="preserve"> solicitud</w:t>
      </w:r>
      <w:r w:rsidRPr="00B975DD">
        <w:rPr>
          <w:rFonts w:cs="Arial"/>
          <w:bCs/>
        </w:rPr>
        <w:t>es</w:t>
      </w:r>
      <w:r w:rsidR="00D91CB4" w:rsidRPr="00B975DD">
        <w:rPr>
          <w:rFonts w:cs="Arial"/>
          <w:bCs/>
        </w:rPr>
        <w:t xml:space="preserve"> de acceso a la Información Pública,</w:t>
      </w:r>
      <w:r w:rsidR="00D91CB4" w:rsidRPr="00B975DD">
        <w:rPr>
          <w:rFonts w:cs="Arial"/>
          <w:b/>
          <w:bCs/>
        </w:rPr>
        <w:t xml:space="preserve"> </w:t>
      </w:r>
      <w:r w:rsidR="00D91CB4" w:rsidRPr="00B975DD">
        <w:rPr>
          <w:rFonts w:cs="Arial"/>
        </w:rPr>
        <w:t>debido a que los datos de acceso</w:t>
      </w:r>
      <w:r w:rsidR="00D91CB4" w:rsidRPr="00B975DD">
        <w:rPr>
          <w:rFonts w:cs="Arial"/>
          <w:b/>
          <w:bCs/>
        </w:rPr>
        <w:t xml:space="preserve"> </w:t>
      </w:r>
      <w:r w:rsidR="00D91CB4" w:rsidRPr="00B975DD">
        <w:rPr>
          <w:rFonts w:cs="Arial"/>
          <w:b/>
        </w:rPr>
        <w:t>SAIMEX</w:t>
      </w:r>
      <w:r w:rsidR="00D91CB4" w:rsidRPr="00B975DD">
        <w:rPr>
          <w:rFonts w:eastAsia="Calibri" w:cs="Arial"/>
          <w:lang w:eastAsia="en-US"/>
        </w:rPr>
        <w:t xml:space="preserve"> son personales e irrepetibles.</w:t>
      </w:r>
    </w:p>
    <w:p w14:paraId="2C367810" w14:textId="77777777" w:rsidR="00D91CB4" w:rsidRPr="00B975DD" w:rsidRDefault="00D91CB4" w:rsidP="00B975DD"/>
    <w:p w14:paraId="5C5FA5A8" w14:textId="77777777" w:rsidR="004565C2" w:rsidRPr="00B975DD" w:rsidRDefault="004565C2" w:rsidP="00B975DD">
      <w:pPr>
        <w:pStyle w:val="Ttulo3"/>
        <w:rPr>
          <w:rFonts w:eastAsia="Calibri"/>
          <w:lang w:eastAsia="es-ES_tradnl"/>
        </w:rPr>
      </w:pPr>
      <w:bookmarkStart w:id="27" w:name="_Toc170932820"/>
      <w:bookmarkStart w:id="28" w:name="_Toc193960301"/>
      <w:r w:rsidRPr="00B975DD">
        <w:rPr>
          <w:rFonts w:eastAsia="Calibri"/>
          <w:lang w:eastAsia="es-ES_tradnl"/>
        </w:rPr>
        <w:t>c) Plazo para interponer el recurso</w:t>
      </w:r>
      <w:bookmarkEnd w:id="27"/>
      <w:bookmarkEnd w:id="28"/>
    </w:p>
    <w:p w14:paraId="5C63152A" w14:textId="2338D786" w:rsidR="004565C2" w:rsidRPr="00B975DD" w:rsidRDefault="004565C2" w:rsidP="00B975DD">
      <w:pPr>
        <w:rPr>
          <w:rFonts w:eastAsiaTheme="minorEastAsia" w:cs="Arial"/>
          <w:lang w:val="es-ES_tradnl"/>
        </w:rPr>
      </w:pPr>
      <w:r w:rsidRPr="00B975DD">
        <w:rPr>
          <w:rFonts w:cs="Arial"/>
          <w:b/>
        </w:rPr>
        <w:t>EL SUJETO OBLIGADO</w:t>
      </w:r>
      <w:r w:rsidRPr="00B975DD">
        <w:rPr>
          <w:rFonts w:cs="Arial"/>
        </w:rPr>
        <w:t xml:space="preserve"> notificó la</w:t>
      </w:r>
      <w:r w:rsidR="0068301E" w:rsidRPr="00B975DD">
        <w:rPr>
          <w:rFonts w:cs="Arial"/>
        </w:rPr>
        <w:t>s</w:t>
      </w:r>
      <w:r w:rsidRPr="00B975DD">
        <w:rPr>
          <w:rFonts w:cs="Arial"/>
        </w:rPr>
        <w:t xml:space="preserve"> respuesta</w:t>
      </w:r>
      <w:r w:rsidR="0068301E" w:rsidRPr="00B975DD">
        <w:rPr>
          <w:rFonts w:cs="Arial"/>
        </w:rPr>
        <w:t>s</w:t>
      </w:r>
      <w:r w:rsidRPr="00B975DD">
        <w:rPr>
          <w:rFonts w:cs="Arial"/>
        </w:rPr>
        <w:t xml:space="preserve"> a la</w:t>
      </w:r>
      <w:r w:rsidR="0068301E" w:rsidRPr="00B975DD">
        <w:rPr>
          <w:rFonts w:cs="Arial"/>
        </w:rPr>
        <w:t>s</w:t>
      </w:r>
      <w:r w:rsidRPr="00B975DD">
        <w:rPr>
          <w:rFonts w:cs="Arial"/>
        </w:rPr>
        <w:t xml:space="preserve"> solicitud</w:t>
      </w:r>
      <w:r w:rsidR="0068301E" w:rsidRPr="00B975DD">
        <w:rPr>
          <w:rFonts w:cs="Arial"/>
        </w:rPr>
        <w:t>es</w:t>
      </w:r>
      <w:r w:rsidRPr="00B975DD">
        <w:rPr>
          <w:rFonts w:cs="Arial"/>
        </w:rPr>
        <w:t xml:space="preserve"> de acceso a la Información Pública el </w:t>
      </w:r>
      <w:r w:rsidR="00EF5E2E" w:rsidRPr="00B975DD">
        <w:rPr>
          <w:b/>
          <w:bCs/>
          <w:lang w:val="es-ES"/>
        </w:rPr>
        <w:t xml:space="preserve">siete y doce de febrero </w:t>
      </w:r>
      <w:r w:rsidR="0025745F" w:rsidRPr="00B975DD">
        <w:rPr>
          <w:b/>
          <w:bCs/>
          <w:lang w:val="es-ES"/>
        </w:rPr>
        <w:t>de dos mil veintic</w:t>
      </w:r>
      <w:r w:rsidR="00233166" w:rsidRPr="00B975DD">
        <w:rPr>
          <w:b/>
          <w:bCs/>
          <w:lang w:val="es-ES"/>
        </w:rPr>
        <w:t>inco</w:t>
      </w:r>
      <w:r w:rsidR="00233166" w:rsidRPr="00B975DD">
        <w:rPr>
          <w:rFonts w:cs="Arial"/>
        </w:rPr>
        <w:t xml:space="preserve"> </w:t>
      </w:r>
      <w:r w:rsidRPr="00B975DD">
        <w:rPr>
          <w:rFonts w:cs="Arial"/>
        </w:rPr>
        <w:t>y</w:t>
      </w:r>
      <w:r w:rsidR="0068301E" w:rsidRPr="00B975DD">
        <w:rPr>
          <w:rFonts w:cs="Arial"/>
        </w:rPr>
        <w:t xml:space="preserve"> </w:t>
      </w:r>
      <w:r w:rsidRPr="00B975DD">
        <w:rPr>
          <w:rFonts w:cs="Arial"/>
        </w:rPr>
        <w:t>l</w:t>
      </w:r>
      <w:r w:rsidR="0068301E" w:rsidRPr="00B975DD">
        <w:rPr>
          <w:rFonts w:cs="Arial"/>
        </w:rPr>
        <w:t>os</w:t>
      </w:r>
      <w:r w:rsidRPr="00B975DD">
        <w:rPr>
          <w:rFonts w:cs="Arial"/>
        </w:rPr>
        <w:t xml:space="preserve"> recurso</w:t>
      </w:r>
      <w:r w:rsidR="0068301E" w:rsidRPr="00B975DD">
        <w:rPr>
          <w:rFonts w:cs="Arial"/>
        </w:rPr>
        <w:t>s</w:t>
      </w:r>
      <w:r w:rsidRPr="00B975DD">
        <w:rPr>
          <w:rFonts w:cs="Arial"/>
        </w:rPr>
        <w:t xml:space="preserve"> </w:t>
      </w:r>
      <w:r w:rsidRPr="00B975DD">
        <w:rPr>
          <w:rFonts w:eastAsia="Palatino Linotype" w:cs="Palatino Linotype"/>
        </w:rPr>
        <w:t>que nos ocupa</w:t>
      </w:r>
      <w:r w:rsidR="0068301E" w:rsidRPr="00B975DD">
        <w:rPr>
          <w:rFonts w:eastAsia="Palatino Linotype" w:cs="Palatino Linotype"/>
        </w:rPr>
        <w:t>n</w:t>
      </w:r>
      <w:r w:rsidRPr="00B975DD">
        <w:rPr>
          <w:rFonts w:eastAsia="Palatino Linotype" w:cs="Palatino Linotype"/>
        </w:rPr>
        <w:t xml:space="preserve"> se interpus</w:t>
      </w:r>
      <w:r w:rsidR="0068301E" w:rsidRPr="00B975DD">
        <w:rPr>
          <w:rFonts w:eastAsia="Palatino Linotype" w:cs="Palatino Linotype"/>
        </w:rPr>
        <w:t xml:space="preserve">ieron </w:t>
      </w:r>
      <w:r w:rsidRPr="00B975DD">
        <w:rPr>
          <w:rFonts w:eastAsia="Palatino Linotype" w:cs="Palatino Linotype"/>
        </w:rPr>
        <w:t xml:space="preserve">el </w:t>
      </w:r>
      <w:r w:rsidR="00EF5E2E" w:rsidRPr="00B975DD">
        <w:rPr>
          <w:rFonts w:cs="Tahoma"/>
          <w:b/>
          <w:bCs/>
          <w:szCs w:val="22"/>
        </w:rPr>
        <w:t>once y trece</w:t>
      </w:r>
      <w:r w:rsidR="0025745F" w:rsidRPr="00B975DD">
        <w:rPr>
          <w:rFonts w:cs="Tahoma"/>
          <w:b/>
          <w:bCs/>
          <w:szCs w:val="22"/>
        </w:rPr>
        <w:t xml:space="preserve"> de febrero </w:t>
      </w:r>
      <w:r w:rsidR="00233166" w:rsidRPr="00B975DD">
        <w:rPr>
          <w:rFonts w:cs="Tahoma"/>
          <w:b/>
          <w:bCs/>
          <w:szCs w:val="22"/>
        </w:rPr>
        <w:t>de dos mil veinticinco</w:t>
      </w:r>
      <w:r w:rsidRPr="00B975DD">
        <w:rPr>
          <w:rFonts w:eastAsia="Palatino Linotype" w:cs="Palatino Linotype"/>
          <w:bCs/>
        </w:rPr>
        <w:t>;</w:t>
      </w:r>
      <w:r w:rsidRPr="00B975DD">
        <w:rPr>
          <w:rFonts w:eastAsia="Palatino Linotype" w:cs="Palatino Linotype"/>
        </w:rPr>
        <w:t xml:space="preserve"> por lo tanto, éste se encuentra dentro del margen temporal previsto en el artículo 178 de la </w:t>
      </w:r>
      <w:r w:rsidRPr="00B975DD">
        <w:rPr>
          <w:rFonts w:cs="Arial"/>
        </w:rPr>
        <w:t>Ley de Transparencia y Acceso a la Información Pública del Estado de México y Municipios</w:t>
      </w:r>
      <w:r w:rsidRPr="00B975DD">
        <w:rPr>
          <w:rFonts w:eastAsiaTheme="minorEastAsia" w:cs="Arial"/>
          <w:lang w:val="es-ES_tradnl"/>
        </w:rPr>
        <w:t>.</w:t>
      </w:r>
    </w:p>
    <w:p w14:paraId="11CC0EC7" w14:textId="77777777" w:rsidR="004565C2" w:rsidRPr="00B975DD" w:rsidRDefault="004565C2" w:rsidP="00B975DD"/>
    <w:p w14:paraId="46C0EB3A" w14:textId="5A92AF42" w:rsidR="00A53315" w:rsidRPr="00B975DD" w:rsidRDefault="00BA55A8" w:rsidP="00B975DD">
      <w:pPr>
        <w:pStyle w:val="Ttulo3"/>
        <w:rPr>
          <w:rFonts w:eastAsia="Calibri"/>
          <w:lang w:eastAsia="es-ES_tradnl"/>
        </w:rPr>
      </w:pPr>
      <w:bookmarkStart w:id="29" w:name="_Toc193960302"/>
      <w:r w:rsidRPr="00B975DD">
        <w:rPr>
          <w:rFonts w:eastAsia="Calibri"/>
          <w:lang w:eastAsia="es-ES_tradnl"/>
        </w:rPr>
        <w:lastRenderedPageBreak/>
        <w:t>d)</w:t>
      </w:r>
      <w:r w:rsidR="00D91CB4" w:rsidRPr="00B975DD">
        <w:rPr>
          <w:rFonts w:eastAsia="Calibri"/>
          <w:lang w:eastAsia="es-ES_tradnl"/>
        </w:rPr>
        <w:t xml:space="preserve"> </w:t>
      </w:r>
      <w:r w:rsidR="004565C2" w:rsidRPr="00B975DD">
        <w:rPr>
          <w:rFonts w:eastAsia="Calibri"/>
          <w:lang w:eastAsia="es-ES_tradnl"/>
        </w:rPr>
        <w:t>Causal de procedencia</w:t>
      </w:r>
      <w:bookmarkEnd w:id="29"/>
    </w:p>
    <w:p w14:paraId="190404A6" w14:textId="7CAAC669" w:rsidR="00BA55A8" w:rsidRPr="00B975DD" w:rsidRDefault="00BA55A8" w:rsidP="00B975DD">
      <w:r w:rsidRPr="00B975DD">
        <w:rPr>
          <w:rFonts w:cs="Arial"/>
        </w:rPr>
        <w:t>Resulta procedente la interposición de</w:t>
      </w:r>
      <w:r w:rsidR="0025745F" w:rsidRPr="00B975DD">
        <w:rPr>
          <w:rFonts w:cs="Arial"/>
        </w:rPr>
        <w:t xml:space="preserve"> los Recursos </w:t>
      </w:r>
      <w:r w:rsidRPr="00B975DD">
        <w:rPr>
          <w:rFonts w:cs="Arial"/>
        </w:rPr>
        <w:t xml:space="preserve">de </w:t>
      </w:r>
      <w:r w:rsidR="0025745F" w:rsidRPr="00B975DD">
        <w:rPr>
          <w:rFonts w:cs="Arial"/>
        </w:rPr>
        <w:t>R</w:t>
      </w:r>
      <w:r w:rsidRPr="00B975DD">
        <w:rPr>
          <w:rFonts w:cs="Arial"/>
        </w:rPr>
        <w:t xml:space="preserve">evisión, ya que </w:t>
      </w:r>
      <w:r w:rsidRPr="00B975DD">
        <w:rPr>
          <w:rFonts w:eastAsia="Calibri" w:cs="Tahoma"/>
          <w:szCs w:val="22"/>
          <w:lang w:eastAsia="es-MX"/>
        </w:rPr>
        <w:t>se actualiza la causal de procedencia seña</w:t>
      </w:r>
      <w:r w:rsidR="0025745F" w:rsidRPr="00B975DD">
        <w:rPr>
          <w:rFonts w:eastAsia="Calibri" w:cs="Tahoma"/>
          <w:szCs w:val="22"/>
          <w:lang w:eastAsia="es-MX"/>
        </w:rPr>
        <w:t>lad</w:t>
      </w:r>
      <w:r w:rsidR="00EF5E2E" w:rsidRPr="00B975DD">
        <w:rPr>
          <w:rFonts w:eastAsia="Calibri" w:cs="Tahoma"/>
          <w:szCs w:val="22"/>
          <w:lang w:eastAsia="es-MX"/>
        </w:rPr>
        <w:t xml:space="preserve">a en el artículo 179, fracción </w:t>
      </w:r>
      <w:r w:rsidR="0025745F" w:rsidRPr="00B975DD">
        <w:rPr>
          <w:rFonts w:eastAsia="Calibri" w:cs="Tahoma"/>
          <w:szCs w:val="22"/>
          <w:lang w:eastAsia="es-MX"/>
        </w:rPr>
        <w:t xml:space="preserve">I </w:t>
      </w:r>
      <w:r w:rsidRPr="00B975DD">
        <w:rPr>
          <w:rFonts w:cs="Arial"/>
        </w:rPr>
        <w:t xml:space="preserve">de la </w:t>
      </w:r>
      <w:r w:rsidRPr="00B975DD">
        <w:t>Ley de Transparencia y Acceso a la Información Pública del Estado de México y Municipios.</w:t>
      </w:r>
    </w:p>
    <w:p w14:paraId="0EFF7141" w14:textId="77777777" w:rsidR="00362A11" w:rsidRPr="00B975DD" w:rsidRDefault="00362A11" w:rsidP="00B975DD"/>
    <w:p w14:paraId="2284D7EB" w14:textId="3EE1D036" w:rsidR="00BA55A8" w:rsidRPr="00B975DD" w:rsidRDefault="00362A11" w:rsidP="00B975DD">
      <w:pPr>
        <w:pStyle w:val="Ttulo3"/>
      </w:pPr>
      <w:bookmarkStart w:id="30" w:name="_Toc193960303"/>
      <w:r w:rsidRPr="00B975DD">
        <w:t>e) Requisitos formales para la interposición del recurso</w:t>
      </w:r>
      <w:bookmarkEnd w:id="30"/>
    </w:p>
    <w:p w14:paraId="6390674A" w14:textId="78A894DD" w:rsidR="00BA55A8" w:rsidRPr="00B975DD" w:rsidRDefault="00BA55A8" w:rsidP="00B975DD">
      <w:pPr>
        <w:rPr>
          <w:rFonts w:cs="Arial"/>
        </w:rPr>
      </w:pPr>
      <w:r w:rsidRPr="00B975DD">
        <w:rPr>
          <w:rFonts w:cs="Arial"/>
          <w:b/>
          <w:bCs/>
        </w:rPr>
        <w:t xml:space="preserve">LA PARTE RECURRENTE </w:t>
      </w:r>
      <w:r w:rsidRPr="00B975DD">
        <w:rPr>
          <w:rFonts w:cs="Arial"/>
        </w:rPr>
        <w:t>acreditó todos y cada uno de los elementos formales exigidos por el artículo 180 de la misma normatividad.</w:t>
      </w:r>
    </w:p>
    <w:p w14:paraId="20BDA7EE" w14:textId="77777777" w:rsidR="005F5301" w:rsidRPr="00B975DD" w:rsidRDefault="005F5301" w:rsidP="00B975DD">
      <w:pPr>
        <w:rPr>
          <w:rFonts w:cs="Arial"/>
        </w:rPr>
      </w:pPr>
    </w:p>
    <w:p w14:paraId="0A72CD10" w14:textId="1E28C742" w:rsidR="0068301E" w:rsidRPr="00B975DD" w:rsidRDefault="0068301E" w:rsidP="00B975DD">
      <w:pPr>
        <w:rPr>
          <w:rFonts w:cs="Arial"/>
          <w:lang w:val="es-ES"/>
        </w:rPr>
      </w:pPr>
      <w:r w:rsidRPr="00B975DD">
        <w:rPr>
          <w:lang w:val="es-ES"/>
        </w:rPr>
        <w:t xml:space="preserve">Sin embargo, es importante mencionar que, de la revisión de los expedientes electrónicos del </w:t>
      </w:r>
      <w:r w:rsidRPr="00B975DD">
        <w:rPr>
          <w:b/>
          <w:bCs/>
          <w:lang w:val="es-ES"/>
        </w:rPr>
        <w:t>SAIMEX</w:t>
      </w:r>
      <w:r w:rsidRPr="00B975DD">
        <w:rPr>
          <w:bCs/>
          <w:lang w:val="es-ES"/>
        </w:rPr>
        <w:t>,</w:t>
      </w:r>
      <w:r w:rsidRPr="00B975DD">
        <w:rPr>
          <w:lang w:val="es-ES"/>
        </w:rPr>
        <w:t xml:space="preserve"> se observa que </w:t>
      </w:r>
      <w:r w:rsidRPr="00B975DD">
        <w:rPr>
          <w:b/>
          <w:bCs/>
          <w:lang w:val="es-ES"/>
        </w:rPr>
        <w:t>LA PARTE RECURRENTE</w:t>
      </w:r>
      <w:r w:rsidRPr="00B975DD">
        <w:rPr>
          <w:lang w:val="es-ES"/>
        </w:rPr>
        <w:t xml:space="preserve"> no proporcionó su nombre para ser identificado, lo que en estricto sentido provoca que </w:t>
      </w:r>
      <w:r w:rsidRPr="00B975DD">
        <w:rPr>
          <w:rFonts w:cs="Arial"/>
          <w:lang w:val="es-ES"/>
        </w:rPr>
        <w:t>no</w:t>
      </w:r>
      <w:r w:rsidRPr="00B975DD">
        <w:rPr>
          <w:lang w:val="es-ES"/>
        </w:rPr>
        <w:t xml:space="preserve"> se colmen los requisitos establecidos en el artículo 180 de la Ley de Transparencia; sin embargo, el artículo 15 de </w:t>
      </w:r>
      <w:r w:rsidRPr="00B975DD">
        <w:rPr>
          <w:rFonts w:cs="Arial"/>
          <w:lang w:val="es-ES" w:eastAsia="es-MX"/>
        </w:rPr>
        <w:t xml:space="preserve">Ley de Transparencia y Acceso a la </w:t>
      </w:r>
      <w:r w:rsidRPr="00B975DD">
        <w:rPr>
          <w:rFonts w:cs="Arial"/>
          <w:lang w:val="es-ES"/>
        </w:rPr>
        <w:t>Información</w:t>
      </w:r>
      <w:r w:rsidRPr="00B975DD">
        <w:rPr>
          <w:rFonts w:cs="Arial"/>
          <w:lang w:val="es-ES" w:eastAsia="es-MX"/>
        </w:rPr>
        <w:t xml:space="preserve"> Pública del Estado de México y Municipios </w:t>
      </w:r>
      <w:r w:rsidRPr="00B975DD">
        <w:rPr>
          <w:rFonts w:cs="Arial"/>
          <w:iCs/>
          <w:lang w:val="es-ES"/>
        </w:rPr>
        <w:t xml:space="preserve">prevé que </w:t>
      </w:r>
      <w:r w:rsidRPr="00B975DD">
        <w:rPr>
          <w:lang w:val="es-ES"/>
        </w:rPr>
        <w:t xml:space="preserve">toda persona tendrá acceso a la información </w:t>
      </w:r>
      <w:r w:rsidRPr="00B975DD">
        <w:rPr>
          <w:rFonts w:cs="Arial"/>
          <w:lang w:val="es-ES"/>
        </w:rPr>
        <w:t xml:space="preserve">sin necesidad de acreditar interés alguno o justificar su utilización, de lo que se infiere que </w:t>
      </w:r>
      <w:r w:rsidRPr="00B975DD">
        <w:rPr>
          <w:rFonts w:cs="Arial"/>
          <w:b/>
          <w:u w:val="single"/>
          <w:lang w:val="es-ES"/>
        </w:rPr>
        <w:t xml:space="preserve">el nombre no es un requisito </w:t>
      </w:r>
      <w:r w:rsidRPr="00B975DD">
        <w:rPr>
          <w:rFonts w:cs="Arial"/>
          <w:b/>
          <w:iCs/>
          <w:u w:val="single"/>
          <w:lang w:val="es-ES"/>
        </w:rPr>
        <w:t>indispensable</w:t>
      </w:r>
      <w:r w:rsidRPr="00B975DD">
        <w:rPr>
          <w:rFonts w:cs="Arial"/>
          <w:lang w:val="es-ES"/>
        </w:rPr>
        <w:t xml:space="preserve"> para que las y los ciudadanos ejerzan el derecho de acceso a la información pública. </w:t>
      </w:r>
    </w:p>
    <w:p w14:paraId="71319967" w14:textId="77777777" w:rsidR="0068301E" w:rsidRPr="00B975DD" w:rsidRDefault="0068301E" w:rsidP="00B975DD">
      <w:pPr>
        <w:rPr>
          <w:rFonts w:cs="Arial"/>
          <w:sz w:val="24"/>
          <w:szCs w:val="24"/>
          <w:lang w:val="es-ES"/>
        </w:rPr>
      </w:pPr>
    </w:p>
    <w:p w14:paraId="16D70646" w14:textId="77777777" w:rsidR="0068301E" w:rsidRPr="00B975DD" w:rsidRDefault="0068301E" w:rsidP="00B975DD">
      <w:pPr>
        <w:rPr>
          <w:lang w:val="es-ES"/>
        </w:rPr>
      </w:pPr>
      <w:r w:rsidRPr="00B975DD">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B975DD">
        <w:rPr>
          <w:b/>
          <w:bCs/>
          <w:lang w:val="es-ES"/>
        </w:rPr>
        <w:t>LA PARTE RECURRENTE</w:t>
      </w:r>
      <w:r w:rsidRPr="00B975DD">
        <w:rPr>
          <w:b/>
          <w:lang w:val="es-ES"/>
        </w:rPr>
        <w:t>;</w:t>
      </w:r>
      <w:r w:rsidRPr="00B975DD">
        <w:rPr>
          <w:lang w:val="es-ES"/>
        </w:rPr>
        <w:t xml:space="preserve"> por lo que, en el presente caso, al haber sido presentado el recurso de revisión vía </w:t>
      </w:r>
      <w:r w:rsidRPr="00B975DD">
        <w:rPr>
          <w:b/>
          <w:bCs/>
          <w:lang w:val="es-ES"/>
        </w:rPr>
        <w:t>SAIMEX</w:t>
      </w:r>
      <w:r w:rsidRPr="00B975DD">
        <w:rPr>
          <w:lang w:val="es-ES"/>
        </w:rPr>
        <w:t>, dicho requisito resulta innecesario.</w:t>
      </w:r>
    </w:p>
    <w:p w14:paraId="521856AA" w14:textId="77777777" w:rsidR="0068301E" w:rsidRPr="00B975DD" w:rsidRDefault="0068301E" w:rsidP="00B975DD">
      <w:pPr>
        <w:rPr>
          <w:rFonts w:cs="Arial"/>
        </w:rPr>
      </w:pPr>
    </w:p>
    <w:p w14:paraId="3BDBDAE8" w14:textId="77777777" w:rsidR="005544D3" w:rsidRPr="00B975DD" w:rsidRDefault="005544D3" w:rsidP="00B975DD">
      <w:pPr>
        <w:pStyle w:val="Ttulo3"/>
      </w:pPr>
      <w:bookmarkStart w:id="31" w:name="_Toc165402877"/>
      <w:bookmarkStart w:id="32" w:name="_Toc193960304"/>
      <w:r w:rsidRPr="00B975DD">
        <w:t>f) Acumulación de los Recursos de Revisión</w:t>
      </w:r>
      <w:bookmarkEnd w:id="31"/>
      <w:bookmarkEnd w:id="32"/>
    </w:p>
    <w:p w14:paraId="7C69C9BF" w14:textId="29129A9D" w:rsidR="005544D3" w:rsidRPr="00B975DD" w:rsidRDefault="005544D3" w:rsidP="00B975DD">
      <w:pPr>
        <w:ind w:left="-57"/>
        <w:rPr>
          <w:b/>
        </w:rPr>
      </w:pPr>
      <w:r w:rsidRPr="00B975DD">
        <w:rPr>
          <w:rFonts w:eastAsiaTheme="minorEastAsia"/>
          <w:lang w:val="es-ES_tradnl"/>
        </w:rPr>
        <w:t>De las constancias que obran en los expedientes acumulados, se advierte que los recursos de revisión</w:t>
      </w:r>
      <w:r w:rsidRPr="00B975DD">
        <w:rPr>
          <w:rFonts w:eastAsiaTheme="minorEastAsia" w:cstheme="minorBidi"/>
          <w:lang w:val="es-ES_tradnl"/>
        </w:rPr>
        <w:t xml:space="preserve"> </w:t>
      </w:r>
      <w:r w:rsidR="00BD7208" w:rsidRPr="00B975DD">
        <w:rPr>
          <w:rFonts w:eastAsia="Calibri"/>
          <w:b/>
          <w:lang w:eastAsia="en-US"/>
        </w:rPr>
        <w:t xml:space="preserve">01032/INFOEM/IP/RR/2025 </w:t>
      </w:r>
      <w:r w:rsidR="00BD7208" w:rsidRPr="00B975DD">
        <w:rPr>
          <w:rFonts w:eastAsia="Calibri"/>
          <w:lang w:eastAsia="en-US"/>
        </w:rPr>
        <w:t>y</w:t>
      </w:r>
      <w:r w:rsidR="00BD7208" w:rsidRPr="00B975DD">
        <w:rPr>
          <w:rFonts w:eastAsia="Calibri"/>
          <w:b/>
          <w:lang w:eastAsia="en-US"/>
        </w:rPr>
        <w:t xml:space="preserve"> 01305/INFOEM/IP/RR/2025</w:t>
      </w:r>
      <w:r w:rsidRPr="00B975DD">
        <w:rPr>
          <w:b/>
        </w:rPr>
        <w:t xml:space="preserve"> </w:t>
      </w:r>
      <w:r w:rsidRPr="00B975DD">
        <w:rPr>
          <w:rFonts w:eastAsiaTheme="minorEastAsia"/>
          <w:lang w:val="es-ES_tradnl"/>
        </w:rPr>
        <w:t xml:space="preserve">fueron presentados por la misma </w:t>
      </w:r>
      <w:r w:rsidRPr="00B975DD">
        <w:rPr>
          <w:rFonts w:eastAsiaTheme="minorEastAsia"/>
          <w:b/>
          <w:lang w:val="es-ES_tradnl"/>
        </w:rPr>
        <w:t>PARTE RECURRENTE</w:t>
      </w:r>
      <w:r w:rsidRPr="00B975DD">
        <w:rPr>
          <w:rFonts w:eastAsiaTheme="minorEastAsia"/>
          <w:lang w:val="es-ES_tradnl"/>
        </w:rPr>
        <w:t xml:space="preserve"> respecto de actos u omisiones similares, realizados por el mismo </w:t>
      </w:r>
      <w:r w:rsidRPr="00B975DD">
        <w:rPr>
          <w:rFonts w:eastAsiaTheme="minorEastAsia"/>
          <w:b/>
          <w:lang w:val="es-ES_tradnl"/>
        </w:rPr>
        <w:t>SUJETO OBLIGADO</w:t>
      </w:r>
      <w:r w:rsidRPr="00B975DD">
        <w:rPr>
          <w:rFonts w:eastAsiaTheme="minorEastAsia"/>
          <w:lang w:val="es-ES_tradnl"/>
        </w:rPr>
        <w:t xml:space="preserve">, razón por la cual, con la finalidad de evitar la emisión de resoluciones contradictorias, </w:t>
      </w:r>
      <w:r w:rsidR="0025745F" w:rsidRPr="00B975DD">
        <w:rPr>
          <w:rFonts w:eastAsiaTheme="minorEastAsia"/>
          <w:lang w:val="es-ES_tradnl"/>
        </w:rPr>
        <w:t xml:space="preserve">la comisionada </w:t>
      </w:r>
      <w:r w:rsidR="0025745F" w:rsidRPr="00B975DD">
        <w:rPr>
          <w:rFonts w:eastAsiaTheme="minorEastAsia"/>
          <w:b/>
          <w:lang w:val="es-ES_tradnl"/>
        </w:rPr>
        <w:t>Sharon Cristina Morales Martínez</w:t>
      </w:r>
      <w:r w:rsidRPr="00B975DD">
        <w:rPr>
          <w:rFonts w:eastAsiaTheme="minorEastAsia"/>
          <w:lang w:val="es-ES_tradnl"/>
        </w:rPr>
        <w:t xml:space="preserve"> realizó la acumulación respectiva, de conformidad con lo dispuesto en el artículo 18 del </w:t>
      </w:r>
      <w:r w:rsidRPr="00B975DD">
        <w:rPr>
          <w:rFonts w:eastAsiaTheme="minorEastAsia"/>
          <w:lang w:val="es-ES"/>
        </w:rPr>
        <w:t xml:space="preserve">Código de Procedimientos Administrativos del Estado de México, de aplicación supletoria en términos del </w:t>
      </w:r>
      <w:r w:rsidRPr="00B975DD">
        <w:rPr>
          <w:rFonts w:eastAsiaTheme="minorEastAsia"/>
          <w:lang w:val="es-ES_tradnl"/>
        </w:rPr>
        <w:t xml:space="preserve">artículo 195 de </w:t>
      </w:r>
      <w:r w:rsidRPr="00B975DD">
        <w:rPr>
          <w:rFonts w:eastAsiaTheme="minorEastAsia" w:cstheme="minorBidi"/>
          <w:lang w:val="es-ES_tradnl"/>
        </w:rPr>
        <w:t>la Ley de Transparencia y Acceso a la Información Pública del Estado de México y Municipios en vigor.</w:t>
      </w:r>
    </w:p>
    <w:p w14:paraId="55FF7D04" w14:textId="77777777" w:rsidR="005544D3" w:rsidRPr="00B975DD" w:rsidRDefault="005544D3" w:rsidP="00B975DD">
      <w:pPr>
        <w:rPr>
          <w:rFonts w:cs="Arial"/>
        </w:rPr>
      </w:pPr>
    </w:p>
    <w:p w14:paraId="457548E9" w14:textId="3F7AF03B" w:rsidR="00C71CEF" w:rsidRPr="00B975DD" w:rsidRDefault="00C71CEF" w:rsidP="00B975DD">
      <w:pPr>
        <w:pStyle w:val="Ttulo2"/>
      </w:pPr>
      <w:bookmarkStart w:id="33" w:name="_Toc193960305"/>
      <w:r w:rsidRPr="00B975DD">
        <w:t>SEGUNDO. Estudio de Fondo</w:t>
      </w:r>
      <w:bookmarkEnd w:id="33"/>
    </w:p>
    <w:p w14:paraId="2A308F59" w14:textId="0FF373F0" w:rsidR="00C049E2" w:rsidRPr="00B975DD" w:rsidRDefault="00C71CEF" w:rsidP="00B975DD">
      <w:pPr>
        <w:pStyle w:val="Ttulo3"/>
      </w:pPr>
      <w:bookmarkStart w:id="34" w:name="_Toc193960306"/>
      <w:r w:rsidRPr="00B975DD">
        <w:t>a</w:t>
      </w:r>
      <w:r w:rsidR="00C049E2" w:rsidRPr="00B975DD">
        <w:t>) Mandato de transparencia y responsabilidad del Sujeto Obligado</w:t>
      </w:r>
      <w:bookmarkEnd w:id="34"/>
    </w:p>
    <w:p w14:paraId="6901A889" w14:textId="59EEDAE1" w:rsidR="00C049E2" w:rsidRPr="00B975DD" w:rsidRDefault="00C049E2" w:rsidP="00B975DD">
      <w:pPr>
        <w:rPr>
          <w:rFonts w:eastAsia="Palatino Linotype"/>
        </w:rPr>
      </w:pPr>
      <w:r w:rsidRPr="00B975DD">
        <w:rPr>
          <w:rFonts w:eastAsia="Palatino Linotype"/>
        </w:rPr>
        <w:t xml:space="preserve">El </w:t>
      </w:r>
      <w:r w:rsidR="00717E59" w:rsidRPr="00B975DD">
        <w:rPr>
          <w:rFonts w:eastAsia="Palatino Linotype"/>
        </w:rPr>
        <w:t>d</w:t>
      </w:r>
      <w:r w:rsidRPr="00B975DD">
        <w:rPr>
          <w:rFonts w:eastAsia="Palatino Linotype"/>
        </w:rPr>
        <w:t xml:space="preserve">erecho de </w:t>
      </w:r>
      <w:r w:rsidR="00717E59" w:rsidRPr="00B975DD">
        <w:rPr>
          <w:rFonts w:eastAsia="Palatino Linotype"/>
        </w:rPr>
        <w:t>a</w:t>
      </w:r>
      <w:r w:rsidRPr="00B975DD">
        <w:rPr>
          <w:rFonts w:eastAsia="Palatino Linotype"/>
        </w:rPr>
        <w:t xml:space="preserve">cceso a la </w:t>
      </w:r>
      <w:r w:rsidR="00717E59" w:rsidRPr="00B975DD">
        <w:rPr>
          <w:rFonts w:eastAsia="Palatino Linotype"/>
        </w:rPr>
        <w:t>i</w:t>
      </w:r>
      <w:r w:rsidRPr="00B975DD">
        <w:rPr>
          <w:rFonts w:eastAsia="Palatino Linotype"/>
        </w:rPr>
        <w:t xml:space="preserve">nformación </w:t>
      </w:r>
      <w:r w:rsidR="00717E59" w:rsidRPr="00B975DD">
        <w:rPr>
          <w:rFonts w:eastAsia="Palatino Linotype"/>
        </w:rPr>
        <w:t>p</w:t>
      </w:r>
      <w:r w:rsidRPr="00B975D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975DD">
        <w:rPr>
          <w:rFonts w:eastAsia="Palatino Linotype"/>
        </w:rPr>
        <w:t>:</w:t>
      </w:r>
    </w:p>
    <w:p w14:paraId="7FAB8D32" w14:textId="77777777" w:rsidR="00C049E2" w:rsidRPr="00B975DD" w:rsidRDefault="00C049E2" w:rsidP="00B975DD">
      <w:pPr>
        <w:rPr>
          <w:rFonts w:eastAsia="Palatino Linotype"/>
        </w:rPr>
      </w:pPr>
    </w:p>
    <w:p w14:paraId="05320813" w14:textId="77777777" w:rsidR="00C049E2" w:rsidRPr="00B975DD" w:rsidRDefault="00C049E2" w:rsidP="00B975DD">
      <w:pPr>
        <w:pStyle w:val="Puesto"/>
        <w:rPr>
          <w:rFonts w:eastAsia="Palatino Linotype"/>
          <w:b/>
        </w:rPr>
      </w:pPr>
      <w:r w:rsidRPr="00B975DD">
        <w:rPr>
          <w:rFonts w:eastAsia="Palatino Linotype"/>
          <w:b/>
        </w:rPr>
        <w:t>Constitución Política de los Estados Unidos Mexicanos</w:t>
      </w:r>
    </w:p>
    <w:p w14:paraId="6B6C67B6" w14:textId="77777777" w:rsidR="00C049E2" w:rsidRPr="00B975DD" w:rsidRDefault="00C049E2" w:rsidP="00B975DD">
      <w:pPr>
        <w:pStyle w:val="Puesto"/>
        <w:rPr>
          <w:rFonts w:eastAsia="Palatino Linotype"/>
          <w:b/>
        </w:rPr>
      </w:pPr>
      <w:r w:rsidRPr="00B975DD">
        <w:rPr>
          <w:rFonts w:eastAsia="Palatino Linotype"/>
        </w:rPr>
        <w:t>“</w:t>
      </w:r>
      <w:r w:rsidRPr="00B975DD">
        <w:rPr>
          <w:rFonts w:eastAsia="Palatino Linotype"/>
          <w:b/>
        </w:rPr>
        <w:t>Artículo 6.</w:t>
      </w:r>
    </w:p>
    <w:p w14:paraId="38D3B4C4" w14:textId="77777777" w:rsidR="00C049E2" w:rsidRPr="00B975DD" w:rsidRDefault="00C049E2" w:rsidP="00B975DD">
      <w:pPr>
        <w:pStyle w:val="Puesto"/>
        <w:rPr>
          <w:rFonts w:eastAsia="Palatino Linotype"/>
        </w:rPr>
      </w:pPr>
      <w:r w:rsidRPr="00B975DD">
        <w:rPr>
          <w:rFonts w:eastAsia="Palatino Linotype"/>
        </w:rPr>
        <w:t>(…)</w:t>
      </w:r>
    </w:p>
    <w:p w14:paraId="2CCAA297" w14:textId="6602827B" w:rsidR="00C049E2" w:rsidRPr="00B975DD" w:rsidRDefault="00C049E2" w:rsidP="00B975DD">
      <w:pPr>
        <w:pStyle w:val="Puesto"/>
        <w:rPr>
          <w:rFonts w:eastAsia="Palatino Linotype"/>
        </w:rPr>
      </w:pPr>
      <w:r w:rsidRPr="00B975DD">
        <w:rPr>
          <w:rFonts w:eastAsia="Palatino Linotype"/>
        </w:rPr>
        <w:t>Para efectos de lo dispuesto en el presente artículo se observará lo siguiente:</w:t>
      </w:r>
    </w:p>
    <w:p w14:paraId="74CC3718" w14:textId="77777777" w:rsidR="00C049E2" w:rsidRPr="00B975DD" w:rsidRDefault="00C049E2" w:rsidP="00B975DD">
      <w:pPr>
        <w:pStyle w:val="Puesto"/>
        <w:rPr>
          <w:rFonts w:eastAsia="Palatino Linotype"/>
        </w:rPr>
      </w:pPr>
      <w:r w:rsidRPr="00B975DD">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B975DD" w:rsidRDefault="00C049E2" w:rsidP="00B975DD">
      <w:pPr>
        <w:pStyle w:val="Puesto"/>
        <w:rPr>
          <w:rFonts w:eastAsia="Palatino Linotype"/>
        </w:rPr>
      </w:pPr>
      <w:r w:rsidRPr="00B975DD">
        <w:rPr>
          <w:rFonts w:eastAsia="Palatino Linotype"/>
        </w:rPr>
        <w:t xml:space="preserve">I. </w:t>
      </w:r>
      <w:r w:rsidRPr="00B975DD">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B975DD">
        <w:rPr>
          <w:rFonts w:eastAsia="Palatino Linotype"/>
        </w:rPr>
        <w:lastRenderedPageBreak/>
        <w:t>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B975DD" w:rsidRDefault="00C049E2" w:rsidP="00B975DD">
      <w:pPr>
        <w:pStyle w:val="Puesto"/>
        <w:rPr>
          <w:rFonts w:eastAsia="Palatino Linotype"/>
        </w:rPr>
      </w:pPr>
    </w:p>
    <w:p w14:paraId="504F12DB" w14:textId="77777777" w:rsidR="00C049E2" w:rsidRPr="00B975DD" w:rsidRDefault="00C049E2" w:rsidP="00B975DD">
      <w:pPr>
        <w:pStyle w:val="Puesto"/>
        <w:rPr>
          <w:rFonts w:eastAsia="Palatino Linotype"/>
          <w:b/>
        </w:rPr>
      </w:pPr>
      <w:r w:rsidRPr="00B975DD">
        <w:rPr>
          <w:rFonts w:eastAsia="Palatino Linotype"/>
          <w:b/>
        </w:rPr>
        <w:t>Constitución Política del Estado Libre y Soberano de México</w:t>
      </w:r>
    </w:p>
    <w:p w14:paraId="04932D29" w14:textId="77777777" w:rsidR="00C049E2" w:rsidRPr="00B975DD" w:rsidRDefault="00C049E2" w:rsidP="00B975DD">
      <w:pPr>
        <w:pStyle w:val="Puesto"/>
        <w:rPr>
          <w:rFonts w:eastAsia="Palatino Linotype"/>
          <w:b/>
        </w:rPr>
      </w:pPr>
      <w:r w:rsidRPr="00B975DD">
        <w:rPr>
          <w:rFonts w:eastAsia="Palatino Linotype"/>
        </w:rPr>
        <w:t>“</w:t>
      </w:r>
      <w:r w:rsidRPr="00B975DD">
        <w:rPr>
          <w:rFonts w:eastAsia="Palatino Linotype"/>
          <w:b/>
        </w:rPr>
        <w:t xml:space="preserve">Artículo 5.- </w:t>
      </w:r>
    </w:p>
    <w:p w14:paraId="1D3829F4" w14:textId="77777777" w:rsidR="00C049E2" w:rsidRPr="00B975DD" w:rsidRDefault="00C049E2" w:rsidP="00B975DD">
      <w:pPr>
        <w:pStyle w:val="Puesto"/>
        <w:rPr>
          <w:rFonts w:eastAsia="Palatino Linotype"/>
        </w:rPr>
      </w:pPr>
      <w:r w:rsidRPr="00B975DD">
        <w:rPr>
          <w:rFonts w:eastAsia="Palatino Linotype"/>
        </w:rPr>
        <w:t>(…)</w:t>
      </w:r>
    </w:p>
    <w:p w14:paraId="0EAE47FD" w14:textId="77777777" w:rsidR="00C049E2" w:rsidRPr="00B975DD" w:rsidRDefault="00C049E2" w:rsidP="00B975DD">
      <w:pPr>
        <w:pStyle w:val="Puesto"/>
        <w:rPr>
          <w:rFonts w:eastAsia="Palatino Linotype"/>
        </w:rPr>
      </w:pPr>
      <w:r w:rsidRPr="00B975DD">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B975DD" w:rsidRDefault="00C049E2" w:rsidP="00B975DD">
      <w:pPr>
        <w:pStyle w:val="Puesto"/>
        <w:rPr>
          <w:rFonts w:eastAsia="Palatino Linotype"/>
        </w:rPr>
      </w:pPr>
      <w:r w:rsidRPr="00B975DD">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975DD" w:rsidRDefault="00C049E2" w:rsidP="00B975DD">
      <w:pPr>
        <w:pStyle w:val="Puesto"/>
        <w:rPr>
          <w:rFonts w:eastAsia="Palatino Linotype"/>
        </w:rPr>
      </w:pPr>
      <w:r w:rsidRPr="00B975DD">
        <w:rPr>
          <w:rFonts w:eastAsia="Palatino Linotype"/>
        </w:rPr>
        <w:t>Este derecho se regirá por los principios y bases siguientes:</w:t>
      </w:r>
    </w:p>
    <w:p w14:paraId="4A3E8CBA" w14:textId="77777777" w:rsidR="00C049E2" w:rsidRPr="00B975DD" w:rsidRDefault="00C049E2" w:rsidP="00B975DD">
      <w:pPr>
        <w:pStyle w:val="Puesto"/>
        <w:rPr>
          <w:rFonts w:eastAsia="Palatino Linotype"/>
        </w:rPr>
      </w:pPr>
      <w:r w:rsidRPr="00B975DD">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B975DD" w:rsidRDefault="00C049E2" w:rsidP="00B975DD">
      <w:pPr>
        <w:rPr>
          <w:rFonts w:eastAsia="Palatino Linotype"/>
          <w:b/>
          <w:i/>
        </w:rPr>
      </w:pPr>
    </w:p>
    <w:p w14:paraId="6FC1BB3B" w14:textId="3BF4A33D" w:rsidR="00C049E2" w:rsidRPr="00B975DD" w:rsidRDefault="00717E59" w:rsidP="00B975DD">
      <w:pPr>
        <w:rPr>
          <w:rFonts w:eastAsia="Palatino Linotype"/>
          <w:i/>
        </w:rPr>
      </w:pPr>
      <w:r w:rsidRPr="00B975DD">
        <w:rPr>
          <w:rFonts w:eastAsia="Palatino Linotype"/>
        </w:rPr>
        <w:t xml:space="preserve">Asimismo, </w:t>
      </w:r>
      <w:r w:rsidR="00C049E2" w:rsidRPr="00B975DD">
        <w:rPr>
          <w:rFonts w:eastAsia="Palatino Linotype"/>
        </w:rPr>
        <w:t>el artículo 150 de la Ley de Transparencia y Acceso a la Información Pública del Estado de México y Municipios</w:t>
      </w:r>
      <w:r w:rsidR="00057B2D" w:rsidRPr="00B975DD">
        <w:rPr>
          <w:rFonts w:eastAsia="Palatino Linotype"/>
        </w:rPr>
        <w:t xml:space="preserve"> </w:t>
      </w:r>
      <w:r w:rsidR="00E9335C" w:rsidRPr="00B975DD">
        <w:rPr>
          <w:rFonts w:eastAsia="Palatino Linotype"/>
        </w:rPr>
        <w:t xml:space="preserve">indica </w:t>
      </w:r>
      <w:r w:rsidR="00057B2D" w:rsidRPr="00B975DD">
        <w:rPr>
          <w:rFonts w:eastAsia="Palatino Linotype"/>
        </w:rPr>
        <w:t>que</w:t>
      </w:r>
      <w:r w:rsidR="00C049E2" w:rsidRPr="00B975DD">
        <w:rPr>
          <w:rFonts w:eastAsia="Palatino Linotype"/>
        </w:rPr>
        <w:t xml:space="preserve"> la solicitud es la garantía primaria del Derecho de Acceso a la Información, además, establece que se regirá </w:t>
      </w:r>
      <w:r w:rsidR="00C049E2" w:rsidRPr="00B975DD">
        <w:rPr>
          <w:rFonts w:eastAsia="Palatino Linotype"/>
          <w:i/>
        </w:rPr>
        <w:t>por los principios de simplicidad, rapidez</w:t>
      </w:r>
      <w:r w:rsidR="005F65B7" w:rsidRPr="00B975DD">
        <w:rPr>
          <w:rFonts w:eastAsia="Palatino Linotype"/>
          <w:i/>
        </w:rPr>
        <w:t>,</w:t>
      </w:r>
      <w:r w:rsidR="00C049E2" w:rsidRPr="00B975DD">
        <w:rPr>
          <w:rFonts w:eastAsia="Palatino Linotype"/>
          <w:i/>
        </w:rPr>
        <w:t xml:space="preserve"> gratuidad del procedimiento, auxilio y orientación a los particulare</w:t>
      </w:r>
      <w:r w:rsidR="001A58B3" w:rsidRPr="00B975DD">
        <w:rPr>
          <w:rFonts w:eastAsia="Palatino Linotype"/>
          <w:i/>
        </w:rPr>
        <w:t>s.</w:t>
      </w:r>
    </w:p>
    <w:p w14:paraId="033466A6" w14:textId="77777777" w:rsidR="001A58B3" w:rsidRPr="00B975DD" w:rsidRDefault="001A58B3" w:rsidP="00B975DD">
      <w:pPr>
        <w:rPr>
          <w:rFonts w:eastAsia="Palatino Linotype"/>
          <w:i/>
        </w:rPr>
      </w:pPr>
    </w:p>
    <w:p w14:paraId="04ADA10B" w14:textId="574A944A" w:rsidR="001A58B3" w:rsidRPr="00B975DD" w:rsidRDefault="00233F17" w:rsidP="00B975DD">
      <w:pPr>
        <w:rPr>
          <w:rFonts w:eastAsia="Palatino Linotype" w:cs="Palatino Linotype"/>
          <w:i/>
          <w:szCs w:val="22"/>
        </w:rPr>
      </w:pPr>
      <w:r w:rsidRPr="00B975DD">
        <w:rPr>
          <w:rFonts w:eastAsia="Palatino Linotype" w:cs="Palatino Linotype"/>
        </w:rPr>
        <w:lastRenderedPageBreak/>
        <w:t xml:space="preserve">Por su parte, el artículo 4 de </w:t>
      </w:r>
      <w:r w:rsidR="001A58B3" w:rsidRPr="00B975D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975DD">
        <w:rPr>
          <w:rFonts w:eastAsia="Palatino Linotype" w:cs="Palatino Linotype"/>
        </w:rPr>
        <w:t>.</w:t>
      </w:r>
    </w:p>
    <w:p w14:paraId="1407DBB8" w14:textId="77777777" w:rsidR="001A58B3" w:rsidRPr="00B975DD" w:rsidRDefault="001A58B3" w:rsidP="00B975DD">
      <w:pPr>
        <w:rPr>
          <w:rFonts w:eastAsia="Palatino Linotype" w:cs="Palatino Linotype"/>
        </w:rPr>
      </w:pPr>
    </w:p>
    <w:p w14:paraId="7552AA79" w14:textId="5C52E4A4" w:rsidR="001A58B3" w:rsidRPr="00B975DD" w:rsidRDefault="001A58B3" w:rsidP="00B975DD">
      <w:pPr>
        <w:rPr>
          <w:rFonts w:eastAsia="Palatino Linotype" w:cs="Palatino Linotype"/>
        </w:rPr>
      </w:pPr>
      <w:r w:rsidRPr="00B975DD">
        <w:rPr>
          <w:rFonts w:eastAsia="Palatino Linotype" w:cs="Palatino Linotype"/>
        </w:rPr>
        <w:t xml:space="preserve">Esto es, que los Sujetos Obligados </w:t>
      </w:r>
      <w:r w:rsidR="00FA5957" w:rsidRPr="00B975DD">
        <w:rPr>
          <w:rFonts w:eastAsia="Palatino Linotype" w:cs="Palatino Linotype"/>
        </w:rPr>
        <w:t>deben</w:t>
      </w:r>
      <w:r w:rsidRPr="00B975DD">
        <w:rPr>
          <w:rFonts w:eastAsia="Palatino Linotype" w:cs="Palatino Linotype"/>
        </w:rPr>
        <w:t xml:space="preserve"> atender las solicitudes de acceso a la información pública que se les </w:t>
      </w:r>
      <w:r w:rsidR="00FA5957" w:rsidRPr="00B975DD">
        <w:rPr>
          <w:rFonts w:eastAsia="Palatino Linotype" w:cs="Palatino Linotype"/>
        </w:rPr>
        <w:t>sean realizadas,</w:t>
      </w:r>
      <w:r w:rsidRPr="00B975DD">
        <w:rPr>
          <w:rFonts w:eastAsia="Palatino Linotype" w:cs="Palatino Linotype"/>
        </w:rPr>
        <w:t xml:space="preserve"> y proporcionar la información pública que obre en su poder</w:t>
      </w:r>
      <w:r w:rsidR="00FA5957" w:rsidRPr="00B975DD">
        <w:rPr>
          <w:rFonts w:eastAsia="Palatino Linotype" w:cs="Palatino Linotype"/>
        </w:rPr>
        <w:t>,</w:t>
      </w:r>
      <w:r w:rsidRPr="00B975DD">
        <w:rPr>
          <w:rFonts w:eastAsia="Palatino Linotype" w:cs="Palatino Linotype"/>
        </w:rPr>
        <w:t xml:space="preserve"> conforme </w:t>
      </w:r>
      <w:r w:rsidR="00FA5957" w:rsidRPr="00B975DD">
        <w:rPr>
          <w:rFonts w:eastAsia="Palatino Linotype" w:cs="Palatino Linotype"/>
        </w:rPr>
        <w:t>a</w:t>
      </w:r>
      <w:r w:rsidRPr="00B975DD">
        <w:rPr>
          <w:rFonts w:eastAsia="Palatino Linotype" w:cs="Palatino Linotype"/>
        </w:rPr>
        <w:t xml:space="preserve">l estado </w:t>
      </w:r>
      <w:r w:rsidR="00FA5957" w:rsidRPr="00B975DD">
        <w:rPr>
          <w:rFonts w:eastAsia="Palatino Linotype" w:cs="Palatino Linotype"/>
        </w:rPr>
        <w:t xml:space="preserve">en </w:t>
      </w:r>
      <w:r w:rsidRPr="00B975DD">
        <w:rPr>
          <w:rFonts w:eastAsia="Palatino Linotype" w:cs="Palatino Linotype"/>
        </w:rPr>
        <w:t>que se encuentr</w:t>
      </w:r>
      <w:r w:rsidR="00FA5957" w:rsidRPr="00B975DD">
        <w:rPr>
          <w:rFonts w:eastAsia="Palatino Linotype" w:cs="Palatino Linotype"/>
        </w:rPr>
        <w:t>e, sin que sea necesario</w:t>
      </w:r>
      <w:r w:rsidRPr="00B975DD">
        <w:rPr>
          <w:rFonts w:eastAsia="Palatino Linotype" w:cs="Palatino Linotype"/>
        </w:rPr>
        <w:t xml:space="preserve"> </w:t>
      </w:r>
      <w:r w:rsidR="00FA5957" w:rsidRPr="00B975DD">
        <w:rPr>
          <w:rFonts w:eastAsia="Palatino Linotype" w:cs="Palatino Linotype"/>
        </w:rPr>
        <w:t>procesar</w:t>
      </w:r>
      <w:r w:rsidRPr="00B975DD">
        <w:rPr>
          <w:rFonts w:eastAsia="Palatino Linotype" w:cs="Palatino Linotype"/>
        </w:rPr>
        <w:t xml:space="preserve"> la misma, ni presentarla conforme al interés del solicitante; </w:t>
      </w:r>
      <w:r w:rsidR="00FA5957" w:rsidRPr="00B975DD">
        <w:rPr>
          <w:rFonts w:eastAsia="Palatino Linotype" w:cs="Palatino Linotype"/>
        </w:rPr>
        <w:t>tal y como</w:t>
      </w:r>
      <w:r w:rsidRPr="00B975DD">
        <w:rPr>
          <w:rFonts w:eastAsia="Palatino Linotype" w:cs="Palatino Linotype"/>
        </w:rPr>
        <w:t xml:space="preserve"> lo establece el artículo 12 de la Ley de Transparencia y Acceso a la Información Pública del Estado de México y Municipios</w:t>
      </w:r>
      <w:r w:rsidR="00970EB3" w:rsidRPr="00B975DD">
        <w:rPr>
          <w:rFonts w:eastAsia="Palatino Linotype" w:cs="Palatino Linotype"/>
        </w:rPr>
        <w:t>.</w:t>
      </w:r>
    </w:p>
    <w:p w14:paraId="73245195" w14:textId="77777777" w:rsidR="00970EB3" w:rsidRPr="00B975DD" w:rsidRDefault="00970EB3" w:rsidP="00B975DD">
      <w:pPr>
        <w:rPr>
          <w:rFonts w:eastAsia="Palatino Linotype" w:cs="Palatino Linotype"/>
        </w:rPr>
      </w:pPr>
    </w:p>
    <w:p w14:paraId="7F62D4DF" w14:textId="775730E1" w:rsidR="001A58B3" w:rsidRPr="00B975DD" w:rsidRDefault="001A58B3" w:rsidP="00B975DD">
      <w:pPr>
        <w:rPr>
          <w:rFonts w:eastAsia="Palatino Linotype" w:cs="Palatino Linotype"/>
        </w:rPr>
      </w:pPr>
      <w:r w:rsidRPr="00B975DD">
        <w:rPr>
          <w:rFonts w:eastAsia="Palatino Linotype" w:cs="Palatino Linotype"/>
        </w:rPr>
        <w:t>Es decir, que todo sujeto obligado que genere, recopile, administre, procese, archive, posea o conserven, son responsables de la misma</w:t>
      </w:r>
      <w:r w:rsidR="00970EB3" w:rsidRPr="00B975DD">
        <w:rPr>
          <w:rFonts w:eastAsia="Palatino Linotype" w:cs="Palatino Linotype"/>
        </w:rPr>
        <w:t>,</w:t>
      </w:r>
      <w:r w:rsidRPr="00B975D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975DD">
        <w:rPr>
          <w:rFonts w:eastAsia="Palatino Linotype" w:cs="Palatino Linotype"/>
        </w:rPr>
        <w:t>o</w:t>
      </w:r>
      <w:r w:rsidRPr="00B975D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975DD" w:rsidRDefault="001A58B3" w:rsidP="00B975DD">
      <w:pPr>
        <w:rPr>
          <w:rFonts w:eastAsia="Palatino Linotype" w:cs="Palatino Linotype"/>
        </w:rPr>
      </w:pPr>
    </w:p>
    <w:p w14:paraId="04E42DFE" w14:textId="573F1198" w:rsidR="001A58B3" w:rsidRPr="00B975DD" w:rsidRDefault="001A58B3" w:rsidP="00B975DD">
      <w:pPr>
        <w:rPr>
          <w:rFonts w:eastAsia="Palatino Linotype" w:cs="Palatino Linotype"/>
        </w:rPr>
      </w:pPr>
      <w:r w:rsidRPr="00B975D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975DD">
        <w:rPr>
          <w:rFonts w:eastAsia="Palatino Linotype" w:cs="Palatino Linotype"/>
        </w:rPr>
        <w:t>, s</w:t>
      </w:r>
      <w:r w:rsidRPr="00B975DD">
        <w:rPr>
          <w:rFonts w:eastAsia="Palatino Linotype" w:cs="Palatino Linotype"/>
        </w:rPr>
        <w:t xml:space="preserve">iempre y cuando no se trate de información reservada o </w:t>
      </w:r>
      <w:r w:rsidR="00331F35" w:rsidRPr="00B975DD">
        <w:rPr>
          <w:rFonts w:eastAsia="Palatino Linotype" w:cs="Palatino Linotype"/>
        </w:rPr>
        <w:t>confidencial.</w:t>
      </w:r>
    </w:p>
    <w:p w14:paraId="40C5219F" w14:textId="77777777" w:rsidR="001A58B3" w:rsidRPr="00B975DD" w:rsidRDefault="001A58B3" w:rsidP="00B975DD">
      <w:pPr>
        <w:rPr>
          <w:rFonts w:eastAsia="Palatino Linotype" w:cs="Palatino Linotype"/>
        </w:rPr>
      </w:pPr>
    </w:p>
    <w:p w14:paraId="2E629608" w14:textId="01727E15" w:rsidR="00C049E2" w:rsidRPr="00B975DD" w:rsidRDefault="006067C7" w:rsidP="00B975DD">
      <w:pPr>
        <w:rPr>
          <w:rFonts w:eastAsia="Palatino Linotype"/>
        </w:rPr>
      </w:pPr>
      <w:bookmarkStart w:id="35" w:name="_heading=h.2s8eyo1" w:colFirst="0" w:colLast="0"/>
      <w:bookmarkEnd w:id="35"/>
      <w:r w:rsidRPr="00B975DD">
        <w:rPr>
          <w:rFonts w:eastAsia="Palatino Linotype"/>
        </w:rPr>
        <w:lastRenderedPageBreak/>
        <w:t>Con base en lo anterior</w:t>
      </w:r>
      <w:r w:rsidR="00B22A80" w:rsidRPr="00B975DD">
        <w:rPr>
          <w:rFonts w:eastAsia="Palatino Linotype"/>
        </w:rPr>
        <w:t>, se considera que</w:t>
      </w:r>
      <w:r w:rsidR="00C049E2" w:rsidRPr="00B975DD">
        <w:rPr>
          <w:rFonts w:eastAsia="Palatino Linotype"/>
        </w:rPr>
        <w:t xml:space="preserve"> </w:t>
      </w:r>
      <w:r w:rsidR="00B22A80" w:rsidRPr="00B975DD">
        <w:rPr>
          <w:rFonts w:eastAsia="Palatino Linotype"/>
          <w:b/>
          <w:bCs/>
        </w:rPr>
        <w:t>EL</w:t>
      </w:r>
      <w:r w:rsidR="00C049E2" w:rsidRPr="00B975DD">
        <w:rPr>
          <w:rFonts w:eastAsia="Palatino Linotype"/>
        </w:rPr>
        <w:t xml:space="preserve"> </w:t>
      </w:r>
      <w:r w:rsidR="00C049E2" w:rsidRPr="00B975DD">
        <w:rPr>
          <w:rFonts w:eastAsia="Palatino Linotype"/>
          <w:b/>
        </w:rPr>
        <w:t>SUJETO OBLIGADO</w:t>
      </w:r>
      <w:r w:rsidR="00C049E2" w:rsidRPr="00B975DD">
        <w:rPr>
          <w:rFonts w:eastAsia="Palatino Linotype"/>
        </w:rPr>
        <w:t xml:space="preserve"> </w:t>
      </w:r>
      <w:r w:rsidR="00B22A80" w:rsidRPr="00B975DD">
        <w:rPr>
          <w:rFonts w:eastAsia="Palatino Linotype"/>
        </w:rPr>
        <w:t xml:space="preserve">se </w:t>
      </w:r>
      <w:r w:rsidR="00717E59" w:rsidRPr="00B975DD">
        <w:rPr>
          <w:rFonts w:eastAsia="Palatino Linotype"/>
        </w:rPr>
        <w:t>encontraba</w:t>
      </w:r>
      <w:r w:rsidR="00B22A80" w:rsidRPr="00B975DD">
        <w:rPr>
          <w:rFonts w:eastAsia="Palatino Linotype"/>
        </w:rPr>
        <w:t xml:space="preserve"> compelido a</w:t>
      </w:r>
      <w:r w:rsidR="00C049E2" w:rsidRPr="00B975DD">
        <w:rPr>
          <w:rFonts w:eastAsia="Palatino Linotype"/>
        </w:rPr>
        <w:t xml:space="preserve"> atender la solicitud de acceso a la información </w:t>
      </w:r>
      <w:r w:rsidR="00B22A80" w:rsidRPr="00B975DD">
        <w:rPr>
          <w:rFonts w:eastAsia="Palatino Linotype"/>
        </w:rPr>
        <w:t xml:space="preserve">realizada por </w:t>
      </w:r>
      <w:r w:rsidR="00B22A80" w:rsidRPr="00B975DD">
        <w:rPr>
          <w:rFonts w:eastAsia="Palatino Linotype"/>
          <w:b/>
          <w:bCs/>
        </w:rPr>
        <w:t>LA PARTE RECURRENTE</w:t>
      </w:r>
      <w:r w:rsidR="00331F35" w:rsidRPr="00B975DD">
        <w:rPr>
          <w:rFonts w:eastAsia="Palatino Linotype"/>
        </w:rPr>
        <w:t>.</w:t>
      </w:r>
    </w:p>
    <w:p w14:paraId="1611F147" w14:textId="77777777" w:rsidR="00BD5A7C" w:rsidRPr="00B975DD" w:rsidRDefault="00BD5A7C" w:rsidP="00B975DD">
      <w:pPr>
        <w:rPr>
          <w:rFonts w:eastAsia="Palatino Linotype"/>
        </w:rPr>
      </w:pPr>
    </w:p>
    <w:p w14:paraId="51A0E8B4" w14:textId="676DCA47" w:rsidR="00664420" w:rsidRPr="00B975DD" w:rsidRDefault="00C71CEF" w:rsidP="00B975DD">
      <w:pPr>
        <w:pStyle w:val="Ttulo3"/>
        <w:rPr>
          <w:rFonts w:eastAsia="Calibri"/>
          <w:lang w:eastAsia="es-ES_tradnl"/>
        </w:rPr>
      </w:pPr>
      <w:bookmarkStart w:id="36" w:name="_Toc193960307"/>
      <w:r w:rsidRPr="00B975DD">
        <w:rPr>
          <w:rFonts w:eastAsia="Calibri"/>
          <w:lang w:eastAsia="es-ES_tradnl"/>
        </w:rPr>
        <w:t>b)</w:t>
      </w:r>
      <w:r w:rsidR="00A53315" w:rsidRPr="00B975DD">
        <w:rPr>
          <w:rFonts w:eastAsia="Calibri"/>
          <w:lang w:eastAsia="es-ES_tradnl"/>
        </w:rPr>
        <w:t xml:space="preserve"> </w:t>
      </w:r>
      <w:r w:rsidR="00A21A20" w:rsidRPr="00B975DD">
        <w:rPr>
          <w:rFonts w:eastAsia="Calibri"/>
          <w:lang w:eastAsia="es-ES_tradnl"/>
        </w:rPr>
        <w:t>Controversia a resolver</w:t>
      </w:r>
      <w:bookmarkEnd w:id="36"/>
    </w:p>
    <w:p w14:paraId="527FF88F" w14:textId="77777777" w:rsidR="00BD7208" w:rsidRPr="00B975DD" w:rsidRDefault="00664420" w:rsidP="00B975DD">
      <w:pPr>
        <w:rPr>
          <w:rFonts w:eastAsia="Calibri"/>
          <w:lang w:eastAsia="es-ES_tradnl"/>
        </w:rPr>
      </w:pPr>
      <w:r w:rsidRPr="00B975D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975DD">
        <w:rPr>
          <w:rFonts w:eastAsia="Calibri"/>
          <w:b/>
          <w:bCs/>
          <w:lang w:eastAsia="es-ES_tradnl"/>
        </w:rPr>
        <w:t>LA PARTE RECURRENTE</w:t>
      </w:r>
      <w:r w:rsidR="004565C2" w:rsidRPr="00B975DD">
        <w:rPr>
          <w:rFonts w:eastAsia="Calibri"/>
          <w:lang w:eastAsia="es-ES_tradnl"/>
        </w:rPr>
        <w:t xml:space="preserve"> solicitó</w:t>
      </w:r>
      <w:r w:rsidR="0025745F" w:rsidRPr="00B975DD">
        <w:rPr>
          <w:rFonts w:eastAsia="Calibri"/>
          <w:lang w:eastAsia="es-ES_tradnl"/>
        </w:rPr>
        <w:t xml:space="preserve"> </w:t>
      </w:r>
      <w:r w:rsidR="00BD7208" w:rsidRPr="00B975DD">
        <w:rPr>
          <w:rFonts w:eastAsia="Calibri"/>
          <w:lang w:eastAsia="es-ES_tradnl"/>
        </w:rPr>
        <w:t xml:space="preserve">lo siguiente: </w:t>
      </w:r>
    </w:p>
    <w:p w14:paraId="592FF239" w14:textId="77777777" w:rsidR="00BD7208" w:rsidRPr="00B975DD" w:rsidRDefault="00BD7208" w:rsidP="00B975DD">
      <w:pPr>
        <w:rPr>
          <w:rFonts w:eastAsia="Calibri"/>
          <w:lang w:eastAsia="es-ES_tradnl"/>
        </w:rPr>
      </w:pPr>
    </w:p>
    <w:p w14:paraId="6CE261B1" w14:textId="108E16EC" w:rsidR="00BD7208" w:rsidRPr="00B975DD" w:rsidRDefault="00BD7208" w:rsidP="00B975DD">
      <w:pPr>
        <w:pStyle w:val="Prrafodelista"/>
        <w:numPr>
          <w:ilvl w:val="0"/>
          <w:numId w:val="42"/>
        </w:numPr>
        <w:rPr>
          <w:rFonts w:cs="Arial"/>
        </w:rPr>
      </w:pPr>
      <w:r w:rsidRPr="00B975DD">
        <w:rPr>
          <w:rFonts w:eastAsia="Calibri"/>
          <w:lang w:eastAsia="es-ES_tradnl"/>
        </w:rPr>
        <w:t xml:space="preserve">Solicitud </w:t>
      </w:r>
      <w:r w:rsidRPr="00B975DD">
        <w:rPr>
          <w:rFonts w:eastAsia="Calibri"/>
          <w:b/>
          <w:bCs/>
          <w:lang w:eastAsia="es-ES_tradnl"/>
        </w:rPr>
        <w:t xml:space="preserve">00046/ATLACOM/IP/2025 </w:t>
      </w:r>
      <w:r w:rsidR="0025745F" w:rsidRPr="00B975DD">
        <w:rPr>
          <w:rFonts w:eastAsia="Calibri"/>
          <w:lang w:eastAsia="es-ES_tradnl"/>
        </w:rPr>
        <w:t>l</w:t>
      </w:r>
      <w:r w:rsidRPr="00B975DD">
        <w:rPr>
          <w:rFonts w:eastAsia="Calibri"/>
          <w:lang w:eastAsia="es-ES_tradnl"/>
        </w:rPr>
        <w:t xml:space="preserve">as pólizas del mes de diciembre y enero, en la cual si bien no se precisó el año al que correspondían los meses, este Órgano Garante </w:t>
      </w:r>
      <w:r w:rsidRPr="00B975DD">
        <w:rPr>
          <w:rFonts w:eastAsia="Calibri" w:cs="Arial"/>
          <w:lang w:eastAsia="en-US"/>
        </w:rPr>
        <w:t>con fundamento en lo dispuesto por el artículo 13 y 181</w:t>
      </w:r>
      <w:r w:rsidRPr="00B975DD">
        <w:rPr>
          <w:rFonts w:cs="Arial"/>
        </w:rPr>
        <w:t xml:space="preserve"> párrafo cuarto de la Ley de la materia, suple la deficiencia presentada respecto, determinando que la información solicitada corresponderá a diciembre de dos mil veinticuatro y del uno al dieciséis de enero de dos mil veinticinco, fecha en que fue presentada la solicitud de información. </w:t>
      </w:r>
    </w:p>
    <w:p w14:paraId="70C3FAEC" w14:textId="59C49DBF" w:rsidR="00BD7208" w:rsidRPr="00B975DD" w:rsidRDefault="00BD7208" w:rsidP="00B975DD">
      <w:pPr>
        <w:pStyle w:val="Prrafodelista"/>
        <w:numPr>
          <w:ilvl w:val="0"/>
          <w:numId w:val="42"/>
        </w:numPr>
        <w:rPr>
          <w:rFonts w:cs="Arial"/>
        </w:rPr>
      </w:pPr>
      <w:r w:rsidRPr="00B975DD">
        <w:rPr>
          <w:rFonts w:eastAsia="Calibri"/>
          <w:lang w:eastAsia="es-ES_tradnl"/>
        </w:rPr>
        <w:t xml:space="preserve">Solicitud </w:t>
      </w:r>
      <w:r w:rsidRPr="00B975DD">
        <w:rPr>
          <w:rFonts w:eastAsia="Calibri"/>
          <w:b/>
          <w:bCs/>
          <w:lang w:eastAsia="es-ES_tradnl"/>
        </w:rPr>
        <w:t xml:space="preserve">00074/ATLACOM/IP/2025 </w:t>
      </w:r>
      <w:r w:rsidRPr="00B975DD">
        <w:rPr>
          <w:rFonts w:eastAsia="Calibri"/>
          <w:bCs/>
          <w:lang w:eastAsia="es-ES_tradnl"/>
        </w:rPr>
        <w:t xml:space="preserve">las pólizas del mes de diciembre de dos mil veinticuatro. </w:t>
      </w:r>
    </w:p>
    <w:p w14:paraId="5148853D" w14:textId="77777777" w:rsidR="00BD7208" w:rsidRPr="00B975DD" w:rsidRDefault="00BD7208" w:rsidP="00B975DD">
      <w:pPr>
        <w:rPr>
          <w:rFonts w:cs="Arial"/>
        </w:rPr>
      </w:pPr>
    </w:p>
    <w:p w14:paraId="22DFF65C" w14:textId="57920407" w:rsidR="00BD7208" w:rsidRPr="00B975DD" w:rsidRDefault="00E11AA0" w:rsidP="00B975DD">
      <w:pPr>
        <w:tabs>
          <w:tab w:val="left" w:pos="4962"/>
        </w:tabs>
        <w:contextualSpacing/>
        <w:rPr>
          <w:rFonts w:cs="Tahoma"/>
          <w:b/>
          <w:bCs/>
          <w:i/>
        </w:rPr>
      </w:pPr>
      <w:r w:rsidRPr="00B975DD">
        <w:rPr>
          <w:rFonts w:eastAsiaTheme="minorHAnsi" w:cs="Tahoma"/>
          <w:bCs/>
          <w:iCs/>
          <w:szCs w:val="22"/>
          <w:lang w:eastAsia="en-US"/>
        </w:rPr>
        <w:t>Al respecto</w:t>
      </w:r>
      <w:r w:rsidR="00664420" w:rsidRPr="00B975DD">
        <w:rPr>
          <w:rFonts w:eastAsiaTheme="minorHAnsi" w:cs="Tahoma"/>
          <w:bCs/>
          <w:iCs/>
          <w:szCs w:val="22"/>
          <w:lang w:eastAsia="en-US"/>
        </w:rPr>
        <w:t xml:space="preserve"> </w:t>
      </w:r>
      <w:r w:rsidR="005D5A50" w:rsidRPr="00B975DD">
        <w:rPr>
          <w:rFonts w:eastAsiaTheme="minorHAnsi" w:cs="Tahoma"/>
          <w:b/>
          <w:iCs/>
          <w:szCs w:val="22"/>
          <w:lang w:eastAsia="en-US"/>
        </w:rPr>
        <w:t>EL SUJETO OBLIGADO</w:t>
      </w:r>
      <w:r w:rsidRPr="00B975DD">
        <w:rPr>
          <w:rFonts w:eastAsiaTheme="minorHAnsi" w:cs="Tahoma"/>
          <w:bCs/>
          <w:iCs/>
          <w:szCs w:val="22"/>
          <w:lang w:eastAsia="en-US"/>
        </w:rPr>
        <w:t xml:space="preserve"> </w:t>
      </w:r>
      <w:r w:rsidR="00DC013B" w:rsidRPr="00B975DD">
        <w:rPr>
          <w:bCs/>
          <w:lang w:val="es-ES"/>
        </w:rPr>
        <w:t xml:space="preserve">mediante respuesta </w:t>
      </w:r>
      <w:r w:rsidR="0025745F" w:rsidRPr="00B975DD">
        <w:rPr>
          <w:bCs/>
          <w:lang w:val="es-ES"/>
        </w:rPr>
        <w:t xml:space="preserve">adjuntó </w:t>
      </w:r>
      <w:r w:rsidR="00BF39D0" w:rsidRPr="00B975DD">
        <w:rPr>
          <w:bCs/>
          <w:lang w:val="es-ES"/>
        </w:rPr>
        <w:t>oficios</w:t>
      </w:r>
      <w:r w:rsidR="00BD7208" w:rsidRPr="00B975DD">
        <w:rPr>
          <w:bCs/>
          <w:lang w:val="es-ES"/>
        </w:rPr>
        <w:t xml:space="preserve"> </w:t>
      </w:r>
      <w:r w:rsidR="00BD7208" w:rsidRPr="00B975DD">
        <w:rPr>
          <w:rFonts w:cs="Tahoma"/>
          <w:bCs/>
        </w:rPr>
        <w:t xml:space="preserve">por medio de los cuales la Directora de Administración, refirió que una vez realizada la búsqueda exhaustiva y razonable en los archivos físicos y electrónicos de la Dirección, no obraba información respecto de lo solicitado. </w:t>
      </w:r>
    </w:p>
    <w:p w14:paraId="43E0D1DD" w14:textId="77777777" w:rsidR="00BD7208" w:rsidRPr="00B975DD" w:rsidRDefault="00BD7208" w:rsidP="00B975DD">
      <w:pPr>
        <w:tabs>
          <w:tab w:val="left" w:pos="4962"/>
        </w:tabs>
        <w:contextualSpacing/>
        <w:rPr>
          <w:bCs/>
          <w:lang w:val="es-ES"/>
        </w:rPr>
      </w:pPr>
    </w:p>
    <w:p w14:paraId="5A0249EE" w14:textId="17B15331" w:rsidR="00167822" w:rsidRPr="00B975DD" w:rsidRDefault="00CF7586" w:rsidP="00B975DD">
      <w:pPr>
        <w:tabs>
          <w:tab w:val="left" w:pos="4962"/>
        </w:tabs>
        <w:contextualSpacing/>
        <w:rPr>
          <w:rFonts w:eastAsiaTheme="minorHAnsi" w:cs="Tahoma"/>
          <w:bCs/>
          <w:iCs/>
          <w:szCs w:val="22"/>
          <w:lang w:eastAsia="en-US"/>
        </w:rPr>
      </w:pPr>
      <w:r w:rsidRPr="00B975DD">
        <w:rPr>
          <w:rFonts w:eastAsiaTheme="minorHAnsi" w:cs="Tahoma"/>
          <w:bCs/>
          <w:iCs/>
          <w:szCs w:val="22"/>
          <w:lang w:eastAsia="en-US"/>
        </w:rPr>
        <w:t xml:space="preserve">Ahora bien, en la interposición del presente recurso </w:t>
      </w:r>
      <w:r w:rsidRPr="00B975DD">
        <w:rPr>
          <w:rFonts w:eastAsiaTheme="minorHAnsi" w:cs="Tahoma"/>
          <w:b/>
          <w:iCs/>
          <w:szCs w:val="22"/>
          <w:lang w:eastAsia="en-US"/>
        </w:rPr>
        <w:t>LA PARTE RECURRENTE</w:t>
      </w:r>
      <w:r w:rsidR="00237120" w:rsidRPr="00B975DD">
        <w:rPr>
          <w:rFonts w:eastAsiaTheme="minorHAnsi" w:cs="Tahoma"/>
          <w:bCs/>
          <w:iCs/>
          <w:szCs w:val="22"/>
          <w:lang w:eastAsia="en-US"/>
        </w:rPr>
        <w:t xml:space="preserve"> s</w:t>
      </w:r>
      <w:r w:rsidR="00E11AA0" w:rsidRPr="00B975DD">
        <w:rPr>
          <w:rFonts w:eastAsiaTheme="minorHAnsi" w:cs="Tahoma"/>
          <w:bCs/>
          <w:iCs/>
          <w:szCs w:val="22"/>
          <w:lang w:eastAsia="en-US"/>
        </w:rPr>
        <w:t>e inconformó medularmente por</w:t>
      </w:r>
      <w:r w:rsidR="00167822" w:rsidRPr="00B975DD">
        <w:rPr>
          <w:rFonts w:eastAsiaTheme="minorHAnsi" w:cs="Tahoma"/>
          <w:bCs/>
          <w:iCs/>
          <w:szCs w:val="22"/>
          <w:lang w:eastAsia="en-US"/>
        </w:rPr>
        <w:t xml:space="preserve"> la negativa dela información solicitada. </w:t>
      </w:r>
    </w:p>
    <w:p w14:paraId="71CA02C9" w14:textId="77777777" w:rsidR="00167822" w:rsidRPr="00B975DD" w:rsidRDefault="00167822" w:rsidP="00B975DD">
      <w:pPr>
        <w:tabs>
          <w:tab w:val="left" w:pos="4962"/>
        </w:tabs>
        <w:contextualSpacing/>
        <w:rPr>
          <w:rFonts w:eastAsiaTheme="minorHAnsi" w:cs="Tahoma"/>
          <w:bCs/>
          <w:iCs/>
          <w:szCs w:val="22"/>
          <w:lang w:eastAsia="en-US"/>
        </w:rPr>
      </w:pPr>
    </w:p>
    <w:p w14:paraId="2977A7E3" w14:textId="1F1BE6F3" w:rsidR="00BD7208" w:rsidRPr="00B975DD" w:rsidRDefault="00460971" w:rsidP="00B975DD">
      <w:pPr>
        <w:pStyle w:val="Prrafodelista"/>
        <w:widowControl w:val="0"/>
        <w:autoSpaceDE w:val="0"/>
        <w:autoSpaceDN w:val="0"/>
        <w:adjustRightInd w:val="0"/>
        <w:ind w:left="0"/>
      </w:pPr>
      <w:r w:rsidRPr="00B975DD">
        <w:rPr>
          <w:rFonts w:eastAsiaTheme="minorHAnsi" w:cs="Tahoma"/>
          <w:bCs/>
          <w:iCs/>
          <w:szCs w:val="22"/>
          <w:lang w:eastAsia="en-US"/>
        </w:rPr>
        <w:t>Asimismo</w:t>
      </w:r>
      <w:r w:rsidRPr="00B975DD">
        <w:t xml:space="preserve">, es importante señalar que </w:t>
      </w:r>
      <w:r w:rsidRPr="00B975DD">
        <w:rPr>
          <w:b/>
          <w:iCs/>
        </w:rPr>
        <w:t>LA PARTE RECURRENTE</w:t>
      </w:r>
      <w:r w:rsidRPr="00B975DD">
        <w:rPr>
          <w:bCs/>
          <w:iCs/>
        </w:rPr>
        <w:t xml:space="preserve"> </w:t>
      </w:r>
      <w:r w:rsidRPr="00B975DD">
        <w:t xml:space="preserve">no realizó manifestaciones, </w:t>
      </w:r>
      <w:r w:rsidRPr="00B975DD">
        <w:lastRenderedPageBreak/>
        <w:t xml:space="preserve">alegatos o pruebas y por su parte </w:t>
      </w:r>
      <w:r w:rsidRPr="00B975DD">
        <w:rPr>
          <w:b/>
        </w:rPr>
        <w:t>EL SUJETO OBLIGADO</w:t>
      </w:r>
      <w:r w:rsidR="00BD7208" w:rsidRPr="00B975DD">
        <w:rPr>
          <w:rFonts w:cs="Arial"/>
          <w:b/>
        </w:rPr>
        <w:t xml:space="preserve"> </w:t>
      </w:r>
      <w:r w:rsidR="00BD7208" w:rsidRPr="00B975DD">
        <w:rPr>
          <w:rFonts w:cs="Arial"/>
        </w:rPr>
        <w:t xml:space="preserve">omitió rendir su </w:t>
      </w:r>
      <w:r w:rsidR="00BD7208" w:rsidRPr="00B975DD">
        <w:t xml:space="preserve">Informe Justificado, en el término establecido en el numeral 185, fracción II de la Ley de Transparencia y Acceso a la Información Pública del Estado de México y Municipios. </w:t>
      </w:r>
    </w:p>
    <w:p w14:paraId="6AD50C91" w14:textId="77777777" w:rsidR="00F0405C" w:rsidRPr="00B975DD" w:rsidRDefault="00F0405C" w:rsidP="00B975DD">
      <w:pPr>
        <w:pStyle w:val="Prrafodelista"/>
        <w:widowControl w:val="0"/>
        <w:autoSpaceDE w:val="0"/>
        <w:autoSpaceDN w:val="0"/>
        <w:adjustRightInd w:val="0"/>
        <w:ind w:left="0"/>
      </w:pPr>
    </w:p>
    <w:p w14:paraId="019748E5" w14:textId="080737E3" w:rsidR="006A3EA5" w:rsidRPr="00B975DD" w:rsidRDefault="006A3EA5" w:rsidP="00B975DD">
      <w:pPr>
        <w:rPr>
          <w:rFonts w:eastAsia="Palatino Linotype" w:cs="Palatino Linotype"/>
          <w:szCs w:val="22"/>
        </w:rPr>
      </w:pPr>
      <w:r w:rsidRPr="00B975DD">
        <w:rPr>
          <w:rFonts w:eastAsia="Palatino Linotype" w:cs="Palatino Linotype"/>
          <w:szCs w:val="22"/>
        </w:rPr>
        <w:t>Bajo las premisas anteriores, se concluye que la controversia a dilucidar en el presente medio de impugnación será verificar si la información proporcionada en respuesta por</w:t>
      </w:r>
      <w:r w:rsidRPr="00B975DD">
        <w:rPr>
          <w:rFonts w:eastAsia="Palatino Linotype" w:cs="Palatino Linotype"/>
          <w:b/>
          <w:szCs w:val="22"/>
        </w:rPr>
        <w:t xml:space="preserve"> EL SUJETO OBLIGADO </w:t>
      </w:r>
      <w:r w:rsidRPr="00B975DD">
        <w:rPr>
          <w:rFonts w:eastAsia="Palatino Linotype" w:cs="Palatino Linotype"/>
          <w:szCs w:val="22"/>
        </w:rPr>
        <w:t xml:space="preserve">es adecuada y suficiente para </w:t>
      </w:r>
      <w:r w:rsidR="00F0405C" w:rsidRPr="00B975DD">
        <w:rPr>
          <w:rFonts w:eastAsia="Palatino Linotype" w:cs="Palatino Linotype"/>
          <w:szCs w:val="22"/>
        </w:rPr>
        <w:t xml:space="preserve">tener por atendido </w:t>
      </w:r>
      <w:r w:rsidRPr="00B975DD">
        <w:rPr>
          <w:rFonts w:eastAsia="Palatino Linotype" w:cs="Palatino Linotype"/>
          <w:szCs w:val="22"/>
        </w:rPr>
        <w:t xml:space="preserve">el derecho de acceso a la información pública de </w:t>
      </w:r>
      <w:r w:rsidRPr="00B975DD">
        <w:rPr>
          <w:rFonts w:eastAsia="Palatino Linotype" w:cs="Palatino Linotype"/>
          <w:b/>
          <w:szCs w:val="22"/>
        </w:rPr>
        <w:t>LA PARTE RECURRENTE.</w:t>
      </w:r>
    </w:p>
    <w:p w14:paraId="69D73A18" w14:textId="77777777" w:rsidR="006A3EA5" w:rsidRPr="00B975DD" w:rsidRDefault="006A3EA5" w:rsidP="00B975DD"/>
    <w:p w14:paraId="1579C5C9" w14:textId="77777777" w:rsidR="00062C7C" w:rsidRPr="00B975DD" w:rsidRDefault="00062C7C" w:rsidP="00B975DD">
      <w:pPr>
        <w:pStyle w:val="Ttulo3"/>
      </w:pPr>
      <w:bookmarkStart w:id="37" w:name="_Toc172153599"/>
      <w:bookmarkStart w:id="38" w:name="_Toc193960308"/>
      <w:r w:rsidRPr="00B975DD">
        <w:t>c) Estudio de la controversia</w:t>
      </w:r>
      <w:bookmarkEnd w:id="37"/>
      <w:bookmarkEnd w:id="38"/>
    </w:p>
    <w:p w14:paraId="19388756" w14:textId="32AE7801" w:rsidR="003D6EDC" w:rsidRPr="00B975DD" w:rsidRDefault="003D6EDC" w:rsidP="00B975DD">
      <w:r w:rsidRPr="00B975DD">
        <w:t>Primero, resulta conveniente citar los artículos 31, fracción XVIII y 95, fracciones I y IV de la Ley Orgánica Municipal del Estado de México, que establecen:</w:t>
      </w:r>
    </w:p>
    <w:p w14:paraId="28ACB8CC" w14:textId="77777777" w:rsidR="003D6EDC" w:rsidRPr="00B975DD" w:rsidRDefault="003D6EDC" w:rsidP="00B975DD">
      <w:pPr>
        <w:ind w:left="851" w:right="901"/>
        <w:rPr>
          <w:rFonts w:cs="Arial"/>
          <w:i/>
          <w:szCs w:val="22"/>
        </w:rPr>
      </w:pPr>
    </w:p>
    <w:p w14:paraId="053A39B0" w14:textId="77777777" w:rsidR="003D6EDC" w:rsidRPr="00B975DD" w:rsidRDefault="003D6EDC" w:rsidP="00B975DD">
      <w:pPr>
        <w:pStyle w:val="Puesto"/>
      </w:pPr>
      <w:r w:rsidRPr="00B975DD">
        <w:t>“</w:t>
      </w:r>
      <w:r w:rsidRPr="00B975DD">
        <w:rPr>
          <w:b/>
        </w:rPr>
        <w:t>Artículo 31.-</w:t>
      </w:r>
      <w:r w:rsidRPr="00B975DD">
        <w:t xml:space="preserve"> Son atribuciones de los ayuntamientos:</w:t>
      </w:r>
    </w:p>
    <w:p w14:paraId="25C3C4AB" w14:textId="77777777" w:rsidR="003D6EDC" w:rsidRPr="00B975DD" w:rsidRDefault="003D6EDC" w:rsidP="00B975DD">
      <w:pPr>
        <w:pStyle w:val="Puesto"/>
      </w:pPr>
      <w:r w:rsidRPr="00B975DD">
        <w:t>…</w:t>
      </w:r>
    </w:p>
    <w:p w14:paraId="625CA2A5" w14:textId="77777777" w:rsidR="003D6EDC" w:rsidRPr="00B975DD" w:rsidRDefault="003D6EDC" w:rsidP="00B975DD">
      <w:pPr>
        <w:pStyle w:val="Puesto"/>
      </w:pPr>
      <w:r w:rsidRPr="00B975DD">
        <w:rPr>
          <w:b/>
        </w:rPr>
        <w:t>XVIII.</w:t>
      </w:r>
      <w:r w:rsidRPr="00B975DD">
        <w:t xml:space="preserve"> </w:t>
      </w:r>
      <w:r w:rsidRPr="00B975DD">
        <w:rPr>
          <w:b/>
        </w:rPr>
        <w:t>Administrar su hacienda</w:t>
      </w:r>
      <w:r w:rsidRPr="00B975DD">
        <w:t xml:space="preserve"> en términos de ley, y controlar a través del presidente y síndico la aplicación del presupuesto de egresos del municipio;</w:t>
      </w:r>
    </w:p>
    <w:p w14:paraId="16D87B92" w14:textId="77777777" w:rsidR="003D6EDC" w:rsidRPr="00B975DD" w:rsidRDefault="003D6EDC" w:rsidP="00B975DD">
      <w:pPr>
        <w:pStyle w:val="Puesto"/>
      </w:pPr>
      <w:r w:rsidRPr="00B975DD">
        <w:t>…</w:t>
      </w:r>
    </w:p>
    <w:p w14:paraId="0A094B89" w14:textId="77777777" w:rsidR="003D6EDC" w:rsidRPr="00B975DD" w:rsidRDefault="003D6EDC" w:rsidP="00B975DD">
      <w:pPr>
        <w:pStyle w:val="Puesto"/>
      </w:pPr>
      <w:r w:rsidRPr="00B975DD">
        <w:rPr>
          <w:b/>
        </w:rPr>
        <w:t>Artículo 95.-</w:t>
      </w:r>
      <w:r w:rsidRPr="00B975DD">
        <w:t xml:space="preserve"> Son atribuciones del </w:t>
      </w:r>
      <w:r w:rsidRPr="00B975DD">
        <w:rPr>
          <w:b/>
        </w:rPr>
        <w:t>tesorero municipal:</w:t>
      </w:r>
    </w:p>
    <w:p w14:paraId="21A382CA" w14:textId="77777777" w:rsidR="003D6EDC" w:rsidRPr="00B975DD" w:rsidRDefault="003D6EDC" w:rsidP="00B975DD">
      <w:pPr>
        <w:pStyle w:val="Puesto"/>
      </w:pPr>
      <w:r w:rsidRPr="00B975DD">
        <w:rPr>
          <w:b/>
        </w:rPr>
        <w:t>I.</w:t>
      </w:r>
      <w:r w:rsidRPr="00B975DD">
        <w:t xml:space="preserve"> </w:t>
      </w:r>
      <w:r w:rsidRPr="00B975DD">
        <w:rPr>
          <w:b/>
        </w:rPr>
        <w:t>Administrar la hacienda pública municipal</w:t>
      </w:r>
      <w:r w:rsidRPr="00B975DD">
        <w:t>, de conformidad con las disposiciones legales aplicables;</w:t>
      </w:r>
    </w:p>
    <w:p w14:paraId="18DD45D1" w14:textId="77777777" w:rsidR="003D6EDC" w:rsidRPr="00B975DD" w:rsidRDefault="003D6EDC" w:rsidP="00B975DD">
      <w:pPr>
        <w:pStyle w:val="Puesto"/>
      </w:pPr>
      <w:r w:rsidRPr="00B975DD">
        <w:t>…</w:t>
      </w:r>
    </w:p>
    <w:p w14:paraId="7BCC32DF" w14:textId="77777777" w:rsidR="003D6EDC" w:rsidRPr="00B975DD" w:rsidRDefault="003D6EDC" w:rsidP="00B975DD">
      <w:pPr>
        <w:pStyle w:val="Puesto"/>
      </w:pPr>
      <w:r w:rsidRPr="00B975DD">
        <w:rPr>
          <w:b/>
        </w:rPr>
        <w:t>IV.</w:t>
      </w:r>
      <w:r w:rsidRPr="00B975DD">
        <w:t xml:space="preserve"> </w:t>
      </w:r>
      <w:r w:rsidRPr="00B975DD">
        <w:rPr>
          <w:b/>
        </w:rPr>
        <w:t>Llevar los registros contables, financieros y administrativos</w:t>
      </w:r>
      <w:r w:rsidRPr="00B975DD">
        <w:t xml:space="preserve"> de los ingresos, </w:t>
      </w:r>
      <w:r w:rsidRPr="00B975DD">
        <w:rPr>
          <w:b/>
        </w:rPr>
        <w:t>egresos</w:t>
      </w:r>
      <w:r w:rsidRPr="00B975DD">
        <w:t>, e inventarios;”</w:t>
      </w:r>
    </w:p>
    <w:p w14:paraId="63C88DF2" w14:textId="77777777" w:rsidR="003D6EDC" w:rsidRPr="00B975DD" w:rsidRDefault="003D6EDC" w:rsidP="00B975DD">
      <w:pPr>
        <w:pStyle w:val="Puesto"/>
      </w:pPr>
      <w:r w:rsidRPr="00B975DD">
        <w:t>(Énfasis añadido)</w:t>
      </w:r>
    </w:p>
    <w:p w14:paraId="1FFA5D59" w14:textId="77777777" w:rsidR="003D6EDC" w:rsidRPr="00B975DD" w:rsidRDefault="003D6EDC" w:rsidP="00B975DD">
      <w:pPr>
        <w:ind w:left="851" w:right="901"/>
        <w:rPr>
          <w:rFonts w:cs="Arial"/>
          <w:i/>
        </w:rPr>
      </w:pPr>
    </w:p>
    <w:p w14:paraId="62DBF067" w14:textId="77777777" w:rsidR="003D6EDC" w:rsidRPr="00B975DD" w:rsidRDefault="003D6EDC" w:rsidP="00B975DD">
      <w:r w:rsidRPr="00B975DD">
        <w:t>De lo anterior, 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14:paraId="2AA28DCA" w14:textId="77777777" w:rsidR="003D6EDC" w:rsidRPr="00B975DD" w:rsidRDefault="003D6EDC" w:rsidP="00B975DD">
      <w:pPr>
        <w:rPr>
          <w:rFonts w:cs="Arial"/>
        </w:rPr>
      </w:pPr>
    </w:p>
    <w:p w14:paraId="39264737" w14:textId="136BC1B3" w:rsidR="003D6EDC" w:rsidRPr="00B975DD" w:rsidRDefault="00C00083" w:rsidP="00B975DD">
      <w:r w:rsidRPr="00B975DD">
        <w:t>Por su parte</w:t>
      </w:r>
      <w:r w:rsidR="003D6EDC" w:rsidRPr="00B975DD">
        <w:t>,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0C86D1BD" w14:textId="77777777" w:rsidR="003D6EDC" w:rsidRPr="00B975DD" w:rsidRDefault="003D6EDC" w:rsidP="00B975DD">
      <w:pPr>
        <w:rPr>
          <w:rFonts w:cs="Arial"/>
        </w:rPr>
      </w:pPr>
    </w:p>
    <w:p w14:paraId="2B290173" w14:textId="77777777" w:rsidR="003D6EDC" w:rsidRPr="00B975DD" w:rsidRDefault="003D6EDC" w:rsidP="00B975DD">
      <w:pPr>
        <w:pStyle w:val="Puesto"/>
        <w:rPr>
          <w:rFonts w:eastAsia="Arial Unicode MS"/>
        </w:rPr>
      </w:pPr>
      <w:r w:rsidRPr="00B975DD">
        <w:rPr>
          <w:rFonts w:eastAsia="Arial Unicode MS"/>
        </w:rPr>
        <w:t>“</w:t>
      </w:r>
      <w:r w:rsidRPr="00B975DD">
        <w:rPr>
          <w:rFonts w:eastAsia="Arial Unicode MS"/>
          <w:b/>
        </w:rPr>
        <w:t>Artículo 342.-</w:t>
      </w:r>
      <w:r w:rsidRPr="00B975DD">
        <w:rPr>
          <w:rFonts w:eastAsia="Arial Unicode MS"/>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27F2BA36" w14:textId="77777777" w:rsidR="00C00083" w:rsidRPr="00B975DD" w:rsidRDefault="00C00083" w:rsidP="00B975DD">
      <w:pPr>
        <w:rPr>
          <w:rFonts w:eastAsia="Arial Unicode MS"/>
        </w:rPr>
      </w:pPr>
    </w:p>
    <w:p w14:paraId="5F295EAF" w14:textId="77777777" w:rsidR="003D6EDC" w:rsidRPr="00B975DD" w:rsidRDefault="003D6EDC" w:rsidP="00B975DD">
      <w:pPr>
        <w:pStyle w:val="Puesto"/>
        <w:rPr>
          <w:rFonts w:eastAsia="Arial Unicode MS"/>
          <w:b/>
        </w:rPr>
      </w:pPr>
      <w:r w:rsidRPr="00B975DD">
        <w:rPr>
          <w:rFonts w:eastAsia="Arial Unicode MS"/>
          <w:b/>
        </w:rPr>
        <w:t xml:space="preserve">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 </w:t>
      </w:r>
    </w:p>
    <w:p w14:paraId="51224B78" w14:textId="77777777" w:rsidR="003D6EDC" w:rsidRPr="00B975DD" w:rsidRDefault="003D6EDC" w:rsidP="00B975DD">
      <w:pPr>
        <w:ind w:left="851" w:right="901"/>
        <w:rPr>
          <w:rFonts w:eastAsia="Arial Unicode MS" w:cs="Arial"/>
          <w:b/>
          <w:i/>
        </w:rPr>
      </w:pPr>
    </w:p>
    <w:p w14:paraId="2BB62A04" w14:textId="77777777" w:rsidR="003D6EDC" w:rsidRPr="00B975DD" w:rsidRDefault="003D6EDC" w:rsidP="00B975DD">
      <w:pPr>
        <w:pStyle w:val="Puesto"/>
      </w:pPr>
      <w:r w:rsidRPr="00B975DD">
        <w:rPr>
          <w:b/>
        </w:rPr>
        <w:t>Artículo 343.-</w:t>
      </w:r>
      <w:r w:rsidRPr="00B975DD">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067692C1" w14:textId="77777777" w:rsidR="003D6EDC" w:rsidRPr="00B975DD" w:rsidRDefault="003D6EDC" w:rsidP="00B975DD">
      <w:pPr>
        <w:pStyle w:val="Puesto"/>
        <w:rPr>
          <w:rFonts w:eastAsia="Arial Unicode MS" w:cs="Arial"/>
          <w:b/>
        </w:rPr>
      </w:pPr>
      <w:r w:rsidRPr="00B975DD">
        <w:t>El sistema de contabilidad sobre base acumulativa total, se sustentará en las normas emitidas por el Consejo Nacional de Armonización Contable.</w:t>
      </w:r>
    </w:p>
    <w:p w14:paraId="0DE8AB8A" w14:textId="77777777" w:rsidR="003D6EDC" w:rsidRPr="00B975DD" w:rsidRDefault="003D6EDC" w:rsidP="00B975DD">
      <w:pPr>
        <w:pStyle w:val="Puesto"/>
        <w:rPr>
          <w:b/>
        </w:rPr>
      </w:pPr>
    </w:p>
    <w:p w14:paraId="3209942A" w14:textId="77777777" w:rsidR="003D6EDC" w:rsidRPr="00B975DD" w:rsidRDefault="003D6EDC" w:rsidP="00B975DD">
      <w:pPr>
        <w:pStyle w:val="Puesto"/>
      </w:pPr>
      <w:r w:rsidRPr="00B975DD">
        <w:rPr>
          <w:b/>
        </w:rPr>
        <w:t>Artículo 344.-</w:t>
      </w:r>
      <w:r w:rsidRPr="00B975DD">
        <w:t xml:space="preserve"> Los Entes Públicos, a través de cualquiera de sus unidades administrativas, de acuerdo con su naturaleza jurídica y según corresponda, registrarán contablemente el efecto patrimonial y presupuestal de las operaciones financieras que realicen, en el momento en que ocurran, con base en el sistema y políticas de registro establecidas, en el caso de los Municipios, se hará por la Tesorería. Todo registro contable y presupuestal deberá estar soportado con los documentos de registro, justificativos y comprobatorios originales, en copias certificadas o en medios electrónicos, según corresponda, los que deberán permanecer en custodia y conservación de los Entes Públicos ejecutores del gasto, a través de las unidades administrativas correspondientes de conformidad con las disposiciones aplicables y a disposición de los Órganos de Fiscalización locales y federales, </w:t>
      </w:r>
      <w:r w:rsidRPr="00B975DD">
        <w:lastRenderedPageBreak/>
        <w:t xml:space="preserve">de acuerdo a su naturaleza, así como de los órganos internos de control; por un término de 6 años, contados a partir del ejercicio presupuestal siguiente al que corresponda. </w:t>
      </w:r>
    </w:p>
    <w:p w14:paraId="3485F097" w14:textId="77777777" w:rsidR="003D6EDC" w:rsidRPr="00B975DD" w:rsidRDefault="003D6EDC" w:rsidP="00B975DD">
      <w:pPr>
        <w:pStyle w:val="Puesto"/>
        <w:rPr>
          <w:rFonts w:eastAsia="Arial Unicode MS" w:cs="Arial"/>
        </w:rPr>
      </w:pPr>
      <w:r w:rsidRPr="00B975DD">
        <w:t>En el caso de los Municipios, dicha obligación corresponderá a la Tesorería.</w:t>
      </w:r>
      <w:r w:rsidRPr="00B975DD">
        <w:rPr>
          <w:rFonts w:eastAsia="Arial Unicode MS" w:cs="Arial"/>
        </w:rPr>
        <w:t xml:space="preserve">Tratándose de documentos de carácter histórico, se estará a lo dispuesto por la legislación de la materia. </w:t>
      </w:r>
    </w:p>
    <w:p w14:paraId="116BA8D3" w14:textId="77777777" w:rsidR="003D6EDC" w:rsidRPr="00B975DD" w:rsidRDefault="003D6EDC" w:rsidP="00B975DD">
      <w:pPr>
        <w:ind w:left="851" w:right="901"/>
        <w:rPr>
          <w:rFonts w:eastAsia="Arial Unicode MS" w:cs="Arial"/>
          <w:b/>
          <w:i/>
        </w:rPr>
      </w:pPr>
    </w:p>
    <w:p w14:paraId="6A386391" w14:textId="77777777" w:rsidR="003D6EDC" w:rsidRPr="00B975DD" w:rsidRDefault="003D6EDC" w:rsidP="00B975DD">
      <w:pPr>
        <w:pStyle w:val="Puesto"/>
      </w:pPr>
      <w:r w:rsidRPr="00B975DD">
        <w:rPr>
          <w:b/>
        </w:rPr>
        <w:t>Artículo 345.-</w:t>
      </w:r>
      <w:r w:rsidRPr="00B975DD">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registro contable. </w:t>
      </w:r>
    </w:p>
    <w:p w14:paraId="25DE61DA" w14:textId="77777777" w:rsidR="00C00083" w:rsidRPr="00B975DD" w:rsidRDefault="00C00083" w:rsidP="00B975DD"/>
    <w:p w14:paraId="1050A55E" w14:textId="77777777" w:rsidR="003D6EDC" w:rsidRPr="00B975DD" w:rsidRDefault="003D6EDC" w:rsidP="00B975DD">
      <w:pPr>
        <w:pStyle w:val="Puesto"/>
        <w:rPr>
          <w:rFonts w:eastAsia="Arial Unicode MS"/>
        </w:rPr>
      </w:pPr>
      <w:r w:rsidRPr="00B975DD">
        <w:t>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 El plazo señalado en este artículo empezará a contar a partir de la publicación en el Periódico Oficial, del decreto correspondiente.</w:t>
      </w:r>
      <w:r w:rsidRPr="00B975DD">
        <w:rPr>
          <w:rFonts w:eastAsia="Arial Unicode MS"/>
        </w:rPr>
        <w:t xml:space="preserve"> (Énfasis añadido)</w:t>
      </w:r>
    </w:p>
    <w:p w14:paraId="00E4CC03" w14:textId="77777777" w:rsidR="003D6EDC" w:rsidRPr="00B975DD" w:rsidRDefault="003D6EDC" w:rsidP="00B975DD">
      <w:pPr>
        <w:ind w:left="709"/>
        <w:rPr>
          <w:rFonts w:eastAsia="Arial Unicode MS" w:cs="Arial"/>
          <w:i/>
        </w:rPr>
      </w:pPr>
    </w:p>
    <w:p w14:paraId="64733FCB" w14:textId="77777777" w:rsidR="003D6EDC" w:rsidRPr="00B975DD" w:rsidRDefault="003D6EDC" w:rsidP="00B975DD">
      <w:pPr>
        <w:rPr>
          <w:rFonts w:cs="Arial"/>
        </w:rPr>
      </w:pPr>
      <w:r w:rsidRPr="00B975DD">
        <w:rPr>
          <w:rFonts w:cs="Arial"/>
        </w:rPr>
        <w:t>De una interpretación sistemática de los artículos transcritos se desprende, que el registro contable del efecto patrimonial y presupuestal de las operaciones financieras que realice el Municipio se hace conforme al sistema y a las disposiciones que se aprueben en materia de planeación, programación, presupuestación, evaluación y contabilidad gubernamental.</w:t>
      </w:r>
    </w:p>
    <w:p w14:paraId="34632B23" w14:textId="77777777" w:rsidR="003D6EDC" w:rsidRPr="00B975DD" w:rsidRDefault="003D6EDC" w:rsidP="00B975DD">
      <w:pPr>
        <w:rPr>
          <w:rFonts w:cs="Arial"/>
        </w:rPr>
      </w:pPr>
    </w:p>
    <w:p w14:paraId="5B7A9B3B" w14:textId="77777777" w:rsidR="003D6EDC" w:rsidRPr="00B975DD" w:rsidRDefault="003D6EDC" w:rsidP="00B975DD">
      <w:pPr>
        <w:rPr>
          <w:rFonts w:cs="Arial"/>
        </w:rPr>
      </w:pPr>
      <w:r w:rsidRPr="00B975DD">
        <w:rPr>
          <w:rFonts w:cs="Arial"/>
        </w:rPr>
        <w:t>Asimismo, se establece que el sistema de contabilidad sobre base acumulativa total se sustentará en las normas emitidas por el Consejo Nacional de Armonización Contable.</w:t>
      </w:r>
    </w:p>
    <w:p w14:paraId="09A20526" w14:textId="77777777" w:rsidR="003D6EDC" w:rsidRPr="00B975DD" w:rsidRDefault="003D6EDC" w:rsidP="00B975DD">
      <w:pPr>
        <w:rPr>
          <w:rFonts w:cs="Arial"/>
        </w:rPr>
      </w:pPr>
    </w:p>
    <w:p w14:paraId="27AC26B2" w14:textId="77777777" w:rsidR="003D6EDC" w:rsidRPr="00B975DD" w:rsidRDefault="003D6EDC" w:rsidP="00B975DD">
      <w:pPr>
        <w:rPr>
          <w:rFonts w:cs="Arial"/>
          <w:b/>
        </w:rPr>
      </w:pPr>
      <w:r w:rsidRPr="00B975DD">
        <w:rPr>
          <w:rFonts w:cs="Arial"/>
        </w:rPr>
        <w:t xml:space="preserve">Igualmente, los preceptos legales citados señalan que en el caso de los Municipios es la </w:t>
      </w:r>
      <w:r w:rsidRPr="00B975DD">
        <w:rPr>
          <w:rFonts w:cs="Arial"/>
          <w:b/>
        </w:rPr>
        <w:t>Tesorería Municipal</w:t>
      </w:r>
      <w:r w:rsidRPr="00B975DD">
        <w:rPr>
          <w:rFonts w:cs="Arial"/>
        </w:rPr>
        <w:t xml:space="preserve"> la unidad administrativa que registra contablemente el efecto </w:t>
      </w:r>
      <w:r w:rsidRPr="00B975DD">
        <w:rPr>
          <w:rFonts w:cs="Arial"/>
        </w:rPr>
        <w:lastRenderedPageBreak/>
        <w:t xml:space="preserve">patrimonial y presupuestal de las operaciones financieras que realizan, en </w:t>
      </w:r>
      <w:r w:rsidRPr="00B975DD">
        <w:rPr>
          <w:rFonts w:cs="Arial"/>
          <w:b/>
        </w:rPr>
        <w:t>el momento en que ocurran, con base en el sistema y políticas de registro establecidas</w:t>
      </w:r>
      <w:r w:rsidRPr="00B975DD">
        <w:rPr>
          <w:rFonts w:cs="Arial"/>
        </w:rPr>
        <w:t>.</w:t>
      </w:r>
    </w:p>
    <w:p w14:paraId="125554BB" w14:textId="77777777" w:rsidR="003D6EDC" w:rsidRPr="00B975DD" w:rsidRDefault="003D6EDC" w:rsidP="00B975DD">
      <w:pPr>
        <w:rPr>
          <w:rFonts w:cs="Arial"/>
        </w:rPr>
      </w:pPr>
    </w:p>
    <w:p w14:paraId="6EA04A25" w14:textId="77777777" w:rsidR="003D6EDC" w:rsidRPr="00B975DD" w:rsidRDefault="003D6EDC" w:rsidP="00B975DD">
      <w:pPr>
        <w:rPr>
          <w:rFonts w:cs="Arial"/>
        </w:rPr>
      </w:pPr>
      <w:r w:rsidRPr="00B975DD">
        <w:rPr>
          <w:rFonts w:cs="Arial"/>
        </w:rPr>
        <w:t xml:space="preserve">Cabe destacar, que el ordenamiento legal en cita establece que todo registro contable y presupuestal deberá estar soportado con los </w:t>
      </w:r>
      <w:r w:rsidRPr="00B975DD">
        <w:rPr>
          <w:rFonts w:cs="Arial"/>
          <w:b/>
        </w:rPr>
        <w:t>documentos comprobatorios originales, copias certificadas o en medios electrónicos, según corresponda, como lo son las facturas o comprobantes fiscales digitales por internet, los que deberán permanecer en custodia y conservación de la Tesorería Municipal</w:t>
      </w:r>
      <w:r w:rsidRPr="00B975DD">
        <w:rPr>
          <w:rFonts w:cs="Arial"/>
        </w:rPr>
        <w:t xml:space="preserve">, en el caso de los municipios, y a disposición del Órgano Superior de Fiscalización del Estado de México y de los Órganos de Control Interno, por un término de </w:t>
      </w:r>
      <w:r w:rsidRPr="00B975DD">
        <w:rPr>
          <w:rFonts w:cs="Arial"/>
          <w:b/>
        </w:rPr>
        <w:t>seis años</w:t>
      </w:r>
      <w:r w:rsidRPr="00B975DD">
        <w:rPr>
          <w:rFonts w:cs="Arial"/>
        </w:rPr>
        <w:t xml:space="preserve"> contados a partir del ejercicio presupuestal siguiente al que corresponda.</w:t>
      </w:r>
    </w:p>
    <w:p w14:paraId="11A244DD" w14:textId="3864042D" w:rsidR="003D6EDC" w:rsidRPr="00B975DD" w:rsidRDefault="003D6EDC" w:rsidP="00B975DD"/>
    <w:p w14:paraId="4A37A6E3" w14:textId="77777777" w:rsidR="001A0080" w:rsidRPr="00B975DD" w:rsidRDefault="001A0080" w:rsidP="00B975DD">
      <w:pPr>
        <w:rPr>
          <w:rFonts w:cs="Arial"/>
          <w:lang w:eastAsia="es-MX"/>
        </w:rPr>
      </w:pPr>
      <w:r w:rsidRPr="00B975DD">
        <w:rPr>
          <w:rFonts w:cs="Arial"/>
          <w:lang w:eastAsia="es-MX"/>
        </w:rPr>
        <w:t xml:space="preserve">Respecto al tema materia de la solicitud, es de señalar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540A348C" w14:textId="77777777" w:rsidR="001A0080" w:rsidRPr="00B975DD" w:rsidRDefault="001A0080" w:rsidP="00B975DD">
      <w:pPr>
        <w:rPr>
          <w:rFonts w:cs="Arial"/>
          <w:lang w:eastAsia="es-MX"/>
        </w:rPr>
      </w:pPr>
    </w:p>
    <w:p w14:paraId="268EAFC9" w14:textId="77777777" w:rsidR="001A0080" w:rsidRPr="00B975DD" w:rsidRDefault="001A0080" w:rsidP="00B975DD">
      <w:pPr>
        <w:pStyle w:val="Puesto"/>
        <w:rPr>
          <w:rFonts w:eastAsia="Arial Unicode MS"/>
        </w:rPr>
      </w:pPr>
      <w:r w:rsidRPr="00B975DD">
        <w:rPr>
          <w:rFonts w:eastAsia="Arial Unicode MS"/>
        </w:rPr>
        <w:t>“</w:t>
      </w:r>
      <w:r w:rsidRPr="00B975DD">
        <w:rPr>
          <w:rFonts w:eastAsia="Arial Unicode MS"/>
          <w:b/>
        </w:rPr>
        <w:t>REGISTRO CONTABLE</w:t>
      </w:r>
      <w:r w:rsidRPr="00B975DD">
        <w:rPr>
          <w:rFonts w:eastAsia="Arial Unicode MS"/>
        </w:rPr>
        <w:t xml:space="preserve"> </w:t>
      </w:r>
    </w:p>
    <w:p w14:paraId="4AFA6C17" w14:textId="77777777" w:rsidR="001A0080" w:rsidRPr="00B975DD" w:rsidRDefault="001A0080" w:rsidP="00B975DD">
      <w:pPr>
        <w:pStyle w:val="Puesto"/>
        <w:rPr>
          <w:rFonts w:eastAsia="Arial Unicode MS"/>
        </w:rPr>
      </w:pPr>
      <w:r w:rsidRPr="00B975DD">
        <w:rPr>
          <w:rFonts w:eastAsia="Arial Unicode MS"/>
        </w:rPr>
        <w:t>Asiento que se realiza en los libros de contabilidad de las actividades relacionadas con el ingreso y egresos de un ente económico.”</w:t>
      </w:r>
    </w:p>
    <w:p w14:paraId="04117F6F" w14:textId="77777777" w:rsidR="001A0080" w:rsidRPr="00B975DD" w:rsidRDefault="001A0080" w:rsidP="00B975DD">
      <w:pPr>
        <w:pStyle w:val="Puesto"/>
        <w:rPr>
          <w:rFonts w:eastAsia="Arial Unicode MS"/>
        </w:rPr>
      </w:pPr>
      <w:r w:rsidRPr="00B975DD">
        <w:rPr>
          <w:rFonts w:eastAsia="Arial Unicode MS"/>
        </w:rPr>
        <w:lastRenderedPageBreak/>
        <w:t>“</w:t>
      </w:r>
      <w:r w:rsidRPr="00B975DD">
        <w:rPr>
          <w:rFonts w:eastAsia="Arial Unicode MS"/>
          <w:b/>
        </w:rPr>
        <w:t>REGISTRO PRESUPUESTARIO</w:t>
      </w:r>
    </w:p>
    <w:p w14:paraId="2E5266F8" w14:textId="77777777" w:rsidR="001A0080" w:rsidRPr="00B975DD" w:rsidRDefault="001A0080" w:rsidP="00B975DD">
      <w:pPr>
        <w:pStyle w:val="Puesto"/>
        <w:rPr>
          <w:rFonts w:eastAsia="Arial Unicode MS"/>
        </w:rPr>
      </w:pPr>
      <w:r w:rsidRPr="00B975DD">
        <w:rPr>
          <w:rFonts w:eastAsia="Arial Unicode MS"/>
        </w:rPr>
        <w:t>Asiento contable de las erogaciones realizadas por las dependencias y entidades con relación a la asignación, modificación y ejercicio de los recursos presupuestarios que se les hayan autorizado.”</w:t>
      </w:r>
    </w:p>
    <w:p w14:paraId="2A4500ED" w14:textId="77777777" w:rsidR="001A0080" w:rsidRPr="00B975DD" w:rsidRDefault="001A0080" w:rsidP="00B975DD">
      <w:pPr>
        <w:ind w:left="851" w:right="901"/>
        <w:rPr>
          <w:rFonts w:eastAsia="Arial Unicode MS" w:cs="Arial"/>
          <w:i/>
        </w:rPr>
      </w:pPr>
    </w:p>
    <w:p w14:paraId="34414CDB" w14:textId="77777777" w:rsidR="001A0080" w:rsidRPr="00B975DD" w:rsidRDefault="001A0080" w:rsidP="00B975DD">
      <w:pPr>
        <w:rPr>
          <w:rFonts w:cs="Arial"/>
          <w:lang w:eastAsia="es-MX"/>
        </w:rPr>
      </w:pPr>
      <w:r w:rsidRPr="00B975DD">
        <w:rPr>
          <w:rFonts w:cs="Arial"/>
          <w:lang w:eastAsia="es-MX"/>
        </w:rPr>
        <w:t>Por lo que respecta al término “póliza contable”, éste tampoco está definido en el Código Financiero del Estado de México y Municipios;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 la siguiente definición del término “póliza contable”:</w:t>
      </w:r>
    </w:p>
    <w:p w14:paraId="482E2F58" w14:textId="77777777" w:rsidR="001A0080" w:rsidRPr="00B975DD" w:rsidRDefault="001A0080" w:rsidP="00B975DD">
      <w:pPr>
        <w:rPr>
          <w:rFonts w:cs="Arial"/>
          <w:lang w:eastAsia="es-MX"/>
        </w:rPr>
      </w:pPr>
    </w:p>
    <w:p w14:paraId="2EDB2F3E" w14:textId="77777777" w:rsidR="001A0080" w:rsidRPr="00B975DD" w:rsidRDefault="001A0080" w:rsidP="00B975DD">
      <w:pPr>
        <w:pStyle w:val="Puesto"/>
        <w:rPr>
          <w:rFonts w:eastAsia="Arial Unicode MS"/>
          <w:b/>
        </w:rPr>
      </w:pPr>
      <w:r w:rsidRPr="00B975DD">
        <w:rPr>
          <w:rFonts w:eastAsia="Arial Unicode MS"/>
        </w:rPr>
        <w:t>“</w:t>
      </w:r>
      <w:r w:rsidRPr="00B975DD">
        <w:rPr>
          <w:rFonts w:eastAsia="Arial Unicode MS"/>
          <w:b/>
        </w:rPr>
        <w:t>PÓLIZA CONTABLE</w:t>
      </w:r>
    </w:p>
    <w:p w14:paraId="29B0230F" w14:textId="77777777" w:rsidR="001A0080" w:rsidRPr="00B975DD" w:rsidRDefault="001A0080" w:rsidP="00B975DD">
      <w:pPr>
        <w:pStyle w:val="Puesto"/>
        <w:rPr>
          <w:rFonts w:eastAsia="Arial Unicode MS"/>
        </w:rPr>
      </w:pPr>
      <w:r w:rsidRPr="00B975DD">
        <w:rPr>
          <w:rFonts w:eastAsia="Arial Unicode MS"/>
        </w:rPr>
        <w:t>Documento en el cual se asientan en forma individual todas y cada una de las operaciones desarrolladas por una institución, así como la información necesaria para la identificación necesaria para la identificación de dichas operaciones.”</w:t>
      </w:r>
    </w:p>
    <w:p w14:paraId="653DBF81" w14:textId="77777777" w:rsidR="001A0080" w:rsidRPr="00B975DD" w:rsidRDefault="001A0080" w:rsidP="00B975DD">
      <w:pPr>
        <w:ind w:left="851" w:right="901"/>
        <w:rPr>
          <w:rFonts w:eastAsia="Arial Unicode MS" w:cs="Arial"/>
          <w:i/>
        </w:rPr>
      </w:pPr>
    </w:p>
    <w:p w14:paraId="0CE89587" w14:textId="77777777" w:rsidR="001A0080" w:rsidRPr="00B975DD" w:rsidRDefault="001A0080" w:rsidP="00B975DD">
      <w:pPr>
        <w:rPr>
          <w:rFonts w:cs="Arial"/>
          <w:lang w:eastAsia="es-MX"/>
        </w:rPr>
      </w:pPr>
      <w:r w:rsidRPr="00B975DD">
        <w:rPr>
          <w:rFonts w:cs="Arial"/>
          <w:lang w:eastAsia="es-MX"/>
        </w:rPr>
        <w:t>De lo anterior, 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51BD1177" w14:textId="77777777" w:rsidR="001A0080" w:rsidRPr="00B975DD" w:rsidRDefault="001A0080" w:rsidP="00B975DD">
      <w:pPr>
        <w:rPr>
          <w:rFonts w:cs="Arial"/>
          <w:lang w:eastAsia="es-MX"/>
        </w:rPr>
      </w:pPr>
    </w:p>
    <w:p w14:paraId="0E1D9951" w14:textId="4833F8AA" w:rsidR="001A0080" w:rsidRPr="00B975DD" w:rsidRDefault="00C00083" w:rsidP="00B975DD">
      <w:pPr>
        <w:rPr>
          <w:rFonts w:cs="Segoe UI"/>
          <w:b/>
          <w:bCs/>
          <w:i/>
          <w:iCs/>
          <w:lang w:eastAsia="es-MX"/>
        </w:rPr>
      </w:pPr>
      <w:r w:rsidRPr="00B975DD">
        <w:t xml:space="preserve">Ahora bien, del análisis realizado a las documentales que integran la respuesta del </w:t>
      </w:r>
      <w:r w:rsidRPr="00B975DD">
        <w:rPr>
          <w:b/>
        </w:rPr>
        <w:t>SUJETO OBLIGADO</w:t>
      </w:r>
      <w:r w:rsidRPr="00B975DD">
        <w:t xml:space="preserve"> se advierte que el </w:t>
      </w:r>
      <w:r w:rsidR="001A0080" w:rsidRPr="00B975DD">
        <w:t xml:space="preserve">Titular de la Unidad de Transparencia no siguió a cabalidad el procedimiento de acceso a la información previsto en el artículo 162 de la Ley de Transparencia y Acceso a la Información Pública del Estado de México y Municipios, esto </w:t>
      </w:r>
      <w:r w:rsidR="001A0080" w:rsidRPr="00B975DD">
        <w:lastRenderedPageBreak/>
        <w:t>dado que omitió turnar a todas las Áreas competentes que pudiesen</w:t>
      </w:r>
      <w:r w:rsidR="001A0080" w:rsidRPr="00B975DD">
        <w:rPr>
          <w:rFonts w:cs="Arial"/>
          <w:lang w:val="es-ES"/>
        </w:rPr>
        <w:t xml:space="preserve"> contar con la información o deban tenerla de acuerdo a sus facultades, competencias y funciones, con el objeto de que realicen una búsqueda exhaustiva y razonable de la información solicitada, ya </w:t>
      </w:r>
      <w:r w:rsidR="001A0080" w:rsidRPr="00B975DD">
        <w:rPr>
          <w:rFonts w:cs="Arial"/>
        </w:rPr>
        <w:t xml:space="preserve">que </w:t>
      </w:r>
      <w:r w:rsidR="00D129E4" w:rsidRPr="00B975DD">
        <w:rPr>
          <w:rFonts w:cs="Arial"/>
        </w:rPr>
        <w:t xml:space="preserve">la solicitud fue turnada a la Dirección de Administración, no así al área competente para conocer de la información requerida en la presente solicitud como lo es </w:t>
      </w:r>
      <w:r w:rsidR="001A0080" w:rsidRPr="00B975DD">
        <w:rPr>
          <w:rFonts w:cs="Arial"/>
        </w:rPr>
        <w:t>el área de Tesorería Municipal</w:t>
      </w:r>
      <w:r w:rsidR="001A0080" w:rsidRPr="00B975DD">
        <w:rPr>
          <w:rFonts w:cs="Arial"/>
          <w:i/>
          <w:iCs/>
        </w:rPr>
        <w:t>.</w:t>
      </w:r>
    </w:p>
    <w:p w14:paraId="208F7F89" w14:textId="77777777" w:rsidR="001A0080" w:rsidRPr="00B975DD" w:rsidRDefault="001A0080" w:rsidP="00B975DD">
      <w:pPr>
        <w:rPr>
          <w:rFonts w:cs="Arial"/>
          <w:i/>
          <w:lang w:val="es-ES"/>
        </w:rPr>
      </w:pPr>
    </w:p>
    <w:p w14:paraId="3C1C6CB5" w14:textId="77777777" w:rsidR="001A0080" w:rsidRPr="00B975DD" w:rsidRDefault="001A0080" w:rsidP="00B975DD">
      <w:pPr>
        <w:rPr>
          <w:rFonts w:cs="Arial"/>
          <w:lang w:val="es-ES"/>
        </w:rPr>
      </w:pPr>
      <w:r w:rsidRPr="00B975DD">
        <w:rPr>
          <w:rFonts w:cs="Arial"/>
          <w:lang w:val="es-ES"/>
        </w:rPr>
        <w:t>A efecto de reforzar lo anterior, es necesario tomar en cuenta las siguientes disposiciones de la Ley de la materia.</w:t>
      </w:r>
    </w:p>
    <w:p w14:paraId="29832F9A" w14:textId="77777777" w:rsidR="001A0080" w:rsidRPr="00B975DD" w:rsidRDefault="001A0080" w:rsidP="00B975DD">
      <w:pPr>
        <w:ind w:left="851" w:right="901"/>
        <w:rPr>
          <w:i/>
          <w:szCs w:val="22"/>
          <w:lang w:val="es-ES"/>
        </w:rPr>
      </w:pPr>
    </w:p>
    <w:p w14:paraId="28C5E43D" w14:textId="77777777" w:rsidR="001A0080" w:rsidRPr="00B975DD" w:rsidRDefault="001A0080" w:rsidP="00B975DD">
      <w:pPr>
        <w:pStyle w:val="Puesto"/>
        <w:rPr>
          <w:lang w:val="es-ES"/>
        </w:rPr>
      </w:pPr>
      <w:r w:rsidRPr="00B975DD">
        <w:rPr>
          <w:lang w:val="es-ES"/>
        </w:rPr>
        <w:t>“</w:t>
      </w:r>
      <w:r w:rsidRPr="00B975DD">
        <w:rPr>
          <w:b/>
          <w:lang w:val="es-ES"/>
        </w:rPr>
        <w:t>Artículo 50.</w:t>
      </w:r>
      <w:r w:rsidRPr="00B975DD">
        <w:rPr>
          <w:lang w:val="es-ES"/>
        </w:rPr>
        <w:t xml:space="preserve"> Los sujetos obligados contarán con un área responsable para la atención de las solicitudes de </w:t>
      </w:r>
      <w:r w:rsidRPr="00B975DD">
        <w:rPr>
          <w:rFonts w:cs="Arial"/>
          <w:lang w:val="es-ES" w:eastAsia="es-MX"/>
        </w:rPr>
        <w:t>información</w:t>
      </w:r>
      <w:r w:rsidRPr="00B975DD">
        <w:rPr>
          <w:lang w:val="es-ES"/>
        </w:rPr>
        <w:t>, a la que se le denominará Unidad de Transparencia.</w:t>
      </w:r>
    </w:p>
    <w:p w14:paraId="4AD1C1F7" w14:textId="77777777" w:rsidR="001A0080" w:rsidRPr="00B975DD" w:rsidRDefault="001A0080" w:rsidP="00B975DD">
      <w:pPr>
        <w:pStyle w:val="Puesto"/>
        <w:rPr>
          <w:lang w:val="es-ES"/>
        </w:rPr>
      </w:pPr>
    </w:p>
    <w:p w14:paraId="6C0AF758" w14:textId="77777777" w:rsidR="001A0080" w:rsidRPr="00B975DD" w:rsidRDefault="001A0080" w:rsidP="00B975DD">
      <w:pPr>
        <w:pStyle w:val="Puesto"/>
        <w:rPr>
          <w:lang w:val="es-ES"/>
        </w:rPr>
      </w:pPr>
      <w:r w:rsidRPr="00B975DD">
        <w:rPr>
          <w:b/>
          <w:lang w:val="es-ES"/>
        </w:rPr>
        <w:t>Artículo 51</w:t>
      </w:r>
      <w:r w:rsidRPr="00B975DD">
        <w:rPr>
          <w:lang w:val="es-ES"/>
        </w:rPr>
        <w:t xml:space="preserve">. Los sujetos obligados designaran a un responsable para atender la Unidad de Transparencia, quien fungirá como enlace entre éstos y los solicitantes. Dicha Unidad será la encargada de tramitar </w:t>
      </w:r>
      <w:r w:rsidRPr="00B975DD">
        <w:rPr>
          <w:rFonts w:cs="Arial"/>
          <w:lang w:val="es-ES" w:eastAsia="es-MX"/>
        </w:rPr>
        <w:t>internamente</w:t>
      </w:r>
      <w:r w:rsidRPr="00B975DD">
        <w:rPr>
          <w:lang w:val="es-ES"/>
        </w:rPr>
        <w:t xml:space="preserv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BBFEA45" w14:textId="77777777" w:rsidR="001A0080" w:rsidRPr="00B975DD" w:rsidRDefault="001A0080" w:rsidP="00B975DD">
      <w:pPr>
        <w:pStyle w:val="Puesto"/>
        <w:rPr>
          <w:lang w:val="es-ES"/>
        </w:rPr>
      </w:pPr>
    </w:p>
    <w:p w14:paraId="0C8B4A49" w14:textId="77777777" w:rsidR="001A0080" w:rsidRPr="00B975DD" w:rsidRDefault="001A0080" w:rsidP="00B975DD">
      <w:pPr>
        <w:pStyle w:val="Puesto"/>
        <w:rPr>
          <w:lang w:val="es-ES"/>
        </w:rPr>
      </w:pPr>
      <w:r w:rsidRPr="00B975DD">
        <w:rPr>
          <w:b/>
          <w:lang w:val="es-ES"/>
        </w:rPr>
        <w:t>Artículo 53</w:t>
      </w:r>
      <w:r w:rsidRPr="00B975DD">
        <w:rPr>
          <w:lang w:val="es-ES"/>
        </w:rPr>
        <w:t xml:space="preserve">. Las Unidades de </w:t>
      </w:r>
      <w:r w:rsidRPr="00B975DD">
        <w:rPr>
          <w:rFonts w:cs="Arial"/>
          <w:lang w:val="es-ES" w:eastAsia="es-MX"/>
        </w:rPr>
        <w:t>Transparencia</w:t>
      </w:r>
      <w:r w:rsidRPr="00B975DD">
        <w:rPr>
          <w:lang w:val="es-ES"/>
        </w:rPr>
        <w:t xml:space="preserve"> tendrán las siguientes funciones:</w:t>
      </w:r>
    </w:p>
    <w:p w14:paraId="56AD97AD" w14:textId="77777777" w:rsidR="001A0080" w:rsidRPr="00B975DD" w:rsidRDefault="001A0080" w:rsidP="00B975DD">
      <w:pPr>
        <w:pStyle w:val="Puesto"/>
        <w:rPr>
          <w:lang w:val="es-ES"/>
        </w:rPr>
      </w:pPr>
    </w:p>
    <w:p w14:paraId="5CA0BAC9" w14:textId="77777777" w:rsidR="001A0080" w:rsidRPr="00B975DD" w:rsidRDefault="001A0080" w:rsidP="00B975DD">
      <w:pPr>
        <w:pStyle w:val="Puesto"/>
        <w:rPr>
          <w:lang w:val="es-ES"/>
        </w:rPr>
      </w:pPr>
      <w:r w:rsidRPr="00B975DD">
        <w:rPr>
          <w:lang w:val="es-ES"/>
        </w:rPr>
        <w:t xml:space="preserve">I. Recabar, difundir y actualizar la información relativa a las obligaciones de transparencia comunes y específicas a la </w:t>
      </w:r>
      <w:r w:rsidRPr="00B975DD">
        <w:rPr>
          <w:rFonts w:cs="Arial"/>
          <w:lang w:val="es-ES" w:eastAsia="es-MX"/>
        </w:rPr>
        <w:t>que</w:t>
      </w:r>
      <w:r w:rsidRPr="00B975DD">
        <w:rPr>
          <w:lang w:val="es-ES"/>
        </w:rPr>
        <w:t xml:space="preserve"> se refiere la Ley General, esta Ley, la que determine el Instituto y las demás disposiciones de la materia, así como propiciar que las áreas la actualicen periódicamente conforme a la normatividad aplicable;</w:t>
      </w:r>
    </w:p>
    <w:p w14:paraId="1D2AA34A" w14:textId="77777777" w:rsidR="001A0080" w:rsidRPr="00B975DD" w:rsidRDefault="001A0080" w:rsidP="00B975DD">
      <w:pPr>
        <w:pStyle w:val="Puesto"/>
        <w:rPr>
          <w:b/>
          <w:lang w:val="es-ES"/>
        </w:rPr>
      </w:pPr>
      <w:r w:rsidRPr="00B975DD">
        <w:rPr>
          <w:b/>
          <w:lang w:val="es-ES"/>
        </w:rPr>
        <w:t xml:space="preserve">II. Recibir, </w:t>
      </w:r>
      <w:r w:rsidRPr="00B975DD">
        <w:rPr>
          <w:b/>
          <w:u w:val="single"/>
          <w:lang w:val="es-ES"/>
        </w:rPr>
        <w:t>tramitar</w:t>
      </w:r>
      <w:r w:rsidRPr="00B975DD">
        <w:rPr>
          <w:b/>
          <w:lang w:val="es-ES"/>
        </w:rPr>
        <w:t xml:space="preserve"> y dar respuesta a las solicitudes de acceso a la información;</w:t>
      </w:r>
    </w:p>
    <w:p w14:paraId="07C70170" w14:textId="77777777" w:rsidR="001A0080" w:rsidRPr="00B975DD" w:rsidRDefault="001A0080" w:rsidP="00B975DD">
      <w:pPr>
        <w:pStyle w:val="Puesto"/>
        <w:rPr>
          <w:lang w:val="es-ES"/>
        </w:rPr>
      </w:pPr>
      <w:r w:rsidRPr="00B975DD">
        <w:rPr>
          <w:lang w:val="es-ES"/>
        </w:rPr>
        <w:t xml:space="preserve">III. Auxiliar a los particulares en la elaboración de solicitudes de acceso a la información y, en su caso, orientarlos sobre los sujetos </w:t>
      </w:r>
      <w:r w:rsidRPr="00B975DD">
        <w:rPr>
          <w:rFonts w:cs="Arial"/>
          <w:lang w:val="es-ES" w:eastAsia="es-MX"/>
        </w:rPr>
        <w:t>obligados</w:t>
      </w:r>
      <w:r w:rsidRPr="00B975DD">
        <w:rPr>
          <w:lang w:val="es-ES"/>
        </w:rPr>
        <w:t xml:space="preserve"> competentes conforme a la normatividad aplicable;</w:t>
      </w:r>
    </w:p>
    <w:p w14:paraId="788ED7F6" w14:textId="77777777" w:rsidR="001A0080" w:rsidRPr="00B975DD" w:rsidRDefault="001A0080" w:rsidP="00B975DD">
      <w:pPr>
        <w:pStyle w:val="Puesto"/>
        <w:rPr>
          <w:lang w:val="es-ES"/>
        </w:rPr>
      </w:pPr>
      <w:r w:rsidRPr="00B975DD">
        <w:rPr>
          <w:lang w:val="es-ES"/>
        </w:rPr>
        <w:t>IV. Realizar, con efectividad, los trámites internos necesarios para la atención de las solicitudes de acceso a la información;</w:t>
      </w:r>
    </w:p>
    <w:p w14:paraId="1AFFF400" w14:textId="77777777" w:rsidR="001A0080" w:rsidRPr="00B975DD" w:rsidRDefault="001A0080" w:rsidP="00B975DD">
      <w:pPr>
        <w:pStyle w:val="Puesto"/>
        <w:rPr>
          <w:lang w:val="es-ES"/>
        </w:rPr>
      </w:pPr>
      <w:r w:rsidRPr="00B975DD">
        <w:rPr>
          <w:lang w:val="es-ES"/>
        </w:rPr>
        <w:t>V. Entregar, en su caso, a los particulares la información solicitada;</w:t>
      </w:r>
    </w:p>
    <w:p w14:paraId="684072BF" w14:textId="77777777" w:rsidR="001A0080" w:rsidRPr="00B975DD" w:rsidRDefault="001A0080" w:rsidP="00B975DD">
      <w:pPr>
        <w:pStyle w:val="Puesto"/>
        <w:rPr>
          <w:lang w:val="es-ES"/>
        </w:rPr>
      </w:pPr>
      <w:r w:rsidRPr="00B975DD">
        <w:rPr>
          <w:lang w:val="es-ES"/>
        </w:rPr>
        <w:t>VI. Efectuar las notificaciones a los solicitantes;</w:t>
      </w:r>
    </w:p>
    <w:p w14:paraId="0B7F05EC" w14:textId="77777777" w:rsidR="001A0080" w:rsidRPr="00B975DD" w:rsidRDefault="001A0080" w:rsidP="00B975DD">
      <w:pPr>
        <w:pStyle w:val="Puesto"/>
        <w:rPr>
          <w:lang w:val="es-ES"/>
        </w:rPr>
      </w:pPr>
      <w:r w:rsidRPr="00B975DD">
        <w:rPr>
          <w:lang w:val="es-ES"/>
        </w:rPr>
        <w:lastRenderedPageBreak/>
        <w:t>VII. Proponer al Comité de Transparencia, los procedimientos internos que aseguren la mayor eficiencia en la gestión de las solicitudes de acceso a la información, conforme a la normatividad aplicable;</w:t>
      </w:r>
    </w:p>
    <w:p w14:paraId="2312DDDE" w14:textId="77777777" w:rsidR="001A0080" w:rsidRPr="00B975DD" w:rsidRDefault="001A0080" w:rsidP="00B975DD">
      <w:pPr>
        <w:pStyle w:val="Puesto"/>
        <w:rPr>
          <w:lang w:val="es-ES"/>
        </w:rPr>
      </w:pPr>
      <w:r w:rsidRPr="00B975DD">
        <w:rPr>
          <w:lang w:val="es-ES"/>
        </w:rPr>
        <w:t>VIII. Proponer a quien preside el Comité de Transparencia, personal habilitado que sea necesario para recibir y dar trámite a las solicitudes de acceso a la información;</w:t>
      </w:r>
    </w:p>
    <w:p w14:paraId="25D64ACB" w14:textId="77777777" w:rsidR="001A0080" w:rsidRPr="00B975DD" w:rsidRDefault="001A0080" w:rsidP="00B975DD">
      <w:pPr>
        <w:pStyle w:val="Puesto"/>
        <w:rPr>
          <w:lang w:val="es-ES"/>
        </w:rPr>
      </w:pPr>
      <w:r w:rsidRPr="00B975DD">
        <w:rPr>
          <w:lang w:val="es-ES"/>
        </w:rPr>
        <w:t>IX. Llevar un registro de las solicitudes de acceso a la información, sus respuestas, resultados, costos de reproducción y envío, resolución a los recursos de revisión que se hayan emitido en contra de sus respuestas y del cumplimiento de las mismas;</w:t>
      </w:r>
    </w:p>
    <w:p w14:paraId="2900099E" w14:textId="77777777" w:rsidR="001A0080" w:rsidRPr="00B975DD" w:rsidRDefault="001A0080" w:rsidP="00B975DD">
      <w:pPr>
        <w:pStyle w:val="Puesto"/>
        <w:rPr>
          <w:lang w:val="es-ES"/>
        </w:rPr>
      </w:pPr>
      <w:r w:rsidRPr="00B975DD">
        <w:rPr>
          <w:lang w:val="es-ES"/>
        </w:rPr>
        <w:t>X. Presentar ante el Comité, el proyecto de clasificación de información;</w:t>
      </w:r>
    </w:p>
    <w:p w14:paraId="017DAAE6" w14:textId="77777777" w:rsidR="001A0080" w:rsidRPr="00B975DD" w:rsidRDefault="001A0080" w:rsidP="00B975DD">
      <w:pPr>
        <w:pStyle w:val="Puesto"/>
        <w:rPr>
          <w:lang w:val="es-ES"/>
        </w:rPr>
      </w:pPr>
      <w:r w:rsidRPr="00B975DD">
        <w:rPr>
          <w:lang w:val="es-ES"/>
        </w:rPr>
        <w:t>XI. Promover e implementar políticas de transparencia proactiva procurando su accesibilidad;</w:t>
      </w:r>
    </w:p>
    <w:p w14:paraId="4D11EB62" w14:textId="77777777" w:rsidR="001A0080" w:rsidRPr="00B975DD" w:rsidRDefault="001A0080" w:rsidP="00B975DD">
      <w:pPr>
        <w:pStyle w:val="Puesto"/>
        <w:rPr>
          <w:lang w:val="es-ES"/>
        </w:rPr>
      </w:pPr>
      <w:r w:rsidRPr="00B975DD">
        <w:rPr>
          <w:lang w:val="es-ES"/>
        </w:rPr>
        <w:t>XII. Fomentar la transparencia y accesibilidad al interior del sujeto obligado;</w:t>
      </w:r>
    </w:p>
    <w:p w14:paraId="437FE06D" w14:textId="77777777" w:rsidR="001A0080" w:rsidRPr="00B975DD" w:rsidRDefault="001A0080" w:rsidP="00B975DD">
      <w:pPr>
        <w:pStyle w:val="Puesto"/>
        <w:rPr>
          <w:lang w:val="es-ES"/>
        </w:rPr>
      </w:pPr>
      <w:r w:rsidRPr="00B975DD">
        <w:rPr>
          <w:lang w:val="es-ES"/>
        </w:rPr>
        <w:t>XIII. Hacer del conocimiento de la instancia competente la probable responsabilidad por el incumplimiento de las obligaciones previstas en la presente Ley; y</w:t>
      </w:r>
    </w:p>
    <w:p w14:paraId="1BD18207" w14:textId="77777777" w:rsidR="001A0080" w:rsidRPr="00B975DD" w:rsidRDefault="001A0080" w:rsidP="00B975DD">
      <w:pPr>
        <w:pStyle w:val="Puesto"/>
        <w:rPr>
          <w:lang w:val="es-ES"/>
        </w:rPr>
      </w:pPr>
      <w:r w:rsidRPr="00B975DD">
        <w:rPr>
          <w:lang w:val="es-ES"/>
        </w:rPr>
        <w:t>XIV. Las demás que resulten necesarias para facilitar el acceso a la información y aquellas que se desprenden de la presente Ley y demás disposiciones jurídicas aplicables.</w:t>
      </w:r>
    </w:p>
    <w:p w14:paraId="4F760482" w14:textId="77777777" w:rsidR="001A0080" w:rsidRPr="00B975DD" w:rsidRDefault="001A0080" w:rsidP="00B975DD">
      <w:pPr>
        <w:pStyle w:val="Puesto"/>
        <w:rPr>
          <w:lang w:val="es-ES"/>
        </w:rPr>
      </w:pPr>
      <w:r w:rsidRPr="00B975DD">
        <w:rPr>
          <w:lang w:val="es-ES"/>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7D97D161" w14:textId="77777777" w:rsidR="001A0080" w:rsidRPr="00B975DD" w:rsidRDefault="001A0080" w:rsidP="00B975DD">
      <w:pPr>
        <w:pStyle w:val="Puesto"/>
        <w:rPr>
          <w:lang w:val="es-ES"/>
        </w:rPr>
      </w:pPr>
      <w:r w:rsidRPr="00B975DD">
        <w:rPr>
          <w:lang w:val="es-ES"/>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4448747E" w14:textId="77777777" w:rsidR="001A0080" w:rsidRPr="00B975DD" w:rsidRDefault="001A0080" w:rsidP="00B975DD">
      <w:pPr>
        <w:pStyle w:val="Puesto"/>
        <w:rPr>
          <w:lang w:val="es-ES"/>
        </w:rPr>
      </w:pPr>
    </w:p>
    <w:p w14:paraId="2AA9E229" w14:textId="77777777" w:rsidR="001A0080" w:rsidRPr="00B975DD" w:rsidRDefault="001A0080" w:rsidP="00B975DD">
      <w:pPr>
        <w:pStyle w:val="Puesto"/>
        <w:rPr>
          <w:lang w:val="es-ES"/>
        </w:rPr>
      </w:pPr>
      <w:r w:rsidRPr="00B975DD">
        <w:rPr>
          <w:b/>
          <w:lang w:val="es-ES"/>
        </w:rPr>
        <w:t>Artículo 59</w:t>
      </w:r>
      <w:r w:rsidRPr="00B975DD">
        <w:rPr>
          <w:lang w:val="es-ES"/>
        </w:rPr>
        <w:t>. Los servidores públicos habilitados tendrán las funciones siguientes:</w:t>
      </w:r>
    </w:p>
    <w:p w14:paraId="5256174F" w14:textId="77777777" w:rsidR="001A0080" w:rsidRPr="00B975DD" w:rsidRDefault="001A0080" w:rsidP="00B975DD">
      <w:pPr>
        <w:pStyle w:val="Puesto"/>
        <w:rPr>
          <w:lang w:val="es-ES"/>
        </w:rPr>
      </w:pPr>
      <w:r w:rsidRPr="00B975DD">
        <w:rPr>
          <w:lang w:val="es-ES"/>
        </w:rPr>
        <w:t>I. Localizar la información que le solicite la Unidad de Transparencia;</w:t>
      </w:r>
    </w:p>
    <w:p w14:paraId="4BC9186D" w14:textId="77777777" w:rsidR="001A0080" w:rsidRPr="00B975DD" w:rsidRDefault="001A0080" w:rsidP="00B975DD">
      <w:pPr>
        <w:pStyle w:val="Puesto"/>
        <w:rPr>
          <w:lang w:val="es-ES"/>
        </w:rPr>
      </w:pPr>
      <w:r w:rsidRPr="00B975DD">
        <w:rPr>
          <w:lang w:val="es-ES"/>
        </w:rPr>
        <w:t>II. Proporcionar la información que obre en los archivos y que le sea solicitada por la Unidad de Transparencia;</w:t>
      </w:r>
    </w:p>
    <w:p w14:paraId="7CBAE88F" w14:textId="77777777" w:rsidR="001A0080" w:rsidRPr="00B975DD" w:rsidRDefault="001A0080" w:rsidP="00B975DD">
      <w:pPr>
        <w:pStyle w:val="Puesto"/>
        <w:rPr>
          <w:lang w:val="es-ES"/>
        </w:rPr>
      </w:pPr>
      <w:r w:rsidRPr="00B975DD">
        <w:rPr>
          <w:lang w:val="es-ES"/>
        </w:rPr>
        <w:t>III. Apoyar a la Unidad de Transparencia en lo que esta le solicite para el cumplimiento de sus funciones;</w:t>
      </w:r>
    </w:p>
    <w:p w14:paraId="2978A36C" w14:textId="77777777" w:rsidR="001A0080" w:rsidRPr="00B975DD" w:rsidRDefault="001A0080" w:rsidP="00B975DD">
      <w:pPr>
        <w:pStyle w:val="Puesto"/>
        <w:rPr>
          <w:lang w:val="es-ES"/>
        </w:rPr>
      </w:pPr>
      <w:r w:rsidRPr="00B975DD">
        <w:rPr>
          <w:lang w:val="es-ES"/>
        </w:rPr>
        <w:t>IV. Proporcionar a la Unidad de Transparencia, las modificaciones a la información pública de oficio que obre en su poder;</w:t>
      </w:r>
    </w:p>
    <w:p w14:paraId="14222840" w14:textId="77777777" w:rsidR="001A0080" w:rsidRPr="00B975DD" w:rsidRDefault="001A0080" w:rsidP="00B975DD">
      <w:pPr>
        <w:pStyle w:val="Puesto"/>
        <w:rPr>
          <w:lang w:val="es-ES"/>
        </w:rPr>
      </w:pPr>
      <w:r w:rsidRPr="00B975DD">
        <w:rPr>
          <w:lang w:val="es-ES"/>
        </w:rPr>
        <w:t>V. Integrar y presentar al responsable de la Unidad de Transparencia la propuesta de clasificación de información, la cual tendrá los fundamentos y argumentos en que se basa dicha propuesta;</w:t>
      </w:r>
    </w:p>
    <w:p w14:paraId="7D6ED3B2" w14:textId="77777777" w:rsidR="001A0080" w:rsidRPr="00B975DD" w:rsidRDefault="001A0080" w:rsidP="00B975DD">
      <w:pPr>
        <w:pStyle w:val="Puesto"/>
        <w:rPr>
          <w:lang w:val="es-ES"/>
        </w:rPr>
      </w:pPr>
      <w:r w:rsidRPr="00B975DD">
        <w:rPr>
          <w:lang w:val="es-ES"/>
        </w:rPr>
        <w:lastRenderedPageBreak/>
        <w:t>VI. Verificar, una vez analizado el contenido de la información, que no se encuentre en los supuestos de información clasificada; y</w:t>
      </w:r>
    </w:p>
    <w:p w14:paraId="1FBC5990" w14:textId="77777777" w:rsidR="001A0080" w:rsidRPr="00B975DD" w:rsidRDefault="001A0080" w:rsidP="00B975DD">
      <w:pPr>
        <w:pStyle w:val="Puesto"/>
        <w:rPr>
          <w:lang w:val="es-ES"/>
        </w:rPr>
      </w:pPr>
      <w:r w:rsidRPr="00B975DD">
        <w:rPr>
          <w:lang w:val="es-ES"/>
        </w:rPr>
        <w:t>VII. Dar cuenta a la Unidad de Transparencia del vencimiento de los plazos de reserva.</w:t>
      </w:r>
    </w:p>
    <w:p w14:paraId="17C4B392" w14:textId="77777777" w:rsidR="001A0080" w:rsidRPr="00B975DD" w:rsidRDefault="001A0080" w:rsidP="00B975DD">
      <w:pPr>
        <w:pStyle w:val="Puesto"/>
        <w:rPr>
          <w:lang w:val="es-ES"/>
        </w:rPr>
      </w:pPr>
    </w:p>
    <w:p w14:paraId="70299BBD" w14:textId="77777777" w:rsidR="001A0080" w:rsidRPr="00B975DD" w:rsidRDefault="001A0080" w:rsidP="00B975DD">
      <w:pPr>
        <w:pStyle w:val="Puesto"/>
        <w:rPr>
          <w:lang w:val="es-ES"/>
        </w:rPr>
      </w:pPr>
      <w:r w:rsidRPr="00B975DD">
        <w:rPr>
          <w:b/>
          <w:lang w:val="es-ES"/>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975DD">
        <w:rPr>
          <w:lang w:val="es-ES"/>
        </w:rPr>
        <w:t>.”</w:t>
      </w:r>
    </w:p>
    <w:p w14:paraId="0748883E" w14:textId="77777777" w:rsidR="001A0080" w:rsidRPr="00B975DD" w:rsidRDefault="001A0080" w:rsidP="00B975DD">
      <w:pPr>
        <w:pStyle w:val="Puesto"/>
        <w:rPr>
          <w:lang w:val="es-ES"/>
        </w:rPr>
      </w:pPr>
      <w:r w:rsidRPr="00B975DD">
        <w:rPr>
          <w:lang w:val="es-ES"/>
        </w:rPr>
        <w:t>(Énfasis añadido)</w:t>
      </w:r>
    </w:p>
    <w:p w14:paraId="049F5944" w14:textId="77777777" w:rsidR="001A0080" w:rsidRPr="00B975DD" w:rsidRDefault="001A0080" w:rsidP="00B975DD">
      <w:pPr>
        <w:rPr>
          <w:rFonts w:cs="Arial"/>
          <w:lang w:val="es-ES"/>
        </w:rPr>
      </w:pPr>
    </w:p>
    <w:p w14:paraId="703035A8" w14:textId="77777777" w:rsidR="001A0080" w:rsidRPr="00B975DD" w:rsidRDefault="001A0080" w:rsidP="00B975DD">
      <w:pPr>
        <w:rPr>
          <w:rFonts w:eastAsia="Calibri"/>
          <w:lang w:val="es-ES"/>
        </w:rPr>
      </w:pPr>
      <w:r w:rsidRPr="00B975DD">
        <w:rPr>
          <w:rFonts w:eastAsia="Calibri"/>
          <w:lang w:val="es-ES"/>
        </w:rPr>
        <w:t xml:space="preserve">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w:t>
      </w:r>
      <w:r w:rsidRPr="00B975DD">
        <w:rPr>
          <w:rFonts w:eastAsia="Calibri"/>
          <w:b/>
          <w:lang w:val="es-ES"/>
        </w:rPr>
        <w:t>EL SUJETO OBLIGADO</w:t>
      </w:r>
      <w:r w:rsidRPr="00B975DD">
        <w:rPr>
          <w:rFonts w:eastAsia="Calibri"/>
          <w:lang w:val="es-ES"/>
        </w:rPr>
        <w:t xml:space="preserve"> y los solicitantes, y tiene bajo su responsabilidad el tramitar internamente la solicitud de información.</w:t>
      </w:r>
    </w:p>
    <w:p w14:paraId="04875177" w14:textId="77777777" w:rsidR="001A0080" w:rsidRPr="00B975DD" w:rsidRDefault="001A0080" w:rsidP="00B975DD">
      <w:pPr>
        <w:ind w:left="426"/>
        <w:rPr>
          <w:rFonts w:eastAsia="Calibri"/>
          <w:lang w:val="es-ES"/>
        </w:rPr>
      </w:pPr>
    </w:p>
    <w:p w14:paraId="564CF734" w14:textId="4E9C78AC" w:rsidR="001A0080" w:rsidRPr="00B975DD" w:rsidRDefault="001A0080" w:rsidP="00B975DD">
      <w:pPr>
        <w:autoSpaceDE w:val="0"/>
        <w:autoSpaceDN w:val="0"/>
        <w:adjustRightInd w:val="0"/>
        <w:ind w:right="50"/>
        <w:rPr>
          <w:rFonts w:eastAsia="Calibri"/>
          <w:lang w:val="es-ES"/>
        </w:rPr>
      </w:pPr>
      <w:r w:rsidRPr="00B975DD">
        <w:rPr>
          <w:rFonts w:eastAsia="Calibri"/>
          <w:lang w:val="es-ES"/>
        </w:rPr>
        <w:t xml:space="preserve">De tal manera que, si bien, el Titular de la Unidad de Transparencia </w:t>
      </w:r>
      <w:r w:rsidRPr="00B975DD">
        <w:rPr>
          <w:rFonts w:eastAsia="Calibri"/>
          <w:b/>
          <w:lang w:val="es-ES"/>
        </w:rPr>
        <w:t>no tiene bajo su resguardo los soportes documentales donde consta la información solicitada</w:t>
      </w:r>
      <w:r w:rsidRPr="00B975DD">
        <w:rPr>
          <w:rFonts w:eastAsia="Calibri"/>
          <w:lang w:val="es-ES"/>
        </w:rPr>
        <w:t xml:space="preserve">, sino que pudiera obrar en las distintas áreas que conforman la estructura del </w:t>
      </w:r>
      <w:r w:rsidRPr="00B975DD">
        <w:rPr>
          <w:rFonts w:eastAsia="Calibri"/>
          <w:b/>
          <w:lang w:val="es-ES"/>
        </w:rPr>
        <w:t xml:space="preserve">SUJETO OBLIGADO; </w:t>
      </w:r>
      <w:r w:rsidRPr="00B975DD">
        <w:rPr>
          <w:rFonts w:eastAsia="Calibri"/>
          <w:lang w:val="es-ES"/>
        </w:rPr>
        <w:t xml:space="preserve">es por ello que, debe turnar la solicitud a </w:t>
      </w:r>
      <w:r w:rsidRPr="00B975DD">
        <w:rPr>
          <w:rFonts w:cs="Arial"/>
          <w:lang w:val="es-ES"/>
        </w:rPr>
        <w:t xml:space="preserve">todas las áreas que </w:t>
      </w:r>
      <w:r w:rsidRPr="00B975DD">
        <w:rPr>
          <w:rFonts w:eastAsia="Calibri"/>
          <w:lang w:val="es-ES"/>
        </w:rPr>
        <w:t xml:space="preserve">pudieran generar, administrar o poseer la información requerida por la particular; pues tienen como función, buscar, localizar y poseer la información, así como entregarla. </w:t>
      </w:r>
    </w:p>
    <w:p w14:paraId="63CE2CEF" w14:textId="77777777" w:rsidR="001A0080" w:rsidRPr="00B975DD" w:rsidRDefault="001A0080" w:rsidP="00B975DD">
      <w:pPr>
        <w:autoSpaceDE w:val="0"/>
        <w:autoSpaceDN w:val="0"/>
        <w:adjustRightInd w:val="0"/>
        <w:ind w:right="50"/>
        <w:rPr>
          <w:rFonts w:cs="Arial"/>
        </w:rPr>
      </w:pPr>
    </w:p>
    <w:p w14:paraId="29AA09DA" w14:textId="1EA52BE7" w:rsidR="003E6B8A" w:rsidRPr="00B975DD" w:rsidRDefault="00331808" w:rsidP="00B975DD">
      <w:pPr>
        <w:rPr>
          <w:rFonts w:cs="Arial"/>
        </w:rPr>
      </w:pPr>
      <w:r w:rsidRPr="00B975DD">
        <w:t xml:space="preserve">Es así, que derivado que la solicitud no fue turnada al área que conforme a sus atribuciones y funciones pudiera tener la información, como lo es la Tesorería Municipal, </w:t>
      </w:r>
      <w:r w:rsidR="003E6B8A" w:rsidRPr="00B975DD">
        <w:rPr>
          <w:rFonts w:cs="Arial"/>
        </w:rPr>
        <w:t>la cual conforme artículo 26 del Bando Municipal del Ayuntamiento Constitucional de Atlacomulco 2022-2024</w:t>
      </w:r>
      <w:r w:rsidR="003E6B8A" w:rsidRPr="00B975DD">
        <w:rPr>
          <w:rFonts w:cs="Tahoma"/>
          <w:szCs w:val="22"/>
          <w:lang w:val="es-ES"/>
        </w:rPr>
        <w:t xml:space="preserve">, es la encargada </w:t>
      </w:r>
      <w:r w:rsidR="003E6B8A" w:rsidRPr="00B975DD">
        <w:t>de la recaudación, administración de las contribuciones y las erogaciones que haga la administración pública municipal para el funcionamiento y operatividad de la misma</w:t>
      </w:r>
      <w:r w:rsidR="003E6B8A" w:rsidRPr="00B975DD">
        <w:rPr>
          <w:rFonts w:cs="Arial"/>
        </w:rPr>
        <w:t xml:space="preserve">. </w:t>
      </w:r>
    </w:p>
    <w:p w14:paraId="4CD0B15B" w14:textId="77777777" w:rsidR="003E6B8A" w:rsidRPr="00B975DD" w:rsidRDefault="003E6B8A" w:rsidP="00B975DD"/>
    <w:p w14:paraId="5BF24A32" w14:textId="56074D1E" w:rsidR="00331808" w:rsidRPr="00B975DD" w:rsidRDefault="003E6B8A" w:rsidP="00B975DD">
      <w:pPr>
        <w:rPr>
          <w:rFonts w:eastAsia="Calibri"/>
          <w:bCs/>
          <w:lang w:val="es-ES"/>
        </w:rPr>
      </w:pPr>
      <w:r w:rsidRPr="00B975DD">
        <w:t xml:space="preserve">En consecuencia, </w:t>
      </w:r>
      <w:r w:rsidR="00331808" w:rsidRPr="00B975DD">
        <w:t xml:space="preserve">este Órgano Garante determina ordenar al </w:t>
      </w:r>
      <w:r w:rsidR="00331808" w:rsidRPr="00B975DD">
        <w:rPr>
          <w:b/>
        </w:rPr>
        <w:t xml:space="preserve">SUJETO OBLIGADO </w:t>
      </w:r>
      <w:r w:rsidR="00331808" w:rsidRPr="00B975DD">
        <w:t xml:space="preserve">previa </w:t>
      </w:r>
      <w:r w:rsidR="00331808" w:rsidRPr="00B975DD">
        <w:rPr>
          <w:rFonts w:eastAsia="Calibri"/>
          <w:bCs/>
          <w:lang w:val="es-ES"/>
        </w:rPr>
        <w:t xml:space="preserve">búsqueda exhaustiva y razonable haga entrega </w:t>
      </w:r>
      <w:r w:rsidR="00B6513E" w:rsidRPr="00B975DD">
        <w:rPr>
          <w:rFonts w:eastAsia="Calibri"/>
          <w:bCs/>
          <w:lang w:val="es-ES"/>
        </w:rPr>
        <w:t xml:space="preserve">de ser procedente en </w:t>
      </w:r>
      <w:r w:rsidR="00B6513E" w:rsidRPr="00B975DD">
        <w:rPr>
          <w:rFonts w:eastAsia="Calibri"/>
          <w:b/>
          <w:bCs/>
          <w:lang w:val="es-ES"/>
        </w:rPr>
        <w:t xml:space="preserve">versión pública, </w:t>
      </w:r>
      <w:r w:rsidR="00B6513E" w:rsidRPr="00B975DD">
        <w:rPr>
          <w:rFonts w:eastAsia="Calibri"/>
          <w:bCs/>
          <w:lang w:val="es-ES"/>
        </w:rPr>
        <w:t>los documentos donde consten l</w:t>
      </w:r>
      <w:r w:rsidR="00331808" w:rsidRPr="00B975DD">
        <w:rPr>
          <w:rFonts w:eastAsia="Calibri"/>
          <w:bCs/>
          <w:lang w:val="es-ES"/>
        </w:rPr>
        <w:t>as pólizas</w:t>
      </w:r>
      <w:r w:rsidR="00B6513E" w:rsidRPr="00B975DD">
        <w:rPr>
          <w:rFonts w:eastAsia="Calibri"/>
          <w:bCs/>
          <w:lang w:val="es-ES"/>
        </w:rPr>
        <w:t xml:space="preserve"> correspondientes al mes d</w:t>
      </w:r>
      <w:r w:rsidR="00331808" w:rsidRPr="00B975DD">
        <w:rPr>
          <w:rFonts w:eastAsia="Calibri"/>
          <w:bCs/>
          <w:lang w:val="es-ES"/>
        </w:rPr>
        <w:t>e diciembre de dos mil veinticuatro y del uno</w:t>
      </w:r>
      <w:r w:rsidR="00B6513E" w:rsidRPr="00B975DD">
        <w:rPr>
          <w:rFonts w:eastAsia="Calibri"/>
          <w:bCs/>
          <w:lang w:val="es-ES"/>
        </w:rPr>
        <w:t xml:space="preserve"> al dieciséis de enero de dos mil veinticinco.</w:t>
      </w:r>
      <w:r w:rsidR="00331808" w:rsidRPr="00B975DD">
        <w:rPr>
          <w:rFonts w:eastAsia="Calibri"/>
          <w:bCs/>
          <w:lang w:val="es-ES"/>
        </w:rPr>
        <w:t xml:space="preserve"> </w:t>
      </w:r>
    </w:p>
    <w:p w14:paraId="3FA6BB4B" w14:textId="77777777" w:rsidR="00331808" w:rsidRPr="00B975DD" w:rsidRDefault="00331808" w:rsidP="00B975DD">
      <w:pPr>
        <w:rPr>
          <w:rFonts w:eastAsia="Calibri"/>
          <w:bCs/>
          <w:lang w:val="es-ES"/>
        </w:rPr>
      </w:pPr>
    </w:p>
    <w:p w14:paraId="3D7FD821" w14:textId="77777777" w:rsidR="00B6513E" w:rsidRPr="00B975DD" w:rsidRDefault="00B6513E" w:rsidP="00B975DD">
      <w:pPr>
        <w:pStyle w:val="Ttulo3"/>
      </w:pPr>
      <w:bookmarkStart w:id="39" w:name="_Toc170898812"/>
      <w:bookmarkStart w:id="40" w:name="_Toc172051201"/>
      <w:bookmarkStart w:id="41" w:name="_Toc174466654"/>
      <w:bookmarkStart w:id="42" w:name="_Toc193960309"/>
      <w:r w:rsidRPr="00B975DD">
        <w:t>d) Versión pública</w:t>
      </w:r>
      <w:bookmarkEnd w:id="39"/>
      <w:bookmarkEnd w:id="40"/>
      <w:bookmarkEnd w:id="41"/>
      <w:bookmarkEnd w:id="42"/>
    </w:p>
    <w:p w14:paraId="6C934938" w14:textId="77777777" w:rsidR="00B6513E" w:rsidRPr="00B975DD" w:rsidRDefault="00B6513E" w:rsidP="00B975DD">
      <w:pPr>
        <w:rPr>
          <w:bCs/>
        </w:rPr>
      </w:pPr>
      <w:r w:rsidRPr="00B975DD">
        <w:t xml:space="preserve">Para el caso de que el o los documentos de los cuales se ordena su entrega contengan datos personales susceptibles de ser testados, deberán ser entregados en </w:t>
      </w:r>
      <w:r w:rsidRPr="00B975DD">
        <w:rPr>
          <w:b/>
        </w:rPr>
        <w:t>versión pública</w:t>
      </w:r>
      <w:r w:rsidRPr="00B975DD">
        <w:t>, pues el</w:t>
      </w:r>
      <w:r w:rsidRPr="00B975D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96CE460" w14:textId="77777777" w:rsidR="00B6513E" w:rsidRPr="00B975DD" w:rsidRDefault="00B6513E" w:rsidP="00B975DD">
      <w:pPr>
        <w:rPr>
          <w:rFonts w:eastAsia="Calibri"/>
          <w:bCs/>
          <w:lang w:eastAsia="en-US"/>
        </w:rPr>
      </w:pPr>
    </w:p>
    <w:p w14:paraId="11821A9C" w14:textId="77777777" w:rsidR="00B6513E" w:rsidRPr="00B975DD" w:rsidRDefault="00B6513E" w:rsidP="00B975DD">
      <w:pPr>
        <w:rPr>
          <w:bCs/>
        </w:rPr>
      </w:pPr>
      <w:r w:rsidRPr="00B975DD">
        <w:rPr>
          <w:bCs/>
        </w:rPr>
        <w:t>A este respecto, los artículos 3, fracciones IX, XX, XXI y XLV; 51 y 52 de la Ley de Transparencia y Acceso a la Información Pública del Estado de México y Municipios establecen:</w:t>
      </w:r>
    </w:p>
    <w:p w14:paraId="47437D15" w14:textId="77777777" w:rsidR="00B6513E" w:rsidRPr="00B975DD" w:rsidRDefault="00B6513E" w:rsidP="00B975DD"/>
    <w:p w14:paraId="03226121" w14:textId="77777777" w:rsidR="00B6513E" w:rsidRPr="00B975DD" w:rsidRDefault="00B6513E" w:rsidP="00B975DD">
      <w:pPr>
        <w:pStyle w:val="Puesto"/>
      </w:pPr>
      <w:r w:rsidRPr="00B975DD">
        <w:rPr>
          <w:b/>
          <w:bCs/>
          <w:noProof/>
        </w:rPr>
        <w:t>“</w:t>
      </w:r>
      <w:r w:rsidRPr="00B975DD">
        <w:rPr>
          <w:b/>
          <w:bCs/>
        </w:rPr>
        <w:t xml:space="preserve">Artículo 3. </w:t>
      </w:r>
      <w:r w:rsidRPr="00B975DD">
        <w:t xml:space="preserve">Para los efectos de la presente Ley se entenderá por: </w:t>
      </w:r>
    </w:p>
    <w:p w14:paraId="58F4E1F0" w14:textId="77777777" w:rsidR="00B6513E" w:rsidRPr="00B975DD" w:rsidRDefault="00B6513E" w:rsidP="00B975DD">
      <w:pPr>
        <w:pStyle w:val="Puesto"/>
      </w:pPr>
      <w:r w:rsidRPr="00B975DD">
        <w:rPr>
          <w:b/>
        </w:rPr>
        <w:t>IX.</w:t>
      </w:r>
      <w:r w:rsidRPr="00B975DD">
        <w:t xml:space="preserve"> </w:t>
      </w:r>
      <w:r w:rsidRPr="00B975DD">
        <w:rPr>
          <w:b/>
        </w:rPr>
        <w:t xml:space="preserve">Datos personales: </w:t>
      </w:r>
      <w:r w:rsidRPr="00B975DD">
        <w:t xml:space="preserve">La información concerniente a una persona, identificada o identificable según lo dispuesto por la Ley de Protección de Datos Personales del Estado de México; </w:t>
      </w:r>
    </w:p>
    <w:p w14:paraId="458CA1CF" w14:textId="77777777" w:rsidR="00B6513E" w:rsidRPr="00B975DD" w:rsidRDefault="00B6513E" w:rsidP="00B975DD"/>
    <w:p w14:paraId="3F286913" w14:textId="77777777" w:rsidR="00B6513E" w:rsidRPr="00B975DD" w:rsidRDefault="00B6513E" w:rsidP="00B975DD">
      <w:pPr>
        <w:pStyle w:val="Puesto"/>
      </w:pPr>
      <w:r w:rsidRPr="00B975DD">
        <w:rPr>
          <w:b/>
        </w:rPr>
        <w:lastRenderedPageBreak/>
        <w:t>XX.</w:t>
      </w:r>
      <w:r w:rsidRPr="00B975DD">
        <w:t xml:space="preserve"> </w:t>
      </w:r>
      <w:r w:rsidRPr="00B975DD">
        <w:rPr>
          <w:b/>
        </w:rPr>
        <w:t>Información clasificada:</w:t>
      </w:r>
      <w:r w:rsidRPr="00B975DD">
        <w:t xml:space="preserve"> Aquella considerada por la presente Ley como reservada o confidencial; </w:t>
      </w:r>
    </w:p>
    <w:p w14:paraId="0C53E6CE" w14:textId="77777777" w:rsidR="00B6513E" w:rsidRPr="00B975DD" w:rsidRDefault="00B6513E" w:rsidP="00B975DD"/>
    <w:p w14:paraId="09CA2BB4" w14:textId="77777777" w:rsidR="00B6513E" w:rsidRPr="00B975DD" w:rsidRDefault="00B6513E" w:rsidP="00B975DD">
      <w:pPr>
        <w:pStyle w:val="Puesto"/>
      </w:pPr>
      <w:r w:rsidRPr="00B975DD">
        <w:rPr>
          <w:b/>
        </w:rPr>
        <w:t>XXI.</w:t>
      </w:r>
      <w:r w:rsidRPr="00B975DD">
        <w:t xml:space="preserve"> </w:t>
      </w:r>
      <w:r w:rsidRPr="00B975DD">
        <w:rPr>
          <w:b/>
        </w:rPr>
        <w:t>Información confidencial</w:t>
      </w:r>
      <w:r w:rsidRPr="00B975D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BFB5B14" w14:textId="77777777" w:rsidR="00B6513E" w:rsidRPr="00B975DD" w:rsidRDefault="00B6513E" w:rsidP="00B975DD"/>
    <w:p w14:paraId="64E1DB11" w14:textId="77777777" w:rsidR="00B6513E" w:rsidRPr="00B975DD" w:rsidRDefault="00B6513E" w:rsidP="00B975DD">
      <w:pPr>
        <w:pStyle w:val="Puesto"/>
      </w:pPr>
      <w:r w:rsidRPr="00B975DD">
        <w:rPr>
          <w:b/>
        </w:rPr>
        <w:t>XLV. Versión pública:</w:t>
      </w:r>
      <w:r w:rsidRPr="00B975DD">
        <w:t xml:space="preserve"> Documento en el que se elimine, suprime o borra la información clasificada como reservada o confidencial para permitir su acceso. </w:t>
      </w:r>
    </w:p>
    <w:p w14:paraId="479DFBFC" w14:textId="77777777" w:rsidR="00B6513E" w:rsidRPr="00B975DD" w:rsidRDefault="00B6513E" w:rsidP="00B975DD"/>
    <w:p w14:paraId="12D8C01A" w14:textId="77777777" w:rsidR="00B6513E" w:rsidRPr="00B975DD" w:rsidRDefault="00B6513E" w:rsidP="00B975DD">
      <w:pPr>
        <w:pStyle w:val="Puesto"/>
      </w:pPr>
      <w:r w:rsidRPr="00B975DD">
        <w:rPr>
          <w:b/>
        </w:rPr>
        <w:t>Artículo 51.</w:t>
      </w:r>
      <w:r w:rsidRPr="00B975DD">
        <w:t xml:space="preserve"> Los sujetos obligados designaran a un responsable para atender la Unidad de Transparencia, quien fungirá como enlace entre éstos y los solicitantes. Dicha Unidad será la encargada de tramitar internamente la solicitud de información </w:t>
      </w:r>
      <w:r w:rsidRPr="00B975DD">
        <w:rPr>
          <w:b/>
        </w:rPr>
        <w:t xml:space="preserve">y tendrá la responsabilidad de verificar en cada caso que la misma no sea confidencial o reservada. </w:t>
      </w:r>
      <w:r w:rsidRPr="00B975DD">
        <w:t>Dicha Unidad contará con las facultades internas necesarias para gestionar la atención a las solicitudes de información en los términos de la Ley General y la presente Ley.</w:t>
      </w:r>
    </w:p>
    <w:p w14:paraId="204E58D9" w14:textId="77777777" w:rsidR="00B6513E" w:rsidRPr="00B975DD" w:rsidRDefault="00B6513E" w:rsidP="00B975DD"/>
    <w:p w14:paraId="78B34788" w14:textId="77777777" w:rsidR="00B6513E" w:rsidRPr="00B975DD" w:rsidRDefault="00B6513E" w:rsidP="00B975DD">
      <w:pPr>
        <w:pStyle w:val="Puesto"/>
      </w:pPr>
      <w:r w:rsidRPr="00B975DD">
        <w:rPr>
          <w:b/>
        </w:rPr>
        <w:t>Artículo 52.</w:t>
      </w:r>
      <w:r w:rsidRPr="00B975DD">
        <w:t xml:space="preserve"> Las solicitudes de acceso a la información y las respuestas que se les dé, incluyendo, en su caso, </w:t>
      </w:r>
      <w:r w:rsidRPr="00B975DD">
        <w:rPr>
          <w:u w:val="single"/>
        </w:rPr>
        <w:t>la información entregada, así como las resoluciones a los recursos que en su caso se promuevan serán públicas, y de ser el caso que contenga datos personales que deban ser protegidos se podrá dar su acceso en su versión pública</w:t>
      </w:r>
      <w:r w:rsidRPr="00B975DD">
        <w:t>, siempre y cuando la resolución de referencia se someta a un proceso de disociación, es decir, no haga identificable al titular de tales datos personales.</w:t>
      </w:r>
      <w:r w:rsidRPr="00B975DD">
        <w:rPr>
          <w:bCs/>
          <w:noProof/>
        </w:rPr>
        <w:t xml:space="preserve">” </w:t>
      </w:r>
      <w:r w:rsidRPr="00B975DD">
        <w:rPr>
          <w:i w:val="0"/>
          <w:iCs/>
          <w:szCs w:val="22"/>
        </w:rPr>
        <w:t>(Énfasis añadido)</w:t>
      </w:r>
    </w:p>
    <w:p w14:paraId="10CC3049" w14:textId="77777777" w:rsidR="00B6513E" w:rsidRPr="00B975DD" w:rsidRDefault="00B6513E" w:rsidP="00B975DD"/>
    <w:p w14:paraId="04650803" w14:textId="77777777" w:rsidR="00B6513E" w:rsidRPr="00B975DD" w:rsidRDefault="00B6513E" w:rsidP="00B975DD">
      <w:r w:rsidRPr="00B975D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B975DD">
        <w:lastRenderedPageBreak/>
        <w:t xml:space="preserve">Datos Personales en Posesión de Sujetos Obligados del Estado de México y Municipios, los cuales se transcriben para mayor referencia: </w:t>
      </w:r>
    </w:p>
    <w:p w14:paraId="32F10400" w14:textId="77777777" w:rsidR="00B6513E" w:rsidRPr="00B975DD" w:rsidRDefault="00B6513E" w:rsidP="00B975DD"/>
    <w:p w14:paraId="63335495" w14:textId="77777777" w:rsidR="00B6513E" w:rsidRPr="00B975DD" w:rsidRDefault="00B6513E" w:rsidP="00B975DD">
      <w:pPr>
        <w:pStyle w:val="Puesto"/>
        <w:rPr>
          <w:rFonts w:eastAsia="Arial Unicode MS"/>
        </w:rPr>
      </w:pPr>
      <w:r w:rsidRPr="00B975DD">
        <w:rPr>
          <w:rFonts w:eastAsia="Arial Unicode MS"/>
          <w:b/>
        </w:rPr>
        <w:t>“Artículo 22.</w:t>
      </w:r>
      <w:r w:rsidRPr="00B975D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4340B723" w14:textId="77777777" w:rsidR="00B6513E" w:rsidRPr="00B975DD" w:rsidRDefault="00B6513E" w:rsidP="00B975DD">
      <w:pPr>
        <w:rPr>
          <w:rFonts w:eastAsia="Arial Unicode MS"/>
        </w:rPr>
      </w:pPr>
    </w:p>
    <w:p w14:paraId="24BE9FD8" w14:textId="77777777" w:rsidR="00B6513E" w:rsidRPr="00B975DD" w:rsidRDefault="00B6513E" w:rsidP="00B975DD">
      <w:pPr>
        <w:pStyle w:val="Puesto"/>
        <w:rPr>
          <w:rFonts w:eastAsia="Arial Unicode MS"/>
        </w:rPr>
      </w:pPr>
      <w:r w:rsidRPr="00B975DD">
        <w:rPr>
          <w:rFonts w:eastAsia="Arial Unicode MS"/>
          <w:b/>
        </w:rPr>
        <w:t>Artículo 38.</w:t>
      </w:r>
      <w:r w:rsidRPr="00B975D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975DD">
        <w:rPr>
          <w:rFonts w:eastAsia="Arial Unicode MS"/>
          <w:b/>
        </w:rPr>
        <w:t>”</w:t>
      </w:r>
      <w:r w:rsidRPr="00B975DD">
        <w:rPr>
          <w:rFonts w:eastAsia="Arial Unicode MS"/>
        </w:rPr>
        <w:t xml:space="preserve"> </w:t>
      </w:r>
    </w:p>
    <w:p w14:paraId="4006EB0C" w14:textId="77777777" w:rsidR="00B6513E" w:rsidRPr="00B975DD" w:rsidRDefault="00B6513E" w:rsidP="00B975DD">
      <w:pPr>
        <w:rPr>
          <w:rFonts w:eastAsia="Arial Unicode MS"/>
          <w:i/>
          <w:szCs w:val="22"/>
        </w:rPr>
      </w:pPr>
    </w:p>
    <w:p w14:paraId="6474136F" w14:textId="77777777" w:rsidR="00B6513E" w:rsidRPr="00B975DD" w:rsidRDefault="00B6513E" w:rsidP="00B975DD">
      <w:r w:rsidRPr="00B975D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41A6EA0" w14:textId="77777777" w:rsidR="00B6513E" w:rsidRPr="00B975DD" w:rsidRDefault="00B6513E" w:rsidP="00B975DD"/>
    <w:p w14:paraId="1512E025" w14:textId="77777777" w:rsidR="00B6513E" w:rsidRPr="00B975DD" w:rsidRDefault="00B6513E" w:rsidP="00B975DD">
      <w:r w:rsidRPr="00B975D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B975DD">
        <w:rPr>
          <w:rFonts w:eastAsia="Arial Unicode MS"/>
        </w:rPr>
        <w:t xml:space="preserve"> que debe ser protegida por </w:t>
      </w:r>
      <w:r w:rsidRPr="00B975DD">
        <w:rPr>
          <w:rFonts w:eastAsia="Arial Unicode MS"/>
          <w:b/>
        </w:rPr>
        <w:t>EL SUJETO OBLIGADO,</w:t>
      </w:r>
      <w:r w:rsidRPr="00B975DD">
        <w:rPr>
          <w:rFonts w:eastAsia="Arial Unicode MS"/>
        </w:rPr>
        <w:t xml:space="preserve"> por lo </w:t>
      </w:r>
      <w:r w:rsidRPr="00B975DD">
        <w:t>que, todo dato personal susceptible de clasificación debe ser protegido.</w:t>
      </w:r>
    </w:p>
    <w:p w14:paraId="102DB420" w14:textId="77777777" w:rsidR="00B6513E" w:rsidRPr="00B975DD" w:rsidRDefault="00B6513E" w:rsidP="00B975DD"/>
    <w:p w14:paraId="4463EA72" w14:textId="77777777" w:rsidR="00B6513E" w:rsidRPr="00B975DD" w:rsidRDefault="00B6513E" w:rsidP="00B975DD">
      <w:r w:rsidRPr="00B975DD">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825E171" w14:textId="77777777" w:rsidR="00B6513E" w:rsidRPr="00B975DD" w:rsidRDefault="00B6513E" w:rsidP="00B975DD"/>
    <w:p w14:paraId="70469792" w14:textId="77777777" w:rsidR="00B6513E" w:rsidRPr="00B975DD" w:rsidRDefault="00B6513E" w:rsidP="00B975DD">
      <w:r w:rsidRPr="00B975D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F31AEFA" w14:textId="77777777" w:rsidR="00B6513E" w:rsidRPr="00B975DD" w:rsidRDefault="00B6513E" w:rsidP="00B975DD"/>
    <w:p w14:paraId="10129F3D" w14:textId="77777777" w:rsidR="00B6513E" w:rsidRPr="00B975DD" w:rsidRDefault="00B6513E" w:rsidP="00B975DD">
      <w:pPr>
        <w:jc w:val="center"/>
        <w:rPr>
          <w:b/>
          <w:i/>
          <w:szCs w:val="22"/>
        </w:rPr>
      </w:pPr>
      <w:r w:rsidRPr="00B975DD">
        <w:rPr>
          <w:b/>
          <w:i/>
          <w:szCs w:val="22"/>
          <w:lang w:val="es-ES_tradnl"/>
        </w:rPr>
        <w:t>Ley de Transparencia y Acceso a la Información Pública del Estado de México y Municipios</w:t>
      </w:r>
    </w:p>
    <w:p w14:paraId="3573A8A6" w14:textId="77777777" w:rsidR="00B6513E" w:rsidRPr="00B975DD" w:rsidRDefault="00B6513E" w:rsidP="00B975DD"/>
    <w:p w14:paraId="3119B8B4" w14:textId="77777777" w:rsidR="00B6513E" w:rsidRPr="00B975DD" w:rsidRDefault="00B6513E" w:rsidP="00B975DD">
      <w:pPr>
        <w:pStyle w:val="Puesto"/>
      </w:pPr>
      <w:r w:rsidRPr="00B975DD">
        <w:rPr>
          <w:b/>
        </w:rPr>
        <w:t xml:space="preserve">“Artículo 49. </w:t>
      </w:r>
      <w:r w:rsidRPr="00B975DD">
        <w:t>Los Comités de Transparencia tendrán las siguientes atribuciones:</w:t>
      </w:r>
    </w:p>
    <w:p w14:paraId="42CFA769" w14:textId="77777777" w:rsidR="00B6513E" w:rsidRPr="00B975DD" w:rsidRDefault="00B6513E" w:rsidP="00B975DD">
      <w:pPr>
        <w:pStyle w:val="Puesto"/>
      </w:pPr>
      <w:r w:rsidRPr="00B975DD">
        <w:rPr>
          <w:b/>
        </w:rPr>
        <w:t>VIII.</w:t>
      </w:r>
      <w:r w:rsidRPr="00B975DD">
        <w:t xml:space="preserve"> Aprobar, modificar o revocar la clasificación de la información;</w:t>
      </w:r>
    </w:p>
    <w:p w14:paraId="33562EB4" w14:textId="77777777" w:rsidR="00B6513E" w:rsidRPr="00B975DD" w:rsidRDefault="00B6513E" w:rsidP="00B975DD"/>
    <w:p w14:paraId="0C4A74C7" w14:textId="77777777" w:rsidR="00B6513E" w:rsidRPr="00B975DD" w:rsidRDefault="00B6513E" w:rsidP="00B975DD">
      <w:pPr>
        <w:pStyle w:val="Puesto"/>
      </w:pPr>
      <w:r w:rsidRPr="00B975DD">
        <w:rPr>
          <w:b/>
        </w:rPr>
        <w:t>Artículo 132.</w:t>
      </w:r>
      <w:r w:rsidRPr="00B975DD">
        <w:t xml:space="preserve"> La clasificación de la información se llevará a cabo en el momento en que:</w:t>
      </w:r>
    </w:p>
    <w:p w14:paraId="1F6EB16A" w14:textId="77777777" w:rsidR="00B6513E" w:rsidRPr="00B975DD" w:rsidRDefault="00B6513E" w:rsidP="00B975DD">
      <w:pPr>
        <w:pStyle w:val="Puesto"/>
      </w:pPr>
      <w:r w:rsidRPr="00B975DD">
        <w:rPr>
          <w:b/>
        </w:rPr>
        <w:t>I.</w:t>
      </w:r>
      <w:r w:rsidRPr="00B975DD">
        <w:t xml:space="preserve"> Se reciba una solicitud de acceso a la información;</w:t>
      </w:r>
    </w:p>
    <w:p w14:paraId="7498EF0B" w14:textId="77777777" w:rsidR="00B6513E" w:rsidRPr="00B975DD" w:rsidRDefault="00B6513E" w:rsidP="00B975DD">
      <w:pPr>
        <w:pStyle w:val="Puesto"/>
      </w:pPr>
      <w:r w:rsidRPr="00B975DD">
        <w:rPr>
          <w:b/>
        </w:rPr>
        <w:t>II.</w:t>
      </w:r>
      <w:r w:rsidRPr="00B975DD">
        <w:t xml:space="preserve"> Se determine mediante resolución de autoridad competente; o</w:t>
      </w:r>
    </w:p>
    <w:p w14:paraId="2A177A66" w14:textId="77777777" w:rsidR="00B6513E" w:rsidRPr="00B975DD" w:rsidRDefault="00B6513E" w:rsidP="00B975DD">
      <w:pPr>
        <w:pStyle w:val="Puesto"/>
        <w:rPr>
          <w:b/>
        </w:rPr>
      </w:pPr>
      <w:r w:rsidRPr="00B975DD">
        <w:rPr>
          <w:b/>
          <w:bCs/>
        </w:rPr>
        <w:t>III.</w:t>
      </w:r>
      <w:r w:rsidRPr="00B975DD">
        <w:t xml:space="preserve"> Se generen versiones públicas para dar cumplimiento a las obligaciones de transparencia previstas en esta Ley.</w:t>
      </w:r>
      <w:r w:rsidRPr="00B975DD">
        <w:rPr>
          <w:b/>
        </w:rPr>
        <w:t>”</w:t>
      </w:r>
    </w:p>
    <w:p w14:paraId="61BF6934" w14:textId="77777777" w:rsidR="00B6513E" w:rsidRPr="00B975DD" w:rsidRDefault="00B6513E" w:rsidP="00B975DD"/>
    <w:p w14:paraId="0733DB0B" w14:textId="77777777" w:rsidR="00B6513E" w:rsidRPr="00B975DD" w:rsidRDefault="00B6513E" w:rsidP="00B975DD">
      <w:pPr>
        <w:pStyle w:val="Puesto"/>
      </w:pPr>
      <w:r w:rsidRPr="00B975DD">
        <w:rPr>
          <w:b/>
        </w:rPr>
        <w:t>“Segundo. -</w:t>
      </w:r>
      <w:r w:rsidRPr="00B975DD">
        <w:t xml:space="preserve"> Para efectos de los presentes Lineamientos Generales, se entenderá por:</w:t>
      </w:r>
    </w:p>
    <w:p w14:paraId="6B66DEBB" w14:textId="77777777" w:rsidR="00B6513E" w:rsidRPr="00B975DD" w:rsidRDefault="00B6513E" w:rsidP="00B975DD">
      <w:pPr>
        <w:pStyle w:val="Puesto"/>
      </w:pPr>
      <w:r w:rsidRPr="00B975DD">
        <w:rPr>
          <w:b/>
        </w:rPr>
        <w:t>XVIII.</w:t>
      </w:r>
      <w:r w:rsidRPr="00B975DD">
        <w:t xml:space="preserve">  </w:t>
      </w:r>
      <w:r w:rsidRPr="00B975DD">
        <w:rPr>
          <w:b/>
        </w:rPr>
        <w:t>Versión pública:</w:t>
      </w:r>
      <w:r w:rsidRPr="00B975D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47B8C70" w14:textId="77777777" w:rsidR="00B6513E" w:rsidRPr="00B975DD" w:rsidRDefault="00B6513E" w:rsidP="00B975DD">
      <w:pPr>
        <w:pStyle w:val="Puesto"/>
      </w:pPr>
    </w:p>
    <w:p w14:paraId="72C7A317" w14:textId="77777777" w:rsidR="00B6513E" w:rsidRPr="00B975DD" w:rsidRDefault="00B6513E" w:rsidP="00B975DD">
      <w:pPr>
        <w:pStyle w:val="Puesto"/>
        <w:rPr>
          <w:b/>
          <w:lang w:val="es-ES_tradnl" w:eastAsia="es-MX"/>
        </w:rPr>
      </w:pPr>
      <w:r w:rsidRPr="00B975DD">
        <w:rPr>
          <w:b/>
          <w:lang w:val="es-ES_tradnl" w:eastAsia="es-MX"/>
        </w:rPr>
        <w:t xml:space="preserve">Lineamientos Generales en materia de Clasificación y Desclasificación de la </w:t>
      </w:r>
      <w:r w:rsidRPr="00B975DD">
        <w:rPr>
          <w:b/>
          <w:lang w:val="es-ES_tradnl"/>
        </w:rPr>
        <w:t>Información</w:t>
      </w:r>
    </w:p>
    <w:p w14:paraId="6FC8939A" w14:textId="77777777" w:rsidR="00B6513E" w:rsidRPr="00B975DD" w:rsidRDefault="00B6513E" w:rsidP="00B975DD">
      <w:pPr>
        <w:pStyle w:val="Puesto"/>
      </w:pPr>
    </w:p>
    <w:p w14:paraId="7CD36AA9" w14:textId="77777777" w:rsidR="00B6513E" w:rsidRPr="00B975DD" w:rsidRDefault="00B6513E" w:rsidP="00B975DD">
      <w:pPr>
        <w:pStyle w:val="Puesto"/>
      </w:pPr>
      <w:r w:rsidRPr="00B975DD">
        <w:rPr>
          <w:b/>
        </w:rPr>
        <w:t>Cuarto.</w:t>
      </w:r>
      <w:r w:rsidRPr="00B975D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5AFCF01" w14:textId="77777777" w:rsidR="00B6513E" w:rsidRPr="00B975DD" w:rsidRDefault="00B6513E" w:rsidP="00B975DD">
      <w:pPr>
        <w:pStyle w:val="Puesto"/>
      </w:pPr>
      <w:r w:rsidRPr="00B975DD">
        <w:t>Los sujetos obligados deberán aplicar, de manera estricta, las excepciones al derecho de acceso a la información y sólo podrán invocarlas cuando acrediten su procedencia.</w:t>
      </w:r>
    </w:p>
    <w:p w14:paraId="54A52BB5" w14:textId="77777777" w:rsidR="00B6513E" w:rsidRPr="00B975DD" w:rsidRDefault="00B6513E" w:rsidP="00B975DD"/>
    <w:p w14:paraId="5F8AB07E" w14:textId="77777777" w:rsidR="00B6513E" w:rsidRPr="00B975DD" w:rsidRDefault="00B6513E" w:rsidP="00B975DD">
      <w:pPr>
        <w:pStyle w:val="Puesto"/>
      </w:pPr>
      <w:r w:rsidRPr="00B975DD">
        <w:rPr>
          <w:b/>
        </w:rPr>
        <w:t>Quinto.</w:t>
      </w:r>
      <w:r w:rsidRPr="00B975D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6A1C7A2" w14:textId="77777777" w:rsidR="00B6513E" w:rsidRPr="00B975DD" w:rsidRDefault="00B6513E" w:rsidP="00B975DD"/>
    <w:p w14:paraId="67748756" w14:textId="77777777" w:rsidR="00B6513E" w:rsidRPr="00B975DD" w:rsidRDefault="00B6513E" w:rsidP="00B975DD">
      <w:pPr>
        <w:pStyle w:val="Puesto"/>
      </w:pPr>
      <w:r w:rsidRPr="00B975DD">
        <w:rPr>
          <w:b/>
        </w:rPr>
        <w:t>Sexto.</w:t>
      </w:r>
      <w:r w:rsidRPr="00B975DD">
        <w:t xml:space="preserve"> Se deroga.</w:t>
      </w:r>
    </w:p>
    <w:p w14:paraId="7C78E73F" w14:textId="77777777" w:rsidR="00B6513E" w:rsidRPr="00B975DD" w:rsidRDefault="00B6513E" w:rsidP="00B975DD"/>
    <w:p w14:paraId="454C6980" w14:textId="77777777" w:rsidR="00B6513E" w:rsidRPr="00B975DD" w:rsidRDefault="00B6513E" w:rsidP="00B975DD">
      <w:pPr>
        <w:pStyle w:val="Puesto"/>
      </w:pPr>
      <w:r w:rsidRPr="00B975DD">
        <w:rPr>
          <w:b/>
        </w:rPr>
        <w:t>Séptimo.</w:t>
      </w:r>
      <w:r w:rsidRPr="00B975DD">
        <w:t xml:space="preserve"> La clasificación de la información se llevará a cabo en el momento en que:</w:t>
      </w:r>
    </w:p>
    <w:p w14:paraId="1F783908" w14:textId="77777777" w:rsidR="00B6513E" w:rsidRPr="00B975DD" w:rsidRDefault="00B6513E" w:rsidP="00B975DD">
      <w:pPr>
        <w:pStyle w:val="Puesto"/>
      </w:pPr>
      <w:r w:rsidRPr="00B975DD">
        <w:rPr>
          <w:b/>
        </w:rPr>
        <w:t>I.</w:t>
      </w:r>
      <w:r w:rsidRPr="00B975DD">
        <w:t xml:space="preserve">        Se reciba una solicitud de acceso a la información;</w:t>
      </w:r>
    </w:p>
    <w:p w14:paraId="6230A01A" w14:textId="77777777" w:rsidR="00B6513E" w:rsidRPr="00B975DD" w:rsidRDefault="00B6513E" w:rsidP="00B975DD">
      <w:pPr>
        <w:pStyle w:val="Puesto"/>
      </w:pPr>
      <w:r w:rsidRPr="00B975DD">
        <w:rPr>
          <w:b/>
        </w:rPr>
        <w:t>II.</w:t>
      </w:r>
      <w:r w:rsidRPr="00B975DD">
        <w:t xml:space="preserve">       Se determine mediante resolución del Comité de Transparencia, el órgano garante competente, o en cumplimiento a una sentencia del Poder Judicial; o</w:t>
      </w:r>
    </w:p>
    <w:p w14:paraId="7E7AE81F" w14:textId="77777777" w:rsidR="00B6513E" w:rsidRPr="00B975DD" w:rsidRDefault="00B6513E" w:rsidP="00B975DD">
      <w:pPr>
        <w:pStyle w:val="Puesto"/>
      </w:pPr>
      <w:r w:rsidRPr="00B975DD">
        <w:rPr>
          <w:b/>
        </w:rPr>
        <w:t>III.</w:t>
      </w:r>
      <w:r w:rsidRPr="00B975DD">
        <w:t xml:space="preserve">      Se generen versiones públicas para dar cumplimiento a las obligaciones de transparencia previstas en la Ley General, la Ley Federal y las correspondientes de las entidades federativas.</w:t>
      </w:r>
    </w:p>
    <w:p w14:paraId="4C27F5EE" w14:textId="77777777" w:rsidR="00B6513E" w:rsidRPr="00B975DD" w:rsidRDefault="00B6513E" w:rsidP="00B975DD">
      <w:pPr>
        <w:pStyle w:val="Puesto"/>
      </w:pPr>
      <w:r w:rsidRPr="00B975DD">
        <w:t xml:space="preserve">Los titulares de las áreas deberán revisar la información requerida al momento de la recepción de una solicitud de acceso, para verificar, conforme a su naturaleza, si encuadra en una causal de reserva o de confidencialidad. </w:t>
      </w:r>
    </w:p>
    <w:p w14:paraId="3412914A" w14:textId="77777777" w:rsidR="00B6513E" w:rsidRPr="00B975DD" w:rsidRDefault="00B6513E" w:rsidP="00B975DD"/>
    <w:p w14:paraId="475C97F4" w14:textId="77777777" w:rsidR="00B6513E" w:rsidRPr="00B975DD" w:rsidRDefault="00B6513E" w:rsidP="00B975DD">
      <w:pPr>
        <w:pStyle w:val="Puesto"/>
      </w:pPr>
      <w:r w:rsidRPr="00B975DD">
        <w:rPr>
          <w:b/>
        </w:rPr>
        <w:t>Octavo.</w:t>
      </w:r>
      <w:r w:rsidRPr="00B975D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63E3DD6" w14:textId="77777777" w:rsidR="00B6513E" w:rsidRPr="00B975DD" w:rsidRDefault="00B6513E" w:rsidP="00B975DD">
      <w:pPr>
        <w:pStyle w:val="Puesto"/>
      </w:pPr>
      <w:r w:rsidRPr="00B975DD">
        <w:lastRenderedPageBreak/>
        <w:t>Para motivar la clasificación se deberán señalar las razones o circunstancias especiales que lo llevaron a concluir que el caso particular se ajusta al supuesto previsto por la norma legal invocada como fundamento.</w:t>
      </w:r>
    </w:p>
    <w:p w14:paraId="5CD71E8C" w14:textId="77777777" w:rsidR="00B6513E" w:rsidRPr="00B975DD" w:rsidRDefault="00B6513E" w:rsidP="00B975DD">
      <w:pPr>
        <w:pStyle w:val="Puesto"/>
      </w:pPr>
      <w:r w:rsidRPr="00B975D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3BBB89A" w14:textId="77777777" w:rsidR="00B6513E" w:rsidRPr="00B975DD" w:rsidRDefault="00B6513E" w:rsidP="00B975DD"/>
    <w:p w14:paraId="13A5BA53" w14:textId="77777777" w:rsidR="00B6513E" w:rsidRPr="00B975DD" w:rsidRDefault="00B6513E" w:rsidP="00B975DD">
      <w:pPr>
        <w:pStyle w:val="Puesto"/>
      </w:pPr>
      <w:r w:rsidRPr="00B975DD">
        <w:rPr>
          <w:b/>
        </w:rPr>
        <w:t>Noveno.</w:t>
      </w:r>
      <w:r w:rsidRPr="00B975D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7E9B57A" w14:textId="77777777" w:rsidR="00B6513E" w:rsidRPr="00B975DD" w:rsidRDefault="00B6513E" w:rsidP="00B975DD"/>
    <w:p w14:paraId="3BE3F36B" w14:textId="77777777" w:rsidR="00B6513E" w:rsidRPr="00B975DD" w:rsidRDefault="00B6513E" w:rsidP="00B975DD">
      <w:pPr>
        <w:pStyle w:val="Puesto"/>
      </w:pPr>
      <w:r w:rsidRPr="00B975DD">
        <w:rPr>
          <w:b/>
        </w:rPr>
        <w:t>Décimo.</w:t>
      </w:r>
      <w:r w:rsidRPr="00B975D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2FE3181" w14:textId="77777777" w:rsidR="00B6513E" w:rsidRPr="00B975DD" w:rsidRDefault="00B6513E" w:rsidP="00B975DD">
      <w:pPr>
        <w:pStyle w:val="Puesto"/>
      </w:pPr>
      <w:r w:rsidRPr="00B975DD">
        <w:t>En ausencia de los titulares de las áreas, la información será clasificada o desclasificada por la persona que lo supla, en términos de la normativa que rija la actuación del sujeto obligado.</w:t>
      </w:r>
    </w:p>
    <w:p w14:paraId="5CBDEF56" w14:textId="77777777" w:rsidR="00B6513E" w:rsidRPr="00B975DD" w:rsidRDefault="00B6513E" w:rsidP="00B975DD">
      <w:pPr>
        <w:pStyle w:val="Puesto"/>
        <w:rPr>
          <w:b/>
        </w:rPr>
      </w:pPr>
      <w:r w:rsidRPr="00B975DD">
        <w:rPr>
          <w:b/>
        </w:rPr>
        <w:t>Décimo primero.</w:t>
      </w:r>
      <w:r w:rsidRPr="00B975D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975DD">
        <w:rPr>
          <w:b/>
        </w:rPr>
        <w:t>”</w:t>
      </w:r>
    </w:p>
    <w:p w14:paraId="7D93AF66" w14:textId="77777777" w:rsidR="00B6513E" w:rsidRPr="00B975DD" w:rsidRDefault="00B6513E" w:rsidP="00B975DD"/>
    <w:p w14:paraId="25BCD13F" w14:textId="77777777" w:rsidR="00B6513E" w:rsidRPr="00B975DD" w:rsidRDefault="00B6513E" w:rsidP="00B975DD">
      <w:pPr>
        <w:rPr>
          <w:lang w:eastAsia="es-CO"/>
        </w:rPr>
      </w:pPr>
      <w:r w:rsidRPr="00B975DD">
        <w:t xml:space="preserve">Consecuentemente, se destaca que la versión pública que elabore </w:t>
      </w:r>
      <w:r w:rsidRPr="00B975DD">
        <w:rPr>
          <w:b/>
        </w:rPr>
        <w:t>EL SUJETO OBLIGADO</w:t>
      </w:r>
      <w:r w:rsidRPr="00B975DD">
        <w:t xml:space="preserve"> debe cumplir con las formalidades exigidas en la Ley, por lo que para tal efecto emitirá el </w:t>
      </w:r>
      <w:r w:rsidRPr="00B975DD">
        <w:rPr>
          <w:b/>
        </w:rPr>
        <w:t>Acuerdo del Comité de Transparencia</w:t>
      </w:r>
      <w:r w:rsidRPr="00B975D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975DD">
        <w:rPr>
          <w:lang w:eastAsia="es-CO"/>
        </w:rPr>
        <w:t xml:space="preserve">, ya que de no hacerlo implica que lo entregado no es legal ni formalmente una versión pública, sino más bien una documentación ilegible, incompleta o </w:t>
      </w:r>
      <w:r w:rsidRPr="00B975DD">
        <w:rPr>
          <w:lang w:eastAsia="es-CO"/>
        </w:rPr>
        <w:lastRenderedPageBreak/>
        <w:t>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7B414A8" w14:textId="77777777" w:rsidR="00B6513E" w:rsidRPr="00B975DD" w:rsidRDefault="00B6513E" w:rsidP="00B975DD"/>
    <w:p w14:paraId="1F87D563" w14:textId="7D635219" w:rsidR="00B6513E" w:rsidRPr="00B975DD" w:rsidRDefault="00B6513E" w:rsidP="00B975DD">
      <w:pPr>
        <w:rPr>
          <w:lang w:eastAsia="es-CO"/>
        </w:rPr>
      </w:pPr>
      <w:r w:rsidRPr="00B975DD">
        <w:rPr>
          <w:lang w:eastAsia="es-CO"/>
        </w:rPr>
        <w:t xml:space="preserve">Es importante señalar que, para el caso en concreto, se deben tomar en consideración los siguientes datos que de manera enunciativa más no limitativa se pudieran </w:t>
      </w:r>
      <w:r w:rsidR="00904ADB" w:rsidRPr="00B975DD">
        <w:rPr>
          <w:lang w:eastAsia="es-CO"/>
        </w:rPr>
        <w:t>sí</w:t>
      </w:r>
      <w:r w:rsidRPr="00B975DD">
        <w:rPr>
          <w:lang w:eastAsia="es-CO"/>
        </w:rPr>
        <w:t xml:space="preserve"> o no clasificar como confidenciales:</w:t>
      </w:r>
    </w:p>
    <w:p w14:paraId="3911EBDD" w14:textId="77777777" w:rsidR="00B6513E" w:rsidRPr="00B975DD" w:rsidRDefault="00B6513E" w:rsidP="00B975DD"/>
    <w:p w14:paraId="7F926043" w14:textId="77777777" w:rsidR="00B6513E" w:rsidRPr="00B975DD" w:rsidRDefault="00B6513E" w:rsidP="00B975DD">
      <w:pPr>
        <w:pStyle w:val="Prrafodelista"/>
        <w:numPr>
          <w:ilvl w:val="0"/>
          <w:numId w:val="34"/>
        </w:numPr>
        <w:rPr>
          <w:b/>
        </w:rPr>
      </w:pPr>
      <w:r w:rsidRPr="00B975DD">
        <w:rPr>
          <w:b/>
        </w:rPr>
        <w:t>Número de cuenta bancaria de los particulares</w:t>
      </w:r>
    </w:p>
    <w:p w14:paraId="2D83E885" w14:textId="77777777" w:rsidR="00B6513E" w:rsidRPr="00B975DD" w:rsidRDefault="00B6513E" w:rsidP="00B975DD">
      <w:pPr>
        <w:pStyle w:val="Prrafodelista"/>
        <w:rPr>
          <w:b/>
        </w:rPr>
      </w:pPr>
    </w:p>
    <w:p w14:paraId="387C0BA9" w14:textId="77777777" w:rsidR="00B6513E" w:rsidRPr="00B975DD" w:rsidRDefault="00B6513E" w:rsidP="00B975DD">
      <w:r w:rsidRPr="00B975DD">
        <w:rPr>
          <w:rFonts w:cs="Arial"/>
        </w:rPr>
        <w:t xml:space="preserve">Por otro lado, es importante señalar que </w:t>
      </w:r>
      <w:r w:rsidRPr="00B975DD">
        <w:t>por cuanto hace al el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09D827F7" w14:textId="77777777" w:rsidR="00B6513E" w:rsidRPr="00B975DD" w:rsidRDefault="00B6513E" w:rsidP="00B975DD">
      <w:pPr>
        <w:autoSpaceDE w:val="0"/>
        <w:autoSpaceDN w:val="0"/>
        <w:adjustRightInd w:val="0"/>
        <w:ind w:right="50"/>
      </w:pPr>
    </w:p>
    <w:p w14:paraId="4481F2D7" w14:textId="77777777" w:rsidR="00B6513E" w:rsidRPr="00B975DD" w:rsidRDefault="00B6513E" w:rsidP="00B975DD">
      <w:pPr>
        <w:autoSpaceDE w:val="0"/>
        <w:autoSpaceDN w:val="0"/>
        <w:adjustRightInd w:val="0"/>
        <w:ind w:right="51"/>
      </w:pPr>
      <w:r w:rsidRPr="00B975DD">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484E0037" w14:textId="77777777" w:rsidR="00B6513E" w:rsidRPr="00B975DD" w:rsidRDefault="00B6513E" w:rsidP="00B975DD">
      <w:pPr>
        <w:autoSpaceDE w:val="0"/>
        <w:autoSpaceDN w:val="0"/>
        <w:adjustRightInd w:val="0"/>
        <w:ind w:right="51"/>
      </w:pPr>
    </w:p>
    <w:p w14:paraId="736B1D36" w14:textId="23966705" w:rsidR="00B6513E" w:rsidRPr="00B975DD" w:rsidRDefault="00B6513E" w:rsidP="00B975DD">
      <w:pPr>
        <w:autoSpaceDE w:val="0"/>
        <w:autoSpaceDN w:val="0"/>
        <w:adjustRightInd w:val="0"/>
        <w:ind w:right="50"/>
      </w:pPr>
      <w:r w:rsidRPr="00B975DD">
        <w:lastRenderedPageBreak/>
        <w:t>Lo anterior encuentra sustento en el criterio 10/17 emitido por el</w:t>
      </w:r>
      <w:r w:rsidR="003E6B8A" w:rsidRPr="00B975DD">
        <w:t xml:space="preserve"> entonces</w:t>
      </w:r>
      <w:r w:rsidRPr="00B975DD">
        <w:t xml:space="preserve"> Instituto Nacional de Transparencia y Acceso a la Información Pública del Estado de México y Municipios, que a la letra dicen:</w:t>
      </w:r>
    </w:p>
    <w:p w14:paraId="6F4C9BA6" w14:textId="77777777" w:rsidR="00B6513E" w:rsidRPr="00B975DD" w:rsidRDefault="00B6513E" w:rsidP="00B975DD">
      <w:pPr>
        <w:autoSpaceDE w:val="0"/>
        <w:autoSpaceDN w:val="0"/>
        <w:adjustRightInd w:val="0"/>
        <w:ind w:right="50"/>
      </w:pPr>
    </w:p>
    <w:p w14:paraId="68FC1308" w14:textId="77777777" w:rsidR="00B6513E" w:rsidRPr="00B975DD" w:rsidRDefault="00B6513E" w:rsidP="00B975DD">
      <w:pPr>
        <w:pStyle w:val="Puesto"/>
      </w:pPr>
      <w:r w:rsidRPr="00B975DD">
        <w:rPr>
          <w:b/>
        </w:rPr>
        <w:t>“Cuentas bancarias y/o CLABE interbancaria de personas físicas y morales privadas.</w:t>
      </w:r>
      <w:r w:rsidRPr="00B975DD">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2973111E" w14:textId="77777777" w:rsidR="00B6513E" w:rsidRPr="00B975DD" w:rsidRDefault="00B6513E" w:rsidP="00B975DD"/>
    <w:p w14:paraId="3E64855D" w14:textId="77777777" w:rsidR="00B6513E" w:rsidRPr="00B975DD" w:rsidRDefault="00B6513E" w:rsidP="00B975DD">
      <w:pPr>
        <w:pStyle w:val="Prrafodelista"/>
        <w:numPr>
          <w:ilvl w:val="0"/>
          <w:numId w:val="34"/>
        </w:numPr>
        <w:rPr>
          <w:b/>
        </w:rPr>
      </w:pPr>
      <w:r w:rsidRPr="00B975DD">
        <w:rPr>
          <w:b/>
        </w:rPr>
        <w:t>Número de cuenta bancaria de Sujetos Obligados</w:t>
      </w:r>
    </w:p>
    <w:p w14:paraId="315D15FB" w14:textId="77777777" w:rsidR="00B6513E" w:rsidRPr="00B975DD" w:rsidRDefault="00B6513E" w:rsidP="00B975DD"/>
    <w:p w14:paraId="5B2105D0" w14:textId="48FF4F6B" w:rsidR="00B6513E" w:rsidRPr="00B975DD" w:rsidRDefault="00B6513E" w:rsidP="00B975DD">
      <w:pPr>
        <w:autoSpaceDE w:val="0"/>
        <w:autoSpaceDN w:val="0"/>
        <w:adjustRightInd w:val="0"/>
        <w:ind w:right="50"/>
      </w:pPr>
      <w:r w:rsidRPr="00B975DD">
        <w:t>Dicha información no puede considerarse como confidencial, pues la difusión de dichas cuentas o claves interbancarias, favorecen a la rendición de cuentas; ello tiene sustento en el criterio 11/17, emitido por el</w:t>
      </w:r>
      <w:r w:rsidR="003E6B8A" w:rsidRPr="00B975DD">
        <w:t xml:space="preserve"> entonces</w:t>
      </w:r>
      <w:r w:rsidRPr="00B975DD">
        <w:t xml:space="preserve"> Instituto Nacional de Transparencia y Acceso a la Información Pública del Estado de México y Municipios, el cual para mayor referencia se inserta a continuación:</w:t>
      </w:r>
    </w:p>
    <w:p w14:paraId="1CE8EF48" w14:textId="77777777" w:rsidR="00B6513E" w:rsidRPr="00B975DD" w:rsidRDefault="00B6513E" w:rsidP="00B975DD">
      <w:pPr>
        <w:autoSpaceDE w:val="0"/>
        <w:autoSpaceDN w:val="0"/>
        <w:adjustRightInd w:val="0"/>
        <w:ind w:right="50"/>
      </w:pPr>
    </w:p>
    <w:p w14:paraId="2F305428" w14:textId="77777777" w:rsidR="00B6513E" w:rsidRPr="00B975DD" w:rsidRDefault="00B6513E" w:rsidP="00B975DD">
      <w:pPr>
        <w:pStyle w:val="Puesto"/>
      </w:pPr>
      <w:r w:rsidRPr="00B975DD">
        <w:t>“Cuentas bancarias y/o CLABE interbancaria de sujetos obligados que reciben y/o transfieren recursos públicos, son información pública.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C194271" w14:textId="77777777" w:rsidR="00B6513E" w:rsidRPr="00B975DD" w:rsidRDefault="00B6513E" w:rsidP="00B975DD">
      <w:pPr>
        <w:autoSpaceDE w:val="0"/>
        <w:autoSpaceDN w:val="0"/>
        <w:adjustRightInd w:val="0"/>
        <w:ind w:left="851" w:right="1134"/>
        <w:rPr>
          <w:i/>
          <w:szCs w:val="22"/>
        </w:rPr>
      </w:pPr>
    </w:p>
    <w:p w14:paraId="40C43F57" w14:textId="5C850B15" w:rsidR="0018168C" w:rsidRPr="00B975DD" w:rsidRDefault="00B6513E" w:rsidP="00B975DD">
      <w:pPr>
        <w:pStyle w:val="Ttulo3"/>
      </w:pPr>
      <w:bookmarkStart w:id="43" w:name="_Toc193960310"/>
      <w:r w:rsidRPr="00B975DD">
        <w:t>e</w:t>
      </w:r>
      <w:r w:rsidR="0018168C" w:rsidRPr="00B975DD">
        <w:t>) Conclusión</w:t>
      </w:r>
      <w:bookmarkEnd w:id="43"/>
    </w:p>
    <w:p w14:paraId="14F2CC57" w14:textId="347BC2D1" w:rsidR="00B6513E" w:rsidRPr="00B975DD" w:rsidRDefault="00B6513E" w:rsidP="00B975DD">
      <w:pPr>
        <w:widowControl w:val="0"/>
        <w:tabs>
          <w:tab w:val="left" w:pos="1701"/>
          <w:tab w:val="left" w:pos="1843"/>
        </w:tabs>
        <w:rPr>
          <w:rFonts w:eastAsia="Palatino Linotype" w:cs="Palatino Linotype"/>
        </w:rPr>
      </w:pPr>
      <w:r w:rsidRPr="00B975DD">
        <w:rPr>
          <w:rFonts w:eastAsia="Palatino Linotype" w:cs="Palatino Linotype"/>
        </w:rPr>
        <w:t xml:space="preserve">En razón de lo anteriormente expuesto, este Instituto estima que las razones o motivos de inconformidad hechos valer por </w:t>
      </w:r>
      <w:r w:rsidRPr="00B975DD">
        <w:rPr>
          <w:rFonts w:eastAsia="Aptos" w:cs="Tahoma"/>
          <w:b/>
          <w:iCs/>
          <w:szCs w:val="22"/>
          <w:lang w:eastAsia="en-US"/>
        </w:rPr>
        <w:t>LA PARTE RECURRENTE</w:t>
      </w:r>
      <w:r w:rsidRPr="00B975DD">
        <w:rPr>
          <w:rFonts w:eastAsia="Aptos" w:cs="Tahoma"/>
          <w:bCs/>
          <w:iCs/>
          <w:szCs w:val="22"/>
          <w:lang w:eastAsia="en-US"/>
        </w:rPr>
        <w:t xml:space="preserve"> </w:t>
      </w:r>
      <w:r w:rsidRPr="00B975DD">
        <w:rPr>
          <w:rFonts w:eastAsia="Palatino Linotype" w:cs="Palatino Linotype"/>
        </w:rPr>
        <w:t xml:space="preserve">devienen </w:t>
      </w:r>
      <w:r w:rsidRPr="00B975DD">
        <w:rPr>
          <w:rFonts w:eastAsia="Palatino Linotype" w:cs="Palatino Linotype"/>
          <w:b/>
        </w:rPr>
        <w:t>fundadas</w:t>
      </w:r>
      <w:r w:rsidRPr="00B975DD">
        <w:rPr>
          <w:rFonts w:eastAsia="Palatino Linotype" w:cs="Palatino Linotype"/>
        </w:rPr>
        <w:t xml:space="preserve"> y suficientes </w:t>
      </w:r>
      <w:r w:rsidRPr="00B975DD">
        <w:rPr>
          <w:rFonts w:eastAsia="Palatino Linotype" w:cs="Palatino Linotype"/>
        </w:rPr>
        <w:lastRenderedPageBreak/>
        <w:t xml:space="preserve">para </w:t>
      </w:r>
      <w:r w:rsidRPr="00B975DD">
        <w:rPr>
          <w:rFonts w:eastAsia="Palatino Linotype" w:cs="Palatino Linotype"/>
          <w:b/>
        </w:rPr>
        <w:t>REVOCAR</w:t>
      </w:r>
      <w:r w:rsidRPr="00B975DD">
        <w:rPr>
          <w:rFonts w:eastAsia="Palatino Linotype" w:cs="Palatino Linotype"/>
        </w:rPr>
        <w:t xml:space="preserve"> la</w:t>
      </w:r>
      <w:r w:rsidR="004623C3" w:rsidRPr="00B975DD">
        <w:rPr>
          <w:rFonts w:eastAsia="Palatino Linotype" w:cs="Palatino Linotype"/>
        </w:rPr>
        <w:t>s</w:t>
      </w:r>
      <w:r w:rsidRPr="00B975DD">
        <w:rPr>
          <w:rFonts w:eastAsia="Palatino Linotype" w:cs="Palatino Linotype"/>
        </w:rPr>
        <w:t xml:space="preserve"> respuesta</w:t>
      </w:r>
      <w:r w:rsidR="004623C3" w:rsidRPr="00B975DD">
        <w:rPr>
          <w:rFonts w:eastAsia="Palatino Linotype" w:cs="Palatino Linotype"/>
        </w:rPr>
        <w:t>s</w:t>
      </w:r>
      <w:r w:rsidRPr="00B975DD">
        <w:rPr>
          <w:rFonts w:eastAsia="Palatino Linotype" w:cs="Palatino Linotype"/>
        </w:rPr>
        <w:t xml:space="preserve"> del </w:t>
      </w:r>
      <w:r w:rsidRPr="00B975DD">
        <w:rPr>
          <w:rFonts w:eastAsia="Palatino Linotype" w:cs="Palatino Linotype"/>
          <w:b/>
        </w:rPr>
        <w:t>SUJETO OBLIGADO</w:t>
      </w:r>
      <w:r w:rsidRPr="00B975DD">
        <w:rPr>
          <w:rFonts w:eastAsia="Palatino Linotype" w:cs="Palatino Linotype"/>
        </w:rPr>
        <w:t xml:space="preserve"> y ordenarle haga entrega de la información descrita en el presente Considerando.</w:t>
      </w:r>
    </w:p>
    <w:p w14:paraId="0AA91E0F" w14:textId="77777777" w:rsidR="00B6513E" w:rsidRPr="00B975DD" w:rsidRDefault="00B6513E" w:rsidP="00B975DD">
      <w:pPr>
        <w:rPr>
          <w:rFonts w:eastAsia="Calibri"/>
          <w:lang w:val="es-ES"/>
        </w:rPr>
      </w:pPr>
    </w:p>
    <w:p w14:paraId="6C4C444E" w14:textId="16F1DC79" w:rsidR="00BD5A7C" w:rsidRPr="00B975DD" w:rsidRDefault="00BD5A7C" w:rsidP="00B975DD">
      <w:pPr>
        <w:ind w:right="-93"/>
        <w:rPr>
          <w:rFonts w:cs="Tahoma"/>
          <w:bCs/>
          <w:szCs w:val="22"/>
        </w:rPr>
      </w:pPr>
      <w:bookmarkStart w:id="44" w:name="_Hlk165381027"/>
      <w:r w:rsidRPr="00B975DD">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4"/>
    <w:p w14:paraId="7C13D1A0" w14:textId="77777777" w:rsidR="00BD5A7C" w:rsidRPr="00B975DD" w:rsidRDefault="00BD5A7C" w:rsidP="00B975DD"/>
    <w:p w14:paraId="5C396097" w14:textId="684A0E4F" w:rsidR="00664420" w:rsidRPr="00B975DD" w:rsidRDefault="00664420" w:rsidP="00B975DD">
      <w:pPr>
        <w:pStyle w:val="Ttulo1"/>
      </w:pPr>
      <w:bookmarkStart w:id="45" w:name="_Toc193960311"/>
      <w:r w:rsidRPr="00B975DD">
        <w:t>RESUELVE</w:t>
      </w:r>
      <w:bookmarkEnd w:id="45"/>
    </w:p>
    <w:p w14:paraId="203B7093" w14:textId="77777777" w:rsidR="00664420" w:rsidRPr="00B975DD" w:rsidRDefault="00664420" w:rsidP="00B975DD">
      <w:pPr>
        <w:ind w:right="113"/>
        <w:rPr>
          <w:rFonts w:cs="Arial"/>
          <w:b/>
          <w:szCs w:val="22"/>
        </w:rPr>
      </w:pPr>
    </w:p>
    <w:p w14:paraId="484C199F" w14:textId="61E7AB23" w:rsidR="004623C3" w:rsidRPr="00B975DD" w:rsidRDefault="004623C3" w:rsidP="00B975DD">
      <w:pPr>
        <w:widowControl w:val="0"/>
        <w:rPr>
          <w:rFonts w:eastAsia="Calibri" w:cs="Tahoma"/>
          <w:bCs/>
          <w:szCs w:val="22"/>
          <w:lang w:eastAsia="en-US"/>
        </w:rPr>
      </w:pPr>
      <w:r w:rsidRPr="00B975DD">
        <w:rPr>
          <w:b/>
          <w:bCs/>
        </w:rPr>
        <w:t>PRIMERO.</w:t>
      </w:r>
      <w:r w:rsidRPr="00B975DD">
        <w:t xml:space="preserve"> </w:t>
      </w:r>
      <w:r w:rsidRPr="00B975DD">
        <w:rPr>
          <w:rFonts w:cs="Tahoma"/>
          <w:szCs w:val="22"/>
        </w:rPr>
        <w:t xml:space="preserve">Se </w:t>
      </w:r>
      <w:r w:rsidRPr="00B975DD">
        <w:rPr>
          <w:rFonts w:cs="Tahoma"/>
          <w:b/>
          <w:bCs/>
          <w:szCs w:val="22"/>
        </w:rPr>
        <w:t>REVOCAN</w:t>
      </w:r>
      <w:r w:rsidRPr="00B975DD">
        <w:rPr>
          <w:rFonts w:cs="Tahoma"/>
          <w:szCs w:val="22"/>
        </w:rPr>
        <w:t xml:space="preserve"> las respuestas entregadas por el </w:t>
      </w:r>
      <w:r w:rsidRPr="00B975DD">
        <w:rPr>
          <w:rFonts w:cs="Tahoma"/>
          <w:b/>
          <w:bCs/>
          <w:szCs w:val="22"/>
        </w:rPr>
        <w:t>SUJETO OBLIGADO</w:t>
      </w:r>
      <w:r w:rsidRPr="00B975DD">
        <w:rPr>
          <w:rFonts w:cs="Tahoma"/>
          <w:szCs w:val="22"/>
        </w:rPr>
        <w:t xml:space="preserve"> en las solicitudes de información </w:t>
      </w:r>
      <w:r w:rsidRPr="00B975DD">
        <w:rPr>
          <w:rFonts w:cs="Tahoma"/>
          <w:b/>
          <w:bCs/>
        </w:rPr>
        <w:t xml:space="preserve">00046/ATLACOM/IP/2025 </w:t>
      </w:r>
      <w:r w:rsidRPr="00B975DD">
        <w:rPr>
          <w:rFonts w:cs="Tahoma"/>
          <w:bCs/>
        </w:rPr>
        <w:t xml:space="preserve">y </w:t>
      </w:r>
      <w:r w:rsidRPr="00B975DD">
        <w:rPr>
          <w:rFonts w:cs="Tahoma"/>
          <w:b/>
          <w:bCs/>
        </w:rPr>
        <w:t>00074/ATLACOM/IP/2025</w:t>
      </w:r>
      <w:r w:rsidRPr="00B975DD">
        <w:rPr>
          <w:rFonts w:eastAsia="Palatino Linotype"/>
          <w:b/>
          <w:szCs w:val="22"/>
        </w:rPr>
        <w:t>,</w:t>
      </w:r>
      <w:r w:rsidRPr="00B975DD">
        <w:rPr>
          <w:rFonts w:cs="Tahoma"/>
          <w:bCs/>
          <w:szCs w:val="22"/>
        </w:rPr>
        <w:t xml:space="preserve"> </w:t>
      </w:r>
      <w:r w:rsidRPr="00B975DD">
        <w:rPr>
          <w:rFonts w:eastAsia="Calibri" w:cs="Tahoma"/>
          <w:bCs/>
          <w:szCs w:val="22"/>
          <w:lang w:eastAsia="en-US"/>
        </w:rPr>
        <w:t xml:space="preserve">por resultar </w:t>
      </w:r>
      <w:r w:rsidRPr="00B975DD">
        <w:rPr>
          <w:rFonts w:eastAsia="Calibri" w:cs="Tahoma"/>
          <w:b/>
          <w:bCs/>
          <w:szCs w:val="22"/>
          <w:lang w:eastAsia="en-US"/>
        </w:rPr>
        <w:t>FUNDADAS</w:t>
      </w:r>
      <w:r w:rsidRPr="00B975DD">
        <w:rPr>
          <w:rFonts w:eastAsia="Calibri" w:cs="Tahoma"/>
          <w:bCs/>
          <w:szCs w:val="22"/>
          <w:lang w:eastAsia="en-US"/>
        </w:rPr>
        <w:t xml:space="preserve"> las razones o motivos de inconformidad hechos valer por </w:t>
      </w:r>
      <w:r w:rsidRPr="00B975DD">
        <w:rPr>
          <w:rFonts w:eastAsia="Calibri" w:cs="Tahoma"/>
          <w:b/>
          <w:szCs w:val="22"/>
          <w:lang w:eastAsia="en-US"/>
        </w:rPr>
        <w:t>LA PARTE RECURRENTE</w:t>
      </w:r>
      <w:r w:rsidRPr="00B975DD">
        <w:rPr>
          <w:rFonts w:eastAsia="Calibri" w:cs="Tahoma"/>
          <w:bCs/>
          <w:szCs w:val="22"/>
          <w:lang w:eastAsia="en-US"/>
        </w:rPr>
        <w:t xml:space="preserve"> en los Recursos de Revisión </w:t>
      </w:r>
      <w:r w:rsidRPr="00B975DD">
        <w:rPr>
          <w:rFonts w:eastAsia="Calibri"/>
          <w:b/>
          <w:lang w:eastAsia="en-US"/>
        </w:rPr>
        <w:t xml:space="preserve">01032/INFOEM/IP/RR/2025 </w:t>
      </w:r>
      <w:r w:rsidRPr="00B975DD">
        <w:rPr>
          <w:rFonts w:eastAsia="Calibri"/>
          <w:lang w:eastAsia="en-US"/>
        </w:rPr>
        <w:t>y</w:t>
      </w:r>
      <w:r w:rsidRPr="00B975DD">
        <w:rPr>
          <w:rFonts w:eastAsia="Calibri"/>
          <w:b/>
          <w:lang w:eastAsia="en-US"/>
        </w:rPr>
        <w:t xml:space="preserve"> 01305/INFOEM/IP/RR/2025</w:t>
      </w:r>
      <w:r w:rsidRPr="00B975DD">
        <w:rPr>
          <w:rFonts w:eastAsiaTheme="minorHAnsi" w:cstheme="minorBidi"/>
          <w:szCs w:val="22"/>
          <w:lang w:eastAsia="en-US"/>
        </w:rPr>
        <w:t>,</w:t>
      </w:r>
      <w:r w:rsidRPr="00B975DD">
        <w:rPr>
          <w:rFonts w:cs="Tahoma"/>
          <w:b/>
          <w:szCs w:val="22"/>
        </w:rPr>
        <w:t xml:space="preserve"> </w:t>
      </w:r>
      <w:r w:rsidRPr="00B975DD">
        <w:rPr>
          <w:rFonts w:eastAsia="Calibri" w:cs="Tahoma"/>
          <w:bCs/>
          <w:szCs w:val="22"/>
          <w:lang w:eastAsia="en-US"/>
        </w:rPr>
        <w:t xml:space="preserve">en términos del considerando </w:t>
      </w:r>
      <w:r w:rsidRPr="00B975DD">
        <w:rPr>
          <w:rFonts w:eastAsia="Calibri" w:cs="Tahoma"/>
          <w:b/>
          <w:szCs w:val="22"/>
          <w:lang w:eastAsia="en-US"/>
        </w:rPr>
        <w:t>SEGUNDO</w:t>
      </w:r>
      <w:r w:rsidRPr="00B975DD">
        <w:rPr>
          <w:rFonts w:eastAsia="Calibri" w:cs="Tahoma"/>
          <w:bCs/>
          <w:szCs w:val="22"/>
          <w:lang w:eastAsia="en-US"/>
        </w:rPr>
        <w:t xml:space="preserve"> de la presente Resolución.</w:t>
      </w:r>
    </w:p>
    <w:p w14:paraId="2A7FCF57" w14:textId="77777777" w:rsidR="004623C3" w:rsidRPr="00B975DD" w:rsidRDefault="004623C3" w:rsidP="00B975DD">
      <w:pPr>
        <w:rPr>
          <w:rFonts w:eastAsia="Palatino Linotype"/>
          <w:b/>
          <w:szCs w:val="22"/>
        </w:rPr>
      </w:pPr>
    </w:p>
    <w:p w14:paraId="044209A3" w14:textId="6085825A" w:rsidR="004623C3" w:rsidRPr="00B975DD" w:rsidRDefault="004623C3" w:rsidP="00B975DD">
      <w:pPr>
        <w:ind w:right="-93"/>
        <w:rPr>
          <w:rFonts w:eastAsia="Calibri" w:cs="Tahoma"/>
          <w:bCs/>
          <w:szCs w:val="22"/>
          <w:lang w:eastAsia="en-US"/>
        </w:rPr>
      </w:pPr>
      <w:r w:rsidRPr="00B975DD">
        <w:rPr>
          <w:rFonts w:eastAsia="Calibri" w:cs="Tahoma"/>
          <w:b/>
          <w:bCs/>
          <w:szCs w:val="22"/>
          <w:lang w:eastAsia="en-US"/>
        </w:rPr>
        <w:t>SEGUNDO.</w:t>
      </w:r>
      <w:r w:rsidRPr="00B975DD">
        <w:rPr>
          <w:rFonts w:eastAsia="Calibri" w:cs="Tahoma"/>
          <w:szCs w:val="22"/>
          <w:lang w:eastAsia="es-MX"/>
        </w:rPr>
        <w:t xml:space="preserve"> Se </w:t>
      </w:r>
      <w:r w:rsidRPr="00B975DD">
        <w:rPr>
          <w:rFonts w:eastAsia="Calibri" w:cs="Tahoma"/>
          <w:b/>
          <w:szCs w:val="22"/>
          <w:lang w:eastAsia="es-MX"/>
        </w:rPr>
        <w:t xml:space="preserve">ORDENA </w:t>
      </w:r>
      <w:r w:rsidRPr="00B975DD">
        <w:rPr>
          <w:rFonts w:eastAsia="Calibri" w:cs="Tahoma"/>
          <w:szCs w:val="22"/>
          <w:lang w:eastAsia="es-MX"/>
        </w:rPr>
        <w:t xml:space="preserve">al </w:t>
      </w:r>
      <w:r w:rsidRPr="00B975DD">
        <w:rPr>
          <w:rFonts w:eastAsia="Calibri" w:cs="Tahoma"/>
          <w:b/>
          <w:bCs/>
          <w:szCs w:val="22"/>
          <w:lang w:eastAsia="es-MX"/>
        </w:rPr>
        <w:t>SUJETO OBLIGADO</w:t>
      </w:r>
      <w:r w:rsidRPr="00B975DD">
        <w:rPr>
          <w:rFonts w:eastAsia="Calibri" w:cs="Tahoma"/>
          <w:szCs w:val="22"/>
          <w:lang w:eastAsia="es-MX"/>
        </w:rPr>
        <w:t xml:space="preserve">, </w:t>
      </w:r>
      <w:r w:rsidRPr="00B975DD">
        <w:rPr>
          <w:rFonts w:eastAsia="Calibri" w:cs="Tahoma"/>
          <w:bCs/>
          <w:szCs w:val="22"/>
          <w:lang w:eastAsia="en-US"/>
        </w:rPr>
        <w:t xml:space="preserve">a efecto de que entregue a través del </w:t>
      </w:r>
      <w:r w:rsidRPr="00B975DD">
        <w:rPr>
          <w:rFonts w:eastAsia="Calibri" w:cs="Tahoma"/>
          <w:b/>
          <w:bCs/>
          <w:szCs w:val="22"/>
          <w:lang w:eastAsia="en-US"/>
        </w:rPr>
        <w:t>SAIMEX</w:t>
      </w:r>
      <w:r w:rsidRPr="00B975DD">
        <w:rPr>
          <w:rFonts w:eastAsia="Calibri" w:cs="Tahoma"/>
          <w:bCs/>
          <w:szCs w:val="22"/>
          <w:lang w:eastAsia="en-US"/>
        </w:rPr>
        <w:t xml:space="preserve">, de ser procedente en </w:t>
      </w:r>
      <w:r w:rsidRPr="00B975DD">
        <w:rPr>
          <w:rFonts w:eastAsia="Calibri" w:cs="Tahoma"/>
          <w:b/>
          <w:szCs w:val="22"/>
          <w:lang w:eastAsia="en-US"/>
        </w:rPr>
        <w:t xml:space="preserve">versión pública </w:t>
      </w:r>
      <w:r w:rsidRPr="00B975DD">
        <w:rPr>
          <w:rFonts w:eastAsia="Calibri" w:cs="Tahoma"/>
          <w:bCs/>
          <w:szCs w:val="22"/>
          <w:lang w:eastAsia="en-US"/>
        </w:rPr>
        <w:t>los documentos donde conste lo siguiente:</w:t>
      </w:r>
    </w:p>
    <w:p w14:paraId="74785B33" w14:textId="77777777" w:rsidR="004623C3" w:rsidRPr="00B975DD" w:rsidRDefault="004623C3" w:rsidP="00B975DD">
      <w:pPr>
        <w:rPr>
          <w:rFonts w:eastAsia="Palatino Linotype"/>
          <w:b/>
          <w:szCs w:val="22"/>
        </w:rPr>
      </w:pPr>
    </w:p>
    <w:p w14:paraId="079CBF64" w14:textId="2A2EAB24" w:rsidR="004623C3" w:rsidRPr="00B975DD" w:rsidRDefault="004623C3" w:rsidP="00B975DD">
      <w:pPr>
        <w:pStyle w:val="Puesto"/>
        <w:ind w:left="851" w:right="822"/>
      </w:pPr>
      <w:r w:rsidRPr="00B975DD">
        <w:t xml:space="preserve">Las pólizas correspondientes al mes de diciembre de 2024 y del 01 al 16 de enero de 2025. </w:t>
      </w:r>
    </w:p>
    <w:p w14:paraId="64756B28" w14:textId="77777777" w:rsidR="004623C3" w:rsidRPr="00B975DD" w:rsidRDefault="004623C3" w:rsidP="00B975DD">
      <w:pPr>
        <w:pStyle w:val="Puesto"/>
        <w:ind w:left="851" w:right="822"/>
      </w:pPr>
    </w:p>
    <w:p w14:paraId="7B266368" w14:textId="77777777" w:rsidR="004623C3" w:rsidRPr="00B975DD" w:rsidRDefault="004623C3" w:rsidP="00B975DD">
      <w:pPr>
        <w:spacing w:line="240" w:lineRule="auto"/>
        <w:ind w:left="851" w:right="822"/>
        <w:rPr>
          <w:bCs/>
          <w:i/>
        </w:rPr>
      </w:pPr>
      <w:r w:rsidRPr="00B975DD">
        <w:rPr>
          <w:bCs/>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3328265" w14:textId="77777777" w:rsidR="004623C3" w:rsidRPr="00B975DD" w:rsidRDefault="004623C3" w:rsidP="00B975DD">
      <w:r w:rsidRPr="00B975DD">
        <w:rPr>
          <w:b/>
          <w:bCs/>
        </w:rPr>
        <w:lastRenderedPageBreak/>
        <w:t>TERCERO.</w:t>
      </w:r>
      <w:r w:rsidRPr="00B975DD">
        <w:t xml:space="preserve"> </w:t>
      </w:r>
      <w:r w:rsidRPr="00B975DD">
        <w:rPr>
          <w:rFonts w:eastAsia="Palatino Linotype" w:cs="Palatino Linotype"/>
          <w:b/>
          <w:lang w:eastAsia="es-MX"/>
        </w:rPr>
        <w:t xml:space="preserve">Notifíquese </w:t>
      </w:r>
      <w:r w:rsidRPr="00B975DD">
        <w:rPr>
          <w:szCs w:val="17"/>
          <w:lang w:eastAsia="es-ES_tradnl"/>
        </w:rPr>
        <w:t xml:space="preserve">vía </w:t>
      </w:r>
      <w:r w:rsidRPr="00B975DD">
        <w:rPr>
          <w:rFonts w:cs="Arial"/>
        </w:rPr>
        <w:t>Sistema de Acceso a la Información Mexiquense (</w:t>
      </w:r>
      <w:r w:rsidRPr="00B975DD">
        <w:rPr>
          <w:rFonts w:cs="Arial"/>
          <w:b/>
          <w:bCs/>
        </w:rPr>
        <w:t>SAIMEX)</w:t>
      </w:r>
      <w:r w:rsidRPr="00B975DD">
        <w:rPr>
          <w:shd w:val="clear" w:color="auto" w:fill="FFFFFF"/>
        </w:rPr>
        <w:t xml:space="preserve"> la presente resolución al Titular de la Unidad de Transparencia del Sujeto Obligado</w:t>
      </w:r>
      <w:r w:rsidRPr="00B975DD">
        <w:t xml:space="preserve">, para que conforme al artículo 186 último párrafo, 189 segundo párrafo y 194 de la Ley de Transparencia y Acceso a la Información Pública del Estado de México y Municipios, dé cumplimiento a lo ordenado dentro del plazo de </w:t>
      </w:r>
      <w:r w:rsidRPr="00B975DD">
        <w:rPr>
          <w:b/>
          <w:bCs/>
        </w:rPr>
        <w:t>diez días hábiles</w:t>
      </w:r>
      <w:r w:rsidRPr="00B975DD">
        <w:t xml:space="preserve">, e informe a este Instituto en un plazo de </w:t>
      </w:r>
      <w:r w:rsidRPr="00B975DD">
        <w:rPr>
          <w:b/>
          <w:bCs/>
        </w:rPr>
        <w:t>tres días hábiles</w:t>
      </w:r>
      <w:r w:rsidRPr="00B975D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C135A2" w14:textId="77777777" w:rsidR="004623C3" w:rsidRPr="00B975DD" w:rsidRDefault="004623C3" w:rsidP="00B975DD"/>
    <w:p w14:paraId="163352A2" w14:textId="77777777" w:rsidR="004623C3" w:rsidRPr="00B975DD" w:rsidRDefault="004623C3" w:rsidP="00B975DD">
      <w:r w:rsidRPr="00B975DD">
        <w:rPr>
          <w:b/>
          <w:bCs/>
        </w:rPr>
        <w:t>CUARTO.</w:t>
      </w:r>
      <w:r w:rsidRPr="00B975DD">
        <w:t xml:space="preserve"> Notifíquese a </w:t>
      </w:r>
      <w:r w:rsidRPr="00B975DD">
        <w:rPr>
          <w:b/>
          <w:bCs/>
        </w:rPr>
        <w:t>LA PARTE RECURRENTE</w:t>
      </w:r>
      <w:r w:rsidRPr="00B975DD">
        <w:t xml:space="preserve"> la presente resolución vía Sistema de Acceso a la Información Mexiquense (SAIMEX).</w:t>
      </w:r>
    </w:p>
    <w:p w14:paraId="49F5CEF8" w14:textId="77777777" w:rsidR="004623C3" w:rsidRPr="00B975DD" w:rsidRDefault="004623C3" w:rsidP="00B975DD"/>
    <w:p w14:paraId="7611C9D2" w14:textId="77777777" w:rsidR="004623C3" w:rsidRPr="00B975DD" w:rsidRDefault="004623C3" w:rsidP="00B975DD">
      <w:r w:rsidRPr="00B975DD">
        <w:rPr>
          <w:b/>
          <w:bCs/>
        </w:rPr>
        <w:t>QUINTO</w:t>
      </w:r>
      <w:r w:rsidRPr="00B975DD">
        <w:t xml:space="preserve">. Hágase del conocimiento a </w:t>
      </w:r>
      <w:r w:rsidRPr="00B975DD">
        <w:rPr>
          <w:b/>
          <w:bCs/>
        </w:rPr>
        <w:t>LA PARTE RECURRENTE</w:t>
      </w:r>
      <w:r w:rsidRPr="00B975D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378734E" w14:textId="77777777" w:rsidR="004623C3" w:rsidRPr="00B975DD" w:rsidRDefault="004623C3" w:rsidP="00B975DD"/>
    <w:p w14:paraId="5EEC2E1B" w14:textId="77777777" w:rsidR="004623C3" w:rsidRDefault="004623C3" w:rsidP="00B975DD">
      <w:r w:rsidRPr="00B975DD">
        <w:rPr>
          <w:b/>
          <w:bCs/>
        </w:rPr>
        <w:t>SEXTO.</w:t>
      </w:r>
      <w:r w:rsidRPr="00B975DD">
        <w:t xml:space="preserve"> De conformidad con el artículo 198 de la Ley de Transparencia y Acceso a la Información Pública del Estado de México y Municipios, el </w:t>
      </w:r>
      <w:r w:rsidRPr="00B975DD">
        <w:rPr>
          <w:b/>
          <w:bCs/>
        </w:rPr>
        <w:t>SUJETO OBLIGADO</w:t>
      </w:r>
      <w:r w:rsidRPr="00B975DD">
        <w:t xml:space="preserve"> podrá solicitar una ampliación de plazo de manera fundada y motivada, para el cumplimiento de la presente resolución.</w:t>
      </w:r>
    </w:p>
    <w:p w14:paraId="6C84F0BF" w14:textId="77777777" w:rsidR="00B975DD" w:rsidRDefault="00B975DD" w:rsidP="00B975DD"/>
    <w:p w14:paraId="4314C972" w14:textId="77777777" w:rsidR="00B975DD" w:rsidRPr="00B975DD" w:rsidRDefault="00B975DD" w:rsidP="00B975DD"/>
    <w:p w14:paraId="6945C139" w14:textId="3E40CB46" w:rsidR="004623C3" w:rsidRPr="00B975DD" w:rsidRDefault="004623C3" w:rsidP="00B975DD">
      <w:r w:rsidRPr="00B975DD">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w:t>
      </w:r>
      <w:r w:rsidR="00904ADB" w:rsidRPr="00B975DD">
        <w:t>E</w:t>
      </w:r>
      <w:r w:rsidRPr="00B975DD">
        <w:t>RA SESIÓN ORDINARIA, CELEBRADA EL VEINTISÉIS DE MARZO DE DOS MIL VEINTICINCO, ANTE EL SECRETARIO TÉCNICO DEL PLENO, ALEXIS TAPIA RAMÍREZ.</w:t>
      </w:r>
    </w:p>
    <w:p w14:paraId="5EFEA0CD" w14:textId="484F43CA" w:rsidR="00664420" w:rsidRPr="00B975DD" w:rsidRDefault="00CE1DFB" w:rsidP="00B975DD">
      <w:pPr>
        <w:ind w:right="-93"/>
        <w:rPr>
          <w:rFonts w:eastAsia="Calibri" w:cs="Tahoma"/>
          <w:szCs w:val="22"/>
          <w:lang w:val="es-ES"/>
        </w:rPr>
      </w:pPr>
      <w:r w:rsidRPr="00B975DD">
        <w:rPr>
          <w:rFonts w:eastAsia="Palatino Linotype" w:cs="Palatino Linotype"/>
          <w:sz w:val="20"/>
        </w:rPr>
        <w:t>SCMM/AGZ/DEMF/RPG</w:t>
      </w:r>
    </w:p>
    <w:p w14:paraId="696BC976" w14:textId="77777777" w:rsidR="00664420" w:rsidRPr="00B975DD" w:rsidRDefault="00664420" w:rsidP="00B975DD">
      <w:pPr>
        <w:ind w:right="-93"/>
        <w:rPr>
          <w:rFonts w:eastAsia="Calibri" w:cs="Tahoma"/>
          <w:bCs/>
          <w:szCs w:val="22"/>
          <w:lang w:val="es-ES" w:eastAsia="en-US"/>
        </w:rPr>
      </w:pPr>
    </w:p>
    <w:p w14:paraId="671CB0C5" w14:textId="77777777" w:rsidR="00664420" w:rsidRPr="00B975DD" w:rsidRDefault="00664420" w:rsidP="00B975DD">
      <w:pPr>
        <w:ind w:right="-93"/>
        <w:rPr>
          <w:rFonts w:eastAsia="Calibri" w:cs="Tahoma"/>
          <w:bCs/>
          <w:szCs w:val="22"/>
          <w:lang w:val="es-ES_tradnl" w:eastAsia="en-US"/>
        </w:rPr>
      </w:pPr>
    </w:p>
    <w:p w14:paraId="52B66DE7" w14:textId="77777777" w:rsidR="00664420" w:rsidRPr="00B975DD" w:rsidRDefault="00664420" w:rsidP="00B975DD">
      <w:pPr>
        <w:ind w:right="-93"/>
        <w:rPr>
          <w:rFonts w:eastAsia="Calibri" w:cs="Tahoma"/>
          <w:bCs/>
          <w:szCs w:val="22"/>
          <w:lang w:val="es-ES_tradnl" w:eastAsia="en-US"/>
        </w:rPr>
      </w:pPr>
    </w:p>
    <w:p w14:paraId="3BA305D1" w14:textId="77777777" w:rsidR="00664420" w:rsidRPr="00B975DD" w:rsidRDefault="00664420" w:rsidP="00B975DD">
      <w:pPr>
        <w:ind w:right="-93"/>
        <w:rPr>
          <w:rFonts w:eastAsia="Calibri" w:cs="Tahoma"/>
          <w:bCs/>
          <w:szCs w:val="22"/>
          <w:lang w:val="es-ES_tradnl" w:eastAsia="en-US"/>
        </w:rPr>
      </w:pPr>
    </w:p>
    <w:p w14:paraId="78230707" w14:textId="77777777" w:rsidR="00664420" w:rsidRPr="00B975DD" w:rsidRDefault="00664420" w:rsidP="00B975DD">
      <w:pPr>
        <w:ind w:right="-93"/>
        <w:rPr>
          <w:rFonts w:eastAsia="Calibri" w:cs="Tahoma"/>
          <w:bCs/>
          <w:szCs w:val="22"/>
          <w:lang w:val="es-ES_tradnl" w:eastAsia="en-US"/>
        </w:rPr>
      </w:pPr>
    </w:p>
    <w:p w14:paraId="72D18B28" w14:textId="77777777" w:rsidR="00664420" w:rsidRPr="00B975DD" w:rsidRDefault="00664420" w:rsidP="00B975DD">
      <w:pPr>
        <w:ind w:right="-93"/>
        <w:rPr>
          <w:rFonts w:eastAsia="Calibri" w:cs="Tahoma"/>
          <w:bCs/>
          <w:szCs w:val="22"/>
          <w:lang w:val="es-ES_tradnl" w:eastAsia="en-US"/>
        </w:rPr>
      </w:pPr>
    </w:p>
    <w:p w14:paraId="6BD461DC" w14:textId="77777777" w:rsidR="00664420" w:rsidRPr="00B975DD" w:rsidRDefault="00664420" w:rsidP="00B975DD">
      <w:pPr>
        <w:tabs>
          <w:tab w:val="center" w:pos="4568"/>
        </w:tabs>
        <w:ind w:right="-93"/>
        <w:rPr>
          <w:rFonts w:eastAsia="Calibri" w:cs="Tahoma"/>
          <w:bCs/>
          <w:szCs w:val="22"/>
          <w:lang w:eastAsia="en-US"/>
        </w:rPr>
      </w:pPr>
    </w:p>
    <w:p w14:paraId="4DBB1727" w14:textId="77777777" w:rsidR="00664420" w:rsidRPr="00B975DD" w:rsidRDefault="00664420" w:rsidP="00B975DD">
      <w:pPr>
        <w:tabs>
          <w:tab w:val="center" w:pos="4568"/>
        </w:tabs>
        <w:ind w:right="-93"/>
        <w:rPr>
          <w:rFonts w:eastAsia="Calibri" w:cs="Tahoma"/>
          <w:bCs/>
          <w:szCs w:val="22"/>
          <w:lang w:eastAsia="en-US"/>
        </w:rPr>
      </w:pPr>
    </w:p>
    <w:p w14:paraId="1D74121B" w14:textId="77777777" w:rsidR="00664420" w:rsidRPr="00B975DD" w:rsidRDefault="00664420" w:rsidP="00B975DD">
      <w:pPr>
        <w:tabs>
          <w:tab w:val="center" w:pos="4568"/>
        </w:tabs>
        <w:ind w:right="-93"/>
        <w:rPr>
          <w:rFonts w:eastAsia="Calibri" w:cs="Tahoma"/>
          <w:bCs/>
          <w:szCs w:val="22"/>
          <w:lang w:eastAsia="en-US"/>
        </w:rPr>
      </w:pPr>
    </w:p>
    <w:p w14:paraId="08E74E9C" w14:textId="77777777" w:rsidR="00664420" w:rsidRPr="00B975DD" w:rsidRDefault="00664420" w:rsidP="00B975DD">
      <w:pPr>
        <w:tabs>
          <w:tab w:val="center" w:pos="4568"/>
        </w:tabs>
        <w:ind w:right="-93"/>
        <w:rPr>
          <w:rFonts w:eastAsia="Calibri" w:cs="Tahoma"/>
          <w:bCs/>
          <w:szCs w:val="22"/>
          <w:lang w:eastAsia="en-US"/>
        </w:rPr>
      </w:pPr>
    </w:p>
    <w:p w14:paraId="2CBF5E03" w14:textId="77777777" w:rsidR="00664420" w:rsidRPr="00B975DD" w:rsidRDefault="00664420" w:rsidP="00B975DD">
      <w:pPr>
        <w:tabs>
          <w:tab w:val="center" w:pos="4568"/>
        </w:tabs>
        <w:ind w:right="-93"/>
        <w:rPr>
          <w:rFonts w:eastAsia="Calibri" w:cs="Tahoma"/>
          <w:bCs/>
          <w:szCs w:val="22"/>
          <w:lang w:eastAsia="en-US"/>
        </w:rPr>
      </w:pPr>
    </w:p>
    <w:p w14:paraId="44865A6D" w14:textId="77777777" w:rsidR="00664420" w:rsidRPr="00B975DD" w:rsidRDefault="00664420" w:rsidP="00B975DD">
      <w:pPr>
        <w:tabs>
          <w:tab w:val="center" w:pos="4568"/>
        </w:tabs>
        <w:ind w:right="-93"/>
        <w:rPr>
          <w:rFonts w:eastAsia="Calibri" w:cs="Tahoma"/>
          <w:bCs/>
          <w:szCs w:val="22"/>
          <w:lang w:eastAsia="en-US"/>
        </w:rPr>
      </w:pPr>
    </w:p>
    <w:p w14:paraId="7147F06B" w14:textId="77777777" w:rsidR="00664420" w:rsidRPr="00B975DD" w:rsidRDefault="00664420" w:rsidP="00B975DD">
      <w:pPr>
        <w:tabs>
          <w:tab w:val="center" w:pos="4568"/>
        </w:tabs>
        <w:ind w:right="-93"/>
        <w:rPr>
          <w:rFonts w:eastAsia="Calibri" w:cs="Tahoma"/>
          <w:bCs/>
          <w:szCs w:val="22"/>
          <w:lang w:eastAsia="en-US"/>
        </w:rPr>
      </w:pPr>
    </w:p>
    <w:p w14:paraId="6FDF3D7E" w14:textId="77777777" w:rsidR="00664420" w:rsidRPr="00B975DD" w:rsidRDefault="00664420" w:rsidP="00B975DD">
      <w:pPr>
        <w:tabs>
          <w:tab w:val="center" w:pos="4568"/>
        </w:tabs>
        <w:ind w:right="-93"/>
        <w:rPr>
          <w:rFonts w:eastAsia="Calibri" w:cs="Tahoma"/>
          <w:bCs/>
          <w:szCs w:val="22"/>
          <w:lang w:eastAsia="en-US"/>
        </w:rPr>
      </w:pPr>
    </w:p>
    <w:p w14:paraId="6246F818" w14:textId="77777777" w:rsidR="00664420" w:rsidRPr="00B975DD" w:rsidRDefault="00664420" w:rsidP="00B975DD">
      <w:pPr>
        <w:tabs>
          <w:tab w:val="center" w:pos="4568"/>
        </w:tabs>
        <w:ind w:right="-93"/>
        <w:rPr>
          <w:rFonts w:eastAsia="Calibri" w:cs="Tahoma"/>
          <w:bCs/>
          <w:szCs w:val="22"/>
          <w:lang w:eastAsia="en-US"/>
        </w:rPr>
      </w:pPr>
    </w:p>
    <w:p w14:paraId="57A88B28" w14:textId="77777777" w:rsidR="00664420" w:rsidRPr="00B975DD" w:rsidRDefault="00664420" w:rsidP="00B975DD">
      <w:pPr>
        <w:tabs>
          <w:tab w:val="center" w:pos="4568"/>
        </w:tabs>
        <w:ind w:right="-93"/>
        <w:rPr>
          <w:rFonts w:eastAsia="Calibri" w:cs="Tahoma"/>
          <w:bCs/>
          <w:szCs w:val="22"/>
          <w:lang w:eastAsia="en-US"/>
        </w:rPr>
      </w:pPr>
    </w:p>
    <w:p w14:paraId="77EF6095" w14:textId="77777777" w:rsidR="00664420" w:rsidRPr="00B975DD" w:rsidRDefault="00664420" w:rsidP="00B975DD">
      <w:pPr>
        <w:tabs>
          <w:tab w:val="center" w:pos="4568"/>
        </w:tabs>
        <w:ind w:right="-93"/>
        <w:rPr>
          <w:rFonts w:eastAsia="Calibri" w:cs="Tahoma"/>
          <w:bCs/>
          <w:szCs w:val="22"/>
          <w:lang w:eastAsia="en-US"/>
        </w:rPr>
      </w:pPr>
    </w:p>
    <w:p w14:paraId="35593947" w14:textId="77777777" w:rsidR="00664420" w:rsidRPr="00B975DD" w:rsidRDefault="00664420" w:rsidP="00B975DD">
      <w:pPr>
        <w:tabs>
          <w:tab w:val="center" w:pos="4568"/>
        </w:tabs>
        <w:ind w:right="-93"/>
        <w:rPr>
          <w:rFonts w:eastAsia="Calibri" w:cs="Tahoma"/>
          <w:bCs/>
          <w:szCs w:val="22"/>
          <w:lang w:eastAsia="en-US"/>
        </w:rPr>
      </w:pPr>
    </w:p>
    <w:p w14:paraId="3AF72A17" w14:textId="77777777" w:rsidR="00664420" w:rsidRPr="00B975DD" w:rsidRDefault="00664420" w:rsidP="00B975DD">
      <w:pPr>
        <w:tabs>
          <w:tab w:val="center" w:pos="4568"/>
        </w:tabs>
        <w:ind w:right="-93"/>
        <w:rPr>
          <w:rFonts w:eastAsia="Calibri" w:cs="Tahoma"/>
          <w:bCs/>
          <w:szCs w:val="22"/>
          <w:lang w:eastAsia="en-US"/>
        </w:rPr>
      </w:pPr>
    </w:p>
    <w:p w14:paraId="37169144" w14:textId="77777777" w:rsidR="00664420" w:rsidRPr="00B975DD" w:rsidRDefault="00664420" w:rsidP="00B975DD">
      <w:pPr>
        <w:tabs>
          <w:tab w:val="center" w:pos="4568"/>
        </w:tabs>
        <w:ind w:right="-93"/>
        <w:rPr>
          <w:rFonts w:eastAsia="Calibri" w:cs="Tahoma"/>
          <w:bCs/>
          <w:szCs w:val="22"/>
          <w:lang w:eastAsia="en-US"/>
        </w:rPr>
      </w:pPr>
    </w:p>
    <w:p w14:paraId="77CFC088" w14:textId="77777777" w:rsidR="00664420" w:rsidRPr="00B975DD" w:rsidRDefault="00664420" w:rsidP="00B975DD">
      <w:pPr>
        <w:tabs>
          <w:tab w:val="center" w:pos="4568"/>
        </w:tabs>
        <w:ind w:right="-93"/>
        <w:rPr>
          <w:rFonts w:eastAsia="Calibri" w:cs="Tahoma"/>
          <w:bCs/>
          <w:szCs w:val="22"/>
          <w:lang w:eastAsia="en-US"/>
        </w:rPr>
      </w:pPr>
    </w:p>
    <w:p w14:paraId="781A11A5" w14:textId="77777777" w:rsidR="00664420" w:rsidRPr="00B975DD" w:rsidRDefault="00664420" w:rsidP="00B975DD">
      <w:pPr>
        <w:tabs>
          <w:tab w:val="center" w:pos="4568"/>
        </w:tabs>
        <w:ind w:right="-93"/>
        <w:rPr>
          <w:rFonts w:eastAsia="Calibri" w:cs="Tahoma"/>
          <w:bCs/>
          <w:szCs w:val="22"/>
          <w:lang w:eastAsia="en-US"/>
        </w:rPr>
      </w:pPr>
    </w:p>
    <w:p w14:paraId="5B4ADFF3" w14:textId="77777777" w:rsidR="00A131AC" w:rsidRPr="00B975DD" w:rsidRDefault="00A131AC" w:rsidP="00B975DD"/>
    <w:sectPr w:rsidR="00A131AC" w:rsidRPr="00B975DD"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4D4F0" w14:textId="77777777" w:rsidR="00250DD0" w:rsidRDefault="00250DD0" w:rsidP="00664420">
      <w:pPr>
        <w:spacing w:line="240" w:lineRule="auto"/>
      </w:pPr>
      <w:r>
        <w:separator/>
      </w:r>
    </w:p>
  </w:endnote>
  <w:endnote w:type="continuationSeparator" w:id="0">
    <w:p w14:paraId="49735711" w14:textId="77777777" w:rsidR="00250DD0" w:rsidRDefault="00250DD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31808" w:rsidRDefault="00331808">
    <w:pPr>
      <w:tabs>
        <w:tab w:val="center" w:pos="4550"/>
        <w:tab w:val="left" w:pos="5818"/>
      </w:tabs>
      <w:ind w:right="260"/>
      <w:jc w:val="right"/>
      <w:rPr>
        <w:color w:val="071320" w:themeColor="text2" w:themeShade="80"/>
        <w:sz w:val="24"/>
        <w:szCs w:val="24"/>
      </w:rPr>
    </w:pPr>
  </w:p>
  <w:p w14:paraId="1BCA7F23" w14:textId="77777777" w:rsidR="00331808" w:rsidRDefault="003318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31808" w:rsidRDefault="0033180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905C6" w:rsidRPr="003905C6">
      <w:rPr>
        <w:noProof/>
        <w:color w:val="0A1D30" w:themeColor="text2" w:themeShade="BF"/>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905C6" w:rsidRPr="003905C6">
      <w:rPr>
        <w:noProof/>
        <w:color w:val="0A1D30" w:themeColor="text2" w:themeShade="BF"/>
        <w:lang w:val="es-ES"/>
      </w:rPr>
      <w:t>33</w:t>
    </w:r>
    <w:r>
      <w:rPr>
        <w:color w:val="0A1D30" w:themeColor="text2" w:themeShade="BF"/>
        <w:sz w:val="24"/>
        <w:szCs w:val="24"/>
      </w:rPr>
      <w:fldChar w:fldCharType="end"/>
    </w:r>
  </w:p>
  <w:p w14:paraId="310E15C0" w14:textId="77777777" w:rsidR="00331808" w:rsidRDefault="003318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79A02" w14:textId="77777777" w:rsidR="00250DD0" w:rsidRDefault="00250DD0" w:rsidP="00664420">
      <w:pPr>
        <w:spacing w:line="240" w:lineRule="auto"/>
      </w:pPr>
      <w:r>
        <w:separator/>
      </w:r>
    </w:p>
  </w:footnote>
  <w:footnote w:type="continuationSeparator" w:id="0">
    <w:p w14:paraId="7547463F" w14:textId="77777777" w:rsidR="00250DD0" w:rsidRDefault="00250DD0"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31808" w:rsidRPr="00330DA7" w14:paraId="070A4B18" w14:textId="77777777" w:rsidTr="003F35FD">
      <w:trPr>
        <w:trHeight w:val="144"/>
        <w:jc w:val="right"/>
      </w:trPr>
      <w:tc>
        <w:tcPr>
          <w:tcW w:w="2727" w:type="dxa"/>
        </w:tcPr>
        <w:p w14:paraId="62B7493A" w14:textId="77777777" w:rsidR="00331808" w:rsidRPr="00330DA7" w:rsidRDefault="0033180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EB41C05" w:rsidR="00331808" w:rsidRPr="00A90C72" w:rsidRDefault="00331808" w:rsidP="001429DC">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1032</w:t>
          </w:r>
          <w:r w:rsidRPr="004D0573">
            <w:rPr>
              <w:rFonts w:eastAsia="Calibri" w:cs="Tahoma"/>
              <w:szCs w:val="22"/>
              <w:lang w:eastAsia="en-US"/>
            </w:rPr>
            <w:t>/INFOEM/IP/RR/2024</w:t>
          </w:r>
          <w:r>
            <w:rPr>
              <w:rFonts w:eastAsia="Calibri" w:cs="Tahoma"/>
              <w:szCs w:val="22"/>
              <w:lang w:eastAsia="en-US"/>
            </w:rPr>
            <w:t xml:space="preserve"> y acumulado</w:t>
          </w:r>
        </w:p>
      </w:tc>
    </w:tr>
    <w:tr w:rsidR="00331808" w:rsidRPr="00330DA7" w14:paraId="4521E058" w14:textId="77777777" w:rsidTr="003F35FD">
      <w:trPr>
        <w:trHeight w:val="283"/>
        <w:jc w:val="right"/>
      </w:trPr>
      <w:tc>
        <w:tcPr>
          <w:tcW w:w="2727" w:type="dxa"/>
        </w:tcPr>
        <w:p w14:paraId="0B68C086" w14:textId="77777777" w:rsidR="00331808" w:rsidRPr="00330DA7" w:rsidRDefault="0033180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D164307" w:rsidR="00331808" w:rsidRPr="00952DD0" w:rsidRDefault="00331808" w:rsidP="006A3EA5">
          <w:pPr>
            <w:tabs>
              <w:tab w:val="right" w:pos="8838"/>
            </w:tabs>
            <w:spacing w:line="240" w:lineRule="auto"/>
            <w:ind w:left="-108" w:right="-105"/>
            <w:rPr>
              <w:rFonts w:eastAsia="Calibri" w:cs="Tahoma"/>
              <w:szCs w:val="22"/>
              <w:lang w:eastAsia="en-US"/>
            </w:rPr>
          </w:pPr>
          <w:r w:rsidRPr="001429DC">
            <w:rPr>
              <w:rFonts w:eastAsia="Calibri" w:cs="Tahoma"/>
              <w:szCs w:val="22"/>
              <w:lang w:eastAsia="en-US"/>
            </w:rPr>
            <w:t>Ayuntamiento de Atlacomulco</w:t>
          </w:r>
        </w:p>
      </w:tc>
    </w:tr>
    <w:tr w:rsidR="00331808" w:rsidRPr="00330DA7" w14:paraId="6331D9B6" w14:textId="77777777" w:rsidTr="003F35FD">
      <w:trPr>
        <w:trHeight w:val="283"/>
        <w:jc w:val="right"/>
      </w:trPr>
      <w:tc>
        <w:tcPr>
          <w:tcW w:w="2727" w:type="dxa"/>
        </w:tcPr>
        <w:p w14:paraId="3FA86BAE" w14:textId="6568823B" w:rsidR="00331808" w:rsidRPr="00330DA7" w:rsidRDefault="00331808"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31808" w:rsidRPr="00EA66FC" w:rsidRDefault="00331808"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31808" w:rsidRPr="00443C6B" w:rsidRDefault="0033180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31808" w:rsidRPr="00330DA7" w14:paraId="29CFF901" w14:textId="77777777" w:rsidTr="004D0573">
      <w:trPr>
        <w:trHeight w:val="1435"/>
      </w:trPr>
      <w:tc>
        <w:tcPr>
          <w:tcW w:w="283" w:type="dxa"/>
          <w:shd w:val="clear" w:color="auto" w:fill="auto"/>
        </w:tcPr>
        <w:p w14:paraId="046B9F8F" w14:textId="77777777" w:rsidR="00331808" w:rsidRPr="00330DA7" w:rsidRDefault="00331808"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31808" w:rsidRPr="00330DA7" w14:paraId="04F272D2" w14:textId="77777777" w:rsidTr="004D0573">
            <w:trPr>
              <w:trHeight w:val="144"/>
            </w:trPr>
            <w:tc>
              <w:tcPr>
                <w:tcW w:w="2727" w:type="dxa"/>
              </w:tcPr>
              <w:p w14:paraId="2FD4DBF6" w14:textId="5EE5C9C0" w:rsidR="00331808" w:rsidRPr="00330DA7" w:rsidRDefault="00331808"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155164D6" w:rsidR="00331808" w:rsidRPr="004D0573" w:rsidRDefault="00331808" w:rsidP="001429DC">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1032</w:t>
                </w:r>
                <w:r w:rsidRPr="004D0573">
                  <w:rPr>
                    <w:rFonts w:eastAsia="Calibri" w:cs="Tahoma"/>
                    <w:szCs w:val="22"/>
                    <w:lang w:eastAsia="en-US"/>
                  </w:rPr>
                  <w:t xml:space="preserve">/INFOEM/IP/RR/2024 </w:t>
                </w:r>
                <w:r>
                  <w:rPr>
                    <w:rFonts w:eastAsia="Calibri" w:cs="Tahoma"/>
                    <w:szCs w:val="22"/>
                    <w:lang w:eastAsia="en-US"/>
                  </w:rPr>
                  <w:t>y acumulado</w:t>
                </w:r>
              </w:p>
            </w:tc>
            <w:tc>
              <w:tcPr>
                <w:tcW w:w="3402" w:type="dxa"/>
              </w:tcPr>
              <w:p w14:paraId="71DEA1CF" w14:textId="77777777" w:rsidR="00331808" w:rsidRDefault="00331808" w:rsidP="004D0573">
                <w:pPr>
                  <w:tabs>
                    <w:tab w:val="right" w:pos="8838"/>
                  </w:tabs>
                  <w:spacing w:line="240" w:lineRule="auto"/>
                  <w:ind w:left="-74" w:right="-105"/>
                  <w:rPr>
                    <w:rFonts w:eastAsia="Calibri" w:cs="Tahoma"/>
                    <w:szCs w:val="22"/>
                    <w:lang w:eastAsia="en-US"/>
                  </w:rPr>
                </w:pPr>
              </w:p>
            </w:tc>
          </w:tr>
          <w:tr w:rsidR="00331808" w:rsidRPr="00330DA7" w14:paraId="05C58951" w14:textId="77777777" w:rsidTr="004D0573">
            <w:trPr>
              <w:trHeight w:val="144"/>
            </w:trPr>
            <w:tc>
              <w:tcPr>
                <w:tcW w:w="2727" w:type="dxa"/>
              </w:tcPr>
              <w:p w14:paraId="642B9610" w14:textId="77777777" w:rsidR="00331808" w:rsidRPr="00330DA7" w:rsidRDefault="00331808"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0189F56B" w:rsidR="00331808" w:rsidRPr="004D0573" w:rsidRDefault="00331808" w:rsidP="007C052E">
                <w:pPr>
                  <w:tabs>
                    <w:tab w:val="right" w:pos="8838"/>
                  </w:tabs>
                  <w:spacing w:line="240" w:lineRule="auto"/>
                  <w:ind w:left="-74" w:right="-105"/>
                  <w:rPr>
                    <w:rFonts w:eastAsia="Calibri" w:cs="Tahoma"/>
                    <w:szCs w:val="22"/>
                    <w:lang w:eastAsia="en-US"/>
                  </w:rPr>
                </w:pPr>
              </w:p>
            </w:tc>
            <w:tc>
              <w:tcPr>
                <w:tcW w:w="3402" w:type="dxa"/>
              </w:tcPr>
              <w:p w14:paraId="73F47F53" w14:textId="77777777" w:rsidR="00331808" w:rsidRPr="005F19B1" w:rsidRDefault="00331808" w:rsidP="004D0573">
                <w:pPr>
                  <w:tabs>
                    <w:tab w:val="left" w:pos="3122"/>
                    <w:tab w:val="right" w:pos="8838"/>
                  </w:tabs>
                  <w:spacing w:line="240" w:lineRule="auto"/>
                  <w:ind w:left="-105" w:right="-105"/>
                  <w:rPr>
                    <w:rFonts w:eastAsia="Calibri" w:cs="Tahoma"/>
                    <w:szCs w:val="22"/>
                    <w:lang w:eastAsia="en-US"/>
                  </w:rPr>
                </w:pPr>
              </w:p>
            </w:tc>
          </w:tr>
          <w:bookmarkEnd w:id="2"/>
          <w:tr w:rsidR="00331808" w:rsidRPr="00330DA7" w14:paraId="00E6CDC1" w14:textId="77777777" w:rsidTr="004D0573">
            <w:trPr>
              <w:trHeight w:val="283"/>
            </w:trPr>
            <w:tc>
              <w:tcPr>
                <w:tcW w:w="2727" w:type="dxa"/>
              </w:tcPr>
              <w:p w14:paraId="0631AD24" w14:textId="77777777" w:rsidR="00331808" w:rsidRPr="00330DA7" w:rsidRDefault="0033180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49D2F87" w:rsidR="00331808" w:rsidRPr="004D0573" w:rsidRDefault="00331808" w:rsidP="00FB374B">
                <w:pPr>
                  <w:tabs>
                    <w:tab w:val="right" w:pos="8838"/>
                  </w:tabs>
                  <w:spacing w:line="240" w:lineRule="auto"/>
                  <w:ind w:left="-74" w:right="-105"/>
                  <w:rPr>
                    <w:rFonts w:eastAsia="Calibri" w:cs="Tahoma"/>
                    <w:szCs w:val="22"/>
                    <w:lang w:eastAsia="en-US"/>
                  </w:rPr>
                </w:pPr>
                <w:r w:rsidRPr="001429DC">
                  <w:rPr>
                    <w:rFonts w:eastAsia="Calibri" w:cs="Tahoma"/>
                    <w:szCs w:val="22"/>
                    <w:lang w:eastAsia="en-US"/>
                  </w:rPr>
                  <w:t>Ayuntamiento de Atlacomulco</w:t>
                </w:r>
              </w:p>
            </w:tc>
            <w:tc>
              <w:tcPr>
                <w:tcW w:w="3402" w:type="dxa"/>
              </w:tcPr>
              <w:p w14:paraId="3A7DA319" w14:textId="77777777" w:rsidR="00331808" w:rsidRPr="00A90C72" w:rsidRDefault="00331808" w:rsidP="004D0573">
                <w:pPr>
                  <w:tabs>
                    <w:tab w:val="left" w:pos="2834"/>
                    <w:tab w:val="right" w:pos="8838"/>
                  </w:tabs>
                  <w:spacing w:line="240" w:lineRule="auto"/>
                  <w:ind w:left="-108" w:right="-105"/>
                  <w:rPr>
                    <w:rFonts w:eastAsia="Calibri" w:cs="Tahoma"/>
                    <w:szCs w:val="22"/>
                    <w:lang w:eastAsia="en-US"/>
                  </w:rPr>
                </w:pPr>
              </w:p>
            </w:tc>
          </w:tr>
          <w:tr w:rsidR="00331808" w:rsidRPr="00330DA7" w14:paraId="0F6CD8D2" w14:textId="77777777" w:rsidTr="004D0573">
            <w:trPr>
              <w:trHeight w:val="283"/>
            </w:trPr>
            <w:tc>
              <w:tcPr>
                <w:tcW w:w="2727" w:type="dxa"/>
              </w:tcPr>
              <w:p w14:paraId="31700628" w14:textId="0565A62A" w:rsidR="00331808" w:rsidRPr="00330DA7" w:rsidRDefault="00331808"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31808" w:rsidRPr="00EA66FC" w:rsidRDefault="00331808"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31808" w:rsidRPr="00330DA7" w:rsidRDefault="00331808" w:rsidP="004D0573">
                <w:pPr>
                  <w:tabs>
                    <w:tab w:val="right" w:pos="8838"/>
                  </w:tabs>
                  <w:spacing w:line="240" w:lineRule="auto"/>
                  <w:ind w:left="-108" w:right="-105"/>
                  <w:rPr>
                    <w:rFonts w:eastAsia="Calibri" w:cs="Tahoma"/>
                    <w:szCs w:val="22"/>
                    <w:lang w:eastAsia="en-US"/>
                  </w:rPr>
                </w:pPr>
              </w:p>
            </w:tc>
          </w:tr>
        </w:tbl>
        <w:p w14:paraId="5DC6AC61" w14:textId="77777777" w:rsidR="00331808" w:rsidRPr="00330DA7" w:rsidRDefault="00331808" w:rsidP="004D0573">
          <w:pPr>
            <w:tabs>
              <w:tab w:val="right" w:pos="8838"/>
            </w:tabs>
            <w:ind w:left="-28"/>
            <w:rPr>
              <w:rFonts w:ascii="Arial" w:eastAsia="Calibri" w:hAnsi="Arial" w:cs="Arial"/>
              <w:b/>
              <w:szCs w:val="22"/>
              <w:lang w:eastAsia="en-US"/>
            </w:rPr>
          </w:pPr>
        </w:p>
      </w:tc>
    </w:tr>
  </w:tbl>
  <w:p w14:paraId="2A906731" w14:textId="77777777" w:rsidR="00331808" w:rsidRPr="00765661" w:rsidRDefault="00250DD0"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A84E0F"/>
    <w:multiLevelType w:val="hybridMultilevel"/>
    <w:tmpl w:val="B2A26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1A566E"/>
    <w:multiLevelType w:val="hybridMultilevel"/>
    <w:tmpl w:val="D346B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6C187E"/>
    <w:multiLevelType w:val="hybridMultilevel"/>
    <w:tmpl w:val="891C7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5E5673"/>
    <w:multiLevelType w:val="hybridMultilevel"/>
    <w:tmpl w:val="211A6CE6"/>
    <w:lvl w:ilvl="0" w:tplc="7472DC5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7" w15:restartNumberingAfterBreak="0">
    <w:nsid w:val="2C6B48AA"/>
    <w:multiLevelType w:val="hybridMultilevel"/>
    <w:tmpl w:val="C7EA02E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398C5E50"/>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4C91165"/>
    <w:multiLevelType w:val="hybridMultilevel"/>
    <w:tmpl w:val="EDEC20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EE6D68"/>
    <w:multiLevelType w:val="hybridMultilevel"/>
    <w:tmpl w:val="EA8A4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DD51A31"/>
    <w:multiLevelType w:val="hybridMultilevel"/>
    <w:tmpl w:val="BBEA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F00085"/>
    <w:multiLevelType w:val="hybridMultilevel"/>
    <w:tmpl w:val="0F96319E"/>
    <w:lvl w:ilvl="0" w:tplc="7A64C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41053C"/>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0C211C"/>
    <w:multiLevelType w:val="multilevel"/>
    <w:tmpl w:val="C616C03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36"/>
  </w:num>
  <w:num w:numId="4">
    <w:abstractNumId w:val="12"/>
  </w:num>
  <w:num w:numId="5">
    <w:abstractNumId w:val="2"/>
  </w:num>
  <w:num w:numId="6">
    <w:abstractNumId w:val="38"/>
  </w:num>
  <w:num w:numId="7">
    <w:abstractNumId w:val="23"/>
  </w:num>
  <w:num w:numId="8">
    <w:abstractNumId w:val="7"/>
  </w:num>
  <w:num w:numId="9">
    <w:abstractNumId w:val="22"/>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15"/>
  </w:num>
  <w:num w:numId="13">
    <w:abstractNumId w:val="0"/>
  </w:num>
  <w:num w:numId="14">
    <w:abstractNumId w:val="6"/>
  </w:num>
  <w:num w:numId="15">
    <w:abstractNumId w:val="24"/>
  </w:num>
  <w:num w:numId="16">
    <w:abstractNumId w:val="34"/>
  </w:num>
  <w:num w:numId="17">
    <w:abstractNumId w:val="32"/>
  </w:num>
  <w:num w:numId="18">
    <w:abstractNumId w:val="4"/>
  </w:num>
  <w:num w:numId="19">
    <w:abstractNumId w:val="3"/>
  </w:num>
  <w:num w:numId="20">
    <w:abstractNumId w:val="39"/>
  </w:num>
  <w:num w:numId="21">
    <w:abstractNumId w:val="5"/>
  </w:num>
  <w:num w:numId="22">
    <w:abstractNumId w:val="28"/>
  </w:num>
  <w:num w:numId="23">
    <w:abstractNumId w:val="35"/>
  </w:num>
  <w:num w:numId="24">
    <w:abstractNumId w:val="14"/>
  </w:num>
  <w:num w:numId="25">
    <w:abstractNumId w:val="9"/>
  </w:num>
  <w:num w:numId="26">
    <w:abstractNumId w:val="29"/>
  </w:num>
  <w:num w:numId="27">
    <w:abstractNumId w:val="21"/>
  </w:num>
  <w:num w:numId="28">
    <w:abstractNumId w:val="18"/>
  </w:num>
  <w:num w:numId="29">
    <w:abstractNumId w:val="8"/>
  </w:num>
  <w:num w:numId="30">
    <w:abstractNumId w:val="30"/>
  </w:num>
  <w:num w:numId="31">
    <w:abstractNumId w:val="33"/>
  </w:num>
  <w:num w:numId="32">
    <w:abstractNumId w:val="17"/>
  </w:num>
  <w:num w:numId="33">
    <w:abstractNumId w:val="1"/>
  </w:num>
  <w:num w:numId="34">
    <w:abstractNumId w:val="31"/>
  </w:num>
  <w:num w:numId="35">
    <w:abstractNumId w:val="27"/>
  </w:num>
  <w:num w:numId="36">
    <w:abstractNumId w:val="40"/>
  </w:num>
  <w:num w:numId="37">
    <w:abstractNumId w:val="26"/>
  </w:num>
  <w:num w:numId="38">
    <w:abstractNumId w:val="13"/>
  </w:num>
  <w:num w:numId="39">
    <w:abstractNumId w:val="10"/>
  </w:num>
  <w:num w:numId="40">
    <w:abstractNumId w:val="20"/>
  </w:num>
  <w:num w:numId="41">
    <w:abstractNumId w:val="3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A12"/>
    <w:rsid w:val="0002620C"/>
    <w:rsid w:val="000318BC"/>
    <w:rsid w:val="00042252"/>
    <w:rsid w:val="00057B2D"/>
    <w:rsid w:val="00062C7C"/>
    <w:rsid w:val="00065518"/>
    <w:rsid w:val="00075A17"/>
    <w:rsid w:val="000777E2"/>
    <w:rsid w:val="00080071"/>
    <w:rsid w:val="000C1743"/>
    <w:rsid w:val="000D0D67"/>
    <w:rsid w:val="000E09C4"/>
    <w:rsid w:val="000F7466"/>
    <w:rsid w:val="001038C0"/>
    <w:rsid w:val="001051DF"/>
    <w:rsid w:val="0011350D"/>
    <w:rsid w:val="00120950"/>
    <w:rsid w:val="00127130"/>
    <w:rsid w:val="00135056"/>
    <w:rsid w:val="00141876"/>
    <w:rsid w:val="00141B4F"/>
    <w:rsid w:val="0014207B"/>
    <w:rsid w:val="001429DC"/>
    <w:rsid w:val="00150C49"/>
    <w:rsid w:val="00167822"/>
    <w:rsid w:val="0018168C"/>
    <w:rsid w:val="00191E95"/>
    <w:rsid w:val="001A0080"/>
    <w:rsid w:val="001A58B3"/>
    <w:rsid w:val="001C6BE2"/>
    <w:rsid w:val="001C7688"/>
    <w:rsid w:val="001D56CC"/>
    <w:rsid w:val="001E0CFD"/>
    <w:rsid w:val="001F27F4"/>
    <w:rsid w:val="001F3515"/>
    <w:rsid w:val="002015AE"/>
    <w:rsid w:val="00233005"/>
    <w:rsid w:val="00233166"/>
    <w:rsid w:val="00233F17"/>
    <w:rsid w:val="00237120"/>
    <w:rsid w:val="00245D19"/>
    <w:rsid w:val="002508FD"/>
    <w:rsid w:val="00250DD0"/>
    <w:rsid w:val="0025745F"/>
    <w:rsid w:val="00272BC7"/>
    <w:rsid w:val="00276F7D"/>
    <w:rsid w:val="00277DDD"/>
    <w:rsid w:val="0029275B"/>
    <w:rsid w:val="002958FA"/>
    <w:rsid w:val="002961A6"/>
    <w:rsid w:val="0029641C"/>
    <w:rsid w:val="002A3601"/>
    <w:rsid w:val="002B1D44"/>
    <w:rsid w:val="002B7C6F"/>
    <w:rsid w:val="002D111C"/>
    <w:rsid w:val="002D2940"/>
    <w:rsid w:val="002D3F44"/>
    <w:rsid w:val="002E35E7"/>
    <w:rsid w:val="002F6393"/>
    <w:rsid w:val="00302476"/>
    <w:rsid w:val="00331808"/>
    <w:rsid w:val="00331F35"/>
    <w:rsid w:val="00335CDF"/>
    <w:rsid w:val="00362A11"/>
    <w:rsid w:val="00364616"/>
    <w:rsid w:val="00366439"/>
    <w:rsid w:val="0037749F"/>
    <w:rsid w:val="00380554"/>
    <w:rsid w:val="003905C6"/>
    <w:rsid w:val="003A40C1"/>
    <w:rsid w:val="003B0255"/>
    <w:rsid w:val="003B5D3E"/>
    <w:rsid w:val="003C6ACB"/>
    <w:rsid w:val="003D6EDC"/>
    <w:rsid w:val="003E6B8A"/>
    <w:rsid w:val="003F35FD"/>
    <w:rsid w:val="003F52DA"/>
    <w:rsid w:val="0041385B"/>
    <w:rsid w:val="0041482F"/>
    <w:rsid w:val="00416357"/>
    <w:rsid w:val="0042595F"/>
    <w:rsid w:val="00441BFA"/>
    <w:rsid w:val="00444DE3"/>
    <w:rsid w:val="004453B1"/>
    <w:rsid w:val="00446E75"/>
    <w:rsid w:val="00454FBD"/>
    <w:rsid w:val="004565C2"/>
    <w:rsid w:val="00460971"/>
    <w:rsid w:val="004613EC"/>
    <w:rsid w:val="004623C3"/>
    <w:rsid w:val="00491201"/>
    <w:rsid w:val="004966E6"/>
    <w:rsid w:val="00497146"/>
    <w:rsid w:val="004B326A"/>
    <w:rsid w:val="004C43D3"/>
    <w:rsid w:val="004D0573"/>
    <w:rsid w:val="004D3B27"/>
    <w:rsid w:val="004D7CD8"/>
    <w:rsid w:val="004E5068"/>
    <w:rsid w:val="004F4DD8"/>
    <w:rsid w:val="004F7A00"/>
    <w:rsid w:val="00502563"/>
    <w:rsid w:val="00505ACC"/>
    <w:rsid w:val="00523E60"/>
    <w:rsid w:val="00523F48"/>
    <w:rsid w:val="005365FA"/>
    <w:rsid w:val="00550AB5"/>
    <w:rsid w:val="005544D3"/>
    <w:rsid w:val="0055624C"/>
    <w:rsid w:val="005607BB"/>
    <w:rsid w:val="005654F8"/>
    <w:rsid w:val="005723CB"/>
    <w:rsid w:val="0057464A"/>
    <w:rsid w:val="00575400"/>
    <w:rsid w:val="00591A20"/>
    <w:rsid w:val="005A5B2F"/>
    <w:rsid w:val="005B18AF"/>
    <w:rsid w:val="005C4AB5"/>
    <w:rsid w:val="005D488E"/>
    <w:rsid w:val="005D5A50"/>
    <w:rsid w:val="005E6DE3"/>
    <w:rsid w:val="005F5301"/>
    <w:rsid w:val="005F65B7"/>
    <w:rsid w:val="006067C7"/>
    <w:rsid w:val="006159AD"/>
    <w:rsid w:val="00623AA5"/>
    <w:rsid w:val="00626E9D"/>
    <w:rsid w:val="006414F2"/>
    <w:rsid w:val="00645515"/>
    <w:rsid w:val="00646436"/>
    <w:rsid w:val="00657603"/>
    <w:rsid w:val="00664420"/>
    <w:rsid w:val="0068301E"/>
    <w:rsid w:val="006A3EA5"/>
    <w:rsid w:val="006A646A"/>
    <w:rsid w:val="006B10B0"/>
    <w:rsid w:val="006B7135"/>
    <w:rsid w:val="006E13CF"/>
    <w:rsid w:val="006E25BC"/>
    <w:rsid w:val="006E6BBC"/>
    <w:rsid w:val="006F69AA"/>
    <w:rsid w:val="006F7768"/>
    <w:rsid w:val="007019CA"/>
    <w:rsid w:val="00717E59"/>
    <w:rsid w:val="007517BD"/>
    <w:rsid w:val="0075669F"/>
    <w:rsid w:val="0075751F"/>
    <w:rsid w:val="00773DD6"/>
    <w:rsid w:val="00775BFC"/>
    <w:rsid w:val="00783191"/>
    <w:rsid w:val="00790581"/>
    <w:rsid w:val="00790EB8"/>
    <w:rsid w:val="00794BA5"/>
    <w:rsid w:val="007A2B8D"/>
    <w:rsid w:val="007A3459"/>
    <w:rsid w:val="007A4131"/>
    <w:rsid w:val="007A7050"/>
    <w:rsid w:val="007B3B86"/>
    <w:rsid w:val="007B4B4C"/>
    <w:rsid w:val="007B6074"/>
    <w:rsid w:val="007C052E"/>
    <w:rsid w:val="007D1C55"/>
    <w:rsid w:val="007D1C84"/>
    <w:rsid w:val="007D317F"/>
    <w:rsid w:val="007E07E1"/>
    <w:rsid w:val="007E5BC2"/>
    <w:rsid w:val="007F5D06"/>
    <w:rsid w:val="00803FA3"/>
    <w:rsid w:val="00805A6E"/>
    <w:rsid w:val="00811211"/>
    <w:rsid w:val="00823BA5"/>
    <w:rsid w:val="00826C28"/>
    <w:rsid w:val="00831728"/>
    <w:rsid w:val="00864CC1"/>
    <w:rsid w:val="00865CF4"/>
    <w:rsid w:val="00866B0A"/>
    <w:rsid w:val="008673C6"/>
    <w:rsid w:val="00876DBC"/>
    <w:rsid w:val="00881072"/>
    <w:rsid w:val="00892F72"/>
    <w:rsid w:val="008971BF"/>
    <w:rsid w:val="008A6003"/>
    <w:rsid w:val="008A6F88"/>
    <w:rsid w:val="008B1E16"/>
    <w:rsid w:val="008B3144"/>
    <w:rsid w:val="008E1316"/>
    <w:rsid w:val="008E6224"/>
    <w:rsid w:val="008F2666"/>
    <w:rsid w:val="0090467C"/>
    <w:rsid w:val="00904ADB"/>
    <w:rsid w:val="00910FD2"/>
    <w:rsid w:val="0091424D"/>
    <w:rsid w:val="0092671E"/>
    <w:rsid w:val="00931437"/>
    <w:rsid w:val="00936B5A"/>
    <w:rsid w:val="00953430"/>
    <w:rsid w:val="00970EB3"/>
    <w:rsid w:val="00976247"/>
    <w:rsid w:val="00993ED0"/>
    <w:rsid w:val="009977C3"/>
    <w:rsid w:val="009A05A8"/>
    <w:rsid w:val="009A2D78"/>
    <w:rsid w:val="009A7C10"/>
    <w:rsid w:val="009B2945"/>
    <w:rsid w:val="009C38D1"/>
    <w:rsid w:val="009D5576"/>
    <w:rsid w:val="009E2DEE"/>
    <w:rsid w:val="009F797C"/>
    <w:rsid w:val="00A131AC"/>
    <w:rsid w:val="00A16D85"/>
    <w:rsid w:val="00A21A20"/>
    <w:rsid w:val="00A35DA7"/>
    <w:rsid w:val="00A36A99"/>
    <w:rsid w:val="00A53315"/>
    <w:rsid w:val="00A63966"/>
    <w:rsid w:val="00A6669B"/>
    <w:rsid w:val="00A70EF0"/>
    <w:rsid w:val="00A76102"/>
    <w:rsid w:val="00A80BE5"/>
    <w:rsid w:val="00A815EA"/>
    <w:rsid w:val="00A9208D"/>
    <w:rsid w:val="00AA6EA9"/>
    <w:rsid w:val="00AC2DB8"/>
    <w:rsid w:val="00AC3CA0"/>
    <w:rsid w:val="00AE3DA7"/>
    <w:rsid w:val="00AE5AEF"/>
    <w:rsid w:val="00AF03C4"/>
    <w:rsid w:val="00B07B88"/>
    <w:rsid w:val="00B22A80"/>
    <w:rsid w:val="00B36848"/>
    <w:rsid w:val="00B4615A"/>
    <w:rsid w:val="00B568AC"/>
    <w:rsid w:val="00B6513E"/>
    <w:rsid w:val="00B65555"/>
    <w:rsid w:val="00B66795"/>
    <w:rsid w:val="00B7033E"/>
    <w:rsid w:val="00B975DD"/>
    <w:rsid w:val="00BA1AB6"/>
    <w:rsid w:val="00BA55A8"/>
    <w:rsid w:val="00BB2ABF"/>
    <w:rsid w:val="00BB3323"/>
    <w:rsid w:val="00BB64F4"/>
    <w:rsid w:val="00BD1C3D"/>
    <w:rsid w:val="00BD2738"/>
    <w:rsid w:val="00BD3F4F"/>
    <w:rsid w:val="00BD5A7C"/>
    <w:rsid w:val="00BD7035"/>
    <w:rsid w:val="00BD7208"/>
    <w:rsid w:val="00BE7A1B"/>
    <w:rsid w:val="00BE7BFA"/>
    <w:rsid w:val="00BF0221"/>
    <w:rsid w:val="00BF091A"/>
    <w:rsid w:val="00BF39D0"/>
    <w:rsid w:val="00BF4EAD"/>
    <w:rsid w:val="00C00083"/>
    <w:rsid w:val="00C049E2"/>
    <w:rsid w:val="00C1583D"/>
    <w:rsid w:val="00C25B20"/>
    <w:rsid w:val="00C313F6"/>
    <w:rsid w:val="00C36795"/>
    <w:rsid w:val="00C43BF2"/>
    <w:rsid w:val="00C461EC"/>
    <w:rsid w:val="00C507D4"/>
    <w:rsid w:val="00C50AC4"/>
    <w:rsid w:val="00C62AA4"/>
    <w:rsid w:val="00C71CEF"/>
    <w:rsid w:val="00C72DAA"/>
    <w:rsid w:val="00C80B14"/>
    <w:rsid w:val="00C923A4"/>
    <w:rsid w:val="00CA0003"/>
    <w:rsid w:val="00CA50B3"/>
    <w:rsid w:val="00CB7C31"/>
    <w:rsid w:val="00CB7E9A"/>
    <w:rsid w:val="00CC3B64"/>
    <w:rsid w:val="00CD0B92"/>
    <w:rsid w:val="00CD3244"/>
    <w:rsid w:val="00CE1DFB"/>
    <w:rsid w:val="00CE29D3"/>
    <w:rsid w:val="00CE2F67"/>
    <w:rsid w:val="00CF203D"/>
    <w:rsid w:val="00CF2360"/>
    <w:rsid w:val="00CF2D8B"/>
    <w:rsid w:val="00CF7586"/>
    <w:rsid w:val="00CF7F0C"/>
    <w:rsid w:val="00D036D3"/>
    <w:rsid w:val="00D052EE"/>
    <w:rsid w:val="00D07C17"/>
    <w:rsid w:val="00D129E4"/>
    <w:rsid w:val="00D16E34"/>
    <w:rsid w:val="00D2790D"/>
    <w:rsid w:val="00D44B43"/>
    <w:rsid w:val="00D51B13"/>
    <w:rsid w:val="00D51ECD"/>
    <w:rsid w:val="00D5461D"/>
    <w:rsid w:val="00D6170E"/>
    <w:rsid w:val="00D91CB4"/>
    <w:rsid w:val="00D92152"/>
    <w:rsid w:val="00D932E2"/>
    <w:rsid w:val="00DB1C09"/>
    <w:rsid w:val="00DB67C9"/>
    <w:rsid w:val="00DC013B"/>
    <w:rsid w:val="00DE1133"/>
    <w:rsid w:val="00DE63D9"/>
    <w:rsid w:val="00DF4E89"/>
    <w:rsid w:val="00E10C48"/>
    <w:rsid w:val="00E11AA0"/>
    <w:rsid w:val="00E16BF5"/>
    <w:rsid w:val="00E34279"/>
    <w:rsid w:val="00E34712"/>
    <w:rsid w:val="00E37A3F"/>
    <w:rsid w:val="00E37D3C"/>
    <w:rsid w:val="00E62E6A"/>
    <w:rsid w:val="00E73A29"/>
    <w:rsid w:val="00E83EF5"/>
    <w:rsid w:val="00E92FE7"/>
    <w:rsid w:val="00E9335C"/>
    <w:rsid w:val="00EB16F1"/>
    <w:rsid w:val="00ED0CEC"/>
    <w:rsid w:val="00ED1C1E"/>
    <w:rsid w:val="00ED52E8"/>
    <w:rsid w:val="00EE2AF2"/>
    <w:rsid w:val="00EF5E2E"/>
    <w:rsid w:val="00F0405C"/>
    <w:rsid w:val="00F07EE6"/>
    <w:rsid w:val="00F33CC8"/>
    <w:rsid w:val="00F4481C"/>
    <w:rsid w:val="00F45902"/>
    <w:rsid w:val="00F54F05"/>
    <w:rsid w:val="00F602E0"/>
    <w:rsid w:val="00F615A7"/>
    <w:rsid w:val="00F6527B"/>
    <w:rsid w:val="00F71829"/>
    <w:rsid w:val="00F75D23"/>
    <w:rsid w:val="00FA5957"/>
    <w:rsid w:val="00FA69D4"/>
    <w:rsid w:val="00FB374B"/>
    <w:rsid w:val="00FC3CE0"/>
    <w:rsid w:val="00FD06A8"/>
    <w:rsid w:val="00FE1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8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 w:type="paragraph" w:styleId="Textoindependiente2">
    <w:name w:val="Body Text 2"/>
    <w:basedOn w:val="Normal"/>
    <w:link w:val="Textoindependiente2Car"/>
    <w:uiPriority w:val="99"/>
    <w:unhideWhenUsed/>
    <w:rsid w:val="004613EC"/>
    <w:pPr>
      <w:spacing w:after="120" w:line="480" w:lineRule="auto"/>
      <w:jc w:val="left"/>
    </w:pPr>
    <w:rPr>
      <w:rFonts w:ascii="Times New Roman" w:hAnsi="Times New Roman"/>
      <w:sz w:val="24"/>
      <w:szCs w:val="24"/>
      <w:lang w:eastAsia="es-MX"/>
    </w:rPr>
  </w:style>
  <w:style w:type="character" w:customStyle="1" w:styleId="Textoindependiente2Car">
    <w:name w:val="Texto independiente 2 Car"/>
    <w:basedOn w:val="Fuentedeprrafopredeter"/>
    <w:link w:val="Textoindependiente2"/>
    <w:uiPriority w:val="99"/>
    <w:rsid w:val="004613EC"/>
    <w:rPr>
      <w:rFonts w:ascii="Times New Roman" w:eastAsia="Times New Roman" w:hAnsi="Times New Roman" w:cs="Times New Roman"/>
      <w:kern w:val="0"/>
      <w:sz w:val="24"/>
      <w:szCs w:val="24"/>
      <w:lang w:eastAsia="es-MX"/>
      <w14:ligatures w14:val="none"/>
    </w:rPr>
  </w:style>
  <w:style w:type="character" w:styleId="Textoennegrita">
    <w:name w:val="Strong"/>
    <w:uiPriority w:val="22"/>
    <w:qFormat/>
    <w:rsid w:val="001A0080"/>
    <w:rPr>
      <w:b/>
      <w:bCs/>
    </w:rPr>
  </w:style>
  <w:style w:type="paragraph" w:customStyle="1" w:styleId="Texto">
    <w:name w:val="Texto"/>
    <w:basedOn w:val="Normal"/>
    <w:link w:val="TextoCar"/>
    <w:qFormat/>
    <w:rsid w:val="001A0080"/>
    <w:pPr>
      <w:spacing w:after="101" w:line="216" w:lineRule="exact"/>
      <w:ind w:firstLine="288"/>
    </w:pPr>
    <w:rPr>
      <w:rFonts w:ascii="Arial" w:hAnsi="Arial" w:cs="Arial"/>
      <w:sz w:val="18"/>
      <w:szCs w:val="18"/>
    </w:rPr>
  </w:style>
  <w:style w:type="character" w:customStyle="1" w:styleId="TextoCar">
    <w:name w:val="Texto Car"/>
    <w:link w:val="Texto"/>
    <w:locked/>
    <w:rsid w:val="001A0080"/>
    <w:rPr>
      <w:rFonts w:ascii="Arial" w:eastAsia="Times New Roman" w:hAnsi="Arial" w:cs="Arial"/>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404">
      <w:bodyDiv w:val="1"/>
      <w:marLeft w:val="0"/>
      <w:marRight w:val="0"/>
      <w:marTop w:val="0"/>
      <w:marBottom w:val="0"/>
      <w:divBdr>
        <w:top w:val="none" w:sz="0" w:space="0" w:color="auto"/>
        <w:left w:val="none" w:sz="0" w:space="0" w:color="auto"/>
        <w:bottom w:val="none" w:sz="0" w:space="0" w:color="auto"/>
        <w:right w:val="none" w:sz="0" w:space="0" w:color="auto"/>
      </w:divBdr>
    </w:div>
    <w:div w:id="104816175">
      <w:bodyDiv w:val="1"/>
      <w:marLeft w:val="0"/>
      <w:marRight w:val="0"/>
      <w:marTop w:val="0"/>
      <w:marBottom w:val="0"/>
      <w:divBdr>
        <w:top w:val="none" w:sz="0" w:space="0" w:color="auto"/>
        <w:left w:val="none" w:sz="0" w:space="0" w:color="auto"/>
        <w:bottom w:val="none" w:sz="0" w:space="0" w:color="auto"/>
        <w:right w:val="none" w:sz="0" w:space="0" w:color="auto"/>
      </w:divBdr>
    </w:div>
    <w:div w:id="361826494">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25731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97508804">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65640841">
      <w:bodyDiv w:val="1"/>
      <w:marLeft w:val="0"/>
      <w:marRight w:val="0"/>
      <w:marTop w:val="0"/>
      <w:marBottom w:val="0"/>
      <w:divBdr>
        <w:top w:val="none" w:sz="0" w:space="0" w:color="auto"/>
        <w:left w:val="none" w:sz="0" w:space="0" w:color="auto"/>
        <w:bottom w:val="none" w:sz="0" w:space="0" w:color="auto"/>
        <w:right w:val="none" w:sz="0" w:space="0" w:color="auto"/>
      </w:divBdr>
    </w:div>
    <w:div w:id="1382705787">
      <w:bodyDiv w:val="1"/>
      <w:marLeft w:val="0"/>
      <w:marRight w:val="0"/>
      <w:marTop w:val="0"/>
      <w:marBottom w:val="0"/>
      <w:divBdr>
        <w:top w:val="none" w:sz="0" w:space="0" w:color="auto"/>
        <w:left w:val="none" w:sz="0" w:space="0" w:color="auto"/>
        <w:bottom w:val="none" w:sz="0" w:space="0" w:color="auto"/>
        <w:right w:val="none" w:sz="0" w:space="0" w:color="auto"/>
      </w:divBdr>
      <w:divsChild>
        <w:div w:id="1739860906">
          <w:marLeft w:val="0"/>
          <w:marRight w:val="0"/>
          <w:marTop w:val="0"/>
          <w:marBottom w:val="0"/>
          <w:divBdr>
            <w:top w:val="none" w:sz="0" w:space="0" w:color="auto"/>
            <w:left w:val="none" w:sz="0" w:space="0" w:color="auto"/>
            <w:bottom w:val="none" w:sz="0" w:space="0" w:color="auto"/>
            <w:right w:val="none" w:sz="0" w:space="0" w:color="auto"/>
          </w:divBdr>
        </w:div>
      </w:divsChild>
    </w:div>
    <w:div w:id="1396313882">
      <w:bodyDiv w:val="1"/>
      <w:marLeft w:val="0"/>
      <w:marRight w:val="0"/>
      <w:marTop w:val="0"/>
      <w:marBottom w:val="0"/>
      <w:divBdr>
        <w:top w:val="none" w:sz="0" w:space="0" w:color="auto"/>
        <w:left w:val="none" w:sz="0" w:space="0" w:color="auto"/>
        <w:bottom w:val="none" w:sz="0" w:space="0" w:color="auto"/>
        <w:right w:val="none" w:sz="0" w:space="0" w:color="auto"/>
      </w:divBdr>
      <w:divsChild>
        <w:div w:id="682244345">
          <w:marLeft w:val="0"/>
          <w:marRight w:val="0"/>
          <w:marTop w:val="0"/>
          <w:marBottom w:val="0"/>
          <w:divBdr>
            <w:top w:val="none" w:sz="0" w:space="0" w:color="auto"/>
            <w:left w:val="none" w:sz="0" w:space="0" w:color="auto"/>
            <w:bottom w:val="none" w:sz="0" w:space="0" w:color="auto"/>
            <w:right w:val="none" w:sz="0" w:space="0" w:color="auto"/>
          </w:divBdr>
        </w:div>
      </w:divsChild>
    </w:div>
    <w:div w:id="1461418288">
      <w:bodyDiv w:val="1"/>
      <w:marLeft w:val="0"/>
      <w:marRight w:val="0"/>
      <w:marTop w:val="0"/>
      <w:marBottom w:val="0"/>
      <w:divBdr>
        <w:top w:val="none" w:sz="0" w:space="0" w:color="auto"/>
        <w:left w:val="none" w:sz="0" w:space="0" w:color="auto"/>
        <w:bottom w:val="none" w:sz="0" w:space="0" w:color="auto"/>
        <w:right w:val="none" w:sz="0" w:space="0" w:color="auto"/>
      </w:divBdr>
      <w:divsChild>
        <w:div w:id="1841964640">
          <w:marLeft w:val="0"/>
          <w:marRight w:val="0"/>
          <w:marTop w:val="0"/>
          <w:marBottom w:val="0"/>
          <w:divBdr>
            <w:top w:val="none" w:sz="0" w:space="0" w:color="auto"/>
            <w:left w:val="none" w:sz="0" w:space="0" w:color="auto"/>
            <w:bottom w:val="none" w:sz="0" w:space="0" w:color="auto"/>
            <w:right w:val="none" w:sz="0" w:space="0" w:color="auto"/>
          </w:divBdr>
        </w:div>
      </w:divsChild>
    </w:div>
    <w:div w:id="1797020086">
      <w:bodyDiv w:val="1"/>
      <w:marLeft w:val="0"/>
      <w:marRight w:val="0"/>
      <w:marTop w:val="0"/>
      <w:marBottom w:val="0"/>
      <w:divBdr>
        <w:top w:val="none" w:sz="0" w:space="0" w:color="auto"/>
        <w:left w:val="none" w:sz="0" w:space="0" w:color="auto"/>
        <w:bottom w:val="none" w:sz="0" w:space="0" w:color="auto"/>
        <w:right w:val="none" w:sz="0" w:space="0" w:color="auto"/>
      </w:divBdr>
    </w:div>
    <w:div w:id="1857301594">
      <w:bodyDiv w:val="1"/>
      <w:marLeft w:val="0"/>
      <w:marRight w:val="0"/>
      <w:marTop w:val="0"/>
      <w:marBottom w:val="0"/>
      <w:divBdr>
        <w:top w:val="none" w:sz="0" w:space="0" w:color="auto"/>
        <w:left w:val="none" w:sz="0" w:space="0" w:color="auto"/>
        <w:bottom w:val="none" w:sz="0" w:space="0" w:color="auto"/>
        <w:right w:val="none" w:sz="0" w:space="0" w:color="auto"/>
      </w:divBdr>
      <w:divsChild>
        <w:div w:id="1649548673">
          <w:marLeft w:val="0"/>
          <w:marRight w:val="0"/>
          <w:marTop w:val="0"/>
          <w:marBottom w:val="0"/>
          <w:divBdr>
            <w:top w:val="none" w:sz="0" w:space="0" w:color="auto"/>
            <w:left w:val="none" w:sz="0" w:space="0" w:color="auto"/>
            <w:bottom w:val="none" w:sz="0" w:space="0" w:color="auto"/>
            <w:right w:val="none" w:sz="0" w:space="0" w:color="auto"/>
          </w:divBdr>
        </w:div>
      </w:divsChild>
    </w:div>
    <w:div w:id="20681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19563-43DD-42D9-9D18-55D910D8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8774</Words>
  <Characters>48263</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2025-03-28T20:27:00Z</cp:lastPrinted>
  <dcterms:created xsi:type="dcterms:W3CDTF">2025-03-24T23:34:00Z</dcterms:created>
  <dcterms:modified xsi:type="dcterms:W3CDTF">2025-03-28T20:27:00Z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