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42" w:rsidRPr="008F698B" w:rsidRDefault="0032471D">
      <w:pPr>
        <w:spacing w:before="240" w:after="240"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t>Reso</w:t>
      </w:r>
      <w:bookmarkStart w:id="0" w:name="_GoBack"/>
      <w:bookmarkEnd w:id="0"/>
      <w:r w:rsidRPr="008F698B">
        <w:rPr>
          <w:rFonts w:ascii="Palatino Linotype" w:eastAsia="Palatino Linotype" w:hAnsi="Palatino Linotype" w:cs="Palatino Linotype"/>
          <w:sz w:val="24"/>
          <w:szCs w:val="24"/>
        </w:rPr>
        <w:t>lución del Pleno del Instituto de Transparencia, Acceso a la Información Pública y Protección de Datos Personales del Estado de México y Municipios, con domicilio en Metepec, Estado de México; de fecha veinte (20) de marzo de dos mil veinticinco.</w:t>
      </w:r>
    </w:p>
    <w:p w:rsidR="00871442" w:rsidRPr="008F698B" w:rsidRDefault="0032471D">
      <w:pPr>
        <w:pBdr>
          <w:top w:val="nil"/>
          <w:left w:val="nil"/>
          <w:bottom w:val="nil"/>
          <w:right w:val="nil"/>
          <w:between w:val="nil"/>
        </w:pBdr>
        <w:tabs>
          <w:tab w:val="center" w:pos="4419"/>
          <w:tab w:val="right" w:pos="8838"/>
        </w:tabs>
        <w:spacing w:line="360" w:lineRule="auto"/>
        <w:ind w:right="-592"/>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VISTO el</w:t>
      </w:r>
      <w:r w:rsidRPr="008F698B">
        <w:rPr>
          <w:rFonts w:ascii="Palatino Linotype" w:eastAsia="Palatino Linotype" w:hAnsi="Palatino Linotype" w:cs="Palatino Linotype"/>
          <w:color w:val="000000"/>
          <w:sz w:val="24"/>
          <w:szCs w:val="24"/>
        </w:rPr>
        <w:t xml:space="preserve"> expediente electrónico formado con motivo del recurso de revisión </w:t>
      </w:r>
      <w:r w:rsidRPr="008F698B">
        <w:rPr>
          <w:rFonts w:ascii="Palatino Linotype" w:eastAsia="Palatino Linotype" w:hAnsi="Palatino Linotype" w:cs="Palatino Linotype"/>
          <w:b/>
          <w:color w:val="000000"/>
          <w:sz w:val="24"/>
          <w:szCs w:val="24"/>
        </w:rPr>
        <w:t xml:space="preserve">06418/INFOEM/IP/RR/2024, </w:t>
      </w:r>
      <w:r w:rsidRPr="008F698B">
        <w:rPr>
          <w:rFonts w:ascii="Palatino Linotype" w:eastAsia="Palatino Linotype" w:hAnsi="Palatino Linotype" w:cs="Palatino Linotype"/>
          <w:color w:val="000000"/>
          <w:sz w:val="24"/>
          <w:szCs w:val="24"/>
        </w:rPr>
        <w:t xml:space="preserve">promovido por </w:t>
      </w:r>
      <w:r w:rsidR="003D2C82">
        <w:rPr>
          <w:rFonts w:ascii="Palatino Linotype" w:eastAsia="Palatino Linotype" w:hAnsi="Palatino Linotype" w:cs="Palatino Linotype"/>
          <w:b/>
          <w:color w:val="000000"/>
          <w:sz w:val="24"/>
          <w:szCs w:val="24"/>
        </w:rPr>
        <w:t>XXXX</w:t>
      </w:r>
      <w:r w:rsidRPr="008F698B">
        <w:rPr>
          <w:rFonts w:ascii="Palatino Linotype" w:eastAsia="Palatino Linotype" w:hAnsi="Palatino Linotype" w:cs="Palatino Linotype"/>
          <w:b/>
          <w:color w:val="000000"/>
          <w:sz w:val="24"/>
          <w:szCs w:val="24"/>
        </w:rPr>
        <w:t>,</w:t>
      </w:r>
      <w:r w:rsidRPr="008F698B">
        <w:rPr>
          <w:rFonts w:ascii="Palatino Linotype" w:eastAsia="Palatino Linotype" w:hAnsi="Palatino Linotype" w:cs="Palatino Linotype"/>
          <w:color w:val="000000"/>
          <w:sz w:val="24"/>
          <w:szCs w:val="24"/>
        </w:rPr>
        <w:t xml:space="preserve"> y que se identificará</w:t>
      </w:r>
      <w:r w:rsidRPr="008F698B">
        <w:rPr>
          <w:rFonts w:ascii="Palatino Linotype" w:eastAsia="Palatino Linotype" w:hAnsi="Palatino Linotype" w:cs="Palatino Linotype"/>
          <w:sz w:val="24"/>
          <w:szCs w:val="24"/>
        </w:rPr>
        <w:t xml:space="preserve"> </w:t>
      </w:r>
      <w:r w:rsidR="00C6467F" w:rsidRPr="008F698B">
        <w:rPr>
          <w:rFonts w:ascii="Palatino Linotype" w:eastAsia="Palatino Linotype" w:hAnsi="Palatino Linotype" w:cs="Palatino Linotype"/>
          <w:sz w:val="24"/>
          <w:szCs w:val="24"/>
        </w:rPr>
        <w:t xml:space="preserve">como el </w:t>
      </w:r>
      <w:r w:rsidRPr="008F698B">
        <w:rPr>
          <w:rFonts w:ascii="Palatino Linotype" w:eastAsia="Palatino Linotype" w:hAnsi="Palatino Linotype" w:cs="Palatino Linotype"/>
          <w:b/>
          <w:color w:val="000000"/>
          <w:sz w:val="24"/>
          <w:szCs w:val="24"/>
        </w:rPr>
        <w:t>RECURRENTE</w:t>
      </w:r>
      <w:r w:rsidRPr="008F698B">
        <w:rPr>
          <w:rFonts w:ascii="Palatino Linotype" w:eastAsia="Palatino Linotype" w:hAnsi="Palatino Linotype" w:cs="Palatino Linotype"/>
          <w:color w:val="000000"/>
          <w:sz w:val="24"/>
          <w:szCs w:val="24"/>
        </w:rPr>
        <w:t xml:space="preserve">, en contra de la respuesta del </w:t>
      </w:r>
      <w:r w:rsidRPr="008F698B">
        <w:rPr>
          <w:rFonts w:ascii="Palatino Linotype" w:eastAsia="Palatino Linotype" w:hAnsi="Palatino Linotype" w:cs="Palatino Linotype"/>
          <w:b/>
          <w:color w:val="000000"/>
          <w:sz w:val="24"/>
          <w:szCs w:val="24"/>
        </w:rPr>
        <w:t>Ayuntamiento de Ecatepec de Morelos</w:t>
      </w:r>
      <w:r w:rsidRPr="008F698B">
        <w:rPr>
          <w:rFonts w:ascii="Palatino Linotype" w:eastAsia="Palatino Linotype" w:hAnsi="Palatino Linotype" w:cs="Palatino Linotype"/>
          <w:color w:val="000000"/>
          <w:sz w:val="24"/>
          <w:szCs w:val="24"/>
        </w:rPr>
        <w:t>,</w:t>
      </w:r>
      <w:r w:rsidRPr="008F698B">
        <w:rPr>
          <w:rFonts w:ascii="Palatino Linotype" w:eastAsia="Palatino Linotype" w:hAnsi="Palatino Linotype" w:cs="Palatino Linotype"/>
          <w:b/>
          <w:color w:val="000000"/>
          <w:sz w:val="24"/>
          <w:szCs w:val="24"/>
        </w:rPr>
        <w:t xml:space="preserve"> </w:t>
      </w:r>
      <w:r w:rsidRPr="008F698B">
        <w:rPr>
          <w:rFonts w:ascii="Palatino Linotype" w:eastAsia="Palatino Linotype" w:hAnsi="Palatino Linotype" w:cs="Palatino Linotype"/>
          <w:color w:val="000000"/>
          <w:sz w:val="24"/>
          <w:szCs w:val="24"/>
        </w:rPr>
        <w:t>en lo sucesivo el</w:t>
      </w:r>
      <w:r w:rsidRPr="008F698B">
        <w:rPr>
          <w:rFonts w:ascii="Palatino Linotype" w:eastAsia="Palatino Linotype" w:hAnsi="Palatino Linotype" w:cs="Palatino Linotype"/>
          <w:b/>
          <w:color w:val="000000"/>
          <w:sz w:val="24"/>
          <w:szCs w:val="24"/>
        </w:rPr>
        <w:t xml:space="preserve"> SUJETO OBLIGADO, </w:t>
      </w:r>
      <w:r w:rsidRPr="008F698B">
        <w:rPr>
          <w:rFonts w:ascii="Palatino Linotype" w:eastAsia="Palatino Linotype" w:hAnsi="Palatino Linotype" w:cs="Palatino Linotype"/>
          <w:color w:val="000000"/>
          <w:sz w:val="24"/>
          <w:szCs w:val="24"/>
        </w:rPr>
        <w:t>se procede a dictar la presente resolución, con base en los siguientes:</w:t>
      </w:r>
    </w:p>
    <w:p w:rsidR="00871442" w:rsidRPr="008F698B" w:rsidRDefault="0032471D">
      <w:pPr>
        <w:pStyle w:val="Ttulo1"/>
        <w:ind w:right="-592"/>
        <w:jc w:val="center"/>
        <w:rPr>
          <w:rFonts w:ascii="Palatino Linotype" w:eastAsia="Palatino Linotype" w:hAnsi="Palatino Linotype" w:cs="Palatino Linotype"/>
          <w:b/>
          <w:color w:val="000000"/>
          <w:sz w:val="24"/>
          <w:szCs w:val="24"/>
        </w:rPr>
      </w:pPr>
      <w:bookmarkStart w:id="1" w:name="_heading=h.gjdgxs" w:colFirst="0" w:colLast="0"/>
      <w:bookmarkEnd w:id="1"/>
      <w:r w:rsidRPr="008F698B">
        <w:rPr>
          <w:rFonts w:ascii="Palatino Linotype" w:eastAsia="Palatino Linotype" w:hAnsi="Palatino Linotype" w:cs="Palatino Linotype"/>
          <w:b/>
          <w:color w:val="000000"/>
          <w:sz w:val="24"/>
          <w:szCs w:val="24"/>
        </w:rPr>
        <w:t xml:space="preserve">A N T E C E D E N T E S </w:t>
      </w:r>
    </w:p>
    <w:p w:rsidR="00871442" w:rsidRPr="008F698B" w:rsidRDefault="00871442">
      <w:pPr>
        <w:ind w:right="-592"/>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b/>
          <w:color w:val="000000"/>
          <w:sz w:val="24"/>
          <w:szCs w:val="24"/>
        </w:rPr>
        <w:t>veintisiete de septiembre de dos mil veinticuatro</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b/>
          <w:color w:val="000000"/>
          <w:sz w:val="24"/>
          <w:szCs w:val="24"/>
        </w:rPr>
        <w:t xml:space="preserve">EL RECURRENTE </w:t>
      </w:r>
      <w:r w:rsidRPr="008F698B">
        <w:rPr>
          <w:rFonts w:ascii="Palatino Linotype" w:eastAsia="Palatino Linotype" w:hAnsi="Palatino Linotype" w:cs="Palatino Linotype"/>
          <w:color w:val="000000"/>
          <w:sz w:val="24"/>
          <w:szCs w:val="24"/>
        </w:rPr>
        <w:t>presentó</w:t>
      </w:r>
      <w:r w:rsidRPr="008F698B">
        <w:rPr>
          <w:rFonts w:ascii="Palatino Linotype" w:eastAsia="Palatino Linotype" w:hAnsi="Palatino Linotype" w:cs="Palatino Linotype"/>
          <w:b/>
          <w:color w:val="000000"/>
          <w:sz w:val="24"/>
          <w:szCs w:val="24"/>
        </w:rPr>
        <w:t>,</w:t>
      </w:r>
      <w:r w:rsidRPr="008F698B">
        <w:rPr>
          <w:rFonts w:ascii="Palatino Linotype" w:eastAsia="Palatino Linotype" w:hAnsi="Palatino Linotype" w:cs="Palatino Linotype"/>
          <w:color w:val="000000"/>
          <w:sz w:val="24"/>
          <w:szCs w:val="24"/>
        </w:rPr>
        <w:t xml:space="preserve"> ante el </w:t>
      </w:r>
      <w:r w:rsidRPr="008F698B">
        <w:rPr>
          <w:rFonts w:ascii="Palatino Linotype" w:eastAsia="Palatino Linotype" w:hAnsi="Palatino Linotype" w:cs="Palatino Linotype"/>
          <w:b/>
          <w:color w:val="000000"/>
          <w:sz w:val="24"/>
          <w:szCs w:val="24"/>
        </w:rPr>
        <w:t>SUJETO OBLIGADO,</w:t>
      </w:r>
      <w:r w:rsidRPr="008F698B">
        <w:rPr>
          <w:rFonts w:ascii="Palatino Linotype" w:eastAsia="Palatino Linotype" w:hAnsi="Palatino Linotype" w:cs="Palatino Linotype"/>
          <w:color w:val="000000"/>
          <w:sz w:val="24"/>
          <w:szCs w:val="24"/>
        </w:rPr>
        <w:t xml:space="preserve"> a través del Sistema de Acceso a la Información  Mexiquense (SAIMEX), la solicitud de información pública registrada con el número </w:t>
      </w:r>
      <w:r w:rsidRPr="008F698B">
        <w:rPr>
          <w:rFonts w:ascii="Palatino Linotype" w:eastAsia="Palatino Linotype" w:hAnsi="Palatino Linotype" w:cs="Palatino Linotype"/>
          <w:b/>
          <w:color w:val="000000"/>
          <w:sz w:val="24"/>
          <w:szCs w:val="24"/>
        </w:rPr>
        <w:t>01293/ECATEPEC/IP/2024</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sz w:val="24"/>
          <w:szCs w:val="24"/>
        </w:rPr>
        <w:t xml:space="preserve">en la que se </w:t>
      </w:r>
      <w:r w:rsidRPr="008F698B">
        <w:rPr>
          <w:rFonts w:ascii="Palatino Linotype" w:eastAsia="Palatino Linotype" w:hAnsi="Palatino Linotype" w:cs="Palatino Linotype"/>
          <w:color w:val="000000"/>
          <w:sz w:val="24"/>
          <w:szCs w:val="24"/>
        </w:rPr>
        <w:t xml:space="preserve"> solicitó lo siguiente:</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“Por este medio me dirijo a usted para solicitar la información precisa del costo unitario de cada uno de los componentes que conforman un poste armado con cámaras, botón de pánico y los componentes necesarios para su conectividad de la fase dos del proyecto jaguar así como las especificaciones precisas de cada uno.”</w:t>
      </w:r>
    </w:p>
    <w:p w:rsidR="00871442" w:rsidRPr="008F698B" w:rsidRDefault="00871442">
      <w:pPr>
        <w:pBdr>
          <w:top w:val="nil"/>
          <w:left w:val="nil"/>
          <w:bottom w:val="nil"/>
          <w:right w:val="nil"/>
          <w:between w:val="nil"/>
        </w:pBdr>
        <w:spacing w:line="360" w:lineRule="auto"/>
        <w:ind w:left="567" w:right="-592"/>
        <w:jc w:val="both"/>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Señaló como modalidad de entrega de la información a través de SAIMEX.  </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b/>
          <w:color w:val="000000"/>
          <w:sz w:val="24"/>
          <w:szCs w:val="24"/>
        </w:rPr>
        <w:t>catorce de octubre de dos mil veinticuatro,</w:t>
      </w:r>
      <w:r w:rsidRPr="008F698B">
        <w:rPr>
          <w:rFonts w:ascii="Palatino Linotype" w:eastAsia="Palatino Linotype" w:hAnsi="Palatino Linotype" w:cs="Palatino Linotype"/>
          <w:color w:val="000000"/>
          <w:sz w:val="24"/>
          <w:szCs w:val="24"/>
        </w:rPr>
        <w:t xml:space="preserve"> se realizó un requerimiento al servidor público habilitado. </w:t>
      </w:r>
    </w:p>
    <w:p w:rsidR="00871442" w:rsidRPr="008F698B" w:rsidRDefault="00871442">
      <w:pPr>
        <w:pBdr>
          <w:top w:val="nil"/>
          <w:left w:val="nil"/>
          <w:bottom w:val="nil"/>
          <w:right w:val="nil"/>
          <w:between w:val="nil"/>
        </w:pBdr>
        <w:spacing w:line="360" w:lineRule="auto"/>
        <w:ind w:left="4613" w:right="-592"/>
        <w:jc w:val="both"/>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b/>
          <w:color w:val="000000"/>
          <w:sz w:val="24"/>
          <w:szCs w:val="24"/>
        </w:rPr>
        <w:t>dieciséis de octubre de dos mil veinticuatro</w:t>
      </w:r>
      <w:r w:rsidRPr="008F698B">
        <w:rPr>
          <w:rFonts w:ascii="Palatino Linotype" w:eastAsia="Palatino Linotype" w:hAnsi="Palatino Linotype" w:cs="Palatino Linotype"/>
          <w:color w:val="000000"/>
          <w:sz w:val="24"/>
          <w:szCs w:val="24"/>
        </w:rPr>
        <w:t>, dio respuesta a la solicitud, en los siguientes términos:</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tbl>
      <w:tblPr>
        <w:tblStyle w:val="a"/>
        <w:tblW w:w="8925" w:type="dxa"/>
        <w:jc w:val="center"/>
        <w:tblInd w:w="0" w:type="dxa"/>
        <w:tblLayout w:type="fixed"/>
        <w:tblLook w:val="0400" w:firstRow="0" w:lastRow="0" w:firstColumn="0" w:lastColumn="0" w:noHBand="0" w:noVBand="1"/>
      </w:tblPr>
      <w:tblGrid>
        <w:gridCol w:w="8925"/>
      </w:tblGrid>
      <w:tr w:rsidR="00871442" w:rsidRPr="008F698B">
        <w:trPr>
          <w:trHeight w:val="328"/>
          <w:jc w:val="center"/>
        </w:trPr>
        <w:tc>
          <w:tcPr>
            <w:tcW w:w="8925" w:type="dxa"/>
            <w:vAlign w:val="center"/>
          </w:tcPr>
          <w:p w:rsidR="00871442" w:rsidRPr="008F698B" w:rsidRDefault="0032471D">
            <w:pPr>
              <w:ind w:right="137"/>
              <w:jc w:val="right"/>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“Ecatepec de Morelos, México a 16 de Octubre de 2024</w:t>
            </w:r>
          </w:p>
        </w:tc>
      </w:tr>
      <w:tr w:rsidR="00871442" w:rsidRPr="008F698B">
        <w:trPr>
          <w:trHeight w:val="328"/>
          <w:jc w:val="center"/>
        </w:trPr>
        <w:tc>
          <w:tcPr>
            <w:tcW w:w="8925" w:type="dxa"/>
            <w:vAlign w:val="center"/>
          </w:tcPr>
          <w:p w:rsidR="00871442" w:rsidRPr="008F698B" w:rsidRDefault="0032471D">
            <w:pPr>
              <w:ind w:right="137"/>
              <w:jc w:val="right"/>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Nombre del solicitante: C. Solicitante</w:t>
            </w:r>
          </w:p>
        </w:tc>
      </w:tr>
      <w:tr w:rsidR="00871442" w:rsidRPr="008F698B">
        <w:trPr>
          <w:trHeight w:val="328"/>
          <w:jc w:val="center"/>
        </w:trPr>
        <w:tc>
          <w:tcPr>
            <w:tcW w:w="8925" w:type="dxa"/>
            <w:vAlign w:val="center"/>
          </w:tcPr>
          <w:p w:rsidR="00871442" w:rsidRPr="008F698B" w:rsidRDefault="0032471D">
            <w:pPr>
              <w:ind w:right="137"/>
              <w:jc w:val="right"/>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Folio de la solicitud: 01293/ECATEPEC/IP/2024</w:t>
            </w:r>
          </w:p>
        </w:tc>
      </w:tr>
      <w:tr w:rsidR="00871442" w:rsidRPr="008F698B">
        <w:trPr>
          <w:trHeight w:val="492"/>
          <w:jc w:val="center"/>
        </w:trPr>
        <w:tc>
          <w:tcPr>
            <w:tcW w:w="8925" w:type="dxa"/>
            <w:vAlign w:val="center"/>
          </w:tcPr>
          <w:p w:rsidR="00871442" w:rsidRPr="008F698B" w:rsidRDefault="00871442">
            <w:pPr>
              <w:ind w:right="137"/>
              <w:jc w:val="right"/>
              <w:rPr>
                <w:rFonts w:ascii="Palatino Linotype" w:eastAsia="Palatino Linotype" w:hAnsi="Palatino Linotype" w:cs="Palatino Linotype"/>
                <w:i/>
                <w:sz w:val="24"/>
                <w:szCs w:val="24"/>
              </w:rPr>
            </w:pPr>
          </w:p>
        </w:tc>
      </w:tr>
      <w:tr w:rsidR="00871442" w:rsidRPr="008F698B">
        <w:trPr>
          <w:trHeight w:val="164"/>
          <w:jc w:val="center"/>
        </w:trPr>
        <w:tc>
          <w:tcPr>
            <w:tcW w:w="8925" w:type="dxa"/>
            <w:vAlign w:val="center"/>
          </w:tcPr>
          <w:p w:rsidR="00871442" w:rsidRPr="008F698B" w:rsidRDefault="0032471D">
            <w:pPr>
              <w:ind w:right="13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En respuesta a la solicitud recibida, nos permitimos hacer de su conocimiento que con fundamento en el artículo 53, Fracciones: II, V y VI de la Ley de Transparencia y Acceso a la Información Pública del Estado de México y Municipios, le contestamos que:</w:t>
            </w:r>
          </w:p>
        </w:tc>
      </w:tr>
      <w:tr w:rsidR="00871442" w:rsidRPr="008F698B">
        <w:trPr>
          <w:trHeight w:val="410"/>
          <w:jc w:val="center"/>
        </w:trPr>
        <w:tc>
          <w:tcPr>
            <w:tcW w:w="8925" w:type="dxa"/>
            <w:vAlign w:val="center"/>
          </w:tcPr>
          <w:p w:rsidR="00871442" w:rsidRPr="008F698B" w:rsidRDefault="00871442">
            <w:pPr>
              <w:ind w:right="137"/>
              <w:jc w:val="both"/>
              <w:rPr>
                <w:rFonts w:ascii="Palatino Linotype" w:eastAsia="Palatino Linotype" w:hAnsi="Palatino Linotype" w:cs="Palatino Linotype"/>
                <w:i/>
                <w:sz w:val="24"/>
                <w:szCs w:val="24"/>
              </w:rPr>
            </w:pPr>
          </w:p>
        </w:tc>
      </w:tr>
      <w:tr w:rsidR="00871442" w:rsidRPr="008F698B">
        <w:trPr>
          <w:trHeight w:val="164"/>
          <w:jc w:val="center"/>
        </w:trPr>
        <w:tc>
          <w:tcPr>
            <w:tcW w:w="8925" w:type="dxa"/>
            <w:vAlign w:val="center"/>
          </w:tcPr>
          <w:p w:rsidR="00871442" w:rsidRPr="008F698B" w:rsidRDefault="0032471D">
            <w:pPr>
              <w:ind w:right="13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El H. Ayuntamiento Constitucional de Ecatepec de Morelos emite la respuesta de la Tesorería Municipal en formato PDF.</w:t>
            </w:r>
          </w:p>
        </w:tc>
      </w:tr>
      <w:tr w:rsidR="00871442" w:rsidRPr="008F698B">
        <w:trPr>
          <w:trHeight w:val="410"/>
          <w:jc w:val="center"/>
        </w:trPr>
        <w:tc>
          <w:tcPr>
            <w:tcW w:w="8925" w:type="dxa"/>
            <w:vAlign w:val="center"/>
          </w:tcPr>
          <w:p w:rsidR="00871442" w:rsidRPr="008F698B" w:rsidRDefault="00871442">
            <w:pPr>
              <w:ind w:right="137"/>
              <w:rPr>
                <w:rFonts w:ascii="Palatino Linotype" w:eastAsia="Palatino Linotype" w:hAnsi="Palatino Linotype" w:cs="Palatino Linotype"/>
                <w:i/>
                <w:sz w:val="24"/>
                <w:szCs w:val="24"/>
              </w:rPr>
            </w:pPr>
          </w:p>
        </w:tc>
      </w:tr>
      <w:tr w:rsidR="00871442" w:rsidRPr="008F698B">
        <w:trPr>
          <w:trHeight w:val="164"/>
          <w:jc w:val="center"/>
        </w:trPr>
        <w:tc>
          <w:tcPr>
            <w:tcW w:w="8925" w:type="dxa"/>
            <w:vAlign w:val="center"/>
          </w:tcPr>
          <w:p w:rsidR="00871442" w:rsidRPr="008F698B" w:rsidRDefault="00871442">
            <w:pPr>
              <w:ind w:right="137"/>
              <w:jc w:val="center"/>
              <w:rPr>
                <w:rFonts w:ascii="Palatino Linotype" w:eastAsia="Palatino Linotype" w:hAnsi="Palatino Linotype" w:cs="Palatino Linotype"/>
                <w:i/>
                <w:sz w:val="24"/>
                <w:szCs w:val="24"/>
              </w:rPr>
            </w:pPr>
          </w:p>
        </w:tc>
      </w:tr>
      <w:tr w:rsidR="00871442" w:rsidRPr="008F698B">
        <w:trPr>
          <w:trHeight w:val="164"/>
          <w:jc w:val="center"/>
        </w:trPr>
        <w:tc>
          <w:tcPr>
            <w:tcW w:w="8925" w:type="dxa"/>
            <w:vAlign w:val="center"/>
          </w:tcPr>
          <w:p w:rsidR="00871442" w:rsidRPr="008F698B" w:rsidRDefault="00871442">
            <w:pPr>
              <w:ind w:right="137"/>
              <w:rPr>
                <w:rFonts w:ascii="Palatino Linotype" w:eastAsia="Palatino Linotype" w:hAnsi="Palatino Linotype" w:cs="Palatino Linotype"/>
                <w:i/>
                <w:sz w:val="24"/>
                <w:szCs w:val="24"/>
              </w:rPr>
            </w:pPr>
          </w:p>
        </w:tc>
      </w:tr>
      <w:tr w:rsidR="00871442" w:rsidRPr="008F698B">
        <w:trPr>
          <w:trHeight w:val="164"/>
          <w:jc w:val="center"/>
        </w:trPr>
        <w:tc>
          <w:tcPr>
            <w:tcW w:w="8925" w:type="dxa"/>
            <w:vAlign w:val="center"/>
          </w:tcPr>
          <w:p w:rsidR="00871442" w:rsidRPr="008F698B" w:rsidRDefault="0032471D">
            <w:pPr>
              <w:ind w:right="137"/>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ATENTAMENTE</w:t>
            </w:r>
          </w:p>
        </w:tc>
      </w:tr>
      <w:tr w:rsidR="00871442" w:rsidRPr="008F698B">
        <w:trPr>
          <w:trHeight w:val="246"/>
          <w:jc w:val="center"/>
        </w:trPr>
        <w:tc>
          <w:tcPr>
            <w:tcW w:w="8925" w:type="dxa"/>
            <w:vAlign w:val="center"/>
          </w:tcPr>
          <w:p w:rsidR="00871442" w:rsidRPr="008F698B" w:rsidRDefault="00871442">
            <w:pPr>
              <w:ind w:right="137"/>
              <w:rPr>
                <w:rFonts w:ascii="Palatino Linotype" w:eastAsia="Palatino Linotype" w:hAnsi="Palatino Linotype" w:cs="Palatino Linotype"/>
                <w:i/>
                <w:sz w:val="24"/>
                <w:szCs w:val="24"/>
              </w:rPr>
            </w:pPr>
          </w:p>
        </w:tc>
      </w:tr>
      <w:tr w:rsidR="00871442" w:rsidRPr="008F698B">
        <w:trPr>
          <w:trHeight w:val="164"/>
          <w:jc w:val="center"/>
        </w:trPr>
        <w:tc>
          <w:tcPr>
            <w:tcW w:w="8925" w:type="dxa"/>
            <w:vAlign w:val="center"/>
          </w:tcPr>
          <w:p w:rsidR="00871442" w:rsidRPr="008F698B" w:rsidRDefault="0032471D">
            <w:pPr>
              <w:ind w:right="137"/>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C. Lizbeth Patricia Morales Tapia”</w:t>
            </w:r>
          </w:p>
        </w:tc>
      </w:tr>
    </w:tbl>
    <w:p w:rsidR="00871442" w:rsidRPr="008F698B" w:rsidRDefault="00871442">
      <w:pPr>
        <w:spacing w:line="360" w:lineRule="auto"/>
        <w:ind w:right="-592"/>
        <w:jc w:val="both"/>
        <w:rPr>
          <w:rFonts w:ascii="Palatino Linotype" w:eastAsia="Palatino Linotype" w:hAnsi="Palatino Linotype" w:cs="Palatino Linotype"/>
          <w:i/>
          <w:sz w:val="24"/>
          <w:szCs w:val="24"/>
        </w:rPr>
      </w:pP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5"/>
        </w:numPr>
        <w:pBdr>
          <w:top w:val="nil"/>
          <w:left w:val="nil"/>
          <w:bottom w:val="nil"/>
          <w:right w:val="nil"/>
          <w:between w:val="nil"/>
        </w:pBdr>
        <w:spacing w:line="360" w:lineRule="auto"/>
        <w:ind w:right="-25"/>
        <w:jc w:val="both"/>
        <w:rPr>
          <w:rFonts w:ascii="Palatino Linotype" w:eastAsia="Palatino Linotype" w:hAnsi="Palatino Linotype" w:cs="Palatino Linotype"/>
          <w:b/>
          <w:color w:val="000000"/>
          <w:sz w:val="24"/>
          <w:szCs w:val="24"/>
        </w:rPr>
      </w:pPr>
      <w:r w:rsidRPr="008F698B">
        <w:rPr>
          <w:rFonts w:ascii="Palatino Linotype" w:eastAsia="Palatino Linotype" w:hAnsi="Palatino Linotype" w:cs="Palatino Linotype"/>
          <w:color w:val="000000"/>
          <w:sz w:val="24"/>
          <w:szCs w:val="24"/>
        </w:rPr>
        <w:lastRenderedPageBreak/>
        <w:t xml:space="preserve">El Sujeto Obligado adjuntó el archivo denominado </w:t>
      </w:r>
      <w:hyperlink r:id="rId8">
        <w:r w:rsidRPr="008F698B">
          <w:rPr>
            <w:rFonts w:ascii="Palatino Linotype" w:eastAsia="Palatino Linotype" w:hAnsi="Palatino Linotype" w:cs="Palatino Linotype"/>
            <w:b/>
            <w:color w:val="0563C1"/>
            <w:sz w:val="24"/>
            <w:szCs w:val="24"/>
            <w:u w:val="single"/>
          </w:rPr>
          <w:t>RESP 1293 TESORERIA.pdf</w:t>
        </w:r>
      </w:hyperlink>
      <w:r w:rsidRPr="008F698B">
        <w:rPr>
          <w:rFonts w:ascii="Palatino Linotype" w:eastAsia="Palatino Linotype" w:hAnsi="Palatino Linotype" w:cs="Palatino Linotype"/>
          <w:color w:val="000000"/>
          <w:sz w:val="24"/>
          <w:szCs w:val="24"/>
        </w:rPr>
        <w:t xml:space="preserve">, en el que se remitió el oficio número TM/ECA/6273/2024, de fecha quince de octubre de dos mil veinticuatro, suscrito por la Tesorera Municipal en el que manifestó, de forma medular, que no es de su competencia la información solicitada. </w:t>
      </w:r>
    </w:p>
    <w:p w:rsidR="00871442" w:rsidRPr="008F698B" w:rsidRDefault="00871442">
      <w:pPr>
        <w:pBdr>
          <w:top w:val="nil"/>
          <w:left w:val="nil"/>
          <w:bottom w:val="nil"/>
          <w:right w:val="nil"/>
          <w:between w:val="nil"/>
        </w:pBdr>
        <w:spacing w:line="360" w:lineRule="auto"/>
        <w:ind w:left="1440" w:right="-592"/>
        <w:jc w:val="both"/>
        <w:rPr>
          <w:rFonts w:ascii="Palatino Linotype" w:eastAsia="Palatino Linotype" w:hAnsi="Palatino Linotype" w:cs="Palatino Linotype"/>
          <w:b/>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bookmarkStart w:id="2" w:name="_heading=h.30j0zll" w:colFirst="0" w:colLast="0"/>
      <w:bookmarkEnd w:id="2"/>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b/>
          <w:color w:val="000000"/>
          <w:sz w:val="24"/>
          <w:szCs w:val="24"/>
        </w:rPr>
        <w:t>diecinueve de octubre de dos mil veinticuatro</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b/>
          <w:color w:val="000000"/>
          <w:sz w:val="24"/>
          <w:szCs w:val="24"/>
        </w:rPr>
        <w:t>EL RECURRENTE</w:t>
      </w:r>
      <w:r w:rsidRPr="008F698B">
        <w:rPr>
          <w:rFonts w:ascii="Palatino Linotype" w:eastAsia="Palatino Linotype" w:hAnsi="Palatino Linotype" w:cs="Palatino Linotype"/>
          <w:color w:val="000000"/>
          <w:sz w:val="24"/>
          <w:szCs w:val="24"/>
        </w:rPr>
        <w:t xml:space="preserve"> interpuso el recurso de revisión, en contra de la respuesta y señaló como:</w:t>
      </w:r>
    </w:p>
    <w:p w:rsidR="00871442" w:rsidRPr="008F698B" w:rsidRDefault="0032471D">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 xml:space="preserve">Acto impugnado: </w:t>
      </w:r>
      <w:r w:rsidRPr="008F698B">
        <w:rPr>
          <w:rFonts w:ascii="Palatino Linotype" w:eastAsia="Palatino Linotype" w:hAnsi="Palatino Linotype" w:cs="Palatino Linotype"/>
          <w:i/>
          <w:color w:val="000000"/>
          <w:sz w:val="24"/>
          <w:szCs w:val="24"/>
        </w:rPr>
        <w:t>“No se entrega la información requerida” (sic)</w:t>
      </w:r>
    </w:p>
    <w:p w:rsidR="00871442" w:rsidRPr="008F698B" w:rsidRDefault="0032471D">
      <w:pPr>
        <w:numPr>
          <w:ilvl w:val="0"/>
          <w:numId w:val="1"/>
        </w:numPr>
        <w:pBdr>
          <w:top w:val="nil"/>
          <w:left w:val="nil"/>
          <w:bottom w:val="nil"/>
          <w:right w:val="nil"/>
          <w:between w:val="nil"/>
        </w:pBdr>
        <w:spacing w:line="360" w:lineRule="auto"/>
        <w:ind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Motivos o razones de inconformidad: “</w:t>
      </w:r>
      <w:r w:rsidRPr="008F698B">
        <w:rPr>
          <w:rFonts w:ascii="Palatino Linotype" w:eastAsia="Palatino Linotype" w:hAnsi="Palatino Linotype" w:cs="Palatino Linotype"/>
          <w:i/>
          <w:color w:val="000000"/>
          <w:sz w:val="24"/>
          <w:szCs w:val="24"/>
        </w:rPr>
        <w:t>La información se niega totalmente se tiene que girar al área correspondiente”. (Sic)</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Se registró el recurso revisión bajo el número de expediente al rubro indicado, asimismo con fundamento en lo dispuesto por el artículo 185 fracción I de la </w:t>
      </w:r>
      <w:r w:rsidRPr="008F698B">
        <w:rPr>
          <w:rFonts w:ascii="Palatino Linotype" w:eastAsia="Palatino Linotype" w:hAnsi="Palatino Linotype" w:cs="Palatino Linotype"/>
          <w:b/>
          <w:color w:val="000000"/>
          <w:sz w:val="24"/>
          <w:szCs w:val="24"/>
        </w:rPr>
        <w:t xml:space="preserve">Ley de Transparencia y Acceso a la Información Pública del Estado de México y Municipios </w:t>
      </w:r>
      <w:r w:rsidRPr="008F698B">
        <w:rPr>
          <w:rFonts w:ascii="Palatino Linotype" w:eastAsia="Palatino Linotype" w:hAnsi="Palatino Linotype" w:cs="Palatino Linotype"/>
          <w:color w:val="000000"/>
          <w:sz w:val="24"/>
          <w:szCs w:val="24"/>
        </w:rPr>
        <w:t xml:space="preserve">se </w:t>
      </w:r>
      <w:r w:rsidRPr="008F698B">
        <w:rPr>
          <w:rFonts w:ascii="Palatino Linotype" w:eastAsia="Palatino Linotype" w:hAnsi="Palatino Linotype" w:cs="Palatino Linotype"/>
          <w:sz w:val="24"/>
          <w:szCs w:val="24"/>
        </w:rPr>
        <w:t>turna</w:t>
      </w:r>
      <w:r w:rsidRPr="008F698B">
        <w:rPr>
          <w:rFonts w:ascii="Palatino Linotype" w:eastAsia="Palatino Linotype" w:hAnsi="Palatino Linotype" w:cs="Palatino Linotype"/>
          <w:color w:val="000000"/>
          <w:sz w:val="24"/>
          <w:szCs w:val="24"/>
        </w:rPr>
        <w:t xml:space="preserve"> a la </w:t>
      </w:r>
      <w:r w:rsidRPr="008F698B">
        <w:rPr>
          <w:rFonts w:ascii="Palatino Linotype" w:eastAsia="Palatino Linotype" w:hAnsi="Palatino Linotype" w:cs="Palatino Linotype"/>
          <w:b/>
          <w:color w:val="000000"/>
          <w:sz w:val="24"/>
          <w:szCs w:val="24"/>
        </w:rPr>
        <w:t xml:space="preserve">Comisionada María del Rosario Mejía Ayala, </w:t>
      </w:r>
      <w:r w:rsidRPr="008F698B">
        <w:rPr>
          <w:rFonts w:ascii="Palatino Linotype" w:eastAsia="Palatino Linotype" w:hAnsi="Palatino Linotype" w:cs="Palatino Linotype"/>
          <w:sz w:val="24"/>
          <w:szCs w:val="24"/>
        </w:rPr>
        <w:t>para</w:t>
      </w:r>
      <w:r w:rsidRPr="008F698B">
        <w:rPr>
          <w:rFonts w:ascii="Palatino Linotype" w:eastAsia="Palatino Linotype" w:hAnsi="Palatino Linotype" w:cs="Palatino Linotype"/>
          <w:color w:val="000000"/>
          <w:sz w:val="24"/>
          <w:szCs w:val="24"/>
        </w:rPr>
        <w:t xml:space="preserve"> su análisis.</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del </w:t>
      </w:r>
      <w:r w:rsidRPr="008F698B">
        <w:rPr>
          <w:rFonts w:ascii="Palatino Linotype" w:eastAsia="Palatino Linotype" w:hAnsi="Palatino Linotype" w:cs="Palatino Linotype"/>
          <w:b/>
          <w:color w:val="000000"/>
          <w:sz w:val="24"/>
          <w:szCs w:val="24"/>
        </w:rPr>
        <w:t>veintidós de octubre de dos mil veinticuatro</w:t>
      </w:r>
      <w:r w:rsidRPr="008F698B">
        <w:rPr>
          <w:rFonts w:ascii="Palatino Linotype" w:eastAsia="Palatino Linotype" w:hAnsi="Palatino Linotype" w:cs="Palatino Linotype"/>
          <w:color w:val="000000"/>
          <w:sz w:val="24"/>
          <w:szCs w:val="24"/>
        </w:rPr>
        <w:t xml:space="preserve">, puso a disposición de las partes el expediente electrónico vía </w:t>
      </w:r>
      <w:r w:rsidRPr="008F698B">
        <w:rPr>
          <w:rFonts w:ascii="Palatino Linotype" w:eastAsia="Palatino Linotype" w:hAnsi="Palatino Linotype" w:cs="Palatino Linotype"/>
          <w:b/>
          <w:color w:val="000000"/>
          <w:sz w:val="24"/>
          <w:szCs w:val="24"/>
        </w:rPr>
        <w:t xml:space="preserve">SAIMEX </w:t>
      </w:r>
      <w:r w:rsidRPr="008F698B">
        <w:rPr>
          <w:rFonts w:ascii="Palatino Linotype" w:eastAsia="Palatino Linotype" w:hAnsi="Palatino Linotype" w:cs="Palatino Linotype"/>
          <w:color w:val="000000"/>
          <w:sz w:val="24"/>
          <w:szCs w:val="24"/>
        </w:rPr>
        <w:t xml:space="preserve">a efecto de que en un plazo máximo de siete días </w:t>
      </w:r>
      <w:r w:rsidRPr="008F698B">
        <w:rPr>
          <w:rFonts w:ascii="Palatino Linotype" w:eastAsia="Palatino Linotype" w:hAnsi="Palatino Linotype" w:cs="Palatino Linotype"/>
          <w:sz w:val="24"/>
          <w:szCs w:val="24"/>
        </w:rPr>
        <w:t>manifestara</w:t>
      </w:r>
      <w:r w:rsidRPr="008F698B">
        <w:rPr>
          <w:rFonts w:ascii="Palatino Linotype" w:eastAsia="Palatino Linotype" w:hAnsi="Palatino Linotype" w:cs="Palatino Linotype"/>
          <w:color w:val="000000"/>
          <w:sz w:val="24"/>
          <w:szCs w:val="24"/>
        </w:rPr>
        <w:t xml:space="preserve"> lo que a derecho </w:t>
      </w:r>
      <w:r w:rsidRPr="008F698B">
        <w:rPr>
          <w:rFonts w:ascii="Palatino Linotype" w:eastAsia="Palatino Linotype" w:hAnsi="Palatino Linotype" w:cs="Palatino Linotype"/>
          <w:sz w:val="24"/>
          <w:szCs w:val="24"/>
        </w:rPr>
        <w:t>conviniera</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sz w:val="24"/>
          <w:szCs w:val="24"/>
        </w:rPr>
        <w:lastRenderedPageBreak/>
        <w:t>ofreciera</w:t>
      </w:r>
      <w:r w:rsidRPr="008F698B">
        <w:rPr>
          <w:rFonts w:ascii="Palatino Linotype" w:eastAsia="Palatino Linotype" w:hAnsi="Palatino Linotype" w:cs="Palatino Linotype"/>
          <w:color w:val="000000"/>
          <w:sz w:val="24"/>
          <w:szCs w:val="24"/>
        </w:rPr>
        <w:t xml:space="preserve"> pruebas y alegatos según corresponda al caso concreto, de esta forma para que el </w:t>
      </w:r>
      <w:r w:rsidRPr="008F698B">
        <w:rPr>
          <w:rFonts w:ascii="Palatino Linotype" w:eastAsia="Palatino Linotype" w:hAnsi="Palatino Linotype" w:cs="Palatino Linotype"/>
          <w:b/>
          <w:color w:val="000000"/>
          <w:sz w:val="24"/>
          <w:szCs w:val="24"/>
        </w:rPr>
        <w:t>SUJETO OBLIGADO</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sz w:val="24"/>
          <w:szCs w:val="24"/>
        </w:rPr>
        <w:t>presentará</w:t>
      </w:r>
      <w:r w:rsidRPr="008F698B">
        <w:rPr>
          <w:rFonts w:ascii="Palatino Linotype" w:eastAsia="Palatino Linotype" w:hAnsi="Palatino Linotype" w:cs="Palatino Linotype"/>
          <w:color w:val="000000"/>
          <w:sz w:val="24"/>
          <w:szCs w:val="24"/>
        </w:rPr>
        <w:t xml:space="preserve"> el informe justificado procedente.</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i/>
          <w:color w:val="000000"/>
          <w:sz w:val="24"/>
          <w:szCs w:val="24"/>
        </w:rPr>
      </w:pPr>
    </w:p>
    <w:p w:rsidR="00871442" w:rsidRPr="008F698B" w:rsidRDefault="0032471D">
      <w:pPr>
        <w:numPr>
          <w:ilvl w:val="0"/>
          <w:numId w:val="3"/>
        </w:numPr>
        <w:tabs>
          <w:tab w:val="left" w:pos="284"/>
        </w:tabs>
        <w:spacing w:before="240" w:after="240" w:line="360" w:lineRule="auto"/>
        <w:ind w:left="0" w:right="-592" w:firstLine="0"/>
        <w:jc w:val="both"/>
        <w:rPr>
          <w:rFonts w:ascii="Palatino Linotype" w:eastAsia="Palatino Linotype" w:hAnsi="Palatino Linotype" w:cs="Palatino Linotype"/>
          <w:b/>
          <w:color w:val="000000"/>
          <w:sz w:val="24"/>
          <w:szCs w:val="24"/>
        </w:rPr>
      </w:pPr>
      <w:r w:rsidRPr="008F698B">
        <w:rPr>
          <w:rFonts w:ascii="Palatino Linotype" w:eastAsia="Palatino Linotype" w:hAnsi="Palatino Linotype" w:cs="Palatino Linotype"/>
          <w:color w:val="000000"/>
          <w:sz w:val="24"/>
          <w:szCs w:val="24"/>
        </w:rPr>
        <w:t xml:space="preserve">De las constancias que obran en el expediente electrónico del SAIMEX, se aprecia que el Recurrente no realizó manifestaciones que a su derecho </w:t>
      </w:r>
      <w:r w:rsidRPr="008F698B">
        <w:rPr>
          <w:rFonts w:ascii="Palatino Linotype" w:eastAsia="Palatino Linotype" w:hAnsi="Palatino Linotype" w:cs="Palatino Linotype"/>
          <w:sz w:val="24"/>
          <w:szCs w:val="24"/>
        </w:rPr>
        <w:t>conviniera</w:t>
      </w:r>
      <w:r w:rsidRPr="008F698B">
        <w:rPr>
          <w:rFonts w:ascii="Palatino Linotype" w:eastAsia="Palatino Linotype" w:hAnsi="Palatino Linotype" w:cs="Palatino Linotype"/>
          <w:color w:val="000000"/>
          <w:sz w:val="24"/>
          <w:szCs w:val="24"/>
        </w:rPr>
        <w:t>; por su parte, el Sujeto Obligado no remitió informe justificado.</w:t>
      </w: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b/>
          <w:color w:val="000000"/>
          <w:sz w:val="24"/>
          <w:szCs w:val="24"/>
        </w:rPr>
        <w:t>cinco de marzo de dos mil veinticinco</w:t>
      </w:r>
      <w:r w:rsidRPr="008F698B">
        <w:rPr>
          <w:rFonts w:ascii="Palatino Linotype" w:eastAsia="Palatino Linotype" w:hAnsi="Palatino Linotype" w:cs="Palatino Linotype"/>
          <w:color w:val="000000"/>
          <w:sz w:val="24"/>
          <w:szCs w:val="24"/>
        </w:rPr>
        <w:t>, la Comisionada Ponente notificó el acuerdo de ampliación para emitir resolución.</w:t>
      </w:r>
    </w:p>
    <w:p w:rsidR="00871442" w:rsidRPr="008F698B" w:rsidRDefault="00871442">
      <w:pPr>
        <w:ind w:right="-592"/>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Por ello, excepcionalmente, si un asunto es resuelto con posterioridad a los plazos señalados por la norma debe analizarse la razonabilidad del tiempo necesario para su resolución, atentos a los siguientes criterios:   </w:t>
      </w:r>
    </w:p>
    <w:p w:rsidR="00871442" w:rsidRPr="008F698B" w:rsidRDefault="0032471D">
      <w:pPr>
        <w:pBdr>
          <w:top w:val="nil"/>
          <w:left w:val="nil"/>
          <w:bottom w:val="nil"/>
          <w:right w:val="nil"/>
          <w:between w:val="nil"/>
        </w:pBdr>
        <w:spacing w:line="360" w:lineRule="auto"/>
        <w:ind w:left="284"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a)   Complejidad del asunto: La complejidad de la prueba, la pluralidad de sujetos procesales, el tiempo transcurrido, las características y contexto del recurso.</w:t>
      </w:r>
    </w:p>
    <w:p w:rsidR="00871442" w:rsidRPr="008F698B" w:rsidRDefault="0032471D">
      <w:pPr>
        <w:pBdr>
          <w:top w:val="nil"/>
          <w:left w:val="nil"/>
          <w:bottom w:val="nil"/>
          <w:right w:val="nil"/>
          <w:between w:val="nil"/>
        </w:pBdr>
        <w:spacing w:line="360" w:lineRule="auto"/>
        <w:ind w:left="284"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b)      Actividad Procesal del interesado: Acciones u omisiones del interesado.</w:t>
      </w:r>
    </w:p>
    <w:p w:rsidR="00871442" w:rsidRPr="008F698B" w:rsidRDefault="0032471D">
      <w:pPr>
        <w:pBdr>
          <w:top w:val="nil"/>
          <w:left w:val="nil"/>
          <w:bottom w:val="nil"/>
          <w:right w:val="nil"/>
          <w:between w:val="nil"/>
        </w:pBdr>
        <w:spacing w:line="360" w:lineRule="auto"/>
        <w:ind w:left="284"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c)      Conducta de la Autoridad: Las Acciones u omisiones realizadas en el procedimiento. Así como si la autoridad actuó con la debida diligencia.</w:t>
      </w:r>
    </w:p>
    <w:p w:rsidR="00871442" w:rsidRPr="008F698B" w:rsidRDefault="0032471D">
      <w:pPr>
        <w:pBdr>
          <w:top w:val="nil"/>
          <w:left w:val="nil"/>
          <w:bottom w:val="nil"/>
          <w:right w:val="nil"/>
          <w:between w:val="nil"/>
        </w:pBdr>
        <w:spacing w:line="360" w:lineRule="auto"/>
        <w:ind w:left="284"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d)   La afectación generada en la situación jurídica de la persona involucrada en el proceso: Violación a sus derechos humanos.</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Argumento que encuentra sustento en la jurisprudencia P./J. 32/92 emitida por el Pleno de la Suprema Corte de Justicia de la Nación </w:t>
      </w:r>
      <w:r w:rsidRPr="008F698B">
        <w:rPr>
          <w:rFonts w:ascii="Palatino Linotype" w:eastAsia="Palatino Linotype" w:hAnsi="Palatino Linotype" w:cs="Palatino Linotype"/>
          <w:sz w:val="24"/>
          <w:szCs w:val="24"/>
        </w:rPr>
        <w:t>del rubro</w:t>
      </w:r>
      <w:r w:rsidRPr="008F698B">
        <w:rPr>
          <w:rFonts w:ascii="Palatino Linotype" w:eastAsia="Palatino Linotype" w:hAnsi="Palatino Linotype" w:cs="Palatino Linotype"/>
          <w:color w:val="000000"/>
          <w:sz w:val="24"/>
          <w:szCs w:val="24"/>
        </w:rPr>
        <w:t xml:space="preserve"> “TÉRMINOS PROCESALES. PARA DETERMINAR SI UN FUNCIONARIO JUDICIAL ACTUÓ INDEBIDAMENTE POR NO RESPETARLOS SE DEBE ATENDER AL PRESUPUESTO QUE CONSIDERÓ EL LEGISLADOR AL FIJARLOS Y LAS CARACTERÍSTICAS DEL CASO.”, visible en la Gaceta del </w:t>
      </w:r>
      <w:r w:rsidRPr="008F698B">
        <w:rPr>
          <w:rFonts w:ascii="Palatino Linotype" w:eastAsia="Palatino Linotype" w:hAnsi="Palatino Linotype" w:cs="Palatino Linotype"/>
          <w:sz w:val="24"/>
          <w:szCs w:val="24"/>
        </w:rPr>
        <w:t>Semanario</w:t>
      </w:r>
      <w:r w:rsidRPr="008F698B">
        <w:rPr>
          <w:rFonts w:ascii="Palatino Linotype" w:eastAsia="Palatino Linotype" w:hAnsi="Palatino Linotype" w:cs="Palatino Linotype"/>
          <w:color w:val="000000"/>
          <w:sz w:val="24"/>
          <w:szCs w:val="24"/>
        </w:rPr>
        <w:t xml:space="preserve"> Judicial de la Federación con el registro digital 205635.</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w:t>
      </w:r>
      <w:r w:rsidRPr="008F698B">
        <w:rPr>
          <w:rFonts w:ascii="Palatino Linotype" w:eastAsia="Palatino Linotype" w:hAnsi="Palatino Linotype" w:cs="Palatino Linotype"/>
          <w:color w:val="000000"/>
          <w:sz w:val="24"/>
          <w:szCs w:val="24"/>
        </w:rPr>
        <w:lastRenderedPageBreak/>
        <w:t>la tramitación de los recursos dentro de los términos legales previamente establecidos por la Ley, por tratarse de causas de fuerza mayor.</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Al respecto, también son de considerar los criterios sostenidos por el Cuarto Tribunal Colegiado en Materia Administrativa del Primer Circuito, cuyos rubros y datos de identificación son los siguientes:</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“PLAZO RAZONABLE PARA RESOLVER. DIMENSIÓN Y EFECTOS DE ESTE CONCEPTO CUANDO SE ADUCE EXCESIVA CARGA DE TRABAJO.” consultable en el Seminario Judicial de la Federación y su gaceta, con el registro digital 2002351.</w:t>
      </w:r>
    </w:p>
    <w:p w:rsidR="00871442" w:rsidRPr="008F698B" w:rsidRDefault="00871442">
      <w:pPr>
        <w:pBdr>
          <w:top w:val="nil"/>
          <w:left w:val="nil"/>
          <w:bottom w:val="nil"/>
          <w:right w:val="nil"/>
          <w:between w:val="nil"/>
        </w:pBdr>
        <w:spacing w:line="360" w:lineRule="auto"/>
        <w:ind w:left="567" w:right="-25"/>
        <w:jc w:val="both"/>
        <w:rPr>
          <w:rFonts w:ascii="Palatino Linotype" w:eastAsia="Palatino Linotype" w:hAnsi="Palatino Linotype" w:cs="Palatino Linotype"/>
          <w:sz w:val="24"/>
          <w:szCs w:val="24"/>
        </w:rPr>
      </w:pPr>
    </w:p>
    <w:p w:rsidR="00871442" w:rsidRPr="008F698B" w:rsidRDefault="0032471D">
      <w:pPr>
        <w:pBdr>
          <w:top w:val="nil"/>
          <w:left w:val="nil"/>
          <w:bottom w:val="nil"/>
          <w:right w:val="nil"/>
          <w:between w:val="nil"/>
        </w:pBdr>
        <w:spacing w:line="360" w:lineRule="auto"/>
        <w:ind w:left="567"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“PLAZO RAZONABLE PARA RESOLVER. CONCEPTO Y ELEMENTOS QUE LO INTEGRAN A LA LUZ DEL DERECHO INTERNACIONAL DE LOS DERECHOS HUMANOS.”, visible en el Seminario Judicial de la Federación y su gaceta, con el registro digital 2002350.</w:t>
      </w:r>
    </w:p>
    <w:p w:rsidR="00871442" w:rsidRPr="008F698B" w:rsidRDefault="00871442">
      <w:pPr>
        <w:pBdr>
          <w:top w:val="nil"/>
          <w:left w:val="nil"/>
          <w:bottom w:val="nil"/>
          <w:right w:val="nil"/>
          <w:between w:val="nil"/>
        </w:pBdr>
        <w:spacing w:line="360" w:lineRule="auto"/>
        <w:ind w:left="708"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ello, este organismo garante comprometido con la tutela de los derechos humanos confiados, señala que este exceso del plazo legal para resolver el presente asunto, resulta de carácter excepcional.</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 xml:space="preserve">El </w:t>
      </w:r>
      <w:r w:rsidRPr="008F698B">
        <w:rPr>
          <w:rFonts w:ascii="Palatino Linotype" w:eastAsia="Palatino Linotype" w:hAnsi="Palatino Linotype" w:cs="Palatino Linotype"/>
          <w:b/>
          <w:color w:val="000000"/>
          <w:sz w:val="24"/>
          <w:szCs w:val="24"/>
        </w:rPr>
        <w:t>cinco de marzo de dos mil veinticinco</w:t>
      </w:r>
      <w:r w:rsidRPr="008F698B">
        <w:rPr>
          <w:rFonts w:ascii="Palatino Linotype" w:eastAsia="Palatino Linotype" w:hAnsi="Palatino Linotype" w:cs="Palatino Linotype"/>
          <w:color w:val="000000"/>
          <w:sz w:val="24"/>
          <w:szCs w:val="24"/>
        </w:rPr>
        <w:t>, se notificó el acuerdo mediante el cual se decretó el cierre de instrucción.-------------------------------------------------------------------------------</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sz w:val="24"/>
          <w:szCs w:val="24"/>
        </w:rPr>
      </w:pP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pStyle w:val="Ttulo1"/>
        <w:ind w:right="-592"/>
        <w:jc w:val="center"/>
        <w:rPr>
          <w:rFonts w:ascii="Palatino Linotype" w:eastAsia="Palatino Linotype" w:hAnsi="Palatino Linotype" w:cs="Palatino Linotype"/>
          <w:b/>
          <w:color w:val="000000"/>
          <w:sz w:val="24"/>
          <w:szCs w:val="24"/>
        </w:rPr>
      </w:pPr>
      <w:bookmarkStart w:id="3" w:name="_heading=h.1fob9te" w:colFirst="0" w:colLast="0"/>
      <w:bookmarkEnd w:id="3"/>
      <w:r w:rsidRPr="008F698B">
        <w:rPr>
          <w:rFonts w:ascii="Palatino Linotype" w:eastAsia="Palatino Linotype" w:hAnsi="Palatino Linotype" w:cs="Palatino Linotype"/>
          <w:b/>
          <w:color w:val="000000"/>
          <w:sz w:val="24"/>
          <w:szCs w:val="24"/>
        </w:rPr>
        <w:t xml:space="preserve">C O N S I D E R A N D O </w:t>
      </w:r>
    </w:p>
    <w:p w:rsidR="00871442" w:rsidRPr="008F698B" w:rsidRDefault="00871442">
      <w:pPr>
        <w:ind w:right="-592"/>
        <w:rPr>
          <w:rFonts w:ascii="Palatino Linotype" w:eastAsia="Palatino Linotype" w:hAnsi="Palatino Linotype" w:cs="Palatino Linotype"/>
          <w:sz w:val="24"/>
          <w:szCs w:val="24"/>
        </w:rPr>
      </w:pPr>
    </w:p>
    <w:p w:rsidR="00871442" w:rsidRPr="008F698B" w:rsidRDefault="0032471D">
      <w:pPr>
        <w:pStyle w:val="Ttulo2"/>
        <w:ind w:right="-592"/>
        <w:rPr>
          <w:rFonts w:ascii="Palatino Linotype" w:eastAsia="Palatino Linotype" w:hAnsi="Palatino Linotype" w:cs="Palatino Linotype"/>
          <w:b/>
          <w:color w:val="000000"/>
          <w:sz w:val="24"/>
          <w:szCs w:val="24"/>
        </w:rPr>
      </w:pPr>
      <w:bookmarkStart w:id="4" w:name="_heading=h.3znysh7" w:colFirst="0" w:colLast="0"/>
      <w:bookmarkEnd w:id="4"/>
      <w:r w:rsidRPr="008F698B">
        <w:rPr>
          <w:rFonts w:ascii="Palatino Linotype" w:eastAsia="Palatino Linotype" w:hAnsi="Palatino Linotype" w:cs="Palatino Linotype"/>
          <w:b/>
          <w:color w:val="000000"/>
          <w:sz w:val="24"/>
          <w:szCs w:val="24"/>
        </w:rPr>
        <w:t>PRIMERO. De la competencia</w:t>
      </w:r>
    </w:p>
    <w:p w:rsidR="00871442" w:rsidRPr="008F698B" w:rsidRDefault="0032471D">
      <w:pPr>
        <w:numPr>
          <w:ilvl w:val="0"/>
          <w:numId w:val="3"/>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b/>
          <w:color w:val="000000"/>
          <w:sz w:val="24"/>
          <w:szCs w:val="24"/>
        </w:rPr>
      </w:pPr>
      <w:r w:rsidRPr="008F698B">
        <w:rPr>
          <w:rFonts w:ascii="Palatino Linotype" w:eastAsia="Palatino Linotype" w:hAnsi="Palatino Linotype" w:cs="Palatino Linotype"/>
          <w:color w:val="000000"/>
          <w:sz w:val="24"/>
          <w:szCs w:val="24"/>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8F698B">
        <w:rPr>
          <w:rFonts w:ascii="Palatino Linotype" w:eastAsia="Palatino Linotype" w:hAnsi="Palatino Linotype" w:cs="Palatino Linotype"/>
          <w:b/>
          <w:color w:val="000000"/>
          <w:sz w:val="24"/>
          <w:szCs w:val="24"/>
        </w:rPr>
        <w:t>Constitución Política de los Estados Unidos Mexicanos</w:t>
      </w:r>
      <w:r w:rsidRPr="008F698B">
        <w:rPr>
          <w:rFonts w:ascii="Palatino Linotype" w:eastAsia="Palatino Linotype" w:hAnsi="Palatino Linotype" w:cs="Palatino Linotype"/>
          <w:color w:val="000000"/>
          <w:sz w:val="24"/>
          <w:szCs w:val="24"/>
        </w:rPr>
        <w:t xml:space="preserve">; 5, párrafos </w:t>
      </w:r>
      <w:r w:rsidRPr="008F698B">
        <w:rPr>
          <w:rFonts w:ascii="Palatino Linotype" w:eastAsia="Palatino Linotype" w:hAnsi="Palatino Linotype" w:cs="Palatino Linotype"/>
          <w:color w:val="222222"/>
          <w:sz w:val="24"/>
          <w:szCs w:val="24"/>
        </w:rPr>
        <w:t>trigésimo segundo, trigésimo tercero y trigésimo cuarto fracciones</w:t>
      </w:r>
      <w:r w:rsidRPr="008F698B">
        <w:rPr>
          <w:rFonts w:ascii="Palatino Linotype" w:eastAsia="Palatino Linotype" w:hAnsi="Palatino Linotype" w:cs="Palatino Linotype"/>
          <w:color w:val="000000"/>
          <w:sz w:val="24"/>
          <w:szCs w:val="24"/>
        </w:rPr>
        <w:t xml:space="preserve"> IV y V de la </w:t>
      </w:r>
      <w:r w:rsidRPr="008F698B">
        <w:rPr>
          <w:rFonts w:ascii="Palatino Linotype" w:eastAsia="Palatino Linotype" w:hAnsi="Palatino Linotype" w:cs="Palatino Linotype"/>
          <w:b/>
          <w:color w:val="000000"/>
          <w:sz w:val="24"/>
          <w:szCs w:val="24"/>
        </w:rPr>
        <w:t>Constitución Política del Estado Libre y Soberano de México</w:t>
      </w:r>
      <w:r w:rsidRPr="008F698B">
        <w:rPr>
          <w:rFonts w:ascii="Palatino Linotype" w:eastAsia="Palatino Linotype" w:hAnsi="Palatino Linotype" w:cs="Palatino Linotype"/>
          <w:color w:val="000000"/>
          <w:sz w:val="24"/>
          <w:szCs w:val="24"/>
        </w:rPr>
        <w:t xml:space="preserve">; artículos 1, 2 fracción II, 13, 29, 36 fracciones I y II, 176, 178, 179, 181 párrafo tercero y 185 de la </w:t>
      </w:r>
      <w:r w:rsidRPr="008F698B">
        <w:rPr>
          <w:rFonts w:ascii="Palatino Linotype" w:eastAsia="Palatino Linotype" w:hAnsi="Palatino Linotype" w:cs="Palatino Linotype"/>
          <w:b/>
          <w:color w:val="000000"/>
          <w:sz w:val="24"/>
          <w:szCs w:val="24"/>
        </w:rPr>
        <w:t>Ley de Transparencia y Acceso a la Información Pública del Estado de México y Municipios</w:t>
      </w:r>
      <w:r w:rsidRPr="008F698B">
        <w:rPr>
          <w:rFonts w:ascii="Palatino Linotype" w:eastAsia="Palatino Linotype" w:hAnsi="Palatino Linotype" w:cs="Palatino Linotype"/>
          <w:color w:val="000000"/>
          <w:sz w:val="24"/>
          <w:szCs w:val="24"/>
        </w:rPr>
        <w:t xml:space="preserve">; y 7, 9 fracciones I y XXIII, y 11 del </w:t>
      </w:r>
      <w:r w:rsidRPr="008F698B">
        <w:rPr>
          <w:rFonts w:ascii="Palatino Linotype" w:eastAsia="Palatino Linotype" w:hAnsi="Palatino Linotype" w:cs="Palatino Linotype"/>
          <w:b/>
          <w:color w:val="000000"/>
          <w:sz w:val="24"/>
          <w:szCs w:val="24"/>
        </w:rPr>
        <w:t>Reglamento Interior del Instituto de Transparencia, Acceso a la Información Pública y Protección de Datos Personales del Estado de México y Municipios</w:t>
      </w:r>
      <w:r w:rsidRPr="008F698B">
        <w:rPr>
          <w:rFonts w:ascii="Palatino Linotype" w:eastAsia="Palatino Linotype" w:hAnsi="Palatino Linotype" w:cs="Palatino Linotype"/>
          <w:color w:val="000000"/>
          <w:sz w:val="24"/>
          <w:szCs w:val="24"/>
        </w:rPr>
        <w:t>.</w:t>
      </w:r>
    </w:p>
    <w:p w:rsidR="00871442" w:rsidRPr="008F698B" w:rsidRDefault="00871442">
      <w:pPr>
        <w:pBdr>
          <w:top w:val="nil"/>
          <w:left w:val="nil"/>
          <w:bottom w:val="nil"/>
          <w:right w:val="nil"/>
          <w:between w:val="nil"/>
        </w:pBdr>
        <w:tabs>
          <w:tab w:val="left" w:pos="426"/>
        </w:tabs>
        <w:spacing w:line="360" w:lineRule="auto"/>
        <w:ind w:right="-592"/>
        <w:jc w:val="both"/>
        <w:rPr>
          <w:rFonts w:ascii="Palatino Linotype" w:eastAsia="Palatino Linotype" w:hAnsi="Palatino Linotype" w:cs="Palatino Linotype"/>
          <w:b/>
          <w:color w:val="000000"/>
          <w:sz w:val="24"/>
          <w:szCs w:val="24"/>
        </w:rPr>
      </w:pPr>
    </w:p>
    <w:p w:rsidR="00871442" w:rsidRPr="008F698B" w:rsidRDefault="0032471D">
      <w:pPr>
        <w:pStyle w:val="Ttulo2"/>
        <w:ind w:right="-592"/>
        <w:rPr>
          <w:rFonts w:ascii="Palatino Linotype" w:eastAsia="Palatino Linotype" w:hAnsi="Palatino Linotype" w:cs="Palatino Linotype"/>
          <w:b/>
          <w:color w:val="000000"/>
          <w:sz w:val="24"/>
          <w:szCs w:val="24"/>
        </w:rPr>
      </w:pPr>
      <w:bookmarkStart w:id="5" w:name="_heading=h.2et92p0" w:colFirst="0" w:colLast="0"/>
      <w:bookmarkEnd w:id="5"/>
      <w:r w:rsidRPr="008F698B">
        <w:rPr>
          <w:rFonts w:ascii="Palatino Linotype" w:eastAsia="Palatino Linotype" w:hAnsi="Palatino Linotype" w:cs="Palatino Linotype"/>
          <w:b/>
          <w:color w:val="000000"/>
          <w:sz w:val="24"/>
          <w:szCs w:val="24"/>
        </w:rPr>
        <w:t>SEGUNDO. De la oportunidad y procedencia.</w:t>
      </w:r>
    </w:p>
    <w:p w:rsidR="00871442" w:rsidRPr="008F698B" w:rsidRDefault="0032471D">
      <w:pPr>
        <w:numPr>
          <w:ilvl w:val="0"/>
          <w:numId w:val="3"/>
        </w:numPr>
        <w:pBdr>
          <w:top w:val="nil"/>
          <w:left w:val="nil"/>
          <w:bottom w:val="nil"/>
          <w:right w:val="nil"/>
          <w:between w:val="nil"/>
        </w:pBdr>
        <w:tabs>
          <w:tab w:val="left" w:pos="426"/>
        </w:tabs>
        <w:spacing w:line="360" w:lineRule="auto"/>
        <w:ind w:left="0" w:right="-592" w:firstLine="0"/>
        <w:jc w:val="both"/>
        <w:rPr>
          <w:rFonts w:ascii="Palatino Linotype" w:hAnsi="Palatino Linotype"/>
          <w:color w:val="000000"/>
          <w:sz w:val="24"/>
          <w:szCs w:val="24"/>
        </w:rPr>
      </w:pPr>
      <w:bookmarkStart w:id="6" w:name="_heading=h.tyjcwt" w:colFirst="0" w:colLast="0"/>
      <w:bookmarkEnd w:id="6"/>
      <w:r w:rsidRPr="008F698B">
        <w:rPr>
          <w:rFonts w:ascii="Palatino Linotype" w:eastAsia="Palatino Linotype" w:hAnsi="Palatino Linotype" w:cs="Palatino Linotype"/>
          <w:color w:val="000000"/>
          <w:sz w:val="24"/>
          <w:szCs w:val="24"/>
        </w:rPr>
        <w:t xml:space="preserve">El medio de impugnación fue presentado a través del SAIMEX en el formato previamente aprobado para tal efecto y dentro del plazo legal de quince días hábiles </w:t>
      </w:r>
      <w:r w:rsidRPr="008F698B">
        <w:rPr>
          <w:rFonts w:ascii="Palatino Linotype" w:eastAsia="Palatino Linotype" w:hAnsi="Palatino Linotype" w:cs="Palatino Linotype"/>
          <w:color w:val="000000"/>
          <w:sz w:val="24"/>
          <w:szCs w:val="24"/>
        </w:rPr>
        <w:lastRenderedPageBreak/>
        <w:t xml:space="preserve">otorgados; siendo así que el </w:t>
      </w:r>
      <w:r w:rsidRPr="008F698B">
        <w:rPr>
          <w:rFonts w:ascii="Palatino Linotype" w:eastAsia="Palatino Linotype" w:hAnsi="Palatino Linotype" w:cs="Palatino Linotype"/>
          <w:b/>
          <w:color w:val="000000"/>
          <w:sz w:val="24"/>
          <w:szCs w:val="24"/>
        </w:rPr>
        <w:t>SUJETO OBLIGADO</w:t>
      </w:r>
      <w:r w:rsidRPr="008F698B">
        <w:rPr>
          <w:rFonts w:ascii="Palatino Linotype" w:eastAsia="Palatino Linotype" w:hAnsi="Palatino Linotype" w:cs="Palatino Linotype"/>
          <w:color w:val="000000"/>
          <w:sz w:val="24"/>
          <w:szCs w:val="24"/>
        </w:rPr>
        <w:t xml:space="preserve"> entregó respuesta el </w:t>
      </w:r>
      <w:r w:rsidRPr="008F698B">
        <w:rPr>
          <w:rFonts w:ascii="Palatino Linotype" w:eastAsia="Palatino Linotype" w:hAnsi="Palatino Linotype" w:cs="Palatino Linotype"/>
          <w:b/>
          <w:color w:val="000000"/>
          <w:sz w:val="24"/>
          <w:szCs w:val="24"/>
        </w:rPr>
        <w:t>dieciséis de octubre de dos mil veinticuatro</w:t>
      </w:r>
      <w:r w:rsidRPr="008F698B">
        <w:rPr>
          <w:rFonts w:ascii="Palatino Linotype" w:eastAsia="Palatino Linotype" w:hAnsi="Palatino Linotype" w:cs="Palatino Linotype"/>
          <w:color w:val="000000"/>
          <w:sz w:val="24"/>
          <w:szCs w:val="24"/>
        </w:rPr>
        <w:t xml:space="preserve">, de tal forma que el plazo para interponer el recurso de revisión transcurrió del </w:t>
      </w:r>
      <w:r w:rsidRPr="008F698B">
        <w:rPr>
          <w:rFonts w:ascii="Palatino Linotype" w:eastAsia="Palatino Linotype" w:hAnsi="Palatino Linotype" w:cs="Palatino Linotype"/>
          <w:b/>
          <w:color w:val="000000"/>
          <w:sz w:val="24"/>
          <w:szCs w:val="24"/>
        </w:rPr>
        <w:t>diecisiete de octubre al siete de noviembre de dos mil veinticuatro</w:t>
      </w:r>
      <w:r w:rsidRPr="008F698B">
        <w:rPr>
          <w:rFonts w:ascii="Palatino Linotype" w:eastAsia="Palatino Linotype" w:hAnsi="Palatino Linotype" w:cs="Palatino Linotype"/>
          <w:color w:val="000000"/>
          <w:sz w:val="24"/>
          <w:szCs w:val="24"/>
        </w:rPr>
        <w:t xml:space="preserve">, el recurso de revisión fue interpuesto el </w:t>
      </w:r>
      <w:r w:rsidRPr="008F698B">
        <w:rPr>
          <w:rFonts w:ascii="Palatino Linotype" w:eastAsia="Palatino Linotype" w:hAnsi="Palatino Linotype" w:cs="Palatino Linotype"/>
          <w:b/>
          <w:color w:val="000000"/>
          <w:sz w:val="24"/>
          <w:szCs w:val="24"/>
        </w:rPr>
        <w:t>diecinueve de octubre de dos mil veinticuatro</w:t>
      </w:r>
      <w:r w:rsidRPr="008F698B">
        <w:rPr>
          <w:rFonts w:ascii="Palatino Linotype" w:eastAsia="Palatino Linotype" w:hAnsi="Palatino Linotype" w:cs="Palatino Linotype"/>
          <w:color w:val="000000"/>
          <w:sz w:val="24"/>
          <w:szCs w:val="24"/>
        </w:rPr>
        <w:t>, éste se encuentra dentro de los márgenes temporales previstos en el artículo 178 de la Ley de Transparencia y Acceso a la Información Pública del Estado de México y Municipios</w:t>
      </w:r>
      <w:r w:rsidRPr="008F698B">
        <w:rPr>
          <w:rFonts w:ascii="Palatino Linotype" w:eastAsia="Palatino Linotype" w:hAnsi="Palatino Linotype" w:cs="Palatino Linotype"/>
          <w:b/>
          <w:color w:val="000000"/>
          <w:sz w:val="24"/>
          <w:szCs w:val="24"/>
        </w:rPr>
        <w:t xml:space="preserve"> </w:t>
      </w:r>
      <w:r w:rsidRPr="008F698B">
        <w:rPr>
          <w:rFonts w:ascii="Palatino Linotype" w:eastAsia="Palatino Linotype" w:hAnsi="Palatino Linotype" w:cs="Palatino Linotype"/>
          <w:color w:val="000000"/>
          <w:sz w:val="24"/>
          <w:szCs w:val="24"/>
        </w:rPr>
        <w:t xml:space="preserve">vigente.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tabs>
          <w:tab w:val="left" w:pos="426"/>
        </w:tabs>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871442" w:rsidRPr="008F698B" w:rsidRDefault="0032471D">
      <w:pPr>
        <w:pStyle w:val="Ttulo1"/>
        <w:ind w:right="-592"/>
        <w:rPr>
          <w:rFonts w:ascii="Palatino Linotype" w:eastAsia="Palatino Linotype" w:hAnsi="Palatino Linotype" w:cs="Palatino Linotype"/>
          <w:b/>
          <w:color w:val="000000"/>
          <w:sz w:val="24"/>
          <w:szCs w:val="24"/>
        </w:rPr>
      </w:pPr>
      <w:r w:rsidRPr="008F698B">
        <w:rPr>
          <w:rFonts w:ascii="Palatino Linotype" w:eastAsia="Palatino Linotype" w:hAnsi="Palatino Linotype" w:cs="Palatino Linotype"/>
          <w:b/>
          <w:color w:val="000000"/>
          <w:sz w:val="24"/>
          <w:szCs w:val="24"/>
        </w:rPr>
        <w:t xml:space="preserve">TERCERO. Planteamiento de la Litis </w:t>
      </w:r>
    </w:p>
    <w:p w:rsidR="00871442" w:rsidRPr="008F698B" w:rsidRDefault="0032471D">
      <w:pPr>
        <w:numPr>
          <w:ilvl w:val="0"/>
          <w:numId w:val="3"/>
        </w:numPr>
        <w:pBdr>
          <w:top w:val="nil"/>
          <w:left w:val="nil"/>
          <w:bottom w:val="nil"/>
          <w:right w:val="nil"/>
          <w:between w:val="nil"/>
        </w:pBdr>
        <w:spacing w:before="24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El recurrente solicitó el costo unitario de los componentes que conforman un poste armado con cámaras y botón de pánico, de los componentes de conectividad y las especificaciones de las cámaras de la fase dos del proyecto jaguar.</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after="24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 xml:space="preserve">El Sujeto Obligado, </w:t>
      </w:r>
      <w:r w:rsidRPr="008F698B">
        <w:rPr>
          <w:rFonts w:ascii="Palatino Linotype" w:eastAsia="Palatino Linotype" w:hAnsi="Palatino Linotype" w:cs="Palatino Linotype"/>
          <w:sz w:val="24"/>
          <w:szCs w:val="24"/>
        </w:rPr>
        <w:t>señaló</w:t>
      </w:r>
      <w:r w:rsidRPr="008F698B">
        <w:rPr>
          <w:rFonts w:ascii="Palatino Linotype" w:eastAsia="Palatino Linotype" w:hAnsi="Palatino Linotype" w:cs="Palatino Linotype"/>
          <w:color w:val="000000"/>
          <w:sz w:val="24"/>
          <w:szCs w:val="24"/>
        </w:rPr>
        <w:t xml:space="preserve"> a través de la Tesorera Municipal que la información </w:t>
      </w:r>
      <w:r w:rsidRPr="008F698B">
        <w:rPr>
          <w:rFonts w:ascii="Palatino Linotype" w:eastAsia="Palatino Linotype" w:hAnsi="Palatino Linotype" w:cs="Palatino Linotype"/>
          <w:sz w:val="24"/>
          <w:szCs w:val="24"/>
        </w:rPr>
        <w:t>solicitada es</w:t>
      </w:r>
      <w:r w:rsidRPr="008F698B">
        <w:rPr>
          <w:rFonts w:ascii="Palatino Linotype" w:eastAsia="Palatino Linotype" w:hAnsi="Palatino Linotype" w:cs="Palatino Linotype"/>
          <w:color w:val="000000"/>
          <w:sz w:val="24"/>
          <w:szCs w:val="24"/>
        </w:rPr>
        <w:t xml:space="preserve"> de su competencia. Por su parte, el Recurrente interpuso recurso de revisión en el que señaló su inconformidad por la negativa de la información. </w:t>
      </w:r>
    </w:p>
    <w:p w:rsidR="00871442" w:rsidRPr="008F698B" w:rsidRDefault="0032471D">
      <w:pPr>
        <w:numPr>
          <w:ilvl w:val="0"/>
          <w:numId w:val="3"/>
        </w:numPr>
        <w:tabs>
          <w:tab w:val="left" w:pos="284"/>
        </w:tabs>
        <w:spacing w:before="240" w:line="360" w:lineRule="auto"/>
        <w:ind w:left="0" w:right="-592" w:firstLine="0"/>
        <w:jc w:val="both"/>
        <w:rPr>
          <w:rFonts w:ascii="Palatino Linotype" w:hAnsi="Palatino Linotype"/>
          <w:sz w:val="24"/>
          <w:szCs w:val="24"/>
        </w:rPr>
      </w:pPr>
      <w:r w:rsidRPr="008F698B">
        <w:rPr>
          <w:rFonts w:ascii="Palatino Linotype" w:eastAsia="Palatino Linotype" w:hAnsi="Palatino Linotype" w:cs="Palatino Linotype"/>
          <w:sz w:val="24"/>
          <w:szCs w:val="24"/>
        </w:rPr>
        <w:t>Por lo tanto, el presente recurso de revisión se circunscribe en determinar si se actualiza las causales de procedencia</w:t>
      </w:r>
      <w:r w:rsidRPr="008F698B">
        <w:rPr>
          <w:rFonts w:ascii="Palatino Linotype" w:eastAsia="Palatino Linotype" w:hAnsi="Palatino Linotype" w:cs="Palatino Linotype"/>
          <w:b/>
          <w:sz w:val="24"/>
          <w:szCs w:val="24"/>
        </w:rPr>
        <w:t xml:space="preserve"> </w:t>
      </w:r>
      <w:r w:rsidRPr="008F698B">
        <w:rPr>
          <w:rFonts w:ascii="Palatino Linotype" w:eastAsia="Palatino Linotype" w:hAnsi="Palatino Linotype" w:cs="Palatino Linotype"/>
          <w:sz w:val="24"/>
          <w:szCs w:val="24"/>
        </w:rPr>
        <w:t xml:space="preserve">contenidas en el artículo 179 fracciones I, relativo a la negativa de la información, de la </w:t>
      </w:r>
      <w:r w:rsidRPr="008F698B">
        <w:rPr>
          <w:rFonts w:ascii="Palatino Linotype" w:eastAsia="Palatino Linotype" w:hAnsi="Palatino Linotype" w:cs="Palatino Linotype"/>
          <w:b/>
          <w:sz w:val="24"/>
          <w:szCs w:val="24"/>
        </w:rPr>
        <w:t>Ley de Transparencia y Acceso a la Información Pública del Estado de México y Municipios</w:t>
      </w:r>
      <w:r w:rsidRPr="008F698B">
        <w:rPr>
          <w:rFonts w:ascii="Palatino Linotype" w:eastAsia="Palatino Linotype" w:hAnsi="Palatino Linotype" w:cs="Palatino Linotype"/>
          <w:sz w:val="24"/>
          <w:szCs w:val="24"/>
        </w:rPr>
        <w:t>.</w:t>
      </w:r>
    </w:p>
    <w:p w:rsidR="00871442" w:rsidRPr="008F698B" w:rsidRDefault="00871442">
      <w:pPr>
        <w:tabs>
          <w:tab w:val="left" w:pos="426"/>
        </w:tabs>
        <w:spacing w:line="360" w:lineRule="auto"/>
        <w:ind w:left="567" w:right="-592"/>
        <w:jc w:val="both"/>
        <w:rPr>
          <w:rFonts w:ascii="Palatino Linotype" w:eastAsia="Palatino Linotype" w:hAnsi="Palatino Linotype" w:cs="Palatino Linotype"/>
          <w:i/>
          <w:color w:val="000000"/>
          <w:sz w:val="24"/>
          <w:szCs w:val="24"/>
        </w:rPr>
      </w:pPr>
    </w:p>
    <w:p w:rsidR="00871442" w:rsidRPr="008F698B" w:rsidRDefault="0032471D">
      <w:pPr>
        <w:pStyle w:val="Ttulo2"/>
        <w:tabs>
          <w:tab w:val="left" w:pos="426"/>
        </w:tabs>
        <w:ind w:right="-592"/>
        <w:rPr>
          <w:rFonts w:ascii="Palatino Linotype" w:eastAsia="Palatino Linotype" w:hAnsi="Palatino Linotype" w:cs="Palatino Linotype"/>
          <w:b/>
          <w:color w:val="000000"/>
          <w:sz w:val="24"/>
          <w:szCs w:val="24"/>
        </w:rPr>
      </w:pPr>
      <w:bookmarkStart w:id="7" w:name="_heading=h.3dy6vkm" w:colFirst="0" w:colLast="0"/>
      <w:bookmarkEnd w:id="7"/>
      <w:r w:rsidRPr="008F698B">
        <w:rPr>
          <w:rFonts w:ascii="Palatino Linotype" w:eastAsia="Palatino Linotype" w:hAnsi="Palatino Linotype" w:cs="Palatino Linotype"/>
          <w:b/>
          <w:color w:val="000000"/>
          <w:sz w:val="24"/>
          <w:szCs w:val="24"/>
        </w:rPr>
        <w:t>CUARTO. Estudio y Resolución del asunto.</w:t>
      </w:r>
    </w:p>
    <w:p w:rsidR="00871442" w:rsidRPr="008F698B" w:rsidRDefault="0032471D">
      <w:pPr>
        <w:numPr>
          <w:ilvl w:val="0"/>
          <w:numId w:val="3"/>
        </w:numPr>
        <w:spacing w:line="360" w:lineRule="auto"/>
        <w:ind w:left="0" w:right="-592" w:firstLine="0"/>
        <w:jc w:val="both"/>
        <w:rPr>
          <w:rFonts w:ascii="Palatino Linotype" w:hAnsi="Palatino Linotype"/>
          <w:sz w:val="24"/>
          <w:szCs w:val="24"/>
        </w:rPr>
      </w:pPr>
      <w:r w:rsidRPr="008F698B">
        <w:rPr>
          <w:rFonts w:ascii="Palatino Linotype" w:eastAsia="Palatino Linotype" w:hAnsi="Palatino Linotype" w:cs="Palatino Linotype"/>
          <w:sz w:val="24"/>
          <w:szCs w:val="24"/>
        </w:rPr>
        <w:t>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Ley de Transparencia y Acceso a la Información Pública del Estado de México y Municipios.</w:t>
      </w:r>
    </w:p>
    <w:p w:rsidR="00871442" w:rsidRPr="008F698B" w:rsidRDefault="00871442">
      <w:pPr>
        <w:spacing w:line="360" w:lineRule="auto"/>
        <w:ind w:right="-592"/>
        <w:jc w:val="both"/>
        <w:rPr>
          <w:rFonts w:ascii="Palatino Linotype" w:eastAsia="Palatino Linotype" w:hAnsi="Palatino Linotype" w:cs="Palatino Linotype"/>
          <w:sz w:val="24"/>
          <w:szCs w:val="24"/>
        </w:rPr>
      </w:pPr>
    </w:p>
    <w:p w:rsidR="00871442" w:rsidRPr="008F698B" w:rsidRDefault="0032471D">
      <w:pPr>
        <w:numPr>
          <w:ilvl w:val="0"/>
          <w:numId w:val="3"/>
        </w:numPr>
        <w:spacing w:line="360" w:lineRule="auto"/>
        <w:ind w:left="0" w:right="-592" w:firstLine="0"/>
        <w:jc w:val="both"/>
        <w:rPr>
          <w:rFonts w:ascii="Palatino Linotype" w:hAnsi="Palatino Linotype"/>
          <w:sz w:val="24"/>
          <w:szCs w:val="24"/>
        </w:rPr>
      </w:pPr>
      <w:r w:rsidRPr="008F698B">
        <w:rPr>
          <w:rFonts w:ascii="Palatino Linotype" w:eastAsia="Palatino Linotype" w:hAnsi="Palatino Linotype" w:cs="Palatino Linotype"/>
          <w:sz w:val="24"/>
          <w:szCs w:val="24"/>
        </w:rPr>
        <w:t>El particular solicitó, en el costo unitario de los componentes que conforman un poste armado con cámaras y botón de pánico, de los componentes de conectividad y las especificaciones de las cámaras de la fase dos del proyecto jaguar.</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ese contexto, es necesario mencionar que el acceso a la información es un derecho humano constitucional y convencionalmente reconocido y para tal efecto el párrafo tercero </w:t>
      </w:r>
      <w:r w:rsidRPr="008F698B">
        <w:rPr>
          <w:rFonts w:ascii="Palatino Linotype" w:eastAsia="Palatino Linotype" w:hAnsi="Palatino Linotype" w:cs="Palatino Linotype"/>
          <w:color w:val="000000"/>
          <w:sz w:val="24"/>
          <w:szCs w:val="24"/>
        </w:rPr>
        <w:lastRenderedPageBreak/>
        <w:t xml:space="preserve">del artículo primero de la Constitución Política de los Estados Unidos Mexicanos establece que el deber de todas las autoridades, </w:t>
      </w:r>
      <w:r w:rsidRPr="008F698B">
        <w:rPr>
          <w:rFonts w:ascii="Palatino Linotype" w:eastAsia="Palatino Linotype" w:hAnsi="Palatino Linotype" w:cs="Palatino Linotype"/>
          <w:i/>
          <w:color w:val="000000"/>
          <w:sz w:val="24"/>
          <w:szCs w:val="24"/>
        </w:rPr>
        <w:t xml:space="preserve">en el ámbito de sus atribuciones, de promover, respetar, proteger y </w:t>
      </w:r>
      <w:r w:rsidRPr="008F698B">
        <w:rPr>
          <w:rFonts w:ascii="Palatino Linotype" w:eastAsia="Palatino Linotype" w:hAnsi="Palatino Linotype" w:cs="Palatino Linotype"/>
          <w:b/>
          <w:i/>
          <w:color w:val="000000"/>
          <w:sz w:val="24"/>
          <w:szCs w:val="24"/>
        </w:rPr>
        <w:t>garantizar</w:t>
      </w:r>
      <w:r w:rsidRPr="008F698B">
        <w:rPr>
          <w:rFonts w:ascii="Palatino Linotype" w:eastAsia="Palatino Linotype" w:hAnsi="Palatino Linotype" w:cs="Palatino Linotype"/>
          <w:i/>
          <w:color w:val="000000"/>
          <w:sz w:val="24"/>
          <w:szCs w:val="24"/>
        </w:rPr>
        <w:t xml:space="preserve"> los derechos humanos. </w:t>
      </w:r>
      <w:r w:rsidRPr="008F698B">
        <w:rPr>
          <w:rFonts w:ascii="Palatino Linotype" w:eastAsia="Palatino Linotype" w:hAnsi="Palatino Linotype" w:cs="Palatino Linotype"/>
          <w:b/>
          <w:i/>
          <w:color w:val="000000"/>
          <w:sz w:val="24"/>
          <w:szCs w:val="24"/>
        </w:rPr>
        <w:t>En cuanto al derecho de acceso a la información, la Ley de Transparencia y Acceso a la Información Pública del Estado de México y Municipios prevé establece que e</w:t>
      </w:r>
      <w:r w:rsidRPr="008F698B">
        <w:rPr>
          <w:rFonts w:ascii="Palatino Linotype" w:eastAsia="Palatino Linotype" w:hAnsi="Palatino Linotype" w:cs="Palatino Linotype"/>
          <w:i/>
          <w:color w:val="000000"/>
          <w:sz w:val="24"/>
          <w:szCs w:val="24"/>
        </w:rPr>
        <w:t>l procedimiento de acceso a la información es la garantía primaria del derecho en cuestión y se rige por los principios de simplicidad, rapidez y gratuidad del procedimiento, auxilio y orientación a los particulares</w:t>
      </w:r>
      <w:r w:rsidRPr="008F698B">
        <w:rPr>
          <w:rFonts w:ascii="Palatino Linotype" w:eastAsia="Century Gothic" w:hAnsi="Palatino Linotype" w:cs="Century Gothic"/>
          <w:i/>
          <w:color w:val="000000"/>
          <w:sz w:val="24"/>
          <w:szCs w:val="24"/>
          <w:vertAlign w:val="superscript"/>
        </w:rPr>
        <w:footnoteReference w:id="1"/>
      </w:r>
      <w:r w:rsidRPr="008F698B">
        <w:rPr>
          <w:rFonts w:ascii="Palatino Linotype" w:eastAsia="Palatino Linotype" w:hAnsi="Palatino Linotype" w:cs="Palatino Linotype"/>
          <w:i/>
          <w:color w:val="000000"/>
          <w:sz w:val="24"/>
          <w:szCs w:val="24"/>
        </w:rPr>
        <w:t xml:space="preserve">, </w:t>
      </w:r>
      <w:r w:rsidRPr="008F698B">
        <w:rPr>
          <w:rFonts w:ascii="Palatino Linotype" w:eastAsia="Palatino Linotype" w:hAnsi="Palatino Linotype" w:cs="Palatino Linotype"/>
          <w:color w:val="000000"/>
          <w:sz w:val="24"/>
          <w:szCs w:val="24"/>
        </w:rPr>
        <w:t>asimismo establece</w:t>
      </w:r>
      <w:r w:rsidRPr="008F698B">
        <w:rPr>
          <w:rFonts w:ascii="Palatino Linotype" w:eastAsia="Palatino Linotype" w:hAnsi="Palatino Linotype" w:cs="Palatino Linotype"/>
          <w:i/>
          <w:color w:val="000000"/>
          <w:sz w:val="24"/>
          <w:szCs w:val="24"/>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w:t>
      </w:r>
      <w:r w:rsidRPr="008F698B">
        <w:rPr>
          <w:rFonts w:ascii="Palatino Linotype" w:eastAsia="Palatino Linotype" w:hAnsi="Palatino Linotype" w:cs="Palatino Linotype"/>
          <w:sz w:val="24"/>
          <w:szCs w:val="24"/>
        </w:rPr>
        <w:t>administran</w:t>
      </w:r>
      <w:r w:rsidRPr="008F698B">
        <w:rPr>
          <w:rFonts w:ascii="Palatino Linotype" w:eastAsia="Palatino Linotype" w:hAnsi="Palatino Linotype" w:cs="Palatino Linotype"/>
          <w:color w:val="000000"/>
          <w:sz w:val="24"/>
          <w:szCs w:val="24"/>
        </w:rPr>
        <w:t xml:space="preserve">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Las funciones que realizan las Unidades de Transparencia de los Sujetos Obligados es fundamental para el correcto cumplimiento del derecho de acceso a la información, pues son el vínculo entre los particulares y la información que requieren, además, su obligación es: </w:t>
      </w:r>
      <w:r w:rsidRPr="008F698B">
        <w:rPr>
          <w:rFonts w:ascii="Palatino Linotype" w:eastAsia="Palatino Linotype" w:hAnsi="Palatino Linotype" w:cs="Palatino Linotype"/>
          <w:i/>
          <w:color w:val="000000"/>
          <w:sz w:val="24"/>
          <w:szCs w:val="24"/>
        </w:rPr>
        <w:t>realizar, con efectividad, los trámites internos necesarios para la atención de las solicitudes de información</w:t>
      </w:r>
      <w:r w:rsidRPr="008F698B">
        <w:rPr>
          <w:rFonts w:ascii="Palatino Linotype" w:eastAsia="Century Gothic" w:hAnsi="Palatino Linotype" w:cs="Century Gothic"/>
          <w:color w:val="000000"/>
          <w:sz w:val="24"/>
          <w:szCs w:val="24"/>
          <w:vertAlign w:val="superscript"/>
        </w:rPr>
        <w:footnoteReference w:id="2"/>
      </w:r>
      <w:r w:rsidRPr="008F698B">
        <w:rPr>
          <w:rFonts w:ascii="Palatino Linotype" w:eastAsia="Palatino Linotype" w:hAnsi="Palatino Linotype" w:cs="Palatino Linotype"/>
          <w:color w:val="000000"/>
          <w:sz w:val="24"/>
          <w:szCs w:val="24"/>
        </w:rPr>
        <w:t>, es decir, deben otorgar respuestas concisas, contundentes y certeras, además de estar en estricto apego a lo que la normatividad en la materia establece.</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Debiendo cumplir con lo dispuesto en la Ley de Transparencia y Acceso a la Información Pública del Estado de México y Municipios, en el artículo 162, mismo del que se inserta su contenido: </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Artículo 162. </w:t>
      </w:r>
      <w:r w:rsidRPr="008F698B">
        <w:rPr>
          <w:rFonts w:ascii="Palatino Linotype" w:eastAsia="Palatino Linotype" w:hAnsi="Palatino Linotype" w:cs="Palatino Linotype"/>
          <w:i/>
          <w:sz w:val="24"/>
          <w:szCs w:val="24"/>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871442" w:rsidRPr="008F698B" w:rsidRDefault="0032471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 </w:t>
      </w: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Las unidades de transparencia deberán turnar las solicitudes de acceso a la información a las áreas correspondientes para que estas a su vez, manifestarán lo conducente; situación que no se materializó, puesto que el Titular de la Unidad de Transparencia fue omiso en realizar tal acción.</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La búsqueda exhaustiva y razonable de la información con su debida comprobación, es una herramienta que permite brindar mayor certeza a los particulares sobre las acciones que realizan los sujetos obligados para atender las solicitudes de información. Asimismo, con dicha herramienta se refleja el grado de compromiso que tienen como autoridades para el debido cumplimiento y tutela del derecho constitucional y convencionalmente reconocido que es el derecho de acceso a la información.</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La falta de carteo o turno de las Unidades de Transparencia a las diferentes áreas que integran la estructura orgánica de los Sujetos Obligados, podrían causar una afectación o restricción al derecho ejercido por los particulares.</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Es necesario que los Sujetos Obligados, a efecto de brindar certeza jurídica y correcta tutela al derecho accionado por los particulares realicen una correcta búsqueda en todas las áreas que de acuerdo a sus </w:t>
      </w:r>
      <w:r w:rsidRPr="008F698B">
        <w:rPr>
          <w:rFonts w:ascii="Palatino Linotype" w:eastAsia="Palatino Linotype" w:hAnsi="Palatino Linotype" w:cs="Palatino Linotype"/>
          <w:sz w:val="24"/>
          <w:szCs w:val="24"/>
        </w:rPr>
        <w:t>funciones, atribuciones</w:t>
      </w:r>
      <w:r w:rsidRPr="008F698B">
        <w:rPr>
          <w:rFonts w:ascii="Palatino Linotype" w:eastAsia="Palatino Linotype" w:hAnsi="Palatino Linotype" w:cs="Palatino Linotype"/>
          <w:color w:val="000000"/>
          <w:sz w:val="24"/>
          <w:szCs w:val="24"/>
        </w:rPr>
        <w:t xml:space="preserve"> y competencias deban generar, administrar y poseer la información de interés para los particulares.</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Es así que, los Titulares de las Unidades de Transparencia, al recibir una solicitud deben recibir, tramitar y dar respuesta a las solicitudes de acceso a la información, tal y como lo dispone la fracción II y IV del artículo 53 de la Ley de Transparencia y Acceso a la Información Pública del Estado de México y Municipios:</w:t>
      </w:r>
    </w:p>
    <w:p w:rsidR="00871442" w:rsidRPr="008F698B" w:rsidRDefault="0032471D">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Artículo 53. Las Unidades de Transparencia tendrán las siguientes funciones: </w:t>
      </w:r>
    </w:p>
    <w:p w:rsidR="00871442" w:rsidRPr="008F698B" w:rsidRDefault="0032471D">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lastRenderedPageBreak/>
        <w:t>I. …</w:t>
      </w:r>
    </w:p>
    <w:p w:rsidR="00871442" w:rsidRPr="008F698B" w:rsidRDefault="0032471D">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II. Recibir, tramitar y dar respuesta a las solicitudes de acceso a la información;</w:t>
      </w:r>
    </w:p>
    <w:p w:rsidR="00871442" w:rsidRPr="008F698B" w:rsidRDefault="0032471D">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w:t>
      </w:r>
    </w:p>
    <w:p w:rsidR="00871442" w:rsidRPr="008F698B" w:rsidRDefault="0032471D">
      <w:pPr>
        <w:pBdr>
          <w:top w:val="nil"/>
          <w:left w:val="nil"/>
          <w:bottom w:val="nil"/>
          <w:right w:val="nil"/>
          <w:between w:val="nil"/>
        </w:pBdr>
        <w:spacing w:line="360" w:lineRule="auto"/>
        <w:ind w:left="851"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IV. Realizar, con efectividad, los trámites internos necesarios para la atención de las solicitudes de acceso a la información;</w:t>
      </w:r>
    </w:p>
    <w:p w:rsidR="00871442" w:rsidRPr="008F698B" w:rsidRDefault="00871442">
      <w:pPr>
        <w:ind w:right="-592"/>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Es así que, en este caso la respuesta fue emitida por la Tesorera Municipal, quien manifestó que no es de su competencia, por ello, conviene traer a contexto lo que establece el artículo 47 del Bando Municipal de Ecatepec de Morelos, en el que se señala que la Tesorería Municipal es la dependencia encargada de los ingresos municipales, la administración de la Hacienda Pública y la responsable de realizar y verificar las erogaciones requeridas por el Ayuntamiento.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bookmarkStart w:id="8" w:name="_heading=h.1t3h5sf" w:colFirst="0" w:colLast="0"/>
      <w:bookmarkEnd w:id="8"/>
      <w:r w:rsidRPr="008F698B">
        <w:rPr>
          <w:rFonts w:ascii="Palatino Linotype" w:eastAsia="Palatino Linotype" w:hAnsi="Palatino Linotype" w:cs="Palatino Linotype"/>
          <w:color w:val="000000"/>
          <w:sz w:val="24"/>
          <w:szCs w:val="24"/>
        </w:rPr>
        <w:t xml:space="preserve">En ese sentido, se puede advertir que la Tesorería Municipal </w:t>
      </w:r>
      <w:r w:rsidRPr="008F698B">
        <w:rPr>
          <w:rFonts w:ascii="Palatino Linotype" w:eastAsia="Palatino Linotype" w:hAnsi="Palatino Linotype" w:cs="Palatino Linotype"/>
          <w:sz w:val="24"/>
          <w:szCs w:val="24"/>
        </w:rPr>
        <w:t>sí tiene</w:t>
      </w:r>
      <w:r w:rsidRPr="008F698B">
        <w:rPr>
          <w:rFonts w:ascii="Palatino Linotype" w:eastAsia="Palatino Linotype" w:hAnsi="Palatino Linotype" w:cs="Palatino Linotype"/>
          <w:color w:val="000000"/>
          <w:sz w:val="24"/>
          <w:szCs w:val="24"/>
        </w:rPr>
        <w:t xml:space="preserve"> atribuciones para conocer de lo solicitado, pues es el área encargada de las erogaciones, por lo tanto, debe conocer de los costos que se erogaron por los componentes de los postes con cámaras y botón de pánico. Asimismo, conviene señalar el artículo 50 del Bando Municipal, que se establece que la Dirección de Administración proveerá de los recurso humanos, materiales y servicios a las diversas áreas que conforman la Administración Pública Municipal y llevará a cabo los </w:t>
      </w:r>
      <w:r w:rsidRPr="008F698B">
        <w:rPr>
          <w:rFonts w:ascii="Palatino Linotype" w:eastAsia="Palatino Linotype" w:hAnsi="Palatino Linotype" w:cs="Palatino Linotype"/>
          <w:b/>
          <w:color w:val="000000"/>
          <w:sz w:val="24"/>
          <w:szCs w:val="24"/>
        </w:rPr>
        <w:t>procedimientos de adquisiciones de bienes y servicios</w:t>
      </w:r>
      <w:r w:rsidRPr="008F698B">
        <w:rPr>
          <w:rFonts w:ascii="Palatino Linotype" w:eastAsia="Palatino Linotype" w:hAnsi="Palatino Linotype" w:cs="Palatino Linotype"/>
          <w:color w:val="000000"/>
          <w:sz w:val="24"/>
          <w:szCs w:val="24"/>
        </w:rPr>
        <w:t xml:space="preserve">, por lo tanto, la </w:t>
      </w:r>
      <w:r w:rsidRPr="008F698B">
        <w:rPr>
          <w:rFonts w:ascii="Palatino Linotype" w:eastAsia="Palatino Linotype" w:hAnsi="Palatino Linotype" w:cs="Palatino Linotype"/>
          <w:color w:val="000000"/>
          <w:sz w:val="24"/>
          <w:szCs w:val="24"/>
        </w:rPr>
        <w:lastRenderedPageBreak/>
        <w:t xml:space="preserve">solicitud también se debió turnar a la Dirección de Administración, es decir, que el Sujeto Obligado no dio cumplimiento al proceso de búsqueda anteriormente señalado.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ese sentido, es indispensable traer a contexto lo dispuesto en la Ley de la Contratación Pública del Estado de México y Municipios, la cual tiene por objeto regular los actos relativos a la planeación, programación, presupuestación, ejecución y control de </w:t>
      </w:r>
      <w:r w:rsidRPr="008F698B">
        <w:rPr>
          <w:rFonts w:ascii="Palatino Linotype" w:eastAsia="Palatino Linotype" w:hAnsi="Palatino Linotype" w:cs="Palatino Linotype"/>
          <w:b/>
          <w:color w:val="000000"/>
          <w:sz w:val="24"/>
          <w:szCs w:val="24"/>
        </w:rPr>
        <w:t xml:space="preserve">la </w:t>
      </w:r>
      <w:r w:rsidRPr="008F698B">
        <w:rPr>
          <w:rFonts w:ascii="Palatino Linotype" w:eastAsia="Palatino Linotype" w:hAnsi="Palatino Linotype" w:cs="Palatino Linotype"/>
          <w:b/>
          <w:color w:val="000000"/>
          <w:sz w:val="24"/>
          <w:szCs w:val="24"/>
          <w:u w:val="single"/>
        </w:rPr>
        <w:t>adquisición</w:t>
      </w:r>
      <w:r w:rsidRPr="008F698B">
        <w:rPr>
          <w:rFonts w:ascii="Palatino Linotype" w:eastAsia="Palatino Linotype" w:hAnsi="Palatino Linotype" w:cs="Palatino Linotype"/>
          <w:color w:val="000000"/>
          <w:sz w:val="24"/>
          <w:szCs w:val="24"/>
        </w:rPr>
        <w:t xml:space="preserve">, enajenación y </w:t>
      </w:r>
      <w:r w:rsidRPr="008F698B">
        <w:rPr>
          <w:rFonts w:ascii="Palatino Linotype" w:eastAsia="Palatino Linotype" w:hAnsi="Palatino Linotype" w:cs="Palatino Linotype"/>
          <w:b/>
          <w:color w:val="000000"/>
          <w:sz w:val="24"/>
          <w:szCs w:val="24"/>
        </w:rPr>
        <w:t xml:space="preserve">arrendamiento </w:t>
      </w:r>
      <w:r w:rsidRPr="008F698B">
        <w:rPr>
          <w:rFonts w:ascii="Palatino Linotype" w:eastAsia="Palatino Linotype" w:hAnsi="Palatino Linotype" w:cs="Palatino Linotype"/>
          <w:b/>
          <w:color w:val="000000"/>
          <w:sz w:val="24"/>
          <w:szCs w:val="24"/>
          <w:u w:val="single"/>
        </w:rPr>
        <w:t>de bienes</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b/>
          <w:color w:val="000000"/>
          <w:sz w:val="24"/>
          <w:szCs w:val="24"/>
        </w:rPr>
        <w:t xml:space="preserve">y la </w:t>
      </w:r>
      <w:r w:rsidRPr="008F698B">
        <w:rPr>
          <w:rFonts w:ascii="Palatino Linotype" w:eastAsia="Palatino Linotype" w:hAnsi="Palatino Linotype" w:cs="Palatino Linotype"/>
          <w:b/>
          <w:color w:val="000000"/>
          <w:sz w:val="24"/>
          <w:szCs w:val="24"/>
          <w:u w:val="single"/>
        </w:rPr>
        <w:t>contratación de servicios de cualquier naturaleza</w:t>
      </w:r>
      <w:r w:rsidRPr="008F698B">
        <w:rPr>
          <w:rFonts w:ascii="Palatino Linotype" w:eastAsia="Palatino Linotype" w:hAnsi="Palatino Linotype" w:cs="Palatino Linotype"/>
          <w:color w:val="000000"/>
          <w:sz w:val="24"/>
          <w:szCs w:val="24"/>
          <w:u w:val="single"/>
        </w:rPr>
        <w:t>, que realicen los Ayuntamientos del Estado</w:t>
      </w:r>
      <w:r w:rsidRPr="008F698B">
        <w:rPr>
          <w:rFonts w:ascii="Palatino Linotype" w:eastAsia="Palatino Linotype" w:hAnsi="Palatino Linotype" w:cs="Palatino Linotype"/>
          <w:color w:val="000000"/>
          <w:sz w:val="24"/>
          <w:szCs w:val="24"/>
        </w:rPr>
        <w:t xml:space="preserve">; los cuales se </w:t>
      </w:r>
      <w:r w:rsidRPr="008F698B">
        <w:rPr>
          <w:rFonts w:ascii="Palatino Linotype" w:eastAsia="Palatino Linotype" w:hAnsi="Palatino Linotype" w:cs="Palatino Linotype"/>
          <w:sz w:val="24"/>
          <w:szCs w:val="24"/>
        </w:rPr>
        <w:t>adjudicará</w:t>
      </w:r>
      <w:r w:rsidRPr="008F698B">
        <w:rPr>
          <w:rFonts w:ascii="Palatino Linotype" w:eastAsia="Palatino Linotype" w:hAnsi="Palatino Linotype" w:cs="Palatino Linotype"/>
          <w:color w:val="000000"/>
          <w:sz w:val="24"/>
          <w:szCs w:val="24"/>
        </w:rPr>
        <w:t xml:space="preserve"> a través de </w:t>
      </w:r>
      <w:r w:rsidRPr="008F698B">
        <w:rPr>
          <w:rFonts w:ascii="Palatino Linotype" w:eastAsia="Palatino Linotype" w:hAnsi="Palatino Linotype" w:cs="Palatino Linotype"/>
          <w:color w:val="000000"/>
          <w:sz w:val="24"/>
          <w:szCs w:val="24"/>
          <w:u w:val="single"/>
        </w:rPr>
        <w:t>licitaciones públicas</w:t>
      </w:r>
      <w:r w:rsidRPr="008F698B">
        <w:rPr>
          <w:rFonts w:ascii="Palatino Linotype" w:eastAsia="Palatino Linotype" w:hAnsi="Palatino Linotype" w:cs="Palatino Linotype"/>
          <w:color w:val="000000"/>
          <w:sz w:val="24"/>
          <w:szCs w:val="24"/>
        </w:rPr>
        <w:t>, i</w:t>
      </w:r>
      <w:r w:rsidRPr="008F698B">
        <w:rPr>
          <w:rFonts w:ascii="Palatino Linotype" w:eastAsia="Palatino Linotype" w:hAnsi="Palatino Linotype" w:cs="Palatino Linotype"/>
          <w:color w:val="000000"/>
          <w:sz w:val="24"/>
          <w:szCs w:val="24"/>
          <w:u w:val="single"/>
        </w:rPr>
        <w:t>nvitación restringida o adjudicación directa,</w:t>
      </w:r>
      <w:r w:rsidRPr="008F698B">
        <w:rPr>
          <w:rFonts w:ascii="Palatino Linotype" w:eastAsia="Palatino Linotype" w:hAnsi="Palatino Linotype" w:cs="Palatino Linotype"/>
          <w:color w:val="000000"/>
          <w:sz w:val="24"/>
          <w:szCs w:val="24"/>
        </w:rPr>
        <w:t xml:space="preserve"> mediante convocatoria pública, tal y como lo establecen los artículos 4, 26 y 27 de dicha Ley, los cuales son del tenor siguiente: </w:t>
      </w: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w:t>
      </w:r>
      <w:r w:rsidRPr="008F698B">
        <w:rPr>
          <w:rFonts w:ascii="Palatino Linotype" w:eastAsia="Palatino Linotype" w:hAnsi="Palatino Linotype" w:cs="Palatino Linotype"/>
          <w:b/>
          <w:i/>
          <w:sz w:val="24"/>
          <w:szCs w:val="24"/>
        </w:rPr>
        <w:t>Artículo 4.-</w:t>
      </w:r>
      <w:r w:rsidRPr="008F698B">
        <w:rPr>
          <w:rFonts w:ascii="Palatino Linotype" w:eastAsia="Palatino Linotype" w:hAnsi="Palatino Linotype" w:cs="Palatino Linotype"/>
          <w:i/>
          <w:sz w:val="24"/>
          <w:szCs w:val="24"/>
        </w:rPr>
        <w:t xml:space="preserve"> Para los efectos de esta Ley, en las adquisiciones, enajenaciones, arrendamientos y servicios, quedan comprendidos: </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u w:val="single"/>
        </w:rPr>
      </w:pPr>
      <w:r w:rsidRPr="008F698B">
        <w:rPr>
          <w:rFonts w:ascii="Palatino Linotype" w:eastAsia="Palatino Linotype" w:hAnsi="Palatino Linotype" w:cs="Palatino Linotype"/>
          <w:b/>
          <w:i/>
          <w:sz w:val="24"/>
          <w:szCs w:val="24"/>
          <w:u w:val="single"/>
        </w:rPr>
        <w:t xml:space="preserve">I. La adquisición de bienes muebles. </w:t>
      </w: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II. La adquisición de bienes inmuebles, a través de compraventa. </w:t>
      </w: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III. La enajenación de bienes muebles e inmuebles. </w:t>
      </w: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IV. El arrendamiento de bienes muebles e inmuebles. </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u w:val="single"/>
        </w:rPr>
      </w:pPr>
      <w:r w:rsidRPr="008F698B">
        <w:rPr>
          <w:rFonts w:ascii="Palatino Linotype" w:eastAsia="Palatino Linotype" w:hAnsi="Palatino Linotype" w:cs="Palatino Linotype"/>
          <w:b/>
          <w:i/>
          <w:sz w:val="24"/>
          <w:szCs w:val="24"/>
          <w:u w:val="single"/>
        </w:rPr>
        <w:t xml:space="preserve">V. La contratación de los servicios, relacionados con bienes muebles que se encuentran incorporados o adheridos a bienes inmuebles, cuya instalación o mantenimiento no implique modificación al bien inmueble. </w:t>
      </w: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VI. La contratación de los servicios de reconstrucción y mantenimiento de bienes muebles. </w:t>
      </w: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u w:val="single"/>
        </w:rPr>
        <w:lastRenderedPageBreak/>
        <w:t>VII. La contratación de los servicios de maquila, seguros y transportación, así como de los de limpieza y vigilancia de bienes inmuebles</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b/>
          <w:i/>
          <w:sz w:val="24"/>
          <w:szCs w:val="24"/>
        </w:rPr>
        <w:t xml:space="preserve">VIII. La prestación de servicios profesionales, la contratación de consultorías, asesorías y estudios e investigaciones, excepto la contratación de servicios personales de personas físicas bajo el régimen de honorarios. </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u w:val="single"/>
        </w:rPr>
      </w:pPr>
      <w:r w:rsidRPr="008F698B">
        <w:rPr>
          <w:rFonts w:ascii="Palatino Linotype" w:eastAsia="Palatino Linotype" w:hAnsi="Palatino Linotype" w:cs="Palatino Linotype"/>
          <w:b/>
          <w:i/>
          <w:sz w:val="24"/>
          <w:szCs w:val="24"/>
          <w:u w:val="single"/>
        </w:rPr>
        <w:t>En general, otros actos que impliquen la contratación de servicios de cualquier naturaleza.</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b/>
          <w:i/>
          <w:sz w:val="24"/>
          <w:szCs w:val="24"/>
        </w:rPr>
        <w:t>Artículo 26.- Las adquisiciones, arrendamientos y servicios se adjudicarán a través de licitaciones públicas, mediante convocatoria pública.</w:t>
      </w:r>
    </w:p>
    <w:p w:rsidR="00871442" w:rsidRPr="008F698B" w:rsidRDefault="00871442">
      <w:pPr>
        <w:spacing w:line="360" w:lineRule="auto"/>
        <w:ind w:left="567" w:right="-592"/>
        <w:jc w:val="both"/>
        <w:rPr>
          <w:rFonts w:ascii="Palatino Linotype" w:eastAsia="Palatino Linotype" w:hAnsi="Palatino Linotype" w:cs="Palatino Linotype"/>
          <w:b/>
          <w:i/>
          <w:sz w:val="24"/>
          <w:szCs w:val="24"/>
        </w:rPr>
      </w:pPr>
    </w:p>
    <w:p w:rsidR="00871442" w:rsidRPr="008F698B" w:rsidRDefault="0032471D">
      <w:pPr>
        <w:spacing w:line="360" w:lineRule="auto"/>
        <w:ind w:left="567" w:right="-592"/>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Artículo 27.- </w:t>
      </w:r>
      <w:r w:rsidRPr="008F698B">
        <w:rPr>
          <w:rFonts w:ascii="Palatino Linotype" w:eastAsia="Palatino Linotype" w:hAnsi="Palatino Linotype" w:cs="Palatino Linotype"/>
          <w:i/>
          <w:sz w:val="24"/>
          <w:szCs w:val="24"/>
        </w:rPr>
        <w:t xml:space="preserve">La Secretaría, las entidades, los tribunales administrativos y los ayuntamientos podrán adjudicar adquisiciones, arrendamientos y servicios, mediante las excepciones al procedimiento de licitación que a continuación se señalan: </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b/>
          <w:i/>
          <w:sz w:val="24"/>
          <w:szCs w:val="24"/>
        </w:rPr>
        <w:t xml:space="preserve">I. Invitación restringida. </w:t>
      </w:r>
    </w:p>
    <w:p w:rsidR="00871442" w:rsidRPr="008F698B" w:rsidRDefault="0032471D">
      <w:pPr>
        <w:spacing w:line="360" w:lineRule="auto"/>
        <w:ind w:left="567" w:right="-592"/>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b/>
          <w:i/>
          <w:sz w:val="24"/>
          <w:szCs w:val="24"/>
        </w:rPr>
        <w:t>II. Adjudicación directa.”</w:t>
      </w:r>
    </w:p>
    <w:p w:rsidR="00871442" w:rsidRPr="008F698B" w:rsidRDefault="0032471D">
      <w:pPr>
        <w:spacing w:line="360" w:lineRule="auto"/>
        <w:ind w:left="567" w:right="-592"/>
        <w:jc w:val="right"/>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(Énfasis añadido) </w:t>
      </w:r>
    </w:p>
    <w:p w:rsidR="00871442" w:rsidRPr="008F698B" w:rsidRDefault="00871442">
      <w:pPr>
        <w:spacing w:line="360" w:lineRule="auto"/>
        <w:ind w:right="-592"/>
        <w:jc w:val="both"/>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Así, en lo que respecta sobre la licitación pública, el artículo 29 de la Ley de la Contratación Pública en mención, indica que en este procedimiento deberán establecerse los mismos requisitos y condiciones para todos los licitantes. Todo licitante que satisfaga los </w:t>
      </w:r>
      <w:r w:rsidRPr="008F698B">
        <w:rPr>
          <w:rFonts w:ascii="Palatino Linotype" w:eastAsia="Palatino Linotype" w:hAnsi="Palatino Linotype" w:cs="Palatino Linotype"/>
          <w:color w:val="000000"/>
          <w:sz w:val="24"/>
          <w:szCs w:val="24"/>
        </w:rPr>
        <w:lastRenderedPageBreak/>
        <w:t xml:space="preserve">requisitos de la convocatoria y de las bases de la licitación tendrá derecho a presentar su propuesta.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Asimismo, el artículo 33, del mismo ordenamiento legal, puntualmente señala el contenido que deberá tener la convocatoria para la celebración de las licitaciones públicas y por su parte, el consecutivo 34 señala que las bases de la licitación pública tendrán un costo de recuperación y contendrán los requisitos que se establezcan en el reglamento de dicha Ley. </w:t>
      </w:r>
    </w:p>
    <w:p w:rsidR="00871442" w:rsidRPr="008F698B" w:rsidRDefault="00871442">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lo que, en las licitaciones se debe seguir el procedimiento marcado en el artículo 35 del precitado ordenamiento, que literalmente establece:</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“Artículo 35</w:t>
      </w:r>
      <w:r w:rsidRPr="008F698B">
        <w:rPr>
          <w:rFonts w:ascii="Palatino Linotype" w:eastAsia="Palatino Linotype" w:hAnsi="Palatino Linotype" w:cs="Palatino Linotype"/>
          <w:i/>
          <w:sz w:val="24"/>
          <w:szCs w:val="24"/>
        </w:rPr>
        <w:t>.- En los procedimientos de licitación pública se observará lo siguiente:</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I. El acto de presentación y apertura de propuestas se llevará a cabo por el servidor público que designe la convocante, conforme al procedimiento que se establezca en el reglamento de esta Ley.</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II. El comité de adquisiciones y servicios evaluará y analizará las propuestas técnicas y económicas presentadas por los licitantes en el ámbito de las respectivas competencias de sus integrantes, y emitirá el dictamen de adjudicación.</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III. Las bases de licitación se pondrán a la venta a partir de la fecha de publicación de la convocatoria y hasta el día hábil anterior a la fecha de celebración </w:t>
      </w:r>
      <w:r w:rsidRPr="008F698B">
        <w:rPr>
          <w:rFonts w:ascii="Palatino Linotype" w:eastAsia="Palatino Linotype" w:hAnsi="Palatino Linotype" w:cs="Palatino Linotype"/>
          <w:b/>
          <w:i/>
          <w:sz w:val="24"/>
          <w:szCs w:val="24"/>
        </w:rPr>
        <w:t>de la junta de aclaraciones</w:t>
      </w:r>
      <w:r w:rsidRPr="008F698B">
        <w:rPr>
          <w:rFonts w:ascii="Palatino Linotype" w:eastAsia="Palatino Linotype" w:hAnsi="Palatino Linotype" w:cs="Palatino Linotype"/>
          <w:i/>
          <w:sz w:val="24"/>
          <w:szCs w:val="24"/>
        </w:rPr>
        <w:t xml:space="preserve"> o, en su defecto, del acto de presentación y apertura de propuestas.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lastRenderedPageBreak/>
        <w:t>IV. Las convocantes podrán modificar los plazos y términos establecidos en la convocatoria o en las bases de licitación, hasta cinco días hábiles anteriores a la fecha de la celebración del acto de presentación y apertura de propuestas.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V. Las modificaciones no podrán limitar el número de licitantes, sustituir o variar sustancialmente los bienes o servicios convocados originalmente, ni adicionar otros  distintos.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VI. Las modificaciones a la convocatoria o a las bases se harán del conocimiento de los interesados hasta tres días hábiles antes de la fecha señalada para el acto de presentación y apertura de propuestas.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VII. Se emitirá el fallo dentro de los 15 días hábiles siguientes a la publicación de la convocatoria.</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VIII. Los licitantes se podrán registrar hasta el día y la hora fijados para el acto de presentación y apertura de propuestas.</w:t>
      </w:r>
      <w:r w:rsidRPr="008F698B">
        <w:rPr>
          <w:rFonts w:ascii="Palatino Linotype" w:eastAsia="Palatino Linotype" w:hAnsi="Palatino Linotype" w:cs="Palatino Linotype"/>
          <w:b/>
          <w:i/>
          <w:sz w:val="24"/>
          <w:szCs w:val="24"/>
        </w:rPr>
        <w:t>”</w:t>
      </w:r>
    </w:p>
    <w:p w:rsidR="00871442" w:rsidRPr="008F698B" w:rsidRDefault="0032471D">
      <w:pPr>
        <w:spacing w:line="360" w:lineRule="auto"/>
        <w:ind w:left="567" w:right="-25"/>
        <w:jc w:val="right"/>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(Énfasis añadido)</w:t>
      </w:r>
    </w:p>
    <w:p w:rsidR="00871442" w:rsidRPr="008F698B" w:rsidRDefault="00871442">
      <w:pPr>
        <w:spacing w:line="360" w:lineRule="auto"/>
        <w:ind w:left="567" w:right="-25"/>
        <w:jc w:val="right"/>
        <w:rPr>
          <w:rFonts w:ascii="Palatino Linotype" w:eastAsia="Palatino Linotype" w:hAnsi="Palatino Linotype" w:cs="Palatino Linotype"/>
          <w:i/>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Del precepto legal, se desprende que al Comité de Adquisiciones y Servicios, le corresponde evaluar y analizar las propuestas técnicas y económicas presentadas por los licitantes en el ámbito de las respectivas competencias de sus integrantes, debiendo emitir para ello un dictamen de adjudicación y conforme a dicho dictamen se deberá emitir el fallo dentro de los quince días hábiles siguientes a la publicación de la convocatoria.</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Además, respecto al dictamen y el fallo de la adjudicación, es de señalar que la Ley en mención indica lo siguiente:</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“Artículo 37.-</w:t>
      </w:r>
      <w:r w:rsidRPr="008F698B">
        <w:rPr>
          <w:rFonts w:ascii="Palatino Linotype" w:eastAsia="Palatino Linotype" w:hAnsi="Palatino Linotype" w:cs="Palatino Linotype"/>
          <w:i/>
          <w:sz w:val="24"/>
          <w:szCs w:val="24"/>
        </w:rPr>
        <w:t xml:space="preserve"> El comité de adquisiciones y servicios realizará el análisis y evaluación de las propuestas, mediante la verificación del cumplimiento de la información y de la documentación solicitada en las bases de la licitación y conforme al criterio establecidas en las mismas. Una vez efectuado el análisis cualitativo de las propuestas presentadas, emitirá el dictamen de adjudicación a favor del oferente u oferentes que reúnan los requisitos administrativos, financieros, legales y técnicos requeridos por la convocante; garantizando en todo momento la obtención de las mejores condiciones en cuanto a precio, calidad, financiamiento, oportunidad y demás circunstancias pertinentes.</w:t>
      </w:r>
    </w:p>
    <w:p w:rsidR="00871442" w:rsidRPr="008F698B" w:rsidRDefault="00871442">
      <w:pPr>
        <w:spacing w:line="360" w:lineRule="auto"/>
        <w:ind w:left="567" w:right="-25"/>
        <w:jc w:val="both"/>
        <w:rPr>
          <w:rFonts w:ascii="Palatino Linotype" w:eastAsia="Palatino Linotype" w:hAnsi="Palatino Linotype" w:cs="Palatino Linotype"/>
          <w:b/>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Artículo 38.-</w:t>
      </w:r>
      <w:r w:rsidRPr="008F698B">
        <w:rPr>
          <w:rFonts w:ascii="Palatino Linotype" w:eastAsia="Palatino Linotype" w:hAnsi="Palatino Linotype" w:cs="Palatino Linotype"/>
          <w:i/>
          <w:sz w:val="24"/>
          <w:szCs w:val="24"/>
        </w:rPr>
        <w:t xml:space="preserve"> La convocante emitirá el fallo con base en el dictamen de adjudicación emitido por el comité de adquisiciones y servicios, y lo dará a conocer a los licitantes en junta pública, cuya fecha se informará en el acto de presentación y apertura de proposiciones, pudiéndose diferir por una sola ocasión.</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El fallo de adjudicación surtirá efectos desde la emisión, siendo responsabilidad de los licitantes enterarse de su contenido, por lo que a partir de ese momento, las obligaciones derivadas de éste serán exigibles sin perjuicio de la formalización del contrato respectivo, en los términos señalados en el fallo.</w:t>
      </w:r>
      <w:r w:rsidRPr="008F698B">
        <w:rPr>
          <w:rFonts w:ascii="Palatino Linotype" w:eastAsia="Palatino Linotype" w:hAnsi="Palatino Linotype" w:cs="Palatino Linotype"/>
          <w:b/>
          <w:i/>
          <w:sz w:val="24"/>
          <w:szCs w:val="24"/>
        </w:rPr>
        <w:t>”</w:t>
      </w:r>
      <w:r w:rsidRPr="008F698B">
        <w:rPr>
          <w:rFonts w:ascii="Palatino Linotype" w:eastAsia="Palatino Linotype" w:hAnsi="Palatino Linotype" w:cs="Palatino Linotype"/>
          <w:i/>
          <w:sz w:val="24"/>
          <w:szCs w:val="24"/>
        </w:rPr>
        <w:t xml:space="preserve"> </w:t>
      </w:r>
    </w:p>
    <w:p w:rsidR="00871442" w:rsidRPr="008F698B" w:rsidRDefault="00871442">
      <w:pPr>
        <w:spacing w:line="360" w:lineRule="auto"/>
        <w:ind w:left="567" w:right="-592"/>
        <w:jc w:val="both"/>
        <w:rPr>
          <w:rFonts w:ascii="Palatino Linotype" w:eastAsia="Palatino Linotype" w:hAnsi="Palatino Linotype" w:cs="Palatino Linotype"/>
          <w:i/>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 xml:space="preserve">Ahora bien, por cuanto hace a la invitación restringida el artículo 44 de la Ley de la Contratación Pública del Estado de México y Municipios, dispone que podrá realizarse cuando se hubiere declarado desierto un procedimiento de licitación o cuando el importe de la operación no exceda de los montos establecidos por el Presupuesto de Egresos del Gobierno del Estado de México del ejercicio correspondiente.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25"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Además, es oportuno señalar que, las disposiciones respecto a las bases, dictámenes, fallos y fianzas, se realizan con similitud al procedimiento de licitación pública, tal como lo señalan los artículos 46 y 90 de la misma Ley, que literalmente establecen:</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“Artículo 46.-</w:t>
      </w:r>
      <w:r w:rsidRPr="008F698B">
        <w:rPr>
          <w:rFonts w:ascii="Palatino Linotype" w:eastAsia="Palatino Linotype" w:hAnsi="Palatino Linotype" w:cs="Palatino Linotype"/>
          <w:i/>
          <w:sz w:val="24"/>
          <w:szCs w:val="24"/>
        </w:rPr>
        <w:t xml:space="preserve"> El procedimiento de invitación restringida se desarrollará en los términos de la licitación pública, a excepción de la publicación de la convocatoria.” (Sic)</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Por ello, el Reglamento de la Ley en comento, en su artículo 90, indica cuales lo son los supuestos que deberán observarse para llevar a cabo dicho procedimiento:</w:t>
      </w:r>
    </w:p>
    <w:p w:rsidR="00871442" w:rsidRPr="008F698B" w:rsidRDefault="00871442">
      <w:pPr>
        <w:spacing w:line="360" w:lineRule="auto"/>
        <w:ind w:left="567" w:right="-25"/>
        <w:jc w:val="both"/>
        <w:rPr>
          <w:rFonts w:ascii="Palatino Linotype" w:eastAsia="Palatino Linotype" w:hAnsi="Palatino Linotype" w:cs="Palatino Linotype"/>
          <w:b/>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Artículo 90.-</w:t>
      </w:r>
      <w:r w:rsidRPr="008F698B">
        <w:rPr>
          <w:rFonts w:ascii="Palatino Linotype" w:eastAsia="Palatino Linotype" w:hAnsi="Palatino Linotype" w:cs="Palatino Linotype"/>
          <w:i/>
          <w:sz w:val="24"/>
          <w:szCs w:val="24"/>
        </w:rPr>
        <w:t xml:space="preserve"> En el procedimiento de invitación restringida se deberá observar lo siguiente:</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I. Se invitará a un mínimo de tres personas seleccionadas de entre las que se encuentren inscritas en el catálogo de proveedores y de prestadores de servicios.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lastRenderedPageBreak/>
        <w:t>Se podrá invitar a personas que no se encuentren inscritas, cuando en el giro correspondiente del catálogo de proveedores y prestadores de servicios no exista el registro mínimo de personas requeridas para tal modalidad;</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II. Las bases de la invitación restringida indicarán los aspectos de la adquisición o contratación; y</w:t>
      </w:r>
    </w:p>
    <w:p w:rsidR="00871442" w:rsidRPr="008F698B" w:rsidRDefault="0032471D">
      <w:pPr>
        <w:spacing w:line="360" w:lineRule="auto"/>
        <w:ind w:left="567" w:right="-25"/>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i/>
          <w:sz w:val="24"/>
          <w:szCs w:val="24"/>
        </w:rPr>
        <w:t>III. Serán aplicables, en lo conducente, las disposiciones de la licitación pública.</w:t>
      </w:r>
      <w:r w:rsidRPr="008F698B">
        <w:rPr>
          <w:rFonts w:ascii="Palatino Linotype" w:eastAsia="Palatino Linotype" w:hAnsi="Palatino Linotype" w:cs="Palatino Linotype"/>
          <w:b/>
          <w:i/>
          <w:sz w:val="24"/>
          <w:szCs w:val="24"/>
        </w:rPr>
        <w:t>”</w:t>
      </w:r>
    </w:p>
    <w:p w:rsidR="00871442" w:rsidRPr="008F698B" w:rsidRDefault="00871442">
      <w:pPr>
        <w:spacing w:line="360" w:lineRule="auto"/>
        <w:ind w:left="709" w:right="-592"/>
        <w:jc w:val="both"/>
        <w:rPr>
          <w:rFonts w:ascii="Palatino Linotype" w:eastAsia="Palatino Linotype" w:hAnsi="Palatino Linotype" w:cs="Palatino Linotype"/>
          <w:i/>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En conclusión, referente a este punto cuando los procedimientos de adquisición o prestación de servicios materia de la Ley en cita, se hubieran llevado a cabo mediante invitación restringida, por cada procedimiento se debe contar con las bases, dictámenes, fallos y en su caso, fianzas, de haber sido esta la garantía exhibida.</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último, y en cuanto hace a la adjudicación directa, el artículo 48 de la Ley de la Contratación Pública del Estado de México y Municipios y 91 del Reglamento de dicha Ley, indican en qué supuestos puede llevarse a cabo este procedimiento.</w:t>
      </w:r>
    </w:p>
    <w:p w:rsidR="00871442" w:rsidRPr="008F698B" w:rsidRDefault="00871442">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este sentido, el convocante debe solicitar a su comité el dictamen correspondiente del procedimiento de adjudicación directa, en el que se acredite previamente la descripción general de los bienes a adquirir; </w:t>
      </w:r>
      <w:r w:rsidRPr="008F698B">
        <w:rPr>
          <w:rFonts w:ascii="Palatino Linotype" w:eastAsia="Palatino Linotype" w:hAnsi="Palatino Linotype" w:cs="Palatino Linotype"/>
          <w:b/>
          <w:color w:val="000000"/>
          <w:sz w:val="24"/>
          <w:szCs w:val="24"/>
        </w:rPr>
        <w:t>la justificación o conveniencia de llevar a cabo la adjudicación directa</w:t>
      </w:r>
      <w:r w:rsidRPr="008F698B">
        <w:rPr>
          <w:rFonts w:ascii="Palatino Linotype" w:eastAsia="Palatino Linotype" w:hAnsi="Palatino Linotype" w:cs="Palatino Linotype"/>
          <w:color w:val="000000"/>
          <w:sz w:val="24"/>
          <w:szCs w:val="24"/>
        </w:rPr>
        <w:t>; y la certificación de suficiencia presupuestaria.</w:t>
      </w:r>
    </w:p>
    <w:p w:rsidR="00871442" w:rsidRPr="008F698B" w:rsidRDefault="00871442">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 xml:space="preserve">En este sentido, debe decirse que los </w:t>
      </w:r>
      <w:r w:rsidRPr="008F698B">
        <w:rPr>
          <w:rFonts w:ascii="Palatino Linotype" w:eastAsia="Palatino Linotype" w:hAnsi="Palatino Linotype" w:cs="Palatino Linotype"/>
          <w:b/>
          <w:color w:val="000000"/>
          <w:sz w:val="24"/>
          <w:szCs w:val="24"/>
          <w:u w:val="single"/>
        </w:rPr>
        <w:t>expedientes de las adquisiciones, arrendamientos, enajenaciones y servicios</w:t>
      </w:r>
      <w:r w:rsidRPr="008F698B">
        <w:rPr>
          <w:rFonts w:ascii="Palatino Linotype" w:eastAsia="Palatino Linotype" w:hAnsi="Palatino Linotype" w:cs="Palatino Linotype"/>
          <w:color w:val="000000"/>
          <w:sz w:val="24"/>
          <w:szCs w:val="24"/>
        </w:rPr>
        <w:t>, se encuentra considerada como una de las obligaciones de transparencias común que los Sujetos Obligados tienen el deber de poner a disposición del público de manera permanente y actualizada de forma sencilla, precisa y entendible, en los respectivos medios electrónicos, de acuerdo con sus facultades, atribuciones, funciones u objeto social, según corresponda; esto conforme a lo establecido en el artículo 92 de la de la Ley de Transparencia y Acceso a la Información Pública del Estado de México y Municipios, en su fracción XXIX, dispone lo siguiente:</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“Artículo 92. </w:t>
      </w:r>
      <w:r w:rsidRPr="008F698B">
        <w:rPr>
          <w:rFonts w:ascii="Palatino Linotype" w:eastAsia="Palatino Linotype" w:hAnsi="Palatino Linotype" w:cs="Palatino Linotype"/>
          <w:i/>
          <w:sz w:val="24"/>
          <w:szCs w:val="24"/>
        </w:rPr>
        <w:t>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i/>
          <w:sz w:val="24"/>
          <w:szCs w:val="24"/>
        </w:rPr>
        <w:t>(…)</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XXIX. </w:t>
      </w:r>
      <w:r w:rsidRPr="008F698B">
        <w:rPr>
          <w:rFonts w:ascii="Palatino Linotype" w:eastAsia="Palatino Linotype" w:hAnsi="Palatino Linotype" w:cs="Palatino Linotype"/>
          <w:i/>
          <w:sz w:val="24"/>
          <w:szCs w:val="24"/>
        </w:rPr>
        <w:t>La información sobre los procesos y resultados sobre procedimientos de adjudicación directa, invitación restringida y licitación de cualquier naturaleza, </w:t>
      </w:r>
      <w:r w:rsidRPr="008F698B">
        <w:rPr>
          <w:rFonts w:ascii="Palatino Linotype" w:eastAsia="Palatino Linotype" w:hAnsi="Palatino Linotype" w:cs="Palatino Linotype"/>
          <w:b/>
          <w:i/>
          <w:sz w:val="24"/>
          <w:szCs w:val="24"/>
          <w:u w:val="single"/>
        </w:rPr>
        <w:t>incluyendo la versión pública del expediente respectivo y de los contratos</w:t>
      </w:r>
      <w:r w:rsidRPr="008F698B">
        <w:rPr>
          <w:rFonts w:ascii="Palatino Linotype" w:eastAsia="Palatino Linotype" w:hAnsi="Palatino Linotype" w:cs="Palatino Linotype"/>
          <w:i/>
          <w:sz w:val="24"/>
          <w:szCs w:val="24"/>
        </w:rPr>
        <w:t> celebrados, que deberán contener, por los menos, lo siguiente:</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a) </w:t>
      </w:r>
      <w:r w:rsidRPr="008F698B">
        <w:rPr>
          <w:rFonts w:ascii="Palatino Linotype" w:eastAsia="Palatino Linotype" w:hAnsi="Palatino Linotype" w:cs="Palatino Linotype"/>
          <w:i/>
          <w:sz w:val="24"/>
          <w:szCs w:val="24"/>
        </w:rPr>
        <w:t>De licitaciones públicas o procedimientos de invitación restringida:</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1)</w:t>
      </w:r>
      <w:r w:rsidRPr="008F698B">
        <w:rPr>
          <w:rFonts w:ascii="Palatino Linotype" w:eastAsia="Palatino Linotype" w:hAnsi="Palatino Linotype" w:cs="Palatino Linotype"/>
          <w:i/>
          <w:sz w:val="24"/>
          <w:szCs w:val="24"/>
        </w:rPr>
        <w:t> La convocatoria o invitación emitida, así como los fundamentos legales aplicados para llevarla a cabo;</w:t>
      </w:r>
    </w:p>
    <w:p w:rsidR="00871442" w:rsidRPr="008F698B" w:rsidRDefault="0032471D">
      <w:pPr>
        <w:spacing w:line="360" w:lineRule="auto"/>
        <w:ind w:left="567" w:right="-25"/>
        <w:jc w:val="both"/>
        <w:rPr>
          <w:rFonts w:ascii="Palatino Linotype" w:eastAsia="Palatino Linotype" w:hAnsi="Palatino Linotype" w:cs="Palatino Linotype"/>
          <w:b/>
          <w:sz w:val="24"/>
          <w:szCs w:val="24"/>
        </w:rPr>
      </w:pPr>
      <w:r w:rsidRPr="008F698B">
        <w:rPr>
          <w:rFonts w:ascii="Palatino Linotype" w:eastAsia="Palatino Linotype" w:hAnsi="Palatino Linotype" w:cs="Palatino Linotype"/>
          <w:b/>
          <w:i/>
          <w:sz w:val="24"/>
          <w:szCs w:val="24"/>
        </w:rPr>
        <w:lastRenderedPageBreak/>
        <w:t>2) Los nombres de los participantes o invitados;</w:t>
      </w:r>
    </w:p>
    <w:p w:rsidR="00871442" w:rsidRPr="008F698B" w:rsidRDefault="0032471D">
      <w:pPr>
        <w:spacing w:line="360" w:lineRule="auto"/>
        <w:ind w:left="567" w:right="-25"/>
        <w:jc w:val="both"/>
        <w:rPr>
          <w:rFonts w:ascii="Palatino Linotype" w:eastAsia="Palatino Linotype" w:hAnsi="Palatino Linotype" w:cs="Palatino Linotype"/>
          <w:b/>
          <w:sz w:val="24"/>
          <w:szCs w:val="24"/>
        </w:rPr>
      </w:pPr>
      <w:r w:rsidRPr="008F698B">
        <w:rPr>
          <w:rFonts w:ascii="Palatino Linotype" w:eastAsia="Palatino Linotype" w:hAnsi="Palatino Linotype" w:cs="Palatino Linotype"/>
          <w:b/>
          <w:i/>
          <w:sz w:val="24"/>
          <w:szCs w:val="24"/>
        </w:rPr>
        <w:t>3) El nombre del ganador y las razones que lo justifican;</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4) </w:t>
      </w:r>
      <w:r w:rsidRPr="008F698B">
        <w:rPr>
          <w:rFonts w:ascii="Palatino Linotype" w:eastAsia="Palatino Linotype" w:hAnsi="Palatino Linotype" w:cs="Palatino Linotype"/>
          <w:i/>
          <w:sz w:val="24"/>
          <w:szCs w:val="24"/>
        </w:rPr>
        <w:t>El área solicitante y la responsable de su ejecución;</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5) </w:t>
      </w:r>
      <w:r w:rsidRPr="008F698B">
        <w:rPr>
          <w:rFonts w:ascii="Palatino Linotype" w:eastAsia="Palatino Linotype" w:hAnsi="Palatino Linotype" w:cs="Palatino Linotype"/>
          <w:i/>
          <w:sz w:val="24"/>
          <w:szCs w:val="24"/>
        </w:rPr>
        <w:t>Las convocatorias e invitaciones emitidas;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6) Los dictámenes y fallo de adjudicación;</w:t>
      </w:r>
    </w:p>
    <w:p w:rsidR="00871442" w:rsidRPr="008F698B" w:rsidRDefault="0032471D">
      <w:pPr>
        <w:spacing w:line="360" w:lineRule="auto"/>
        <w:ind w:left="567" w:right="-25"/>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b/>
          <w:i/>
          <w:sz w:val="24"/>
          <w:szCs w:val="24"/>
          <w:u w:val="single"/>
        </w:rPr>
        <w:t>7) El contrato y, en su caso, sus anexos</w:t>
      </w:r>
      <w:r w:rsidRPr="008F698B">
        <w:rPr>
          <w:rFonts w:ascii="Palatino Linotype" w:eastAsia="Palatino Linotype" w:hAnsi="Palatino Linotype" w:cs="Palatino Linotype"/>
          <w:b/>
          <w:i/>
          <w:sz w:val="24"/>
          <w:szCs w:val="24"/>
        </w:rPr>
        <w:t>;</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8) Los mecanismos de vigilancia y supervisión, incluyendo en su caso, los estudios de impacto urbano y ambiental, según corresponda;</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9) </w:t>
      </w:r>
      <w:r w:rsidRPr="008F698B">
        <w:rPr>
          <w:rFonts w:ascii="Palatino Linotype" w:eastAsia="Palatino Linotype" w:hAnsi="Palatino Linotype" w:cs="Palatino Linotype"/>
          <w:i/>
          <w:sz w:val="24"/>
          <w:szCs w:val="24"/>
        </w:rPr>
        <w:t>La partida presupuestal, de conformidad con el clasificador por objeto del gasto, en el caso de ser aplicable;</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i/>
          <w:sz w:val="24"/>
          <w:szCs w:val="24"/>
        </w:rPr>
        <w:t>10) Origen de los recursos especificando si son federales, estatales o municipales, así como el tipo de fondo de participación o aportación respectiva;</w:t>
      </w:r>
    </w:p>
    <w:p w:rsidR="00871442" w:rsidRPr="008F698B" w:rsidRDefault="0032471D">
      <w:pPr>
        <w:spacing w:line="360" w:lineRule="auto"/>
        <w:ind w:left="567" w:right="-25"/>
        <w:jc w:val="both"/>
        <w:rPr>
          <w:rFonts w:ascii="Palatino Linotype" w:eastAsia="Palatino Linotype" w:hAnsi="Palatino Linotype" w:cs="Palatino Linotype"/>
          <w:b/>
          <w:sz w:val="24"/>
          <w:szCs w:val="24"/>
        </w:rPr>
      </w:pPr>
      <w:r w:rsidRPr="008F698B">
        <w:rPr>
          <w:rFonts w:ascii="Palatino Linotype" w:eastAsia="Palatino Linotype" w:hAnsi="Palatino Linotype" w:cs="Palatino Linotype"/>
          <w:b/>
          <w:i/>
          <w:sz w:val="24"/>
          <w:szCs w:val="24"/>
        </w:rPr>
        <w:t>11) Los convenios modificatorios que, en su caso, sean firmados, precisando el objeto y la fecha de celebración;</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12) </w:t>
      </w:r>
      <w:r w:rsidRPr="008F698B">
        <w:rPr>
          <w:rFonts w:ascii="Palatino Linotype" w:eastAsia="Palatino Linotype" w:hAnsi="Palatino Linotype" w:cs="Palatino Linotype"/>
          <w:i/>
          <w:sz w:val="24"/>
          <w:szCs w:val="24"/>
        </w:rPr>
        <w:t>Los informes de avance físico y financiero sobre las obras o servicios contratados;</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13) </w:t>
      </w:r>
      <w:r w:rsidRPr="008F698B">
        <w:rPr>
          <w:rFonts w:ascii="Palatino Linotype" w:eastAsia="Palatino Linotype" w:hAnsi="Palatino Linotype" w:cs="Palatino Linotype"/>
          <w:i/>
          <w:sz w:val="24"/>
          <w:szCs w:val="24"/>
        </w:rPr>
        <w:t>El convenio de terminación; y</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14) </w:t>
      </w:r>
      <w:r w:rsidRPr="008F698B">
        <w:rPr>
          <w:rFonts w:ascii="Palatino Linotype" w:eastAsia="Palatino Linotype" w:hAnsi="Palatino Linotype" w:cs="Palatino Linotype"/>
          <w:i/>
          <w:sz w:val="24"/>
          <w:szCs w:val="24"/>
        </w:rPr>
        <w:t>El finiquito.</w:t>
      </w:r>
    </w:p>
    <w:p w:rsidR="00871442" w:rsidRPr="008F698B" w:rsidRDefault="0032471D">
      <w:pPr>
        <w:spacing w:line="360" w:lineRule="auto"/>
        <w:ind w:left="426" w:right="-25"/>
        <w:jc w:val="both"/>
        <w:rPr>
          <w:rFonts w:ascii="Palatino Linotype" w:eastAsia="Palatino Linotype" w:hAnsi="Palatino Linotype" w:cs="Palatino Linotype"/>
          <w:b/>
          <w:sz w:val="24"/>
          <w:szCs w:val="24"/>
        </w:rPr>
      </w:pPr>
      <w:r w:rsidRPr="008F698B">
        <w:rPr>
          <w:rFonts w:ascii="Palatino Linotype" w:eastAsia="Palatino Linotype" w:hAnsi="Palatino Linotype" w:cs="Palatino Linotype"/>
          <w:b/>
          <w:i/>
          <w:sz w:val="24"/>
          <w:szCs w:val="24"/>
        </w:rPr>
        <w:t>b) De las adjudicaciones directas:</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1) </w:t>
      </w:r>
      <w:r w:rsidRPr="008F698B">
        <w:rPr>
          <w:rFonts w:ascii="Palatino Linotype" w:eastAsia="Palatino Linotype" w:hAnsi="Palatino Linotype" w:cs="Palatino Linotype"/>
          <w:i/>
          <w:sz w:val="24"/>
          <w:szCs w:val="24"/>
        </w:rPr>
        <w:t>La propuesta enviada por el participante;</w:t>
      </w:r>
    </w:p>
    <w:p w:rsidR="00871442" w:rsidRPr="008F698B" w:rsidRDefault="0032471D">
      <w:pPr>
        <w:spacing w:line="360" w:lineRule="auto"/>
        <w:ind w:left="567" w:right="-25"/>
        <w:jc w:val="both"/>
        <w:rPr>
          <w:rFonts w:ascii="Palatino Linotype" w:eastAsia="Palatino Linotype" w:hAnsi="Palatino Linotype" w:cs="Palatino Linotype"/>
          <w:b/>
          <w:sz w:val="24"/>
          <w:szCs w:val="24"/>
        </w:rPr>
      </w:pPr>
      <w:r w:rsidRPr="008F698B">
        <w:rPr>
          <w:rFonts w:ascii="Palatino Linotype" w:eastAsia="Palatino Linotype" w:hAnsi="Palatino Linotype" w:cs="Palatino Linotype"/>
          <w:b/>
          <w:i/>
          <w:sz w:val="24"/>
          <w:szCs w:val="24"/>
        </w:rPr>
        <w:t>2) Los motivos y fundamentos legales aplicados para llevarla a cabo;</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3) </w:t>
      </w:r>
      <w:r w:rsidRPr="008F698B">
        <w:rPr>
          <w:rFonts w:ascii="Palatino Linotype" w:eastAsia="Palatino Linotype" w:hAnsi="Palatino Linotype" w:cs="Palatino Linotype"/>
          <w:i/>
          <w:sz w:val="24"/>
          <w:szCs w:val="24"/>
        </w:rPr>
        <w:t>La autorización del ejercicio de la opción;</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i/>
          <w:sz w:val="24"/>
          <w:szCs w:val="24"/>
        </w:rPr>
        <w:lastRenderedPageBreak/>
        <w:t>4) En su caso, las cotizaciones consideradas, especificando los nombres de los proveedores y sus montos;</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5) </w:t>
      </w:r>
      <w:r w:rsidRPr="008F698B">
        <w:rPr>
          <w:rFonts w:ascii="Palatino Linotype" w:eastAsia="Palatino Linotype" w:hAnsi="Palatino Linotype" w:cs="Palatino Linotype"/>
          <w:i/>
          <w:sz w:val="24"/>
          <w:szCs w:val="24"/>
        </w:rPr>
        <w:t>El nombre de la persona física o jurídica colectiva adjudicada;</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6) </w:t>
      </w:r>
      <w:r w:rsidRPr="008F698B">
        <w:rPr>
          <w:rFonts w:ascii="Palatino Linotype" w:eastAsia="Palatino Linotype" w:hAnsi="Palatino Linotype" w:cs="Palatino Linotype"/>
          <w:i/>
          <w:sz w:val="24"/>
          <w:szCs w:val="24"/>
        </w:rPr>
        <w:t>La unidad administrativa solicitante y la responsable de su ejecución;</w:t>
      </w:r>
    </w:p>
    <w:p w:rsidR="00871442" w:rsidRPr="008F698B" w:rsidRDefault="0032471D">
      <w:pPr>
        <w:spacing w:line="360" w:lineRule="auto"/>
        <w:ind w:left="567" w:right="-25"/>
        <w:jc w:val="both"/>
        <w:rPr>
          <w:rFonts w:ascii="Palatino Linotype" w:eastAsia="Palatino Linotype" w:hAnsi="Palatino Linotype" w:cs="Palatino Linotype"/>
          <w:b/>
          <w:sz w:val="24"/>
          <w:szCs w:val="24"/>
        </w:rPr>
      </w:pPr>
      <w:r w:rsidRPr="008F698B">
        <w:rPr>
          <w:rFonts w:ascii="Palatino Linotype" w:eastAsia="Palatino Linotype" w:hAnsi="Palatino Linotype" w:cs="Palatino Linotype"/>
          <w:b/>
          <w:i/>
          <w:sz w:val="24"/>
          <w:szCs w:val="24"/>
        </w:rPr>
        <w:t>7) El número, fecha, el monto del contrato y el plazo de entrega o de ejecución de los servicios u obra;</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8) </w:t>
      </w:r>
      <w:r w:rsidRPr="008F698B">
        <w:rPr>
          <w:rFonts w:ascii="Palatino Linotype" w:eastAsia="Palatino Linotype" w:hAnsi="Palatino Linotype" w:cs="Palatino Linotype"/>
          <w:i/>
          <w:sz w:val="24"/>
          <w:szCs w:val="24"/>
        </w:rPr>
        <w:t>Los mecanismos de vigilancia y supervisión, incluyendo, en su caso, los estudios de impacto urbano y ambiental, según corresponda;</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9) </w:t>
      </w:r>
      <w:r w:rsidRPr="008F698B">
        <w:rPr>
          <w:rFonts w:ascii="Palatino Linotype" w:eastAsia="Palatino Linotype" w:hAnsi="Palatino Linotype" w:cs="Palatino Linotype"/>
          <w:i/>
          <w:sz w:val="24"/>
          <w:szCs w:val="24"/>
        </w:rPr>
        <w:t>Los informes de avance sobre las obras o servicios contratados;</w:t>
      </w:r>
    </w:p>
    <w:p w:rsidR="00871442" w:rsidRPr="008F698B" w:rsidRDefault="0032471D">
      <w:pPr>
        <w:spacing w:line="360" w:lineRule="auto"/>
        <w:ind w:left="567" w:right="-25"/>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i/>
          <w:sz w:val="24"/>
          <w:szCs w:val="24"/>
        </w:rPr>
        <w:t>10) </w:t>
      </w:r>
      <w:r w:rsidRPr="008F698B">
        <w:rPr>
          <w:rFonts w:ascii="Palatino Linotype" w:eastAsia="Palatino Linotype" w:hAnsi="Palatino Linotype" w:cs="Palatino Linotype"/>
          <w:i/>
          <w:sz w:val="24"/>
          <w:szCs w:val="24"/>
        </w:rPr>
        <w:t>El convenio de terminación; y</w:t>
      </w:r>
    </w:p>
    <w:p w:rsidR="00871442" w:rsidRPr="008F698B" w:rsidRDefault="0032471D">
      <w:pPr>
        <w:spacing w:line="360" w:lineRule="auto"/>
        <w:ind w:left="567" w:right="-25"/>
        <w:jc w:val="both"/>
        <w:rPr>
          <w:rFonts w:ascii="Palatino Linotype" w:eastAsia="Palatino Linotype" w:hAnsi="Palatino Linotype" w:cs="Palatino Linotype"/>
          <w:b/>
          <w:i/>
          <w:sz w:val="24"/>
          <w:szCs w:val="24"/>
        </w:rPr>
      </w:pPr>
      <w:r w:rsidRPr="008F698B">
        <w:rPr>
          <w:rFonts w:ascii="Palatino Linotype" w:eastAsia="Palatino Linotype" w:hAnsi="Palatino Linotype" w:cs="Palatino Linotype"/>
          <w:b/>
          <w:i/>
          <w:sz w:val="24"/>
          <w:szCs w:val="24"/>
        </w:rPr>
        <w:t>11) </w:t>
      </w:r>
      <w:r w:rsidRPr="008F698B">
        <w:rPr>
          <w:rFonts w:ascii="Palatino Linotype" w:eastAsia="Palatino Linotype" w:hAnsi="Palatino Linotype" w:cs="Palatino Linotype"/>
          <w:i/>
          <w:sz w:val="24"/>
          <w:szCs w:val="24"/>
        </w:rPr>
        <w:t>El finiquito.</w:t>
      </w:r>
      <w:r w:rsidRPr="008F698B">
        <w:rPr>
          <w:rFonts w:ascii="Palatino Linotype" w:eastAsia="Palatino Linotype" w:hAnsi="Palatino Linotype" w:cs="Palatino Linotype"/>
          <w:b/>
          <w:i/>
          <w:sz w:val="24"/>
          <w:szCs w:val="24"/>
        </w:rPr>
        <w:t>”</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Derivado de lo anteriormente señalado, se puede advertir que dentro del procedimiento adquisitivo, de manera enunciativa más no limitativa, puede constar la información referente al costo total de los componentes de un poste armado con cámaras y botón de pánico y de los componentes de conectividad del “Proyecto Jaguar”.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Ahora bien, el Recurrente pretende conocer información referente al “Proyecto Jaguar”, por lo que, este Órgano Garante se dio a la tarea de buscar información al respecto y se localizó lo siguiente: </w:t>
      </w:r>
    </w:p>
    <w:p w:rsidR="00871442" w:rsidRPr="008F698B" w:rsidRDefault="00BB332F">
      <w:pPr>
        <w:numPr>
          <w:ilvl w:val="0"/>
          <w:numId w:val="5"/>
        </w:num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hyperlink r:id="rId9">
        <w:r w:rsidR="0032471D" w:rsidRPr="008F698B">
          <w:rPr>
            <w:rFonts w:ascii="Palatino Linotype" w:eastAsia="Palatino Linotype" w:hAnsi="Palatino Linotype" w:cs="Palatino Linotype"/>
            <w:color w:val="0563C1"/>
            <w:sz w:val="24"/>
            <w:szCs w:val="24"/>
            <w:u w:val="single"/>
          </w:rPr>
          <w:t>https://www.milenio.com/policia/ecatepec-pone-marcha-proyecto-jaguar-anuncia-alcalde</w:t>
        </w:r>
      </w:hyperlink>
    </w:p>
    <w:p w:rsidR="00871442" w:rsidRPr="008F698B" w:rsidRDefault="0032471D">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noProof/>
          <w:color w:val="000000"/>
          <w:sz w:val="24"/>
          <w:szCs w:val="24"/>
          <w:lang w:eastAsia="es-MX"/>
        </w:rPr>
        <w:drawing>
          <wp:inline distT="0" distB="0" distL="0" distR="0">
            <wp:extent cx="4001804" cy="2738961"/>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001804" cy="2738961"/>
                    </a:xfrm>
                    <a:prstGeom prst="rect">
                      <a:avLst/>
                    </a:prstGeom>
                    <a:ln/>
                  </pic:spPr>
                </pic:pic>
              </a:graphicData>
            </a:graphic>
          </wp:inline>
        </w:drawing>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BB332F">
      <w:pPr>
        <w:numPr>
          <w:ilvl w:val="0"/>
          <w:numId w:val="5"/>
        </w:numPr>
        <w:pBdr>
          <w:top w:val="nil"/>
          <w:left w:val="nil"/>
          <w:bottom w:val="nil"/>
          <w:right w:val="nil"/>
          <w:between w:val="nil"/>
        </w:pBdr>
        <w:ind w:right="-592"/>
        <w:rPr>
          <w:rFonts w:ascii="Palatino Linotype" w:eastAsia="Palatino Linotype" w:hAnsi="Palatino Linotype" w:cs="Palatino Linotype"/>
          <w:color w:val="000000"/>
          <w:sz w:val="24"/>
          <w:szCs w:val="24"/>
        </w:rPr>
      </w:pPr>
      <w:hyperlink r:id="rId11">
        <w:r w:rsidR="0032471D" w:rsidRPr="008F698B">
          <w:rPr>
            <w:rFonts w:ascii="Palatino Linotype" w:eastAsia="Palatino Linotype" w:hAnsi="Palatino Linotype" w:cs="Palatino Linotype"/>
            <w:color w:val="0563C1"/>
            <w:sz w:val="24"/>
            <w:szCs w:val="24"/>
            <w:u w:val="single"/>
          </w:rPr>
          <w:t>https://www.capitaledomex.com.mx/local/fernando-vilchis-pone-en-marcha-el-proyecto-jaguar-2-0-en-ecatepec/</w:t>
        </w:r>
      </w:hyperlink>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noProof/>
          <w:color w:val="000000"/>
          <w:sz w:val="24"/>
          <w:szCs w:val="24"/>
          <w:lang w:eastAsia="es-MX"/>
        </w:rPr>
        <w:drawing>
          <wp:inline distT="0" distB="0" distL="0" distR="0">
            <wp:extent cx="4776918" cy="1963797"/>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776918" cy="1963797"/>
                    </a:xfrm>
                    <a:prstGeom prst="rect">
                      <a:avLst/>
                    </a:prstGeom>
                    <a:ln/>
                  </pic:spPr>
                </pic:pic>
              </a:graphicData>
            </a:graphic>
          </wp:inline>
        </w:drawing>
      </w:r>
    </w:p>
    <w:p w:rsidR="00871442" w:rsidRPr="008F698B" w:rsidRDefault="00871442">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p>
    <w:p w:rsidR="00871442" w:rsidRPr="008F698B" w:rsidRDefault="00BB332F">
      <w:pPr>
        <w:numPr>
          <w:ilvl w:val="0"/>
          <w:numId w:val="5"/>
        </w:num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hyperlink r:id="rId13">
        <w:r w:rsidR="0032471D" w:rsidRPr="008F698B">
          <w:rPr>
            <w:rFonts w:ascii="Palatino Linotype" w:eastAsia="Palatino Linotype" w:hAnsi="Palatino Linotype" w:cs="Palatino Linotype"/>
            <w:color w:val="0563C1"/>
            <w:sz w:val="24"/>
            <w:szCs w:val="24"/>
            <w:u w:val="single"/>
          </w:rPr>
          <w:t>https://www.facebook.com/SistemaMunicipalDIFEcatepec/posts/-el-proyecto-jaguar-20-ya-es-una-realidad-nuestra-titular-esmeralda-vallejo-estu/940202254918326/?locale=es_LA</w:t>
        </w:r>
      </w:hyperlink>
      <w:r w:rsidR="0032471D" w:rsidRPr="008F698B">
        <w:rPr>
          <w:rFonts w:ascii="Palatino Linotype" w:eastAsia="Palatino Linotype" w:hAnsi="Palatino Linotype" w:cs="Palatino Linotype"/>
          <w:color w:val="000000"/>
          <w:sz w:val="24"/>
          <w:szCs w:val="24"/>
        </w:rPr>
        <w:t xml:space="preserve">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noProof/>
          <w:color w:val="000000"/>
          <w:sz w:val="24"/>
          <w:szCs w:val="24"/>
          <w:lang w:eastAsia="es-MX"/>
        </w:rPr>
        <w:drawing>
          <wp:inline distT="0" distB="0" distL="0" distR="0">
            <wp:extent cx="4829849" cy="1800476"/>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829849" cy="1800476"/>
                    </a:xfrm>
                    <a:prstGeom prst="rect">
                      <a:avLst/>
                    </a:prstGeom>
                    <a:ln/>
                  </pic:spPr>
                </pic:pic>
              </a:graphicData>
            </a:graphic>
          </wp:inline>
        </w:drawing>
      </w:r>
    </w:p>
    <w:p w:rsidR="00871442" w:rsidRPr="008F698B" w:rsidRDefault="00871442">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p>
    <w:p w:rsidR="00871442" w:rsidRPr="008F698B" w:rsidRDefault="00BB332F">
      <w:pPr>
        <w:numPr>
          <w:ilvl w:val="0"/>
          <w:numId w:val="5"/>
        </w:num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hyperlink r:id="rId15">
        <w:r w:rsidR="0032471D" w:rsidRPr="008F698B">
          <w:rPr>
            <w:rFonts w:ascii="Palatino Linotype" w:eastAsia="Palatino Linotype" w:hAnsi="Palatino Linotype" w:cs="Palatino Linotype"/>
            <w:color w:val="0563C1"/>
            <w:sz w:val="24"/>
            <w:szCs w:val="24"/>
            <w:u w:val="single"/>
          </w:rPr>
          <w:t>https://www.planamayor.com.mx/fernando-vilchis-pone-en-operacion-proyecto-jaguar-2-0-de-videovigilancia-en-ecatepec/</w:t>
        </w:r>
      </w:hyperlink>
      <w:r w:rsidR="0032471D" w:rsidRPr="008F698B">
        <w:rPr>
          <w:rFonts w:ascii="Palatino Linotype" w:eastAsia="Palatino Linotype" w:hAnsi="Palatino Linotype" w:cs="Palatino Linotype"/>
          <w:color w:val="000000"/>
          <w:sz w:val="24"/>
          <w:szCs w:val="24"/>
        </w:rPr>
        <w:t xml:space="preserve"> </w:t>
      </w:r>
    </w:p>
    <w:p w:rsidR="00871442" w:rsidRPr="008F698B" w:rsidRDefault="00871442">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p>
    <w:p w:rsidR="00871442" w:rsidRPr="008F698B" w:rsidRDefault="0032471D">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noProof/>
          <w:color w:val="000000"/>
          <w:sz w:val="24"/>
          <w:szCs w:val="24"/>
          <w:lang w:eastAsia="es-MX"/>
        </w:rPr>
        <w:drawing>
          <wp:inline distT="0" distB="0" distL="0" distR="0">
            <wp:extent cx="4802304" cy="1323766"/>
            <wp:effectExtent l="0" t="0" r="0" b="0"/>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802304" cy="1323766"/>
                    </a:xfrm>
                    <a:prstGeom prst="rect">
                      <a:avLst/>
                    </a:prstGeom>
                    <a:ln/>
                  </pic:spPr>
                </pic:pic>
              </a:graphicData>
            </a:graphic>
          </wp:inline>
        </w:drawing>
      </w:r>
    </w:p>
    <w:p w:rsidR="00871442" w:rsidRPr="008F698B" w:rsidRDefault="00871442">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p>
    <w:p w:rsidR="00871442" w:rsidRPr="008F698B" w:rsidRDefault="00BB332F">
      <w:pPr>
        <w:numPr>
          <w:ilvl w:val="0"/>
          <w:numId w:val="5"/>
        </w:num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hyperlink r:id="rId17">
        <w:r w:rsidR="0032471D" w:rsidRPr="008F698B">
          <w:rPr>
            <w:rFonts w:ascii="Palatino Linotype" w:eastAsia="Palatino Linotype" w:hAnsi="Palatino Linotype" w:cs="Palatino Linotype"/>
            <w:color w:val="0563C1"/>
            <w:sz w:val="24"/>
            <w:szCs w:val="24"/>
            <w:u w:val="single"/>
          </w:rPr>
          <w:t>https://oem.com.mx/la-prensa/metropoli/ecatepec-arranca-cruzada-contra-grupos-criminales-instala-2-mil-camaras-y-equipo-de-alta-tecnologia-en-seguridad-13069249.app.json</w:t>
        </w:r>
      </w:hyperlink>
      <w:r w:rsidR="0032471D" w:rsidRPr="008F698B">
        <w:rPr>
          <w:rFonts w:ascii="Palatino Linotype" w:eastAsia="Palatino Linotype" w:hAnsi="Palatino Linotype" w:cs="Palatino Linotype"/>
          <w:color w:val="000000"/>
          <w:sz w:val="24"/>
          <w:szCs w:val="24"/>
        </w:rPr>
        <w:t xml:space="preserve"> </w:t>
      </w:r>
    </w:p>
    <w:p w:rsidR="00871442" w:rsidRPr="008F698B" w:rsidRDefault="0032471D">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noProof/>
          <w:color w:val="000000"/>
          <w:sz w:val="24"/>
          <w:szCs w:val="24"/>
          <w:lang w:eastAsia="es-MX"/>
        </w:rPr>
        <w:drawing>
          <wp:inline distT="0" distB="0" distL="0" distR="0">
            <wp:extent cx="4212768" cy="128143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4212768" cy="1281438"/>
                    </a:xfrm>
                    <a:prstGeom prst="rect">
                      <a:avLst/>
                    </a:prstGeom>
                    <a:ln/>
                  </pic:spPr>
                </pic:pic>
              </a:graphicData>
            </a:graphic>
          </wp:inline>
        </w:drawing>
      </w:r>
    </w:p>
    <w:p w:rsidR="00871442" w:rsidRPr="008F698B" w:rsidRDefault="0032471D">
      <w:pPr>
        <w:pBdr>
          <w:top w:val="nil"/>
          <w:left w:val="nil"/>
          <w:bottom w:val="nil"/>
          <w:right w:val="nil"/>
          <w:between w:val="nil"/>
        </w:pBdr>
        <w:spacing w:line="360" w:lineRule="auto"/>
        <w:ind w:right="-592"/>
        <w:jc w:val="center"/>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noProof/>
          <w:color w:val="000000"/>
          <w:sz w:val="24"/>
          <w:szCs w:val="24"/>
          <w:lang w:eastAsia="es-MX"/>
        </w:rPr>
        <w:drawing>
          <wp:inline distT="0" distB="0" distL="0" distR="0">
            <wp:extent cx="4547210" cy="878987"/>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4547210" cy="878987"/>
                    </a:xfrm>
                    <a:prstGeom prst="rect">
                      <a:avLst/>
                    </a:prstGeom>
                    <a:ln/>
                  </pic:spPr>
                </pic:pic>
              </a:graphicData>
            </a:graphic>
          </wp:inline>
        </w:drawing>
      </w:r>
    </w:p>
    <w:p w:rsidR="00871442" w:rsidRPr="008F698B" w:rsidRDefault="00871442">
      <w:pPr>
        <w:pBdr>
          <w:top w:val="nil"/>
          <w:left w:val="nil"/>
          <w:bottom w:val="nil"/>
          <w:right w:val="nil"/>
          <w:between w:val="nil"/>
        </w:pBdr>
        <w:spacing w:line="360" w:lineRule="auto"/>
        <w:ind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Como se advierte de las notas periodísticas, se implementó, por parte del Ayuntamiento de Ecatepec de Morelos el “Proyecto Jaguar 2.0”, a través del cual se instalaron cámaras de videovigilancia y botones de pánico, información solicitada por el Recurrente; al respecto conviene señalar que, si bien es cierto, las notas periodísticas o publicaciones plasmadas en la red de Internet constituyen el Derecho a la Libre Expresión de los profesionales en la materia (artículo 7 de la Constitución Política de los Estados Unidos Mexicanos), en los que se plasman opiniones, señalamientos o comentarios respecto de diversos hechos que se suscitan en un lugar y tiempo determinados, también lo es que la imagen encontrada por la ponencia correspondiente a la nota periodística de mérito arrojan </w:t>
      </w:r>
      <w:r w:rsidRPr="008F698B">
        <w:rPr>
          <w:rFonts w:ascii="Palatino Linotype" w:eastAsia="Palatino Linotype" w:hAnsi="Palatino Linotype" w:cs="Palatino Linotype"/>
          <w:color w:val="000000"/>
          <w:sz w:val="24"/>
          <w:szCs w:val="24"/>
        </w:rPr>
        <w:lastRenderedPageBreak/>
        <w:t xml:space="preserve">indicios sobre los hechos a que se refieren. Sirve de apoyo a lo anterior, la Jurisprudencia y Tesis Aisladas que enseguida se reproducen: </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“NOTAS PERIODÍSTICAS. ELEMENTOS PARA DETERMINAR SU FUERZA INDICIARIA.</w:t>
      </w:r>
      <w:r w:rsidRPr="008F698B">
        <w:rPr>
          <w:rFonts w:ascii="Palatino Linotype" w:eastAsia="Palatino Linotype" w:hAnsi="Palatino Linotype" w:cs="Palatino Linotype"/>
          <w:i/>
          <w:sz w:val="24"/>
          <w:szCs w:val="24"/>
        </w:rPr>
        <w:t xml:space="preserve">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lastRenderedPageBreak/>
        <w:t xml:space="preserve">INDICIO. CONCEPTO DE. </w:t>
      </w:r>
      <w:r w:rsidRPr="008F698B">
        <w:rPr>
          <w:rFonts w:ascii="Palatino Linotype" w:eastAsia="Palatino Linotype" w:hAnsi="Palatino Linotype" w:cs="Palatino Linotype"/>
          <w:i/>
          <w:sz w:val="24"/>
          <w:szCs w:val="24"/>
        </w:rPr>
        <w:t xml:space="preserve">El "indicio" es una circunstancia cierta de la que se puede sacar, por inducción lógica, una conclusión acerca de la existencia (o inexistencia) de un hecho a probar; por tanto, la convicción indiciaria se basa en un silogismo en el que la premisa mayor (abstracta y problemática), se funda en la experiencia o en el sentido común, la premisa menor (concreta y cierta) se apoya o constituye la comprobación del hecho, y la conclusión, sacada de la referencia de la premisa menor a la premisa mayor, el indicio, por consiguiente, se diferencia de la presunción en que el dato genérico y probable agrega el dato específico y cierto, a lo abstracto une lo concreto; de lo que antecede ya se desprende sin dificultad que requisito primordial de la prueba indiciaria es la certeza de la circunstancia indiciante, o sea, que el indicio presupone necesariamente la demostración de circunstancias indispensables por las que se arguye indirecta pero lógicamente el hecho que hay que probar mediante un proceso deductivo, con la misma certeza que da la prueba directa. </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SEGUNDO TRIBUNAL COLEGIADO DEL SEXTO CIRCUITO. </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Amparo directo 317/87. Juan Antonio Ibarra Chaire y coags. 12 de julio de 1988. Unanimidad de votos. Ponente: José Galván Rojas. Secretario: Vicente Martínez Sánchez.</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INDICIOS. REQUISITOS PARA QUE GENEREN PRESUNCIÓN DE CERTEZA. </w:t>
      </w:r>
      <w:r w:rsidRPr="008F698B">
        <w:rPr>
          <w:rFonts w:ascii="Palatino Linotype" w:eastAsia="Palatino Linotype" w:hAnsi="Palatino Linotype" w:cs="Palatino Linotype"/>
          <w:i/>
          <w:sz w:val="24"/>
          <w:szCs w:val="24"/>
        </w:rPr>
        <w:t xml:space="preserve">Nada impide que para acreditar la veracidad de un hecho, el juzgador se valga de una presunción que se derive de varios indicios. En esta hipótesis deben cumplirse los </w:t>
      </w:r>
      <w:r w:rsidRPr="008F698B">
        <w:rPr>
          <w:rFonts w:ascii="Palatino Linotype" w:eastAsia="Palatino Linotype" w:hAnsi="Palatino Linotype" w:cs="Palatino Linotype"/>
          <w:i/>
          <w:sz w:val="24"/>
          <w:szCs w:val="24"/>
        </w:rPr>
        <w:lastRenderedPageBreak/>
        <w:t xml:space="preserve">principios de la lógica inferencial de probabilidad, a saber: la fiabilidad de los hechos o datos conocidos, esto es, que no exista duda alguna acerca de su veracidad; la pluralidad de indicios, que se refiere a la necesidad de que existan varios datos que permitan conocer o inferir la existencia de otro no percibido y que conduzcan siempre a una misma conclusión; la pertinencia, que significa que haya relación entre la pluralidad de los datos conocidos; y la coherencia, o sea, que debe existir armonía o concordancia entre los datos mencionados; principios que a su vez encuentran respaldo en el artículo 402 de la ley adjetiva civil para el Distrito Federal que previene que los medios de prueba aportados y admitidos serán valorados en su conjunto por el juzgador, atendiendo a las reglas de la lógica y la experiencia, pues los principios enunciados forman parte tanto de la lógica de probabilidades, como de la experiencia misma, razón por la cual, cuando concurren esas exigencias, y se da un muy alto grado de probabilidad de que los hechos acaecieron en la forma narrada por una de las partes, son aptos para generar la presunción de certeza. </w:t>
      </w:r>
    </w:p>
    <w:p w:rsidR="00871442" w:rsidRPr="008F698B" w:rsidRDefault="00871442">
      <w:pPr>
        <w:spacing w:line="360" w:lineRule="auto"/>
        <w:ind w:right="-592"/>
        <w:jc w:val="both"/>
        <w:rPr>
          <w:rFonts w:ascii="Palatino Linotype" w:hAnsi="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De lo anterior, se presume la existencia de documentación relacionada con la información requerida, toda vez que el SUJETO OBLIGADO se encuentra constreñido a documentar todo acto de autoridad que éste realice </w:t>
      </w:r>
      <w:r w:rsidRPr="008F698B">
        <w:rPr>
          <w:rFonts w:ascii="Palatino Linotype" w:eastAsia="Palatino Linotype" w:hAnsi="Palatino Linotype" w:cs="Palatino Linotype"/>
          <w:sz w:val="24"/>
          <w:szCs w:val="24"/>
        </w:rPr>
        <w:t>derivado de sus</w:t>
      </w:r>
      <w:r w:rsidRPr="008F698B">
        <w:rPr>
          <w:rFonts w:ascii="Palatino Linotype" w:eastAsia="Palatino Linotype" w:hAnsi="Palatino Linotype" w:cs="Palatino Linotype"/>
          <w:color w:val="000000"/>
          <w:sz w:val="24"/>
          <w:szCs w:val="24"/>
        </w:rPr>
        <w:t xml:space="preserve"> funciones, atribuciones y competencias. </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ese tenor, si bien es cierto que las páginas de internet no son un medio oficial, también lo es que se trata de indicios que demuestran las tareas o labores que llegan a </w:t>
      </w:r>
      <w:r w:rsidRPr="008F698B">
        <w:rPr>
          <w:rFonts w:ascii="Palatino Linotype" w:eastAsia="Palatino Linotype" w:hAnsi="Palatino Linotype" w:cs="Palatino Linotype"/>
          <w:color w:val="000000"/>
          <w:sz w:val="24"/>
          <w:szCs w:val="24"/>
        </w:rPr>
        <w:lastRenderedPageBreak/>
        <w:t xml:space="preserve">realizar en este caso los servidores públicos en ejercicio de sus facultades, competencias y/o funciones. </w:t>
      </w:r>
    </w:p>
    <w:p w:rsidR="00871442" w:rsidRPr="008F698B" w:rsidRDefault="00871442">
      <w:pPr>
        <w:pBdr>
          <w:top w:val="nil"/>
          <w:left w:val="nil"/>
          <w:bottom w:val="nil"/>
          <w:right w:val="nil"/>
          <w:between w:val="nil"/>
        </w:pBdr>
        <w:ind w:left="720" w:right="-592"/>
        <w:rPr>
          <w:rFonts w:ascii="Palatino Linotype" w:eastAsia="Century Gothic" w:hAnsi="Palatino Linotype" w:cs="Century Gothic"/>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tal virtud, al obrar indicios de la información en páginas de internet, como lo son notas periodísticas como fue el caso, que demuestran que el SUJETO OBLIGADO cuenta con la información en alguna de sus áreas administrativas, este tipo de información es susceptible de considerarse como un hecho notorio el cual puede ser valorado, por formar parte del conocimiento público, lo cual se robustece con la siguiente tesis aislada emitida por los Tribunales Colegiados de Circuito y publicada en el Semanario Judicial de la Federación: </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“PÁGINAS WEB O ELECTRÓNICAS. SU CONTENIDO ES UN HECHO NOTORIO Y SUSCEPTIBLE DE SER VALORADO EN UNA DECISIÓN JUDICIAL. </w:t>
      </w:r>
      <w:r w:rsidRPr="008F698B">
        <w:rPr>
          <w:rFonts w:ascii="Palatino Linotype" w:eastAsia="Palatino Linotype" w:hAnsi="Palatino Linotype" w:cs="Palatino Linotype"/>
          <w:i/>
          <w:sz w:val="24"/>
          <w:szCs w:val="24"/>
        </w:rPr>
        <w:t xml:space="preserve">Los datos publicados en documentos o páginas situados en redes informáticas constituyen un hecho notorio por formar parte del conocimiento público a través de tales medios al momento en que se dicta una resolución judicial, de conformidad con el artículo 88 del Código Federal de Procedimientos Civiles.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1 2004949. I.3o.C.35 K (10a.). Tribunales </w:t>
      </w:r>
      <w:r w:rsidRPr="008F698B">
        <w:rPr>
          <w:rFonts w:ascii="Palatino Linotype" w:eastAsia="Palatino Linotype" w:hAnsi="Palatino Linotype" w:cs="Palatino Linotype"/>
          <w:i/>
          <w:sz w:val="24"/>
          <w:szCs w:val="24"/>
        </w:rPr>
        <w:lastRenderedPageBreak/>
        <w:t>Colegiados de Circuito. Décima Época. Semanario Judicial de la Federación y su Gaceta. Libro XXVI, Noviembre de 2013, Pág. 1373. Recurso de Revisión: 03023/INFOEM/IP/RR/2021 Sujeto Obligado: Ayuntamiento de Coacalco de Berriozábal Comisionado por returno: Luis Gustavo Parra Noriega Página 21 de 28 de que se trate. De ahí que, si bien no es posible afirmar que esa información se encuentra al alcance de todos los sectores de la sociedad, lo cierto es que sí es posible determinar si por el tipo de datos un hecho forma parte de la cultura normal de un sector de la sociedad y pueda ser considerado como notorio por el juzgador y, consecuentemente, valorado en una decisión judicial, por tratarse de un dato u opinión común indiscutible,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 TERCER TRIBUNAL COLEGIADO EN MATERIA CIVIL DEL PRIMER CIRCUITO. </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Amparo en revisión 365/2012. Mardygras, S.A. de C.V. 7 de diciembre de 2012. Unanimidad de votos. Ponente: Neófito López Ramos. Secretaria: Ana Lilia Osorno Arroyo.” </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(Énfasis añadido) </w:t>
      </w:r>
    </w:p>
    <w:p w:rsidR="00871442" w:rsidRPr="008F698B" w:rsidRDefault="00871442">
      <w:pPr>
        <w:spacing w:line="360" w:lineRule="auto"/>
        <w:ind w:left="567" w:right="-592"/>
        <w:jc w:val="both"/>
        <w:rPr>
          <w:rFonts w:ascii="Palatino Linotype" w:eastAsia="Palatino Linotype" w:hAnsi="Palatino Linotype" w:cs="Palatino Linotype"/>
          <w:i/>
          <w:sz w:val="24"/>
          <w:szCs w:val="24"/>
        </w:rPr>
      </w:pPr>
    </w:p>
    <w:p w:rsidR="00871442" w:rsidRPr="008F698B" w:rsidRDefault="0032471D">
      <w:pPr>
        <w:numPr>
          <w:ilvl w:val="0"/>
          <w:numId w:val="3"/>
        </w:numPr>
        <w:spacing w:line="360" w:lineRule="auto"/>
        <w:ind w:left="0" w:right="-592" w:firstLine="0"/>
        <w:jc w:val="both"/>
        <w:rPr>
          <w:rFonts w:ascii="Palatino Linotype" w:hAnsi="Palatino Linotype"/>
          <w:sz w:val="24"/>
          <w:szCs w:val="24"/>
        </w:rPr>
      </w:pPr>
      <w:r w:rsidRPr="008F698B">
        <w:rPr>
          <w:rFonts w:ascii="Palatino Linotype" w:eastAsia="Palatino Linotype" w:hAnsi="Palatino Linotype" w:cs="Palatino Linotype"/>
          <w:sz w:val="24"/>
          <w:szCs w:val="24"/>
        </w:rPr>
        <w:lastRenderedPageBreak/>
        <w:t>Es así que, aún y cuando la información proviene de una nota periodística, muestra elementos que permiten presumir la existencia del hecho, razón por la que se ordena la entrega de la información.</w:t>
      </w:r>
    </w:p>
    <w:p w:rsidR="00871442" w:rsidRPr="008F698B" w:rsidRDefault="0032471D">
      <w:pPr>
        <w:numPr>
          <w:ilvl w:val="0"/>
          <w:numId w:val="3"/>
        </w:numPr>
        <w:pBdr>
          <w:top w:val="nil"/>
          <w:left w:val="nil"/>
          <w:bottom w:val="nil"/>
          <w:right w:val="nil"/>
          <w:between w:val="nil"/>
        </w:pBdr>
        <w:tabs>
          <w:tab w:val="left" w:pos="426"/>
        </w:tabs>
        <w:spacing w:before="24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8F698B">
        <w:rPr>
          <w:rFonts w:ascii="Palatino Linotype" w:eastAsia="Palatino Linotype" w:hAnsi="Palatino Linotype" w:cs="Palatino Linotype"/>
          <w:b/>
          <w:color w:val="000000"/>
          <w:sz w:val="24"/>
          <w:szCs w:val="24"/>
        </w:rPr>
        <w:t>los Sujetos Obligados deberán documentar todo acto que se derive del ejercicio de sus facultades, competencias o funciones,</w:t>
      </w:r>
      <w:r w:rsidRPr="008F698B">
        <w:rPr>
          <w:rFonts w:ascii="Palatino Linotype" w:eastAsia="Palatino Linotype" w:hAnsi="Palatino Linotype" w:cs="Palatino Linotype"/>
          <w:color w:val="000000"/>
          <w:sz w:val="24"/>
          <w:szCs w:val="24"/>
        </w:rPr>
        <w:t xml:space="preserve"> considerando desde su origen la eventual publicidad y reutilización de la información que generen, posean o administren.</w:t>
      </w:r>
    </w:p>
    <w:p w:rsidR="00871442" w:rsidRPr="008F698B" w:rsidRDefault="00871442">
      <w:pPr>
        <w:pBdr>
          <w:top w:val="nil"/>
          <w:left w:val="nil"/>
          <w:bottom w:val="nil"/>
          <w:right w:val="nil"/>
          <w:between w:val="nil"/>
        </w:pBdr>
        <w:spacing w:line="360" w:lineRule="auto"/>
        <w:ind w:left="720" w:right="-592"/>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Además, debemos tomar en cuenta los artículos 4 y 12, de la Ley de Transparencia y Acceso a la Información Pública del Estado de México y Municipios, los cuales establecen lo siguiente:</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Artículo 4. </w:t>
      </w:r>
      <w:r w:rsidRPr="008F698B">
        <w:rPr>
          <w:rFonts w:ascii="Palatino Linotype" w:eastAsia="Palatino Linotype" w:hAnsi="Palatino Linotype" w:cs="Palatino Linotype"/>
          <w:i/>
          <w:sz w:val="24"/>
          <w:szCs w:val="24"/>
        </w:rPr>
        <w:t>El derecho humano de acceso a la información pública es la prerrogativa de las personas para buscar, difundir, investigar, recabar, recibir y solicitar información pública, sin necesidad de acreditar personalidad ni interés jurídico.</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lastRenderedPageBreak/>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Los sujetos obligados deben poner en práctica, políticas y programas de acceso a la información que se apeguen a criterios de publicidad, veracidad, oportunidad, precisión y suficiencia en beneficio de los solicitantes.</w:t>
      </w:r>
    </w:p>
    <w:p w:rsidR="00871442" w:rsidRPr="008F698B" w:rsidRDefault="00871442">
      <w:pPr>
        <w:spacing w:line="360" w:lineRule="auto"/>
        <w:ind w:right="-25"/>
        <w:jc w:val="both"/>
        <w:rPr>
          <w:rFonts w:ascii="Palatino Linotype" w:eastAsia="Palatino Linotype" w:hAnsi="Palatino Linotype" w:cs="Palatino Linotype"/>
          <w:i/>
          <w:color w:val="000000"/>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Artículo 12. </w:t>
      </w:r>
      <w:r w:rsidRPr="008F698B">
        <w:rPr>
          <w:rFonts w:ascii="Palatino Linotype" w:eastAsia="Palatino Linotype" w:hAnsi="Palatino Linotype" w:cs="Palatino Linotype"/>
          <w:i/>
          <w:sz w:val="24"/>
          <w:szCs w:val="24"/>
        </w:rPr>
        <w:t xml:space="preserve">Quienes generen, recopilen, administren, manejen, procesen, archiven o conserven información pública serán responsables de la misma en los términos de las disposiciones jurídicas aplicables. </w:t>
      </w:r>
    </w:p>
    <w:p w:rsidR="00871442" w:rsidRPr="008F698B" w:rsidRDefault="00871442">
      <w:pPr>
        <w:spacing w:line="360" w:lineRule="auto"/>
        <w:ind w:left="567" w:right="-25"/>
        <w:jc w:val="both"/>
        <w:rPr>
          <w:rFonts w:ascii="Palatino Linotype" w:eastAsia="Palatino Linotype" w:hAnsi="Palatino Linotype" w:cs="Palatino Linotype"/>
          <w:i/>
          <w:sz w:val="24"/>
          <w:szCs w:val="24"/>
        </w:rPr>
      </w:pP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 xml:space="preserve">Los sujetos obligados sólo proporcionarán la información pública que se les requiera y que obre en sus archivos y en el estado en que ésta se encuentre. </w:t>
      </w:r>
      <w:r w:rsidRPr="008F698B">
        <w:rPr>
          <w:rFonts w:ascii="Palatino Linotype" w:eastAsia="Palatino Linotype" w:hAnsi="Palatino Linotype" w:cs="Palatino Linotype"/>
          <w:b/>
          <w:i/>
          <w:sz w:val="24"/>
          <w:szCs w:val="24"/>
        </w:rPr>
        <w:t xml:space="preserve">La obligación de proporcionar información no comprende el procesamiento de la misma, ni el </w:t>
      </w:r>
      <w:r w:rsidRPr="008F698B">
        <w:rPr>
          <w:rFonts w:ascii="Palatino Linotype" w:eastAsia="Palatino Linotype" w:hAnsi="Palatino Linotype" w:cs="Palatino Linotype"/>
          <w:b/>
          <w:i/>
          <w:sz w:val="24"/>
          <w:szCs w:val="24"/>
        </w:rPr>
        <w:lastRenderedPageBreak/>
        <w:t>presentarla conforme al interés del solicitante; no estarán obligados a generarla, resumirla, efectuar cálculos o practicar investigaciones.</w:t>
      </w:r>
    </w:p>
    <w:p w:rsidR="00871442" w:rsidRPr="008F698B" w:rsidRDefault="00871442">
      <w:pPr>
        <w:spacing w:line="360" w:lineRule="auto"/>
        <w:ind w:left="567" w:right="-592"/>
        <w:jc w:val="both"/>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tabs>
          <w:tab w:val="left" w:pos="851"/>
        </w:tabs>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8F698B">
        <w:rPr>
          <w:rFonts w:ascii="Palatino Linotype" w:eastAsia="Palatino Linotype" w:hAnsi="Palatino Linotype" w:cs="Palatino Linotype"/>
          <w:color w:val="000000"/>
          <w:sz w:val="24"/>
          <w:szCs w:val="24"/>
          <w:vertAlign w:val="superscript"/>
        </w:rPr>
        <w:footnoteReference w:id="3"/>
      </w:r>
      <w:r w:rsidRPr="008F698B">
        <w:rPr>
          <w:rFonts w:ascii="Palatino Linotype" w:eastAsia="Palatino Linotype" w:hAnsi="Palatino Linotype" w:cs="Palatino Linotype"/>
          <w:color w:val="000000"/>
          <w:sz w:val="24"/>
          <w:szCs w:val="24"/>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871442" w:rsidRPr="008F698B" w:rsidRDefault="00871442">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tabs>
          <w:tab w:val="left" w:pos="851"/>
        </w:tabs>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C6467F" w:rsidRPr="008F698B" w:rsidRDefault="00C6467F" w:rsidP="00C6467F">
      <w:pPr>
        <w:pBdr>
          <w:top w:val="nil"/>
          <w:left w:val="nil"/>
          <w:bottom w:val="nil"/>
          <w:right w:val="nil"/>
          <w:between w:val="nil"/>
        </w:pBdr>
        <w:tabs>
          <w:tab w:val="left" w:pos="851"/>
        </w:tabs>
        <w:spacing w:line="360" w:lineRule="auto"/>
        <w:ind w:right="-592"/>
        <w:jc w:val="both"/>
        <w:rPr>
          <w:rFonts w:ascii="Palatino Linotype" w:hAnsi="Palatino Linotype"/>
          <w:color w:val="000000"/>
          <w:sz w:val="24"/>
          <w:szCs w:val="24"/>
        </w:rPr>
      </w:pPr>
    </w:p>
    <w:p w:rsidR="00871442" w:rsidRPr="008F698B" w:rsidRDefault="0032471D">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i/>
          <w:color w:val="000000"/>
          <w:sz w:val="24"/>
          <w:szCs w:val="24"/>
        </w:rPr>
        <w:t>ACCESO A LA INFORMACIÓN. IMPLICACIÓN DEL PRINCIPIO DE MÁXIMA PUBLICIDAD EN EL DERECHO FUNDAMENTAL RELATIVO.</w:t>
      </w:r>
      <w:r w:rsidRPr="008F698B">
        <w:rPr>
          <w:rFonts w:ascii="Palatino Linotype" w:eastAsia="Palatino Linotype" w:hAnsi="Palatino Linotype" w:cs="Palatino Linotype"/>
          <w:i/>
          <w:color w:val="000000"/>
          <w:sz w:val="24"/>
          <w:szCs w:val="24"/>
        </w:rPr>
        <w:t xml:space="preserve"> Del </w:t>
      </w:r>
      <w:r w:rsidRPr="008F698B">
        <w:rPr>
          <w:rFonts w:ascii="Palatino Linotype" w:eastAsia="Palatino Linotype" w:hAnsi="Palatino Linotype" w:cs="Palatino Linotype"/>
          <w:i/>
          <w:color w:val="000000"/>
          <w:sz w:val="24"/>
          <w:szCs w:val="24"/>
        </w:rPr>
        <w:lastRenderedPageBreak/>
        <w:t xml:space="preserve">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871442" w:rsidRPr="008F698B" w:rsidRDefault="00871442">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4"/>
          <w:szCs w:val="24"/>
        </w:rPr>
      </w:pPr>
    </w:p>
    <w:p w:rsidR="00871442" w:rsidRPr="008F698B" w:rsidRDefault="0032471D">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CUARTO TRIBUNAL COLEGIADO EN MATERIA ADMINISTRATIVA DEL PRIMER CIRCUITO. </w:t>
      </w:r>
    </w:p>
    <w:p w:rsidR="00871442" w:rsidRPr="008F698B" w:rsidRDefault="00871442">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4"/>
          <w:szCs w:val="24"/>
        </w:rPr>
      </w:pPr>
    </w:p>
    <w:p w:rsidR="00871442" w:rsidRPr="008F698B" w:rsidRDefault="0032471D">
      <w:pPr>
        <w:pBdr>
          <w:top w:val="nil"/>
          <w:left w:val="nil"/>
          <w:bottom w:val="nil"/>
          <w:right w:val="nil"/>
          <w:between w:val="nil"/>
        </w:pBdr>
        <w:tabs>
          <w:tab w:val="left" w:pos="851"/>
        </w:tabs>
        <w:spacing w:line="360" w:lineRule="auto"/>
        <w:ind w:left="567"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Amparo en revisión 257/2012. Ruth Corona Muñoz. 6 de diciembre de 2012. Unanimidad de votos. Ponente: Jean Claude Tron Petit. Secretaria: Mayra Susana Martínez López.</w:t>
      </w:r>
    </w:p>
    <w:p w:rsidR="00871442" w:rsidRPr="008F698B" w:rsidRDefault="00871442">
      <w:pPr>
        <w:pBdr>
          <w:top w:val="nil"/>
          <w:left w:val="nil"/>
          <w:bottom w:val="nil"/>
          <w:right w:val="nil"/>
          <w:between w:val="nil"/>
        </w:pBdr>
        <w:spacing w:line="360" w:lineRule="auto"/>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tabs>
          <w:tab w:val="left" w:pos="851"/>
        </w:tabs>
        <w:spacing w:after="24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El derecho de acceso a la información encuentra su materia elemental en los documentos, y la Ley de Transparencia local  nos brinda el siguiente concepto, para darnos un mejor panorama:</w:t>
      </w:r>
    </w:p>
    <w:p w:rsidR="00871442" w:rsidRPr="008F698B" w:rsidRDefault="0032471D">
      <w:pPr>
        <w:spacing w:line="360" w:lineRule="auto"/>
        <w:ind w:left="567" w:right="-25"/>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XI. Documento: </w:t>
      </w:r>
      <w:r w:rsidRPr="008F698B">
        <w:rPr>
          <w:rFonts w:ascii="Palatino Linotype" w:eastAsia="Palatino Linotype" w:hAnsi="Palatino Linotype" w:cs="Palatino Linotype"/>
          <w:i/>
          <w:sz w:val="24"/>
          <w:szCs w:val="24"/>
        </w:rPr>
        <w:t xml:space="preserve">Los expedientes, reportes, estudios, actas, resoluciones, oficios, correspondencia, acuerdos, directivas, directrices, circulares, contratos, convenios, instructivos, notas, memorandos, estadísticas o bien, </w:t>
      </w:r>
      <w:r w:rsidRPr="008F698B">
        <w:rPr>
          <w:rFonts w:ascii="Palatino Linotype" w:eastAsia="Palatino Linotype" w:hAnsi="Palatino Linotype" w:cs="Palatino Linotype"/>
          <w:b/>
          <w:i/>
          <w:sz w:val="24"/>
          <w:szCs w:val="24"/>
        </w:rPr>
        <w:t>cualquier otro registro</w:t>
      </w:r>
      <w:r w:rsidRPr="008F698B">
        <w:rPr>
          <w:rFonts w:ascii="Palatino Linotype" w:eastAsia="Palatino Linotype" w:hAnsi="Palatino Linotype" w:cs="Palatino Linotype"/>
          <w:i/>
          <w:sz w:val="24"/>
          <w:szCs w:val="24"/>
        </w:rPr>
        <w:t xml:space="preserve">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rsidR="00871442" w:rsidRPr="008F698B" w:rsidRDefault="00871442">
      <w:pPr>
        <w:pBdr>
          <w:top w:val="nil"/>
          <w:left w:val="nil"/>
          <w:bottom w:val="nil"/>
          <w:right w:val="nil"/>
          <w:between w:val="nil"/>
        </w:pBdr>
        <w:tabs>
          <w:tab w:val="left" w:pos="851"/>
        </w:tabs>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tabs>
          <w:tab w:val="left" w:pos="851"/>
        </w:tabs>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871442" w:rsidRPr="008F698B" w:rsidRDefault="00871442">
      <w:pPr>
        <w:pBdr>
          <w:top w:val="nil"/>
          <w:left w:val="nil"/>
          <w:bottom w:val="nil"/>
          <w:right w:val="nil"/>
          <w:between w:val="nil"/>
        </w:pBdr>
        <w:tabs>
          <w:tab w:val="left" w:pos="851"/>
        </w:tabs>
        <w:spacing w:line="360" w:lineRule="auto"/>
        <w:ind w:left="4613" w:right="-592"/>
        <w:jc w:val="both"/>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otro lado, recordemos que el Recurrente también solicitó las especificaciones de las cámaras, por lo que, en principio resulta necesario traer a colación la Ley que Regula el Uso de Tecnologías de la Información y Comunicación para la Seguridad Pública del Estado de México, que establece lo siguiente:</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i/>
          <w:color w:val="000000"/>
          <w:sz w:val="24"/>
          <w:szCs w:val="24"/>
        </w:rPr>
        <w:t>(Artículo 2°, fracciones I, II, V y XX):</w:t>
      </w:r>
      <w:r w:rsidRPr="008F698B">
        <w:rPr>
          <w:rFonts w:ascii="Palatino Linotype" w:eastAsia="Palatino Linotype" w:hAnsi="Palatino Linotype" w:cs="Palatino Linotype"/>
          <w:i/>
          <w:color w:val="000000"/>
          <w:sz w:val="24"/>
          <w:szCs w:val="24"/>
        </w:rPr>
        <w:t xml:space="preserve"> Establece las siguientes definiciones:</w:t>
      </w:r>
    </w:p>
    <w:p w:rsidR="00871442" w:rsidRPr="008F698B" w:rsidRDefault="0032471D">
      <w:pPr>
        <w:numPr>
          <w:ilvl w:val="0"/>
          <w:numId w:val="2"/>
        </w:numPr>
        <w:pBdr>
          <w:top w:val="nil"/>
          <w:left w:val="nil"/>
          <w:bottom w:val="nil"/>
          <w:right w:val="nil"/>
          <w:between w:val="nil"/>
        </w:pBdr>
        <w:tabs>
          <w:tab w:val="left" w:pos="567"/>
        </w:tabs>
        <w:spacing w:line="360" w:lineRule="auto"/>
        <w:ind w:left="567" w:right="115" w:firstLine="0"/>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Centro de Control, Comando, Cómputo y Comunicaciones, es el conjunto de recursos humanos y de herramientas tecnológicas modernas, que facilitan el rápido acceso a los usuarios de seguridad pública.</w:t>
      </w:r>
    </w:p>
    <w:p w:rsidR="00871442" w:rsidRPr="008F698B" w:rsidRDefault="0032471D">
      <w:pPr>
        <w:numPr>
          <w:ilvl w:val="0"/>
          <w:numId w:val="2"/>
        </w:numPr>
        <w:pBdr>
          <w:top w:val="nil"/>
          <w:left w:val="nil"/>
          <w:bottom w:val="nil"/>
          <w:right w:val="nil"/>
          <w:between w:val="nil"/>
        </w:pBdr>
        <w:tabs>
          <w:tab w:val="left" w:pos="567"/>
        </w:tabs>
        <w:spacing w:line="360" w:lineRule="auto"/>
        <w:ind w:left="567" w:right="115" w:firstLine="0"/>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Centro de Mando Municipal, es el área que se encarga de operar el sistema de emergencia, la consulta de la base de datos, así como de administrar y controlar el sistema de videovigilancia municipal.</w:t>
      </w:r>
    </w:p>
    <w:p w:rsidR="00871442" w:rsidRPr="008F698B" w:rsidRDefault="0032471D">
      <w:pPr>
        <w:numPr>
          <w:ilvl w:val="0"/>
          <w:numId w:val="2"/>
        </w:numPr>
        <w:pBdr>
          <w:top w:val="nil"/>
          <w:left w:val="nil"/>
          <w:bottom w:val="nil"/>
          <w:right w:val="nil"/>
          <w:between w:val="nil"/>
        </w:pBdr>
        <w:tabs>
          <w:tab w:val="left" w:pos="567"/>
        </w:tabs>
        <w:spacing w:line="360" w:lineRule="auto"/>
        <w:ind w:left="567" w:right="115" w:firstLine="0"/>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 Equipos y Sistemas Tecnológicos, que son el conjunto de aparatos y dispositivos dentro de la categoría de tecnologías de la información y comunicación para la seguridad pública, adecuados para al tratamiento de voz e imagen.</w:t>
      </w:r>
    </w:p>
    <w:p w:rsidR="00871442" w:rsidRPr="008F698B" w:rsidRDefault="0032471D">
      <w:pPr>
        <w:numPr>
          <w:ilvl w:val="0"/>
          <w:numId w:val="2"/>
        </w:numPr>
        <w:pBdr>
          <w:top w:val="nil"/>
          <w:left w:val="nil"/>
          <w:bottom w:val="nil"/>
          <w:right w:val="nil"/>
          <w:between w:val="nil"/>
        </w:pBdr>
        <w:tabs>
          <w:tab w:val="left" w:pos="567"/>
        </w:tabs>
        <w:spacing w:line="360" w:lineRule="auto"/>
        <w:ind w:left="567" w:right="115" w:firstLine="0"/>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lastRenderedPageBreak/>
        <w:t>Tecnología, que es el conjunto de recursos, procedimientos y técnicas usadas para el procesamiento, almacenamiento y transmisión de la información, utilizados para apoyar tareas de seguridad pública.</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b/>
          <w:i/>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(Artículo 15):</w:t>
      </w:r>
      <w:r w:rsidRPr="008F698B">
        <w:rPr>
          <w:rFonts w:ascii="Palatino Linotype" w:eastAsia="Palatino Linotype" w:hAnsi="Palatino Linotype" w:cs="Palatino Linotype"/>
          <w:color w:val="000000"/>
          <w:sz w:val="24"/>
          <w:szCs w:val="24"/>
        </w:rPr>
        <w:t xml:space="preserve"> Establece cuáles son los criterios para la instalación y operación de equipos y sistemas tecnológicos, tales como las zonas escolares, áreas públicas, lugares que registren los delitos de mayor impacto para la sociedad, las intersecciones viales más conflictivas, zonas de mayor índice de percepción de inseguridad, entre otras. </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(Artículo 18):</w:t>
      </w:r>
      <w:r w:rsidRPr="008F698B">
        <w:rPr>
          <w:rFonts w:ascii="Palatino Linotype" w:eastAsia="Palatino Linotype" w:hAnsi="Palatino Linotype" w:cs="Palatino Linotype"/>
          <w:color w:val="000000"/>
          <w:sz w:val="24"/>
          <w:szCs w:val="24"/>
        </w:rPr>
        <w:t xml:space="preserve"> El Estado de México, regulará el Centro de Control, Comando, Cómputo y Comunicaciones, así como los centros de </w:t>
      </w:r>
      <w:r w:rsidRPr="008F698B">
        <w:rPr>
          <w:rFonts w:ascii="Palatino Linotype" w:eastAsia="Palatino Linotype" w:hAnsi="Palatino Linotype" w:cs="Palatino Linotype"/>
          <w:sz w:val="24"/>
          <w:szCs w:val="24"/>
        </w:rPr>
        <w:t>mando</w:t>
      </w:r>
      <w:r w:rsidRPr="008F698B">
        <w:rPr>
          <w:rFonts w:ascii="Palatino Linotype" w:eastAsia="Palatino Linotype" w:hAnsi="Palatino Linotype" w:cs="Palatino Linotype"/>
          <w:color w:val="000000"/>
          <w:sz w:val="24"/>
          <w:szCs w:val="24"/>
        </w:rPr>
        <w:t xml:space="preserve"> </w:t>
      </w:r>
      <w:r w:rsidRPr="008F698B">
        <w:rPr>
          <w:rFonts w:ascii="Palatino Linotype" w:eastAsia="Palatino Linotype" w:hAnsi="Palatino Linotype" w:cs="Palatino Linotype"/>
          <w:sz w:val="24"/>
          <w:szCs w:val="24"/>
        </w:rPr>
        <w:t>municipales</w:t>
      </w:r>
      <w:r w:rsidRPr="008F698B">
        <w:rPr>
          <w:rFonts w:ascii="Palatino Linotype" w:eastAsia="Palatino Linotype" w:hAnsi="Palatino Linotype" w:cs="Palatino Linotype"/>
          <w:color w:val="000000"/>
          <w:sz w:val="24"/>
          <w:szCs w:val="24"/>
        </w:rPr>
        <w:t xml:space="preserve"> para el manejo de la información obtenida con equipos y sistemas tecnológicos. </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color w:val="000000"/>
          <w:sz w:val="24"/>
          <w:szCs w:val="24"/>
        </w:rPr>
        <w:t>(Artículo 19):</w:t>
      </w:r>
      <w:r w:rsidRPr="008F698B">
        <w:rPr>
          <w:rFonts w:ascii="Palatino Linotype" w:eastAsia="Palatino Linotype" w:hAnsi="Palatino Linotype" w:cs="Palatino Linotype"/>
          <w:color w:val="000000"/>
          <w:sz w:val="24"/>
          <w:szCs w:val="24"/>
        </w:rPr>
        <w:t xml:space="preserve"> Los equipos y sistemas tecnológicos utilizados por las áreas de la administración pública central, por organismos auxiliares del Gobierno del Estado de México, por los municipios y por las instituciones de seguridad privada, se incorporarán al Registro. </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b/>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color w:val="000000"/>
          <w:sz w:val="24"/>
          <w:szCs w:val="24"/>
        </w:rPr>
        <w:t>(Artículo 20):</w:t>
      </w:r>
      <w:r w:rsidRPr="008F698B">
        <w:rPr>
          <w:rFonts w:ascii="Palatino Linotype" w:eastAsia="Palatino Linotype" w:hAnsi="Palatino Linotype" w:cs="Palatino Linotype"/>
          <w:color w:val="000000"/>
          <w:sz w:val="24"/>
          <w:szCs w:val="24"/>
        </w:rPr>
        <w:t xml:space="preserve"> La videovigilancia tiene por objeto regular, el uso, localización y operación de videocámaras para </w:t>
      </w:r>
      <w:r w:rsidRPr="008F698B">
        <w:rPr>
          <w:rFonts w:ascii="Palatino Linotype" w:eastAsia="Palatino Linotype" w:hAnsi="Palatino Linotype" w:cs="Palatino Linotype"/>
          <w:sz w:val="24"/>
          <w:szCs w:val="24"/>
        </w:rPr>
        <w:t>grabar</w:t>
      </w:r>
      <w:r w:rsidRPr="008F698B">
        <w:rPr>
          <w:rFonts w:ascii="Palatino Linotype" w:eastAsia="Palatino Linotype" w:hAnsi="Palatino Linotype" w:cs="Palatino Linotype"/>
          <w:color w:val="000000"/>
          <w:sz w:val="24"/>
          <w:szCs w:val="24"/>
        </w:rPr>
        <w:t xml:space="preserve"> o captar imágenes con o sin sonido, en </w:t>
      </w:r>
      <w:r w:rsidRPr="008F698B">
        <w:rPr>
          <w:rFonts w:ascii="Palatino Linotype" w:eastAsia="Palatino Linotype" w:hAnsi="Palatino Linotype" w:cs="Palatino Linotype"/>
          <w:color w:val="000000"/>
          <w:sz w:val="24"/>
          <w:szCs w:val="24"/>
        </w:rPr>
        <w:lastRenderedPageBreak/>
        <w:t xml:space="preserve">lugares públicos o en lugares privados con acceso al público, en materia de seguridad pública. Además, que la videovigilancia en vías públicas, será función exclusiva de los cuerpos de seguridad pública estatal y municipal.  </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b/>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color w:val="000000"/>
          <w:sz w:val="24"/>
          <w:szCs w:val="24"/>
        </w:rPr>
        <w:t>(Artículo 28):</w:t>
      </w:r>
      <w:r w:rsidRPr="008F698B">
        <w:rPr>
          <w:rFonts w:ascii="Palatino Linotype" w:eastAsia="Palatino Linotype" w:hAnsi="Palatino Linotype" w:cs="Palatino Linotype"/>
          <w:color w:val="000000"/>
          <w:sz w:val="24"/>
          <w:szCs w:val="24"/>
        </w:rPr>
        <w:t xml:space="preserve"> La información en materia de seguridad pública compuesta por imágenes o sonidos captados a través de equipos o sistemas tecnológicos, podrá ser utilizada, la prevención de delitos e infracciones administrativas, investigación de estos, imposición de sanciones y reacción inmediata, en casos, donde se aprecie la comisión de un hecho delictuoso o infracción. </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b/>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color w:val="000000"/>
          <w:sz w:val="24"/>
          <w:szCs w:val="24"/>
        </w:rPr>
        <w:t>(Artículo 34):</w:t>
      </w:r>
      <w:r w:rsidRPr="008F698B">
        <w:rPr>
          <w:rFonts w:ascii="Palatino Linotype" w:eastAsia="Palatino Linotype" w:hAnsi="Palatino Linotype" w:cs="Palatino Linotype"/>
          <w:color w:val="000000"/>
          <w:sz w:val="24"/>
          <w:szCs w:val="24"/>
        </w:rPr>
        <w:t xml:space="preserve"> Toda información recabada, será considerada reservada en los siguientes casos:</w:t>
      </w: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1. Cuando su divulgación implique la revelación de normas, procedimientos, métodos, fuentes, especificaciones técnicas, sistemas, tecnología o equipo útiles para la prevención o el combate a la delincuencia, y</w:t>
      </w: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2. Cuya revelación pueda ser utilizada para actualizar o potencias una amenaza la seguridad pública o instituciones del Estado de México.</w:t>
      </w:r>
    </w:p>
    <w:p w:rsidR="00871442" w:rsidRPr="008F698B" w:rsidRDefault="00871442">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b/>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1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b/>
          <w:color w:val="000000"/>
          <w:sz w:val="24"/>
          <w:szCs w:val="24"/>
        </w:rPr>
        <w:t>(Artículo 37 y 40):</w:t>
      </w:r>
      <w:r w:rsidRPr="008F698B">
        <w:rPr>
          <w:rFonts w:ascii="Palatino Linotype" w:eastAsia="Palatino Linotype" w:hAnsi="Palatino Linotype" w:cs="Palatino Linotype"/>
          <w:color w:val="000000"/>
          <w:sz w:val="24"/>
          <w:szCs w:val="24"/>
        </w:rPr>
        <w:t xml:space="preserve"> Los datos obtenidos con equipos y sistemas tecnológicos, podrán constituir un dato o medio de prueba, en los procedimientos seguidos </w:t>
      </w:r>
      <w:r w:rsidRPr="008F698B">
        <w:rPr>
          <w:rFonts w:ascii="Palatino Linotype" w:eastAsia="Palatino Linotype" w:hAnsi="Palatino Linotype" w:cs="Palatino Linotype"/>
          <w:color w:val="000000"/>
          <w:sz w:val="24"/>
          <w:szCs w:val="24"/>
        </w:rPr>
        <w:lastRenderedPageBreak/>
        <w:t xml:space="preserve">ante las autoridades competentes; por lo que, queda prohibido su suministro o intercambio con personas físicas o </w:t>
      </w:r>
      <w:r w:rsidRPr="008F698B">
        <w:rPr>
          <w:rFonts w:ascii="Palatino Linotype" w:eastAsia="Palatino Linotype" w:hAnsi="Palatino Linotype" w:cs="Palatino Linotype"/>
          <w:sz w:val="24"/>
          <w:szCs w:val="24"/>
        </w:rPr>
        <w:t>jurídicas</w:t>
      </w:r>
      <w:r w:rsidRPr="008F698B">
        <w:rPr>
          <w:rFonts w:ascii="Palatino Linotype" w:eastAsia="Palatino Linotype" w:hAnsi="Palatino Linotype" w:cs="Palatino Linotype"/>
          <w:color w:val="000000"/>
          <w:sz w:val="24"/>
          <w:szCs w:val="24"/>
        </w:rPr>
        <w:t xml:space="preserve"> colectivas.</w:t>
      </w:r>
    </w:p>
    <w:p w:rsidR="00871442" w:rsidRPr="008F698B" w:rsidRDefault="00871442">
      <w:pPr>
        <w:pBdr>
          <w:top w:val="nil"/>
          <w:left w:val="nil"/>
          <w:bottom w:val="nil"/>
          <w:right w:val="nil"/>
          <w:between w:val="nil"/>
        </w:pBdr>
        <w:tabs>
          <w:tab w:val="left" w:pos="567"/>
        </w:tabs>
        <w:spacing w:line="360" w:lineRule="auto"/>
        <w:ind w:left="567" w:right="-592"/>
        <w:jc w:val="both"/>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Ahora bien, el Reglamento de la Ley que Regula el Uso de Tecnologías de la Información y Comunicación para la Seguridad Pública del Estado de México, establece lo siguiente: </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(Artículo 3°, fracción XXVIII):</w:t>
      </w:r>
      <w:r w:rsidRPr="008F698B">
        <w:rPr>
          <w:rFonts w:ascii="Palatino Linotype" w:eastAsia="Palatino Linotype" w:hAnsi="Palatino Linotype" w:cs="Palatino Linotype"/>
          <w:color w:val="000000"/>
          <w:sz w:val="24"/>
          <w:szCs w:val="24"/>
        </w:rPr>
        <w:t xml:space="preserve"> El sistema de videovigilancia, es el conjunto de elementos físicos, normativos, procedimentales e institucionales en materia de seguridad pública que interactúan en la videovigilancia urbana del territorio del Estado de México. </w:t>
      </w:r>
    </w:p>
    <w:p w:rsidR="00871442" w:rsidRPr="008F698B" w:rsidRDefault="00871442">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(Artículo 28, fracción IV y V):</w:t>
      </w:r>
      <w:r w:rsidRPr="008F698B">
        <w:rPr>
          <w:rFonts w:ascii="Palatino Linotype" w:eastAsia="Palatino Linotype" w:hAnsi="Palatino Linotype" w:cs="Palatino Linotype"/>
          <w:color w:val="000000"/>
          <w:sz w:val="24"/>
          <w:szCs w:val="24"/>
        </w:rPr>
        <w:t xml:space="preserve"> Los Centros de Mando Municipal son los encargados de atender y visualizar las imágenes captadas por las cámaras de videovigilancia urbana móviles o fijas de operar, procesar y custodiar los equipos de grabación o medio tecnológico analógico, digital, óptico, electrónico o cualquier sistema de videovigilancia que permita captar o grabar imágenes con o sin sonido.</w:t>
      </w:r>
    </w:p>
    <w:p w:rsidR="00871442" w:rsidRPr="008F698B" w:rsidRDefault="00871442">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 xml:space="preserve">(Artículo 30, fracción IV): </w:t>
      </w:r>
      <w:r w:rsidRPr="008F698B">
        <w:rPr>
          <w:rFonts w:ascii="Palatino Linotype" w:eastAsia="Palatino Linotype" w:hAnsi="Palatino Linotype" w:cs="Palatino Linotype"/>
          <w:color w:val="000000"/>
          <w:sz w:val="24"/>
          <w:szCs w:val="24"/>
        </w:rPr>
        <w:t xml:space="preserve">Para la instalación de los Centros de Mando Municipal, es necesario contar con un área para el sistema de videovigilancia urbana. </w:t>
      </w:r>
    </w:p>
    <w:p w:rsidR="00871442" w:rsidRPr="008F698B" w:rsidRDefault="00871442">
      <w:pPr>
        <w:pBdr>
          <w:top w:val="nil"/>
          <w:left w:val="nil"/>
          <w:bottom w:val="nil"/>
          <w:right w:val="nil"/>
          <w:between w:val="nil"/>
        </w:pBdr>
        <w:spacing w:line="360" w:lineRule="auto"/>
        <w:ind w:left="425" w:right="-25"/>
        <w:jc w:val="both"/>
        <w:rPr>
          <w:rFonts w:ascii="Palatino Linotype" w:eastAsia="Palatino Linotype" w:hAnsi="Palatino Linotype" w:cs="Palatino Linotype"/>
          <w:b/>
          <w:color w:val="000000"/>
          <w:sz w:val="24"/>
          <w:szCs w:val="24"/>
        </w:rPr>
      </w:pP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lastRenderedPageBreak/>
        <w:t>(Artículo 54):</w:t>
      </w:r>
      <w:r w:rsidRPr="008F698B">
        <w:rPr>
          <w:rFonts w:ascii="Palatino Linotype" w:eastAsia="Palatino Linotype" w:hAnsi="Palatino Linotype" w:cs="Palatino Linotype"/>
          <w:color w:val="000000"/>
          <w:sz w:val="24"/>
          <w:szCs w:val="24"/>
        </w:rPr>
        <w:t xml:space="preserve"> Los Centros de Mando Municipal que operen sistemas de videovigilancia, están obligados a dar el siguiente tratamiento a las grabaciones:</w:t>
      </w: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1. Si capta o graba la probable comisión de un delito, infracción o falta administrativa, dará aviso y copia de la grabación a la autoridad administrativa o ministerial; </w:t>
      </w: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2. Las grabaciones deberán de ser almacenadas en lugar óptimo, seguro y determinado; </w:t>
      </w: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3. Queda prohibida la exhibición, entrega o transferencia total o parcial de grabaciones a persona o autoridad alguna, sin la orden debidamente fundada y motivada; </w:t>
      </w: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4. Queda prohibida toda manipulación que se produzca en la grabación, alteración, daño u otro que genere duda de su autenticidad; </w:t>
      </w: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5. Es responsabilidad directa y exclusiva de la autoridad o del Permisionario de Servicios de Seguridad Privada, que llevan a cabo acciones de videovigilancia, y </w:t>
      </w: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6. Si durante los treinta días naturales contados, a partir de la fecha de grabación, no se requiere información de videos se procederá a realizar su depuración, en virtud de la capacidad de memoria de almacenamiento.</w:t>
      </w:r>
    </w:p>
    <w:p w:rsidR="00871442" w:rsidRPr="008F698B" w:rsidRDefault="00871442">
      <w:pPr>
        <w:pBdr>
          <w:top w:val="nil"/>
          <w:left w:val="nil"/>
          <w:bottom w:val="nil"/>
          <w:right w:val="nil"/>
          <w:between w:val="nil"/>
        </w:pBdr>
        <w:spacing w:line="360" w:lineRule="auto"/>
        <w:ind w:left="425" w:right="-25"/>
        <w:jc w:val="both"/>
        <w:rPr>
          <w:rFonts w:ascii="Palatino Linotype" w:eastAsia="Palatino Linotype" w:hAnsi="Palatino Linotype" w:cs="Palatino Linotype"/>
          <w:b/>
          <w:color w:val="000000"/>
          <w:sz w:val="24"/>
          <w:szCs w:val="24"/>
        </w:rPr>
      </w:pPr>
    </w:p>
    <w:p w:rsidR="00871442" w:rsidRPr="008F698B" w:rsidRDefault="0032471D">
      <w:pPr>
        <w:pBdr>
          <w:top w:val="nil"/>
          <w:left w:val="nil"/>
          <w:bottom w:val="nil"/>
          <w:right w:val="nil"/>
          <w:between w:val="nil"/>
        </w:pBdr>
        <w:spacing w:line="360" w:lineRule="auto"/>
        <w:ind w:left="425" w:right="-25"/>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t>(Artículo 59):</w:t>
      </w:r>
      <w:r w:rsidRPr="008F698B">
        <w:rPr>
          <w:rFonts w:ascii="Palatino Linotype" w:eastAsia="Palatino Linotype" w:hAnsi="Palatino Linotype" w:cs="Palatino Linotype"/>
          <w:color w:val="000000"/>
          <w:sz w:val="24"/>
          <w:szCs w:val="24"/>
        </w:rPr>
        <w:t xml:space="preserve"> La instalación de cámaras de videovigilancia, se hará en lugares estratégicos: accesos y salidas de cabeceras municipales, vías primarias, cruces principales, primer cuadro y áreas de interés.</w:t>
      </w:r>
    </w:p>
    <w:p w:rsidR="00871442" w:rsidRPr="008F698B" w:rsidRDefault="00871442">
      <w:pPr>
        <w:pBdr>
          <w:top w:val="nil"/>
          <w:left w:val="nil"/>
          <w:bottom w:val="nil"/>
          <w:right w:val="nil"/>
          <w:between w:val="nil"/>
        </w:pBdr>
        <w:spacing w:line="360" w:lineRule="auto"/>
        <w:ind w:left="567"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hd w:val="clear" w:color="auto" w:fill="FCFCFC"/>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sz w:val="24"/>
          <w:szCs w:val="24"/>
        </w:rPr>
        <w:t>término</w:t>
      </w:r>
      <w:r w:rsidRPr="008F698B">
        <w:rPr>
          <w:rFonts w:ascii="Palatino Linotype" w:eastAsia="Palatino Linotype" w:hAnsi="Palatino Linotype" w:cs="Palatino Linotype"/>
          <w:color w:val="000000"/>
          <w:sz w:val="24"/>
          <w:szCs w:val="24"/>
        </w:rPr>
        <w:t xml:space="preserve"> Infraestructura se define como el conjunto de medios técnicos, de servicios e instalaciones que promueven el desarrollo de una actividad determinada, en este caso al tratarse de instalación de cámaras de videovigilancia, al referirse el término infraestructura, se deduce que se compone de todos aquellos elementos ya sea técnicos físicos o digitales, que a su vez, contienen especificaciones de seguridad para el correcto funcionamiento y eficacia, al ser públicos generarían vulnerabilidad, entorpeciendo la prevención o el combate a la delincuencia, de ahí que la divulgación de dicha información generaría un riesgo de perjuicio demostrable que rebasaría el interés público protegido, como lo es la seguridad pública.</w:t>
      </w:r>
    </w:p>
    <w:p w:rsidR="00871442" w:rsidRPr="008F698B" w:rsidRDefault="00871442">
      <w:pPr>
        <w:pBdr>
          <w:top w:val="nil"/>
          <w:left w:val="nil"/>
          <w:bottom w:val="nil"/>
          <w:right w:val="nil"/>
          <w:between w:val="nil"/>
        </w:pBdr>
        <w:shd w:val="clear" w:color="auto" w:fill="FCFCFC"/>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lo tanto respecto a las especificaciones técnicas respecto a las cámaras de videovigilancia en materia de seguridad pública, constituye  información susceptible de ser clasificada como reservada.</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Una vez establecido lo anterior, es necesario resaltar que el artículo 110 de la Ley del Sistema Nacional de Seguridad Pública, 81 de la Ley de Seguridad del Estado de México, 34 de la Ley que Regula el Uso de Tecnologías de la Información y Comunicación para la Seguridad Pública del Estado de México y 58 del Reglamento de la Ley que Regula el Uso de Tecnologías de la Información y Comunicación para la Seguridad Pública del Estado de México, establecen una prohibición para entregar información respecto las especificaciones </w:t>
      </w:r>
      <w:r w:rsidRPr="008F698B">
        <w:rPr>
          <w:rFonts w:ascii="Palatino Linotype" w:eastAsia="Palatino Linotype" w:hAnsi="Palatino Linotype" w:cs="Palatino Linotype"/>
          <w:color w:val="000000"/>
          <w:sz w:val="24"/>
          <w:szCs w:val="24"/>
        </w:rPr>
        <w:lastRenderedPageBreak/>
        <w:t>técnicas, sistemas, tecnologías utilizadas en para la seguridad pública y por lo tanto, precisa que dicha información es reservada.</w:t>
      </w:r>
    </w:p>
    <w:p w:rsidR="00871442" w:rsidRPr="008F698B" w:rsidRDefault="00871442">
      <w:pPr>
        <w:pBdr>
          <w:top w:val="nil"/>
          <w:left w:val="nil"/>
          <w:bottom w:val="nil"/>
          <w:right w:val="nil"/>
          <w:between w:val="nil"/>
        </w:pBdr>
        <w:spacing w:line="360" w:lineRule="auto"/>
        <w:ind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En ese contexto, se puede deducir que las cámaras de videovigilancia, tienen como </w:t>
      </w:r>
      <w:r w:rsidRPr="008F698B">
        <w:rPr>
          <w:rFonts w:ascii="Palatino Linotype" w:eastAsia="Palatino Linotype" w:hAnsi="Palatino Linotype" w:cs="Palatino Linotype"/>
          <w:sz w:val="24"/>
          <w:szCs w:val="24"/>
        </w:rPr>
        <w:t>finalidad cuidar</w:t>
      </w:r>
      <w:r w:rsidRPr="008F698B">
        <w:rPr>
          <w:rFonts w:ascii="Palatino Linotype" w:eastAsia="Palatino Linotype" w:hAnsi="Palatino Linotype" w:cs="Palatino Linotype"/>
          <w:color w:val="000000"/>
          <w:sz w:val="24"/>
          <w:szCs w:val="24"/>
        </w:rPr>
        <w:t xml:space="preserve"> y/o vigilar a la ciudadanía para evitar la comisión de hechos constitutivos de delitos, impedir la comisión o continuidad de los mismos, así como la investigación de delitos. Por ello, dar a conocer las especificaciones técnicas de las cámaras, vinculado con el hecho que son destinadas a proporcionar seguridad en el municipio, las vuelve identificables y posiblemente susceptibles de ser hackeadas por grupos delictivos, puesto que pueden conocer las características de los equipos para la generación de seguridad pública y dicha información puede ser utilizada para poner en riesgo el combate a la delincuencia.</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su parte, los Lineamientos generales en materia de clasificación y desclasificación de la información, así como para la elaboración de versiones públicas, que literalmente expresan:</w:t>
      </w:r>
    </w:p>
    <w:p w:rsidR="00C6467F" w:rsidRPr="008F698B" w:rsidRDefault="00C6467F" w:rsidP="00C6467F">
      <w:pPr>
        <w:pBdr>
          <w:top w:val="nil"/>
          <w:left w:val="nil"/>
          <w:bottom w:val="nil"/>
          <w:right w:val="nil"/>
          <w:between w:val="nil"/>
        </w:pBdr>
        <w:spacing w:line="360" w:lineRule="auto"/>
        <w:ind w:right="-592"/>
        <w:jc w:val="both"/>
        <w:rPr>
          <w:rFonts w:ascii="Palatino Linotype" w:hAnsi="Palatino Linotype"/>
          <w:color w:val="000000"/>
          <w:sz w:val="24"/>
          <w:szCs w:val="24"/>
        </w:rPr>
      </w:pPr>
    </w:p>
    <w:p w:rsidR="00871442" w:rsidRPr="008F698B" w:rsidRDefault="0032471D">
      <w:pPr>
        <w:pBdr>
          <w:top w:val="nil"/>
          <w:left w:val="nil"/>
          <w:bottom w:val="nil"/>
          <w:right w:val="nil"/>
          <w:between w:val="nil"/>
        </w:pBdr>
        <w:tabs>
          <w:tab w:val="left" w:pos="567"/>
        </w:tabs>
        <w:spacing w:line="360" w:lineRule="auto"/>
        <w:ind w:left="567" w:right="-167"/>
        <w:jc w:val="both"/>
        <w:rPr>
          <w:rFonts w:ascii="Palatino Linotype" w:eastAsia="Palatino Linotype" w:hAnsi="Palatino Linotype" w:cs="Palatino Linotype"/>
          <w:b/>
          <w:i/>
          <w:color w:val="000000"/>
          <w:sz w:val="24"/>
          <w:szCs w:val="24"/>
        </w:rPr>
      </w:pPr>
      <w:r w:rsidRPr="008F698B">
        <w:rPr>
          <w:rFonts w:ascii="Palatino Linotype" w:eastAsia="Palatino Linotype" w:hAnsi="Palatino Linotype" w:cs="Palatino Linotype"/>
          <w:b/>
          <w:color w:val="000000"/>
          <w:sz w:val="24"/>
          <w:szCs w:val="24"/>
        </w:rPr>
        <w:t>“</w:t>
      </w:r>
      <w:r w:rsidRPr="008F698B">
        <w:rPr>
          <w:rFonts w:ascii="Palatino Linotype" w:eastAsia="Palatino Linotype" w:hAnsi="Palatino Linotype" w:cs="Palatino Linotype"/>
          <w:b/>
          <w:i/>
          <w:color w:val="000000"/>
          <w:sz w:val="24"/>
          <w:szCs w:val="24"/>
        </w:rPr>
        <w:t>Décimo octavo.</w:t>
      </w:r>
      <w:r w:rsidRPr="008F698B">
        <w:rPr>
          <w:rFonts w:ascii="Palatino Linotype" w:eastAsia="Palatino Linotype" w:hAnsi="Palatino Linotype" w:cs="Palatino Linotype"/>
          <w:i/>
          <w:color w:val="000000"/>
          <w:sz w:val="24"/>
          <w:szCs w:val="24"/>
        </w:rPr>
        <w:t xml:space="preserve"> De conformidad con el artículo 113, fracción I de la Ley General, podrá considerarse como información reservada, aquella que </w:t>
      </w:r>
      <w:r w:rsidRPr="008F698B">
        <w:rPr>
          <w:rFonts w:ascii="Palatino Linotype" w:eastAsia="Palatino Linotype" w:hAnsi="Palatino Linotype" w:cs="Palatino Linotype"/>
          <w:b/>
          <w:i/>
          <w:color w:val="000000"/>
          <w:sz w:val="24"/>
          <w:szCs w:val="24"/>
        </w:rPr>
        <w:t>comprometa la seguridad pública, al poner en peligro las funciones a cargo de</w:t>
      </w:r>
      <w:r w:rsidRPr="008F698B">
        <w:rPr>
          <w:rFonts w:ascii="Palatino Linotype" w:eastAsia="Palatino Linotype" w:hAnsi="Palatino Linotype" w:cs="Palatino Linotype"/>
          <w:i/>
          <w:color w:val="000000"/>
          <w:sz w:val="24"/>
          <w:szCs w:val="24"/>
        </w:rPr>
        <w:t xml:space="preserve"> la Federación, la Ciudad de México, los Estados y </w:t>
      </w:r>
      <w:r w:rsidRPr="008F698B">
        <w:rPr>
          <w:rFonts w:ascii="Palatino Linotype" w:eastAsia="Palatino Linotype" w:hAnsi="Palatino Linotype" w:cs="Palatino Linotype"/>
          <w:b/>
          <w:i/>
          <w:color w:val="000000"/>
          <w:sz w:val="24"/>
          <w:szCs w:val="24"/>
        </w:rPr>
        <w:t>los Municipios,</w:t>
      </w:r>
      <w:r w:rsidRPr="008F698B">
        <w:rPr>
          <w:rFonts w:ascii="Palatino Linotype" w:eastAsia="Palatino Linotype" w:hAnsi="Palatino Linotype" w:cs="Palatino Linotype"/>
          <w:i/>
          <w:color w:val="000000"/>
          <w:sz w:val="24"/>
          <w:szCs w:val="24"/>
        </w:rPr>
        <w:t xml:space="preserve"> </w:t>
      </w:r>
      <w:r w:rsidRPr="008F698B">
        <w:rPr>
          <w:rFonts w:ascii="Palatino Linotype" w:eastAsia="Palatino Linotype" w:hAnsi="Palatino Linotype" w:cs="Palatino Linotype"/>
          <w:b/>
          <w:i/>
          <w:color w:val="000000"/>
          <w:sz w:val="24"/>
          <w:szCs w:val="24"/>
        </w:rPr>
        <w:t>tendientes a preservar y resguardar la vida,</w:t>
      </w:r>
      <w:r w:rsidRPr="008F698B">
        <w:rPr>
          <w:rFonts w:ascii="Palatino Linotype" w:eastAsia="Palatino Linotype" w:hAnsi="Palatino Linotype" w:cs="Palatino Linotype"/>
          <w:i/>
          <w:color w:val="000000"/>
          <w:sz w:val="24"/>
          <w:szCs w:val="24"/>
        </w:rPr>
        <w:t xml:space="preserve"> la </w:t>
      </w:r>
      <w:r w:rsidRPr="008F698B">
        <w:rPr>
          <w:rFonts w:ascii="Palatino Linotype" w:eastAsia="Palatino Linotype" w:hAnsi="Palatino Linotype" w:cs="Palatino Linotype"/>
          <w:i/>
          <w:color w:val="000000"/>
          <w:sz w:val="24"/>
          <w:szCs w:val="24"/>
        </w:rPr>
        <w:lastRenderedPageBreak/>
        <w:t xml:space="preserve">salud, </w:t>
      </w:r>
      <w:r w:rsidRPr="008F698B">
        <w:rPr>
          <w:rFonts w:ascii="Palatino Linotype" w:eastAsia="Palatino Linotype" w:hAnsi="Palatino Linotype" w:cs="Palatino Linotype"/>
          <w:b/>
          <w:i/>
          <w:color w:val="000000"/>
          <w:sz w:val="24"/>
          <w:szCs w:val="24"/>
        </w:rPr>
        <w:t>la integridad</w:t>
      </w:r>
      <w:r w:rsidRPr="008F698B">
        <w:rPr>
          <w:rFonts w:ascii="Palatino Linotype" w:eastAsia="Palatino Linotype" w:hAnsi="Palatino Linotype" w:cs="Palatino Linotype"/>
          <w:i/>
          <w:color w:val="000000"/>
          <w:sz w:val="24"/>
          <w:szCs w:val="24"/>
        </w:rPr>
        <w:t xml:space="preserve"> y el ejercicio de los derechos de las personas, </w:t>
      </w:r>
      <w:r w:rsidRPr="008F698B">
        <w:rPr>
          <w:rFonts w:ascii="Palatino Linotype" w:eastAsia="Palatino Linotype" w:hAnsi="Palatino Linotype" w:cs="Palatino Linotype"/>
          <w:b/>
          <w:i/>
          <w:color w:val="000000"/>
          <w:sz w:val="24"/>
          <w:szCs w:val="24"/>
        </w:rPr>
        <w:t xml:space="preserve">así como para el mantenimiento del orden público. </w:t>
      </w:r>
    </w:p>
    <w:p w:rsidR="00871442" w:rsidRPr="008F698B" w:rsidRDefault="0032471D">
      <w:pPr>
        <w:pBdr>
          <w:top w:val="nil"/>
          <w:left w:val="nil"/>
          <w:bottom w:val="nil"/>
          <w:right w:val="nil"/>
          <w:between w:val="nil"/>
        </w:pBdr>
        <w:tabs>
          <w:tab w:val="left" w:pos="567"/>
        </w:tabs>
        <w:spacing w:line="360" w:lineRule="auto"/>
        <w:ind w:left="567" w:right="-167"/>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Se pone en peligro el orden público </w:t>
      </w:r>
      <w:r w:rsidRPr="008F698B">
        <w:rPr>
          <w:rFonts w:ascii="Palatino Linotype" w:eastAsia="Palatino Linotype" w:hAnsi="Palatino Linotype" w:cs="Palatino Linotype"/>
          <w:b/>
          <w:i/>
          <w:color w:val="000000"/>
          <w:sz w:val="24"/>
          <w:szCs w:val="24"/>
        </w:rPr>
        <w:t>cuando la difusión de la información pueda entorpecer los sistemas de coordinación interinstitucional en materia de seguridad pública,</w:t>
      </w:r>
      <w:r w:rsidRPr="008F698B">
        <w:rPr>
          <w:rFonts w:ascii="Palatino Linotype" w:eastAsia="Palatino Linotype" w:hAnsi="Palatino Linotype" w:cs="Palatino Linotype"/>
          <w:i/>
          <w:color w:val="000000"/>
          <w:sz w:val="24"/>
          <w:szCs w:val="24"/>
        </w:rPr>
        <w:t xml:space="preserve"> menoscabar o dificultar las estrategias contra la evasión de reos; o menoscabar o limitar la capacidad de las autoridades encaminadas a disuadir o prevenir disturbios sociales. </w:t>
      </w:r>
    </w:p>
    <w:p w:rsidR="00871442" w:rsidRPr="008F698B" w:rsidRDefault="0032471D">
      <w:pPr>
        <w:pBdr>
          <w:top w:val="nil"/>
          <w:left w:val="nil"/>
          <w:bottom w:val="nil"/>
          <w:right w:val="nil"/>
          <w:between w:val="nil"/>
        </w:pBdr>
        <w:tabs>
          <w:tab w:val="left" w:pos="567"/>
        </w:tabs>
        <w:spacing w:line="360" w:lineRule="auto"/>
        <w:ind w:left="567" w:right="-167"/>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Asimismo, podrá considerarse como reservada </w:t>
      </w:r>
      <w:r w:rsidRPr="008F698B">
        <w:rPr>
          <w:rFonts w:ascii="Palatino Linotype" w:eastAsia="Palatino Linotype" w:hAnsi="Palatino Linotype" w:cs="Palatino Linotype"/>
          <w:b/>
          <w:i/>
          <w:color w:val="000000"/>
          <w:sz w:val="24"/>
          <w:szCs w:val="24"/>
        </w:rPr>
        <w:t>aquella que revele datos que pudieran ser aprovechados para conocer la capacidad de reacción de las instituciones encargadas de la seguridad pública,</w:t>
      </w:r>
      <w:r w:rsidRPr="008F698B">
        <w:rPr>
          <w:rFonts w:ascii="Palatino Linotype" w:eastAsia="Palatino Linotype" w:hAnsi="Palatino Linotype" w:cs="Palatino Linotype"/>
          <w:i/>
          <w:color w:val="000000"/>
          <w:sz w:val="24"/>
          <w:szCs w:val="24"/>
        </w:rPr>
        <w:t xml:space="preserve"> sus planes, estrategias, tecnología, información, sistemas de comunicaciones.”</w:t>
      </w:r>
    </w:p>
    <w:p w:rsidR="00871442" w:rsidRPr="008F698B" w:rsidRDefault="00871442">
      <w:pPr>
        <w:pBdr>
          <w:top w:val="nil"/>
          <w:left w:val="nil"/>
          <w:bottom w:val="nil"/>
          <w:right w:val="nil"/>
          <w:between w:val="nil"/>
        </w:pBdr>
        <w:spacing w:line="360" w:lineRule="auto"/>
        <w:ind w:right="-167"/>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Así, es posible observar que podrá clasificarse como información reservada, aquélla que comprometa la seguridad pública o bien, entorpezca los sistemas de coordinación interinstitucional en materia de seguridad pública, menoscabar o dificultar las estrategias contra la evasión de reos o la capacidad de las autoridades para disuadir o prevenir disturbios sociales</w:t>
      </w:r>
    </w:p>
    <w:p w:rsidR="00871442" w:rsidRPr="008F698B" w:rsidRDefault="00871442">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De la misma manera, será información reservada aquella que revele datos que pudieran ser aprovechados para conocer la capacidad de reacción de las instituciones </w:t>
      </w:r>
      <w:r w:rsidRPr="008F698B">
        <w:rPr>
          <w:rFonts w:ascii="Palatino Linotype" w:eastAsia="Palatino Linotype" w:hAnsi="Palatino Linotype" w:cs="Palatino Linotype"/>
          <w:color w:val="000000"/>
          <w:sz w:val="24"/>
          <w:szCs w:val="24"/>
        </w:rPr>
        <w:lastRenderedPageBreak/>
        <w:t>encargadas de la</w:t>
      </w:r>
      <w:r w:rsidRPr="008F698B">
        <w:rPr>
          <w:rFonts w:ascii="Palatino Linotype" w:eastAsia="Palatino Linotype" w:hAnsi="Palatino Linotype" w:cs="Palatino Linotype"/>
          <w:i/>
          <w:color w:val="000000"/>
          <w:sz w:val="24"/>
          <w:szCs w:val="24"/>
        </w:rPr>
        <w:t xml:space="preserve"> </w:t>
      </w:r>
      <w:r w:rsidRPr="008F698B">
        <w:rPr>
          <w:rFonts w:ascii="Palatino Linotype" w:eastAsia="Palatino Linotype" w:hAnsi="Palatino Linotype" w:cs="Palatino Linotype"/>
          <w:color w:val="000000"/>
          <w:sz w:val="24"/>
          <w:szCs w:val="24"/>
        </w:rPr>
        <w:t>seguridad pública, sus planes, estrategias, tecnología, información, sistemas de comunicaciones.</w:t>
      </w:r>
    </w:p>
    <w:p w:rsidR="00871442" w:rsidRPr="008F698B" w:rsidRDefault="00871442">
      <w:pPr>
        <w:pBdr>
          <w:top w:val="nil"/>
          <w:left w:val="nil"/>
          <w:bottom w:val="nil"/>
          <w:right w:val="nil"/>
          <w:between w:val="nil"/>
        </w:pBdr>
        <w:spacing w:line="360" w:lineRule="auto"/>
        <w:ind w:right="-592"/>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En ese orden de ideas, el artículo 110 de la Ley del Sistema Nacional de Seguridad Pública, precisa que se clasifica como reservada la información contenida en todas y cada una de las Bases de Datos del Sistema Nacional de Información, así como de los Registros Nacional y la información contenida en ellos, en materia de detenciones, información criminal, armamento, equipo, vehículos, medidas cautelares, soluciones alternas y formas de terminación anticipada, entre otros; además, que su consulta es exclusiva de las Instituciones de Seguridad Pública, que estén facultadas en cada caso, a través de los servidores públicos que cada institución designe, por lo que, el público no tendrá acceso a la información que en ellos se contenga.</w:t>
      </w:r>
    </w:p>
    <w:p w:rsidR="00871442" w:rsidRPr="008F698B" w:rsidRDefault="00871442">
      <w:pPr>
        <w:pBdr>
          <w:top w:val="nil"/>
          <w:left w:val="nil"/>
          <w:bottom w:val="nil"/>
          <w:right w:val="nil"/>
          <w:between w:val="nil"/>
        </w:pBdr>
        <w:spacing w:line="360" w:lineRule="auto"/>
        <w:ind w:right="-592"/>
        <w:rPr>
          <w:rFonts w:ascii="Palatino Linotype" w:eastAsia="Palatino Linotype" w:hAnsi="Palatino Linotype" w:cs="Palatino Linotype"/>
          <w:i/>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En ese contexto, el artículo 81 de la Ley de Seguridad del Estado de México, que establece lo siguiente:</w:t>
      </w:r>
    </w:p>
    <w:p w:rsidR="00871442" w:rsidRPr="008F698B" w:rsidRDefault="0032471D">
      <w:pPr>
        <w:spacing w:line="360" w:lineRule="auto"/>
        <w:ind w:left="567" w:right="-16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“Artículo 81.-</w:t>
      </w:r>
      <w:r w:rsidRPr="008F698B">
        <w:rPr>
          <w:rFonts w:ascii="Palatino Linotype" w:eastAsia="Palatino Linotype" w:hAnsi="Palatino Linotype" w:cs="Palatino Linotype"/>
          <w:i/>
          <w:sz w:val="24"/>
          <w:szCs w:val="24"/>
        </w:rPr>
        <w:t xml:space="preserve"> Toda información para la seguridad pública generada o en poder de Instituciones de Seguridad Pública o de cualquier instancia del Sistema Estatal debe registrarse, clasificarse y tratarse de conformidad con las disposiciones aplicables. No obstante lo anterior, esta información se considerará reservada en los casos siguientes: </w:t>
      </w:r>
    </w:p>
    <w:p w:rsidR="00871442" w:rsidRPr="008F698B" w:rsidRDefault="00871442">
      <w:pPr>
        <w:spacing w:line="360" w:lineRule="auto"/>
        <w:ind w:left="567" w:right="-167"/>
        <w:jc w:val="both"/>
        <w:rPr>
          <w:rFonts w:ascii="Palatino Linotype" w:eastAsia="Palatino Linotype" w:hAnsi="Palatino Linotype" w:cs="Palatino Linotype"/>
          <w:i/>
          <w:sz w:val="24"/>
          <w:szCs w:val="24"/>
        </w:rPr>
      </w:pPr>
    </w:p>
    <w:p w:rsidR="00871442" w:rsidRPr="008F698B" w:rsidRDefault="0032471D">
      <w:pPr>
        <w:spacing w:line="360" w:lineRule="auto"/>
        <w:ind w:left="567" w:right="-16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lastRenderedPageBreak/>
        <w:t>I.</w:t>
      </w:r>
      <w:r w:rsidRPr="008F698B">
        <w:rPr>
          <w:rFonts w:ascii="Palatino Linotype" w:eastAsia="Palatino Linotype" w:hAnsi="Palatino Linotype" w:cs="Palatino Linotype"/>
          <w:i/>
          <w:sz w:val="24"/>
          <w:szCs w:val="24"/>
        </w:rPr>
        <w:t xml:space="preserve"> Aquella cuya divulgación implique la revelación de normas, procedimientos, métodos, fuentes, especificaciones técnicas, sistemas, tecnología o equipos útiles a la generación de inteligencia para la seguridad pública o el combate a la delincuencia en el Estado de México; </w:t>
      </w:r>
    </w:p>
    <w:p w:rsidR="00871442" w:rsidRPr="008F698B" w:rsidRDefault="00871442">
      <w:pPr>
        <w:spacing w:line="360" w:lineRule="auto"/>
        <w:ind w:left="567" w:right="-167"/>
        <w:jc w:val="both"/>
        <w:rPr>
          <w:rFonts w:ascii="Palatino Linotype" w:eastAsia="Palatino Linotype" w:hAnsi="Palatino Linotype" w:cs="Palatino Linotype"/>
          <w:i/>
          <w:sz w:val="24"/>
          <w:szCs w:val="24"/>
        </w:rPr>
      </w:pPr>
    </w:p>
    <w:p w:rsidR="00871442" w:rsidRPr="008F698B" w:rsidRDefault="0032471D">
      <w:pPr>
        <w:spacing w:line="360" w:lineRule="auto"/>
        <w:ind w:left="567" w:right="-16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II.</w:t>
      </w:r>
      <w:r w:rsidRPr="008F698B">
        <w:rPr>
          <w:rFonts w:ascii="Palatino Linotype" w:eastAsia="Palatino Linotype" w:hAnsi="Palatino Linotype" w:cs="Palatino Linotype"/>
          <w:i/>
          <w:sz w:val="24"/>
          <w:szCs w:val="24"/>
        </w:rPr>
        <w:t xml:space="preserve"> Aquella cuya revelación pueda ser utilizada para actualizar o potenciar una amenaza a la seguridad pública o a las instituciones del Estado de México; </w:t>
      </w:r>
    </w:p>
    <w:p w:rsidR="00871442" w:rsidRPr="008F698B" w:rsidRDefault="0032471D">
      <w:pPr>
        <w:spacing w:line="360" w:lineRule="auto"/>
        <w:ind w:left="567" w:right="-16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i/>
          <w:sz w:val="24"/>
          <w:szCs w:val="24"/>
        </w:rPr>
        <w:t>…</w:t>
      </w:r>
    </w:p>
    <w:p w:rsidR="00871442" w:rsidRPr="008F698B" w:rsidRDefault="0032471D">
      <w:pPr>
        <w:spacing w:line="360" w:lineRule="auto"/>
        <w:ind w:left="567" w:right="-16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 xml:space="preserve">IV. </w:t>
      </w:r>
      <w:r w:rsidRPr="008F698B">
        <w:rPr>
          <w:rFonts w:ascii="Palatino Linotype" w:eastAsia="Palatino Linotype" w:hAnsi="Palatino Linotype" w:cs="Palatino Linotype"/>
          <w:i/>
          <w:sz w:val="24"/>
          <w:szCs w:val="24"/>
        </w:rPr>
        <w:t xml:space="preserve">La que sea producto de una intervención de comunicaciones privadas autorizadas conforme a la Constitución Federal y las disposiciones legales correspondientes; y </w:t>
      </w:r>
    </w:p>
    <w:p w:rsidR="00871442" w:rsidRPr="008F698B" w:rsidRDefault="00871442">
      <w:pPr>
        <w:spacing w:line="360" w:lineRule="auto"/>
        <w:ind w:left="567" w:right="-167"/>
        <w:jc w:val="both"/>
        <w:rPr>
          <w:rFonts w:ascii="Palatino Linotype" w:eastAsia="Palatino Linotype" w:hAnsi="Palatino Linotype" w:cs="Palatino Linotype"/>
          <w:i/>
          <w:sz w:val="24"/>
          <w:szCs w:val="24"/>
        </w:rPr>
      </w:pPr>
    </w:p>
    <w:p w:rsidR="00871442" w:rsidRPr="008F698B" w:rsidRDefault="0032471D">
      <w:pPr>
        <w:spacing w:line="360" w:lineRule="auto"/>
        <w:ind w:left="567" w:right="-167"/>
        <w:jc w:val="both"/>
        <w:rPr>
          <w:rFonts w:ascii="Palatino Linotype" w:eastAsia="Palatino Linotype" w:hAnsi="Palatino Linotype" w:cs="Palatino Linotype"/>
          <w:i/>
          <w:sz w:val="24"/>
          <w:szCs w:val="24"/>
        </w:rPr>
      </w:pPr>
      <w:r w:rsidRPr="008F698B">
        <w:rPr>
          <w:rFonts w:ascii="Palatino Linotype" w:eastAsia="Palatino Linotype" w:hAnsi="Palatino Linotype" w:cs="Palatino Linotype"/>
          <w:b/>
          <w:i/>
          <w:sz w:val="24"/>
          <w:szCs w:val="24"/>
        </w:rPr>
        <w:t>V.</w:t>
      </w:r>
      <w:r w:rsidRPr="008F698B">
        <w:rPr>
          <w:rFonts w:ascii="Palatino Linotype" w:eastAsia="Palatino Linotype" w:hAnsi="Palatino Linotype" w:cs="Palatino Linotype"/>
          <w:i/>
          <w:sz w:val="24"/>
          <w:szCs w:val="24"/>
        </w:rPr>
        <w:t xml:space="preserve"> La contenida en averiguaciones previas, carpetas de investigación, expedientes y demás archivos relativos a la investigación para la prevención y la investigación de los delitos y faltas administrativas, en términos de las disposiciones aplicables.”</w:t>
      </w:r>
    </w:p>
    <w:p w:rsidR="00871442" w:rsidRPr="008F698B" w:rsidRDefault="0032471D">
      <w:pPr>
        <w:numPr>
          <w:ilvl w:val="0"/>
          <w:numId w:val="3"/>
        </w:numPr>
        <w:pBdr>
          <w:top w:val="nil"/>
          <w:left w:val="nil"/>
          <w:bottom w:val="nil"/>
          <w:right w:val="nil"/>
          <w:between w:val="nil"/>
        </w:pBdr>
        <w:tabs>
          <w:tab w:val="left" w:pos="0"/>
        </w:tabs>
        <w:spacing w:before="24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De lo anterior, se logra desprender que es información reservada, aquella que pueda revelar las normas, procedimientos, métodos, fuentes, técnicas, sistemas, tecnología, útiles a la generación de inteligencia para la seguridad pública o el combate a la delincuencia, que pueda potenciar o amenazar la seguridad pública o las instituciones del Estado de México, la que sea producto de un intervención de comunicaciones privadas, o bien, la contenida en las averiguaciones previas, carpetas de investigación de los delitos y faltas administrativas.</w:t>
      </w:r>
    </w:p>
    <w:p w:rsidR="00871442" w:rsidRPr="008F698B" w:rsidRDefault="00871442">
      <w:pPr>
        <w:pBdr>
          <w:top w:val="nil"/>
          <w:left w:val="nil"/>
          <w:bottom w:val="nil"/>
          <w:right w:val="nil"/>
          <w:between w:val="nil"/>
        </w:pBdr>
        <w:tabs>
          <w:tab w:val="left" w:pos="0"/>
        </w:tabs>
        <w:spacing w:before="240" w:line="360" w:lineRule="auto"/>
        <w:ind w:right="-592"/>
        <w:jc w:val="both"/>
        <w:rPr>
          <w:rFonts w:ascii="Palatino Linotype" w:eastAsia="Palatino Linotype" w:hAnsi="Palatino Linotype" w:cs="Palatino Linotype"/>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Por tales consideraciones, resulta procedente clasificar como información reservada las especificaciones técnicas de las cámaras de videovigilancia, en términos del artículo 140, fracción I, de la Ley de Transparencia y Acceso a la Información Pública del Estado de México y Municipios.</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En ese contexto, conviene señalar los artículos 128 segundo párrafo y 103 segundo párrafo de las leyes estatal y general, respectivamente, señalan que, en el caso de la información reservada, se debe de señalar las razones, motivos o circunstancias especiales que llevan a concluir que el caso fáctico se corresponde con la norma.</w:t>
      </w:r>
    </w:p>
    <w:p w:rsidR="00871442" w:rsidRPr="008F698B" w:rsidRDefault="00871442">
      <w:pPr>
        <w:pBdr>
          <w:top w:val="nil"/>
          <w:left w:val="nil"/>
          <w:bottom w:val="nil"/>
          <w:right w:val="nil"/>
          <w:between w:val="nil"/>
        </w:pBdr>
        <w:ind w:left="720"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after="16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Las mismas disposiciones referidas en el párrafo anterior precisan que, además de señalar las razones, motivos o circunstancias, se deberá aplicar la prueba de daño.  Adicionalmente los artículos 129 y 134 último párrafo de la Ley Estatal y 104 y 108 último párrafo de la Ley General, respectivamente, determinan que se debe realizar un análisis caso por caso, aplicando la prueba de daño. Esto implica que la motivación, que acredite la correspondencia entre el supuesto de hecho y la hipótesis normativa señalando las razones, motivos o circunstancias es una parte del acuerdo y otra parte, distinta, es la que corresponde a la prueba de daño, la que debe aplicarse caso por caso, esto es, no se puede hacer una prueba de daño de un expediente completo, sino de cada uno de los documentos que lo integran.</w:t>
      </w:r>
    </w:p>
    <w:p w:rsidR="00871442" w:rsidRPr="008F698B" w:rsidRDefault="00871442">
      <w:pP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Para aplicar la prueba de daño, se deberán de precisar las razones objetivas por las que la apertura genera una afectación, acreditando que:</w:t>
      </w:r>
    </w:p>
    <w:p w:rsidR="00871442" w:rsidRPr="008F698B" w:rsidRDefault="0032471D">
      <w:pPr>
        <w:widowControl w:val="0"/>
        <w:spacing w:after="240" w:line="360" w:lineRule="auto"/>
        <w:ind w:left="567"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I. La divulgación de la información representa un riesgo real, demostrable e identificable del perjuicio significativo al interés público o a la seguridad pública; </w:t>
      </w:r>
    </w:p>
    <w:p w:rsidR="00871442" w:rsidRPr="008F698B" w:rsidRDefault="0032471D">
      <w:pPr>
        <w:widowControl w:val="0"/>
        <w:spacing w:after="240" w:line="360" w:lineRule="auto"/>
        <w:ind w:left="567"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II. El riesgo de perjuicio que supondría la divulgación supera el interés público general de que se difunda; y </w:t>
      </w:r>
    </w:p>
    <w:p w:rsidR="00871442" w:rsidRPr="008F698B" w:rsidRDefault="0032471D">
      <w:pPr>
        <w:widowControl w:val="0"/>
        <w:spacing w:after="240" w:line="360" w:lineRule="auto"/>
        <w:ind w:left="567" w:right="-25"/>
        <w:jc w:val="both"/>
        <w:rPr>
          <w:rFonts w:ascii="Palatino Linotype" w:eastAsia="Palatino Linotype" w:hAnsi="Palatino Linotype" w:cs="Palatino Linotype"/>
          <w:i/>
          <w:color w:val="000000"/>
          <w:sz w:val="24"/>
          <w:szCs w:val="24"/>
        </w:rPr>
      </w:pPr>
      <w:r w:rsidRPr="008F698B">
        <w:rPr>
          <w:rFonts w:ascii="Palatino Linotype" w:eastAsia="Palatino Linotype" w:hAnsi="Palatino Linotype" w:cs="Palatino Linotype"/>
          <w:i/>
          <w:color w:val="000000"/>
          <w:sz w:val="24"/>
          <w:szCs w:val="24"/>
        </w:rPr>
        <w:t xml:space="preserve">III. La limitación se adecua al principio de proporcionalidad y representa el medio menos restrictivo disponible para evitar el perjuicio. </w:t>
      </w: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Por otro lado, la información que ha sido clasificada como reservada, tiene la cualidad de que esta debe ser de carácter temporal, es decir, no debe perpetuarse o petrificarse su clasificación y que esto traiga como consecuencia el no acceso a la misma y por tanto pierda en definitiva su calidad de pública.</w:t>
      </w:r>
    </w:p>
    <w:p w:rsidR="00871442" w:rsidRPr="008F698B" w:rsidRDefault="00871442">
      <w:pP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La temporalidad de la clasificación de la información se encuentra señalada en el artículo 125 de la Ley Estatal y en el 101 de la Ley General, artículos que contemplan que dicha información podrá permanecer con tal carácter </w:t>
      </w:r>
      <w:r w:rsidRPr="008F698B">
        <w:rPr>
          <w:rFonts w:ascii="Palatino Linotype" w:eastAsia="Palatino Linotype" w:hAnsi="Palatino Linotype" w:cs="Palatino Linotype"/>
          <w:b/>
          <w:color w:val="000000"/>
          <w:sz w:val="24"/>
          <w:szCs w:val="24"/>
        </w:rPr>
        <w:t>hasta por un periodo de cinco años,</w:t>
      </w:r>
      <w:r w:rsidRPr="008F698B">
        <w:rPr>
          <w:rFonts w:ascii="Palatino Linotype" w:eastAsia="Palatino Linotype" w:hAnsi="Palatino Linotype" w:cs="Palatino Linotype"/>
          <w:color w:val="000000"/>
          <w:sz w:val="24"/>
          <w:szCs w:val="24"/>
        </w:rPr>
        <w:t xml:space="preserve"> contados a partir de su clasificación, salvo que antes del cumplimiento del periodo de restricción, </w:t>
      </w:r>
      <w:r w:rsidRPr="008F698B">
        <w:rPr>
          <w:rFonts w:ascii="Palatino Linotype" w:eastAsia="Palatino Linotype" w:hAnsi="Palatino Linotype" w:cs="Palatino Linotype"/>
          <w:sz w:val="24"/>
          <w:szCs w:val="24"/>
        </w:rPr>
        <w:t>dejarán</w:t>
      </w:r>
      <w:r w:rsidRPr="008F698B">
        <w:rPr>
          <w:rFonts w:ascii="Palatino Linotype" w:eastAsia="Palatino Linotype" w:hAnsi="Palatino Linotype" w:cs="Palatino Linotype"/>
          <w:color w:val="000000"/>
          <w:sz w:val="24"/>
          <w:szCs w:val="24"/>
        </w:rPr>
        <w:t xml:space="preserve"> de existir los motivos de su reserva. </w:t>
      </w:r>
    </w:p>
    <w:p w:rsidR="00871442" w:rsidRPr="008F698B" w:rsidRDefault="00871442">
      <w:pPr>
        <w:ind w:right="-592"/>
        <w:rPr>
          <w:rFonts w:ascii="Palatino Linotype" w:eastAsia="Palatino Linotype" w:hAnsi="Palatino Linotype" w:cs="Palatino Linotype"/>
          <w:color w:val="000000"/>
          <w:sz w:val="24"/>
          <w:szCs w:val="24"/>
        </w:rPr>
      </w:pPr>
    </w:p>
    <w:p w:rsidR="00871442" w:rsidRPr="008F698B" w:rsidRDefault="0032471D">
      <w:pPr>
        <w:numPr>
          <w:ilvl w:val="0"/>
          <w:numId w:val="3"/>
        </w:numP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lastRenderedPageBreak/>
        <w:t>Ahora bien, los titulares de las áreas tienen la alta responsabilidad de determinar que el plazo de reserva sea el estrictamente necesario para proteger la información mientras subsistan las causas que dieron origen a la clasificación, salvaguardando el interés público protegido y tomarán en cuenta las razones que justifican el periodo de reserva establecido.</w:t>
      </w:r>
    </w:p>
    <w:p w:rsidR="00871442" w:rsidRPr="008F698B" w:rsidRDefault="00871442">
      <w:pPr>
        <w:ind w:right="-592"/>
        <w:rPr>
          <w:rFonts w:ascii="Palatino Linotype" w:eastAsia="Palatino Linotype" w:hAnsi="Palatino Linotype" w:cs="Palatino Linotype"/>
          <w:b/>
          <w:color w:val="000000"/>
          <w:sz w:val="24"/>
          <w:szCs w:val="24"/>
        </w:rPr>
      </w:pPr>
    </w:p>
    <w:p w:rsidR="00871442" w:rsidRPr="008F698B" w:rsidRDefault="0032471D">
      <w:pPr>
        <w:numPr>
          <w:ilvl w:val="0"/>
          <w:numId w:val="3"/>
        </w:numPr>
        <w:spacing w:after="160"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De</w:t>
      </w:r>
      <w:r w:rsidRPr="008F698B">
        <w:rPr>
          <w:rFonts w:ascii="Palatino Linotype" w:eastAsia="Palatino Linotype" w:hAnsi="Palatino Linotype" w:cs="Palatino Linotype"/>
          <w:b/>
          <w:color w:val="000000"/>
          <w:sz w:val="24"/>
          <w:szCs w:val="24"/>
        </w:rPr>
        <w:t xml:space="preserve"> </w:t>
      </w:r>
      <w:r w:rsidRPr="008F698B">
        <w:rPr>
          <w:rFonts w:ascii="Palatino Linotype" w:eastAsia="Palatino Linotype" w:hAnsi="Palatino Linotype" w:cs="Palatino Linotype"/>
          <w:color w:val="000000"/>
          <w:sz w:val="24"/>
          <w:szCs w:val="24"/>
        </w:rPr>
        <w:t xml:space="preserve">manera excepcional </w:t>
      </w:r>
      <w:r w:rsidRPr="008F698B">
        <w:rPr>
          <w:rFonts w:ascii="Palatino Linotype" w:eastAsia="Palatino Linotype" w:hAnsi="Palatino Linotype" w:cs="Palatino Linotype"/>
          <w:b/>
          <w:color w:val="000000"/>
          <w:sz w:val="24"/>
          <w:szCs w:val="24"/>
        </w:rPr>
        <w:t>los sujetos obligados</w:t>
      </w:r>
      <w:r w:rsidRPr="008F698B">
        <w:rPr>
          <w:rFonts w:ascii="Palatino Linotype" w:eastAsia="Palatino Linotype" w:hAnsi="Palatino Linotype" w:cs="Palatino Linotype"/>
          <w:color w:val="000000"/>
          <w:sz w:val="24"/>
          <w:szCs w:val="24"/>
        </w:rPr>
        <w:t xml:space="preserve"> con la aprobación de su Comité de Transparencia, </w:t>
      </w:r>
      <w:r w:rsidRPr="008F698B">
        <w:rPr>
          <w:rFonts w:ascii="Palatino Linotype" w:eastAsia="Palatino Linotype" w:hAnsi="Palatino Linotype" w:cs="Palatino Linotype"/>
          <w:b/>
          <w:color w:val="000000"/>
          <w:sz w:val="24"/>
          <w:szCs w:val="24"/>
        </w:rPr>
        <w:t>podrán ampliar el periodo de reserva hasta por un plazo de cinco años adicionales y por una sola vez</w:t>
      </w:r>
      <w:r w:rsidRPr="008F698B">
        <w:rPr>
          <w:rFonts w:ascii="Palatino Linotype" w:eastAsia="Palatino Linotype" w:hAnsi="Palatino Linotype" w:cs="Palatino Linotype"/>
          <w:color w:val="000000"/>
          <w:sz w:val="24"/>
          <w:szCs w:val="24"/>
        </w:rPr>
        <w:t xml:space="preserve">, siempre y cuando justifiquen que subsisten las causas que dieron origen a su clasificación, mediante la aplicación de una prueba de daño. </w:t>
      </w: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Por lo tanto, en consecuencia y en mérito de lo expuesto en líneas anteriores, resultan fundadas las razones o motivos de inconformidad hechos valer por el </w:t>
      </w:r>
      <w:r w:rsidRPr="008F698B">
        <w:rPr>
          <w:rFonts w:ascii="Palatino Linotype" w:eastAsia="Palatino Linotype" w:hAnsi="Palatino Linotype" w:cs="Palatino Linotype"/>
          <w:b/>
          <w:color w:val="000000"/>
          <w:sz w:val="24"/>
          <w:szCs w:val="24"/>
        </w:rPr>
        <w:t>RECURRENTE</w:t>
      </w:r>
      <w:r w:rsidRPr="008F698B">
        <w:rPr>
          <w:rFonts w:ascii="Palatino Linotype" w:eastAsia="Palatino Linotype" w:hAnsi="Palatino Linotype" w:cs="Palatino Linotype"/>
          <w:color w:val="000000"/>
          <w:sz w:val="24"/>
          <w:szCs w:val="24"/>
        </w:rPr>
        <w:t xml:space="preserve"> dentro del recurso de revisión </w:t>
      </w:r>
      <w:r w:rsidRPr="008F698B">
        <w:rPr>
          <w:rFonts w:ascii="Palatino Linotype" w:eastAsia="Palatino Linotype" w:hAnsi="Palatino Linotype" w:cs="Palatino Linotype"/>
          <w:b/>
          <w:color w:val="000000"/>
          <w:sz w:val="24"/>
          <w:szCs w:val="24"/>
        </w:rPr>
        <w:t>06418/INFOEM/IP/RR/2024</w:t>
      </w:r>
      <w:r w:rsidRPr="008F698B">
        <w:rPr>
          <w:rFonts w:ascii="Palatino Linotype" w:eastAsia="Palatino Linotype" w:hAnsi="Palatino Linotype" w:cs="Palatino Linotype"/>
          <w:color w:val="000000"/>
          <w:sz w:val="24"/>
          <w:szCs w:val="24"/>
        </w:rPr>
        <w:t xml:space="preserve">; por ello, y con fundamento en la fracción III del numeral 186 de la Ley de Transparencia y Acceso a la Información Pública del Estado de México y Municipios, se </w:t>
      </w:r>
      <w:r w:rsidRPr="008F698B">
        <w:rPr>
          <w:rFonts w:ascii="Palatino Linotype" w:eastAsia="Palatino Linotype" w:hAnsi="Palatino Linotype" w:cs="Palatino Linotype"/>
          <w:b/>
          <w:color w:val="000000"/>
          <w:sz w:val="24"/>
          <w:szCs w:val="24"/>
        </w:rPr>
        <w:t>REVOCA</w:t>
      </w:r>
      <w:r w:rsidRPr="008F698B">
        <w:rPr>
          <w:rFonts w:ascii="Palatino Linotype" w:eastAsia="Palatino Linotype" w:hAnsi="Palatino Linotype" w:cs="Palatino Linotype"/>
          <w:color w:val="000000"/>
          <w:sz w:val="24"/>
          <w:szCs w:val="24"/>
        </w:rPr>
        <w:t xml:space="preserve"> la respuesta a la solicitud de información número </w:t>
      </w:r>
      <w:r w:rsidRPr="008F698B">
        <w:rPr>
          <w:rFonts w:ascii="Palatino Linotype" w:eastAsia="Palatino Linotype" w:hAnsi="Palatino Linotype" w:cs="Palatino Linotype"/>
          <w:b/>
          <w:color w:val="000000"/>
          <w:sz w:val="24"/>
          <w:szCs w:val="24"/>
        </w:rPr>
        <w:t>00171/SF/IP/2025</w:t>
      </w:r>
      <w:r w:rsidRPr="008F698B">
        <w:rPr>
          <w:rFonts w:ascii="Palatino Linotype" w:eastAsia="Palatino Linotype" w:hAnsi="Palatino Linotype" w:cs="Palatino Linotype"/>
          <w:color w:val="000000"/>
          <w:sz w:val="24"/>
          <w:szCs w:val="24"/>
        </w:rPr>
        <w:t>.</w:t>
      </w:r>
    </w:p>
    <w:p w:rsidR="00871442" w:rsidRPr="008F698B" w:rsidRDefault="0032471D">
      <w:pPr>
        <w:pStyle w:val="Ttulo1"/>
        <w:ind w:right="-592"/>
        <w:rPr>
          <w:rFonts w:ascii="Palatino Linotype" w:eastAsia="Palatino Linotype" w:hAnsi="Palatino Linotype" w:cs="Palatino Linotype"/>
          <w:b/>
          <w:color w:val="000000"/>
          <w:sz w:val="24"/>
          <w:szCs w:val="24"/>
        </w:rPr>
      </w:pPr>
      <w:bookmarkStart w:id="9" w:name="_heading=h.4d34og8" w:colFirst="0" w:colLast="0"/>
      <w:bookmarkEnd w:id="9"/>
      <w:r w:rsidRPr="008F698B">
        <w:rPr>
          <w:rFonts w:ascii="Palatino Linotype" w:eastAsia="Palatino Linotype" w:hAnsi="Palatino Linotype" w:cs="Palatino Linotype"/>
          <w:b/>
          <w:color w:val="000000"/>
          <w:sz w:val="24"/>
          <w:szCs w:val="24"/>
        </w:rPr>
        <w:t>QUINTO. De la versión pública.</w:t>
      </w:r>
    </w:p>
    <w:p w:rsidR="00871442" w:rsidRPr="008F698B" w:rsidRDefault="0032471D">
      <w:pPr>
        <w:numPr>
          <w:ilvl w:val="0"/>
          <w:numId w:val="3"/>
        </w:numPr>
        <w:pBdr>
          <w:top w:val="nil"/>
          <w:left w:val="nil"/>
          <w:bottom w:val="nil"/>
          <w:right w:val="nil"/>
          <w:between w:val="nil"/>
        </w:pBdr>
        <w:tabs>
          <w:tab w:val="left" w:pos="284"/>
        </w:tabs>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Debe destacarse que, debido a la naturaleza de la información solicitada</w:t>
      </w:r>
      <w:r w:rsidRPr="008F698B">
        <w:rPr>
          <w:rFonts w:ascii="Palatino Linotype" w:eastAsia="Palatino Linotype" w:hAnsi="Palatino Linotype" w:cs="Palatino Linotype"/>
          <w:b/>
          <w:color w:val="000000"/>
          <w:sz w:val="24"/>
          <w:szCs w:val="24"/>
        </w:rPr>
        <w:t xml:space="preserve">, </w:t>
      </w:r>
      <w:r w:rsidRPr="008F698B">
        <w:rPr>
          <w:rFonts w:ascii="Palatino Linotype" w:eastAsia="Palatino Linotype" w:hAnsi="Palatino Linotype" w:cs="Palatino Linotype"/>
          <w:color w:val="000000"/>
          <w:sz w:val="24"/>
          <w:szCs w:val="24"/>
        </w:rPr>
        <w:t xml:space="preserve">eventualmente pudiera obrar datos personales susceptibles de protegerse, así como información susceptible de clasificarse como reservada, el </w:t>
      </w:r>
      <w:r w:rsidRPr="008F698B">
        <w:rPr>
          <w:rFonts w:ascii="Palatino Linotype" w:eastAsia="Palatino Linotype" w:hAnsi="Palatino Linotype" w:cs="Palatino Linotype"/>
          <w:b/>
          <w:color w:val="000000"/>
          <w:sz w:val="24"/>
          <w:szCs w:val="24"/>
        </w:rPr>
        <w:t xml:space="preserve">Sujeto Obligado </w:t>
      </w:r>
      <w:r w:rsidRPr="008F698B">
        <w:rPr>
          <w:rFonts w:ascii="Palatino Linotype" w:eastAsia="Palatino Linotype" w:hAnsi="Palatino Linotype" w:cs="Palatino Linotype"/>
          <w:color w:val="000000"/>
          <w:sz w:val="24"/>
          <w:szCs w:val="24"/>
        </w:rPr>
        <w:t xml:space="preserve">deberá de hacer la adecuada versión pública, protegiendo los datos que no son susceptibles de ser proporcionados. </w:t>
      </w:r>
    </w:p>
    <w:p w:rsidR="00871442" w:rsidRPr="008F698B" w:rsidRDefault="00871442">
      <w:pPr>
        <w:pBdr>
          <w:top w:val="nil"/>
          <w:left w:val="nil"/>
          <w:bottom w:val="nil"/>
          <w:right w:val="nil"/>
          <w:between w:val="nil"/>
        </w:pBdr>
        <w:tabs>
          <w:tab w:val="left" w:pos="0"/>
          <w:tab w:val="left" w:pos="284"/>
        </w:tabs>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tabs>
          <w:tab w:val="left" w:pos="284"/>
        </w:tabs>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 xml:space="preserve">No pasa desapercibido para este Órgano Garante que los </w:t>
      </w:r>
      <w:r w:rsidRPr="008F698B">
        <w:rPr>
          <w:rFonts w:ascii="Palatino Linotype" w:eastAsia="Palatino Linotype" w:hAnsi="Palatino Linotype" w:cs="Palatino Linotype"/>
          <w:b/>
          <w:color w:val="000000"/>
          <w:sz w:val="24"/>
          <w:szCs w:val="24"/>
        </w:rPr>
        <w:t xml:space="preserve">Sujetos Obligados </w:t>
      </w:r>
      <w:r w:rsidRPr="008F698B">
        <w:rPr>
          <w:rFonts w:ascii="Palatino Linotype" w:eastAsia="Palatino Linotype" w:hAnsi="Palatino Linotype" w:cs="Palatino Linotype"/>
          <w:color w:val="000000"/>
          <w:sz w:val="24"/>
          <w:szCs w:val="24"/>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871442" w:rsidRPr="008F698B" w:rsidRDefault="00871442">
      <w:pPr>
        <w:tabs>
          <w:tab w:val="left" w:pos="284"/>
        </w:tabs>
        <w:spacing w:line="360" w:lineRule="auto"/>
        <w:ind w:right="-592"/>
        <w:jc w:val="both"/>
        <w:rPr>
          <w:rFonts w:ascii="Palatino Linotype" w:eastAsia="Palatino Linotype" w:hAnsi="Palatino Linotype" w:cs="Palatino Linotype"/>
          <w:color w:val="000000"/>
          <w:sz w:val="24"/>
          <w:szCs w:val="24"/>
        </w:rPr>
      </w:pPr>
    </w:p>
    <w:tbl>
      <w:tblPr>
        <w:tblStyle w:val="a0"/>
        <w:tblW w:w="9615" w:type="dxa"/>
        <w:tblInd w:w="13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085"/>
        <w:gridCol w:w="7530"/>
      </w:tblGrid>
      <w:tr w:rsidR="00871442" w:rsidRPr="008F698B" w:rsidTr="008714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tcPr>
          <w:p w:rsidR="00871442" w:rsidRPr="008F698B" w:rsidRDefault="0032471D" w:rsidP="00C6467F">
            <w:pPr>
              <w:tabs>
                <w:tab w:val="left" w:pos="284"/>
              </w:tabs>
              <w:spacing w:line="360" w:lineRule="auto"/>
              <w:ind w:right="-8"/>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t>a) Requisitos previos.</w:t>
            </w:r>
          </w:p>
        </w:tc>
        <w:tc>
          <w:tcPr>
            <w:tcW w:w="7530" w:type="dxa"/>
          </w:tcPr>
          <w:p w:rsidR="00871442" w:rsidRPr="008F698B" w:rsidRDefault="0032471D" w:rsidP="00C6467F">
            <w:pPr>
              <w:tabs>
                <w:tab w:val="left" w:pos="284"/>
              </w:tabs>
              <w:spacing w:line="360" w:lineRule="auto"/>
              <w:ind w:right="1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871442" w:rsidRPr="008F698B" w:rsidRDefault="0032471D" w:rsidP="00C6467F">
            <w:pPr>
              <w:tabs>
                <w:tab w:val="left" w:pos="284"/>
              </w:tabs>
              <w:spacing w:line="360" w:lineRule="auto"/>
              <w:ind w:right="1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Al hacerlo tienen que precisar de qué información se trata, señalando el supuesto de clasificación (confidencialidad o reserva).</w:t>
            </w:r>
          </w:p>
          <w:p w:rsidR="00871442" w:rsidRPr="008F698B" w:rsidRDefault="0032471D" w:rsidP="00C6467F">
            <w:pPr>
              <w:tabs>
                <w:tab w:val="left" w:pos="284"/>
              </w:tabs>
              <w:spacing w:line="360" w:lineRule="auto"/>
              <w:ind w:right="1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Además, se debe señalar el procedimiento, de los tres que establecen los artículos 132 y 106 de la Ley Estatal y General, respectivamente.</w:t>
            </w:r>
          </w:p>
          <w:p w:rsidR="00871442" w:rsidRPr="008F698B" w:rsidRDefault="0032471D" w:rsidP="00C6467F">
            <w:pPr>
              <w:tabs>
                <w:tab w:val="left" w:pos="284"/>
              </w:tabs>
              <w:spacing w:line="360" w:lineRule="auto"/>
              <w:ind w:right="151"/>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8F698B">
              <w:rPr>
                <w:rFonts w:ascii="Palatino Linotype" w:eastAsia="Palatino Linotype" w:hAnsi="Palatino Linotype" w:cs="Palatino Linotype"/>
                <w:color w:val="000000"/>
                <w:sz w:val="24"/>
                <w:szCs w:val="24"/>
              </w:rPr>
              <w:lastRenderedPageBreak/>
              <w:t xml:space="preserve">El último de estos requisitos previos consiste en que no se pueden emitir acuerdos de carácter general ni particular, esto es, </w:t>
            </w:r>
            <w:r w:rsidRPr="008F698B">
              <w:rPr>
                <w:rFonts w:ascii="Palatino Linotype" w:eastAsia="Palatino Linotype" w:hAnsi="Palatino Linotype" w:cs="Palatino Linotype"/>
                <w:color w:val="000000"/>
                <w:sz w:val="24"/>
                <w:szCs w:val="24"/>
                <w:u w:val="single"/>
              </w:rPr>
              <w:t>no se puede hacer un acuerdo para clasificar de manera general todos los documentos de un expediente o área, sin</w:t>
            </w:r>
            <w:r w:rsidRPr="008F698B">
              <w:rPr>
                <w:rFonts w:ascii="Palatino Linotype" w:eastAsia="Palatino Linotype" w:hAnsi="Palatino Linotype" w:cs="Palatino Linotype"/>
                <w:color w:val="000000"/>
                <w:sz w:val="24"/>
                <w:szCs w:val="24"/>
              </w:rPr>
              <w:t xml:space="preserve"> individualizar su análisis y tampoco se puede hacer un acuerdo por cada dato que se vaya a clasificar dentro de un documento con diez datos, por ejemplo, susceptibles de ser clasificados.</w:t>
            </w:r>
          </w:p>
        </w:tc>
      </w:tr>
      <w:tr w:rsidR="00871442" w:rsidRPr="008F698B" w:rsidTr="0087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tcPr>
          <w:p w:rsidR="00871442" w:rsidRPr="008F698B" w:rsidRDefault="0032471D" w:rsidP="00C6467F">
            <w:pPr>
              <w:tabs>
                <w:tab w:val="left" w:pos="284"/>
              </w:tabs>
              <w:spacing w:line="360" w:lineRule="auto"/>
              <w:ind w:right="-8"/>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lastRenderedPageBreak/>
              <w:t>b) Supuestos de clasificación.</w:t>
            </w:r>
          </w:p>
        </w:tc>
        <w:tc>
          <w:tcPr>
            <w:tcW w:w="7530" w:type="dxa"/>
          </w:tcPr>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Las disposiciones constitucionales y legales en la materia establecen los dos supuestos generales para clasificar la información: por reserva y por confidencialidad.</w:t>
            </w:r>
          </w:p>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8F698B">
              <w:rPr>
                <w:rFonts w:ascii="Palatino Linotype" w:eastAsia="Palatino Linotype" w:hAnsi="Palatino Linotype" w:cs="Palatino Linotype"/>
                <w:color w:val="000000"/>
                <w:sz w:val="24"/>
                <w:szCs w:val="24"/>
              </w:rPr>
              <w:t xml:space="preserve">El </w:t>
            </w:r>
            <w:r w:rsidRPr="008F698B">
              <w:rPr>
                <w:rFonts w:ascii="Palatino Linotype" w:eastAsia="Palatino Linotype" w:hAnsi="Palatino Linotype" w:cs="Palatino Linotype"/>
                <w:b/>
                <w:color w:val="000000"/>
                <w:sz w:val="24"/>
                <w:szCs w:val="24"/>
              </w:rPr>
              <w:t>Sujeto Obligado</w:t>
            </w:r>
            <w:r w:rsidRPr="008F698B">
              <w:rPr>
                <w:rFonts w:ascii="Palatino Linotype" w:eastAsia="Palatino Linotype" w:hAnsi="Palatino Linotype" w:cs="Palatino Linotype"/>
                <w:color w:val="000000"/>
                <w:sz w:val="24"/>
                <w:szCs w:val="24"/>
              </w:rPr>
              <w:t xml:space="preserve"> debe identificar claramente el tipo de información y hacer un juicio de subsunción o encaje para acreditar </w:t>
            </w:r>
            <w:r w:rsidRPr="008F698B">
              <w:rPr>
                <w:rFonts w:ascii="Palatino Linotype" w:eastAsia="Palatino Linotype" w:hAnsi="Palatino Linotype" w:cs="Palatino Linotype"/>
                <w:color w:val="000000"/>
                <w:sz w:val="24"/>
                <w:szCs w:val="24"/>
              </w:rPr>
              <w:lastRenderedPageBreak/>
              <w:t>que el supuesto de hecho corresponde estrictamente con la hipótesis jurídica. Esto también lo debe de realizar el servidor público habilitado y el titular del área que administra la información.</w:t>
            </w:r>
          </w:p>
        </w:tc>
      </w:tr>
      <w:tr w:rsidR="00871442" w:rsidRPr="008F698B" w:rsidTr="00871442">
        <w:tc>
          <w:tcPr>
            <w:cnfStyle w:val="001000000000" w:firstRow="0" w:lastRow="0" w:firstColumn="1" w:lastColumn="0" w:oddVBand="0" w:evenVBand="0" w:oddHBand="0" w:evenHBand="0" w:firstRowFirstColumn="0" w:firstRowLastColumn="0" w:lastRowFirstColumn="0" w:lastRowLastColumn="0"/>
            <w:tcW w:w="2085" w:type="dxa"/>
          </w:tcPr>
          <w:p w:rsidR="00871442" w:rsidRPr="008F698B" w:rsidRDefault="0032471D" w:rsidP="00C6467F">
            <w:pPr>
              <w:tabs>
                <w:tab w:val="left" w:pos="284"/>
              </w:tabs>
              <w:spacing w:line="360" w:lineRule="auto"/>
              <w:ind w:right="-8"/>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lastRenderedPageBreak/>
              <w:t>c) Formalidades para emitir el acuerdo de clasificación.</w:t>
            </w:r>
          </w:p>
        </w:tc>
        <w:tc>
          <w:tcPr>
            <w:tcW w:w="7530" w:type="dxa"/>
          </w:tcPr>
          <w:p w:rsidR="00871442" w:rsidRPr="008F698B" w:rsidRDefault="0032471D" w:rsidP="00C6467F">
            <w:pPr>
              <w:tabs>
                <w:tab w:val="left" w:pos="284"/>
              </w:tabs>
              <w:spacing w:line="360" w:lineRule="auto"/>
              <w:ind w:right="1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El Comité de Transparencia, según lo dispuesto en los artículos cuenta con las facultades para aprobar, modificar o revocar la clasificación de la información que haya propuesto. </w:t>
            </w:r>
          </w:p>
          <w:p w:rsidR="00871442" w:rsidRPr="008F698B" w:rsidRDefault="0032471D" w:rsidP="00C6467F">
            <w:pPr>
              <w:tabs>
                <w:tab w:val="left" w:pos="284"/>
              </w:tabs>
              <w:spacing w:line="360" w:lineRule="auto"/>
              <w:ind w:right="1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Es necesario que </w:t>
            </w:r>
            <w:r w:rsidRPr="008F698B">
              <w:rPr>
                <w:rFonts w:ascii="Palatino Linotype" w:eastAsia="Palatino Linotype" w:hAnsi="Palatino Linotype" w:cs="Palatino Linotype"/>
                <w:b/>
                <w:color w:val="000000"/>
                <w:sz w:val="24"/>
                <w:szCs w:val="24"/>
                <w:u w:val="single"/>
              </w:rPr>
              <w:t>el acto reúna con los requisitos elementales</w:t>
            </w:r>
            <w:r w:rsidRPr="008F698B">
              <w:rPr>
                <w:rFonts w:ascii="Palatino Linotype" w:eastAsia="Palatino Linotype" w:hAnsi="Palatino Linotype" w:cs="Palatino Linotype"/>
                <w:color w:val="000000"/>
                <w:sz w:val="24"/>
                <w:szCs w:val="24"/>
              </w:rPr>
              <w:t>, entre ellos, que la autoridad que va a emitir el acto de autoridad sea la legalmente facultada para ello.</w:t>
            </w:r>
          </w:p>
          <w:p w:rsidR="00871442" w:rsidRPr="008F698B" w:rsidRDefault="0032471D" w:rsidP="00C6467F">
            <w:pPr>
              <w:tabs>
                <w:tab w:val="left" w:pos="284"/>
              </w:tabs>
              <w:spacing w:line="360" w:lineRule="auto"/>
              <w:ind w:right="1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8F698B">
              <w:rPr>
                <w:rFonts w:ascii="Palatino Linotype" w:eastAsia="Palatino Linotype" w:hAnsi="Palatino Linotype" w:cs="Palatino Linotype"/>
                <w:color w:val="000000"/>
                <w:sz w:val="24"/>
                <w:szCs w:val="24"/>
              </w:rPr>
              <w:t xml:space="preserve">La decisión de aprobar, modificar o revocar la clasificación deberá de asentarse en un documento que registre la determinación a la que se llegue después de un análisis minucioso a partir de lo propuesto por el Titular del I. </w:t>
            </w:r>
            <w:r w:rsidRPr="008F698B">
              <w:rPr>
                <w:rFonts w:ascii="Palatino Linotype" w:eastAsia="Palatino Linotype" w:hAnsi="Palatino Linotype" w:cs="Palatino Linotype"/>
                <w:sz w:val="24"/>
                <w:szCs w:val="24"/>
              </w:rPr>
              <w:t>El área</w:t>
            </w:r>
            <w:r w:rsidRPr="008F698B">
              <w:rPr>
                <w:rFonts w:ascii="Palatino Linotype" w:eastAsia="Palatino Linotype" w:hAnsi="Palatino Linotype" w:cs="Palatino Linotype"/>
                <w:color w:val="000000"/>
                <w:sz w:val="24"/>
                <w:szCs w:val="24"/>
              </w:rPr>
              <w:t xml:space="preserve">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71442" w:rsidRPr="008F698B" w:rsidTr="008714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5" w:type="dxa"/>
          </w:tcPr>
          <w:p w:rsidR="00871442" w:rsidRPr="008F698B" w:rsidRDefault="00871442" w:rsidP="00C6467F">
            <w:pPr>
              <w:tabs>
                <w:tab w:val="left" w:pos="284"/>
              </w:tabs>
              <w:spacing w:line="360" w:lineRule="auto"/>
              <w:ind w:right="-8"/>
              <w:rPr>
                <w:rFonts w:ascii="Palatino Linotype" w:eastAsia="Palatino Linotype" w:hAnsi="Palatino Linotype" w:cs="Palatino Linotype"/>
                <w:sz w:val="24"/>
                <w:szCs w:val="24"/>
              </w:rPr>
            </w:pPr>
          </w:p>
          <w:p w:rsidR="00871442" w:rsidRPr="008F698B" w:rsidRDefault="0032471D" w:rsidP="00C6467F">
            <w:pPr>
              <w:tabs>
                <w:tab w:val="left" w:pos="284"/>
              </w:tabs>
              <w:spacing w:line="360" w:lineRule="auto"/>
              <w:ind w:right="-8"/>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color w:val="000000"/>
                <w:sz w:val="24"/>
                <w:szCs w:val="24"/>
              </w:rPr>
              <w:t xml:space="preserve">d) Requisitos de fondo del </w:t>
            </w:r>
            <w:r w:rsidRPr="008F698B">
              <w:rPr>
                <w:rFonts w:ascii="Palatino Linotype" w:eastAsia="Palatino Linotype" w:hAnsi="Palatino Linotype" w:cs="Palatino Linotype"/>
                <w:color w:val="000000"/>
                <w:sz w:val="24"/>
                <w:szCs w:val="24"/>
              </w:rPr>
              <w:lastRenderedPageBreak/>
              <w:t xml:space="preserve">acuerdo de clasificación. </w:t>
            </w:r>
          </w:p>
        </w:tc>
        <w:tc>
          <w:tcPr>
            <w:tcW w:w="7530" w:type="dxa"/>
          </w:tcPr>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lastRenderedPageBreak/>
              <w:t xml:space="preserve">Como se ha señalado antes, al hacer el juicio de subsunción o encaje entre el supuesto de hecho y la hipótesis jurídica, se debe acreditar la estricta correspondencia entre un elemento y otro. Ahora, en esta </w:t>
            </w:r>
            <w:r w:rsidRPr="008F698B">
              <w:rPr>
                <w:rFonts w:ascii="Palatino Linotype" w:eastAsia="Palatino Linotype" w:hAnsi="Palatino Linotype" w:cs="Palatino Linotype"/>
                <w:color w:val="000000"/>
                <w:sz w:val="24"/>
                <w:szCs w:val="24"/>
              </w:rPr>
              <w:lastRenderedPageBreak/>
              <w:t xml:space="preserve">parte del procedimiento, que se desahoga en sede del Comité de Transparencia, la ley señala que la carga de la prueba, para justificar las restricciones, corresponde a los </w:t>
            </w:r>
            <w:r w:rsidRPr="008F698B">
              <w:rPr>
                <w:rFonts w:ascii="Palatino Linotype" w:eastAsia="Palatino Linotype" w:hAnsi="Palatino Linotype" w:cs="Palatino Linotype"/>
                <w:b/>
                <w:color w:val="000000"/>
                <w:sz w:val="24"/>
                <w:szCs w:val="24"/>
              </w:rPr>
              <w:t>Sujetos Obligados</w:t>
            </w:r>
            <w:r w:rsidRPr="008F698B">
              <w:rPr>
                <w:rFonts w:ascii="Palatino Linotype" w:eastAsia="Palatino Linotype" w:hAnsi="Palatino Linotype" w:cs="Palatino Linotype"/>
                <w:color w:val="000000"/>
                <w:sz w:val="24"/>
                <w:szCs w:val="24"/>
              </w:rPr>
              <w:t xml:space="preserve">, por lo que deberán fundar y motivar debidamente la clasificación. </w:t>
            </w:r>
          </w:p>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De lo anterior, se desprende que para una correcta </w:t>
            </w:r>
            <w:r w:rsidRPr="008F698B">
              <w:rPr>
                <w:rFonts w:ascii="Palatino Linotype" w:eastAsia="Palatino Linotype" w:hAnsi="Palatino Linotype" w:cs="Palatino Linotype"/>
                <w:b/>
                <w:color w:val="000000"/>
                <w:sz w:val="24"/>
                <w:szCs w:val="24"/>
              </w:rPr>
              <w:t>clasificación total o parcial</w:t>
            </w:r>
            <w:r w:rsidRPr="008F698B">
              <w:rPr>
                <w:rFonts w:ascii="Palatino Linotype" w:eastAsia="Palatino Linotype" w:hAnsi="Palatino Linotype" w:cs="Palatino Linotype"/>
                <w:color w:val="000000"/>
                <w:sz w:val="24"/>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lastRenderedPageBreak/>
              <w:t>En ese mismo sentido, el numeral trigésimo tercero fracción V de los Lineamientos Generales, precisa que para motivar la clasificación se deben acreditar las circunstancias de tiempo, modo y lugar.</w:t>
            </w:r>
          </w:p>
          <w:p w:rsidR="00871442" w:rsidRPr="008F698B" w:rsidRDefault="0032471D" w:rsidP="00C6467F">
            <w:pPr>
              <w:tabs>
                <w:tab w:val="left" w:pos="284"/>
              </w:tabs>
              <w:spacing w:line="360" w:lineRule="auto"/>
              <w:ind w:right="151"/>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Ahora bien, </w:t>
            </w:r>
            <w:r w:rsidRPr="008F698B">
              <w:rPr>
                <w:rFonts w:ascii="Palatino Linotype" w:eastAsia="Palatino Linotype" w:hAnsi="Palatino Linotype" w:cs="Palatino Linotype"/>
                <w:b/>
                <w:color w:val="000000"/>
                <w:sz w:val="24"/>
                <w:szCs w:val="24"/>
                <w:u w:val="single"/>
              </w:rPr>
              <w:t>para cada caso además de fundar y motivar</w:t>
            </w:r>
            <w:r w:rsidRPr="008F698B">
              <w:rPr>
                <w:rFonts w:ascii="Palatino Linotype" w:eastAsia="Palatino Linotype" w:hAnsi="Palatino Linotype" w:cs="Palatino Linotype"/>
                <w:color w:val="000000"/>
                <w:sz w:val="24"/>
                <w:szCs w:val="24"/>
              </w:rPr>
              <w:t xml:space="preserve">, se debe identificar con claridad </w:t>
            </w:r>
            <w:r w:rsidRPr="008F698B">
              <w:rPr>
                <w:rFonts w:ascii="Palatino Linotype" w:eastAsia="Palatino Linotype" w:hAnsi="Palatino Linotype" w:cs="Palatino Linotype"/>
                <w:sz w:val="24"/>
                <w:szCs w:val="24"/>
              </w:rPr>
              <w:t>qué</w:t>
            </w:r>
            <w:r w:rsidRPr="008F698B">
              <w:rPr>
                <w:rFonts w:ascii="Palatino Linotype" w:eastAsia="Palatino Linotype" w:hAnsi="Palatino Linotype" w:cs="Palatino Linotype"/>
                <w:color w:val="000000"/>
                <w:sz w:val="24"/>
                <w:szCs w:val="24"/>
              </w:rPr>
              <w:t xml:space="preserv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71442" w:rsidRPr="008F698B" w:rsidTr="00871442">
        <w:tc>
          <w:tcPr>
            <w:cnfStyle w:val="001000000000" w:firstRow="0" w:lastRow="0" w:firstColumn="1" w:lastColumn="0" w:oddVBand="0" w:evenVBand="0" w:oddHBand="0" w:evenHBand="0" w:firstRowFirstColumn="0" w:firstRowLastColumn="0" w:lastRowFirstColumn="0" w:lastRowLastColumn="0"/>
            <w:tcW w:w="2085" w:type="dxa"/>
          </w:tcPr>
          <w:p w:rsidR="00871442" w:rsidRPr="008F698B" w:rsidRDefault="0032471D" w:rsidP="00C6467F">
            <w:pPr>
              <w:tabs>
                <w:tab w:val="left" w:pos="284"/>
              </w:tabs>
              <w:spacing w:line="360" w:lineRule="auto"/>
              <w:ind w:right="-8"/>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lastRenderedPageBreak/>
              <w:t xml:space="preserve">e) Condiciones especiales de la clasificación de la información como confidencial. </w:t>
            </w:r>
          </w:p>
        </w:tc>
        <w:tc>
          <w:tcPr>
            <w:tcW w:w="7530" w:type="dxa"/>
          </w:tcPr>
          <w:p w:rsidR="00871442" w:rsidRPr="008F698B" w:rsidRDefault="0032471D" w:rsidP="00C6467F">
            <w:pPr>
              <w:tabs>
                <w:tab w:val="left" w:pos="284"/>
              </w:tabs>
              <w:spacing w:line="360" w:lineRule="auto"/>
              <w:ind w:right="1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Los artículos 148 y 120 de la Ley Estatal y de la Ley General, respectivamente, establecen que aun tratándose de datos personales, se podrán proporcionar, incluso sin solicitar el consentimiento de su titular. </w:t>
            </w:r>
          </w:p>
          <w:p w:rsidR="00871442" w:rsidRPr="008F698B" w:rsidRDefault="0032471D" w:rsidP="00C6467F">
            <w:pPr>
              <w:tabs>
                <w:tab w:val="left" w:pos="284"/>
              </w:tabs>
              <w:spacing w:line="360" w:lineRule="auto"/>
              <w:ind w:right="151"/>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color w:val="000000"/>
                <w:sz w:val="24"/>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871442" w:rsidRPr="008F698B" w:rsidRDefault="0032471D" w:rsidP="00C6467F">
            <w:pPr>
              <w:tabs>
                <w:tab w:val="left" w:pos="284"/>
              </w:tabs>
              <w:spacing w:line="360" w:lineRule="auto"/>
              <w:ind w:right="151"/>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8F698B">
              <w:rPr>
                <w:rFonts w:ascii="Palatino Linotype" w:eastAsia="Palatino Linotype" w:hAnsi="Palatino Linotype" w:cs="Palatino Linotype"/>
                <w:color w:val="000000"/>
                <w:sz w:val="24"/>
                <w:szCs w:val="24"/>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871442" w:rsidRPr="008F698B" w:rsidRDefault="00871442">
      <w:pPr>
        <w:pBdr>
          <w:top w:val="nil"/>
          <w:left w:val="nil"/>
          <w:bottom w:val="nil"/>
          <w:right w:val="nil"/>
          <w:between w:val="nil"/>
        </w:pBdr>
        <w:tabs>
          <w:tab w:val="left" w:pos="284"/>
        </w:tabs>
        <w:ind w:right="-592"/>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000000"/>
          <w:sz w:val="24"/>
          <w:szCs w:val="24"/>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871442" w:rsidRPr="008F698B" w:rsidRDefault="00871442">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p>
    <w:p w:rsidR="00871442" w:rsidRPr="008F698B" w:rsidRDefault="0032471D">
      <w:pPr>
        <w:numPr>
          <w:ilvl w:val="0"/>
          <w:numId w:val="3"/>
        </w:numPr>
        <w:pBdr>
          <w:top w:val="nil"/>
          <w:left w:val="nil"/>
          <w:bottom w:val="nil"/>
          <w:right w:val="nil"/>
          <w:between w:val="nil"/>
        </w:pBdr>
        <w:spacing w:line="360" w:lineRule="auto"/>
        <w:ind w:left="0" w:right="-592" w:firstLine="0"/>
        <w:jc w:val="both"/>
        <w:rPr>
          <w:rFonts w:ascii="Palatino Linotype" w:hAnsi="Palatino Linotype"/>
          <w:color w:val="000000"/>
          <w:sz w:val="24"/>
          <w:szCs w:val="24"/>
        </w:rPr>
      </w:pPr>
      <w:r w:rsidRPr="008F698B">
        <w:rPr>
          <w:rFonts w:ascii="Palatino Linotype" w:eastAsia="Palatino Linotype" w:hAnsi="Palatino Linotype" w:cs="Palatino Linotype"/>
          <w:color w:val="222222"/>
          <w:sz w:val="24"/>
          <w:szCs w:val="24"/>
        </w:rPr>
        <w:t xml:space="preserve">Por lo anteriormente expuesto y fundado, este </w:t>
      </w:r>
      <w:r w:rsidRPr="008F698B">
        <w:rPr>
          <w:rFonts w:ascii="Palatino Linotype" w:eastAsia="Palatino Linotype" w:hAnsi="Palatino Linotype" w:cs="Palatino Linotype"/>
          <w:b/>
          <w:color w:val="222222"/>
          <w:sz w:val="24"/>
          <w:szCs w:val="24"/>
        </w:rPr>
        <w:t>ÓRGANO GARANTE</w:t>
      </w:r>
      <w:r w:rsidRPr="008F698B">
        <w:rPr>
          <w:rFonts w:ascii="Palatino Linotype" w:eastAsia="Palatino Linotype" w:hAnsi="Palatino Linotype" w:cs="Palatino Linotype"/>
          <w:color w:val="222222"/>
          <w:sz w:val="24"/>
          <w:szCs w:val="24"/>
        </w:rPr>
        <w:t xml:space="preserve"> emite los siguientes:----------------------------------------------------------------------------------------------------------</w:t>
      </w:r>
    </w:p>
    <w:p w:rsidR="00871442" w:rsidRPr="008F698B" w:rsidRDefault="0032471D">
      <w:pPr>
        <w:pStyle w:val="Ttulo1"/>
        <w:ind w:right="-592"/>
        <w:jc w:val="center"/>
        <w:rPr>
          <w:rFonts w:ascii="Palatino Linotype" w:eastAsia="Palatino Linotype" w:hAnsi="Palatino Linotype" w:cs="Palatino Linotype"/>
          <w:b/>
          <w:color w:val="000000"/>
          <w:sz w:val="24"/>
          <w:szCs w:val="24"/>
        </w:rPr>
      </w:pPr>
      <w:bookmarkStart w:id="10" w:name="_heading=h.2s8eyo1" w:colFirst="0" w:colLast="0"/>
      <w:bookmarkEnd w:id="10"/>
      <w:r w:rsidRPr="008F698B">
        <w:rPr>
          <w:rFonts w:ascii="Palatino Linotype" w:eastAsia="Palatino Linotype" w:hAnsi="Palatino Linotype" w:cs="Palatino Linotype"/>
          <w:b/>
          <w:color w:val="000000"/>
          <w:sz w:val="24"/>
          <w:szCs w:val="24"/>
        </w:rPr>
        <w:t>R E S O L U T I V O S</w:t>
      </w:r>
    </w:p>
    <w:p w:rsidR="00871442" w:rsidRPr="008F698B" w:rsidRDefault="00871442">
      <w:pPr>
        <w:keepNext/>
        <w:keepLines/>
        <w:spacing w:line="360" w:lineRule="auto"/>
        <w:ind w:right="-592"/>
        <w:jc w:val="center"/>
        <w:rPr>
          <w:rFonts w:ascii="Palatino Linotype" w:eastAsia="Palatino Linotype" w:hAnsi="Palatino Linotype" w:cs="Palatino Linotype"/>
          <w:b/>
          <w:sz w:val="24"/>
          <w:szCs w:val="24"/>
        </w:rPr>
      </w:pPr>
    </w:p>
    <w:p w:rsidR="00871442" w:rsidRPr="008F698B" w:rsidRDefault="0032471D">
      <w:pPr>
        <w:spacing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sz w:val="24"/>
          <w:szCs w:val="24"/>
        </w:rPr>
        <w:t xml:space="preserve">PRIMERO. </w:t>
      </w:r>
      <w:r w:rsidRPr="008F698B">
        <w:rPr>
          <w:rFonts w:ascii="Palatino Linotype" w:eastAsia="Palatino Linotype" w:hAnsi="Palatino Linotype" w:cs="Palatino Linotype"/>
          <w:sz w:val="24"/>
          <w:szCs w:val="24"/>
        </w:rPr>
        <w:t>Resultan fundadas las</w:t>
      </w:r>
      <w:r w:rsidRPr="008F698B">
        <w:rPr>
          <w:rFonts w:ascii="Palatino Linotype" w:eastAsia="Palatino Linotype" w:hAnsi="Palatino Linotype" w:cs="Palatino Linotype"/>
          <w:b/>
          <w:sz w:val="24"/>
          <w:szCs w:val="24"/>
        </w:rPr>
        <w:t xml:space="preserve"> </w:t>
      </w:r>
      <w:r w:rsidRPr="008F698B">
        <w:rPr>
          <w:rFonts w:ascii="Palatino Linotype" w:eastAsia="Palatino Linotype" w:hAnsi="Palatino Linotype" w:cs="Palatino Linotype"/>
          <w:sz w:val="24"/>
          <w:szCs w:val="24"/>
        </w:rPr>
        <w:t xml:space="preserve">razones o motivos de inconformidad hechos valer en el recurso de revisión </w:t>
      </w:r>
      <w:r w:rsidRPr="008F698B">
        <w:rPr>
          <w:rFonts w:ascii="Palatino Linotype" w:eastAsia="Palatino Linotype" w:hAnsi="Palatino Linotype" w:cs="Palatino Linotype"/>
          <w:b/>
          <w:sz w:val="24"/>
          <w:szCs w:val="24"/>
        </w:rPr>
        <w:t xml:space="preserve">06418/INFOEM/IP/RR/2024 </w:t>
      </w:r>
      <w:r w:rsidRPr="008F698B">
        <w:rPr>
          <w:rFonts w:ascii="Palatino Linotype" w:eastAsia="Palatino Linotype" w:hAnsi="Palatino Linotype" w:cs="Palatino Linotype"/>
          <w:sz w:val="24"/>
          <w:szCs w:val="24"/>
        </w:rPr>
        <w:t>en términos de los</w:t>
      </w:r>
      <w:r w:rsidRPr="008F698B">
        <w:rPr>
          <w:rFonts w:ascii="Palatino Linotype" w:eastAsia="Palatino Linotype" w:hAnsi="Palatino Linotype" w:cs="Palatino Linotype"/>
          <w:b/>
          <w:sz w:val="24"/>
          <w:szCs w:val="24"/>
        </w:rPr>
        <w:t xml:space="preserve"> Considerandos</w:t>
      </w:r>
      <w:r w:rsidRPr="008F698B">
        <w:rPr>
          <w:rFonts w:ascii="Palatino Linotype" w:eastAsia="Palatino Linotype" w:hAnsi="Palatino Linotype" w:cs="Palatino Linotype"/>
          <w:sz w:val="24"/>
          <w:szCs w:val="24"/>
        </w:rPr>
        <w:t xml:space="preserve"> </w:t>
      </w:r>
      <w:r w:rsidRPr="008F698B">
        <w:rPr>
          <w:rFonts w:ascii="Palatino Linotype" w:eastAsia="Palatino Linotype" w:hAnsi="Palatino Linotype" w:cs="Palatino Linotype"/>
          <w:b/>
          <w:sz w:val="24"/>
          <w:szCs w:val="24"/>
        </w:rPr>
        <w:t>CUARTO y QUINTO</w:t>
      </w:r>
      <w:r w:rsidRPr="008F698B">
        <w:rPr>
          <w:rFonts w:ascii="Palatino Linotype" w:eastAsia="Palatino Linotype" w:hAnsi="Palatino Linotype" w:cs="Palatino Linotype"/>
          <w:sz w:val="24"/>
          <w:szCs w:val="24"/>
        </w:rPr>
        <w:t xml:space="preserve"> de la presente resolución.</w:t>
      </w:r>
    </w:p>
    <w:p w:rsidR="00871442" w:rsidRPr="008F698B" w:rsidRDefault="00871442">
      <w:pPr>
        <w:spacing w:line="360" w:lineRule="auto"/>
        <w:ind w:right="-592"/>
        <w:jc w:val="both"/>
        <w:rPr>
          <w:rFonts w:ascii="Palatino Linotype" w:eastAsia="Palatino Linotype" w:hAnsi="Palatino Linotype" w:cs="Palatino Linotype"/>
          <w:b/>
          <w:sz w:val="24"/>
          <w:szCs w:val="24"/>
        </w:rPr>
      </w:pPr>
    </w:p>
    <w:p w:rsidR="00871442" w:rsidRPr="008F698B" w:rsidRDefault="0032471D">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4"/>
          <w:szCs w:val="24"/>
        </w:rPr>
      </w:pPr>
      <w:r w:rsidRPr="008F698B">
        <w:rPr>
          <w:rFonts w:ascii="Palatino Linotype" w:eastAsia="Palatino Linotype" w:hAnsi="Palatino Linotype" w:cs="Palatino Linotype"/>
          <w:b/>
          <w:color w:val="000000"/>
          <w:sz w:val="24"/>
          <w:szCs w:val="24"/>
        </w:rPr>
        <w:lastRenderedPageBreak/>
        <w:t xml:space="preserve">SEGUNDO. </w:t>
      </w:r>
      <w:r w:rsidRPr="008F698B">
        <w:rPr>
          <w:rFonts w:ascii="Palatino Linotype" w:eastAsia="Palatino Linotype" w:hAnsi="Palatino Linotype" w:cs="Palatino Linotype"/>
          <w:color w:val="000000"/>
          <w:sz w:val="24"/>
          <w:szCs w:val="24"/>
        </w:rPr>
        <w:t xml:space="preserve">Se </w:t>
      </w:r>
      <w:r w:rsidRPr="008F698B">
        <w:rPr>
          <w:rFonts w:ascii="Palatino Linotype" w:eastAsia="Palatino Linotype" w:hAnsi="Palatino Linotype" w:cs="Palatino Linotype"/>
          <w:b/>
          <w:color w:val="000000"/>
          <w:sz w:val="24"/>
          <w:szCs w:val="24"/>
        </w:rPr>
        <w:t>REVOCA</w:t>
      </w:r>
      <w:r w:rsidRPr="008F698B">
        <w:rPr>
          <w:rFonts w:ascii="Palatino Linotype" w:eastAsia="Palatino Linotype" w:hAnsi="Palatino Linotype" w:cs="Palatino Linotype"/>
          <w:color w:val="000000"/>
          <w:sz w:val="24"/>
          <w:szCs w:val="24"/>
        </w:rPr>
        <w:t xml:space="preserve"> la respuesta y se </w:t>
      </w:r>
      <w:r w:rsidRPr="008F698B">
        <w:rPr>
          <w:rFonts w:ascii="Palatino Linotype" w:eastAsia="Palatino Linotype" w:hAnsi="Palatino Linotype" w:cs="Palatino Linotype"/>
          <w:b/>
          <w:color w:val="000000"/>
          <w:sz w:val="24"/>
          <w:szCs w:val="24"/>
        </w:rPr>
        <w:t xml:space="preserve">ORDENA </w:t>
      </w:r>
      <w:r w:rsidRPr="008F698B">
        <w:rPr>
          <w:rFonts w:ascii="Palatino Linotype" w:eastAsia="Palatino Linotype" w:hAnsi="Palatino Linotype" w:cs="Palatino Linotype"/>
          <w:color w:val="000000"/>
          <w:sz w:val="24"/>
          <w:szCs w:val="24"/>
        </w:rPr>
        <w:t xml:space="preserve">al </w:t>
      </w:r>
      <w:r w:rsidRPr="008F698B">
        <w:rPr>
          <w:rFonts w:ascii="Palatino Linotype" w:eastAsia="Palatino Linotype" w:hAnsi="Palatino Linotype" w:cs="Palatino Linotype"/>
          <w:b/>
          <w:color w:val="000000"/>
          <w:sz w:val="24"/>
          <w:szCs w:val="24"/>
        </w:rPr>
        <w:t xml:space="preserve">Ayuntamiento de Ecatepec de Morelos, </w:t>
      </w:r>
      <w:r w:rsidRPr="008F698B">
        <w:rPr>
          <w:rFonts w:ascii="Palatino Linotype" w:eastAsia="Palatino Linotype" w:hAnsi="Palatino Linotype" w:cs="Palatino Linotype"/>
          <w:color w:val="000000"/>
          <w:sz w:val="24"/>
          <w:szCs w:val="24"/>
        </w:rPr>
        <w:t xml:space="preserve">entregar vía Sistema de Acceso a la Información Mexiquense (SAIMEX), </w:t>
      </w:r>
      <w:r w:rsidR="00CB55D4" w:rsidRPr="008F698B">
        <w:rPr>
          <w:rFonts w:ascii="Palatino Linotype" w:eastAsia="Palatino Linotype" w:hAnsi="Palatino Linotype" w:cs="Palatino Linotype"/>
          <w:color w:val="000000"/>
          <w:sz w:val="24"/>
          <w:szCs w:val="24"/>
        </w:rPr>
        <w:t xml:space="preserve">previa búsqueda exhaustiva y razonable, </w:t>
      </w:r>
      <w:r w:rsidRPr="008F698B">
        <w:rPr>
          <w:rFonts w:ascii="Palatino Linotype" w:eastAsia="Palatino Linotype" w:hAnsi="Palatino Linotype" w:cs="Palatino Linotype"/>
          <w:color w:val="000000"/>
          <w:sz w:val="24"/>
          <w:szCs w:val="24"/>
        </w:rPr>
        <w:t>de ser el caso en versión pública</w:t>
      </w:r>
      <w:r w:rsidRPr="008F698B">
        <w:rPr>
          <w:rFonts w:ascii="Palatino Linotype" w:eastAsia="Palatino Linotype" w:hAnsi="Palatino Linotype" w:cs="Palatino Linotype"/>
          <w:b/>
          <w:color w:val="000000"/>
          <w:sz w:val="24"/>
          <w:szCs w:val="24"/>
        </w:rPr>
        <w:t>,</w:t>
      </w:r>
      <w:r w:rsidRPr="008F698B">
        <w:rPr>
          <w:rFonts w:ascii="Palatino Linotype" w:eastAsia="Palatino Linotype" w:hAnsi="Palatino Linotype" w:cs="Palatino Linotype"/>
          <w:color w:val="000000"/>
          <w:sz w:val="24"/>
          <w:szCs w:val="24"/>
        </w:rPr>
        <w:t xml:space="preserve"> la siguiente información:</w:t>
      </w:r>
    </w:p>
    <w:p w:rsidR="00871442" w:rsidRPr="008F698B" w:rsidRDefault="0032471D">
      <w:pPr>
        <w:numPr>
          <w:ilvl w:val="0"/>
          <w:numId w:val="4"/>
        </w:numPr>
        <w:pBdr>
          <w:top w:val="nil"/>
          <w:left w:val="nil"/>
          <w:bottom w:val="nil"/>
          <w:right w:val="nil"/>
          <w:between w:val="nil"/>
        </w:pBdr>
        <w:spacing w:before="240" w:line="360" w:lineRule="auto"/>
        <w:ind w:left="851" w:right="-592" w:firstLine="0"/>
        <w:jc w:val="both"/>
        <w:rPr>
          <w:rFonts w:ascii="Palatino Linotype" w:eastAsia="Palatino Linotype" w:hAnsi="Palatino Linotype" w:cs="Palatino Linotype"/>
          <w:b/>
          <w:color w:val="000000"/>
          <w:sz w:val="24"/>
          <w:szCs w:val="24"/>
        </w:rPr>
      </w:pPr>
      <w:r w:rsidRPr="008F698B">
        <w:rPr>
          <w:rFonts w:ascii="Palatino Linotype" w:eastAsia="Palatino Linotype" w:hAnsi="Palatino Linotype" w:cs="Palatino Linotype"/>
          <w:b/>
          <w:color w:val="000000"/>
          <w:sz w:val="24"/>
          <w:szCs w:val="24"/>
        </w:rPr>
        <w:t>Documento o documentos donde conste el precio unitario de los componentes que conforman todo el armado y conectividad de los postes con cámaras y botones de pánico, a la fecha de la solicitud;</w:t>
      </w:r>
    </w:p>
    <w:p w:rsidR="00871442" w:rsidRPr="008F698B" w:rsidRDefault="0032471D">
      <w:pPr>
        <w:numPr>
          <w:ilvl w:val="0"/>
          <w:numId w:val="4"/>
        </w:numPr>
        <w:pBdr>
          <w:top w:val="nil"/>
          <w:left w:val="nil"/>
          <w:bottom w:val="nil"/>
          <w:right w:val="nil"/>
          <w:between w:val="nil"/>
        </w:pBdr>
        <w:spacing w:line="360" w:lineRule="auto"/>
        <w:ind w:left="851" w:right="-592" w:firstLine="0"/>
        <w:jc w:val="both"/>
        <w:rPr>
          <w:rFonts w:ascii="Palatino Linotype" w:eastAsia="Palatino Linotype" w:hAnsi="Palatino Linotype" w:cs="Palatino Linotype"/>
          <w:b/>
          <w:color w:val="000000"/>
          <w:sz w:val="24"/>
          <w:szCs w:val="24"/>
        </w:rPr>
      </w:pPr>
      <w:r w:rsidRPr="008F698B">
        <w:rPr>
          <w:rFonts w:ascii="Palatino Linotype" w:eastAsia="Palatino Linotype" w:hAnsi="Palatino Linotype" w:cs="Palatino Linotype"/>
          <w:b/>
          <w:color w:val="000000"/>
          <w:sz w:val="24"/>
          <w:szCs w:val="24"/>
        </w:rPr>
        <w:t xml:space="preserve">Acuerdo emitido por el Comité de Transparencia, en el que clasifique como reservadas las especificaciones de los componentes de postes con cámaras y botones de pánico, a la fecha de la solicitud. </w:t>
      </w:r>
    </w:p>
    <w:p w:rsidR="00871442" w:rsidRPr="008F698B" w:rsidRDefault="00871442">
      <w:pPr>
        <w:pBdr>
          <w:top w:val="nil"/>
          <w:left w:val="nil"/>
          <w:bottom w:val="nil"/>
          <w:right w:val="nil"/>
          <w:between w:val="nil"/>
        </w:pBdr>
        <w:spacing w:after="160" w:line="360" w:lineRule="auto"/>
        <w:ind w:left="720" w:right="-592"/>
        <w:jc w:val="both"/>
        <w:rPr>
          <w:rFonts w:ascii="Palatino Linotype" w:eastAsia="Palatino Linotype" w:hAnsi="Palatino Linotype" w:cs="Palatino Linotype"/>
          <w:b/>
          <w:color w:val="000000"/>
          <w:sz w:val="24"/>
          <w:szCs w:val="24"/>
        </w:rPr>
      </w:pPr>
    </w:p>
    <w:p w:rsidR="00871442" w:rsidRPr="008F698B" w:rsidRDefault="0032471D">
      <w:pPr>
        <w:spacing w:after="160"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 la parte recurrente. </w:t>
      </w:r>
    </w:p>
    <w:p w:rsidR="009A0152" w:rsidRPr="008F698B" w:rsidRDefault="009A0152">
      <w:pPr>
        <w:spacing w:after="160" w:line="360" w:lineRule="auto"/>
        <w:ind w:right="-592"/>
        <w:jc w:val="both"/>
        <w:rPr>
          <w:rFonts w:ascii="Palatino Linotype" w:eastAsia="Palatino Linotype" w:hAnsi="Palatino Linotype" w:cs="Palatino Linotype"/>
          <w:sz w:val="24"/>
          <w:szCs w:val="24"/>
        </w:rPr>
      </w:pPr>
    </w:p>
    <w:p w:rsidR="00871442" w:rsidRPr="008F698B" w:rsidRDefault="0032471D">
      <w:pPr>
        <w:tabs>
          <w:tab w:val="left" w:pos="284"/>
          <w:tab w:val="left" w:pos="8080"/>
        </w:tabs>
        <w:spacing w:line="360" w:lineRule="auto"/>
        <w:ind w:right="-592"/>
        <w:jc w:val="both"/>
        <w:rPr>
          <w:rFonts w:ascii="Palatino Linotype" w:eastAsia="Palatino Linotype" w:hAnsi="Palatino Linotype" w:cs="Palatino Linotype"/>
          <w:color w:val="222222"/>
          <w:sz w:val="24"/>
          <w:szCs w:val="24"/>
        </w:rPr>
      </w:pPr>
      <w:r w:rsidRPr="008F698B">
        <w:rPr>
          <w:rFonts w:ascii="Palatino Linotype" w:eastAsia="Palatino Linotype" w:hAnsi="Palatino Linotype" w:cs="Palatino Linotype"/>
          <w:b/>
          <w:sz w:val="24"/>
          <w:szCs w:val="24"/>
        </w:rPr>
        <w:t xml:space="preserve">TERCERO. </w:t>
      </w:r>
      <w:r w:rsidRPr="008F698B">
        <w:rPr>
          <w:rFonts w:ascii="Palatino Linotype" w:eastAsia="Palatino Linotype" w:hAnsi="Palatino Linotype" w:cs="Palatino Linotype"/>
          <w:b/>
          <w:color w:val="222222"/>
          <w:sz w:val="24"/>
          <w:szCs w:val="24"/>
        </w:rPr>
        <w:t>NOTIFÍQUESE</w:t>
      </w:r>
      <w:r w:rsidRPr="008F698B">
        <w:rPr>
          <w:rFonts w:ascii="Palatino Linotype" w:eastAsia="Palatino Linotype" w:hAnsi="Palatino Linotype" w:cs="Palatino Linotype"/>
          <w:color w:val="222222"/>
          <w:sz w:val="24"/>
          <w:szCs w:val="24"/>
        </w:rPr>
        <w:t xml:space="preserve"> la presente resolución al Titular de la Unidad de Transparencia del Sujeto Obligado </w:t>
      </w:r>
      <w:r w:rsidRPr="008F698B">
        <w:rPr>
          <w:rFonts w:ascii="Palatino Linotype" w:eastAsia="Palatino Linotype" w:hAnsi="Palatino Linotype" w:cs="Palatino Linotype"/>
          <w:b/>
          <w:color w:val="222222"/>
          <w:sz w:val="24"/>
          <w:szCs w:val="24"/>
        </w:rPr>
        <w:t>vía SAIMEX</w:t>
      </w:r>
      <w:r w:rsidRPr="008F698B">
        <w:rPr>
          <w:rFonts w:ascii="Palatino Linotype" w:eastAsia="Palatino Linotype" w:hAnsi="Palatino Linotype" w:cs="Palatino Linotype"/>
          <w:color w:val="222222"/>
          <w:sz w:val="24"/>
          <w:szCs w:val="24"/>
        </w:rPr>
        <w:t xml:space="preserve">, para que conforme al artículo 186 último párrafo, 189 </w:t>
      </w:r>
      <w:r w:rsidRPr="008F698B">
        <w:rPr>
          <w:rFonts w:ascii="Palatino Linotype" w:eastAsia="Palatino Linotype" w:hAnsi="Palatino Linotype" w:cs="Palatino Linotype"/>
          <w:color w:val="222222"/>
          <w:sz w:val="24"/>
          <w:szCs w:val="24"/>
        </w:rPr>
        <w:lastRenderedPageBreak/>
        <w:t>segundo párrafo y 194 de la Ley de Transparencia y Acceso a la Información Pública del Estado de México y Municipios; d</w:t>
      </w:r>
      <w:r w:rsidRPr="008F698B">
        <w:rPr>
          <w:rFonts w:ascii="Palatino Linotype" w:eastAsia="Palatino Linotype" w:hAnsi="Palatino Linotype" w:cs="Palatino Linotype"/>
          <w:b/>
          <w:color w:val="222222"/>
          <w:sz w:val="24"/>
          <w:szCs w:val="24"/>
        </w:rPr>
        <w:t>é cumplimiento a lo ordenado dentro del plazo de diez días hábiles,</w:t>
      </w:r>
      <w:r w:rsidRPr="008F698B">
        <w:rPr>
          <w:rFonts w:ascii="Palatino Linotype" w:eastAsia="Palatino Linotype" w:hAnsi="Palatino Linotype" w:cs="Palatino Linotype"/>
          <w:color w:val="222222"/>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871442" w:rsidRPr="008F698B" w:rsidRDefault="00871442">
      <w:pPr>
        <w:tabs>
          <w:tab w:val="left" w:pos="284"/>
          <w:tab w:val="left" w:pos="8080"/>
        </w:tabs>
        <w:spacing w:line="360" w:lineRule="auto"/>
        <w:ind w:right="-592"/>
        <w:jc w:val="both"/>
        <w:rPr>
          <w:rFonts w:ascii="Palatino Linotype" w:eastAsia="Palatino Linotype" w:hAnsi="Palatino Linotype" w:cs="Palatino Linotype"/>
          <w:color w:val="222222"/>
          <w:sz w:val="24"/>
          <w:szCs w:val="24"/>
        </w:rPr>
      </w:pPr>
    </w:p>
    <w:p w:rsidR="00871442" w:rsidRPr="008F698B" w:rsidRDefault="0032471D">
      <w:pPr>
        <w:tabs>
          <w:tab w:val="left" w:pos="284"/>
        </w:tabs>
        <w:spacing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sz w:val="24"/>
          <w:szCs w:val="24"/>
        </w:rPr>
        <w:t xml:space="preserve">CUARTO. </w:t>
      </w:r>
      <w:r w:rsidRPr="008F698B">
        <w:rPr>
          <w:rFonts w:ascii="Palatino Linotype" w:eastAsia="Palatino Linotype" w:hAnsi="Palatino Linotype" w:cs="Palatino Linotype"/>
          <w:b/>
          <w:color w:val="222222"/>
          <w:sz w:val="24"/>
          <w:szCs w:val="24"/>
        </w:rPr>
        <w:t xml:space="preserve">Notifíquese </w:t>
      </w:r>
      <w:r w:rsidRPr="008F698B">
        <w:rPr>
          <w:rFonts w:ascii="Palatino Linotype" w:eastAsia="Palatino Linotype" w:hAnsi="Palatino Linotype" w:cs="Palatino Linotype"/>
          <w:color w:val="222222"/>
          <w:sz w:val="24"/>
          <w:szCs w:val="24"/>
        </w:rPr>
        <w:t xml:space="preserve">al </w:t>
      </w:r>
      <w:r w:rsidRPr="008F698B">
        <w:rPr>
          <w:rFonts w:ascii="Palatino Linotype" w:eastAsia="Palatino Linotype" w:hAnsi="Palatino Linotype" w:cs="Palatino Linotype"/>
          <w:b/>
          <w:color w:val="222222"/>
          <w:sz w:val="24"/>
          <w:szCs w:val="24"/>
        </w:rPr>
        <w:t xml:space="preserve">RECURRENTE </w:t>
      </w:r>
      <w:r w:rsidRPr="008F698B">
        <w:rPr>
          <w:rFonts w:ascii="Palatino Linotype" w:eastAsia="Palatino Linotype" w:hAnsi="Palatino Linotype" w:cs="Palatino Linotype"/>
          <w:sz w:val="24"/>
          <w:szCs w:val="24"/>
        </w:rPr>
        <w:t>la presente resolución a través del Sistema de Acceso a la Información Mexiquense (SAIMEX).</w:t>
      </w:r>
    </w:p>
    <w:p w:rsidR="00871442" w:rsidRPr="008F698B" w:rsidRDefault="00871442">
      <w:pPr>
        <w:tabs>
          <w:tab w:val="left" w:pos="284"/>
        </w:tabs>
        <w:spacing w:line="360" w:lineRule="auto"/>
        <w:ind w:right="-592"/>
        <w:jc w:val="both"/>
        <w:rPr>
          <w:rFonts w:ascii="Palatino Linotype" w:eastAsia="Palatino Linotype" w:hAnsi="Palatino Linotype" w:cs="Palatino Linotype"/>
          <w:sz w:val="24"/>
          <w:szCs w:val="24"/>
        </w:rPr>
      </w:pPr>
    </w:p>
    <w:p w:rsidR="00871442" w:rsidRPr="008F698B" w:rsidRDefault="0032471D">
      <w:pPr>
        <w:spacing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sz w:val="24"/>
          <w:szCs w:val="24"/>
        </w:rPr>
        <w:t xml:space="preserve">QUINTO. </w:t>
      </w:r>
      <w:r w:rsidRPr="008F698B">
        <w:rPr>
          <w:rFonts w:ascii="Palatino Linotype" w:eastAsia="Palatino Linotype" w:hAnsi="Palatino Linotype" w:cs="Palatino Linotype"/>
          <w:sz w:val="24"/>
          <w:szCs w:val="24"/>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rsidR="00C6467F" w:rsidRPr="008F698B" w:rsidRDefault="0032471D">
      <w:pPr>
        <w:spacing w:before="240" w:after="360"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b/>
          <w:sz w:val="24"/>
          <w:szCs w:val="24"/>
        </w:rPr>
        <w:t>SEXTO.</w:t>
      </w:r>
      <w:r w:rsidRPr="008F698B">
        <w:rPr>
          <w:rFonts w:ascii="Palatino Linotype" w:eastAsia="Palatino Linotype" w:hAnsi="Palatino Linotype" w:cs="Palatino Linotype"/>
          <w:color w:val="222222"/>
          <w:sz w:val="24"/>
          <w:szCs w:val="24"/>
        </w:rPr>
        <w:t xml:space="preserve"> </w:t>
      </w:r>
      <w:r w:rsidRPr="008F698B">
        <w:rPr>
          <w:rFonts w:ascii="Palatino Linotype" w:eastAsia="Palatino Linotype" w:hAnsi="Palatino Linotype" w:cs="Palatino Linotype"/>
          <w:sz w:val="24"/>
          <w:szCs w:val="24"/>
        </w:rPr>
        <w:t xml:space="preserve">Se hace del conocimiento del RECURRENTE que, de conformidad con lo establecido en el artículo 196 de la Ley de Transparencia y Acceso a la Información Pública del Estado de México y Municipios, y en lo dispuesto en los artículos 159 y 160 de la Ley General de Transparencia y Acceso a la Información Pública, en caso de que considere que la resolución le cause algún perjuicio podrá impugnar vía recurso de inconformidad ante el </w:t>
      </w:r>
      <w:r w:rsidRPr="008F698B">
        <w:rPr>
          <w:rFonts w:ascii="Palatino Linotype" w:eastAsia="Palatino Linotype" w:hAnsi="Palatino Linotype" w:cs="Palatino Linotype"/>
          <w:sz w:val="24"/>
          <w:szCs w:val="24"/>
        </w:rPr>
        <w:lastRenderedPageBreak/>
        <w:t>Instituto Nacional de Transparencia, Acceso a la Información y Protección de Datos, o bien, vía juicio de amparo en los términos de las leyes aplicables.</w:t>
      </w:r>
    </w:p>
    <w:p w:rsidR="00871442" w:rsidRPr="00C6467F" w:rsidRDefault="00C6467F">
      <w:pPr>
        <w:spacing w:before="240" w:after="240" w:line="360" w:lineRule="auto"/>
        <w:ind w:right="-592"/>
        <w:jc w:val="both"/>
        <w:rPr>
          <w:rFonts w:ascii="Palatino Linotype" w:eastAsia="Palatino Linotype" w:hAnsi="Palatino Linotype" w:cs="Palatino Linotype"/>
          <w:sz w:val="24"/>
          <w:szCs w:val="24"/>
        </w:rPr>
      </w:pPr>
      <w:r w:rsidRPr="008F698B">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9A0152" w:rsidRPr="008F698B">
        <w:rPr>
          <w:rFonts w:ascii="Palatino Linotype" w:eastAsia="Palatino Linotype" w:hAnsi="Palatino Linotype" w:cs="Palatino Linotype"/>
          <w:sz w:val="24"/>
          <w:szCs w:val="24"/>
        </w:rPr>
        <w:t xml:space="preserve">EMITIENDO VOTO PARTICULAR </w:t>
      </w:r>
      <w:r w:rsidRPr="008F698B">
        <w:rPr>
          <w:rFonts w:ascii="Palatino Linotype" w:eastAsia="Palatino Linotype" w:hAnsi="Palatino Linotype" w:cs="Palatino Linotype"/>
          <w:sz w:val="24"/>
          <w:szCs w:val="24"/>
        </w:rPr>
        <w:t>Y GUADALUPE RAMÍREZ PEÑA; EN LA DÉCIMA SESIÓN ORDINARIA, CELEBRADA EL VEINTE (20) DE MARZO DE DOS MIL VEINTICINCO, ANTE EL SECRETARIO TÉCNICO DEL PLENO ALEXIS TAPIA RAMÍREZ.</w:t>
      </w: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spacing w:before="240" w:after="360" w:line="360" w:lineRule="auto"/>
        <w:ind w:right="-592"/>
        <w:jc w:val="both"/>
        <w:rPr>
          <w:rFonts w:ascii="Palatino Linotype" w:eastAsia="Palatino Linotype" w:hAnsi="Palatino Linotype" w:cs="Palatino Linotype"/>
          <w:color w:val="222222"/>
          <w:sz w:val="24"/>
          <w:szCs w:val="24"/>
        </w:rPr>
      </w:pPr>
    </w:p>
    <w:p w:rsidR="00871442" w:rsidRPr="00C6467F" w:rsidRDefault="00871442">
      <w:pPr>
        <w:ind w:right="-592"/>
        <w:rPr>
          <w:rFonts w:ascii="Palatino Linotype" w:hAnsi="Palatino Linotype"/>
          <w:sz w:val="24"/>
          <w:szCs w:val="24"/>
        </w:rPr>
      </w:pPr>
    </w:p>
    <w:p w:rsidR="00871442" w:rsidRPr="00C6467F" w:rsidRDefault="00871442">
      <w:pPr>
        <w:ind w:right="-592"/>
        <w:rPr>
          <w:rFonts w:ascii="Palatino Linotype" w:hAnsi="Palatino Linotype"/>
          <w:sz w:val="24"/>
          <w:szCs w:val="24"/>
        </w:rPr>
      </w:pPr>
    </w:p>
    <w:p w:rsidR="00871442" w:rsidRPr="00C6467F" w:rsidRDefault="00871442">
      <w:pPr>
        <w:ind w:right="-592"/>
        <w:rPr>
          <w:rFonts w:ascii="Palatino Linotype" w:hAnsi="Palatino Linotype"/>
          <w:sz w:val="24"/>
          <w:szCs w:val="24"/>
        </w:rPr>
      </w:pPr>
    </w:p>
    <w:sectPr w:rsidR="00871442" w:rsidRPr="00C6467F">
      <w:headerReference w:type="even" r:id="rId20"/>
      <w:headerReference w:type="default" r:id="rId21"/>
      <w:footerReference w:type="default" r:id="rId22"/>
      <w:headerReference w:type="first" r:id="rId23"/>
      <w:footerReference w:type="first" r:id="rId24"/>
      <w:pgSz w:w="12240" w:h="15840"/>
      <w:pgMar w:top="80" w:right="1608" w:bottom="1418" w:left="1588" w:header="709"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32F" w:rsidRDefault="00BB332F">
      <w:r>
        <w:separator/>
      </w:r>
    </w:p>
  </w:endnote>
  <w:endnote w:type="continuationSeparator" w:id="0">
    <w:p w:rsidR="00BB332F" w:rsidRDefault="00BB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42" w:rsidRDefault="00871442">
    <w:pPr>
      <w:pBdr>
        <w:top w:val="nil"/>
        <w:left w:val="nil"/>
        <w:bottom w:val="nil"/>
        <w:right w:val="nil"/>
        <w:between w:val="nil"/>
      </w:pBdr>
      <w:tabs>
        <w:tab w:val="center" w:pos="4419"/>
        <w:tab w:val="right" w:pos="8838"/>
      </w:tabs>
      <w:jc w:val="right"/>
      <w:rPr>
        <w:color w:val="000000"/>
      </w:rPr>
    </w:pPr>
  </w:p>
  <w:p w:rsidR="00871442" w:rsidRDefault="0032471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2C82">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2C82">
      <w:rPr>
        <w:b/>
        <w:noProof/>
        <w:color w:val="000000"/>
        <w:sz w:val="24"/>
        <w:szCs w:val="24"/>
      </w:rPr>
      <w:t>60</w:t>
    </w:r>
    <w:r>
      <w:rPr>
        <w:b/>
        <w:color w:val="000000"/>
        <w:sz w:val="24"/>
        <w:szCs w:val="24"/>
      </w:rPr>
      <w:fldChar w:fldCharType="end"/>
    </w:r>
  </w:p>
  <w:p w:rsidR="00871442" w:rsidRDefault="00871442">
    <w:pPr>
      <w:pBdr>
        <w:top w:val="nil"/>
        <w:left w:val="nil"/>
        <w:bottom w:val="nil"/>
        <w:right w:val="nil"/>
        <w:between w:val="nil"/>
      </w:pBdr>
      <w:tabs>
        <w:tab w:val="center" w:pos="4419"/>
        <w:tab w:val="right" w:pos="8838"/>
      </w:tabs>
      <w:rPr>
        <w:color w:val="000000"/>
      </w:rPr>
    </w:pPr>
  </w:p>
  <w:p w:rsidR="00871442" w:rsidRDefault="00871442"/>
  <w:p w:rsidR="00871442" w:rsidRDefault="00871442"/>
  <w:p w:rsidR="00871442" w:rsidRDefault="008714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42" w:rsidRDefault="0032471D">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3D2C82">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3D2C82">
      <w:rPr>
        <w:b/>
        <w:noProof/>
        <w:color w:val="000000"/>
        <w:sz w:val="24"/>
        <w:szCs w:val="24"/>
      </w:rPr>
      <w:t>60</w:t>
    </w:r>
    <w:r>
      <w:rPr>
        <w:b/>
        <w:color w:val="000000"/>
        <w:sz w:val="24"/>
        <w:szCs w:val="24"/>
      </w:rPr>
      <w:fldChar w:fldCharType="end"/>
    </w:r>
  </w:p>
  <w:p w:rsidR="00871442" w:rsidRDefault="00871442">
    <w:pPr>
      <w:pBdr>
        <w:top w:val="nil"/>
        <w:left w:val="nil"/>
        <w:bottom w:val="nil"/>
        <w:right w:val="nil"/>
        <w:between w:val="nil"/>
      </w:pBdr>
      <w:tabs>
        <w:tab w:val="center" w:pos="4419"/>
        <w:tab w:val="right" w:pos="8838"/>
      </w:tabs>
      <w:rPr>
        <w:color w:val="000000"/>
      </w:rPr>
    </w:pPr>
  </w:p>
  <w:p w:rsidR="00871442" w:rsidRDefault="00871442"/>
  <w:p w:rsidR="00871442" w:rsidRDefault="00871442"/>
  <w:p w:rsidR="00871442" w:rsidRDefault="008714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32F" w:rsidRDefault="00BB332F">
      <w:r>
        <w:separator/>
      </w:r>
    </w:p>
  </w:footnote>
  <w:footnote w:type="continuationSeparator" w:id="0">
    <w:p w:rsidR="00BB332F" w:rsidRDefault="00BB332F">
      <w:r>
        <w:continuationSeparator/>
      </w:r>
    </w:p>
  </w:footnote>
  <w:footnote w:id="1">
    <w:p w:rsidR="00871442" w:rsidRDefault="0032471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Artículo 150. Ley de Transparencia y Acceso a la Información Pública del Estado de México y Municipios.</w:t>
      </w:r>
    </w:p>
    <w:p w:rsidR="00871442" w:rsidRDefault="0032471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Artículo 151. Ibídem.</w:t>
      </w:r>
    </w:p>
  </w:footnote>
  <w:footnote w:id="2">
    <w:p w:rsidR="00871442" w:rsidRDefault="0032471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Fracción IV. Artículo 53. Ibídem.</w:t>
      </w:r>
    </w:p>
  </w:footnote>
  <w:footnote w:id="3">
    <w:p w:rsidR="00871442" w:rsidRDefault="0032471D">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Ley de Transparencia y Acceso a la Información Pública del Estado de México y Municipios. Artículo 9. …</w:t>
      </w:r>
    </w:p>
    <w:p w:rsidR="00871442" w:rsidRDefault="0032471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II. Eficacia: Obligación del Instituto para tutelar, de manera efectiva, el derecho de acceso a la información;</w:t>
      </w:r>
    </w:p>
    <w:p w:rsidR="00871442" w:rsidRDefault="0032471D">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42" w:rsidRDefault="00BB332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663.5pt;height:12in;z-index:-251657728;mso-position-horizontal:center;mso-position-horizontal-relative:margin;mso-position-vertical:center;mso-position-vertical-relative:margin">
          <v:imagedata r:id="rId1" o:title="image4"/>
          <w10:wrap anchorx="margin" anchory="margin"/>
        </v:shape>
      </w:pict>
    </w:r>
  </w:p>
  <w:p w:rsidR="00871442" w:rsidRDefault="00871442"/>
  <w:p w:rsidR="00871442" w:rsidRDefault="00871442"/>
  <w:p w:rsidR="00871442" w:rsidRDefault="008714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42" w:rsidRDefault="00871442">
    <w:pPr>
      <w:widowControl w:val="0"/>
      <w:pBdr>
        <w:top w:val="nil"/>
        <w:left w:val="nil"/>
        <w:bottom w:val="nil"/>
        <w:right w:val="nil"/>
        <w:between w:val="nil"/>
      </w:pBdr>
      <w:spacing w:line="276" w:lineRule="auto"/>
    </w:pPr>
  </w:p>
  <w:tbl>
    <w:tblPr>
      <w:tblStyle w:val="a1"/>
      <w:tblW w:w="9356" w:type="dxa"/>
      <w:tblInd w:w="0" w:type="dxa"/>
      <w:tblLayout w:type="fixed"/>
      <w:tblLook w:val="0400" w:firstRow="0" w:lastRow="0" w:firstColumn="0" w:lastColumn="0" w:noHBand="0" w:noVBand="1"/>
    </w:tblPr>
    <w:tblGrid>
      <w:gridCol w:w="1843"/>
      <w:gridCol w:w="7513"/>
    </w:tblGrid>
    <w:tr w:rsidR="00871442">
      <w:trPr>
        <w:trHeight w:val="1435"/>
      </w:trPr>
      <w:tc>
        <w:tcPr>
          <w:tcW w:w="1843" w:type="dxa"/>
          <w:shd w:val="clear" w:color="auto" w:fill="auto"/>
        </w:tcPr>
        <w:p w:rsidR="00871442" w:rsidRDefault="0032471D">
          <w:pPr>
            <w:tabs>
              <w:tab w:val="right" w:pos="4273"/>
            </w:tabs>
            <w:rPr>
              <w:rFonts w:ascii="Garamond" w:eastAsia="Garamond" w:hAnsi="Garamond" w:cs="Garamond"/>
              <w:sz w:val="16"/>
              <w:szCs w:val="16"/>
            </w:rPr>
          </w:pPr>
          <w:r>
            <w:rPr>
              <w:rFonts w:ascii="Garamond" w:eastAsia="Garamond" w:hAnsi="Garamond" w:cs="Garamond"/>
              <w:sz w:val="16"/>
              <w:szCs w:val="16"/>
            </w:rPr>
            <w:t xml:space="preserve"> </w:t>
          </w:r>
        </w:p>
      </w:tc>
      <w:tc>
        <w:tcPr>
          <w:tcW w:w="7513" w:type="dxa"/>
          <w:shd w:val="clear" w:color="auto" w:fill="auto"/>
        </w:tcPr>
        <w:p w:rsidR="00871442" w:rsidRDefault="00871442"/>
        <w:tbl>
          <w:tblPr>
            <w:tblStyle w:val="a2"/>
            <w:tblW w:w="5670" w:type="dxa"/>
            <w:tblInd w:w="1594" w:type="dxa"/>
            <w:tblBorders>
              <w:top w:val="nil"/>
              <w:left w:val="nil"/>
              <w:bottom w:val="nil"/>
              <w:right w:val="nil"/>
              <w:insideH w:val="nil"/>
              <w:insideV w:val="nil"/>
            </w:tblBorders>
            <w:tblLayout w:type="fixed"/>
            <w:tblLook w:val="0400" w:firstRow="0" w:lastRow="0" w:firstColumn="0" w:lastColumn="0" w:noHBand="0" w:noVBand="1"/>
          </w:tblPr>
          <w:tblGrid>
            <w:gridCol w:w="2625"/>
            <w:gridCol w:w="3045"/>
          </w:tblGrid>
          <w:tr w:rsidR="00871442">
            <w:trPr>
              <w:trHeight w:val="338"/>
            </w:trPr>
            <w:tc>
              <w:tcPr>
                <w:tcW w:w="2625" w:type="dxa"/>
              </w:tcPr>
              <w:p w:rsidR="00871442" w:rsidRDefault="00871442">
                <w:pPr>
                  <w:tabs>
                    <w:tab w:val="right" w:pos="8838"/>
                  </w:tabs>
                  <w:ind w:right="-105"/>
                  <w:rPr>
                    <w:rFonts w:ascii="Palatino Linotype" w:eastAsia="Palatino Linotype" w:hAnsi="Palatino Linotype" w:cs="Palatino Linotype"/>
                    <w:b/>
                    <w:sz w:val="22"/>
                    <w:szCs w:val="22"/>
                  </w:rPr>
                </w:pPr>
              </w:p>
              <w:p w:rsidR="00871442" w:rsidRDefault="0032471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045" w:type="dxa"/>
              </w:tcPr>
              <w:p w:rsidR="00871442" w:rsidRDefault="00871442">
                <w:pPr>
                  <w:tabs>
                    <w:tab w:val="right" w:pos="8838"/>
                  </w:tabs>
                  <w:ind w:right="-1088" w:hanging="101"/>
                  <w:rPr>
                    <w:rFonts w:ascii="Palatino Linotype" w:eastAsia="Palatino Linotype" w:hAnsi="Palatino Linotype" w:cs="Palatino Linotype"/>
                    <w:sz w:val="22"/>
                    <w:szCs w:val="22"/>
                  </w:rPr>
                </w:pPr>
              </w:p>
              <w:p w:rsidR="00871442" w:rsidRDefault="0032471D">
                <w:pPr>
                  <w:tabs>
                    <w:tab w:val="right" w:pos="8838"/>
                  </w:tabs>
                  <w:ind w:right="-1088" w:hanging="10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06418/INFOEM/IP/RR/2024</w:t>
                </w:r>
              </w:p>
            </w:tc>
          </w:tr>
          <w:tr w:rsidR="00871442">
            <w:trPr>
              <w:trHeight w:val="283"/>
            </w:trPr>
            <w:tc>
              <w:tcPr>
                <w:tcW w:w="2625" w:type="dxa"/>
              </w:tcPr>
              <w:p w:rsidR="00871442" w:rsidRDefault="0032471D">
                <w:pPr>
                  <w:tabs>
                    <w:tab w:val="right" w:pos="8838"/>
                  </w:tabs>
                  <w:ind w:right="-105"/>
                  <w:rPr>
                    <w:rFonts w:ascii="Palatino Linotype" w:eastAsia="Palatino Linotype" w:hAnsi="Palatino Linotype" w:cs="Palatino Linotype"/>
                    <w:b/>
                    <w:sz w:val="22"/>
                    <w:szCs w:val="22"/>
                  </w:rPr>
                </w:pPr>
                <w:bookmarkStart w:id="11" w:name="_heading=h.17dp8vu" w:colFirst="0" w:colLast="0"/>
                <w:bookmarkEnd w:id="11"/>
                <w:r>
                  <w:rPr>
                    <w:rFonts w:ascii="Palatino Linotype" w:eastAsia="Palatino Linotype" w:hAnsi="Palatino Linotype" w:cs="Palatino Linotype"/>
                    <w:b/>
                    <w:sz w:val="22"/>
                    <w:szCs w:val="22"/>
                  </w:rPr>
                  <w:t>Sujeto Obligado:</w:t>
                </w:r>
              </w:p>
            </w:tc>
            <w:tc>
              <w:tcPr>
                <w:tcW w:w="3045" w:type="dxa"/>
              </w:tcPr>
              <w:p w:rsidR="009A0152" w:rsidRDefault="0032471D">
                <w:pPr>
                  <w:tabs>
                    <w:tab w:val="left" w:pos="3827"/>
                    <w:tab w:val="right" w:pos="8838"/>
                  </w:tabs>
                  <w:ind w:left="-11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Ayuntamiento de Ecatepec </w:t>
                </w:r>
              </w:p>
              <w:p w:rsidR="00871442" w:rsidRDefault="0032471D">
                <w:pPr>
                  <w:tabs>
                    <w:tab w:val="left" w:pos="3827"/>
                    <w:tab w:val="right" w:pos="8838"/>
                  </w:tabs>
                  <w:ind w:left="-11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Morelos</w:t>
                </w:r>
              </w:p>
            </w:tc>
          </w:tr>
          <w:tr w:rsidR="00871442">
            <w:trPr>
              <w:trHeight w:val="283"/>
            </w:trPr>
            <w:tc>
              <w:tcPr>
                <w:tcW w:w="2625" w:type="dxa"/>
              </w:tcPr>
              <w:p w:rsidR="00871442" w:rsidRDefault="0032471D">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045" w:type="dxa"/>
              </w:tcPr>
              <w:p w:rsidR="00871442" w:rsidRDefault="0032471D">
                <w:pPr>
                  <w:tabs>
                    <w:tab w:val="right" w:pos="8838"/>
                  </w:tabs>
                  <w:ind w:left="-113" w:right="-1088"/>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871442" w:rsidRDefault="00871442">
          <w:pPr>
            <w:tabs>
              <w:tab w:val="right" w:pos="8838"/>
            </w:tabs>
            <w:ind w:left="-28"/>
            <w:jc w:val="both"/>
            <w:rPr>
              <w:rFonts w:ascii="Arial" w:eastAsia="Arial" w:hAnsi="Arial" w:cs="Arial"/>
              <w:b/>
              <w:sz w:val="22"/>
              <w:szCs w:val="22"/>
            </w:rPr>
          </w:pPr>
        </w:p>
      </w:tc>
    </w:tr>
  </w:tbl>
  <w:p w:rsidR="00871442" w:rsidRDefault="00BB332F">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104.3pt;margin-top:-133.1pt;width:663.5pt;height:12in;z-index:-251659776;mso-position-horizontal:absolute;mso-position-horizontal-relative:margin;mso-position-vertical:absolute;mso-position-vertical-relative:margin">
          <v:imagedata r:id="rId1" o:title="image4"/>
          <w10:wrap anchorx="margin" anchory="margin"/>
        </v:shape>
      </w:pict>
    </w:r>
  </w:p>
  <w:p w:rsidR="00871442" w:rsidRDefault="00871442"/>
  <w:p w:rsidR="00871442" w:rsidRDefault="00871442"/>
  <w:p w:rsidR="00871442" w:rsidRDefault="0087144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42" w:rsidRDefault="00871442">
    <w:pPr>
      <w:widowControl w:val="0"/>
      <w:pBdr>
        <w:top w:val="nil"/>
        <w:left w:val="nil"/>
        <w:bottom w:val="nil"/>
        <w:right w:val="nil"/>
        <w:between w:val="nil"/>
      </w:pBdr>
      <w:spacing w:line="276" w:lineRule="auto"/>
    </w:pPr>
  </w:p>
  <w:tbl>
    <w:tblPr>
      <w:tblStyle w:val="a3"/>
      <w:tblW w:w="10290" w:type="dxa"/>
      <w:tblInd w:w="0" w:type="dxa"/>
      <w:tblLayout w:type="fixed"/>
      <w:tblLook w:val="0400" w:firstRow="0" w:lastRow="0" w:firstColumn="0" w:lastColumn="0" w:noHBand="0" w:noVBand="1"/>
    </w:tblPr>
    <w:tblGrid>
      <w:gridCol w:w="1560"/>
      <w:gridCol w:w="8730"/>
    </w:tblGrid>
    <w:tr w:rsidR="00871442">
      <w:trPr>
        <w:trHeight w:val="1435"/>
      </w:trPr>
      <w:tc>
        <w:tcPr>
          <w:tcW w:w="1560" w:type="dxa"/>
          <w:shd w:val="clear" w:color="auto" w:fill="auto"/>
        </w:tcPr>
        <w:p w:rsidR="00871442" w:rsidRDefault="00871442">
          <w:pPr>
            <w:tabs>
              <w:tab w:val="right" w:pos="4273"/>
            </w:tabs>
            <w:rPr>
              <w:rFonts w:ascii="Garamond" w:eastAsia="Garamond" w:hAnsi="Garamond" w:cs="Garamond"/>
              <w:sz w:val="22"/>
              <w:szCs w:val="22"/>
            </w:rPr>
          </w:pPr>
        </w:p>
      </w:tc>
      <w:tc>
        <w:tcPr>
          <w:tcW w:w="8730" w:type="dxa"/>
          <w:shd w:val="clear" w:color="auto" w:fill="auto"/>
        </w:tcPr>
        <w:p w:rsidR="00871442" w:rsidRDefault="00871442">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4"/>
            <w:tblW w:w="8940" w:type="dxa"/>
            <w:tblInd w:w="1879" w:type="dxa"/>
            <w:tblBorders>
              <w:top w:val="nil"/>
              <w:left w:val="nil"/>
              <w:bottom w:val="nil"/>
              <w:right w:val="nil"/>
              <w:insideH w:val="nil"/>
              <w:insideV w:val="nil"/>
            </w:tblBorders>
            <w:tblLayout w:type="fixed"/>
            <w:tblLook w:val="0400" w:firstRow="0" w:lastRow="0" w:firstColumn="0" w:lastColumn="0" w:noHBand="0" w:noVBand="1"/>
          </w:tblPr>
          <w:tblGrid>
            <w:gridCol w:w="2445"/>
            <w:gridCol w:w="4335"/>
            <w:gridCol w:w="2160"/>
          </w:tblGrid>
          <w:tr w:rsidR="00871442">
            <w:trPr>
              <w:trHeight w:val="144"/>
            </w:trPr>
            <w:tc>
              <w:tcPr>
                <w:tcW w:w="2445" w:type="dxa"/>
              </w:tcPr>
              <w:p w:rsidR="00871442" w:rsidRDefault="0032471D">
                <w:pPr>
                  <w:tabs>
                    <w:tab w:val="right" w:pos="8838"/>
                  </w:tabs>
                  <w:ind w:left="-74" w:right="-105"/>
                  <w:rPr>
                    <w:rFonts w:ascii="Palatino Linotype" w:eastAsia="Palatino Linotype" w:hAnsi="Palatino Linotype" w:cs="Palatino Linotype"/>
                    <w:b/>
                    <w:sz w:val="22"/>
                    <w:szCs w:val="22"/>
                  </w:rPr>
                </w:pPr>
                <w:bookmarkStart w:id="12" w:name="_heading=h.3rdcrjn" w:colFirst="0" w:colLast="0"/>
                <w:bookmarkEnd w:id="12"/>
                <w:r>
                  <w:rPr>
                    <w:rFonts w:ascii="Palatino Linotype" w:eastAsia="Palatino Linotype" w:hAnsi="Palatino Linotype" w:cs="Palatino Linotype"/>
                    <w:b/>
                    <w:sz w:val="22"/>
                    <w:szCs w:val="22"/>
                  </w:rPr>
                  <w:t>Recurso de Revisión:</w:t>
                </w:r>
              </w:p>
            </w:tc>
            <w:tc>
              <w:tcPr>
                <w:tcW w:w="4335" w:type="dxa"/>
              </w:tcPr>
              <w:p w:rsidR="00871442" w:rsidRDefault="0032471D">
                <w:pPr>
                  <w:tabs>
                    <w:tab w:val="right" w:pos="8838"/>
                  </w:tabs>
                  <w:ind w:left="-3"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06418/INFOEM/IP/RR/2024</w:t>
                </w:r>
              </w:p>
            </w:tc>
            <w:tc>
              <w:tcPr>
                <w:tcW w:w="2160" w:type="dxa"/>
              </w:tcPr>
              <w:p w:rsidR="00871442" w:rsidRDefault="00871442">
                <w:pPr>
                  <w:tabs>
                    <w:tab w:val="right" w:pos="8838"/>
                  </w:tabs>
                  <w:ind w:left="-74" w:right="-105"/>
                  <w:jc w:val="both"/>
                  <w:rPr>
                    <w:rFonts w:ascii="Palatino Linotype" w:eastAsia="Palatino Linotype" w:hAnsi="Palatino Linotype" w:cs="Palatino Linotype"/>
                    <w:sz w:val="22"/>
                    <w:szCs w:val="22"/>
                  </w:rPr>
                </w:pPr>
              </w:p>
            </w:tc>
          </w:tr>
          <w:tr w:rsidR="00871442">
            <w:trPr>
              <w:trHeight w:val="144"/>
            </w:trPr>
            <w:tc>
              <w:tcPr>
                <w:tcW w:w="2445" w:type="dxa"/>
              </w:tcPr>
              <w:p w:rsidR="00871442" w:rsidRDefault="0032471D">
                <w:pPr>
                  <w:tabs>
                    <w:tab w:val="right" w:pos="8838"/>
                  </w:tabs>
                  <w:ind w:left="-74" w:right="-105"/>
                  <w:rPr>
                    <w:rFonts w:ascii="Palatino Linotype" w:eastAsia="Palatino Linotype" w:hAnsi="Palatino Linotype" w:cs="Palatino Linotype"/>
                    <w:b/>
                    <w:sz w:val="22"/>
                    <w:szCs w:val="22"/>
                  </w:rPr>
                </w:pPr>
                <w:bookmarkStart w:id="13" w:name="_heading=h.26in1rg" w:colFirst="0" w:colLast="0"/>
                <w:bookmarkEnd w:id="13"/>
                <w:r>
                  <w:rPr>
                    <w:rFonts w:ascii="Palatino Linotype" w:eastAsia="Palatino Linotype" w:hAnsi="Palatino Linotype" w:cs="Palatino Linotype"/>
                    <w:b/>
                    <w:sz w:val="22"/>
                    <w:szCs w:val="22"/>
                  </w:rPr>
                  <w:t>Recurrente:</w:t>
                </w:r>
              </w:p>
            </w:tc>
            <w:tc>
              <w:tcPr>
                <w:tcW w:w="4335" w:type="dxa"/>
              </w:tcPr>
              <w:p w:rsidR="00871442" w:rsidRDefault="003D2C82">
                <w:pPr>
                  <w:tabs>
                    <w:tab w:val="left" w:pos="3122"/>
                    <w:tab w:val="right" w:pos="8838"/>
                  </w:tabs>
                  <w:ind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c>
              <w:tcPr>
                <w:tcW w:w="2160" w:type="dxa"/>
              </w:tcPr>
              <w:p w:rsidR="00871442" w:rsidRDefault="00871442">
                <w:pPr>
                  <w:tabs>
                    <w:tab w:val="left" w:pos="3122"/>
                    <w:tab w:val="right" w:pos="8838"/>
                  </w:tabs>
                  <w:ind w:right="-105"/>
                  <w:jc w:val="both"/>
                  <w:rPr>
                    <w:rFonts w:ascii="Palatino Linotype" w:eastAsia="Palatino Linotype" w:hAnsi="Palatino Linotype" w:cs="Palatino Linotype"/>
                    <w:sz w:val="22"/>
                    <w:szCs w:val="22"/>
                  </w:rPr>
                </w:pPr>
              </w:p>
            </w:tc>
          </w:tr>
          <w:tr w:rsidR="00871442">
            <w:trPr>
              <w:trHeight w:val="283"/>
            </w:trPr>
            <w:tc>
              <w:tcPr>
                <w:tcW w:w="2445" w:type="dxa"/>
              </w:tcPr>
              <w:p w:rsidR="00871442" w:rsidRDefault="0032471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335" w:type="dxa"/>
              </w:tcPr>
              <w:p w:rsidR="00871442" w:rsidRDefault="0032471D">
                <w:pPr>
                  <w:tabs>
                    <w:tab w:val="left" w:pos="2834"/>
                    <w:tab w:val="right" w:pos="8838"/>
                  </w:tabs>
                  <w:ind w:left="-3"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Ecatepec de Morelos</w:t>
                </w:r>
              </w:p>
            </w:tc>
            <w:tc>
              <w:tcPr>
                <w:tcW w:w="2160" w:type="dxa"/>
              </w:tcPr>
              <w:p w:rsidR="00871442" w:rsidRDefault="00871442">
                <w:pPr>
                  <w:tabs>
                    <w:tab w:val="left" w:pos="2834"/>
                    <w:tab w:val="right" w:pos="8838"/>
                  </w:tabs>
                  <w:ind w:left="-74" w:right="-105"/>
                  <w:jc w:val="both"/>
                  <w:rPr>
                    <w:rFonts w:ascii="Palatino Linotype" w:eastAsia="Palatino Linotype" w:hAnsi="Palatino Linotype" w:cs="Palatino Linotype"/>
                    <w:sz w:val="22"/>
                    <w:szCs w:val="22"/>
                  </w:rPr>
                </w:pPr>
              </w:p>
            </w:tc>
          </w:tr>
          <w:tr w:rsidR="00871442">
            <w:trPr>
              <w:trHeight w:val="283"/>
            </w:trPr>
            <w:tc>
              <w:tcPr>
                <w:tcW w:w="2445" w:type="dxa"/>
              </w:tcPr>
              <w:p w:rsidR="00871442" w:rsidRDefault="0032471D">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335" w:type="dxa"/>
              </w:tcPr>
              <w:p w:rsidR="00871442" w:rsidRDefault="0032471D">
                <w:pPr>
                  <w:tabs>
                    <w:tab w:val="right" w:pos="8838"/>
                  </w:tabs>
                  <w:ind w:left="-3" w:right="-1371"/>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c>
              <w:tcPr>
                <w:tcW w:w="2160" w:type="dxa"/>
              </w:tcPr>
              <w:p w:rsidR="00871442" w:rsidRDefault="00871442">
                <w:pPr>
                  <w:tabs>
                    <w:tab w:val="right" w:pos="8838"/>
                  </w:tabs>
                  <w:ind w:left="-74" w:right="-105"/>
                  <w:jc w:val="both"/>
                  <w:rPr>
                    <w:rFonts w:ascii="Palatino Linotype" w:eastAsia="Palatino Linotype" w:hAnsi="Palatino Linotype" w:cs="Palatino Linotype"/>
                    <w:sz w:val="22"/>
                    <w:szCs w:val="22"/>
                  </w:rPr>
                </w:pPr>
              </w:p>
            </w:tc>
          </w:tr>
        </w:tbl>
        <w:p w:rsidR="00871442" w:rsidRDefault="00871442">
          <w:pPr>
            <w:tabs>
              <w:tab w:val="right" w:pos="8838"/>
            </w:tabs>
            <w:ind w:left="-28"/>
            <w:jc w:val="both"/>
            <w:rPr>
              <w:rFonts w:ascii="Arial" w:eastAsia="Arial" w:hAnsi="Arial" w:cs="Arial"/>
              <w:b/>
              <w:sz w:val="22"/>
              <w:szCs w:val="22"/>
            </w:rPr>
          </w:pPr>
        </w:p>
      </w:tc>
    </w:tr>
  </w:tbl>
  <w:p w:rsidR="00871442" w:rsidRDefault="00BB332F">
    <w:pPr>
      <w:pBdr>
        <w:top w:val="nil"/>
        <w:left w:val="nil"/>
        <w:bottom w:val="nil"/>
        <w:right w:val="nil"/>
        <w:between w:val="nil"/>
      </w:pBdr>
      <w:tabs>
        <w:tab w:val="center" w:pos="4419"/>
        <w:tab w:val="right" w:pos="8838"/>
        <w:tab w:val="center" w:pos="4522"/>
      </w:tabs>
      <w:rPr>
        <w:color w:val="000000"/>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75.8pt;margin-top:-134.3pt;width:663.5pt;height:12in;z-index:-251658752;mso-position-horizontal:absolute;mso-position-horizontal-relative:margin;mso-position-vertical:absolute;mso-position-vertical-relative:margin">
          <v:imagedata r:id="rId1" o:title="image4"/>
          <w10:wrap anchorx="margin" anchory="margin"/>
        </v:shape>
      </w:pict>
    </w:r>
  </w:p>
  <w:p w:rsidR="00871442" w:rsidRDefault="00871442"/>
  <w:p w:rsidR="00871442" w:rsidRDefault="008714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82058"/>
    <w:multiLevelType w:val="multilevel"/>
    <w:tmpl w:val="FF7AB148"/>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sz w:val="24"/>
        <w:szCs w:val="24"/>
      </w:rPr>
    </w:lvl>
    <w:lvl w:ilvl="2">
      <w:start w:val="4"/>
      <w:numFmt w:val="lowerRoman"/>
      <w:lvlText w:val="%3."/>
      <w:lvlJc w:val="right"/>
      <w:pPr>
        <w:ind w:left="2160" w:hanging="180"/>
      </w:pPr>
    </w:lvl>
    <w:lvl w:ilvl="3">
      <w:start w:val="1"/>
      <w:numFmt w:val="lowerLetter"/>
      <w:lvlText w:val="%4)"/>
      <w:lvlJc w:val="left"/>
      <w:pPr>
        <w:ind w:left="644" w:hanging="359"/>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106E61"/>
    <w:multiLevelType w:val="multilevel"/>
    <w:tmpl w:val="8C4CAA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917814"/>
    <w:multiLevelType w:val="multilevel"/>
    <w:tmpl w:val="E71CE2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48F3ACE"/>
    <w:multiLevelType w:val="multilevel"/>
    <w:tmpl w:val="7B6EABD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534154"/>
    <w:multiLevelType w:val="multilevel"/>
    <w:tmpl w:val="F012AD2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42"/>
    <w:rsid w:val="0032471D"/>
    <w:rsid w:val="003D2C82"/>
    <w:rsid w:val="00654A3A"/>
    <w:rsid w:val="00742118"/>
    <w:rsid w:val="00871442"/>
    <w:rsid w:val="008F698B"/>
    <w:rsid w:val="009A0152"/>
    <w:rsid w:val="00A20CA7"/>
    <w:rsid w:val="00BB332F"/>
    <w:rsid w:val="00C6467F"/>
    <w:rsid w:val="00CB55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721592-6AA5-4135-AC01-6EBE5083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36A"/>
    <w:rPr>
      <w:lang w:eastAsia="es-ES"/>
    </w:rPr>
  </w:style>
  <w:style w:type="paragraph" w:styleId="Ttulo1">
    <w:name w:val="heading 1"/>
    <w:basedOn w:val="Normal"/>
    <w:next w:val="Normal"/>
    <w:link w:val="Ttulo1Car"/>
    <w:uiPriority w:val="9"/>
    <w:qFormat/>
    <w:rsid w:val="009E036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E036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E036A"/>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9E036A"/>
    <w:rPr>
      <w:rFonts w:asciiTheme="majorHAnsi" w:eastAsiaTheme="majorEastAsia" w:hAnsiTheme="majorHAnsi" w:cstheme="majorBidi"/>
      <w:color w:val="2E74B5" w:themeColor="accent1" w:themeShade="BF"/>
      <w:sz w:val="26"/>
      <w:szCs w:val="26"/>
      <w:lang w:eastAsia="es-E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E036A"/>
    <w:rPr>
      <w:rFonts w:ascii="Calibri" w:eastAsia="Calibri" w:hAnsi="Calibr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E036A"/>
    <w:rPr>
      <w:rFonts w:ascii="Calibri" w:eastAsia="Calibri" w:hAnsi="Calibri" w:cs="Times New Roman"/>
      <w:sz w:val="20"/>
      <w:szCs w:val="20"/>
    </w:rPr>
  </w:style>
  <w:style w:type="paragraph" w:styleId="Encabezado">
    <w:name w:val="header"/>
    <w:basedOn w:val="Normal"/>
    <w:link w:val="EncabezadoCar"/>
    <w:uiPriority w:val="99"/>
    <w:unhideWhenUsed/>
    <w:qFormat/>
    <w:rsid w:val="009E036A"/>
    <w:pPr>
      <w:tabs>
        <w:tab w:val="center" w:pos="4419"/>
        <w:tab w:val="right" w:pos="8838"/>
      </w:tabs>
    </w:pPr>
  </w:style>
  <w:style w:type="character" w:customStyle="1" w:styleId="EncabezadoCar">
    <w:name w:val="Encabezado Car"/>
    <w:basedOn w:val="Fuentedeprrafopredeter"/>
    <w:link w:val="Encabezado"/>
    <w:uiPriority w:val="99"/>
    <w:qFormat/>
    <w:rsid w:val="009E036A"/>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9E036A"/>
    <w:pPr>
      <w:tabs>
        <w:tab w:val="center" w:pos="4419"/>
        <w:tab w:val="right" w:pos="8838"/>
      </w:tabs>
    </w:pPr>
  </w:style>
  <w:style w:type="character" w:customStyle="1" w:styleId="PiedepginaCar">
    <w:name w:val="Pie de página Car"/>
    <w:basedOn w:val="Fuentedeprrafopredeter"/>
    <w:link w:val="Piedepgina"/>
    <w:uiPriority w:val="99"/>
    <w:qFormat/>
    <w:rsid w:val="009E036A"/>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9E036A"/>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qFormat/>
    <w:rsid w:val="009E036A"/>
    <w:rPr>
      <w:color w:val="0563C1" w:themeColor="hyperlink"/>
      <w:u w:val="single"/>
    </w:rPr>
  </w:style>
  <w:style w:type="table" w:styleId="Tablaconcuadrcula">
    <w:name w:val="Table Grid"/>
    <w:basedOn w:val="Tablanormal"/>
    <w:uiPriority w:val="39"/>
    <w:qFormat/>
    <w:rsid w:val="009E036A"/>
    <w:rPr>
      <w:rFonts w:eastAsia="SimSu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9E036A"/>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9E036A"/>
    <w:rPr>
      <w:rFonts w:ascii="Century Gothic" w:eastAsia="Times New Roman" w:hAnsi="Century Gothic" w:cs="Times New Roman"/>
      <w:szCs w:val="24"/>
      <w:lang w:eastAsia="es-ES"/>
    </w:rPr>
  </w:style>
  <w:style w:type="paragraph" w:styleId="Sinespaciado">
    <w:name w:val="No Spacing"/>
    <w:aliases w:val="Francesa,INAI"/>
    <w:link w:val="SinespaciadoCar"/>
    <w:uiPriority w:val="1"/>
    <w:qFormat/>
    <w:rsid w:val="009E036A"/>
    <w:pPr>
      <w:ind w:left="567" w:right="567"/>
      <w:jc w:val="both"/>
    </w:pPr>
    <w:rPr>
      <w:rFonts w:ascii="Arial" w:eastAsia="Batang" w:hAnsi="Arial"/>
      <w:szCs w:val="24"/>
      <w:lang w:eastAsia="es-ES"/>
    </w:rPr>
  </w:style>
  <w:style w:type="character" w:customStyle="1" w:styleId="SinespaciadoCar">
    <w:name w:val="Sin espaciado Car"/>
    <w:aliases w:val="Francesa Car,INAI Car"/>
    <w:basedOn w:val="Fuentedeprrafopredeter"/>
    <w:link w:val="Sinespaciado"/>
    <w:uiPriority w:val="1"/>
    <w:qFormat/>
    <w:rsid w:val="009E036A"/>
    <w:rPr>
      <w:rFonts w:ascii="Arial" w:eastAsia="Batang" w:hAnsi="Arial" w:cs="Times New Roman"/>
      <w:sz w:val="20"/>
      <w:szCs w:val="24"/>
      <w:lang w:eastAsia="es-ES"/>
    </w:rPr>
  </w:style>
  <w:style w:type="table" w:styleId="Tablanormal1">
    <w:name w:val="Plain Table 1"/>
    <w:basedOn w:val="Tablanormal"/>
    <w:uiPriority w:val="41"/>
    <w:rsid w:val="009E03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50405.page" TargetMode="External"/><Relationship Id="rId13" Type="http://schemas.openxmlformats.org/officeDocument/2006/relationships/hyperlink" Target="https://www.facebook.com/SistemaMunicipalDIFEcatepec/posts/-el-proyecto-jaguar-20-ya-es-una-realidad-nuestra-titular-esmeralda-vallejo-estu/940202254918326/?locale=es_LA"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oem.com.mx/la-prensa/metropoli/ecatepec-arranca-cruzada-contra-grupos-criminales-instala-2-mil-camaras-y-equipo-de-alta-tecnologia-en-seguridad-13069249.app.js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pitaledomex.com.mx/local/fernando-vilchis-pone-en-marcha-el-proyecto-jaguar-2-0-en-ecatepe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lanamayor.com.mx/fernando-vilchis-pone-en-operacion-proyecto-jaguar-2-0-de-videovigilancia-en-ecatepec/"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milenio.com/policia/ecatepec-pone-marcha-proyecto-jaguar-anuncia-alcalde" TargetMode="External"/><Relationship Id="rId14" Type="http://schemas.openxmlformats.org/officeDocument/2006/relationships/image" Target="media/image3.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NvWc2kzZbLql9xmTw0MA7R19zw==">CgMxLjAyCGguZ2pkZ3hzMgloLjMwajB6bGwyCWguMWZvYjl0ZTIJaC4zem55c2g3MgloLjJldDkycDAyCGgudHlqY3d0MgloLjNkeTZ2a20yCWguMXQzaDVzZjIJaC4yczhleW8xMgloLjRkMzRvZzgyCWguMnM4ZXlvMTIJaC4xN2RwOHZ1MgloLjNyZGNyam4yCWguMjZpbjFyZzgAciExV25yUTVZQlJtUmtKOGtscjFFLXdLRlJtQkJvZXp5bU8=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11587</Words>
  <Characters>63732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INFOEM549</dc:creator>
  <cp:lastModifiedBy>Cuenta Microsoft</cp:lastModifiedBy>
  <cp:revision>6</cp:revision>
  <cp:lastPrinted>2025-03-24T16:09:00Z</cp:lastPrinted>
  <dcterms:created xsi:type="dcterms:W3CDTF">2025-03-18T21:01:00Z</dcterms:created>
  <dcterms:modified xsi:type="dcterms:W3CDTF">2025-04-01T19:30:00Z</dcterms:modified>
</cp:coreProperties>
</file>