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0" w:name="_GoBack"/>
      <w:bookmarkEnd w:id="0"/>
      <w:r w:rsidRPr="00B90C1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quince de octubre de dos mil veinticinco. </w:t>
      </w:r>
    </w:p>
    <w:p w:rsidR="000710B6" w:rsidRPr="00B90C1F" w:rsidRDefault="0029535C">
      <w:pPr>
        <w:tabs>
          <w:tab w:val="left" w:pos="5812"/>
        </w:tabs>
        <w:spacing w:before="240" w:after="240" w:line="360" w:lineRule="auto"/>
        <w:jc w:val="both"/>
        <w:rPr>
          <w:rFonts w:ascii="Palatino Linotype" w:eastAsia="Palatino Linotype" w:hAnsi="Palatino Linotype" w:cs="Palatino Linotype"/>
          <w:b/>
          <w:sz w:val="22"/>
          <w:szCs w:val="22"/>
        </w:rPr>
      </w:pPr>
      <w:bookmarkStart w:id="1" w:name="_heading=h.daj3j2xo6q66" w:colFirst="0" w:colLast="0"/>
      <w:bookmarkEnd w:id="1"/>
      <w:r w:rsidRPr="00B90C1F">
        <w:rPr>
          <w:rFonts w:ascii="Palatino Linotype" w:eastAsia="Palatino Linotype" w:hAnsi="Palatino Linotype" w:cs="Palatino Linotype"/>
          <w:b/>
          <w:sz w:val="22"/>
          <w:szCs w:val="22"/>
        </w:rPr>
        <w:t>VISTO</w:t>
      </w:r>
      <w:r w:rsidRPr="00B90C1F">
        <w:rPr>
          <w:rFonts w:ascii="Palatino Linotype" w:eastAsia="Palatino Linotype" w:hAnsi="Palatino Linotype" w:cs="Palatino Linotype"/>
          <w:sz w:val="22"/>
          <w:szCs w:val="22"/>
        </w:rPr>
        <w:t xml:space="preserve"> el expediente formado con motivo del recurso de revisión </w:t>
      </w:r>
      <w:r w:rsidRPr="00B90C1F">
        <w:rPr>
          <w:rFonts w:ascii="Palatino Linotype" w:eastAsia="Palatino Linotype" w:hAnsi="Palatino Linotype" w:cs="Palatino Linotype"/>
          <w:b/>
          <w:sz w:val="22"/>
          <w:szCs w:val="22"/>
        </w:rPr>
        <w:t>07244/INFOEM/IP/RR/2025</w:t>
      </w:r>
      <w:r w:rsidRPr="00B90C1F">
        <w:rPr>
          <w:rFonts w:ascii="Palatino Linotype" w:eastAsia="Palatino Linotype" w:hAnsi="Palatino Linotype" w:cs="Palatino Linotype"/>
          <w:sz w:val="22"/>
          <w:szCs w:val="22"/>
        </w:rPr>
        <w:t xml:space="preserve">, interpuesto por </w:t>
      </w:r>
      <w:r w:rsidRPr="00B90C1F">
        <w:rPr>
          <w:rFonts w:ascii="Palatino Linotype" w:eastAsia="Palatino Linotype" w:hAnsi="Palatino Linotype" w:cs="Palatino Linotype"/>
          <w:b/>
          <w:sz w:val="22"/>
          <w:szCs w:val="22"/>
        </w:rPr>
        <w:t>una persona que no proporcionó nombre o seudónimo,</w:t>
      </w:r>
      <w:r w:rsidRPr="00B90C1F">
        <w:rPr>
          <w:rFonts w:ascii="Palatino Linotype" w:eastAsia="Palatino Linotype" w:hAnsi="Palatino Linotype" w:cs="Palatino Linotype"/>
          <w:sz w:val="22"/>
          <w:szCs w:val="22"/>
        </w:rPr>
        <w:t xml:space="preserve"> en lo sucesivo</w:t>
      </w:r>
      <w:r w:rsidRPr="00B90C1F">
        <w:rPr>
          <w:rFonts w:ascii="Palatino Linotype" w:eastAsia="Palatino Linotype" w:hAnsi="Palatino Linotype" w:cs="Palatino Linotype"/>
          <w:b/>
          <w:sz w:val="22"/>
          <w:szCs w:val="22"/>
        </w:rPr>
        <w:t xml:space="preserve"> </w:t>
      </w:r>
      <w:r w:rsidRPr="00B90C1F">
        <w:rPr>
          <w:rFonts w:ascii="Palatino Linotype" w:eastAsia="Palatino Linotype" w:hAnsi="Palatino Linotype" w:cs="Palatino Linotype"/>
          <w:sz w:val="22"/>
          <w:szCs w:val="22"/>
        </w:rPr>
        <w:t xml:space="preserve">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en contra de la respuesta a la solicitud de información con número de folio</w:t>
      </w:r>
      <w:r w:rsidRPr="00B90C1F">
        <w:rPr>
          <w:rFonts w:ascii="Palatino Linotype" w:eastAsia="Palatino Linotype" w:hAnsi="Palatino Linotype" w:cs="Palatino Linotype"/>
          <w:b/>
          <w:sz w:val="22"/>
          <w:szCs w:val="22"/>
        </w:rPr>
        <w:t xml:space="preserve"> 00316/ZINACANT/IP/2025, </w:t>
      </w:r>
      <w:r w:rsidRPr="00B90C1F">
        <w:rPr>
          <w:rFonts w:ascii="Palatino Linotype" w:eastAsia="Palatino Linotype" w:hAnsi="Palatino Linotype" w:cs="Palatino Linotype"/>
          <w:sz w:val="22"/>
          <w:szCs w:val="22"/>
        </w:rPr>
        <w:t xml:space="preserve">por parte del </w:t>
      </w:r>
      <w:r w:rsidRPr="00B90C1F">
        <w:rPr>
          <w:rFonts w:ascii="Palatino Linotype" w:eastAsia="Palatino Linotype" w:hAnsi="Palatino Linotype" w:cs="Palatino Linotype"/>
          <w:b/>
          <w:sz w:val="22"/>
          <w:szCs w:val="22"/>
        </w:rPr>
        <w:t xml:space="preserve">Ayuntamiento de Zinacantepec, </w:t>
      </w:r>
      <w:r w:rsidRPr="00B90C1F">
        <w:rPr>
          <w:rFonts w:ascii="Palatino Linotype" w:eastAsia="Palatino Linotype" w:hAnsi="Palatino Linotype" w:cs="Palatino Linotype"/>
          <w:sz w:val="22"/>
          <w:szCs w:val="22"/>
        </w:rPr>
        <w:t xml:space="preserve">en lo sucesivo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 xml:space="preserve">se procede a dictar la presente resolución con base en los siguientes: </w:t>
      </w:r>
    </w:p>
    <w:p w:rsidR="000710B6" w:rsidRPr="00B90C1F" w:rsidRDefault="0029535C">
      <w:pPr>
        <w:spacing w:before="240" w:after="240" w:line="360" w:lineRule="auto"/>
        <w:jc w:val="center"/>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I. A N T E C E D E N T E 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B90C1F">
        <w:rPr>
          <w:rFonts w:ascii="Palatino Linotype" w:eastAsia="Palatino Linotype" w:hAnsi="Palatino Linotype" w:cs="Palatino Linotype"/>
          <w:b/>
          <w:sz w:val="22"/>
          <w:szCs w:val="22"/>
        </w:rPr>
        <w:t>1. Solicitud de acceso a la información.</w:t>
      </w:r>
      <w:r w:rsidRPr="00B90C1F">
        <w:rPr>
          <w:rFonts w:ascii="Palatino Linotype" w:eastAsia="Palatino Linotype" w:hAnsi="Palatino Linotype" w:cs="Palatino Linotype"/>
          <w:sz w:val="22"/>
          <w:szCs w:val="22"/>
        </w:rPr>
        <w:t xml:space="preserve"> El </w:t>
      </w:r>
      <w:r w:rsidRPr="00B90C1F">
        <w:rPr>
          <w:rFonts w:ascii="Palatino Linotype" w:eastAsia="Palatino Linotype" w:hAnsi="Palatino Linotype" w:cs="Palatino Linotype"/>
          <w:b/>
          <w:sz w:val="22"/>
          <w:szCs w:val="22"/>
        </w:rPr>
        <w:t>seis de mayo de dos mil veinticinco,</w:t>
      </w:r>
      <w:r w:rsidRPr="00B90C1F">
        <w:rPr>
          <w:rFonts w:ascii="Palatino Linotype" w:eastAsia="Palatino Linotype" w:hAnsi="Palatino Linotype" w:cs="Palatino Linotype"/>
          <w:sz w:val="22"/>
          <w:szCs w:val="22"/>
        </w:rPr>
        <w:t xml:space="preserve"> la parte </w:t>
      </w:r>
      <w:r w:rsidRPr="00B90C1F">
        <w:rPr>
          <w:rFonts w:ascii="Palatino Linotype" w:eastAsia="Palatino Linotype" w:hAnsi="Palatino Linotype" w:cs="Palatino Linotype"/>
          <w:b/>
          <w:sz w:val="22"/>
          <w:szCs w:val="22"/>
        </w:rPr>
        <w:t xml:space="preserve">Recurrente </w:t>
      </w:r>
      <w:r w:rsidRPr="00B90C1F">
        <w:rPr>
          <w:rFonts w:ascii="Palatino Linotype" w:eastAsia="Palatino Linotype" w:hAnsi="Palatino Linotype" w:cs="Palatino Linotype"/>
          <w:sz w:val="22"/>
          <w:szCs w:val="22"/>
        </w:rPr>
        <w:t xml:space="preserve">presentó la solicitud de acceso a la información pública ante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a través del Sistema de Acceso a la Información Mexiquense, en lo subsecuente el </w:t>
      </w:r>
      <w:r w:rsidRPr="00B90C1F">
        <w:rPr>
          <w:rFonts w:ascii="Palatino Linotype" w:eastAsia="Palatino Linotype" w:hAnsi="Palatino Linotype" w:cs="Palatino Linotype"/>
          <w:b/>
          <w:sz w:val="22"/>
          <w:szCs w:val="22"/>
        </w:rPr>
        <w:t>SAIMEX,</w:t>
      </w:r>
      <w:r w:rsidRPr="00B90C1F">
        <w:rPr>
          <w:rFonts w:ascii="Palatino Linotype" w:eastAsia="Palatino Linotype" w:hAnsi="Palatino Linotype" w:cs="Palatino Linotype"/>
          <w:sz w:val="22"/>
          <w:szCs w:val="22"/>
        </w:rPr>
        <w:t xml:space="preserve"> mediante la cual requirió lo siguiente:</w:t>
      </w:r>
    </w:p>
    <w:p w:rsidR="000710B6" w:rsidRPr="00B90C1F" w:rsidRDefault="0029535C">
      <w:pPr>
        <w:spacing w:before="120" w:after="120"/>
        <w:ind w:left="851" w:right="902"/>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w:t>
      </w:r>
      <w:r w:rsidRPr="00B90C1F">
        <w:rPr>
          <w:rFonts w:ascii="Palatino Linotype" w:eastAsia="Palatino Linotype" w:hAnsi="Palatino Linotype" w:cs="Palatino Linotype"/>
          <w:i/>
          <w:sz w:val="22"/>
          <w:szCs w:val="22"/>
        </w:rPr>
        <w:t>Proporcione la base de datos (en Excel o formato abierto) del padrón catastral actualizado al 31 de marzo de 2024, incluyendo: clave catastral, nombre del propietario, tipo de predio, uso del suelo, superficie del terreno y de construcción, valor catastral y valor comercial, así como fecha del último avalúo</w:t>
      </w:r>
      <w:r w:rsidRPr="00B90C1F">
        <w:rPr>
          <w:rFonts w:ascii="Palatino Linotype" w:eastAsia="Palatino Linotype" w:hAnsi="Palatino Linotype" w:cs="Palatino Linotype"/>
          <w:b/>
          <w:i/>
          <w:sz w:val="22"/>
          <w:szCs w:val="22"/>
        </w:rPr>
        <w:t>.”</w:t>
      </w:r>
      <w:r w:rsidRPr="00B90C1F">
        <w:rPr>
          <w:rFonts w:ascii="Palatino Linotype" w:eastAsia="Palatino Linotype" w:hAnsi="Palatino Linotype" w:cs="Palatino Linotype"/>
          <w:i/>
          <w:sz w:val="22"/>
          <w:szCs w:val="22"/>
        </w:rPr>
        <w:t xml:space="preserve"> (sic) </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B90C1F">
        <w:rPr>
          <w:rFonts w:ascii="Palatino Linotype" w:eastAsia="Palatino Linotype" w:hAnsi="Palatino Linotype" w:cs="Palatino Linotype"/>
          <w:b/>
          <w:sz w:val="22"/>
          <w:szCs w:val="22"/>
        </w:rPr>
        <w:t>Modalidad de Entrega:</w:t>
      </w:r>
      <w:r w:rsidRPr="00B90C1F">
        <w:rPr>
          <w:rFonts w:ascii="Palatino Linotype" w:eastAsia="Palatino Linotype" w:hAnsi="Palatino Linotype" w:cs="Palatino Linotype"/>
          <w:sz w:val="22"/>
          <w:szCs w:val="22"/>
        </w:rPr>
        <w:t xml:space="preserve"> a través del</w:t>
      </w:r>
      <w:r w:rsidRPr="00B90C1F">
        <w:rPr>
          <w:rFonts w:ascii="Palatino Linotype" w:eastAsia="Palatino Linotype" w:hAnsi="Palatino Linotype" w:cs="Palatino Linotype"/>
          <w:b/>
          <w:sz w:val="22"/>
          <w:szCs w:val="22"/>
        </w:rPr>
        <w:t xml:space="preserve"> SAIMEX.</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2. Respuesta. </w:t>
      </w:r>
      <w:r w:rsidRPr="00B90C1F">
        <w:rPr>
          <w:rFonts w:ascii="Palatino Linotype" w:eastAsia="Palatino Linotype" w:hAnsi="Palatino Linotype" w:cs="Palatino Linotype"/>
          <w:sz w:val="22"/>
          <w:szCs w:val="22"/>
        </w:rPr>
        <w:t xml:space="preserve">El </w:t>
      </w:r>
      <w:r w:rsidRPr="00B90C1F">
        <w:rPr>
          <w:rFonts w:ascii="Palatino Linotype" w:eastAsia="Palatino Linotype" w:hAnsi="Palatino Linotype" w:cs="Palatino Linotype"/>
          <w:b/>
          <w:sz w:val="22"/>
          <w:szCs w:val="22"/>
        </w:rPr>
        <w:t>veintisiete de mayo de dos mil veinticinco,</w:t>
      </w:r>
      <w:r w:rsidRPr="00B90C1F">
        <w:rPr>
          <w:rFonts w:ascii="Palatino Linotype" w:eastAsia="Palatino Linotype" w:hAnsi="Palatino Linotype" w:cs="Palatino Linotype"/>
          <w:sz w:val="22"/>
          <w:szCs w:val="22"/>
        </w:rPr>
        <w:t xml:space="preserve">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rsidR="000710B6" w:rsidRPr="00B90C1F" w:rsidRDefault="0029535C">
      <w:pPr>
        <w:spacing w:before="240" w:after="24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lastRenderedPageBreak/>
        <w:t>“…En apego a lo establecido su solicitud fue analizada y turnada a las áreas poseedoras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rsidR="000710B6" w:rsidRPr="00B90C1F" w:rsidRDefault="0029535C">
      <w:pPr>
        <w:spacing w:before="240" w:after="24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adjuntó lo siguiente:</w:t>
      </w:r>
    </w:p>
    <w:p w:rsidR="000710B6" w:rsidRPr="00B90C1F" w:rsidRDefault="0029535C">
      <w:pPr>
        <w:spacing w:before="240" w:after="24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 Escrito mediante el cual la titular de la Unidad de Transparencia notificó a la persona solicitante la respuesta proporcionada por el área poseedora de la información. </w:t>
      </w:r>
    </w:p>
    <w:p w:rsidR="000710B6" w:rsidRPr="00B90C1F" w:rsidRDefault="0029535C">
      <w:pPr>
        <w:spacing w:before="240" w:after="24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Oficio número ZIN/CC/0156/2025, mediante el cual el Coordinador de Catastro solicitó cometer a consideración del Comité de Transparencia la clasificación del padrón catastral en su totalidad como información confidencial, al contener datos que corresponden al patrimonio de los contribuyentes.</w:t>
      </w:r>
    </w:p>
    <w:p w:rsidR="000710B6" w:rsidRPr="00B90C1F" w:rsidRDefault="0029535C">
      <w:pPr>
        <w:spacing w:before="240" w:after="24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3. Interposición del recurso de revisión. </w:t>
      </w:r>
      <w:r w:rsidRPr="00B90C1F">
        <w:rPr>
          <w:rFonts w:ascii="Palatino Linotype" w:eastAsia="Palatino Linotype" w:hAnsi="Palatino Linotype" w:cs="Palatino Linotype"/>
          <w:sz w:val="22"/>
          <w:szCs w:val="22"/>
        </w:rPr>
        <w:t xml:space="preserve">Inconforme con los términos de la respuesta emitida por parte del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el </w:t>
      </w:r>
      <w:r w:rsidRPr="00B90C1F">
        <w:rPr>
          <w:rFonts w:ascii="Palatino Linotype" w:eastAsia="Palatino Linotype" w:hAnsi="Palatino Linotype" w:cs="Palatino Linotype"/>
          <w:b/>
          <w:sz w:val="22"/>
          <w:szCs w:val="22"/>
        </w:rPr>
        <w:t>dieciséis de junio de dos mil veinticinco,</w:t>
      </w:r>
      <w:r w:rsidRPr="00B90C1F">
        <w:rPr>
          <w:rFonts w:ascii="Palatino Linotype" w:eastAsia="Palatino Linotype" w:hAnsi="Palatino Linotype" w:cs="Palatino Linotype"/>
          <w:sz w:val="22"/>
          <w:szCs w:val="22"/>
        </w:rPr>
        <w:t xml:space="preserve">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interpuso el recurso de revisión a través de </w:t>
      </w:r>
      <w:r w:rsidRPr="00B90C1F">
        <w:rPr>
          <w:rFonts w:ascii="Palatino Linotype" w:eastAsia="Palatino Linotype" w:hAnsi="Palatino Linotype" w:cs="Palatino Linotype"/>
          <w:b/>
          <w:sz w:val="22"/>
          <w:szCs w:val="22"/>
        </w:rPr>
        <w:t xml:space="preserve">SAIMEX, </w:t>
      </w:r>
      <w:r w:rsidRPr="00B90C1F">
        <w:rPr>
          <w:rFonts w:ascii="Palatino Linotype" w:eastAsia="Palatino Linotype" w:hAnsi="Palatino Linotype" w:cs="Palatino Linotype"/>
          <w:sz w:val="22"/>
          <w:szCs w:val="22"/>
        </w:rPr>
        <w:t>en donde se manifestó de la siguiente manera:</w:t>
      </w:r>
    </w:p>
    <w:p w:rsidR="000710B6" w:rsidRPr="00B90C1F" w:rsidRDefault="0029535C">
      <w:pPr>
        <w:spacing w:before="240" w:after="240" w:line="360" w:lineRule="auto"/>
        <w:ind w:right="49"/>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 xml:space="preserve">Acto impugnado: </w:t>
      </w:r>
    </w:p>
    <w:p w:rsidR="000710B6" w:rsidRPr="00B90C1F" w:rsidRDefault="0029535C">
      <w:pPr>
        <w:tabs>
          <w:tab w:val="left" w:pos="2745"/>
        </w:tabs>
        <w:spacing w:before="240" w:after="240"/>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“NO ENTREGA INFORMACION” (sic)</w:t>
      </w:r>
    </w:p>
    <w:p w:rsidR="000710B6" w:rsidRPr="00B90C1F" w:rsidRDefault="000710B6">
      <w:pPr>
        <w:spacing w:line="360" w:lineRule="auto"/>
        <w:jc w:val="both"/>
        <w:rPr>
          <w:rFonts w:ascii="Palatino Linotype" w:eastAsia="Palatino Linotype" w:hAnsi="Palatino Linotype" w:cs="Palatino Linotype"/>
          <w:b/>
          <w:sz w:val="22"/>
          <w:szCs w:val="22"/>
        </w:rPr>
      </w:pPr>
      <w:bookmarkStart w:id="4" w:name="_heading=h.30j0zll" w:colFirst="0" w:colLast="0"/>
      <w:bookmarkEnd w:id="4"/>
    </w:p>
    <w:p w:rsidR="000710B6" w:rsidRPr="00B90C1F" w:rsidRDefault="000710B6">
      <w:pPr>
        <w:spacing w:line="360" w:lineRule="auto"/>
        <w:jc w:val="both"/>
        <w:rPr>
          <w:rFonts w:ascii="Palatino Linotype" w:eastAsia="Palatino Linotype" w:hAnsi="Palatino Linotype" w:cs="Palatino Linotype"/>
          <w:b/>
          <w:sz w:val="22"/>
          <w:szCs w:val="22"/>
        </w:rPr>
      </w:pPr>
    </w:p>
    <w:p w:rsidR="000710B6" w:rsidRPr="00B90C1F" w:rsidRDefault="0029535C">
      <w:pPr>
        <w:spacing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Y, Razones o motivos de inconformidad</w:t>
      </w:r>
      <w:r w:rsidRPr="00B90C1F">
        <w:rPr>
          <w:rFonts w:ascii="Palatino Linotype" w:eastAsia="Palatino Linotype" w:hAnsi="Palatino Linotype" w:cs="Palatino Linotype"/>
          <w:sz w:val="22"/>
          <w:szCs w:val="22"/>
        </w:rPr>
        <w:t>:</w:t>
      </w:r>
    </w:p>
    <w:p w:rsidR="000710B6" w:rsidRPr="00B90C1F" w:rsidRDefault="0029535C">
      <w:pPr>
        <w:tabs>
          <w:tab w:val="left" w:pos="2745"/>
        </w:tabs>
        <w:spacing w:before="240" w:after="240"/>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“NO ENTREGA INFORMACION” (sic)</w:t>
      </w:r>
    </w:p>
    <w:p w:rsidR="000710B6" w:rsidRPr="00B90C1F" w:rsidRDefault="0029535C">
      <w:pPr>
        <w:spacing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4. Turno. </w:t>
      </w:r>
      <w:r w:rsidRPr="00B90C1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90C1F">
        <w:rPr>
          <w:rFonts w:ascii="Palatino Linotype" w:eastAsia="Palatino Linotype" w:hAnsi="Palatino Linotype" w:cs="Palatino Linotype"/>
          <w:b/>
          <w:sz w:val="22"/>
          <w:szCs w:val="22"/>
        </w:rPr>
        <w:t xml:space="preserve">Guadalupe Ramírez Peña, </w:t>
      </w:r>
      <w:r w:rsidRPr="00B90C1F">
        <w:rPr>
          <w:rFonts w:ascii="Palatino Linotype" w:eastAsia="Palatino Linotype" w:hAnsi="Palatino Linotype" w:cs="Palatino Linotype"/>
          <w:sz w:val="22"/>
          <w:szCs w:val="22"/>
        </w:rPr>
        <w:t>a efecto de que analizara sobre su admisión o su desechamiento.</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5. Admisión del Recurso de revisión.</w:t>
      </w:r>
      <w:r w:rsidRPr="00B90C1F">
        <w:rPr>
          <w:rFonts w:ascii="Palatino Linotype" w:eastAsia="Palatino Linotype" w:hAnsi="Palatino Linotype" w:cs="Palatino Linotype"/>
          <w:sz w:val="22"/>
          <w:szCs w:val="22"/>
        </w:rPr>
        <w:t xml:space="preserve"> El</w:t>
      </w:r>
      <w:r w:rsidRPr="00B90C1F">
        <w:rPr>
          <w:rFonts w:ascii="Palatino Linotype" w:eastAsia="Palatino Linotype" w:hAnsi="Palatino Linotype" w:cs="Palatino Linotype"/>
          <w:b/>
          <w:sz w:val="22"/>
          <w:szCs w:val="22"/>
        </w:rPr>
        <w:t xml:space="preserve"> diecinueve de junio de dos mil veinticinco, </w:t>
      </w:r>
      <w:r w:rsidRPr="00B90C1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presentara su informe justificado.</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B90C1F">
        <w:rPr>
          <w:rFonts w:ascii="Palatino Linotype" w:eastAsia="Palatino Linotype" w:hAnsi="Palatino Linotype" w:cs="Palatino Linotype"/>
          <w:b/>
          <w:sz w:val="22"/>
          <w:szCs w:val="22"/>
        </w:rPr>
        <w:t>6. Manifestaciones</w:t>
      </w:r>
      <w:r w:rsidRPr="00B90C1F">
        <w:rPr>
          <w:rFonts w:ascii="Palatino Linotype" w:eastAsia="Palatino Linotype" w:hAnsi="Palatino Linotype" w:cs="Palatino Linotype"/>
          <w:sz w:val="22"/>
          <w:szCs w:val="22"/>
        </w:rPr>
        <w:t xml:space="preserve">. El </w:t>
      </w:r>
      <w:r w:rsidRPr="00B90C1F">
        <w:rPr>
          <w:rFonts w:ascii="Palatino Linotype" w:eastAsia="Palatino Linotype" w:hAnsi="Palatino Linotype" w:cs="Palatino Linotype"/>
          <w:b/>
          <w:sz w:val="22"/>
          <w:szCs w:val="22"/>
        </w:rPr>
        <w:t xml:space="preserve">cuatro de julio de dos mil veinticinco, </w:t>
      </w:r>
      <w:r w:rsidRPr="00B90C1F">
        <w:rPr>
          <w:rFonts w:ascii="Palatino Linotype" w:eastAsia="Palatino Linotype" w:hAnsi="Palatino Linotype" w:cs="Palatino Linotype"/>
          <w:sz w:val="22"/>
          <w:szCs w:val="22"/>
        </w:rPr>
        <w:t xml:space="preserve">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remitió lo siguiente: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Escrito mediante el cual la titular de la Unidad de Transparencia reiteró que la información solicitada recae en los supuestos de Clasificación de la Información por la naturaleza de la misma, remitiendo el Acta de la Décima Sesión Extraordinaria del Comité de Transparencia, en donde mediante acuerdo CT/010/EXT/AC02/2025 se aprobó la clasificación en su totalidad de los documentos que dan respuesta a la solicitud referida.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 Acta de la Décima Sesión Extraordinaria del Comité de Transparencia, en la cual se sometió a consideración de los integrantes la propuesta de clasificación como información confidencial en su totalidad, de los documentos que dan respuesta a la solicitud de información </w:t>
      </w:r>
      <w:r w:rsidRPr="00B90C1F">
        <w:rPr>
          <w:rFonts w:ascii="Palatino Linotype" w:eastAsia="Palatino Linotype" w:hAnsi="Palatino Linotype" w:cs="Palatino Linotype"/>
          <w:b/>
          <w:sz w:val="22"/>
          <w:szCs w:val="22"/>
        </w:rPr>
        <w:t>00316/ZINACANT/IP/2025</w:t>
      </w:r>
      <w:r w:rsidRPr="00B90C1F">
        <w:rPr>
          <w:rFonts w:ascii="Palatino Linotype" w:eastAsia="Palatino Linotype" w:hAnsi="Palatino Linotype" w:cs="Palatino Linotype"/>
          <w:sz w:val="22"/>
          <w:szCs w:val="22"/>
        </w:rPr>
        <w:t>, presentado por la Coordinación de Catastro.</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Oficio número ZIN/CC/0197/2025, mediante el cual el Coordinador de Catastro, a fin de complementar la respuesta primigenia, refirió adjuntar la información pública que integra el padrón catastral municipal, compuesta por el catálogo operativo el cual únicamente hace referencia de información general sobre un área específica y que conforme a la página del Instituto de Información e Investigación Geográfica, Estadística y Catastral del Estado de México son de carácter público y cualquier persona puede acceder a ellos, en las Tablas de Valores Unitarios de Suelo y Construcciones, información localizada en de las páginas 618 a la 629 del documento adjunto denominado Anexo 1, la cual fue publicada en el Periódico Oficial "Gaceta del Gobierno" de fecha 20 de diciembre 2024.</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Páginas 1, 618 a 629 del Periódico Oficial "Gaceta del Gobierno" del Estado de México, publicado el veinte de diciembre de 2024, ilegible.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7. Cierre de instrucción. </w:t>
      </w:r>
      <w:r w:rsidRPr="00B90C1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B90C1F">
        <w:rPr>
          <w:rFonts w:ascii="Palatino Linotype" w:eastAsia="Palatino Linotype" w:hAnsi="Palatino Linotype" w:cs="Palatino Linotype"/>
          <w:b/>
          <w:sz w:val="22"/>
          <w:szCs w:val="22"/>
        </w:rPr>
        <w:t>uno de octubre de dos mil veinticinco</w:t>
      </w:r>
      <w:r w:rsidRPr="00B90C1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8</w:t>
      </w:r>
      <w:r w:rsidRPr="00B90C1F">
        <w:rPr>
          <w:rFonts w:ascii="Palatino Linotype" w:eastAsia="Palatino Linotype" w:hAnsi="Palatino Linotype" w:cs="Palatino Linotype"/>
          <w:sz w:val="22"/>
          <w:szCs w:val="22"/>
        </w:rPr>
        <w:t xml:space="preserve">. </w:t>
      </w:r>
      <w:r w:rsidRPr="00B90C1F">
        <w:rPr>
          <w:rFonts w:ascii="Palatino Linotype" w:eastAsia="Palatino Linotype" w:hAnsi="Palatino Linotype" w:cs="Palatino Linotype"/>
          <w:b/>
          <w:sz w:val="22"/>
          <w:szCs w:val="22"/>
        </w:rPr>
        <w:t>Ampliación del término para resolver</w:t>
      </w:r>
      <w:r w:rsidRPr="00B90C1F">
        <w:rPr>
          <w:rFonts w:ascii="Palatino Linotype" w:eastAsia="Palatino Linotype" w:hAnsi="Palatino Linotype" w:cs="Palatino Linotype"/>
          <w:sz w:val="22"/>
          <w:szCs w:val="22"/>
        </w:rPr>
        <w:t xml:space="preserve">. El </w:t>
      </w:r>
      <w:r w:rsidRPr="00B90C1F">
        <w:rPr>
          <w:rFonts w:ascii="Palatino Linotype" w:eastAsia="Palatino Linotype" w:hAnsi="Palatino Linotype" w:cs="Palatino Linotype"/>
          <w:b/>
          <w:sz w:val="22"/>
          <w:szCs w:val="22"/>
        </w:rPr>
        <w:t>uno de octubre de dos mil veinticinco</w:t>
      </w:r>
      <w:r w:rsidRPr="00B90C1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710B6" w:rsidRPr="00B90C1F" w:rsidRDefault="0029535C">
      <w:pPr>
        <w:spacing w:before="240" w:after="240" w:line="360" w:lineRule="auto"/>
        <w:jc w:val="both"/>
        <w:rPr>
          <w:rFonts w:ascii="Palatino Linotype" w:eastAsia="Palatino Linotype" w:hAnsi="Palatino Linotype" w:cs="Palatino Linotype"/>
          <w:strike/>
          <w:sz w:val="22"/>
          <w:szCs w:val="22"/>
        </w:rPr>
      </w:pPr>
      <w:r w:rsidRPr="00B90C1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000710B6" w:rsidRPr="00B90C1F" w:rsidRDefault="0029535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rsidR="000710B6" w:rsidRPr="00B90C1F" w:rsidRDefault="0029535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Actividad Procesal del interesado. Acciones u omisiones del interesado.</w:t>
      </w:r>
    </w:p>
    <w:p w:rsidR="000710B6" w:rsidRPr="00B90C1F" w:rsidRDefault="0029535C">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rsidR="000710B6" w:rsidRPr="00B90C1F" w:rsidRDefault="0029535C">
      <w:pPr>
        <w:tabs>
          <w:tab w:val="left" w:pos="567"/>
        </w:tabs>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B90C1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B90C1F">
        <w:rPr>
          <w:rFonts w:ascii="Palatino Linotype" w:eastAsia="Palatino Linotype" w:hAnsi="Palatino Linotype" w:cs="Palatino Linotype"/>
          <w:sz w:val="22"/>
          <w:szCs w:val="22"/>
        </w:rPr>
        <w:t>, visible en la Gaceta del Seminario Judicial de la Federación con el registro digital 205635.</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rsidR="000710B6" w:rsidRPr="00B90C1F" w:rsidRDefault="0029535C">
      <w:pPr>
        <w:spacing w:before="120" w:after="120"/>
        <w:ind w:left="851" w:right="902"/>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 </w:t>
      </w: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PLAZO RAZONABLE PARA RESOLVER. DIMENSIÓN Y EFECTOS DE ESTE CONCEPTO CUANDO SE ADUCE EXCESIVA CARGA DE TRABAJO</w:t>
      </w: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sz w:val="22"/>
          <w:szCs w:val="22"/>
        </w:rPr>
        <w:t xml:space="preserve"> consultable en el Seminario Judicial de la Federación y su gaceta, con el registro digital 2002351.</w:t>
      </w:r>
    </w:p>
    <w:p w:rsidR="000710B6" w:rsidRPr="00B90C1F" w:rsidRDefault="0029535C">
      <w:pPr>
        <w:spacing w:before="120" w:after="120"/>
        <w:ind w:left="851" w:right="902"/>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sz w:val="22"/>
          <w:szCs w:val="22"/>
        </w:rPr>
        <w:t>, visible en el Seminario Judicial de la Federación y su gaceta, con el registro digital 2002350.</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710B6" w:rsidRPr="00B90C1F" w:rsidRDefault="0029535C">
      <w:pPr>
        <w:widowControl w:val="0"/>
        <w:spacing w:before="240" w:after="240" w:line="360" w:lineRule="auto"/>
        <w:jc w:val="center"/>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II. C O N S I D E R A N D O 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Primero. Competencia.</w:t>
      </w:r>
      <w:r w:rsidRPr="00B90C1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B90C1F">
        <w:rPr>
          <w:rFonts w:ascii="Palatino Linotype" w:eastAsia="Palatino Linotype" w:hAnsi="Palatino Linotype" w:cs="Palatino Linotype"/>
          <w:b/>
          <w:sz w:val="22"/>
          <w:szCs w:val="22"/>
        </w:rPr>
        <w:t>Segundo. Oportunidad y Procedibilidad del Recurso de Revisión</w:t>
      </w:r>
      <w:r w:rsidRPr="00B90C1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 xml:space="preserve">remitió la respuesta a la solicitud de información el día </w:t>
      </w:r>
      <w:r w:rsidRPr="00B90C1F">
        <w:rPr>
          <w:rFonts w:ascii="Palatino Linotype" w:eastAsia="Palatino Linotype" w:hAnsi="Palatino Linotype" w:cs="Palatino Linotype"/>
          <w:b/>
          <w:sz w:val="22"/>
          <w:szCs w:val="22"/>
        </w:rPr>
        <w:t xml:space="preserve">veintisiete de mayo de dos mil veinticinco, </w:t>
      </w:r>
      <w:r w:rsidRPr="00B90C1F">
        <w:rPr>
          <w:rFonts w:ascii="Palatino Linotype" w:eastAsia="Palatino Linotype" w:hAnsi="Palatino Linotype" w:cs="Palatino Linotype"/>
          <w:sz w:val="22"/>
          <w:szCs w:val="22"/>
        </w:rPr>
        <w:t xml:space="preserve">mientras que el recurso de revisión interpuesto por la parte </w:t>
      </w:r>
      <w:r w:rsidRPr="00B90C1F">
        <w:rPr>
          <w:rFonts w:ascii="Palatino Linotype" w:eastAsia="Palatino Linotype" w:hAnsi="Palatino Linotype" w:cs="Palatino Linotype"/>
          <w:b/>
          <w:sz w:val="22"/>
          <w:szCs w:val="22"/>
        </w:rPr>
        <w:t xml:space="preserve">Recurrente, </w:t>
      </w:r>
      <w:r w:rsidRPr="00B90C1F">
        <w:rPr>
          <w:rFonts w:ascii="Palatino Linotype" w:eastAsia="Palatino Linotype" w:hAnsi="Palatino Linotype" w:cs="Palatino Linotype"/>
          <w:sz w:val="22"/>
          <w:szCs w:val="22"/>
        </w:rPr>
        <w:t>se tuvo por presentado el día</w:t>
      </w:r>
      <w:r w:rsidRPr="00B90C1F">
        <w:rPr>
          <w:rFonts w:ascii="Palatino Linotype" w:eastAsia="Palatino Linotype" w:hAnsi="Palatino Linotype" w:cs="Palatino Linotype"/>
          <w:b/>
          <w:sz w:val="22"/>
          <w:szCs w:val="22"/>
        </w:rPr>
        <w:t xml:space="preserve"> dieciséis de junio de dos mil veinticinco, </w:t>
      </w:r>
      <w:r w:rsidRPr="00B90C1F">
        <w:rPr>
          <w:rFonts w:ascii="Palatino Linotype" w:eastAsia="Palatino Linotype" w:hAnsi="Palatino Linotype" w:cs="Palatino Linotype"/>
          <w:sz w:val="22"/>
          <w:szCs w:val="22"/>
        </w:rPr>
        <w:t>esto es, al décimo cuarto día en que tuvo conocimiento de la respuesta impugnada. En este sentido, se concluye que el presente recurso de revisión se encuentra dentro de los márgenes temporales previstos en las disposiciones legales referidas.</w:t>
      </w:r>
    </w:p>
    <w:p w:rsidR="000710B6" w:rsidRPr="00B90C1F" w:rsidRDefault="0029535C">
      <w:pPr>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90C1F">
        <w:rPr>
          <w:rFonts w:ascii="Palatino Linotype" w:eastAsia="Palatino Linotype" w:hAnsi="Palatino Linotype" w:cs="Palatino Linotype"/>
          <w:sz w:val="22"/>
          <w:szCs w:val="22"/>
        </w:rPr>
        <w:t>Además, por cuanto hace a la procedibilidad del recurso de revisión, es de suma importancia señalar que la parte</w:t>
      </w:r>
      <w:r w:rsidRPr="00B90C1F">
        <w:rPr>
          <w:rFonts w:ascii="Palatino Linotype" w:eastAsia="Palatino Linotype" w:hAnsi="Palatino Linotype" w:cs="Palatino Linotype"/>
          <w:b/>
          <w:sz w:val="22"/>
          <w:szCs w:val="22"/>
        </w:rPr>
        <w:t xml:space="preserve"> Recurrente</w:t>
      </w:r>
      <w:r w:rsidRPr="00B90C1F">
        <w:rPr>
          <w:rFonts w:ascii="Palatino Linotype" w:eastAsia="Palatino Linotype" w:hAnsi="Palatino Linotype" w:cs="Palatino Linotype"/>
          <w:sz w:val="22"/>
          <w:szCs w:val="22"/>
        </w:rPr>
        <w:t>, no señaló nombre o seudónimo,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Las solicitudes anónimas</w:t>
      </w:r>
      <w:r w:rsidRPr="00B90C1F">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B90C1F">
        <w:rPr>
          <w:rFonts w:ascii="Palatino Linotype" w:eastAsia="Palatino Linotype" w:hAnsi="Palatino Linotype" w:cs="Palatino Linotype"/>
          <w:b/>
          <w:sz w:val="22"/>
          <w:szCs w:val="22"/>
        </w:rPr>
        <w:t xml:space="preserve"> SAIMEX.</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en sus motivos de inconformidad, de acuerdo al artículo 179, fracciones I y II del ordenamiento legal citado, que a la letra dice: </w:t>
      </w:r>
    </w:p>
    <w:p w:rsidR="000710B6" w:rsidRPr="00B90C1F" w:rsidRDefault="0029535C">
      <w:pPr>
        <w:tabs>
          <w:tab w:val="left" w:pos="7938"/>
        </w:tabs>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179.</w:t>
      </w:r>
      <w:r w:rsidRPr="00B90C1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0710B6" w:rsidRPr="00B90C1F" w:rsidRDefault="0029535C">
      <w:pPr>
        <w:tabs>
          <w:tab w:val="left" w:pos="7938"/>
        </w:tabs>
        <w:spacing w:before="120" w:after="120"/>
        <w:ind w:left="1134"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I. </w:t>
      </w:r>
      <w:r w:rsidRPr="00B90C1F">
        <w:rPr>
          <w:rFonts w:ascii="Palatino Linotype" w:eastAsia="Palatino Linotype" w:hAnsi="Palatino Linotype" w:cs="Palatino Linotype"/>
          <w:i/>
          <w:sz w:val="22"/>
          <w:szCs w:val="22"/>
        </w:rPr>
        <w:t>La negativa a la información solicitada;</w:t>
      </w:r>
    </w:p>
    <w:p w:rsidR="000710B6" w:rsidRPr="00B90C1F" w:rsidRDefault="0029535C">
      <w:pPr>
        <w:tabs>
          <w:tab w:val="left" w:pos="7938"/>
        </w:tabs>
        <w:spacing w:before="120" w:after="120"/>
        <w:ind w:left="1134"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La clasificación de la información;”</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 xml:space="preserve">Tercero. Materia de la revisión. </w:t>
      </w:r>
      <w:r w:rsidRPr="00B90C1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90C1F">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B90C1F">
        <w:rPr>
          <w:rFonts w:ascii="Palatino Linotype" w:eastAsia="Palatino Linotype" w:hAnsi="Palatino Linotype" w:cs="Palatino Linotype"/>
          <w:sz w:val="22"/>
          <w:szCs w:val="22"/>
        </w:rPr>
        <w:t xml:space="preserve">de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o en su defecto, en caso de ser procedente, ordenar la entrega de información.</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B90C1F">
        <w:rPr>
          <w:rFonts w:ascii="Palatino Linotype" w:eastAsia="Palatino Linotype" w:hAnsi="Palatino Linotype" w:cs="Palatino Linotype"/>
          <w:b/>
          <w:sz w:val="22"/>
          <w:szCs w:val="22"/>
        </w:rPr>
        <w:t xml:space="preserve">Cuarto. Estudio del asunto. </w:t>
      </w:r>
      <w:r w:rsidRPr="00B90C1F">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4</w:t>
      </w:r>
      <w:r w:rsidRPr="00B90C1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90C1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90C1F">
        <w:rPr>
          <w:rFonts w:ascii="Palatino Linotype" w:eastAsia="Palatino Linotype" w:hAnsi="Palatino Linotype" w:cs="Palatino Linotype"/>
          <w:i/>
          <w:sz w:val="22"/>
          <w:szCs w:val="22"/>
        </w:rPr>
        <w:t>.”</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12.-</w:t>
      </w:r>
      <w:r w:rsidRPr="00B90C1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90C1F">
        <w:rPr>
          <w:rFonts w:ascii="Palatino Linotype" w:eastAsia="Palatino Linotype" w:hAnsi="Palatino Linotype" w:cs="Palatino Linotype"/>
          <w:i/>
          <w:sz w:val="22"/>
          <w:szCs w:val="22"/>
        </w:rPr>
        <w:t xml:space="preserve">. </w:t>
      </w:r>
      <w:r w:rsidRPr="00B90C1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rsidR="000710B6" w:rsidRPr="00B90C1F" w:rsidRDefault="0029535C">
      <w:pPr>
        <w:spacing w:before="240" w:after="240" w:line="360" w:lineRule="auto"/>
        <w:ind w:right="-93"/>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0710B6" w:rsidRPr="00B90C1F" w:rsidRDefault="0029535C">
      <w:pPr>
        <w:spacing w:before="240" w:after="240" w:line="360" w:lineRule="auto"/>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B90C1F">
        <w:rPr>
          <w:rFonts w:ascii="Palatino Linotype" w:eastAsia="Palatino Linotype" w:hAnsi="Palatino Linotype" w:cs="Palatino Linotype"/>
          <w:b/>
          <w:sz w:val="22"/>
          <w:szCs w:val="22"/>
        </w:rPr>
        <w:t xml:space="preserve"> </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 “</w:t>
      </w:r>
      <w:r w:rsidRPr="00B90C1F">
        <w:rPr>
          <w:rFonts w:ascii="Palatino Linotype" w:eastAsia="Palatino Linotype" w:hAnsi="Palatino Linotype" w:cs="Palatino Linotype"/>
          <w:b/>
          <w:i/>
          <w:sz w:val="22"/>
          <w:szCs w:val="22"/>
        </w:rPr>
        <w:t>No existe obligación de elaborar documentos ad hoc para atender las solicitudes de acceso a la información.</w:t>
      </w:r>
      <w:r w:rsidRPr="00B90C1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0710B6" w:rsidRPr="00B90C1F" w:rsidRDefault="0029535C">
      <w:pPr>
        <w:spacing w:before="120" w:after="12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710B6" w:rsidRPr="00B90C1F" w:rsidRDefault="0029535C">
      <w:pPr>
        <w:spacing w:before="120" w:after="12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 xml:space="preserve">Artículo 3. </w:t>
      </w:r>
      <w:r w:rsidRPr="00B90C1F">
        <w:rPr>
          <w:rFonts w:ascii="Palatino Linotype" w:eastAsia="Palatino Linotype" w:hAnsi="Palatino Linotype" w:cs="Palatino Linotype"/>
          <w:i/>
          <w:sz w:val="22"/>
          <w:szCs w:val="22"/>
        </w:rPr>
        <w:t>Para los efectos de la presente Ley se entenderá por:</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XI. Documento:</w:t>
      </w:r>
      <w:r w:rsidRPr="00B90C1F">
        <w:rPr>
          <w:rFonts w:ascii="Palatino Linotype" w:eastAsia="Palatino Linotype" w:hAnsi="Palatino Linotype" w:cs="Palatino Linotype"/>
          <w:i/>
          <w:sz w:val="22"/>
          <w:szCs w:val="22"/>
        </w:rPr>
        <w:t xml:space="preserve"> Los expedientes, reportes, estudios, actas</w:t>
      </w:r>
      <w:r w:rsidRPr="00B90C1F">
        <w:rPr>
          <w:rFonts w:ascii="Palatino Linotype" w:eastAsia="Palatino Linotype" w:hAnsi="Palatino Linotype" w:cs="Palatino Linotype"/>
          <w:b/>
          <w:i/>
          <w:sz w:val="22"/>
          <w:szCs w:val="22"/>
        </w:rPr>
        <w:t>,</w:t>
      </w:r>
      <w:r w:rsidRPr="00B90C1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sz w:val="22"/>
          <w:szCs w:val="22"/>
        </w:rPr>
        <w:t>“</w:t>
      </w:r>
      <w:r w:rsidRPr="00B90C1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90C1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requirió al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le proporcione, información consistente en lo siguiente:</w:t>
      </w:r>
    </w:p>
    <w:p w:rsidR="000710B6" w:rsidRPr="00B90C1F" w:rsidRDefault="0029535C">
      <w:pPr>
        <w:spacing w:before="240" w:after="240" w:line="360" w:lineRule="auto"/>
        <w:ind w:left="284"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1. Base de datos, en formato Excel o formato abierto del padrón catastral actualizado al 31 de marzo de 2024, incluyendo: clave catastral, nombre del propietario, tipo de predio, uso del suelo, superficie del terreno y de construcción, valor catastral y valor comercial, así como fecha del último avalúo.</w:t>
      </w:r>
    </w:p>
    <w:p w:rsidR="000710B6" w:rsidRPr="00B90C1F" w:rsidRDefault="0029535C">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Cabe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el caso particular, es de recordar que la Unidad de Transparencia turnó la solicitud a la Tesorería Municipal, como la dependencia que tiene bajo su adscripción a la Coordinación de Catastro dependiente de la Subdirección de Ingresos, la cual es responsable de:</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Aplicar los procedimientos técnicos y administrativos determinados por el Instituto de Información e Investigación Geográfica, Estadística y Catastral del Estado de México (IGECEM), para el desarrollo de la actividad catastral en el Municipio;</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Elaborar para su presentación al Ayuntamiento, las propuestas para la actualización o modificación de las Tablas de Valores Unitarios de Suelo y Construcciones, de conformidad con la normatividad establecida para tal efecto;</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Vigilar que la asignación de las claves catastrales se realice conforme a la normatividad vigente establecida en el Manual Catastral del Estado de México;</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Registrar y controlar los bienes inmuebles localizados dentro del territorio municipal, con el objeto de integrar, conservar y mantener actualizados los registros gráfico y alfanumérico del Padrón Catastral municipal;</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Aplicar las Tablas de Valores Unitarios de Suelo y Construcciones aprobadas por la Legislatura, en la determinación del valor catastral de los inmuebles;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este sentido, se colige que en el presente asunto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Ahora bien, en respuesta a la solicitud de información la persona servidora pública  habilitada manifestó que la información requerida, tenía el carácter de confidencial en su totalidad con fundamento en los, 3 fracción XX, 122, 132 fracción I, 133, 143 fracciones I y II, 147 y 149 de la Ley de Transparencia y Acceso a la Información Pública del Estado de México y Municipios, 168 y 173 del Código Financiero del Estado de México y Municipios, 21 del Reglamento del Título V Código Financiero del Estado de México y Municipios, 72 de la Ley de Gobierno Digital del Estado de México y de las Políticas Generales ACGC001, ACGC004, y ACGC007 del Manual Catastral del Estado de México, al corresponder con datos relativos al patrimonio de los contribuyentes tales como clave catastral, nombre del propietario o poseedor, RFC del propietario o poseedor, Clave Única de Registro de Población, Ubicación del Predio, Datos del Predio.</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Asimismo, refirió que es posible expedir certificaciones o constancias de los documentos y datos que obren en los archivos de las autoridades catastrales municipales, o el padrón catastral, previa acreditación del interés jurídico o legítimo, el cumplimiento de los requisitos establecidos, y el pago de derechos correspondiente a la solicitud de servicios o productos catastrales.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 igual forma, indicó que el Padrón Catastral Municipal, se conforma de información pública, tal como lo es el catálogo operativo, el cual únicamente hace referencia de información general sobre un área específica y que conforme a la página del Instituto de Información e Investigación Geográfica, Estadística y Catastral del Estado de México son de carácter público y cualquier persona puede acceder a ellos, en las Tablas de Valores Unitarios de Suelo y Construcciones, información localizada en de las páginas 618 a la 629 del documento adjunto denominado Anexo 1, la cual fue publicada en el Periódico Oficial "Gaceta del Gobierno" de fecha 20 de diciembre 2024.</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Al no estar conforme con los términos de la respuesta proporcionada, la parte </w:t>
      </w:r>
      <w:r w:rsidRPr="00B90C1F">
        <w:rPr>
          <w:rFonts w:ascii="Palatino Linotype" w:eastAsia="Palatino Linotype" w:hAnsi="Palatino Linotype" w:cs="Palatino Linotype"/>
          <w:b/>
          <w:sz w:val="22"/>
          <w:szCs w:val="22"/>
        </w:rPr>
        <w:t xml:space="preserve">Recurrente </w:t>
      </w:r>
      <w:r w:rsidRPr="00B90C1F">
        <w:rPr>
          <w:rFonts w:ascii="Palatino Linotype" w:eastAsia="Palatino Linotype" w:hAnsi="Palatino Linotype" w:cs="Palatino Linotype"/>
          <w:sz w:val="22"/>
          <w:szCs w:val="22"/>
        </w:rPr>
        <w:t>presentó el recurso de revisión que nos ocupa, por medio del cual alegó que no le fue entregada la información solicitada.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la etapa de manifestaciones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ratificó la respuesta proporcionada en primera instancia, hizo entrega del Acta de la Décima Sesión Extraordinaria del Comité de Transparencia, en la cual se sometió a consideración de los integrantes la propuesta de clasificación como información confidencial en su totalidad, de los documentos que dan respuesta a la solicitud de información 00316/ZINACANT/IP/2025, presentado por la Coordinación de Catastro, e hizo entrega de las páginas 1, 618 a 629 del Periódico Oficial "Gaceta del Gobierno" del Estado de México, publicado el veinte de diciembre de 2024, que contienen las Tablas de Valores Unitarios de Suelo y Construcciones, sin embargo, estas son ilegibles.</w:t>
      </w:r>
    </w:p>
    <w:p w:rsidR="000710B6" w:rsidRPr="00B90C1F" w:rsidRDefault="0029535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 xml:space="preserve">en contraposición con el motivo de inconformidad alegado por la parte </w:t>
      </w:r>
      <w:r w:rsidRPr="00B90C1F">
        <w:rPr>
          <w:rFonts w:ascii="Palatino Linotype" w:eastAsia="Palatino Linotype" w:hAnsi="Palatino Linotype" w:cs="Palatino Linotype"/>
          <w:b/>
          <w:sz w:val="22"/>
          <w:szCs w:val="22"/>
        </w:rPr>
        <w:t xml:space="preserve">Recurrente, </w:t>
      </w:r>
      <w:r w:rsidRPr="00B90C1F">
        <w:rPr>
          <w:rFonts w:ascii="Palatino Linotype" w:eastAsia="Palatino Linotype" w:hAnsi="Palatino Linotype" w:cs="Palatino Linotype"/>
          <w:sz w:val="22"/>
          <w:szCs w:val="22"/>
        </w:rPr>
        <w:t>con la finalidad de determinar si el Derecho de acceso de esta se satisfizo, o, en su defecto, ordenar el soporte documental correspondiente, en caso de ser procedente.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este sentido, en primer lugar,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la Materia que es del tenor literal siguiente:</w:t>
      </w:r>
    </w:p>
    <w:p w:rsidR="000710B6" w:rsidRPr="00B90C1F" w:rsidRDefault="0029535C">
      <w:pPr>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“Artículo 91. </w:t>
      </w:r>
      <w:r w:rsidRPr="00B90C1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Sin embargo, es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B90C1F">
        <w:rPr>
          <w:rFonts w:ascii="Palatino Linotype" w:eastAsia="Palatino Linotype" w:hAnsi="Palatino Linotype" w:cs="Palatino Linotype"/>
          <w:b/>
          <w:sz w:val="22"/>
          <w:szCs w:val="22"/>
        </w:rPr>
        <w:t xml:space="preserve">información reservada </w:t>
      </w:r>
      <w:r w:rsidRPr="00B90C1F">
        <w:rPr>
          <w:rFonts w:ascii="Palatino Linotype" w:eastAsia="Palatino Linotype" w:hAnsi="Palatino Linotype" w:cs="Palatino Linotype"/>
          <w:sz w:val="22"/>
          <w:szCs w:val="22"/>
        </w:rPr>
        <w:t xml:space="preserve">a la información pública clasificada con este carácter de manera temporal por las disposiciones de la Ley de la Materia, cuya divulgación puede causar daños a las  seguridad pública, y como </w:t>
      </w:r>
      <w:r w:rsidRPr="00B90C1F">
        <w:rPr>
          <w:rFonts w:ascii="Palatino Linotype" w:eastAsia="Palatino Linotype" w:hAnsi="Palatino Linotype" w:cs="Palatino Linotype"/>
          <w:b/>
          <w:sz w:val="22"/>
          <w:szCs w:val="22"/>
        </w:rPr>
        <w:t>información confidencial</w:t>
      </w:r>
      <w:r w:rsidRPr="00B90C1F">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Corolario a lo anterior, es de precisar que la clasificación de la información no opera por el simple mandato de la Ley, sino que es necesario que los Sujetos Obligados</w:t>
      </w:r>
      <w:r w:rsidRPr="00B90C1F">
        <w:rPr>
          <w:rFonts w:ascii="Palatino Linotype" w:eastAsia="Palatino Linotype" w:hAnsi="Palatino Linotype" w:cs="Palatino Linotype"/>
          <w:b/>
          <w:sz w:val="22"/>
          <w:szCs w:val="22"/>
        </w:rPr>
        <w:t>,</w:t>
      </w:r>
      <w:r w:rsidRPr="00B90C1F">
        <w:rPr>
          <w:rFonts w:ascii="Palatino Linotype" w:eastAsia="Palatino Linotype" w:hAnsi="Palatino Linotype" w:cs="Palatino Linotype"/>
          <w:sz w:val="22"/>
          <w:szCs w:val="22"/>
        </w:rPr>
        <w:t xml:space="preserve"> 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presentar ante la Unidad de Transparencia la propuesta de la clasificación de la información, para que luego, de así resultar procedente el proyecto de clasificación de la información se presente ante al Comité de Transparencia, y que finalmente, sea este último quien apruebe, modifique o revoque la misma, como se desprende de los artículos 49 fracciones II y VIII, 53 fracción X, y 59 fracción V,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el caso particular, el Comité de Transparencia del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aprobó la clasificación como confidencial en su totalidad de los documentos referentes al padrón catastral, con fundamento en los en los artículos 3, fracciones XXI y XXIII de la Ley de Transparencia y Acceso a la Información Pública del Estado de México y Municipios y 4, fracciones XI y XII de la Ley de Protección de Datos Personales en Posesión de Sujetos Obligados del Estado de México y Municipios, argumentando  en el documento referido, está constituido en su mayoría por datos personales concernientes al patrimonio de un particular, como lo son las claves catastrales y la ubicación exacta de cada inmueble.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tal contexto, para determinar la procedencia de la clasificación del padrón catastral, es oportuno analizar la naturaleza del mismo, para lo cual es imprescindible partir de lo establecido en el artículo 168 del Código Financiero del Estado de México, donde se precisa que el Catastro es el sistema de información territorial, cuyo propósito es integrar, conservar y mantener actualizados el padrón catastral estatal y los padrones municipales de la Entidad; además, el artículo en cita define 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rsidR="000710B6" w:rsidRPr="00B90C1F" w:rsidRDefault="0029535C">
      <w:pPr>
        <w:spacing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correlación con la disposición insertada previamente, el artículo 180 del multicitado Código, detalla la composición del padrón catastral, mismo que se inserta a continuación para mejor proveer del presente estudio: </w:t>
      </w:r>
    </w:p>
    <w:p w:rsidR="000710B6" w:rsidRPr="00B90C1F" w:rsidRDefault="0029535C">
      <w:pPr>
        <w:spacing w:line="276" w:lineRule="auto"/>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 xml:space="preserve">“Artículo 180.- El padrón catastral </w:t>
      </w:r>
      <w:r w:rsidRPr="00B90C1F">
        <w:rPr>
          <w:rFonts w:ascii="Palatino Linotype" w:eastAsia="Palatino Linotype" w:hAnsi="Palatino Linotype" w:cs="Palatino Linotype"/>
          <w:b/>
          <w:i/>
          <w:sz w:val="22"/>
          <w:szCs w:val="22"/>
          <w:u w:val="single"/>
        </w:rPr>
        <w:t>se integra por un registro alfanumérico y un registro gráfico y deberán contener los datos, catálogos y especificaciones establecidos en el reglamento de este Título</w:t>
      </w:r>
      <w:r w:rsidRPr="00B90C1F">
        <w:rPr>
          <w:rFonts w:ascii="Palatino Linotype" w:eastAsia="Palatino Linotype" w:hAnsi="Palatino Linotype" w:cs="Palatino Linotype"/>
          <w:b/>
          <w:i/>
          <w:sz w:val="22"/>
          <w:szCs w:val="22"/>
        </w:rPr>
        <w:t>, el Manual Catastral y demás disposiciones aplicables a la materia.”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 manera que como se visualiza con la cita insertada a previamente, el padrón catastral se compone de dos registros respectivamente: uno que es alfanumérico y otro que es el registro gráfico, por lo que bajo esta línea de pensamiento conviene desglosar los elementos que contienen tanto el registro alfanumérico como el gráfico, para lo cual, es necesario traer a colación lo referido por el artículo 29 del Reglamento del Título Quinto del Código Financiero del Estado de México y Municipios, Denominado “Del Catastro”: </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29.- Los datos, catálogos y especificaciones a que se refiere el artículo 180 del Código, serán como mínimo los siguientes:</w:t>
      </w: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u w:val="single"/>
        </w:rPr>
        <w:t>I. El registro alfanumérico deberá contener:</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A. Datos del inmueble:</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1. Clave catastral.</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2. </w:t>
      </w:r>
      <w:r w:rsidRPr="00B90C1F">
        <w:rPr>
          <w:rFonts w:ascii="Palatino Linotype" w:eastAsia="Palatino Linotype" w:hAnsi="Palatino Linotype" w:cs="Palatino Linotype"/>
          <w:b/>
          <w:i/>
          <w:sz w:val="22"/>
          <w:szCs w:val="22"/>
        </w:rPr>
        <w:t>Nombre del propietario o poseedor.</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Clave Única de Registro de Población (CURP).</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4. Ubicación del predio.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5. Domicilio para recibir notificaciones.</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6. Superficie total del terreno.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7. Superficie privativa del terreno en condominio.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8. Superficie común del terreno en condominio</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9. Características del terreno.</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10.Superficie total de construcción.</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11.Superficie privativa de la construcción en condominio.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12.Superficie común de la construcción en condominio.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13.Características de la construcción.</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14.Uso del Suelo.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15.Uso específico del predio.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16.Régimen jurídico de la propiedad.</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17. Valor catastral total.</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18. Valor catastral del terreno.</w:t>
      </w: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rPr>
        <w:t>19. Valor catastral de la construcción</w:t>
      </w:r>
      <w:r w:rsidRPr="00B90C1F">
        <w:rPr>
          <w:rFonts w:ascii="Palatino Linotype" w:eastAsia="Palatino Linotype" w:hAnsi="Palatino Linotype" w:cs="Palatino Linotype"/>
          <w:b/>
          <w:i/>
          <w:sz w:val="22"/>
          <w:szCs w:val="22"/>
          <w:u w:val="single"/>
        </w:rPr>
        <w:t>.</w:t>
      </w: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u w:val="single"/>
        </w:rPr>
        <w:t>B. Catálogos operativos: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 Localidades.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2. Colonias.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Áreas Homogéneas.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4. Tipologías de construcción.</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5. Bandas de valor.</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6. Manzanas.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7. Calles.</w:t>
      </w:r>
    </w:p>
    <w:p w:rsidR="000710B6" w:rsidRPr="00B90C1F" w:rsidRDefault="000710B6">
      <w:pPr>
        <w:spacing w:before="120" w:after="120"/>
        <w:ind w:left="851" w:right="851"/>
        <w:jc w:val="both"/>
        <w:rPr>
          <w:rFonts w:ascii="Palatino Linotype" w:eastAsia="Palatino Linotype" w:hAnsi="Palatino Linotype" w:cs="Palatino Linotype"/>
          <w:i/>
          <w:sz w:val="22"/>
          <w:szCs w:val="22"/>
        </w:rPr>
      </w:pP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u w:val="single"/>
        </w:rPr>
        <w:t>C. Catálogos normativos: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 Delegaciones regionales.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2. Municipios.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Tipos de vialidad</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4. Régimen de propiedad.</w:t>
      </w: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5. Uso del suelo.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6. Usos específicos de los predios.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7. Tipos de mérito / demérito.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8. Factores de mérito / demérito.</w:t>
      </w:r>
    </w:p>
    <w:p w:rsidR="000710B6" w:rsidRPr="00B90C1F" w:rsidRDefault="000710B6">
      <w:pPr>
        <w:spacing w:before="120" w:after="120"/>
        <w:ind w:left="851" w:right="851"/>
        <w:jc w:val="both"/>
        <w:rPr>
          <w:rFonts w:ascii="Palatino Linotype" w:eastAsia="Palatino Linotype" w:hAnsi="Palatino Linotype" w:cs="Palatino Linotype"/>
          <w:b/>
          <w:i/>
          <w:sz w:val="22"/>
          <w:szCs w:val="22"/>
        </w:rPr>
      </w:pPr>
    </w:p>
    <w:p w:rsidR="000710B6" w:rsidRPr="00B90C1F" w:rsidRDefault="0029535C">
      <w:pPr>
        <w:spacing w:before="120" w:after="120"/>
        <w:ind w:left="851" w:right="851"/>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II. El registro gráfico deberá contener:</w:t>
      </w: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u w:val="single"/>
        </w:rPr>
        <w:t>A. Tratándose de la cartografía vectorial catastral a nivel de manzana:</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 Delimitación municipal.</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2. Delimitación de zonas catastrales.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Delimitación de áreas homogéneas.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4. Delimitación de bandas de valor.</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5. Delimitación y código de manzanas.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6. Código de clave de calle.</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7. Nombre de la calle.</w:t>
      </w:r>
    </w:p>
    <w:p w:rsidR="000710B6" w:rsidRPr="00B90C1F" w:rsidRDefault="0029535C">
      <w:pPr>
        <w:spacing w:before="120" w:after="120"/>
        <w:ind w:left="851" w:right="851"/>
        <w:jc w:val="both"/>
        <w:rPr>
          <w:rFonts w:ascii="Palatino Linotype" w:eastAsia="Palatino Linotype" w:hAnsi="Palatino Linotype" w:cs="Palatino Linotype"/>
          <w:b/>
          <w:i/>
          <w:sz w:val="22"/>
          <w:szCs w:val="22"/>
          <w:u w:val="single"/>
        </w:rPr>
      </w:pPr>
      <w:r w:rsidRPr="00B90C1F">
        <w:rPr>
          <w:rFonts w:ascii="Palatino Linotype" w:eastAsia="Palatino Linotype" w:hAnsi="Palatino Linotype" w:cs="Palatino Linotype"/>
          <w:b/>
          <w:i/>
          <w:sz w:val="22"/>
          <w:szCs w:val="22"/>
          <w:u w:val="single"/>
        </w:rPr>
        <w:t>B. En el caso de la cartografía vectorial catastral a nivel de predio, además de lo anterior:</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1. Clave catastral.</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2. Delimitación del predio.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3. Superficie total de terreno.</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4. Perímetro y superficie de las construcciones.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5. Representación del número de niveles de las construcciones.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6. Número oficial.”</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Delimitado lo anterior, se advierte que existen dos elementos que componen al padrón catastral: </w:t>
      </w:r>
      <w:r w:rsidRPr="00B90C1F">
        <w:rPr>
          <w:rFonts w:ascii="Palatino Linotype" w:eastAsia="Palatino Linotype" w:hAnsi="Palatino Linotype" w:cs="Palatino Linotype"/>
          <w:b/>
          <w:sz w:val="22"/>
          <w:szCs w:val="22"/>
          <w:u w:val="single"/>
        </w:rPr>
        <w:t>el registro alfanumérico y el registro gráfico</w:t>
      </w:r>
      <w:r w:rsidRPr="00B90C1F">
        <w:rPr>
          <w:rFonts w:ascii="Palatino Linotype" w:eastAsia="Palatino Linotype" w:hAnsi="Palatino Linotype" w:cs="Palatino Linotype"/>
          <w:sz w:val="22"/>
          <w:szCs w:val="22"/>
        </w:rPr>
        <w:t>.</w:t>
      </w:r>
    </w:p>
    <w:p w:rsidR="000710B6" w:rsidRPr="00B90C1F" w:rsidRDefault="000710B6">
      <w:pPr>
        <w:spacing w:before="240" w:after="240" w:line="360" w:lineRule="auto"/>
        <w:ind w:right="51"/>
        <w:jc w:val="both"/>
        <w:rPr>
          <w:rFonts w:ascii="Palatino Linotype" w:eastAsia="Palatino Linotype" w:hAnsi="Palatino Linotype" w:cs="Palatino Linotype"/>
          <w:sz w:val="22"/>
          <w:szCs w:val="22"/>
        </w:rPr>
      </w:pPr>
    </w:p>
    <w:p w:rsidR="000710B6" w:rsidRPr="00B90C1F" w:rsidRDefault="0029535C">
      <w:pPr>
        <w:numPr>
          <w:ilvl w:val="0"/>
          <w:numId w:val="2"/>
        </w:numPr>
        <w:pBdr>
          <w:top w:val="nil"/>
          <w:left w:val="nil"/>
          <w:bottom w:val="nil"/>
          <w:right w:val="nil"/>
          <w:between w:val="nil"/>
        </w:pBdr>
        <w:spacing w:before="240" w:after="240" w:line="360" w:lineRule="auto"/>
        <w:ind w:left="567" w:right="51" w:hanging="141"/>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Del registro alfanumérico</w:t>
      </w:r>
    </w:p>
    <w:p w:rsidR="000710B6" w:rsidRPr="00B90C1F" w:rsidRDefault="0029535C">
      <w:pPr>
        <w:spacing w:before="240" w:after="240" w:line="360" w:lineRule="auto"/>
        <w:ind w:right="51"/>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sz w:val="22"/>
          <w:szCs w:val="22"/>
        </w:rPr>
        <w:t xml:space="preserve">Previo análisis de este registro, resulta importante señalar que se compone de tres elementos: </w:t>
      </w:r>
      <w:r w:rsidRPr="00B90C1F">
        <w:rPr>
          <w:rFonts w:ascii="Palatino Linotype" w:eastAsia="Palatino Linotype" w:hAnsi="Palatino Linotype" w:cs="Palatino Linotype"/>
          <w:b/>
          <w:sz w:val="22"/>
          <w:szCs w:val="22"/>
        </w:rPr>
        <w:t>datos del inmueble, catálogos operativos y catálogos normativos.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En este sentido, se entienden </w:t>
      </w:r>
      <w:r w:rsidRPr="00B90C1F">
        <w:rPr>
          <w:rFonts w:ascii="Palatino Linotype" w:eastAsia="Palatino Linotype" w:hAnsi="Palatino Linotype" w:cs="Palatino Linotype"/>
          <w:b/>
          <w:sz w:val="22"/>
          <w:szCs w:val="22"/>
          <w:u w:val="single"/>
        </w:rPr>
        <w:t>los datos del inmueble</w:t>
      </w:r>
      <w:r w:rsidRPr="00B90C1F">
        <w:rPr>
          <w:rFonts w:ascii="Palatino Linotype" w:eastAsia="Palatino Linotype" w:hAnsi="Palatino Linotype" w:cs="Palatino Linotype"/>
          <w:sz w:val="22"/>
          <w:szCs w:val="22"/>
        </w:rPr>
        <w:t xml:space="preserve"> como aquellos que dan cuenta de la propiedad de una persona sobre el bien, como por ejemplo: la clave catastral, nombre del propietario, ubicación del predio, uso del suelo, régimen jurídico de la propiedad, valor del terreno, valor de la construcción, etc, por lo tanto, se determina que estos datos conducen a la identificación de predios que son propiedad de los particulares, en consecuencia, </w:t>
      </w:r>
      <w:r w:rsidRPr="00B90C1F">
        <w:rPr>
          <w:rFonts w:ascii="Palatino Linotype" w:eastAsia="Palatino Linotype" w:hAnsi="Palatino Linotype" w:cs="Palatino Linotype"/>
          <w:b/>
          <w:sz w:val="22"/>
          <w:szCs w:val="22"/>
        </w:rPr>
        <w:t>no es susceptible de entrega esta información y, por el contrario, procede su clasificación como confidencial</w:t>
      </w:r>
      <w:r w:rsidRPr="00B90C1F">
        <w:rPr>
          <w:rFonts w:ascii="Palatino Linotype" w:eastAsia="Palatino Linotype" w:hAnsi="Palatino Linotype" w:cs="Palatino Linotype"/>
          <w:sz w:val="22"/>
          <w:szCs w:val="22"/>
        </w:rPr>
        <w:t>, de conformidad con lo dispuesto en los artículos 3, fracciones IX, XX y XXI, 91, y 143 fracción I de la Ley de Transparencia y Acceso a la Información Pública del Estado de México y Municipios porque se trata de información de carácter patrimonial que puede vincularse a particulares.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Asimismo, atendiendo a la naturaleza de la información que se solicita, no obsta mencionar que la información relativa a los bienes inmuebles propiedad de instituciones públicas o bienes de dominio público que se encuentre contenida en el padrón catastral, no actualiza la causal de clasificación establecida en el artículo 143, fracción I, de la Ley de Transparencia y Acceso a la Información Pública del Estado de México y Municipios, pues se trata del patrimonio con el que cuentan, el cual es administrado y utilizado por las entidades gubernamentales para cumplir con sus funciones, razón por la cual únicamente es susceptible de clasificación bajo dicho supuesto la información relativa a los predios propiedad de particulares.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Por cuanto hace a </w:t>
      </w:r>
      <w:r w:rsidRPr="00B90C1F">
        <w:rPr>
          <w:rFonts w:ascii="Palatino Linotype" w:eastAsia="Palatino Linotype" w:hAnsi="Palatino Linotype" w:cs="Palatino Linotype"/>
          <w:b/>
          <w:sz w:val="22"/>
          <w:szCs w:val="22"/>
          <w:u w:val="single"/>
        </w:rPr>
        <w:t>los catálogos operativos</w:t>
      </w:r>
      <w:r w:rsidRPr="00B90C1F">
        <w:rPr>
          <w:rFonts w:ascii="Palatino Linotype" w:eastAsia="Palatino Linotype" w:hAnsi="Palatino Linotype" w:cs="Palatino Linotype"/>
          <w:sz w:val="22"/>
          <w:szCs w:val="22"/>
        </w:rPr>
        <w:t xml:space="preserve">, se tiene que este rubro se compone por información de las localidades, colonias, áreas homogéneas, tipologías de construcción, bandas de valor, manzanas y calles.  Resulta importante destacar que conforme a lo dispuesto por el Manual Catastral del Estado de México, estos elementos a su vez se remiten al Instituto de Información e Investigación Geográfica, Estadística y Catastral del Estado de México (IGECEM) para permitir la aplicación del modelo de valuación catastral. Dicha valuación, en términos del Reglamento del Título Quinto del Código Financiero del Estado de México y Municipios, Denominado “Del Catastro”, se define como la actividad que determina el valor catastral de los inmuebles, aplicando estrictamente las Tablas de Valores Unitarios de Suelo y Construcciones aprobadas por la Legislatura y las normas, lineamientos y procedimientos establecidos en este Reglamento y el Manual Catastral. No podemos perder de vista que su utilidad se encuentra cuando la persona física o jurídica colectiva, la dependencia o entidad pública estatal o municipal requiere conocer el valor catastral de un inmueble, </w:t>
      </w:r>
      <w:r w:rsidRPr="00B90C1F">
        <w:rPr>
          <w:rFonts w:ascii="Palatino Linotype" w:eastAsia="Palatino Linotype" w:hAnsi="Palatino Linotype" w:cs="Palatino Linotype"/>
          <w:b/>
          <w:sz w:val="22"/>
          <w:szCs w:val="22"/>
          <w:u w:val="single"/>
        </w:rPr>
        <w:t>principalmente para efecto de la determinación correcta de la base gravable para calcular el monto de pago de impuestos y derechos sobre el bien de que se trate, como puede ser el cálculo del impuesto predial</w:t>
      </w:r>
      <w:r w:rsidRPr="00B90C1F">
        <w:rPr>
          <w:rFonts w:ascii="Palatino Linotype" w:eastAsia="Palatino Linotype" w:hAnsi="Palatino Linotype" w:cs="Palatino Linotype"/>
          <w:b/>
          <w:sz w:val="22"/>
          <w:szCs w:val="22"/>
        </w:rPr>
        <w:t xml:space="preserve">, </w:t>
      </w:r>
      <w:r w:rsidRPr="00B90C1F">
        <w:rPr>
          <w:rFonts w:ascii="Palatino Linotype" w:eastAsia="Palatino Linotype" w:hAnsi="Palatino Linotype" w:cs="Palatino Linotype"/>
          <w:sz w:val="22"/>
          <w:szCs w:val="22"/>
        </w:rPr>
        <w:t xml:space="preserve">por lo tanto, </w:t>
      </w:r>
      <w:r w:rsidRPr="00B90C1F">
        <w:rPr>
          <w:rFonts w:ascii="Palatino Linotype" w:eastAsia="Palatino Linotype" w:hAnsi="Palatino Linotype" w:cs="Palatino Linotype"/>
          <w:b/>
          <w:sz w:val="22"/>
          <w:szCs w:val="22"/>
        </w:rPr>
        <w:t>se considera que esta información es susceptible de darse a conocer al público, pues reviste un interés a la colectividad al formar parte de los elementos que permiten la implementación de la valuación catastral</w:t>
      </w:r>
      <w:r w:rsidRPr="00B90C1F">
        <w:rPr>
          <w:rFonts w:ascii="Palatino Linotype" w:eastAsia="Palatino Linotype" w:hAnsi="Palatino Linotype" w:cs="Palatino Linotype"/>
          <w:sz w:val="22"/>
          <w:szCs w:val="22"/>
        </w:rPr>
        <w:t xml:space="preserve"> que a su vez sirve para el cálculo de impuestos o derechos.</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Finalmente, sobre este apartado tenemos a los </w:t>
      </w:r>
      <w:r w:rsidRPr="00B90C1F">
        <w:rPr>
          <w:rFonts w:ascii="Palatino Linotype" w:eastAsia="Palatino Linotype" w:hAnsi="Palatino Linotype" w:cs="Palatino Linotype"/>
          <w:b/>
          <w:sz w:val="22"/>
          <w:szCs w:val="22"/>
          <w:u w:val="single"/>
        </w:rPr>
        <w:t>catálogos normativos</w:t>
      </w:r>
      <w:r w:rsidRPr="00B90C1F">
        <w:rPr>
          <w:rFonts w:ascii="Palatino Linotype" w:eastAsia="Palatino Linotype" w:hAnsi="Palatino Linotype" w:cs="Palatino Linotype"/>
          <w:sz w:val="22"/>
          <w:szCs w:val="22"/>
        </w:rPr>
        <w:t xml:space="preserve">, se advierte que contienen los siguientes elementos: delegaciones regionales, municipios, tipos de vialidad, régimen de propiedad, </w:t>
      </w:r>
      <w:r w:rsidRPr="00B90C1F">
        <w:rPr>
          <w:rFonts w:ascii="Palatino Linotype" w:eastAsia="Palatino Linotype" w:hAnsi="Palatino Linotype" w:cs="Palatino Linotype"/>
          <w:b/>
          <w:sz w:val="22"/>
          <w:szCs w:val="22"/>
          <w:u w:val="single"/>
        </w:rPr>
        <w:t>uso del suelo</w:t>
      </w:r>
      <w:r w:rsidRPr="00B90C1F">
        <w:rPr>
          <w:rFonts w:ascii="Palatino Linotype" w:eastAsia="Palatino Linotype" w:hAnsi="Palatino Linotype" w:cs="Palatino Linotype"/>
          <w:sz w:val="22"/>
          <w:szCs w:val="22"/>
        </w:rPr>
        <w:t xml:space="preserve">, usos específicos de los predios, tipos de mérito / demérito y factores de mérito / demérito, por lo que dentro de dicha información pudiera encontrarse tanto información de acceso público, como confidencial en términos de lo dispuesto por la fracción I del artículo 143 de la Ley de Transparencia y Acceso a la Información Pública del Estado de México y Municipios, pues como se detalló en líneas anteriores, cierta información pudiera vincularse con información de carácter patrimonial de particulares, no obstante, respecto de los otros elementos que conforman estos catálogos como delegaciones regionales, municipios, tipos de vialidad y los tipos de mérito / demérito y factores de mérito / demérito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deberá analizar la información para efecto de determinar si le reviste acceso público.</w:t>
      </w:r>
    </w:p>
    <w:p w:rsidR="000710B6" w:rsidRPr="00B90C1F" w:rsidRDefault="0029535C">
      <w:pPr>
        <w:spacing w:before="240" w:after="240" w:line="360" w:lineRule="auto"/>
        <w:ind w:right="51"/>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 xml:space="preserve">Del registro gráfico </w:t>
      </w:r>
    </w:p>
    <w:p w:rsidR="000710B6" w:rsidRPr="00B90C1F" w:rsidRDefault="0029535C">
      <w:pPr>
        <w:spacing w:after="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 conformidad con el Manual Catastral del Estado de México, el propósito de la actualización del registro gráfico es el siguiente: </w:t>
      </w:r>
    </w:p>
    <w:p w:rsidR="000710B6" w:rsidRPr="00B90C1F" w:rsidRDefault="0029535C">
      <w:pPr>
        <w:spacing w:after="160" w:line="259" w:lineRule="auto"/>
        <w:ind w:left="567"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“VI. Actualización Del Registro Gráfico </w:t>
      </w:r>
    </w:p>
    <w:p w:rsidR="000710B6" w:rsidRPr="00B90C1F" w:rsidRDefault="0029535C">
      <w:pPr>
        <w:spacing w:after="160" w:line="259" w:lineRule="auto"/>
        <w:ind w:left="567"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VI.I. OBJETIVO </w:t>
      </w:r>
    </w:p>
    <w:p w:rsidR="000710B6" w:rsidRPr="00B90C1F" w:rsidRDefault="0029535C">
      <w:pPr>
        <w:spacing w:after="160" w:line="259" w:lineRule="auto"/>
        <w:ind w:left="567"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Dar a conocer las políticas, lineamientos y procedimientos para la representación y actualización del registro gráfico del padrón catastral, al personal responsable de </w:t>
      </w:r>
      <w:r w:rsidRPr="00B90C1F">
        <w:rPr>
          <w:rFonts w:ascii="Palatino Linotype" w:eastAsia="Palatino Linotype" w:hAnsi="Palatino Linotype" w:cs="Palatino Linotype"/>
          <w:b/>
          <w:i/>
          <w:sz w:val="22"/>
          <w:szCs w:val="22"/>
        </w:rPr>
        <w:t>llevar a cabo la actualización de la cartografía lineal catastral respecto de los inmuebles y las manzanas ubicadas en los territorios municipales correspondientes</w:t>
      </w:r>
      <w:r w:rsidRPr="00B90C1F">
        <w:rPr>
          <w:rFonts w:ascii="Palatino Linotype" w:eastAsia="Palatino Linotype" w:hAnsi="Palatino Linotype" w:cs="Palatino Linotype"/>
          <w:i/>
          <w:sz w:val="22"/>
          <w:szCs w:val="22"/>
        </w:rPr>
        <w:t>.”</w:t>
      </w:r>
    </w:p>
    <w:p w:rsidR="000710B6" w:rsidRPr="00B90C1F" w:rsidRDefault="0029535C">
      <w:pPr>
        <w:spacing w:after="160" w:line="259"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Para ello, se divide en dos, a saber: </w:t>
      </w:r>
    </w:p>
    <w:p w:rsidR="000710B6" w:rsidRPr="00B90C1F" w:rsidRDefault="0029535C">
      <w:pPr>
        <w:spacing w:after="160" w:line="259" w:lineRule="auto"/>
        <w:ind w:right="49"/>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A. De la cartografía vectorial catastral a nivel de manzana:</w:t>
      </w:r>
    </w:p>
    <w:p w:rsidR="000710B6" w:rsidRPr="00B90C1F" w:rsidRDefault="0029535C">
      <w:pPr>
        <w:spacing w:after="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La cual contiene: </w:t>
      </w:r>
      <w:r w:rsidRPr="00B90C1F">
        <w:rPr>
          <w:rFonts w:ascii="Palatino Linotype" w:eastAsia="Palatino Linotype" w:hAnsi="Palatino Linotype" w:cs="Palatino Linotype"/>
          <w:b/>
          <w:sz w:val="22"/>
          <w:szCs w:val="22"/>
        </w:rPr>
        <w:t xml:space="preserve">Delimitación municipal, delimitación de zonas catastrales, delimitación de áreas homogéneas, delimitación de bandas de valor, delimitación y código de manzanas, código de clave de calle y nombre de la calle, </w:t>
      </w:r>
      <w:r w:rsidRPr="00B90C1F">
        <w:rPr>
          <w:rFonts w:ascii="Palatino Linotype" w:eastAsia="Palatino Linotype" w:hAnsi="Palatino Linotype" w:cs="Palatino Linotype"/>
          <w:sz w:val="22"/>
          <w:szCs w:val="22"/>
        </w:rPr>
        <w:t xml:space="preserve">es de vital importancia señalar que de estos elementos se advierte que la cartografía hace referencia a una generalidad, es decir, a las manzanas dentro de los territorios municipales, no así a predios en específico, por lo tanto, con su entrega, no se estarían identificando inmuebles o información de carácter patrimonial concerniente a particulares, tal como se desprende de la siguiente imagen: </w:t>
      </w:r>
    </w:p>
    <w:p w:rsidR="000710B6" w:rsidRPr="00B90C1F" w:rsidRDefault="0029535C">
      <w:pPr>
        <w:spacing w:after="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noProof/>
          <w:sz w:val="22"/>
          <w:szCs w:val="22"/>
        </w:rPr>
        <w:drawing>
          <wp:inline distT="0" distB="0" distL="0" distR="0" wp14:anchorId="53C61E14" wp14:editId="727CC9AB">
            <wp:extent cx="5581015" cy="2352675"/>
            <wp:effectExtent l="9525" t="9525" r="9525" b="9525"/>
            <wp:docPr id="2140131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29023"/>
                    <a:stretch>
                      <a:fillRect/>
                    </a:stretch>
                  </pic:blipFill>
                  <pic:spPr>
                    <a:xfrm>
                      <a:off x="0" y="0"/>
                      <a:ext cx="5581015" cy="2352675"/>
                    </a:xfrm>
                    <a:prstGeom prst="rect">
                      <a:avLst/>
                    </a:prstGeom>
                    <a:ln w="9525">
                      <a:solidFill>
                        <a:srgbClr val="000000"/>
                      </a:solidFill>
                      <a:prstDash val="solid"/>
                    </a:ln>
                  </pic:spPr>
                </pic:pic>
              </a:graphicData>
            </a:graphic>
          </wp:inline>
        </w:drawing>
      </w:r>
    </w:p>
    <w:p w:rsidR="000710B6" w:rsidRPr="00B90C1F" w:rsidRDefault="0029535C">
      <w:pPr>
        <w:spacing w:after="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Aunado a lo anterior, el portal del Instituto de Información e Investigación Geográfica, Estadística y Catastral del Estado de México (IGECEM), dentro de sus servicios catastrales publica la cartografía a nivel manzana aplicable a los ejercicios fiscales, de manera ilustrativa se inserta la cartografía correspondiente al año 2019:</w:t>
      </w:r>
    </w:p>
    <w:p w:rsidR="000710B6" w:rsidRPr="00B90C1F" w:rsidRDefault="0029535C">
      <w:pPr>
        <w:spacing w:after="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noProof/>
          <w:sz w:val="22"/>
          <w:szCs w:val="22"/>
        </w:rPr>
        <w:drawing>
          <wp:inline distT="0" distB="0" distL="0" distR="0" wp14:anchorId="38518E3F" wp14:editId="2BCADABC">
            <wp:extent cx="5581015" cy="3594100"/>
            <wp:effectExtent l="0" t="0" r="0" b="0"/>
            <wp:docPr id="21401318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81015" cy="3594100"/>
                    </a:xfrm>
                    <a:prstGeom prst="rect">
                      <a:avLst/>
                    </a:prstGeom>
                    <a:ln/>
                  </pic:spPr>
                </pic:pic>
              </a:graphicData>
            </a:graphic>
          </wp:inline>
        </w:drawing>
      </w:r>
    </w:p>
    <w:p w:rsidR="000710B6" w:rsidRPr="00B90C1F" w:rsidRDefault="0029535C">
      <w:pPr>
        <w:spacing w:after="160" w:line="259" w:lineRule="auto"/>
        <w:ind w:right="49"/>
        <w:jc w:val="both"/>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B. De la cartografía vectorial catastral a nivel de predio:</w:t>
      </w:r>
    </w:p>
    <w:p w:rsidR="000710B6" w:rsidRPr="00B90C1F" w:rsidRDefault="0029535C">
      <w:pPr>
        <w:spacing w:before="16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Esta cartografía contiene la Clave catastral, delimitación del predio, superficie total de terreno, perímetro y superficie de las construcciones, representación del número de niveles de las construcciones y número oficial del predio, datos que como se ha reiterado a lo largo de la resolución, con su divulgación se puede conducir a una vulneración a la esfera privada de los particulares propietarios o poseedores de los inmuebles, </w:t>
      </w:r>
      <w:r w:rsidRPr="00B90C1F">
        <w:rPr>
          <w:rFonts w:ascii="Palatino Linotype" w:eastAsia="Palatino Linotype" w:hAnsi="Palatino Linotype" w:cs="Palatino Linotype"/>
          <w:b/>
          <w:sz w:val="22"/>
          <w:szCs w:val="22"/>
        </w:rPr>
        <w:t>por lo tanto deberá ser analizado por el sujeto obligado si procede su clasificación como confidencial</w:t>
      </w:r>
      <w:r w:rsidRPr="00B90C1F">
        <w:rPr>
          <w:rFonts w:ascii="Palatino Linotype" w:eastAsia="Palatino Linotype" w:hAnsi="Palatino Linotype" w:cs="Palatino Linotype"/>
          <w:sz w:val="22"/>
          <w:szCs w:val="22"/>
        </w:rPr>
        <w:t>, de conformidad con lo dispuesto en los artículos 3, fracciones IX, XX y XXI, 91 y 143 fracción I de la Ley de Transparencia y Acceso a la Información Pública del Estado de México y Municipios porque se trata de información de carácter patrimonial que puede vincularse a particulares.</w:t>
      </w:r>
    </w:p>
    <w:p w:rsidR="000710B6" w:rsidRPr="00B90C1F" w:rsidRDefault="0029535C">
      <w:pPr>
        <w:spacing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Como se puede advertir de lo analizado a lo largo de las líneas argumentativas, existen elementos dentro del padrón catastral que efectivamente pudieran hacerse del conocimiento del público en general, ello en razón de que abordan una generalidad y no un predio en particular. Asimismo, para robustecer esta argumentación, sirve de interés lo dispuesto por el Instituto de Información e Investigación Geográfica, Estadística y Catastral del Estado de México (IGECEM) en su portal electrónico: </w:t>
      </w:r>
      <w:hyperlink r:id="rId10">
        <w:r w:rsidRPr="00B90C1F">
          <w:rPr>
            <w:rFonts w:ascii="Palatino Linotype" w:eastAsia="Palatino Linotype" w:hAnsi="Palatino Linotype" w:cs="Palatino Linotype"/>
            <w:sz w:val="22"/>
            <w:szCs w:val="22"/>
            <w:u w:val="single"/>
          </w:rPr>
          <w:t>https://igecem.edomex.gob.mx/padron-catastral</w:t>
        </w:r>
      </w:hyperlink>
      <w:r w:rsidRPr="00B90C1F">
        <w:rPr>
          <w:rFonts w:ascii="Palatino Linotype" w:eastAsia="Palatino Linotype" w:hAnsi="Palatino Linotype" w:cs="Palatino Linotype"/>
          <w:sz w:val="22"/>
          <w:szCs w:val="22"/>
        </w:rPr>
        <w:t xml:space="preserve">. </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“El Padrón Catastral es el conjunto de datos integrados por un registro alfanumérico y un registro gráfico que contienen los catálogos operativos, tales como zonas, manzanas, calles, áreas homogéneas, bandas de valor, además de la descripción técnica y administrativa de los predios, propiedades y construcciones de los inmuebles localizados en territorio Estatal. </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Los dos objetivos primordiales de las Unidades Administrativas de Catastro Municipal son: </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La asignación de la clave catastral (ubicación geográfica de los inmuebles)</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La obtención del valor catastral (base gravable del cálculo del monto del impuesto predial)</w:t>
      </w:r>
    </w:p>
    <w:p w:rsidR="000710B6" w:rsidRPr="00B90C1F" w:rsidRDefault="0029535C">
      <w:pPr>
        <w:spacing w:before="120" w:after="120"/>
        <w:ind w:left="851" w:right="851"/>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El Padrón Catastral se considera, en parte, información clasificada como reservada debido al contenido de datos personales de los propietarios o poseedores de los inmuebles, y para acceder a dicha información es necesario acreditar la personalidad jurídica y legítima; </w:t>
      </w:r>
      <w:r w:rsidRPr="00B90C1F">
        <w:rPr>
          <w:rFonts w:ascii="Palatino Linotype" w:eastAsia="Palatino Linotype" w:hAnsi="Palatino Linotype" w:cs="Palatino Linotype"/>
          <w:b/>
          <w:i/>
          <w:sz w:val="22"/>
          <w:szCs w:val="22"/>
          <w:u w:val="single"/>
        </w:rPr>
        <w:t>sin embargo, existe información dentro del padrón catastral que no está clasificada como reservada, sino que es de índole pública, tal es el caso de los catálogos operativos</w:t>
      </w:r>
      <w:r w:rsidRPr="00B90C1F">
        <w:rPr>
          <w:rFonts w:ascii="Palatino Linotype" w:eastAsia="Palatino Linotype" w:hAnsi="Palatino Linotype" w:cs="Palatino Linotype"/>
          <w:b/>
          <w:i/>
          <w:sz w:val="22"/>
          <w:szCs w:val="22"/>
        </w:rPr>
        <w:t xml:space="preserve"> arriba descritos, y el público en general (entidades públicas incluidas), puede acceder a ellos, </w:t>
      </w:r>
      <w:r w:rsidRPr="00B90C1F">
        <w:rPr>
          <w:rFonts w:ascii="Palatino Linotype" w:eastAsia="Palatino Linotype" w:hAnsi="Palatino Linotype" w:cs="Palatino Linotype"/>
          <w:b/>
          <w:i/>
          <w:sz w:val="22"/>
          <w:szCs w:val="22"/>
          <w:u w:val="single"/>
        </w:rPr>
        <w:t>a través de la página de internet del IGECEM o de la publicación en Gaceta del Gobierno, de las Tablas de Valores Unitarios de Suelo y Construcciones</w:t>
      </w:r>
      <w:r w:rsidRPr="00B90C1F">
        <w:rPr>
          <w:rFonts w:ascii="Palatino Linotype" w:eastAsia="Palatino Linotype" w:hAnsi="Palatino Linotype" w:cs="Palatino Linotype"/>
          <w:i/>
          <w:sz w:val="22"/>
          <w:szCs w:val="22"/>
        </w:rPr>
        <w:t>.” (Sic)</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Como puede observarse, es el propio Instituto de Información e Investigación Geográfica, Estadística y Catastral del Estado de México (IGECEM) quien reconoce que </w:t>
      </w:r>
      <w:r w:rsidRPr="00B90C1F">
        <w:rPr>
          <w:rFonts w:ascii="Palatino Linotype" w:eastAsia="Palatino Linotype" w:hAnsi="Palatino Linotype" w:cs="Palatino Linotype"/>
          <w:b/>
          <w:sz w:val="22"/>
          <w:szCs w:val="22"/>
        </w:rPr>
        <w:t>la clasificación al padrón catastral no debe ser absoluta</w:t>
      </w:r>
      <w:r w:rsidRPr="00B90C1F">
        <w:rPr>
          <w:rFonts w:ascii="Palatino Linotype" w:eastAsia="Palatino Linotype" w:hAnsi="Palatino Linotype" w:cs="Palatino Linotype"/>
          <w:sz w:val="22"/>
          <w:szCs w:val="22"/>
        </w:rPr>
        <w:t>, pues contiene información susceptible de darse a conocer al público, como son los catálogos operativos y los registros gráficos que dan cuenta de las localidades, colonias, áreas homogéneas, tipologías de construcción, bandas de valor, manzanas y calles, mismas a las que le reviste interés público por formar parte de los elementos que permiten la implementación de la valuación catastral que a su vez sirve para el cálculo de impuestos o derechos, por lo que, se insiste que dentro del padrón catastral, existen elementos que efectivamente pudieran hacerse del conocimiento del público en general, por lo tanto, no se puede hablar de una clasificación absoluta de la información y, por el contrario, se estima pertinente su entrega en versión pública.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Ahora bien, en el caso particular,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a través del</w:t>
      </w:r>
      <w:r w:rsidRPr="00B90C1F">
        <w:rPr>
          <w:rFonts w:ascii="Palatino Linotype" w:eastAsia="Palatino Linotype" w:hAnsi="Palatino Linotype" w:cs="Palatino Linotype"/>
          <w:b/>
          <w:sz w:val="22"/>
          <w:szCs w:val="22"/>
        </w:rPr>
        <w:t xml:space="preserve"> </w:t>
      </w:r>
      <w:r w:rsidRPr="00B90C1F">
        <w:rPr>
          <w:rFonts w:ascii="Palatino Linotype" w:eastAsia="Palatino Linotype" w:hAnsi="Palatino Linotype" w:cs="Palatino Linotype"/>
          <w:sz w:val="22"/>
          <w:szCs w:val="22"/>
        </w:rPr>
        <w:t>Acta de la Décima Sesión Extraordinaria del Comité de Transparencia, clasificó la totalidad de los documentos  referentes al padrón catastral Municipal, sin embargo, como ya ha sido puntualizado la clasificación del padrón catastral no puede ser absoluta, tan es así que el propio servidor público habilitado reconoce que los catálogos operativos son susceptibles de entrega, tal y como lo establece el Instituto de Información e Investigación Geográfica, Estadística y Catastral del Estado de México.</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Además, se reitera que, del registro alfanumérico del padrón catastral, los datos del inmueble, son considerados datos susceptibles de ser clasificada como información confidencial, mientras que en el casi de los catálogos normativos corresponde a las autoridades catastrales analizar la información para efecto de determinar si la totalidad de esta reviste el carácter de pública.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Respecto del registro gráfico, la cartografía vectorial a nivel de manzana es considerada información pública, mientras que la cartografía vectorial catastral a nivel de predio debe analizarse con la finalidad de determinar si procede su clasificación como confidencial o es susceptible de entrega en versión pública.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Cabe resaltar que, si bien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pretendió entregar las Tablas de Valores Unitarios de Suelo y Construcciones las cuales conforman los catálogos operativos del registro alfanumérico del padrón catastral, sin embargo, además de que dicha información se entregó ilegible, como se ilustra a continuación:</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noProof/>
          <w:sz w:val="22"/>
          <w:szCs w:val="22"/>
        </w:rPr>
        <w:drawing>
          <wp:inline distT="0" distB="0" distL="0" distR="0" wp14:anchorId="20361B97" wp14:editId="56CD39A9">
            <wp:extent cx="5612130" cy="3122295"/>
            <wp:effectExtent l="0" t="0" r="0" b="0"/>
            <wp:docPr id="21401318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3122295"/>
                    </a:xfrm>
                    <a:prstGeom prst="rect">
                      <a:avLst/>
                    </a:prstGeom>
                    <a:ln/>
                  </pic:spPr>
                </pic:pic>
              </a:graphicData>
            </a:graphic>
          </wp:inline>
        </w:drawing>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No corresponde con el periodo solicitado, toda vez que estas fueron publicadas en el Periódico Oficial “Gaceta del Gobierno” del Estado de México el día 20 de diciembre de 2024, mientras que la persona solicitante requirió información vigente al 31 de marzo de 2024.</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Derivado de los argumentos expuestos, se estima que no puede tenerse por satisfecha la solicitud de información, en virtud de que la clasificación pretendida por el Sujeto Obligado no se encuentra debidamente fundada y motivada, al haber clasificado la totalidad de los documentos referentes al padrón catastral, y haber proporcionado información relacionada con los catálogos operativos del registro alfanumérico del padrón catastral ilegible, además de no corresponder con la temporalidad señalada.</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Por consiguiente, se estima dable ordenar la entrega del padrón catastral en versión pública de conformidad con el considerando siguiente, preferentemente en formato Excel en datos abiertos, o en el que se hubiera generado.</w:t>
      </w:r>
    </w:p>
    <w:p w:rsidR="000710B6" w:rsidRPr="00B90C1F" w:rsidRDefault="0029535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 lo hasta aquí expuesto, se concluye que los motivos de inconformidad de la parte </w:t>
      </w:r>
      <w:r w:rsidRPr="00B90C1F">
        <w:rPr>
          <w:rFonts w:ascii="Palatino Linotype" w:eastAsia="Palatino Linotype" w:hAnsi="Palatino Linotype" w:cs="Palatino Linotype"/>
          <w:b/>
          <w:sz w:val="22"/>
          <w:szCs w:val="22"/>
        </w:rPr>
        <w:t xml:space="preserve">Recurrente </w:t>
      </w:r>
      <w:r w:rsidRPr="00B90C1F">
        <w:rPr>
          <w:rFonts w:ascii="Palatino Linotype" w:eastAsia="Palatino Linotype" w:hAnsi="Palatino Linotype" w:cs="Palatino Linotype"/>
          <w:sz w:val="22"/>
          <w:szCs w:val="22"/>
        </w:rPr>
        <w:t xml:space="preserve">devienen fundados, siendo procedente </w:t>
      </w:r>
      <w:r w:rsidRPr="00B90C1F">
        <w:rPr>
          <w:rFonts w:ascii="Palatino Linotype" w:eastAsia="Palatino Linotype" w:hAnsi="Palatino Linotype" w:cs="Palatino Linotype"/>
          <w:i/>
          <w:sz w:val="22"/>
          <w:szCs w:val="22"/>
        </w:rPr>
        <w:t xml:space="preserve">Revocar </w:t>
      </w:r>
      <w:r w:rsidRPr="00B90C1F">
        <w:rPr>
          <w:rFonts w:ascii="Palatino Linotype" w:eastAsia="Palatino Linotype" w:hAnsi="Palatino Linotype" w:cs="Palatino Linotype"/>
          <w:sz w:val="22"/>
          <w:szCs w:val="22"/>
        </w:rPr>
        <w:t xml:space="preserve">la respuesta proporcionada por el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Quinto. Versión Pública.</w:t>
      </w:r>
      <w:r w:rsidRPr="00B90C1F">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sin menoscabo al derecho a la protección de los datos personales de terceros.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3</w:t>
      </w:r>
      <w:r w:rsidRPr="00B90C1F">
        <w:rPr>
          <w:rFonts w:ascii="Palatino Linotype" w:eastAsia="Palatino Linotype" w:hAnsi="Palatino Linotype" w:cs="Palatino Linotype"/>
          <w:i/>
          <w:sz w:val="22"/>
          <w:szCs w:val="22"/>
        </w:rPr>
        <w:t>. Para los efectos de la presente Ley se entenderá por:</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IX. Datos personales</w:t>
      </w:r>
      <w:r w:rsidRPr="00B90C1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XX. Información clasificada</w:t>
      </w:r>
      <w:r w:rsidRPr="00B90C1F">
        <w:rPr>
          <w:rFonts w:ascii="Palatino Linotype" w:eastAsia="Palatino Linotype" w:hAnsi="Palatino Linotype" w:cs="Palatino Linotype"/>
          <w:i/>
          <w:sz w:val="22"/>
          <w:szCs w:val="22"/>
        </w:rPr>
        <w:t>: Aquella considerada por la presente Ley como reservada o confidencial;</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XXI. Información confidencial: </w:t>
      </w:r>
      <w:r w:rsidRPr="00B90C1F">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XLV. Versión pública:</w:t>
      </w:r>
      <w:r w:rsidRPr="00B90C1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91.</w:t>
      </w:r>
      <w:r w:rsidRPr="00B90C1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132.</w:t>
      </w:r>
      <w:r w:rsidRPr="00B90C1F">
        <w:rPr>
          <w:rFonts w:ascii="Palatino Linotype" w:eastAsia="Palatino Linotype" w:hAnsi="Palatino Linotype" w:cs="Palatino Linotype"/>
          <w:i/>
          <w:sz w:val="22"/>
          <w:szCs w:val="22"/>
        </w:rPr>
        <w:t xml:space="preserve"> La clasificación de la información se llevará a cabo en el momento en que:</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Se reciba una solicitud de acceso a la información;</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xml:space="preserve"> Se determine mediante resolución de autoridad competente; o</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III.</w:t>
      </w:r>
      <w:r w:rsidRPr="00B90C1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137.</w:t>
      </w:r>
      <w:r w:rsidRPr="00B90C1F">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710B6" w:rsidRPr="00B90C1F" w:rsidRDefault="0029535C">
      <w:pPr>
        <w:spacing w:before="120" w:after="120"/>
        <w:ind w:left="851" w:right="902"/>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143</w:t>
      </w:r>
      <w:r w:rsidRPr="00B90C1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710B6" w:rsidRPr="00B90C1F" w:rsidRDefault="0029535C">
      <w:pPr>
        <w:spacing w:before="240" w:after="240" w:line="360" w:lineRule="auto"/>
        <w:ind w:right="50"/>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0710B6" w:rsidRPr="00B90C1F" w:rsidRDefault="0029535C">
      <w:pPr>
        <w:spacing w:before="240" w:after="240" w:line="360" w:lineRule="auto"/>
        <w:ind w:right="50"/>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49.</w:t>
      </w:r>
      <w:r w:rsidRPr="00B90C1F">
        <w:rPr>
          <w:rFonts w:ascii="Palatino Linotype" w:eastAsia="Palatino Linotype" w:hAnsi="Palatino Linotype" w:cs="Palatino Linotype"/>
          <w:i/>
          <w:sz w:val="22"/>
          <w:szCs w:val="22"/>
        </w:rPr>
        <w:t xml:space="preserve"> </w:t>
      </w:r>
      <w:r w:rsidRPr="00B90C1F">
        <w:rPr>
          <w:rFonts w:ascii="Palatino Linotype" w:eastAsia="Palatino Linotype" w:hAnsi="Palatino Linotype" w:cs="Palatino Linotype"/>
          <w:b/>
          <w:i/>
          <w:sz w:val="22"/>
          <w:szCs w:val="22"/>
        </w:rPr>
        <w:t>Los Comités de Transparencia</w:t>
      </w:r>
      <w:r w:rsidRPr="00B90C1F">
        <w:rPr>
          <w:rFonts w:ascii="Palatino Linotype" w:eastAsia="Palatino Linotype" w:hAnsi="Palatino Linotype" w:cs="Palatino Linotype"/>
          <w:i/>
          <w:sz w:val="22"/>
          <w:szCs w:val="22"/>
        </w:rPr>
        <w:t xml:space="preserve"> tendrán las siguientes atribuciones:</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VIII. Aprobar, modificar o revocar la clasificación de la información</w:t>
      </w:r>
      <w:r w:rsidRPr="00B90C1F">
        <w:rPr>
          <w:rFonts w:ascii="Palatino Linotype" w:eastAsia="Palatino Linotype" w:hAnsi="Palatino Linotype" w:cs="Palatino Linotype"/>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53.</w:t>
      </w:r>
      <w:r w:rsidRPr="00B90C1F">
        <w:rPr>
          <w:rFonts w:ascii="Palatino Linotype" w:eastAsia="Palatino Linotype" w:hAnsi="Palatino Linotype" w:cs="Palatino Linotype"/>
          <w:i/>
          <w:sz w:val="22"/>
          <w:szCs w:val="22"/>
        </w:rPr>
        <w:t xml:space="preserve"> Las </w:t>
      </w:r>
      <w:r w:rsidRPr="00B90C1F">
        <w:rPr>
          <w:rFonts w:ascii="Palatino Linotype" w:eastAsia="Palatino Linotype" w:hAnsi="Palatino Linotype" w:cs="Palatino Linotype"/>
          <w:b/>
          <w:i/>
          <w:sz w:val="22"/>
          <w:szCs w:val="22"/>
        </w:rPr>
        <w:t>Unidades de Transparencia</w:t>
      </w:r>
      <w:r w:rsidRPr="00B90C1F">
        <w:rPr>
          <w:rFonts w:ascii="Palatino Linotype" w:eastAsia="Palatino Linotype" w:hAnsi="Palatino Linotype" w:cs="Palatino Linotype"/>
          <w:i/>
          <w:sz w:val="22"/>
          <w:szCs w:val="22"/>
        </w:rPr>
        <w:t xml:space="preserve"> tendrán las siguientes </w:t>
      </w:r>
      <w:r w:rsidRPr="00B90C1F">
        <w:rPr>
          <w:rFonts w:ascii="Palatino Linotype" w:eastAsia="Palatino Linotype" w:hAnsi="Palatino Linotype" w:cs="Palatino Linotype"/>
          <w:b/>
          <w:i/>
          <w:sz w:val="22"/>
          <w:szCs w:val="22"/>
        </w:rPr>
        <w:t>funciones</w:t>
      </w:r>
      <w:r w:rsidRPr="00B90C1F">
        <w:rPr>
          <w:rFonts w:ascii="Palatino Linotype" w:eastAsia="Palatino Linotype" w:hAnsi="Palatino Linotype" w:cs="Palatino Linotype"/>
          <w:i/>
          <w:sz w:val="22"/>
          <w:szCs w:val="22"/>
        </w:rPr>
        <w:t>:</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X. Presentar ante el Comité, el proyecto de clasificación de información</w:t>
      </w:r>
      <w:r w:rsidRPr="00B90C1F">
        <w:rPr>
          <w:rFonts w:ascii="Palatino Linotype" w:eastAsia="Palatino Linotype" w:hAnsi="Palatino Linotype" w:cs="Palatino Linotype"/>
          <w:i/>
          <w:sz w:val="22"/>
          <w:szCs w:val="22"/>
        </w:rPr>
        <w:t xml:space="preserve">…”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“Artículo 59.</w:t>
      </w:r>
      <w:r w:rsidRPr="00B90C1F">
        <w:rPr>
          <w:rFonts w:ascii="Palatino Linotype" w:eastAsia="Palatino Linotype" w:hAnsi="Palatino Linotype" w:cs="Palatino Linotype"/>
          <w:i/>
          <w:sz w:val="22"/>
          <w:szCs w:val="22"/>
        </w:rPr>
        <w:t xml:space="preserve"> Los </w:t>
      </w:r>
      <w:r w:rsidRPr="00B90C1F">
        <w:rPr>
          <w:rFonts w:ascii="Palatino Linotype" w:eastAsia="Palatino Linotype" w:hAnsi="Palatino Linotype" w:cs="Palatino Linotype"/>
          <w:b/>
          <w:i/>
          <w:sz w:val="22"/>
          <w:szCs w:val="22"/>
        </w:rPr>
        <w:t>servidores públicos habilitados</w:t>
      </w:r>
      <w:r w:rsidRPr="00B90C1F">
        <w:rPr>
          <w:rFonts w:ascii="Palatino Linotype" w:eastAsia="Palatino Linotype" w:hAnsi="Palatino Linotype" w:cs="Palatino Linotype"/>
          <w:i/>
          <w:sz w:val="22"/>
          <w:szCs w:val="22"/>
        </w:rPr>
        <w:t xml:space="preserve"> tendrán las </w:t>
      </w:r>
      <w:r w:rsidRPr="00B90C1F">
        <w:rPr>
          <w:rFonts w:ascii="Palatino Linotype" w:eastAsia="Palatino Linotype" w:hAnsi="Palatino Linotype" w:cs="Palatino Linotype"/>
          <w:b/>
          <w:i/>
          <w:sz w:val="22"/>
          <w:szCs w:val="22"/>
        </w:rPr>
        <w:t>funciones</w:t>
      </w:r>
      <w:r w:rsidRPr="00B90C1F">
        <w:rPr>
          <w:rFonts w:ascii="Palatino Linotype" w:eastAsia="Palatino Linotype" w:hAnsi="Palatino Linotype" w:cs="Palatino Linotype"/>
          <w:i/>
          <w:sz w:val="22"/>
          <w:szCs w:val="22"/>
        </w:rPr>
        <w:t xml:space="preserve"> siguientes:</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B90C1F">
        <w:rPr>
          <w:rFonts w:ascii="Palatino Linotype" w:eastAsia="Palatino Linotype" w:hAnsi="Palatino Linotype" w:cs="Palatino Linotype"/>
          <w:i/>
          <w:sz w:val="22"/>
          <w:szCs w:val="22"/>
        </w:rPr>
        <w:t>, la cual tendrá los fundamentos y argumentos en que se basa dicha propuesta…”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Artículo 149.</w:t>
      </w:r>
      <w:r w:rsidRPr="00B90C1F">
        <w:rPr>
          <w:rFonts w:ascii="Palatino Linotype" w:eastAsia="Palatino Linotype" w:hAnsi="Palatino Linotype" w:cs="Palatino Linotype"/>
          <w:i/>
          <w:sz w:val="22"/>
          <w:szCs w:val="22"/>
        </w:rPr>
        <w:t xml:space="preserve"> El </w:t>
      </w:r>
      <w:r w:rsidRPr="00B90C1F">
        <w:rPr>
          <w:rFonts w:ascii="Palatino Linotype" w:eastAsia="Palatino Linotype" w:hAnsi="Palatino Linotype" w:cs="Palatino Linotype"/>
          <w:b/>
          <w:i/>
          <w:sz w:val="22"/>
          <w:szCs w:val="22"/>
        </w:rPr>
        <w:t>acuerdo que clasifique la información como confidencial</w:t>
      </w:r>
      <w:r w:rsidRPr="00B90C1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rsidR="000710B6" w:rsidRPr="00B90C1F" w:rsidRDefault="0029535C">
      <w:pP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Es decir,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rsidR="000710B6" w:rsidRPr="00B90C1F" w:rsidRDefault="0029535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Respecto a las formalidades que deberá llevar el acuerdo de clasificación que deberá emitir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señalan lo siguiente:</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 “Quincuagésimo. </w:t>
      </w:r>
      <w:r w:rsidRPr="00B90C1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0710B6" w:rsidRPr="00B90C1F"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Quincuagésimo primero. </w:t>
      </w:r>
      <w:r w:rsidRPr="00B90C1F">
        <w:rPr>
          <w:rFonts w:ascii="Palatino Linotype" w:eastAsia="Palatino Linotype" w:hAnsi="Palatino Linotype" w:cs="Palatino Linotype"/>
          <w:i/>
          <w:sz w:val="22"/>
          <w:szCs w:val="22"/>
        </w:rPr>
        <w:t xml:space="preserve">Toda acta del Comité de Transparencia deberá contener: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xml:space="preserve"> El número de sesión y fecha;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xml:space="preserve">. El nombre del área que solicitó la clasificación de información;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III</w:t>
      </w:r>
      <w:r w:rsidRPr="00B90C1F">
        <w:rPr>
          <w:rFonts w:ascii="Palatino Linotype" w:eastAsia="Palatino Linotype" w:hAnsi="Palatino Linotype" w:cs="Palatino Linotype"/>
          <w:i/>
          <w:sz w:val="22"/>
          <w:szCs w:val="22"/>
        </w:rPr>
        <w:t xml:space="preserve">. La fundamentación legal y motivación correspondiente;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IV</w:t>
      </w:r>
      <w:r w:rsidRPr="00B90C1F">
        <w:rPr>
          <w:rFonts w:ascii="Palatino Linotype" w:eastAsia="Palatino Linotype" w:hAnsi="Palatino Linotype" w:cs="Palatino Linotype"/>
          <w:i/>
          <w:sz w:val="22"/>
          <w:szCs w:val="22"/>
        </w:rPr>
        <w:t xml:space="preserve">. La resolución o resoluciones aprobadas; y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V</w:t>
      </w:r>
      <w:r w:rsidRPr="00B90C1F">
        <w:rPr>
          <w:rFonts w:ascii="Palatino Linotype" w:eastAsia="Palatino Linotype" w:hAnsi="Palatino Linotype" w:cs="Palatino Linotype"/>
          <w:i/>
          <w:sz w:val="22"/>
          <w:szCs w:val="22"/>
        </w:rPr>
        <w:t xml:space="preserve">. La rúbrica o firma digital de cada integrante del Comité de Transparencia. </w:t>
      </w:r>
    </w:p>
    <w:p w:rsidR="000710B6" w:rsidRPr="00B90C1F"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xml:space="preserve"> Los motivos y razonamientos que sustenten la confirmación o modificación de la prueba de daño;</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Descripción de las partes o secciones reservadas, en caso de clasificación parcial</w:t>
      </w:r>
      <w:r w:rsidRPr="00B90C1F">
        <w:rPr>
          <w:rFonts w:ascii="Palatino Linotype" w:eastAsia="Palatino Linotype" w:hAnsi="Palatino Linotype" w:cs="Palatino Linotype"/>
          <w:b/>
          <w:i/>
          <w:sz w:val="22"/>
          <w:szCs w:val="22"/>
        </w:rPr>
        <w:t xml:space="preserve">;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III.</w:t>
      </w:r>
      <w:r w:rsidRPr="00B90C1F">
        <w:rPr>
          <w:rFonts w:ascii="Palatino Linotype" w:eastAsia="Palatino Linotype" w:hAnsi="Palatino Linotype" w:cs="Palatino Linotype"/>
          <w:i/>
          <w:sz w:val="22"/>
          <w:szCs w:val="22"/>
        </w:rPr>
        <w:t xml:space="preserve"> El periodo por el que mantendrá su clasificación y fecha de expiración; y </w:t>
      </w:r>
    </w:p>
    <w:p w:rsidR="000710B6" w:rsidRPr="00B90C1F" w:rsidRDefault="0029535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IV.</w:t>
      </w:r>
      <w:r w:rsidRPr="00B90C1F">
        <w:rPr>
          <w:rFonts w:ascii="Palatino Linotype" w:eastAsia="Palatino Linotype" w:hAnsi="Palatino Linotype" w:cs="Palatino Linotype"/>
          <w:i/>
          <w:sz w:val="22"/>
          <w:szCs w:val="22"/>
        </w:rPr>
        <w:t xml:space="preserve"> El nombre del titular y área encargada de realizar la versión pública del documento, en su caso. </w:t>
      </w:r>
    </w:p>
    <w:p w:rsidR="000710B6" w:rsidRPr="00B90C1F"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0710B6" w:rsidRPr="00B90C1F" w:rsidRDefault="0029535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0710B6" w:rsidRPr="00B90C1F" w:rsidRDefault="0029535C">
      <w:pPr>
        <w:spacing w:before="120" w:after="120"/>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Quincuagésimo segundo</w:t>
      </w:r>
      <w:r w:rsidRPr="00B90C1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0710B6" w:rsidRPr="00B90C1F" w:rsidRDefault="0029535C">
      <w:pPr>
        <w:spacing w:before="120" w:after="120"/>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En el caso especifico de la clasificación y elaboración de versiones públicas de documentos que contengan información confidencial, las áreas de los sujetos obligados deberán: </w:t>
      </w:r>
    </w:p>
    <w:p w:rsidR="000710B6" w:rsidRPr="00B90C1F" w:rsidRDefault="0029535C">
      <w:pPr>
        <w:spacing w:before="120" w:after="120"/>
        <w:ind w:left="1134"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rsidR="000710B6" w:rsidRPr="00B90C1F" w:rsidRDefault="0029535C">
      <w:pPr>
        <w:spacing w:before="120" w:after="120"/>
        <w:ind w:left="1134"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rsidR="000710B6" w:rsidRPr="00B90C1F" w:rsidRDefault="0029535C">
      <w:pPr>
        <w:spacing w:before="120" w:after="120"/>
        <w:ind w:left="1134"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III.</w:t>
      </w:r>
      <w:r w:rsidRPr="00B90C1F">
        <w:rPr>
          <w:rFonts w:ascii="Palatino Linotype" w:eastAsia="Palatino Linotype" w:hAnsi="Palatino Linotype" w:cs="Palatino Linotype"/>
          <w:i/>
          <w:sz w:val="22"/>
          <w:szCs w:val="22"/>
        </w:rPr>
        <w:t xml:space="preserve"> Señalar las personas o instancias autorizadas a acceder a la información clasificada.</w:t>
      </w:r>
    </w:p>
    <w:p w:rsidR="000710B6" w:rsidRPr="00B90C1F" w:rsidRDefault="0029535C">
      <w:pPr>
        <w:spacing w:before="120" w:after="120"/>
        <w:ind w:left="851" w:right="900"/>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rsidR="000710B6" w:rsidRPr="00B90C1F" w:rsidRDefault="0029535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i/>
          <w:sz w:val="22"/>
          <w:szCs w:val="22"/>
        </w:rPr>
        <w:t>“</w:t>
      </w:r>
      <w:r w:rsidRPr="00B90C1F">
        <w:rPr>
          <w:rFonts w:ascii="Palatino Linotype" w:eastAsia="Palatino Linotype" w:hAnsi="Palatino Linotype" w:cs="Palatino Linotype"/>
          <w:b/>
          <w:i/>
          <w:sz w:val="22"/>
          <w:szCs w:val="22"/>
        </w:rPr>
        <w:t xml:space="preserve">Quincuagésimo cuarto. </w:t>
      </w:r>
      <w:r w:rsidRPr="00B90C1F">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B90C1F">
        <w:rPr>
          <w:rFonts w:ascii="Palatino Linotype" w:eastAsia="Palatino Linotype" w:hAnsi="Palatino Linotype" w:cs="Palatino Linotype"/>
          <w:b/>
          <w:i/>
          <w:sz w:val="22"/>
          <w:szCs w:val="22"/>
        </w:rPr>
        <w:t xml:space="preserve">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 xml:space="preserve">Quincuagésimo quinto. </w:t>
      </w:r>
      <w:r w:rsidRPr="00B90C1F">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0710B6" w:rsidRPr="00B90C1F" w:rsidRDefault="0029535C">
      <w:pPr>
        <w:spacing w:before="120" w:after="120"/>
        <w:ind w:left="851" w:right="902"/>
        <w:jc w:val="both"/>
        <w:rPr>
          <w:rFonts w:ascii="Palatino Linotype" w:eastAsia="Palatino Linotype" w:hAnsi="Palatino Linotype" w:cs="Palatino Linotype"/>
          <w:b/>
          <w:i/>
          <w:sz w:val="22"/>
          <w:szCs w:val="22"/>
        </w:rPr>
      </w:pPr>
      <w:r w:rsidRPr="00B90C1F">
        <w:rPr>
          <w:rFonts w:ascii="Palatino Linotype" w:eastAsia="Palatino Linotype" w:hAnsi="Palatino Linotype" w:cs="Palatino Linotype"/>
          <w:b/>
          <w:i/>
          <w:sz w:val="22"/>
          <w:szCs w:val="22"/>
        </w:rPr>
        <w:t>...</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Quincuagésimo séptimo</w:t>
      </w:r>
      <w:r w:rsidRPr="00B90C1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w:t>
      </w:r>
      <w:r w:rsidRPr="00B90C1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w:t>
      </w:r>
      <w:r w:rsidRPr="00B90C1F">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rsidR="000710B6" w:rsidRPr="00B90C1F" w:rsidRDefault="0029535C">
      <w:pPr>
        <w:spacing w:before="120" w:after="120"/>
        <w:ind w:left="1134"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III</w:t>
      </w:r>
      <w:r w:rsidRPr="00B90C1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0710B6" w:rsidRPr="00B90C1F" w:rsidRDefault="0029535C">
      <w:pPr>
        <w:spacing w:before="120" w:after="120"/>
        <w:ind w:left="851" w:right="902"/>
        <w:jc w:val="both"/>
        <w:rPr>
          <w:rFonts w:ascii="Palatino Linotype" w:eastAsia="Palatino Linotype" w:hAnsi="Palatino Linotype" w:cs="Palatino Linotype"/>
          <w:i/>
          <w:sz w:val="22"/>
          <w:szCs w:val="22"/>
        </w:rPr>
      </w:pPr>
      <w:r w:rsidRPr="00B90C1F">
        <w:rPr>
          <w:rFonts w:ascii="Palatino Linotype" w:eastAsia="Palatino Linotype" w:hAnsi="Palatino Linotype" w:cs="Palatino Linotype"/>
          <w:b/>
          <w:i/>
          <w:sz w:val="22"/>
          <w:szCs w:val="22"/>
        </w:rPr>
        <w:t>Quincuagésimo octavo</w:t>
      </w:r>
      <w:r w:rsidRPr="00B90C1F">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rsidR="000710B6" w:rsidRPr="00B90C1F" w:rsidRDefault="0029535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90C1F">
        <w:rPr>
          <w:rFonts w:ascii="Palatino Linotype" w:eastAsia="Palatino Linotype" w:hAnsi="Palatino Linotype" w:cs="Palatino Linotype"/>
          <w:b/>
          <w:sz w:val="22"/>
          <w:szCs w:val="22"/>
        </w:rPr>
        <w:t>III. R E S U E L V E</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B90C1F">
        <w:rPr>
          <w:rFonts w:ascii="Palatino Linotype" w:eastAsia="Palatino Linotype" w:hAnsi="Palatino Linotype" w:cs="Palatino Linotype"/>
          <w:b/>
          <w:sz w:val="22"/>
          <w:szCs w:val="22"/>
        </w:rPr>
        <w:t xml:space="preserve">Primero. </w:t>
      </w:r>
      <w:r w:rsidRPr="00B90C1F">
        <w:rPr>
          <w:rFonts w:ascii="Palatino Linotype" w:eastAsia="Palatino Linotype" w:hAnsi="Palatino Linotype" w:cs="Palatino Linotype"/>
          <w:sz w:val="22"/>
          <w:szCs w:val="22"/>
        </w:rPr>
        <w:t>Resultan</w:t>
      </w:r>
      <w:r w:rsidRPr="00B90C1F">
        <w:rPr>
          <w:rFonts w:ascii="Palatino Linotype" w:eastAsia="Palatino Linotype" w:hAnsi="Palatino Linotype" w:cs="Palatino Linotype"/>
          <w:b/>
          <w:sz w:val="22"/>
          <w:szCs w:val="22"/>
        </w:rPr>
        <w:t xml:space="preserve"> fundadas</w:t>
      </w:r>
      <w:r w:rsidRPr="00B90C1F">
        <w:rPr>
          <w:rFonts w:ascii="Palatino Linotype" w:eastAsia="Palatino Linotype" w:hAnsi="Palatino Linotype" w:cs="Palatino Linotype"/>
          <w:sz w:val="22"/>
          <w:szCs w:val="22"/>
        </w:rPr>
        <w:t xml:space="preserve"> las razones o motivos de inconformidad hechos valer por la parte</w:t>
      </w:r>
      <w:r w:rsidRPr="00B90C1F">
        <w:rPr>
          <w:rFonts w:ascii="Palatino Linotype" w:eastAsia="Palatino Linotype" w:hAnsi="Palatino Linotype" w:cs="Palatino Linotype"/>
          <w:b/>
          <w:sz w:val="22"/>
          <w:szCs w:val="22"/>
        </w:rPr>
        <w:t xml:space="preserve"> Recurrente</w:t>
      </w:r>
      <w:r w:rsidRPr="00B90C1F">
        <w:rPr>
          <w:rFonts w:ascii="Palatino Linotype" w:eastAsia="Palatino Linotype" w:hAnsi="Palatino Linotype" w:cs="Palatino Linotype"/>
          <w:sz w:val="22"/>
          <w:szCs w:val="22"/>
        </w:rPr>
        <w:t xml:space="preserve"> en el recurso de revisión </w:t>
      </w:r>
      <w:r w:rsidRPr="00B90C1F">
        <w:rPr>
          <w:rFonts w:ascii="Palatino Linotype" w:eastAsia="Palatino Linotype" w:hAnsi="Palatino Linotype" w:cs="Palatino Linotype"/>
          <w:b/>
          <w:sz w:val="22"/>
          <w:szCs w:val="22"/>
        </w:rPr>
        <w:t>07244/INFOEM/IP/RR/2025</w:t>
      </w:r>
      <w:r w:rsidRPr="00B90C1F">
        <w:rPr>
          <w:rFonts w:ascii="Palatino Linotype" w:eastAsia="Palatino Linotype" w:hAnsi="Palatino Linotype" w:cs="Palatino Linotype"/>
          <w:sz w:val="22"/>
          <w:szCs w:val="22"/>
        </w:rPr>
        <w:t xml:space="preserve">; por lo que, en términos del </w:t>
      </w:r>
      <w:r w:rsidRPr="00B90C1F">
        <w:rPr>
          <w:rFonts w:ascii="Palatino Linotype" w:eastAsia="Palatino Linotype" w:hAnsi="Palatino Linotype" w:cs="Palatino Linotype"/>
          <w:b/>
          <w:sz w:val="22"/>
          <w:szCs w:val="22"/>
        </w:rPr>
        <w:t>Considerando</w:t>
      </w:r>
      <w:r w:rsidRPr="00B90C1F">
        <w:rPr>
          <w:rFonts w:ascii="Palatino Linotype" w:eastAsia="Palatino Linotype" w:hAnsi="Palatino Linotype" w:cs="Palatino Linotype"/>
          <w:sz w:val="22"/>
          <w:szCs w:val="22"/>
        </w:rPr>
        <w:t xml:space="preserve"> </w:t>
      </w:r>
      <w:r w:rsidRPr="00B90C1F">
        <w:rPr>
          <w:rFonts w:ascii="Palatino Linotype" w:eastAsia="Palatino Linotype" w:hAnsi="Palatino Linotype" w:cs="Palatino Linotype"/>
          <w:b/>
          <w:sz w:val="22"/>
          <w:szCs w:val="22"/>
        </w:rPr>
        <w:t xml:space="preserve">Cuarto </w:t>
      </w:r>
      <w:r w:rsidRPr="00B90C1F">
        <w:rPr>
          <w:rFonts w:ascii="Palatino Linotype" w:eastAsia="Palatino Linotype" w:hAnsi="Palatino Linotype" w:cs="Palatino Linotype"/>
          <w:sz w:val="22"/>
          <w:szCs w:val="22"/>
        </w:rPr>
        <w:t xml:space="preserve">de esta resolución, se </w:t>
      </w:r>
      <w:r w:rsidRPr="00B90C1F">
        <w:rPr>
          <w:rFonts w:ascii="Palatino Linotype" w:eastAsia="Palatino Linotype" w:hAnsi="Palatino Linotype" w:cs="Palatino Linotype"/>
          <w:b/>
          <w:sz w:val="22"/>
          <w:szCs w:val="22"/>
        </w:rPr>
        <w:t>Revoca</w:t>
      </w:r>
      <w:r w:rsidRPr="00B90C1F">
        <w:rPr>
          <w:rFonts w:ascii="Palatino Linotype" w:eastAsia="Palatino Linotype" w:hAnsi="Palatino Linotype" w:cs="Palatino Linotype"/>
          <w:sz w:val="22"/>
          <w:szCs w:val="22"/>
        </w:rPr>
        <w:t xml:space="preserve"> la respuesta emitida por el </w:t>
      </w:r>
      <w:r w:rsidRPr="00B90C1F">
        <w:rPr>
          <w:rFonts w:ascii="Palatino Linotype" w:eastAsia="Palatino Linotype" w:hAnsi="Palatino Linotype" w:cs="Palatino Linotype"/>
          <w:b/>
          <w:sz w:val="22"/>
          <w:szCs w:val="22"/>
        </w:rPr>
        <w:t xml:space="preserve">Sujeto Obligado. </w:t>
      </w:r>
    </w:p>
    <w:p w:rsidR="000710B6" w:rsidRPr="00B90C1F" w:rsidRDefault="0029535C">
      <w:pPr>
        <w:spacing w:before="240" w:after="240" w:line="360" w:lineRule="auto"/>
        <w:ind w:right="49"/>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Segundo. </w:t>
      </w:r>
      <w:r w:rsidRPr="00B90C1F">
        <w:rPr>
          <w:rFonts w:ascii="Palatino Linotype" w:eastAsia="Palatino Linotype" w:hAnsi="Palatino Linotype" w:cs="Palatino Linotype"/>
          <w:sz w:val="22"/>
          <w:szCs w:val="22"/>
        </w:rPr>
        <w:t xml:space="preserve">Se </w:t>
      </w:r>
      <w:r w:rsidRPr="00B90C1F">
        <w:rPr>
          <w:rFonts w:ascii="Palatino Linotype" w:eastAsia="Palatino Linotype" w:hAnsi="Palatino Linotype" w:cs="Palatino Linotype"/>
          <w:b/>
          <w:sz w:val="22"/>
          <w:szCs w:val="22"/>
        </w:rPr>
        <w:t xml:space="preserve">Ordena </w:t>
      </w:r>
      <w:r w:rsidRPr="00B90C1F">
        <w:rPr>
          <w:rFonts w:ascii="Palatino Linotype" w:eastAsia="Palatino Linotype" w:hAnsi="Palatino Linotype" w:cs="Palatino Linotype"/>
          <w:sz w:val="22"/>
          <w:szCs w:val="22"/>
        </w:rPr>
        <w:t xml:space="preserve">al </w:t>
      </w:r>
      <w:r w:rsidRPr="00B90C1F">
        <w:rPr>
          <w:rFonts w:ascii="Palatino Linotype" w:eastAsia="Palatino Linotype" w:hAnsi="Palatino Linotype" w:cs="Palatino Linotype"/>
          <w:b/>
          <w:sz w:val="22"/>
          <w:szCs w:val="22"/>
        </w:rPr>
        <w:t xml:space="preserve">Sujeto Obligado, </w:t>
      </w:r>
      <w:r w:rsidRPr="00B90C1F">
        <w:rPr>
          <w:rFonts w:ascii="Palatino Linotype" w:eastAsia="Palatino Linotype" w:hAnsi="Palatino Linotype" w:cs="Palatino Linotype"/>
          <w:sz w:val="22"/>
          <w:szCs w:val="22"/>
        </w:rPr>
        <w:t xml:space="preserve">en términos de los </w:t>
      </w:r>
      <w:r w:rsidRPr="00B90C1F">
        <w:rPr>
          <w:rFonts w:ascii="Palatino Linotype" w:eastAsia="Palatino Linotype" w:hAnsi="Palatino Linotype" w:cs="Palatino Linotype"/>
          <w:b/>
          <w:sz w:val="22"/>
          <w:szCs w:val="22"/>
        </w:rPr>
        <w:t>Considerandos</w:t>
      </w:r>
      <w:r w:rsidRPr="00B90C1F">
        <w:rPr>
          <w:rFonts w:ascii="Palatino Linotype" w:eastAsia="Palatino Linotype" w:hAnsi="Palatino Linotype" w:cs="Palatino Linotype"/>
          <w:sz w:val="22"/>
          <w:szCs w:val="22"/>
        </w:rPr>
        <w:t xml:space="preserve"> </w:t>
      </w:r>
      <w:r w:rsidRPr="00B90C1F">
        <w:rPr>
          <w:rFonts w:ascii="Palatino Linotype" w:eastAsia="Palatino Linotype" w:hAnsi="Palatino Linotype" w:cs="Palatino Linotype"/>
          <w:b/>
          <w:sz w:val="22"/>
          <w:szCs w:val="22"/>
        </w:rPr>
        <w:t xml:space="preserve">Cuarto </w:t>
      </w:r>
      <w:r w:rsidRPr="00B90C1F">
        <w:rPr>
          <w:rFonts w:ascii="Palatino Linotype" w:eastAsia="Palatino Linotype" w:hAnsi="Palatino Linotype" w:cs="Palatino Linotype"/>
          <w:sz w:val="22"/>
          <w:szCs w:val="22"/>
        </w:rPr>
        <w:t xml:space="preserve"> y </w:t>
      </w:r>
      <w:r w:rsidRPr="00B90C1F">
        <w:rPr>
          <w:rFonts w:ascii="Palatino Linotype" w:eastAsia="Palatino Linotype" w:hAnsi="Palatino Linotype" w:cs="Palatino Linotype"/>
          <w:b/>
          <w:sz w:val="22"/>
          <w:szCs w:val="22"/>
        </w:rPr>
        <w:t>Quinto</w:t>
      </w:r>
      <w:r w:rsidRPr="00B90C1F">
        <w:rPr>
          <w:rFonts w:ascii="Palatino Linotype" w:eastAsia="Palatino Linotype" w:hAnsi="Palatino Linotype" w:cs="Palatino Linotype"/>
          <w:sz w:val="22"/>
          <w:szCs w:val="22"/>
        </w:rPr>
        <w:t xml:space="preserve"> de esta resolución, haga entrega, vía </w:t>
      </w:r>
      <w:r w:rsidRPr="00B90C1F">
        <w:rPr>
          <w:rFonts w:ascii="Palatino Linotype" w:eastAsia="Palatino Linotype" w:hAnsi="Palatino Linotype" w:cs="Palatino Linotype"/>
          <w:b/>
          <w:sz w:val="22"/>
          <w:szCs w:val="22"/>
        </w:rPr>
        <w:t>SAIMEX</w:t>
      </w:r>
      <w:r w:rsidRPr="00B90C1F">
        <w:rPr>
          <w:rFonts w:ascii="Palatino Linotype" w:eastAsia="Palatino Linotype" w:hAnsi="Palatino Linotype" w:cs="Palatino Linotype"/>
          <w:sz w:val="22"/>
          <w:szCs w:val="22"/>
        </w:rPr>
        <w:t>, en versión pública, de lo siguiente:</w:t>
      </w:r>
    </w:p>
    <w:p w:rsidR="000710B6" w:rsidRPr="00B90C1F" w:rsidRDefault="0029535C">
      <w:pPr>
        <w:spacing w:before="240" w:after="240" w:line="360" w:lineRule="auto"/>
        <w:ind w:left="284"/>
        <w:jc w:val="both"/>
        <w:rPr>
          <w:rFonts w:ascii="Palatino Linotype" w:eastAsia="Palatino Linotype" w:hAnsi="Palatino Linotype" w:cs="Palatino Linotype"/>
          <w:sz w:val="22"/>
          <w:szCs w:val="22"/>
        </w:rPr>
      </w:pPr>
      <w:bookmarkStart w:id="10" w:name="_heading=h.1fob9te" w:colFirst="0" w:colLast="0"/>
      <w:bookmarkEnd w:id="10"/>
      <w:r w:rsidRPr="00B90C1F">
        <w:rPr>
          <w:rFonts w:ascii="Palatino Linotype" w:eastAsia="Palatino Linotype" w:hAnsi="Palatino Linotype" w:cs="Palatino Linotype"/>
          <w:sz w:val="22"/>
          <w:szCs w:val="22"/>
        </w:rPr>
        <w:t>1. El padrón catastral, al 31 de marzo de 2024, preferentemente en formato Excel en datos abiertos, o en el que se hubiera generado.</w:t>
      </w:r>
    </w:p>
    <w:p w:rsidR="000710B6" w:rsidRPr="00B90C1F" w:rsidRDefault="0029535C">
      <w:pPr>
        <w:widowControl w:val="0"/>
        <w:pBdr>
          <w:top w:val="nil"/>
          <w:left w:val="nil"/>
          <w:bottom w:val="nil"/>
          <w:right w:val="nil"/>
          <w:between w:val="nil"/>
        </w:pBdr>
        <w:spacing w:before="240" w:after="240"/>
        <w:ind w:left="284" w:right="51"/>
        <w:jc w:val="both"/>
        <w:rPr>
          <w:rFonts w:ascii="Palatino Linotype" w:eastAsia="Palatino Linotype" w:hAnsi="Palatino Linotype" w:cs="Palatino Linotype"/>
          <w:i/>
          <w:sz w:val="20"/>
          <w:szCs w:val="20"/>
        </w:rPr>
      </w:pPr>
      <w:r w:rsidRPr="00B90C1F">
        <w:rPr>
          <w:rFonts w:ascii="Palatino Linotype" w:eastAsia="Palatino Linotype" w:hAnsi="Palatino Linotype" w:cs="Palatino Linotype"/>
          <w:i/>
          <w:sz w:val="20"/>
          <w:szCs w:val="20"/>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b/>
          <w:sz w:val="22"/>
          <w:szCs w:val="22"/>
        </w:rPr>
        <w:t xml:space="preserve">Tercero. Notifíquese, </w:t>
      </w:r>
      <w:r w:rsidRPr="00B90C1F">
        <w:rPr>
          <w:rFonts w:ascii="Palatino Linotype" w:eastAsia="Palatino Linotype" w:hAnsi="Palatino Linotype" w:cs="Palatino Linotype"/>
          <w:sz w:val="22"/>
          <w:szCs w:val="22"/>
        </w:rPr>
        <w:t xml:space="preserve">vía </w:t>
      </w:r>
      <w:r w:rsidRPr="00B90C1F">
        <w:rPr>
          <w:rFonts w:ascii="Palatino Linotype" w:eastAsia="Palatino Linotype" w:hAnsi="Palatino Linotype" w:cs="Palatino Linotype"/>
          <w:b/>
          <w:sz w:val="22"/>
          <w:szCs w:val="22"/>
        </w:rPr>
        <w:t>SAIMEX</w:t>
      </w:r>
      <w:r w:rsidRPr="00B90C1F">
        <w:rPr>
          <w:rFonts w:ascii="Palatino Linotype" w:eastAsia="Palatino Linotype" w:hAnsi="Palatino Linotype" w:cs="Palatino Linotype"/>
          <w:sz w:val="22"/>
          <w:szCs w:val="22"/>
        </w:rPr>
        <w:t xml:space="preserve">, al Titular de la Unidad de Transparencia del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r w:rsidRPr="00B90C1F">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B90C1F">
        <w:rPr>
          <w:rFonts w:ascii="Palatino Linotype" w:eastAsia="Palatino Linotype" w:hAnsi="Palatino Linotype" w:cs="Palatino Linotype"/>
          <w:b/>
          <w:sz w:val="22"/>
          <w:szCs w:val="22"/>
        </w:rPr>
        <w:t>Sujeto Obligado</w:t>
      </w:r>
      <w:r w:rsidRPr="00B90C1F">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rsidR="000710B6" w:rsidRPr="00B90C1F" w:rsidRDefault="0029535C">
      <w:pPr>
        <w:spacing w:before="240" w:after="240" w:line="360" w:lineRule="auto"/>
        <w:jc w:val="both"/>
        <w:rPr>
          <w:rFonts w:ascii="Palatino Linotype" w:eastAsia="Palatino Linotype" w:hAnsi="Palatino Linotype" w:cs="Palatino Linotype"/>
          <w:sz w:val="22"/>
          <w:szCs w:val="22"/>
        </w:rPr>
      </w:pPr>
      <w:bookmarkStart w:id="11" w:name="_heading=h.ot3qq6vxa08f" w:colFirst="0" w:colLast="0"/>
      <w:bookmarkEnd w:id="11"/>
      <w:r w:rsidRPr="00B90C1F">
        <w:rPr>
          <w:rFonts w:ascii="Palatino Linotype" w:eastAsia="Palatino Linotype" w:hAnsi="Palatino Linotype" w:cs="Palatino Linotype"/>
          <w:b/>
          <w:sz w:val="22"/>
          <w:szCs w:val="22"/>
        </w:rPr>
        <w:t xml:space="preserve">Cuarto.  Notifíquese, </w:t>
      </w:r>
      <w:r w:rsidRPr="00B90C1F">
        <w:rPr>
          <w:rFonts w:ascii="Palatino Linotype" w:eastAsia="Palatino Linotype" w:hAnsi="Palatino Linotype" w:cs="Palatino Linotype"/>
          <w:sz w:val="22"/>
          <w:szCs w:val="22"/>
        </w:rPr>
        <w:t xml:space="preserve">vía </w:t>
      </w:r>
      <w:r w:rsidRPr="00B90C1F">
        <w:rPr>
          <w:rFonts w:ascii="Palatino Linotype" w:eastAsia="Palatino Linotype" w:hAnsi="Palatino Linotype" w:cs="Palatino Linotype"/>
          <w:b/>
          <w:sz w:val="22"/>
          <w:szCs w:val="22"/>
        </w:rPr>
        <w:t>SAIMEX</w:t>
      </w:r>
      <w:r w:rsidRPr="00B90C1F">
        <w:rPr>
          <w:rFonts w:ascii="Palatino Linotype" w:eastAsia="Palatino Linotype" w:hAnsi="Palatino Linotype" w:cs="Palatino Linotype"/>
          <w:sz w:val="22"/>
          <w:szCs w:val="22"/>
        </w:rPr>
        <w:t xml:space="preserve"> a la parte </w:t>
      </w:r>
      <w:r w:rsidRPr="00B90C1F">
        <w:rPr>
          <w:rFonts w:ascii="Palatino Linotype" w:eastAsia="Palatino Linotype" w:hAnsi="Palatino Linotype" w:cs="Palatino Linotype"/>
          <w:b/>
          <w:sz w:val="22"/>
          <w:szCs w:val="22"/>
        </w:rPr>
        <w:t>Recurrente</w:t>
      </w:r>
      <w:r w:rsidRPr="00B90C1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710B6" w:rsidRDefault="0029535C">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B90C1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sz w:val="22"/>
          <w:szCs w:val="22"/>
        </w:rPr>
        <w:t xml:space="preserve"> </w:t>
      </w:r>
    </w:p>
    <w:p w:rsidR="000710B6" w:rsidRDefault="000710B6">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eg78rv93ojj" w:colFirst="0" w:colLast="0"/>
      <w:bookmarkEnd w:id="13"/>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center"/>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p>
    <w:p w:rsidR="000710B6" w:rsidRDefault="000710B6">
      <w:pPr>
        <w:spacing w:line="360" w:lineRule="auto"/>
        <w:jc w:val="both"/>
        <w:rPr>
          <w:rFonts w:ascii="Palatino Linotype" w:eastAsia="Palatino Linotype" w:hAnsi="Palatino Linotype" w:cs="Palatino Linotype"/>
          <w:sz w:val="22"/>
          <w:szCs w:val="22"/>
        </w:rPr>
      </w:pPr>
      <w:bookmarkStart w:id="14" w:name="_heading=h.dluxxr715a9d" w:colFirst="0" w:colLast="0"/>
      <w:bookmarkEnd w:id="14"/>
    </w:p>
    <w:sectPr w:rsidR="000710B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29C" w:rsidRDefault="00FB629C">
      <w:r>
        <w:separator/>
      </w:r>
    </w:p>
  </w:endnote>
  <w:endnote w:type="continuationSeparator" w:id="0">
    <w:p w:rsidR="00FB629C" w:rsidRDefault="00FB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B6" w:rsidRDefault="002953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075D">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075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0710B6" w:rsidRDefault="0029535C">
    <w:pPr>
      <w:pBdr>
        <w:top w:val="nil"/>
        <w:left w:val="nil"/>
        <w:bottom w:val="nil"/>
        <w:right w:val="nil"/>
        <w:between w:val="nil"/>
      </w:pBdr>
      <w:tabs>
        <w:tab w:val="center" w:pos="4252"/>
        <w:tab w:val="right" w:pos="8504"/>
      </w:tabs>
      <w:ind w:firstLine="708"/>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-1485898</wp:posOffset>
          </wp:positionH>
          <wp:positionV relativeFrom="paragraph">
            <wp:posOffset>59581647</wp:posOffset>
          </wp:positionV>
          <wp:extent cx="7809865" cy="10165715"/>
          <wp:effectExtent l="0" t="0" r="0" b="0"/>
          <wp:wrapNone/>
          <wp:docPr id="21401318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B6" w:rsidRDefault="002953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075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075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rsidR="000710B6" w:rsidRDefault="000710B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29C" w:rsidRDefault="00FB629C">
      <w:r>
        <w:separator/>
      </w:r>
    </w:p>
  </w:footnote>
  <w:footnote w:type="continuationSeparator" w:id="0">
    <w:p w:rsidR="00FB629C" w:rsidRDefault="00FB62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B6" w:rsidRDefault="000710B6">
    <w:pPr>
      <w:rPr>
        <w:rFonts w:ascii="Cambria" w:eastAsia="Cambria" w:hAnsi="Cambria" w:cs="Cambria"/>
        <w:color w:val="000000"/>
      </w:rPr>
    </w:pPr>
  </w:p>
  <w:tbl>
    <w:tblPr>
      <w:tblStyle w:val="afff2"/>
      <w:tblW w:w="6095" w:type="dxa"/>
      <w:tblInd w:w="3261" w:type="dxa"/>
      <w:tblLayout w:type="fixed"/>
      <w:tblLook w:val="0400" w:firstRow="0" w:lastRow="0" w:firstColumn="0" w:lastColumn="0" w:noHBand="0" w:noVBand="1"/>
    </w:tblPr>
    <w:tblGrid>
      <w:gridCol w:w="2489"/>
      <w:gridCol w:w="3606"/>
    </w:tblGrid>
    <w:tr w:rsidR="000710B6">
      <w:tc>
        <w:tcPr>
          <w:tcW w:w="2489" w:type="dxa"/>
        </w:tcPr>
        <w:p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07244/INFOEM/IP/RR/2025</w:t>
          </w:r>
        </w:p>
      </w:tc>
    </w:tr>
    <w:tr w:rsidR="000710B6">
      <w:trPr>
        <w:trHeight w:val="228"/>
      </w:trPr>
      <w:tc>
        <w:tcPr>
          <w:tcW w:w="2489" w:type="dxa"/>
          <w:vAlign w:val="center"/>
        </w:tcPr>
        <w:p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rsidR="000710B6" w:rsidRDefault="002953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710B6">
      <w:tc>
        <w:tcPr>
          <w:tcW w:w="2489" w:type="dxa"/>
          <w:vAlign w:val="center"/>
        </w:tcPr>
        <w:p w:rsidR="000710B6" w:rsidRDefault="002953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10B6" w:rsidRDefault="0029535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B6" w:rsidRDefault="0029535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8240" behindDoc="1" locked="0" layoutInCell="1" hidden="0" allowOverlap="1">
          <wp:simplePos x="0" y="0"/>
          <wp:positionH relativeFrom="column">
            <wp:posOffset>-1080129</wp:posOffset>
          </wp:positionH>
          <wp:positionV relativeFrom="paragraph">
            <wp:posOffset>-369888</wp:posOffset>
          </wp:positionV>
          <wp:extent cx="7809865" cy="10165715"/>
          <wp:effectExtent l="0" t="0" r="0" b="0"/>
          <wp:wrapNone/>
          <wp:docPr id="21401318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3"/>
      <w:tblW w:w="6095" w:type="dxa"/>
      <w:tblInd w:w="3261" w:type="dxa"/>
      <w:tblLayout w:type="fixed"/>
      <w:tblLook w:val="0400" w:firstRow="0" w:lastRow="0" w:firstColumn="0" w:lastColumn="0" w:noHBand="0" w:noVBand="1"/>
    </w:tblPr>
    <w:tblGrid>
      <w:gridCol w:w="2489"/>
      <w:gridCol w:w="3606"/>
    </w:tblGrid>
    <w:tr w:rsidR="000710B6">
      <w:tc>
        <w:tcPr>
          <w:tcW w:w="2489" w:type="dxa"/>
        </w:tcPr>
        <w:p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07244/INFOEM/IP/RR/2025</w:t>
          </w:r>
        </w:p>
      </w:tc>
    </w:tr>
    <w:tr w:rsidR="000710B6">
      <w:tc>
        <w:tcPr>
          <w:tcW w:w="2489" w:type="dxa"/>
        </w:tcPr>
        <w:p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vAlign w:val="center"/>
        </w:tcPr>
        <w:p w:rsidR="000710B6" w:rsidRDefault="000710B6">
          <w:pPr>
            <w:ind w:right="175"/>
            <w:jc w:val="both"/>
            <w:rPr>
              <w:rFonts w:ascii="Palatino Linotype" w:eastAsia="Palatino Linotype" w:hAnsi="Palatino Linotype" w:cs="Palatino Linotype"/>
              <w:b/>
              <w:color w:val="FF0000"/>
              <w:sz w:val="22"/>
              <w:szCs w:val="22"/>
              <w:highlight w:val="yellow"/>
            </w:rPr>
          </w:pPr>
        </w:p>
      </w:tc>
    </w:tr>
    <w:tr w:rsidR="000710B6">
      <w:trPr>
        <w:trHeight w:val="228"/>
      </w:trPr>
      <w:tc>
        <w:tcPr>
          <w:tcW w:w="2489" w:type="dxa"/>
          <w:vAlign w:val="center"/>
        </w:tcPr>
        <w:p w:rsidR="000710B6" w:rsidRDefault="002953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rsidR="000710B6" w:rsidRDefault="002953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0710B6">
      <w:tc>
        <w:tcPr>
          <w:tcW w:w="2489" w:type="dxa"/>
          <w:vAlign w:val="center"/>
        </w:tcPr>
        <w:p w:rsidR="000710B6" w:rsidRDefault="002953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rsidR="000710B6" w:rsidRDefault="002953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10B6" w:rsidRDefault="000710B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812B3"/>
    <w:multiLevelType w:val="multilevel"/>
    <w:tmpl w:val="FD4AB6E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63847965"/>
    <w:multiLevelType w:val="multilevel"/>
    <w:tmpl w:val="C496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B6"/>
    <w:rsid w:val="000710B6"/>
    <w:rsid w:val="0029535C"/>
    <w:rsid w:val="00B90C1F"/>
    <w:rsid w:val="00E86624"/>
    <w:rsid w:val="00F3075D"/>
    <w:rsid w:val="00FB6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36060-D4BE-4D78-A69F-13C7EEE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a">
    <w:basedOn w:val="TableNormalf5"/>
    <w:tblPr>
      <w:tblStyleRowBandSize w:val="1"/>
      <w:tblStyleColBandSize w:val="1"/>
      <w:tblCellMar>
        <w:left w:w="115" w:type="dxa"/>
        <w:right w:w="115" w:type="dxa"/>
      </w:tblCellMar>
    </w:tblPr>
  </w:style>
  <w:style w:type="table" w:customStyle="1" w:styleId="a0">
    <w:basedOn w:val="TableNormalf5"/>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5"/>
    <w:tblPr>
      <w:tblStyleRowBandSize w:val="1"/>
      <w:tblStyleColBandSize w:val="1"/>
      <w:tblCellMar>
        <w:left w:w="115" w:type="dxa"/>
        <w:right w:w="115" w:type="dxa"/>
      </w:tblCellMar>
    </w:tblPr>
  </w:style>
  <w:style w:type="table" w:customStyle="1" w:styleId="a2">
    <w:basedOn w:val="TableNormalf5"/>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4"/>
    <w:tblPr>
      <w:tblStyleRowBandSize w:val="1"/>
      <w:tblStyleColBandSize w:val="1"/>
      <w:tblCellMar>
        <w:left w:w="115" w:type="dxa"/>
        <w:right w:w="115" w:type="dxa"/>
      </w:tblCellMar>
    </w:tblPr>
  </w:style>
  <w:style w:type="table" w:customStyle="1" w:styleId="a4">
    <w:basedOn w:val="TableNormalf4"/>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927" w:hanging="360"/>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3"/>
    <w:tblPr>
      <w:tblStyleRowBandSize w:val="1"/>
      <w:tblStyleColBandSize w:val="1"/>
      <w:tblCellMar>
        <w:left w:w="108" w:type="dxa"/>
        <w:right w:w="108" w:type="dxa"/>
      </w:tblCellMar>
    </w:tblPr>
  </w:style>
  <w:style w:type="table" w:customStyle="1" w:styleId="a6">
    <w:basedOn w:val="TableNormalf3"/>
    <w:tblPr>
      <w:tblStyleRowBandSize w:val="1"/>
      <w:tblStyleColBandSize w:val="1"/>
      <w:tblCellMar>
        <w:left w:w="108" w:type="dxa"/>
        <w:right w:w="108" w:type="dxa"/>
      </w:tblCellMar>
    </w:tblPr>
  </w:style>
  <w:style w:type="table" w:customStyle="1" w:styleId="a7">
    <w:basedOn w:val="TableNormalf3"/>
    <w:tblPr>
      <w:tblStyleRowBandSize w:val="1"/>
      <w:tblStyleColBandSize w:val="1"/>
      <w:tblCellMar>
        <w:left w:w="108" w:type="dxa"/>
        <w:right w:w="108" w:type="dxa"/>
      </w:tblCellMar>
    </w:tblPr>
  </w:style>
  <w:style w:type="table" w:customStyle="1" w:styleId="a8">
    <w:basedOn w:val="TableNormalf3"/>
    <w:tblPr>
      <w:tblStyleRowBandSize w:val="1"/>
      <w:tblStyleColBandSize w:val="1"/>
      <w:tblCellMar>
        <w:left w:w="108" w:type="dxa"/>
        <w:right w:w="108" w:type="dxa"/>
      </w:tblCellMar>
    </w:tblPr>
  </w:style>
  <w:style w:type="table" w:customStyle="1" w:styleId="a9">
    <w:basedOn w:val="TableNormalf3"/>
    <w:tblPr>
      <w:tblStyleRowBandSize w:val="1"/>
      <w:tblStyleColBandSize w:val="1"/>
      <w:tblCellMar>
        <w:left w:w="108" w:type="dxa"/>
        <w:right w:w="108" w:type="dxa"/>
      </w:tblCellMar>
    </w:tblPr>
  </w:style>
  <w:style w:type="table" w:customStyle="1" w:styleId="aa">
    <w:basedOn w:val="TableNormalf3"/>
    <w:tblPr>
      <w:tblStyleRowBandSize w:val="1"/>
      <w:tblStyleColBandSize w:val="1"/>
      <w:tblCellMar>
        <w:left w:w="115" w:type="dxa"/>
        <w:right w:w="115" w:type="dxa"/>
      </w:tblCellMar>
    </w:tblPr>
  </w:style>
  <w:style w:type="table" w:customStyle="1" w:styleId="ab">
    <w:basedOn w:val="TableNormalf3"/>
    <w:tblPr>
      <w:tblStyleRowBandSize w:val="1"/>
      <w:tblStyleColBandSize w:val="1"/>
      <w:tblCellMar>
        <w:left w:w="115" w:type="dxa"/>
        <w:right w:w="115" w:type="dxa"/>
      </w:tblCellMar>
    </w:tblPr>
  </w:style>
  <w:style w:type="table" w:customStyle="1" w:styleId="ac">
    <w:basedOn w:val="TableNormalf2"/>
    <w:tblPr>
      <w:tblStyleRowBandSize w:val="1"/>
      <w:tblStyleColBandSize w:val="1"/>
      <w:tblCellMar>
        <w:left w:w="108" w:type="dxa"/>
        <w:right w:w="108" w:type="dxa"/>
      </w:tblCellMar>
    </w:tblPr>
  </w:style>
  <w:style w:type="table" w:customStyle="1" w:styleId="ad">
    <w:basedOn w:val="TableNormalf2"/>
    <w:tblPr>
      <w:tblStyleRowBandSize w:val="1"/>
      <w:tblStyleColBandSize w:val="1"/>
      <w:tblCellMar>
        <w:left w:w="115" w:type="dxa"/>
        <w:right w:w="115" w:type="dxa"/>
      </w:tblCellMar>
    </w:tblPr>
  </w:style>
  <w:style w:type="table" w:customStyle="1" w:styleId="ae">
    <w:basedOn w:val="TableNormalf2"/>
    <w:tblPr>
      <w:tblStyleRowBandSize w:val="1"/>
      <w:tblStyleColBandSize w:val="1"/>
      <w:tblCellMar>
        <w:left w:w="115" w:type="dxa"/>
        <w:right w:w="115" w:type="dxa"/>
      </w:tblCellMar>
    </w:tblPr>
  </w:style>
  <w:style w:type="table" w:customStyle="1" w:styleId="af">
    <w:basedOn w:val="TableNormalf1"/>
    <w:tblPr>
      <w:tblStyleRowBandSize w:val="1"/>
      <w:tblStyleColBandSize w:val="1"/>
      <w:tblCellMar>
        <w:left w:w="115" w:type="dxa"/>
        <w:right w:w="115" w:type="dxa"/>
      </w:tblCellMar>
    </w:tblPr>
  </w:style>
  <w:style w:type="table" w:customStyle="1" w:styleId="af0">
    <w:basedOn w:val="TableNormalf1"/>
    <w:tblPr>
      <w:tblStyleRowBandSize w:val="1"/>
      <w:tblStyleColBandSize w:val="1"/>
      <w:tblCellMar>
        <w:left w:w="115" w:type="dxa"/>
        <w:right w:w="115" w:type="dxa"/>
      </w:tblCellMar>
    </w:tblPr>
  </w:style>
  <w:style w:type="table" w:customStyle="1" w:styleId="af1">
    <w:basedOn w:val="TableNormalf1"/>
    <w:tblPr>
      <w:tblStyleRowBandSize w:val="1"/>
      <w:tblStyleColBandSize w:val="1"/>
      <w:tblCellMar>
        <w:left w:w="115" w:type="dxa"/>
        <w:right w:w="115" w:type="dxa"/>
      </w:tblCellMar>
    </w:tblPr>
  </w:style>
  <w:style w:type="table" w:customStyle="1" w:styleId="af2">
    <w:basedOn w:val="TableNormalf0"/>
    <w:tblPr>
      <w:tblStyleRowBandSize w:val="1"/>
      <w:tblStyleColBandSize w:val="1"/>
      <w:tblCellMar>
        <w:left w:w="115" w:type="dxa"/>
        <w:right w:w="115" w:type="dxa"/>
      </w:tblCellMar>
    </w:tblPr>
  </w:style>
  <w:style w:type="table" w:customStyle="1" w:styleId="af3">
    <w:basedOn w:val="TableNormalf0"/>
    <w:tblPr>
      <w:tblStyleRowBandSize w:val="1"/>
      <w:tblStyleColBandSize w:val="1"/>
      <w:tblCellMar>
        <w:left w:w="115" w:type="dxa"/>
        <w:right w:w="115" w:type="dxa"/>
      </w:tblCellMar>
    </w:tblPr>
  </w:style>
  <w:style w:type="table" w:customStyle="1" w:styleId="af4">
    <w:basedOn w:val="TableNormalf"/>
    <w:tblPr>
      <w:tblStyleRowBandSize w:val="1"/>
      <w:tblStyleColBandSize w:val="1"/>
      <w:tblCellMar>
        <w:left w:w="115" w:type="dxa"/>
        <w:right w:w="115" w:type="dxa"/>
      </w:tblCellMar>
    </w:tblPr>
  </w:style>
  <w:style w:type="table" w:customStyle="1" w:styleId="af5">
    <w:basedOn w:val="TableNormalf"/>
    <w:tblPr>
      <w:tblStyleRowBandSize w:val="1"/>
      <w:tblStyleColBandSize w:val="1"/>
      <w:tblCellMar>
        <w:left w:w="115" w:type="dxa"/>
        <w:right w:w="115" w:type="dxa"/>
      </w:tblCellMar>
    </w:tblPr>
  </w:style>
  <w:style w:type="table" w:customStyle="1" w:styleId="af6">
    <w:basedOn w:val="TableNormale"/>
    <w:tblPr>
      <w:tblStyleRowBandSize w:val="1"/>
      <w:tblStyleColBandSize w:val="1"/>
      <w:tblCellMar>
        <w:left w:w="115" w:type="dxa"/>
        <w:right w:w="115" w:type="dxa"/>
      </w:tblCellMar>
    </w:tblPr>
  </w:style>
  <w:style w:type="table" w:customStyle="1" w:styleId="af7">
    <w:basedOn w:val="TableNormale"/>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d"/>
    <w:tblPr>
      <w:tblStyleRowBandSize w:val="1"/>
      <w:tblStyleColBandSize w:val="1"/>
      <w:tblCellMar>
        <w:left w:w="115" w:type="dxa"/>
        <w:right w:w="115" w:type="dxa"/>
      </w:tblCellMar>
    </w:tblPr>
  </w:style>
  <w:style w:type="table" w:customStyle="1" w:styleId="af9">
    <w:basedOn w:val="TableNormald"/>
    <w:tblPr>
      <w:tblStyleRowBandSize w:val="1"/>
      <w:tblStyleColBandSize w:val="1"/>
      <w:tblCellMar>
        <w:left w:w="115" w:type="dxa"/>
        <w:right w:w="115" w:type="dxa"/>
      </w:tblCellMar>
    </w:tblPr>
  </w:style>
  <w:style w:type="table" w:customStyle="1" w:styleId="afa">
    <w:basedOn w:val="TableNormalc"/>
    <w:tblPr>
      <w:tblStyleRowBandSize w:val="1"/>
      <w:tblStyleColBandSize w:val="1"/>
      <w:tblCellMar>
        <w:left w:w="115" w:type="dxa"/>
        <w:right w:w="115" w:type="dxa"/>
      </w:tblCellMar>
    </w:tblPr>
  </w:style>
  <w:style w:type="table" w:customStyle="1" w:styleId="afb">
    <w:basedOn w:val="TableNormalc"/>
    <w:tblPr>
      <w:tblStyleRowBandSize w:val="1"/>
      <w:tblStyleColBandSize w:val="1"/>
      <w:tblCellMar>
        <w:left w:w="115" w:type="dxa"/>
        <w:right w:w="115" w:type="dxa"/>
      </w:tblCellMar>
    </w:tblPr>
  </w:style>
  <w:style w:type="table" w:customStyle="1" w:styleId="afc">
    <w:basedOn w:val="TableNormalb"/>
    <w:tblPr>
      <w:tblStyleRowBandSize w:val="1"/>
      <w:tblStyleColBandSize w:val="1"/>
      <w:tblCellMar>
        <w:left w:w="115" w:type="dxa"/>
        <w:right w:w="115" w:type="dxa"/>
      </w:tblCellMar>
    </w:tblPr>
  </w:style>
  <w:style w:type="table" w:customStyle="1" w:styleId="afd">
    <w:basedOn w:val="TableNormalb"/>
    <w:tblPr>
      <w:tblStyleRowBandSize w:val="1"/>
      <w:tblStyleColBandSize w:val="1"/>
      <w:tblCellMar>
        <w:left w:w="115" w:type="dxa"/>
        <w:right w:w="115" w:type="dxa"/>
      </w:tblCellMar>
    </w:tblPr>
  </w:style>
  <w:style w:type="table" w:customStyle="1" w:styleId="afe">
    <w:basedOn w:val="TableNormala"/>
    <w:tblPr>
      <w:tblStyleRowBandSize w:val="1"/>
      <w:tblStyleColBandSize w:val="1"/>
      <w:tblCellMar>
        <w:left w:w="115" w:type="dxa"/>
        <w:right w:w="115" w:type="dxa"/>
      </w:tblCellMar>
    </w:tblPr>
  </w:style>
  <w:style w:type="table" w:customStyle="1" w:styleId="aff">
    <w:basedOn w:val="TableNormala"/>
    <w:tblPr>
      <w:tblStyleRowBandSize w:val="1"/>
      <w:tblStyleColBandSize w:val="1"/>
      <w:tblCellMar>
        <w:left w:w="115" w:type="dxa"/>
        <w:right w:w="115" w:type="dxa"/>
      </w:tblCellMar>
    </w:tblPr>
  </w:style>
  <w:style w:type="table" w:customStyle="1" w:styleId="aff0">
    <w:basedOn w:val="TableNormal9"/>
    <w:tblPr>
      <w:tblStyleRowBandSize w:val="1"/>
      <w:tblStyleColBandSize w:val="1"/>
      <w:tblCellMar>
        <w:left w:w="115" w:type="dxa"/>
        <w:right w:w="115" w:type="dxa"/>
      </w:tblCellMar>
    </w:tblPr>
  </w:style>
  <w:style w:type="table" w:customStyle="1" w:styleId="aff1">
    <w:basedOn w:val="TableNormal9"/>
    <w:tblPr>
      <w:tblStyleRowBandSize w:val="1"/>
      <w:tblStyleColBandSize w:val="1"/>
      <w:tblCellMar>
        <w:left w:w="115" w:type="dxa"/>
        <w:right w:w="115" w:type="dxa"/>
      </w:tblCellMar>
    </w:tblPr>
  </w:style>
  <w:style w:type="table" w:customStyle="1" w:styleId="aff2">
    <w:basedOn w:val="TableNormal8"/>
    <w:tblPr>
      <w:tblStyleRowBandSize w:val="1"/>
      <w:tblStyleColBandSize w:val="1"/>
      <w:tblCellMar>
        <w:left w:w="115" w:type="dxa"/>
        <w:right w:w="115" w:type="dxa"/>
      </w:tblCellMar>
    </w:tblPr>
  </w:style>
  <w:style w:type="table" w:customStyle="1" w:styleId="aff3">
    <w:basedOn w:val="TableNormal8"/>
    <w:tblPr>
      <w:tblStyleRowBandSize w:val="1"/>
      <w:tblStyleColBandSize w:val="1"/>
      <w:tblCellMar>
        <w:left w:w="115" w:type="dxa"/>
        <w:right w:w="115" w:type="dxa"/>
      </w:tblCellMar>
    </w:tblPr>
  </w:style>
  <w:style w:type="table" w:customStyle="1" w:styleId="aff4">
    <w:basedOn w:val="TableNormal7"/>
    <w:tblPr>
      <w:tblStyleRowBandSize w:val="1"/>
      <w:tblStyleColBandSize w:val="1"/>
      <w:tblCellMar>
        <w:left w:w="115" w:type="dxa"/>
        <w:right w:w="115" w:type="dxa"/>
      </w:tblCellMar>
    </w:tblPr>
  </w:style>
  <w:style w:type="table" w:customStyle="1" w:styleId="aff5">
    <w:basedOn w:val="TableNormal7"/>
    <w:tblPr>
      <w:tblStyleRowBandSize w:val="1"/>
      <w:tblStyleColBandSize w:val="1"/>
      <w:tblCellMar>
        <w:left w:w="115" w:type="dxa"/>
        <w:right w:w="115" w:type="dxa"/>
      </w:tblCellMar>
    </w:tblPr>
  </w:style>
  <w:style w:type="table" w:customStyle="1" w:styleId="aff6">
    <w:basedOn w:val="TableNormal6"/>
    <w:tblPr>
      <w:tblStyleRowBandSize w:val="1"/>
      <w:tblStyleColBandSize w:val="1"/>
      <w:tblCellMar>
        <w:left w:w="115" w:type="dxa"/>
        <w:right w:w="115" w:type="dxa"/>
      </w:tblCellMar>
    </w:tblPr>
  </w:style>
  <w:style w:type="table" w:customStyle="1" w:styleId="aff7">
    <w:basedOn w:val="TableNormal6"/>
    <w:tblPr>
      <w:tblStyleRowBandSize w:val="1"/>
      <w:tblStyleColBandSize w:val="1"/>
      <w:tblCellMar>
        <w:left w:w="115" w:type="dxa"/>
        <w:right w:w="115" w:type="dxa"/>
      </w:tblCellMar>
    </w:tblPr>
  </w:style>
  <w:style w:type="table" w:customStyle="1" w:styleId="aff8">
    <w:basedOn w:val="TableNormal5"/>
    <w:tblPr>
      <w:tblStyleRowBandSize w:val="1"/>
      <w:tblStyleColBandSize w:val="1"/>
      <w:tblCellMar>
        <w:left w:w="115" w:type="dxa"/>
        <w:right w:w="115" w:type="dxa"/>
      </w:tblCellMar>
    </w:tblPr>
  </w:style>
  <w:style w:type="table" w:customStyle="1" w:styleId="aff9">
    <w:basedOn w:val="TableNormal5"/>
    <w:tblPr>
      <w:tblStyleRowBandSize w:val="1"/>
      <w:tblStyleColBandSize w:val="1"/>
      <w:tblCellMar>
        <w:left w:w="115" w:type="dxa"/>
        <w:right w:w="115" w:type="dxa"/>
      </w:tblCellMar>
    </w:tblPr>
  </w:style>
  <w:style w:type="table" w:customStyle="1" w:styleId="affa">
    <w:basedOn w:val="TableNormal4"/>
    <w:tblPr>
      <w:tblStyleRowBandSize w:val="1"/>
      <w:tblStyleColBandSize w:val="1"/>
      <w:tblCellMar>
        <w:left w:w="115" w:type="dxa"/>
        <w:right w:w="115" w:type="dxa"/>
      </w:tblCellMar>
    </w:tblPr>
  </w:style>
  <w:style w:type="table" w:customStyle="1" w:styleId="affb">
    <w:basedOn w:val="TableNormal4"/>
    <w:tblPr>
      <w:tblStyleRowBandSize w:val="1"/>
      <w:tblStyleColBandSize w:val="1"/>
      <w:tblCellMar>
        <w:left w:w="115" w:type="dxa"/>
        <w:right w:w="115" w:type="dxa"/>
      </w:tblCellMar>
    </w:tblPr>
  </w:style>
  <w:style w:type="table" w:customStyle="1" w:styleId="affc">
    <w:basedOn w:val="TableNormal3"/>
    <w:tblPr>
      <w:tblStyleRowBandSize w:val="1"/>
      <w:tblStyleColBandSize w:val="1"/>
      <w:tblCellMar>
        <w:left w:w="115" w:type="dxa"/>
        <w:right w:w="115" w:type="dxa"/>
      </w:tblCellMar>
    </w:tblPr>
  </w:style>
  <w:style w:type="table" w:customStyle="1" w:styleId="affd">
    <w:basedOn w:val="TableNormal3"/>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gecem.edomex.gob.mx/padron-catastr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Vr4hCvQv6iIpR0w7NeKW4ijHg==">CgMxLjAyDmguZGFqM2oyeG82cTY2MghoLmdqZGd4czIJaC4zZHk2dmttMgloLjMwajB6bGwyCWguMnM4ZXlvMTIIaC50eWpjd3QyCWguM3pueXNoNzIJaC4yZXQ5MnAwMgloLjF0M2g1c2YyCWguMWZvYjl0ZTIOaC5vdDNxcTZ2eGEwOGYyCGgubG54Yno5Mg5oLmxlZzc4cnY5M29qajIOaC5kbHV4eHI3MTVhOWQ4AHIhMVE4VjJaangzb2FlUlp0ZE14QkZ0VmVTY0Fsc2pPc01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10747</Words>
  <Characters>59112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2025-10-17T00:41:00Z</cp:lastPrinted>
  <dcterms:created xsi:type="dcterms:W3CDTF">2025-11-14T16:50:00Z</dcterms:created>
  <dcterms:modified xsi:type="dcterms:W3CDTF">2025-11-14T16:50:00Z</dcterms:modified>
</cp:coreProperties>
</file>