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177" w:rsidRDefault="004C5177">
      <w:pPr>
        <w:widowControl w:val="0"/>
        <w:pBdr>
          <w:top w:val="nil"/>
          <w:left w:val="nil"/>
          <w:bottom w:val="nil"/>
          <w:right w:val="nil"/>
          <w:between w:val="nil"/>
        </w:pBdr>
        <w:spacing w:after="0" w:line="276" w:lineRule="auto"/>
        <w:jc w:val="left"/>
      </w:pPr>
    </w:p>
    <w:p w:rsidR="004C5177" w:rsidRDefault="00FB0719">
      <w:pPr>
        <w:keepNext/>
        <w:keepLines/>
        <w:pBdr>
          <w:top w:val="nil"/>
          <w:left w:val="nil"/>
          <w:bottom w:val="nil"/>
          <w:right w:val="nil"/>
          <w:between w:val="nil"/>
        </w:pBdr>
        <w:spacing w:after="0" w:line="360" w:lineRule="auto"/>
        <w:jc w:val="center"/>
        <w:rPr>
          <w:color w:val="000000"/>
        </w:rPr>
      </w:pPr>
      <w:r>
        <w:rPr>
          <w:color w:val="000000"/>
        </w:rPr>
        <w:t>RESOLUCIÓN DEL RECURSO DE REVISIÓN 05906/INFOEM/IP/RR/2025</w:t>
      </w:r>
    </w:p>
    <w:p w:rsidR="004C5177" w:rsidRDefault="004C5177">
      <w:pPr>
        <w:spacing w:after="0" w:line="360" w:lineRule="auto"/>
      </w:pPr>
    </w:p>
    <w:sdt>
      <w:sdtPr>
        <w:id w:val="-1993629713"/>
        <w:docPartObj>
          <w:docPartGallery w:val="Table of Contents"/>
          <w:docPartUnique/>
        </w:docPartObj>
      </w:sdtPr>
      <w:sdtEndPr/>
      <w:sdtContent>
        <w:p w:rsidR="004C5177" w:rsidRDefault="00FB0719">
          <w:pPr>
            <w:pBdr>
              <w:top w:val="nil"/>
              <w:left w:val="nil"/>
              <w:bottom w:val="nil"/>
              <w:right w:val="nil"/>
              <w:between w:val="nil"/>
            </w:pBdr>
            <w:tabs>
              <w:tab w:val="right" w:pos="9072"/>
            </w:tabs>
            <w:spacing w:after="0" w:line="360" w:lineRule="auto"/>
            <w:rPr>
              <w:color w:val="000000"/>
            </w:rPr>
          </w:pPr>
          <w:r>
            <w:fldChar w:fldCharType="begin"/>
          </w:r>
          <w:r>
            <w:instrText xml:space="preserve"> TOC \h \u \z \t "Heading 1,1,Heading 2,2,Heading 3,3,"</w:instrText>
          </w:r>
          <w:r>
            <w:fldChar w:fldCharType="separate"/>
          </w:r>
          <w:hyperlink w:anchor="_heading=h.k24jwvq5eofd">
            <w:r>
              <w:rPr>
                <w:color w:val="000000"/>
              </w:rPr>
              <w:t>A N T E C E D E N T E S</w:t>
            </w:r>
            <w:r>
              <w:rPr>
                <w:color w:val="000000"/>
              </w:rPr>
              <w:tab/>
              <w:t>2</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cbwyepejsvpz">
            <w:r w:rsidR="00FB0719">
              <w:rPr>
                <w:color w:val="000000"/>
              </w:rPr>
              <w:t>I. Presentación de la solicitud de información</w:t>
            </w:r>
            <w:r w:rsidR="00FB0719">
              <w:rPr>
                <w:color w:val="000000"/>
              </w:rPr>
              <w:tab/>
              <w:t>2</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zhge25lkwlal">
            <w:r w:rsidR="00FB0719">
              <w:rPr>
                <w:color w:val="000000"/>
              </w:rPr>
              <w:t>II. Respuesta del Sujeto Obligado</w:t>
            </w:r>
            <w:r w:rsidR="00FB0719">
              <w:rPr>
                <w:color w:val="000000"/>
              </w:rPr>
              <w:tab/>
              <w:t>3</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blmkewxfzg3">
            <w:r w:rsidR="00FB0719">
              <w:rPr>
                <w:color w:val="000000"/>
              </w:rPr>
              <w:t>III. Interposición del Recurso de Revisión</w:t>
            </w:r>
            <w:r w:rsidR="00FB0719">
              <w:rPr>
                <w:color w:val="000000"/>
              </w:rPr>
              <w:tab/>
              <w:t>3</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22v5qlabbxei">
            <w:r w:rsidR="00FB0719">
              <w:rPr>
                <w:color w:val="000000"/>
              </w:rPr>
              <w:t>IV. Trámite del Recurso de Revisión ante este Instituto</w:t>
            </w:r>
            <w:r w:rsidR="00FB0719">
              <w:rPr>
                <w:color w:val="000000"/>
              </w:rPr>
              <w:tab/>
              <w:t>6</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9ivtvuy02oag">
            <w:r w:rsidR="00FB0719">
              <w:rPr>
                <w:color w:val="000000"/>
              </w:rPr>
              <w:t>a) Turno del Medio de Impugnación.</w:t>
            </w:r>
            <w:r w:rsidR="00FB0719">
              <w:rPr>
                <w:color w:val="000000"/>
              </w:rPr>
              <w:tab/>
              <w:t>6</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bouxvg77pet1">
            <w:r w:rsidR="00FB0719">
              <w:rPr>
                <w:color w:val="000000"/>
              </w:rPr>
              <w:t>b) Admisión del Recurso de Revisión.</w:t>
            </w:r>
            <w:r w:rsidR="00FB0719">
              <w:rPr>
                <w:color w:val="000000"/>
              </w:rPr>
              <w:tab/>
              <w:t>6</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ngkx1wqm8fmj">
            <w:r w:rsidR="00FB0719">
              <w:rPr>
                <w:color w:val="000000"/>
              </w:rPr>
              <w:t>c) Informe Justificado.</w:t>
            </w:r>
            <w:r w:rsidR="00FB0719">
              <w:rPr>
                <w:color w:val="000000"/>
              </w:rPr>
              <w:tab/>
              <w:t>7</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tlvyewxbqvi">
            <w:r w:rsidR="00FB0719">
              <w:rPr>
                <w:color w:val="000000"/>
              </w:rPr>
              <w:t>d) Cierre de instrucción.</w:t>
            </w:r>
            <w:r w:rsidR="00FB0719">
              <w:rPr>
                <w:color w:val="000000"/>
              </w:rPr>
              <w:tab/>
              <w:t>7</w:t>
            </w:r>
          </w:hyperlink>
        </w:p>
        <w:p w:rsidR="004C5177" w:rsidRDefault="00107773">
          <w:pPr>
            <w:pBdr>
              <w:top w:val="nil"/>
              <w:left w:val="nil"/>
              <w:bottom w:val="nil"/>
              <w:right w:val="nil"/>
              <w:between w:val="nil"/>
            </w:pBdr>
            <w:tabs>
              <w:tab w:val="right" w:pos="9072"/>
            </w:tabs>
            <w:spacing w:after="0" w:line="360" w:lineRule="auto"/>
            <w:rPr>
              <w:color w:val="000000"/>
            </w:rPr>
          </w:pPr>
          <w:hyperlink w:anchor="_heading=h.erly31t3xkpa">
            <w:r w:rsidR="00FB0719">
              <w:rPr>
                <w:color w:val="000000"/>
              </w:rPr>
              <w:t>C O N S I D E R A N D O S</w:t>
            </w:r>
            <w:r w:rsidR="00FB0719">
              <w:rPr>
                <w:color w:val="000000"/>
              </w:rPr>
              <w:tab/>
              <w:t>7</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hnbtw0o6m7bx">
            <w:r w:rsidR="00FB0719">
              <w:rPr>
                <w:color w:val="000000"/>
              </w:rPr>
              <w:t>PRIMERO. Competencia</w:t>
            </w:r>
            <w:r w:rsidR="00FB0719">
              <w:rPr>
                <w:color w:val="000000"/>
              </w:rPr>
              <w:tab/>
              <w:t>8</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4lcxuqqhk6c0">
            <w:r w:rsidR="00FB0719">
              <w:rPr>
                <w:color w:val="000000"/>
              </w:rPr>
              <w:t>SEGUNDO. Causales de improcedencia y sobreseimiento</w:t>
            </w:r>
            <w:r w:rsidR="00FB0719">
              <w:rPr>
                <w:color w:val="000000"/>
              </w:rPr>
              <w:tab/>
              <w:t>8</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xthpvbe8iu2v">
            <w:r w:rsidR="00FB0719">
              <w:rPr>
                <w:color w:val="000000"/>
              </w:rPr>
              <w:t>TERCERO. Determinación de la Controversia</w:t>
            </w:r>
            <w:r w:rsidR="00FB0719">
              <w:rPr>
                <w:color w:val="000000"/>
              </w:rPr>
              <w:tab/>
              <w:t>10</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ooytgvaqyq8l">
            <w:r w:rsidR="00FB0719">
              <w:rPr>
                <w:color w:val="000000"/>
              </w:rPr>
              <w:t>CUARTO. Marco normativo aplicable en materia de transparencia y acceso a la información pública</w:t>
            </w:r>
            <w:r w:rsidR="00FB0719">
              <w:rPr>
                <w:color w:val="000000"/>
              </w:rPr>
              <w:tab/>
              <w:t>11</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gf8195odfb7w">
            <w:r w:rsidR="00FB0719">
              <w:rPr>
                <w:color w:val="000000"/>
              </w:rPr>
              <w:t>QUINTO. Estudio de Fondo</w:t>
            </w:r>
            <w:r w:rsidR="00FB0719">
              <w:rPr>
                <w:color w:val="000000"/>
              </w:rPr>
              <w:tab/>
              <w:t>12</w:t>
            </w:r>
          </w:hyperlink>
        </w:p>
        <w:p w:rsidR="004C5177" w:rsidRDefault="00107773">
          <w:pPr>
            <w:pBdr>
              <w:top w:val="nil"/>
              <w:left w:val="nil"/>
              <w:bottom w:val="nil"/>
              <w:right w:val="nil"/>
              <w:between w:val="nil"/>
            </w:pBdr>
            <w:tabs>
              <w:tab w:val="right" w:pos="8921"/>
            </w:tabs>
            <w:spacing w:after="0" w:line="360" w:lineRule="auto"/>
            <w:ind w:left="200"/>
            <w:jc w:val="left"/>
            <w:rPr>
              <w:color w:val="000000"/>
            </w:rPr>
          </w:pPr>
          <w:hyperlink w:anchor="_heading=h.i9jy57jhzjlb">
            <w:r w:rsidR="00FB0719">
              <w:rPr>
                <w:color w:val="000000"/>
              </w:rPr>
              <w:t>SEXTO. Decisión.</w:t>
            </w:r>
            <w:r w:rsidR="00FB0719">
              <w:rPr>
                <w:color w:val="000000"/>
              </w:rPr>
              <w:tab/>
              <w:t>20</w:t>
            </w:r>
          </w:hyperlink>
        </w:p>
        <w:p w:rsidR="004C5177" w:rsidRDefault="00107773">
          <w:pPr>
            <w:pBdr>
              <w:top w:val="nil"/>
              <w:left w:val="nil"/>
              <w:bottom w:val="nil"/>
              <w:right w:val="nil"/>
              <w:between w:val="nil"/>
            </w:pBdr>
            <w:tabs>
              <w:tab w:val="right" w:pos="9072"/>
            </w:tabs>
            <w:spacing w:after="0" w:line="360" w:lineRule="auto"/>
            <w:rPr>
              <w:color w:val="000000"/>
            </w:rPr>
          </w:pPr>
          <w:hyperlink w:anchor="_heading=h.e2c3iugzovt6">
            <w:r w:rsidR="00FB0719">
              <w:rPr>
                <w:color w:val="000000"/>
              </w:rPr>
              <w:t>R E S U E L V E:</w:t>
            </w:r>
            <w:r w:rsidR="00FB0719">
              <w:rPr>
                <w:color w:val="000000"/>
              </w:rPr>
              <w:tab/>
              <w:t>21</w:t>
            </w:r>
          </w:hyperlink>
        </w:p>
        <w:p w:rsidR="004C5177" w:rsidRDefault="00FB0719">
          <w:pPr>
            <w:spacing w:after="0" w:line="360" w:lineRule="auto"/>
          </w:pPr>
          <w:r>
            <w:fldChar w:fldCharType="end"/>
          </w:r>
        </w:p>
      </w:sdtContent>
    </w:sdt>
    <w:p w:rsidR="004C5177" w:rsidRDefault="004C5177">
      <w:pPr>
        <w:tabs>
          <w:tab w:val="left" w:pos="8931"/>
        </w:tabs>
        <w:spacing w:after="0" w:line="360" w:lineRule="auto"/>
        <w:rPr>
          <w:color w:val="000000"/>
        </w:rPr>
      </w:pPr>
    </w:p>
    <w:p w:rsidR="004C5177" w:rsidRDefault="004C5177">
      <w:pPr>
        <w:tabs>
          <w:tab w:val="left" w:pos="8931"/>
        </w:tabs>
        <w:spacing w:after="0" w:line="360" w:lineRule="auto"/>
        <w:rPr>
          <w:color w:val="000000"/>
        </w:rPr>
      </w:pPr>
    </w:p>
    <w:p w:rsidR="004C5177" w:rsidRDefault="00FB0719">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veinte de agosto de dos mil veinticinco. </w:t>
      </w:r>
    </w:p>
    <w:p w:rsidR="004C5177" w:rsidRDefault="00FB0719">
      <w:pPr>
        <w:tabs>
          <w:tab w:val="left" w:pos="2340"/>
        </w:tabs>
        <w:spacing w:after="0" w:line="360" w:lineRule="auto"/>
        <w:rPr>
          <w:b/>
          <w:color w:val="FF0000"/>
        </w:rPr>
      </w:pPr>
      <w:r>
        <w:rPr>
          <w:b/>
          <w:color w:val="FF0000"/>
        </w:rPr>
        <w:tab/>
      </w:r>
    </w:p>
    <w:p w:rsidR="004C5177" w:rsidRDefault="00FB0719">
      <w:pPr>
        <w:spacing w:after="0" w:line="360" w:lineRule="auto"/>
        <w:rPr>
          <w:color w:val="000000"/>
        </w:rPr>
      </w:pPr>
      <w:r>
        <w:rPr>
          <w:b/>
          <w:color w:val="000000"/>
        </w:rPr>
        <w:t xml:space="preserve">VISTO </w:t>
      </w:r>
      <w:r>
        <w:rPr>
          <w:color w:val="000000"/>
        </w:rPr>
        <w:t xml:space="preserve">el expediente electrónico conformado con motivo del Recurso de Revisión </w:t>
      </w:r>
      <w:r w:rsidRPr="00A827E0">
        <w:rPr>
          <w:b/>
          <w:color w:val="000000"/>
        </w:rPr>
        <w:t>05906/INFOEM/IP/RR/2025</w:t>
      </w:r>
      <w:r>
        <w:rPr>
          <w:color w:val="000000"/>
        </w:rPr>
        <w:t xml:space="preserve">, en contra de la respuesta del Sujeto Obligado, </w:t>
      </w:r>
      <w:r w:rsidRPr="00A827E0">
        <w:rPr>
          <w:b/>
          <w:color w:val="000000"/>
        </w:rPr>
        <w:t xml:space="preserve">Sistema Municipal Para el Desarrollo Integral de la Familia de Tepotzotlán, </w:t>
      </w:r>
      <w:r>
        <w:rPr>
          <w:color w:val="000000"/>
        </w:rPr>
        <w:t xml:space="preserve">a la solicitud de acceso a la información pública </w:t>
      </w:r>
      <w:r>
        <w:t xml:space="preserve">00055/DIFTEPOTZO/IP/2025 </w:t>
      </w:r>
      <w:r>
        <w:rPr>
          <w:color w:val="000000"/>
        </w:rPr>
        <w:t>se emite la presente Resolución, con base en los Antecedentes y Considerandos que se exponen a continuación:</w:t>
      </w:r>
    </w:p>
    <w:p w:rsidR="004C5177" w:rsidRDefault="00FB0719">
      <w:pPr>
        <w:tabs>
          <w:tab w:val="left" w:pos="1965"/>
        </w:tabs>
        <w:spacing w:after="0" w:line="360" w:lineRule="auto"/>
        <w:rPr>
          <w:b/>
          <w:color w:val="FF0000"/>
        </w:rPr>
      </w:pPr>
      <w:r>
        <w:rPr>
          <w:b/>
          <w:color w:val="FF0000"/>
        </w:rPr>
        <w:tab/>
      </w:r>
    </w:p>
    <w:p w:rsidR="004C5177" w:rsidRDefault="00FB0719">
      <w:pPr>
        <w:pStyle w:val="Ttulo1"/>
        <w:spacing w:before="0" w:line="360" w:lineRule="auto"/>
        <w:jc w:val="center"/>
        <w:rPr>
          <w:rFonts w:ascii="Palatino Linotype" w:eastAsia="Palatino Linotype" w:hAnsi="Palatino Linotype" w:cs="Palatino Linotype"/>
          <w:b/>
          <w:color w:val="000000"/>
          <w:sz w:val="22"/>
          <w:szCs w:val="22"/>
        </w:rPr>
      </w:pPr>
      <w:bookmarkStart w:id="0" w:name="_heading=h.k24jwvq5eofd" w:colFirst="0" w:colLast="0"/>
      <w:bookmarkEnd w:id="0"/>
      <w:r>
        <w:rPr>
          <w:rFonts w:ascii="Palatino Linotype" w:eastAsia="Palatino Linotype" w:hAnsi="Palatino Linotype" w:cs="Palatino Linotype"/>
          <w:b/>
          <w:color w:val="000000"/>
          <w:sz w:val="22"/>
          <w:szCs w:val="22"/>
        </w:rPr>
        <w:t>A N T E C E D E N T E S</w:t>
      </w:r>
    </w:p>
    <w:p w:rsidR="004C5177" w:rsidRDefault="004C5177">
      <w:pPr>
        <w:spacing w:after="0" w:line="360" w:lineRule="auto"/>
        <w:jc w:val="center"/>
        <w:rPr>
          <w:b/>
          <w:color w:val="000000"/>
        </w:rPr>
      </w:pPr>
    </w:p>
    <w:p w:rsidR="004C5177" w:rsidRDefault="00FB0719">
      <w:pPr>
        <w:pStyle w:val="Ttulo2"/>
        <w:spacing w:before="0" w:line="360" w:lineRule="auto"/>
        <w:rPr>
          <w:rFonts w:ascii="Palatino Linotype" w:eastAsia="Palatino Linotype" w:hAnsi="Palatino Linotype" w:cs="Palatino Linotype"/>
          <w:b/>
          <w:color w:val="000000"/>
          <w:sz w:val="22"/>
          <w:szCs w:val="22"/>
        </w:rPr>
      </w:pPr>
      <w:bookmarkStart w:id="1" w:name="_heading=h.cbwyepejsvpz" w:colFirst="0" w:colLast="0"/>
      <w:bookmarkEnd w:id="1"/>
      <w:r>
        <w:rPr>
          <w:rFonts w:ascii="Palatino Linotype" w:eastAsia="Palatino Linotype" w:hAnsi="Palatino Linotype" w:cs="Palatino Linotype"/>
          <w:b/>
          <w:color w:val="000000"/>
          <w:sz w:val="22"/>
          <w:szCs w:val="22"/>
        </w:rPr>
        <w:t>I. Presentación de la solicitud de información</w:t>
      </w:r>
    </w:p>
    <w:p w:rsidR="004C5177" w:rsidRDefault="004C5177">
      <w:pPr>
        <w:spacing w:after="0" w:line="360" w:lineRule="auto"/>
        <w:rPr>
          <w:b/>
          <w:color w:val="000000"/>
        </w:rPr>
      </w:pPr>
    </w:p>
    <w:p w:rsidR="004C5177" w:rsidRDefault="00FB0719">
      <w:pPr>
        <w:spacing w:after="0" w:line="360" w:lineRule="auto"/>
        <w:rPr>
          <w:color w:val="000000"/>
        </w:rPr>
      </w:pPr>
      <w:r>
        <w:rPr>
          <w:color w:val="000000"/>
        </w:rPr>
        <w:t>Con fecha veinte de mayo de dos mil veinticinco, la persona Solicitante presentó un requerimiento de acceso a la información, a través del Sistema de Acceso a la Información Mexiquense (SAIMEX), ante Sistema Municipal Para el Desarrollo Integral de la Familia de Tepotzotlán,</w:t>
      </w:r>
      <w:r>
        <w:rPr>
          <w:b/>
          <w:color w:val="000000"/>
        </w:rPr>
        <w:t xml:space="preserve"> </w:t>
      </w:r>
      <w:r>
        <w:rPr>
          <w:color w:val="000000"/>
        </w:rPr>
        <w:t>en los siguientes términos:</w:t>
      </w:r>
    </w:p>
    <w:p w:rsidR="004C5177" w:rsidRDefault="004C5177">
      <w:pPr>
        <w:tabs>
          <w:tab w:val="left" w:pos="4667"/>
        </w:tabs>
        <w:spacing w:after="0" w:line="360" w:lineRule="auto"/>
        <w:ind w:right="567"/>
        <w:rPr>
          <w:b/>
          <w:i/>
          <w:color w:val="FF0000"/>
        </w:rPr>
      </w:pPr>
    </w:p>
    <w:p w:rsidR="004C5177" w:rsidRDefault="00FB0719">
      <w:pPr>
        <w:spacing w:after="0" w:line="360" w:lineRule="auto"/>
        <w:ind w:left="567" w:right="567"/>
        <w:rPr>
          <w:b/>
          <w:i/>
          <w:color w:val="000000"/>
          <w:sz w:val="20"/>
          <w:szCs w:val="20"/>
        </w:rPr>
      </w:pPr>
      <w:r>
        <w:rPr>
          <w:b/>
          <w:i/>
          <w:color w:val="000000"/>
          <w:sz w:val="20"/>
          <w:szCs w:val="20"/>
        </w:rPr>
        <w:t>“DESCRIPCIÓN CLARA Y PRECISA DE LA INFORMACIÓN SOLICITADA.</w:t>
      </w:r>
    </w:p>
    <w:p w:rsidR="004C5177" w:rsidRDefault="00FB0719">
      <w:pPr>
        <w:spacing w:after="0" w:line="360" w:lineRule="auto"/>
        <w:ind w:left="567" w:right="567"/>
        <w:rPr>
          <w:i/>
          <w:color w:val="000000"/>
          <w:sz w:val="20"/>
          <w:szCs w:val="20"/>
        </w:rPr>
      </w:pPr>
      <w:r>
        <w:rPr>
          <w:i/>
          <w:color w:val="000000"/>
          <w:sz w:val="20"/>
          <w:szCs w:val="20"/>
        </w:rPr>
        <w:t xml:space="preserve">Se solicita el manual de organización, las reglas de operación y/o cualquier otro documento oficial en el que se especifique que es sipinna Sistema Municipal de Protección Integral de Niñas, Niños y Adolescentes (SIPINNA), el cual, tiene como propósito fortalecer las políticas públicas orientadas a garantizar los derechos, la protección y el desarrollo de la infancia y adolescencia en nuestro municipio. En el cual la presidenta fue parte integrante de la instalación de este sistema”. (Sic) </w:t>
      </w:r>
    </w:p>
    <w:p w:rsidR="004C5177" w:rsidRDefault="004C5177">
      <w:pPr>
        <w:spacing w:after="0" w:line="360" w:lineRule="auto"/>
        <w:ind w:right="567"/>
        <w:rPr>
          <w:i/>
          <w:color w:val="000000"/>
          <w:sz w:val="20"/>
          <w:szCs w:val="20"/>
        </w:rPr>
      </w:pPr>
    </w:p>
    <w:p w:rsidR="004C5177" w:rsidRDefault="00FB0719">
      <w:pPr>
        <w:spacing w:after="0" w:line="360" w:lineRule="auto"/>
        <w:ind w:left="567" w:right="567"/>
        <w:rPr>
          <w:b/>
          <w:i/>
          <w:color w:val="000000"/>
          <w:sz w:val="20"/>
          <w:szCs w:val="20"/>
        </w:rPr>
      </w:pPr>
      <w:r>
        <w:rPr>
          <w:b/>
          <w:i/>
          <w:color w:val="000000"/>
          <w:sz w:val="20"/>
          <w:szCs w:val="20"/>
        </w:rPr>
        <w:lastRenderedPageBreak/>
        <w:t>“MODALIDAD DE ENTREGA</w:t>
      </w:r>
    </w:p>
    <w:p w:rsidR="004C5177" w:rsidRDefault="00FB0719">
      <w:pPr>
        <w:spacing w:after="0" w:line="360" w:lineRule="auto"/>
        <w:ind w:left="567" w:right="567"/>
        <w:rPr>
          <w:i/>
          <w:color w:val="000000"/>
          <w:sz w:val="20"/>
          <w:szCs w:val="20"/>
        </w:rPr>
      </w:pPr>
      <w:r>
        <w:rPr>
          <w:i/>
          <w:color w:val="000000"/>
          <w:sz w:val="20"/>
          <w:szCs w:val="20"/>
        </w:rPr>
        <w:t>A través del SAIMEX”</w:t>
      </w:r>
    </w:p>
    <w:p w:rsidR="004C5177" w:rsidRDefault="004C5177">
      <w:pPr>
        <w:spacing w:after="0" w:line="360" w:lineRule="auto"/>
        <w:ind w:left="567" w:right="567"/>
        <w:rPr>
          <w:i/>
          <w:color w:val="000000"/>
          <w:sz w:val="20"/>
          <w:szCs w:val="20"/>
        </w:rPr>
      </w:pPr>
    </w:p>
    <w:p w:rsidR="004C5177" w:rsidRDefault="00FB0719">
      <w:pPr>
        <w:pStyle w:val="Ttulo2"/>
        <w:spacing w:before="0" w:line="360" w:lineRule="auto"/>
        <w:rPr>
          <w:rFonts w:ascii="Palatino Linotype" w:eastAsia="Palatino Linotype" w:hAnsi="Palatino Linotype" w:cs="Palatino Linotype"/>
          <w:b/>
          <w:color w:val="000000"/>
          <w:sz w:val="22"/>
          <w:szCs w:val="22"/>
        </w:rPr>
      </w:pPr>
      <w:bookmarkStart w:id="2" w:name="_heading=h.zhge25lkwlal" w:colFirst="0" w:colLast="0"/>
      <w:bookmarkEnd w:id="2"/>
      <w:r>
        <w:rPr>
          <w:rFonts w:ascii="Palatino Linotype" w:eastAsia="Palatino Linotype" w:hAnsi="Palatino Linotype" w:cs="Palatino Linotype"/>
          <w:b/>
          <w:color w:val="000000"/>
          <w:sz w:val="22"/>
          <w:szCs w:val="22"/>
        </w:rPr>
        <w:t>II. Respuesta del Sujeto Obligado</w:t>
      </w:r>
    </w:p>
    <w:p w:rsidR="004C5177" w:rsidRDefault="004C5177">
      <w:pPr>
        <w:spacing w:after="0" w:line="360" w:lineRule="auto"/>
        <w:rPr>
          <w:b/>
          <w:color w:val="FF0000"/>
        </w:rPr>
      </w:pPr>
    </w:p>
    <w:p w:rsidR="004C5177" w:rsidRDefault="00FB0719">
      <w:pPr>
        <w:spacing w:after="0" w:line="360" w:lineRule="auto"/>
        <w:rPr>
          <w:color w:val="000000"/>
        </w:rPr>
      </w:pPr>
      <w:bookmarkStart w:id="3" w:name="_heading=h.5ggcaxftfv42" w:colFirst="0" w:colLast="0"/>
      <w:bookmarkEnd w:id="3"/>
      <w:r>
        <w:rPr>
          <w:color w:val="000000"/>
        </w:rPr>
        <w:t xml:space="preserve">Con fecha veintitrés de mayo de dos mil veinticinco, el Sistema Municipal Para el Desarrollo Integral de la Familia de Tepotzotlán, notificó la respuesta a la solicitud, a través del Sistema de Acceso a la Información Mexiquense (SAIMEX), mediante la digitalización del documento siguiente: </w:t>
      </w:r>
    </w:p>
    <w:p w:rsidR="004C5177" w:rsidRDefault="004C5177">
      <w:pPr>
        <w:spacing w:after="0" w:line="360" w:lineRule="auto"/>
        <w:rPr>
          <w:color w:val="FF0000"/>
        </w:rPr>
      </w:pPr>
    </w:p>
    <w:p w:rsidR="004C5177" w:rsidRDefault="00FB0719">
      <w:pPr>
        <w:spacing w:after="0" w:line="360" w:lineRule="auto"/>
        <w:rPr>
          <w:color w:val="000000"/>
        </w:rPr>
      </w:pPr>
      <w:r>
        <w:rPr>
          <w:color w:val="000000"/>
        </w:rPr>
        <w:t xml:space="preserve">i) Oficio número SMDIF/UTAIP/167/2025, del veinticinco de mayo de dos mil veinticinco, suscrito por la Titular de la Unidad de Transparencia y dirigido al Solicitante, por medio del cual precisó lo siguiente: </w:t>
      </w:r>
    </w:p>
    <w:p w:rsidR="004C5177" w:rsidRDefault="004C5177">
      <w:pPr>
        <w:spacing w:after="0" w:line="360" w:lineRule="auto"/>
        <w:ind w:left="567" w:right="567"/>
        <w:rPr>
          <w:i/>
          <w:color w:val="000000"/>
          <w:sz w:val="20"/>
          <w:szCs w:val="20"/>
        </w:rPr>
      </w:pPr>
    </w:p>
    <w:p w:rsidR="004C5177" w:rsidRDefault="00FB0719">
      <w:pPr>
        <w:spacing w:after="0" w:line="360" w:lineRule="auto"/>
        <w:ind w:left="567" w:right="567"/>
        <w:rPr>
          <w:i/>
          <w:color w:val="000000"/>
          <w:sz w:val="20"/>
          <w:szCs w:val="20"/>
        </w:rPr>
      </w:pPr>
      <w:r>
        <w:rPr>
          <w:i/>
          <w:color w:val="000000"/>
          <w:sz w:val="20"/>
          <w:szCs w:val="20"/>
        </w:rPr>
        <w:t>“…</w:t>
      </w:r>
    </w:p>
    <w:p w:rsidR="004C5177" w:rsidRDefault="00FB0719">
      <w:pPr>
        <w:spacing w:after="0" w:line="360" w:lineRule="auto"/>
        <w:ind w:left="567" w:right="567"/>
        <w:rPr>
          <w:i/>
          <w:color w:val="000000"/>
          <w:sz w:val="20"/>
          <w:szCs w:val="20"/>
          <w:u w:val="single"/>
        </w:rPr>
      </w:pPr>
      <w:r>
        <w:rPr>
          <w:i/>
          <w:color w:val="000000"/>
          <w:sz w:val="20"/>
          <w:szCs w:val="20"/>
        </w:rPr>
        <w:t xml:space="preserve"> Con fundamento legal en el Artículo 167 de la Ley de Transparencia y Acceso a la Información Pública del Estado de México y Municipios. Se hace de su conocimiento que después de una revisión detallada de su solicitud, </w:t>
      </w:r>
      <w:r>
        <w:rPr>
          <w:i/>
          <w:color w:val="000000"/>
          <w:sz w:val="20"/>
          <w:szCs w:val="20"/>
          <w:u w:val="single"/>
        </w:rPr>
        <w:t>se informa que el Sistema Municipal Dif de Tepotzotlán, es incompetente para atenderla, ya que no se cuenta con información relativa a lo solicitado; haciendo mención que la solicitud puede ser reingresada al Sujeto Obligado "H. Ayuntamiento de Tepotzotlán".</w:t>
      </w:r>
    </w:p>
    <w:p w:rsidR="004C5177" w:rsidRDefault="00FB0719">
      <w:pPr>
        <w:spacing w:after="0" w:line="360" w:lineRule="auto"/>
        <w:ind w:left="567" w:right="567"/>
        <w:rPr>
          <w:i/>
          <w:color w:val="000000"/>
          <w:sz w:val="18"/>
          <w:szCs w:val="18"/>
        </w:rPr>
      </w:pPr>
      <w:r>
        <w:rPr>
          <w:i/>
          <w:color w:val="000000"/>
          <w:sz w:val="20"/>
          <w:szCs w:val="20"/>
        </w:rPr>
        <w:t>…”</w:t>
      </w:r>
    </w:p>
    <w:p w:rsidR="004C5177" w:rsidRDefault="004C5177">
      <w:pPr>
        <w:spacing w:after="0" w:line="360" w:lineRule="auto"/>
        <w:ind w:right="567"/>
        <w:rPr>
          <w:color w:val="FF0000"/>
        </w:rPr>
      </w:pPr>
    </w:p>
    <w:p w:rsidR="004C5177" w:rsidRDefault="00FB0719">
      <w:pPr>
        <w:pStyle w:val="Ttulo2"/>
        <w:spacing w:before="0" w:line="360" w:lineRule="auto"/>
        <w:rPr>
          <w:rFonts w:ascii="Palatino Linotype" w:eastAsia="Palatino Linotype" w:hAnsi="Palatino Linotype" w:cs="Palatino Linotype"/>
          <w:b/>
          <w:color w:val="000000"/>
          <w:sz w:val="22"/>
          <w:szCs w:val="22"/>
        </w:rPr>
      </w:pPr>
      <w:bookmarkStart w:id="4" w:name="_heading=h.blmkewxfzg3" w:colFirst="0" w:colLast="0"/>
      <w:bookmarkEnd w:id="4"/>
      <w:r>
        <w:rPr>
          <w:rFonts w:ascii="Palatino Linotype" w:eastAsia="Palatino Linotype" w:hAnsi="Palatino Linotype" w:cs="Palatino Linotype"/>
          <w:b/>
          <w:color w:val="000000"/>
          <w:sz w:val="22"/>
          <w:szCs w:val="22"/>
        </w:rPr>
        <w:t>III. Interposición del Recurso de Revisión</w:t>
      </w:r>
    </w:p>
    <w:p w:rsidR="004C5177" w:rsidRDefault="004C5177">
      <w:pPr>
        <w:spacing w:after="0" w:line="360" w:lineRule="auto"/>
        <w:rPr>
          <w:color w:val="FF0000"/>
        </w:rPr>
      </w:pPr>
    </w:p>
    <w:p w:rsidR="004C5177" w:rsidRDefault="00FB0719">
      <w:pPr>
        <w:widowControl w:val="0"/>
        <w:spacing w:after="0" w:line="360" w:lineRule="auto"/>
        <w:rPr>
          <w:color w:val="000000"/>
        </w:rPr>
      </w:pPr>
      <w:r>
        <w:rPr>
          <w:color w:val="000000"/>
        </w:rPr>
        <w:t xml:space="preserve">Con veintiséis de mayo de dos mil veinticinco, se recibió en este Instituto, a través del Sistema </w:t>
      </w:r>
      <w:r>
        <w:rPr>
          <w:color w:val="000000"/>
        </w:rPr>
        <w:lastRenderedPageBreak/>
        <w:t xml:space="preserve">de Acceso a la Información Mexiquense (SAIMEX), el Recurso de Revisión interpuesto por la parte Recurrente, en contra de la respuesta del Sujeto Obligado </w:t>
      </w:r>
      <w:r>
        <w:rPr>
          <w:b/>
          <w:color w:val="000000"/>
        </w:rPr>
        <w:t>(</w:t>
      </w:r>
      <w:r>
        <w:rPr>
          <w:b/>
        </w:rPr>
        <w:t>ya que, si bien se registró el veinticuatro de mayo de dos mil veinticinco, también es que fue inhábil)</w:t>
      </w:r>
      <w:r>
        <w:t>,</w:t>
      </w:r>
      <w:r>
        <w:rPr>
          <w:b/>
        </w:rPr>
        <w:t xml:space="preserve"> </w:t>
      </w:r>
      <w:r>
        <w:rPr>
          <w:color w:val="000000"/>
        </w:rPr>
        <w:t>en los siguientes términos:</w:t>
      </w:r>
    </w:p>
    <w:p w:rsidR="004C5177" w:rsidRDefault="004C5177">
      <w:pPr>
        <w:tabs>
          <w:tab w:val="left" w:pos="4667"/>
        </w:tabs>
        <w:spacing w:after="0" w:line="360" w:lineRule="auto"/>
        <w:ind w:left="567" w:right="567"/>
        <w:rPr>
          <w:b/>
          <w:i/>
          <w:color w:val="FF0000"/>
          <w:sz w:val="20"/>
          <w:szCs w:val="20"/>
        </w:rPr>
      </w:pPr>
    </w:p>
    <w:p w:rsidR="004C5177" w:rsidRDefault="00FB0719">
      <w:pPr>
        <w:tabs>
          <w:tab w:val="left" w:pos="4667"/>
        </w:tabs>
        <w:spacing w:after="0" w:line="360" w:lineRule="auto"/>
        <w:ind w:left="567" w:right="567"/>
        <w:rPr>
          <w:b/>
          <w:i/>
          <w:color w:val="000000"/>
          <w:sz w:val="20"/>
          <w:szCs w:val="20"/>
        </w:rPr>
      </w:pPr>
      <w:r>
        <w:rPr>
          <w:b/>
          <w:i/>
          <w:color w:val="000000"/>
          <w:sz w:val="20"/>
          <w:szCs w:val="20"/>
        </w:rPr>
        <w:t>“ACTO IMPUGNADO</w:t>
      </w:r>
    </w:p>
    <w:p w:rsidR="004C5177" w:rsidRDefault="00FB0719">
      <w:pPr>
        <w:tabs>
          <w:tab w:val="left" w:pos="4667"/>
        </w:tabs>
        <w:spacing w:after="0" w:line="360" w:lineRule="auto"/>
        <w:ind w:left="567" w:right="567"/>
        <w:rPr>
          <w:i/>
          <w:color w:val="000000"/>
          <w:sz w:val="20"/>
          <w:szCs w:val="20"/>
        </w:rPr>
      </w:pPr>
      <w:r>
        <w:rPr>
          <w:i/>
          <w:color w:val="000000"/>
          <w:sz w:val="20"/>
          <w:szCs w:val="20"/>
        </w:rPr>
        <w:t xml:space="preserve">Nos actas impugnados son la negativa de la respuesta a la solicitud de información La </w:t>
      </w:r>
      <w:r>
        <w:rPr>
          <w:i/>
          <w:color w:val="000000"/>
          <w:sz w:val="20"/>
          <w:szCs w:val="20"/>
          <w:u w:val="single"/>
        </w:rPr>
        <w:t>falta de trámite que debió de haber realizado la titular de transparencia al área correspondiente</w:t>
      </w:r>
      <w:r>
        <w:rPr>
          <w:i/>
          <w:color w:val="000000"/>
          <w:sz w:val="20"/>
          <w:szCs w:val="20"/>
        </w:rPr>
        <w:t xml:space="preserve"> así como la falta de informarle a la titular del sujeto obligado sea cual fuere la respuesta a la solicitud Por último la falta de fundamentación en la cual la titular de la unidad de transparencia no entrega el expediente completo desde el inicio de la solicitud envío de la solicitud al área correspondiente y la respuesta del área en la que en caso de que el área no cuente con dicha información, debió haber dado respuesta la señora María dolores Zuppa Villegas titular del sujeto obligado a fin de tener la prueba documental para que la titular de transparencia los Fabiola Guerrero Pérez pudiera haber girado el oficio recibido. Por lo tanto someto a su consideración de los comisionados ponentes del infoem a fin de que estudien este caso en particular dado que si bien es cierto que son ustedes los que dan certeza jurídica y son el ente regulador de la transparencia de todos los sujetos obligados, se vele por mis derechos humanos y fundamentales a fin de que a ustedes les sea entregado a dicha información qué servirá como prueba documental para emitir la respuesta o en su defecto se dé respuesta oportuna de dicha información dado que entre los las funciones de la presidenta del dif están prescritas en el manual que solicite mismo que se encuentra como anexo en su nombramiento, en la convocatoria a dicha comisión edilicia y así también en el acta respectiva de la sesión de integración. Por lo tanto valoro que el sujeto obligado sí es competente para conocer y dar trámite a mi solicitud y que ya obran en sus archivos” (Sic.)</w:t>
      </w:r>
    </w:p>
    <w:p w:rsidR="004C5177" w:rsidRDefault="004C5177">
      <w:pPr>
        <w:tabs>
          <w:tab w:val="left" w:pos="4667"/>
        </w:tabs>
        <w:spacing w:after="0" w:line="360" w:lineRule="auto"/>
        <w:ind w:left="567" w:right="567"/>
        <w:rPr>
          <w:i/>
          <w:color w:val="FF0000"/>
          <w:sz w:val="20"/>
          <w:szCs w:val="20"/>
        </w:rPr>
      </w:pPr>
    </w:p>
    <w:p w:rsidR="004C5177" w:rsidRDefault="00FB0719">
      <w:pPr>
        <w:tabs>
          <w:tab w:val="left" w:pos="4667"/>
        </w:tabs>
        <w:spacing w:after="0" w:line="360" w:lineRule="auto"/>
        <w:ind w:left="567" w:right="567"/>
        <w:rPr>
          <w:b/>
          <w:i/>
          <w:color w:val="000000"/>
          <w:sz w:val="20"/>
          <w:szCs w:val="20"/>
        </w:rPr>
      </w:pPr>
      <w:r>
        <w:rPr>
          <w:b/>
          <w:i/>
          <w:color w:val="000000"/>
          <w:sz w:val="20"/>
          <w:szCs w:val="20"/>
        </w:rPr>
        <w:t>“RAZONES O MOTIVOS DE LA INCONFORMIDAD</w:t>
      </w:r>
    </w:p>
    <w:p w:rsidR="004C5177" w:rsidRDefault="00FB0719">
      <w:pPr>
        <w:tabs>
          <w:tab w:val="left" w:pos="4667"/>
        </w:tabs>
        <w:spacing w:after="0" w:line="360" w:lineRule="auto"/>
        <w:ind w:left="567" w:right="567"/>
        <w:rPr>
          <w:i/>
          <w:color w:val="000000"/>
          <w:sz w:val="20"/>
          <w:szCs w:val="20"/>
        </w:rPr>
      </w:pPr>
      <w:r>
        <w:rPr>
          <w:i/>
          <w:color w:val="000000"/>
          <w:sz w:val="20"/>
          <w:szCs w:val="20"/>
        </w:rPr>
        <w:lastRenderedPageBreak/>
        <w:t xml:space="preserve">Con fundamento en lo previsto en la constitución política de los Estados Unidos mexicanos a sus artículos 6 y 7 así como en la particular del Estado de México, se le hace el conocimiento al informe que el </w:t>
      </w:r>
      <w:r>
        <w:rPr>
          <w:i/>
          <w:color w:val="000000"/>
          <w:sz w:val="20"/>
          <w:szCs w:val="20"/>
          <w:u w:val="single"/>
        </w:rPr>
        <w:t>sujeto obligado fue omiso en entregar la solicitud de información. Si bien es cierto que se recibe una respuesta por parte de la titular de transparencia también lo es que existe una falta de trámite de esta solicitud dado que en la respuesta no anexa el oficio donde ella se da el conocimiento a la presidenta esta solicitud</w:t>
      </w:r>
      <w:r>
        <w:rPr>
          <w:i/>
          <w:color w:val="000000"/>
          <w:sz w:val="20"/>
          <w:szCs w:val="20"/>
        </w:rPr>
        <w:t xml:space="preserve">. También se hace del conocimiento que la presidenta honorífica del dif es miembro integrante de una comisión edilicia de la administración pública y al ser miembro integrante de esta comisión disciplina a la presidenta se le notifica mediante oficio las convocatorias y los acuerdos que toma dicha comisión Que ella misma preside. Así también se le hace del conocimiento al infame que la presidenta honorífica del María dolores upa Villegas es miembro integrante del programa sipina y de igual forma a ella se le entregó sus anexos el manual de organización por lo tanto el área a la que corresponde dar respuesta es la oficina de presidencia del DIF más no así a la unidad de transparencia ya que transparencia no conoce esa información que de acuerdo a los lineamientos de la comisión edilicia de cipiño la presidenta ya tienen sus manos el manual que se solicitó en la presente solicitud de información Por otro lado hago del conocimiento del instituto de transparencia que la titular de transparencia se toma atribuciones individuales y no así en conjunto como sujeto obligado y tampoco informándole a su titular del sujeto obligado que como es de conocerse en la plataforma de transparencia la presidenta es su jefa inmediata directa La falta de conocimientos de la titular de transparencia y la nula experiencia que tiene al manejar un área como titular ha provocado qué los Fabiola Guerrero Pérez no conozca las leyes y mucho menos el procedimiento exacto para dar contestación a una solicitud de información por lo que también el acto impugnado es la falta de trámite a la solicitud de información así mismo suponiendo que fuera el caso en el que existiera en competencia, la titular de la unidad de transparencia debe poner a disposición el oficio de en el que turnó la solicitud al área que debió de haber dado respuesta. Por lo anterior con fundamento en la ley de transparencia y acceso a la información pública del Estado de México en municipios todo servidor público debe documentar los actos derivados de sus funciones por ello se hace del conocimiento del infoem que dicha solicitud de una vez que fue presidida la titular de transparencia sí debe de turnar mi solicitud al área </w:t>
      </w:r>
      <w:r>
        <w:rPr>
          <w:i/>
          <w:color w:val="000000"/>
          <w:sz w:val="20"/>
          <w:szCs w:val="20"/>
        </w:rPr>
        <w:lastRenderedPageBreak/>
        <w:t>correspondiente por lo anterior así existe dicho documento en sus archivos el cual debe anexar además del anexo que viene como respuesta también el oficio en el que se le turnó a la presidenta así como también el acuse de recibido en el que se le informa a la titular que ya se brindó respuesta a la solicitud a fin de que la titular del sujeto obligado esté enterada de la competencia o incompetencia. Por lo tanto a petición de mi parte solicito al informe nuevamente se revise la información y en su momento se solicite todo el expediente completo que derivó de esta solicitud incluyendo los oficios de turno o en su defecto se le perciba y se levanta el procedimiento conforme a derecho a la titular de la unidad de transparencia los Luz Fabiola Guerrero Pérez, por dicha omisión.” (Sic.)</w:t>
      </w:r>
    </w:p>
    <w:p w:rsidR="004C5177" w:rsidRDefault="004C5177">
      <w:pPr>
        <w:tabs>
          <w:tab w:val="left" w:pos="4667"/>
        </w:tabs>
        <w:spacing w:after="0" w:line="360" w:lineRule="auto"/>
        <w:ind w:right="567"/>
        <w:rPr>
          <w:i/>
          <w:color w:val="000000"/>
          <w:sz w:val="20"/>
          <w:szCs w:val="20"/>
        </w:rPr>
      </w:pPr>
    </w:p>
    <w:p w:rsidR="004C5177" w:rsidRDefault="00FB0719">
      <w:pPr>
        <w:pStyle w:val="Ttulo2"/>
        <w:spacing w:before="0" w:line="360" w:lineRule="auto"/>
        <w:rPr>
          <w:rFonts w:ascii="Palatino Linotype" w:eastAsia="Palatino Linotype" w:hAnsi="Palatino Linotype" w:cs="Palatino Linotype"/>
          <w:b/>
          <w:color w:val="000000"/>
          <w:sz w:val="22"/>
          <w:szCs w:val="22"/>
        </w:rPr>
      </w:pPr>
      <w:bookmarkStart w:id="5" w:name="_heading=h.22v5qlabbxei" w:colFirst="0" w:colLast="0"/>
      <w:bookmarkEnd w:id="5"/>
      <w:r>
        <w:rPr>
          <w:rFonts w:ascii="Palatino Linotype" w:eastAsia="Palatino Linotype" w:hAnsi="Palatino Linotype" w:cs="Palatino Linotype"/>
          <w:b/>
          <w:color w:val="000000"/>
          <w:sz w:val="22"/>
          <w:szCs w:val="22"/>
        </w:rPr>
        <w:t>IV. Trámite del Recurso de Revisión ante este Instituto</w:t>
      </w:r>
    </w:p>
    <w:p w:rsidR="004C5177" w:rsidRDefault="004C5177">
      <w:pPr>
        <w:spacing w:after="0" w:line="360" w:lineRule="auto"/>
        <w:rPr>
          <w:b/>
          <w:color w:val="FF0000"/>
        </w:rPr>
      </w:pPr>
    </w:p>
    <w:p w:rsidR="004C5177" w:rsidRDefault="00FB0719">
      <w:pPr>
        <w:spacing w:after="0" w:line="360" w:lineRule="auto"/>
        <w:rPr>
          <w:b/>
          <w:color w:val="000000"/>
        </w:rPr>
      </w:pPr>
      <w:bookmarkStart w:id="6" w:name="_heading=h.9ivtvuy02oag" w:colFirst="0" w:colLast="0"/>
      <w:bookmarkEnd w:id="6"/>
      <w:r>
        <w:rPr>
          <w:b/>
          <w:color w:val="000000"/>
        </w:rPr>
        <w:t>a) Turno del Medio de Impugnación.</w:t>
      </w:r>
      <w:r>
        <w:rPr>
          <w:b/>
        </w:rPr>
        <w:t xml:space="preserve"> </w:t>
      </w:r>
      <w:r>
        <w:rPr>
          <w:color w:val="000000"/>
        </w:rPr>
        <w:t xml:space="preserve">El veinticuatro de mayo de dos mil veinticinco, el Sistema de Acceso a la Información Mexiquense (SAIMEX), asignó el número de expediente </w:t>
      </w:r>
      <w:r>
        <w:rPr>
          <w:b/>
          <w:color w:val="000000"/>
        </w:rPr>
        <w:t xml:space="preserve"> 05906/INFOEM/IP/RR/2025</w:t>
      </w:r>
      <w:r>
        <w:rPr>
          <w:color w:val="000000"/>
        </w:rPr>
        <w:t xml:space="preserve">, al Medio de Impugnación que nos ocupa, con base en el sistema aprobado por el Pleno de este Órgano Garante y lo turnó al </w:t>
      </w:r>
      <w:r>
        <w:rPr>
          <w:b/>
          <w:color w:val="000000"/>
        </w:rPr>
        <w:t>Comisionado Ponente Luis Gustavo Parra Noriega</w:t>
      </w:r>
      <w:r>
        <w:rPr>
          <w:color w:val="000000"/>
        </w:rPr>
        <w:t>, para los efectos del artículo 185, fracción I de la Ley de Transparencia y Acceso a la Información Pública del Estado de México y Municipios.</w:t>
      </w:r>
    </w:p>
    <w:p w:rsidR="004C5177" w:rsidRDefault="004C5177">
      <w:pPr>
        <w:spacing w:after="0" w:line="360" w:lineRule="auto"/>
        <w:rPr>
          <w:color w:val="FF0000"/>
        </w:rPr>
      </w:pPr>
    </w:p>
    <w:p w:rsidR="004C5177" w:rsidRDefault="00FB0719">
      <w:pPr>
        <w:spacing w:after="0" w:line="360" w:lineRule="auto"/>
        <w:rPr>
          <w:color w:val="000000"/>
        </w:rPr>
      </w:pPr>
      <w:bookmarkStart w:id="7" w:name="_heading=h.bouxvg77pet1" w:colFirst="0" w:colLast="0"/>
      <w:bookmarkEnd w:id="7"/>
      <w:r>
        <w:rPr>
          <w:b/>
          <w:color w:val="000000"/>
        </w:rPr>
        <w:t>b) Admisión del Recurso de Revisión.</w:t>
      </w:r>
      <w:r>
        <w:rPr>
          <w:b/>
        </w:rPr>
        <w:t xml:space="preserve"> </w:t>
      </w:r>
      <w:r>
        <w:rPr>
          <w:color w:val="000000"/>
        </w:rPr>
        <w:t xml:space="preserve">El veintinueve de mayo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rsidR="004C5177" w:rsidRDefault="004C5177">
      <w:pPr>
        <w:spacing w:after="0" w:line="360" w:lineRule="auto"/>
        <w:rPr>
          <w:b/>
          <w:color w:val="000000"/>
        </w:rPr>
      </w:pPr>
    </w:p>
    <w:p w:rsidR="004C5177" w:rsidRDefault="00FB0719">
      <w:pPr>
        <w:tabs>
          <w:tab w:val="left" w:pos="3261"/>
        </w:tabs>
        <w:spacing w:after="0" w:line="360" w:lineRule="auto"/>
      </w:pPr>
      <w:bookmarkStart w:id="8" w:name="_heading=h.ngkx1wqm8fmj" w:colFirst="0" w:colLast="0"/>
      <w:bookmarkEnd w:id="8"/>
      <w:r>
        <w:rPr>
          <w:b/>
          <w:color w:val="000000"/>
        </w:rPr>
        <w:t>c) Informe Justificado o Manifestaciones.</w:t>
      </w:r>
      <w:r>
        <w:t xml:space="preserve"> Las partes fueron omisas en realizar manifestaciones o alegatos </w:t>
      </w:r>
    </w:p>
    <w:p w:rsidR="004C5177" w:rsidRDefault="004C5177">
      <w:pPr>
        <w:tabs>
          <w:tab w:val="left" w:pos="3261"/>
        </w:tabs>
        <w:spacing w:after="0" w:line="360" w:lineRule="auto"/>
      </w:pPr>
    </w:p>
    <w:p w:rsidR="004C5177" w:rsidRDefault="00FB0719">
      <w:pPr>
        <w:widowControl w:val="0"/>
        <w:spacing w:line="360" w:lineRule="auto"/>
        <w:rPr>
          <w:color w:val="000000"/>
        </w:rPr>
      </w:pPr>
      <w:r>
        <w:rPr>
          <w:b/>
          <w:color w:val="000000"/>
        </w:rPr>
        <w:t xml:space="preserve">d) Ampliación de plazo para resolver. </w:t>
      </w:r>
      <w:r>
        <w:rPr>
          <w:color w:val="000000"/>
        </w:rPr>
        <w:t xml:space="preserve">El catorce de agosto de dos mil veinticinco, el Comisionado Ponente, con fundamento en lo dispuesto por el artículo 181, párrafo tercero, de la Ley de Transparencia y Acceso a la Información Pública del Estado de México y Municipios, acordó ampliar por un plazo razonable, para resolver el Recurso de Revisión que nos ocupa; acto que fue notificado a las partes el </w:t>
      </w:r>
      <w:r>
        <w:t>diecinueve del mismo mes y año</w:t>
      </w:r>
      <w:r>
        <w:rPr>
          <w:color w:val="000000"/>
        </w:rPr>
        <w:t xml:space="preserve">, mediante el Sistema de Acceso a la Información Mexiquense (SAIMEX). </w:t>
      </w:r>
    </w:p>
    <w:p w:rsidR="004C5177" w:rsidRDefault="004C5177">
      <w:pPr>
        <w:tabs>
          <w:tab w:val="left" w:pos="3261"/>
        </w:tabs>
        <w:spacing w:after="0" w:line="360" w:lineRule="auto"/>
      </w:pPr>
    </w:p>
    <w:p w:rsidR="004C5177" w:rsidRDefault="00FB0719">
      <w:pPr>
        <w:spacing w:after="0" w:line="360" w:lineRule="auto"/>
        <w:ind w:right="-28"/>
        <w:rPr>
          <w:color w:val="000000"/>
        </w:rPr>
      </w:pPr>
      <w:bookmarkStart w:id="9" w:name="_heading=h.tlvyewxbqvi" w:colFirst="0" w:colLast="0"/>
      <w:bookmarkEnd w:id="9"/>
      <w:r>
        <w:rPr>
          <w:b/>
          <w:color w:val="000000"/>
        </w:rPr>
        <w:t>e) Cierre de instrucción.</w:t>
      </w:r>
      <w:r>
        <w:rPr>
          <w:color w:val="000000"/>
        </w:rPr>
        <w:t xml:space="preserve"> El</w:t>
      </w:r>
      <w:r>
        <w:t xml:space="preserve"> diecinueve </w:t>
      </w:r>
      <w:r>
        <w:rPr>
          <w:color w:val="000000"/>
        </w:rPr>
        <w:t xml:space="preserve">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rsidR="004C5177" w:rsidRDefault="004C5177">
      <w:pPr>
        <w:spacing w:after="0" w:line="360" w:lineRule="auto"/>
        <w:ind w:right="-28"/>
        <w:rPr>
          <w:color w:val="000000"/>
          <w:highlight w:val="red"/>
        </w:rPr>
      </w:pPr>
    </w:p>
    <w:p w:rsidR="004C5177" w:rsidRDefault="00FB0719">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4C5177" w:rsidRDefault="004C5177">
      <w:pPr>
        <w:spacing w:after="0" w:line="360" w:lineRule="auto"/>
        <w:rPr>
          <w:color w:val="000000"/>
        </w:rPr>
      </w:pPr>
    </w:p>
    <w:p w:rsidR="004C5177" w:rsidRDefault="00FB0719">
      <w:pPr>
        <w:pStyle w:val="Ttulo1"/>
        <w:spacing w:before="0" w:line="360" w:lineRule="auto"/>
        <w:jc w:val="center"/>
        <w:rPr>
          <w:rFonts w:ascii="Palatino Linotype" w:eastAsia="Palatino Linotype" w:hAnsi="Palatino Linotype" w:cs="Palatino Linotype"/>
          <w:b/>
          <w:color w:val="000000"/>
          <w:sz w:val="22"/>
          <w:szCs w:val="22"/>
        </w:rPr>
      </w:pPr>
      <w:bookmarkStart w:id="10" w:name="_heading=h.erly31t3xkpa" w:colFirst="0" w:colLast="0"/>
      <w:bookmarkEnd w:id="10"/>
      <w:r>
        <w:rPr>
          <w:rFonts w:ascii="Palatino Linotype" w:eastAsia="Palatino Linotype" w:hAnsi="Palatino Linotype" w:cs="Palatino Linotype"/>
          <w:b/>
          <w:color w:val="000000"/>
          <w:sz w:val="22"/>
          <w:szCs w:val="22"/>
        </w:rPr>
        <w:t>C O N S I D E R A N D O S</w:t>
      </w:r>
    </w:p>
    <w:p w:rsidR="004C5177" w:rsidRDefault="004C5177">
      <w:pPr>
        <w:spacing w:after="0" w:line="360" w:lineRule="auto"/>
        <w:jc w:val="center"/>
        <w:rPr>
          <w:b/>
          <w:color w:val="000000"/>
        </w:rPr>
      </w:pPr>
    </w:p>
    <w:p w:rsidR="004C5177" w:rsidRDefault="00FB0719">
      <w:pPr>
        <w:pStyle w:val="Ttulo2"/>
        <w:spacing w:before="0" w:line="360" w:lineRule="auto"/>
        <w:rPr>
          <w:rFonts w:ascii="Palatino Linotype" w:eastAsia="Palatino Linotype" w:hAnsi="Palatino Linotype" w:cs="Palatino Linotype"/>
          <w:b/>
          <w:color w:val="000000"/>
          <w:sz w:val="22"/>
          <w:szCs w:val="22"/>
        </w:rPr>
      </w:pPr>
      <w:bookmarkStart w:id="11" w:name="_heading=h.hnbtw0o6m7bx" w:colFirst="0" w:colLast="0"/>
      <w:bookmarkEnd w:id="11"/>
      <w:r>
        <w:rPr>
          <w:rFonts w:ascii="Palatino Linotype" w:eastAsia="Palatino Linotype" w:hAnsi="Palatino Linotype" w:cs="Palatino Linotype"/>
          <w:b/>
          <w:color w:val="000000"/>
          <w:sz w:val="22"/>
          <w:szCs w:val="22"/>
        </w:rPr>
        <w:lastRenderedPageBreak/>
        <w:t>PRIMERO. Competencia</w:t>
      </w:r>
    </w:p>
    <w:p w:rsidR="004C5177" w:rsidRDefault="004C5177">
      <w:pPr>
        <w:spacing w:after="0" w:line="360" w:lineRule="auto"/>
        <w:rPr>
          <w:b/>
          <w:color w:val="FF0000"/>
        </w:rPr>
      </w:pPr>
    </w:p>
    <w:p w:rsidR="004C5177" w:rsidRDefault="00FB0719">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4C5177" w:rsidRDefault="004C5177">
      <w:pPr>
        <w:spacing w:after="0" w:line="360" w:lineRule="auto"/>
        <w:rPr>
          <w:b/>
          <w:color w:val="000000"/>
        </w:rPr>
      </w:pPr>
    </w:p>
    <w:p w:rsidR="004C5177" w:rsidRDefault="00FB0719">
      <w:pPr>
        <w:pStyle w:val="Ttulo2"/>
        <w:spacing w:before="0" w:line="360" w:lineRule="auto"/>
        <w:rPr>
          <w:rFonts w:ascii="Palatino Linotype" w:eastAsia="Palatino Linotype" w:hAnsi="Palatino Linotype" w:cs="Palatino Linotype"/>
          <w:b/>
          <w:color w:val="000000"/>
          <w:sz w:val="22"/>
          <w:szCs w:val="22"/>
        </w:rPr>
      </w:pPr>
      <w:bookmarkStart w:id="12" w:name="_heading=h.4lcxuqqhk6c0" w:colFirst="0" w:colLast="0"/>
      <w:bookmarkEnd w:id="12"/>
      <w:r>
        <w:rPr>
          <w:rFonts w:ascii="Palatino Linotype" w:eastAsia="Palatino Linotype" w:hAnsi="Palatino Linotype" w:cs="Palatino Linotype"/>
          <w:b/>
          <w:color w:val="000000"/>
          <w:sz w:val="22"/>
          <w:szCs w:val="22"/>
        </w:rPr>
        <w:t xml:space="preserve">SEGUNDO. Causales de improcedencia y sobreseimiento </w:t>
      </w:r>
    </w:p>
    <w:p w:rsidR="004C5177" w:rsidRDefault="004C5177">
      <w:pPr>
        <w:spacing w:after="0" w:line="360" w:lineRule="auto"/>
        <w:rPr>
          <w:color w:val="000000"/>
        </w:rPr>
      </w:pPr>
    </w:p>
    <w:p w:rsidR="004C5177" w:rsidRDefault="00FB0719">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rsidR="004C5177" w:rsidRDefault="004C5177">
      <w:pPr>
        <w:spacing w:after="0" w:line="360" w:lineRule="auto"/>
        <w:rPr>
          <w:b/>
          <w:color w:val="000000"/>
        </w:rPr>
      </w:pPr>
    </w:p>
    <w:p w:rsidR="004C5177" w:rsidRDefault="00FB0719">
      <w:pPr>
        <w:spacing w:after="0" w:line="360" w:lineRule="auto"/>
        <w:rPr>
          <w:b/>
          <w:color w:val="000000"/>
        </w:rPr>
      </w:pPr>
      <w:r>
        <w:rPr>
          <w:b/>
          <w:color w:val="000000"/>
        </w:rPr>
        <w:t>Causales de improcedencia</w:t>
      </w:r>
    </w:p>
    <w:p w:rsidR="004C5177" w:rsidRDefault="004C5177">
      <w:pPr>
        <w:spacing w:after="0" w:line="360" w:lineRule="auto"/>
        <w:rPr>
          <w:color w:val="000000"/>
        </w:rPr>
      </w:pPr>
    </w:p>
    <w:p w:rsidR="004C5177" w:rsidRDefault="00FB0719">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w:t>
      </w:r>
      <w:r>
        <w:rPr>
          <w:color w:val="000000"/>
        </w:rPr>
        <w:lastRenderedPageBreak/>
        <w:t>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4C5177" w:rsidRDefault="004C5177">
      <w:pPr>
        <w:spacing w:after="0" w:line="360" w:lineRule="auto"/>
        <w:rPr>
          <w:color w:val="000000"/>
        </w:rPr>
      </w:pPr>
    </w:p>
    <w:p w:rsidR="004C5177" w:rsidRDefault="00FB0719">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4C5177" w:rsidRDefault="004C5177">
      <w:pPr>
        <w:spacing w:after="0" w:line="360" w:lineRule="auto"/>
        <w:rPr>
          <w:color w:val="000000"/>
        </w:rPr>
      </w:pPr>
    </w:p>
    <w:p w:rsidR="004C5177" w:rsidRDefault="00FB0719">
      <w:pPr>
        <w:spacing w:after="0" w:line="360" w:lineRule="auto"/>
        <w:rPr>
          <w:color w:val="000000"/>
        </w:rPr>
      </w:pPr>
      <w:r>
        <w:rPr>
          <w:color w:val="000000"/>
        </w:rPr>
        <w:t>Conforme a lo anterior, se actualiza la causal de procedencia señalada en el artículo 179, fracción IV, de la Ley de la materia, toda vez que el Solicitante se inconformó con la entrega declaración de incompetencia por el sujeto obligado.</w:t>
      </w:r>
    </w:p>
    <w:p w:rsidR="004C5177" w:rsidRDefault="004C5177">
      <w:pPr>
        <w:spacing w:after="0" w:line="360" w:lineRule="auto"/>
        <w:rPr>
          <w:color w:val="000000"/>
        </w:rPr>
      </w:pPr>
    </w:p>
    <w:p w:rsidR="004C5177" w:rsidRDefault="00FB0719">
      <w:pPr>
        <w:spacing w:after="0" w:line="360" w:lineRule="auto"/>
        <w:rPr>
          <w:color w:val="0D0D0D"/>
        </w:rPr>
      </w:pPr>
      <w:r>
        <w:rPr>
          <w:b/>
          <w:color w:val="0D0D0D"/>
        </w:rPr>
        <w:t>Causales de sobreseimiento</w:t>
      </w:r>
    </w:p>
    <w:p w:rsidR="004C5177" w:rsidRDefault="004C5177">
      <w:pPr>
        <w:spacing w:after="0" w:line="360" w:lineRule="auto"/>
        <w:rPr>
          <w:color w:val="0D0D0D"/>
        </w:rPr>
      </w:pPr>
    </w:p>
    <w:p w:rsidR="004C5177" w:rsidRDefault="00FB0719">
      <w:pPr>
        <w:spacing w:after="0" w:line="360" w:lineRule="auto"/>
        <w:rPr>
          <w:color w:val="0D0D0D"/>
        </w:rPr>
      </w:pPr>
      <w:r>
        <w:rPr>
          <w:color w:val="0D0D0D"/>
        </w:rPr>
        <w:t>Por ser de previo y especial pronunciamiento, este Instituto analiza si se actualiza alguna causal de sobreseimiento.</w:t>
      </w:r>
    </w:p>
    <w:p w:rsidR="004C5177" w:rsidRDefault="004C5177">
      <w:pPr>
        <w:spacing w:after="0" w:line="360" w:lineRule="auto"/>
        <w:rPr>
          <w:color w:val="0D0D0D"/>
        </w:rPr>
      </w:pPr>
    </w:p>
    <w:p w:rsidR="004C5177" w:rsidRDefault="00FB0719">
      <w:pPr>
        <w:spacing w:after="0" w:line="360" w:lineRule="auto"/>
        <w:rPr>
          <w:color w:val="000000"/>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w:t>
      </w:r>
      <w:r>
        <w:rPr>
          <w:color w:val="000000"/>
        </w:rPr>
        <w:lastRenderedPageBreak/>
        <w:t>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4C5177" w:rsidRDefault="004C5177">
      <w:pPr>
        <w:spacing w:after="0" w:line="360" w:lineRule="auto"/>
        <w:rPr>
          <w:color w:val="000000"/>
        </w:rPr>
      </w:pPr>
    </w:p>
    <w:p w:rsidR="004C5177" w:rsidRDefault="00FB0719">
      <w:pPr>
        <w:spacing w:after="0" w:line="360" w:lineRule="auto"/>
        <w:rPr>
          <w:color w:val="0D0D0D"/>
        </w:rPr>
      </w:pPr>
      <w:r>
        <w:rPr>
          <w:color w:val="0D0D0D"/>
        </w:rPr>
        <w:t xml:space="preserve">Por tales motivos, se considera procedente entrar al fondo del presente asunto. </w:t>
      </w:r>
    </w:p>
    <w:p w:rsidR="004C5177" w:rsidRDefault="004C5177">
      <w:pPr>
        <w:spacing w:after="0" w:line="360" w:lineRule="auto"/>
        <w:rPr>
          <w:b/>
          <w:color w:val="000000"/>
        </w:rPr>
      </w:pPr>
    </w:p>
    <w:p w:rsidR="004C5177" w:rsidRDefault="00FB0719">
      <w:pPr>
        <w:pStyle w:val="Ttulo2"/>
        <w:spacing w:before="0" w:line="360" w:lineRule="auto"/>
        <w:rPr>
          <w:rFonts w:ascii="Palatino Linotype" w:eastAsia="Palatino Linotype" w:hAnsi="Palatino Linotype" w:cs="Palatino Linotype"/>
          <w:b/>
          <w:color w:val="000000"/>
          <w:sz w:val="22"/>
          <w:szCs w:val="22"/>
        </w:rPr>
      </w:pPr>
      <w:bookmarkStart w:id="13" w:name="_heading=h.xthpvbe8iu2v" w:colFirst="0" w:colLast="0"/>
      <w:bookmarkEnd w:id="13"/>
      <w:r>
        <w:rPr>
          <w:rFonts w:ascii="Palatino Linotype" w:eastAsia="Palatino Linotype" w:hAnsi="Palatino Linotype" w:cs="Palatino Linotype"/>
          <w:b/>
          <w:color w:val="000000"/>
          <w:sz w:val="22"/>
          <w:szCs w:val="22"/>
        </w:rPr>
        <w:t>TERCERO. Determinación de la Controversia</w:t>
      </w:r>
    </w:p>
    <w:p w:rsidR="004C5177" w:rsidRDefault="004C5177">
      <w:pPr>
        <w:spacing w:after="0" w:line="360" w:lineRule="auto"/>
        <w:rPr>
          <w:color w:val="FF0000"/>
        </w:rPr>
      </w:pPr>
    </w:p>
    <w:p w:rsidR="004C5177" w:rsidRDefault="00FB0719">
      <w:pPr>
        <w:spacing w:after="0" w:line="360" w:lineRule="auto"/>
        <w:rPr>
          <w:color w:val="000000"/>
        </w:rPr>
      </w:pPr>
      <w:r>
        <w:rPr>
          <w:color w:val="000000"/>
        </w:rPr>
        <w:t xml:space="preserve">Una vez realizado el estudio de las constancias que integran el expediente en que se actúa, se desprende que el Recurrente requirió el Manual de Organización, reglas de operación y/o cualquier otro documento oficial, en el que se especifique qué es el SIPINNA (Sistema de Protección Integral de Niñas, Niños y Adolescentes), al veinte de mayo de dos mil veinticinco.  </w:t>
      </w:r>
    </w:p>
    <w:p w:rsidR="004C5177" w:rsidRDefault="004C5177">
      <w:pPr>
        <w:spacing w:after="0" w:line="360" w:lineRule="auto"/>
        <w:rPr>
          <w:color w:val="000000"/>
        </w:rPr>
      </w:pPr>
    </w:p>
    <w:p w:rsidR="004C5177" w:rsidRDefault="00FB0719">
      <w:pPr>
        <w:spacing w:after="0" w:line="360" w:lineRule="auto"/>
        <w:ind w:right="-28"/>
        <w:rPr>
          <w:color w:val="000000"/>
        </w:rPr>
      </w:pPr>
      <w:r>
        <w:rPr>
          <w:color w:val="000000"/>
        </w:rPr>
        <w:t xml:space="preserve">En respuesta, el Sujeto Obligado, por medio de la Unidad de Transparencia precisó la incompetencia del Sistema Municipal DIF de Tepotzotlán para atender la solicitud, ya que no contaba con la información relativa a lo solicitado y orientó a la persona Particular a dirigir la solicitud al Ayuntamiento de Tepotzotlán; ante dicha circunstancia, el Particular se inconformó de la incompetencia, al precisar que cuenta con la información y la falta de trámite a su solicitud, lo cual  actualiza la causal de procedencia prevista en la fracción IV, del artículo 179 de la Ley de Transparencia y Acceso a la Información Pública del Estado de México y Municipios. Así las cosas, una vez admitido y notificado el Recurso de Revisión a las partes, estas fueron omisas en manifestarse. </w:t>
      </w:r>
    </w:p>
    <w:p w:rsidR="004C5177" w:rsidRDefault="004C5177">
      <w:pPr>
        <w:spacing w:after="0" w:line="360" w:lineRule="auto"/>
        <w:ind w:right="-28"/>
        <w:rPr>
          <w:color w:val="000000"/>
        </w:rPr>
      </w:pPr>
    </w:p>
    <w:p w:rsidR="004C5177" w:rsidRDefault="00FB0719">
      <w:pPr>
        <w:tabs>
          <w:tab w:val="left" w:pos="4962"/>
        </w:tabs>
        <w:spacing w:after="0" w:line="360" w:lineRule="auto"/>
        <w:rPr>
          <w:color w:val="000000"/>
        </w:rPr>
      </w:pPr>
      <w:r>
        <w:rPr>
          <w:color w:val="000000"/>
        </w:rPr>
        <w:lastRenderedPageBreak/>
        <w:t>Lo anterior, se desprende de las documentales que obran en el expediente de referencia, materia de la presente resolución, consistente en: la solicitud de acceso a la información, la respuesta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rsidR="004C5177" w:rsidRDefault="004C5177">
      <w:pPr>
        <w:spacing w:after="0" w:line="360" w:lineRule="auto"/>
        <w:rPr>
          <w:b/>
          <w:color w:val="000000"/>
        </w:rPr>
      </w:pPr>
    </w:p>
    <w:p w:rsidR="004C5177" w:rsidRDefault="00FB0719">
      <w:pPr>
        <w:pStyle w:val="Ttulo2"/>
        <w:spacing w:before="0" w:line="360" w:lineRule="auto"/>
        <w:rPr>
          <w:rFonts w:ascii="Palatino Linotype" w:eastAsia="Palatino Linotype" w:hAnsi="Palatino Linotype" w:cs="Palatino Linotype"/>
          <w:b/>
          <w:color w:val="000000"/>
          <w:sz w:val="22"/>
          <w:szCs w:val="22"/>
        </w:rPr>
      </w:pPr>
      <w:bookmarkStart w:id="14" w:name="_heading=h.ooytgvaqyq8l" w:colFirst="0" w:colLast="0"/>
      <w:bookmarkEnd w:id="14"/>
      <w:r>
        <w:rPr>
          <w:rFonts w:ascii="Palatino Linotype" w:eastAsia="Palatino Linotype" w:hAnsi="Palatino Linotype" w:cs="Palatino Linotype"/>
          <w:b/>
          <w:color w:val="000000"/>
          <w:sz w:val="22"/>
          <w:szCs w:val="22"/>
        </w:rPr>
        <w:t>CUARTO. Marco normativo aplicable en materia de transparencia y acceso a la información pública</w:t>
      </w:r>
    </w:p>
    <w:p w:rsidR="004C5177" w:rsidRDefault="004C5177">
      <w:pPr>
        <w:spacing w:after="0" w:line="360" w:lineRule="auto"/>
        <w:rPr>
          <w:color w:val="FF0000"/>
        </w:rPr>
      </w:pPr>
    </w:p>
    <w:p w:rsidR="004C5177" w:rsidRDefault="00FB0719">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4C5177" w:rsidRDefault="004C5177">
      <w:pPr>
        <w:spacing w:after="0" w:line="360" w:lineRule="auto"/>
        <w:rPr>
          <w:color w:val="000000"/>
        </w:rPr>
      </w:pPr>
    </w:p>
    <w:p w:rsidR="004C5177" w:rsidRDefault="00FB0719">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4C5177" w:rsidRDefault="004C5177">
      <w:pPr>
        <w:spacing w:after="0" w:line="360" w:lineRule="auto"/>
        <w:rPr>
          <w:color w:val="000000"/>
        </w:rPr>
      </w:pPr>
    </w:p>
    <w:p w:rsidR="004C5177" w:rsidRDefault="00FB0719">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4C5177" w:rsidRDefault="004C5177">
      <w:pPr>
        <w:spacing w:after="0" w:line="360" w:lineRule="auto"/>
        <w:rPr>
          <w:color w:val="000000"/>
        </w:rPr>
      </w:pPr>
    </w:p>
    <w:p w:rsidR="004C5177" w:rsidRDefault="00FB0719">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4C5177" w:rsidRDefault="004C5177">
      <w:pPr>
        <w:spacing w:after="0" w:line="360" w:lineRule="auto"/>
        <w:rPr>
          <w:color w:val="000000"/>
        </w:rPr>
      </w:pPr>
    </w:p>
    <w:p w:rsidR="004C5177" w:rsidRDefault="00FB0719">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4C5177" w:rsidRDefault="004C5177">
      <w:pPr>
        <w:spacing w:after="0" w:line="360" w:lineRule="auto"/>
        <w:rPr>
          <w:color w:val="000000"/>
        </w:rPr>
      </w:pPr>
    </w:p>
    <w:p w:rsidR="004C5177" w:rsidRDefault="00FB0719">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4C5177" w:rsidRDefault="004C5177">
      <w:pPr>
        <w:spacing w:after="0" w:line="360" w:lineRule="auto"/>
        <w:rPr>
          <w:color w:val="FF0000"/>
        </w:rPr>
      </w:pPr>
    </w:p>
    <w:p w:rsidR="004C5177" w:rsidRDefault="00FB0719">
      <w:pPr>
        <w:pStyle w:val="Ttulo2"/>
        <w:spacing w:before="0" w:line="360" w:lineRule="auto"/>
        <w:rPr>
          <w:rFonts w:ascii="Palatino Linotype" w:eastAsia="Palatino Linotype" w:hAnsi="Palatino Linotype" w:cs="Palatino Linotype"/>
          <w:b/>
          <w:color w:val="000000"/>
          <w:sz w:val="22"/>
          <w:szCs w:val="22"/>
        </w:rPr>
      </w:pPr>
      <w:bookmarkStart w:id="15" w:name="_heading=h.gf8195odfb7w" w:colFirst="0" w:colLast="0"/>
      <w:bookmarkEnd w:id="15"/>
      <w:r>
        <w:rPr>
          <w:rFonts w:ascii="Palatino Linotype" w:eastAsia="Palatino Linotype" w:hAnsi="Palatino Linotype" w:cs="Palatino Linotype"/>
          <w:b/>
          <w:color w:val="000000"/>
          <w:sz w:val="22"/>
          <w:szCs w:val="22"/>
        </w:rPr>
        <w:t>QUINTO. Estudio de Fondo</w:t>
      </w:r>
    </w:p>
    <w:p w:rsidR="004C5177" w:rsidRDefault="004C5177">
      <w:pPr>
        <w:spacing w:after="0" w:line="360" w:lineRule="auto"/>
        <w:rPr>
          <w:b/>
          <w:color w:val="000000"/>
        </w:rPr>
      </w:pPr>
    </w:p>
    <w:p w:rsidR="004C5177" w:rsidRDefault="00FB0719">
      <w:pPr>
        <w:spacing w:after="0" w:line="360" w:lineRule="auto"/>
        <w:rPr>
          <w:color w:val="000000"/>
        </w:rPr>
      </w:pPr>
      <w:r>
        <w:rPr>
          <w:color w:val="000000"/>
        </w:rPr>
        <w:t xml:space="preserve">Expuestas las posturas de las partes, se procede al análisis del agravio hecho valer por la persona Recurrente, concerniente a la incompetencia manifestada por el Sujeto Obligado; para lo cual, en un principio es necesario aclarar que la pretensión del ahora Recurrente es obtener el Manual de Organización, reglas de operación y/o cualquier otro documento oficial, en el que se especifique qué es el SIPINNA (Sistema de Protección Integral de Niñas, Niños y Adolescentes), al veinte de mayo de dos mil veinticinco.  </w:t>
      </w:r>
    </w:p>
    <w:p w:rsidR="004C5177" w:rsidRDefault="004C5177">
      <w:pPr>
        <w:spacing w:after="0" w:line="360" w:lineRule="auto"/>
        <w:rPr>
          <w:color w:val="000000"/>
        </w:rPr>
      </w:pPr>
    </w:p>
    <w:p w:rsidR="004C5177" w:rsidRDefault="00FB0719">
      <w:pPr>
        <w:spacing w:after="0" w:line="360" w:lineRule="auto"/>
        <w:rPr>
          <w:color w:val="000000"/>
        </w:rPr>
      </w:pPr>
      <w:r>
        <w:rPr>
          <w:color w:val="000000"/>
        </w:rPr>
        <w:t xml:space="preserve">En ese contexto, en respuesta el Sujeto Obligado precisó que era incompetente para conocer </w:t>
      </w:r>
    </w:p>
    <w:p w:rsidR="004C5177" w:rsidRDefault="00FB0719">
      <w:pPr>
        <w:spacing w:after="0" w:line="360" w:lineRule="auto"/>
        <w:rPr>
          <w:color w:val="000000"/>
        </w:rPr>
      </w:pPr>
      <w:r>
        <w:rPr>
          <w:color w:val="000000"/>
        </w:rPr>
        <w:t xml:space="preserve">de la solicitud de información, al señalar que no cuenta con la información solicitada y dirigió </w:t>
      </w:r>
    </w:p>
    <w:p w:rsidR="004C5177" w:rsidRDefault="00FB0719">
      <w:pPr>
        <w:spacing w:after="0" w:line="360" w:lineRule="auto"/>
        <w:rPr>
          <w:color w:val="000000"/>
        </w:rPr>
      </w:pPr>
      <w:r>
        <w:rPr>
          <w:color w:val="000000"/>
        </w:rPr>
        <w:t>a la persona Particular al Ayuntamiento de Tepotzotlán.</w:t>
      </w:r>
    </w:p>
    <w:p w:rsidR="004C5177" w:rsidRDefault="004C5177">
      <w:pPr>
        <w:spacing w:after="0" w:line="360" w:lineRule="auto"/>
        <w:rPr>
          <w:color w:val="000000"/>
        </w:rPr>
      </w:pPr>
    </w:p>
    <w:p w:rsidR="004C5177" w:rsidRDefault="00FB0719">
      <w:pPr>
        <w:spacing w:after="0" w:line="360" w:lineRule="auto"/>
        <w:rPr>
          <w:b/>
        </w:rPr>
      </w:pPr>
      <w:r>
        <w:t xml:space="preserve">Al respecto, los artículos 49, fracción II, 53, fracción III y 167 de la Ley de Transparencia y Acceso a la Información Pública del Estado de México y Municipios, se desprende que las </w:t>
      </w:r>
      <w:r>
        <w:lastRenderedPageBreak/>
        <w:t xml:space="preserve">Unidades de Transparencia son responsables de orientar a los particulares respecto de la dependencia, entidad u órgano que pudiera tener la información requerida, </w:t>
      </w:r>
      <w:r>
        <w:rPr>
          <w:b/>
        </w:rPr>
        <w:t>cuando la misma no sea competencia del sujeto obligado ante el cual se formule la solicitud de acceso.</w:t>
      </w:r>
    </w:p>
    <w:p w:rsidR="004C5177" w:rsidRDefault="004C5177">
      <w:pPr>
        <w:spacing w:after="0" w:line="360" w:lineRule="auto"/>
        <w:rPr>
          <w:b/>
        </w:rPr>
      </w:pPr>
    </w:p>
    <w:p w:rsidR="004C5177" w:rsidRDefault="00FB0719">
      <w:pPr>
        <w:spacing w:after="0" w:line="360" w:lineRule="auto"/>
      </w:pPr>
      <w:r>
        <w:t xml:space="preserve">Asimismo, que los Comités de Transparencia tienen entre sus atribuciones confirmar, modificar o revocar la </w:t>
      </w:r>
      <w:r>
        <w:rPr>
          <w:b/>
        </w:rPr>
        <w:t>declaración de incompetencia</w:t>
      </w:r>
      <w:r>
        <w:t xml:space="preserve"> que realicen los titulares de las unidades administrativas.</w:t>
      </w:r>
    </w:p>
    <w:p w:rsidR="004C5177" w:rsidRDefault="004C5177">
      <w:pPr>
        <w:spacing w:after="0" w:line="360" w:lineRule="auto"/>
      </w:pPr>
    </w:p>
    <w:p w:rsidR="004C5177" w:rsidRDefault="00FB0719">
      <w:pPr>
        <w:spacing w:after="0" w:line="360" w:lineRule="auto"/>
      </w:pPr>
      <w:r>
        <w:t xml:space="preserve">En esa tesitura, cuando las Unidades de Transparencia determinen </w:t>
      </w:r>
      <w:r>
        <w:rPr>
          <w:b/>
        </w:rPr>
        <w:t>la notoria incompetencia</w:t>
      </w:r>
      <w:r>
        <w:t xml:space="preserve"> por parte de los sujetos obligados deberán comunicar al solicitante la misma </w:t>
      </w:r>
      <w:r>
        <w:rPr>
          <w:b/>
        </w:rPr>
        <w:t>dentro de los tres días posteriores a la recepción de la solicitud</w:t>
      </w:r>
      <w:r>
        <w:t>. Como se logra observar, si bien 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rsidR="004C5177" w:rsidRDefault="004C5177">
      <w:pPr>
        <w:spacing w:after="0" w:line="360" w:lineRule="auto"/>
      </w:pPr>
    </w:p>
    <w:p w:rsidR="004C5177" w:rsidRDefault="00FB0719">
      <w:pPr>
        <w:numPr>
          <w:ilvl w:val="0"/>
          <w:numId w:val="2"/>
        </w:numPr>
        <w:spacing w:after="0" w:line="360" w:lineRule="auto"/>
        <w:jc w:val="left"/>
      </w:pPr>
      <w:r>
        <w:rPr>
          <w:b/>
        </w:rPr>
        <w:t xml:space="preserve">Competencia: </w:t>
      </w:r>
      <w:r>
        <w:t>La capacidad de una autoridad para conocer sobre una materia o asunto.</w:t>
      </w:r>
    </w:p>
    <w:p w:rsidR="004C5177" w:rsidRDefault="004C5177">
      <w:pPr>
        <w:spacing w:after="0" w:line="360" w:lineRule="auto"/>
        <w:ind w:left="780"/>
        <w:jc w:val="left"/>
      </w:pPr>
    </w:p>
    <w:p w:rsidR="004C5177" w:rsidRDefault="00FB0719">
      <w:pPr>
        <w:numPr>
          <w:ilvl w:val="0"/>
          <w:numId w:val="2"/>
        </w:numPr>
        <w:spacing w:after="0" w:line="360" w:lineRule="auto"/>
        <w:jc w:val="left"/>
      </w:pPr>
      <w:r>
        <w:rPr>
          <w:b/>
        </w:rPr>
        <w:t>Incompetencia:</w:t>
      </w:r>
      <w:r>
        <w:t xml:space="preserve"> Falta de Competencia.</w:t>
      </w:r>
    </w:p>
    <w:p w:rsidR="004C5177" w:rsidRDefault="004C5177">
      <w:pPr>
        <w:spacing w:after="0" w:line="360" w:lineRule="auto"/>
      </w:pPr>
    </w:p>
    <w:p w:rsidR="004C5177" w:rsidRDefault="00FB0719">
      <w:pPr>
        <w:spacing w:after="0" w:line="360" w:lineRule="auto"/>
      </w:pPr>
      <w:r>
        <w:t xml:space="preserve">Por lo que, </w:t>
      </w:r>
      <w:r>
        <w:rPr>
          <w:b/>
        </w:rPr>
        <w:t>la incompetencia</w:t>
      </w:r>
      <w:r>
        <w:t xml:space="preserve">, radica en la incapacidad de una autoridad para conocer de un tema o asunto; en el mismo sentido, conviene traer a cuenta tesis aislada número III.2o.P.11 </w:t>
      </w:r>
      <w:r>
        <w:lastRenderedPageBreak/>
        <w:t xml:space="preserve">K, publicada en el Semanario Judicial de la Federación y su Gaceta, Novena Época, Tomo XV, Mayo de 2002, Pág. 1243, ya que precisa lo siguiente: </w:t>
      </w:r>
    </w:p>
    <w:p w:rsidR="004C5177" w:rsidRDefault="004C5177">
      <w:pPr>
        <w:spacing w:after="0" w:line="360" w:lineRule="auto"/>
      </w:pPr>
    </w:p>
    <w:p w:rsidR="004C5177" w:rsidRDefault="00FB0719">
      <w:pPr>
        <w:spacing w:after="0" w:line="360" w:lineRule="auto"/>
        <w:ind w:left="567" w:right="567"/>
        <w:rPr>
          <w:i/>
          <w:sz w:val="20"/>
          <w:szCs w:val="20"/>
        </w:rPr>
      </w:pPr>
      <w:r>
        <w:rPr>
          <w:b/>
          <w:i/>
          <w:sz w:val="20"/>
          <w:szCs w:val="20"/>
        </w:rPr>
        <w:t xml:space="preserve">“LEGITIMACIÓN DE FUNCIONARIOS PÚBLICOS. LOS TRIBUNALES DE AMPARO, POR ESTAR VINCULADOS CON EL CONCEPTO DE COMPETENCIA A QUE SE REFIERE EL ARTÍCULO 16 CONSTITUCIONAL, NO PUEDEN CONOCER DE AQUÉLLA. </w:t>
      </w:r>
      <w:r>
        <w:rPr>
          <w:i/>
          <w:sz w:val="20"/>
          <w:szCs w:val="20"/>
        </w:rPr>
        <w:t>El artículo </w:t>
      </w:r>
      <w:hyperlink r:id="rId8">
        <w:r>
          <w:rPr>
            <w:i/>
            <w:color w:val="0563C1"/>
            <w:sz w:val="20"/>
            <w:szCs w:val="20"/>
            <w:u w:val="single"/>
          </w:rPr>
          <w:t>16 constitucional</w:t>
        </w:r>
      </w:hyperlink>
      <w:r>
        <w:rPr>
          <w:i/>
          <w:sz w:val="20"/>
          <w:szCs w:val="20"/>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4C5177" w:rsidRDefault="004C5177">
      <w:pPr>
        <w:spacing w:after="0" w:line="360" w:lineRule="auto"/>
      </w:pPr>
    </w:p>
    <w:p w:rsidR="004C5177" w:rsidRDefault="00FB0719">
      <w:pPr>
        <w:spacing w:after="0" w:line="360" w:lineRule="auto"/>
      </w:pPr>
      <w:r>
        <w:t xml:space="preserve">De la misma manera, resulta necesario traer a colación, </w:t>
      </w:r>
      <w:r>
        <w:rPr>
          <w:color w:val="000000"/>
        </w:rPr>
        <w:t>Criterio de Interpretación, de la Segunda Época, con clave de control SO/013/2017</w:t>
      </w:r>
      <w:r>
        <w:t xml:space="preserve">, emitido por el Instituto Nacional de Transparencia, Acceso a la Información y Protección de Datos Personales, vigente a la fecha de la solicitud, que dispone lo siguiente: </w:t>
      </w:r>
    </w:p>
    <w:p w:rsidR="004C5177" w:rsidRDefault="004C5177">
      <w:pPr>
        <w:spacing w:after="0" w:line="360" w:lineRule="auto"/>
      </w:pPr>
    </w:p>
    <w:p w:rsidR="004C5177" w:rsidRDefault="00FB0719">
      <w:pPr>
        <w:spacing w:after="0" w:line="360" w:lineRule="auto"/>
        <w:ind w:left="567" w:right="567"/>
        <w:rPr>
          <w:i/>
          <w:sz w:val="20"/>
          <w:szCs w:val="20"/>
        </w:rPr>
      </w:pPr>
      <w:r>
        <w:rPr>
          <w:i/>
          <w:sz w:val="20"/>
          <w:szCs w:val="20"/>
        </w:rPr>
        <w:t>“</w:t>
      </w:r>
      <w:r>
        <w:rPr>
          <w:b/>
          <w:i/>
          <w:sz w:val="20"/>
          <w:szCs w:val="20"/>
        </w:rPr>
        <w:t xml:space="preserve">Incompetencia. </w:t>
      </w:r>
      <w:r>
        <w:rPr>
          <w:i/>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4C5177" w:rsidRDefault="004C5177">
      <w:pPr>
        <w:spacing w:after="0" w:line="360" w:lineRule="auto"/>
      </w:pPr>
    </w:p>
    <w:p w:rsidR="004C5177" w:rsidRDefault="00FB0719">
      <w:pPr>
        <w:spacing w:after="0" w:line="360" w:lineRule="auto"/>
      </w:pPr>
      <w:r>
        <w:lastRenderedPageBreak/>
        <w:t xml:space="preserve">En tal virtud, la </w:t>
      </w:r>
      <w:r>
        <w:rPr>
          <w:b/>
        </w:rPr>
        <w:t xml:space="preserve">incompetencia </w:t>
      </w:r>
      <w:r>
        <w:t>implica que, de conformidad con las atribuciones conferidas al Sujeto Obligado, no habría razón por la cual éste deba contar con la información solicitada, en cuyo caso, tendría que orientar al particular para que acuda a la instancia competente.</w:t>
      </w:r>
    </w:p>
    <w:p w:rsidR="004C5177" w:rsidRDefault="004C5177">
      <w:pPr>
        <w:spacing w:after="0" w:line="360" w:lineRule="auto"/>
      </w:pPr>
    </w:p>
    <w:p w:rsidR="004C5177" w:rsidRDefault="00FB0719">
      <w:pPr>
        <w:spacing w:after="0" w:line="360" w:lineRule="auto"/>
      </w:pPr>
      <w: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4C5177" w:rsidRDefault="004C5177">
      <w:pPr>
        <w:spacing w:after="0" w:line="360" w:lineRule="auto"/>
      </w:pPr>
    </w:p>
    <w:p w:rsidR="004C5177" w:rsidRDefault="00FB0719">
      <w:pPr>
        <w:spacing w:after="0" w:line="360" w:lineRule="auto"/>
      </w:pPr>
      <w:r>
        <w:t>Por tanto, a continuación, se analiza si en la especie, el Ente Recurrido cuenta con atribuciones para conocer sobre la información requerida, por lo cual, es oportuno traer a colación el artículo 1</w:t>
      </w:r>
      <w:r>
        <w:rPr>
          <w:vertAlign w:val="superscript"/>
        </w:rPr>
        <w:t>o</w:t>
      </w:r>
      <w:r>
        <w:t xml:space="preserve"> de la Ley General de los Derechos de Niñas, Niños y Adolescentes, que tiene por objeto crear y regular la integración, organización, y funcionamiento del Sistema Nacional de Protección Integral de los Derechos de Niñas, Niños y Adolescentes, a efecto de que el Estado cumpla con la responsabilidad de garantizar la protección, prevención y restitución integrales de los derechos de niñas, niños y adolescentes que hayan sido vulnerados. </w:t>
      </w:r>
    </w:p>
    <w:p w:rsidR="004C5177" w:rsidRDefault="004C5177">
      <w:pPr>
        <w:spacing w:after="0" w:line="360" w:lineRule="auto"/>
      </w:pPr>
    </w:p>
    <w:p w:rsidR="004C5177" w:rsidRDefault="00FB0719">
      <w:pPr>
        <w:spacing w:after="0" w:line="360" w:lineRule="auto"/>
      </w:pPr>
      <w:r>
        <w:t xml:space="preserve">Al respecto, los artículos 125, fracción IX y 136 de la Ley General referida, precisan que, para asegurar la adecuada protección, el Sistema Nacional de Protección Integral deberá asegurar la colaboración y coordinación entre la federación, las entidades federativas, los </w:t>
      </w:r>
      <w:r>
        <w:rPr>
          <w:b/>
        </w:rPr>
        <w:t>municipios</w:t>
      </w:r>
      <w:r>
        <w:t xml:space="preserve"> y las demarcaciones territoriales de la Ciudad de México, y para tal efecto, en cada entidad federativa se creará e instalará un </w:t>
      </w:r>
      <w:r>
        <w:rPr>
          <w:b/>
        </w:rPr>
        <w:t>Sistema Local de Protección</w:t>
      </w:r>
      <w:r>
        <w:t xml:space="preserve"> de los derechos de las niñas, niños y adolescentes, conformado por las dependencias y entidades de las administraciones locales vinculadas con la protección de estos derechos, mismos que se articularán con el Sistema Nacional de Protección Integral a través de sus respectivas Secretarías Ejecutivas. </w:t>
      </w:r>
    </w:p>
    <w:p w:rsidR="004C5177" w:rsidRDefault="004C5177">
      <w:pPr>
        <w:spacing w:after="0" w:line="360" w:lineRule="auto"/>
      </w:pPr>
    </w:p>
    <w:p w:rsidR="004C5177" w:rsidRDefault="00FB0719">
      <w:pPr>
        <w:spacing w:after="0" w:line="360" w:lineRule="auto"/>
      </w:pPr>
      <w:r>
        <w:lastRenderedPageBreak/>
        <w:t xml:space="preserve">Sobre lo anterior, el artículo 102 de la Ley de los Derechos de Niñas, Niños y Adolescentes del Estado de México, precisa que en cada municipio se creará un Sistema Municipal de Protección y vigilancia de los Derechos de las Niñas, Niños y Adolescentes que se coordinará con el Sistema Estatal, y estarán integrados de la siguiente manera: </w:t>
      </w:r>
    </w:p>
    <w:p w:rsidR="004C5177" w:rsidRDefault="004C5177">
      <w:pPr>
        <w:spacing w:after="0" w:line="360" w:lineRule="auto"/>
      </w:pPr>
    </w:p>
    <w:p w:rsidR="004C5177" w:rsidRDefault="00FB0719">
      <w:pPr>
        <w:numPr>
          <w:ilvl w:val="0"/>
          <w:numId w:val="3"/>
        </w:numPr>
        <w:pBdr>
          <w:top w:val="nil"/>
          <w:left w:val="nil"/>
          <w:bottom w:val="nil"/>
          <w:right w:val="nil"/>
          <w:between w:val="nil"/>
        </w:pBdr>
        <w:spacing w:after="0" w:line="360" w:lineRule="auto"/>
        <w:rPr>
          <w:color w:val="000000"/>
        </w:rPr>
      </w:pPr>
      <w:r>
        <w:rPr>
          <w:color w:val="000000"/>
        </w:rPr>
        <w:t xml:space="preserve">El Presidente Municipal, quien lo presidirá; </w:t>
      </w:r>
    </w:p>
    <w:p w:rsidR="004C5177" w:rsidRDefault="00FB0719">
      <w:pPr>
        <w:numPr>
          <w:ilvl w:val="0"/>
          <w:numId w:val="3"/>
        </w:numPr>
        <w:pBdr>
          <w:top w:val="nil"/>
          <w:left w:val="nil"/>
          <w:bottom w:val="nil"/>
          <w:right w:val="nil"/>
          <w:between w:val="nil"/>
        </w:pBdr>
        <w:spacing w:after="0" w:line="360" w:lineRule="auto"/>
        <w:rPr>
          <w:color w:val="000000"/>
        </w:rPr>
      </w:pPr>
      <w:r>
        <w:rPr>
          <w:color w:val="000000"/>
        </w:rPr>
        <w:t xml:space="preserve">El Secretario del Ayuntamiento, quien será el Secretario Ejecutivo; </w:t>
      </w:r>
    </w:p>
    <w:p w:rsidR="004C5177" w:rsidRDefault="00FB0719">
      <w:pPr>
        <w:numPr>
          <w:ilvl w:val="0"/>
          <w:numId w:val="3"/>
        </w:numPr>
        <w:pBdr>
          <w:top w:val="nil"/>
          <w:left w:val="nil"/>
          <w:bottom w:val="nil"/>
          <w:right w:val="nil"/>
          <w:between w:val="nil"/>
        </w:pBdr>
        <w:spacing w:after="0" w:line="360" w:lineRule="auto"/>
        <w:rPr>
          <w:color w:val="000000"/>
        </w:rPr>
      </w:pPr>
      <w:r>
        <w:rPr>
          <w:color w:val="000000"/>
        </w:rPr>
        <w:t xml:space="preserve">Los titulares de área, vinculadas en materia de Derechos de las niñas, Niños y Adolescentes; </w:t>
      </w:r>
    </w:p>
    <w:p w:rsidR="004C5177" w:rsidRDefault="00FB0719">
      <w:pPr>
        <w:numPr>
          <w:ilvl w:val="0"/>
          <w:numId w:val="3"/>
        </w:numPr>
        <w:pBdr>
          <w:top w:val="nil"/>
          <w:left w:val="nil"/>
          <w:bottom w:val="nil"/>
          <w:right w:val="nil"/>
          <w:between w:val="nil"/>
        </w:pBdr>
        <w:spacing w:after="0" w:line="360" w:lineRule="auto"/>
        <w:rPr>
          <w:color w:val="000000"/>
        </w:rPr>
      </w:pPr>
      <w:r>
        <w:rPr>
          <w:color w:val="000000"/>
        </w:rPr>
        <w:t xml:space="preserve">Defensor Municipal de Derechos Humanos; </w:t>
      </w:r>
    </w:p>
    <w:p w:rsidR="004C5177" w:rsidRDefault="00FB0719">
      <w:pPr>
        <w:numPr>
          <w:ilvl w:val="0"/>
          <w:numId w:val="3"/>
        </w:numPr>
        <w:pBdr>
          <w:top w:val="nil"/>
          <w:left w:val="nil"/>
          <w:bottom w:val="nil"/>
          <w:right w:val="nil"/>
          <w:between w:val="nil"/>
        </w:pBdr>
        <w:spacing w:after="0" w:line="360" w:lineRule="auto"/>
        <w:rPr>
          <w:b/>
          <w:color w:val="000000"/>
        </w:rPr>
      </w:pPr>
      <w:r>
        <w:rPr>
          <w:b/>
          <w:color w:val="000000"/>
        </w:rPr>
        <w:t>Presidenta del Sistema Municipal para el Desarrollo Integral de la Familia;</w:t>
      </w:r>
    </w:p>
    <w:p w:rsidR="004C5177" w:rsidRDefault="00FB0719">
      <w:pPr>
        <w:numPr>
          <w:ilvl w:val="0"/>
          <w:numId w:val="3"/>
        </w:numPr>
        <w:pBdr>
          <w:top w:val="nil"/>
          <w:left w:val="nil"/>
          <w:bottom w:val="nil"/>
          <w:right w:val="nil"/>
          <w:between w:val="nil"/>
        </w:pBdr>
        <w:spacing w:after="0" w:line="360" w:lineRule="auto"/>
        <w:rPr>
          <w:color w:val="000000"/>
        </w:rPr>
      </w:pPr>
      <w:r>
        <w:rPr>
          <w:color w:val="000000"/>
        </w:rPr>
        <w:t xml:space="preserve">Podrán ser invitados: </w:t>
      </w:r>
    </w:p>
    <w:p w:rsidR="004C5177" w:rsidRDefault="00FB0719">
      <w:pPr>
        <w:numPr>
          <w:ilvl w:val="0"/>
          <w:numId w:val="4"/>
        </w:numPr>
        <w:pBdr>
          <w:top w:val="nil"/>
          <w:left w:val="nil"/>
          <w:bottom w:val="nil"/>
          <w:right w:val="nil"/>
          <w:between w:val="nil"/>
        </w:pBdr>
        <w:spacing w:after="0" w:line="360" w:lineRule="auto"/>
        <w:ind w:left="1134"/>
        <w:rPr>
          <w:color w:val="000000"/>
        </w:rPr>
      </w:pPr>
      <w:r>
        <w:rPr>
          <w:color w:val="000000"/>
        </w:rPr>
        <w:t>Las organizaciones de la sociedad civil;</w:t>
      </w:r>
    </w:p>
    <w:p w:rsidR="004C5177" w:rsidRDefault="00FB0719">
      <w:pPr>
        <w:numPr>
          <w:ilvl w:val="0"/>
          <w:numId w:val="4"/>
        </w:numPr>
        <w:pBdr>
          <w:top w:val="nil"/>
          <w:left w:val="nil"/>
          <w:bottom w:val="nil"/>
          <w:right w:val="nil"/>
          <w:between w:val="nil"/>
        </w:pBdr>
        <w:spacing w:after="0" w:line="360" w:lineRule="auto"/>
        <w:ind w:left="1134"/>
        <w:rPr>
          <w:color w:val="000000"/>
        </w:rPr>
      </w:pPr>
      <w:r>
        <w:rPr>
          <w:color w:val="000000"/>
        </w:rPr>
        <w:t xml:space="preserve">Las niñas, niños, y adolescentes integrantes, de la Red Municipal de Difusores de los Derechos de las Niñas, Niños y Adolescentes </w:t>
      </w:r>
    </w:p>
    <w:p w:rsidR="004C5177" w:rsidRDefault="004C5177">
      <w:pPr>
        <w:spacing w:after="0" w:line="360" w:lineRule="auto"/>
      </w:pPr>
    </w:p>
    <w:p w:rsidR="004C5177" w:rsidRDefault="00FB0719">
      <w:pPr>
        <w:spacing w:after="0" w:line="360" w:lineRule="auto"/>
      </w:pPr>
      <w:r>
        <w:t xml:space="preserve">Además, el artículo 7 del Manual de Organización y Operación del Sistema Nacional de Protección Integral de Niñas, Niños y Adolescentes, establece que una de las obligaciones de los Sistemas Locales, deberán </w:t>
      </w:r>
      <w:r>
        <w:rPr>
          <w:b/>
        </w:rPr>
        <w:t>difundir en formatos accesibles</w:t>
      </w:r>
      <w:r>
        <w:t xml:space="preserve">, el </w:t>
      </w:r>
      <w:r>
        <w:rPr>
          <w:b/>
        </w:rPr>
        <w:t>marco jurídico local , nacional e internacional y protocolos específicos de protección en materia de protección de sus derechos</w:t>
      </w:r>
      <w:r>
        <w:t xml:space="preserve">, los derechos de niños, niñas y adolescentes y las formas  de protección, los mecanismos de consulta y participación con niñas, niños y adolescentes, y los mecanismos de participación con los sectores público, social y privado. </w:t>
      </w:r>
    </w:p>
    <w:p w:rsidR="004C5177" w:rsidRDefault="004C5177">
      <w:pPr>
        <w:spacing w:after="0" w:line="360" w:lineRule="auto"/>
      </w:pPr>
    </w:p>
    <w:p w:rsidR="004C5177" w:rsidRDefault="00FB0719">
      <w:pPr>
        <w:spacing w:after="0" w:line="360" w:lineRule="auto"/>
        <w:rPr>
          <w:color w:val="000000"/>
        </w:rPr>
      </w:pPr>
      <w:r>
        <w:rPr>
          <w:color w:val="000000"/>
        </w:rPr>
        <w:lastRenderedPageBreak/>
        <w:t xml:space="preserve">Lo anterior toma relevancia, pues este Instituto localizó  una nota informativa en la red social Facebook (consultado en la liga electrónica </w:t>
      </w:r>
      <w:hyperlink r:id="rId9">
        <w:r>
          <w:rPr>
            <w:color w:val="0563C1"/>
            <w:u w:val="single"/>
          </w:rPr>
          <w:t>https://www.facebook.com/SemanarioElCoralillo/posts/tepotzotl%C3%A1n-fortalece-los-derechos-de-la-ni%C3%B1ez-con-la-creaci%C3%B3n-del-sipinna-munic/1034614335366839/</w:t>
        </w:r>
      </w:hyperlink>
      <w:r>
        <w:rPr>
          <w:color w:val="0563C1"/>
          <w:u w:val="single"/>
        </w:rPr>
        <w:t>)</w:t>
      </w:r>
      <w:r>
        <w:rPr>
          <w:color w:val="000000"/>
        </w:rPr>
        <w:t xml:space="preserve">, en el que se logró vislumbrar la estructura del SIPINNA de Tepotzotlán, tal como se muestra a continuación:  </w:t>
      </w:r>
    </w:p>
    <w:p w:rsidR="004C5177" w:rsidRDefault="004C5177">
      <w:pPr>
        <w:spacing w:after="0" w:line="360" w:lineRule="auto"/>
        <w:jc w:val="center"/>
        <w:rPr>
          <w:color w:val="000000"/>
        </w:rPr>
      </w:pPr>
    </w:p>
    <w:p w:rsidR="004C5177" w:rsidRDefault="00FB0719">
      <w:pPr>
        <w:spacing w:after="0" w:line="360" w:lineRule="auto"/>
        <w:jc w:val="center"/>
        <w:rPr>
          <w:color w:val="000000"/>
        </w:rPr>
      </w:pPr>
      <w:r>
        <w:rPr>
          <w:noProof/>
          <w:color w:val="000000"/>
        </w:rPr>
        <w:drawing>
          <wp:inline distT="0" distB="0" distL="0" distR="0">
            <wp:extent cx="3647658" cy="3372681"/>
            <wp:effectExtent l="0" t="0" r="0" b="0"/>
            <wp:docPr id="1537776304" name="image3.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Texto&#10;&#10;El contenido generado por IA puede ser incorrecto."/>
                    <pic:cNvPicPr preferRelativeResize="0"/>
                  </pic:nvPicPr>
                  <pic:blipFill>
                    <a:blip r:embed="rId10"/>
                    <a:srcRect t="1797"/>
                    <a:stretch>
                      <a:fillRect/>
                    </a:stretch>
                  </pic:blipFill>
                  <pic:spPr>
                    <a:xfrm>
                      <a:off x="0" y="0"/>
                      <a:ext cx="3647658" cy="3372681"/>
                    </a:xfrm>
                    <a:prstGeom prst="rect">
                      <a:avLst/>
                    </a:prstGeom>
                    <a:ln/>
                  </pic:spPr>
                </pic:pic>
              </a:graphicData>
            </a:graphic>
          </wp:inline>
        </w:drawing>
      </w:r>
    </w:p>
    <w:p w:rsidR="004C5177" w:rsidRDefault="004C5177">
      <w:pPr>
        <w:spacing w:after="0" w:line="360" w:lineRule="auto"/>
        <w:rPr>
          <w:rFonts w:ascii="Times New Roman" w:eastAsia="Times New Roman" w:hAnsi="Times New Roman" w:cs="Times New Roman"/>
          <w:color w:val="000000"/>
        </w:rPr>
      </w:pPr>
    </w:p>
    <w:p w:rsidR="004C5177" w:rsidRDefault="00FB0719">
      <w:pPr>
        <w:spacing w:after="0" w:line="360" w:lineRule="auto"/>
      </w:pPr>
      <w:r>
        <w:t xml:space="preserve">Asimismo, se localizó el Acta de la Novena Sesión Extraordinaria de Cabildo, del Ayuntamiento de Tepotzotlán celebrada el catorce de marzo de dos mil veinticinco, en los que se logró vislumbrar a la Presidenta Honorífica del Sistema Municipal DIF Tepotzotlán y la Procuradora Municipal de Protección de Niñas Niños y Adolescentes del sistema </w:t>
      </w:r>
      <w:r>
        <w:lastRenderedPageBreak/>
        <w:t xml:space="preserve">Municipal DIF de Tepotzotlán, como integrantes del SIPINNA Municipal, tal como se muestra a continuación: </w:t>
      </w:r>
    </w:p>
    <w:p w:rsidR="004C5177" w:rsidRDefault="004C5177">
      <w:pPr>
        <w:spacing w:after="0" w:line="360" w:lineRule="auto"/>
      </w:pPr>
    </w:p>
    <w:p w:rsidR="004C5177" w:rsidRDefault="00FB0719">
      <w:pPr>
        <w:spacing w:after="0" w:line="360" w:lineRule="auto"/>
        <w:jc w:val="center"/>
      </w:pPr>
      <w:r>
        <w:rPr>
          <w:noProof/>
        </w:rPr>
        <w:drawing>
          <wp:inline distT="0" distB="0" distL="0" distR="0">
            <wp:extent cx="3063505" cy="1615580"/>
            <wp:effectExtent l="0" t="0" r="0" b="0"/>
            <wp:docPr id="15377763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063505" cy="1615580"/>
                    </a:xfrm>
                    <a:prstGeom prst="rect">
                      <a:avLst/>
                    </a:prstGeom>
                    <a:ln/>
                  </pic:spPr>
                </pic:pic>
              </a:graphicData>
            </a:graphic>
          </wp:inline>
        </w:drawing>
      </w:r>
    </w:p>
    <w:p w:rsidR="004C5177" w:rsidRDefault="00FB0719">
      <w:pPr>
        <w:spacing w:after="0" w:line="360" w:lineRule="auto"/>
        <w:jc w:val="center"/>
      </w:pPr>
      <w:r>
        <w:t>…</w:t>
      </w:r>
    </w:p>
    <w:p w:rsidR="004C5177" w:rsidRDefault="00FB0719">
      <w:pPr>
        <w:spacing w:after="0" w:line="360" w:lineRule="auto"/>
        <w:jc w:val="center"/>
      </w:pPr>
      <w:r>
        <w:rPr>
          <w:noProof/>
        </w:rPr>
        <w:drawing>
          <wp:inline distT="0" distB="0" distL="0" distR="0">
            <wp:extent cx="3080187" cy="1813761"/>
            <wp:effectExtent l="0" t="0" r="0" b="0"/>
            <wp:docPr id="1537776305" name="image2.png" descr="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Carta&#10;&#10;El contenido generado por IA puede ser incorrecto."/>
                    <pic:cNvPicPr preferRelativeResize="0"/>
                  </pic:nvPicPr>
                  <pic:blipFill>
                    <a:blip r:embed="rId12"/>
                    <a:srcRect/>
                    <a:stretch>
                      <a:fillRect/>
                    </a:stretch>
                  </pic:blipFill>
                  <pic:spPr>
                    <a:xfrm>
                      <a:off x="0" y="0"/>
                      <a:ext cx="3080187" cy="1813761"/>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1366838</wp:posOffset>
                </wp:positionH>
                <wp:positionV relativeFrom="paragraph">
                  <wp:posOffset>609283</wp:posOffset>
                </wp:positionV>
                <wp:extent cx="2992755" cy="622935"/>
                <wp:effectExtent l="0" t="0" r="0" b="0"/>
                <wp:wrapNone/>
                <wp:docPr id="1537776303" name="Rectángulo 1537776303"/>
                <wp:cNvGraphicFramePr/>
                <a:graphic xmlns:a="http://schemas.openxmlformats.org/drawingml/2006/main">
                  <a:graphicData uri="http://schemas.microsoft.com/office/word/2010/wordprocessingShape">
                    <wps:wsp>
                      <wps:cNvSpPr/>
                      <wps:spPr>
                        <a:xfrm>
                          <a:off x="3863910" y="3482820"/>
                          <a:ext cx="2964180" cy="594360"/>
                        </a:xfrm>
                        <a:prstGeom prst="rect">
                          <a:avLst/>
                        </a:prstGeom>
                        <a:noFill/>
                        <a:ln w="28575" cap="flat" cmpd="sng">
                          <a:solidFill>
                            <a:schemeClr val="dk1"/>
                          </a:solidFill>
                          <a:prstDash val="solid"/>
                          <a:miter lim="800000"/>
                          <a:headEnd type="none" w="sm" len="sm"/>
                          <a:tailEnd type="none" w="sm" len="sm"/>
                        </a:ln>
                      </wps:spPr>
                      <wps:txbx>
                        <w:txbxContent>
                          <w:p w:rsidR="004C5177" w:rsidRDefault="004C5177">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1366838</wp:posOffset>
                </wp:positionH>
                <wp:positionV relativeFrom="paragraph">
                  <wp:posOffset>609283</wp:posOffset>
                </wp:positionV>
                <wp:extent cx="2992755" cy="622935"/>
                <wp:effectExtent b="0" l="0" r="0" t="0"/>
                <wp:wrapNone/>
                <wp:docPr id="1537776303"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2992755" cy="622935"/>
                        </a:xfrm>
                        <a:prstGeom prst="rect"/>
                        <a:ln/>
                      </pic:spPr>
                    </pic:pic>
                  </a:graphicData>
                </a:graphic>
              </wp:anchor>
            </w:drawing>
          </mc:Fallback>
        </mc:AlternateContent>
      </w:r>
    </w:p>
    <w:p w:rsidR="004C5177" w:rsidRDefault="004C5177">
      <w:pPr>
        <w:spacing w:after="0" w:line="360" w:lineRule="auto"/>
        <w:jc w:val="center"/>
      </w:pPr>
    </w:p>
    <w:p w:rsidR="004C5177" w:rsidRDefault="00FB0719">
      <w:pPr>
        <w:spacing w:after="0" w:line="360" w:lineRule="auto"/>
      </w:pPr>
      <w:r>
        <w:t xml:space="preserve">Conforme a lo anterior, se logra vislumbrar que el Sistema Municipal para el Desarrollo Integral de la Familia de Tepotzotlán es competente para conocer sobre la información relacionada con el Manual de Organización, las reglas de operación y/o cualquier otro documento oficial del Sistema Municipal de Protección Integral de Niñas, Niños y Adolescentes (SIPINNA), por lo que, se considera que el Sujeto Obligado si cuenta con competencia para conocer de lo peticionado, lo cual da como resultado que el agravio sea </w:t>
      </w:r>
      <w:r>
        <w:rPr>
          <w:b/>
        </w:rPr>
        <w:t>FUNDADO.</w:t>
      </w:r>
    </w:p>
    <w:p w:rsidR="004C5177" w:rsidRDefault="00FB0719">
      <w:pPr>
        <w:spacing w:after="0" w:line="360" w:lineRule="auto"/>
        <w:rPr>
          <w:color w:val="000000"/>
        </w:rPr>
      </w:pPr>
      <w:r>
        <w:rPr>
          <w:color w:val="000000"/>
        </w:rPr>
        <w:lastRenderedPageBreak/>
        <w:t xml:space="preserve">Conforme a lo anterior, </w:t>
      </w:r>
      <w:r>
        <w:rPr>
          <w:b/>
          <w:color w:val="000000"/>
        </w:rPr>
        <w:t>Sistema Municipal Para el Desarrollo Integral de la Familia de Tepotzotlán</w:t>
      </w:r>
      <w:r>
        <w:rPr>
          <w:color w:val="000000"/>
        </w:rPr>
        <w:t xml:space="preserve"> deberá realizar una búsqueda exhaustiva y razonable, en todos los archivos de las unidades administrativas competentes, entre las cuales no podrá omitir a la Presidencia del Sistema Municipal DIF de Tepotzotlán y la Procuraduría Municipal de Protección de Niñas, Niños y Adolescentes del Sistema Municipal DIP de Tepotzotlán, a efecto de que proporcione la información previamente referida </w:t>
      </w:r>
    </w:p>
    <w:p w:rsidR="004C5177" w:rsidRDefault="004C5177">
      <w:pPr>
        <w:spacing w:after="0" w:line="360" w:lineRule="auto"/>
        <w:rPr>
          <w:color w:val="000000"/>
        </w:rPr>
      </w:pPr>
    </w:p>
    <w:p w:rsidR="004C5177" w:rsidRDefault="00FB0719">
      <w:pPr>
        <w:spacing w:after="0" w:line="360" w:lineRule="auto"/>
        <w:rPr>
          <w:color w:val="000000"/>
        </w:rPr>
      </w:pPr>
      <w:r>
        <w:rPr>
          <w:color w:val="0D0D0D"/>
        </w:rPr>
        <w:t>D</w:t>
      </w:r>
      <w:r>
        <w:t xml:space="preserve">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w:t>
      </w:r>
      <w:r>
        <w:rPr>
          <w:color w:val="000000"/>
        </w:rPr>
        <w:t>misma, ni presentarla conforme al interés del Solicitante.</w:t>
      </w:r>
    </w:p>
    <w:p w:rsidR="004C5177" w:rsidRDefault="004C5177">
      <w:pPr>
        <w:spacing w:after="0" w:line="360" w:lineRule="auto"/>
        <w:rPr>
          <w:color w:val="000000"/>
        </w:rPr>
      </w:pPr>
    </w:p>
    <w:p w:rsidR="004C5177" w:rsidRDefault="00FB0719">
      <w:pPr>
        <w:spacing w:after="0" w:line="360" w:lineRule="auto"/>
      </w:pPr>
      <w:r>
        <w:rPr>
          <w:color w:val="000000"/>
        </w:rPr>
        <w:t>De esta manera, el derecho de acceso a la información pública se satisface en aquellos casos en que se entregue el soporte documental en el que conste la información solicitada, sin necesidad</w:t>
      </w:r>
      <w:r>
        <w:t xml:space="preserve"> de elaborar documentos </w:t>
      </w:r>
      <w:r>
        <w:rPr>
          <w:i/>
        </w:rPr>
        <w:t>ad hoc</w:t>
      </w:r>
      <w: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004C5177" w:rsidRDefault="004C5177">
      <w:pPr>
        <w:spacing w:after="0" w:line="360" w:lineRule="auto"/>
        <w:rPr>
          <w:color w:val="000000"/>
        </w:rPr>
      </w:pPr>
    </w:p>
    <w:p w:rsidR="004C5177" w:rsidRDefault="00FB0719">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cual, en el presente caso, el Sujeto Obligado deberá entregar la información tal y como obre en sus archivos.</w:t>
      </w:r>
    </w:p>
    <w:p w:rsidR="004C5177" w:rsidRDefault="00FB0719">
      <w:pPr>
        <w:spacing w:after="0" w:line="360" w:lineRule="auto"/>
        <w:rPr>
          <w:color w:val="000000"/>
        </w:rPr>
      </w:pPr>
      <w:r>
        <w:rPr>
          <w:color w:val="000000"/>
        </w:rPr>
        <w:lastRenderedPageBreak/>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rsidR="004C5177" w:rsidRDefault="004C5177">
      <w:pPr>
        <w:spacing w:after="0" w:line="360" w:lineRule="auto"/>
        <w:rPr>
          <w:color w:val="000000"/>
        </w:rPr>
      </w:pPr>
    </w:p>
    <w:p w:rsidR="004C5177" w:rsidRDefault="00FB0719">
      <w:pPr>
        <w:spacing w:after="0" w:line="360" w:lineRule="auto"/>
        <w:rPr>
          <w:color w:val="000000"/>
        </w:rPr>
      </w:pPr>
      <w:r>
        <w:rPr>
          <w:color w:val="000000"/>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el Manual de Organización, reglas de operación y/o cualquier otro documento oficial, en el que se especifique qué es el SIPINNA (Sistema Municipal de Protección Integral de Niñas, Niños y Adolescentes), al veinte de mayo de dos mil veinticinco.  </w:t>
      </w:r>
    </w:p>
    <w:p w:rsidR="004C5177" w:rsidRDefault="004C5177">
      <w:pPr>
        <w:spacing w:after="0" w:line="360" w:lineRule="auto"/>
        <w:rPr>
          <w:color w:val="EE0000"/>
        </w:rPr>
      </w:pPr>
    </w:p>
    <w:p w:rsidR="004C5177" w:rsidRDefault="00FB0719">
      <w:pPr>
        <w:spacing w:after="0" w:line="360" w:lineRule="auto"/>
        <w:rPr>
          <w:color w:val="000000"/>
        </w:rPr>
      </w:pPr>
      <w:r>
        <w:rPr>
          <w:color w:val="000000"/>
        </w:rPr>
        <w:t xml:space="preserve">Finalmente, este Instituto no advierte que la información que da cuenta de lo solicitado contenga información susceptible de clasificarse, al tratarse del marco legal del SIPINNA, por lo que deberá hacer la entrega en versión íntegra. </w:t>
      </w:r>
    </w:p>
    <w:p w:rsidR="004C5177" w:rsidRDefault="004C5177">
      <w:pPr>
        <w:spacing w:after="0" w:line="360" w:lineRule="auto"/>
        <w:rPr>
          <w:color w:val="EE0000"/>
        </w:rPr>
      </w:pPr>
    </w:p>
    <w:p w:rsidR="004C5177" w:rsidRDefault="00506CAC">
      <w:pPr>
        <w:pStyle w:val="Ttulo2"/>
        <w:spacing w:before="0" w:line="360" w:lineRule="auto"/>
        <w:rPr>
          <w:rFonts w:ascii="Palatino Linotype" w:eastAsia="Palatino Linotype" w:hAnsi="Palatino Linotype" w:cs="Palatino Linotype"/>
          <w:b/>
          <w:color w:val="000000"/>
          <w:sz w:val="22"/>
          <w:szCs w:val="22"/>
        </w:rPr>
      </w:pPr>
      <w:bookmarkStart w:id="16" w:name="_heading=h.i9jy57jhzjlb" w:colFirst="0" w:colLast="0"/>
      <w:bookmarkEnd w:id="16"/>
      <w:r>
        <w:rPr>
          <w:rFonts w:ascii="Palatino Linotype" w:eastAsia="Palatino Linotype" w:hAnsi="Palatino Linotype" w:cs="Palatino Linotype"/>
          <w:b/>
          <w:color w:val="000000"/>
          <w:sz w:val="22"/>
          <w:szCs w:val="22"/>
        </w:rPr>
        <w:t>SEXTO. Decisión</w:t>
      </w:r>
    </w:p>
    <w:p w:rsidR="004C5177" w:rsidRDefault="004C5177">
      <w:pPr>
        <w:spacing w:after="0" w:line="360" w:lineRule="auto"/>
        <w:rPr>
          <w:b/>
          <w:color w:val="000000"/>
        </w:rPr>
      </w:pPr>
    </w:p>
    <w:p w:rsidR="004C5177" w:rsidRDefault="00FB0719">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REVOCAR</w:t>
      </w:r>
      <w:r>
        <w:t xml:space="preserve"> la respuesta otorgada por el Sujeto Obligado a la solicitud de información 00055/DIFTEPOTZO/IP/2025, a efecto de que entregue, la información solicitada.</w:t>
      </w:r>
    </w:p>
    <w:p w:rsidR="004C5177" w:rsidRDefault="004C5177">
      <w:pPr>
        <w:spacing w:after="0" w:line="360" w:lineRule="auto"/>
        <w:rPr>
          <w:color w:val="000000"/>
        </w:rPr>
      </w:pPr>
    </w:p>
    <w:p w:rsidR="004C5177" w:rsidRDefault="00FB0719">
      <w:pPr>
        <w:spacing w:after="0" w:line="360" w:lineRule="auto"/>
        <w:rPr>
          <w:b/>
          <w:color w:val="000000"/>
        </w:rPr>
      </w:pPr>
      <w:r>
        <w:rPr>
          <w:b/>
          <w:color w:val="000000"/>
        </w:rPr>
        <w:t>Términos de la Resolución p</w:t>
      </w:r>
      <w:r w:rsidR="00506CAC">
        <w:rPr>
          <w:b/>
          <w:color w:val="000000"/>
        </w:rPr>
        <w:t>ara conocimiento del Particular</w:t>
      </w:r>
    </w:p>
    <w:p w:rsidR="004C5177" w:rsidRDefault="004C5177">
      <w:pPr>
        <w:spacing w:after="0" w:line="360" w:lineRule="auto"/>
        <w:rPr>
          <w:b/>
          <w:color w:val="000000"/>
        </w:rPr>
      </w:pPr>
    </w:p>
    <w:p w:rsidR="004C5177" w:rsidRDefault="00FB0719">
      <w:pPr>
        <w:spacing w:after="0" w:line="360" w:lineRule="auto"/>
      </w:pPr>
      <w:r>
        <w:t>Se le hace del conocimiento al Particular, que, en el presente caso, se le da la razón pues el Sujeto Obligado es competente para conocer sobre el requerimiento de información, por lo que deberá hacer entrega de la información. Finalmente, la labor del Instituto, es apoyar a la población a acceder a la información pública y garantizar la protección de sus datos personales.</w:t>
      </w:r>
    </w:p>
    <w:p w:rsidR="004C5177" w:rsidRDefault="004C5177">
      <w:pPr>
        <w:spacing w:after="0" w:line="360" w:lineRule="auto"/>
      </w:pPr>
    </w:p>
    <w:p w:rsidR="004C5177" w:rsidRDefault="00FB0719">
      <w:pPr>
        <w:spacing w:after="0" w:line="360" w:lineRule="auto"/>
        <w:rPr>
          <w:color w:val="000000"/>
        </w:rPr>
      </w:pPr>
      <w:r>
        <w:rPr>
          <w:color w:val="000000"/>
        </w:rPr>
        <w:t>Por lo expuesto y fundado, este Pleno:</w:t>
      </w:r>
    </w:p>
    <w:p w:rsidR="004C5177" w:rsidRDefault="004C5177">
      <w:pPr>
        <w:spacing w:after="0" w:line="360" w:lineRule="auto"/>
        <w:rPr>
          <w:color w:val="000000"/>
        </w:rPr>
      </w:pPr>
    </w:p>
    <w:p w:rsidR="004C5177" w:rsidRDefault="00506CAC">
      <w:pPr>
        <w:pStyle w:val="Ttulo1"/>
        <w:spacing w:before="0" w:line="360" w:lineRule="auto"/>
        <w:jc w:val="center"/>
        <w:rPr>
          <w:rFonts w:ascii="Palatino Linotype" w:eastAsia="Palatino Linotype" w:hAnsi="Palatino Linotype" w:cs="Palatino Linotype"/>
          <w:b/>
          <w:color w:val="000000"/>
          <w:sz w:val="22"/>
          <w:szCs w:val="22"/>
        </w:rPr>
      </w:pPr>
      <w:bookmarkStart w:id="17" w:name="_heading=h.e2c3iugzovt6" w:colFirst="0" w:colLast="0"/>
      <w:bookmarkEnd w:id="17"/>
      <w:r>
        <w:rPr>
          <w:rFonts w:ascii="Palatino Linotype" w:eastAsia="Palatino Linotype" w:hAnsi="Palatino Linotype" w:cs="Palatino Linotype"/>
          <w:b/>
          <w:color w:val="000000"/>
          <w:sz w:val="22"/>
          <w:szCs w:val="22"/>
        </w:rPr>
        <w:t>R E S U E L V E</w:t>
      </w:r>
    </w:p>
    <w:p w:rsidR="004C5177" w:rsidRDefault="004C5177">
      <w:pPr>
        <w:spacing w:after="0" w:line="360" w:lineRule="auto"/>
        <w:ind w:right="-91"/>
        <w:jc w:val="center"/>
        <w:rPr>
          <w:b/>
          <w:color w:val="000000"/>
        </w:rPr>
      </w:pPr>
    </w:p>
    <w:p w:rsidR="004C5177" w:rsidRDefault="00FB0719">
      <w:pPr>
        <w:spacing w:after="0" w:line="360" w:lineRule="auto"/>
      </w:pPr>
      <w:r>
        <w:rPr>
          <w:b/>
        </w:rPr>
        <w:t xml:space="preserve">PRIMERO. </w:t>
      </w:r>
      <w:r>
        <w:t xml:space="preserve">Se </w:t>
      </w:r>
      <w:r>
        <w:rPr>
          <w:b/>
        </w:rPr>
        <w:t xml:space="preserve">REVOCA </w:t>
      </w:r>
      <w:r>
        <w:t>la respuesta entregada por el Sistema Municipal Para el Desarrollo Integral de la Familia de Tepotzotlán, a la solicitud de información 00055/DIFTEPOTZO/IP/2025</w:t>
      </w:r>
      <w:r>
        <w:rPr>
          <w:color w:val="000000"/>
        </w:rPr>
        <w:t>,</w:t>
      </w:r>
      <w:r>
        <w:t xml:space="preserve"> por resultar </w:t>
      </w:r>
      <w:r>
        <w:rPr>
          <w:b/>
        </w:rPr>
        <w:t xml:space="preserve">FUNDADAS </w:t>
      </w:r>
      <w:r>
        <w:t>las razones o motivos de inconformidad hechos valer por la persona Recurrente, en términos de los considerandos QUINTO y SEXTO de la presente Resolución.</w:t>
      </w:r>
    </w:p>
    <w:p w:rsidR="004C5177" w:rsidRDefault="004C5177">
      <w:pPr>
        <w:spacing w:after="0" w:line="360" w:lineRule="auto"/>
      </w:pPr>
    </w:p>
    <w:p w:rsidR="004C5177" w:rsidRDefault="00FB0719">
      <w:pPr>
        <w:spacing w:after="0" w:line="360" w:lineRule="auto"/>
        <w:rPr>
          <w:color w:val="000000"/>
        </w:rPr>
      </w:pPr>
      <w:r>
        <w:rPr>
          <w:b/>
        </w:rPr>
        <w:t xml:space="preserve">SEGUNDO. </w:t>
      </w:r>
      <w:r>
        <w:t xml:space="preserve">Se </w:t>
      </w:r>
      <w:r>
        <w:rPr>
          <w:b/>
        </w:rPr>
        <w:t>ORDENA</w:t>
      </w:r>
      <w:r>
        <w:t xml:space="preserve"> al Sujeto Obligado</w:t>
      </w:r>
      <w:r>
        <w:rPr>
          <w:b/>
        </w:rPr>
        <w:t xml:space="preserve">, </w:t>
      </w:r>
      <w:r>
        <w:t>a efecto de que previa búsqueda exhaustiva y razonable en los archivos de las unidades administrativas competentes, entregue a través del Sistema de Acceso a la Información Mexiquense (SAIMEX), al veinte de mayo de dos mil veinticinco, lo siguiente:</w:t>
      </w:r>
    </w:p>
    <w:p w:rsidR="004C5177" w:rsidRDefault="004C5177">
      <w:pPr>
        <w:spacing w:after="0" w:line="360" w:lineRule="auto"/>
        <w:ind w:right="-30"/>
        <w:rPr>
          <w:color w:val="000000"/>
        </w:rPr>
      </w:pPr>
    </w:p>
    <w:p w:rsidR="004C5177" w:rsidRDefault="00FB0719">
      <w:pPr>
        <w:numPr>
          <w:ilvl w:val="0"/>
          <w:numId w:val="1"/>
        </w:numPr>
        <w:spacing w:after="0" w:line="360" w:lineRule="auto"/>
        <w:rPr>
          <w:color w:val="000000"/>
        </w:rPr>
      </w:pPr>
      <w:r>
        <w:rPr>
          <w:color w:val="000000"/>
        </w:rPr>
        <w:lastRenderedPageBreak/>
        <w:t>El Manual de Organización, reglas de operación o cualquier documento que establezca que es el Sistema Municipal de Protección Integral de Niñas, Niños y Adolescentes de Tepotzotlán (SIPINNA).</w:t>
      </w:r>
    </w:p>
    <w:p w:rsidR="004C5177" w:rsidRDefault="004C5177">
      <w:pPr>
        <w:spacing w:after="0" w:line="360" w:lineRule="auto"/>
      </w:pPr>
    </w:p>
    <w:p w:rsidR="004C5177" w:rsidRDefault="00FB0719">
      <w:pPr>
        <w:spacing w:after="0" w:line="360" w:lineRule="auto"/>
        <w:ind w:right="-28"/>
        <w:rPr>
          <w:b/>
        </w:rPr>
      </w:pPr>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4C5177" w:rsidRDefault="004C5177">
      <w:pPr>
        <w:spacing w:after="0" w:line="360" w:lineRule="auto"/>
        <w:ind w:right="-28"/>
        <w:rPr>
          <w:color w:val="000000"/>
        </w:rPr>
      </w:pPr>
    </w:p>
    <w:p w:rsidR="004C5177" w:rsidRDefault="00FB0719">
      <w:pPr>
        <w:spacing w:after="0" w:line="360" w:lineRule="auto"/>
        <w:rPr>
          <w:color w:val="000000"/>
        </w:rPr>
      </w:pPr>
      <w:r>
        <w:rPr>
          <w:color w:val="000000"/>
        </w:rPr>
        <w:t xml:space="preserve">De conformidad con el artículo 198 de la </w:t>
      </w:r>
      <w:r>
        <w:t>Ley de Transparencia y Acceso a la Información Pública del Estado de México y Municipios</w:t>
      </w:r>
      <w:r>
        <w:rPr>
          <w:color w:val="000000"/>
        </w:rPr>
        <w:t>, de considerarlo procedente, el Sujeto Obligado de manera fundada y motivada, podrá solicitar una ampliación de plazo para el cumplimiento de la presente resolución.</w:t>
      </w:r>
    </w:p>
    <w:p w:rsidR="004C5177" w:rsidRDefault="004C5177">
      <w:pPr>
        <w:spacing w:after="0" w:line="360" w:lineRule="auto"/>
        <w:rPr>
          <w:color w:val="000000"/>
        </w:rPr>
      </w:pPr>
    </w:p>
    <w:p w:rsidR="004C5177" w:rsidRDefault="00FB0719">
      <w:pPr>
        <w:spacing w:after="0" w:line="360" w:lineRule="auto"/>
        <w:rPr>
          <w:color w:val="000000"/>
        </w:rPr>
      </w:pPr>
      <w:r>
        <w:rPr>
          <w:b/>
          <w:color w:val="000000"/>
        </w:rPr>
        <w:t xml:space="preserve">CUARTO. </w:t>
      </w:r>
      <w:r>
        <w:rPr>
          <w:b/>
        </w:rPr>
        <w:t>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rsidR="004C5177" w:rsidRDefault="004C5177">
      <w:pPr>
        <w:spacing w:after="0" w:line="360" w:lineRule="auto"/>
      </w:pPr>
    </w:p>
    <w:p w:rsidR="004C5177" w:rsidRDefault="00FB0719">
      <w:pPr>
        <w:spacing w:after="0" w:line="360" w:lineRule="auto"/>
      </w:pPr>
      <w:r>
        <w:lastRenderedPageBreak/>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w:t>
      </w:r>
      <w:r w:rsidR="00506CAC">
        <w:t>(</w:t>
      </w:r>
      <w:bookmarkStart w:id="18" w:name="_GoBack"/>
      <w:bookmarkEnd w:id="18"/>
      <w:r>
        <w:t>AUSENCIA JUSTIFICADA</w:t>
      </w:r>
      <w:r w:rsidR="00506CAC">
        <w:t>)</w:t>
      </w:r>
      <w:r>
        <w:t>, MARÍA DEL ROSARIO MEJÍA AYALA, SHARON CRISTINA MORALES MARTÍNEZ, LUIS GUSTAVO PARRA NORIEGA Y GUADALUPE RAMÍREZ PEÑA, EN LA VIGÉSIMA NOVENA SESIÓN ORDINARIA, CELEBRADA EL VEINTE DE AGOSTO DE DOS MIL VEINTICINCO, ANTE EL SECRETARIO TÉCNICO DEL PLENO, ALEXIS TAPIA RAMÍREZ.</w:t>
      </w:r>
    </w:p>
    <w:p w:rsidR="004C5177" w:rsidRDefault="004C5177">
      <w:pPr>
        <w:spacing w:after="0" w:line="360" w:lineRule="auto"/>
        <w:rPr>
          <w:color w:val="FF0000"/>
        </w:rPr>
      </w:pPr>
    </w:p>
    <w:p w:rsidR="004C5177" w:rsidRDefault="004C5177">
      <w:pPr>
        <w:spacing w:after="0" w:line="360" w:lineRule="auto"/>
        <w:rPr>
          <w:color w:val="FF0000"/>
        </w:rPr>
      </w:pPr>
    </w:p>
    <w:p w:rsidR="004C5177" w:rsidRDefault="004C5177">
      <w:pPr>
        <w:spacing w:after="0" w:line="360" w:lineRule="auto"/>
        <w:rPr>
          <w:color w:val="FF0000"/>
        </w:rPr>
      </w:pPr>
    </w:p>
    <w:p w:rsidR="004C5177" w:rsidRDefault="004C5177">
      <w:pPr>
        <w:spacing w:after="0" w:line="360" w:lineRule="auto"/>
        <w:rPr>
          <w:color w:val="FF0000"/>
        </w:rPr>
      </w:pPr>
    </w:p>
    <w:p w:rsidR="004C5177" w:rsidRDefault="004C5177">
      <w:pPr>
        <w:spacing w:after="0" w:line="360" w:lineRule="auto"/>
        <w:rPr>
          <w:color w:val="FF0000"/>
        </w:rPr>
      </w:pPr>
    </w:p>
    <w:p w:rsidR="004C5177" w:rsidRDefault="004C5177">
      <w:pPr>
        <w:spacing w:after="0" w:line="360" w:lineRule="auto"/>
        <w:rPr>
          <w:color w:val="FF0000"/>
        </w:rPr>
      </w:pPr>
    </w:p>
    <w:p w:rsidR="004C5177" w:rsidRDefault="004C5177">
      <w:pPr>
        <w:spacing w:after="0" w:line="360" w:lineRule="auto"/>
        <w:rPr>
          <w:color w:val="FF0000"/>
        </w:rPr>
      </w:pPr>
    </w:p>
    <w:p w:rsidR="004C5177" w:rsidRDefault="004C5177">
      <w:pPr>
        <w:spacing w:after="0" w:line="360" w:lineRule="auto"/>
        <w:rPr>
          <w:color w:val="FF0000"/>
        </w:rPr>
      </w:pPr>
    </w:p>
    <w:p w:rsidR="004C5177" w:rsidRDefault="004C5177">
      <w:pPr>
        <w:spacing w:after="0" w:line="360" w:lineRule="auto"/>
        <w:rPr>
          <w:color w:val="FF0000"/>
        </w:rPr>
      </w:pPr>
    </w:p>
    <w:p w:rsidR="004C5177" w:rsidRDefault="004C5177">
      <w:pPr>
        <w:spacing w:after="0" w:line="360" w:lineRule="auto"/>
        <w:rPr>
          <w:color w:val="FF0000"/>
        </w:rPr>
      </w:pPr>
    </w:p>
    <w:p w:rsidR="004C5177" w:rsidRDefault="004C5177">
      <w:pPr>
        <w:spacing w:after="0" w:line="360" w:lineRule="auto"/>
        <w:rPr>
          <w:color w:val="FF0000"/>
        </w:rPr>
      </w:pPr>
    </w:p>
    <w:p w:rsidR="004C5177" w:rsidRDefault="004C5177">
      <w:pPr>
        <w:spacing w:after="0" w:line="360" w:lineRule="auto"/>
        <w:rPr>
          <w:color w:val="FF0000"/>
        </w:rPr>
      </w:pPr>
    </w:p>
    <w:p w:rsidR="00506CAC" w:rsidRDefault="00506CAC">
      <w:pPr>
        <w:spacing w:after="0" w:line="360" w:lineRule="auto"/>
        <w:rPr>
          <w:color w:val="FF0000"/>
        </w:rPr>
      </w:pPr>
    </w:p>
    <w:p w:rsidR="00506CAC" w:rsidRDefault="00506CAC">
      <w:pPr>
        <w:spacing w:after="0" w:line="360" w:lineRule="auto"/>
        <w:rPr>
          <w:color w:val="FF0000"/>
        </w:rPr>
      </w:pPr>
    </w:p>
    <w:p w:rsidR="00506CAC" w:rsidRDefault="00506CAC">
      <w:pPr>
        <w:spacing w:after="0" w:line="360" w:lineRule="auto"/>
        <w:rPr>
          <w:color w:val="FF0000"/>
        </w:rPr>
      </w:pPr>
    </w:p>
    <w:p w:rsidR="00506CAC" w:rsidRDefault="00506CAC">
      <w:pPr>
        <w:spacing w:after="0" w:line="360" w:lineRule="auto"/>
        <w:rPr>
          <w:color w:val="FF0000"/>
        </w:rPr>
      </w:pPr>
    </w:p>
    <w:p w:rsidR="00506CAC" w:rsidRDefault="00506CAC">
      <w:pPr>
        <w:spacing w:after="0" w:line="360" w:lineRule="auto"/>
        <w:rPr>
          <w:color w:val="FF0000"/>
        </w:rPr>
      </w:pPr>
    </w:p>
    <w:sectPr w:rsidR="00506CAC">
      <w:headerReference w:type="even" r:id="rId14"/>
      <w:headerReference w:type="default" r:id="rId15"/>
      <w:footerReference w:type="even" r:id="rId16"/>
      <w:footerReference w:type="default" r:id="rId17"/>
      <w:headerReference w:type="first" r:id="rId18"/>
      <w:footerReference w:type="first" r:id="rId19"/>
      <w:pgSz w:w="12240" w:h="15840"/>
      <w:pgMar w:top="2410"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773" w:rsidRDefault="00107773">
      <w:pPr>
        <w:spacing w:after="0" w:line="240" w:lineRule="auto"/>
      </w:pPr>
      <w:r>
        <w:separator/>
      </w:r>
    </w:p>
  </w:endnote>
  <w:endnote w:type="continuationSeparator" w:id="0">
    <w:p w:rsidR="00107773" w:rsidRDefault="00107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177" w:rsidRDefault="00FB07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21361A">
      <w:rPr>
        <w:b/>
        <w:color w:val="000000"/>
        <w:sz w:val="24"/>
        <w:szCs w:val="24"/>
      </w:rPr>
      <w:fldChar w:fldCharType="separate"/>
    </w:r>
    <w:r w:rsidR="0021361A">
      <w:rPr>
        <w:b/>
        <w:noProof/>
        <w:color w:val="000000"/>
        <w:sz w:val="24"/>
        <w:szCs w:val="24"/>
      </w:rPr>
      <w:t>24</w:t>
    </w:r>
    <w:r>
      <w:rPr>
        <w:b/>
        <w:color w:val="000000"/>
        <w:sz w:val="24"/>
        <w:szCs w:val="24"/>
      </w:rPr>
      <w:fldChar w:fldCharType="end"/>
    </w:r>
  </w:p>
  <w:p w:rsidR="004C5177" w:rsidRDefault="004C517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177" w:rsidRDefault="00FB07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1361A">
      <w:rPr>
        <w:b/>
        <w:noProof/>
        <w:color w:val="000000"/>
        <w:sz w:val="24"/>
        <w:szCs w:val="24"/>
      </w:rPr>
      <w:t>24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1361A">
      <w:rPr>
        <w:b/>
        <w:noProof/>
        <w:color w:val="000000"/>
        <w:sz w:val="24"/>
        <w:szCs w:val="24"/>
      </w:rPr>
      <w:t>24</w:t>
    </w:r>
    <w:r>
      <w:rPr>
        <w:b/>
        <w:color w:val="000000"/>
        <w:sz w:val="24"/>
        <w:szCs w:val="24"/>
      </w:rPr>
      <w:fldChar w:fldCharType="end"/>
    </w:r>
  </w:p>
  <w:p w:rsidR="004C5177" w:rsidRDefault="004C517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177" w:rsidRDefault="00FB07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1361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1361A">
      <w:rPr>
        <w:b/>
        <w:noProof/>
        <w:color w:val="000000"/>
        <w:sz w:val="24"/>
        <w:szCs w:val="24"/>
      </w:rPr>
      <w:t>24</w:t>
    </w:r>
    <w:r>
      <w:rPr>
        <w:b/>
        <w:color w:val="000000"/>
        <w:sz w:val="24"/>
        <w:szCs w:val="24"/>
      </w:rPr>
      <w:fldChar w:fldCharType="end"/>
    </w:r>
  </w:p>
  <w:p w:rsidR="004C5177" w:rsidRDefault="004C517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773" w:rsidRDefault="00107773">
      <w:pPr>
        <w:spacing w:after="0" w:line="240" w:lineRule="auto"/>
      </w:pPr>
      <w:r>
        <w:separator/>
      </w:r>
    </w:p>
  </w:footnote>
  <w:footnote w:type="continuationSeparator" w:id="0">
    <w:p w:rsidR="00107773" w:rsidRDefault="001077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177" w:rsidRDefault="004C5177">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4C5177">
      <w:trPr>
        <w:trHeight w:val="132"/>
      </w:trPr>
      <w:tc>
        <w:tcPr>
          <w:tcW w:w="0" w:type="auto"/>
        </w:tcPr>
        <w:p w:rsidR="004C5177" w:rsidRDefault="00FB0719">
          <w:pPr>
            <w:tabs>
              <w:tab w:val="right" w:pos="8838"/>
            </w:tabs>
            <w:ind w:right="-105"/>
            <w:rPr>
              <w:b/>
            </w:rPr>
          </w:pPr>
          <w:r>
            <w:rPr>
              <w:b/>
            </w:rPr>
            <w:t>Recurso de Revisión:</w:t>
          </w:r>
        </w:p>
      </w:tc>
      <w:tc>
        <w:tcPr>
          <w:tcW w:w="0" w:type="auto"/>
        </w:tcPr>
        <w:p w:rsidR="004C5177" w:rsidRDefault="00FB0719">
          <w:pPr>
            <w:tabs>
              <w:tab w:val="right" w:pos="8838"/>
            </w:tabs>
            <w:ind w:left="-28" w:right="-32"/>
          </w:pPr>
          <w:r>
            <w:t>03846/INFOEM/IP/RR/2020</w:t>
          </w:r>
        </w:p>
      </w:tc>
    </w:tr>
    <w:tr w:rsidR="004C5177">
      <w:trPr>
        <w:trHeight w:val="261"/>
      </w:trPr>
      <w:tc>
        <w:tcPr>
          <w:tcW w:w="0" w:type="auto"/>
        </w:tcPr>
        <w:p w:rsidR="004C5177" w:rsidRDefault="00FB0719">
          <w:pPr>
            <w:tabs>
              <w:tab w:val="right" w:pos="8838"/>
            </w:tabs>
            <w:ind w:right="-105"/>
            <w:rPr>
              <w:b/>
            </w:rPr>
          </w:pPr>
          <w:r>
            <w:rPr>
              <w:b/>
            </w:rPr>
            <w:t>Sujeto Obligado:</w:t>
          </w:r>
        </w:p>
      </w:tc>
      <w:tc>
        <w:tcPr>
          <w:tcW w:w="0" w:type="auto"/>
        </w:tcPr>
        <w:p w:rsidR="004C5177" w:rsidRDefault="00FB0719">
          <w:pPr>
            <w:tabs>
              <w:tab w:val="right" w:pos="8838"/>
            </w:tabs>
            <w:ind w:right="-32"/>
          </w:pPr>
          <w:r>
            <w:t>Ayuntamiento de Temascalcingo</w:t>
          </w:r>
        </w:p>
      </w:tc>
    </w:tr>
    <w:tr w:rsidR="004C5177">
      <w:trPr>
        <w:trHeight w:val="261"/>
      </w:trPr>
      <w:tc>
        <w:tcPr>
          <w:tcW w:w="0" w:type="auto"/>
        </w:tcPr>
        <w:p w:rsidR="004C5177" w:rsidRDefault="00FB0719">
          <w:pPr>
            <w:tabs>
              <w:tab w:val="right" w:pos="8838"/>
            </w:tabs>
            <w:ind w:right="-105"/>
            <w:rPr>
              <w:b/>
            </w:rPr>
          </w:pPr>
          <w:r>
            <w:rPr>
              <w:b/>
            </w:rPr>
            <w:t>Comisionado Ponente:</w:t>
          </w:r>
        </w:p>
      </w:tc>
      <w:tc>
        <w:tcPr>
          <w:tcW w:w="0" w:type="auto"/>
        </w:tcPr>
        <w:p w:rsidR="004C5177" w:rsidRDefault="00FB0719">
          <w:pPr>
            <w:tabs>
              <w:tab w:val="right" w:pos="8838"/>
            </w:tabs>
            <w:ind w:right="-32"/>
            <w:rPr>
              <w:b/>
            </w:rPr>
          </w:pPr>
          <w:r>
            <w:t>Luis Gustavo Parra Noriega</w:t>
          </w:r>
        </w:p>
      </w:tc>
    </w:tr>
  </w:tbl>
  <w:p w:rsidR="004C5177" w:rsidRDefault="00107773">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177" w:rsidRDefault="00FB0719">
    <w:pPr>
      <w:tabs>
        <w:tab w:val="left" w:pos="3913"/>
      </w:tabs>
      <w:rPr>
        <w:sz w:val="2"/>
        <w:szCs w:val="2"/>
      </w:rPr>
    </w:pPr>
    <w:r>
      <w:tab/>
    </w:r>
  </w:p>
  <w:tbl>
    <w:tblPr>
      <w:tblStyle w:val="a0"/>
      <w:tblW w:w="680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4C5177">
      <w:trPr>
        <w:trHeight w:val="138"/>
      </w:trPr>
      <w:tc>
        <w:tcPr>
          <w:tcW w:w="2551" w:type="dxa"/>
          <w:vAlign w:val="center"/>
        </w:tcPr>
        <w:p w:rsidR="004C5177" w:rsidRDefault="00FB0719">
          <w:pPr>
            <w:tabs>
              <w:tab w:val="right" w:pos="8838"/>
            </w:tabs>
            <w:ind w:right="-105"/>
            <w:jc w:val="left"/>
            <w:rPr>
              <w:b/>
            </w:rPr>
          </w:pPr>
          <w:r>
            <w:rPr>
              <w:b/>
            </w:rPr>
            <w:t>Recurso de Revisión:</w:t>
          </w:r>
        </w:p>
      </w:tc>
      <w:tc>
        <w:tcPr>
          <w:tcW w:w="4252" w:type="dxa"/>
        </w:tcPr>
        <w:p w:rsidR="004C5177" w:rsidRDefault="00FB0719">
          <w:pPr>
            <w:tabs>
              <w:tab w:val="right" w:pos="8838"/>
            </w:tabs>
            <w:ind w:left="-113" w:right="57"/>
            <w:rPr>
              <w:color w:val="000000"/>
            </w:rPr>
          </w:pPr>
          <w:r>
            <w:rPr>
              <w:color w:val="000000"/>
            </w:rPr>
            <w:t>05906/INFOEM/IP/RR/2025</w:t>
          </w:r>
        </w:p>
      </w:tc>
    </w:tr>
    <w:tr w:rsidR="004C5177">
      <w:trPr>
        <w:trHeight w:val="273"/>
      </w:trPr>
      <w:tc>
        <w:tcPr>
          <w:tcW w:w="2551" w:type="dxa"/>
        </w:tcPr>
        <w:p w:rsidR="004C5177" w:rsidRDefault="00FB0719">
          <w:pPr>
            <w:tabs>
              <w:tab w:val="right" w:pos="8838"/>
            </w:tabs>
            <w:ind w:right="-105"/>
            <w:rPr>
              <w:b/>
            </w:rPr>
          </w:pPr>
          <w:r>
            <w:rPr>
              <w:b/>
            </w:rPr>
            <w:t>Sujeto Obligado:</w:t>
          </w:r>
        </w:p>
      </w:tc>
      <w:tc>
        <w:tcPr>
          <w:tcW w:w="4252" w:type="dxa"/>
        </w:tcPr>
        <w:p w:rsidR="004C5177" w:rsidRDefault="00FB0719">
          <w:pPr>
            <w:tabs>
              <w:tab w:val="left" w:pos="2728"/>
              <w:tab w:val="right" w:pos="8838"/>
            </w:tabs>
            <w:ind w:left="-113" w:right="1450"/>
          </w:pPr>
          <w:r>
            <w:rPr>
              <w:color w:val="000000"/>
            </w:rPr>
            <w:t>Sistema Municipal Para el Desarrollo Integral de la Familia de Tepotzotlán</w:t>
          </w:r>
        </w:p>
      </w:tc>
    </w:tr>
    <w:tr w:rsidR="004C5177">
      <w:trPr>
        <w:trHeight w:val="273"/>
      </w:trPr>
      <w:tc>
        <w:tcPr>
          <w:tcW w:w="2551" w:type="dxa"/>
        </w:tcPr>
        <w:p w:rsidR="004C5177" w:rsidRDefault="00FB0719">
          <w:pPr>
            <w:tabs>
              <w:tab w:val="right" w:pos="8838"/>
            </w:tabs>
            <w:ind w:right="-105"/>
            <w:rPr>
              <w:b/>
            </w:rPr>
          </w:pPr>
          <w:r>
            <w:rPr>
              <w:b/>
            </w:rPr>
            <w:t>Comisionado Ponente:</w:t>
          </w:r>
        </w:p>
      </w:tc>
      <w:tc>
        <w:tcPr>
          <w:tcW w:w="4252" w:type="dxa"/>
        </w:tcPr>
        <w:p w:rsidR="004C5177" w:rsidRDefault="00FB0719">
          <w:pPr>
            <w:tabs>
              <w:tab w:val="right" w:pos="8838"/>
            </w:tabs>
            <w:ind w:left="-113" w:right="-170"/>
            <w:rPr>
              <w:b/>
            </w:rPr>
          </w:pPr>
          <w:r>
            <w:t>Luis Gustavo Parra Noriega</w:t>
          </w:r>
        </w:p>
      </w:tc>
    </w:tr>
  </w:tbl>
  <w:p w:rsidR="004C5177" w:rsidRDefault="00107773">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177" w:rsidRDefault="004C5177">
    <w:pPr>
      <w:widowControl w:val="0"/>
      <w:pBdr>
        <w:top w:val="nil"/>
        <w:left w:val="nil"/>
        <w:bottom w:val="nil"/>
        <w:right w:val="nil"/>
        <w:between w:val="nil"/>
      </w:pBdr>
      <w:spacing w:after="0" w:line="276" w:lineRule="auto"/>
      <w:jc w:val="left"/>
      <w:rPr>
        <w:color w:val="000000"/>
      </w:rPr>
    </w:pPr>
  </w:p>
  <w:tbl>
    <w:tblPr>
      <w:tblStyle w:val="a1"/>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4C5177">
      <w:trPr>
        <w:trHeight w:val="132"/>
      </w:trPr>
      <w:tc>
        <w:tcPr>
          <w:tcW w:w="2551" w:type="dxa"/>
        </w:tcPr>
        <w:p w:rsidR="004C5177" w:rsidRDefault="00FB0719">
          <w:pPr>
            <w:tabs>
              <w:tab w:val="right" w:pos="8838"/>
            </w:tabs>
            <w:ind w:right="-105"/>
            <w:rPr>
              <w:b/>
            </w:rPr>
          </w:pPr>
          <w:r>
            <w:rPr>
              <w:b/>
            </w:rPr>
            <w:t>Recurso de Revisión:</w:t>
          </w:r>
        </w:p>
      </w:tc>
      <w:tc>
        <w:tcPr>
          <w:tcW w:w="2977" w:type="dxa"/>
        </w:tcPr>
        <w:p w:rsidR="004C5177" w:rsidRDefault="00FB0719">
          <w:pPr>
            <w:tabs>
              <w:tab w:val="right" w:pos="8838"/>
            </w:tabs>
            <w:ind w:left="-113" w:right="-32"/>
          </w:pPr>
          <w:r>
            <w:rPr>
              <w:color w:val="000000"/>
            </w:rPr>
            <w:t>05906/INFOEM/IP/RR/2025</w:t>
          </w:r>
        </w:p>
      </w:tc>
    </w:tr>
    <w:tr w:rsidR="004C5177">
      <w:trPr>
        <w:trHeight w:val="132"/>
      </w:trPr>
      <w:tc>
        <w:tcPr>
          <w:tcW w:w="2551" w:type="dxa"/>
        </w:tcPr>
        <w:p w:rsidR="004C5177" w:rsidRDefault="00FB0719">
          <w:pPr>
            <w:tabs>
              <w:tab w:val="left" w:pos="1875"/>
            </w:tabs>
            <w:ind w:right="-105"/>
            <w:rPr>
              <w:b/>
            </w:rPr>
          </w:pPr>
          <w:r>
            <w:rPr>
              <w:b/>
            </w:rPr>
            <w:t>Recurrente:</w:t>
          </w:r>
          <w:r>
            <w:rPr>
              <w:b/>
            </w:rPr>
            <w:tab/>
          </w:r>
        </w:p>
      </w:tc>
      <w:tc>
        <w:tcPr>
          <w:tcW w:w="2977" w:type="dxa"/>
        </w:tcPr>
        <w:p w:rsidR="004C5177" w:rsidRDefault="004C5177">
          <w:pPr>
            <w:tabs>
              <w:tab w:val="right" w:pos="8838"/>
            </w:tabs>
          </w:pPr>
        </w:p>
      </w:tc>
    </w:tr>
    <w:tr w:rsidR="004C5177">
      <w:trPr>
        <w:trHeight w:val="261"/>
      </w:trPr>
      <w:tc>
        <w:tcPr>
          <w:tcW w:w="2551" w:type="dxa"/>
        </w:tcPr>
        <w:p w:rsidR="004C5177" w:rsidRDefault="00FB0719">
          <w:pPr>
            <w:tabs>
              <w:tab w:val="right" w:pos="8838"/>
            </w:tabs>
            <w:ind w:right="-105"/>
            <w:rPr>
              <w:b/>
            </w:rPr>
          </w:pPr>
          <w:r>
            <w:rPr>
              <w:b/>
            </w:rPr>
            <w:t>Sujeto Obligado:</w:t>
          </w:r>
        </w:p>
      </w:tc>
      <w:tc>
        <w:tcPr>
          <w:tcW w:w="2977" w:type="dxa"/>
        </w:tcPr>
        <w:p w:rsidR="004C5177" w:rsidRDefault="00FB0719">
          <w:pPr>
            <w:tabs>
              <w:tab w:val="right" w:pos="8838"/>
            </w:tabs>
            <w:ind w:left="-113" w:right="33"/>
          </w:pPr>
          <w:r>
            <w:rPr>
              <w:color w:val="000000"/>
            </w:rPr>
            <w:t>Sistema Municipal Para el Desarrollo Integral de la Familia de Tepotzotlán</w:t>
          </w:r>
        </w:p>
      </w:tc>
    </w:tr>
    <w:tr w:rsidR="004C5177">
      <w:trPr>
        <w:trHeight w:val="261"/>
      </w:trPr>
      <w:tc>
        <w:tcPr>
          <w:tcW w:w="2551" w:type="dxa"/>
        </w:tcPr>
        <w:p w:rsidR="004C5177" w:rsidRDefault="00FB0719">
          <w:pPr>
            <w:tabs>
              <w:tab w:val="right" w:pos="8838"/>
            </w:tabs>
            <w:ind w:right="-105"/>
            <w:rPr>
              <w:b/>
            </w:rPr>
          </w:pPr>
          <w:r>
            <w:rPr>
              <w:b/>
            </w:rPr>
            <w:t>Comisionado Ponente:</w:t>
          </w:r>
        </w:p>
      </w:tc>
      <w:tc>
        <w:tcPr>
          <w:tcW w:w="2977" w:type="dxa"/>
        </w:tcPr>
        <w:p w:rsidR="004C5177" w:rsidRDefault="00FB0719">
          <w:pPr>
            <w:tabs>
              <w:tab w:val="right" w:pos="8838"/>
            </w:tabs>
            <w:ind w:left="-113" w:right="-32"/>
            <w:rPr>
              <w:b/>
            </w:rPr>
          </w:pPr>
          <w:r>
            <w:t>Luis Gustavo Parra Noriega</w:t>
          </w:r>
        </w:p>
      </w:tc>
    </w:tr>
  </w:tbl>
  <w:p w:rsidR="004C5177" w:rsidRDefault="00107773">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678BC"/>
    <w:multiLevelType w:val="multilevel"/>
    <w:tmpl w:val="3934E17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2CCE1323"/>
    <w:multiLevelType w:val="multilevel"/>
    <w:tmpl w:val="95C4E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391A69"/>
    <w:multiLevelType w:val="multilevel"/>
    <w:tmpl w:val="C354206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795A8D"/>
    <w:multiLevelType w:val="multilevel"/>
    <w:tmpl w:val="4C7ECBB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177"/>
    <w:rsid w:val="00107773"/>
    <w:rsid w:val="0021361A"/>
    <w:rsid w:val="004C5177"/>
    <w:rsid w:val="00506CAC"/>
    <w:rsid w:val="00A827E0"/>
    <w:rsid w:val="00FB07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EA49932-DA25-444A-91D7-D1AFC9666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UnresolvedMention">
    <w:name w:val="Unresolved Mention"/>
    <w:basedOn w:val="Fuentedeprrafopredeter"/>
    <w:uiPriority w:val="99"/>
    <w:semiHidden/>
    <w:unhideWhenUsed/>
    <w:rsid w:val="00515CD4"/>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acebook.com/SemanarioElCoralillo/posts/tepotzotl%C3%A1n-fortalece-los-derechos-de-la-ni%C3%B1ez-con-la-creaci%C3%B3n-del-sipinna-munic/1034614335366839/"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aEtU1tNh2Yd0lh0w1hRhtd9g==">CgMxLjAyDmguazI0and2cTVlb2ZkMg5oLmNid3llcGVqc3ZwejIOaC56aGdlMjVsa3dsYWwyDmguNWdnY2F4ZnRmdjQyMg1oLmJsbWtld3hmemczMg5oLjIydjVxbGFiYnhlaTIOaC45aXZ0dnV5MDJvYWcyDmguYm91eHZnNzdwZXQxMg5oLm5na3gxd3FtOGZtajINaC50bHZ5ZXd4YnF2aTIOaC5lcmx5MzF0M3hrcGEyDmguaG5idHcwbzZtN2J4Mg5oLjRsY3h1cXFoazZjMDIOaC54dGhwdmJlOGl1MnYyDmgub295dGd2YXF5cThsMg5oLmdmODE5NW9kZmI3dzIOaC5pOWp5NTdqaHpqbGIyDmguZTJjM2l1Z3pvdnQ2OAByITEzNndlSTBsWmNCTVlVSlFhU01PdkhYLTFGelIxS2ND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24</Pages>
  <Words>5426</Words>
  <Characters>29846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2025-08-22T17:27:00Z</cp:lastPrinted>
  <dcterms:created xsi:type="dcterms:W3CDTF">2025-08-22T17:26:00Z</dcterms:created>
  <dcterms:modified xsi:type="dcterms:W3CDTF">2025-08-22T18:27:00Z</dcterms:modified>
</cp:coreProperties>
</file>