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lang w:val="es-ES"/>
        </w:rPr>
        <w:id w:val="-1277860380"/>
        <w:docPartObj>
          <w:docPartGallery w:val="Table of Contents"/>
          <w:docPartUnique/>
        </w:docPartObj>
      </w:sdtPr>
      <w:sdtEndPr>
        <w:rPr>
          <w:b/>
          <w:bCs/>
        </w:rPr>
      </w:sdtEndPr>
      <w:sdtContent>
        <w:p w14:paraId="6AB7332B" w14:textId="2555658A" w:rsidR="0073428E" w:rsidRPr="0073428E" w:rsidRDefault="0073428E" w:rsidP="005F22DB">
          <w:pPr>
            <w:pStyle w:val="TtulodeTDC"/>
            <w:spacing w:line="360" w:lineRule="auto"/>
            <w:jc w:val="center"/>
            <w:rPr>
              <w:rFonts w:ascii="Palatino Linotype" w:hAnsi="Palatino Linotype"/>
              <w:color w:val="auto"/>
              <w:sz w:val="22"/>
              <w:szCs w:val="22"/>
            </w:rPr>
          </w:pPr>
          <w:r w:rsidRPr="0073428E">
            <w:rPr>
              <w:rFonts w:ascii="Palatino Linotype" w:hAnsi="Palatino Linotype"/>
              <w:color w:val="auto"/>
              <w:sz w:val="22"/>
              <w:szCs w:val="22"/>
              <w:lang w:val="es-ES"/>
            </w:rPr>
            <w:t xml:space="preserve">RESOLUCIÓN DEL RECURSO DE REVISIÓN </w:t>
          </w:r>
          <w:r w:rsidRPr="0073428E">
            <w:rPr>
              <w:rFonts w:ascii="Palatino Linotype" w:hAnsi="Palatino Linotype"/>
              <w:color w:val="auto"/>
              <w:sz w:val="22"/>
              <w:szCs w:val="22"/>
            </w:rPr>
            <w:t>07456/INFOEM/IP/RR/2024</w:t>
          </w:r>
        </w:p>
        <w:p w14:paraId="04799A86" w14:textId="77777777" w:rsidR="00E0692D" w:rsidRDefault="0073428E">
          <w:pPr>
            <w:pStyle w:val="TDC1"/>
            <w:tabs>
              <w:tab w:val="right" w:leader="dot" w:pos="9204"/>
            </w:tabs>
            <w:rPr>
              <w:rFonts w:asciiTheme="minorHAnsi" w:eastAsiaTheme="minorEastAsia" w:hAnsiTheme="minorHAnsi" w:cstheme="minorBidi"/>
              <w:noProof/>
              <w:color w:val="auto"/>
            </w:rPr>
          </w:pPr>
          <w:r w:rsidRPr="0073428E">
            <w:fldChar w:fldCharType="begin"/>
          </w:r>
          <w:r w:rsidRPr="0073428E">
            <w:instrText xml:space="preserve"> TOC \o "1-3" \h \z \u </w:instrText>
          </w:r>
          <w:r w:rsidRPr="0073428E">
            <w:fldChar w:fldCharType="separate"/>
          </w:r>
          <w:hyperlink w:anchor="_Toc188530407" w:history="1">
            <w:r w:rsidR="00E0692D" w:rsidRPr="007C2A2E">
              <w:rPr>
                <w:rStyle w:val="Hipervnculo"/>
                <w:noProof/>
              </w:rPr>
              <w:t>A N T E C E D E N T E S</w:t>
            </w:r>
            <w:r w:rsidR="00E0692D">
              <w:rPr>
                <w:noProof/>
                <w:webHidden/>
              </w:rPr>
              <w:tab/>
            </w:r>
            <w:r w:rsidR="00E0692D">
              <w:rPr>
                <w:noProof/>
                <w:webHidden/>
              </w:rPr>
              <w:fldChar w:fldCharType="begin"/>
            </w:r>
            <w:r w:rsidR="00E0692D">
              <w:rPr>
                <w:noProof/>
                <w:webHidden/>
              </w:rPr>
              <w:instrText xml:space="preserve"> PAGEREF _Toc188530407 \h </w:instrText>
            </w:r>
            <w:r w:rsidR="00E0692D">
              <w:rPr>
                <w:noProof/>
                <w:webHidden/>
              </w:rPr>
            </w:r>
            <w:r w:rsidR="00E0692D">
              <w:rPr>
                <w:noProof/>
                <w:webHidden/>
              </w:rPr>
              <w:fldChar w:fldCharType="separate"/>
            </w:r>
            <w:r w:rsidR="001C573B">
              <w:rPr>
                <w:noProof/>
                <w:webHidden/>
              </w:rPr>
              <w:t>2</w:t>
            </w:r>
            <w:r w:rsidR="00E0692D">
              <w:rPr>
                <w:noProof/>
                <w:webHidden/>
              </w:rPr>
              <w:fldChar w:fldCharType="end"/>
            </w:r>
          </w:hyperlink>
        </w:p>
        <w:p w14:paraId="4829C6BE" w14:textId="77777777" w:rsidR="00E0692D" w:rsidRDefault="007C4D00" w:rsidP="00E0692D">
          <w:pPr>
            <w:pStyle w:val="TDC2"/>
            <w:rPr>
              <w:rFonts w:asciiTheme="minorHAnsi" w:eastAsiaTheme="minorEastAsia" w:hAnsiTheme="minorHAnsi" w:cstheme="minorBidi"/>
              <w:noProof/>
              <w:color w:val="auto"/>
            </w:rPr>
          </w:pPr>
          <w:hyperlink w:anchor="_Toc188530408" w:history="1">
            <w:r w:rsidR="00E0692D" w:rsidRPr="007C2A2E">
              <w:rPr>
                <w:rStyle w:val="Hipervnculo"/>
                <w:noProof/>
              </w:rPr>
              <w:t>I. Presentación de la solicitud</w:t>
            </w:r>
            <w:r w:rsidR="00E0692D">
              <w:rPr>
                <w:noProof/>
                <w:webHidden/>
              </w:rPr>
              <w:tab/>
            </w:r>
            <w:r w:rsidR="00E0692D">
              <w:rPr>
                <w:noProof/>
                <w:webHidden/>
              </w:rPr>
              <w:fldChar w:fldCharType="begin"/>
            </w:r>
            <w:r w:rsidR="00E0692D">
              <w:rPr>
                <w:noProof/>
                <w:webHidden/>
              </w:rPr>
              <w:instrText xml:space="preserve"> PAGEREF _Toc188530408 \h </w:instrText>
            </w:r>
            <w:r w:rsidR="00E0692D">
              <w:rPr>
                <w:noProof/>
                <w:webHidden/>
              </w:rPr>
            </w:r>
            <w:r w:rsidR="00E0692D">
              <w:rPr>
                <w:noProof/>
                <w:webHidden/>
              </w:rPr>
              <w:fldChar w:fldCharType="separate"/>
            </w:r>
            <w:r w:rsidR="001C573B">
              <w:rPr>
                <w:noProof/>
                <w:webHidden/>
              </w:rPr>
              <w:t>2</w:t>
            </w:r>
            <w:r w:rsidR="00E0692D">
              <w:rPr>
                <w:noProof/>
                <w:webHidden/>
              </w:rPr>
              <w:fldChar w:fldCharType="end"/>
            </w:r>
          </w:hyperlink>
        </w:p>
        <w:p w14:paraId="05BA4C7B" w14:textId="77777777" w:rsidR="00E0692D" w:rsidRDefault="007C4D00" w:rsidP="00E0692D">
          <w:pPr>
            <w:pStyle w:val="TDC2"/>
            <w:rPr>
              <w:rFonts w:asciiTheme="minorHAnsi" w:eastAsiaTheme="minorEastAsia" w:hAnsiTheme="minorHAnsi" w:cstheme="minorBidi"/>
              <w:noProof/>
              <w:color w:val="auto"/>
            </w:rPr>
          </w:pPr>
          <w:hyperlink w:anchor="_Toc188530409" w:history="1">
            <w:r w:rsidR="00E0692D" w:rsidRPr="007C2A2E">
              <w:rPr>
                <w:rStyle w:val="Hipervnculo"/>
                <w:noProof/>
              </w:rPr>
              <w:t>II. Respuesta del Sujeto Obligado</w:t>
            </w:r>
            <w:r w:rsidR="00E0692D">
              <w:rPr>
                <w:noProof/>
                <w:webHidden/>
              </w:rPr>
              <w:tab/>
            </w:r>
            <w:r w:rsidR="00E0692D">
              <w:rPr>
                <w:noProof/>
                <w:webHidden/>
              </w:rPr>
              <w:fldChar w:fldCharType="begin"/>
            </w:r>
            <w:r w:rsidR="00E0692D">
              <w:rPr>
                <w:noProof/>
                <w:webHidden/>
              </w:rPr>
              <w:instrText xml:space="preserve"> PAGEREF _Toc188530409 \h </w:instrText>
            </w:r>
            <w:r w:rsidR="00E0692D">
              <w:rPr>
                <w:noProof/>
                <w:webHidden/>
              </w:rPr>
            </w:r>
            <w:r w:rsidR="00E0692D">
              <w:rPr>
                <w:noProof/>
                <w:webHidden/>
              </w:rPr>
              <w:fldChar w:fldCharType="separate"/>
            </w:r>
            <w:r w:rsidR="001C573B">
              <w:rPr>
                <w:noProof/>
                <w:webHidden/>
              </w:rPr>
              <w:t>3</w:t>
            </w:r>
            <w:r w:rsidR="00E0692D">
              <w:rPr>
                <w:noProof/>
                <w:webHidden/>
              </w:rPr>
              <w:fldChar w:fldCharType="end"/>
            </w:r>
          </w:hyperlink>
        </w:p>
        <w:p w14:paraId="5714BBE9" w14:textId="77777777" w:rsidR="00E0692D" w:rsidRDefault="007C4D00" w:rsidP="00E0692D">
          <w:pPr>
            <w:pStyle w:val="TDC2"/>
            <w:rPr>
              <w:rFonts w:asciiTheme="minorHAnsi" w:eastAsiaTheme="minorEastAsia" w:hAnsiTheme="minorHAnsi" w:cstheme="minorBidi"/>
              <w:noProof/>
              <w:color w:val="auto"/>
            </w:rPr>
          </w:pPr>
          <w:hyperlink w:anchor="_Toc188530410" w:history="1">
            <w:r w:rsidR="00E0692D" w:rsidRPr="007C2A2E">
              <w:rPr>
                <w:rStyle w:val="Hipervnculo"/>
                <w:noProof/>
              </w:rPr>
              <w:t>III. Interposición del Recurso de Revisión</w:t>
            </w:r>
            <w:r w:rsidR="00E0692D">
              <w:rPr>
                <w:noProof/>
                <w:webHidden/>
              </w:rPr>
              <w:tab/>
            </w:r>
            <w:r w:rsidR="00E0692D">
              <w:rPr>
                <w:noProof/>
                <w:webHidden/>
              </w:rPr>
              <w:fldChar w:fldCharType="begin"/>
            </w:r>
            <w:r w:rsidR="00E0692D">
              <w:rPr>
                <w:noProof/>
                <w:webHidden/>
              </w:rPr>
              <w:instrText xml:space="preserve"> PAGEREF _Toc188530410 \h </w:instrText>
            </w:r>
            <w:r w:rsidR="00E0692D">
              <w:rPr>
                <w:noProof/>
                <w:webHidden/>
              </w:rPr>
            </w:r>
            <w:r w:rsidR="00E0692D">
              <w:rPr>
                <w:noProof/>
                <w:webHidden/>
              </w:rPr>
              <w:fldChar w:fldCharType="separate"/>
            </w:r>
            <w:r w:rsidR="001C573B">
              <w:rPr>
                <w:noProof/>
                <w:webHidden/>
              </w:rPr>
              <w:t>3</w:t>
            </w:r>
            <w:r w:rsidR="00E0692D">
              <w:rPr>
                <w:noProof/>
                <w:webHidden/>
              </w:rPr>
              <w:fldChar w:fldCharType="end"/>
            </w:r>
          </w:hyperlink>
        </w:p>
        <w:p w14:paraId="5179C072" w14:textId="77777777" w:rsidR="00E0692D" w:rsidRDefault="007C4D00" w:rsidP="00E0692D">
          <w:pPr>
            <w:pStyle w:val="TDC2"/>
            <w:rPr>
              <w:rFonts w:asciiTheme="minorHAnsi" w:eastAsiaTheme="minorEastAsia" w:hAnsiTheme="minorHAnsi" w:cstheme="minorBidi"/>
              <w:noProof/>
              <w:color w:val="auto"/>
            </w:rPr>
          </w:pPr>
          <w:hyperlink w:anchor="_Toc188530411" w:history="1">
            <w:r w:rsidR="00E0692D" w:rsidRPr="007C2A2E">
              <w:rPr>
                <w:rStyle w:val="Hipervnculo"/>
                <w:noProof/>
              </w:rPr>
              <w:t>V. Trámite del Recurso de Revisión ante este Instituto</w:t>
            </w:r>
            <w:r w:rsidR="00E0692D">
              <w:rPr>
                <w:noProof/>
                <w:webHidden/>
              </w:rPr>
              <w:tab/>
            </w:r>
            <w:r w:rsidR="00E0692D">
              <w:rPr>
                <w:noProof/>
                <w:webHidden/>
              </w:rPr>
              <w:fldChar w:fldCharType="begin"/>
            </w:r>
            <w:r w:rsidR="00E0692D">
              <w:rPr>
                <w:noProof/>
                <w:webHidden/>
              </w:rPr>
              <w:instrText xml:space="preserve"> PAGEREF _Toc188530411 \h </w:instrText>
            </w:r>
            <w:r w:rsidR="00E0692D">
              <w:rPr>
                <w:noProof/>
                <w:webHidden/>
              </w:rPr>
            </w:r>
            <w:r w:rsidR="00E0692D">
              <w:rPr>
                <w:noProof/>
                <w:webHidden/>
              </w:rPr>
              <w:fldChar w:fldCharType="separate"/>
            </w:r>
            <w:r w:rsidR="001C573B">
              <w:rPr>
                <w:noProof/>
                <w:webHidden/>
              </w:rPr>
              <w:t>4</w:t>
            </w:r>
            <w:r w:rsidR="00E0692D">
              <w:rPr>
                <w:noProof/>
                <w:webHidden/>
              </w:rPr>
              <w:fldChar w:fldCharType="end"/>
            </w:r>
          </w:hyperlink>
        </w:p>
        <w:p w14:paraId="46D8B758" w14:textId="77777777" w:rsidR="00E0692D" w:rsidRDefault="007C4D00">
          <w:pPr>
            <w:pStyle w:val="TDC1"/>
            <w:tabs>
              <w:tab w:val="right" w:leader="dot" w:pos="9204"/>
            </w:tabs>
            <w:rPr>
              <w:rFonts w:asciiTheme="minorHAnsi" w:eastAsiaTheme="minorEastAsia" w:hAnsiTheme="minorHAnsi" w:cstheme="minorBidi"/>
              <w:noProof/>
              <w:color w:val="auto"/>
            </w:rPr>
          </w:pPr>
          <w:hyperlink w:anchor="_Toc188530412" w:history="1">
            <w:r w:rsidR="00E0692D" w:rsidRPr="007C2A2E">
              <w:rPr>
                <w:rStyle w:val="Hipervnculo"/>
                <w:noProof/>
              </w:rPr>
              <w:t>C O N S I D E R A N D O S</w:t>
            </w:r>
            <w:r w:rsidR="00E0692D">
              <w:rPr>
                <w:noProof/>
                <w:webHidden/>
              </w:rPr>
              <w:tab/>
            </w:r>
            <w:r w:rsidR="00E0692D">
              <w:rPr>
                <w:noProof/>
                <w:webHidden/>
              </w:rPr>
              <w:fldChar w:fldCharType="begin"/>
            </w:r>
            <w:r w:rsidR="00E0692D">
              <w:rPr>
                <w:noProof/>
                <w:webHidden/>
              </w:rPr>
              <w:instrText xml:space="preserve"> PAGEREF _Toc188530412 \h </w:instrText>
            </w:r>
            <w:r w:rsidR="00E0692D">
              <w:rPr>
                <w:noProof/>
                <w:webHidden/>
              </w:rPr>
            </w:r>
            <w:r w:rsidR="00E0692D">
              <w:rPr>
                <w:noProof/>
                <w:webHidden/>
              </w:rPr>
              <w:fldChar w:fldCharType="separate"/>
            </w:r>
            <w:r w:rsidR="001C573B">
              <w:rPr>
                <w:noProof/>
                <w:webHidden/>
              </w:rPr>
              <w:t>6</w:t>
            </w:r>
            <w:r w:rsidR="00E0692D">
              <w:rPr>
                <w:noProof/>
                <w:webHidden/>
              </w:rPr>
              <w:fldChar w:fldCharType="end"/>
            </w:r>
          </w:hyperlink>
        </w:p>
        <w:p w14:paraId="02FE9452" w14:textId="77777777" w:rsidR="00E0692D" w:rsidRDefault="007C4D00" w:rsidP="00E0692D">
          <w:pPr>
            <w:pStyle w:val="TDC2"/>
            <w:rPr>
              <w:rFonts w:asciiTheme="minorHAnsi" w:eastAsiaTheme="minorEastAsia" w:hAnsiTheme="minorHAnsi" w:cstheme="minorBidi"/>
              <w:noProof/>
              <w:color w:val="auto"/>
            </w:rPr>
          </w:pPr>
          <w:hyperlink w:anchor="_Toc188530413" w:history="1">
            <w:r w:rsidR="00E0692D" w:rsidRPr="007C2A2E">
              <w:rPr>
                <w:rStyle w:val="Hipervnculo"/>
                <w:noProof/>
              </w:rPr>
              <w:t>PRIMERO. Competencia</w:t>
            </w:r>
            <w:r w:rsidR="00E0692D">
              <w:rPr>
                <w:noProof/>
                <w:webHidden/>
              </w:rPr>
              <w:tab/>
            </w:r>
            <w:r w:rsidR="00E0692D">
              <w:rPr>
                <w:noProof/>
                <w:webHidden/>
              </w:rPr>
              <w:fldChar w:fldCharType="begin"/>
            </w:r>
            <w:r w:rsidR="00E0692D">
              <w:rPr>
                <w:noProof/>
                <w:webHidden/>
              </w:rPr>
              <w:instrText xml:space="preserve"> PAGEREF _Toc188530413 \h </w:instrText>
            </w:r>
            <w:r w:rsidR="00E0692D">
              <w:rPr>
                <w:noProof/>
                <w:webHidden/>
              </w:rPr>
            </w:r>
            <w:r w:rsidR="00E0692D">
              <w:rPr>
                <w:noProof/>
                <w:webHidden/>
              </w:rPr>
              <w:fldChar w:fldCharType="separate"/>
            </w:r>
            <w:r w:rsidR="001C573B">
              <w:rPr>
                <w:noProof/>
                <w:webHidden/>
              </w:rPr>
              <w:t>6</w:t>
            </w:r>
            <w:r w:rsidR="00E0692D">
              <w:rPr>
                <w:noProof/>
                <w:webHidden/>
              </w:rPr>
              <w:fldChar w:fldCharType="end"/>
            </w:r>
          </w:hyperlink>
        </w:p>
        <w:p w14:paraId="7B8CD019" w14:textId="77777777" w:rsidR="00E0692D" w:rsidRDefault="007C4D00" w:rsidP="00E0692D">
          <w:pPr>
            <w:pStyle w:val="TDC2"/>
            <w:rPr>
              <w:rFonts w:asciiTheme="minorHAnsi" w:eastAsiaTheme="minorEastAsia" w:hAnsiTheme="minorHAnsi" w:cstheme="minorBidi"/>
              <w:noProof/>
              <w:color w:val="auto"/>
            </w:rPr>
          </w:pPr>
          <w:hyperlink w:anchor="_Toc188530414" w:history="1">
            <w:r w:rsidR="00E0692D" w:rsidRPr="007C2A2E">
              <w:rPr>
                <w:rStyle w:val="Hipervnculo"/>
                <w:noProof/>
              </w:rPr>
              <w:t>SEGUNDO. Causales de improcedencia y sobreseimiento</w:t>
            </w:r>
            <w:r w:rsidR="00E0692D">
              <w:rPr>
                <w:noProof/>
                <w:webHidden/>
              </w:rPr>
              <w:tab/>
            </w:r>
            <w:r w:rsidR="00E0692D">
              <w:rPr>
                <w:noProof/>
                <w:webHidden/>
              </w:rPr>
              <w:fldChar w:fldCharType="begin"/>
            </w:r>
            <w:r w:rsidR="00E0692D">
              <w:rPr>
                <w:noProof/>
                <w:webHidden/>
              </w:rPr>
              <w:instrText xml:space="preserve"> PAGEREF _Toc188530414 \h </w:instrText>
            </w:r>
            <w:r w:rsidR="00E0692D">
              <w:rPr>
                <w:noProof/>
                <w:webHidden/>
              </w:rPr>
            </w:r>
            <w:r w:rsidR="00E0692D">
              <w:rPr>
                <w:noProof/>
                <w:webHidden/>
              </w:rPr>
              <w:fldChar w:fldCharType="separate"/>
            </w:r>
            <w:r w:rsidR="001C573B">
              <w:rPr>
                <w:noProof/>
                <w:webHidden/>
              </w:rPr>
              <w:t>6</w:t>
            </w:r>
            <w:r w:rsidR="00E0692D">
              <w:rPr>
                <w:noProof/>
                <w:webHidden/>
              </w:rPr>
              <w:fldChar w:fldCharType="end"/>
            </w:r>
          </w:hyperlink>
        </w:p>
        <w:p w14:paraId="641845C5" w14:textId="77777777" w:rsidR="00E0692D" w:rsidRDefault="007C4D00" w:rsidP="00E0692D">
          <w:pPr>
            <w:pStyle w:val="TDC2"/>
            <w:rPr>
              <w:rFonts w:asciiTheme="minorHAnsi" w:eastAsiaTheme="minorEastAsia" w:hAnsiTheme="minorHAnsi" w:cstheme="minorBidi"/>
              <w:noProof/>
              <w:color w:val="auto"/>
            </w:rPr>
          </w:pPr>
          <w:hyperlink w:anchor="_Toc188530415" w:history="1">
            <w:r w:rsidR="00E0692D" w:rsidRPr="007C2A2E">
              <w:rPr>
                <w:rStyle w:val="Hipervnculo"/>
                <w:noProof/>
              </w:rPr>
              <w:t>TERCERO. Determinación de la Controversia</w:t>
            </w:r>
            <w:r w:rsidR="00E0692D">
              <w:rPr>
                <w:noProof/>
                <w:webHidden/>
              </w:rPr>
              <w:tab/>
            </w:r>
            <w:r w:rsidR="00E0692D">
              <w:rPr>
                <w:noProof/>
                <w:webHidden/>
              </w:rPr>
              <w:fldChar w:fldCharType="begin"/>
            </w:r>
            <w:r w:rsidR="00E0692D">
              <w:rPr>
                <w:noProof/>
                <w:webHidden/>
              </w:rPr>
              <w:instrText xml:space="preserve"> PAGEREF _Toc188530415 \h </w:instrText>
            </w:r>
            <w:r w:rsidR="00E0692D">
              <w:rPr>
                <w:noProof/>
                <w:webHidden/>
              </w:rPr>
            </w:r>
            <w:r w:rsidR="00E0692D">
              <w:rPr>
                <w:noProof/>
                <w:webHidden/>
              </w:rPr>
              <w:fldChar w:fldCharType="separate"/>
            </w:r>
            <w:r w:rsidR="001C573B">
              <w:rPr>
                <w:noProof/>
                <w:webHidden/>
              </w:rPr>
              <w:t>8</w:t>
            </w:r>
            <w:r w:rsidR="00E0692D">
              <w:rPr>
                <w:noProof/>
                <w:webHidden/>
              </w:rPr>
              <w:fldChar w:fldCharType="end"/>
            </w:r>
          </w:hyperlink>
        </w:p>
        <w:p w14:paraId="12397CB2" w14:textId="77777777" w:rsidR="00E0692D" w:rsidRDefault="007C4D00" w:rsidP="00E0692D">
          <w:pPr>
            <w:pStyle w:val="TDC2"/>
            <w:rPr>
              <w:rFonts w:asciiTheme="minorHAnsi" w:eastAsiaTheme="minorEastAsia" w:hAnsiTheme="minorHAnsi" w:cstheme="minorBidi"/>
              <w:noProof/>
              <w:color w:val="auto"/>
            </w:rPr>
          </w:pPr>
          <w:hyperlink w:anchor="_Toc188530416" w:history="1">
            <w:r w:rsidR="00E0692D" w:rsidRPr="007C2A2E">
              <w:rPr>
                <w:rStyle w:val="Hipervnculo"/>
                <w:noProof/>
              </w:rPr>
              <w:t>CUARTO. Marco normativo aplicable en materia de transparencia y acceso a la información pública</w:t>
            </w:r>
            <w:r w:rsidR="00E0692D">
              <w:rPr>
                <w:noProof/>
                <w:webHidden/>
              </w:rPr>
              <w:tab/>
            </w:r>
            <w:r w:rsidR="00E0692D">
              <w:rPr>
                <w:noProof/>
                <w:webHidden/>
              </w:rPr>
              <w:fldChar w:fldCharType="begin"/>
            </w:r>
            <w:r w:rsidR="00E0692D">
              <w:rPr>
                <w:noProof/>
                <w:webHidden/>
              </w:rPr>
              <w:instrText xml:space="preserve"> PAGEREF _Toc188530416 \h </w:instrText>
            </w:r>
            <w:r w:rsidR="00E0692D">
              <w:rPr>
                <w:noProof/>
                <w:webHidden/>
              </w:rPr>
            </w:r>
            <w:r w:rsidR="00E0692D">
              <w:rPr>
                <w:noProof/>
                <w:webHidden/>
              </w:rPr>
              <w:fldChar w:fldCharType="separate"/>
            </w:r>
            <w:r w:rsidR="001C573B">
              <w:rPr>
                <w:noProof/>
                <w:webHidden/>
              </w:rPr>
              <w:t>9</w:t>
            </w:r>
            <w:r w:rsidR="00E0692D">
              <w:rPr>
                <w:noProof/>
                <w:webHidden/>
              </w:rPr>
              <w:fldChar w:fldCharType="end"/>
            </w:r>
          </w:hyperlink>
        </w:p>
        <w:p w14:paraId="4271823E" w14:textId="77777777" w:rsidR="00E0692D" w:rsidRDefault="007C4D00" w:rsidP="00E0692D">
          <w:pPr>
            <w:pStyle w:val="TDC2"/>
            <w:rPr>
              <w:rFonts w:asciiTheme="minorHAnsi" w:eastAsiaTheme="minorEastAsia" w:hAnsiTheme="minorHAnsi" w:cstheme="minorBidi"/>
              <w:noProof/>
              <w:color w:val="auto"/>
            </w:rPr>
          </w:pPr>
          <w:hyperlink w:anchor="_Toc188530417" w:history="1">
            <w:r w:rsidR="00E0692D" w:rsidRPr="007C2A2E">
              <w:rPr>
                <w:rStyle w:val="Hipervnculo"/>
                <w:noProof/>
                <w:lang w:val="es-ES" w:eastAsia="es-ES"/>
              </w:rPr>
              <w:t>QUINTO. Estudio de Fondo</w:t>
            </w:r>
            <w:r w:rsidR="00E0692D">
              <w:rPr>
                <w:noProof/>
                <w:webHidden/>
              </w:rPr>
              <w:tab/>
            </w:r>
            <w:r w:rsidR="00E0692D">
              <w:rPr>
                <w:noProof/>
                <w:webHidden/>
              </w:rPr>
              <w:fldChar w:fldCharType="begin"/>
            </w:r>
            <w:r w:rsidR="00E0692D">
              <w:rPr>
                <w:noProof/>
                <w:webHidden/>
              </w:rPr>
              <w:instrText xml:space="preserve"> PAGEREF _Toc188530417 \h </w:instrText>
            </w:r>
            <w:r w:rsidR="00E0692D">
              <w:rPr>
                <w:noProof/>
                <w:webHidden/>
              </w:rPr>
            </w:r>
            <w:r w:rsidR="00E0692D">
              <w:rPr>
                <w:noProof/>
                <w:webHidden/>
              </w:rPr>
              <w:fldChar w:fldCharType="separate"/>
            </w:r>
            <w:r w:rsidR="001C573B">
              <w:rPr>
                <w:noProof/>
                <w:webHidden/>
              </w:rPr>
              <w:t>10</w:t>
            </w:r>
            <w:r w:rsidR="00E0692D">
              <w:rPr>
                <w:noProof/>
                <w:webHidden/>
              </w:rPr>
              <w:fldChar w:fldCharType="end"/>
            </w:r>
          </w:hyperlink>
        </w:p>
        <w:p w14:paraId="179E6C9A" w14:textId="77777777" w:rsidR="00E0692D" w:rsidRDefault="007C4D00" w:rsidP="00E0692D">
          <w:pPr>
            <w:pStyle w:val="TDC2"/>
            <w:rPr>
              <w:rFonts w:asciiTheme="minorHAnsi" w:eastAsiaTheme="minorEastAsia" w:hAnsiTheme="minorHAnsi" w:cstheme="minorBidi"/>
              <w:noProof/>
              <w:color w:val="auto"/>
            </w:rPr>
          </w:pPr>
          <w:hyperlink w:anchor="_Toc188530418" w:history="1">
            <w:r w:rsidR="00E0692D" w:rsidRPr="007C2A2E">
              <w:rPr>
                <w:rStyle w:val="Hipervnculo"/>
                <w:noProof/>
                <w:lang w:eastAsia="en-US"/>
              </w:rPr>
              <w:t>SEXTO. Decisión</w:t>
            </w:r>
            <w:r w:rsidR="00E0692D">
              <w:rPr>
                <w:noProof/>
                <w:webHidden/>
              </w:rPr>
              <w:tab/>
            </w:r>
            <w:r w:rsidR="00E0692D">
              <w:rPr>
                <w:noProof/>
                <w:webHidden/>
              </w:rPr>
              <w:fldChar w:fldCharType="begin"/>
            </w:r>
            <w:r w:rsidR="00E0692D">
              <w:rPr>
                <w:noProof/>
                <w:webHidden/>
              </w:rPr>
              <w:instrText xml:space="preserve"> PAGEREF _Toc188530418 \h </w:instrText>
            </w:r>
            <w:r w:rsidR="00E0692D">
              <w:rPr>
                <w:noProof/>
                <w:webHidden/>
              </w:rPr>
            </w:r>
            <w:r w:rsidR="00E0692D">
              <w:rPr>
                <w:noProof/>
                <w:webHidden/>
              </w:rPr>
              <w:fldChar w:fldCharType="separate"/>
            </w:r>
            <w:r w:rsidR="001C573B">
              <w:rPr>
                <w:noProof/>
                <w:webHidden/>
              </w:rPr>
              <w:t>43</w:t>
            </w:r>
            <w:r w:rsidR="00E0692D">
              <w:rPr>
                <w:noProof/>
                <w:webHidden/>
              </w:rPr>
              <w:fldChar w:fldCharType="end"/>
            </w:r>
          </w:hyperlink>
        </w:p>
        <w:p w14:paraId="33B90EE3" w14:textId="77777777" w:rsidR="00E0692D" w:rsidRDefault="007C4D00">
          <w:pPr>
            <w:pStyle w:val="TDC1"/>
            <w:tabs>
              <w:tab w:val="right" w:leader="dot" w:pos="9204"/>
            </w:tabs>
            <w:rPr>
              <w:rFonts w:asciiTheme="minorHAnsi" w:eastAsiaTheme="minorEastAsia" w:hAnsiTheme="minorHAnsi" w:cstheme="minorBidi"/>
              <w:noProof/>
              <w:color w:val="auto"/>
            </w:rPr>
          </w:pPr>
          <w:hyperlink w:anchor="_Toc188530419" w:history="1">
            <w:r w:rsidR="00E0692D" w:rsidRPr="007C2A2E">
              <w:rPr>
                <w:rStyle w:val="Hipervnculo"/>
                <w:noProof/>
                <w:lang w:eastAsia="en-US"/>
              </w:rPr>
              <w:t>R E S U E L V E</w:t>
            </w:r>
            <w:r w:rsidR="00E0692D">
              <w:rPr>
                <w:noProof/>
                <w:webHidden/>
              </w:rPr>
              <w:tab/>
            </w:r>
            <w:r w:rsidR="00E0692D">
              <w:rPr>
                <w:noProof/>
                <w:webHidden/>
              </w:rPr>
              <w:fldChar w:fldCharType="begin"/>
            </w:r>
            <w:r w:rsidR="00E0692D">
              <w:rPr>
                <w:noProof/>
                <w:webHidden/>
              </w:rPr>
              <w:instrText xml:space="preserve"> PAGEREF _Toc188530419 \h </w:instrText>
            </w:r>
            <w:r w:rsidR="00E0692D">
              <w:rPr>
                <w:noProof/>
                <w:webHidden/>
              </w:rPr>
            </w:r>
            <w:r w:rsidR="00E0692D">
              <w:rPr>
                <w:noProof/>
                <w:webHidden/>
              </w:rPr>
              <w:fldChar w:fldCharType="separate"/>
            </w:r>
            <w:r w:rsidR="001C573B">
              <w:rPr>
                <w:noProof/>
                <w:webHidden/>
              </w:rPr>
              <w:t>44</w:t>
            </w:r>
            <w:r w:rsidR="00E0692D">
              <w:rPr>
                <w:noProof/>
                <w:webHidden/>
              </w:rPr>
              <w:fldChar w:fldCharType="end"/>
            </w:r>
          </w:hyperlink>
        </w:p>
        <w:p w14:paraId="1132DA8E" w14:textId="4BF7CB29" w:rsidR="0073428E" w:rsidRPr="0073428E" w:rsidRDefault="0073428E" w:rsidP="0073428E">
          <w:pPr>
            <w:spacing w:line="360" w:lineRule="auto"/>
          </w:pPr>
          <w:r w:rsidRPr="0073428E">
            <w:rPr>
              <w:b/>
              <w:bCs/>
              <w:lang w:val="es-ES"/>
            </w:rPr>
            <w:fldChar w:fldCharType="end"/>
          </w:r>
        </w:p>
      </w:sdtContent>
    </w:sdt>
    <w:p w14:paraId="410A4EC5" w14:textId="5DFD0BDA" w:rsidR="0063095E" w:rsidRDefault="0073428E" w:rsidP="007F72D0">
      <w:pPr>
        <w:spacing w:after="0" w:line="360" w:lineRule="auto"/>
      </w:pPr>
      <w:r>
        <w:br w:type="column"/>
      </w:r>
    </w:p>
    <w:p w14:paraId="1C288FC1" w14:textId="5825E68B" w:rsidR="00CE58A5" w:rsidRPr="0027513C" w:rsidRDefault="00CE4466" w:rsidP="007F72D0">
      <w:pPr>
        <w:spacing w:after="0" w:line="360" w:lineRule="auto"/>
      </w:pPr>
      <w:r w:rsidRPr="0027513C">
        <w:t xml:space="preserve">Resolución del Pleno del Instituto de Transparencia, Acceso a la Información Pública y Protección de Datos Personales del Estado de México y Municipios, con domicilio en Metepec, Estado de México, de </w:t>
      </w:r>
      <w:r w:rsidR="00805D25" w:rsidRPr="0027513C">
        <w:t xml:space="preserve">fecha </w:t>
      </w:r>
      <w:r w:rsidR="00805D25">
        <w:t xml:space="preserve">veintidós de enero </w:t>
      </w:r>
      <w:r w:rsidR="001171FD">
        <w:t>de dos mil veinticinco</w:t>
      </w:r>
      <w:r w:rsidRPr="0027513C">
        <w:t>.</w:t>
      </w:r>
    </w:p>
    <w:p w14:paraId="5B1FA2B3" w14:textId="77777777" w:rsidR="00CE58A5" w:rsidRPr="0027513C" w:rsidRDefault="00CE58A5" w:rsidP="007F72D0">
      <w:pPr>
        <w:spacing w:after="0" w:line="360" w:lineRule="auto"/>
        <w:rPr>
          <w:b/>
        </w:rPr>
      </w:pPr>
    </w:p>
    <w:p w14:paraId="67B180B8" w14:textId="0187213F" w:rsidR="00CE58A5" w:rsidRPr="0027513C" w:rsidRDefault="00CE4466" w:rsidP="007F72D0">
      <w:pPr>
        <w:spacing w:after="0" w:line="360" w:lineRule="auto"/>
      </w:pPr>
      <w:r w:rsidRPr="0027513C">
        <w:rPr>
          <w:b/>
        </w:rPr>
        <w:t>VISTO</w:t>
      </w:r>
      <w:r w:rsidRPr="0027513C">
        <w:t xml:space="preserve"> el expediente conformado con motivo del Recurso de Revisión </w:t>
      </w:r>
      <w:r w:rsidR="001171FD" w:rsidRPr="00E40F1F">
        <w:rPr>
          <w:b/>
        </w:rPr>
        <w:t>07456/INFOEM/IP/RR/2024</w:t>
      </w:r>
      <w:r w:rsidRPr="00586DAD">
        <w:t xml:space="preserve">, interpuesto </w:t>
      </w:r>
      <w:r w:rsidR="001A54EF" w:rsidRPr="00586DAD">
        <w:t xml:space="preserve">por </w:t>
      </w:r>
      <w:r w:rsidR="006F43F0" w:rsidRPr="006F43F0">
        <w:rPr>
          <w:b/>
          <w:highlight w:val="black"/>
        </w:rPr>
        <w:t>NNNNNNNNNN</w:t>
      </w:r>
      <w:r w:rsidR="006D4068" w:rsidRPr="00586DAD">
        <w:t xml:space="preserve">, en adelante, </w:t>
      </w:r>
      <w:r w:rsidRPr="00586DAD">
        <w:t xml:space="preserve">Recurrente o Particular, en contra de la respuesta del Sujeto Obligado, </w:t>
      </w:r>
      <w:r w:rsidR="001171FD" w:rsidRPr="00E40F1F">
        <w:rPr>
          <w:b/>
        </w:rPr>
        <w:t>Instituto de la Función Registral del Estado de México</w:t>
      </w:r>
      <w:r w:rsidRPr="00586DAD">
        <w:t xml:space="preserve">, a la solicitud de acceso a la información </w:t>
      </w:r>
      <w:r w:rsidR="00FA6E53" w:rsidRPr="00586DAD">
        <w:rPr>
          <w:color w:val="0D0D0D"/>
        </w:rPr>
        <w:t>00143/IFR/IP/2024</w:t>
      </w:r>
      <w:r w:rsidRPr="00586DAD">
        <w:t>, se</w:t>
      </w:r>
      <w:r w:rsidRPr="000A5247">
        <w:rPr>
          <w:bCs/>
        </w:rPr>
        <w:t xml:space="preserve"> emite la presente</w:t>
      </w:r>
      <w:r w:rsidRPr="0027513C">
        <w:t xml:space="preserve"> Resolución, con base en los Antecedentes y Considerandos que se exponen a continuación:</w:t>
      </w:r>
    </w:p>
    <w:p w14:paraId="1FA40EED" w14:textId="77777777" w:rsidR="00CE58A5" w:rsidRPr="0027513C" w:rsidRDefault="00CE58A5" w:rsidP="007F72D0">
      <w:pPr>
        <w:spacing w:after="0" w:line="360" w:lineRule="auto"/>
      </w:pPr>
    </w:p>
    <w:p w14:paraId="73DD6C24" w14:textId="6D4C9EA9" w:rsidR="00CE58A5" w:rsidRPr="0027513C" w:rsidRDefault="00CE4466" w:rsidP="007F72D0">
      <w:pPr>
        <w:pStyle w:val="Ttulo1"/>
        <w:spacing w:before="0" w:after="0"/>
      </w:pPr>
      <w:bookmarkStart w:id="0" w:name="_Toc179975594"/>
      <w:bookmarkStart w:id="1" w:name="_Toc179976882"/>
      <w:bookmarkStart w:id="2" w:name="_Toc188530407"/>
      <w:r w:rsidRPr="0027513C">
        <w:t>A N T E C E D E N T E S</w:t>
      </w:r>
      <w:bookmarkEnd w:id="0"/>
      <w:bookmarkEnd w:id="1"/>
      <w:bookmarkEnd w:id="2"/>
    </w:p>
    <w:p w14:paraId="108A9D50" w14:textId="77777777" w:rsidR="00CE58A5" w:rsidRPr="0027513C" w:rsidRDefault="00CE58A5" w:rsidP="007F72D0">
      <w:pPr>
        <w:spacing w:after="0" w:line="360" w:lineRule="auto"/>
      </w:pPr>
    </w:p>
    <w:p w14:paraId="30C1BFAF" w14:textId="34BE2403" w:rsidR="00CE58A5" w:rsidRPr="0027513C" w:rsidRDefault="00CE4466" w:rsidP="007F72D0">
      <w:pPr>
        <w:pStyle w:val="Ttulo2"/>
        <w:spacing w:before="0" w:after="0"/>
      </w:pPr>
      <w:bookmarkStart w:id="3" w:name="_Toc179975595"/>
      <w:bookmarkStart w:id="4" w:name="_Toc179976883"/>
      <w:bookmarkStart w:id="5" w:name="_Toc188530408"/>
      <w:r w:rsidRPr="0027513C">
        <w:t>I. Presentación</w:t>
      </w:r>
      <w:bookmarkEnd w:id="3"/>
      <w:r w:rsidRPr="0027513C">
        <w:t xml:space="preserve"> </w:t>
      </w:r>
      <w:r w:rsidR="00E57161">
        <w:t>de la solicitud</w:t>
      </w:r>
      <w:bookmarkEnd w:id="4"/>
      <w:bookmarkEnd w:id="5"/>
    </w:p>
    <w:p w14:paraId="13E36A34" w14:textId="77777777" w:rsidR="00CE58A5" w:rsidRPr="0027513C" w:rsidRDefault="00CE58A5" w:rsidP="007F72D0">
      <w:pPr>
        <w:tabs>
          <w:tab w:val="left" w:pos="567"/>
        </w:tabs>
        <w:spacing w:after="0" w:line="360" w:lineRule="auto"/>
      </w:pPr>
    </w:p>
    <w:p w14:paraId="166E0743" w14:textId="367A7E23" w:rsidR="00CE58A5" w:rsidRPr="0027513C" w:rsidRDefault="00CE4466" w:rsidP="007F72D0">
      <w:pPr>
        <w:spacing w:after="0" w:line="360" w:lineRule="auto"/>
      </w:pPr>
      <w:r w:rsidRPr="0027513C">
        <w:t xml:space="preserve">Con fecha </w:t>
      </w:r>
      <w:r w:rsidR="00FA6E53">
        <w:t>treinta y uno de octubre</w:t>
      </w:r>
      <w:r w:rsidR="006D4068">
        <w:t xml:space="preserve"> de dos mil veinticuatro</w:t>
      </w:r>
      <w:r w:rsidRPr="0027513C">
        <w:t>, el Particular presentó una solicitud de acceso a la información pública</w:t>
      </w:r>
      <w:r w:rsidR="001A54EF">
        <w:t xml:space="preserve"> </w:t>
      </w:r>
      <w:r w:rsidRPr="0027513C">
        <w:t xml:space="preserve"> a través del Sistema de Acceso a la Información Mexiquense (SAIMEX), ante el</w:t>
      </w:r>
      <w:r w:rsidR="00FA6E53">
        <w:t xml:space="preserve"> Sujeto Obligado</w:t>
      </w:r>
      <w:r w:rsidRPr="0027513C">
        <w:t xml:space="preserve">, en los siguientes términos: </w:t>
      </w:r>
    </w:p>
    <w:p w14:paraId="16195BED" w14:textId="77777777" w:rsidR="00CE58A5" w:rsidRPr="0027513C" w:rsidRDefault="00CE58A5" w:rsidP="007F72D0">
      <w:pPr>
        <w:spacing w:after="0" w:line="360" w:lineRule="auto"/>
      </w:pPr>
    </w:p>
    <w:p w14:paraId="65E84A9E" w14:textId="77777777" w:rsidR="00CE58A5" w:rsidRPr="0027513C" w:rsidRDefault="00CE4466" w:rsidP="007F72D0">
      <w:pPr>
        <w:tabs>
          <w:tab w:val="left" w:pos="4667"/>
        </w:tabs>
        <w:spacing w:after="0" w:line="360" w:lineRule="auto"/>
        <w:ind w:left="567" w:right="567"/>
        <w:rPr>
          <w:b/>
          <w:i/>
          <w:sz w:val="20"/>
          <w:szCs w:val="20"/>
        </w:rPr>
      </w:pPr>
      <w:r w:rsidRPr="0027513C">
        <w:rPr>
          <w:b/>
          <w:i/>
          <w:sz w:val="20"/>
          <w:szCs w:val="20"/>
        </w:rPr>
        <w:t>“DESCRIPCIÓN CLARA Y PRECISA DE LA INFORMACIÓN SOLICITADA.</w:t>
      </w:r>
    </w:p>
    <w:p w14:paraId="1B838018" w14:textId="15BBC206" w:rsidR="00CE58A5" w:rsidRDefault="00FA6E53" w:rsidP="007F72D0">
      <w:pPr>
        <w:tabs>
          <w:tab w:val="left" w:pos="4667"/>
        </w:tabs>
        <w:spacing w:after="0" w:line="360" w:lineRule="auto"/>
        <w:ind w:left="567" w:right="567"/>
        <w:rPr>
          <w:i/>
          <w:sz w:val="20"/>
          <w:szCs w:val="20"/>
        </w:rPr>
      </w:pPr>
      <w:r w:rsidRPr="00FA6E53">
        <w:rPr>
          <w:i/>
          <w:sz w:val="20"/>
          <w:szCs w:val="20"/>
        </w:rPr>
        <w:t>SOLICITO INFORMACIÓN POR PARTE DEL SERVIDOR PUBLICO LUIS ANTONIO SIERRA ALVAREZ JEFE DEL DEPARTAMENTO DE RECURSOS MATERIALES DEL IFREM, EN EL QUE SE ME ENTREGUE CON SOPORTE DOCUMENTAL VIA SAIMEX EL NUMERO DE ADJUDICACIONES DIRECTAS Y DE CONTRATOS PEDIDO REALIZADOS DURANTE EL AÑO 2024, SI PARA ESAS ADJUDICACIONES O CONTRATOS PEDIDOS SE REALIZÓ TRANSFERENCIA ENTRE PARTIDAS Y POR QUE MONTOS</w:t>
      </w:r>
      <w:r w:rsidR="006D4068" w:rsidRPr="006D4068">
        <w:rPr>
          <w:i/>
          <w:sz w:val="20"/>
          <w:szCs w:val="20"/>
        </w:rPr>
        <w:t>.</w:t>
      </w:r>
      <w:r w:rsidR="001A54EF">
        <w:rPr>
          <w:i/>
          <w:sz w:val="20"/>
          <w:szCs w:val="20"/>
        </w:rPr>
        <w:t xml:space="preserve">” </w:t>
      </w:r>
      <w:r w:rsidR="001A54EF" w:rsidRPr="0027513C">
        <w:rPr>
          <w:i/>
          <w:sz w:val="16"/>
          <w:szCs w:val="16"/>
        </w:rPr>
        <w:t>(</w:t>
      </w:r>
      <w:r w:rsidR="001A54EF" w:rsidRPr="0027513C">
        <w:rPr>
          <w:i/>
          <w:sz w:val="20"/>
          <w:szCs w:val="20"/>
        </w:rPr>
        <w:t xml:space="preserve">Sic) </w:t>
      </w:r>
    </w:p>
    <w:p w14:paraId="1F3D2B81" w14:textId="77777777" w:rsidR="0063095E" w:rsidRPr="0027513C" w:rsidRDefault="0063095E" w:rsidP="007F72D0">
      <w:pPr>
        <w:tabs>
          <w:tab w:val="left" w:pos="4667"/>
        </w:tabs>
        <w:spacing w:after="0" w:line="360" w:lineRule="auto"/>
        <w:ind w:left="567" w:right="567"/>
        <w:rPr>
          <w:i/>
          <w:sz w:val="20"/>
          <w:szCs w:val="20"/>
        </w:rPr>
      </w:pPr>
    </w:p>
    <w:p w14:paraId="0C1B5F6D" w14:textId="77777777" w:rsidR="00CE58A5" w:rsidRPr="0027513C" w:rsidRDefault="00CE4466" w:rsidP="007F72D0">
      <w:pPr>
        <w:tabs>
          <w:tab w:val="left" w:pos="4667"/>
        </w:tabs>
        <w:spacing w:after="0" w:line="360" w:lineRule="auto"/>
        <w:ind w:left="567" w:right="567"/>
        <w:rPr>
          <w:b/>
          <w:i/>
          <w:sz w:val="20"/>
          <w:szCs w:val="20"/>
        </w:rPr>
      </w:pPr>
      <w:r w:rsidRPr="0027513C">
        <w:rPr>
          <w:b/>
          <w:i/>
          <w:sz w:val="20"/>
          <w:szCs w:val="20"/>
        </w:rPr>
        <w:t>“MODALIDAD DE ENTREGA</w:t>
      </w:r>
    </w:p>
    <w:p w14:paraId="11287FA3" w14:textId="77777777" w:rsidR="00CE58A5" w:rsidRPr="0027513C" w:rsidRDefault="00CE4466" w:rsidP="007F72D0">
      <w:pPr>
        <w:spacing w:after="0" w:line="360" w:lineRule="auto"/>
        <w:ind w:left="567" w:right="567"/>
        <w:rPr>
          <w:i/>
          <w:sz w:val="20"/>
          <w:szCs w:val="20"/>
        </w:rPr>
      </w:pPr>
      <w:r w:rsidRPr="0027513C">
        <w:rPr>
          <w:i/>
          <w:sz w:val="20"/>
          <w:szCs w:val="20"/>
        </w:rPr>
        <w:t>A través del SAIMEX”</w:t>
      </w:r>
    </w:p>
    <w:p w14:paraId="59B55C0B" w14:textId="77777777" w:rsidR="00CE58A5" w:rsidRPr="0027513C" w:rsidRDefault="00CE58A5" w:rsidP="007F72D0">
      <w:pPr>
        <w:spacing w:after="0" w:line="360" w:lineRule="auto"/>
        <w:rPr>
          <w:b/>
        </w:rPr>
      </w:pPr>
    </w:p>
    <w:p w14:paraId="1D98E4F2" w14:textId="5F0F214A" w:rsidR="00CE58A5" w:rsidRPr="0027513C" w:rsidRDefault="001A54EF" w:rsidP="007F72D0">
      <w:pPr>
        <w:pStyle w:val="Ttulo2"/>
        <w:spacing w:before="0" w:after="0"/>
      </w:pPr>
      <w:bookmarkStart w:id="6" w:name="_Toc179975597"/>
      <w:bookmarkStart w:id="7" w:name="_Toc179976885"/>
      <w:bookmarkStart w:id="8" w:name="_Toc188530409"/>
      <w:r>
        <w:t xml:space="preserve">II. </w:t>
      </w:r>
      <w:r w:rsidRPr="0027513C">
        <w:t>Respuesta del Sujeto Obligado</w:t>
      </w:r>
      <w:bookmarkEnd w:id="6"/>
      <w:bookmarkEnd w:id="7"/>
      <w:bookmarkEnd w:id="8"/>
    </w:p>
    <w:p w14:paraId="0D93CE51" w14:textId="77777777" w:rsidR="00CE58A5" w:rsidRPr="0027513C" w:rsidRDefault="00CE58A5" w:rsidP="007F72D0">
      <w:pPr>
        <w:spacing w:after="0" w:line="360" w:lineRule="auto"/>
        <w:rPr>
          <w:b/>
        </w:rPr>
      </w:pPr>
    </w:p>
    <w:p w14:paraId="7A5EA7F4" w14:textId="535226B9" w:rsidR="00CE58A5" w:rsidRDefault="00CE4466" w:rsidP="007F72D0">
      <w:pPr>
        <w:spacing w:after="0" w:line="360" w:lineRule="auto"/>
      </w:pPr>
      <w:r w:rsidRPr="0027513C">
        <w:t xml:space="preserve">Con fecha </w:t>
      </w:r>
      <w:r w:rsidR="00FA6E53">
        <w:t xml:space="preserve">veinticinco  de noviembre </w:t>
      </w:r>
      <w:r w:rsidR="00BD76D4">
        <w:t>de dos mil veinticuatro</w:t>
      </w:r>
      <w:r w:rsidRPr="0027513C">
        <w:t xml:space="preserve">, el Sujeto Obligado notificó, a través del Sistema de Acceso a la Información Mexiquense (SAIMEX), la respuesta a la solicitud de </w:t>
      </w:r>
      <w:r w:rsidR="00D679AE">
        <w:t>a</w:t>
      </w:r>
      <w:r w:rsidRPr="0027513C">
        <w:t xml:space="preserve">cceso a la información pública, a través del </w:t>
      </w:r>
      <w:r w:rsidR="00AF44DB">
        <w:t>OFICIO/233C0101040202L/664/2024, del veintiuno de dicho mes y año</w:t>
      </w:r>
      <w:r w:rsidRPr="0027513C">
        <w:t xml:space="preserve"> </w:t>
      </w:r>
      <w:r w:rsidR="00D679AE">
        <w:t>del En</w:t>
      </w:r>
      <w:r w:rsidR="00DE7205">
        <w:t>cargado del Departamento de Normatividad  y Responsable de la Unidad de Transparencia, comunicando el número de adjudicaciones directas</w:t>
      </w:r>
      <w:r w:rsidR="004D5A14">
        <w:t xml:space="preserve"> y de contratos pedido, </w:t>
      </w:r>
      <w:r w:rsidR="00DE7205">
        <w:t xml:space="preserve"> realizad</w:t>
      </w:r>
      <w:r w:rsidR="004D5A14">
        <w:t>o</w:t>
      </w:r>
      <w:r w:rsidR="00DE7205">
        <w:t xml:space="preserve">s durante </w:t>
      </w:r>
      <w:r w:rsidR="004D5A14">
        <w:t>dos mil veinticuatro; así mismo refirió que no se realizaron transferencias.</w:t>
      </w:r>
    </w:p>
    <w:p w14:paraId="16B61E7E" w14:textId="77777777" w:rsidR="00AF44DB" w:rsidRDefault="00AF44DB" w:rsidP="007F72D0">
      <w:pPr>
        <w:spacing w:after="0" w:line="360" w:lineRule="auto"/>
      </w:pPr>
    </w:p>
    <w:p w14:paraId="2FA06B09" w14:textId="539475D2" w:rsidR="00CE58A5" w:rsidRPr="0027513C" w:rsidRDefault="00D679AE" w:rsidP="007F72D0">
      <w:pPr>
        <w:pStyle w:val="Ttulo2"/>
        <w:spacing w:before="0" w:after="0"/>
      </w:pPr>
      <w:bookmarkStart w:id="9" w:name="_Toc179975598"/>
      <w:bookmarkStart w:id="10" w:name="_Toc179976886"/>
      <w:bookmarkStart w:id="11" w:name="_Toc188530410"/>
      <w:r>
        <w:t>III</w:t>
      </w:r>
      <w:r w:rsidR="00CE4466" w:rsidRPr="0027513C">
        <w:t>. Interposición del Recurso de Revisión</w:t>
      </w:r>
      <w:bookmarkEnd w:id="9"/>
      <w:bookmarkEnd w:id="10"/>
      <w:bookmarkEnd w:id="11"/>
    </w:p>
    <w:p w14:paraId="3837109C" w14:textId="77777777" w:rsidR="00CE58A5" w:rsidRPr="0027513C" w:rsidRDefault="00CE58A5" w:rsidP="007F72D0">
      <w:pPr>
        <w:spacing w:after="0" w:line="360" w:lineRule="auto"/>
        <w:rPr>
          <w:b/>
        </w:rPr>
      </w:pPr>
    </w:p>
    <w:p w14:paraId="3385106E" w14:textId="1D63824B" w:rsidR="00CE58A5" w:rsidRPr="0027513C" w:rsidRDefault="00CE4466" w:rsidP="007F72D0">
      <w:pPr>
        <w:spacing w:after="0" w:line="360" w:lineRule="auto"/>
      </w:pPr>
      <w:r w:rsidRPr="0027513C">
        <w:t>Con fecha</w:t>
      </w:r>
      <w:r w:rsidR="00DD7C00">
        <w:t xml:space="preserve"> </w:t>
      </w:r>
      <w:r w:rsidR="00D679AE">
        <w:t>tres de diciembre</w:t>
      </w:r>
      <w:r w:rsidR="00DD7C00">
        <w:t xml:space="preserve"> de dos mil veinticuatro</w:t>
      </w:r>
      <w:r w:rsidRPr="0027513C">
        <w:t>,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12D42B0C" w14:textId="77777777" w:rsidR="00CE58A5" w:rsidRPr="0027513C" w:rsidRDefault="00CE58A5" w:rsidP="007F72D0">
      <w:pPr>
        <w:spacing w:after="0" w:line="360" w:lineRule="auto"/>
      </w:pPr>
    </w:p>
    <w:p w14:paraId="70843217" w14:textId="77777777" w:rsidR="00CE58A5" w:rsidRPr="0027513C" w:rsidRDefault="00CE4466" w:rsidP="007F72D0">
      <w:pPr>
        <w:spacing w:after="0" w:line="360" w:lineRule="auto"/>
        <w:ind w:left="567" w:right="567"/>
        <w:rPr>
          <w:i/>
          <w:sz w:val="20"/>
          <w:szCs w:val="20"/>
        </w:rPr>
      </w:pPr>
      <w:r w:rsidRPr="0027513C">
        <w:rPr>
          <w:b/>
          <w:i/>
          <w:sz w:val="20"/>
          <w:szCs w:val="20"/>
        </w:rPr>
        <w:t>“ACTO IMPUGNADO”</w:t>
      </w:r>
    </w:p>
    <w:p w14:paraId="1A82882E" w14:textId="52A84D15" w:rsidR="00CE58A5" w:rsidRPr="0027513C" w:rsidRDefault="00D679AE" w:rsidP="007F72D0">
      <w:pPr>
        <w:spacing w:after="0" w:line="360" w:lineRule="auto"/>
        <w:ind w:left="567" w:right="567"/>
        <w:rPr>
          <w:i/>
          <w:sz w:val="20"/>
          <w:szCs w:val="20"/>
        </w:rPr>
      </w:pPr>
      <w:r w:rsidRPr="00D679AE">
        <w:rPr>
          <w:i/>
          <w:color w:val="000000"/>
          <w:sz w:val="20"/>
          <w:szCs w:val="20"/>
        </w:rPr>
        <w:t>OFICIO DE RESPUESTA NÚMERO 233C0101040202L/664/2024, QUE CORRESPONDE A LA SOLICITUS DE INFORMACIÓN NÚMERO 00143/IFR/IP/2024, POR SER INCOMPLETA, INEXACTA Y NO CORRESPONDER A LO QUE SOLICITO</w:t>
      </w:r>
      <w:r w:rsidR="00791585" w:rsidRPr="0027513C">
        <w:rPr>
          <w:i/>
          <w:sz w:val="20"/>
          <w:szCs w:val="20"/>
        </w:rPr>
        <w:t>” (Sic.)</w:t>
      </w:r>
    </w:p>
    <w:p w14:paraId="1CAF0EE0" w14:textId="45F4FFAA" w:rsidR="00CE58A5" w:rsidRDefault="00CE58A5" w:rsidP="007017C4">
      <w:pPr>
        <w:tabs>
          <w:tab w:val="left" w:pos="3525"/>
        </w:tabs>
        <w:spacing w:after="0" w:line="360" w:lineRule="auto"/>
        <w:ind w:right="567"/>
        <w:rPr>
          <w:i/>
          <w:sz w:val="20"/>
          <w:szCs w:val="20"/>
        </w:rPr>
      </w:pPr>
    </w:p>
    <w:p w14:paraId="02DA69C4" w14:textId="77777777" w:rsidR="00CE58A5" w:rsidRPr="0027513C" w:rsidRDefault="00CE4466" w:rsidP="007F72D0">
      <w:pPr>
        <w:spacing w:after="0" w:line="360" w:lineRule="auto"/>
        <w:ind w:left="567" w:right="567"/>
        <w:rPr>
          <w:b/>
          <w:i/>
          <w:sz w:val="20"/>
          <w:szCs w:val="20"/>
        </w:rPr>
      </w:pPr>
      <w:r w:rsidRPr="0027513C">
        <w:rPr>
          <w:b/>
          <w:i/>
          <w:sz w:val="20"/>
          <w:szCs w:val="20"/>
        </w:rPr>
        <w:t>“RAZONES O MOTIVOS DE LA INCONFORMIDAD”</w:t>
      </w:r>
    </w:p>
    <w:p w14:paraId="10183522" w14:textId="575ACB9D" w:rsidR="00CE58A5" w:rsidRPr="0027513C" w:rsidRDefault="00D679AE" w:rsidP="007F72D0">
      <w:pPr>
        <w:spacing w:after="0" w:line="360" w:lineRule="auto"/>
        <w:ind w:left="567" w:right="567"/>
        <w:rPr>
          <w:i/>
          <w:sz w:val="20"/>
          <w:szCs w:val="20"/>
        </w:rPr>
      </w:pPr>
      <w:r w:rsidRPr="00805D25">
        <w:rPr>
          <w:i/>
          <w:color w:val="000000"/>
          <w:sz w:val="20"/>
          <w:szCs w:val="20"/>
        </w:rPr>
        <w:t>LO ANTERIOR, EN ATENCIÓA A QUE LA CONTESTACIÓN A MI PETICIÓN ME REMITE NUEVAMENTE A UNA LIGA, Y YO NO PEDÍ QUE SE ME DIJERA EN QUE LIGA LO PUEDO ENCONTRAR TODA VEZ QUE NO TENGO LA EXPERTÍZ</w:t>
      </w:r>
      <w:r w:rsidRPr="00D679AE">
        <w:rPr>
          <w:i/>
          <w:color w:val="000000"/>
          <w:sz w:val="20"/>
          <w:szCs w:val="20"/>
        </w:rPr>
        <w:t xml:space="preserve"> EN COMPUTACIÓN, ES INEXACTA POR QUE DE LA CAPTURA DE PANTALLA QUE SE AGREGA A LA RESPUESTA LA INFORMACIÓN ABARCA HASTA EL SEGUNDO TRIMESTRE, POR LO CUAL ESTA INCOMLPLETA YA QUE MIS SOLICITUDES CORRESPONDEN AL MES DE NOVIEMBRE, ES DECIR SE ME DEBIÓ DE ENTREGAR LA INFORMACIÓN POR LO MENOS AL MES DE SEPTIEMBRE " TERCER TRIMESTRE", LUEGO ENTONCES FABRICAN RES´PUESTAS A MODO POR LO QUE SOLICTO ME ENTREGUEN LA INFORMACIÓN COMPLETA Y TAL Y COMO LA HE SOLICITADO, NO QUE ME MANDEN A NINGUNA LIGA POR QUE NO LO SE UBICAR YCONFORME AL CRITERIO DE INTERPRETACIÓN NÚMERO 03.17 EMITIDO POR EL INSTITUTO NACIONAL DE TRANSPARENCIA, ACCESO A LA INFORMACIÓN Y PROTECCIÓN DE DATOS PERSONALES, YA QUE ESTAN ELABORANDO DOCUMENTOS "AD HOC" PARA ATENDER SOLICITUDES DE ACCESO A LA INFORMACIÓN, PUESTO QUE EL SERVIDOR PÚBLICO LUIS ANTONIO SIERRA ALVAREZ CUENTA EN SUS ARCHIVOS CON LA INFORMACIÓN QUE SOLICITO, NO DEBE REMITIRME A NINGUNA LIGA, POR LO TANTO VIOLA EN MI PERJUICIO EL DERECHO QUE TENGO A LA INFORMACIÓN QUE ES "PÚBLICA",</w:t>
      </w:r>
      <w:r w:rsidR="00DD7C00" w:rsidRPr="00DD7C00">
        <w:rPr>
          <w:i/>
          <w:color w:val="000000"/>
          <w:sz w:val="20"/>
          <w:szCs w:val="20"/>
        </w:rPr>
        <w:t>.</w:t>
      </w:r>
      <w:r w:rsidR="00791585" w:rsidRPr="0027513C">
        <w:rPr>
          <w:i/>
          <w:sz w:val="20"/>
          <w:szCs w:val="20"/>
        </w:rPr>
        <w:t>” (Sic.)</w:t>
      </w:r>
    </w:p>
    <w:p w14:paraId="3E80F61B" w14:textId="77777777" w:rsidR="007017C4" w:rsidRPr="0027513C" w:rsidRDefault="007017C4" w:rsidP="007F72D0">
      <w:pPr>
        <w:spacing w:after="0" w:line="360" w:lineRule="auto"/>
      </w:pPr>
    </w:p>
    <w:p w14:paraId="256BC137" w14:textId="0243D312" w:rsidR="00CE58A5" w:rsidRDefault="00CE4466" w:rsidP="007F72D0">
      <w:pPr>
        <w:pStyle w:val="Ttulo2"/>
        <w:spacing w:before="0" w:after="0"/>
      </w:pPr>
      <w:bookmarkStart w:id="12" w:name="_Toc179975599"/>
      <w:bookmarkStart w:id="13" w:name="_Toc179976887"/>
      <w:bookmarkStart w:id="14" w:name="_Toc188530411"/>
      <w:r w:rsidRPr="0027513C">
        <w:t>V. Trámite del Recurso de Revisión ante este Instituto</w:t>
      </w:r>
      <w:bookmarkEnd w:id="12"/>
      <w:bookmarkEnd w:id="13"/>
      <w:bookmarkEnd w:id="14"/>
    </w:p>
    <w:p w14:paraId="08451C4E" w14:textId="77777777" w:rsidR="001A54EF" w:rsidRPr="0027513C" w:rsidRDefault="001A54EF" w:rsidP="007F72D0">
      <w:pPr>
        <w:spacing w:after="0" w:line="360" w:lineRule="auto"/>
        <w:rPr>
          <w:b/>
        </w:rPr>
      </w:pPr>
    </w:p>
    <w:p w14:paraId="31E01367" w14:textId="341FC973" w:rsidR="00CE58A5" w:rsidRPr="0027513C" w:rsidRDefault="00CE4466" w:rsidP="007F72D0">
      <w:pPr>
        <w:spacing w:after="0" w:line="360" w:lineRule="auto"/>
        <w:rPr>
          <w:b/>
        </w:rPr>
      </w:pPr>
      <w:r w:rsidRPr="0027513C">
        <w:rPr>
          <w:b/>
        </w:rPr>
        <w:t>a) Turno del Medio de Impugnación.</w:t>
      </w:r>
      <w:r w:rsidRPr="0027513C">
        <w:t xml:space="preserve"> El </w:t>
      </w:r>
      <w:r w:rsidR="008B06AB" w:rsidRPr="008B06AB">
        <w:t>tres de diciembre de dos mil veinticuatro</w:t>
      </w:r>
      <w:r w:rsidRPr="0027513C">
        <w:t xml:space="preserve">, el Sistema de Acceso a la Información Mexiquense (SAIMEX), asignó el número de expediente </w:t>
      </w:r>
      <w:r w:rsidR="008B06AB">
        <w:rPr>
          <w:b/>
        </w:rPr>
        <w:t>07456</w:t>
      </w:r>
      <w:r w:rsidR="006D4068" w:rsidRPr="006D4068">
        <w:rPr>
          <w:b/>
        </w:rPr>
        <w:t>/INFOEM/IP/RR/2024</w:t>
      </w:r>
      <w:r w:rsidRPr="0027513C">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7C5527A3" w14:textId="77777777" w:rsidR="00CE58A5" w:rsidRPr="0027513C" w:rsidRDefault="00CE58A5" w:rsidP="007F72D0">
      <w:pPr>
        <w:spacing w:after="0" w:line="360" w:lineRule="auto"/>
      </w:pPr>
    </w:p>
    <w:p w14:paraId="69DE9485" w14:textId="7F1500EC" w:rsidR="00CE58A5" w:rsidRPr="0027513C" w:rsidRDefault="00CE4466" w:rsidP="007F72D0">
      <w:pPr>
        <w:spacing w:after="0" w:line="360" w:lineRule="auto"/>
      </w:pPr>
      <w:r w:rsidRPr="0027513C">
        <w:rPr>
          <w:b/>
        </w:rPr>
        <w:t>b) Admisión del Recurso de Revisión.</w:t>
      </w:r>
      <w:r w:rsidRPr="0027513C">
        <w:t xml:space="preserve"> El </w:t>
      </w:r>
      <w:r w:rsidR="008B06AB">
        <w:t>seis de diciembre</w:t>
      </w:r>
      <w:r w:rsidR="00DD7C00" w:rsidRPr="00DD7C00">
        <w:t xml:space="preserve"> de dos mil veinticuatro</w:t>
      </w:r>
      <w:r w:rsidRPr="0027513C">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791585" w:rsidRPr="0027513C">
        <w:t>once</w:t>
      </w:r>
      <w:r w:rsidRPr="0027513C">
        <w:t xml:space="preserve"> de dicho mes y año, a través del Sistema de Acceso a la Información Mexiquense (SAIMEX), en el que se les otorgó un plazo de siete días hábiles posteriores a la misma, para que manifestaran lo que a su derecho conviniera y formularan alegatos.</w:t>
      </w:r>
    </w:p>
    <w:p w14:paraId="1AF49958" w14:textId="77777777" w:rsidR="00CE58A5" w:rsidRPr="0027513C" w:rsidRDefault="00CE58A5" w:rsidP="007F72D0">
      <w:pPr>
        <w:spacing w:after="0" w:line="360" w:lineRule="auto"/>
        <w:rPr>
          <w:b/>
        </w:rPr>
      </w:pPr>
    </w:p>
    <w:p w14:paraId="3590ED0A" w14:textId="05B0C765" w:rsidR="00CE58A5" w:rsidRPr="00372769" w:rsidRDefault="00CE4466" w:rsidP="007F72D0">
      <w:pPr>
        <w:spacing w:after="0" w:line="360" w:lineRule="auto"/>
      </w:pPr>
      <w:r w:rsidRPr="00805D25">
        <w:rPr>
          <w:b/>
          <w:color w:val="000000"/>
        </w:rPr>
        <w:t xml:space="preserve">c) </w:t>
      </w:r>
      <w:r w:rsidRPr="00805D25">
        <w:rPr>
          <w:b/>
        </w:rPr>
        <w:t xml:space="preserve">Informe Justificado. </w:t>
      </w:r>
      <w:r w:rsidR="00372769" w:rsidRPr="00805D25">
        <w:t xml:space="preserve">El </w:t>
      </w:r>
      <w:r w:rsidR="00492F55" w:rsidRPr="00805D25">
        <w:t>diecisiete de diciembre</w:t>
      </w:r>
      <w:r w:rsidR="00372769" w:rsidRPr="00805D25">
        <w:t xml:space="preserve"> de dos mil veinticuatro, </w:t>
      </w:r>
      <w:r w:rsidR="007F72D0">
        <w:t xml:space="preserve">se recibió en este Instituto, a través del </w:t>
      </w:r>
      <w:r w:rsidR="007F72D0" w:rsidRPr="0027513C">
        <w:t>Sistema de Acceso a la Información Mexiquense (SAIMEX)</w:t>
      </w:r>
      <w:r w:rsidR="007F72D0">
        <w:t>, el Informe Justificado del Sujeto Obligado, por medio del Oficio/233C0101040000L/2710/2024, de la misma fecha de recepción, suscrito por el Titular de la Unidad de Transparencia y dirigido al Comisionado Ponente, por medio del cual ratifica la respuesta primigenia</w:t>
      </w:r>
    </w:p>
    <w:p w14:paraId="56789300" w14:textId="77777777" w:rsidR="00372769" w:rsidRDefault="00372769" w:rsidP="007F72D0">
      <w:pPr>
        <w:spacing w:after="0" w:line="360" w:lineRule="auto"/>
      </w:pPr>
    </w:p>
    <w:p w14:paraId="2A3CAB21" w14:textId="19C83246" w:rsidR="007F72D0" w:rsidRPr="007F72D0" w:rsidRDefault="007F72D0" w:rsidP="007F72D0">
      <w:pPr>
        <w:spacing w:after="0" w:line="360" w:lineRule="auto"/>
        <w:rPr>
          <w:b/>
          <w:color w:val="000000"/>
        </w:rPr>
      </w:pPr>
      <w:r w:rsidRPr="00E860EB">
        <w:rPr>
          <w:b/>
        </w:rPr>
        <w:t xml:space="preserve">d) Vista del Informe Justificado. </w:t>
      </w:r>
      <w:r w:rsidRPr="00E860EB">
        <w:rPr>
          <w:color w:val="000000"/>
        </w:rPr>
        <w:t xml:space="preserve">El </w:t>
      </w:r>
      <w:r>
        <w:rPr>
          <w:color w:val="000000"/>
        </w:rPr>
        <w:t>dieciocho</w:t>
      </w:r>
      <w:r w:rsidRPr="00E860EB">
        <w:rPr>
          <w:color w:val="000000"/>
        </w:rPr>
        <w:t xml:space="preserve"> de diciembre de dos mil veinticuatro, se dictó acuerdo por medio del cual se puso a la vista del Recurrente el Informe Justificado entregado por el Sujeto Obligado, el cual fue notificado a las partes, el dieciséis del mismo mes y año, a través del Sistema de Acceso a la Información Mexiquense (SAIMEX). </w:t>
      </w:r>
      <w:r w:rsidRPr="00E860EB">
        <w:rPr>
          <w:b/>
          <w:color w:val="000000"/>
        </w:rPr>
        <w:t>Cabe señalar que el Particular fue omiso en realizar manifestación alguna.</w:t>
      </w:r>
    </w:p>
    <w:p w14:paraId="195F69F7" w14:textId="77777777" w:rsidR="007F72D0" w:rsidRPr="00372769" w:rsidRDefault="007F72D0" w:rsidP="007F72D0">
      <w:pPr>
        <w:spacing w:after="0" w:line="360" w:lineRule="auto"/>
      </w:pPr>
    </w:p>
    <w:p w14:paraId="13E25C12" w14:textId="0AF93FEF" w:rsidR="00CE58A5" w:rsidRPr="0027513C" w:rsidRDefault="00791585" w:rsidP="007F72D0">
      <w:pPr>
        <w:spacing w:after="0" w:line="360" w:lineRule="auto"/>
        <w:rPr>
          <w:b/>
        </w:rPr>
      </w:pPr>
      <w:r w:rsidRPr="0027513C">
        <w:rPr>
          <w:b/>
        </w:rPr>
        <w:t>e) Cierre de instrucción.</w:t>
      </w:r>
      <w:r w:rsidRPr="0027513C">
        <w:t xml:space="preserve"> El </w:t>
      </w:r>
      <w:r w:rsidR="000B763F">
        <w:t>nueve</w:t>
      </w:r>
      <w:r w:rsidR="000809CE">
        <w:t xml:space="preserve"> de enero de dos mil veinticinco</w:t>
      </w:r>
      <w:r w:rsidRPr="0027513C">
        <w:t>,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w:t>
      </w:r>
      <w:r w:rsidR="000B763F">
        <w:t>exiquense (SAIMEX), el catorce de dicho mes y año</w:t>
      </w:r>
      <w:r w:rsidRPr="0027513C">
        <w:t>.</w:t>
      </w:r>
    </w:p>
    <w:p w14:paraId="6DF2E44B" w14:textId="77777777" w:rsidR="00CE58A5" w:rsidRPr="0027513C" w:rsidRDefault="00CE58A5" w:rsidP="007F72D0">
      <w:pPr>
        <w:spacing w:after="0" w:line="360" w:lineRule="auto"/>
      </w:pPr>
    </w:p>
    <w:p w14:paraId="1A2D1592" w14:textId="77777777" w:rsidR="00CE58A5" w:rsidRPr="0027513C" w:rsidRDefault="00CE4466" w:rsidP="007F72D0">
      <w:pPr>
        <w:spacing w:after="0" w:line="360" w:lineRule="auto"/>
      </w:pPr>
      <w:r w:rsidRPr="0027513C">
        <w:t xml:space="preserve">En razón de que fue debidamente sustanciado e integrado el expediente electrónico y no existe diligencia pendiente de desahogo, se emite la resolución que conforme a Derecho proceda, de acuerdo a los siguientes: </w:t>
      </w:r>
    </w:p>
    <w:p w14:paraId="4EA15356" w14:textId="77777777" w:rsidR="00CE58A5" w:rsidRPr="0027513C" w:rsidRDefault="00CE58A5" w:rsidP="007F72D0">
      <w:pPr>
        <w:spacing w:after="0" w:line="360" w:lineRule="auto"/>
      </w:pPr>
    </w:p>
    <w:p w14:paraId="1E06E728" w14:textId="69856E54" w:rsidR="00CE58A5" w:rsidRPr="0027513C" w:rsidRDefault="00CE4466" w:rsidP="007F72D0">
      <w:pPr>
        <w:pStyle w:val="Ttulo1"/>
        <w:spacing w:before="0" w:after="0"/>
      </w:pPr>
      <w:bookmarkStart w:id="15" w:name="_Toc179975600"/>
      <w:bookmarkStart w:id="16" w:name="_Toc179976888"/>
      <w:bookmarkStart w:id="17" w:name="_Toc188530412"/>
      <w:r w:rsidRPr="0027513C">
        <w:t>C O N S I D E R A N D O S</w:t>
      </w:r>
      <w:bookmarkEnd w:id="15"/>
      <w:bookmarkEnd w:id="16"/>
      <w:bookmarkEnd w:id="17"/>
    </w:p>
    <w:p w14:paraId="09DEA601" w14:textId="77777777" w:rsidR="00CE58A5" w:rsidRPr="0027513C" w:rsidRDefault="00CE58A5" w:rsidP="007F72D0">
      <w:pPr>
        <w:spacing w:after="0" w:line="360" w:lineRule="auto"/>
        <w:rPr>
          <w:b/>
        </w:rPr>
      </w:pPr>
    </w:p>
    <w:p w14:paraId="3D9317E1" w14:textId="77777777" w:rsidR="00CE58A5" w:rsidRPr="0027513C" w:rsidRDefault="00CE4466" w:rsidP="007F72D0">
      <w:pPr>
        <w:pStyle w:val="Ttulo2"/>
        <w:spacing w:before="0" w:after="0"/>
      </w:pPr>
      <w:bookmarkStart w:id="18" w:name="_Toc179975601"/>
      <w:bookmarkStart w:id="19" w:name="_Toc179976889"/>
      <w:bookmarkStart w:id="20" w:name="_Toc188530413"/>
      <w:r w:rsidRPr="0027513C">
        <w:t>PRIMERO. Competencia</w:t>
      </w:r>
      <w:bookmarkEnd w:id="18"/>
      <w:bookmarkEnd w:id="19"/>
      <w:bookmarkEnd w:id="20"/>
    </w:p>
    <w:p w14:paraId="4F07F053" w14:textId="77777777" w:rsidR="00CE58A5" w:rsidRPr="0027513C" w:rsidRDefault="00CE58A5" w:rsidP="007F72D0">
      <w:pPr>
        <w:spacing w:after="0" w:line="360" w:lineRule="auto"/>
        <w:rPr>
          <w:b/>
        </w:rPr>
      </w:pPr>
    </w:p>
    <w:p w14:paraId="7E9B74F8" w14:textId="23A0F8F7" w:rsidR="00CE58A5" w:rsidRPr="0027513C" w:rsidRDefault="00CE4466" w:rsidP="007F72D0">
      <w:pPr>
        <w:spacing w:after="0" w:line="360" w:lineRule="auto"/>
      </w:pPr>
      <w:r w:rsidRPr="0027513C">
        <w:t xml:space="preserve">El Instituto de Transparencia, Acceso a la Información Pública y Protección de Datos Personales del Estado de México y Municipios, es competente para conocer y resolver el presente </w:t>
      </w:r>
      <w:r w:rsidR="00AF44DB">
        <w:t>R</w:t>
      </w:r>
      <w:r w:rsidRPr="0027513C">
        <w:t xml:space="preserve">ecurso de </w:t>
      </w:r>
      <w:r w:rsidR="00AF44DB">
        <w:t>R</w:t>
      </w:r>
      <w:r w:rsidRPr="0027513C">
        <w:t xml:space="preserve">evisión interpuesto por la parte recurrente, conforme a lo dispuesto en </w:t>
      </w:r>
      <w:r w:rsidR="001A4945">
        <w:t>los artículos</w:t>
      </w:r>
      <w:r w:rsidRPr="0027513C">
        <w:t xml:space="preserve"> 5°, párrafos </w:t>
      </w:r>
      <w:r w:rsidRPr="0027513C">
        <w:rPr>
          <w:color w:val="000000"/>
        </w:rPr>
        <w:t>trigésimo segundo, trigésimo tercero y trigésimo cuarto</w:t>
      </w:r>
      <w:r w:rsidRPr="0027513C">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CE33F9D" w14:textId="77777777" w:rsidR="00CE58A5" w:rsidRPr="0027513C" w:rsidRDefault="00CE58A5" w:rsidP="007F72D0">
      <w:pPr>
        <w:spacing w:after="0" w:line="360" w:lineRule="auto"/>
      </w:pPr>
    </w:p>
    <w:p w14:paraId="250C24B5" w14:textId="77777777" w:rsidR="00CE58A5" w:rsidRPr="0027513C" w:rsidRDefault="00CE4466" w:rsidP="007F72D0">
      <w:pPr>
        <w:pStyle w:val="Ttulo2"/>
        <w:spacing w:before="0" w:after="0"/>
      </w:pPr>
      <w:bookmarkStart w:id="21" w:name="_Toc179975602"/>
      <w:bookmarkStart w:id="22" w:name="_Toc179976890"/>
      <w:bookmarkStart w:id="23" w:name="_Toc188530414"/>
      <w:r w:rsidRPr="0027513C">
        <w:t>SEGUNDO. Causales de improcedencia y sobreseimiento</w:t>
      </w:r>
      <w:bookmarkEnd w:id="21"/>
      <w:bookmarkEnd w:id="22"/>
      <w:bookmarkEnd w:id="23"/>
    </w:p>
    <w:p w14:paraId="5DE8EFD8" w14:textId="77777777" w:rsidR="00CE58A5" w:rsidRPr="0027513C" w:rsidRDefault="00CE58A5" w:rsidP="007F72D0">
      <w:pPr>
        <w:spacing w:after="0" w:line="360" w:lineRule="auto"/>
      </w:pPr>
    </w:p>
    <w:p w14:paraId="4C46253C" w14:textId="77777777" w:rsidR="00CE58A5" w:rsidRDefault="00CE4466" w:rsidP="007F72D0">
      <w:pPr>
        <w:spacing w:after="0" w:line="360" w:lineRule="auto"/>
      </w:pPr>
      <w:r w:rsidRPr="0027513C">
        <w:t xml:space="preserve">De las constancias que forma parte del Recurso de Revisión que se analiza, se advierte que previo al estudio del fondo de la </w:t>
      </w:r>
      <w:r w:rsidRPr="0027513C">
        <w:rPr>
          <w:i/>
        </w:rPr>
        <w:t>litis</w:t>
      </w:r>
      <w:r w:rsidRPr="0027513C">
        <w:t>, es necesario estudiar las causales de improcedencia y sobreseimiento que se adviertan, para determinar lo que en Derecho proceda.</w:t>
      </w:r>
    </w:p>
    <w:p w14:paraId="258A0263" w14:textId="77777777" w:rsidR="00E0692D" w:rsidRDefault="00E0692D" w:rsidP="007F72D0">
      <w:pPr>
        <w:spacing w:after="0" w:line="360" w:lineRule="auto"/>
        <w:rPr>
          <w:b/>
        </w:rPr>
      </w:pPr>
    </w:p>
    <w:p w14:paraId="7548DF11" w14:textId="77777777" w:rsidR="00CE58A5" w:rsidRDefault="00CE4466" w:rsidP="007F72D0">
      <w:pPr>
        <w:spacing w:after="0" w:line="360" w:lineRule="auto"/>
        <w:rPr>
          <w:b/>
        </w:rPr>
      </w:pPr>
      <w:r w:rsidRPr="0027513C">
        <w:rPr>
          <w:b/>
        </w:rPr>
        <w:t>Causales de improcedencia</w:t>
      </w:r>
    </w:p>
    <w:p w14:paraId="0999DABC" w14:textId="77777777" w:rsidR="00E85CCA" w:rsidRPr="0027513C" w:rsidRDefault="00E85CCA" w:rsidP="007F72D0">
      <w:pPr>
        <w:spacing w:after="0" w:line="360" w:lineRule="auto"/>
      </w:pPr>
    </w:p>
    <w:p w14:paraId="02D368DF" w14:textId="77777777" w:rsidR="00CE58A5" w:rsidRPr="0027513C" w:rsidRDefault="00CE4466" w:rsidP="007F72D0">
      <w:pPr>
        <w:spacing w:after="0" w:line="360" w:lineRule="auto"/>
      </w:pPr>
      <w:r w:rsidRPr="0027513C">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27513C">
        <w:rPr>
          <w:b/>
        </w:rPr>
        <w:t xml:space="preserve"> </w:t>
      </w:r>
      <w:r w:rsidRPr="0027513C">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036ADEC6" w14:textId="77777777" w:rsidR="00CE58A5" w:rsidRPr="0027513C" w:rsidRDefault="00CE58A5" w:rsidP="007F72D0">
      <w:pPr>
        <w:spacing w:after="0" w:line="360" w:lineRule="auto"/>
      </w:pPr>
    </w:p>
    <w:p w14:paraId="35F10868" w14:textId="77777777" w:rsidR="00CE58A5" w:rsidRPr="0027513C" w:rsidRDefault="00CE4466" w:rsidP="007F72D0">
      <w:pPr>
        <w:spacing w:after="0" w:line="360" w:lineRule="auto"/>
      </w:pPr>
      <w:r w:rsidRPr="0027513C">
        <w:t xml:space="preserve">En el presente caso, </w:t>
      </w:r>
      <w:r w:rsidRPr="0027513C">
        <w:rPr>
          <w:b/>
        </w:rPr>
        <w:t>no se actualiza ninguna de las causales de improcedencia</w:t>
      </w:r>
      <w:r w:rsidRPr="0027513C">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ADC4A46" w14:textId="77777777" w:rsidR="00CE58A5" w:rsidRPr="0027513C" w:rsidRDefault="00CE58A5" w:rsidP="007F72D0">
      <w:pPr>
        <w:spacing w:after="0" w:line="360" w:lineRule="auto"/>
        <w:rPr>
          <w:b/>
        </w:rPr>
      </w:pPr>
    </w:p>
    <w:p w14:paraId="404C2A95" w14:textId="1CE43DBE" w:rsidR="00CE58A5" w:rsidRDefault="00CE4466" w:rsidP="007F72D0">
      <w:pPr>
        <w:spacing w:after="0" w:line="360" w:lineRule="auto"/>
      </w:pPr>
      <w:r w:rsidRPr="0027513C">
        <w:t>Asimismo, se actualiza</w:t>
      </w:r>
      <w:r w:rsidR="003B7BFE">
        <w:t>n</w:t>
      </w:r>
      <w:r w:rsidRPr="0027513C">
        <w:t xml:space="preserve"> la</w:t>
      </w:r>
      <w:r w:rsidR="003B7BFE">
        <w:t>s</w:t>
      </w:r>
      <w:r w:rsidRPr="0027513C">
        <w:t xml:space="preserve"> causal</w:t>
      </w:r>
      <w:r w:rsidR="003B7BFE">
        <w:t>es</w:t>
      </w:r>
      <w:r w:rsidRPr="0027513C">
        <w:t xml:space="preserve"> de procedencia del Recurso de Revisión señal</w:t>
      </w:r>
      <w:r w:rsidR="00D52F9F">
        <w:t>ada</w:t>
      </w:r>
      <w:r w:rsidR="003B7BFE">
        <w:t>s</w:t>
      </w:r>
      <w:r w:rsidR="00D52F9F">
        <w:t xml:space="preserve"> en </w:t>
      </w:r>
      <w:r w:rsidR="003B7BFE">
        <w:t xml:space="preserve">el artículo 179, </w:t>
      </w:r>
      <w:r w:rsidR="00E85CCA">
        <w:t>fracciones V y VI</w:t>
      </w:r>
      <w:r w:rsidR="00DD4B9A">
        <w:t>II</w:t>
      </w:r>
      <w:r w:rsidR="003B7BFE">
        <w:t xml:space="preserve"> </w:t>
      </w:r>
      <w:r w:rsidR="00DD4B9A">
        <w:t>de la Ley en cita.</w:t>
      </w:r>
    </w:p>
    <w:p w14:paraId="530C05DF" w14:textId="77777777" w:rsidR="00E85CCA" w:rsidRDefault="00E85CCA" w:rsidP="007F72D0">
      <w:pPr>
        <w:spacing w:after="0" w:line="360" w:lineRule="auto"/>
      </w:pPr>
    </w:p>
    <w:p w14:paraId="74D31774" w14:textId="67E7D996" w:rsidR="00922619" w:rsidRPr="00922619" w:rsidRDefault="00922619" w:rsidP="007F72D0">
      <w:pPr>
        <w:spacing w:after="0" w:line="360" w:lineRule="auto"/>
        <w:ind w:right="-28"/>
        <w:contextualSpacing/>
        <w:rPr>
          <w:rFonts w:eastAsia="Calibri" w:cs="Tahoma"/>
          <w:b/>
          <w:color w:val="auto"/>
          <w:lang w:val="es-ES" w:eastAsia="es-ES_tradnl"/>
        </w:rPr>
      </w:pPr>
      <w:r w:rsidRPr="00922619">
        <w:rPr>
          <w:rFonts w:eastAsia="Calibri" w:cs="Tahoma"/>
          <w:b/>
          <w:color w:val="auto"/>
          <w:lang w:val="es-ES" w:eastAsia="es-ES_tradnl"/>
        </w:rPr>
        <w:t>Causales de sobres</w:t>
      </w:r>
      <w:r w:rsidR="00E0692D">
        <w:rPr>
          <w:rFonts w:eastAsia="Calibri" w:cs="Tahoma"/>
          <w:b/>
          <w:color w:val="auto"/>
          <w:lang w:val="es-ES" w:eastAsia="es-ES_tradnl"/>
        </w:rPr>
        <w:t>eimiento</w:t>
      </w:r>
    </w:p>
    <w:p w14:paraId="6137A151" w14:textId="77777777" w:rsidR="00922619" w:rsidRPr="00922619" w:rsidRDefault="00922619" w:rsidP="007F72D0">
      <w:pPr>
        <w:spacing w:after="0" w:line="360" w:lineRule="auto"/>
        <w:ind w:right="-28"/>
        <w:contextualSpacing/>
        <w:rPr>
          <w:rFonts w:eastAsia="Calibri" w:cs="Tahoma"/>
          <w:color w:val="auto"/>
          <w:lang w:val="es-ES" w:eastAsia="es-ES_tradnl"/>
        </w:rPr>
      </w:pPr>
    </w:p>
    <w:p w14:paraId="2E349B16" w14:textId="77777777" w:rsidR="00922619" w:rsidRPr="00922619" w:rsidRDefault="00922619" w:rsidP="007F72D0">
      <w:pPr>
        <w:spacing w:after="0" w:line="360" w:lineRule="auto"/>
        <w:contextualSpacing/>
        <w:rPr>
          <w:rFonts w:eastAsia="Times New Roman" w:cs="Tahoma"/>
          <w:color w:val="auto"/>
          <w:szCs w:val="24"/>
          <w:lang w:eastAsia="es-ES"/>
        </w:rPr>
      </w:pPr>
      <w:r w:rsidRPr="00922619">
        <w:rPr>
          <w:rFonts w:eastAsia="Times New Roman" w:cs="Tahoma"/>
          <w:color w:val="auto"/>
          <w:szCs w:val="24"/>
          <w:lang w:eastAsia="es-ES"/>
        </w:rPr>
        <w:t>Por ser de previo y especial pronunciamiento, este Instituto analiza si se actualiza alguna causal de sobreseimiento.</w:t>
      </w:r>
    </w:p>
    <w:p w14:paraId="332E5BBB" w14:textId="77777777" w:rsidR="00922619" w:rsidRPr="00922619" w:rsidRDefault="00922619" w:rsidP="007F72D0">
      <w:pPr>
        <w:spacing w:after="0" w:line="360" w:lineRule="auto"/>
        <w:contextualSpacing/>
        <w:rPr>
          <w:rFonts w:eastAsia="Times New Roman" w:cs="Tahoma"/>
          <w:color w:val="auto"/>
          <w:szCs w:val="24"/>
          <w:lang w:eastAsia="es-ES"/>
        </w:rPr>
      </w:pPr>
    </w:p>
    <w:p w14:paraId="2F8D0F92" w14:textId="77777777" w:rsidR="00E85CCA" w:rsidRPr="00F9344F" w:rsidRDefault="00E85CCA" w:rsidP="00E85CCA">
      <w:pPr>
        <w:spacing w:after="0" w:line="360" w:lineRule="auto"/>
        <w:rPr>
          <w:color w:val="000000"/>
        </w:rPr>
      </w:pPr>
      <w:r w:rsidRPr="00F9344F">
        <w:rPr>
          <w:color w:val="0D0D0D"/>
        </w:rPr>
        <w:t>Sobre el tema, e</w:t>
      </w:r>
      <w:r w:rsidRPr="00F9344F">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25863B92" w14:textId="77777777" w:rsidR="00E85CCA" w:rsidRDefault="00E85CCA" w:rsidP="007F72D0">
      <w:pPr>
        <w:spacing w:after="0" w:line="360" w:lineRule="auto"/>
        <w:rPr>
          <w:rFonts w:eastAsia="Calibri" w:cs="Tahoma"/>
          <w:color w:val="0D0D0D" w:themeColor="text1" w:themeTint="F2"/>
          <w:lang w:eastAsia="es-ES_tradnl"/>
        </w:rPr>
      </w:pPr>
    </w:p>
    <w:p w14:paraId="2E25AA6B" w14:textId="4F7EBC5D" w:rsidR="00E85CCA" w:rsidRPr="00922619" w:rsidRDefault="00E85CCA" w:rsidP="007F72D0">
      <w:pPr>
        <w:spacing w:after="0" w:line="360" w:lineRule="auto"/>
        <w:rPr>
          <w:rFonts w:eastAsia="Calibri" w:cs="Tahoma"/>
          <w:color w:val="0D0D0D" w:themeColor="text1" w:themeTint="F2"/>
          <w:lang w:eastAsia="es-ES_tradnl"/>
        </w:rPr>
      </w:pPr>
      <w:r w:rsidRPr="00E85CCA">
        <w:rPr>
          <w:rFonts w:eastAsia="Calibri" w:cs="Tahoma"/>
          <w:color w:val="0D0D0D" w:themeColor="text1" w:themeTint="F2"/>
          <w:lang w:eastAsia="es-ES_tradnl"/>
        </w:rPr>
        <w:t>Por tales motivos, se considera procedente entrar al fondo del presente asunto.</w:t>
      </w:r>
    </w:p>
    <w:p w14:paraId="5755F7BD" w14:textId="77777777" w:rsidR="00922619" w:rsidRPr="00922619" w:rsidRDefault="00922619" w:rsidP="007F72D0">
      <w:pPr>
        <w:spacing w:after="0" w:line="360" w:lineRule="auto"/>
        <w:contextualSpacing/>
        <w:rPr>
          <w:rFonts w:eastAsia="Times New Roman" w:cs="Tahoma"/>
          <w:color w:val="auto"/>
          <w:szCs w:val="24"/>
          <w:lang w:eastAsia="es-ES"/>
        </w:rPr>
      </w:pPr>
    </w:p>
    <w:p w14:paraId="1E0EBBE3" w14:textId="6228D40D" w:rsidR="00CE58A5" w:rsidRPr="0027513C" w:rsidRDefault="00CE4466" w:rsidP="007F72D0">
      <w:pPr>
        <w:pStyle w:val="Ttulo2"/>
        <w:spacing w:before="0" w:after="0"/>
      </w:pPr>
      <w:bookmarkStart w:id="24" w:name="_Toc179975603"/>
      <w:bookmarkStart w:id="25" w:name="_Toc179976891"/>
      <w:bookmarkStart w:id="26" w:name="_Toc188530415"/>
      <w:r w:rsidRPr="0027513C">
        <w:t>TERCERO. Determinación de la Controversia</w:t>
      </w:r>
      <w:bookmarkEnd w:id="24"/>
      <w:bookmarkEnd w:id="25"/>
      <w:bookmarkEnd w:id="26"/>
    </w:p>
    <w:p w14:paraId="364AB4CE" w14:textId="77777777" w:rsidR="00CE58A5" w:rsidRPr="0027513C" w:rsidRDefault="00CE58A5" w:rsidP="007F72D0">
      <w:pPr>
        <w:spacing w:after="0" w:line="360" w:lineRule="auto"/>
        <w:rPr>
          <w:b/>
        </w:rPr>
      </w:pPr>
    </w:p>
    <w:p w14:paraId="750752C8" w14:textId="51621405" w:rsidR="0096653F" w:rsidRDefault="00CE4466" w:rsidP="007F72D0">
      <w:pPr>
        <w:widowControl w:val="0"/>
        <w:spacing w:after="0" w:line="360" w:lineRule="auto"/>
        <w:rPr>
          <w:color w:val="000000"/>
        </w:rPr>
      </w:pPr>
      <w:r w:rsidRPr="0027513C">
        <w:t xml:space="preserve">Una vez realizado el estudio de las constancias que integran el expediente en que se actúa, se desprende que el Recurrente </w:t>
      </w:r>
      <w:r w:rsidR="0073428E" w:rsidRPr="0027513C">
        <w:t>requirió</w:t>
      </w:r>
      <w:r w:rsidR="0073428E" w:rsidRPr="0027513C">
        <w:rPr>
          <w:color w:val="000000"/>
        </w:rPr>
        <w:t xml:space="preserve"> </w:t>
      </w:r>
      <w:r w:rsidR="0073428E">
        <w:rPr>
          <w:color w:val="000000"/>
        </w:rPr>
        <w:t>conocer</w:t>
      </w:r>
      <w:r w:rsidR="00A06082">
        <w:rPr>
          <w:color w:val="000000"/>
        </w:rPr>
        <w:t xml:space="preserve"> </w:t>
      </w:r>
      <w:r w:rsidR="00A06082" w:rsidRPr="0096653F">
        <w:rPr>
          <w:color w:val="000000"/>
        </w:rPr>
        <w:t xml:space="preserve">el número </w:t>
      </w:r>
      <w:r w:rsidR="0096653F" w:rsidRPr="0096653F">
        <w:rPr>
          <w:color w:val="000000"/>
        </w:rPr>
        <w:t>de adjudicaciones directas y de contratos pedido</w:t>
      </w:r>
      <w:r w:rsidR="00863E16">
        <w:rPr>
          <w:color w:val="000000"/>
        </w:rPr>
        <w:t xml:space="preserve"> realizados durante el año dos mil veinticuatro</w:t>
      </w:r>
      <w:r w:rsidR="00A06082">
        <w:rPr>
          <w:color w:val="000000"/>
        </w:rPr>
        <w:t>;</w:t>
      </w:r>
      <w:r w:rsidR="0096653F" w:rsidRPr="0096653F">
        <w:rPr>
          <w:color w:val="000000"/>
        </w:rPr>
        <w:t xml:space="preserve"> </w:t>
      </w:r>
      <w:r w:rsidR="00A06082">
        <w:rPr>
          <w:color w:val="000000"/>
        </w:rPr>
        <w:t>asimismo</w:t>
      </w:r>
      <w:r w:rsidR="0096653F">
        <w:rPr>
          <w:color w:val="000000"/>
        </w:rPr>
        <w:t xml:space="preserve"> </w:t>
      </w:r>
      <w:r w:rsidR="00A06082">
        <w:rPr>
          <w:color w:val="000000"/>
        </w:rPr>
        <w:t>conocer</w:t>
      </w:r>
      <w:r w:rsidR="0096653F">
        <w:rPr>
          <w:color w:val="000000"/>
        </w:rPr>
        <w:t xml:space="preserve"> </w:t>
      </w:r>
      <w:r w:rsidR="0096653F" w:rsidRPr="0096653F">
        <w:rPr>
          <w:color w:val="000000"/>
        </w:rPr>
        <w:t>si para esas adjudicaciones o con</w:t>
      </w:r>
      <w:r w:rsidR="00863E16">
        <w:rPr>
          <w:color w:val="000000"/>
        </w:rPr>
        <w:t>tratos pedidos se realizaron</w:t>
      </w:r>
      <w:r w:rsidR="0096653F" w:rsidRPr="0096653F">
        <w:rPr>
          <w:color w:val="000000"/>
        </w:rPr>
        <w:t xml:space="preserve"> transferencia</w:t>
      </w:r>
      <w:r w:rsidR="00863E16">
        <w:rPr>
          <w:color w:val="000000"/>
        </w:rPr>
        <w:t xml:space="preserve">s entre partidas y, en su caso, </w:t>
      </w:r>
      <w:r w:rsidR="0096653F">
        <w:rPr>
          <w:color w:val="000000"/>
        </w:rPr>
        <w:t>los</w:t>
      </w:r>
      <w:r w:rsidR="0096653F" w:rsidRPr="0096653F">
        <w:rPr>
          <w:color w:val="000000"/>
        </w:rPr>
        <w:t xml:space="preserve"> montos</w:t>
      </w:r>
      <w:r w:rsidR="00863E16">
        <w:rPr>
          <w:color w:val="000000"/>
        </w:rPr>
        <w:t xml:space="preserve"> de dichas transferencias.</w:t>
      </w:r>
    </w:p>
    <w:p w14:paraId="03799F52" w14:textId="77777777" w:rsidR="0090345F" w:rsidRDefault="0090345F" w:rsidP="007F72D0">
      <w:pPr>
        <w:widowControl w:val="0"/>
        <w:spacing w:after="0" w:line="360" w:lineRule="auto"/>
        <w:rPr>
          <w:color w:val="000000"/>
        </w:rPr>
      </w:pPr>
    </w:p>
    <w:p w14:paraId="7ED7BBD1" w14:textId="7766D3DB" w:rsidR="00CE58A5" w:rsidRPr="0027513C" w:rsidRDefault="00CE4466" w:rsidP="007F72D0">
      <w:pPr>
        <w:spacing w:after="0" w:line="360" w:lineRule="auto"/>
        <w:ind w:right="-28"/>
        <w:rPr>
          <w:color w:val="000000"/>
        </w:rPr>
      </w:pPr>
      <w:r w:rsidRPr="0027513C">
        <w:rPr>
          <w:color w:val="000000"/>
        </w:rPr>
        <w:t>En respuesta, el Sujeto Obligado a través de</w:t>
      </w:r>
      <w:r w:rsidR="00A06082">
        <w:rPr>
          <w:color w:val="000000"/>
        </w:rPr>
        <w:t>l</w:t>
      </w:r>
      <w:r w:rsidR="00A06082" w:rsidRPr="00A06082">
        <w:rPr>
          <w:color w:val="000000"/>
        </w:rPr>
        <w:t xml:space="preserve"> Encargado del Departamento de Normatividad  y Responsable de la Unidad de Transparencia,</w:t>
      </w:r>
      <w:r w:rsidR="00A06082">
        <w:rPr>
          <w:color w:val="000000"/>
        </w:rPr>
        <w:t xml:space="preserve"> informó </w:t>
      </w:r>
      <w:r w:rsidR="00A06082" w:rsidRPr="00A06082">
        <w:rPr>
          <w:color w:val="000000"/>
        </w:rPr>
        <w:t xml:space="preserve">el número de adjudicaciones directas y de contratos pedido,  realizados durante dos mil veinticuatro; así mismo refirió que </w:t>
      </w:r>
      <w:r w:rsidR="00A06082">
        <w:rPr>
          <w:color w:val="000000"/>
        </w:rPr>
        <w:t>no se realizaron transferencias</w:t>
      </w:r>
      <w:r w:rsidR="00A7495B">
        <w:rPr>
          <w:color w:val="000000"/>
        </w:rPr>
        <w:t>; ante dicha respuesta, el Particular se inconformó de la entrega incompleta de la información</w:t>
      </w:r>
      <w:r w:rsidR="00D733BD">
        <w:rPr>
          <w:color w:val="000000"/>
        </w:rPr>
        <w:t>, de la entrega de información que no corresponde con lo solicitado y con la entrega de información en un medio distinto al solicitado, al manifestar que el Sujeto Obligado le remitió a una liga electrónica</w:t>
      </w:r>
      <w:r w:rsidR="002711EF">
        <w:rPr>
          <w:color w:val="000000"/>
        </w:rPr>
        <w:t xml:space="preserve"> no solicitada y que la información de la captura que se acompaña a la respuesta no abarca el periodo solicitado, </w:t>
      </w:r>
      <w:r w:rsidR="00A7495B">
        <w:rPr>
          <w:color w:val="000000"/>
        </w:rPr>
        <w:t>lo cual actualiza los supuestos de procedencia establecidos en el</w:t>
      </w:r>
      <w:r w:rsidR="002711EF">
        <w:rPr>
          <w:color w:val="000000"/>
        </w:rPr>
        <w:t xml:space="preserve"> artículo 179, fracciones V y VIII </w:t>
      </w:r>
      <w:r w:rsidR="00A7495B">
        <w:rPr>
          <w:color w:val="000000"/>
        </w:rPr>
        <w:t xml:space="preserve"> de la Ley de </w:t>
      </w:r>
      <w:r w:rsidR="00400449">
        <w:rPr>
          <w:color w:val="000000"/>
        </w:rPr>
        <w:t>trasparencia</w:t>
      </w:r>
      <w:r w:rsidR="00A7495B">
        <w:rPr>
          <w:color w:val="000000"/>
        </w:rPr>
        <w:t xml:space="preserve"> local. </w:t>
      </w:r>
      <w:r w:rsidRPr="0027513C">
        <w:rPr>
          <w:color w:val="000000"/>
        </w:rPr>
        <w:t xml:space="preserve">Así las cosas, una vez admitido y notificado el Recurso de Revisión a las partes, </w:t>
      </w:r>
      <w:r w:rsidR="00400449">
        <w:rPr>
          <w:color w:val="000000"/>
        </w:rPr>
        <w:t xml:space="preserve">el Sujeto Obligado ratificó su respuesta. </w:t>
      </w:r>
    </w:p>
    <w:p w14:paraId="354D33B8" w14:textId="77777777" w:rsidR="00CE58A5" w:rsidRPr="0027513C" w:rsidRDefault="00CE58A5" w:rsidP="007F72D0">
      <w:pPr>
        <w:spacing w:after="0" w:line="360" w:lineRule="auto"/>
      </w:pPr>
    </w:p>
    <w:p w14:paraId="6DC5D7CF" w14:textId="77777777" w:rsidR="00CE58A5" w:rsidRPr="0027513C" w:rsidRDefault="00CE4466" w:rsidP="007F72D0">
      <w:pPr>
        <w:spacing w:after="0" w:line="360" w:lineRule="auto"/>
      </w:pPr>
      <w:r w:rsidRPr="0027513C">
        <w:t>Lo anterior, se desprende de las documentales que obran en los expedientes de referencia, materia de la presente resolución, consistente en: la solicitud de acceso a la información; la respuesta del Sujeto Obligado;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59F5025B" w14:textId="77777777" w:rsidR="00CE58A5" w:rsidRPr="0027513C" w:rsidRDefault="00CE58A5" w:rsidP="007F72D0">
      <w:pPr>
        <w:spacing w:after="0" w:line="360" w:lineRule="auto"/>
      </w:pPr>
    </w:p>
    <w:p w14:paraId="276834F4" w14:textId="2C1ED29F" w:rsidR="00CE58A5" w:rsidRPr="0027513C" w:rsidRDefault="00CE4466" w:rsidP="007F72D0">
      <w:pPr>
        <w:pStyle w:val="Ttulo2"/>
        <w:spacing w:before="0" w:after="0"/>
      </w:pPr>
      <w:bookmarkStart w:id="27" w:name="_Toc179975604"/>
      <w:bookmarkStart w:id="28" w:name="_Toc179976892"/>
      <w:bookmarkStart w:id="29" w:name="_Toc188530416"/>
      <w:r w:rsidRPr="0027513C">
        <w:t>CUARTO. Marco normativo aplicable en materia de transparencia y acceso a la información pública</w:t>
      </w:r>
      <w:bookmarkEnd w:id="27"/>
      <w:bookmarkEnd w:id="28"/>
      <w:bookmarkEnd w:id="29"/>
    </w:p>
    <w:p w14:paraId="63C42A96" w14:textId="77777777" w:rsidR="00CE58A5" w:rsidRDefault="00CE58A5" w:rsidP="007F72D0">
      <w:pPr>
        <w:spacing w:after="0" w:line="360" w:lineRule="auto"/>
        <w:rPr>
          <w:color w:val="000000"/>
        </w:rPr>
      </w:pPr>
    </w:p>
    <w:p w14:paraId="66093216" w14:textId="77777777" w:rsidR="001A4945" w:rsidRPr="001A4945" w:rsidRDefault="001A4945" w:rsidP="001A4945">
      <w:pPr>
        <w:spacing w:after="0" w:line="360" w:lineRule="auto"/>
        <w:rPr>
          <w:rFonts w:eastAsia="Times New Roman" w:cs="Tahoma"/>
          <w:color w:val="auto"/>
          <w:lang w:eastAsia="es-ES"/>
        </w:rPr>
      </w:pPr>
      <w:r w:rsidRPr="001A4945">
        <w:rPr>
          <w:rFonts w:eastAsia="Times New Roman" w:cs="Tahoma"/>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9D3517C" w14:textId="77777777" w:rsidR="001A4945" w:rsidRPr="001A4945" w:rsidRDefault="001A4945" w:rsidP="001A4945">
      <w:pPr>
        <w:spacing w:after="0" w:line="360" w:lineRule="auto"/>
        <w:rPr>
          <w:rFonts w:eastAsia="Times New Roman" w:cs="Tahoma"/>
          <w:color w:val="auto"/>
          <w:lang w:eastAsia="es-ES"/>
        </w:rPr>
      </w:pPr>
    </w:p>
    <w:p w14:paraId="0AE9AD36" w14:textId="1AC2D3A4" w:rsidR="001A4945" w:rsidRPr="001A4945" w:rsidRDefault="001A4945" w:rsidP="001A4945">
      <w:pPr>
        <w:spacing w:after="0" w:line="360" w:lineRule="auto"/>
        <w:rPr>
          <w:rFonts w:eastAsia="Times New Roman" w:cs="Tahoma"/>
          <w:color w:val="auto"/>
          <w:lang w:eastAsia="es-ES"/>
        </w:rPr>
      </w:pPr>
      <w:r w:rsidRPr="001A4945">
        <w:rPr>
          <w:rFonts w:eastAsia="Times New Roman" w:cs="Tahoma"/>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1A695B5" w14:textId="77777777" w:rsidR="001A4945" w:rsidRPr="001A4945" w:rsidRDefault="001A4945" w:rsidP="001A4945">
      <w:pPr>
        <w:spacing w:after="0" w:line="360" w:lineRule="auto"/>
        <w:rPr>
          <w:rFonts w:eastAsia="Times New Roman" w:cs="Tahoma"/>
          <w:color w:val="auto"/>
          <w:lang w:eastAsia="es-ES"/>
        </w:rPr>
      </w:pPr>
    </w:p>
    <w:p w14:paraId="2ECA1739" w14:textId="3F3E0A9A" w:rsidR="001A4945" w:rsidRDefault="001A4945" w:rsidP="001A4945">
      <w:pPr>
        <w:spacing w:after="0" w:line="360" w:lineRule="auto"/>
        <w:rPr>
          <w:rFonts w:eastAsia="Times New Roman" w:cs="Tahoma"/>
          <w:color w:val="auto"/>
          <w:lang w:eastAsia="es-ES"/>
        </w:rPr>
      </w:pPr>
      <w:r w:rsidRPr="001A4945">
        <w:rPr>
          <w:rFonts w:eastAsia="Times New Roman" w:cs="Tahoma"/>
          <w:color w:val="auto"/>
          <w:lang w:eastAsia="es-ES"/>
        </w:rPr>
        <w:t>Por su parte, en materia local, el artículo 5°, fracción I</w:t>
      </w:r>
      <w:r>
        <w:rPr>
          <w:rFonts w:eastAsia="Times New Roman" w:cs="Tahoma"/>
          <w:color w:val="auto"/>
          <w:lang w:eastAsia="es-ES"/>
        </w:rPr>
        <w:t>,</w:t>
      </w:r>
      <w:r w:rsidRPr="001A4945">
        <w:rPr>
          <w:rFonts w:eastAsia="Times New Roman" w:cs="Tahoma"/>
          <w:color w:val="auto"/>
          <w:lang w:eastAsia="es-ES"/>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35BD9ED" w14:textId="77777777" w:rsidR="00E0692D" w:rsidRPr="001A4945" w:rsidRDefault="00E0692D" w:rsidP="001A4945">
      <w:pPr>
        <w:spacing w:after="0" w:line="360" w:lineRule="auto"/>
        <w:rPr>
          <w:rFonts w:eastAsia="Times New Roman" w:cs="Tahoma"/>
          <w:color w:val="auto"/>
          <w:lang w:eastAsia="es-ES"/>
        </w:rPr>
      </w:pPr>
    </w:p>
    <w:p w14:paraId="79D71702" w14:textId="77777777" w:rsidR="00CE58A5" w:rsidRPr="0027513C" w:rsidRDefault="00CE4466" w:rsidP="007F72D0">
      <w:pPr>
        <w:spacing w:after="0" w:line="360" w:lineRule="auto"/>
        <w:rPr>
          <w:color w:val="000000"/>
        </w:rPr>
      </w:pPr>
      <w:r w:rsidRPr="0027513C">
        <w:rPr>
          <w:color w:val="000000"/>
        </w:rPr>
        <w:t>El artículo 12, que, quienes generen, recopilen, administren, manejen, procesen, archiven o conserven información pública serán responsables de la misma.</w:t>
      </w:r>
    </w:p>
    <w:p w14:paraId="2DD4E9D3" w14:textId="4A298F7C" w:rsidR="00F25B04" w:rsidRPr="0027513C" w:rsidRDefault="001A4945" w:rsidP="007F72D0">
      <w:pPr>
        <w:spacing w:after="0" w:line="360" w:lineRule="auto"/>
        <w:rPr>
          <w:color w:val="000000"/>
        </w:rPr>
      </w:pPr>
      <w:r>
        <w:rPr>
          <w:color w:val="000000"/>
        </w:rPr>
        <w:t xml:space="preserve"> </w:t>
      </w:r>
    </w:p>
    <w:p w14:paraId="08B8B529" w14:textId="77777777" w:rsidR="00CE58A5" w:rsidRPr="0027513C" w:rsidRDefault="00CE4466" w:rsidP="007F72D0">
      <w:pPr>
        <w:widowControl w:val="0"/>
        <w:spacing w:after="0" w:line="360" w:lineRule="auto"/>
        <w:rPr>
          <w:color w:val="000000"/>
        </w:rPr>
      </w:pPr>
      <w:r w:rsidRPr="0027513C">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10A9B8B" w14:textId="77777777" w:rsidR="00CE58A5" w:rsidRPr="0027513C" w:rsidRDefault="00CE58A5" w:rsidP="007F72D0">
      <w:pPr>
        <w:spacing w:after="0" w:line="360" w:lineRule="auto"/>
        <w:rPr>
          <w:color w:val="000000"/>
        </w:rPr>
      </w:pPr>
    </w:p>
    <w:p w14:paraId="7EFDFF6E" w14:textId="77777777" w:rsidR="00CE58A5" w:rsidRPr="0027513C" w:rsidRDefault="00CE4466" w:rsidP="007F72D0">
      <w:pPr>
        <w:spacing w:after="0" w:line="360" w:lineRule="auto"/>
        <w:rPr>
          <w:color w:val="000000"/>
        </w:rPr>
      </w:pPr>
      <w:r w:rsidRPr="006E767B">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13D1A4A" w14:textId="77777777" w:rsidR="00CE58A5" w:rsidRDefault="00CE58A5" w:rsidP="007F72D0">
      <w:pPr>
        <w:spacing w:after="0" w:line="360" w:lineRule="auto"/>
      </w:pPr>
    </w:p>
    <w:p w14:paraId="098C6B6C" w14:textId="42FAAB4A" w:rsidR="00B06F89" w:rsidRPr="00B06F89" w:rsidRDefault="0073428E" w:rsidP="0073428E">
      <w:pPr>
        <w:pStyle w:val="Ttulo2"/>
        <w:spacing w:before="0" w:after="0"/>
        <w:rPr>
          <w:lang w:val="es-ES" w:eastAsia="es-ES"/>
        </w:rPr>
      </w:pPr>
      <w:bookmarkStart w:id="30" w:name="_Toc188530417"/>
      <w:r>
        <w:rPr>
          <w:lang w:val="es-ES" w:eastAsia="es-ES"/>
        </w:rPr>
        <w:t>QUINTO</w:t>
      </w:r>
      <w:r w:rsidR="00B06F89" w:rsidRPr="00B06F89">
        <w:rPr>
          <w:lang w:val="es-ES" w:eastAsia="es-ES"/>
        </w:rPr>
        <w:t>. Estudio de Fondo</w:t>
      </w:r>
      <w:bookmarkEnd w:id="30"/>
    </w:p>
    <w:p w14:paraId="6B01CFCB" w14:textId="77777777" w:rsidR="00B06F89" w:rsidRPr="00B06F89" w:rsidRDefault="00B06F89" w:rsidP="007F72D0">
      <w:pPr>
        <w:spacing w:after="0" w:line="360" w:lineRule="auto"/>
        <w:contextualSpacing/>
        <w:rPr>
          <w:rFonts w:eastAsia="Times New Roman" w:cs="Tahoma"/>
          <w:b/>
          <w:bCs/>
          <w:iCs/>
          <w:color w:val="auto"/>
          <w:lang w:val="es-ES" w:eastAsia="es-ES"/>
        </w:rPr>
      </w:pPr>
    </w:p>
    <w:p w14:paraId="3F8D9C7A" w14:textId="7370B506" w:rsidR="00B06F89" w:rsidRPr="00B06F89" w:rsidRDefault="00B06F89" w:rsidP="007F72D0">
      <w:pPr>
        <w:widowControl w:val="0"/>
        <w:autoSpaceDE w:val="0"/>
        <w:autoSpaceDN w:val="0"/>
        <w:adjustRightInd w:val="0"/>
        <w:spacing w:after="0" w:line="360" w:lineRule="auto"/>
        <w:contextualSpacing/>
        <w:rPr>
          <w:rFonts w:eastAsia="Times New Roman" w:cs="Times New Roman"/>
          <w:color w:val="auto"/>
          <w:lang w:eastAsia="es-ES"/>
        </w:rPr>
      </w:pPr>
      <w:r w:rsidRPr="00863E16">
        <w:rPr>
          <w:rFonts w:eastAsia="Times New Roman" w:cs="Tahoma"/>
          <w:bCs/>
          <w:iCs/>
          <w:color w:val="auto"/>
          <w:lang w:eastAsia="es-ES"/>
        </w:rPr>
        <w:t xml:space="preserve">Expuestas las posturas de las partes, se procede al análisis del agravio hecho valer por el Recurrente, concerniente </w:t>
      </w:r>
      <w:r w:rsidRPr="00863E16">
        <w:rPr>
          <w:rFonts w:eastAsia="Times New Roman" w:cs="Tahoma"/>
        </w:rPr>
        <w:t xml:space="preserve">a la </w:t>
      </w:r>
      <w:r w:rsidR="006E767B" w:rsidRPr="00863E16">
        <w:rPr>
          <w:rFonts w:eastAsia="Times New Roman" w:cs="Tahoma"/>
        </w:rPr>
        <w:t xml:space="preserve">entrega </w:t>
      </w:r>
      <w:r w:rsidR="00F25B04">
        <w:rPr>
          <w:rFonts w:eastAsia="Times New Roman" w:cs="Tahoma"/>
        </w:rPr>
        <w:t>de información incompleta y que no corresponde con lo solicitado, para lo cual es necesario contextualizar la solicitud de información.</w:t>
      </w:r>
    </w:p>
    <w:p w14:paraId="36B8C65E" w14:textId="77777777" w:rsidR="00B06F89" w:rsidRPr="00B06F89" w:rsidRDefault="00B06F89" w:rsidP="007F72D0">
      <w:pPr>
        <w:widowControl w:val="0"/>
        <w:autoSpaceDE w:val="0"/>
        <w:autoSpaceDN w:val="0"/>
        <w:adjustRightInd w:val="0"/>
        <w:spacing w:after="0" w:line="360" w:lineRule="auto"/>
        <w:contextualSpacing/>
        <w:rPr>
          <w:rFonts w:eastAsia="Times New Roman" w:cs="Times New Roman"/>
          <w:color w:val="auto"/>
          <w:lang w:eastAsia="es-ES"/>
        </w:rPr>
      </w:pPr>
    </w:p>
    <w:p w14:paraId="08A96197" w14:textId="3BD55BEE" w:rsidR="00915B03" w:rsidRPr="00F25B04" w:rsidRDefault="00F25B04" w:rsidP="007F72D0">
      <w:pPr>
        <w:spacing w:after="0" w:line="360" w:lineRule="auto"/>
      </w:pPr>
      <w:r>
        <w:rPr>
          <w:lang w:val="es-ES"/>
        </w:rPr>
        <w:t>Sobre el tema</w:t>
      </w:r>
      <w:r>
        <w:t xml:space="preserve">, López, Miguel, y Cancino, Rodolfo (2020) en “La Contratación Pública y el Sistema Nacional Anticorrupción”. (p. 4), establecen que la </w:t>
      </w:r>
      <w:r>
        <w:rPr>
          <w:b/>
        </w:rPr>
        <w:t>contratación pública</w:t>
      </w:r>
      <w:r>
        <w:t>, es el procedimiento de carácter administrativo, por medio del cual, un ente público selecciona y posteriormente, celebra un acuerdo de voluntades, con una persona física o jurídica colectiva, para que ésta, proporcione o arrende un bien, preste algún servicio, o lleve a cabo la ejecución de una obra pública, con recursos públicos del Estado.</w:t>
      </w:r>
    </w:p>
    <w:p w14:paraId="65119F7E" w14:textId="77777777" w:rsidR="00915B03" w:rsidRPr="00915B03" w:rsidRDefault="00915B03" w:rsidP="007F72D0">
      <w:pPr>
        <w:spacing w:after="0" w:line="360" w:lineRule="auto"/>
        <w:contextualSpacing/>
        <w:rPr>
          <w:rFonts w:eastAsiaTheme="minorHAnsi" w:cstheme="minorBidi"/>
          <w:lang w:eastAsia="en-US"/>
        </w:rPr>
      </w:pPr>
    </w:p>
    <w:p w14:paraId="40F6F5CF" w14:textId="3B49922E" w:rsidR="00F25B04" w:rsidRDefault="00F25B04" w:rsidP="00F25B04">
      <w:pPr>
        <w:spacing w:after="0" w:line="360" w:lineRule="auto"/>
        <w:rPr>
          <w:rFonts w:eastAsia="Calibri" w:cs="Tahoma"/>
        </w:rPr>
      </w:pPr>
      <w:r>
        <w:rPr>
          <w:rFonts w:eastAsia="Calibri" w:cs="Tahoma"/>
          <w:lang w:eastAsia="en-US"/>
        </w:rPr>
        <w:t>En ese contexto</w:t>
      </w:r>
      <w:r w:rsidR="00915B03">
        <w:rPr>
          <w:rFonts w:eastAsia="Calibri" w:cs="Tahoma"/>
          <w:lang w:eastAsia="en-US"/>
        </w:rPr>
        <w:t xml:space="preserve">, </w:t>
      </w:r>
      <w:r>
        <w:rPr>
          <w:rFonts w:eastAsia="Calibri" w:cs="Tahoma"/>
        </w:rPr>
        <w:t xml:space="preserve">los artículos 1°, fracción III, y 4°de la Ley de la de Contratación Pública del Estado de México y Municipios, especifica que </w:t>
      </w:r>
      <w:r w:rsidR="000F41F2">
        <w:rPr>
          <w:rFonts w:eastAsia="Calibri" w:cs="Tahoma"/>
        </w:rPr>
        <w:t>las Instituciones Públicas</w:t>
      </w:r>
      <w:r>
        <w:rPr>
          <w:rFonts w:eastAsia="Calibri" w:cs="Tahoma"/>
        </w:rPr>
        <w:t>, serán l</w:t>
      </w:r>
      <w:r w:rsidR="000F41F2">
        <w:rPr>
          <w:rFonts w:eastAsia="Calibri" w:cs="Tahoma"/>
        </w:rPr>
        <w:t>a</w:t>
      </w:r>
      <w:r>
        <w:rPr>
          <w:rFonts w:eastAsia="Calibri" w:cs="Tahoma"/>
        </w:rPr>
        <w:t>s encargad</w:t>
      </w:r>
      <w:r w:rsidR="000F41F2">
        <w:rPr>
          <w:rFonts w:eastAsia="Calibri" w:cs="Tahoma"/>
        </w:rPr>
        <w:t>a</w:t>
      </w:r>
      <w:r>
        <w:rPr>
          <w:rFonts w:eastAsia="Calibri" w:cs="Tahoma"/>
        </w:rPr>
        <w:t xml:space="preserve">s de realizar los actos relativos a la planeación, programación, presupuestación, ejecución y control de la adquisición (bienes muebles e inmuebles), arrendamiento (bienes muebles e inmuebles), y la contratación de servicios de cualquier naturaleza, que realicen </w:t>
      </w:r>
      <w:r w:rsidR="00347A1A">
        <w:rPr>
          <w:rFonts w:eastAsia="Calibri" w:cs="Tahoma"/>
        </w:rPr>
        <w:t>las Instituciones Públicas</w:t>
      </w:r>
      <w:r>
        <w:rPr>
          <w:rFonts w:eastAsia="Calibri" w:cs="Tahoma"/>
        </w:rPr>
        <w:t xml:space="preserve">. </w:t>
      </w:r>
    </w:p>
    <w:p w14:paraId="2A5296F3" w14:textId="5D40EE0C" w:rsidR="00915B03" w:rsidRPr="00915B03" w:rsidRDefault="00915B03" w:rsidP="007F72D0">
      <w:pPr>
        <w:spacing w:after="0" w:line="360" w:lineRule="auto"/>
        <w:contextualSpacing/>
        <w:rPr>
          <w:rFonts w:eastAsia="Calibri" w:cs="Tahoma"/>
          <w:lang w:eastAsia="en-US"/>
        </w:rPr>
      </w:pPr>
    </w:p>
    <w:p w14:paraId="5015DC93" w14:textId="77777777" w:rsidR="00F25B04" w:rsidRDefault="00F25B04" w:rsidP="00F25B04">
      <w:pPr>
        <w:spacing w:after="0" w:line="360" w:lineRule="auto"/>
        <w:rPr>
          <w:rFonts w:eastAsia="Calibri" w:cs="Tahoma"/>
          <w:b/>
          <w:bCs/>
        </w:rPr>
      </w:pPr>
      <w:r>
        <w:rPr>
          <w:rFonts w:eastAsia="Calibri" w:cs="Tahoma"/>
        </w:rPr>
        <w:t xml:space="preserve">Además, conforme a los artículos 26 y 27 de dicho ordenamiento jurídico, las adquisiciones, arrendamientos y servicios, se adjudicarán a través de procedimientos de </w:t>
      </w:r>
      <w:r>
        <w:rPr>
          <w:rFonts w:eastAsia="Calibri" w:cs="Tahoma"/>
          <w:b/>
          <w:bCs/>
        </w:rPr>
        <w:t>licitación pública, invitación restringida y adjudicación directa.</w:t>
      </w:r>
    </w:p>
    <w:p w14:paraId="6709E892" w14:textId="77777777" w:rsidR="00915B03" w:rsidRDefault="00915B03" w:rsidP="007F72D0">
      <w:pPr>
        <w:spacing w:after="0" w:line="360" w:lineRule="auto"/>
        <w:contextualSpacing/>
        <w:rPr>
          <w:rFonts w:eastAsia="Calibri" w:cs="Tahoma"/>
          <w:lang w:eastAsia="en-US"/>
        </w:rPr>
      </w:pPr>
    </w:p>
    <w:p w14:paraId="2FC811CD" w14:textId="4DF41CE2" w:rsidR="00AB73E1" w:rsidRDefault="00AB73E1" w:rsidP="007F72D0">
      <w:pPr>
        <w:spacing w:after="0" w:line="360" w:lineRule="auto"/>
        <w:contextualSpacing/>
        <w:rPr>
          <w:rFonts w:eastAsia="Calibri" w:cs="Tahoma"/>
          <w:lang w:eastAsia="en-US"/>
        </w:rPr>
      </w:pPr>
      <w:r>
        <w:rPr>
          <w:rFonts w:eastAsia="Calibri" w:cs="Tahoma"/>
          <w:lang w:eastAsia="en-US"/>
        </w:rPr>
        <w:t>En ese orden de ideas, conforme al diverso 2°, fracción I, la adjudicación directa es la excepción al procedimiento de licitación pública para la adquisición de bienes, enajenación o arrendamiento de bienes, o la contratación de servicios en el que la convocante, designa al proveedor, arrendador, comprador o prestador del servicio, con base en las mejores condiciones en cuento a precio, calidad, financiamiento, oportunidad y demás circunstancias pertinentes.</w:t>
      </w:r>
    </w:p>
    <w:p w14:paraId="5486C7EC" w14:textId="77777777" w:rsidR="00AB73E1" w:rsidRDefault="00AB73E1" w:rsidP="007F72D0">
      <w:pPr>
        <w:spacing w:after="0" w:line="360" w:lineRule="auto"/>
        <w:contextualSpacing/>
        <w:rPr>
          <w:rFonts w:eastAsia="Calibri" w:cs="Tahoma"/>
          <w:lang w:eastAsia="en-US"/>
        </w:rPr>
      </w:pPr>
    </w:p>
    <w:p w14:paraId="550B8A2C" w14:textId="0C9C91F9" w:rsidR="000C51FB" w:rsidRDefault="003E4167" w:rsidP="000C51FB">
      <w:pPr>
        <w:spacing w:after="0" w:line="360" w:lineRule="auto"/>
        <w:rPr>
          <w:rFonts w:eastAsia="Calibri" w:cs="Tahoma"/>
        </w:rPr>
      </w:pPr>
      <w:r>
        <w:rPr>
          <w:rFonts w:eastAsia="Calibri" w:cs="Tahoma"/>
        </w:rPr>
        <w:t>P</w:t>
      </w:r>
      <w:r w:rsidR="000C51FB" w:rsidRPr="00D80CD4">
        <w:rPr>
          <w:rFonts w:eastAsia="Calibri" w:cs="Tahoma"/>
        </w:rPr>
        <w:t>or l</w:t>
      </w:r>
      <w:r w:rsidR="000C51FB">
        <w:rPr>
          <w:rFonts w:eastAsia="Calibri" w:cs="Tahoma"/>
        </w:rPr>
        <w:t>o que hace a los contratos pedidos, ese necesario traer a colación el artículo 80</w:t>
      </w:r>
      <w:r w:rsidR="000C51FB" w:rsidRPr="00D80CD4">
        <w:rPr>
          <w:rFonts w:eastAsia="Calibri" w:cs="Tahoma"/>
        </w:rPr>
        <w:t xml:space="preserve"> </w:t>
      </w:r>
      <w:r w:rsidR="000C51FB">
        <w:rPr>
          <w:rFonts w:eastAsia="Calibri" w:cs="Tahoma"/>
        </w:rPr>
        <w:t xml:space="preserve">de la Ley de la de Contratación Pública del Estado de México y Municipios, relacionado con el 92 del Reglamento de la Ley de la de Contratación Pública del Estado de México y Municipios, que precisan que son aquellos instrumentos que permiten </w:t>
      </w:r>
      <w:r w:rsidR="000F41F2">
        <w:rPr>
          <w:rFonts w:eastAsia="Calibri" w:cs="Tahoma"/>
        </w:rPr>
        <w:t>a las instituciones públicas</w:t>
      </w:r>
      <w:r w:rsidR="000C51FB">
        <w:rPr>
          <w:rFonts w:eastAsia="Calibri" w:cs="Tahoma"/>
        </w:rPr>
        <w:t>, adquirir bienes o contratar servicios por una cantidad que no exceda los montos establecidos para la adjudicación directa.</w:t>
      </w:r>
    </w:p>
    <w:p w14:paraId="0833F95E" w14:textId="77777777" w:rsidR="000C51FB" w:rsidRDefault="000C51FB" w:rsidP="000C51FB">
      <w:pPr>
        <w:spacing w:after="0" w:line="360" w:lineRule="auto"/>
        <w:rPr>
          <w:rFonts w:eastAsia="Calibri" w:cs="Tahoma"/>
        </w:rPr>
      </w:pPr>
    </w:p>
    <w:p w14:paraId="380A9A8B" w14:textId="3158A884" w:rsidR="003E4167" w:rsidRDefault="003E4167" w:rsidP="003E4167">
      <w:pPr>
        <w:spacing w:after="0" w:line="360" w:lineRule="auto"/>
        <w:rPr>
          <w:rFonts w:eastAsia="Calibri" w:cs="Tahoma"/>
        </w:rPr>
      </w:pPr>
      <w:r>
        <w:rPr>
          <w:rFonts w:eastAsia="Calibri" w:cs="Tahoma"/>
        </w:rPr>
        <w:t>Ahora bien, conforme al Manual General de Organización del Instituto de la Función Registral del Estado de México, el Sujeto Obligado cuenta con un Departamento de Recursos Materiales encargada de consolidar las compras de bienes y de prestación de servicios, así como, efectuar las adquisiciones menores y directas, por medio del procedimiento de contratación correspondiente; por lo que, se logra vislumbrar que el Ente Recurrido cuenta con competencia para conocer de lo solicitado.</w:t>
      </w:r>
    </w:p>
    <w:p w14:paraId="2CF2FA29" w14:textId="77777777" w:rsidR="003E4167" w:rsidRDefault="003E4167" w:rsidP="003E4167">
      <w:pPr>
        <w:spacing w:after="0" w:line="360" w:lineRule="auto"/>
        <w:rPr>
          <w:rFonts w:eastAsia="Calibri" w:cs="Tahoma"/>
        </w:rPr>
      </w:pPr>
    </w:p>
    <w:p w14:paraId="059F0064" w14:textId="77777777" w:rsidR="000F41F2" w:rsidRDefault="000F41F2" w:rsidP="000F41F2">
      <w:pPr>
        <w:spacing w:after="0" w:line="360" w:lineRule="auto"/>
        <w:rPr>
          <w:rFonts w:eastAsia="Times New Roman" w:cs="Tahoma"/>
          <w:bCs/>
          <w:iCs/>
          <w:color w:val="auto"/>
        </w:rPr>
      </w:pPr>
      <w:r>
        <w:rPr>
          <w:rFonts w:cs="Tahoma"/>
          <w:bCs/>
          <w:iCs/>
        </w:rPr>
        <w:t>Ahora bien, el Criterio de interpretación, con clave de control SO/008/2023, de la Tercera Época, emitido por el Pleno del Instituto Nacional de Transparencia, Acceso a la Información y Protección de Datos Personales, establece que la información estadística es de naturaleza pública,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075E8F03" w14:textId="64CB9B65" w:rsidR="000C51FB" w:rsidRPr="00D80CD4" w:rsidRDefault="000C51FB" w:rsidP="000C51FB">
      <w:pPr>
        <w:spacing w:after="0" w:line="360" w:lineRule="auto"/>
        <w:rPr>
          <w:rFonts w:eastAsia="Calibri" w:cs="Tahoma"/>
        </w:rPr>
      </w:pPr>
    </w:p>
    <w:p w14:paraId="3F04DF8E" w14:textId="184486E1" w:rsidR="00AB73E1" w:rsidRDefault="00F049F3" w:rsidP="007F72D0">
      <w:pPr>
        <w:spacing w:after="0" w:line="360" w:lineRule="auto"/>
        <w:contextualSpacing/>
        <w:rPr>
          <w:rFonts w:eastAsia="Calibri" w:cs="Tahoma"/>
          <w:lang w:eastAsia="en-US"/>
        </w:rPr>
      </w:pPr>
      <w:r>
        <w:rPr>
          <w:rFonts w:eastAsia="Calibri" w:cs="Tahoma"/>
          <w:lang w:eastAsia="en-US"/>
        </w:rPr>
        <w:t>De tal circunstancia</w:t>
      </w:r>
      <w:r w:rsidR="00CF1E77">
        <w:rPr>
          <w:rFonts w:eastAsia="Calibri" w:cs="Tahoma"/>
          <w:lang w:eastAsia="en-US"/>
        </w:rPr>
        <w:t>, se logra vislumbrar que la pretensión del ahora Recurrente es obtener el número total de procedimientos de adjudicación directa y contratos pedidos realizados por el Departamento de Recursos Materiales del primero de enero al treinta y uno de octubre de dos mil veinticuatro.</w:t>
      </w:r>
    </w:p>
    <w:p w14:paraId="7B1EA3EE" w14:textId="77777777" w:rsidR="00AB73E1" w:rsidRDefault="00AB73E1" w:rsidP="007F72D0">
      <w:pPr>
        <w:spacing w:after="0" w:line="360" w:lineRule="auto"/>
        <w:contextualSpacing/>
        <w:rPr>
          <w:rFonts w:eastAsia="Calibri" w:cs="Tahoma"/>
          <w:lang w:eastAsia="en-US"/>
        </w:rPr>
      </w:pPr>
    </w:p>
    <w:p w14:paraId="604F903E" w14:textId="77777777" w:rsidR="00B6499E" w:rsidRDefault="00CF1E77" w:rsidP="007F72D0">
      <w:pPr>
        <w:spacing w:after="0" w:line="360" w:lineRule="auto"/>
        <w:contextualSpacing/>
        <w:rPr>
          <w:rFonts w:eastAsia="Calibri" w:cs="Tahoma"/>
          <w:lang w:eastAsia="en-US"/>
        </w:rPr>
      </w:pPr>
      <w:r>
        <w:rPr>
          <w:rFonts w:eastAsia="Calibri" w:cs="Tahoma"/>
          <w:lang w:eastAsia="en-US"/>
        </w:rPr>
        <w:t xml:space="preserve">Ahora bien, respecto al soporte documental, el artículo </w:t>
      </w:r>
      <w:r w:rsidR="00B6499E">
        <w:rPr>
          <w:rFonts w:eastAsia="Calibri" w:cs="Tahoma"/>
          <w:lang w:eastAsia="en-US"/>
        </w:rPr>
        <w:t>4</w:t>
      </w:r>
      <w:r>
        <w:rPr>
          <w:rFonts w:eastAsia="Calibri" w:cs="Tahoma"/>
          <w:lang w:eastAsia="en-US"/>
        </w:rPr>
        <w:t xml:space="preserve">°, fracción </w:t>
      </w:r>
      <w:r w:rsidR="00B6499E">
        <w:rPr>
          <w:rFonts w:eastAsia="Calibri" w:cs="Tahoma"/>
          <w:lang w:eastAsia="en-US"/>
        </w:rPr>
        <w:t>LIV de la Ley General de Archivos, con relación al 4°, fracción XLIX de la Ley de Archivos y Administración de Documentos del Estado de México y Municipios, precisan que el medio en el cual se contiene la información.</w:t>
      </w:r>
    </w:p>
    <w:p w14:paraId="0B17397D" w14:textId="77777777" w:rsidR="00B6499E" w:rsidRDefault="00B6499E" w:rsidP="007F72D0">
      <w:pPr>
        <w:spacing w:after="0" w:line="360" w:lineRule="auto"/>
        <w:contextualSpacing/>
        <w:rPr>
          <w:rFonts w:eastAsia="Calibri" w:cs="Tahoma"/>
          <w:lang w:eastAsia="en-US"/>
        </w:rPr>
      </w:pPr>
    </w:p>
    <w:p w14:paraId="01A0AB9A" w14:textId="791EE7A9" w:rsidR="00B6499E" w:rsidRPr="00B6499E" w:rsidRDefault="00B6499E" w:rsidP="00B6499E">
      <w:pPr>
        <w:spacing w:after="0" w:line="360" w:lineRule="auto"/>
        <w:rPr>
          <w:rFonts w:eastAsia="Calibri" w:cs="Arial"/>
          <w:bCs/>
          <w:color w:val="0D0D0D"/>
          <w:lang w:val="es-ES" w:eastAsia="es-ES"/>
        </w:rPr>
      </w:pPr>
      <w:r>
        <w:rPr>
          <w:rFonts w:eastAsia="Calibri" w:cs="Arial"/>
          <w:bCs/>
          <w:color w:val="0D0D0D"/>
          <w:lang w:val="es-ES" w:eastAsia="es-ES"/>
        </w:rPr>
        <w:t xml:space="preserve">En ese sentido, </w:t>
      </w:r>
      <w:r w:rsidRPr="00B6499E">
        <w:rPr>
          <w:rFonts w:eastAsia="Calibri" w:cs="Arial"/>
          <w:bCs/>
          <w:color w:val="0D0D0D"/>
          <w:lang w:val="es-ES" w:eastAsia="es-ES"/>
        </w:rPr>
        <w:t>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0BE3D365" w14:textId="77777777" w:rsidR="00B6499E" w:rsidRPr="00B6499E" w:rsidRDefault="00B6499E" w:rsidP="00B6499E">
      <w:pPr>
        <w:spacing w:after="0" w:line="360" w:lineRule="auto"/>
        <w:rPr>
          <w:rFonts w:eastAsia="Calibri" w:cs="Arial"/>
          <w:bCs/>
          <w:color w:val="0D0D0D"/>
          <w:lang w:val="es-ES" w:eastAsia="es-ES"/>
        </w:rPr>
      </w:pPr>
    </w:p>
    <w:p w14:paraId="3E316FC2" w14:textId="77777777" w:rsidR="00B6499E" w:rsidRPr="00B6499E" w:rsidRDefault="00B6499E" w:rsidP="00B6499E">
      <w:pPr>
        <w:spacing w:after="0" w:line="360" w:lineRule="auto"/>
        <w:rPr>
          <w:rFonts w:eastAsia="Calibri" w:cs="Arial"/>
          <w:bCs/>
          <w:color w:val="0D0D0D"/>
          <w:lang w:val="es-ES" w:eastAsia="es-ES"/>
        </w:rPr>
      </w:pPr>
      <w:r w:rsidRPr="00B6499E">
        <w:rPr>
          <w:rFonts w:eastAsia="Calibri" w:cs="Arial"/>
          <w:bCs/>
          <w:color w:val="0D0D0D"/>
          <w:lang w:val="es-ES" w:eastAsia="es-ES"/>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00F8FD57" w14:textId="150535B9" w:rsidR="00CF1E77" w:rsidRDefault="00CF1E77" w:rsidP="007F72D0">
      <w:pPr>
        <w:spacing w:after="0" w:line="360" w:lineRule="auto"/>
        <w:contextualSpacing/>
        <w:rPr>
          <w:rFonts w:eastAsia="Calibri" w:cs="Tahoma"/>
          <w:lang w:val="es-ES" w:eastAsia="en-US"/>
        </w:rPr>
      </w:pPr>
    </w:p>
    <w:p w14:paraId="69F6F37F" w14:textId="0D7990B5" w:rsidR="00B6499E" w:rsidRDefault="00B6499E" w:rsidP="007F72D0">
      <w:pPr>
        <w:spacing w:after="0" w:line="360" w:lineRule="auto"/>
        <w:contextualSpacing/>
        <w:rPr>
          <w:rFonts w:eastAsia="Calibri" w:cs="Tahoma"/>
          <w:lang w:val="es-ES" w:eastAsia="en-US"/>
        </w:rPr>
      </w:pPr>
      <w:r>
        <w:rPr>
          <w:rFonts w:eastAsia="Calibri" w:cs="Tahoma"/>
          <w:lang w:val="es-ES" w:eastAsia="en-US"/>
        </w:rPr>
        <w:t>Conforme a lo anterior, al referir el Particular que requiere el soporte documental, se advierte que su pretensión es obtener aquellos documentos que acrediten que se hayan realizado los procedimientos señalados en la estadística solicitada, es decir, aquellos que demuestren que efectivamente se realizaron las adjudicaciones directas y contratos pedidos.</w:t>
      </w:r>
    </w:p>
    <w:p w14:paraId="20A7EF52" w14:textId="77777777" w:rsidR="00CF1E77" w:rsidRPr="00915B03" w:rsidRDefault="00CF1E77" w:rsidP="007F72D0">
      <w:pPr>
        <w:spacing w:after="0" w:line="360" w:lineRule="auto"/>
        <w:contextualSpacing/>
        <w:rPr>
          <w:rFonts w:eastAsia="Calibri" w:cs="Tahoma"/>
          <w:lang w:eastAsia="en-US"/>
        </w:rPr>
      </w:pPr>
    </w:p>
    <w:p w14:paraId="022C25CC" w14:textId="54F1F905" w:rsidR="00915B03" w:rsidRPr="00915B03" w:rsidRDefault="00B6499E" w:rsidP="007F72D0">
      <w:pPr>
        <w:spacing w:after="0" w:line="360" w:lineRule="auto"/>
        <w:contextualSpacing/>
        <w:rPr>
          <w:rFonts w:eastAsia="Calibri" w:cs="Tahoma"/>
          <w:lang w:eastAsia="en-US"/>
        </w:rPr>
      </w:pPr>
      <w:r>
        <w:rPr>
          <w:rFonts w:eastAsiaTheme="minorHAnsi" w:cs="Tahoma"/>
          <w:bCs/>
          <w:iCs/>
          <w:lang w:val="es-ES"/>
        </w:rPr>
        <w:t>En ese sentido</w:t>
      </w:r>
      <w:r w:rsidR="00915B03" w:rsidRPr="00915B03">
        <w:rPr>
          <w:rFonts w:eastAsiaTheme="minorHAnsi" w:cs="Tahoma"/>
          <w:bCs/>
          <w:iCs/>
          <w:lang w:val="es-ES"/>
        </w:rPr>
        <w:t xml:space="preserve">, conforme al artículo 65 de la Ley de Contratación Pública del Estado de México y Municipios, la adjudicación de un procedimiento de </w:t>
      </w:r>
      <w:r w:rsidR="00915B03" w:rsidRPr="00915B03">
        <w:rPr>
          <w:rFonts w:eastAsiaTheme="minorHAnsi" w:cs="Tahoma"/>
          <w:iCs/>
          <w:lang w:val="es-ES"/>
        </w:rPr>
        <w:t xml:space="preserve">adquisición y arrendamiento de bienes y </w:t>
      </w:r>
      <w:r w:rsidR="00915B03" w:rsidRPr="00915B03">
        <w:rPr>
          <w:rFonts w:eastAsiaTheme="minorHAnsi" w:cs="Tahoma"/>
          <w:bCs/>
          <w:iCs/>
          <w:lang w:val="es-ES"/>
        </w:rPr>
        <w:t xml:space="preserve">contratación de servicios se realizará mediante la suscripción de un contrato, entre </w:t>
      </w:r>
      <w:r w:rsidR="004545B1" w:rsidRPr="004545B1">
        <w:rPr>
          <w:rFonts w:eastAsiaTheme="minorHAnsi" w:cs="Tahoma"/>
          <w:bCs/>
          <w:iCs/>
          <w:lang w:val="es-ES"/>
        </w:rPr>
        <w:t>la convocante</w:t>
      </w:r>
      <w:r w:rsidR="00915B03" w:rsidRPr="00915B03">
        <w:rPr>
          <w:rFonts w:eastAsiaTheme="minorHAnsi" w:cs="Tahoma"/>
          <w:bCs/>
          <w:iCs/>
          <w:lang w:val="es-ES"/>
        </w:rPr>
        <w:t xml:space="preserve"> y la persona a la cual haya ganado el procedimiento respectivo, dentro de los diez días hábiles siguientes a la notificación del fallo.</w:t>
      </w:r>
    </w:p>
    <w:p w14:paraId="72B2C724" w14:textId="77777777" w:rsidR="00915B03" w:rsidRPr="00915B03" w:rsidRDefault="00915B03" w:rsidP="007F72D0">
      <w:pPr>
        <w:spacing w:after="0" w:line="360" w:lineRule="auto"/>
        <w:contextualSpacing/>
        <w:rPr>
          <w:rFonts w:eastAsiaTheme="minorHAnsi" w:cs="Tahoma"/>
          <w:lang w:val="es-ES" w:eastAsia="en-US"/>
        </w:rPr>
      </w:pPr>
    </w:p>
    <w:p w14:paraId="5D05C29F" w14:textId="2C6BD811" w:rsidR="00915B03" w:rsidRDefault="00915B03" w:rsidP="0074743F">
      <w:pPr>
        <w:spacing w:after="0" w:line="360" w:lineRule="auto"/>
      </w:pPr>
      <w:r w:rsidRPr="00915B03">
        <w:t>Además,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y de los contratos celebrados</w:t>
      </w:r>
      <w:r w:rsidR="0074743F">
        <w:t>.</w:t>
      </w:r>
    </w:p>
    <w:p w14:paraId="5B8463F3" w14:textId="77777777" w:rsidR="0074743F" w:rsidRDefault="0074743F" w:rsidP="0074743F">
      <w:pPr>
        <w:spacing w:after="0" w:line="360" w:lineRule="auto"/>
      </w:pPr>
    </w:p>
    <w:p w14:paraId="424591FE" w14:textId="76405C5A" w:rsidR="0074743F" w:rsidRPr="00915B03" w:rsidRDefault="0074743F" w:rsidP="0074743F">
      <w:pPr>
        <w:spacing w:after="0" w:line="360" w:lineRule="auto"/>
      </w:pPr>
      <w:r>
        <w:t>En ese contexto y en atención a la naturaleza de los procedimientos de adquisición, arrendamiento o prestación de servicios solicitados, se considera que los documentos que acreditan que efectivamente se efectuaron (soporte documental), son los contratos suscritos; pues son los únicos documentos que pueden acreditar lo establecido en la estadística requerida.</w:t>
      </w:r>
    </w:p>
    <w:p w14:paraId="639EE63B" w14:textId="77777777" w:rsidR="0074743F" w:rsidRDefault="0074743F" w:rsidP="007F72D0">
      <w:pPr>
        <w:spacing w:after="0" w:line="360" w:lineRule="auto"/>
      </w:pPr>
    </w:p>
    <w:p w14:paraId="50BD1954" w14:textId="5CF087B5" w:rsidR="0074743F" w:rsidRDefault="0074743F" w:rsidP="007F72D0">
      <w:pPr>
        <w:spacing w:after="0" w:line="360" w:lineRule="auto"/>
      </w:pPr>
      <w:r>
        <w:t xml:space="preserve">Finalmente, por lo que hace a </w:t>
      </w:r>
      <w:r w:rsidR="0031078A">
        <w:t>la transferencia de partidas para la realización de los procedimientos solicitados, es necesario traer a colación el Glosario de Términos del Manual para la formulación del Anteproyecto de Presupuesto de Egresos del Gobierno del Estado de México, para el Ejercicio Fiscal dos mil veinticuatro, que precisa lo siguiente:</w:t>
      </w:r>
    </w:p>
    <w:p w14:paraId="2F1276A6" w14:textId="77777777" w:rsidR="0031078A" w:rsidRDefault="0031078A" w:rsidP="007F72D0">
      <w:pPr>
        <w:spacing w:after="0" w:line="360" w:lineRule="auto"/>
      </w:pPr>
    </w:p>
    <w:p w14:paraId="2F30F572" w14:textId="6F8E0188" w:rsidR="0031078A" w:rsidRPr="0031078A" w:rsidRDefault="0031078A" w:rsidP="0031078A">
      <w:pPr>
        <w:pStyle w:val="Prrafodelista"/>
        <w:numPr>
          <w:ilvl w:val="0"/>
          <w:numId w:val="32"/>
        </w:numPr>
        <w:spacing w:line="360" w:lineRule="auto"/>
        <w:rPr>
          <w:b/>
          <w:bCs/>
        </w:rPr>
      </w:pPr>
      <w:r w:rsidRPr="0031078A">
        <w:rPr>
          <w:b/>
          <w:bCs/>
        </w:rPr>
        <w:t xml:space="preserve">Adecuación Presupuestaria: </w:t>
      </w:r>
      <w:r>
        <w:t>Traspasos de recursos que se realizan durante el ejercicio fiscal entre las claves programáticas presupuestales, los movimientos al calendario presupuestal aprobado, así como, las ampliaciones, reducciones y cancelaciones al mismo.</w:t>
      </w:r>
    </w:p>
    <w:p w14:paraId="1654D875" w14:textId="77777777" w:rsidR="0031078A" w:rsidRPr="0031078A" w:rsidRDefault="0031078A" w:rsidP="0031078A">
      <w:pPr>
        <w:pStyle w:val="Prrafodelista"/>
        <w:spacing w:line="360" w:lineRule="auto"/>
        <w:rPr>
          <w:b/>
          <w:bCs/>
        </w:rPr>
      </w:pPr>
    </w:p>
    <w:p w14:paraId="168FFC4D" w14:textId="4A2137C8" w:rsidR="0031078A" w:rsidRPr="0031078A" w:rsidRDefault="0031078A" w:rsidP="0031078A">
      <w:pPr>
        <w:pStyle w:val="Prrafodelista"/>
        <w:numPr>
          <w:ilvl w:val="0"/>
          <w:numId w:val="32"/>
        </w:numPr>
        <w:spacing w:line="360" w:lineRule="auto"/>
        <w:rPr>
          <w:b/>
          <w:bCs/>
        </w:rPr>
      </w:pPr>
      <w:r>
        <w:rPr>
          <w:b/>
          <w:bCs/>
        </w:rPr>
        <w:t xml:space="preserve">Traspaso: </w:t>
      </w:r>
      <w:r>
        <w:t>Son los movimientos que consisten en trasladar el importe total o parcial de la asignación de una clave presupuestaria a otra.</w:t>
      </w:r>
    </w:p>
    <w:p w14:paraId="30F63638" w14:textId="77777777" w:rsidR="00915B03" w:rsidRPr="00915B03" w:rsidRDefault="00915B03" w:rsidP="007F72D0">
      <w:pPr>
        <w:spacing w:after="0" w:line="360" w:lineRule="auto"/>
      </w:pPr>
    </w:p>
    <w:p w14:paraId="6B0BAA41" w14:textId="18DF34CC" w:rsidR="00915B03" w:rsidRDefault="00915B03" w:rsidP="007F72D0">
      <w:pPr>
        <w:spacing w:after="0" w:line="360" w:lineRule="auto"/>
        <w:rPr>
          <w:rFonts w:eastAsiaTheme="minorHAnsi" w:cs="Tahoma"/>
          <w:bCs/>
          <w:iCs/>
          <w:lang w:val="es-ES" w:eastAsia="en-US"/>
        </w:rPr>
      </w:pPr>
      <w:r w:rsidRPr="00915B03">
        <w:t xml:space="preserve">Conforme a lo anterior, se logra vislumbrar que la pretensión del ahora Recurrente, es </w:t>
      </w:r>
      <w:r w:rsidR="00FA2895" w:rsidRPr="00FA2895">
        <w:rPr>
          <w:rFonts w:eastAsiaTheme="minorHAnsi" w:cs="Tahoma"/>
          <w:bCs/>
          <w:iCs/>
          <w:lang w:val="es-ES" w:eastAsia="en-US"/>
        </w:rPr>
        <w:t xml:space="preserve">conocer </w:t>
      </w:r>
      <w:r w:rsidR="0031078A">
        <w:rPr>
          <w:rFonts w:eastAsiaTheme="minorHAnsi" w:cs="Tahoma"/>
          <w:bCs/>
          <w:iCs/>
          <w:lang w:val="es-ES" w:eastAsia="en-US"/>
        </w:rPr>
        <w:t>si existió algún traspaso entre partidas presupuestales para los procedimientos de adjudicación directa y contratos pedidos celebrados por el Departamento de Recursos Materiales, durante el dos mil veinticuatro.</w:t>
      </w:r>
    </w:p>
    <w:p w14:paraId="7956745B" w14:textId="77777777" w:rsidR="00915B03" w:rsidRPr="00B06F89" w:rsidRDefault="00915B03" w:rsidP="007F72D0">
      <w:pPr>
        <w:spacing w:after="0" w:line="360" w:lineRule="auto"/>
        <w:contextualSpacing/>
        <w:rPr>
          <w:rFonts w:eastAsiaTheme="minorHAnsi" w:cs="Tahoma"/>
          <w:bCs/>
          <w:iCs/>
          <w:lang w:val="es-ES" w:eastAsia="en-US"/>
        </w:rPr>
      </w:pPr>
    </w:p>
    <w:p w14:paraId="257C3AEE" w14:textId="5E40F8F7" w:rsidR="00B06F89" w:rsidRPr="00B06F89" w:rsidRDefault="0031078A" w:rsidP="0031078A">
      <w:pPr>
        <w:spacing w:after="0" w:line="360" w:lineRule="auto"/>
        <w:contextualSpacing/>
        <w:rPr>
          <w:rFonts w:eastAsiaTheme="minorHAnsi" w:cs="Tahoma"/>
          <w:bCs/>
          <w:iCs/>
          <w:lang w:val="es-ES" w:eastAsia="en-US"/>
        </w:rPr>
      </w:pPr>
      <w:r>
        <w:rPr>
          <w:rFonts w:eastAsiaTheme="minorHAnsi" w:cs="Tahoma"/>
          <w:bCs/>
          <w:iCs/>
          <w:lang w:val="es-ES" w:eastAsia="en-US"/>
        </w:rPr>
        <w:t>Establecida dicha circunstancia, se procede analizar la respuesta entregada por el Sujeto Obligado</w:t>
      </w:r>
      <w:r w:rsidR="00B06F89" w:rsidRPr="008E662E">
        <w:rPr>
          <w:rFonts w:eastAsiaTheme="minorHAnsi" w:cs="Tahoma"/>
          <w:bCs/>
          <w:iCs/>
          <w:lang w:val="es-ES" w:eastAsia="en-US"/>
        </w:rPr>
        <w:t>, de las constancias que obran en el expediente, se logra vislumbrar que el Sujeto Obligado, turn</w:t>
      </w:r>
      <w:r w:rsidR="00D97670" w:rsidRPr="008E662E">
        <w:rPr>
          <w:rFonts w:eastAsiaTheme="minorHAnsi" w:cs="Tahoma"/>
          <w:bCs/>
          <w:iCs/>
          <w:lang w:val="es-ES" w:eastAsia="en-US"/>
        </w:rPr>
        <w:t>o la solicitud de información a la Dirección</w:t>
      </w:r>
      <w:r w:rsidR="00D97670">
        <w:rPr>
          <w:rFonts w:eastAsiaTheme="minorHAnsi" w:cs="Tahoma"/>
          <w:bCs/>
          <w:iCs/>
          <w:lang w:val="es-ES" w:eastAsia="en-US"/>
        </w:rPr>
        <w:t xml:space="preserve"> de Administración y Finanzas</w:t>
      </w:r>
      <w:r w:rsidR="00B06F89" w:rsidRPr="00B06F89">
        <w:rPr>
          <w:rFonts w:eastAsiaTheme="minorHAnsi" w:cs="Tahoma"/>
          <w:bCs/>
          <w:iCs/>
          <w:lang w:val="es-ES" w:eastAsia="en-US"/>
        </w:rPr>
        <w:t xml:space="preserve">, </w:t>
      </w:r>
      <w:r w:rsidR="00B06F89" w:rsidRPr="00B06F89">
        <w:rPr>
          <w:rFonts w:eastAsiaTheme="minorHAnsi" w:cs="Tahoma"/>
          <w:bCs/>
          <w:iCs/>
          <w:lang w:eastAsia="en-US"/>
        </w:rPr>
        <w:t xml:space="preserve">por lo que, es necesario hacer referencia al </w:t>
      </w:r>
      <w:r w:rsidR="00B06F89" w:rsidRPr="00B06F89">
        <w:rPr>
          <w:rFonts w:eastAsiaTheme="minorHAnsi" w:cs="Tahoma"/>
          <w:b/>
          <w:iCs/>
          <w:lang w:eastAsia="en-US"/>
        </w:rPr>
        <w:t xml:space="preserve">procedimiento de búsqueda </w:t>
      </w:r>
      <w:r w:rsidR="00B06F89" w:rsidRPr="00B06F89">
        <w:rPr>
          <w:rFonts w:eastAsiaTheme="minorHAnsi" w:cs="Tahoma"/>
          <w:b/>
          <w:iCs/>
          <w:lang w:val="es-ES" w:eastAsia="en-US"/>
        </w:rPr>
        <w:t>que deben de seguir los Sujetos Obligados para localizar la información</w:t>
      </w:r>
      <w:r w:rsidR="00B06F89" w:rsidRPr="00B06F89">
        <w:rPr>
          <w:rFonts w:eastAsiaTheme="minorHAnsi" w:cs="Tahoma"/>
          <w:bCs/>
          <w:iCs/>
          <w:lang w:val="es-ES" w:eastAsia="en-US"/>
        </w:rPr>
        <w:t xml:space="preserve">, el cual se encuentra previsto </w:t>
      </w:r>
      <w:r>
        <w:rPr>
          <w:rFonts w:eastAsiaTheme="minorHAnsi" w:cs="Tahoma"/>
          <w:bCs/>
          <w:iCs/>
          <w:lang w:val="es-ES" w:eastAsia="en-US"/>
        </w:rPr>
        <w:t xml:space="preserve">en el artículo </w:t>
      </w:r>
      <w:r w:rsidR="00B06F89" w:rsidRPr="00B06F89">
        <w:rPr>
          <w:rFonts w:eastAsiaTheme="minorHAnsi" w:cs="Tahoma"/>
          <w:bCs/>
          <w:iCs/>
          <w:lang w:val="es-ES" w:eastAsia="en-US"/>
        </w:rPr>
        <w:t xml:space="preserve"> </w:t>
      </w:r>
      <w:r>
        <w:rPr>
          <w:rFonts w:eastAsiaTheme="minorHAnsi" w:cs="Tahoma"/>
          <w:bCs/>
          <w:iCs/>
          <w:lang w:val="es-ES" w:eastAsia="en-US"/>
        </w:rPr>
        <w:t>1</w:t>
      </w:r>
      <w:r w:rsidR="00B06F89" w:rsidRPr="00B06F89">
        <w:rPr>
          <w:rFonts w:eastAsiaTheme="minorHAnsi" w:cs="Tahoma"/>
          <w:bCs/>
          <w:iCs/>
          <w:lang w:val="es-ES" w:eastAsia="en-US"/>
        </w:rPr>
        <w:t xml:space="preserve">62 de la Ley de Transparencia y Acceso a la Información Pública del Estado de México y Municipios, </w:t>
      </w:r>
      <w:r>
        <w:rPr>
          <w:rFonts w:eastAsiaTheme="minorHAnsi" w:cs="Tahoma"/>
          <w:bCs/>
          <w:iCs/>
          <w:lang w:val="es-ES" w:eastAsia="en-US"/>
        </w:rPr>
        <w:t>que precisa que l</w:t>
      </w:r>
      <w:r w:rsidR="00B06F89" w:rsidRPr="00B06F89">
        <w:rPr>
          <w:rFonts w:eastAsiaTheme="minorHAnsi" w:cs="Tahoma"/>
          <w:bCs/>
          <w:iCs/>
          <w:lang w:val="es-ES" w:eastAsia="en-US"/>
        </w:rPr>
        <w:t>as Unidades de Transparencia garantizarán que las solicitudes de acceso a la información se turnen a todas las áreas competentes que cuenten con la información o deban tenerla -de acuerdo con las facultades, competencias y funciones-, con el objeto de que realicen una búsqueda exhaustiva y razonable de la información requerida</w:t>
      </w:r>
      <w:r>
        <w:rPr>
          <w:rFonts w:eastAsiaTheme="minorHAnsi" w:cs="Tahoma"/>
          <w:bCs/>
          <w:iCs/>
          <w:lang w:val="es-ES" w:eastAsia="en-US"/>
        </w:rPr>
        <w:t>.</w:t>
      </w:r>
    </w:p>
    <w:p w14:paraId="29ED7C60" w14:textId="77777777" w:rsidR="00B06F89" w:rsidRDefault="00B06F89" w:rsidP="007F72D0">
      <w:pPr>
        <w:spacing w:after="0" w:line="360" w:lineRule="auto"/>
        <w:contextualSpacing/>
        <w:rPr>
          <w:rFonts w:eastAsiaTheme="minorHAnsi" w:cs="Tahoma"/>
          <w:b/>
          <w:bCs/>
          <w:iCs/>
          <w:lang w:eastAsia="en-US"/>
        </w:rPr>
      </w:pPr>
    </w:p>
    <w:p w14:paraId="2581E8E4" w14:textId="057E1349" w:rsidR="00B06F89" w:rsidRDefault="005063A7" w:rsidP="007F72D0">
      <w:pPr>
        <w:spacing w:after="0" w:line="360" w:lineRule="auto"/>
        <w:rPr>
          <w:rFonts w:eastAsiaTheme="minorHAnsi" w:cstheme="minorBidi"/>
          <w:bCs/>
          <w:iCs/>
          <w:lang w:eastAsia="en-US"/>
        </w:rPr>
      </w:pPr>
      <w:r>
        <w:rPr>
          <w:rFonts w:eastAsiaTheme="minorHAnsi" w:cstheme="minorBidi"/>
          <w:lang w:eastAsia="en-US"/>
        </w:rPr>
        <w:t>Ahora bien, de la revisión del Manual General de Organización del Instituto de la Función Registral del Estado de México, se logra vislumbrar que el Departamento de Recursos Materiales (área de la cual se requirió la información), está adscrito a</w:t>
      </w:r>
      <w:r w:rsidR="00F135B7">
        <w:rPr>
          <w:rFonts w:eastAsiaTheme="minorHAnsi" w:cstheme="minorBidi"/>
          <w:lang w:eastAsia="en-US"/>
        </w:rPr>
        <w:t xml:space="preserve"> la Dirección de Administración y Finanzas; por lo que, se logra vislumbrar que el Sujeto Obligado </w:t>
      </w:r>
      <w:r w:rsidR="00B06F89" w:rsidRPr="00B06F89">
        <w:rPr>
          <w:rFonts w:eastAsiaTheme="minorHAnsi" w:cstheme="minorBidi"/>
          <w:bCs/>
          <w:iCs/>
          <w:lang w:eastAsia="en-US"/>
        </w:rPr>
        <w:t>cumplió con el procedimiento de búsqueda</w:t>
      </w:r>
      <w:r w:rsidR="00F135B7">
        <w:rPr>
          <w:rFonts w:eastAsiaTheme="minorHAnsi" w:cstheme="minorBidi"/>
          <w:bCs/>
          <w:iCs/>
          <w:lang w:eastAsia="en-US"/>
        </w:rPr>
        <w:t xml:space="preserve"> y se procede analizar la información proporcionada.</w:t>
      </w:r>
    </w:p>
    <w:p w14:paraId="06ABA28E" w14:textId="77777777" w:rsidR="00F135B7" w:rsidRDefault="00F135B7" w:rsidP="007F72D0">
      <w:pPr>
        <w:spacing w:after="0" w:line="360" w:lineRule="auto"/>
        <w:rPr>
          <w:rFonts w:eastAsiaTheme="minorHAnsi" w:cstheme="minorBidi"/>
          <w:bCs/>
          <w:iCs/>
          <w:lang w:eastAsia="en-US"/>
        </w:rPr>
      </w:pPr>
    </w:p>
    <w:p w14:paraId="5064F6BF" w14:textId="10CFCF7C" w:rsidR="00F135B7" w:rsidRPr="00F135B7" w:rsidRDefault="00F135B7" w:rsidP="007F72D0">
      <w:pPr>
        <w:spacing w:after="0" w:line="360" w:lineRule="auto"/>
        <w:rPr>
          <w:rFonts w:eastAsiaTheme="minorHAnsi" w:cstheme="minorBidi"/>
          <w:b/>
          <w:iCs/>
          <w:lang w:eastAsia="en-US"/>
        </w:rPr>
      </w:pPr>
      <w:r w:rsidRPr="00F135B7">
        <w:rPr>
          <w:rFonts w:eastAsiaTheme="minorHAnsi" w:cstheme="minorBidi"/>
          <w:b/>
          <w:iCs/>
          <w:lang w:eastAsia="en-US"/>
        </w:rPr>
        <w:t>Cantidad total de procedimientos</w:t>
      </w:r>
    </w:p>
    <w:p w14:paraId="26CF8F9F" w14:textId="77777777" w:rsidR="00605AAE" w:rsidRDefault="00605AAE" w:rsidP="007F72D0">
      <w:pPr>
        <w:spacing w:after="0" w:line="360" w:lineRule="auto"/>
        <w:rPr>
          <w:rFonts w:eastAsiaTheme="minorHAnsi" w:cstheme="minorBidi"/>
          <w:bCs/>
          <w:iCs/>
          <w:lang w:eastAsia="en-US"/>
        </w:rPr>
      </w:pPr>
    </w:p>
    <w:p w14:paraId="08234919" w14:textId="77777777" w:rsidR="00F135B7" w:rsidRDefault="00F135B7" w:rsidP="007F72D0">
      <w:pPr>
        <w:spacing w:after="0" w:line="360" w:lineRule="auto"/>
        <w:rPr>
          <w:rFonts w:eastAsiaTheme="minorHAnsi" w:cstheme="minorBidi"/>
          <w:bCs/>
          <w:iCs/>
          <w:lang w:eastAsia="en-US"/>
        </w:rPr>
      </w:pPr>
      <w:r>
        <w:rPr>
          <w:rFonts w:eastAsiaTheme="minorHAnsi" w:cstheme="minorBidi"/>
          <w:bCs/>
          <w:iCs/>
          <w:lang w:eastAsia="en-US"/>
        </w:rPr>
        <w:t>Sobre dicha circunstancia, la Dirección de Administración y Finanzas proporcionó el número total de procedimientos realizados durante el dos mil veinticuatro, es decir, los realizados del primero de enero a la fecha de la solicitud, siendo estos los siguientes:</w:t>
      </w:r>
    </w:p>
    <w:p w14:paraId="4AB1E2D3" w14:textId="77777777" w:rsidR="00F135B7" w:rsidRDefault="00F135B7" w:rsidP="007F72D0">
      <w:pPr>
        <w:spacing w:after="0" w:line="360" w:lineRule="auto"/>
        <w:rPr>
          <w:rFonts w:eastAsiaTheme="minorHAnsi" w:cstheme="minorBidi"/>
          <w:bCs/>
          <w:iCs/>
          <w:lang w:eastAsia="en-US"/>
        </w:rPr>
      </w:pPr>
    </w:p>
    <w:tbl>
      <w:tblPr>
        <w:tblStyle w:val="Tablaconcuadrcula"/>
        <w:tblW w:w="0" w:type="auto"/>
        <w:jc w:val="center"/>
        <w:tblLook w:val="04A0" w:firstRow="1" w:lastRow="0" w:firstColumn="1" w:lastColumn="0" w:noHBand="0" w:noVBand="1"/>
      </w:tblPr>
      <w:tblGrid>
        <w:gridCol w:w="3114"/>
        <w:gridCol w:w="2410"/>
      </w:tblGrid>
      <w:tr w:rsidR="00F135B7" w14:paraId="22646E85" w14:textId="77777777" w:rsidTr="00F135B7">
        <w:trPr>
          <w:jc w:val="center"/>
        </w:trPr>
        <w:tc>
          <w:tcPr>
            <w:tcW w:w="3114" w:type="dxa"/>
            <w:shd w:val="clear" w:color="auto" w:fill="BFBFBF" w:themeFill="background1" w:themeFillShade="BF"/>
          </w:tcPr>
          <w:p w14:paraId="271CCF54" w14:textId="4C6CE460" w:rsidR="00F135B7" w:rsidRPr="00F135B7" w:rsidRDefault="00F135B7" w:rsidP="00F135B7">
            <w:pPr>
              <w:spacing w:line="360" w:lineRule="auto"/>
              <w:jc w:val="center"/>
              <w:rPr>
                <w:rFonts w:eastAsiaTheme="minorHAnsi" w:cstheme="minorBidi"/>
                <w:b/>
                <w:iCs/>
                <w:lang w:eastAsia="en-US"/>
              </w:rPr>
            </w:pPr>
            <w:r w:rsidRPr="00F135B7">
              <w:rPr>
                <w:rFonts w:eastAsiaTheme="minorHAnsi" w:cstheme="minorBidi"/>
                <w:b/>
                <w:iCs/>
                <w:lang w:eastAsia="en-US"/>
              </w:rPr>
              <w:t>Adjudicaciones directas</w:t>
            </w:r>
          </w:p>
        </w:tc>
        <w:tc>
          <w:tcPr>
            <w:tcW w:w="2410" w:type="dxa"/>
            <w:shd w:val="clear" w:color="auto" w:fill="BFBFBF" w:themeFill="background1" w:themeFillShade="BF"/>
          </w:tcPr>
          <w:p w14:paraId="174A8F34" w14:textId="6A179586" w:rsidR="00F135B7" w:rsidRPr="00F135B7" w:rsidRDefault="00F135B7" w:rsidP="00F135B7">
            <w:pPr>
              <w:spacing w:line="360" w:lineRule="auto"/>
              <w:jc w:val="center"/>
              <w:rPr>
                <w:rFonts w:eastAsiaTheme="minorHAnsi" w:cstheme="minorBidi"/>
                <w:b/>
                <w:iCs/>
                <w:lang w:eastAsia="en-US"/>
              </w:rPr>
            </w:pPr>
            <w:r w:rsidRPr="00F135B7">
              <w:rPr>
                <w:rFonts w:eastAsiaTheme="minorHAnsi" w:cstheme="minorBidi"/>
                <w:b/>
                <w:iCs/>
                <w:lang w:eastAsia="en-US"/>
              </w:rPr>
              <w:t>Contratos pedidos</w:t>
            </w:r>
          </w:p>
        </w:tc>
      </w:tr>
      <w:tr w:rsidR="00F135B7" w14:paraId="55DAFABB" w14:textId="77777777" w:rsidTr="00F135B7">
        <w:trPr>
          <w:jc w:val="center"/>
        </w:trPr>
        <w:tc>
          <w:tcPr>
            <w:tcW w:w="3114" w:type="dxa"/>
          </w:tcPr>
          <w:p w14:paraId="01F0B9BD" w14:textId="323BBD25" w:rsidR="00F135B7" w:rsidRPr="00F135B7" w:rsidRDefault="00F135B7" w:rsidP="00F135B7">
            <w:pPr>
              <w:spacing w:line="360" w:lineRule="auto"/>
              <w:jc w:val="center"/>
              <w:rPr>
                <w:rFonts w:eastAsiaTheme="minorHAnsi" w:cstheme="minorBidi"/>
                <w:bCs/>
                <w:iCs/>
                <w:lang w:eastAsia="en-US"/>
              </w:rPr>
            </w:pPr>
            <w:r>
              <w:rPr>
                <w:rFonts w:eastAsiaTheme="minorHAnsi" w:cstheme="minorBidi"/>
                <w:bCs/>
                <w:iCs/>
                <w:lang w:eastAsia="en-US"/>
              </w:rPr>
              <w:t>0</w:t>
            </w:r>
          </w:p>
        </w:tc>
        <w:tc>
          <w:tcPr>
            <w:tcW w:w="2410" w:type="dxa"/>
          </w:tcPr>
          <w:p w14:paraId="0B123DD6" w14:textId="36ED5798" w:rsidR="00F135B7" w:rsidRPr="00F135B7" w:rsidRDefault="00F135B7" w:rsidP="00F135B7">
            <w:pPr>
              <w:spacing w:line="360" w:lineRule="auto"/>
              <w:jc w:val="center"/>
              <w:rPr>
                <w:rFonts w:eastAsiaTheme="minorHAnsi" w:cstheme="minorBidi"/>
                <w:b/>
                <w:iCs/>
                <w:lang w:eastAsia="en-US"/>
              </w:rPr>
            </w:pPr>
            <w:r>
              <w:rPr>
                <w:rFonts w:eastAsiaTheme="minorHAnsi" w:cstheme="minorBidi"/>
                <w:b/>
                <w:iCs/>
                <w:lang w:eastAsia="en-US"/>
              </w:rPr>
              <w:t>13</w:t>
            </w:r>
          </w:p>
        </w:tc>
      </w:tr>
    </w:tbl>
    <w:p w14:paraId="72250222" w14:textId="4CB80558" w:rsidR="00F135B7" w:rsidRDefault="00F135B7" w:rsidP="007F72D0">
      <w:pPr>
        <w:spacing w:after="0" w:line="360" w:lineRule="auto"/>
        <w:rPr>
          <w:rFonts w:eastAsiaTheme="minorHAnsi" w:cstheme="minorBidi"/>
          <w:bCs/>
          <w:iCs/>
          <w:lang w:eastAsia="en-US"/>
        </w:rPr>
      </w:pPr>
      <w:r>
        <w:rPr>
          <w:rFonts w:eastAsiaTheme="minorHAnsi" w:cstheme="minorBidi"/>
          <w:bCs/>
          <w:iCs/>
          <w:lang w:eastAsia="en-US"/>
        </w:rPr>
        <w:t xml:space="preserve">  </w:t>
      </w:r>
    </w:p>
    <w:p w14:paraId="75E8548B" w14:textId="77777777" w:rsidR="00295FEC" w:rsidRDefault="00F135B7" w:rsidP="00295FEC">
      <w:pPr>
        <w:spacing w:after="0" w:line="360" w:lineRule="auto"/>
        <w:ind w:right="-28"/>
        <w:contextualSpacing/>
        <w:rPr>
          <w:rFonts w:eastAsia="Times New Roman" w:cs="Times New Roman"/>
          <w:bCs/>
          <w:iCs/>
          <w:color w:val="auto"/>
          <w:szCs w:val="20"/>
          <w:lang w:val="es-ES" w:eastAsia="es-ES"/>
        </w:rPr>
      </w:pPr>
      <w:r>
        <w:rPr>
          <w:rFonts w:eastAsiaTheme="minorHAnsi" w:cstheme="minorBidi"/>
          <w:bCs/>
          <w:iCs/>
          <w:lang w:eastAsia="en-US"/>
        </w:rPr>
        <w:t>Conforme a lo anterior, se logra vislumbrar que el Sujeto Obligado pr</w:t>
      </w:r>
      <w:r w:rsidR="00295FEC">
        <w:rPr>
          <w:rFonts w:eastAsiaTheme="minorHAnsi" w:cstheme="minorBidi"/>
          <w:bCs/>
          <w:iCs/>
          <w:lang w:eastAsia="en-US"/>
        </w:rPr>
        <w:t xml:space="preserve">oporcionó la información estadística solicitada, pues contiene el número total de adjudicaciones directas y contratos pedidos realizados por el Departamento de Recursos Materiales, del primero de enero al treinta y uno de octubre de dos mil veinticuatro; </w:t>
      </w:r>
      <w:r w:rsidR="00295FEC">
        <w:rPr>
          <w:rFonts w:eastAsia="Times New Roman" w:cs="Tahoma"/>
          <w:color w:val="auto"/>
          <w:lang w:eastAsia="es-ES"/>
        </w:rPr>
        <w:t>dicha</w:t>
      </w:r>
      <w:r w:rsidR="00295FEC">
        <w:rPr>
          <w:rFonts w:cs="Tahoma"/>
          <w:bCs/>
          <w:iCs/>
        </w:rPr>
        <w:t xml:space="preserve"> determinación, </w:t>
      </w:r>
      <w:r w:rsidR="00295FEC">
        <w:rPr>
          <w:rFonts w:cs="Tahoma"/>
          <w:bCs/>
          <w:iCs/>
          <w:lang w:val="es-ES"/>
        </w:rPr>
        <w:t>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3D1BED9B" w14:textId="77777777" w:rsidR="00295FEC" w:rsidRDefault="00295FEC" w:rsidP="00295FEC">
      <w:pPr>
        <w:spacing w:after="0" w:line="360" w:lineRule="auto"/>
        <w:rPr>
          <w:rFonts w:cs="Tahoma"/>
          <w:bCs/>
        </w:rPr>
      </w:pPr>
      <w:r>
        <w:rPr>
          <w:rFonts w:cs="Tahoma"/>
          <w:bCs/>
        </w:rPr>
        <w:t xml:space="preserve">De esta manera, </w:t>
      </w:r>
      <w:r>
        <w:rPr>
          <w:rFonts w:cs="Tahoma"/>
          <w:bCs/>
          <w:lang w:val="es-ES"/>
        </w:rPr>
        <w:t xml:space="preserve">el derecho de acceso a la información pública se satisface en aquellos casos en que se entregue el soporte documental en el que conste la información solicitada, sin necesidad de elaborar documentos </w:t>
      </w:r>
      <w:r>
        <w:rPr>
          <w:rFonts w:cs="Tahoma"/>
          <w:bCs/>
          <w:i/>
        </w:rPr>
        <w:t>ad hoc</w:t>
      </w:r>
      <w:r>
        <w:rPr>
          <w:rFonts w:cs="Tahoma"/>
          <w:bC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73772773" w14:textId="77777777" w:rsidR="00295FEC" w:rsidRDefault="00295FEC" w:rsidP="00295FEC">
      <w:pPr>
        <w:spacing w:after="0" w:line="360" w:lineRule="auto"/>
        <w:rPr>
          <w:rFonts w:cs="Tahoma"/>
          <w:bCs/>
        </w:rPr>
      </w:pPr>
    </w:p>
    <w:p w14:paraId="3D31664E" w14:textId="5850AFA8" w:rsidR="00295FEC" w:rsidRDefault="00295FEC" w:rsidP="00295FEC">
      <w:pPr>
        <w:spacing w:after="0" w:line="360" w:lineRule="auto"/>
        <w:ind w:right="-28"/>
        <w:contextualSpacing/>
        <w:rPr>
          <w:rFonts w:eastAsia="Calibri" w:cs="Tahoma"/>
          <w:bCs/>
          <w:color w:val="auto"/>
        </w:rPr>
      </w:pPr>
      <w:r>
        <w:rPr>
          <w:rFonts w:cs="Tahoma"/>
          <w:bCs/>
          <w:lang w:val="es-ES"/>
        </w:rPr>
        <w:t>De tales circunstancias, se concluye que los sujetos obligados únicamente se encuentran constreñidos a proporcionar los documentos que den cuenta de la información solicitada, como obren en sus archivos, sin tener que elaborarlos a las necesidades de la persona Recurrente; lo cual aconteció, pues proporcionó la información que obraba en sus archivos y que daba cuente de lo solicitado, por lo que, se tiene por atendido el presente requerimiento.</w:t>
      </w:r>
    </w:p>
    <w:p w14:paraId="225C5EF8" w14:textId="2B2E9E2C" w:rsidR="00F135B7" w:rsidRDefault="00F135B7" w:rsidP="007F72D0">
      <w:pPr>
        <w:spacing w:after="0" w:line="360" w:lineRule="auto"/>
        <w:rPr>
          <w:rFonts w:eastAsiaTheme="minorHAnsi" w:cstheme="minorBidi"/>
          <w:bCs/>
          <w:iCs/>
          <w:lang w:eastAsia="en-US"/>
        </w:rPr>
      </w:pPr>
    </w:p>
    <w:p w14:paraId="4D1644EF" w14:textId="6793A1D1" w:rsidR="00F135B7" w:rsidRPr="00295FEC" w:rsidRDefault="00295FEC" w:rsidP="007F72D0">
      <w:pPr>
        <w:spacing w:after="0" w:line="360" w:lineRule="auto"/>
        <w:rPr>
          <w:rFonts w:eastAsiaTheme="minorHAnsi" w:cstheme="minorBidi"/>
          <w:b/>
          <w:iCs/>
          <w:lang w:eastAsia="en-US"/>
        </w:rPr>
      </w:pPr>
      <w:r w:rsidRPr="00295FEC">
        <w:rPr>
          <w:rFonts w:eastAsiaTheme="minorHAnsi" w:cstheme="minorBidi"/>
          <w:b/>
          <w:iCs/>
          <w:lang w:eastAsia="en-US"/>
        </w:rPr>
        <w:t>Transferencia o traspasos de partidas</w:t>
      </w:r>
    </w:p>
    <w:p w14:paraId="67101951" w14:textId="77777777" w:rsidR="00F135B7" w:rsidRDefault="00F135B7" w:rsidP="007F72D0">
      <w:pPr>
        <w:spacing w:after="0" w:line="360" w:lineRule="auto"/>
        <w:rPr>
          <w:rFonts w:eastAsiaTheme="minorHAnsi" w:cstheme="minorBidi"/>
          <w:bCs/>
          <w:iCs/>
          <w:lang w:eastAsia="en-US"/>
        </w:rPr>
      </w:pPr>
    </w:p>
    <w:p w14:paraId="2681349F" w14:textId="60F16D6A" w:rsidR="008E662E" w:rsidRDefault="00295FEC" w:rsidP="007F72D0">
      <w:pPr>
        <w:spacing w:after="0" w:line="360" w:lineRule="auto"/>
        <w:rPr>
          <w:rFonts w:eastAsiaTheme="minorHAnsi" w:cstheme="minorBidi"/>
          <w:bCs/>
          <w:iCs/>
          <w:lang w:eastAsia="en-US"/>
        </w:rPr>
      </w:pPr>
      <w:r>
        <w:rPr>
          <w:rFonts w:eastAsiaTheme="minorHAnsi" w:cstheme="minorBidi"/>
          <w:bCs/>
          <w:iCs/>
          <w:lang w:eastAsia="en-US"/>
        </w:rPr>
        <w:t>Sobre el tema, la Dirección de Administración y Finanzas, indicó que para los procedimientos referidos no había transferencias</w:t>
      </w:r>
      <w:r w:rsidR="00E47FA5">
        <w:rPr>
          <w:rFonts w:eastAsiaTheme="minorHAnsi" w:cstheme="minorBidi"/>
          <w:bCs/>
          <w:iCs/>
          <w:lang w:eastAsia="en-US"/>
        </w:rPr>
        <w:t xml:space="preserve"> entre partidas, lo cual se traduce al hecho de que no se habían realizado traspaso de recursos entre partidas o claves presupuestarias para los procedimientos mencionados en el análisis anterior.</w:t>
      </w:r>
      <w:r>
        <w:rPr>
          <w:rFonts w:eastAsiaTheme="minorHAnsi" w:cstheme="minorBidi"/>
          <w:bCs/>
          <w:iCs/>
          <w:lang w:eastAsia="en-US"/>
        </w:rPr>
        <w:t xml:space="preserve"> </w:t>
      </w:r>
    </w:p>
    <w:p w14:paraId="1757A666" w14:textId="77777777" w:rsidR="00E47FA5" w:rsidRDefault="00E47FA5" w:rsidP="007F72D0">
      <w:pPr>
        <w:spacing w:after="0" w:line="360" w:lineRule="auto"/>
        <w:rPr>
          <w:rFonts w:eastAsiaTheme="minorHAnsi" w:cstheme="minorBidi"/>
          <w:bCs/>
          <w:iCs/>
          <w:lang w:eastAsia="en-US"/>
        </w:rPr>
      </w:pPr>
    </w:p>
    <w:p w14:paraId="241F8D55" w14:textId="43023FB4" w:rsidR="00B06F89" w:rsidRPr="00635EAF" w:rsidRDefault="00E47FA5" w:rsidP="007F72D0">
      <w:pPr>
        <w:spacing w:after="0" w:line="360" w:lineRule="auto"/>
        <w:rPr>
          <w:rFonts w:eastAsiaTheme="minorHAnsi" w:cstheme="minorBidi"/>
          <w:bCs/>
          <w:iCs/>
          <w:lang w:eastAsia="en-US"/>
        </w:rPr>
      </w:pPr>
      <w:r>
        <w:rPr>
          <w:rFonts w:eastAsia="Times New Roman" w:cs="Tahoma"/>
          <w:bCs/>
          <w:iCs/>
          <w:lang w:eastAsia="es-ES"/>
        </w:rPr>
        <w:t>S</w:t>
      </w:r>
      <w:r w:rsidR="00B06F89" w:rsidRPr="00B06F89">
        <w:rPr>
          <w:rFonts w:eastAsia="Times New Roman" w:cs="Tahoma"/>
          <w:bCs/>
          <w:iCs/>
          <w:lang w:eastAsia="es-ES"/>
        </w:rPr>
        <w:t xml:space="preserve">obre el tema, el Criterio SO/014/2017, emitido por el Instituto Nacional de Transparencia, Acceso a la Información Pública y Protección de Datos Personales en el Estado de México y Municipios, se desprende que la inexistencia de la información, es una cuestión de hecho que se le atribuye a la misma, cuando ésta no se encuentra en los archivos del sujeto obligado. </w:t>
      </w:r>
    </w:p>
    <w:p w14:paraId="697DACCD" w14:textId="77777777" w:rsidR="00B06F89" w:rsidRPr="00B06F89" w:rsidRDefault="00B06F89" w:rsidP="007F72D0">
      <w:pPr>
        <w:widowControl w:val="0"/>
        <w:autoSpaceDE w:val="0"/>
        <w:autoSpaceDN w:val="0"/>
        <w:adjustRightInd w:val="0"/>
        <w:spacing w:after="0" w:line="360" w:lineRule="auto"/>
        <w:contextualSpacing/>
        <w:rPr>
          <w:rFonts w:eastAsia="Times New Roman" w:cs="Tahoma"/>
          <w:bCs/>
          <w:iCs/>
          <w:lang w:eastAsia="es-ES"/>
        </w:rPr>
      </w:pPr>
    </w:p>
    <w:p w14:paraId="6212BB4B" w14:textId="77777777" w:rsidR="00B06F89" w:rsidRPr="00B06F89" w:rsidRDefault="00B06F89" w:rsidP="00E47FA5">
      <w:pPr>
        <w:autoSpaceDE w:val="0"/>
        <w:autoSpaceDN w:val="0"/>
        <w:adjustRightInd w:val="0"/>
        <w:spacing w:after="0" w:line="360" w:lineRule="auto"/>
        <w:contextualSpacing/>
        <w:rPr>
          <w:rFonts w:eastAsia="Times New Roman" w:cs="Tahoma"/>
          <w:bCs/>
          <w:iCs/>
          <w:lang w:eastAsia="es-ES"/>
        </w:rPr>
      </w:pPr>
      <w:r w:rsidRPr="00B06F89">
        <w:rPr>
          <w:rFonts w:eastAsia="Times New Roman" w:cs="Tahoma"/>
          <w:bCs/>
          <w:iCs/>
          <w:lang w:eastAsia="es-ES"/>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03A80BB5" w14:textId="77777777" w:rsidR="00B06F89" w:rsidRPr="00B06F89" w:rsidRDefault="00B06F89" w:rsidP="007F72D0">
      <w:pPr>
        <w:widowControl w:val="0"/>
        <w:autoSpaceDE w:val="0"/>
        <w:autoSpaceDN w:val="0"/>
        <w:adjustRightInd w:val="0"/>
        <w:spacing w:after="0" w:line="360" w:lineRule="auto"/>
        <w:contextualSpacing/>
        <w:rPr>
          <w:rFonts w:eastAsia="Times New Roman" w:cs="Tahoma"/>
          <w:bCs/>
          <w:iCs/>
          <w:lang w:eastAsia="es-ES"/>
        </w:rPr>
      </w:pPr>
    </w:p>
    <w:p w14:paraId="60D5E1F7" w14:textId="77777777" w:rsidR="00B06F89" w:rsidRPr="00B06F89" w:rsidRDefault="00B06F89" w:rsidP="007F72D0">
      <w:pPr>
        <w:widowControl w:val="0"/>
        <w:autoSpaceDE w:val="0"/>
        <w:autoSpaceDN w:val="0"/>
        <w:adjustRightInd w:val="0"/>
        <w:spacing w:after="0" w:line="360" w:lineRule="auto"/>
        <w:contextualSpacing/>
        <w:rPr>
          <w:rFonts w:eastAsia="Times New Roman" w:cs="Tahoma"/>
          <w:bCs/>
          <w:iCs/>
          <w:lang w:eastAsia="es-ES"/>
        </w:rPr>
      </w:pPr>
      <w:r w:rsidRPr="00B06F89">
        <w:rPr>
          <w:rFonts w:eastAsia="Times New Roman" w:cs="Tahoma"/>
          <w:bCs/>
          <w:iCs/>
          <w:lang w:eastAsia="es-ES"/>
        </w:rPr>
        <w:t>Además,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084A97F3" w14:textId="77777777" w:rsidR="00B06F89" w:rsidRPr="00B06F89" w:rsidRDefault="00B06F89" w:rsidP="007F72D0">
      <w:pPr>
        <w:widowControl w:val="0"/>
        <w:autoSpaceDE w:val="0"/>
        <w:autoSpaceDN w:val="0"/>
        <w:adjustRightInd w:val="0"/>
        <w:spacing w:after="0" w:line="360" w:lineRule="auto"/>
        <w:contextualSpacing/>
        <w:rPr>
          <w:rFonts w:eastAsia="Times New Roman" w:cs="Tahoma"/>
          <w:bCs/>
          <w:iCs/>
          <w:lang w:eastAsia="es-ES"/>
        </w:rPr>
      </w:pPr>
    </w:p>
    <w:p w14:paraId="30B4093D" w14:textId="77777777" w:rsidR="00B06F89" w:rsidRPr="00B06F89" w:rsidRDefault="00B06F89" w:rsidP="007F72D0">
      <w:pPr>
        <w:widowControl w:val="0"/>
        <w:autoSpaceDE w:val="0"/>
        <w:autoSpaceDN w:val="0"/>
        <w:adjustRightInd w:val="0"/>
        <w:spacing w:after="0" w:line="360" w:lineRule="auto"/>
        <w:contextualSpacing/>
        <w:rPr>
          <w:rFonts w:eastAsia="Times New Roman" w:cs="Tahoma"/>
          <w:bCs/>
          <w:iCs/>
          <w:lang w:eastAsia="es-ES"/>
        </w:rPr>
      </w:pPr>
      <w:r w:rsidRPr="00B06F89">
        <w:rPr>
          <w:rFonts w:eastAsia="Times New Roman" w:cs="Tahoma"/>
          <w:bCs/>
          <w:iCs/>
          <w:lang w:eastAsia="es-ES"/>
        </w:rPr>
        <w:t>Así, es posible concluir que la inexistencia presupone la competencia del sujeto obligado para conocer de la información, pero por alguna circunstancia, la documentación solicitada no obra en sus archivos. Para tal situación, no basta con que los sujetos obligados precisen dicha circunstancia, sino que también debe de señalar las razones por las cuales no cuentan con lo peticionado, es decir, las circunstancias que dan lugar a la inexistencia.</w:t>
      </w:r>
    </w:p>
    <w:p w14:paraId="05D33956" w14:textId="77777777" w:rsidR="00B06F89" w:rsidRDefault="00B06F89" w:rsidP="007F72D0">
      <w:pPr>
        <w:widowControl w:val="0"/>
        <w:autoSpaceDE w:val="0"/>
        <w:autoSpaceDN w:val="0"/>
        <w:adjustRightInd w:val="0"/>
        <w:spacing w:after="0" w:line="360" w:lineRule="auto"/>
        <w:contextualSpacing/>
        <w:rPr>
          <w:rFonts w:eastAsia="Times New Roman" w:cs="Tahoma"/>
          <w:bCs/>
          <w:iCs/>
          <w:lang w:eastAsia="es-ES"/>
        </w:rPr>
      </w:pPr>
    </w:p>
    <w:p w14:paraId="5798CBA8" w14:textId="504D6143" w:rsidR="00E47FA5" w:rsidRDefault="00E47FA5" w:rsidP="007F72D0">
      <w:pPr>
        <w:widowControl w:val="0"/>
        <w:autoSpaceDE w:val="0"/>
        <w:autoSpaceDN w:val="0"/>
        <w:adjustRightInd w:val="0"/>
        <w:spacing w:after="0" w:line="360" w:lineRule="auto"/>
        <w:contextualSpacing/>
        <w:rPr>
          <w:rFonts w:eastAsia="Times New Roman" w:cs="Tahoma"/>
          <w:bCs/>
          <w:iCs/>
          <w:lang w:eastAsia="es-ES"/>
        </w:rPr>
      </w:pPr>
      <w:r>
        <w:rPr>
          <w:rFonts w:eastAsia="Times New Roman" w:cs="Tahoma"/>
          <w:bCs/>
          <w:iCs/>
          <w:lang w:eastAsia="es-ES"/>
        </w:rPr>
        <w:t>Además, este Instituto realizó una búsqueda en la página oficial del Sujeto Obligado y su Portal de Información Pública de Oficio Mexiquense 3.0 y 4.0, y no se localizó algún indicio de que el Instituto de la Función Registral del Estado de México haya realizado alguna transferencia o traspaso de recursos para los procedimientos solicitados.</w:t>
      </w:r>
    </w:p>
    <w:p w14:paraId="29CF4A1F" w14:textId="77777777" w:rsidR="00E47FA5" w:rsidRPr="00B06F89" w:rsidRDefault="00E47FA5" w:rsidP="007F72D0">
      <w:pPr>
        <w:widowControl w:val="0"/>
        <w:autoSpaceDE w:val="0"/>
        <w:autoSpaceDN w:val="0"/>
        <w:adjustRightInd w:val="0"/>
        <w:spacing w:after="0" w:line="360" w:lineRule="auto"/>
        <w:contextualSpacing/>
        <w:rPr>
          <w:rFonts w:eastAsia="Times New Roman" w:cs="Tahoma"/>
          <w:bCs/>
          <w:iCs/>
          <w:lang w:eastAsia="es-ES"/>
        </w:rPr>
      </w:pPr>
    </w:p>
    <w:p w14:paraId="22632A3B" w14:textId="67673A13" w:rsidR="00E47FA5" w:rsidRDefault="00E47FA5" w:rsidP="00E47FA5">
      <w:pPr>
        <w:spacing w:after="0" w:line="360" w:lineRule="auto"/>
        <w:rPr>
          <w:color w:val="auto"/>
          <w:lang w:eastAsia="es-ES"/>
        </w:rPr>
      </w:pPr>
      <w:r>
        <w:rPr>
          <w:rFonts w:eastAsia="Times New Roman" w:cs="Tahoma"/>
          <w:bCs/>
          <w:iCs/>
          <w:lang w:eastAsia="es-ES"/>
        </w:rPr>
        <w:t>Por lo tanto</w:t>
      </w:r>
      <w:r w:rsidR="00B06F89" w:rsidRPr="00B06F89">
        <w:rPr>
          <w:rFonts w:eastAsia="Times New Roman" w:cs="Tahoma"/>
          <w:bCs/>
          <w:iCs/>
          <w:lang w:eastAsia="es-ES"/>
        </w:rPr>
        <w:t xml:space="preserve">, el Sujeto Obligado </w:t>
      </w:r>
      <w:r>
        <w:rPr>
          <w:rFonts w:eastAsia="Times New Roman" w:cs="Tahoma"/>
          <w:bCs/>
          <w:iCs/>
          <w:lang w:eastAsia="es-ES"/>
        </w:rPr>
        <w:t xml:space="preserve">desde respuesta </w:t>
      </w:r>
      <w:r w:rsidR="00B06F89" w:rsidRPr="00B06F89">
        <w:rPr>
          <w:rFonts w:eastAsia="Times New Roman" w:cs="Tahoma"/>
          <w:bCs/>
          <w:iCs/>
          <w:lang w:eastAsia="es-ES"/>
        </w:rPr>
        <w:t xml:space="preserve">precisó las razones por las cuales no contaba </w:t>
      </w:r>
      <w:r w:rsidR="00635EAF">
        <w:rPr>
          <w:rFonts w:eastAsia="Times New Roman" w:cs="Tahoma"/>
          <w:bCs/>
          <w:iCs/>
          <w:lang w:eastAsia="es-ES"/>
        </w:rPr>
        <w:t xml:space="preserve">la información </w:t>
      </w:r>
      <w:r>
        <w:rPr>
          <w:rFonts w:eastAsia="Times New Roman" w:cs="Tahoma"/>
          <w:bCs/>
          <w:iCs/>
          <w:lang w:eastAsia="es-ES"/>
        </w:rPr>
        <w:t>en análisis</w:t>
      </w:r>
      <w:r w:rsidR="00635EAF">
        <w:rPr>
          <w:rFonts w:eastAsia="Times New Roman" w:cs="Tahoma"/>
          <w:bCs/>
          <w:iCs/>
          <w:lang w:eastAsia="es-ES"/>
        </w:rPr>
        <w:t xml:space="preserve">, esto es, que no </w:t>
      </w:r>
      <w:r>
        <w:rPr>
          <w:rFonts w:eastAsia="Times New Roman" w:cs="Tahoma"/>
          <w:bCs/>
          <w:iCs/>
          <w:lang w:eastAsia="es-ES"/>
        </w:rPr>
        <w:t>contaba</w:t>
      </w:r>
      <w:r w:rsidR="00635EAF">
        <w:rPr>
          <w:rFonts w:eastAsia="Times New Roman" w:cs="Tahoma"/>
          <w:bCs/>
          <w:iCs/>
          <w:lang w:eastAsia="es-ES"/>
        </w:rPr>
        <w:t xml:space="preserve"> con </w:t>
      </w:r>
      <w:r>
        <w:rPr>
          <w:rFonts w:eastAsia="Times New Roman" w:cs="Tahoma"/>
          <w:bCs/>
          <w:iCs/>
          <w:lang w:eastAsia="es-ES"/>
        </w:rPr>
        <w:t>documentos</w:t>
      </w:r>
      <w:r w:rsidR="000F02AC">
        <w:rPr>
          <w:rFonts w:eastAsia="Times New Roman" w:cs="Tahoma"/>
          <w:bCs/>
          <w:iCs/>
          <w:lang w:eastAsia="es-ES"/>
        </w:rPr>
        <w:t xml:space="preserve"> donde </w:t>
      </w:r>
      <w:r w:rsidR="00F96382">
        <w:rPr>
          <w:rFonts w:eastAsia="Times New Roman" w:cs="Tahoma"/>
          <w:bCs/>
          <w:iCs/>
          <w:lang w:eastAsia="es-ES"/>
        </w:rPr>
        <w:t>c</w:t>
      </w:r>
      <w:r>
        <w:rPr>
          <w:rFonts w:eastAsia="Times New Roman" w:cs="Tahoma"/>
          <w:bCs/>
          <w:iCs/>
          <w:lang w:eastAsia="es-ES"/>
        </w:rPr>
        <w:t>onstaran</w:t>
      </w:r>
      <w:r w:rsidR="000F02AC">
        <w:rPr>
          <w:rFonts w:eastAsia="Times New Roman" w:cs="Tahoma"/>
          <w:bCs/>
          <w:iCs/>
          <w:lang w:eastAsia="es-ES"/>
        </w:rPr>
        <w:t xml:space="preserve"> los </w:t>
      </w:r>
      <w:r w:rsidR="00635EAF">
        <w:rPr>
          <w:rFonts w:eastAsia="Times New Roman" w:cs="Tahoma"/>
          <w:bCs/>
          <w:iCs/>
          <w:lang w:eastAsia="es-ES"/>
        </w:rPr>
        <w:t>montos de transferencias</w:t>
      </w:r>
      <w:r>
        <w:rPr>
          <w:rFonts w:eastAsia="Times New Roman" w:cs="Tahoma"/>
          <w:bCs/>
          <w:iCs/>
          <w:lang w:eastAsia="es-ES"/>
        </w:rPr>
        <w:t xml:space="preserve"> entre partidas</w:t>
      </w:r>
      <w:r w:rsidR="00635EAF">
        <w:rPr>
          <w:rFonts w:eastAsia="Times New Roman" w:cs="Tahoma"/>
          <w:bCs/>
          <w:iCs/>
          <w:lang w:eastAsia="es-ES"/>
        </w:rPr>
        <w:t xml:space="preserve"> al no haberse realizado las mismas</w:t>
      </w:r>
      <w:r>
        <w:rPr>
          <w:color w:val="auto"/>
          <w:lang w:eastAsia="es-ES"/>
        </w:rPr>
        <w:t xml:space="preserve">;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5157EA6E" w14:textId="77777777" w:rsidR="00E47FA5" w:rsidRDefault="00E47FA5" w:rsidP="00E47FA5">
      <w:pPr>
        <w:widowControl w:val="0"/>
        <w:spacing w:after="0" w:line="360" w:lineRule="auto"/>
        <w:rPr>
          <w:color w:val="auto"/>
          <w:lang w:eastAsia="es-ES"/>
        </w:rPr>
      </w:pPr>
    </w:p>
    <w:p w14:paraId="34C9655D" w14:textId="77777777" w:rsidR="00E47FA5" w:rsidRDefault="00E47FA5" w:rsidP="00E47FA5">
      <w:pPr>
        <w:spacing w:after="0" w:line="360" w:lineRule="auto"/>
        <w:rPr>
          <w:color w:val="auto"/>
          <w:lang w:eastAsia="es-ES"/>
        </w:rPr>
      </w:pPr>
      <w:r>
        <w:rPr>
          <w:color w:val="auto"/>
          <w:lang w:eastAsia="es-ES"/>
        </w:rPr>
        <w:t>De la misma manera, el Criterio de interpretación con clave de registro SO/007/2017, de la Segunda Época,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134B595C" w14:textId="2D426DBD" w:rsidR="00B06F89" w:rsidRPr="00B06F89" w:rsidRDefault="00B06F89" w:rsidP="007F72D0">
      <w:pPr>
        <w:widowControl w:val="0"/>
        <w:autoSpaceDE w:val="0"/>
        <w:autoSpaceDN w:val="0"/>
        <w:adjustRightInd w:val="0"/>
        <w:spacing w:after="0" w:line="360" w:lineRule="auto"/>
        <w:contextualSpacing/>
        <w:rPr>
          <w:rFonts w:eastAsia="Times New Roman" w:cs="Tahoma"/>
          <w:bCs/>
          <w:iCs/>
          <w:lang w:eastAsia="es-ES"/>
        </w:rPr>
      </w:pPr>
    </w:p>
    <w:p w14:paraId="335F96C0" w14:textId="0A96FE26" w:rsidR="00716450" w:rsidRDefault="00E47FA5" w:rsidP="007F72D0">
      <w:pPr>
        <w:widowControl w:val="0"/>
        <w:autoSpaceDE w:val="0"/>
        <w:autoSpaceDN w:val="0"/>
        <w:adjustRightInd w:val="0"/>
        <w:spacing w:after="0" w:line="360" w:lineRule="auto"/>
        <w:contextualSpacing/>
        <w:rPr>
          <w:rFonts w:eastAsia="Times New Roman" w:cs="Times New Roman"/>
          <w:color w:val="auto"/>
          <w:lang w:eastAsia="es-ES"/>
        </w:rPr>
      </w:pPr>
      <w:r>
        <w:rPr>
          <w:color w:val="auto"/>
          <w:lang w:eastAsia="es-ES"/>
        </w:rPr>
        <w:t>Al respecto, dicho criterio aplica al caso en concreto, ya que, no se localizó algún indicio de que se hayan realizado transferencias o traspaso de recursos; por lo cual, se considera que desde respuesta la Dirección de Administración y Finanzas, señaló las razones por las cuales no contaba con lo requerido, con lo cual dio cumplimiento al artículo 19, párrafo segundo, de la Ley de la materia y se tiene por atendido el presente requerimiento.</w:t>
      </w:r>
    </w:p>
    <w:p w14:paraId="53D366D0" w14:textId="77777777" w:rsidR="00E47FA5" w:rsidRDefault="00E47FA5" w:rsidP="007F72D0">
      <w:pPr>
        <w:widowControl w:val="0"/>
        <w:autoSpaceDE w:val="0"/>
        <w:autoSpaceDN w:val="0"/>
        <w:adjustRightInd w:val="0"/>
        <w:spacing w:after="0" w:line="360" w:lineRule="auto"/>
        <w:contextualSpacing/>
        <w:rPr>
          <w:rFonts w:eastAsia="Times New Roman" w:cs="Times New Roman"/>
          <w:color w:val="auto"/>
          <w:lang w:eastAsia="es-ES"/>
        </w:rPr>
      </w:pPr>
    </w:p>
    <w:p w14:paraId="7958E97F" w14:textId="1D161B9C" w:rsidR="00E47FA5" w:rsidRPr="00E47FA5" w:rsidRDefault="00E47FA5" w:rsidP="007F72D0">
      <w:pPr>
        <w:widowControl w:val="0"/>
        <w:autoSpaceDE w:val="0"/>
        <w:autoSpaceDN w:val="0"/>
        <w:adjustRightInd w:val="0"/>
        <w:spacing w:after="0" w:line="360" w:lineRule="auto"/>
        <w:contextualSpacing/>
        <w:rPr>
          <w:rFonts w:eastAsia="Times New Roman" w:cs="Times New Roman"/>
          <w:b/>
          <w:bCs/>
          <w:color w:val="auto"/>
          <w:lang w:eastAsia="es-ES"/>
        </w:rPr>
      </w:pPr>
      <w:r w:rsidRPr="00E47FA5">
        <w:rPr>
          <w:rFonts w:eastAsia="Times New Roman" w:cs="Times New Roman"/>
          <w:b/>
          <w:bCs/>
          <w:color w:val="auto"/>
          <w:lang w:eastAsia="es-ES"/>
        </w:rPr>
        <w:t>Soporte documental (contratos)</w:t>
      </w:r>
    </w:p>
    <w:p w14:paraId="766ACF40" w14:textId="77777777" w:rsidR="00E47FA5" w:rsidRDefault="00E47FA5" w:rsidP="007F72D0">
      <w:pPr>
        <w:widowControl w:val="0"/>
        <w:autoSpaceDE w:val="0"/>
        <w:autoSpaceDN w:val="0"/>
        <w:adjustRightInd w:val="0"/>
        <w:spacing w:after="0" w:line="360" w:lineRule="auto"/>
        <w:contextualSpacing/>
        <w:rPr>
          <w:rFonts w:eastAsia="Times New Roman" w:cs="Times New Roman"/>
          <w:color w:val="auto"/>
          <w:lang w:eastAsia="es-ES"/>
        </w:rPr>
      </w:pPr>
    </w:p>
    <w:p w14:paraId="24C10834" w14:textId="60C79403" w:rsidR="00C622F6" w:rsidRPr="00C622F6" w:rsidRDefault="00C622F6" w:rsidP="00C622F6">
      <w:pPr>
        <w:spacing w:after="0" w:line="360" w:lineRule="auto"/>
        <w:rPr>
          <w:rFonts w:eastAsia="Calibri" w:cs="Times New Roman"/>
          <w:color w:val="000000"/>
          <w:lang w:eastAsia="en-US"/>
        </w:rPr>
      </w:pPr>
      <w:r>
        <w:rPr>
          <w:rFonts w:eastAsia="Times New Roman" w:cs="Times New Roman"/>
          <w:color w:val="auto"/>
          <w:lang w:eastAsia="es-ES"/>
        </w:rPr>
        <w:t>Ahora bien, respecto al soporte documental, la Dirección de Administración y Finanzas indicó que la información se localizaba en el Portal de Información Pública de Oficio Mexiquense y proporcionó una liga de cuya revisión se encuentra en formato cerrado</w:t>
      </w:r>
      <w:r w:rsidRPr="00C622F6">
        <w:rPr>
          <w:rFonts w:eastAsia="Calibri" w:cs="Times New Roman"/>
          <w:color w:val="000000"/>
          <w:lang w:eastAsia="en-US"/>
        </w:rPr>
        <w:t>,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1C646612" w14:textId="77777777" w:rsidR="00C622F6" w:rsidRPr="00C622F6" w:rsidRDefault="00C622F6" w:rsidP="00C622F6">
      <w:pPr>
        <w:spacing w:after="0" w:line="360" w:lineRule="auto"/>
        <w:rPr>
          <w:rFonts w:eastAsia="Calibri" w:cs="Times New Roman"/>
          <w:color w:val="000000"/>
          <w:lang w:eastAsia="en-US"/>
        </w:rPr>
      </w:pPr>
    </w:p>
    <w:p w14:paraId="52AC7656" w14:textId="77777777" w:rsidR="00C622F6" w:rsidRPr="00C622F6" w:rsidRDefault="00C622F6" w:rsidP="00C622F6">
      <w:pPr>
        <w:spacing w:after="0" w:line="360" w:lineRule="auto"/>
        <w:rPr>
          <w:rFonts w:eastAsia="Calibri" w:cs="Times New Roman"/>
          <w:color w:val="000000"/>
          <w:lang w:eastAsia="en-US"/>
        </w:rPr>
      </w:pPr>
      <w:r w:rsidRPr="00C622F6">
        <w:rPr>
          <w:rFonts w:eastAsia="Calibri" w:cs="Times New Roman"/>
          <w:color w:val="000000"/>
          <w:lang w:eastAsia="en-US"/>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3D44AB1E" w14:textId="77777777" w:rsidR="00C622F6" w:rsidRPr="00C622F6" w:rsidRDefault="00C622F6" w:rsidP="00C622F6">
      <w:pPr>
        <w:spacing w:after="0" w:line="360" w:lineRule="auto"/>
        <w:rPr>
          <w:rFonts w:eastAsia="Calibri" w:cs="Times New Roman"/>
          <w:color w:val="000000"/>
          <w:lang w:eastAsia="en-US"/>
        </w:rPr>
      </w:pPr>
    </w:p>
    <w:p w14:paraId="0E656AA1" w14:textId="77777777" w:rsidR="00C622F6" w:rsidRPr="00C622F6" w:rsidRDefault="00C622F6" w:rsidP="00C622F6">
      <w:pPr>
        <w:spacing w:after="0" w:line="360" w:lineRule="auto"/>
        <w:rPr>
          <w:rFonts w:eastAsia="Calibri" w:cs="Times New Roman"/>
          <w:color w:val="000000"/>
          <w:lang w:eastAsia="en-US"/>
        </w:rPr>
      </w:pPr>
      <w:r w:rsidRPr="00C622F6">
        <w:rPr>
          <w:rFonts w:eastAsia="Calibri" w:cs="Times New Roman"/>
          <w:color w:val="000000"/>
          <w:lang w:eastAsia="en-US"/>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63B855F6" w14:textId="77777777" w:rsidR="00C622F6" w:rsidRPr="00C622F6" w:rsidRDefault="00C622F6" w:rsidP="00C622F6">
      <w:pPr>
        <w:spacing w:after="0" w:line="360" w:lineRule="auto"/>
        <w:rPr>
          <w:rFonts w:eastAsia="Calibri" w:cs="Times New Roman"/>
          <w:color w:val="000000"/>
          <w:lang w:eastAsia="en-US"/>
        </w:rPr>
      </w:pPr>
    </w:p>
    <w:p w14:paraId="31C6B667" w14:textId="77777777" w:rsidR="00C622F6" w:rsidRPr="00C622F6" w:rsidRDefault="00C622F6" w:rsidP="00C622F6">
      <w:pPr>
        <w:numPr>
          <w:ilvl w:val="0"/>
          <w:numId w:val="33"/>
        </w:numPr>
        <w:spacing w:after="0" w:line="360" w:lineRule="auto"/>
        <w:contextualSpacing/>
        <w:rPr>
          <w:rFonts w:eastAsia="Calibri" w:cs="Times New Roman"/>
          <w:color w:val="000000"/>
          <w:lang w:eastAsia="en-US"/>
        </w:rPr>
      </w:pPr>
      <w:r w:rsidRPr="00C622F6">
        <w:rPr>
          <w:rFonts w:eastAsia="Calibri" w:cs="Times New Roman"/>
          <w:b/>
          <w:bCs/>
          <w:color w:val="000000"/>
          <w:lang w:eastAsia="en-US"/>
        </w:rPr>
        <w:t>Dato abierto:</w:t>
      </w:r>
      <w:r w:rsidRPr="00C622F6">
        <w:rPr>
          <w:rFonts w:eastAsia="Calibri" w:cs="Times New Roman"/>
          <w:color w:val="000000"/>
          <w:lang w:eastAsia="en-US"/>
        </w:rPr>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2F5066CF" w14:textId="77777777" w:rsidR="00C622F6" w:rsidRPr="00C622F6" w:rsidRDefault="00C622F6" w:rsidP="00C622F6">
      <w:pPr>
        <w:spacing w:after="0" w:line="360" w:lineRule="auto"/>
        <w:rPr>
          <w:rFonts w:ascii="Calibri" w:eastAsia="Calibri" w:hAnsi="Calibri" w:cs="Times New Roman"/>
          <w:color w:val="auto"/>
          <w:lang w:eastAsia="en-US"/>
        </w:rPr>
      </w:pPr>
    </w:p>
    <w:p w14:paraId="3A84E16D" w14:textId="77777777" w:rsidR="00C622F6" w:rsidRPr="00C622F6" w:rsidRDefault="00C622F6" w:rsidP="00C622F6">
      <w:pPr>
        <w:numPr>
          <w:ilvl w:val="0"/>
          <w:numId w:val="33"/>
        </w:numPr>
        <w:spacing w:after="0" w:line="360" w:lineRule="auto"/>
        <w:contextualSpacing/>
        <w:rPr>
          <w:rFonts w:eastAsia="Calibri" w:cs="Times New Roman"/>
          <w:color w:val="000000"/>
          <w:lang w:eastAsia="en-US"/>
        </w:rPr>
      </w:pPr>
      <w:r w:rsidRPr="00C622F6">
        <w:rPr>
          <w:rFonts w:eastAsia="Calibri" w:cs="Times New Roman"/>
          <w:b/>
          <w:bCs/>
          <w:color w:val="000000"/>
          <w:lang w:eastAsia="en-US"/>
        </w:rPr>
        <w:t>Formato accesible:</w:t>
      </w:r>
      <w:r w:rsidRPr="00C622F6">
        <w:rPr>
          <w:rFonts w:eastAsia="Calibri" w:cs="Times New Roman"/>
          <w:color w:val="000000"/>
          <w:lang w:eastAsia="en-US"/>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16C8DE5A" w14:textId="77777777" w:rsidR="00C622F6" w:rsidRPr="00C622F6" w:rsidRDefault="00C622F6" w:rsidP="00C622F6">
      <w:pPr>
        <w:spacing w:after="0" w:line="360" w:lineRule="auto"/>
        <w:rPr>
          <w:rFonts w:eastAsia="Calibri" w:cs="Times New Roman"/>
          <w:color w:val="000000"/>
          <w:lang w:eastAsia="en-US"/>
        </w:rPr>
      </w:pPr>
    </w:p>
    <w:p w14:paraId="3306EEAC" w14:textId="77777777" w:rsidR="00C622F6" w:rsidRPr="00C622F6" w:rsidRDefault="00C622F6" w:rsidP="00C622F6">
      <w:pPr>
        <w:spacing w:after="0" w:line="360" w:lineRule="auto"/>
        <w:rPr>
          <w:rFonts w:eastAsia="Calibri" w:cs="Times New Roman"/>
          <w:color w:val="000000"/>
          <w:lang w:eastAsia="en-US"/>
        </w:rPr>
      </w:pPr>
      <w:r w:rsidRPr="00C622F6">
        <w:rPr>
          <w:rFonts w:eastAsia="Calibri" w:cs="Times New Roman"/>
          <w:color w:val="000000"/>
          <w:lang w:eastAsia="en-US"/>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en estas.</w:t>
      </w:r>
    </w:p>
    <w:p w14:paraId="2BFF1D5E" w14:textId="77777777" w:rsidR="00C622F6" w:rsidRPr="00C622F6" w:rsidRDefault="00C622F6" w:rsidP="00C622F6">
      <w:pPr>
        <w:spacing w:after="0" w:line="360" w:lineRule="auto"/>
        <w:rPr>
          <w:rFonts w:eastAsia="Calibri" w:cs="Times New Roman"/>
          <w:color w:val="000000"/>
          <w:lang w:eastAsia="en-US"/>
        </w:rPr>
      </w:pPr>
    </w:p>
    <w:p w14:paraId="751673AA" w14:textId="4BC6EAAD" w:rsidR="00C622F6" w:rsidRPr="00C622F6" w:rsidRDefault="00C622F6" w:rsidP="00C622F6">
      <w:pPr>
        <w:spacing w:after="0" w:line="360" w:lineRule="auto"/>
        <w:rPr>
          <w:rFonts w:eastAsia="Calibri" w:cs="Times New Roman"/>
          <w:color w:val="000000"/>
          <w:lang w:eastAsia="en-US"/>
        </w:rPr>
      </w:pPr>
      <w:r>
        <w:rPr>
          <w:rFonts w:eastAsia="Calibri" w:cs="Times New Roman"/>
          <w:color w:val="000000"/>
          <w:lang w:eastAsia="en-US"/>
        </w:rPr>
        <w:t>En ese sentido</w:t>
      </w:r>
      <w:r w:rsidRPr="00C622F6">
        <w:rPr>
          <w:rFonts w:eastAsia="Calibri" w:cs="Times New Roman"/>
          <w:color w:val="000000"/>
          <w:lang w:eastAsia="en-US"/>
        </w:rPr>
        <w:t>,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79603CC3" w14:textId="77777777" w:rsidR="00C622F6" w:rsidRPr="00C622F6" w:rsidRDefault="00C622F6" w:rsidP="00C622F6">
      <w:pPr>
        <w:spacing w:after="0" w:line="360" w:lineRule="auto"/>
        <w:rPr>
          <w:rFonts w:eastAsia="Calibri" w:cs="Times New Roman"/>
          <w:color w:val="000000"/>
          <w:lang w:eastAsia="en-US"/>
        </w:rPr>
      </w:pPr>
    </w:p>
    <w:p w14:paraId="7C07F65A" w14:textId="7E5F7F73" w:rsidR="00C622F6" w:rsidRDefault="00C622F6" w:rsidP="00C622F6">
      <w:pPr>
        <w:spacing w:after="0" w:line="360" w:lineRule="auto"/>
        <w:rPr>
          <w:rFonts w:eastAsia="Calibri" w:cs="Times New Roman"/>
          <w:color w:val="000000"/>
          <w:lang w:eastAsia="en-US"/>
        </w:rPr>
      </w:pPr>
      <w:r w:rsidRPr="00C622F6">
        <w:rPr>
          <w:rFonts w:eastAsia="Calibri" w:cs="Times New Roman"/>
          <w:color w:val="000000"/>
          <w:lang w:eastAsia="en-US"/>
        </w:rPr>
        <w:t>Como se logra observar, el Sujeto Obligado si bien señaló una liga electrónica, omitió proporcionarla en formato abierto, lo cual implica la dificultad de acceder a la misma</w:t>
      </w:r>
      <w:r>
        <w:rPr>
          <w:rFonts w:eastAsia="Calibri" w:cs="Times New Roman"/>
          <w:color w:val="000000"/>
          <w:lang w:eastAsia="en-US"/>
        </w:rPr>
        <w:t>, tal como lo indicó la persona Solicitante</w:t>
      </w:r>
      <w:r w:rsidRPr="00C622F6">
        <w:rPr>
          <w:rFonts w:eastAsia="Calibri" w:cs="Times New Roman"/>
          <w:color w:val="000000"/>
          <w:lang w:eastAsia="en-US"/>
        </w:rPr>
        <w:t xml:space="preserve">, pues se traduce al hecho de que </w:t>
      </w:r>
      <w:r>
        <w:rPr>
          <w:rFonts w:eastAsia="Calibri" w:cs="Times New Roman"/>
          <w:color w:val="000000"/>
          <w:lang w:eastAsia="en-US"/>
        </w:rPr>
        <w:t>esta</w:t>
      </w:r>
      <w:r w:rsidRPr="00C622F6">
        <w:rPr>
          <w:rFonts w:eastAsia="Calibri" w:cs="Times New Roman"/>
          <w:color w:val="000000"/>
          <w:lang w:eastAsia="en-US"/>
        </w:rPr>
        <w:t xml:space="preserve"> tendría que colocar cada dígito alfanumérico, y cuya equivocación implicaría no acceder a la información contenida en las misma; además de que el </w:t>
      </w:r>
      <w:r>
        <w:rPr>
          <w:rFonts w:eastAsia="Calibri" w:cs="Times New Roman"/>
          <w:color w:val="000000"/>
          <w:lang w:eastAsia="en-US"/>
        </w:rPr>
        <w:t>Instituto de la Función Registral del Estado de México</w:t>
      </w:r>
      <w:r w:rsidRPr="00C622F6">
        <w:rPr>
          <w:rFonts w:eastAsia="Calibri" w:cs="Times New Roman"/>
          <w:color w:val="000000"/>
          <w:lang w:eastAsia="en-US"/>
        </w:rPr>
        <w:t>, no señaló el procedimiento para acceder a los documentos o registros</w:t>
      </w:r>
      <w:r>
        <w:rPr>
          <w:rFonts w:eastAsia="Calibri" w:cs="Times New Roman"/>
          <w:color w:val="000000"/>
          <w:lang w:eastAsia="en-US"/>
        </w:rPr>
        <w:t>, pues la liga remite a los registros sin que se prevea una explicación para poder acceder a los contratos</w:t>
      </w:r>
      <w:r w:rsidRPr="00C622F6">
        <w:rPr>
          <w:rFonts w:eastAsia="Calibri" w:cs="Times New Roman"/>
          <w:color w:val="000000"/>
          <w:lang w:eastAsia="en-US"/>
        </w:rPr>
        <w:t>; por lo que, se considera que incumplió con lo establecido en el artículo 161 de la Ley de Transparencia y Acceso a la Información Pública del Estado de México y Municipios</w:t>
      </w:r>
      <w:r>
        <w:rPr>
          <w:rFonts w:eastAsia="Calibri" w:cs="Times New Roman"/>
          <w:color w:val="000000"/>
          <w:lang w:eastAsia="en-US"/>
        </w:rPr>
        <w:t>.</w:t>
      </w:r>
    </w:p>
    <w:p w14:paraId="6A0453A7" w14:textId="77777777" w:rsidR="00C622F6" w:rsidRDefault="00C622F6" w:rsidP="00C622F6">
      <w:pPr>
        <w:spacing w:after="0" w:line="360" w:lineRule="auto"/>
        <w:rPr>
          <w:rFonts w:eastAsia="Calibri" w:cs="Times New Roman"/>
          <w:color w:val="000000"/>
          <w:lang w:eastAsia="en-US"/>
        </w:rPr>
      </w:pPr>
    </w:p>
    <w:p w14:paraId="7777C23A" w14:textId="47984F70" w:rsidR="00C622F6" w:rsidRDefault="00C622F6" w:rsidP="00C622F6">
      <w:pPr>
        <w:spacing w:after="0" w:line="360" w:lineRule="auto"/>
        <w:rPr>
          <w:rFonts w:eastAsia="Calibri" w:cs="Times New Roman"/>
          <w:b/>
          <w:bCs/>
          <w:color w:val="000000"/>
          <w:lang w:eastAsia="en-US"/>
        </w:rPr>
      </w:pPr>
      <w:r>
        <w:rPr>
          <w:rFonts w:eastAsia="Calibri" w:cs="Times New Roman"/>
          <w:color w:val="000000"/>
          <w:lang w:eastAsia="en-US"/>
        </w:rPr>
        <w:t xml:space="preserve">De tal suerte si bien el Sujeto Obligado proporcionó parte de la información solicitada, lo cierto que no proporcionó toda la información, al faltar los soportes documentales, lo cual da como resultado que el agravio sea </w:t>
      </w:r>
      <w:r>
        <w:rPr>
          <w:rFonts w:eastAsia="Calibri" w:cs="Times New Roman"/>
          <w:b/>
          <w:bCs/>
          <w:color w:val="000000"/>
          <w:lang w:eastAsia="en-US"/>
        </w:rPr>
        <w:t>FUNDADO.</w:t>
      </w:r>
    </w:p>
    <w:p w14:paraId="769329E6" w14:textId="77777777" w:rsidR="00C622F6" w:rsidRDefault="00C622F6" w:rsidP="00C622F6">
      <w:pPr>
        <w:spacing w:after="0" w:line="360" w:lineRule="auto"/>
        <w:rPr>
          <w:rFonts w:eastAsia="Calibri" w:cs="Times New Roman"/>
          <w:b/>
          <w:bCs/>
          <w:color w:val="000000"/>
          <w:lang w:eastAsia="en-US"/>
        </w:rPr>
      </w:pPr>
    </w:p>
    <w:p w14:paraId="5A86AB61" w14:textId="0AE4FF37" w:rsidR="00C622F6" w:rsidRDefault="00C622F6" w:rsidP="00C622F6">
      <w:pPr>
        <w:spacing w:after="0" w:line="360" w:lineRule="auto"/>
        <w:rPr>
          <w:rFonts w:eastAsia="Calibri" w:cs="Times New Roman"/>
          <w:color w:val="000000"/>
          <w:lang w:eastAsia="en-US"/>
        </w:rPr>
      </w:pPr>
      <w:r>
        <w:rPr>
          <w:rFonts w:eastAsia="Calibri" w:cs="Times New Roman"/>
          <w:color w:val="000000"/>
          <w:lang w:eastAsia="en-US"/>
        </w:rPr>
        <w:t>Así, para atender el requerimiento de información, se considera que el Sujeto Obligado deberá proporcionar los trece contratos pedidos referidos en respuesta, para dar cumplimiento a los artículos 12 y 160 de la Ley de Transparencia y Acceso a la Información Pública del Estado de México y Municipios, pues como se señaló en párrafos anteriores, estos acreditan la estadística proporcionada, al ser el soporte documental que acredita que se efectuaron.</w:t>
      </w:r>
    </w:p>
    <w:p w14:paraId="6B86AA12" w14:textId="77777777" w:rsidR="00C622F6" w:rsidRDefault="00C622F6" w:rsidP="00C622F6">
      <w:pPr>
        <w:spacing w:after="0" w:line="360" w:lineRule="auto"/>
        <w:rPr>
          <w:rFonts w:eastAsia="Calibri" w:cs="Times New Roman"/>
          <w:color w:val="000000"/>
          <w:lang w:eastAsia="en-US"/>
        </w:rPr>
      </w:pPr>
    </w:p>
    <w:p w14:paraId="71C8B74E" w14:textId="46712A6E" w:rsidR="00C622F6" w:rsidRDefault="00C622F6" w:rsidP="00C622F6">
      <w:pPr>
        <w:spacing w:after="0" w:line="360" w:lineRule="auto"/>
        <w:rPr>
          <w:rFonts w:eastAsia="Calibri" w:cs="Times New Roman"/>
          <w:color w:val="000000"/>
          <w:lang w:eastAsia="en-US"/>
        </w:rPr>
      </w:pPr>
      <w:r>
        <w:rPr>
          <w:rFonts w:eastAsia="Calibri" w:cs="Times New Roman"/>
          <w:color w:val="000000"/>
          <w:lang w:eastAsia="en-US"/>
        </w:rPr>
        <w:t>Ahora bien, este Instituto revisó algunos contratos publicados en el Portal de Información Pública de Oficio Mexiquense y localizó que se testaron diversos datos, entre los cuales se encuentran los siguientes:</w:t>
      </w:r>
    </w:p>
    <w:p w14:paraId="68D1C47E" w14:textId="77777777" w:rsidR="0073428E" w:rsidRDefault="0073428E" w:rsidP="00C622F6">
      <w:pPr>
        <w:spacing w:after="0" w:line="360" w:lineRule="auto"/>
        <w:rPr>
          <w:rFonts w:eastAsia="Calibri" w:cs="Times New Roman"/>
          <w:color w:val="000000"/>
          <w:lang w:eastAsia="en-US"/>
        </w:rPr>
      </w:pPr>
    </w:p>
    <w:p w14:paraId="0FDD652F" w14:textId="5346EFD9" w:rsidR="0067211C" w:rsidRDefault="0067211C" w:rsidP="0067211C">
      <w:pPr>
        <w:pStyle w:val="Prrafodelista"/>
        <w:numPr>
          <w:ilvl w:val="0"/>
          <w:numId w:val="34"/>
        </w:numPr>
        <w:spacing w:line="360" w:lineRule="auto"/>
        <w:rPr>
          <w:rFonts w:eastAsia="Calibri"/>
          <w:color w:val="000000"/>
          <w:lang w:eastAsia="en-US"/>
        </w:rPr>
      </w:pPr>
      <w:r>
        <w:rPr>
          <w:rFonts w:eastAsia="Calibri"/>
          <w:color w:val="000000"/>
          <w:lang w:eastAsia="en-US"/>
        </w:rPr>
        <w:t>Clave Única de Registro de Población de proveedor o contratista persona física;</w:t>
      </w:r>
    </w:p>
    <w:p w14:paraId="716BDD2B" w14:textId="260015C9" w:rsidR="00C622F6" w:rsidRDefault="0067211C" w:rsidP="0067211C">
      <w:pPr>
        <w:pStyle w:val="Prrafodelista"/>
        <w:numPr>
          <w:ilvl w:val="0"/>
          <w:numId w:val="34"/>
        </w:numPr>
        <w:spacing w:line="360" w:lineRule="auto"/>
        <w:rPr>
          <w:rFonts w:eastAsia="Calibri"/>
          <w:color w:val="000000"/>
          <w:lang w:eastAsia="en-US"/>
        </w:rPr>
      </w:pPr>
      <w:r>
        <w:rPr>
          <w:rFonts w:eastAsia="Calibri"/>
          <w:color w:val="000000"/>
          <w:lang w:eastAsia="en-US"/>
        </w:rPr>
        <w:t>Registro Federal de Contribuyentes de proveedores o contratistas;</w:t>
      </w:r>
    </w:p>
    <w:p w14:paraId="65074EB7" w14:textId="3B0A7301" w:rsidR="0067211C" w:rsidRDefault="0067211C" w:rsidP="0067211C">
      <w:pPr>
        <w:pStyle w:val="Prrafodelista"/>
        <w:numPr>
          <w:ilvl w:val="0"/>
          <w:numId w:val="34"/>
        </w:numPr>
        <w:spacing w:line="360" w:lineRule="auto"/>
        <w:rPr>
          <w:rFonts w:eastAsia="Calibri"/>
          <w:color w:val="000000"/>
          <w:lang w:eastAsia="en-US"/>
        </w:rPr>
      </w:pPr>
      <w:r>
        <w:rPr>
          <w:rFonts w:eastAsia="Calibri"/>
          <w:color w:val="000000"/>
          <w:lang w:eastAsia="en-US"/>
        </w:rPr>
        <w:t>Datos de contacto</w:t>
      </w:r>
      <w:r w:rsidRPr="0067211C">
        <w:rPr>
          <w:rFonts w:eastAsia="Calibri"/>
          <w:color w:val="000000"/>
          <w:lang w:eastAsia="en-US"/>
        </w:rPr>
        <w:t xml:space="preserve"> </w:t>
      </w:r>
      <w:r>
        <w:rPr>
          <w:rFonts w:eastAsia="Calibri"/>
          <w:color w:val="000000"/>
          <w:lang w:eastAsia="en-US"/>
        </w:rPr>
        <w:t>de proveedores o contratistas;</w:t>
      </w:r>
    </w:p>
    <w:p w14:paraId="0CC93A59" w14:textId="3BB809C3" w:rsidR="0067211C" w:rsidRDefault="0067211C" w:rsidP="0067211C">
      <w:pPr>
        <w:pStyle w:val="Prrafodelista"/>
        <w:numPr>
          <w:ilvl w:val="0"/>
          <w:numId w:val="34"/>
        </w:numPr>
        <w:spacing w:line="360" w:lineRule="auto"/>
        <w:rPr>
          <w:rFonts w:eastAsia="Calibri"/>
          <w:color w:val="000000"/>
          <w:lang w:eastAsia="en-US"/>
        </w:rPr>
      </w:pPr>
      <w:r>
        <w:rPr>
          <w:rFonts w:eastAsia="Calibri"/>
          <w:color w:val="000000"/>
          <w:lang w:eastAsia="en-US"/>
        </w:rPr>
        <w:t>Domicilio fiscal o legal</w:t>
      </w:r>
      <w:r w:rsidRPr="0067211C">
        <w:rPr>
          <w:rFonts w:eastAsia="Calibri"/>
          <w:color w:val="000000"/>
          <w:lang w:eastAsia="en-US"/>
        </w:rPr>
        <w:t xml:space="preserve"> </w:t>
      </w:r>
      <w:r>
        <w:rPr>
          <w:rFonts w:eastAsia="Calibri"/>
          <w:color w:val="000000"/>
          <w:lang w:eastAsia="en-US"/>
        </w:rPr>
        <w:t>de proveedores o contratistas;</w:t>
      </w:r>
    </w:p>
    <w:p w14:paraId="042838E3" w14:textId="74A3F4EC" w:rsidR="0067211C" w:rsidRDefault="0067211C" w:rsidP="0067211C">
      <w:pPr>
        <w:pStyle w:val="Prrafodelista"/>
        <w:numPr>
          <w:ilvl w:val="0"/>
          <w:numId w:val="34"/>
        </w:numPr>
        <w:spacing w:line="360" w:lineRule="auto"/>
        <w:rPr>
          <w:rFonts w:eastAsia="Calibri"/>
          <w:color w:val="000000"/>
          <w:lang w:eastAsia="en-US"/>
        </w:rPr>
      </w:pPr>
      <w:r w:rsidRPr="0067211C">
        <w:rPr>
          <w:rFonts w:eastAsia="Calibri"/>
          <w:color w:val="000000"/>
          <w:lang w:eastAsia="en-US"/>
        </w:rPr>
        <w:t>Clave de registro o elector de</w:t>
      </w:r>
      <w:r>
        <w:rPr>
          <w:rFonts w:eastAsia="Calibri"/>
          <w:color w:val="000000"/>
          <w:lang w:eastAsia="en-US"/>
        </w:rPr>
        <w:t xml:space="preserve"> proveedores, contratistas o</w:t>
      </w:r>
      <w:r w:rsidRPr="0067211C">
        <w:rPr>
          <w:rFonts w:eastAsia="Calibri"/>
          <w:color w:val="000000"/>
          <w:lang w:eastAsia="en-US"/>
        </w:rPr>
        <w:t xml:space="preserve"> representante legal</w:t>
      </w:r>
      <w:r>
        <w:rPr>
          <w:rFonts w:eastAsia="Calibri"/>
          <w:color w:val="000000"/>
          <w:lang w:eastAsia="en-US"/>
        </w:rPr>
        <w:t>;</w:t>
      </w:r>
    </w:p>
    <w:p w14:paraId="0824914D" w14:textId="77777777" w:rsidR="0067211C" w:rsidRDefault="0067211C" w:rsidP="00372D11">
      <w:pPr>
        <w:pStyle w:val="Prrafodelista"/>
        <w:numPr>
          <w:ilvl w:val="0"/>
          <w:numId w:val="34"/>
        </w:numPr>
        <w:spacing w:line="360" w:lineRule="auto"/>
        <w:rPr>
          <w:rFonts w:eastAsia="Calibri"/>
          <w:color w:val="000000"/>
          <w:lang w:eastAsia="en-US"/>
        </w:rPr>
      </w:pPr>
      <w:r w:rsidRPr="0067211C">
        <w:rPr>
          <w:rFonts w:eastAsia="Calibri"/>
          <w:color w:val="000000"/>
          <w:lang w:eastAsia="en-US"/>
        </w:rPr>
        <w:t xml:space="preserve">Cuenta bancaria y clave interbancaria </w:t>
      </w:r>
      <w:r>
        <w:rPr>
          <w:rFonts w:eastAsia="Calibri"/>
          <w:color w:val="000000"/>
          <w:lang w:eastAsia="en-US"/>
        </w:rPr>
        <w:t>de proveedores o contratistas</w:t>
      </w:r>
      <w:r w:rsidRPr="0067211C">
        <w:rPr>
          <w:rFonts w:eastAsia="Calibri"/>
          <w:color w:val="000000"/>
          <w:lang w:eastAsia="en-US"/>
        </w:rPr>
        <w:t xml:space="preserve"> </w:t>
      </w:r>
    </w:p>
    <w:p w14:paraId="6CC09262" w14:textId="1764913D" w:rsidR="0067211C" w:rsidRPr="0067211C" w:rsidRDefault="0067211C" w:rsidP="00372D11">
      <w:pPr>
        <w:pStyle w:val="Prrafodelista"/>
        <w:numPr>
          <w:ilvl w:val="0"/>
          <w:numId w:val="34"/>
        </w:numPr>
        <w:spacing w:line="360" w:lineRule="auto"/>
        <w:rPr>
          <w:rFonts w:eastAsia="Calibri"/>
          <w:color w:val="000000"/>
          <w:lang w:eastAsia="en-US"/>
        </w:rPr>
      </w:pPr>
      <w:r w:rsidRPr="0067211C">
        <w:rPr>
          <w:rFonts w:eastAsia="Calibri"/>
          <w:color w:val="000000"/>
          <w:lang w:eastAsia="en-US"/>
        </w:rPr>
        <w:t>Datos de instrumentos notariales;</w:t>
      </w:r>
    </w:p>
    <w:p w14:paraId="6B20FD79" w14:textId="5882E217" w:rsidR="00C622F6" w:rsidRDefault="00C622F6" w:rsidP="007F72D0">
      <w:pPr>
        <w:widowControl w:val="0"/>
        <w:autoSpaceDE w:val="0"/>
        <w:autoSpaceDN w:val="0"/>
        <w:adjustRightInd w:val="0"/>
        <w:spacing w:after="0" w:line="360" w:lineRule="auto"/>
        <w:contextualSpacing/>
        <w:rPr>
          <w:rFonts w:eastAsia="Times New Roman" w:cs="Times New Roman"/>
          <w:color w:val="auto"/>
          <w:lang w:eastAsia="es-ES"/>
        </w:rPr>
      </w:pPr>
    </w:p>
    <w:p w14:paraId="7AD32E2B" w14:textId="19A4062C" w:rsidR="0067211C" w:rsidRPr="0067211C" w:rsidRDefault="0067211C" w:rsidP="0067211C">
      <w:pPr>
        <w:spacing w:after="0" w:line="360" w:lineRule="auto"/>
        <w:rPr>
          <w:rFonts w:eastAsia="Times New Roman" w:cs="Tahoma"/>
          <w:color w:val="auto"/>
          <w:szCs w:val="24"/>
          <w:lang w:eastAsia="es-ES"/>
        </w:rPr>
      </w:pPr>
      <w:r w:rsidRPr="0067211C">
        <w:rPr>
          <w:rFonts w:eastAsia="Times New Roman" w:cs="Tahoma"/>
          <w:bCs/>
          <w:color w:val="auto"/>
          <w:lang w:eastAsia="es-ES"/>
        </w:rPr>
        <w:t>Así se procede analizar, si los datos previamente referidos son considerados confidenciales o públicos, conforme a la normatividad aplicable</w:t>
      </w:r>
      <w:r w:rsidR="00162B84">
        <w:rPr>
          <w:rFonts w:eastAsia="Times New Roman" w:cs="Tahoma"/>
          <w:bCs/>
          <w:color w:val="auto"/>
          <w:lang w:eastAsia="es-ES"/>
        </w:rPr>
        <w:t xml:space="preserve">; sobre el tema, </w:t>
      </w:r>
      <w:r w:rsidRPr="0067211C">
        <w:rPr>
          <w:rFonts w:eastAsia="Calibri" w:cs="Tahoma"/>
          <w:bCs/>
          <w:color w:val="auto"/>
          <w:lang w:eastAsia="en-US"/>
        </w:rPr>
        <w:t xml:space="preserve">el artículo 3°, fracción IX, de la Ley de Transparencia y Acceso a la Información Pública del Estado de México y Municipios, con relación el diverso 4°, fracciones XI y XII, de la Ley de Protección de Datos Personales en Posesión de Sujetos </w:t>
      </w:r>
      <w:r w:rsidRPr="0067211C">
        <w:rPr>
          <w:rFonts w:eastAsia="Times New Roman" w:cs="Tahoma"/>
          <w:color w:val="auto"/>
          <w:szCs w:val="24"/>
          <w:lang w:eastAsia="es-ES"/>
        </w:rPr>
        <w:t xml:space="preserve">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129F2641" w14:textId="77777777" w:rsidR="0067211C" w:rsidRPr="0067211C" w:rsidRDefault="0067211C" w:rsidP="0067211C">
      <w:pPr>
        <w:spacing w:after="0" w:line="360" w:lineRule="auto"/>
        <w:rPr>
          <w:rFonts w:eastAsia="Times New Roman" w:cs="Tahoma"/>
          <w:color w:val="auto"/>
          <w:szCs w:val="24"/>
          <w:lang w:eastAsia="es-ES"/>
        </w:rPr>
      </w:pPr>
    </w:p>
    <w:p w14:paraId="7E8B3E30" w14:textId="77777777" w:rsidR="0067211C" w:rsidRPr="0067211C" w:rsidRDefault="0067211C" w:rsidP="0067211C">
      <w:pPr>
        <w:spacing w:after="0" w:line="360" w:lineRule="auto"/>
        <w:rPr>
          <w:rFonts w:eastAsia="Times New Roman" w:cs="Tahoma"/>
          <w:color w:val="auto"/>
          <w:szCs w:val="24"/>
          <w:lang w:eastAsia="es-ES"/>
        </w:rPr>
      </w:pPr>
      <w:r w:rsidRPr="0067211C">
        <w:rPr>
          <w:rFonts w:eastAsia="Times New Roman" w:cs="Tahoma"/>
          <w:color w:val="auto"/>
          <w:szCs w:val="24"/>
          <w:lang w:eastAsia="es-ES"/>
        </w:rPr>
        <w:t>Además, en el artículo 5° de dicho ordenamiento jurídico, establece que es la Ley aplicable para todo tratamiento de datos personales.</w:t>
      </w:r>
    </w:p>
    <w:p w14:paraId="3EDDA894" w14:textId="77777777" w:rsidR="0067211C" w:rsidRPr="0067211C" w:rsidRDefault="0067211C" w:rsidP="0067211C">
      <w:pPr>
        <w:spacing w:after="0" w:line="360" w:lineRule="auto"/>
        <w:rPr>
          <w:rFonts w:eastAsia="Times New Roman" w:cs="Tahoma"/>
          <w:color w:val="auto"/>
          <w:szCs w:val="24"/>
          <w:lang w:eastAsia="es-ES"/>
        </w:rPr>
      </w:pPr>
    </w:p>
    <w:p w14:paraId="58991A65" w14:textId="77777777" w:rsidR="0067211C" w:rsidRPr="0067211C" w:rsidRDefault="0067211C" w:rsidP="0067211C">
      <w:pPr>
        <w:spacing w:after="0" w:line="360" w:lineRule="auto"/>
        <w:rPr>
          <w:rFonts w:eastAsia="Times New Roman" w:cs="Tahoma"/>
          <w:color w:val="auto"/>
          <w:szCs w:val="24"/>
          <w:lang w:eastAsia="es-ES"/>
        </w:rPr>
      </w:pPr>
      <w:r w:rsidRPr="0067211C">
        <w:rPr>
          <w:rFonts w:eastAsia="Times New Roman" w:cs="Tahoma"/>
          <w:color w:val="auto"/>
          <w:szCs w:val="24"/>
          <w:lang w:eastAsia="es-ES"/>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04966C5D" w14:textId="77777777" w:rsidR="0067211C" w:rsidRPr="0067211C" w:rsidRDefault="0067211C" w:rsidP="0067211C">
      <w:pPr>
        <w:spacing w:after="0" w:line="360" w:lineRule="auto"/>
        <w:rPr>
          <w:rFonts w:eastAsia="Times New Roman" w:cs="Tahoma"/>
          <w:color w:val="auto"/>
          <w:szCs w:val="24"/>
          <w:lang w:eastAsia="es-ES"/>
        </w:rPr>
      </w:pPr>
    </w:p>
    <w:p w14:paraId="19C7CCD5" w14:textId="77777777" w:rsidR="0067211C" w:rsidRPr="0067211C" w:rsidRDefault="0067211C" w:rsidP="0067211C">
      <w:pPr>
        <w:spacing w:after="0" w:line="360" w:lineRule="auto"/>
        <w:rPr>
          <w:rFonts w:eastAsia="Times New Roman" w:cs="Tahoma"/>
          <w:color w:val="auto"/>
          <w:szCs w:val="24"/>
          <w:lang w:eastAsia="es-ES"/>
        </w:rPr>
      </w:pPr>
      <w:r w:rsidRPr="0067211C">
        <w:rPr>
          <w:rFonts w:eastAsia="Times New Roman" w:cs="Tahoma"/>
          <w:color w:val="auto"/>
          <w:szCs w:val="24"/>
          <w:lang w:eastAsia="es-ES"/>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2109BED4" w14:textId="77777777" w:rsidR="0067211C" w:rsidRPr="0067211C" w:rsidRDefault="0067211C" w:rsidP="0067211C">
      <w:pPr>
        <w:spacing w:after="0" w:line="360" w:lineRule="auto"/>
        <w:rPr>
          <w:rFonts w:eastAsia="Times New Roman" w:cs="Tahoma"/>
          <w:color w:val="auto"/>
          <w:szCs w:val="24"/>
          <w:lang w:eastAsia="es-ES"/>
        </w:rPr>
      </w:pPr>
    </w:p>
    <w:p w14:paraId="0DEA8E61" w14:textId="77777777" w:rsidR="0067211C" w:rsidRPr="0067211C" w:rsidRDefault="0067211C" w:rsidP="0067211C">
      <w:pPr>
        <w:spacing w:after="0" w:line="360" w:lineRule="auto"/>
        <w:rPr>
          <w:rFonts w:eastAsia="Times New Roman" w:cs="Tahoma"/>
          <w:color w:val="auto"/>
          <w:szCs w:val="24"/>
          <w:lang w:eastAsia="es-ES"/>
        </w:rPr>
      </w:pPr>
      <w:r w:rsidRPr="0067211C">
        <w:rPr>
          <w:rFonts w:eastAsia="Times New Roman" w:cs="Tahoma"/>
          <w:color w:val="auto"/>
          <w:szCs w:val="24"/>
          <w:lang w:eastAsia="es-ES"/>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7A64DE06" w14:textId="77777777" w:rsidR="0067211C" w:rsidRPr="0067211C" w:rsidRDefault="0067211C" w:rsidP="0067211C">
      <w:pPr>
        <w:spacing w:after="0" w:line="360" w:lineRule="auto"/>
        <w:rPr>
          <w:rFonts w:eastAsia="Times New Roman" w:cs="Tahoma"/>
          <w:color w:val="auto"/>
          <w:szCs w:val="24"/>
          <w:lang w:eastAsia="es-ES"/>
        </w:rPr>
      </w:pPr>
    </w:p>
    <w:p w14:paraId="0AA694A1" w14:textId="7E8102AA" w:rsidR="0067211C" w:rsidRPr="0067211C" w:rsidRDefault="0067211C" w:rsidP="0067211C">
      <w:pPr>
        <w:spacing w:after="0" w:line="360" w:lineRule="auto"/>
        <w:rPr>
          <w:rFonts w:eastAsia="Times New Roman" w:cs="Tahoma"/>
          <w:color w:val="auto"/>
          <w:szCs w:val="24"/>
          <w:lang w:eastAsia="es-ES"/>
        </w:rPr>
      </w:pPr>
      <w:r w:rsidRPr="0067211C">
        <w:rPr>
          <w:rFonts w:eastAsia="Times New Roman" w:cs="Tahoma"/>
          <w:color w:val="auto"/>
          <w:szCs w:val="24"/>
          <w:lang w:eastAsia="es-ES"/>
        </w:rPr>
        <w:t xml:space="preserve">De tal suerte, las instituciones públicas tienen la doble responsabilidad, por un </w:t>
      </w:r>
      <w:r w:rsidR="00162B84" w:rsidRPr="0067211C">
        <w:rPr>
          <w:rFonts w:eastAsia="Times New Roman" w:cs="Tahoma"/>
          <w:color w:val="auto"/>
          <w:szCs w:val="24"/>
          <w:lang w:eastAsia="es-ES"/>
        </w:rPr>
        <w:t>lado,</w:t>
      </w:r>
      <w:r w:rsidRPr="0067211C">
        <w:rPr>
          <w:rFonts w:eastAsia="Times New Roman" w:cs="Tahoma"/>
          <w:color w:val="auto"/>
          <w:szCs w:val="24"/>
          <w:lang w:eastAsia="es-ES"/>
        </w:rPr>
        <w:t xml:space="preserve"> de proteger los datos personales y por otro, darles publicidad cuando la relevancia de esos datos sea de interés público.</w:t>
      </w:r>
    </w:p>
    <w:p w14:paraId="33A08F20" w14:textId="77777777" w:rsidR="0067211C" w:rsidRPr="0067211C" w:rsidRDefault="0067211C" w:rsidP="0067211C">
      <w:pPr>
        <w:spacing w:after="0" w:line="360" w:lineRule="auto"/>
        <w:rPr>
          <w:rFonts w:eastAsia="Times New Roman" w:cs="Tahoma"/>
          <w:color w:val="auto"/>
          <w:szCs w:val="24"/>
          <w:lang w:eastAsia="es-ES"/>
        </w:rPr>
      </w:pPr>
    </w:p>
    <w:p w14:paraId="164828BF" w14:textId="17A9050F" w:rsidR="0067211C" w:rsidRPr="0067211C" w:rsidRDefault="0067211C" w:rsidP="0067211C">
      <w:pPr>
        <w:spacing w:after="0" w:line="360" w:lineRule="auto"/>
        <w:rPr>
          <w:rFonts w:eastAsia="Times New Roman" w:cs="Tahoma"/>
          <w:color w:val="auto"/>
          <w:szCs w:val="24"/>
          <w:lang w:eastAsia="es-ES"/>
        </w:rPr>
      </w:pPr>
      <w:r w:rsidRPr="0067211C">
        <w:rPr>
          <w:rFonts w:eastAsia="Times New Roman" w:cs="Tahoma"/>
          <w:color w:val="auto"/>
          <w:szCs w:val="24"/>
          <w:lang w:eastAsia="es-ES"/>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r w:rsidR="00162B84">
        <w:rPr>
          <w:rFonts w:eastAsia="Times New Roman" w:cs="Tahoma"/>
          <w:color w:val="auto"/>
          <w:szCs w:val="24"/>
          <w:lang w:eastAsia="es-ES"/>
        </w:rPr>
        <w:t xml:space="preserve"> </w:t>
      </w:r>
      <w:r w:rsidRPr="0067211C">
        <w:rPr>
          <w:rFonts w:eastAsia="Times New Roman" w:cs="Tahoma"/>
          <w:color w:val="auto"/>
          <w:szCs w:val="24"/>
          <w:lang w:eastAsia="es-ES"/>
        </w:rPr>
        <w:t xml:space="preserve">Bajo este contexto, se analizarán si los datos previamente referidos deben ser considerados confidenciales o públicos. </w:t>
      </w:r>
    </w:p>
    <w:p w14:paraId="2A3D1D34" w14:textId="77777777" w:rsidR="0067211C" w:rsidRDefault="0067211C" w:rsidP="007F72D0">
      <w:pPr>
        <w:widowControl w:val="0"/>
        <w:autoSpaceDE w:val="0"/>
        <w:autoSpaceDN w:val="0"/>
        <w:adjustRightInd w:val="0"/>
        <w:spacing w:after="0" w:line="360" w:lineRule="auto"/>
        <w:contextualSpacing/>
        <w:rPr>
          <w:rFonts w:eastAsia="Times New Roman" w:cs="Times New Roman"/>
          <w:color w:val="auto"/>
          <w:lang w:eastAsia="es-ES"/>
        </w:rPr>
      </w:pPr>
    </w:p>
    <w:p w14:paraId="6C2F4847" w14:textId="585C1480" w:rsidR="00162B84" w:rsidRPr="0069658C" w:rsidRDefault="00162B84" w:rsidP="00162B84">
      <w:pPr>
        <w:pStyle w:val="Prrafodelista"/>
        <w:numPr>
          <w:ilvl w:val="0"/>
          <w:numId w:val="35"/>
        </w:numPr>
        <w:spacing w:line="360" w:lineRule="auto"/>
        <w:rPr>
          <w:rFonts w:eastAsia="Calibri" w:cs="Tahoma"/>
          <w:b/>
          <w:color w:val="000000"/>
          <w:szCs w:val="22"/>
          <w:lang w:val="es-ES" w:eastAsia="es-MX"/>
        </w:rPr>
      </w:pPr>
      <w:r>
        <w:rPr>
          <w:rFonts w:eastAsia="Calibri" w:cs="Tahoma"/>
          <w:b/>
          <w:iCs/>
          <w:szCs w:val="22"/>
          <w:lang w:val="es-ES"/>
        </w:rPr>
        <w:t>Instrumentos notariales</w:t>
      </w:r>
    </w:p>
    <w:p w14:paraId="55C7C722" w14:textId="77777777" w:rsidR="00162B84" w:rsidRDefault="00162B84" w:rsidP="007F72D0">
      <w:pPr>
        <w:widowControl w:val="0"/>
        <w:autoSpaceDE w:val="0"/>
        <w:autoSpaceDN w:val="0"/>
        <w:adjustRightInd w:val="0"/>
        <w:spacing w:after="0" w:line="360" w:lineRule="auto"/>
        <w:contextualSpacing/>
        <w:rPr>
          <w:rFonts w:eastAsia="Times New Roman" w:cs="Times New Roman"/>
          <w:color w:val="auto"/>
          <w:lang w:eastAsia="es-ES"/>
        </w:rPr>
      </w:pPr>
    </w:p>
    <w:p w14:paraId="7CBC8A07" w14:textId="669C9DCE" w:rsidR="00162B84" w:rsidRPr="0069658C" w:rsidRDefault="00162B84" w:rsidP="00162B84">
      <w:pPr>
        <w:spacing w:line="360" w:lineRule="auto"/>
        <w:contextualSpacing/>
        <w:rPr>
          <w:rFonts w:cs="Tahoma"/>
          <w:bCs/>
          <w:iCs/>
          <w:lang w:val="es-ES"/>
        </w:rPr>
      </w:pPr>
      <w:r w:rsidRPr="0069658C">
        <w:rPr>
          <w:rFonts w:cs="Tahoma"/>
          <w:bCs/>
          <w:iCs/>
          <w:lang w:val="es-ES"/>
        </w:rPr>
        <w:t xml:space="preserve">Sobre </w:t>
      </w:r>
      <w:r>
        <w:rPr>
          <w:rFonts w:cs="Tahoma"/>
          <w:bCs/>
          <w:iCs/>
          <w:lang w:val="es-ES"/>
        </w:rPr>
        <w:t>dichos documentos</w:t>
      </w:r>
      <w:r w:rsidRPr="0069658C">
        <w:rPr>
          <w:rFonts w:cs="Tahoma"/>
          <w:bCs/>
          <w:iCs/>
          <w:lang w:val="es-ES"/>
        </w:rPr>
        <w:t xml:space="preserve">, se debe señalar que debe ser analizado en su integridad, al ser este un acto que emana de la libertad de las personas para asociarse, derecho humano, que es reconocido en el artículo 9° de la Constitución Política de los Estados Unidos Mexicanos. En esa tesitura, debe entenderse que las personas físicas pueden asociarse para crear personas morales, y con este acto dotarlas de personalidad jurídica. </w:t>
      </w:r>
    </w:p>
    <w:p w14:paraId="1514118A" w14:textId="77777777" w:rsidR="00162B84" w:rsidRPr="00162B84" w:rsidRDefault="00162B84" w:rsidP="007F72D0">
      <w:pPr>
        <w:widowControl w:val="0"/>
        <w:autoSpaceDE w:val="0"/>
        <w:autoSpaceDN w:val="0"/>
        <w:adjustRightInd w:val="0"/>
        <w:spacing w:after="0" w:line="360" w:lineRule="auto"/>
        <w:contextualSpacing/>
        <w:rPr>
          <w:rFonts w:eastAsia="Times New Roman" w:cs="Times New Roman"/>
          <w:color w:val="auto"/>
          <w:lang w:val="es-ES" w:eastAsia="es-ES"/>
        </w:rPr>
      </w:pPr>
    </w:p>
    <w:p w14:paraId="00809426" w14:textId="77777777" w:rsidR="00162B84" w:rsidRPr="00162B84" w:rsidRDefault="00162B84" w:rsidP="00162B84">
      <w:pPr>
        <w:spacing w:after="0" w:line="360" w:lineRule="auto"/>
        <w:contextualSpacing/>
        <w:rPr>
          <w:rFonts w:eastAsia="Times New Roman" w:cs="Tahoma"/>
          <w:bCs/>
          <w:iCs/>
          <w:color w:val="auto"/>
          <w:lang w:val="es-ES" w:eastAsia="es-ES"/>
        </w:rPr>
      </w:pPr>
      <w:r w:rsidRPr="00162B84">
        <w:rPr>
          <w:rFonts w:eastAsia="Times New Roman" w:cs="Tahoma"/>
          <w:bCs/>
          <w:iCs/>
          <w:color w:val="auto"/>
          <w:lang w:val="es-ES" w:eastAsia="es-ES"/>
        </w:rPr>
        <w:t xml:space="preserve">Es necesario precisar que la Doctrina Jurídica, ha reconocido que las personas morales </w:t>
      </w:r>
      <w:r w:rsidRPr="00162B84">
        <w:rPr>
          <w:rFonts w:eastAsia="Times New Roman" w:cs="Tahoma"/>
          <w:bCs/>
          <w:i/>
          <w:color w:val="auto"/>
          <w:lang w:val="es-ES" w:eastAsia="es-ES"/>
        </w:rPr>
        <w:t>son realidades orgánicas que nacen de un acto social constitutivo, en el que la voluntad de las partes se proyecta unilateralmente y crea un complejo de derechos y deberes de las partes entre si y de estas con la corporación y, sobre todo, crea la norma jurídica objetiva, es decir, los estatutos que constituyen la ley de la sociedad</w:t>
      </w:r>
      <w:r w:rsidRPr="00162B84">
        <w:rPr>
          <w:rFonts w:eastAsia="Times New Roman" w:cs="Tahoma"/>
          <w:bCs/>
          <w:iCs/>
          <w:color w:val="auto"/>
          <w:lang w:val="es-ES" w:eastAsia="es-ES"/>
        </w:rPr>
        <w:t xml:space="preserve">., (Manuel García Rendón. (2016). Sociedades Mercantiles. Ciudad de México. Oxford. Pág. 18). De lo anterior, se puede inferir que las sociedades no nacen de un contrato ordinario, si no, de un contrato de organización. </w:t>
      </w:r>
    </w:p>
    <w:p w14:paraId="5FC01952" w14:textId="77777777" w:rsidR="00162B84" w:rsidRPr="00162B84" w:rsidRDefault="00162B84" w:rsidP="00162B84">
      <w:pPr>
        <w:spacing w:after="0" w:line="360" w:lineRule="auto"/>
        <w:contextualSpacing/>
        <w:rPr>
          <w:rFonts w:eastAsia="Times New Roman" w:cs="Tahoma"/>
          <w:bCs/>
          <w:iCs/>
          <w:color w:val="auto"/>
          <w:lang w:val="es-ES" w:eastAsia="es-ES"/>
        </w:rPr>
      </w:pPr>
    </w:p>
    <w:p w14:paraId="67983C60" w14:textId="77777777" w:rsidR="00162B84" w:rsidRPr="00162B84" w:rsidRDefault="00162B84" w:rsidP="00162B84">
      <w:pPr>
        <w:spacing w:after="0" w:line="360" w:lineRule="auto"/>
        <w:contextualSpacing/>
        <w:rPr>
          <w:rFonts w:eastAsia="Times New Roman" w:cs="Tahoma"/>
          <w:bCs/>
          <w:iCs/>
          <w:color w:val="auto"/>
          <w:lang w:val="es-ES" w:eastAsia="es-ES"/>
        </w:rPr>
      </w:pPr>
      <w:r w:rsidRPr="00162B84">
        <w:rPr>
          <w:rFonts w:eastAsia="Times New Roman" w:cs="Tahoma"/>
          <w:bCs/>
          <w:iCs/>
          <w:color w:val="auto"/>
          <w:lang w:val="es-ES" w:eastAsia="es-ES"/>
        </w:rPr>
        <w:t xml:space="preserve">No debe perderse de vista, que el contrato social de una sociedad mercantil está sujeto a diversas formalidades de entre las cuales destaca la prevista en el artículo 5°, primer párrafo de la Ley General de Sociedad Mercantiles, al señalar: </w:t>
      </w:r>
    </w:p>
    <w:p w14:paraId="56510F28" w14:textId="77777777" w:rsidR="00162B84" w:rsidRPr="00162B84" w:rsidRDefault="00162B84" w:rsidP="00162B84">
      <w:pPr>
        <w:spacing w:after="0" w:line="360" w:lineRule="auto"/>
        <w:contextualSpacing/>
        <w:rPr>
          <w:rFonts w:eastAsia="Times New Roman" w:cs="Tahoma"/>
          <w:bCs/>
          <w:iCs/>
          <w:color w:val="auto"/>
          <w:lang w:val="es-ES" w:eastAsia="es-ES"/>
        </w:rPr>
      </w:pPr>
    </w:p>
    <w:p w14:paraId="7EBF5B07" w14:textId="77777777" w:rsidR="00162B84" w:rsidRPr="00162B84" w:rsidRDefault="00162B84" w:rsidP="00162B84">
      <w:pPr>
        <w:spacing w:after="0" w:line="360" w:lineRule="auto"/>
        <w:ind w:left="567" w:right="567"/>
        <w:contextualSpacing/>
        <w:rPr>
          <w:rFonts w:eastAsia="Times New Roman" w:cs="Tahoma"/>
          <w:bCs/>
          <w:i/>
          <w:color w:val="auto"/>
          <w:sz w:val="20"/>
          <w:szCs w:val="20"/>
          <w:lang w:val="es-ES" w:eastAsia="es-ES"/>
        </w:rPr>
      </w:pPr>
      <w:r w:rsidRPr="00162B84">
        <w:rPr>
          <w:rFonts w:eastAsia="Times New Roman" w:cs="Tahoma"/>
          <w:b/>
          <w:i/>
          <w:color w:val="auto"/>
          <w:sz w:val="20"/>
          <w:szCs w:val="20"/>
          <w:lang w:val="es-ES" w:eastAsia="es-ES"/>
        </w:rPr>
        <w:t>“Artículo 5o</w:t>
      </w:r>
      <w:r w:rsidRPr="00162B84">
        <w:rPr>
          <w:rFonts w:eastAsia="Times New Roman" w:cs="Tahoma"/>
          <w:bCs/>
          <w:i/>
          <w:color w:val="auto"/>
          <w:sz w:val="20"/>
          <w:szCs w:val="20"/>
          <w:lang w:val="es-ES" w:eastAsia="es-ES"/>
        </w:rPr>
        <w:t>. Las sociedades se constituirán ante fedatario público y en la misma forma se harán constar con sus modificaciones. El fedatario público no autorizará la escritura o póliza cuando los estatutos o sus modificaciones contravengan lo dispuesto por esta Ley.”</w:t>
      </w:r>
    </w:p>
    <w:p w14:paraId="0E141228" w14:textId="77777777" w:rsidR="00162B84" w:rsidRPr="00162B84" w:rsidRDefault="00162B84" w:rsidP="00162B84">
      <w:pPr>
        <w:spacing w:after="0" w:line="360" w:lineRule="auto"/>
        <w:contextualSpacing/>
        <w:rPr>
          <w:rFonts w:eastAsia="Times New Roman" w:cs="Tahoma"/>
          <w:bCs/>
          <w:iCs/>
          <w:color w:val="auto"/>
          <w:lang w:val="es-ES" w:eastAsia="es-ES"/>
        </w:rPr>
      </w:pPr>
    </w:p>
    <w:p w14:paraId="330950B0" w14:textId="77777777" w:rsidR="00162B84" w:rsidRPr="00162B84" w:rsidRDefault="00162B84" w:rsidP="00162B84">
      <w:pPr>
        <w:spacing w:after="0" w:line="360" w:lineRule="auto"/>
        <w:contextualSpacing/>
        <w:rPr>
          <w:rFonts w:eastAsia="Times New Roman" w:cs="Tahoma"/>
          <w:bCs/>
          <w:iCs/>
          <w:color w:val="auto"/>
          <w:lang w:val="es-ES" w:eastAsia="es-ES"/>
        </w:rPr>
      </w:pPr>
      <w:r w:rsidRPr="00162B84">
        <w:rPr>
          <w:rFonts w:eastAsia="Times New Roman" w:cs="Tahoma"/>
          <w:bCs/>
          <w:iCs/>
          <w:color w:val="auto"/>
          <w:lang w:val="es-ES" w:eastAsia="es-ES"/>
        </w:rPr>
        <w:t xml:space="preserve">Asimismo, debe entenderse que la constitución de una sociedad mercantil emana de un acuerdo de voluntades de sus socios, del cual deriva un contrato social y que, a su vez, la Ley le establece formalidades. </w:t>
      </w:r>
    </w:p>
    <w:p w14:paraId="076946B5" w14:textId="77777777" w:rsidR="00162B84" w:rsidRPr="00162B84" w:rsidRDefault="00162B84" w:rsidP="00162B84">
      <w:pPr>
        <w:spacing w:after="0" w:line="360" w:lineRule="auto"/>
        <w:contextualSpacing/>
        <w:rPr>
          <w:rFonts w:eastAsia="Times New Roman" w:cs="Tahoma"/>
          <w:bCs/>
          <w:iCs/>
          <w:color w:val="auto"/>
          <w:lang w:val="es-ES" w:eastAsia="es-ES"/>
        </w:rPr>
      </w:pPr>
    </w:p>
    <w:p w14:paraId="6CCA4E44" w14:textId="77777777" w:rsidR="00162B84" w:rsidRPr="00162B84" w:rsidRDefault="00162B84" w:rsidP="00162B84">
      <w:pPr>
        <w:spacing w:after="0" w:line="360" w:lineRule="auto"/>
        <w:contextualSpacing/>
        <w:rPr>
          <w:rFonts w:eastAsia="Times New Roman" w:cs="Tahoma"/>
          <w:bCs/>
          <w:i/>
          <w:color w:val="auto"/>
          <w:lang w:val="es-ES" w:eastAsia="es-ES"/>
        </w:rPr>
      </w:pPr>
      <w:r w:rsidRPr="00162B84">
        <w:rPr>
          <w:rFonts w:eastAsia="Times New Roman" w:cs="Tahoma"/>
          <w:bCs/>
          <w:iCs/>
          <w:color w:val="auto"/>
          <w:lang w:val="es-ES" w:eastAsia="es-ES"/>
        </w:rPr>
        <w:t>Al respecto, dicho contrato social, tambi</w:t>
      </w:r>
      <w:r w:rsidRPr="00162B84">
        <w:rPr>
          <w:rFonts w:eastAsia="Times New Roman" w:cs="Tahoma"/>
          <w:bCs/>
          <w:iCs/>
          <w:color w:val="auto"/>
          <w:lang w:val="x-none" w:eastAsia="es-ES"/>
        </w:rPr>
        <w:t>én conocido como acta constitutiva</w:t>
      </w:r>
      <w:r w:rsidRPr="00162B84">
        <w:rPr>
          <w:rFonts w:eastAsia="Times New Roman" w:cs="Tahoma"/>
          <w:bCs/>
          <w:iCs/>
          <w:color w:val="auto"/>
          <w:lang w:val="es-ES" w:eastAsia="es-ES"/>
        </w:rPr>
        <w:t>, conforme al artículo 6° de la Ley General de Sociedades Mercantiles, se conforma de los siguientes datos:</w:t>
      </w:r>
      <w:r w:rsidRPr="00162B84">
        <w:rPr>
          <w:rFonts w:eastAsia="Times New Roman" w:cs="Tahoma"/>
          <w:bCs/>
          <w:i/>
          <w:color w:val="auto"/>
          <w:lang w:val="es-ES" w:eastAsia="es-ES"/>
        </w:rPr>
        <w:t xml:space="preserve">  </w:t>
      </w:r>
    </w:p>
    <w:p w14:paraId="28296F9B" w14:textId="77777777" w:rsidR="00162B84" w:rsidRPr="00162B84" w:rsidRDefault="00162B84" w:rsidP="00162B84">
      <w:pPr>
        <w:spacing w:after="0" w:line="360" w:lineRule="auto"/>
        <w:contextualSpacing/>
        <w:rPr>
          <w:rFonts w:eastAsia="Times New Roman" w:cs="Tahoma"/>
          <w:bCs/>
          <w:i/>
          <w:color w:val="auto"/>
          <w:lang w:val="es-ES" w:eastAsia="es-ES"/>
        </w:rPr>
      </w:pPr>
    </w:p>
    <w:p w14:paraId="58AB4C2C" w14:textId="77777777" w:rsidR="00162B84" w:rsidRPr="00162B84" w:rsidRDefault="00162B84" w:rsidP="00162B84">
      <w:pPr>
        <w:numPr>
          <w:ilvl w:val="0"/>
          <w:numId w:val="37"/>
        </w:numPr>
        <w:spacing w:after="0" w:line="360" w:lineRule="auto"/>
        <w:contextualSpacing/>
        <w:jc w:val="left"/>
        <w:rPr>
          <w:rFonts w:eastAsia="Times New Roman" w:cs="Tahoma"/>
          <w:bCs/>
          <w:color w:val="auto"/>
          <w:lang w:val="es-ES" w:eastAsia="es-ES"/>
        </w:rPr>
      </w:pPr>
      <w:r w:rsidRPr="00162B84">
        <w:rPr>
          <w:rFonts w:eastAsia="Times New Roman" w:cs="Tahoma"/>
          <w:bCs/>
          <w:color w:val="auto"/>
          <w:lang w:val="es-ES" w:eastAsia="es-ES"/>
        </w:rPr>
        <w:t>Los nombres, nacionalidad y domicilio de las personas físicas o morales que constituyan la sociedad;</w:t>
      </w:r>
    </w:p>
    <w:p w14:paraId="3E961D09" w14:textId="77777777" w:rsidR="00162B84" w:rsidRPr="00162B84" w:rsidRDefault="00162B84" w:rsidP="00162B84">
      <w:pPr>
        <w:numPr>
          <w:ilvl w:val="0"/>
          <w:numId w:val="37"/>
        </w:numPr>
        <w:spacing w:after="0" w:line="360" w:lineRule="auto"/>
        <w:ind w:right="567"/>
        <w:contextualSpacing/>
        <w:jc w:val="left"/>
        <w:rPr>
          <w:rFonts w:eastAsia="Times New Roman" w:cs="Tahoma"/>
          <w:bCs/>
          <w:color w:val="auto"/>
          <w:lang w:val="es-ES" w:eastAsia="es-ES"/>
        </w:rPr>
      </w:pPr>
      <w:r w:rsidRPr="00162B84">
        <w:rPr>
          <w:rFonts w:eastAsia="Times New Roman" w:cs="Tahoma"/>
          <w:bCs/>
          <w:color w:val="auto"/>
          <w:lang w:val="es-ES" w:eastAsia="es-ES"/>
        </w:rPr>
        <w:t>El objeto de la sociedad;</w:t>
      </w:r>
    </w:p>
    <w:p w14:paraId="1FE4AF13" w14:textId="77777777" w:rsidR="00162B84" w:rsidRPr="00162B84" w:rsidRDefault="00162B84" w:rsidP="00162B84">
      <w:pPr>
        <w:numPr>
          <w:ilvl w:val="0"/>
          <w:numId w:val="37"/>
        </w:numPr>
        <w:spacing w:after="0" w:line="360" w:lineRule="auto"/>
        <w:ind w:right="567"/>
        <w:contextualSpacing/>
        <w:jc w:val="left"/>
        <w:rPr>
          <w:rFonts w:eastAsia="Times New Roman" w:cs="Tahoma"/>
          <w:bCs/>
          <w:color w:val="auto"/>
          <w:lang w:val="es-ES" w:eastAsia="es-ES"/>
        </w:rPr>
      </w:pPr>
      <w:r w:rsidRPr="00162B84">
        <w:rPr>
          <w:rFonts w:eastAsia="Times New Roman" w:cs="Tahoma"/>
          <w:bCs/>
          <w:color w:val="auto"/>
          <w:lang w:val="es-ES" w:eastAsia="es-ES"/>
        </w:rPr>
        <w:t>Su razón social o denominación;</w:t>
      </w:r>
    </w:p>
    <w:p w14:paraId="231D2659" w14:textId="77777777" w:rsidR="00162B84" w:rsidRPr="00162B84" w:rsidRDefault="00162B84" w:rsidP="00162B84">
      <w:pPr>
        <w:numPr>
          <w:ilvl w:val="0"/>
          <w:numId w:val="37"/>
        </w:numPr>
        <w:spacing w:after="0" w:line="360" w:lineRule="auto"/>
        <w:ind w:right="567"/>
        <w:contextualSpacing/>
        <w:jc w:val="left"/>
        <w:rPr>
          <w:rFonts w:eastAsia="Times New Roman" w:cs="Tahoma"/>
          <w:bCs/>
          <w:color w:val="auto"/>
          <w:lang w:val="es-ES" w:eastAsia="es-ES"/>
        </w:rPr>
      </w:pPr>
      <w:r w:rsidRPr="00162B84">
        <w:rPr>
          <w:rFonts w:eastAsia="Times New Roman" w:cs="Tahoma"/>
          <w:bCs/>
          <w:color w:val="auto"/>
          <w:lang w:val="es-ES" w:eastAsia="es-ES"/>
        </w:rPr>
        <w:t>Su duración, misma que podrá ser indefinida;</w:t>
      </w:r>
    </w:p>
    <w:p w14:paraId="3054F1E2" w14:textId="77777777" w:rsidR="00162B84" w:rsidRPr="00162B84" w:rsidRDefault="00162B84" w:rsidP="00162B84">
      <w:pPr>
        <w:numPr>
          <w:ilvl w:val="0"/>
          <w:numId w:val="37"/>
        </w:numPr>
        <w:spacing w:after="0" w:line="360" w:lineRule="auto"/>
        <w:ind w:right="567"/>
        <w:contextualSpacing/>
        <w:jc w:val="left"/>
        <w:rPr>
          <w:rFonts w:eastAsia="Times New Roman" w:cs="Tahoma"/>
          <w:bCs/>
          <w:color w:val="auto"/>
          <w:lang w:val="es-ES" w:eastAsia="es-ES"/>
        </w:rPr>
      </w:pPr>
      <w:r w:rsidRPr="00162B84">
        <w:rPr>
          <w:rFonts w:eastAsia="Times New Roman" w:cs="Tahoma"/>
          <w:bCs/>
          <w:color w:val="auto"/>
          <w:lang w:val="es-ES" w:eastAsia="es-ES"/>
        </w:rPr>
        <w:t>El importe del capital social;</w:t>
      </w:r>
    </w:p>
    <w:p w14:paraId="45D044DE" w14:textId="77777777" w:rsidR="00162B84" w:rsidRPr="00162B84" w:rsidRDefault="00162B84" w:rsidP="00162B84">
      <w:pPr>
        <w:numPr>
          <w:ilvl w:val="0"/>
          <w:numId w:val="37"/>
        </w:numPr>
        <w:spacing w:after="0" w:line="360" w:lineRule="auto"/>
        <w:ind w:right="567"/>
        <w:contextualSpacing/>
        <w:jc w:val="left"/>
        <w:rPr>
          <w:rFonts w:eastAsia="Times New Roman" w:cs="Tahoma"/>
          <w:bCs/>
          <w:color w:val="auto"/>
          <w:lang w:val="es-ES" w:eastAsia="es-ES"/>
        </w:rPr>
      </w:pPr>
      <w:r w:rsidRPr="00162B84">
        <w:rPr>
          <w:rFonts w:eastAsia="Times New Roman" w:cs="Tahoma"/>
          <w:bCs/>
          <w:color w:val="auto"/>
          <w:lang w:val="es-ES" w:eastAsia="es-ES"/>
        </w:rPr>
        <w:t xml:space="preserve">La expresión de lo que cada socio aporte en dinero o en otros bienes; el valor atribuido a éstos y el criterio seguido para su valorización. </w:t>
      </w:r>
    </w:p>
    <w:p w14:paraId="61EEC35A" w14:textId="77777777" w:rsidR="00162B84" w:rsidRPr="00162B84" w:rsidRDefault="00162B84" w:rsidP="00162B84">
      <w:pPr>
        <w:numPr>
          <w:ilvl w:val="0"/>
          <w:numId w:val="37"/>
        </w:numPr>
        <w:spacing w:after="0" w:line="360" w:lineRule="auto"/>
        <w:ind w:right="567"/>
        <w:contextualSpacing/>
        <w:jc w:val="left"/>
        <w:rPr>
          <w:rFonts w:eastAsia="Times New Roman" w:cs="Tahoma"/>
          <w:bCs/>
          <w:color w:val="auto"/>
          <w:lang w:val="es-ES" w:eastAsia="es-ES"/>
        </w:rPr>
      </w:pPr>
      <w:r w:rsidRPr="00162B84">
        <w:rPr>
          <w:rFonts w:eastAsia="Times New Roman" w:cs="Tahoma"/>
          <w:bCs/>
          <w:color w:val="auto"/>
          <w:lang w:val="es-ES" w:eastAsia="es-ES"/>
        </w:rPr>
        <w:t>Cuando el capital sea variable, así se expresará indicándose el mínimo que se fije;</w:t>
      </w:r>
    </w:p>
    <w:p w14:paraId="1FC93135" w14:textId="77777777" w:rsidR="00162B84" w:rsidRPr="00162B84" w:rsidRDefault="00162B84" w:rsidP="00162B84">
      <w:pPr>
        <w:numPr>
          <w:ilvl w:val="0"/>
          <w:numId w:val="37"/>
        </w:numPr>
        <w:spacing w:after="0" w:line="360" w:lineRule="auto"/>
        <w:ind w:right="567"/>
        <w:contextualSpacing/>
        <w:jc w:val="left"/>
        <w:rPr>
          <w:rFonts w:eastAsia="Times New Roman" w:cs="Tahoma"/>
          <w:bCs/>
          <w:color w:val="auto"/>
          <w:lang w:val="es-ES" w:eastAsia="es-ES"/>
        </w:rPr>
      </w:pPr>
      <w:r w:rsidRPr="00162B84">
        <w:rPr>
          <w:rFonts w:eastAsia="Times New Roman" w:cs="Tahoma"/>
          <w:bCs/>
          <w:color w:val="auto"/>
          <w:lang w:val="es-ES" w:eastAsia="es-ES"/>
        </w:rPr>
        <w:t>El domicilio de la sociedad;</w:t>
      </w:r>
    </w:p>
    <w:p w14:paraId="04718C1C" w14:textId="77777777" w:rsidR="00162B84" w:rsidRPr="00162B84" w:rsidRDefault="00162B84" w:rsidP="00162B84">
      <w:pPr>
        <w:numPr>
          <w:ilvl w:val="0"/>
          <w:numId w:val="37"/>
        </w:numPr>
        <w:spacing w:after="0" w:line="360" w:lineRule="auto"/>
        <w:ind w:right="567"/>
        <w:contextualSpacing/>
        <w:jc w:val="left"/>
        <w:rPr>
          <w:rFonts w:eastAsia="Times New Roman" w:cs="Tahoma"/>
          <w:bCs/>
          <w:color w:val="auto"/>
          <w:lang w:val="es-ES" w:eastAsia="es-ES"/>
        </w:rPr>
      </w:pPr>
      <w:r w:rsidRPr="00162B84">
        <w:rPr>
          <w:rFonts w:eastAsia="Times New Roman" w:cs="Tahoma"/>
          <w:bCs/>
          <w:color w:val="auto"/>
          <w:lang w:val="es-ES" w:eastAsia="es-ES"/>
        </w:rPr>
        <w:t>La manera conforme a la cual haya de administrarse la sociedad y las facultades de los administradores;</w:t>
      </w:r>
    </w:p>
    <w:p w14:paraId="1318B716" w14:textId="77777777" w:rsidR="00162B84" w:rsidRPr="00162B84" w:rsidRDefault="00162B84" w:rsidP="00162B84">
      <w:pPr>
        <w:numPr>
          <w:ilvl w:val="0"/>
          <w:numId w:val="37"/>
        </w:numPr>
        <w:spacing w:after="0" w:line="360" w:lineRule="auto"/>
        <w:ind w:right="567"/>
        <w:contextualSpacing/>
        <w:jc w:val="left"/>
        <w:rPr>
          <w:rFonts w:eastAsia="Times New Roman" w:cs="Tahoma"/>
          <w:bCs/>
          <w:color w:val="auto"/>
          <w:lang w:val="es-ES" w:eastAsia="es-ES"/>
        </w:rPr>
      </w:pPr>
      <w:r w:rsidRPr="00162B84">
        <w:rPr>
          <w:rFonts w:eastAsia="Times New Roman" w:cs="Tahoma"/>
          <w:bCs/>
          <w:color w:val="auto"/>
          <w:lang w:val="es-ES" w:eastAsia="es-ES"/>
        </w:rPr>
        <w:t>El nombramiento de los administradores y la designación de los que han de llevar la firma social;</w:t>
      </w:r>
    </w:p>
    <w:p w14:paraId="36348136" w14:textId="77777777" w:rsidR="00162B84" w:rsidRPr="00162B84" w:rsidRDefault="00162B84" w:rsidP="00162B84">
      <w:pPr>
        <w:numPr>
          <w:ilvl w:val="0"/>
          <w:numId w:val="37"/>
        </w:numPr>
        <w:spacing w:after="0" w:line="360" w:lineRule="auto"/>
        <w:ind w:right="567"/>
        <w:contextualSpacing/>
        <w:jc w:val="left"/>
        <w:rPr>
          <w:rFonts w:eastAsia="Times New Roman" w:cs="Tahoma"/>
          <w:bCs/>
          <w:color w:val="auto"/>
          <w:lang w:val="es-ES" w:eastAsia="es-ES"/>
        </w:rPr>
      </w:pPr>
      <w:r w:rsidRPr="00162B84">
        <w:rPr>
          <w:rFonts w:eastAsia="Times New Roman" w:cs="Tahoma"/>
          <w:bCs/>
          <w:color w:val="auto"/>
          <w:lang w:val="es-ES" w:eastAsia="es-ES"/>
        </w:rPr>
        <w:t>La manera de hacer la distribución de las utilidades y pérdidas entre los miembros de la sociedad:</w:t>
      </w:r>
    </w:p>
    <w:p w14:paraId="174DD3A1" w14:textId="77777777" w:rsidR="00162B84" w:rsidRPr="00162B84" w:rsidRDefault="00162B84" w:rsidP="00162B84">
      <w:pPr>
        <w:numPr>
          <w:ilvl w:val="0"/>
          <w:numId w:val="37"/>
        </w:numPr>
        <w:spacing w:after="0" w:line="360" w:lineRule="auto"/>
        <w:ind w:right="567"/>
        <w:contextualSpacing/>
        <w:jc w:val="left"/>
        <w:rPr>
          <w:rFonts w:eastAsia="Times New Roman" w:cs="Tahoma"/>
          <w:bCs/>
          <w:color w:val="auto"/>
          <w:lang w:val="es-ES" w:eastAsia="es-ES"/>
        </w:rPr>
      </w:pPr>
      <w:r w:rsidRPr="00162B84">
        <w:rPr>
          <w:rFonts w:eastAsia="Times New Roman" w:cs="Tahoma"/>
          <w:bCs/>
          <w:color w:val="auto"/>
          <w:lang w:val="es-ES" w:eastAsia="es-ES"/>
        </w:rPr>
        <w:t>El importe del fondo de reserva;</w:t>
      </w:r>
    </w:p>
    <w:p w14:paraId="1FBC8741" w14:textId="77777777" w:rsidR="00162B84" w:rsidRPr="00162B84" w:rsidRDefault="00162B84" w:rsidP="00162B84">
      <w:pPr>
        <w:numPr>
          <w:ilvl w:val="0"/>
          <w:numId w:val="37"/>
        </w:numPr>
        <w:spacing w:after="0" w:line="360" w:lineRule="auto"/>
        <w:ind w:right="567"/>
        <w:contextualSpacing/>
        <w:jc w:val="left"/>
        <w:rPr>
          <w:rFonts w:eastAsia="Times New Roman" w:cs="Tahoma"/>
          <w:bCs/>
          <w:color w:val="auto"/>
          <w:lang w:val="es-ES" w:eastAsia="es-ES"/>
        </w:rPr>
      </w:pPr>
      <w:r w:rsidRPr="00162B84">
        <w:rPr>
          <w:rFonts w:eastAsia="Times New Roman" w:cs="Tahoma"/>
          <w:bCs/>
          <w:color w:val="auto"/>
          <w:lang w:val="es-ES" w:eastAsia="es-ES"/>
        </w:rPr>
        <w:t>Los casos en que la sociedad haya de disolverse anticipadamente, y</w:t>
      </w:r>
    </w:p>
    <w:p w14:paraId="1E9D9232" w14:textId="77777777" w:rsidR="00162B84" w:rsidRPr="00162B84" w:rsidRDefault="00162B84" w:rsidP="00162B84">
      <w:pPr>
        <w:numPr>
          <w:ilvl w:val="0"/>
          <w:numId w:val="37"/>
        </w:numPr>
        <w:spacing w:after="0" w:line="360" w:lineRule="auto"/>
        <w:ind w:right="567"/>
        <w:contextualSpacing/>
        <w:jc w:val="left"/>
        <w:rPr>
          <w:rFonts w:eastAsia="Times New Roman" w:cs="Tahoma"/>
          <w:bCs/>
          <w:color w:val="auto"/>
          <w:lang w:val="es-ES" w:eastAsia="es-ES"/>
        </w:rPr>
      </w:pPr>
      <w:r w:rsidRPr="00162B84">
        <w:rPr>
          <w:rFonts w:eastAsia="Times New Roman" w:cs="Tahoma"/>
          <w:bCs/>
          <w:color w:val="auto"/>
          <w:lang w:val="es-ES" w:eastAsia="es-ES"/>
        </w:rPr>
        <w:t>Las bases para practicar la liquidación de la sociedad y el modo de proceder a la elección de los liquidadores, cuando no hayan sido designados anticipadamente.</w:t>
      </w:r>
    </w:p>
    <w:p w14:paraId="1DFE49E1" w14:textId="77777777" w:rsidR="00162B84" w:rsidRPr="00162B84" w:rsidRDefault="00162B84" w:rsidP="00162B84">
      <w:pPr>
        <w:spacing w:after="0" w:line="360" w:lineRule="auto"/>
        <w:contextualSpacing/>
        <w:rPr>
          <w:rFonts w:eastAsia="Times New Roman" w:cs="Arial"/>
          <w:color w:val="auto"/>
          <w:lang w:eastAsia="es-ES"/>
        </w:rPr>
      </w:pPr>
    </w:p>
    <w:p w14:paraId="3F64FBAE" w14:textId="77777777" w:rsidR="00162B84" w:rsidRPr="00162B84" w:rsidRDefault="00162B84" w:rsidP="00162B84">
      <w:pPr>
        <w:spacing w:after="0" w:line="360" w:lineRule="auto"/>
        <w:contextualSpacing/>
        <w:rPr>
          <w:rFonts w:eastAsia="Times New Roman" w:cs="Arial"/>
          <w:color w:val="auto"/>
          <w:lang w:val="x-none" w:eastAsia="es-ES"/>
        </w:rPr>
      </w:pPr>
      <w:r w:rsidRPr="00162B84">
        <w:rPr>
          <w:rFonts w:eastAsia="Times New Roman" w:cs="Arial"/>
          <w:color w:val="auto"/>
          <w:lang w:eastAsia="es-ES"/>
        </w:rPr>
        <w:t xml:space="preserve">En ese contexto, es necesario precisar que </w:t>
      </w:r>
      <w:r w:rsidRPr="00162B84">
        <w:rPr>
          <w:rFonts w:eastAsia="Times New Roman" w:cs="Arial"/>
          <w:b/>
          <w:bCs/>
          <w:color w:val="auto"/>
          <w:lang w:eastAsia="es-ES"/>
        </w:rPr>
        <w:t>la publicidad de información relativa a la constitución legal de una empresa proveedora del Estado, debe considerarse de interés público</w:t>
      </w:r>
      <w:r w:rsidRPr="00162B84">
        <w:rPr>
          <w:rFonts w:eastAsia="Times New Roman" w:cs="Arial"/>
          <w:color w:val="auto"/>
          <w:lang w:eastAsia="es-ES"/>
        </w:rPr>
        <w:t>, lo anterior es así, pues debe privilegiarse el principio de máxima publicidad y rendición</w:t>
      </w:r>
      <w:r w:rsidRPr="00162B84">
        <w:rPr>
          <w:rFonts w:eastAsia="Times New Roman" w:cs="Arial"/>
          <w:color w:val="auto"/>
          <w:lang w:val="x-none" w:eastAsia="es-ES"/>
        </w:rPr>
        <w:t xml:space="preserve"> de cuentas</w:t>
      </w:r>
      <w:r w:rsidRPr="00162B84">
        <w:rPr>
          <w:rFonts w:eastAsia="Times New Roman" w:cs="Arial"/>
          <w:color w:val="auto"/>
          <w:lang w:eastAsia="es-ES"/>
        </w:rPr>
        <w:t>; pues su publicidad radica en que permite a la ciudadan</w:t>
      </w:r>
      <w:r w:rsidRPr="00162B84">
        <w:rPr>
          <w:rFonts w:eastAsia="Times New Roman" w:cs="Arial"/>
          <w:color w:val="auto"/>
          <w:lang w:val="x-none" w:eastAsia="es-ES"/>
        </w:rPr>
        <w:t>ía conocer de manera clara y precisa, que una empresa que está obteniendo recursos públicos, se encuentra debidamente registrada y constituida; por lo que, se considera correcto que se haya entregado en versión pública, sin embargo, es necesario analizar si los datos testados actualizan la clasificación o no.</w:t>
      </w:r>
    </w:p>
    <w:p w14:paraId="20180BDE" w14:textId="77777777" w:rsidR="00162B84" w:rsidRPr="00162B84" w:rsidRDefault="00162B84" w:rsidP="00162B84">
      <w:pPr>
        <w:spacing w:after="0" w:line="360" w:lineRule="auto"/>
        <w:contextualSpacing/>
        <w:rPr>
          <w:rFonts w:eastAsia="Times New Roman" w:cs="Arial"/>
          <w:color w:val="auto"/>
          <w:lang w:val="x-none" w:eastAsia="es-ES"/>
        </w:rPr>
      </w:pPr>
    </w:p>
    <w:p w14:paraId="558C0C54" w14:textId="77777777" w:rsidR="00162B84" w:rsidRPr="00162B84" w:rsidRDefault="00162B84" w:rsidP="00162B84">
      <w:pPr>
        <w:spacing w:after="0" w:line="360" w:lineRule="auto"/>
        <w:contextualSpacing/>
        <w:rPr>
          <w:rFonts w:eastAsia="Times New Roman" w:cs="Arial"/>
          <w:color w:val="auto"/>
          <w:lang w:val="x-none" w:eastAsia="es-ES"/>
        </w:rPr>
      </w:pPr>
      <w:r w:rsidRPr="00162B84">
        <w:rPr>
          <w:rFonts w:eastAsia="Times New Roman" w:cs="Arial"/>
          <w:color w:val="auto"/>
          <w:lang w:val="x-none" w:eastAsia="es-ES"/>
        </w:rPr>
        <w:t>Sobre el tema, el artículo 116, último párrafo de la Ley General de Transparencia y Acceso a la Información Pública y el 143, fracción III, de la Ley de Transparencia y Acceso a la Información Pública del Estado de México y Municipios, establecen que será información confidencial, aquella que presenten los particulares con dicho carácter.</w:t>
      </w:r>
    </w:p>
    <w:p w14:paraId="78C1D3B2" w14:textId="77777777" w:rsidR="00162B84" w:rsidRPr="00162B84" w:rsidRDefault="00162B84" w:rsidP="00162B84">
      <w:pPr>
        <w:spacing w:after="0" w:line="360" w:lineRule="auto"/>
        <w:contextualSpacing/>
        <w:rPr>
          <w:rFonts w:eastAsia="Times New Roman" w:cs="Arial"/>
          <w:color w:val="auto"/>
          <w:lang w:val="x-none" w:eastAsia="es-ES"/>
        </w:rPr>
      </w:pPr>
    </w:p>
    <w:p w14:paraId="3EE3440F" w14:textId="77777777" w:rsidR="00162B84" w:rsidRPr="00162B84" w:rsidRDefault="00162B84" w:rsidP="00162B84">
      <w:pPr>
        <w:spacing w:after="0" w:line="360" w:lineRule="auto"/>
        <w:contextualSpacing/>
        <w:rPr>
          <w:rFonts w:eastAsia="Times New Roman" w:cs="Arial"/>
          <w:color w:val="auto"/>
          <w:lang w:val="x-none" w:eastAsia="es-ES"/>
        </w:rPr>
      </w:pPr>
      <w:r w:rsidRPr="00162B84">
        <w:rPr>
          <w:rFonts w:eastAsia="Times New Roman" w:cs="Arial"/>
          <w:color w:val="auto"/>
          <w:lang w:val="x-none" w:eastAsia="es-ES"/>
        </w:rPr>
        <w:t>Además, el Cuadragésimo de los Lineamientos Generales en Materia de Clasificación y Desclasificación de la Información, así́ como, para la Elaboración de Versiones P</w:t>
      </w:r>
      <w:r w:rsidRPr="00162B84">
        <w:rPr>
          <w:rFonts w:eastAsia="Times New Roman" w:cs="Arial"/>
          <w:color w:val="auto"/>
          <w:lang w:eastAsia="es-ES"/>
        </w:rPr>
        <w:t>ú</w:t>
      </w:r>
      <w:r w:rsidRPr="00162B84">
        <w:rPr>
          <w:rFonts w:eastAsia="Times New Roman" w:cs="Arial"/>
          <w:color w:val="auto"/>
          <w:lang w:val="x-none" w:eastAsia="es-ES"/>
        </w:rPr>
        <w:t>blicas, establece que la información susceptible a ser clasificada por dicha causal, es la siguiente:</w:t>
      </w:r>
    </w:p>
    <w:p w14:paraId="2FB6B89C" w14:textId="77777777" w:rsidR="00162B84" w:rsidRPr="00162B84" w:rsidRDefault="00162B84" w:rsidP="00162B84">
      <w:pPr>
        <w:spacing w:after="0" w:line="360" w:lineRule="auto"/>
        <w:contextualSpacing/>
        <w:rPr>
          <w:rFonts w:eastAsia="Times New Roman" w:cs="Arial"/>
          <w:color w:val="auto"/>
          <w:lang w:val="x-none" w:eastAsia="es-ES"/>
        </w:rPr>
      </w:pPr>
    </w:p>
    <w:p w14:paraId="0FD50540" w14:textId="77777777" w:rsidR="00162B84" w:rsidRPr="00162B84" w:rsidRDefault="00162B84" w:rsidP="00162B84">
      <w:pPr>
        <w:numPr>
          <w:ilvl w:val="0"/>
          <w:numId w:val="38"/>
        </w:numPr>
        <w:spacing w:after="0" w:line="360" w:lineRule="auto"/>
        <w:contextualSpacing/>
        <w:jc w:val="left"/>
        <w:rPr>
          <w:rFonts w:eastAsia="Times New Roman" w:cs="Arial"/>
          <w:color w:val="auto"/>
          <w:lang w:val="x-none" w:eastAsia="es-ES"/>
        </w:rPr>
      </w:pPr>
      <w:r w:rsidRPr="00162B84">
        <w:rPr>
          <w:rFonts w:eastAsia="Times New Roman" w:cs="Arial"/>
          <w:color w:val="auto"/>
          <w:lang w:val="x-none" w:eastAsia="es-ES"/>
        </w:rPr>
        <w:t>La que se refiera al patrimonio de una persona moral, y</w:t>
      </w:r>
    </w:p>
    <w:p w14:paraId="32D89615" w14:textId="77777777" w:rsidR="00162B84" w:rsidRPr="00162B84" w:rsidRDefault="00162B84" w:rsidP="00162B84">
      <w:pPr>
        <w:numPr>
          <w:ilvl w:val="0"/>
          <w:numId w:val="38"/>
        </w:numPr>
        <w:spacing w:after="0" w:line="360" w:lineRule="auto"/>
        <w:contextualSpacing/>
        <w:rPr>
          <w:rFonts w:eastAsia="Times New Roman" w:cs="Arial"/>
          <w:color w:val="auto"/>
          <w:lang w:val="x-none" w:eastAsia="es-ES"/>
        </w:rPr>
      </w:pPr>
      <w:r w:rsidRPr="00162B84">
        <w:rPr>
          <w:rFonts w:eastAsia="Times New Roman" w:cs="Arial"/>
          <w:color w:val="auto"/>
          <w:lang w:val="x-none" w:eastAsia="es-ES"/>
        </w:rPr>
        <w:t>La que comprenda hechos y actos de carácter económico, contable, jurídico o administrativo relativos a una persona, que pudiera ser útil para un competidor; así como, aquella relativa a detalles sobre el manejo de una empresa, sobre su proceso de toma de decisiones o información que pudiera afectar sus negociaciones.</w:t>
      </w:r>
    </w:p>
    <w:p w14:paraId="3A027C45" w14:textId="77777777" w:rsidR="00162B84" w:rsidRPr="00162B84" w:rsidRDefault="00162B84" w:rsidP="00162B84">
      <w:pPr>
        <w:spacing w:after="0" w:line="360" w:lineRule="auto"/>
        <w:contextualSpacing/>
        <w:rPr>
          <w:rFonts w:eastAsia="Times New Roman" w:cs="Arial"/>
          <w:color w:val="auto"/>
          <w:lang w:val="x-none" w:eastAsia="es-ES"/>
        </w:rPr>
      </w:pPr>
    </w:p>
    <w:p w14:paraId="0C663857" w14:textId="77777777" w:rsidR="00162B84" w:rsidRPr="00162B84" w:rsidRDefault="00162B84" w:rsidP="00162B84">
      <w:pPr>
        <w:spacing w:after="0" w:line="360" w:lineRule="auto"/>
        <w:contextualSpacing/>
        <w:rPr>
          <w:rFonts w:eastAsia="Times New Roman" w:cs="Arial"/>
          <w:color w:val="auto"/>
          <w:lang w:val="x-none" w:eastAsia="es-ES"/>
        </w:rPr>
      </w:pPr>
      <w:r w:rsidRPr="00162B84">
        <w:rPr>
          <w:rFonts w:eastAsia="Times New Roman" w:cs="Arial"/>
          <w:color w:val="auto"/>
          <w:lang w:eastAsia="es-ES"/>
        </w:rPr>
        <w:t xml:space="preserve">Conforme a dicha circunstancia, se logra observar que los </w:t>
      </w:r>
      <w:r w:rsidRPr="00162B84">
        <w:rPr>
          <w:rFonts w:eastAsia="Times New Roman" w:cs="Arial"/>
          <w:color w:val="auto"/>
          <w:lang w:val="x-none" w:eastAsia="es-ES"/>
        </w:rPr>
        <w:t>únicos datos que son clasificables por dicha causal, son aquellos que den pauta del patrimonio de la persona moral y de los socios, pues corresponden al conjunto de bienes, derechos y obligaciones correspondientes a una persona moral y física, que constituyen una universalidad jurídica; por lo que, revelar dicha información se estaría vulnerando su privacidad, al ser el conjunto de bienes y activos con los que cuenta.</w:t>
      </w:r>
    </w:p>
    <w:p w14:paraId="488C09D7" w14:textId="77777777" w:rsidR="00162B84" w:rsidRPr="00162B84" w:rsidRDefault="00162B84" w:rsidP="00162B84">
      <w:pPr>
        <w:spacing w:after="0" w:line="360" w:lineRule="auto"/>
        <w:contextualSpacing/>
        <w:rPr>
          <w:rFonts w:eastAsia="Times New Roman" w:cs="Arial"/>
          <w:color w:val="auto"/>
          <w:lang w:eastAsia="es-ES"/>
        </w:rPr>
      </w:pPr>
    </w:p>
    <w:p w14:paraId="3F626BB3" w14:textId="77777777" w:rsidR="00162B84" w:rsidRPr="00162B84" w:rsidRDefault="00162B84" w:rsidP="00162B84">
      <w:pPr>
        <w:spacing w:after="0" w:line="360" w:lineRule="auto"/>
        <w:contextualSpacing/>
        <w:rPr>
          <w:rFonts w:eastAsia="Times New Roman" w:cs="Arial"/>
          <w:color w:val="auto"/>
          <w:lang w:eastAsia="es-ES"/>
        </w:rPr>
      </w:pPr>
      <w:r w:rsidRPr="00162B84">
        <w:rPr>
          <w:rFonts w:eastAsia="Times New Roman" w:cs="Arial"/>
          <w:color w:val="auto"/>
          <w:lang w:eastAsia="es-ES"/>
        </w:rPr>
        <w:t>As</w:t>
      </w:r>
      <w:r w:rsidRPr="00162B84">
        <w:rPr>
          <w:rFonts w:eastAsia="Times New Roman" w:cs="Arial"/>
          <w:color w:val="auto"/>
          <w:lang w:val="x-none" w:eastAsia="es-ES"/>
        </w:rPr>
        <w:t>í mismo, resultaría procedente la clasificación de los datos de carácter económico, contable, jurídico o administrativo que de ventaja a un tercero; así como, aquellos que den detalles sobre el manejo de una empresa, el proceso de toma de decisiones o información que afecten sus negociaciones.</w:t>
      </w:r>
    </w:p>
    <w:p w14:paraId="3DCA8FC3" w14:textId="77777777" w:rsidR="00162B84" w:rsidRPr="00162B84" w:rsidRDefault="00162B84" w:rsidP="00162B84">
      <w:pPr>
        <w:spacing w:after="0" w:line="360" w:lineRule="auto"/>
        <w:contextualSpacing/>
        <w:rPr>
          <w:rFonts w:eastAsia="Times New Roman" w:cs="Arial"/>
          <w:color w:val="auto"/>
          <w:lang w:eastAsia="es-ES"/>
        </w:rPr>
      </w:pPr>
    </w:p>
    <w:p w14:paraId="1EFA0E99" w14:textId="77777777" w:rsidR="00162B84" w:rsidRPr="00162B84" w:rsidRDefault="00162B84" w:rsidP="00162B84">
      <w:pPr>
        <w:spacing w:after="0" w:line="360" w:lineRule="auto"/>
        <w:contextualSpacing/>
        <w:rPr>
          <w:rFonts w:eastAsia="Times New Roman" w:cs="Arial"/>
          <w:color w:val="auto"/>
          <w:lang w:val="x-none" w:eastAsia="es-ES"/>
        </w:rPr>
      </w:pPr>
      <w:r w:rsidRPr="00162B84">
        <w:rPr>
          <w:rFonts w:eastAsia="Times New Roman" w:cs="Arial"/>
          <w:color w:val="auto"/>
          <w:lang w:eastAsia="es-ES"/>
        </w:rPr>
        <w:t>No obstante, por lo que, hace al nombre de los socios y sus datos de contacto, ubicación</w:t>
      </w:r>
      <w:r w:rsidRPr="00162B84">
        <w:rPr>
          <w:rFonts w:eastAsia="Times New Roman" w:cs="Arial"/>
          <w:color w:val="auto"/>
          <w:lang w:val="x-none" w:eastAsia="es-ES"/>
        </w:rPr>
        <w:t xml:space="preserve"> e identificación, no son susceptibles a ser clasificados en términos del artículo 143, fracción III, de la Ley de Transparencia y Acceso a la Información Pública del Estado de México, pues son datos personales que los hacen identificables, por lo que, no entran en la categoría de la causal referida.</w:t>
      </w:r>
    </w:p>
    <w:p w14:paraId="7A0EC67D" w14:textId="77777777" w:rsidR="00162B84" w:rsidRPr="00162B84" w:rsidRDefault="00162B84" w:rsidP="00162B84">
      <w:pPr>
        <w:spacing w:after="0" w:line="360" w:lineRule="auto"/>
        <w:contextualSpacing/>
        <w:rPr>
          <w:rFonts w:eastAsia="Times New Roman" w:cs="Arial"/>
          <w:color w:val="auto"/>
          <w:lang w:eastAsia="es-ES"/>
        </w:rPr>
      </w:pPr>
    </w:p>
    <w:p w14:paraId="23E1B17B" w14:textId="77777777" w:rsidR="00162B84" w:rsidRPr="00162B84" w:rsidRDefault="00162B84" w:rsidP="00162B84">
      <w:pPr>
        <w:spacing w:after="0" w:line="360" w:lineRule="auto"/>
        <w:contextualSpacing/>
        <w:rPr>
          <w:rFonts w:eastAsia="Times New Roman" w:cs="Arial"/>
          <w:color w:val="auto"/>
          <w:lang w:val="x-none" w:eastAsia="es-ES"/>
        </w:rPr>
      </w:pPr>
      <w:r w:rsidRPr="00162B84">
        <w:rPr>
          <w:rFonts w:eastAsia="Times New Roman" w:cs="Arial"/>
          <w:color w:val="auto"/>
          <w:lang w:eastAsia="es-ES"/>
        </w:rPr>
        <w:t>Sin embargo, este instituto considera que los datos de identificación</w:t>
      </w:r>
      <w:r w:rsidRPr="00162B84">
        <w:rPr>
          <w:rFonts w:eastAsia="Times New Roman" w:cs="Arial"/>
          <w:color w:val="auto"/>
          <w:lang w:val="x-none" w:eastAsia="es-ES"/>
        </w:rPr>
        <w:t>, contacto y ubicación de los socios, podrían actualizar la causal de clasificación establecida en el artículo 143, fracción I, de la Ley de la materia, por lo que, es necesario analizar algunos de los datos que pudieran obran en dicha acta constitutiva.</w:t>
      </w:r>
    </w:p>
    <w:p w14:paraId="24629021" w14:textId="77777777" w:rsidR="00162B84" w:rsidRPr="00162B84" w:rsidRDefault="00162B84" w:rsidP="00162B84">
      <w:pPr>
        <w:spacing w:after="0" w:line="360" w:lineRule="auto"/>
        <w:contextualSpacing/>
        <w:rPr>
          <w:rFonts w:eastAsia="Times New Roman" w:cs="Arial"/>
          <w:color w:val="auto"/>
          <w:lang w:eastAsia="es-ES"/>
        </w:rPr>
      </w:pPr>
    </w:p>
    <w:p w14:paraId="744010A9" w14:textId="4B5A7F80" w:rsidR="00162B84" w:rsidRPr="00162B84" w:rsidRDefault="00162B84" w:rsidP="00162B84">
      <w:pPr>
        <w:numPr>
          <w:ilvl w:val="0"/>
          <w:numId w:val="36"/>
        </w:numPr>
        <w:spacing w:after="0" w:line="360" w:lineRule="auto"/>
        <w:contextualSpacing/>
        <w:jc w:val="left"/>
        <w:rPr>
          <w:rFonts w:eastAsia="Calibri" w:cs="Tahoma"/>
          <w:b/>
          <w:bCs/>
          <w:color w:val="auto"/>
          <w:lang w:val="es-ES_tradnl" w:eastAsia="es-ES"/>
        </w:rPr>
      </w:pPr>
      <w:r w:rsidRPr="00162B84">
        <w:rPr>
          <w:rFonts w:eastAsia="Calibri" w:cs="Tahoma"/>
          <w:b/>
          <w:bCs/>
          <w:color w:val="auto"/>
          <w:lang w:val="es-ES_tradnl" w:eastAsia="es-ES"/>
        </w:rPr>
        <w:t>Registro Federal de Contribuyentes (RFC) de socios</w:t>
      </w:r>
    </w:p>
    <w:p w14:paraId="58CC18F5" w14:textId="77777777" w:rsidR="00162B84" w:rsidRPr="00162B84" w:rsidRDefault="00162B84" w:rsidP="00162B84">
      <w:pPr>
        <w:spacing w:after="0" w:line="360" w:lineRule="auto"/>
        <w:ind w:right="-93"/>
        <w:contextualSpacing/>
        <w:rPr>
          <w:rFonts w:eastAsia="Times New Roman" w:cs="Tahoma"/>
          <w:color w:val="auto"/>
          <w:lang w:eastAsia="es-ES"/>
        </w:rPr>
      </w:pPr>
    </w:p>
    <w:p w14:paraId="28E648B2" w14:textId="77777777" w:rsidR="00162B84" w:rsidRPr="00162B84" w:rsidRDefault="00162B84" w:rsidP="00162B84">
      <w:pPr>
        <w:spacing w:after="0" w:line="360" w:lineRule="auto"/>
        <w:contextualSpacing/>
        <w:rPr>
          <w:rFonts w:eastAsia="Times New Roman" w:cs="Tahoma"/>
          <w:color w:val="auto"/>
        </w:rPr>
      </w:pPr>
      <w:r w:rsidRPr="00162B84">
        <w:rPr>
          <w:rFonts w:eastAsia="Times New Roman" w:cs="Tahoma"/>
          <w:color w:val="auto"/>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257F9867" w14:textId="77777777" w:rsidR="00162B84" w:rsidRPr="00162B84" w:rsidRDefault="00162B84" w:rsidP="00162B84">
      <w:pPr>
        <w:spacing w:after="0" w:line="360" w:lineRule="auto"/>
        <w:contextualSpacing/>
        <w:rPr>
          <w:rFonts w:eastAsia="Times New Roman" w:cs="Tahoma"/>
          <w:color w:val="auto"/>
        </w:rPr>
      </w:pPr>
    </w:p>
    <w:p w14:paraId="2B0662B0" w14:textId="77777777" w:rsidR="00162B84" w:rsidRPr="00162B84" w:rsidRDefault="00162B84" w:rsidP="00162B84">
      <w:pPr>
        <w:widowControl w:val="0"/>
        <w:spacing w:after="0" w:line="360" w:lineRule="auto"/>
        <w:contextualSpacing/>
        <w:rPr>
          <w:rFonts w:eastAsia="Times New Roman" w:cs="Tahoma"/>
          <w:color w:val="auto"/>
        </w:rPr>
      </w:pPr>
      <w:r w:rsidRPr="00162B84">
        <w:rPr>
          <w:rFonts w:eastAsia="Times New Roman" w:cs="Tahoma"/>
          <w:color w:val="auto"/>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2F04C76A" w14:textId="77777777" w:rsidR="00162B84" w:rsidRPr="00162B84" w:rsidRDefault="00162B84" w:rsidP="00162B84">
      <w:pPr>
        <w:spacing w:after="0" w:line="360" w:lineRule="auto"/>
        <w:contextualSpacing/>
        <w:rPr>
          <w:rFonts w:eastAsia="Times New Roman" w:cs="Tahoma"/>
          <w:color w:val="auto"/>
        </w:rPr>
      </w:pPr>
    </w:p>
    <w:p w14:paraId="6563004D" w14:textId="77777777" w:rsidR="00162B84" w:rsidRPr="00162B84" w:rsidRDefault="00162B84" w:rsidP="00162B84">
      <w:pPr>
        <w:spacing w:after="0" w:line="360" w:lineRule="auto"/>
        <w:contextualSpacing/>
        <w:rPr>
          <w:rFonts w:eastAsia="Times New Roman" w:cs="Tahoma"/>
          <w:color w:val="auto"/>
        </w:rPr>
      </w:pPr>
      <w:r w:rsidRPr="00162B84">
        <w:rPr>
          <w:rFonts w:eastAsia="Times New Roman" w:cs="Tahoma"/>
          <w:color w:val="auto"/>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220F7F2A" w14:textId="77777777" w:rsidR="00162B84" w:rsidRPr="00162B84" w:rsidRDefault="00162B84" w:rsidP="00162B84">
      <w:pPr>
        <w:spacing w:after="0" w:line="360" w:lineRule="auto"/>
        <w:contextualSpacing/>
        <w:rPr>
          <w:rFonts w:eastAsia="Times New Roman" w:cs="Tahoma"/>
          <w:color w:val="auto"/>
        </w:rPr>
      </w:pPr>
    </w:p>
    <w:p w14:paraId="478E2508" w14:textId="77777777" w:rsidR="00162B84" w:rsidRPr="00162B84" w:rsidRDefault="00162B84" w:rsidP="00162B84">
      <w:pPr>
        <w:spacing w:after="0" w:line="360" w:lineRule="auto"/>
        <w:contextualSpacing/>
        <w:rPr>
          <w:rFonts w:eastAsia="Times New Roman" w:cs="Tahoma"/>
          <w:color w:val="auto"/>
        </w:rPr>
      </w:pPr>
      <w:r w:rsidRPr="00162B84">
        <w:rPr>
          <w:rFonts w:eastAsia="Times New Roman" w:cs="Tahoma"/>
          <w:color w:val="auto"/>
        </w:rPr>
        <w:t xml:space="preserve">Conforme a lo expuesto,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332F7548" w14:textId="77777777" w:rsidR="00162B84" w:rsidRPr="00162B84" w:rsidRDefault="00162B84" w:rsidP="00162B84">
      <w:pPr>
        <w:spacing w:after="0" w:line="360" w:lineRule="auto"/>
        <w:contextualSpacing/>
        <w:rPr>
          <w:rFonts w:eastAsia="Times New Roman" w:cs="Tahoma"/>
          <w:color w:val="auto"/>
        </w:rPr>
      </w:pPr>
    </w:p>
    <w:p w14:paraId="3EB308AC" w14:textId="77777777" w:rsidR="00162B84" w:rsidRPr="00162B84" w:rsidRDefault="00162B84" w:rsidP="00162B84">
      <w:pPr>
        <w:spacing w:after="0" w:line="360" w:lineRule="auto"/>
        <w:contextualSpacing/>
        <w:rPr>
          <w:rFonts w:eastAsia="Times New Roman" w:cs="Tahoma"/>
          <w:bCs/>
          <w:color w:val="auto"/>
        </w:rPr>
      </w:pPr>
      <w:r w:rsidRPr="00162B84">
        <w:rPr>
          <w:rFonts w:eastAsia="Times New Roman" w:cs="Tahoma"/>
          <w:bCs/>
          <w:color w:val="auto"/>
        </w:rPr>
        <w:t>Lo anterior, resulta congruente con el Criterio de Interpretación, con clave de control SO/019/2017, de la Segunda Época, emitido por el Instituto Nacional de Transparencia, Acceso a la Información y Protección de Datos Personales, en el cual se señala lo siguiente:</w:t>
      </w:r>
    </w:p>
    <w:p w14:paraId="75608D31" w14:textId="77777777" w:rsidR="00162B84" w:rsidRPr="00162B84" w:rsidRDefault="00162B84" w:rsidP="00162B84">
      <w:pPr>
        <w:spacing w:after="0" w:line="360" w:lineRule="auto"/>
        <w:contextualSpacing/>
        <w:rPr>
          <w:rFonts w:eastAsia="Times New Roman" w:cs="Tahoma"/>
          <w:color w:val="auto"/>
        </w:rPr>
      </w:pPr>
    </w:p>
    <w:p w14:paraId="1415816C" w14:textId="77777777" w:rsidR="00162B84" w:rsidRPr="00162B84" w:rsidRDefault="00162B84" w:rsidP="00162B84">
      <w:pPr>
        <w:spacing w:after="0" w:line="360" w:lineRule="auto"/>
        <w:ind w:left="567" w:right="567"/>
        <w:contextualSpacing/>
        <w:rPr>
          <w:rFonts w:eastAsia="Times New Roman" w:cs="Tahoma"/>
          <w:i/>
          <w:color w:val="auto"/>
          <w:sz w:val="20"/>
          <w:szCs w:val="20"/>
          <w:lang w:eastAsia="es-ES"/>
        </w:rPr>
      </w:pPr>
      <w:r w:rsidRPr="00162B84">
        <w:rPr>
          <w:rFonts w:eastAsia="Times New Roman" w:cs="Tahoma"/>
          <w:b/>
          <w:i/>
          <w:color w:val="auto"/>
          <w:sz w:val="20"/>
          <w:szCs w:val="20"/>
          <w:lang w:eastAsia="es-ES"/>
        </w:rPr>
        <w:t>“Registro Federal de Contribuyentes (RFC) de personas físicas.</w:t>
      </w:r>
      <w:r w:rsidRPr="00162B84">
        <w:rPr>
          <w:rFonts w:eastAsia="Times New Roman" w:cs="Tahoma"/>
          <w:i/>
          <w:color w:val="auto"/>
          <w:sz w:val="20"/>
          <w:szCs w:val="20"/>
          <w:lang w:eastAsia="es-ES"/>
        </w:rPr>
        <w:t xml:space="preserve"> El RFC es una clave de carácter fiscal, única e irrepetible, que permite identificar al titular, su edad y fecha de nacimiento, por lo que es un dato personal de carácter confidencial.”</w:t>
      </w:r>
    </w:p>
    <w:p w14:paraId="1812C003" w14:textId="77777777" w:rsidR="00162B84" w:rsidRPr="00162B84" w:rsidRDefault="00162B84" w:rsidP="00162B84">
      <w:pPr>
        <w:spacing w:after="0" w:line="360" w:lineRule="auto"/>
        <w:ind w:left="567" w:right="567"/>
        <w:contextualSpacing/>
        <w:rPr>
          <w:rFonts w:eastAsia="Times New Roman" w:cs="Tahoma"/>
          <w:color w:val="auto"/>
          <w:lang w:eastAsia="es-ES"/>
        </w:rPr>
      </w:pPr>
    </w:p>
    <w:p w14:paraId="225CFA46" w14:textId="77777777" w:rsidR="00162B84" w:rsidRPr="00162B84" w:rsidRDefault="00162B84" w:rsidP="00162B84">
      <w:pPr>
        <w:widowControl w:val="0"/>
        <w:spacing w:after="0" w:line="360" w:lineRule="auto"/>
        <w:contextualSpacing/>
        <w:rPr>
          <w:rFonts w:eastAsia="Calibri" w:cs="Tahoma"/>
          <w:bCs/>
          <w:color w:val="auto"/>
          <w:lang w:eastAsia="es-ES"/>
        </w:rPr>
      </w:pPr>
      <w:r w:rsidRPr="00162B84">
        <w:rPr>
          <w:rFonts w:eastAsia="Times New Roman" w:cs="Tahoma"/>
          <w:color w:val="auto"/>
        </w:rPr>
        <w:t xml:space="preserve">De tal suerte, el Registro Federal de Contribuyentes de los socios no guarda relación con la transparencia de los recursos públicos, por lo que constituye un dato personal confidencial </w:t>
      </w:r>
      <w:r w:rsidRPr="00162B84">
        <w:rPr>
          <w:rFonts w:eastAsia="Times New Roman" w:cs="Tahoma"/>
          <w:color w:val="auto"/>
          <w:lang w:eastAsia="es-ES"/>
        </w:rPr>
        <w:t>al actualizar el supuesto normativo del artículo 143, fracción I, de la Ley de Transparencia y Acceso a la Información Pública del Estado de México y Municipios</w:t>
      </w:r>
      <w:r w:rsidRPr="00162B84">
        <w:rPr>
          <w:rFonts w:eastAsia="Times New Roman" w:cs="Tahoma"/>
          <w:color w:val="auto"/>
        </w:rPr>
        <w:t>.</w:t>
      </w:r>
    </w:p>
    <w:p w14:paraId="63FA1855" w14:textId="77777777" w:rsidR="00162B84" w:rsidRPr="00162B84" w:rsidRDefault="00162B84" w:rsidP="00162B84">
      <w:pPr>
        <w:spacing w:after="0" w:line="360" w:lineRule="auto"/>
        <w:contextualSpacing/>
        <w:rPr>
          <w:rFonts w:eastAsia="Calibri" w:cs="Tahoma"/>
          <w:bCs/>
          <w:color w:val="auto"/>
          <w:lang w:eastAsia="es-ES"/>
        </w:rPr>
      </w:pPr>
    </w:p>
    <w:p w14:paraId="0C846AF8" w14:textId="2D2A983C" w:rsidR="00162B84" w:rsidRPr="00162B84" w:rsidRDefault="00162B84" w:rsidP="00162B84">
      <w:pPr>
        <w:numPr>
          <w:ilvl w:val="0"/>
          <w:numId w:val="36"/>
        </w:numPr>
        <w:spacing w:after="0" w:line="360" w:lineRule="auto"/>
        <w:contextualSpacing/>
        <w:jc w:val="left"/>
        <w:rPr>
          <w:rFonts w:eastAsia="Calibri" w:cs="Tahoma"/>
          <w:b/>
          <w:bCs/>
          <w:color w:val="auto"/>
          <w:lang w:val="es-ES_tradnl" w:eastAsia="es-ES"/>
        </w:rPr>
      </w:pPr>
      <w:r w:rsidRPr="00162B84">
        <w:rPr>
          <w:rFonts w:eastAsia="Times New Roman" w:cs="Tahoma"/>
          <w:b/>
          <w:color w:val="auto"/>
          <w:lang w:eastAsia="es-ES"/>
        </w:rPr>
        <w:t>C</w:t>
      </w:r>
      <w:r w:rsidRPr="00162B84">
        <w:rPr>
          <w:rFonts w:eastAsia="Calibri" w:cs="Tahoma"/>
          <w:b/>
          <w:bCs/>
          <w:color w:val="auto"/>
          <w:lang w:val="es-ES_tradnl" w:eastAsia="es-ES"/>
        </w:rPr>
        <w:t>lave Única de Registro de Población (CURP) de socios y proveedores</w:t>
      </w:r>
    </w:p>
    <w:p w14:paraId="4F0869C2" w14:textId="77777777" w:rsidR="00162B84" w:rsidRPr="00162B84" w:rsidRDefault="00162B84" w:rsidP="00162B84">
      <w:pPr>
        <w:spacing w:after="0" w:line="360" w:lineRule="auto"/>
        <w:contextualSpacing/>
        <w:rPr>
          <w:rFonts w:eastAsia="Times New Roman" w:cs="Tahoma"/>
          <w:color w:val="auto"/>
          <w:lang w:eastAsia="es-ES"/>
        </w:rPr>
      </w:pPr>
    </w:p>
    <w:p w14:paraId="10CE2420" w14:textId="77777777" w:rsidR="00162B84" w:rsidRPr="00162B84" w:rsidRDefault="00162B84" w:rsidP="00162B84">
      <w:pPr>
        <w:spacing w:after="0" w:line="360" w:lineRule="auto"/>
        <w:contextualSpacing/>
        <w:rPr>
          <w:rFonts w:eastAsia="Times New Roman" w:cs="Tahoma"/>
          <w:color w:val="auto"/>
        </w:rPr>
      </w:pPr>
      <w:r w:rsidRPr="00162B84">
        <w:rPr>
          <w:rFonts w:eastAsia="Times New Roman" w:cs="Tahoma"/>
          <w:color w:val="auto"/>
        </w:rPr>
        <w:t xml:space="preserve">El artículo 36 de la Constitución Política de los Estados Unidos Mexicanos, dispone la obligación de los ciudadanos de inscribirse en el Registro Nacional de Ciudadanos. </w:t>
      </w:r>
    </w:p>
    <w:p w14:paraId="4F4CA1A3" w14:textId="77777777" w:rsidR="00162B84" w:rsidRPr="00162B84" w:rsidRDefault="00162B84" w:rsidP="00162B84">
      <w:pPr>
        <w:spacing w:after="0" w:line="360" w:lineRule="auto"/>
        <w:contextualSpacing/>
        <w:rPr>
          <w:rFonts w:eastAsia="Times New Roman" w:cs="Tahoma"/>
          <w:color w:val="auto"/>
        </w:rPr>
      </w:pPr>
    </w:p>
    <w:p w14:paraId="49E1C507" w14:textId="77777777" w:rsidR="00162B84" w:rsidRPr="00162B84" w:rsidRDefault="00162B84" w:rsidP="00162B84">
      <w:pPr>
        <w:spacing w:after="0" w:line="360" w:lineRule="auto"/>
        <w:contextualSpacing/>
        <w:rPr>
          <w:rFonts w:eastAsia="Times New Roman" w:cs="Tahoma"/>
          <w:color w:val="auto"/>
        </w:rPr>
      </w:pPr>
      <w:r w:rsidRPr="00162B84">
        <w:rPr>
          <w:rFonts w:eastAsia="Times New Roman" w:cs="Tahoma"/>
          <w:color w:val="auto"/>
        </w:rPr>
        <w:t>El artículo 85 de la Ley General de Población, prevé que corresponde a la  Secretaría de Gobernación el registro y acreditación de la identidad de todas las personas residentes en el país y de los nacionales que residan en el extranjero.</w:t>
      </w:r>
    </w:p>
    <w:p w14:paraId="75507D13" w14:textId="77777777" w:rsidR="00162B84" w:rsidRPr="00162B84" w:rsidRDefault="00162B84" w:rsidP="00162B84">
      <w:pPr>
        <w:spacing w:after="0" w:line="360" w:lineRule="auto"/>
        <w:contextualSpacing/>
        <w:rPr>
          <w:rFonts w:eastAsia="Times New Roman" w:cs="Tahoma"/>
          <w:color w:val="auto"/>
        </w:rPr>
      </w:pPr>
    </w:p>
    <w:p w14:paraId="2BDB3272" w14:textId="77777777" w:rsidR="00162B84" w:rsidRPr="00162B84" w:rsidRDefault="00162B84" w:rsidP="00162B84">
      <w:pPr>
        <w:spacing w:after="0" w:line="360" w:lineRule="auto"/>
        <w:contextualSpacing/>
        <w:rPr>
          <w:rFonts w:eastAsia="Times New Roman" w:cs="Tahoma"/>
          <w:color w:val="auto"/>
        </w:rPr>
      </w:pPr>
      <w:r w:rsidRPr="00162B84">
        <w:rPr>
          <w:rFonts w:eastAsia="Times New Roman" w:cs="Tahoma"/>
          <w:color w:val="auto"/>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132B12AA" w14:textId="77777777" w:rsidR="00162B84" w:rsidRPr="00162B84" w:rsidRDefault="00162B84" w:rsidP="00162B84">
      <w:pPr>
        <w:spacing w:after="0" w:line="360" w:lineRule="auto"/>
        <w:contextualSpacing/>
        <w:rPr>
          <w:rFonts w:eastAsia="Times New Roman" w:cs="Tahoma"/>
          <w:color w:val="auto"/>
        </w:rPr>
      </w:pPr>
    </w:p>
    <w:p w14:paraId="7677AFAA" w14:textId="77777777" w:rsidR="00162B84" w:rsidRPr="00162B84" w:rsidRDefault="00162B84" w:rsidP="00162B84">
      <w:pPr>
        <w:spacing w:after="0" w:line="360" w:lineRule="auto"/>
        <w:contextualSpacing/>
        <w:rPr>
          <w:rFonts w:eastAsia="Times New Roman" w:cs="Tahoma"/>
          <w:color w:val="auto"/>
        </w:rPr>
      </w:pPr>
      <w:r w:rsidRPr="00162B84">
        <w:rPr>
          <w:rFonts w:eastAsia="Times New Roman" w:cs="Tahoma"/>
          <w:color w:val="auto"/>
        </w:rPr>
        <w:t xml:space="preserve">De conformidad con lo precisado por la propia Secretaría de Gobernación en la dirección </w:t>
      </w:r>
      <w:hyperlink r:id="rId9" w:history="1">
        <w:r w:rsidRPr="00162B84">
          <w:rPr>
            <w:rFonts w:eastAsia="Times New Roman" w:cs="Tahoma"/>
            <w:color w:val="0563C1"/>
            <w:u w:val="single"/>
          </w:rPr>
          <w:t>https://consultas.curp.gob.mx/CurpSP/html/informacionecurpPS.html</w:t>
        </w:r>
      </w:hyperlink>
      <w:r w:rsidRPr="00162B84">
        <w:rPr>
          <w:rFonts w:eastAsia="Times New Roman" w:cs="Tahoma"/>
          <w:color w:val="0563C1"/>
          <w:u w:val="single"/>
        </w:rPr>
        <w:t xml:space="preserve"> </w:t>
      </w:r>
      <w:r w:rsidRPr="00162B84">
        <w:rPr>
          <w:rFonts w:eastAsia="Times New Roman" w:cs="Tahoma"/>
          <w:color w:val="auto"/>
        </w:rPr>
        <w:t xml:space="preserve">(consultada el veinticinco de marzo de dos mil diecinueve a las once horas con cuarenta minutos),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162B84">
        <w:rPr>
          <w:rFonts w:eastAsia="Times New Roman" w:cs="Tahoma"/>
          <w:b/>
          <w:color w:val="auto"/>
        </w:rPr>
        <w:t>se generan a partir de los datos contenidos en el documento probatorio de la identidad</w:t>
      </w:r>
      <w:r w:rsidRPr="00162B84">
        <w:rPr>
          <w:rFonts w:eastAsia="Times New Roman" w:cs="Tahoma"/>
          <w:color w:val="auto"/>
        </w:rPr>
        <w:t xml:space="preserve"> </w:t>
      </w:r>
      <w:r w:rsidRPr="00162B84">
        <w:rPr>
          <w:rFonts w:eastAsia="Times New Roman" w:cs="Tahoma"/>
          <w:b/>
          <w:color w:val="auto"/>
        </w:rPr>
        <w:t xml:space="preserve">del interesado </w:t>
      </w:r>
      <w:r w:rsidRPr="00162B84">
        <w:rPr>
          <w:rFonts w:eastAsia="Times New Roman" w:cs="Tahoma"/>
          <w:color w:val="auto"/>
        </w:rPr>
        <w:t>(acta de nacimiento, carta de naturalización o documento migratorio) de la siguiente forma:</w:t>
      </w:r>
    </w:p>
    <w:p w14:paraId="689AF787" w14:textId="77777777" w:rsidR="00162B84" w:rsidRPr="00162B84" w:rsidRDefault="00162B84" w:rsidP="00162B84">
      <w:pPr>
        <w:spacing w:after="0" w:line="360" w:lineRule="auto"/>
        <w:contextualSpacing/>
        <w:rPr>
          <w:rFonts w:eastAsia="Times New Roman" w:cs="Tahoma"/>
          <w:color w:val="auto"/>
        </w:rPr>
      </w:pPr>
    </w:p>
    <w:p w14:paraId="1C16F01B" w14:textId="77777777" w:rsidR="00162B84" w:rsidRPr="00162B84" w:rsidRDefault="00162B84" w:rsidP="00162B84">
      <w:pPr>
        <w:spacing w:after="0" w:line="360" w:lineRule="auto"/>
        <w:ind w:left="284"/>
        <w:contextualSpacing/>
        <w:rPr>
          <w:rFonts w:eastAsia="Times New Roman" w:cs="Tahoma"/>
          <w:color w:val="auto"/>
        </w:rPr>
      </w:pPr>
      <w:r w:rsidRPr="00162B84">
        <w:rPr>
          <w:rFonts w:eastAsia="Times New Roman" w:cs="Tahoma"/>
          <w:color w:val="auto"/>
        </w:rPr>
        <w:t xml:space="preserve"> • El primero y segundo apellidos, así como al nombre de pila.</w:t>
      </w:r>
    </w:p>
    <w:p w14:paraId="3705EB2A" w14:textId="77777777" w:rsidR="00162B84" w:rsidRPr="00162B84" w:rsidRDefault="00162B84" w:rsidP="00162B84">
      <w:pPr>
        <w:spacing w:after="0" w:line="360" w:lineRule="auto"/>
        <w:ind w:left="284"/>
        <w:contextualSpacing/>
        <w:rPr>
          <w:rFonts w:eastAsia="Times New Roman" w:cs="Tahoma"/>
          <w:color w:val="auto"/>
        </w:rPr>
      </w:pPr>
      <w:r w:rsidRPr="00162B84">
        <w:rPr>
          <w:rFonts w:eastAsia="Times New Roman" w:cs="Tahoma"/>
          <w:color w:val="auto"/>
        </w:rPr>
        <w:t xml:space="preserve"> • La fecha de nacimiento.</w:t>
      </w:r>
    </w:p>
    <w:p w14:paraId="791B7C4D" w14:textId="77777777" w:rsidR="00162B84" w:rsidRPr="00162B84" w:rsidRDefault="00162B84" w:rsidP="00162B84">
      <w:pPr>
        <w:spacing w:after="0" w:line="360" w:lineRule="auto"/>
        <w:ind w:left="284"/>
        <w:contextualSpacing/>
        <w:rPr>
          <w:rFonts w:eastAsia="Times New Roman" w:cs="Tahoma"/>
          <w:color w:val="auto"/>
        </w:rPr>
      </w:pPr>
      <w:r w:rsidRPr="00162B84">
        <w:rPr>
          <w:rFonts w:eastAsia="Times New Roman" w:cs="Tahoma"/>
          <w:color w:val="auto"/>
        </w:rPr>
        <w:t xml:space="preserve"> • El sexo.</w:t>
      </w:r>
    </w:p>
    <w:p w14:paraId="2E7C9235" w14:textId="77777777" w:rsidR="00162B84" w:rsidRPr="00162B84" w:rsidRDefault="00162B84" w:rsidP="00162B84">
      <w:pPr>
        <w:spacing w:after="0" w:line="360" w:lineRule="auto"/>
        <w:ind w:left="284"/>
        <w:contextualSpacing/>
        <w:rPr>
          <w:rFonts w:eastAsia="Times New Roman" w:cs="Tahoma"/>
          <w:color w:val="auto"/>
        </w:rPr>
      </w:pPr>
      <w:r w:rsidRPr="00162B84">
        <w:rPr>
          <w:rFonts w:eastAsia="Times New Roman" w:cs="Tahoma"/>
          <w:color w:val="auto"/>
        </w:rPr>
        <w:t xml:space="preserve"> • La entidad federativa de nacimiento.</w:t>
      </w:r>
    </w:p>
    <w:p w14:paraId="7C01B505" w14:textId="77777777" w:rsidR="00162B84" w:rsidRPr="00162B84" w:rsidRDefault="00162B84" w:rsidP="00162B84">
      <w:pPr>
        <w:spacing w:after="0" w:line="360" w:lineRule="auto"/>
        <w:contextualSpacing/>
        <w:rPr>
          <w:rFonts w:eastAsia="Times New Roman" w:cs="Tahoma"/>
          <w:color w:val="auto"/>
        </w:rPr>
      </w:pPr>
    </w:p>
    <w:p w14:paraId="688A82BD" w14:textId="77777777" w:rsidR="00162B84" w:rsidRPr="00162B84" w:rsidRDefault="00162B84" w:rsidP="00162B84">
      <w:pPr>
        <w:spacing w:after="0" w:line="360" w:lineRule="auto"/>
        <w:contextualSpacing/>
        <w:rPr>
          <w:rFonts w:eastAsia="Times New Roman" w:cs="Tahoma"/>
          <w:color w:val="auto"/>
        </w:rPr>
      </w:pPr>
      <w:r w:rsidRPr="00162B84">
        <w:rPr>
          <w:rFonts w:eastAsia="Times New Roman" w:cs="Tahoma"/>
          <w:color w:val="auto"/>
        </w:rPr>
        <w:t>Los dos últimos elementos de la Clave Única de Registro de Población evitan la duplicidad de la Clave y garantizan su correcta integración.</w:t>
      </w:r>
    </w:p>
    <w:p w14:paraId="24C68BAA" w14:textId="77777777" w:rsidR="00162B84" w:rsidRPr="00162B84" w:rsidRDefault="00162B84" w:rsidP="00162B84">
      <w:pPr>
        <w:spacing w:after="0" w:line="360" w:lineRule="auto"/>
        <w:contextualSpacing/>
        <w:rPr>
          <w:rFonts w:eastAsia="Times New Roman" w:cs="Tahoma"/>
          <w:color w:val="auto"/>
        </w:rPr>
      </w:pPr>
    </w:p>
    <w:p w14:paraId="6FE8CE06" w14:textId="77777777" w:rsidR="00162B84" w:rsidRPr="00162B84" w:rsidRDefault="00162B84" w:rsidP="00162B84">
      <w:pPr>
        <w:spacing w:after="0" w:line="360" w:lineRule="auto"/>
        <w:contextualSpacing/>
        <w:rPr>
          <w:rFonts w:eastAsia="Times New Roman" w:cs="Tahoma"/>
          <w:color w:val="auto"/>
          <w:lang w:eastAsia="es-ES"/>
        </w:rPr>
      </w:pPr>
      <w:r w:rsidRPr="00162B84">
        <w:rPr>
          <w:rFonts w:eastAsia="Times New Roman" w:cs="Tahoma"/>
          <w:color w:val="auto"/>
          <w:lang w:eastAsia="es-ES"/>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134B124" w14:textId="77777777" w:rsidR="00162B84" w:rsidRPr="00162B84" w:rsidRDefault="00162B84" w:rsidP="00162B84">
      <w:pPr>
        <w:spacing w:after="0" w:line="360" w:lineRule="auto"/>
        <w:contextualSpacing/>
        <w:rPr>
          <w:rFonts w:eastAsia="Times New Roman" w:cs="Tahoma"/>
          <w:color w:val="auto"/>
          <w:lang w:eastAsia="es-ES"/>
        </w:rPr>
      </w:pPr>
    </w:p>
    <w:p w14:paraId="6D7CA0BF" w14:textId="67DB52AF" w:rsidR="00162B84" w:rsidRPr="00162B84" w:rsidRDefault="00162B84" w:rsidP="00162B84">
      <w:pPr>
        <w:spacing w:after="0" w:line="360" w:lineRule="auto"/>
        <w:contextualSpacing/>
        <w:rPr>
          <w:rFonts w:eastAsia="Times New Roman" w:cs="Tahoma"/>
          <w:color w:val="auto"/>
        </w:rPr>
      </w:pPr>
      <w:r w:rsidRPr="00162B84">
        <w:rPr>
          <w:rFonts w:eastAsia="Times New Roman" w:cs="Tahoma"/>
          <w:color w:val="auto"/>
        </w:rPr>
        <w:t>Resulta aplicable en la especie, como argumento orientador, el Criterio de Interpretación con clave de control SO</w:t>
      </w:r>
      <w:r w:rsidR="006378D1">
        <w:rPr>
          <w:rFonts w:eastAsia="Times New Roman" w:cs="Tahoma"/>
          <w:color w:val="auto"/>
        </w:rPr>
        <w:t>/018/2017, de la Segunda Ép</w:t>
      </w:r>
      <w:r w:rsidRPr="00162B84">
        <w:rPr>
          <w:rFonts w:eastAsia="Times New Roman" w:cs="Tahoma"/>
          <w:color w:val="auto"/>
        </w:rPr>
        <w:t>oca, emitido por el Instituto Nacional de Transparencia, Acceso a la Información y Protección de Datos Personales.</w:t>
      </w:r>
    </w:p>
    <w:p w14:paraId="612FA417" w14:textId="77777777" w:rsidR="00162B84" w:rsidRPr="00162B84" w:rsidRDefault="00162B84" w:rsidP="00162B84">
      <w:pPr>
        <w:spacing w:after="0" w:line="360" w:lineRule="auto"/>
        <w:contextualSpacing/>
        <w:rPr>
          <w:rFonts w:eastAsia="Times New Roman" w:cs="Tahoma"/>
          <w:color w:val="auto"/>
          <w:lang w:eastAsia="es-ES"/>
        </w:rPr>
      </w:pPr>
    </w:p>
    <w:p w14:paraId="7BB6E4FD" w14:textId="77777777" w:rsidR="00162B84" w:rsidRPr="00162B84" w:rsidRDefault="00162B84" w:rsidP="00162B84">
      <w:pPr>
        <w:autoSpaceDE w:val="0"/>
        <w:autoSpaceDN w:val="0"/>
        <w:adjustRightInd w:val="0"/>
        <w:spacing w:after="0" w:line="360" w:lineRule="auto"/>
        <w:ind w:left="567" w:right="567"/>
        <w:contextualSpacing/>
        <w:rPr>
          <w:rFonts w:eastAsia="Calibri" w:cs="Tahoma"/>
          <w:i/>
          <w:color w:val="000000"/>
          <w:sz w:val="20"/>
          <w:szCs w:val="20"/>
          <w:lang w:eastAsia="es-ES"/>
        </w:rPr>
      </w:pPr>
      <w:r w:rsidRPr="00162B84">
        <w:rPr>
          <w:rFonts w:eastAsia="Calibri" w:cs="Tahoma"/>
          <w:b/>
          <w:bCs/>
          <w:i/>
          <w:color w:val="000000"/>
          <w:sz w:val="20"/>
          <w:szCs w:val="20"/>
          <w:lang w:eastAsia="es-ES"/>
        </w:rPr>
        <w:t xml:space="preserve">“Clave Única de Registro de Población (CURP). </w:t>
      </w:r>
      <w:r w:rsidRPr="00162B84">
        <w:rPr>
          <w:rFonts w:eastAsia="Calibri" w:cs="Tahoma"/>
          <w:bCs/>
          <w:i/>
          <w:color w:val="000000"/>
          <w:sz w:val="20"/>
          <w:szCs w:val="20"/>
          <w:lang w:eastAsia="es-ES"/>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r w:rsidRPr="00162B84">
        <w:rPr>
          <w:rFonts w:eastAsia="Calibri" w:cs="Tahoma"/>
          <w:i/>
          <w:color w:val="000000"/>
          <w:sz w:val="20"/>
          <w:szCs w:val="20"/>
          <w:lang w:eastAsia="es-ES"/>
        </w:rPr>
        <w:t xml:space="preserve">” </w:t>
      </w:r>
    </w:p>
    <w:p w14:paraId="327BA78F" w14:textId="77777777" w:rsidR="00162B84" w:rsidRPr="00162B84" w:rsidRDefault="00162B84" w:rsidP="00162B84">
      <w:pPr>
        <w:spacing w:after="0" w:line="360" w:lineRule="auto"/>
        <w:contextualSpacing/>
        <w:rPr>
          <w:rFonts w:eastAsia="Times New Roman" w:cs="Tahoma"/>
          <w:color w:val="auto"/>
          <w:lang w:eastAsia="es-ES"/>
        </w:rPr>
      </w:pPr>
    </w:p>
    <w:p w14:paraId="4CD7F749" w14:textId="77777777" w:rsidR="00162B84" w:rsidRPr="00162B84" w:rsidRDefault="00162B84" w:rsidP="00162B84">
      <w:pPr>
        <w:spacing w:after="0" w:line="360" w:lineRule="auto"/>
        <w:contextualSpacing/>
        <w:rPr>
          <w:rFonts w:eastAsia="Times New Roman" w:cs="Tahoma"/>
          <w:color w:val="auto"/>
          <w:lang w:eastAsia="es-ES"/>
        </w:rPr>
      </w:pPr>
      <w:r w:rsidRPr="00162B84">
        <w:rPr>
          <w:rFonts w:eastAsia="Times New Roman" w:cs="Tahoma"/>
          <w:color w:val="auto"/>
          <w:lang w:eastAsia="es-ES"/>
        </w:rPr>
        <w:t xml:space="preserve">De acuerdo con lo anterior, se confirma la clasificación de la Clave Única de Registro de Población, por tratarse de un dato personal confidencial, en términos del artículo 143, fracción I de la Ley de Transparencia y Acceso a la Información Pública del Estado de México y Municipios. </w:t>
      </w:r>
    </w:p>
    <w:p w14:paraId="1436794C" w14:textId="77777777" w:rsidR="00162B84" w:rsidRPr="00162B84" w:rsidRDefault="00162B84" w:rsidP="00162B84">
      <w:pPr>
        <w:spacing w:after="0" w:line="360" w:lineRule="auto"/>
        <w:contextualSpacing/>
        <w:rPr>
          <w:rFonts w:eastAsia="Calibri" w:cs="Tahoma"/>
          <w:bCs/>
          <w:color w:val="auto"/>
          <w:lang w:eastAsia="es-ES"/>
        </w:rPr>
      </w:pPr>
    </w:p>
    <w:p w14:paraId="08D820EB" w14:textId="69DA1D07" w:rsidR="00162B84" w:rsidRPr="00162B84" w:rsidRDefault="00162B84" w:rsidP="00162B84">
      <w:pPr>
        <w:numPr>
          <w:ilvl w:val="0"/>
          <w:numId w:val="36"/>
        </w:numPr>
        <w:spacing w:after="0" w:line="360" w:lineRule="auto"/>
        <w:contextualSpacing/>
        <w:jc w:val="left"/>
        <w:rPr>
          <w:rFonts w:eastAsia="Calibri" w:cs="Tahoma"/>
          <w:b/>
          <w:bCs/>
          <w:color w:val="auto"/>
          <w:lang w:eastAsia="es-ES"/>
        </w:rPr>
      </w:pPr>
      <w:r w:rsidRPr="00162B84">
        <w:rPr>
          <w:rFonts w:eastAsia="Calibri" w:cs="Tahoma"/>
          <w:b/>
          <w:bCs/>
          <w:color w:val="auto"/>
          <w:lang w:eastAsia="es-ES"/>
        </w:rPr>
        <w:t>Domicilio de socios</w:t>
      </w:r>
    </w:p>
    <w:p w14:paraId="667395B6" w14:textId="77777777" w:rsidR="00162B84" w:rsidRPr="00162B84" w:rsidRDefault="00162B84" w:rsidP="00162B84">
      <w:pPr>
        <w:spacing w:after="0" w:line="360" w:lineRule="auto"/>
        <w:ind w:left="720"/>
        <w:contextualSpacing/>
        <w:rPr>
          <w:rFonts w:eastAsia="Calibri" w:cs="Tahoma"/>
          <w:b/>
          <w:bCs/>
          <w:color w:val="auto"/>
          <w:lang w:eastAsia="es-ES"/>
        </w:rPr>
      </w:pPr>
    </w:p>
    <w:p w14:paraId="7B4345C0" w14:textId="77777777" w:rsidR="00162B84" w:rsidRPr="00162B84" w:rsidRDefault="00162B84" w:rsidP="00162B84">
      <w:pPr>
        <w:spacing w:after="0" w:line="360" w:lineRule="auto"/>
        <w:ind w:right="-93"/>
        <w:contextualSpacing/>
        <w:rPr>
          <w:rFonts w:eastAsia="Times New Roman" w:cs="Tahoma"/>
          <w:color w:val="auto"/>
          <w:lang w:val="es-ES" w:eastAsia="es-ES"/>
        </w:rPr>
      </w:pPr>
      <w:r w:rsidRPr="00162B84">
        <w:rPr>
          <w:rFonts w:eastAsia="Times New Roman" w:cs="Tahoma"/>
          <w:color w:val="auto"/>
          <w:lang w:val="es-ES" w:eastAsia="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5ED7C066" w14:textId="77777777" w:rsidR="00162B84" w:rsidRPr="00162B84" w:rsidRDefault="00162B84" w:rsidP="00162B84">
      <w:pPr>
        <w:spacing w:after="0" w:line="360" w:lineRule="auto"/>
        <w:ind w:right="-93"/>
        <w:contextualSpacing/>
        <w:rPr>
          <w:rFonts w:eastAsia="Times New Roman" w:cs="Tahoma"/>
          <w:color w:val="auto"/>
          <w:lang w:val="es-ES" w:eastAsia="es-ES"/>
        </w:rPr>
      </w:pPr>
    </w:p>
    <w:p w14:paraId="15FCE764" w14:textId="77777777" w:rsidR="00162B84" w:rsidRPr="00162B84" w:rsidRDefault="00162B84" w:rsidP="00162B84">
      <w:pPr>
        <w:spacing w:after="0" w:line="360" w:lineRule="auto"/>
        <w:ind w:right="-93"/>
        <w:contextualSpacing/>
        <w:rPr>
          <w:rFonts w:eastAsia="Times New Roman" w:cs="Tahoma"/>
          <w:b/>
          <w:color w:val="auto"/>
          <w:lang w:val="es-ES" w:eastAsia="es-ES"/>
        </w:rPr>
      </w:pPr>
      <w:r w:rsidRPr="00162B84">
        <w:rPr>
          <w:rFonts w:eastAsia="Times New Roman" w:cs="Tahoma"/>
          <w:color w:val="auto"/>
          <w:lang w:val="es-ES" w:eastAsia="es-ES"/>
        </w:rPr>
        <w:t>De la misma manera, lo establece el artículo 29 del Código Civil Federal, al precisar que el domicilio de personas físicas</w:t>
      </w:r>
      <w:r w:rsidRPr="00162B84">
        <w:rPr>
          <w:rFonts w:eastAsia="Times New Roman" w:cs="Tahoma"/>
          <w:b/>
          <w:color w:val="auto"/>
          <w:lang w:val="es-ES" w:eastAsia="es-ES"/>
        </w:rPr>
        <w:t>, es el lugar donde residen habitualmente, el lugar del centro principal de sus negocios, donde residan o el lugar donde se encuentren.</w:t>
      </w:r>
    </w:p>
    <w:p w14:paraId="2245B51B" w14:textId="77777777" w:rsidR="00162B84" w:rsidRPr="00162B84" w:rsidRDefault="00162B84" w:rsidP="00162B84">
      <w:pPr>
        <w:spacing w:after="0" w:line="360" w:lineRule="auto"/>
        <w:contextualSpacing/>
        <w:rPr>
          <w:rFonts w:eastAsia="Calibri" w:cs="Tahoma"/>
          <w:b/>
          <w:bCs/>
          <w:color w:val="auto"/>
          <w:lang w:eastAsia="es-ES"/>
        </w:rPr>
      </w:pPr>
    </w:p>
    <w:p w14:paraId="6741951D" w14:textId="77777777" w:rsidR="00162B84" w:rsidRPr="00162B84" w:rsidRDefault="00162B84" w:rsidP="00162B84">
      <w:pPr>
        <w:spacing w:after="0" w:line="360" w:lineRule="auto"/>
        <w:ind w:right="-93"/>
        <w:contextualSpacing/>
        <w:rPr>
          <w:rFonts w:eastAsia="Times New Roman" w:cs="Tahoma"/>
          <w:color w:val="auto"/>
          <w:lang w:val="es-ES" w:eastAsia="es-ES"/>
        </w:rPr>
      </w:pPr>
      <w:r w:rsidRPr="00162B84">
        <w:rPr>
          <w:rFonts w:eastAsia="Times New Roman" w:cs="Tahoma"/>
          <w:color w:val="auto"/>
          <w:lang w:val="es-ES" w:eastAsia="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5A025E3D" w14:textId="77777777" w:rsidR="00162B84" w:rsidRPr="00162B84" w:rsidRDefault="00162B84" w:rsidP="00162B84">
      <w:pPr>
        <w:spacing w:after="0" w:line="360" w:lineRule="auto"/>
        <w:ind w:right="-93"/>
        <w:contextualSpacing/>
        <w:rPr>
          <w:rFonts w:eastAsia="Times New Roman" w:cs="Tahoma"/>
          <w:color w:val="auto"/>
          <w:lang w:val="es-ES" w:eastAsia="es-ES"/>
        </w:rPr>
      </w:pPr>
    </w:p>
    <w:p w14:paraId="27E628CC" w14:textId="77777777" w:rsidR="00162B84" w:rsidRPr="00162B84" w:rsidRDefault="00162B84" w:rsidP="00162B84">
      <w:pPr>
        <w:spacing w:after="0" w:line="360" w:lineRule="auto"/>
        <w:ind w:right="-93"/>
        <w:contextualSpacing/>
        <w:rPr>
          <w:rFonts w:eastAsia="Times New Roman" w:cs="Tahoma"/>
          <w:color w:val="auto"/>
          <w:lang w:val="es-ES" w:eastAsia="es-ES"/>
        </w:rPr>
      </w:pPr>
      <w:r w:rsidRPr="00162B84">
        <w:rPr>
          <w:rFonts w:eastAsia="Times New Roman" w:cs="Tahoma"/>
          <w:color w:val="auto"/>
          <w:lang w:val="es-ES" w:eastAsia="es-ES"/>
        </w:rPr>
        <w:t>Por lo tanto, se actualiza la clasificación, de conformidad con la fracción I, del artículo 143 de la Ley de Transparencia y Acceso a la Información Pública del Estado de México y Municipios.</w:t>
      </w:r>
    </w:p>
    <w:p w14:paraId="43B7DD65" w14:textId="77777777" w:rsidR="00162B84" w:rsidRPr="00162B84" w:rsidRDefault="00162B84" w:rsidP="00162B84">
      <w:pPr>
        <w:spacing w:after="0" w:line="360" w:lineRule="auto"/>
        <w:contextualSpacing/>
        <w:rPr>
          <w:rFonts w:eastAsia="Calibri" w:cs="Tahoma"/>
          <w:bCs/>
          <w:color w:val="auto"/>
          <w:lang w:eastAsia="es-ES"/>
        </w:rPr>
      </w:pPr>
    </w:p>
    <w:p w14:paraId="7FB549DF" w14:textId="6F9872FA" w:rsidR="00162B84" w:rsidRPr="00162B84" w:rsidRDefault="00162B84" w:rsidP="00162B84">
      <w:pPr>
        <w:numPr>
          <w:ilvl w:val="0"/>
          <w:numId w:val="36"/>
        </w:numPr>
        <w:spacing w:after="0" w:line="360" w:lineRule="auto"/>
        <w:contextualSpacing/>
        <w:jc w:val="left"/>
        <w:rPr>
          <w:rFonts w:eastAsia="Calibri" w:cs="Tahoma"/>
          <w:b/>
          <w:bCs/>
          <w:color w:val="auto"/>
          <w:lang w:eastAsia="es-ES"/>
        </w:rPr>
      </w:pPr>
      <w:r w:rsidRPr="00162B84">
        <w:rPr>
          <w:rFonts w:eastAsia="Calibri" w:cs="Tahoma"/>
          <w:b/>
          <w:bCs/>
          <w:color w:val="auto"/>
          <w:lang w:eastAsia="es-ES"/>
        </w:rPr>
        <w:t>Nacionalidad o lugar de nacimiento de socios</w:t>
      </w:r>
    </w:p>
    <w:p w14:paraId="68DFFC93" w14:textId="77777777" w:rsidR="00162B84" w:rsidRPr="00162B84" w:rsidRDefault="00162B84" w:rsidP="00162B84">
      <w:pPr>
        <w:spacing w:after="0" w:line="360" w:lineRule="auto"/>
        <w:contextualSpacing/>
        <w:rPr>
          <w:rFonts w:eastAsia="Calibri" w:cs="Tahoma"/>
          <w:b/>
          <w:bCs/>
          <w:color w:val="auto"/>
          <w:lang w:eastAsia="es-ES"/>
        </w:rPr>
      </w:pPr>
    </w:p>
    <w:p w14:paraId="73E98A50" w14:textId="77777777" w:rsidR="00162B84" w:rsidRPr="00162B84" w:rsidRDefault="00162B84" w:rsidP="00162B84">
      <w:pPr>
        <w:spacing w:after="0" w:line="360" w:lineRule="auto"/>
        <w:contextualSpacing/>
        <w:rPr>
          <w:rFonts w:eastAsia="Times New Roman" w:cs="Tahoma"/>
          <w:b/>
          <w:color w:val="auto"/>
        </w:rPr>
      </w:pPr>
      <w:r w:rsidRPr="00162B84">
        <w:rPr>
          <w:rFonts w:eastAsia="Calibri" w:cs="Tahoma"/>
          <w:bCs/>
          <w:color w:val="auto"/>
          <w:lang w:eastAsia="es-ES"/>
        </w:rPr>
        <w:t xml:space="preserve">Respecto a dicho dato, cabe precisar que es un atributo de la personalidad que señala al individuo como miembro de un Estado, es decir, es el vínculo legal que relaciona a una persona con un País determinado, por lo que, se trata de un dato confidencial, susceptible a su </w:t>
      </w:r>
      <w:r w:rsidRPr="00162B84">
        <w:rPr>
          <w:rFonts w:eastAsia="Times New Roman" w:cs="Tahoma"/>
          <w:color w:val="auto"/>
        </w:rPr>
        <w:t xml:space="preserve">clasificación en </w:t>
      </w:r>
      <w:r w:rsidRPr="00162B84">
        <w:rPr>
          <w:rFonts w:eastAsia="Times New Roman" w:cs="Tahoma"/>
          <w:color w:val="auto"/>
          <w:lang w:val="x-none"/>
        </w:rPr>
        <w:t>términos del</w:t>
      </w:r>
      <w:r w:rsidRPr="00162B84">
        <w:rPr>
          <w:rFonts w:eastAsia="Times New Roman" w:cs="Tahoma"/>
          <w:color w:val="auto"/>
        </w:rPr>
        <w:t xml:space="preserve"> artículo 143, fracción I, de la Ley de Transparencia y Acceso a la Información Pública del Estado de México y Municipios.</w:t>
      </w:r>
    </w:p>
    <w:p w14:paraId="616C0304" w14:textId="77777777" w:rsidR="00162B84" w:rsidRPr="00162B84" w:rsidRDefault="00162B84" w:rsidP="00162B84">
      <w:pPr>
        <w:spacing w:after="0" w:line="360" w:lineRule="auto"/>
        <w:contextualSpacing/>
        <w:rPr>
          <w:rFonts w:eastAsia="Times New Roman" w:cs="Tahoma"/>
          <w:b/>
          <w:color w:val="auto"/>
        </w:rPr>
      </w:pPr>
    </w:p>
    <w:p w14:paraId="07BC9649" w14:textId="467FCE11" w:rsidR="00162B84" w:rsidRPr="00162B84" w:rsidRDefault="00162B84" w:rsidP="00162B84">
      <w:pPr>
        <w:numPr>
          <w:ilvl w:val="0"/>
          <w:numId w:val="36"/>
        </w:numPr>
        <w:spacing w:after="0" w:line="360" w:lineRule="auto"/>
        <w:contextualSpacing/>
        <w:jc w:val="left"/>
        <w:rPr>
          <w:rFonts w:eastAsia="Calibri" w:cs="Tahoma"/>
          <w:b/>
          <w:bCs/>
          <w:color w:val="auto"/>
          <w:lang w:eastAsia="es-ES"/>
        </w:rPr>
      </w:pPr>
      <w:r w:rsidRPr="00162B84">
        <w:rPr>
          <w:rFonts w:eastAsia="Calibri" w:cs="Tahoma"/>
          <w:b/>
          <w:bCs/>
          <w:color w:val="auto"/>
          <w:lang w:eastAsia="es-ES"/>
        </w:rPr>
        <w:t>Edad de socios</w:t>
      </w:r>
    </w:p>
    <w:p w14:paraId="68DE1C39" w14:textId="77777777" w:rsidR="00162B84" w:rsidRPr="00162B84" w:rsidRDefault="00162B84" w:rsidP="00162B84">
      <w:pPr>
        <w:spacing w:after="0" w:line="360" w:lineRule="auto"/>
        <w:contextualSpacing/>
        <w:rPr>
          <w:rFonts w:eastAsia="Calibri" w:cs="Tahoma"/>
          <w:b/>
          <w:bCs/>
          <w:color w:val="auto"/>
          <w:lang w:eastAsia="es-ES"/>
        </w:rPr>
      </w:pPr>
    </w:p>
    <w:p w14:paraId="2BEDAF45" w14:textId="77777777" w:rsidR="00162B84" w:rsidRPr="00162B84" w:rsidRDefault="00162B84" w:rsidP="00162B84">
      <w:pPr>
        <w:spacing w:after="0" w:line="360" w:lineRule="auto"/>
        <w:contextualSpacing/>
        <w:rPr>
          <w:rFonts w:eastAsia="Calibri" w:cs="Tahoma"/>
          <w:bCs/>
          <w:color w:val="auto"/>
          <w:lang w:eastAsia="es-ES"/>
        </w:rPr>
      </w:pPr>
      <w:r w:rsidRPr="00162B84">
        <w:rPr>
          <w:rFonts w:eastAsia="Calibri" w:cs="Tahoma"/>
          <w:bCs/>
          <w:color w:val="auto"/>
          <w:lang w:eastAsia="es-ES"/>
        </w:rPr>
        <w:t xml:space="preserve">Al respecto, este Instituto advierte que la edad es información referida a la esfera privada de los particulares, dado que la misma da cuenta de los años cumplidos, el nivel de madurez, las características físicas y de raciocinio de una persona, por lo que resulta procedente clasificar dicho dato en términos del artículo 143, fracción I de la Ley de Transparencia y Acceso a la Información Pública del Estado de México y Municipios. </w:t>
      </w:r>
    </w:p>
    <w:p w14:paraId="5869A782" w14:textId="77777777" w:rsidR="00162B84" w:rsidRPr="00162B84" w:rsidRDefault="00162B84" w:rsidP="00162B84">
      <w:pPr>
        <w:spacing w:after="0" w:line="360" w:lineRule="auto"/>
        <w:contextualSpacing/>
        <w:rPr>
          <w:rFonts w:eastAsia="Calibri" w:cs="Tahoma"/>
          <w:b/>
          <w:bCs/>
          <w:color w:val="auto"/>
          <w:lang w:eastAsia="es-ES"/>
        </w:rPr>
      </w:pPr>
    </w:p>
    <w:p w14:paraId="684BFDF7" w14:textId="301135B9" w:rsidR="00162B84" w:rsidRPr="00162B84" w:rsidRDefault="00162B84" w:rsidP="00162B84">
      <w:pPr>
        <w:numPr>
          <w:ilvl w:val="0"/>
          <w:numId w:val="36"/>
        </w:numPr>
        <w:spacing w:after="0" w:line="360" w:lineRule="auto"/>
        <w:contextualSpacing/>
        <w:jc w:val="left"/>
        <w:rPr>
          <w:rFonts w:eastAsia="Calibri" w:cs="Tahoma"/>
          <w:b/>
          <w:bCs/>
          <w:color w:val="auto"/>
          <w:lang w:eastAsia="es-ES"/>
        </w:rPr>
      </w:pPr>
      <w:r w:rsidRPr="00162B84">
        <w:rPr>
          <w:rFonts w:eastAsia="Calibri" w:cs="Tahoma"/>
          <w:b/>
          <w:bCs/>
          <w:color w:val="auto"/>
          <w:lang w:eastAsia="es-ES"/>
        </w:rPr>
        <w:t>Fecha de nacimiento de socios</w:t>
      </w:r>
    </w:p>
    <w:p w14:paraId="27889249" w14:textId="77777777" w:rsidR="00162B84" w:rsidRPr="00162B84" w:rsidRDefault="00162B84" w:rsidP="00162B84">
      <w:pPr>
        <w:spacing w:after="0" w:line="360" w:lineRule="auto"/>
        <w:contextualSpacing/>
        <w:rPr>
          <w:rFonts w:eastAsia="Calibri" w:cs="Tahoma"/>
          <w:bCs/>
          <w:color w:val="auto"/>
          <w:lang w:val="es-ES_tradnl" w:eastAsia="es-ES"/>
        </w:rPr>
      </w:pPr>
      <w:r w:rsidRPr="00162B84">
        <w:rPr>
          <w:rFonts w:eastAsia="Calibri" w:cs="Tahoma"/>
          <w:bCs/>
          <w:color w:val="auto"/>
          <w:lang w:val="es-ES_tradnl" w:eastAsia="es-ES"/>
        </w:rPr>
        <w:t>La fecha de nacimiento es un dato personal, toda vez que consiste en información concerniente a una persona física identificada o identificable, toda vez que revela el día exacto en que nació, así como, la edad de la persona, que tal como se analizó previamente es clasificada, más aún cuando este dato se encuentra vinculado con el nombre de una persona en específico.</w:t>
      </w:r>
    </w:p>
    <w:p w14:paraId="3D60BE41" w14:textId="77777777" w:rsidR="00162B84" w:rsidRPr="00162B84" w:rsidRDefault="00162B84" w:rsidP="00162B84">
      <w:pPr>
        <w:spacing w:after="0" w:line="360" w:lineRule="auto"/>
        <w:contextualSpacing/>
        <w:rPr>
          <w:rFonts w:eastAsia="Calibri" w:cs="Tahoma"/>
          <w:bCs/>
          <w:color w:val="auto"/>
          <w:lang w:val="es-ES_tradnl" w:eastAsia="es-ES"/>
        </w:rPr>
      </w:pPr>
    </w:p>
    <w:p w14:paraId="436FA53F" w14:textId="77777777" w:rsidR="00162B84" w:rsidRPr="00162B84" w:rsidRDefault="00162B84" w:rsidP="00162B84">
      <w:pPr>
        <w:spacing w:after="0" w:line="360" w:lineRule="auto"/>
        <w:contextualSpacing/>
        <w:rPr>
          <w:rFonts w:eastAsia="Calibri" w:cs="Tahoma"/>
          <w:bCs/>
          <w:color w:val="auto"/>
          <w:lang w:val="es-ES_tradnl" w:eastAsia="es-ES"/>
        </w:rPr>
      </w:pPr>
      <w:r w:rsidRPr="00162B84">
        <w:rPr>
          <w:rFonts w:eastAsia="Calibri" w:cs="Tahoma"/>
          <w:bCs/>
          <w:color w:val="auto"/>
          <w:lang w:val="es-ES_tradnl" w:eastAsia="es-ES"/>
        </w:rPr>
        <w:t xml:space="preserve"> Conforme a lo anterior, se colige que se trate de un dato concerniente a la vida privada de la persona, en virtud de que darlo a conocer se afectaría la intimidad de la misma; por lo tanto, es considerado un dato de carácter confidencial, en términos de lo dispuesto en el artículo 143, fracción I de la Ley de Transparencia y Acceso a la Información Pública del Estado de México y Municipios.</w:t>
      </w:r>
    </w:p>
    <w:p w14:paraId="2D232F5D" w14:textId="77777777" w:rsidR="00162B84" w:rsidRPr="00162B84" w:rsidRDefault="00162B84" w:rsidP="00162B84">
      <w:pPr>
        <w:spacing w:after="0" w:line="360" w:lineRule="auto"/>
        <w:contextualSpacing/>
        <w:rPr>
          <w:rFonts w:eastAsia="Calibri" w:cs="Tahoma"/>
          <w:b/>
          <w:bCs/>
          <w:color w:val="auto"/>
          <w:lang w:eastAsia="es-ES"/>
        </w:rPr>
      </w:pPr>
    </w:p>
    <w:p w14:paraId="39DCD595" w14:textId="57A8E720" w:rsidR="00162B84" w:rsidRPr="00162B84" w:rsidRDefault="00162B84" w:rsidP="00162B84">
      <w:pPr>
        <w:numPr>
          <w:ilvl w:val="0"/>
          <w:numId w:val="36"/>
        </w:numPr>
        <w:spacing w:after="0" w:line="360" w:lineRule="auto"/>
        <w:contextualSpacing/>
        <w:jc w:val="left"/>
        <w:rPr>
          <w:rFonts w:eastAsia="Calibri" w:cs="Tahoma"/>
          <w:b/>
          <w:bCs/>
          <w:color w:val="auto"/>
          <w:lang w:eastAsia="es-ES"/>
        </w:rPr>
      </w:pPr>
      <w:r w:rsidRPr="00162B84">
        <w:rPr>
          <w:rFonts w:eastAsia="Calibri" w:cs="Tahoma"/>
          <w:b/>
          <w:bCs/>
          <w:color w:val="auto"/>
          <w:lang w:eastAsia="es-ES"/>
        </w:rPr>
        <w:t>Estado civil de socios</w:t>
      </w:r>
    </w:p>
    <w:p w14:paraId="67FA83F4" w14:textId="77777777" w:rsidR="00162B84" w:rsidRPr="00162B84" w:rsidRDefault="00162B84" w:rsidP="00162B84">
      <w:pPr>
        <w:spacing w:after="0" w:line="360" w:lineRule="auto"/>
        <w:contextualSpacing/>
        <w:rPr>
          <w:rFonts w:eastAsia="Calibri" w:cs="Tahoma"/>
          <w:b/>
          <w:bCs/>
          <w:color w:val="auto"/>
          <w:lang w:eastAsia="es-ES"/>
        </w:rPr>
      </w:pPr>
    </w:p>
    <w:p w14:paraId="10A504C8" w14:textId="77777777" w:rsidR="00162B84" w:rsidRPr="00162B84" w:rsidRDefault="00162B84" w:rsidP="00162B84">
      <w:pPr>
        <w:spacing w:after="0" w:line="360" w:lineRule="auto"/>
        <w:contextualSpacing/>
        <w:rPr>
          <w:rFonts w:eastAsia="Calibri" w:cs="Tahoma"/>
          <w:bCs/>
          <w:color w:val="auto"/>
          <w:lang w:val="es-ES" w:eastAsia="es-ES"/>
        </w:rPr>
      </w:pPr>
      <w:r w:rsidRPr="00162B84">
        <w:rPr>
          <w:rFonts w:eastAsia="Calibri" w:cs="Tahoma"/>
          <w:bCs/>
          <w:color w:val="auto"/>
          <w:lang w:val="es-ES" w:eastAsia="es-ES"/>
        </w:rPr>
        <w:t>El estado civil es un atributo de la personalidad, de acuerdo con el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25B517AB" w14:textId="77777777" w:rsidR="00162B84" w:rsidRPr="00162B84" w:rsidRDefault="00162B84" w:rsidP="00162B84">
      <w:pPr>
        <w:spacing w:after="0" w:line="360" w:lineRule="auto"/>
        <w:contextualSpacing/>
        <w:rPr>
          <w:rFonts w:eastAsia="Calibri" w:cs="Tahoma"/>
          <w:bCs/>
          <w:color w:val="auto"/>
          <w:lang w:val="es-ES" w:eastAsia="es-ES"/>
        </w:rPr>
      </w:pPr>
    </w:p>
    <w:p w14:paraId="2F59B8A3" w14:textId="77777777" w:rsidR="00162B84" w:rsidRPr="00162B84" w:rsidRDefault="00162B84" w:rsidP="00162B84">
      <w:pPr>
        <w:spacing w:after="0" w:line="360" w:lineRule="auto"/>
        <w:contextualSpacing/>
        <w:rPr>
          <w:rFonts w:eastAsia="Calibri" w:cs="Tahoma"/>
          <w:bCs/>
          <w:color w:val="auto"/>
          <w:lang w:val="es-ES" w:eastAsia="es-ES"/>
        </w:rPr>
      </w:pPr>
      <w:r w:rsidRPr="00162B84">
        <w:rPr>
          <w:rFonts w:eastAsia="Calibri" w:cs="Tahoma"/>
          <w:bCs/>
          <w:color w:val="auto"/>
          <w:lang w:val="es-ES" w:eastAsia="es-ES"/>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200D23ED" w14:textId="77777777" w:rsidR="00162B84" w:rsidRPr="00162B84" w:rsidRDefault="00162B84" w:rsidP="00162B84">
      <w:pPr>
        <w:spacing w:after="0" w:line="360" w:lineRule="auto"/>
        <w:contextualSpacing/>
        <w:rPr>
          <w:rFonts w:eastAsia="Calibri" w:cs="Tahoma"/>
          <w:bCs/>
          <w:color w:val="auto"/>
          <w:lang w:val="es-ES" w:eastAsia="es-ES"/>
        </w:rPr>
      </w:pPr>
    </w:p>
    <w:p w14:paraId="3328055A" w14:textId="05B7AE37" w:rsidR="00162B84" w:rsidRPr="00162B84" w:rsidRDefault="00162B84" w:rsidP="00162B84">
      <w:pPr>
        <w:numPr>
          <w:ilvl w:val="0"/>
          <w:numId w:val="36"/>
        </w:numPr>
        <w:spacing w:after="0" w:line="360" w:lineRule="auto"/>
        <w:contextualSpacing/>
        <w:jc w:val="left"/>
        <w:rPr>
          <w:rFonts w:eastAsia="Times New Roman" w:cs="Tahoma"/>
          <w:color w:val="auto"/>
          <w:lang w:eastAsia="es-ES"/>
        </w:rPr>
      </w:pPr>
      <w:r w:rsidRPr="00162B84">
        <w:rPr>
          <w:rFonts w:eastAsia="Times New Roman" w:cs="Tahoma"/>
          <w:b/>
          <w:color w:val="auto"/>
          <w:lang w:eastAsia="es-ES"/>
        </w:rPr>
        <w:t>Teléfono y celular de socios</w:t>
      </w:r>
    </w:p>
    <w:p w14:paraId="216227C3" w14:textId="77777777" w:rsidR="00162B84" w:rsidRPr="00162B84" w:rsidRDefault="00162B84" w:rsidP="00162B84">
      <w:pPr>
        <w:spacing w:after="0" w:line="360" w:lineRule="auto"/>
        <w:contextualSpacing/>
        <w:rPr>
          <w:rFonts w:eastAsia="Times New Roman" w:cs="Tahoma"/>
          <w:color w:val="auto"/>
          <w:lang w:eastAsia="es-ES"/>
        </w:rPr>
      </w:pPr>
    </w:p>
    <w:p w14:paraId="4D9C240E" w14:textId="77777777" w:rsidR="00162B84" w:rsidRPr="00162B84" w:rsidRDefault="00162B84" w:rsidP="00162B84">
      <w:pPr>
        <w:spacing w:after="0" w:line="360" w:lineRule="auto"/>
        <w:contextualSpacing/>
        <w:rPr>
          <w:rFonts w:eastAsia="Times New Roman" w:cs="Tahoma"/>
          <w:color w:val="auto"/>
          <w:lang w:eastAsia="es-ES"/>
        </w:rPr>
      </w:pPr>
      <w:r w:rsidRPr="00162B84">
        <w:rPr>
          <w:rFonts w:eastAsia="Times New Roman" w:cs="Tahoma"/>
          <w:color w:val="auto"/>
          <w:lang w:eastAsia="es-ES"/>
        </w:rPr>
        <w:t>Al igual que el correo electrónico, el número asignado a un teléfono particular o celular permite localizar a una persona física identificada o identificable, ya sea a través de un dispositivo móvil o bien, en un lugar como el domicilio; por lo que, la titularidad del mismo, al igual que el correo electrónico analizado, corresponde a la persona física en su calidad de particular.</w:t>
      </w:r>
    </w:p>
    <w:p w14:paraId="7A1FFA1C" w14:textId="77777777" w:rsidR="00162B84" w:rsidRPr="00162B84" w:rsidRDefault="00162B84" w:rsidP="00162B84">
      <w:pPr>
        <w:spacing w:after="0" w:line="360" w:lineRule="auto"/>
        <w:contextualSpacing/>
        <w:rPr>
          <w:rFonts w:eastAsia="Times New Roman" w:cs="Tahoma"/>
          <w:color w:val="auto"/>
          <w:lang w:eastAsia="es-ES"/>
        </w:rPr>
      </w:pPr>
    </w:p>
    <w:p w14:paraId="37CAF9E3" w14:textId="77777777" w:rsidR="00162B84" w:rsidRPr="00162B84" w:rsidRDefault="00162B84" w:rsidP="00162B84">
      <w:pPr>
        <w:spacing w:after="0" w:line="360" w:lineRule="auto"/>
        <w:contextualSpacing/>
        <w:rPr>
          <w:rFonts w:eastAsia="Times New Roman" w:cs="Tahoma"/>
          <w:color w:val="auto"/>
          <w:lang w:eastAsia="es-ES"/>
        </w:rPr>
      </w:pPr>
      <w:r w:rsidRPr="00162B84">
        <w:rPr>
          <w:rFonts w:eastAsia="Times New Roman" w:cs="Tahoma"/>
          <w:color w:val="auto"/>
          <w:lang w:eastAsia="es-ES"/>
        </w:rPr>
        <w:t>En tales consideraciones, dicho dato personal es susceptible de ser clasificado como confidencial, con fundamento en el artículo 143, fracción I de la Ley de Transparencia y Acceso a la Información Pública.</w:t>
      </w:r>
    </w:p>
    <w:p w14:paraId="00E13ABB" w14:textId="77777777" w:rsidR="00162B84" w:rsidRPr="00162B84" w:rsidRDefault="00162B84" w:rsidP="00162B84">
      <w:pPr>
        <w:spacing w:after="0" w:line="360" w:lineRule="auto"/>
        <w:contextualSpacing/>
        <w:rPr>
          <w:rFonts w:eastAsia="Times New Roman" w:cs="Arial"/>
          <w:color w:val="auto"/>
          <w:lang w:eastAsia="es-ES"/>
        </w:rPr>
      </w:pPr>
    </w:p>
    <w:p w14:paraId="5B96D36D" w14:textId="11DFF439" w:rsidR="00162B84" w:rsidRPr="00162B84" w:rsidRDefault="00162B84" w:rsidP="00162B84">
      <w:pPr>
        <w:spacing w:after="0" w:line="360" w:lineRule="auto"/>
        <w:contextualSpacing/>
        <w:rPr>
          <w:rFonts w:eastAsia="Times New Roman" w:cs="Arial"/>
          <w:color w:val="auto"/>
          <w:lang w:val="x-none" w:eastAsia="es-ES"/>
        </w:rPr>
      </w:pPr>
      <w:r w:rsidRPr="00162B84">
        <w:rPr>
          <w:rFonts w:eastAsia="Times New Roman" w:cs="Arial"/>
          <w:color w:val="auto"/>
          <w:lang w:eastAsia="es-ES"/>
        </w:rPr>
        <w:t>Conforme a lo anterior, se logra vislumbrar que los datos de contacto, ubicación</w:t>
      </w:r>
      <w:r w:rsidRPr="00162B84">
        <w:rPr>
          <w:rFonts w:eastAsia="Times New Roman" w:cs="Arial"/>
          <w:color w:val="auto"/>
          <w:lang w:val="x-none" w:eastAsia="es-ES"/>
        </w:rPr>
        <w:t xml:space="preserve"> e identificación de los socios, son confidenciales, en términos del artículo referido en el párrafo anterior; finalmente, por lo que hace al nombre de los socios, es necesario referir lo siguiente:</w:t>
      </w:r>
    </w:p>
    <w:p w14:paraId="4439DEFB" w14:textId="77777777" w:rsidR="00162B84" w:rsidRPr="00162B84" w:rsidRDefault="00162B84" w:rsidP="00162B84">
      <w:pPr>
        <w:spacing w:after="0" w:line="360" w:lineRule="auto"/>
        <w:contextualSpacing/>
        <w:rPr>
          <w:rFonts w:eastAsia="Times New Roman" w:cs="Arial"/>
          <w:color w:val="auto"/>
          <w:lang w:eastAsia="es-ES"/>
        </w:rPr>
      </w:pPr>
    </w:p>
    <w:p w14:paraId="7B2C1514" w14:textId="4FA836A5" w:rsidR="00162B84" w:rsidRPr="00162B84" w:rsidRDefault="00162B84" w:rsidP="00162B84">
      <w:pPr>
        <w:numPr>
          <w:ilvl w:val="0"/>
          <w:numId w:val="36"/>
        </w:numPr>
        <w:spacing w:after="0" w:line="360" w:lineRule="auto"/>
        <w:contextualSpacing/>
        <w:jc w:val="left"/>
        <w:rPr>
          <w:rFonts w:eastAsia="Times New Roman" w:cs="Arial"/>
          <w:color w:val="auto"/>
          <w:lang w:eastAsia="es-ES"/>
        </w:rPr>
      </w:pPr>
      <w:r w:rsidRPr="00162B84">
        <w:rPr>
          <w:rFonts w:eastAsia="Calibri" w:cs="Tahoma"/>
          <w:b/>
          <w:bCs/>
          <w:color w:val="auto"/>
          <w:lang w:eastAsia="es-ES"/>
        </w:rPr>
        <w:t>Nombre de los socios</w:t>
      </w:r>
    </w:p>
    <w:p w14:paraId="65318E8F" w14:textId="77777777" w:rsidR="00162B84" w:rsidRPr="00162B84" w:rsidRDefault="00162B84" w:rsidP="00162B84">
      <w:pPr>
        <w:spacing w:after="0" w:line="360" w:lineRule="auto"/>
        <w:contextualSpacing/>
        <w:rPr>
          <w:rFonts w:eastAsia="Times New Roman" w:cs="Arial"/>
          <w:color w:val="auto"/>
          <w:lang w:eastAsia="es-ES"/>
        </w:rPr>
      </w:pPr>
    </w:p>
    <w:p w14:paraId="3936EC2D" w14:textId="77777777" w:rsidR="00162B84" w:rsidRPr="00162B84" w:rsidRDefault="00162B84" w:rsidP="00162B84">
      <w:pPr>
        <w:spacing w:after="0" w:line="360" w:lineRule="auto"/>
        <w:contextualSpacing/>
        <w:rPr>
          <w:rFonts w:eastAsia="Calibri" w:cs="Tahoma"/>
          <w:b/>
          <w:bCs/>
          <w:color w:val="auto"/>
          <w:lang w:val="es-ES_tradnl" w:eastAsia="es-ES"/>
        </w:rPr>
      </w:pPr>
      <w:r w:rsidRPr="00162B84">
        <w:rPr>
          <w:rFonts w:eastAsia="Calibri" w:cs="Tahoma"/>
          <w:bCs/>
          <w:color w:val="auto"/>
          <w:lang w:eastAsia="es-ES"/>
        </w:rPr>
        <w:t xml:space="preserve">El nombre se integra </w:t>
      </w:r>
      <w:r w:rsidRPr="00162B84">
        <w:rPr>
          <w:rFonts w:eastAsia="Calibri" w:cs="Tahoma"/>
          <w:bCs/>
          <w:color w:val="auto"/>
          <w:lang w:val="es-ES_tradnl" w:eastAsia="es-ES"/>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162B84">
        <w:rPr>
          <w:rFonts w:eastAsia="Calibri" w:cs="Tahoma"/>
          <w:bCs/>
          <w:i/>
          <w:color w:val="auto"/>
          <w:lang w:val="es-ES_tradnl" w:eastAsia="es-ES"/>
        </w:rPr>
        <w:t>per se</w:t>
      </w:r>
      <w:r w:rsidRPr="00162B84">
        <w:rPr>
          <w:rFonts w:eastAsia="Calibri" w:cs="Tahoma"/>
          <w:bCs/>
          <w:color w:val="auto"/>
          <w:lang w:val="es-ES_tradnl" w:eastAsia="es-ES"/>
        </w:rPr>
        <w:t xml:space="preserve"> es un elemento que hace a una persona física identificada o identificable, por lo que, </w:t>
      </w:r>
      <w:r w:rsidRPr="00162B84">
        <w:rPr>
          <w:rFonts w:eastAsia="Calibri" w:cs="Tahoma"/>
          <w:b/>
          <w:bCs/>
          <w:color w:val="auto"/>
          <w:lang w:val="es-ES_tradnl" w:eastAsia="es-ES"/>
        </w:rPr>
        <w:t>se considera un dato personal.</w:t>
      </w:r>
    </w:p>
    <w:p w14:paraId="0B0F473A" w14:textId="77777777" w:rsidR="00162B84" w:rsidRPr="00162B84" w:rsidRDefault="00162B84" w:rsidP="00162B84">
      <w:pPr>
        <w:spacing w:after="0" w:line="360" w:lineRule="auto"/>
        <w:contextualSpacing/>
        <w:rPr>
          <w:rFonts w:eastAsia="Times New Roman" w:cs="Arial"/>
          <w:color w:val="auto"/>
          <w:lang w:eastAsia="es-ES"/>
        </w:rPr>
      </w:pPr>
    </w:p>
    <w:p w14:paraId="642C3D7B" w14:textId="77777777" w:rsidR="00162B84" w:rsidRPr="00162B84" w:rsidRDefault="00162B84" w:rsidP="00162B84">
      <w:pPr>
        <w:spacing w:after="0" w:line="360" w:lineRule="auto"/>
        <w:contextualSpacing/>
        <w:rPr>
          <w:rFonts w:eastAsia="Times New Roman" w:cs="Arial"/>
          <w:color w:val="auto"/>
          <w:lang w:val="x-none" w:eastAsia="es-ES"/>
        </w:rPr>
      </w:pPr>
      <w:r w:rsidRPr="00162B84">
        <w:rPr>
          <w:rFonts w:eastAsia="Times New Roman" w:cs="Arial"/>
          <w:color w:val="auto"/>
          <w:lang w:eastAsia="es-ES"/>
        </w:rPr>
        <w:t>Sin embargo, en el presente caso, se trata de aquellas personas que decidieron crear una organización</w:t>
      </w:r>
      <w:r w:rsidRPr="00162B84">
        <w:rPr>
          <w:rFonts w:eastAsia="Times New Roman" w:cs="Arial"/>
          <w:color w:val="auto"/>
          <w:lang w:val="x-none" w:eastAsia="es-ES"/>
        </w:rPr>
        <w:t>, con un objetivo común, por lo que, tienen derechos y obligaciones de la empresa; por lo que, este Instituto considera que dichos datos son de naturaleza públicas, pues a través de la relevación de su nombre, se logra observar que la empresa está debidamente integrada y no se trata de una organización fantasma.</w:t>
      </w:r>
    </w:p>
    <w:p w14:paraId="103F877B" w14:textId="77777777" w:rsidR="00162B84" w:rsidRPr="00162B84" w:rsidRDefault="00162B84" w:rsidP="00162B84">
      <w:pPr>
        <w:spacing w:after="0" w:line="360" w:lineRule="auto"/>
        <w:contextualSpacing/>
        <w:rPr>
          <w:rFonts w:eastAsia="Times New Roman" w:cs="Arial"/>
          <w:color w:val="auto"/>
          <w:lang w:eastAsia="es-ES"/>
        </w:rPr>
      </w:pPr>
    </w:p>
    <w:p w14:paraId="703D2D75" w14:textId="77777777" w:rsidR="00162B84" w:rsidRPr="00162B84" w:rsidRDefault="00162B84" w:rsidP="00162B84">
      <w:pPr>
        <w:spacing w:after="0" w:line="360" w:lineRule="auto"/>
        <w:contextualSpacing/>
        <w:rPr>
          <w:rFonts w:eastAsia="Times New Roman" w:cs="Arial"/>
          <w:color w:val="auto"/>
          <w:lang w:val="x-none" w:eastAsia="es-ES"/>
        </w:rPr>
      </w:pPr>
      <w:r w:rsidRPr="00162B84">
        <w:rPr>
          <w:rFonts w:eastAsia="Times New Roman" w:cs="Arial"/>
          <w:color w:val="auto"/>
          <w:lang w:eastAsia="es-ES"/>
        </w:rPr>
        <w:t>Adem</w:t>
      </w:r>
      <w:r w:rsidRPr="00162B84">
        <w:rPr>
          <w:rFonts w:eastAsia="Times New Roman" w:cs="Arial"/>
          <w:color w:val="auto"/>
          <w:lang w:val="x-none" w:eastAsia="es-ES"/>
        </w:rPr>
        <w:t>ás, que permite identificar quienes son los dueños de la empresa y, por lo tanto, que reciben los recursos públicos entregados por el Sujeto Obligado, de ahí que exista un interés público de dar a conocer el nombre de estos; pues aparte de todo, permite conocer que personas, son las que toman las decisiones, dentro de la empresa, tal como es participar en un procedimiento de adquisición, arrendamiento, contratación de servicios o realización de obra, dentro de una institución pública.</w:t>
      </w:r>
    </w:p>
    <w:p w14:paraId="7605CF0C" w14:textId="77777777" w:rsidR="00162B84" w:rsidRPr="00162B84" w:rsidRDefault="00162B84" w:rsidP="00162B84">
      <w:pPr>
        <w:spacing w:after="0" w:line="360" w:lineRule="auto"/>
        <w:contextualSpacing/>
        <w:rPr>
          <w:rFonts w:eastAsia="Times New Roman" w:cs="Arial"/>
          <w:color w:val="auto"/>
          <w:lang w:eastAsia="es-ES"/>
        </w:rPr>
      </w:pPr>
    </w:p>
    <w:p w14:paraId="57E4EEC7" w14:textId="629DEB10" w:rsidR="00162B84" w:rsidRDefault="00162B84" w:rsidP="00162B84">
      <w:pPr>
        <w:spacing w:after="0" w:line="360" w:lineRule="auto"/>
        <w:contextualSpacing/>
        <w:rPr>
          <w:rFonts w:eastAsia="Times New Roman" w:cs="Arial"/>
          <w:color w:val="auto"/>
          <w:lang w:val="x-none" w:eastAsia="es-ES"/>
        </w:rPr>
      </w:pPr>
      <w:r w:rsidRPr="00162B84">
        <w:rPr>
          <w:rFonts w:eastAsia="Times New Roman" w:cs="Arial"/>
          <w:color w:val="auto"/>
          <w:lang w:eastAsia="es-ES"/>
        </w:rPr>
        <w:t>Por tal circunstancia, se considera que el nombre de los socios que conformaron una empresa y que es proveedor del Sujeto Obl</w:t>
      </w:r>
      <w:r w:rsidR="00A87680">
        <w:rPr>
          <w:rFonts w:eastAsia="Times New Roman" w:cs="Arial"/>
          <w:color w:val="auto"/>
          <w:lang w:eastAsia="es-ES"/>
        </w:rPr>
        <w:t>igado, guarda la naturaleza de</w:t>
      </w:r>
      <w:bookmarkStart w:id="31" w:name="_GoBack"/>
      <w:bookmarkEnd w:id="31"/>
      <w:r w:rsidR="00A87680">
        <w:rPr>
          <w:rFonts w:eastAsia="Times New Roman" w:cs="Arial"/>
          <w:color w:val="auto"/>
          <w:lang w:eastAsia="es-ES"/>
        </w:rPr>
        <w:t xml:space="preserve"> </w:t>
      </w:r>
      <w:r w:rsidR="00A87680" w:rsidRPr="00162B84">
        <w:rPr>
          <w:rFonts w:eastAsia="Times New Roman" w:cs="Arial"/>
          <w:color w:val="auto"/>
          <w:lang w:val="x-none" w:eastAsia="es-ES"/>
        </w:rPr>
        <w:t>pública</w:t>
      </w:r>
      <w:r w:rsidRPr="00162B84">
        <w:rPr>
          <w:rFonts w:eastAsia="Times New Roman" w:cs="Arial"/>
          <w:color w:val="auto"/>
          <w:lang w:val="x-none" w:eastAsia="es-ES"/>
        </w:rPr>
        <w:t xml:space="preserve"> y, por lo tanto, no procede su clasificación, en términos del artículo 143, fracción I, de la Ley de Transparencia y Acceso a la Información Pública del Estado de México y Municipios.</w:t>
      </w:r>
    </w:p>
    <w:p w14:paraId="77980BE6" w14:textId="77777777" w:rsidR="00162B84" w:rsidRDefault="00162B84" w:rsidP="00162B84">
      <w:pPr>
        <w:spacing w:after="0" w:line="360" w:lineRule="auto"/>
        <w:contextualSpacing/>
        <w:rPr>
          <w:rFonts w:eastAsia="Times New Roman" w:cs="Arial"/>
          <w:color w:val="auto"/>
          <w:lang w:val="x-none" w:eastAsia="es-ES"/>
        </w:rPr>
      </w:pPr>
    </w:p>
    <w:p w14:paraId="67324AC7" w14:textId="350EB8B1" w:rsidR="00162B84" w:rsidRPr="00162B84" w:rsidRDefault="00162B84" w:rsidP="00162B84">
      <w:pPr>
        <w:numPr>
          <w:ilvl w:val="0"/>
          <w:numId w:val="39"/>
        </w:numPr>
        <w:spacing w:after="0" w:line="360" w:lineRule="auto"/>
        <w:contextualSpacing/>
        <w:jc w:val="left"/>
        <w:rPr>
          <w:rFonts w:eastAsia="Times New Roman" w:cs="Tahoma"/>
          <w:b/>
          <w:iCs/>
          <w:color w:val="auto"/>
          <w:szCs w:val="24"/>
          <w:lang w:val="es-ES" w:eastAsia="es-ES"/>
        </w:rPr>
      </w:pPr>
      <w:r w:rsidRPr="00162B84">
        <w:rPr>
          <w:rFonts w:eastAsia="Calibri" w:cs="Times New Roman"/>
          <w:b/>
          <w:bCs/>
          <w:color w:val="000000"/>
          <w:szCs w:val="24"/>
          <w:lang w:eastAsia="es-ES"/>
        </w:rPr>
        <w:t>Registro Federal de Contribuyentes de proveedor</w:t>
      </w:r>
      <w:r>
        <w:rPr>
          <w:rFonts w:eastAsia="Calibri" w:cs="Times New Roman"/>
          <w:b/>
          <w:bCs/>
          <w:color w:val="000000"/>
          <w:szCs w:val="24"/>
          <w:lang w:eastAsia="es-ES"/>
        </w:rPr>
        <w:t>es o contratistas</w:t>
      </w:r>
    </w:p>
    <w:p w14:paraId="0F6BAD3B" w14:textId="77777777" w:rsidR="00162B84" w:rsidRPr="00162B84" w:rsidRDefault="00162B84" w:rsidP="00162B84">
      <w:pPr>
        <w:spacing w:after="0" w:line="360" w:lineRule="auto"/>
        <w:jc w:val="left"/>
        <w:rPr>
          <w:rFonts w:eastAsia="Calibri" w:cs="Tahoma"/>
          <w:b/>
          <w:bCs/>
          <w:iCs/>
          <w:color w:val="auto"/>
          <w:lang w:val="es-ES" w:eastAsia="en-US"/>
        </w:rPr>
      </w:pPr>
    </w:p>
    <w:p w14:paraId="30E16A5B" w14:textId="77777777" w:rsidR="00162B84" w:rsidRPr="00162B84" w:rsidRDefault="00162B84" w:rsidP="00162B84">
      <w:pPr>
        <w:spacing w:after="0" w:line="360" w:lineRule="auto"/>
        <w:jc w:val="left"/>
        <w:rPr>
          <w:rFonts w:eastAsia="Calibri" w:cs="Tahoma"/>
          <w:b/>
          <w:bCs/>
          <w:color w:val="auto"/>
          <w:lang w:val="es-ES_tradnl" w:eastAsia="en-US"/>
        </w:rPr>
      </w:pPr>
      <w:r w:rsidRPr="00162B84">
        <w:rPr>
          <w:rFonts w:eastAsia="Calibri" w:cs="Tahoma"/>
          <w:b/>
          <w:bCs/>
          <w:color w:val="auto"/>
          <w:lang w:val="es-ES_tradnl" w:eastAsia="en-US"/>
        </w:rPr>
        <w:t>Persona física:</w:t>
      </w:r>
    </w:p>
    <w:p w14:paraId="52B9E832" w14:textId="77777777" w:rsidR="00162B84" w:rsidRPr="00162B84" w:rsidRDefault="00162B84" w:rsidP="00162B84">
      <w:pPr>
        <w:spacing w:after="0" w:line="360" w:lineRule="auto"/>
        <w:jc w:val="left"/>
        <w:rPr>
          <w:rFonts w:eastAsia="Calibri" w:cs="Tahoma"/>
          <w:b/>
          <w:bCs/>
          <w:color w:val="auto"/>
          <w:lang w:val="es-ES_tradnl" w:eastAsia="en-US"/>
        </w:rPr>
      </w:pPr>
    </w:p>
    <w:p w14:paraId="410D966A" w14:textId="77777777" w:rsidR="00162B84" w:rsidRPr="00162B84" w:rsidRDefault="00162B84" w:rsidP="00162B84">
      <w:pPr>
        <w:spacing w:after="0" w:line="360" w:lineRule="auto"/>
        <w:rPr>
          <w:rFonts w:eastAsia="Calibri" w:cs="Tahoma"/>
          <w:bCs/>
          <w:color w:val="auto"/>
          <w:lang w:eastAsia="en-US"/>
        </w:rPr>
      </w:pPr>
      <w:r w:rsidRPr="00162B84">
        <w:rPr>
          <w:rFonts w:eastAsia="Times New Roman" w:cs="Tahoma"/>
          <w:color w:val="auto"/>
        </w:rPr>
        <w:t>Al respecto, es necesario precisar que</w:t>
      </w:r>
      <w:r w:rsidRPr="00162B84">
        <w:rPr>
          <w:rFonts w:eastAsia="Calibri" w:cs="Tahoma"/>
          <w:bCs/>
          <w:color w:val="auto"/>
          <w:lang w:val="es-ES_tradnl" w:eastAsia="en-US"/>
        </w:rPr>
        <w:t xml:space="preserve"> </w:t>
      </w:r>
      <w:r w:rsidRPr="00162B84">
        <w:rPr>
          <w:rFonts w:eastAsia="Calibri" w:cs="Tahoma"/>
          <w:bCs/>
          <w:color w:val="auto"/>
          <w:lang w:eastAsia="en-US"/>
        </w:rPr>
        <w:t xml:space="preserve">el proveedor de cualquier Sujeto Obligado de la Ley de la materia, que sea una persona física, debe cumplir con los requisitos establecidos en los artículos 29 y 32 del Reglamento de la Ley de Contratación Pública del Estado de México y Municipios; es decir, para que los individuos puedan participar en actos de adquisición o de contratación de servicios que requieran las dependencias, organismos auxiliares y tribunales administrativos, así como los Gobiernos Municipales, deberán presentar, entre otras cosas, </w:t>
      </w:r>
      <w:r w:rsidRPr="00162B84">
        <w:rPr>
          <w:rFonts w:eastAsia="Calibri" w:cs="Tahoma"/>
          <w:b/>
          <w:bCs/>
          <w:color w:val="auto"/>
          <w:lang w:eastAsia="en-US"/>
        </w:rPr>
        <w:t>la cédula de identificación fiscal (Registro Federal de Contribuyentes);</w:t>
      </w:r>
      <w:r w:rsidRPr="00162B84">
        <w:rPr>
          <w:rFonts w:eastAsia="Calibri" w:cs="Tahoma"/>
          <w:bCs/>
          <w:color w:val="auto"/>
          <w:lang w:eastAsia="en-US"/>
        </w:rPr>
        <w:t xml:space="preserve"> por lo que la entrega de dicho dato permite verificar cumplimiento de esta disposición legal.</w:t>
      </w:r>
    </w:p>
    <w:p w14:paraId="41502897" w14:textId="77777777" w:rsidR="00162B84" w:rsidRPr="00162B84" w:rsidRDefault="00162B84" w:rsidP="00162B84">
      <w:pPr>
        <w:spacing w:after="0" w:line="360" w:lineRule="auto"/>
        <w:ind w:right="-93"/>
        <w:rPr>
          <w:rFonts w:eastAsia="Calibri" w:cs="Tahoma"/>
          <w:bCs/>
          <w:color w:val="auto"/>
          <w:lang w:eastAsia="en-US"/>
        </w:rPr>
      </w:pPr>
    </w:p>
    <w:p w14:paraId="3B31F8A8" w14:textId="77777777" w:rsidR="00162B84" w:rsidRPr="00162B84" w:rsidRDefault="00162B84" w:rsidP="00162B84">
      <w:pPr>
        <w:spacing w:after="0" w:line="360" w:lineRule="auto"/>
        <w:ind w:right="-93"/>
        <w:rPr>
          <w:rFonts w:eastAsia="Calibri" w:cs="Tahoma"/>
          <w:b/>
          <w:bCs/>
          <w:color w:val="auto"/>
          <w:lang w:eastAsia="en-US"/>
        </w:rPr>
      </w:pPr>
      <w:r w:rsidRPr="00162B84">
        <w:rPr>
          <w:rFonts w:eastAsia="Calibri" w:cs="Tahoma"/>
          <w:bCs/>
          <w:color w:val="auto"/>
          <w:lang w:eastAsia="en-US"/>
        </w:rPr>
        <w:t xml:space="preserve">Por lo tanto, </w:t>
      </w:r>
      <w:r w:rsidRPr="00162B84">
        <w:rPr>
          <w:rFonts w:eastAsia="Calibri" w:cs="Tahoma"/>
          <w:b/>
          <w:bCs/>
          <w:color w:val="auto"/>
          <w:lang w:eastAsia="en-US"/>
        </w:rPr>
        <w:t>en el presente caso, si bien el Registro Federal de Contribuyentes de personas físicas es un dato personal, también lo es, que corresponde a un requisito indispensable para ser proveedor y poder llevar a cabo actividades comerciales con la Entidad</w:t>
      </w:r>
      <w:r w:rsidRPr="00162B84">
        <w:rPr>
          <w:rFonts w:eastAsia="Calibri" w:cs="Tahoma"/>
          <w:bCs/>
          <w:color w:val="auto"/>
          <w:lang w:eastAsia="en-US"/>
        </w:rPr>
        <w:t xml:space="preserve">, ya que, sin este, no se pueden realizar dichas acciones, </w:t>
      </w:r>
      <w:r w:rsidRPr="00162B84">
        <w:rPr>
          <w:rFonts w:eastAsia="Calibri" w:cs="Tahoma"/>
          <w:b/>
          <w:bCs/>
          <w:color w:val="auto"/>
          <w:lang w:eastAsia="en-US"/>
        </w:rPr>
        <w:t>por lo que su entrega es un elemento adicional que respalda la legalidad de los procesos adquisitivos.</w:t>
      </w:r>
    </w:p>
    <w:p w14:paraId="071D09AB" w14:textId="77777777" w:rsidR="00162B84" w:rsidRPr="00162B84" w:rsidRDefault="00162B84" w:rsidP="00162B84">
      <w:pPr>
        <w:spacing w:after="0" w:line="360" w:lineRule="auto"/>
        <w:ind w:right="-93"/>
        <w:rPr>
          <w:rFonts w:eastAsia="Calibri" w:cs="Tahoma"/>
          <w:b/>
          <w:bCs/>
          <w:color w:val="auto"/>
          <w:lang w:eastAsia="en-US"/>
        </w:rPr>
      </w:pPr>
    </w:p>
    <w:p w14:paraId="0008A749" w14:textId="77777777" w:rsidR="00162B84" w:rsidRPr="00162B84" w:rsidRDefault="00162B84" w:rsidP="00162B84">
      <w:pPr>
        <w:spacing w:after="0" w:line="360" w:lineRule="auto"/>
        <w:ind w:right="-93"/>
        <w:rPr>
          <w:rFonts w:eastAsia="Calibri" w:cs="Tahoma"/>
          <w:bCs/>
          <w:color w:val="auto"/>
          <w:lang w:eastAsia="en-US"/>
        </w:rPr>
      </w:pPr>
      <w:r w:rsidRPr="00162B84">
        <w:rPr>
          <w:rFonts w:eastAsia="Calibri" w:cs="Tahoma"/>
          <w:bCs/>
          <w:color w:val="auto"/>
          <w:lang w:eastAsia="en-US"/>
        </w:rPr>
        <w:t xml:space="preserve">En ese contexto, entregar el Registro Federal de Contribuyentes aún de personas físicas cuando son proveedores de instituciones públicas, </w:t>
      </w:r>
      <w:r w:rsidRPr="00162B84">
        <w:rPr>
          <w:rFonts w:eastAsia="Calibri" w:cs="Tahoma"/>
          <w:b/>
          <w:bCs/>
          <w:color w:val="auto"/>
          <w:lang w:eastAsia="en-US"/>
        </w:rPr>
        <w:t>propiciaría la rendición de cuentas</w:t>
      </w:r>
      <w:r w:rsidRPr="00162B84">
        <w:rPr>
          <w:rFonts w:eastAsia="Calibri" w:cs="Tahoma"/>
          <w:bCs/>
          <w:color w:val="auto"/>
          <w:lang w:eastAsia="en-US"/>
        </w:rPr>
        <w:t>, al permitir verificar que se cumplió con uno de los requisitos necesarios conforme a la normatividad aplicable en materia de contrataciones, lo cual, transparenta el correcto ejercicio de recursos públicos por parte de los sujetos obligados, lo que es acorde con el principio de máxima publicidad.</w:t>
      </w:r>
    </w:p>
    <w:p w14:paraId="67065DE7" w14:textId="77777777" w:rsidR="00162B84" w:rsidRPr="00162B84" w:rsidRDefault="00162B84" w:rsidP="00162B84">
      <w:pPr>
        <w:spacing w:after="0" w:line="360" w:lineRule="auto"/>
        <w:ind w:right="-93"/>
        <w:rPr>
          <w:rFonts w:eastAsia="Calibri" w:cs="Tahoma"/>
          <w:bCs/>
          <w:color w:val="auto"/>
          <w:lang w:eastAsia="en-US"/>
        </w:rPr>
      </w:pPr>
    </w:p>
    <w:p w14:paraId="7A4D6492" w14:textId="77777777" w:rsidR="00162B84" w:rsidRPr="00162B84" w:rsidRDefault="00162B84" w:rsidP="00162B84">
      <w:pPr>
        <w:spacing w:after="0" w:line="360" w:lineRule="auto"/>
        <w:rPr>
          <w:rFonts w:eastAsia="Calibri" w:cs="Tahoma"/>
          <w:bCs/>
          <w:color w:val="auto"/>
        </w:rPr>
      </w:pPr>
      <w:r w:rsidRPr="00162B84">
        <w:rPr>
          <w:rFonts w:eastAsia="Calibri" w:cs="Tahoma"/>
          <w:bCs/>
          <w:color w:val="auto"/>
          <w:lang w:eastAsia="en-US"/>
        </w:rPr>
        <w:t xml:space="preserve">Lo anterior, se robustece con </w:t>
      </w:r>
      <w:r w:rsidRPr="00162B84">
        <w:rPr>
          <w:rFonts w:eastAsia="Calibri" w:cs="Tahoma"/>
          <w:bCs/>
          <w:color w:val="auto"/>
        </w:rPr>
        <w:t xml:space="preserve">el </w:t>
      </w:r>
      <w:r w:rsidRPr="00162B84">
        <w:rPr>
          <w:rFonts w:eastAsia="Calibri" w:cs="Tahoma"/>
          <w:bCs/>
          <w:color w:val="auto"/>
          <w:lang w:val="es-ES" w:eastAsia="en-US"/>
        </w:rPr>
        <w:t xml:space="preserve">Criterio de Interpretación, de la Segunda Época, con número de registro </w:t>
      </w:r>
      <w:r w:rsidRPr="00162B84">
        <w:rPr>
          <w:rFonts w:eastAsia="Calibri" w:cs="Tahoma"/>
          <w:bCs/>
          <w:color w:val="auto"/>
          <w:lang w:eastAsia="en-US"/>
        </w:rPr>
        <w:t>SO/004/2021</w:t>
      </w:r>
      <w:r w:rsidRPr="00162B84">
        <w:rPr>
          <w:rFonts w:eastAsia="Calibri" w:cs="Tahoma"/>
          <w:bCs/>
          <w:color w:val="auto"/>
        </w:rPr>
        <w:t>, emitido por el Instituto Nacional de Transparencia, Acceso a la Información y Protección de Datos Personales, en el cual se señala lo siguiente:</w:t>
      </w:r>
    </w:p>
    <w:p w14:paraId="061833F9" w14:textId="77777777" w:rsidR="00162B84" w:rsidRPr="00162B84" w:rsidRDefault="00162B84" w:rsidP="00162B84">
      <w:pPr>
        <w:spacing w:after="0" w:line="360" w:lineRule="auto"/>
        <w:rPr>
          <w:rFonts w:eastAsia="Calibri" w:cs="Tahoma"/>
          <w:bCs/>
          <w:color w:val="auto"/>
        </w:rPr>
      </w:pPr>
    </w:p>
    <w:p w14:paraId="698E7F8B" w14:textId="77777777" w:rsidR="00162B84" w:rsidRPr="00162B84" w:rsidRDefault="00162B84" w:rsidP="00162B84">
      <w:pPr>
        <w:spacing w:after="0" w:line="360" w:lineRule="auto"/>
        <w:ind w:left="567" w:right="567"/>
        <w:rPr>
          <w:rFonts w:eastAsia="Times New Roman" w:cs="Tahoma"/>
          <w:bCs/>
          <w:i/>
          <w:color w:val="auto"/>
          <w:sz w:val="20"/>
          <w:szCs w:val="20"/>
          <w:lang w:eastAsia="es-ES"/>
        </w:rPr>
      </w:pPr>
      <w:r w:rsidRPr="00162B84">
        <w:rPr>
          <w:rFonts w:eastAsia="Times New Roman" w:cs="Tahoma"/>
          <w:b/>
          <w:i/>
          <w:color w:val="auto"/>
          <w:sz w:val="20"/>
          <w:szCs w:val="20"/>
          <w:lang w:eastAsia="es-ES"/>
        </w:rPr>
        <w:t xml:space="preserve">“Registro Federal de Contribuyentes (RFC) de personas físicas proveedores o contratistas. </w:t>
      </w:r>
      <w:r w:rsidRPr="00162B84">
        <w:rPr>
          <w:rFonts w:eastAsia="Times New Roman" w:cs="Tahoma"/>
          <w:bCs/>
          <w:i/>
          <w:color w:val="auto"/>
          <w:sz w:val="20"/>
          <w:szCs w:val="20"/>
          <w:lang w:eastAsia="es-ES"/>
        </w:rPr>
        <w:t>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1ABFD828" w14:textId="77777777" w:rsidR="00162B84" w:rsidRPr="00162B84" w:rsidRDefault="00162B84" w:rsidP="00162B84">
      <w:pPr>
        <w:spacing w:after="0" w:line="360" w:lineRule="auto"/>
        <w:ind w:right="-93"/>
        <w:rPr>
          <w:rFonts w:eastAsia="Calibri" w:cs="Tahoma"/>
          <w:bCs/>
          <w:color w:val="auto"/>
          <w:lang w:eastAsia="en-US"/>
        </w:rPr>
      </w:pPr>
    </w:p>
    <w:p w14:paraId="4CD43625" w14:textId="77777777" w:rsidR="00162B84" w:rsidRPr="00162B84" w:rsidRDefault="00162B84" w:rsidP="00162B84">
      <w:pPr>
        <w:spacing w:after="0" w:line="360" w:lineRule="auto"/>
        <w:rPr>
          <w:rFonts w:eastAsia="Times New Roman" w:cs="Times New Roman"/>
          <w:b/>
          <w:color w:val="auto"/>
          <w:u w:val="single"/>
          <w:lang w:eastAsia="es-ES"/>
        </w:rPr>
      </w:pPr>
      <w:r w:rsidRPr="00162B84">
        <w:rPr>
          <w:rFonts w:eastAsia="Calibri" w:cs="Tahoma"/>
          <w:bCs/>
          <w:color w:val="auto"/>
          <w:lang w:eastAsia="en-US"/>
        </w:rPr>
        <w:t>En conclusión, toda vez, que el Registro Federal de Contribuyentes de proveedores, es un requisito indispensable, para poder participar en adquisiciones públicas y contracción de servicios y que abona a la transparencia con la que deben administrarse los recursos públicos, no actualiza la causal de clasificación prevista en el artículo 143, fracción I de la Ley de Transparencia y Acceso a la Información Pública del Estado de México y Municipios.</w:t>
      </w:r>
    </w:p>
    <w:p w14:paraId="042E0B74" w14:textId="77777777" w:rsidR="00162B84" w:rsidRPr="00162B84" w:rsidRDefault="00162B84" w:rsidP="00162B84">
      <w:pPr>
        <w:spacing w:after="0" w:line="360" w:lineRule="auto"/>
        <w:jc w:val="left"/>
        <w:rPr>
          <w:rFonts w:eastAsia="Calibri" w:cs="Tahoma"/>
          <w:b/>
          <w:color w:val="auto"/>
          <w:lang w:val="es-ES_tradnl" w:eastAsia="en-US"/>
        </w:rPr>
      </w:pPr>
    </w:p>
    <w:p w14:paraId="757A04BB" w14:textId="10D01C6B" w:rsidR="00162B84" w:rsidRDefault="00162B84" w:rsidP="00162B84">
      <w:pPr>
        <w:spacing w:after="0" w:line="360" w:lineRule="auto"/>
        <w:rPr>
          <w:rFonts w:eastAsia="Calibri" w:cs="Tahoma"/>
          <w:b/>
          <w:color w:val="auto"/>
          <w:lang w:eastAsia="en-US"/>
        </w:rPr>
      </w:pPr>
      <w:r w:rsidRPr="00162B84">
        <w:rPr>
          <w:rFonts w:eastAsia="Calibri" w:cs="Tahoma"/>
          <w:b/>
          <w:color w:val="auto"/>
          <w:lang w:eastAsia="en-US"/>
        </w:rPr>
        <w:t>Persona Moral</w:t>
      </w:r>
    </w:p>
    <w:p w14:paraId="15B6BEF7" w14:textId="77777777" w:rsidR="0073428E" w:rsidRPr="00162B84" w:rsidRDefault="0073428E" w:rsidP="00162B84">
      <w:pPr>
        <w:spacing w:after="0" w:line="360" w:lineRule="auto"/>
        <w:rPr>
          <w:rFonts w:eastAsia="Calibri" w:cs="Tahoma"/>
          <w:b/>
          <w:color w:val="auto"/>
          <w:lang w:eastAsia="en-US"/>
        </w:rPr>
      </w:pPr>
    </w:p>
    <w:p w14:paraId="5979B242" w14:textId="77777777" w:rsidR="00162B84" w:rsidRPr="00162B84" w:rsidRDefault="00162B84" w:rsidP="00162B84">
      <w:pPr>
        <w:spacing w:after="0" w:line="360" w:lineRule="auto"/>
        <w:rPr>
          <w:rFonts w:eastAsia="Calibri" w:cs="Tahoma"/>
          <w:bCs/>
          <w:color w:val="auto"/>
          <w:lang w:eastAsia="en-US"/>
        </w:rPr>
      </w:pPr>
      <w:r w:rsidRPr="00162B84">
        <w:rPr>
          <w:rFonts w:eastAsia="Calibri" w:cs="Tahoma"/>
          <w:bCs/>
          <w:color w:val="auto"/>
          <w:lang w:eastAsia="en-US"/>
        </w:rPr>
        <w:t>Al respecto, el Registro Federal de Contribuyentes, inicia con un preinscripción por Internet y se concluye en cualquier Administración Desconcentrada de Servicios al Contribuyente, en donde aquellas personas que realicen el trámite tendrán que entregar ciertos documentos, que para las personas jurídico colectivas, serán, entre otros, la copia certificada del documento constitutivo debidamente protocolizado, comprobante de domicilio, identificación personal, número de folio asignado que se le proporcionó al realizar el envío de su preinscripción y copia certificada del poder notarial con el que se acredite la personalidad del representante legal, o carta poder firmada ante dos testigos y ratificadas las firmas ante las autoridades fiscales o ante notario o fedatario público. Derivado del trámite se obtiene, entre otros, la cédula de identificación fiscal o constancia de registro.</w:t>
      </w:r>
    </w:p>
    <w:p w14:paraId="2CB86771" w14:textId="77777777" w:rsidR="00162B84" w:rsidRPr="00162B84" w:rsidRDefault="00162B84" w:rsidP="00162B84">
      <w:pPr>
        <w:spacing w:after="0" w:line="360" w:lineRule="auto"/>
        <w:rPr>
          <w:rFonts w:eastAsia="Calibri" w:cs="Tahoma"/>
          <w:bCs/>
          <w:color w:val="auto"/>
          <w:lang w:eastAsia="en-US"/>
        </w:rPr>
      </w:pPr>
    </w:p>
    <w:p w14:paraId="39652F3F" w14:textId="77777777" w:rsidR="00162B84" w:rsidRPr="00162B84" w:rsidRDefault="00162B84" w:rsidP="00162B84">
      <w:pPr>
        <w:spacing w:after="0" w:line="360" w:lineRule="auto"/>
        <w:rPr>
          <w:rFonts w:eastAsia="Calibri" w:cs="Tahoma"/>
          <w:bCs/>
          <w:color w:val="auto"/>
          <w:lang w:eastAsia="en-US"/>
        </w:rPr>
      </w:pPr>
      <w:r w:rsidRPr="00162B84">
        <w:rPr>
          <w:rFonts w:eastAsia="Calibri" w:cs="Tahoma"/>
          <w:bCs/>
          <w:color w:val="auto"/>
          <w:lang w:eastAsia="en-US"/>
        </w:rPr>
        <w:t>Por ende, la información correspondiente al Registro Federal de Contribuyentes de una persona moral da cuenta del cumplimiento o no en sus obligaciones fiscales; por tanto, no se actualiza su clasificación como confidencial.</w:t>
      </w:r>
    </w:p>
    <w:p w14:paraId="79D24B84" w14:textId="77777777" w:rsidR="00162B84" w:rsidRPr="00162B84" w:rsidRDefault="00162B84" w:rsidP="00162B84">
      <w:pPr>
        <w:spacing w:after="0" w:line="360" w:lineRule="auto"/>
        <w:rPr>
          <w:rFonts w:eastAsia="Calibri" w:cs="Tahoma"/>
          <w:bCs/>
          <w:color w:val="auto"/>
          <w:lang w:eastAsia="en-US"/>
        </w:rPr>
      </w:pPr>
    </w:p>
    <w:p w14:paraId="13A7F9AC" w14:textId="77777777" w:rsidR="00162B84" w:rsidRPr="00162B84" w:rsidRDefault="00162B84" w:rsidP="00162B84">
      <w:pPr>
        <w:spacing w:after="0" w:line="360" w:lineRule="auto"/>
        <w:rPr>
          <w:rFonts w:eastAsia="Calibri" w:cs="Tahoma"/>
          <w:bCs/>
          <w:color w:val="auto"/>
          <w:lang w:eastAsia="en-US"/>
        </w:rPr>
      </w:pPr>
      <w:r w:rsidRPr="00162B84">
        <w:rPr>
          <w:rFonts w:eastAsia="Calibri" w:cs="Tahoma"/>
          <w:bCs/>
          <w:color w:val="auto"/>
          <w:lang w:eastAsia="en-US"/>
        </w:rPr>
        <w:t xml:space="preserve">Además, resulta aplicable por analogía el </w:t>
      </w:r>
      <w:r w:rsidRPr="00162B84">
        <w:rPr>
          <w:rFonts w:eastAsia="Calibri" w:cs="Tahoma"/>
          <w:bCs/>
          <w:color w:val="auto"/>
          <w:lang w:val="es-ES" w:eastAsia="en-US"/>
        </w:rPr>
        <w:t xml:space="preserve">Criterio de Interpretación, de la Segunda Época, con número de registro </w:t>
      </w:r>
      <w:r w:rsidRPr="00162B84">
        <w:rPr>
          <w:rFonts w:eastAsia="Calibri" w:cs="Tahoma"/>
          <w:bCs/>
          <w:color w:val="auto"/>
          <w:lang w:eastAsia="en-US"/>
        </w:rPr>
        <w:t>SO/008/2019</w:t>
      </w:r>
      <w:r w:rsidRPr="00162B84">
        <w:rPr>
          <w:rFonts w:eastAsia="Calibri" w:cs="Tahoma"/>
          <w:bCs/>
          <w:color w:val="auto"/>
        </w:rPr>
        <w:t xml:space="preserve">, emitido por el Instituto Nacional de Transparencia, Acceso a la Información y Protección de Datos Personales, </w:t>
      </w:r>
      <w:r w:rsidRPr="00162B84">
        <w:rPr>
          <w:rFonts w:eastAsia="Calibri" w:cs="Tahoma"/>
          <w:bCs/>
          <w:color w:val="auto"/>
          <w:lang w:eastAsia="en-US"/>
        </w:rPr>
        <w:t>que precisa que el Registro Federal de Contribuyentes de personas morales, es público, al no referir a hechos o actos de carácter económico, contable, jurídico o administrativo que sean útiles o representen una ventaja a sus competidores.</w:t>
      </w:r>
    </w:p>
    <w:p w14:paraId="2E21F28F" w14:textId="77777777" w:rsidR="00162B84" w:rsidRPr="00162B84" w:rsidRDefault="00162B84" w:rsidP="00162B84">
      <w:pPr>
        <w:spacing w:after="0" w:line="360" w:lineRule="auto"/>
        <w:rPr>
          <w:rFonts w:eastAsia="Calibri" w:cs="Tahoma"/>
          <w:bCs/>
          <w:color w:val="auto"/>
          <w:lang w:eastAsia="en-US"/>
        </w:rPr>
      </w:pPr>
    </w:p>
    <w:p w14:paraId="67631ED4" w14:textId="1ADEFE9A" w:rsidR="00162B84" w:rsidRPr="00162B84" w:rsidRDefault="00162B84" w:rsidP="00162B84">
      <w:pPr>
        <w:spacing w:after="0" w:line="360" w:lineRule="auto"/>
        <w:rPr>
          <w:rFonts w:eastAsia="Calibri" w:cs="Tahoma"/>
          <w:bCs/>
          <w:color w:val="auto"/>
          <w:lang w:eastAsia="en-US"/>
        </w:rPr>
      </w:pPr>
      <w:r w:rsidRPr="00162B84">
        <w:rPr>
          <w:rFonts w:eastAsia="Calibri" w:cs="Tahoma"/>
          <w:bCs/>
          <w:color w:val="auto"/>
          <w:lang w:eastAsia="en-US"/>
        </w:rPr>
        <w:t>De tales circunstancias, el Registro Federal de Contribuyentes de personas morales, no actualizan la causal de clasificación, prevista en el artículo 143, fracción I</w:t>
      </w:r>
      <w:r>
        <w:rPr>
          <w:rFonts w:eastAsia="Calibri" w:cs="Tahoma"/>
          <w:bCs/>
          <w:color w:val="auto"/>
          <w:lang w:eastAsia="en-US"/>
        </w:rPr>
        <w:t>,</w:t>
      </w:r>
      <w:r w:rsidRPr="00162B84">
        <w:rPr>
          <w:rFonts w:eastAsia="Calibri" w:cs="Tahoma"/>
          <w:bCs/>
          <w:color w:val="auto"/>
          <w:lang w:eastAsia="en-US"/>
        </w:rPr>
        <w:t xml:space="preserve"> de la Ley de Transparencia y Acceso a la Información Pública del Estado de México y Municipios, al ser de naturaleza pública.</w:t>
      </w:r>
    </w:p>
    <w:p w14:paraId="60A2A4C6" w14:textId="77777777" w:rsidR="00162B84" w:rsidRPr="00162B84" w:rsidRDefault="00162B84" w:rsidP="00162B84">
      <w:pPr>
        <w:spacing w:after="0" w:line="360" w:lineRule="auto"/>
        <w:rPr>
          <w:rFonts w:eastAsia="Calibri" w:cs="Tahoma"/>
          <w:b/>
          <w:color w:val="auto"/>
          <w:lang w:eastAsia="en-US"/>
        </w:rPr>
      </w:pPr>
    </w:p>
    <w:p w14:paraId="5A982023" w14:textId="77777777" w:rsidR="00162B84" w:rsidRPr="00162B84" w:rsidRDefault="00162B84" w:rsidP="00162B84">
      <w:pPr>
        <w:numPr>
          <w:ilvl w:val="0"/>
          <w:numId w:val="39"/>
        </w:numPr>
        <w:spacing w:after="0" w:line="360" w:lineRule="auto"/>
        <w:contextualSpacing/>
        <w:jc w:val="left"/>
        <w:rPr>
          <w:rFonts w:eastAsia="Times New Roman" w:cs="Tahoma"/>
          <w:b/>
          <w:color w:val="auto"/>
          <w:lang w:eastAsia="es-ES"/>
        </w:rPr>
      </w:pPr>
      <w:r w:rsidRPr="00162B84">
        <w:rPr>
          <w:rFonts w:eastAsia="Times New Roman" w:cs="Tahoma"/>
          <w:b/>
          <w:color w:val="auto"/>
          <w:lang w:eastAsia="es-ES"/>
        </w:rPr>
        <w:t>Número de teléfono y correo electrónico de proveedor.</w:t>
      </w:r>
    </w:p>
    <w:p w14:paraId="1915C140" w14:textId="77777777" w:rsidR="00162B84" w:rsidRPr="00162B84" w:rsidRDefault="00162B84" w:rsidP="00162B84">
      <w:pPr>
        <w:spacing w:after="0" w:line="360" w:lineRule="auto"/>
        <w:rPr>
          <w:rFonts w:eastAsia="Calibri" w:cs="Tahoma"/>
          <w:b/>
          <w:bCs/>
          <w:iCs/>
          <w:color w:val="auto"/>
          <w:lang w:val="es-ES_tradnl" w:eastAsia="en-US"/>
        </w:rPr>
      </w:pPr>
    </w:p>
    <w:p w14:paraId="72A36241" w14:textId="77777777" w:rsidR="00162B84" w:rsidRPr="00162B84" w:rsidRDefault="00162B84" w:rsidP="00162B84">
      <w:pPr>
        <w:spacing w:after="0" w:line="360" w:lineRule="auto"/>
        <w:rPr>
          <w:rFonts w:eastAsia="Calibri" w:cs="Tahoma"/>
          <w:bCs/>
          <w:color w:val="auto"/>
          <w:lang w:val="es-ES_tradnl" w:eastAsia="en-US"/>
        </w:rPr>
      </w:pPr>
      <w:r w:rsidRPr="00162B84">
        <w:rPr>
          <w:rFonts w:eastAsia="Times New Roman" w:cs="Tahoma"/>
          <w:color w:val="auto"/>
          <w:lang w:val="es-ES_tradnl" w:eastAsia="es-ES"/>
        </w:rPr>
        <w:t xml:space="preserve">El número asignado a un teléfono, permite localizar, en el presente caso, de un proveedor, ya sea a través de un dispositivo móvil o bien, en un lugar como el domicilio; mientras que </w:t>
      </w:r>
      <w:r w:rsidRPr="00162B84">
        <w:rPr>
          <w:rFonts w:eastAsia="Calibri" w:cs="Tahoma"/>
          <w:bCs/>
          <w:color w:val="auto"/>
          <w:lang w:val="es-ES_tradnl" w:eastAsia="en-US"/>
        </w:rPr>
        <w:t>correo electrónico es un sistema de transmisión de mensajes por computadora a través de redes informáticas. Dicho dato se puede asimilar al teléfono o domicilio, toda vez que es un medio para comunicarse con un proveedor, en el presente caso.</w:t>
      </w:r>
    </w:p>
    <w:p w14:paraId="00FD45B0" w14:textId="77777777" w:rsidR="00162B84" w:rsidRPr="00162B84" w:rsidRDefault="00162B84" w:rsidP="00162B84">
      <w:pPr>
        <w:spacing w:after="0" w:line="360" w:lineRule="auto"/>
        <w:rPr>
          <w:rFonts w:eastAsia="Calibri" w:cs="Tahoma"/>
          <w:bCs/>
          <w:color w:val="auto"/>
          <w:lang w:val="es-ES_tradnl" w:eastAsia="en-US"/>
        </w:rPr>
      </w:pPr>
    </w:p>
    <w:p w14:paraId="0F671DF9" w14:textId="77777777" w:rsidR="00162B84" w:rsidRPr="00162B84" w:rsidRDefault="00162B84" w:rsidP="00162B84">
      <w:pPr>
        <w:spacing w:after="0" w:line="360" w:lineRule="auto"/>
        <w:rPr>
          <w:rFonts w:eastAsia="Calibri" w:cs="Tahoma"/>
          <w:bCs/>
          <w:color w:val="auto"/>
          <w:lang w:val="es-ES_tradnl" w:eastAsia="en-US"/>
        </w:rPr>
      </w:pPr>
      <w:r w:rsidRPr="00162B84">
        <w:rPr>
          <w:rFonts w:eastAsia="Calibri" w:cs="Tahoma"/>
          <w:bCs/>
          <w:color w:val="auto"/>
          <w:lang w:val="es-ES_tradnl" w:eastAsia="en-US"/>
        </w:rPr>
        <w:t xml:space="preserve">Como se refirió, en el presente caso, los datos en comento, se tratan de los medios de contacto de los proveedores que tiene la </w:t>
      </w:r>
      <w:r w:rsidRPr="00162B84">
        <w:rPr>
          <w:rFonts w:eastAsia="Calibri" w:cs="Tahoma"/>
          <w:color w:val="000000"/>
          <w:lang w:eastAsia="en-US"/>
        </w:rPr>
        <w:t>Secretaría de Cultura y Turismo</w:t>
      </w:r>
      <w:r w:rsidRPr="00162B84">
        <w:rPr>
          <w:rFonts w:eastAsia="Calibri" w:cs="Tahoma"/>
          <w:bCs/>
          <w:color w:val="auto"/>
          <w:lang w:val="es-ES_tradnl" w:eastAsia="en-US"/>
        </w:rPr>
        <w:t>, los cuales, si bien hacen identificable a una persona, en el presente caso, se trata de una persona proveedora que recibe recursos públicos, derivado de los contratos celebrados con la Dependencia y, por lo tanto, dichos datos guardan la naturaleza de públicos.</w:t>
      </w:r>
    </w:p>
    <w:p w14:paraId="01F5934F" w14:textId="77777777" w:rsidR="00162B84" w:rsidRPr="00162B84" w:rsidRDefault="00162B84" w:rsidP="00162B84">
      <w:pPr>
        <w:spacing w:after="0" w:line="360" w:lineRule="auto"/>
        <w:rPr>
          <w:rFonts w:eastAsia="Calibri" w:cs="Tahoma"/>
          <w:bCs/>
          <w:color w:val="auto"/>
          <w:lang w:val="es-ES_tradnl" w:eastAsia="en-US"/>
        </w:rPr>
      </w:pPr>
    </w:p>
    <w:p w14:paraId="4520DF01" w14:textId="77777777" w:rsidR="00162B84" w:rsidRPr="00162B84" w:rsidRDefault="00162B84" w:rsidP="00162B84">
      <w:pPr>
        <w:spacing w:after="0" w:line="360" w:lineRule="auto"/>
        <w:ind w:right="-93"/>
        <w:rPr>
          <w:rFonts w:eastAsia="Calibri" w:cs="Tahoma"/>
          <w:bCs/>
          <w:color w:val="auto"/>
          <w:lang w:val="es-ES_tradnl" w:eastAsia="en-US"/>
        </w:rPr>
      </w:pPr>
      <w:r w:rsidRPr="00162B84">
        <w:rPr>
          <w:rFonts w:eastAsia="Calibri" w:cs="Tahoma"/>
          <w:bCs/>
          <w:color w:val="auto"/>
          <w:lang w:val="es-ES_tradnl" w:eastAsia="en-US"/>
        </w:rPr>
        <w:t>Lo anterior, se robustece con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19180C63" w14:textId="77777777" w:rsidR="00162B84" w:rsidRPr="00162B84" w:rsidRDefault="00162B84" w:rsidP="00162B84">
      <w:pPr>
        <w:shd w:val="clear" w:color="auto" w:fill="FFFFFF"/>
        <w:spacing w:after="0" w:line="360" w:lineRule="auto"/>
        <w:rPr>
          <w:rFonts w:eastAsia="Calibri" w:cs="Tahoma"/>
          <w:b/>
          <w:bCs/>
          <w:iCs/>
          <w:color w:val="auto"/>
          <w:lang w:val="es-ES" w:eastAsia="en-US"/>
        </w:rPr>
      </w:pPr>
    </w:p>
    <w:p w14:paraId="4A9FEAAF" w14:textId="77777777" w:rsidR="00162B84" w:rsidRDefault="00162B84" w:rsidP="00162B84">
      <w:pPr>
        <w:spacing w:after="0" w:line="360" w:lineRule="auto"/>
        <w:rPr>
          <w:rFonts w:eastAsia="Calibri" w:cs="Tahoma"/>
          <w:bCs/>
          <w:color w:val="auto"/>
          <w:lang w:eastAsia="en-US"/>
        </w:rPr>
      </w:pPr>
      <w:r w:rsidRPr="00162B84">
        <w:rPr>
          <w:rFonts w:ascii="Times New Roman" w:eastAsia="Times New Roman" w:hAnsi="Times New Roman" w:cs="Times New Roman"/>
          <w:noProof/>
          <w:color w:val="auto"/>
          <w:sz w:val="20"/>
          <w:szCs w:val="20"/>
        </w:rPr>
        <w:drawing>
          <wp:inline distT="0" distB="0" distL="0" distR="0" wp14:anchorId="3B78C2A2" wp14:editId="5D3888AD">
            <wp:extent cx="5686425" cy="676275"/>
            <wp:effectExtent l="0" t="0" r="9525" b="9525"/>
            <wp:docPr id="147483262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rotWithShape="1">
                    <a:blip r:embed="rId10">
                      <a:extLst>
                        <a:ext uri="{28A0092B-C50C-407E-A947-70E740481C1C}">
                          <a14:useLocalDpi xmlns:a14="http://schemas.microsoft.com/office/drawing/2010/main" val="0"/>
                        </a:ext>
                      </a:extLst>
                    </a:blip>
                    <a:srcRect b="53595"/>
                    <a:stretch/>
                  </pic:blipFill>
                  <pic:spPr bwMode="auto">
                    <a:xfrm>
                      <a:off x="0" y="0"/>
                      <a:ext cx="5686425" cy="676275"/>
                    </a:xfrm>
                    <a:prstGeom prst="rect">
                      <a:avLst/>
                    </a:prstGeom>
                    <a:noFill/>
                    <a:ln>
                      <a:noFill/>
                    </a:ln>
                    <a:extLst>
                      <a:ext uri="{53640926-AAD7-44D8-BBD7-CCE9431645EC}">
                        <a14:shadowObscured xmlns:a14="http://schemas.microsoft.com/office/drawing/2010/main"/>
                      </a:ext>
                    </a:extLst>
                  </pic:spPr>
                </pic:pic>
              </a:graphicData>
            </a:graphic>
          </wp:inline>
        </w:drawing>
      </w:r>
    </w:p>
    <w:p w14:paraId="290E4A0F" w14:textId="243BF958" w:rsidR="0073428E" w:rsidRPr="00162B84" w:rsidRDefault="0073428E" w:rsidP="00162B84">
      <w:pPr>
        <w:spacing w:after="0" w:line="360" w:lineRule="auto"/>
        <w:rPr>
          <w:rFonts w:eastAsia="Calibri" w:cs="Tahoma"/>
          <w:bCs/>
          <w:color w:val="auto"/>
          <w:lang w:eastAsia="en-US"/>
        </w:rPr>
      </w:pPr>
      <w:r w:rsidRPr="00162B84">
        <w:rPr>
          <w:rFonts w:ascii="Times New Roman" w:eastAsia="Times New Roman" w:hAnsi="Times New Roman" w:cs="Times New Roman"/>
          <w:noProof/>
          <w:color w:val="auto"/>
          <w:sz w:val="20"/>
          <w:szCs w:val="20"/>
        </w:rPr>
        <w:drawing>
          <wp:inline distT="0" distB="0" distL="0" distR="0" wp14:anchorId="2BD95AEB" wp14:editId="2093FA4B">
            <wp:extent cx="5686425" cy="695325"/>
            <wp:effectExtent l="0" t="0" r="9525" b="9525"/>
            <wp:docPr id="1840178717"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rotWithShape="1">
                    <a:blip r:embed="rId10">
                      <a:extLst>
                        <a:ext uri="{28A0092B-C50C-407E-A947-70E740481C1C}">
                          <a14:useLocalDpi xmlns:a14="http://schemas.microsoft.com/office/drawing/2010/main" val="0"/>
                        </a:ext>
                      </a:extLst>
                    </a:blip>
                    <a:srcRect t="52288"/>
                    <a:stretch/>
                  </pic:blipFill>
                  <pic:spPr bwMode="auto">
                    <a:xfrm>
                      <a:off x="0" y="0"/>
                      <a:ext cx="5686425" cy="695325"/>
                    </a:xfrm>
                    <a:prstGeom prst="rect">
                      <a:avLst/>
                    </a:prstGeom>
                    <a:noFill/>
                    <a:ln>
                      <a:noFill/>
                    </a:ln>
                    <a:extLst>
                      <a:ext uri="{53640926-AAD7-44D8-BBD7-CCE9431645EC}">
                        <a14:shadowObscured xmlns:a14="http://schemas.microsoft.com/office/drawing/2010/main"/>
                      </a:ext>
                    </a:extLst>
                  </pic:spPr>
                </pic:pic>
              </a:graphicData>
            </a:graphic>
          </wp:inline>
        </w:drawing>
      </w:r>
    </w:p>
    <w:p w14:paraId="73FB28AB" w14:textId="77777777" w:rsidR="00162B84" w:rsidRDefault="00162B84" w:rsidP="00162B84">
      <w:pPr>
        <w:spacing w:after="0" w:line="360" w:lineRule="auto"/>
        <w:rPr>
          <w:rFonts w:eastAsia="Times New Roman" w:cs="Tahoma"/>
          <w:color w:val="auto"/>
          <w:lang w:eastAsia="es-ES"/>
        </w:rPr>
      </w:pPr>
    </w:p>
    <w:p w14:paraId="055413F2" w14:textId="77777777" w:rsidR="00162B84" w:rsidRPr="00162B84" w:rsidRDefault="00162B84" w:rsidP="00162B84">
      <w:pPr>
        <w:spacing w:after="0" w:line="360" w:lineRule="auto"/>
        <w:rPr>
          <w:rFonts w:eastAsia="Times New Roman" w:cs="Tahoma"/>
          <w:color w:val="auto"/>
          <w:lang w:eastAsia="es-ES"/>
        </w:rPr>
      </w:pPr>
      <w:r w:rsidRPr="00162B84">
        <w:rPr>
          <w:rFonts w:eastAsia="Times New Roman" w:cs="Tahoma"/>
          <w:color w:val="auto"/>
          <w:lang w:eastAsia="es-ES"/>
        </w:rPr>
        <w:t>Como se logra observar, el correo electrónico y teléfono de los proveedores son públicos y deben ser publicados por los Sujetos Obligados, al cumplir con sus obligaciones comunes de transparencia y, por lo tanto, no actualizan la causal de clasificación en términos del artículo 143, fracción I, de la Ley de Transparencia y Acceso a la Información Pública del Estado de México y Municipios.</w:t>
      </w:r>
    </w:p>
    <w:p w14:paraId="058DED14" w14:textId="77777777" w:rsidR="00162B84" w:rsidRPr="00162B84" w:rsidRDefault="00162B84" w:rsidP="00162B84">
      <w:pPr>
        <w:spacing w:after="0" w:line="360" w:lineRule="auto"/>
        <w:rPr>
          <w:rFonts w:eastAsia="Calibri" w:cs="Tahoma"/>
          <w:bCs/>
          <w:color w:val="auto"/>
          <w:lang w:eastAsia="en-US"/>
        </w:rPr>
      </w:pPr>
    </w:p>
    <w:p w14:paraId="30CCDAA7" w14:textId="77777777" w:rsidR="00162B84" w:rsidRPr="00162B84" w:rsidRDefault="00162B84" w:rsidP="00162B84">
      <w:pPr>
        <w:numPr>
          <w:ilvl w:val="0"/>
          <w:numId w:val="39"/>
        </w:numPr>
        <w:spacing w:after="0" w:line="360" w:lineRule="auto"/>
        <w:contextualSpacing/>
        <w:jc w:val="left"/>
        <w:rPr>
          <w:rFonts w:eastAsia="Times New Roman" w:cs="Tahoma"/>
          <w:b/>
          <w:color w:val="auto"/>
          <w:lang w:eastAsia="es-ES"/>
        </w:rPr>
      </w:pPr>
      <w:r w:rsidRPr="00162B84">
        <w:rPr>
          <w:rFonts w:eastAsia="Times New Roman" w:cs="Tahoma"/>
          <w:b/>
          <w:color w:val="auto"/>
          <w:lang w:eastAsia="es-ES"/>
        </w:rPr>
        <w:t>Domicilio Fiscal o legal para recibir y oír notificaciones (proveedor persona física o moral).</w:t>
      </w:r>
    </w:p>
    <w:p w14:paraId="3DED0FF6" w14:textId="77777777" w:rsidR="00162B84" w:rsidRPr="00162B84" w:rsidRDefault="00162B84" w:rsidP="00162B84">
      <w:pPr>
        <w:spacing w:after="0" w:line="360" w:lineRule="auto"/>
        <w:contextualSpacing/>
        <w:jc w:val="left"/>
        <w:rPr>
          <w:rFonts w:eastAsia="Times New Roman" w:cs="Tahoma"/>
          <w:color w:val="auto"/>
        </w:rPr>
      </w:pPr>
    </w:p>
    <w:p w14:paraId="4A8A1B4C" w14:textId="77777777" w:rsidR="00162B84" w:rsidRPr="00162B84" w:rsidRDefault="00162B84" w:rsidP="00162B84">
      <w:pPr>
        <w:spacing w:after="0" w:line="360" w:lineRule="auto"/>
        <w:ind w:right="-93"/>
        <w:rPr>
          <w:rFonts w:eastAsia="Times New Roman" w:cs="Tahoma"/>
          <w:color w:val="auto"/>
          <w:lang w:val="es-ES" w:eastAsia="es-ES"/>
        </w:rPr>
      </w:pPr>
      <w:r w:rsidRPr="00162B84">
        <w:rPr>
          <w:rFonts w:eastAsia="Times New Roman" w:cs="Tahoma"/>
          <w:color w:val="auto"/>
          <w:lang w:val="es-ES" w:eastAsia="es-ES"/>
        </w:rPr>
        <w:t>De acuerdo a lo señalado en los artículos 2.17 y 2.21 del Código Civil del Estado de México, el domicilio de una persona física, es el lugar donde reside, en donde tiene el principal asiente de negocios, o en su caso, el dónde se halle; mientras, que el de personas jurídicas colectivas, es aquel donde se halle establecida su administración o ejerza sus actividades.</w:t>
      </w:r>
    </w:p>
    <w:p w14:paraId="2F45FEAA" w14:textId="77777777" w:rsidR="00162B84" w:rsidRPr="00162B84" w:rsidRDefault="00162B84" w:rsidP="00162B84">
      <w:pPr>
        <w:spacing w:after="0" w:line="360" w:lineRule="auto"/>
        <w:ind w:right="-93"/>
        <w:rPr>
          <w:rFonts w:eastAsia="Times New Roman" w:cs="Tahoma"/>
          <w:color w:val="auto"/>
          <w:lang w:val="es-ES" w:eastAsia="es-ES"/>
        </w:rPr>
      </w:pPr>
    </w:p>
    <w:p w14:paraId="2B47813F" w14:textId="77777777" w:rsidR="00162B84" w:rsidRPr="00162B84" w:rsidRDefault="00162B84" w:rsidP="00162B84">
      <w:pPr>
        <w:spacing w:after="0" w:line="360" w:lineRule="auto"/>
        <w:ind w:right="-93"/>
        <w:rPr>
          <w:rFonts w:eastAsia="Times New Roman" w:cs="Tahoma"/>
          <w:color w:val="auto"/>
          <w:lang w:val="es-ES" w:eastAsia="es-ES"/>
        </w:rPr>
      </w:pPr>
      <w:r w:rsidRPr="00162B84">
        <w:rPr>
          <w:rFonts w:eastAsia="Times New Roman" w:cs="Tahoma"/>
          <w:color w:val="auto"/>
          <w:lang w:val="es-ES" w:eastAsia="es-ES"/>
        </w:rPr>
        <w:t>De la misma manera, lo establece los diversos 29 y 33 del Código Civil Federal, al precisar que el domicilio de personas físicas</w:t>
      </w:r>
      <w:r w:rsidRPr="00162B84">
        <w:rPr>
          <w:rFonts w:eastAsia="Times New Roman" w:cs="Tahoma"/>
          <w:b/>
          <w:color w:val="auto"/>
          <w:lang w:val="es-ES" w:eastAsia="es-ES"/>
        </w:rPr>
        <w:t xml:space="preserve">, es el lugar donde residen habitualmente, el lugar del centro principal de sus negocios, donde residan o el lugar donde se encuentren; </w:t>
      </w:r>
      <w:r w:rsidRPr="00162B84">
        <w:rPr>
          <w:rFonts w:eastAsia="Times New Roman" w:cs="Tahoma"/>
          <w:color w:val="auto"/>
          <w:lang w:val="es-ES" w:eastAsia="es-ES"/>
        </w:rPr>
        <w:t>mientras que, de las personas morales, aquel donde se halle su administración.</w:t>
      </w:r>
    </w:p>
    <w:p w14:paraId="71361E48" w14:textId="77777777" w:rsidR="00162B84" w:rsidRPr="00162B84" w:rsidRDefault="00162B84" w:rsidP="00162B84">
      <w:pPr>
        <w:spacing w:after="0" w:line="360" w:lineRule="auto"/>
        <w:ind w:right="-93"/>
        <w:rPr>
          <w:rFonts w:eastAsia="Calibri" w:cs="Tahoma"/>
          <w:b/>
          <w:bCs/>
          <w:iCs/>
          <w:color w:val="auto"/>
          <w:lang w:val="es-ES" w:eastAsia="en-US"/>
        </w:rPr>
      </w:pPr>
    </w:p>
    <w:p w14:paraId="4434AC8A" w14:textId="77777777" w:rsidR="00162B84" w:rsidRPr="00162B84" w:rsidRDefault="00162B84" w:rsidP="00162B84">
      <w:pPr>
        <w:spacing w:after="0" w:line="360" w:lineRule="auto"/>
        <w:rPr>
          <w:rFonts w:eastAsia="Times New Roman" w:cs="Tahoma"/>
          <w:color w:val="auto"/>
          <w:lang w:eastAsia="es-ES"/>
        </w:rPr>
      </w:pPr>
      <w:r w:rsidRPr="00162B84">
        <w:rPr>
          <w:rFonts w:eastAsia="Times New Roman" w:cs="Tahoma"/>
          <w:color w:val="auto"/>
          <w:lang w:eastAsia="es-ES"/>
        </w:rPr>
        <w:t>Además, respecto al domicilio fiscal, resulta necesario traer el artículo 10 del Código Fiscal de la Federación, que establece que, tratándose de personas físicas, corresponderá dicho dato:</w:t>
      </w:r>
    </w:p>
    <w:p w14:paraId="33CBF1B1" w14:textId="77777777" w:rsidR="00162B84" w:rsidRPr="00162B84" w:rsidRDefault="00162B84" w:rsidP="00162B84">
      <w:pPr>
        <w:spacing w:after="0" w:line="360" w:lineRule="auto"/>
        <w:rPr>
          <w:rFonts w:eastAsia="Times New Roman" w:cs="Tahoma"/>
          <w:color w:val="auto"/>
          <w:lang w:eastAsia="es-ES"/>
        </w:rPr>
      </w:pPr>
    </w:p>
    <w:p w14:paraId="3203D8B0" w14:textId="77777777" w:rsidR="00162B84" w:rsidRPr="00162B84" w:rsidRDefault="00162B84" w:rsidP="00162B84">
      <w:pPr>
        <w:numPr>
          <w:ilvl w:val="0"/>
          <w:numId w:val="40"/>
        </w:numPr>
        <w:spacing w:after="0" w:line="360" w:lineRule="auto"/>
        <w:contextualSpacing/>
        <w:jc w:val="left"/>
        <w:rPr>
          <w:rFonts w:eastAsia="Times New Roman" w:cs="Tahoma"/>
          <w:color w:val="auto"/>
          <w:lang w:eastAsia="es-ES"/>
        </w:rPr>
      </w:pPr>
      <w:r w:rsidRPr="00162B84">
        <w:rPr>
          <w:rFonts w:eastAsia="Times New Roman" w:cs="Tahoma"/>
          <w:color w:val="auto"/>
          <w:lang w:eastAsia="es-ES"/>
        </w:rPr>
        <w:t>El lugar donde realizan actividades empresariales, el local, en que se encuentre el principal asiente de sus negocios, y</w:t>
      </w:r>
    </w:p>
    <w:p w14:paraId="43E0641E" w14:textId="77777777" w:rsidR="001C5240" w:rsidRPr="00162B84" w:rsidRDefault="001C5240" w:rsidP="00162B84">
      <w:pPr>
        <w:spacing w:after="0" w:line="360" w:lineRule="auto"/>
        <w:ind w:left="720"/>
        <w:contextualSpacing/>
        <w:rPr>
          <w:rFonts w:eastAsia="Times New Roman" w:cs="Tahoma"/>
          <w:color w:val="auto"/>
          <w:lang w:eastAsia="es-ES"/>
        </w:rPr>
      </w:pPr>
    </w:p>
    <w:p w14:paraId="09C265FE" w14:textId="77777777" w:rsidR="00162B84" w:rsidRPr="00162B84" w:rsidRDefault="00162B84" w:rsidP="00162B84">
      <w:pPr>
        <w:numPr>
          <w:ilvl w:val="0"/>
          <w:numId w:val="40"/>
        </w:numPr>
        <w:spacing w:after="0" w:line="360" w:lineRule="auto"/>
        <w:contextualSpacing/>
        <w:jc w:val="left"/>
        <w:rPr>
          <w:rFonts w:eastAsia="Times New Roman" w:cs="Tahoma"/>
          <w:color w:val="auto"/>
          <w:lang w:eastAsia="es-ES"/>
        </w:rPr>
      </w:pPr>
      <w:r w:rsidRPr="00162B84">
        <w:rPr>
          <w:rFonts w:eastAsia="Times New Roman" w:cs="Tahoma"/>
          <w:color w:val="auto"/>
          <w:lang w:eastAsia="es-ES"/>
        </w:rPr>
        <w:t>La casa habitación, cuando no cuenta con un local o lugar donde realice las acciones previamente señaladas.</w:t>
      </w:r>
    </w:p>
    <w:p w14:paraId="01CF75F4" w14:textId="77777777" w:rsidR="00162B84" w:rsidRPr="00162B84" w:rsidRDefault="00162B84" w:rsidP="00162B84">
      <w:pPr>
        <w:spacing w:after="0" w:line="360" w:lineRule="auto"/>
        <w:rPr>
          <w:rFonts w:eastAsia="Times New Roman" w:cs="Tahoma"/>
          <w:color w:val="auto"/>
          <w:lang w:eastAsia="es-ES"/>
        </w:rPr>
      </w:pPr>
    </w:p>
    <w:p w14:paraId="0EECB95B" w14:textId="77777777" w:rsidR="00162B84" w:rsidRPr="00162B84" w:rsidRDefault="00162B84" w:rsidP="00162B84">
      <w:pPr>
        <w:spacing w:after="0" w:line="360" w:lineRule="auto"/>
        <w:rPr>
          <w:rFonts w:eastAsia="Times New Roman" w:cs="Tahoma"/>
          <w:color w:val="auto"/>
          <w:lang w:eastAsia="es-ES"/>
        </w:rPr>
      </w:pPr>
      <w:r w:rsidRPr="00162B84">
        <w:rPr>
          <w:rFonts w:eastAsia="Times New Roman" w:cs="Tahoma"/>
          <w:color w:val="auto"/>
          <w:lang w:eastAsia="es-ES"/>
        </w:rPr>
        <w:t>Mientras que, en el caso de personas morales, el domicilio fiscal, corresponderá al local donde se encuentra la administración principal del negocio. Como se logra observar, el domicilio fiscal de los proveedores personas físicas, se encuentra en dos supuestos, por lo que, se procede a su análisis.</w:t>
      </w:r>
    </w:p>
    <w:p w14:paraId="2A8F95E1" w14:textId="77777777" w:rsidR="00162B84" w:rsidRPr="00162B84" w:rsidRDefault="00162B84" w:rsidP="00162B84">
      <w:pPr>
        <w:spacing w:after="0" w:line="360" w:lineRule="auto"/>
        <w:rPr>
          <w:rFonts w:eastAsia="Times New Roman" w:cs="Tahoma"/>
          <w:color w:val="auto"/>
          <w:lang w:eastAsia="es-ES"/>
        </w:rPr>
      </w:pPr>
    </w:p>
    <w:p w14:paraId="61759D98" w14:textId="77777777" w:rsidR="00162B84" w:rsidRPr="00162B84" w:rsidRDefault="00162B84" w:rsidP="00162B84">
      <w:pPr>
        <w:spacing w:after="0" w:line="360" w:lineRule="auto"/>
        <w:ind w:right="-93"/>
        <w:rPr>
          <w:rFonts w:eastAsia="Times New Roman" w:cs="Tahoma"/>
          <w:color w:val="auto"/>
          <w:lang w:val="es-ES" w:eastAsia="es-ES"/>
        </w:rPr>
      </w:pPr>
      <w:r w:rsidRPr="00162B84">
        <w:rPr>
          <w:rFonts w:eastAsia="Times New Roman" w:cs="Tahoma"/>
          <w:color w:val="auto"/>
          <w:lang w:val="es-ES" w:eastAsia="es-ES"/>
        </w:rPr>
        <w:t>Si bien es cierto que el primero, corresponde al lugar en donde reside habitualmente una persona en comento y, permite hacerlo identificable y ubicable, propiciando que pueda ser molestado en su casa, de este modo, los datos que permiten a cualquier individuo con esfuerzos mínimos identificar el lugar de residencia constituye un dato personal y, por ende, susceptible de clasificarse como confidencial, ya que incide directamente en la vida priva del individuo identificado, no debe dejarse de lado que, aquellas personas que deciden tener relaciones comerciales con las instituciones públicas, tienen una expectativa de privacidad menor, respecto del resto de las personas, en razón de obtener el beneficio de vender sus productos o servicios y recibir por ellos dinero del erario, situación que debe ser transparentada.</w:t>
      </w:r>
    </w:p>
    <w:p w14:paraId="782BCDA5" w14:textId="77777777" w:rsidR="00162B84" w:rsidRPr="00162B84" w:rsidRDefault="00162B84" w:rsidP="00162B84">
      <w:pPr>
        <w:shd w:val="clear" w:color="auto" w:fill="FFFFFF"/>
        <w:spacing w:after="0" w:line="360" w:lineRule="auto"/>
        <w:rPr>
          <w:rFonts w:eastAsia="Calibri" w:cs="Tahoma"/>
          <w:bCs/>
          <w:iCs/>
          <w:color w:val="auto"/>
          <w:lang w:val="es-ES" w:eastAsia="en-US"/>
        </w:rPr>
      </w:pPr>
    </w:p>
    <w:p w14:paraId="437D35B1" w14:textId="77777777" w:rsidR="00162B84" w:rsidRPr="00162B84" w:rsidRDefault="00162B84" w:rsidP="00162B84">
      <w:pPr>
        <w:spacing w:after="0" w:line="360" w:lineRule="auto"/>
        <w:ind w:right="-93"/>
        <w:rPr>
          <w:rFonts w:eastAsia="Calibri" w:cs="Tahoma"/>
          <w:bCs/>
          <w:color w:val="auto"/>
          <w:lang w:val="es-ES_tradnl" w:eastAsia="en-US"/>
        </w:rPr>
      </w:pPr>
      <w:r w:rsidRPr="00162B84">
        <w:rPr>
          <w:rFonts w:eastAsia="Calibri" w:cs="Tahoma"/>
          <w:bCs/>
          <w:iCs/>
          <w:color w:val="auto"/>
          <w:lang w:val="es-ES" w:eastAsia="en-US"/>
        </w:rPr>
        <w:t xml:space="preserve">Ahora bien, en el caso de que el domicilio corresponda al lugar donde realiza sus actividades empresariales, como es el caso de las personas morales, se considera necesario traer a colación, </w:t>
      </w:r>
      <w:r w:rsidRPr="00162B84">
        <w:rPr>
          <w:rFonts w:eastAsia="Calibri" w:cs="Tahoma"/>
          <w:bCs/>
          <w:color w:val="auto"/>
          <w:lang w:eastAsia="en-US"/>
        </w:rPr>
        <w:t>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13384F77" w14:textId="77777777" w:rsidR="001C5240" w:rsidRPr="00162B84" w:rsidRDefault="001C5240" w:rsidP="00162B84">
      <w:pPr>
        <w:spacing w:after="0" w:line="360" w:lineRule="auto"/>
        <w:rPr>
          <w:rFonts w:eastAsia="Times New Roman" w:cs="Tahoma"/>
          <w:color w:val="auto"/>
          <w:lang w:eastAsia="es-ES"/>
        </w:rPr>
      </w:pPr>
    </w:p>
    <w:p w14:paraId="48DBF614" w14:textId="77777777" w:rsidR="00162B84" w:rsidRDefault="00162B84" w:rsidP="00162B84">
      <w:pPr>
        <w:spacing w:after="0" w:line="360" w:lineRule="auto"/>
        <w:jc w:val="center"/>
        <w:rPr>
          <w:rFonts w:eastAsia="Times New Roman" w:cs="Tahoma"/>
          <w:color w:val="auto"/>
          <w:lang w:eastAsia="es-ES"/>
        </w:rPr>
      </w:pPr>
      <w:r w:rsidRPr="00162B84">
        <w:rPr>
          <w:rFonts w:eastAsia="Times New Roman" w:cs="Tahoma"/>
          <w:noProof/>
          <w:color w:val="auto"/>
        </w:rPr>
        <w:drawing>
          <wp:inline distT="0" distB="0" distL="0" distR="0" wp14:anchorId="12D2B9F0" wp14:editId="72FBF1E6">
            <wp:extent cx="5040000" cy="677475"/>
            <wp:effectExtent l="0" t="0" r="0" b="8890"/>
            <wp:docPr id="5769594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b="18367"/>
                    <a:stretch>
                      <a:fillRect/>
                    </a:stretch>
                  </pic:blipFill>
                  <pic:spPr bwMode="auto">
                    <a:xfrm>
                      <a:off x="0" y="0"/>
                      <a:ext cx="5040000" cy="677475"/>
                    </a:xfrm>
                    <a:prstGeom prst="rect">
                      <a:avLst/>
                    </a:prstGeom>
                    <a:noFill/>
                    <a:ln>
                      <a:noFill/>
                    </a:ln>
                  </pic:spPr>
                </pic:pic>
              </a:graphicData>
            </a:graphic>
          </wp:inline>
        </w:drawing>
      </w:r>
    </w:p>
    <w:p w14:paraId="397C341C" w14:textId="77777777" w:rsidR="00162B84" w:rsidRPr="00162B84" w:rsidRDefault="00162B84" w:rsidP="00162B84">
      <w:pPr>
        <w:spacing w:after="0" w:line="360" w:lineRule="auto"/>
        <w:jc w:val="center"/>
        <w:rPr>
          <w:rFonts w:eastAsia="Times New Roman" w:cs="Tahoma"/>
          <w:color w:val="auto"/>
          <w:lang w:eastAsia="es-ES"/>
        </w:rPr>
      </w:pPr>
      <w:r w:rsidRPr="00162B84">
        <w:rPr>
          <w:rFonts w:ascii="Times New Roman" w:eastAsia="Times New Roman" w:hAnsi="Times New Roman" w:cs="Times New Roman"/>
          <w:noProof/>
          <w:color w:val="auto"/>
          <w:sz w:val="20"/>
          <w:szCs w:val="20"/>
        </w:rPr>
        <mc:AlternateContent>
          <mc:Choice Requires="wps">
            <w:drawing>
              <wp:anchor distT="0" distB="0" distL="114300" distR="114300" simplePos="0" relativeHeight="251659264" behindDoc="0" locked="0" layoutInCell="1" allowOverlap="1" wp14:anchorId="19EF6234" wp14:editId="4E7043C2">
                <wp:simplePos x="0" y="0"/>
                <wp:positionH relativeFrom="margin">
                  <wp:posOffset>434340</wp:posOffset>
                </wp:positionH>
                <wp:positionV relativeFrom="paragraph">
                  <wp:posOffset>1724025</wp:posOffset>
                </wp:positionV>
                <wp:extent cx="5011420" cy="1257300"/>
                <wp:effectExtent l="19050" t="19050" r="17780" b="19050"/>
                <wp:wrapNone/>
                <wp:docPr id="17" name="Rectángulo 17"/>
                <wp:cNvGraphicFramePr/>
                <a:graphic xmlns:a="http://schemas.openxmlformats.org/drawingml/2006/main">
                  <a:graphicData uri="http://schemas.microsoft.com/office/word/2010/wordprocessingShape">
                    <wps:wsp>
                      <wps:cNvSpPr/>
                      <wps:spPr>
                        <a:xfrm>
                          <a:off x="0" y="0"/>
                          <a:ext cx="5011420" cy="1257300"/>
                        </a:xfrm>
                        <a:prstGeom prst="rect">
                          <a:avLst/>
                        </a:prstGeom>
                        <a:noFill/>
                        <a:ln w="381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36D7E7" id="Rectángulo 17" o:spid="_x0000_s1026" style="position:absolute;margin-left:34.2pt;margin-top:135.75pt;width:394.6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" filled="f" strokecolor="windowText" strokeweight="3pt">
                <w10:wrap anchorx="margin"/>
              </v:rect>
            </w:pict>
          </mc:Fallback>
        </mc:AlternateContent>
      </w:r>
      <w:r w:rsidRPr="00162B84">
        <w:rPr>
          <w:rFonts w:eastAsia="Times New Roman" w:cs="Tahoma"/>
          <w:noProof/>
          <w:color w:val="auto"/>
        </w:rPr>
        <w:drawing>
          <wp:inline distT="0" distB="0" distL="0" distR="0" wp14:anchorId="33FE8F45" wp14:editId="0DE5B3DB">
            <wp:extent cx="5040000" cy="3015822"/>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0000" cy="3015822"/>
                    </a:xfrm>
                    <a:prstGeom prst="rect">
                      <a:avLst/>
                    </a:prstGeom>
                    <a:noFill/>
                    <a:ln>
                      <a:noFill/>
                    </a:ln>
                  </pic:spPr>
                </pic:pic>
              </a:graphicData>
            </a:graphic>
          </wp:inline>
        </w:drawing>
      </w:r>
    </w:p>
    <w:p w14:paraId="6CE7DDA7" w14:textId="77777777" w:rsidR="00162B84" w:rsidRPr="00162B84" w:rsidRDefault="00162B84" w:rsidP="00162B84">
      <w:pPr>
        <w:spacing w:after="0" w:line="360" w:lineRule="auto"/>
        <w:rPr>
          <w:rFonts w:eastAsia="Times New Roman" w:cs="Tahoma"/>
          <w:color w:val="auto"/>
          <w:lang w:eastAsia="es-ES"/>
        </w:rPr>
      </w:pPr>
    </w:p>
    <w:p w14:paraId="162F3473" w14:textId="77777777" w:rsidR="00162B84" w:rsidRPr="00162B84" w:rsidRDefault="00162B84" w:rsidP="00162B84">
      <w:pPr>
        <w:spacing w:after="0" w:line="360" w:lineRule="auto"/>
        <w:ind w:right="-93"/>
        <w:rPr>
          <w:rFonts w:eastAsia="Times New Roman" w:cs="Tahoma"/>
          <w:color w:val="auto"/>
          <w:lang w:val="es-ES" w:eastAsia="es-ES"/>
        </w:rPr>
      </w:pPr>
      <w:r w:rsidRPr="00162B84">
        <w:rPr>
          <w:rFonts w:eastAsia="Times New Roman" w:cs="Tahoma"/>
          <w:color w:val="auto"/>
          <w:lang w:val="es-ES" w:eastAsia="es-ES"/>
        </w:rPr>
        <w:t>Como se logra observar, es obligación de transparencia proporcionar el domicilio fiscal de los proveedores, por lo que, se considera que, en el caso, de que dicho dato, corresponda a un local o lugar donde realice sus actividades empresariales, se debe entregar.</w:t>
      </w:r>
    </w:p>
    <w:p w14:paraId="2BFBDF18" w14:textId="77777777" w:rsidR="00162B84" w:rsidRPr="00162B84" w:rsidRDefault="00162B84" w:rsidP="00162B84">
      <w:pPr>
        <w:spacing w:after="0" w:line="360" w:lineRule="auto"/>
        <w:ind w:right="-93"/>
        <w:rPr>
          <w:rFonts w:eastAsia="Calibri" w:cs="Tahoma"/>
          <w:bCs/>
          <w:iCs/>
          <w:color w:val="auto"/>
          <w:lang w:val="es-ES" w:eastAsia="en-US"/>
        </w:rPr>
      </w:pPr>
    </w:p>
    <w:p w14:paraId="78AA61D9" w14:textId="77777777" w:rsidR="00162B84" w:rsidRPr="00162B84" w:rsidRDefault="00162B84" w:rsidP="00162B84">
      <w:pPr>
        <w:spacing w:after="0" w:line="360" w:lineRule="auto"/>
        <w:rPr>
          <w:rFonts w:eastAsia="Times New Roman" w:cs="Tahoma"/>
          <w:color w:val="auto"/>
          <w:lang w:eastAsia="es-ES"/>
        </w:rPr>
      </w:pPr>
      <w:r w:rsidRPr="00162B84">
        <w:rPr>
          <w:rFonts w:eastAsia="Times New Roman" w:cs="Tahoma"/>
          <w:color w:val="auto"/>
          <w:lang w:eastAsia="es-ES"/>
        </w:rPr>
        <w:t>De tal suerte que, tratándose de proveedores (personas físicas o jurídico-colectivas), el domicilio fiscal, no actualiza la causal de clasificación, establecida en el artículo 143, fracción I de la Ley de Transparencia y Acceso a la Información Pública del Estado de México y Municipios.</w:t>
      </w:r>
    </w:p>
    <w:p w14:paraId="6024DE28" w14:textId="77777777" w:rsidR="00162B84" w:rsidRPr="00162B84" w:rsidRDefault="00162B84" w:rsidP="00162B84">
      <w:pPr>
        <w:spacing w:after="0" w:line="360" w:lineRule="auto"/>
        <w:contextualSpacing/>
        <w:rPr>
          <w:rFonts w:eastAsia="Times New Roman" w:cs="Arial"/>
          <w:color w:val="auto"/>
          <w:lang w:eastAsia="es-ES"/>
        </w:rPr>
      </w:pPr>
    </w:p>
    <w:p w14:paraId="38591CB7" w14:textId="2975234A" w:rsidR="00162B84" w:rsidRPr="00162B84" w:rsidRDefault="00162B84" w:rsidP="00162B84">
      <w:pPr>
        <w:numPr>
          <w:ilvl w:val="0"/>
          <w:numId w:val="41"/>
        </w:numPr>
        <w:spacing w:after="0" w:line="360" w:lineRule="auto"/>
        <w:contextualSpacing/>
        <w:jc w:val="left"/>
        <w:rPr>
          <w:rFonts w:eastAsia="Calibri" w:cs="Tahoma"/>
          <w:b/>
          <w:color w:val="auto"/>
          <w:lang w:eastAsia="en-US"/>
        </w:rPr>
      </w:pPr>
      <w:bookmarkStart w:id="32" w:name="_Hlk187836290"/>
      <w:r w:rsidRPr="00162B84">
        <w:rPr>
          <w:rFonts w:eastAsia="Calibri" w:cs="Tahoma"/>
          <w:b/>
          <w:color w:val="auto"/>
          <w:lang w:eastAsia="en-US"/>
        </w:rPr>
        <w:t>Clave de registro o elector de</w:t>
      </w:r>
      <w:r>
        <w:rPr>
          <w:rFonts w:eastAsia="Calibri" w:cs="Tahoma"/>
          <w:b/>
          <w:color w:val="auto"/>
          <w:lang w:eastAsia="en-US"/>
        </w:rPr>
        <w:t xml:space="preserve"> proveedores, contratistas o</w:t>
      </w:r>
      <w:r w:rsidRPr="00162B84">
        <w:rPr>
          <w:rFonts w:eastAsia="Calibri" w:cs="Tahoma"/>
          <w:b/>
          <w:color w:val="auto"/>
          <w:lang w:eastAsia="en-US"/>
        </w:rPr>
        <w:t xml:space="preserve"> representante legal</w:t>
      </w:r>
      <w:bookmarkEnd w:id="32"/>
    </w:p>
    <w:p w14:paraId="4DAF73D1" w14:textId="77777777" w:rsidR="00162B84" w:rsidRDefault="00162B84" w:rsidP="00162B84">
      <w:pPr>
        <w:spacing w:after="0" w:line="360" w:lineRule="auto"/>
        <w:contextualSpacing/>
        <w:rPr>
          <w:rFonts w:eastAsia="Times New Roman" w:cs="Arial"/>
          <w:color w:val="auto"/>
          <w:lang w:eastAsia="es-ES"/>
        </w:rPr>
      </w:pPr>
    </w:p>
    <w:p w14:paraId="5EFB02DF" w14:textId="77777777" w:rsidR="00162B84" w:rsidRPr="00162B84" w:rsidRDefault="00162B84" w:rsidP="00162B84">
      <w:pPr>
        <w:spacing w:after="0" w:line="360" w:lineRule="auto"/>
        <w:contextualSpacing/>
        <w:rPr>
          <w:rFonts w:eastAsia="Times New Roman" w:cs="Arial"/>
          <w:color w:val="auto"/>
          <w:lang w:eastAsia="es-ES"/>
        </w:rPr>
      </w:pPr>
      <w:r w:rsidRPr="00162B84">
        <w:rPr>
          <w:rFonts w:eastAsia="Times New Roman" w:cs="Arial"/>
          <w:color w:val="auto"/>
          <w:lang w:eastAsia="es-ES"/>
        </w:rPr>
        <w:t>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identifica el género y una homoclave compuesta de tres dígitos, dando un total de 18 caracteres.</w:t>
      </w:r>
    </w:p>
    <w:p w14:paraId="5EAA1F11" w14:textId="77777777" w:rsidR="00162B84" w:rsidRPr="00162B84" w:rsidRDefault="00162B84" w:rsidP="00162B84">
      <w:pPr>
        <w:spacing w:after="0" w:line="360" w:lineRule="auto"/>
        <w:contextualSpacing/>
        <w:rPr>
          <w:rFonts w:eastAsia="Times New Roman" w:cs="Arial"/>
          <w:color w:val="auto"/>
          <w:lang w:eastAsia="es-ES"/>
        </w:rPr>
      </w:pPr>
    </w:p>
    <w:p w14:paraId="3F76CB42" w14:textId="77777777" w:rsidR="00162B84" w:rsidRPr="00162B84" w:rsidRDefault="00162B84" w:rsidP="00162B84">
      <w:pPr>
        <w:spacing w:after="0" w:line="360" w:lineRule="auto"/>
        <w:contextualSpacing/>
        <w:rPr>
          <w:rFonts w:eastAsia="Times New Roman" w:cs="Arial"/>
          <w:color w:val="auto"/>
          <w:lang w:eastAsia="es-ES"/>
        </w:rPr>
      </w:pPr>
      <w:r w:rsidRPr="00162B84">
        <w:rPr>
          <w:rFonts w:eastAsia="Times New Roman" w:cs="Arial"/>
          <w:color w:val="auto"/>
          <w:lang w:eastAsia="es-ES"/>
        </w:rPr>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14:paraId="4B607506" w14:textId="77777777" w:rsidR="00162B84" w:rsidRPr="00162B84" w:rsidRDefault="00162B84" w:rsidP="00162B84">
      <w:pPr>
        <w:spacing w:after="0" w:line="360" w:lineRule="auto"/>
        <w:contextualSpacing/>
        <w:rPr>
          <w:rFonts w:eastAsia="Times New Roman" w:cs="Arial"/>
          <w:color w:val="auto"/>
          <w:lang w:eastAsia="es-ES"/>
        </w:rPr>
      </w:pPr>
    </w:p>
    <w:p w14:paraId="4E763D0C" w14:textId="77777777" w:rsidR="00162B84" w:rsidRPr="00162B84" w:rsidRDefault="00162B84" w:rsidP="00162B84">
      <w:pPr>
        <w:spacing w:after="0" w:line="360" w:lineRule="auto"/>
        <w:contextualSpacing/>
        <w:rPr>
          <w:rFonts w:eastAsia="Times New Roman" w:cs="Arial"/>
          <w:b/>
          <w:bCs/>
          <w:color w:val="auto"/>
          <w:lang w:eastAsia="es-ES"/>
        </w:rPr>
      </w:pPr>
      <w:r w:rsidRPr="00162B84">
        <w:rPr>
          <w:rFonts w:eastAsia="Times New Roman" w:cs="Arial"/>
          <w:color w:val="auto"/>
          <w:lang w:eastAsia="es-ES"/>
        </w:rPr>
        <w:t xml:space="preserve">Por lo tanto, al ser un dato que hace reconocible a una persona física, </w:t>
      </w:r>
      <w:r w:rsidRPr="00162B84">
        <w:rPr>
          <w:rFonts w:eastAsia="Times New Roman" w:cs="Arial"/>
          <w:b/>
          <w:bCs/>
          <w:color w:val="auto"/>
          <w:lang w:eastAsia="es-ES"/>
        </w:rPr>
        <w:t>resulta procedente su clasificación como información confidencial en términos de lo dispuesto por el artículo 143, fracción I de la Ley de Transparencia y Acceso a la Información Pública del Estado de México y Municipios.</w:t>
      </w:r>
    </w:p>
    <w:p w14:paraId="2910D558" w14:textId="77777777" w:rsidR="00162B84" w:rsidRPr="00162B84" w:rsidRDefault="00162B84" w:rsidP="00162B84">
      <w:pPr>
        <w:spacing w:after="0" w:line="360" w:lineRule="auto"/>
        <w:contextualSpacing/>
        <w:rPr>
          <w:rFonts w:eastAsia="Times New Roman" w:cs="Arial"/>
          <w:color w:val="auto"/>
          <w:lang w:eastAsia="es-ES"/>
        </w:rPr>
      </w:pPr>
    </w:p>
    <w:p w14:paraId="05D55E99" w14:textId="5AE86627" w:rsidR="00162B84" w:rsidRPr="00162B84" w:rsidRDefault="00162B84" w:rsidP="00162B84">
      <w:pPr>
        <w:numPr>
          <w:ilvl w:val="0"/>
          <w:numId w:val="42"/>
        </w:numPr>
        <w:spacing w:after="0" w:line="360" w:lineRule="auto"/>
        <w:contextualSpacing/>
        <w:jc w:val="left"/>
        <w:rPr>
          <w:rFonts w:eastAsia="Calibri" w:cs="Tahoma"/>
          <w:b/>
          <w:bCs/>
          <w:iCs/>
          <w:color w:val="000000"/>
          <w:szCs w:val="24"/>
          <w:lang w:val="es-ES" w:eastAsia="es-ES"/>
        </w:rPr>
      </w:pPr>
      <w:bookmarkStart w:id="33" w:name="_Hlk187836319"/>
      <w:r w:rsidRPr="00162B84">
        <w:rPr>
          <w:rFonts w:eastAsia="Calibri" w:cs="Tahoma"/>
          <w:b/>
          <w:bCs/>
          <w:iCs/>
          <w:color w:val="000000"/>
          <w:szCs w:val="24"/>
          <w:lang w:val="es-ES" w:eastAsia="es-ES"/>
        </w:rPr>
        <w:t>Cuenta bancaria y clave interbancaria de</w:t>
      </w:r>
      <w:r>
        <w:rPr>
          <w:rFonts w:eastAsia="Calibri" w:cs="Tahoma"/>
          <w:b/>
          <w:bCs/>
          <w:iCs/>
          <w:color w:val="000000"/>
          <w:szCs w:val="24"/>
          <w:lang w:val="es-ES" w:eastAsia="es-ES"/>
        </w:rPr>
        <w:t xml:space="preserve"> proveedores y contratistas</w:t>
      </w:r>
    </w:p>
    <w:bookmarkEnd w:id="33"/>
    <w:p w14:paraId="659ACDF3" w14:textId="77777777" w:rsidR="00162B84" w:rsidRPr="00162B84" w:rsidRDefault="00162B84" w:rsidP="00162B84">
      <w:pPr>
        <w:spacing w:after="0" w:line="360" w:lineRule="auto"/>
        <w:rPr>
          <w:rFonts w:eastAsia="Calibri" w:cs="Tahoma"/>
          <w:bCs/>
          <w:color w:val="auto"/>
          <w:lang w:eastAsia="en-US"/>
        </w:rPr>
      </w:pPr>
    </w:p>
    <w:p w14:paraId="7EDBD038" w14:textId="77777777" w:rsidR="00162B84" w:rsidRPr="00162B84" w:rsidRDefault="00162B84" w:rsidP="00162B84">
      <w:pPr>
        <w:spacing w:after="0" w:line="360" w:lineRule="auto"/>
        <w:rPr>
          <w:rFonts w:eastAsia="Calibri" w:cs="Tahoma"/>
          <w:bCs/>
          <w:color w:val="auto"/>
          <w:lang w:eastAsia="en-US"/>
        </w:rPr>
      </w:pPr>
      <w:r w:rsidRPr="00162B84">
        <w:rPr>
          <w:rFonts w:eastAsia="Calibri" w:cs="Tahoma"/>
          <w:bCs/>
          <w:color w:val="auto"/>
          <w:lang w:eastAsia="en-US"/>
        </w:rPr>
        <w:t>Al respecto, se estima que dichos datos se relacionan con hechos y actos de carácter económico, pues los mismos darían cuenta, de la relación que tiene una institución financiero con un particular, ya sea persona física o moral; además, que con dicha información se podría obtener los recursos enviados a las órdenes de cargo, pago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51CFF897" w14:textId="77777777" w:rsidR="00162B84" w:rsidRPr="00162B84" w:rsidRDefault="00162B84" w:rsidP="00162B84">
      <w:pPr>
        <w:spacing w:after="0" w:line="360" w:lineRule="auto"/>
        <w:rPr>
          <w:rFonts w:eastAsia="Calibri" w:cs="Tahoma"/>
          <w:bCs/>
          <w:color w:val="auto"/>
          <w:lang w:eastAsia="en-US"/>
        </w:rPr>
      </w:pPr>
      <w:r w:rsidRPr="00162B84">
        <w:rPr>
          <w:rFonts w:eastAsia="Calibri" w:cs="Tahoma"/>
          <w:bCs/>
          <w:color w:val="auto"/>
          <w:lang w:eastAsia="en-US"/>
        </w:rPr>
        <w:t> </w:t>
      </w:r>
    </w:p>
    <w:p w14:paraId="3280A9A0" w14:textId="77777777" w:rsidR="00162B84" w:rsidRPr="00162B84" w:rsidRDefault="00162B84" w:rsidP="00162B84">
      <w:pPr>
        <w:spacing w:after="0" w:line="360" w:lineRule="auto"/>
        <w:rPr>
          <w:rFonts w:eastAsia="Calibri" w:cs="Tahoma"/>
          <w:bCs/>
          <w:color w:val="auto"/>
          <w:lang w:eastAsia="en-US"/>
        </w:rPr>
      </w:pPr>
      <w:r w:rsidRPr="00162B84">
        <w:rPr>
          <w:rFonts w:eastAsia="Calibri" w:cs="Tahoma"/>
          <w:bCs/>
          <w:color w:val="auto"/>
          <w:lang w:eastAsia="en-US"/>
        </w:rPr>
        <w:t xml:space="preserve">A mayor abundamiento, resulta necesario traer a colación el </w:t>
      </w:r>
      <w:r w:rsidRPr="00162B84">
        <w:rPr>
          <w:rFonts w:eastAsia="Times New Roman" w:cs="Tahoma"/>
          <w:bCs/>
          <w:iCs/>
          <w:color w:val="auto"/>
          <w:lang w:val="es-ES" w:eastAsia="es-ES"/>
        </w:rPr>
        <w:t xml:space="preserve">Criterio de Interpretación, de la Segunda Época, con número de registro </w:t>
      </w:r>
      <w:r w:rsidRPr="00162B84">
        <w:rPr>
          <w:rFonts w:eastAsia="Times New Roman" w:cs="Tahoma"/>
          <w:bCs/>
          <w:iCs/>
          <w:color w:val="auto"/>
          <w:lang w:eastAsia="es-ES"/>
        </w:rPr>
        <w:t xml:space="preserve">SO/010/2017, </w:t>
      </w:r>
      <w:r w:rsidRPr="00162B84">
        <w:rPr>
          <w:rFonts w:eastAsia="Times New Roman" w:cs="Tahoma"/>
          <w:bCs/>
          <w:iCs/>
          <w:color w:val="auto"/>
          <w:lang w:val="es-ES" w:eastAsia="es-ES"/>
        </w:rPr>
        <w:t>emitido por el Instituto Nacional de Transparencia, Acceso a la Información y Protección de Datos Personales</w:t>
      </w:r>
      <w:r w:rsidRPr="00162B84">
        <w:rPr>
          <w:rFonts w:eastAsia="Calibri" w:cs="Tahoma"/>
          <w:bCs/>
          <w:color w:val="auto"/>
          <w:lang w:eastAsia="en-US"/>
        </w:rPr>
        <w:t>, mismo que establece lo siguiente:</w:t>
      </w:r>
    </w:p>
    <w:p w14:paraId="0CF820C4" w14:textId="77777777" w:rsidR="00162B84" w:rsidRPr="00162B84" w:rsidRDefault="00162B84" w:rsidP="00162B84">
      <w:pPr>
        <w:spacing w:after="0" w:line="360" w:lineRule="auto"/>
        <w:rPr>
          <w:rFonts w:eastAsia="Calibri" w:cs="Tahoma"/>
          <w:bCs/>
          <w:color w:val="auto"/>
          <w:lang w:eastAsia="en-US"/>
        </w:rPr>
      </w:pPr>
      <w:r w:rsidRPr="00162B84">
        <w:rPr>
          <w:rFonts w:eastAsia="Calibri" w:cs="Tahoma"/>
          <w:bCs/>
          <w:color w:val="auto"/>
          <w:lang w:eastAsia="en-US"/>
        </w:rPr>
        <w:t> </w:t>
      </w:r>
    </w:p>
    <w:p w14:paraId="260DB72D" w14:textId="77777777" w:rsidR="00162B84" w:rsidRPr="00162B84" w:rsidRDefault="00162B84" w:rsidP="00162B84">
      <w:pPr>
        <w:spacing w:after="0" w:line="360" w:lineRule="auto"/>
        <w:ind w:left="567" w:right="567"/>
        <w:rPr>
          <w:rFonts w:eastAsia="Calibri" w:cs="Tahoma"/>
          <w:bCs/>
          <w:i/>
          <w:color w:val="auto"/>
          <w:sz w:val="20"/>
          <w:szCs w:val="20"/>
          <w:lang w:eastAsia="en-US"/>
        </w:rPr>
      </w:pPr>
      <w:r w:rsidRPr="00162B84">
        <w:rPr>
          <w:rFonts w:eastAsia="Calibri" w:cs="Tahoma"/>
          <w:bCs/>
          <w:i/>
          <w:color w:val="auto"/>
          <w:sz w:val="20"/>
          <w:szCs w:val="20"/>
          <w:lang w:eastAsia="en-US"/>
        </w:rPr>
        <w:t>“</w:t>
      </w:r>
      <w:r w:rsidRPr="00162B84">
        <w:rPr>
          <w:rFonts w:eastAsia="Calibri" w:cs="Tahoma"/>
          <w:b/>
          <w:bCs/>
          <w:i/>
          <w:color w:val="auto"/>
          <w:sz w:val="20"/>
          <w:szCs w:val="20"/>
          <w:lang w:eastAsia="en-US"/>
        </w:rPr>
        <w:t>Cuentas bancarias y/o CLABE interbancaria de personas físicas y morales privadas.</w:t>
      </w:r>
      <w:r w:rsidRPr="00162B84">
        <w:rPr>
          <w:rFonts w:eastAsia="Calibri" w:cs="Tahoma"/>
          <w:bCs/>
          <w:i/>
          <w:color w:val="auto"/>
          <w:sz w:val="20"/>
          <w:szCs w:val="20"/>
          <w:lang w:eastAsia="en-US"/>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739071F" w14:textId="77777777" w:rsidR="00162B84" w:rsidRPr="00162B84" w:rsidRDefault="00162B84" w:rsidP="00162B84">
      <w:pPr>
        <w:spacing w:after="0" w:line="360" w:lineRule="auto"/>
        <w:rPr>
          <w:rFonts w:eastAsia="Calibri" w:cs="Tahoma"/>
          <w:bCs/>
          <w:color w:val="auto"/>
          <w:lang w:eastAsia="en-US"/>
        </w:rPr>
      </w:pPr>
      <w:r w:rsidRPr="00162B84">
        <w:rPr>
          <w:rFonts w:eastAsia="Calibri" w:cs="Tahoma"/>
          <w:bCs/>
          <w:color w:val="auto"/>
          <w:lang w:eastAsia="en-US"/>
        </w:rPr>
        <w:t> </w:t>
      </w:r>
    </w:p>
    <w:p w14:paraId="61D31EEE" w14:textId="77777777" w:rsidR="00162B84" w:rsidRDefault="00162B84" w:rsidP="00162B84">
      <w:pPr>
        <w:spacing w:after="0" w:line="360" w:lineRule="auto"/>
        <w:rPr>
          <w:rFonts w:eastAsia="Calibri" w:cs="Tahoma"/>
          <w:bCs/>
          <w:color w:val="auto"/>
          <w:lang w:eastAsia="en-US"/>
        </w:rPr>
      </w:pPr>
      <w:r w:rsidRPr="00162B84">
        <w:rPr>
          <w:rFonts w:eastAsia="Calibri" w:cs="Tahoma"/>
          <w:bCs/>
          <w:color w:val="auto"/>
          <w:lang w:eastAsia="en-US"/>
        </w:rPr>
        <w:t xml:space="preserve">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proveedor y procede su eliminación de conformidad con el artículo 143, fracción I, de la Ley de Transparencia y Acceso a la Información Pública del Estado de México y Municipios. </w:t>
      </w:r>
    </w:p>
    <w:p w14:paraId="36CF8E90" w14:textId="77777777" w:rsidR="00162B84" w:rsidRPr="00162B84" w:rsidRDefault="00162B84" w:rsidP="00162B84">
      <w:pPr>
        <w:spacing w:after="0" w:line="360" w:lineRule="auto"/>
        <w:rPr>
          <w:rFonts w:eastAsia="Calibri" w:cs="Tahoma"/>
          <w:bCs/>
          <w:color w:val="auto"/>
          <w:lang w:eastAsia="en-US"/>
        </w:rPr>
      </w:pPr>
    </w:p>
    <w:p w14:paraId="738139F9" w14:textId="0B3E259F" w:rsidR="00162B84" w:rsidRDefault="00162B84" w:rsidP="00162B84">
      <w:pPr>
        <w:spacing w:line="360" w:lineRule="auto"/>
        <w:contextualSpacing/>
        <w:rPr>
          <w:rFonts w:cs="Tahoma"/>
          <w:bCs/>
          <w:iCs/>
          <w:lang w:val="es-ES"/>
        </w:rPr>
      </w:pPr>
      <w:r>
        <w:rPr>
          <w:rFonts w:cs="Tahoma"/>
          <w:bCs/>
          <w:iCs/>
          <w:lang w:val="es-ES_tradnl"/>
        </w:rPr>
        <w:t>Conforme a lo anterior, deberá entregar los documentos referidos en versión pública, tomando en consideración el análisis realizado en párrafos anteriores</w:t>
      </w:r>
      <w:r w:rsidRPr="000B1A90">
        <w:rPr>
          <w:rFonts w:cs="Tahoma"/>
          <w:bCs/>
          <w:iCs/>
          <w:lang w:val="es-ES_tradnl"/>
        </w:rPr>
        <w:t>; a</w:t>
      </w:r>
      <w:r w:rsidRPr="000B1A90">
        <w:rPr>
          <w:rFonts w:cs="Tahoma"/>
          <w:bCs/>
          <w:iCs/>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3F99E810" w14:textId="77777777" w:rsidR="00162B84" w:rsidRPr="000B1A90" w:rsidRDefault="00162B84" w:rsidP="00162B84">
      <w:pPr>
        <w:spacing w:line="360" w:lineRule="auto"/>
        <w:contextualSpacing/>
        <w:rPr>
          <w:rFonts w:cs="Tahoma"/>
          <w:bCs/>
          <w:iCs/>
          <w:lang w:val="es-ES"/>
        </w:rPr>
      </w:pPr>
    </w:p>
    <w:p w14:paraId="0E688927" w14:textId="77777777" w:rsidR="00162B84" w:rsidRPr="000B1A90" w:rsidRDefault="00162B84" w:rsidP="00162B84">
      <w:pPr>
        <w:spacing w:line="360" w:lineRule="auto"/>
        <w:contextualSpacing/>
        <w:rPr>
          <w:rFonts w:eastAsia="Calibri"/>
        </w:rPr>
      </w:pPr>
      <w:r w:rsidRPr="000B1A90">
        <w:rPr>
          <w:rFonts w:cs="Tahoma"/>
          <w:bCs/>
          <w:iCs/>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22167EE" w14:textId="6A35EE92" w:rsidR="00E47FA5" w:rsidRDefault="00162B84" w:rsidP="007F72D0">
      <w:pPr>
        <w:widowControl w:val="0"/>
        <w:autoSpaceDE w:val="0"/>
        <w:autoSpaceDN w:val="0"/>
        <w:adjustRightInd w:val="0"/>
        <w:spacing w:after="0" w:line="360" w:lineRule="auto"/>
        <w:contextualSpacing/>
        <w:rPr>
          <w:rFonts w:eastAsia="Times New Roman" w:cs="Times New Roman"/>
          <w:color w:val="auto"/>
          <w:lang w:eastAsia="es-ES"/>
        </w:rPr>
      </w:pPr>
      <w:r>
        <w:rPr>
          <w:rFonts w:eastAsia="Times New Roman" w:cs="Times New Roman"/>
          <w:color w:val="auto"/>
          <w:lang w:eastAsia="es-ES"/>
        </w:rPr>
        <w:t xml:space="preserve"> </w:t>
      </w:r>
    </w:p>
    <w:p w14:paraId="46F8DA3E" w14:textId="6199CAF2" w:rsidR="00B06F89" w:rsidRPr="00B06F89" w:rsidRDefault="00B06F89" w:rsidP="0073428E">
      <w:pPr>
        <w:pStyle w:val="Ttulo2"/>
        <w:spacing w:before="0" w:after="0"/>
        <w:rPr>
          <w:lang w:eastAsia="en-US"/>
        </w:rPr>
      </w:pPr>
      <w:bookmarkStart w:id="34" w:name="_Toc188530418"/>
      <w:r w:rsidRPr="00B06F89">
        <w:rPr>
          <w:lang w:eastAsia="en-US"/>
        </w:rPr>
        <w:t>SEXTO. Decisión</w:t>
      </w:r>
      <w:bookmarkEnd w:id="34"/>
    </w:p>
    <w:p w14:paraId="53D95AC8" w14:textId="77777777" w:rsidR="00B06F89" w:rsidRPr="00B06F89" w:rsidRDefault="00B06F89" w:rsidP="007F72D0">
      <w:pPr>
        <w:spacing w:after="0" w:line="360" w:lineRule="auto"/>
        <w:contextualSpacing/>
        <w:rPr>
          <w:rFonts w:eastAsia="Calibri" w:cs="Tahoma"/>
          <w:b/>
          <w:lang w:eastAsia="en-US"/>
        </w:rPr>
      </w:pPr>
    </w:p>
    <w:p w14:paraId="73060246" w14:textId="628DADB0" w:rsidR="00162B84" w:rsidRDefault="00162B84" w:rsidP="00162B84">
      <w:pPr>
        <w:spacing w:after="0" w:line="360" w:lineRule="auto"/>
        <w:rPr>
          <w:rFonts w:cs="Tahoma"/>
        </w:rPr>
      </w:pPr>
      <w:r>
        <w:rPr>
          <w:rFonts w:cs="Tahoma"/>
        </w:rPr>
        <w:t xml:space="preserve">Con fundamento en el artículo 186, fracción III, de la Ley de Transparencia y Acceso a la Información Pública del Estado de México y Municipios, este Instituto considera procedente </w:t>
      </w:r>
      <w:r>
        <w:rPr>
          <w:b/>
          <w:bCs/>
        </w:rPr>
        <w:t>MODIFICAR</w:t>
      </w:r>
      <w:r>
        <w:rPr>
          <w:rFonts w:cs="Tahoma"/>
        </w:rPr>
        <w:t xml:space="preserve"> la respuesta otorgada por el Sujeto Obligado, a efecto de que entregue, la información faltante.</w:t>
      </w:r>
    </w:p>
    <w:p w14:paraId="1C93B510" w14:textId="77777777" w:rsidR="00162B84" w:rsidRDefault="00162B84" w:rsidP="00162B84">
      <w:pPr>
        <w:spacing w:after="0" w:line="360" w:lineRule="auto"/>
        <w:rPr>
          <w:rFonts w:cs="Tahoma"/>
          <w:color w:val="auto"/>
        </w:rPr>
      </w:pPr>
    </w:p>
    <w:p w14:paraId="12220F62" w14:textId="35BCAD63" w:rsidR="00B06F89" w:rsidRPr="00B06F89" w:rsidRDefault="00B06F89" w:rsidP="007F72D0">
      <w:pPr>
        <w:spacing w:after="0" w:line="360" w:lineRule="auto"/>
        <w:contextualSpacing/>
        <w:rPr>
          <w:rFonts w:eastAsia="Calibri" w:cs="Tahoma"/>
          <w:b/>
          <w:bCs/>
          <w:lang w:eastAsia="en-US"/>
        </w:rPr>
      </w:pPr>
      <w:r w:rsidRPr="00B06F89">
        <w:rPr>
          <w:rFonts w:eastAsia="Calibri" w:cs="Tahoma"/>
          <w:b/>
          <w:bCs/>
          <w:lang w:eastAsia="en-US"/>
        </w:rPr>
        <w:t>Términos de la Resolución p</w:t>
      </w:r>
      <w:r w:rsidR="00E0692D">
        <w:rPr>
          <w:rFonts w:eastAsia="Calibri" w:cs="Tahoma"/>
          <w:b/>
          <w:bCs/>
          <w:lang w:eastAsia="en-US"/>
        </w:rPr>
        <w:t>ara conocimiento del Particular</w:t>
      </w:r>
    </w:p>
    <w:p w14:paraId="3FB4DE65" w14:textId="77777777" w:rsidR="00B06F89" w:rsidRPr="00B06F89" w:rsidRDefault="00B06F89" w:rsidP="007F72D0">
      <w:pPr>
        <w:spacing w:after="0" w:line="360" w:lineRule="auto"/>
        <w:contextualSpacing/>
        <w:rPr>
          <w:rFonts w:eastAsia="Calibri" w:cs="Tahoma"/>
          <w:b/>
          <w:bCs/>
          <w:lang w:eastAsia="en-US"/>
        </w:rPr>
      </w:pPr>
    </w:p>
    <w:p w14:paraId="3AB26AA7" w14:textId="3644CCC5" w:rsidR="00162B84" w:rsidRDefault="00162B84" w:rsidP="00162B84">
      <w:pPr>
        <w:spacing w:after="0" w:line="360" w:lineRule="auto"/>
        <w:rPr>
          <w:bCs/>
          <w:color w:val="auto"/>
        </w:rPr>
      </w:pPr>
      <w:r>
        <w:t xml:space="preserve">Se le hace del conocimiento a la persona Recurrente que, en el presente asunto, se le da la razón, pues el Sujeto Obligado si bien proporcionó parte de la información solicitada, lo cierto es que omitió proporcionarle el soporte documental de la estadística entregada; por lo que, deberá </w:t>
      </w:r>
      <w:r w:rsidR="001C5240">
        <w:t>darle</w:t>
      </w:r>
      <w:r>
        <w:t xml:space="preserve"> acceso a los contratos pedidos referidos en respuesta, al ser los documentos que acreditan los procedimientos celebrados.</w:t>
      </w:r>
    </w:p>
    <w:p w14:paraId="3EA8F802" w14:textId="77777777" w:rsidR="00AF76C2" w:rsidRDefault="00AF76C2" w:rsidP="007F72D0">
      <w:pPr>
        <w:spacing w:after="0" w:line="360" w:lineRule="auto"/>
        <w:ind w:right="-28"/>
        <w:rPr>
          <w:rFonts w:eastAsia="Calibri" w:cs="Tahoma"/>
          <w:bCs/>
          <w:iCs/>
          <w:color w:val="000000"/>
          <w:lang w:eastAsia="en-US"/>
        </w:rPr>
      </w:pPr>
    </w:p>
    <w:p w14:paraId="2C87D080" w14:textId="6895D125" w:rsidR="00B06F89" w:rsidRPr="00B06F89" w:rsidRDefault="00BE68D6" w:rsidP="007F72D0">
      <w:pPr>
        <w:spacing w:after="0" w:line="360" w:lineRule="auto"/>
        <w:rPr>
          <w:rFonts w:eastAsia="Calibri" w:cs="Tahoma"/>
          <w:bCs/>
          <w:iCs/>
          <w:color w:val="auto"/>
          <w:lang w:eastAsia="en-US"/>
        </w:rPr>
      </w:pPr>
      <w:r>
        <w:rPr>
          <w:rFonts w:eastAsia="Calibri" w:cs="Tahoma"/>
          <w:bCs/>
          <w:iCs/>
          <w:color w:val="auto"/>
          <w:lang w:eastAsia="en-US"/>
        </w:rPr>
        <w:t>F</w:t>
      </w:r>
      <w:r w:rsidR="00B06F89" w:rsidRPr="00B06F89">
        <w:rPr>
          <w:rFonts w:eastAsia="Calibri" w:cs="Tahoma"/>
          <w:bCs/>
          <w:iCs/>
          <w:color w:val="auto"/>
          <w:lang w:eastAsia="en-US"/>
        </w:rPr>
        <w:t>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715682FB" w14:textId="77777777" w:rsidR="00B06F89" w:rsidRDefault="00B06F89" w:rsidP="007F72D0">
      <w:pPr>
        <w:spacing w:after="0" w:line="360" w:lineRule="auto"/>
        <w:contextualSpacing/>
        <w:rPr>
          <w:rFonts w:eastAsia="Calibri" w:cstheme="minorBidi"/>
          <w:lang w:eastAsia="en-US"/>
        </w:rPr>
      </w:pPr>
    </w:p>
    <w:p w14:paraId="1EEBD823" w14:textId="77777777" w:rsidR="00B06F89" w:rsidRPr="00B06F89" w:rsidRDefault="00B06F89" w:rsidP="007F72D0">
      <w:pPr>
        <w:spacing w:after="0" w:line="360" w:lineRule="auto"/>
        <w:contextualSpacing/>
        <w:rPr>
          <w:rFonts w:eastAsia="Calibri" w:cstheme="minorBidi"/>
          <w:lang w:eastAsia="en-US"/>
        </w:rPr>
      </w:pPr>
      <w:r w:rsidRPr="00B06F89">
        <w:rPr>
          <w:rFonts w:eastAsia="Calibri" w:cstheme="minorBidi"/>
          <w:lang w:eastAsia="en-US"/>
        </w:rPr>
        <w:t>Por lo expuesto y fundado, este Pleno:</w:t>
      </w:r>
    </w:p>
    <w:p w14:paraId="58CF816B" w14:textId="77777777" w:rsidR="00B06F89" w:rsidRPr="00B06F89" w:rsidRDefault="00B06F89" w:rsidP="007F72D0">
      <w:pPr>
        <w:spacing w:after="0" w:line="360" w:lineRule="auto"/>
        <w:contextualSpacing/>
        <w:rPr>
          <w:rFonts w:eastAsia="Calibri" w:cstheme="minorBidi"/>
          <w:b/>
          <w:bCs/>
          <w:lang w:eastAsia="en-US"/>
        </w:rPr>
      </w:pPr>
    </w:p>
    <w:p w14:paraId="2BA4C362" w14:textId="77777777" w:rsidR="00B06F89" w:rsidRPr="00B06F89" w:rsidRDefault="00B06F89" w:rsidP="0073428E">
      <w:pPr>
        <w:pStyle w:val="Ttulo1"/>
        <w:spacing w:before="0" w:after="0"/>
        <w:rPr>
          <w:lang w:eastAsia="en-US"/>
        </w:rPr>
      </w:pPr>
      <w:bookmarkStart w:id="35" w:name="_Toc188530419"/>
      <w:r w:rsidRPr="00B06F89">
        <w:rPr>
          <w:lang w:eastAsia="en-US"/>
        </w:rPr>
        <w:t>R E S U E L V E</w:t>
      </w:r>
      <w:bookmarkEnd w:id="35"/>
    </w:p>
    <w:p w14:paraId="6AE85473" w14:textId="77777777" w:rsidR="00B06F89" w:rsidRDefault="00B06F89" w:rsidP="007F72D0">
      <w:pPr>
        <w:spacing w:after="0" w:line="360" w:lineRule="auto"/>
        <w:contextualSpacing/>
        <w:rPr>
          <w:rFonts w:eastAsia="Calibri" w:cstheme="minorBidi"/>
          <w:lang w:eastAsia="en-US"/>
        </w:rPr>
      </w:pPr>
    </w:p>
    <w:p w14:paraId="2BDD4C92" w14:textId="270A3A87" w:rsidR="00162B84" w:rsidRDefault="00B06F89" w:rsidP="00162B84">
      <w:pPr>
        <w:spacing w:after="0" w:line="360" w:lineRule="auto"/>
        <w:rPr>
          <w:color w:val="auto"/>
        </w:rPr>
      </w:pPr>
      <w:r w:rsidRPr="00B06F89">
        <w:rPr>
          <w:rFonts w:eastAsia="Calibri" w:cs="Tahoma"/>
          <w:b/>
          <w:iCs/>
          <w:lang w:eastAsia="en-US"/>
        </w:rPr>
        <w:t>PRIMERO.</w:t>
      </w:r>
      <w:r w:rsidRPr="00B06F89">
        <w:rPr>
          <w:rFonts w:eastAsia="Calibri" w:cs="Tahoma"/>
          <w:bCs/>
          <w:iCs/>
          <w:lang w:eastAsia="en-US"/>
        </w:rPr>
        <w:t xml:space="preserve"> </w:t>
      </w:r>
      <w:r w:rsidR="00162B84">
        <w:t xml:space="preserve">Se </w:t>
      </w:r>
      <w:r w:rsidR="00162B84">
        <w:rPr>
          <w:b/>
        </w:rPr>
        <w:t xml:space="preserve">MODIFICA </w:t>
      </w:r>
      <w:r w:rsidR="00162B84">
        <w:t xml:space="preserve">la respuesta entregada por el </w:t>
      </w:r>
      <w:r w:rsidR="00162B84" w:rsidRPr="00033355">
        <w:t>Instituto de la Función Registral del Estado de México</w:t>
      </w:r>
      <w:r w:rsidR="00162B84">
        <w:t>, a la solicitud de información</w:t>
      </w:r>
      <w:r w:rsidR="00162B84">
        <w:rPr>
          <w:rFonts w:cs="Tahoma"/>
        </w:rPr>
        <w:t xml:space="preserve"> </w:t>
      </w:r>
      <w:r w:rsidR="00162B84" w:rsidRPr="00162B84">
        <w:rPr>
          <w:rFonts w:cs="Tahoma"/>
        </w:rPr>
        <w:t>00143/IFR/IP/2024</w:t>
      </w:r>
      <w:r w:rsidR="00162B84">
        <w:rPr>
          <w:color w:val="000000"/>
        </w:rPr>
        <w:t>,</w:t>
      </w:r>
      <w:r w:rsidR="00162B84">
        <w:t xml:space="preserve"> por resultar </w:t>
      </w:r>
      <w:r w:rsidR="00162B84">
        <w:rPr>
          <w:b/>
          <w:bCs/>
        </w:rPr>
        <w:t>FUNDADAS</w:t>
      </w:r>
      <w:r w:rsidR="00162B84">
        <w:rPr>
          <w:b/>
        </w:rPr>
        <w:t xml:space="preserve"> </w:t>
      </w:r>
      <w:r w:rsidR="00162B84">
        <w:t>las razones o motivos de inconformidad hechos valer por la persona Recurrente, en términos de los considerandos QUINTO y SEXTO de la presente Resolución.</w:t>
      </w:r>
    </w:p>
    <w:p w14:paraId="3A38033E" w14:textId="63CF3EC0" w:rsidR="00162B84" w:rsidRDefault="00162B84" w:rsidP="007F72D0">
      <w:pPr>
        <w:spacing w:after="0" w:line="360" w:lineRule="auto"/>
        <w:contextualSpacing/>
        <w:rPr>
          <w:rFonts w:eastAsia="Calibri" w:cs="Tahoma"/>
          <w:bCs/>
          <w:iCs/>
          <w:lang w:eastAsia="en-US"/>
        </w:rPr>
      </w:pPr>
    </w:p>
    <w:p w14:paraId="0FC9616C" w14:textId="69FC486F" w:rsidR="001C5240" w:rsidRPr="001C5240" w:rsidRDefault="001C5240" w:rsidP="001C5240">
      <w:pPr>
        <w:spacing w:after="0" w:line="360" w:lineRule="auto"/>
        <w:ind w:right="-30"/>
        <w:textAlignment w:val="baseline"/>
        <w:rPr>
          <w:rFonts w:eastAsia="Times New Roman" w:cs="Times New Roman"/>
          <w:color w:val="auto"/>
          <w:lang w:eastAsia="en-US"/>
        </w:rPr>
      </w:pPr>
      <w:r w:rsidRPr="001C5240">
        <w:rPr>
          <w:rFonts w:eastAsia="Times New Roman" w:cs="Times New Roman"/>
          <w:b/>
          <w:color w:val="auto"/>
          <w:lang w:eastAsia="en-US"/>
        </w:rPr>
        <w:t xml:space="preserve">SEGUNDO. </w:t>
      </w:r>
      <w:r w:rsidRPr="001C5240">
        <w:rPr>
          <w:rFonts w:eastAsia="Times New Roman" w:cs="Times New Roman"/>
          <w:color w:val="auto"/>
          <w:lang w:eastAsia="en-US"/>
        </w:rPr>
        <w:t xml:space="preserve">Se </w:t>
      </w:r>
      <w:r w:rsidRPr="001C5240">
        <w:rPr>
          <w:rFonts w:eastAsia="Times New Roman" w:cs="Times New Roman"/>
          <w:b/>
          <w:color w:val="auto"/>
          <w:lang w:eastAsia="en-US"/>
        </w:rPr>
        <w:t>ORDENA</w:t>
      </w:r>
      <w:r w:rsidRPr="001C5240">
        <w:rPr>
          <w:rFonts w:eastAsia="Times New Roman" w:cs="Times New Roman"/>
          <w:color w:val="auto"/>
          <w:lang w:eastAsia="en-US"/>
        </w:rPr>
        <w:t xml:space="preserve"> al Sujeto Obligado</w:t>
      </w:r>
      <w:r w:rsidRPr="001C5240">
        <w:rPr>
          <w:rFonts w:eastAsia="Times New Roman" w:cs="Times New Roman"/>
          <w:b/>
          <w:color w:val="auto"/>
          <w:lang w:eastAsia="en-US"/>
        </w:rPr>
        <w:t xml:space="preserve">, </w:t>
      </w:r>
      <w:r w:rsidRPr="001C5240">
        <w:rPr>
          <w:rFonts w:eastAsia="Times New Roman" w:cs="Times New Roman"/>
          <w:color w:val="auto"/>
          <w:lang w:eastAsia="en-US"/>
        </w:rPr>
        <w:t>a efecto de que previa búsqueda exhaustiva y razonable en los archivos de las unidades administrativas competentes, entregue a través del Sistema de Acceso a la Información Mexiquense (SAIMEX), en versión pública, lo siguiente:</w:t>
      </w:r>
    </w:p>
    <w:p w14:paraId="3BAB1DC3" w14:textId="77777777" w:rsidR="001C5240" w:rsidRDefault="001C5240" w:rsidP="001C5240">
      <w:pPr>
        <w:spacing w:after="0" w:line="360" w:lineRule="auto"/>
        <w:ind w:right="-30"/>
        <w:textAlignment w:val="baseline"/>
        <w:rPr>
          <w:rFonts w:eastAsia="Times New Roman" w:cs="Times New Roman"/>
          <w:color w:val="auto"/>
          <w:lang w:eastAsia="en-US"/>
        </w:rPr>
      </w:pPr>
    </w:p>
    <w:p w14:paraId="06326A30" w14:textId="2F2F20C6" w:rsidR="001C5240" w:rsidRPr="001C5240" w:rsidRDefault="001C5240" w:rsidP="001C5240">
      <w:pPr>
        <w:pStyle w:val="Prrafodelista"/>
        <w:numPr>
          <w:ilvl w:val="0"/>
          <w:numId w:val="44"/>
        </w:numPr>
        <w:spacing w:line="360" w:lineRule="auto"/>
        <w:ind w:right="-30"/>
        <w:textAlignment w:val="baseline"/>
        <w:rPr>
          <w:color w:val="auto"/>
          <w:lang w:eastAsia="en-US"/>
        </w:rPr>
      </w:pPr>
      <w:r>
        <w:rPr>
          <w:color w:val="auto"/>
          <w:lang w:eastAsia="en-US"/>
        </w:rPr>
        <w:t>Los trece contratos pedido referidos en respuesta.</w:t>
      </w:r>
    </w:p>
    <w:p w14:paraId="309F87B8" w14:textId="77777777" w:rsidR="001C5240" w:rsidRPr="001C5240" w:rsidRDefault="001C5240" w:rsidP="001C5240">
      <w:pPr>
        <w:spacing w:after="0" w:line="360" w:lineRule="auto"/>
        <w:ind w:right="-30"/>
        <w:textAlignment w:val="baseline"/>
        <w:rPr>
          <w:rFonts w:eastAsia="Times New Roman" w:cs="Times New Roman"/>
          <w:color w:val="auto"/>
          <w:lang w:eastAsia="en-US"/>
        </w:rPr>
      </w:pPr>
    </w:p>
    <w:p w14:paraId="068CE4E3" w14:textId="3E0917D5" w:rsidR="001C5240" w:rsidRPr="001C5240" w:rsidRDefault="001C5240" w:rsidP="001C5240">
      <w:pPr>
        <w:spacing w:after="0" w:line="360" w:lineRule="auto"/>
        <w:rPr>
          <w:rFonts w:cs="Tahoma"/>
          <w:bCs/>
          <w:iCs/>
          <w:color w:val="auto"/>
          <w:lang w:eastAsia="en-US"/>
        </w:rPr>
      </w:pPr>
      <w:r w:rsidRPr="001C5240">
        <w:rPr>
          <w:rFonts w:cs="Tahoma"/>
          <w:bCs/>
          <w:iCs/>
          <w:color w:val="auto"/>
          <w:lang w:eastAsia="en-US"/>
        </w:rPr>
        <w:t>Además, deberá proporcionar el Acuerdo de Clasificación donde el Comité de Transparencia, confirme la eliminación de los datos confidenciales en la versión pública, de conformidad con los artículos 49, fracciones II y VIII, 132, fracción II, 143, fracción I, y 149 de la Ley de Transparencia y Acceso a la Información Pública del Estado de México y Municipios.</w:t>
      </w:r>
    </w:p>
    <w:p w14:paraId="66358CB0" w14:textId="77777777" w:rsidR="001C5240" w:rsidRPr="001C5240" w:rsidRDefault="001C5240" w:rsidP="001C5240">
      <w:pPr>
        <w:spacing w:after="0" w:line="360" w:lineRule="auto"/>
        <w:rPr>
          <w:rFonts w:cs="Tahoma"/>
          <w:bCs/>
          <w:iCs/>
          <w:color w:val="auto"/>
          <w:lang w:eastAsia="en-US"/>
        </w:rPr>
      </w:pPr>
    </w:p>
    <w:p w14:paraId="2F632CEE" w14:textId="77777777" w:rsidR="001C5240" w:rsidRPr="001C5240" w:rsidRDefault="001C5240" w:rsidP="001C5240">
      <w:pPr>
        <w:spacing w:after="0" w:line="360" w:lineRule="auto"/>
        <w:ind w:right="-28"/>
        <w:rPr>
          <w:b/>
          <w:color w:val="auto"/>
        </w:rPr>
      </w:pPr>
      <w:r w:rsidRPr="001C5240">
        <w:rPr>
          <w:b/>
          <w:color w:val="auto"/>
        </w:rPr>
        <w:t xml:space="preserve">TERCERO. NOTIFÍQUESE POR SAIMEX </w:t>
      </w:r>
      <w:r w:rsidRPr="001C5240">
        <w:rPr>
          <w:color w:val="auto"/>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0ABF7D02" w14:textId="77777777" w:rsidR="001C5240" w:rsidRPr="001C5240" w:rsidRDefault="001C5240" w:rsidP="001C5240">
      <w:pPr>
        <w:spacing w:after="0" w:line="360" w:lineRule="auto"/>
        <w:ind w:right="-28"/>
        <w:rPr>
          <w:color w:val="000000"/>
        </w:rPr>
      </w:pPr>
    </w:p>
    <w:p w14:paraId="6F2B6155" w14:textId="77777777" w:rsidR="001C5240" w:rsidRPr="001C5240" w:rsidRDefault="001C5240" w:rsidP="001C5240">
      <w:pPr>
        <w:spacing w:after="0" w:line="360" w:lineRule="auto"/>
        <w:rPr>
          <w:color w:val="000000"/>
        </w:rPr>
      </w:pPr>
      <w:r w:rsidRPr="001C5240">
        <w:rPr>
          <w:color w:val="000000"/>
        </w:rPr>
        <w:t>De conformidad con el artículo 198 de la Ley referida, de considerarlo procedente, el Sujeto Obligado de manera fundada y motivada, podrá solicitar una ampliación de plazo para el cumplimiento de la presente resolución.</w:t>
      </w:r>
    </w:p>
    <w:p w14:paraId="6E41EF24" w14:textId="77777777" w:rsidR="001C5240" w:rsidRPr="001C5240" w:rsidRDefault="001C5240" w:rsidP="001C5240">
      <w:pPr>
        <w:spacing w:after="0" w:line="360" w:lineRule="auto"/>
        <w:rPr>
          <w:color w:val="000000"/>
        </w:rPr>
      </w:pPr>
    </w:p>
    <w:p w14:paraId="72801C41" w14:textId="77777777" w:rsidR="001C5240" w:rsidRPr="001C5240" w:rsidRDefault="001C5240" w:rsidP="001C5240">
      <w:pPr>
        <w:spacing w:after="0" w:line="360" w:lineRule="auto"/>
        <w:ind w:right="-93"/>
        <w:rPr>
          <w:rFonts w:cs="Tahoma"/>
          <w:color w:val="auto"/>
          <w:lang w:eastAsia="en-US"/>
        </w:rPr>
      </w:pPr>
      <w:r w:rsidRPr="001C5240">
        <w:rPr>
          <w:b/>
          <w:bCs/>
          <w:color w:val="000000"/>
          <w:lang w:eastAsia="en-US"/>
        </w:rPr>
        <w:t xml:space="preserve">CUARTO. </w:t>
      </w:r>
      <w:r w:rsidRPr="001C5240">
        <w:rPr>
          <w:b/>
          <w:color w:val="auto"/>
        </w:rPr>
        <w:t>NOTIFÍQUESE POR SAIMEX</w:t>
      </w:r>
      <w:r w:rsidRPr="001C5240">
        <w:rPr>
          <w:color w:val="000000"/>
          <w:lang w:eastAsia="en-US"/>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52B2996" w14:textId="77777777" w:rsidR="00B06F89" w:rsidRPr="00B06F89" w:rsidRDefault="00B06F89" w:rsidP="007F72D0">
      <w:pPr>
        <w:spacing w:after="0" w:line="360" w:lineRule="auto"/>
        <w:contextualSpacing/>
        <w:rPr>
          <w:rFonts w:eastAsiaTheme="minorHAnsi" w:cstheme="minorBidi"/>
          <w:lang w:eastAsia="en-US"/>
        </w:rPr>
      </w:pPr>
    </w:p>
    <w:p w14:paraId="53E71F1B" w14:textId="40659D46" w:rsidR="00B06F89" w:rsidRPr="00B06F89" w:rsidRDefault="00B06F89" w:rsidP="007F72D0">
      <w:pPr>
        <w:spacing w:after="0" w:line="360" w:lineRule="auto"/>
        <w:contextualSpacing/>
        <w:rPr>
          <w:rFonts w:eastAsia="Calibri" w:cstheme="minorBidi"/>
          <w:lang w:eastAsia="en-US"/>
        </w:rPr>
      </w:pPr>
      <w:r w:rsidRPr="00B06F89">
        <w:rPr>
          <w:rFonts w:eastAsia="Calibri" w:cstheme="minorBidi"/>
          <w:lang w:eastAsia="en-US"/>
        </w:rPr>
        <w:t xml:space="preserve">ASÍ LO RESUELVE, POR </w:t>
      </w:r>
      <w:r w:rsidRPr="00E40F1F">
        <w:rPr>
          <w:rFonts w:eastAsia="Calibri" w:cstheme="minorBidi"/>
          <w:b/>
          <w:lang w:eastAsia="en-US"/>
        </w:rPr>
        <w:t xml:space="preserve">UNANIMIDAD </w:t>
      </w:r>
      <w:r w:rsidRPr="00B06F89">
        <w:rPr>
          <w:rFonts w:eastAsia="Calibri" w:cstheme="minorBidi"/>
          <w:lang w:eastAsia="en-US"/>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68D6">
        <w:rPr>
          <w:rFonts w:eastAsia="Calibri" w:cstheme="minorBidi"/>
          <w:lang w:eastAsia="en-US"/>
        </w:rPr>
        <w:t>SEGUNDA</w:t>
      </w:r>
      <w:r w:rsidRPr="00B06F89">
        <w:rPr>
          <w:rFonts w:eastAsia="Calibri" w:cstheme="minorBidi"/>
          <w:lang w:eastAsia="en-US"/>
        </w:rPr>
        <w:t xml:space="preserve"> SESIÓN ORDINARIA, CELEBRADA EL </w:t>
      </w:r>
      <w:r w:rsidR="00805D25">
        <w:rPr>
          <w:rFonts w:eastAsia="Calibri" w:cstheme="minorBidi"/>
          <w:lang w:eastAsia="en-US"/>
        </w:rPr>
        <w:t>VEINTIDÓS DE ENERO DE DOS MIL VEINTICINCO</w:t>
      </w:r>
      <w:r w:rsidRPr="00B06F89">
        <w:rPr>
          <w:rFonts w:eastAsia="Calibri" w:cstheme="minorBidi"/>
          <w:lang w:eastAsia="en-US"/>
        </w:rPr>
        <w:t>, ANTE EL SECRETARIO TÉCNICO DEL PLENO, ALEXIS TAPIA RAMÍREZ.</w:t>
      </w:r>
    </w:p>
    <w:p w14:paraId="64A130D0" w14:textId="77777777" w:rsidR="00B06F89" w:rsidRPr="00B06F89" w:rsidRDefault="00B06F89" w:rsidP="007F72D0">
      <w:pPr>
        <w:spacing w:after="0" w:line="360" w:lineRule="auto"/>
        <w:contextualSpacing/>
        <w:rPr>
          <w:rFonts w:eastAsia="Calibri" w:cs="Tahoma"/>
          <w:color w:val="000000"/>
          <w:lang w:val="es-ES"/>
        </w:rPr>
      </w:pPr>
      <w:r w:rsidRPr="00B06F89">
        <w:rPr>
          <w:rFonts w:eastAsiaTheme="minorHAnsi" w:cstheme="minorBidi"/>
          <w:lang w:eastAsia="en-US"/>
        </w:rPr>
        <w:br w:type="page"/>
      </w:r>
    </w:p>
    <w:p w14:paraId="3BB87A01" w14:textId="77777777" w:rsidR="00B06F89" w:rsidRPr="0027513C" w:rsidRDefault="00B06F89" w:rsidP="007F72D0">
      <w:pPr>
        <w:spacing w:after="0" w:line="360" w:lineRule="auto"/>
      </w:pPr>
    </w:p>
    <w:sectPr w:rsidR="00B06F89" w:rsidRPr="0027513C" w:rsidSect="00CE4466">
      <w:headerReference w:type="even" r:id="rId13"/>
      <w:headerReference w:type="default" r:id="rId14"/>
      <w:footerReference w:type="even" r:id="rId15"/>
      <w:footerReference w:type="default" r:id="rId16"/>
      <w:headerReference w:type="first" r:id="rId17"/>
      <w:footerReference w:type="first" r:id="rId18"/>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A7A8F" w14:textId="77777777" w:rsidR="007C4D00" w:rsidRDefault="007C4D00">
      <w:pPr>
        <w:spacing w:after="0" w:line="240" w:lineRule="auto"/>
      </w:pPr>
      <w:r>
        <w:separator/>
      </w:r>
    </w:p>
  </w:endnote>
  <w:endnote w:type="continuationSeparator" w:id="0">
    <w:p w14:paraId="2CF5D493" w14:textId="77777777" w:rsidR="007C4D00" w:rsidRDefault="007C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05151" w14:textId="77777777" w:rsidR="001C1BE7" w:rsidRDefault="001C1BE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C573B">
      <w:rPr>
        <w:b/>
        <w:noProof/>
        <w:color w:val="000000"/>
        <w:sz w:val="24"/>
        <w:szCs w:val="24"/>
      </w:rPr>
      <w:t>46</w:t>
    </w:r>
    <w:r>
      <w:rPr>
        <w:b/>
        <w:color w:val="000000"/>
        <w:sz w:val="24"/>
        <w:szCs w:val="24"/>
      </w:rPr>
      <w:fldChar w:fldCharType="end"/>
    </w:r>
  </w:p>
  <w:p w14:paraId="547C391C" w14:textId="77777777" w:rsidR="001C1BE7" w:rsidRDefault="001C1BE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D7FE" w14:textId="593A2114" w:rsidR="001C1BE7" w:rsidRDefault="001C1BE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87680">
      <w:rPr>
        <w:b/>
        <w:noProof/>
        <w:color w:val="000000"/>
        <w:sz w:val="24"/>
        <w:szCs w:val="24"/>
      </w:rPr>
      <w:t>46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87680">
      <w:rPr>
        <w:b/>
        <w:noProof/>
        <w:color w:val="000000"/>
        <w:sz w:val="24"/>
        <w:szCs w:val="24"/>
      </w:rPr>
      <w:t>46</w:t>
    </w:r>
    <w:r>
      <w:rPr>
        <w:b/>
        <w:color w:val="000000"/>
        <w:sz w:val="24"/>
        <w:szCs w:val="24"/>
      </w:rPr>
      <w:fldChar w:fldCharType="end"/>
    </w:r>
  </w:p>
  <w:p w14:paraId="021EE9EB" w14:textId="77777777" w:rsidR="001C1BE7" w:rsidRDefault="001C1BE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3A60" w14:textId="77777777" w:rsidR="001C1BE7" w:rsidRDefault="001C1BE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C4D0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C4D00">
      <w:rPr>
        <w:b/>
        <w:noProof/>
        <w:color w:val="000000"/>
        <w:sz w:val="24"/>
        <w:szCs w:val="24"/>
      </w:rPr>
      <w:t>1</w:t>
    </w:r>
    <w:r>
      <w:rPr>
        <w:b/>
        <w:color w:val="000000"/>
        <w:sz w:val="24"/>
        <w:szCs w:val="24"/>
      </w:rPr>
      <w:fldChar w:fldCharType="end"/>
    </w:r>
  </w:p>
  <w:p w14:paraId="23D55011" w14:textId="77777777" w:rsidR="001C1BE7" w:rsidRDefault="001C1BE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9FB7A" w14:textId="77777777" w:rsidR="007C4D00" w:rsidRDefault="007C4D00">
      <w:pPr>
        <w:spacing w:after="0" w:line="240" w:lineRule="auto"/>
      </w:pPr>
      <w:r>
        <w:separator/>
      </w:r>
    </w:p>
  </w:footnote>
  <w:footnote w:type="continuationSeparator" w:id="0">
    <w:p w14:paraId="1C2B6171" w14:textId="77777777" w:rsidR="007C4D00" w:rsidRDefault="007C4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4C7" w14:textId="77777777" w:rsidR="001C1BE7" w:rsidRDefault="001C1BE7">
    <w:pPr>
      <w:widowControl w:val="0"/>
      <w:pBdr>
        <w:top w:val="nil"/>
        <w:left w:val="nil"/>
        <w:bottom w:val="nil"/>
        <w:right w:val="nil"/>
        <w:between w:val="nil"/>
      </w:pBdr>
      <w:spacing w:after="0" w:line="276" w:lineRule="auto"/>
      <w:jc w:val="left"/>
      <w:rPr>
        <w:color w:val="000000"/>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1C1BE7" w14:paraId="4913F089" w14:textId="77777777">
      <w:trPr>
        <w:trHeight w:val="141"/>
      </w:trPr>
      <w:tc>
        <w:tcPr>
          <w:tcW w:w="2404" w:type="dxa"/>
        </w:tcPr>
        <w:p w14:paraId="1D800919" w14:textId="77777777" w:rsidR="001C1BE7" w:rsidRDefault="001C1BE7">
          <w:pPr>
            <w:tabs>
              <w:tab w:val="right" w:pos="8838"/>
            </w:tabs>
            <w:ind w:right="-105"/>
            <w:rPr>
              <w:b/>
            </w:rPr>
          </w:pPr>
          <w:r>
            <w:rPr>
              <w:b/>
            </w:rPr>
            <w:t>Recurso de Revisión:</w:t>
          </w:r>
        </w:p>
      </w:tc>
      <w:tc>
        <w:tcPr>
          <w:tcW w:w="3587" w:type="dxa"/>
        </w:tcPr>
        <w:p w14:paraId="53E9BD67" w14:textId="77777777" w:rsidR="001C1BE7" w:rsidRDefault="001C1BE7">
          <w:pPr>
            <w:tabs>
              <w:tab w:val="right" w:pos="8838"/>
            </w:tabs>
            <w:ind w:left="-28" w:right="683"/>
          </w:pPr>
          <w:r>
            <w:t>04196/INFOEM/IP/RR/2020</w:t>
          </w:r>
        </w:p>
      </w:tc>
    </w:tr>
    <w:tr w:rsidR="001C1BE7" w14:paraId="515F523A" w14:textId="77777777">
      <w:trPr>
        <w:trHeight w:val="276"/>
      </w:trPr>
      <w:tc>
        <w:tcPr>
          <w:tcW w:w="2404" w:type="dxa"/>
        </w:tcPr>
        <w:p w14:paraId="1CFF82A0" w14:textId="77777777" w:rsidR="001C1BE7" w:rsidRDefault="001C1BE7">
          <w:pPr>
            <w:tabs>
              <w:tab w:val="right" w:pos="8838"/>
            </w:tabs>
            <w:ind w:right="-105"/>
            <w:rPr>
              <w:b/>
            </w:rPr>
          </w:pPr>
          <w:r>
            <w:rPr>
              <w:b/>
            </w:rPr>
            <w:t>Sujeto Obligado:</w:t>
          </w:r>
        </w:p>
      </w:tc>
      <w:tc>
        <w:tcPr>
          <w:tcW w:w="3587" w:type="dxa"/>
        </w:tcPr>
        <w:p w14:paraId="1142F936" w14:textId="77777777" w:rsidR="001C1BE7" w:rsidRDefault="001C1BE7">
          <w:pPr>
            <w:tabs>
              <w:tab w:val="right" w:pos="8838"/>
            </w:tabs>
            <w:ind w:right="116"/>
          </w:pPr>
          <w:r>
            <w:t>Ayuntamiento de Chapultepec</w:t>
          </w:r>
        </w:p>
      </w:tc>
    </w:tr>
    <w:tr w:rsidR="001C1BE7" w14:paraId="69080D23" w14:textId="77777777">
      <w:trPr>
        <w:trHeight w:val="276"/>
      </w:trPr>
      <w:tc>
        <w:tcPr>
          <w:tcW w:w="2404" w:type="dxa"/>
        </w:tcPr>
        <w:p w14:paraId="50E24B18" w14:textId="77777777" w:rsidR="001C1BE7" w:rsidRDefault="001C1BE7">
          <w:pPr>
            <w:tabs>
              <w:tab w:val="right" w:pos="8838"/>
            </w:tabs>
            <w:ind w:right="-105"/>
            <w:rPr>
              <w:b/>
            </w:rPr>
          </w:pPr>
          <w:r>
            <w:rPr>
              <w:b/>
            </w:rPr>
            <w:t>Comisionado Ponente:</w:t>
          </w:r>
        </w:p>
      </w:tc>
      <w:tc>
        <w:tcPr>
          <w:tcW w:w="3587" w:type="dxa"/>
        </w:tcPr>
        <w:p w14:paraId="1467B143" w14:textId="77777777" w:rsidR="001C1BE7" w:rsidRDefault="001C1BE7">
          <w:pPr>
            <w:tabs>
              <w:tab w:val="right" w:pos="8838"/>
            </w:tabs>
            <w:ind w:right="-32"/>
          </w:pPr>
          <w:r>
            <w:t>Luis Gustavo Parra Noriega</w:t>
          </w:r>
        </w:p>
      </w:tc>
    </w:tr>
  </w:tbl>
  <w:p w14:paraId="74ECE196" w14:textId="77777777" w:rsidR="001C1BE7" w:rsidRDefault="007C4D00">
    <w:pPr>
      <w:pBdr>
        <w:top w:val="nil"/>
        <w:left w:val="nil"/>
        <w:bottom w:val="nil"/>
        <w:right w:val="nil"/>
        <w:between w:val="nil"/>
      </w:pBdr>
      <w:tabs>
        <w:tab w:val="center" w:pos="4419"/>
        <w:tab w:val="right" w:pos="8838"/>
      </w:tabs>
      <w:spacing w:after="0" w:line="240" w:lineRule="auto"/>
      <w:rPr>
        <w:color w:val="000000"/>
      </w:rPr>
    </w:pPr>
    <w:r>
      <w:rPr>
        <w:color w:val="000000"/>
      </w:rPr>
      <w:pict w14:anchorId="5F096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6FF8" w14:textId="510FA3D5" w:rsidR="001C1BE7" w:rsidRDefault="007C4D00">
    <w:pPr>
      <w:rPr>
        <w:sz w:val="16"/>
        <w:szCs w:val="16"/>
      </w:rPr>
    </w:pPr>
    <w:r>
      <w:rPr>
        <w:color w:val="000000"/>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68.85pt;margin-top:-127.95pt;width:663.5pt;height:12in;z-index:-251659776;mso-wrap-edited:f;mso-width-percent:0;mso-height-percent:0;mso-position-horizontal-relative:margin;mso-position-vertical-relative:margin;mso-width-percent:0;mso-height-percent:0">
          <v:imagedata r:id="rId1" o:title="image2"/>
          <w10:wrap anchorx="margin" anchory="margin"/>
        </v:shape>
      </w:pict>
    </w:r>
  </w:p>
  <w:tbl>
    <w:tblPr>
      <w:tblStyle w:val="a"/>
      <w:tblW w:w="6520"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4"/>
      <w:gridCol w:w="4116"/>
    </w:tblGrid>
    <w:tr w:rsidR="001C1BE7" w14:paraId="087E2B73" w14:textId="77777777" w:rsidTr="007F72D0">
      <w:trPr>
        <w:trHeight w:val="141"/>
      </w:trPr>
      <w:tc>
        <w:tcPr>
          <w:tcW w:w="2404" w:type="dxa"/>
        </w:tcPr>
        <w:p w14:paraId="44594EC4" w14:textId="77777777" w:rsidR="001C1BE7" w:rsidRDefault="001C1BE7">
          <w:pPr>
            <w:tabs>
              <w:tab w:val="right" w:pos="8838"/>
            </w:tabs>
            <w:ind w:left="-395" w:right="-105" w:firstLine="395"/>
            <w:rPr>
              <w:b/>
            </w:rPr>
          </w:pPr>
          <w:r>
            <w:rPr>
              <w:b/>
            </w:rPr>
            <w:t>Recurso de Revisión:</w:t>
          </w:r>
        </w:p>
      </w:tc>
      <w:tc>
        <w:tcPr>
          <w:tcW w:w="4116" w:type="dxa"/>
        </w:tcPr>
        <w:p w14:paraId="312F8E98" w14:textId="3833225D" w:rsidR="001C1BE7" w:rsidRDefault="001C1BE7" w:rsidP="00672439">
          <w:pPr>
            <w:tabs>
              <w:tab w:val="right" w:pos="8838"/>
            </w:tabs>
            <w:ind w:left="-28" w:right="454"/>
          </w:pPr>
          <w:r w:rsidRPr="00033355">
            <w:t>07456/INFOEM/IP/RR/2024</w:t>
          </w:r>
        </w:p>
      </w:tc>
    </w:tr>
    <w:tr w:rsidR="001C1BE7" w14:paraId="31D07777" w14:textId="77777777" w:rsidTr="007F72D0">
      <w:trPr>
        <w:trHeight w:val="276"/>
      </w:trPr>
      <w:tc>
        <w:tcPr>
          <w:tcW w:w="2404" w:type="dxa"/>
        </w:tcPr>
        <w:p w14:paraId="6B55802A" w14:textId="77777777" w:rsidR="001C1BE7" w:rsidRDefault="001C1BE7">
          <w:pPr>
            <w:tabs>
              <w:tab w:val="right" w:pos="8838"/>
            </w:tabs>
            <w:ind w:right="-105"/>
            <w:rPr>
              <w:b/>
            </w:rPr>
          </w:pPr>
          <w:r>
            <w:rPr>
              <w:b/>
            </w:rPr>
            <w:t>Sujeto Obligado:</w:t>
          </w:r>
        </w:p>
      </w:tc>
      <w:tc>
        <w:tcPr>
          <w:tcW w:w="4116" w:type="dxa"/>
        </w:tcPr>
        <w:p w14:paraId="4A22BD99" w14:textId="4F9F94B7" w:rsidR="001C1BE7" w:rsidRDefault="001C1BE7">
          <w:pPr>
            <w:tabs>
              <w:tab w:val="left" w:pos="3158"/>
              <w:tab w:val="left" w:pos="4292"/>
              <w:tab w:val="right" w:pos="8838"/>
            </w:tabs>
            <w:ind w:right="601"/>
          </w:pPr>
          <w:r w:rsidRPr="00033355">
            <w:t>Instituto de la Función Registral del Estado de México</w:t>
          </w:r>
        </w:p>
      </w:tc>
    </w:tr>
    <w:tr w:rsidR="001C1BE7" w14:paraId="161D40C6" w14:textId="77777777" w:rsidTr="007F72D0">
      <w:trPr>
        <w:trHeight w:val="276"/>
      </w:trPr>
      <w:tc>
        <w:tcPr>
          <w:tcW w:w="2404" w:type="dxa"/>
        </w:tcPr>
        <w:p w14:paraId="2583E4C0" w14:textId="77777777" w:rsidR="001C1BE7" w:rsidRDefault="001C1BE7">
          <w:pPr>
            <w:tabs>
              <w:tab w:val="right" w:pos="8838"/>
            </w:tabs>
            <w:ind w:right="-105"/>
            <w:rPr>
              <w:b/>
            </w:rPr>
          </w:pPr>
          <w:r>
            <w:rPr>
              <w:b/>
            </w:rPr>
            <w:t>Comisionado Ponente:</w:t>
          </w:r>
        </w:p>
      </w:tc>
      <w:tc>
        <w:tcPr>
          <w:tcW w:w="4116" w:type="dxa"/>
        </w:tcPr>
        <w:p w14:paraId="4FEB6F64" w14:textId="77777777" w:rsidR="001C1BE7" w:rsidRDefault="001C1BE7">
          <w:pPr>
            <w:tabs>
              <w:tab w:val="right" w:pos="8838"/>
            </w:tabs>
            <w:ind w:right="454"/>
          </w:pPr>
          <w:r>
            <w:t>Luis Gustavo Parra Noriega</w:t>
          </w:r>
        </w:p>
      </w:tc>
    </w:tr>
  </w:tbl>
  <w:p w14:paraId="7B4A9F8D" w14:textId="143BB15B" w:rsidR="001C1BE7" w:rsidRDefault="001C1BE7">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D355" w14:textId="77777777" w:rsidR="001C1BE7" w:rsidRDefault="001C1BE7">
    <w:pPr>
      <w:widowControl w:val="0"/>
      <w:pBdr>
        <w:top w:val="nil"/>
        <w:left w:val="nil"/>
        <w:bottom w:val="nil"/>
        <w:right w:val="nil"/>
        <w:between w:val="nil"/>
      </w:pBdr>
      <w:spacing w:after="0" w:line="276" w:lineRule="auto"/>
      <w:jc w:val="left"/>
      <w:rPr>
        <w:color w:val="000000"/>
      </w:rPr>
    </w:pPr>
  </w:p>
  <w:tbl>
    <w:tblPr>
      <w:tblStyle w:val="a1"/>
      <w:tblW w:w="9214" w:type="dxa"/>
      <w:tblInd w:w="0" w:type="dxa"/>
      <w:tblLayout w:type="fixed"/>
      <w:tblLook w:val="0400" w:firstRow="0" w:lastRow="0" w:firstColumn="0" w:lastColumn="0" w:noHBand="0" w:noVBand="1"/>
    </w:tblPr>
    <w:tblGrid>
      <w:gridCol w:w="2127"/>
      <w:gridCol w:w="7087"/>
    </w:tblGrid>
    <w:tr w:rsidR="001C1BE7" w14:paraId="11A312BD" w14:textId="77777777" w:rsidTr="00CE4466">
      <w:trPr>
        <w:trHeight w:val="1546"/>
      </w:trPr>
      <w:tc>
        <w:tcPr>
          <w:tcW w:w="2127" w:type="dxa"/>
          <w:shd w:val="clear" w:color="auto" w:fill="auto"/>
        </w:tcPr>
        <w:p w14:paraId="02785A7F" w14:textId="77777777" w:rsidR="001C1BE7" w:rsidRDefault="001C1BE7">
          <w:pPr>
            <w:tabs>
              <w:tab w:val="right" w:pos="4273"/>
            </w:tabs>
            <w:rPr>
              <w:rFonts w:ascii="Garamond" w:eastAsia="Garamond" w:hAnsi="Garamond" w:cs="Garamond"/>
              <w:sz w:val="16"/>
              <w:szCs w:val="16"/>
            </w:rPr>
          </w:pPr>
        </w:p>
      </w:tc>
      <w:tc>
        <w:tcPr>
          <w:tcW w:w="7087" w:type="dxa"/>
          <w:shd w:val="clear" w:color="auto" w:fill="auto"/>
        </w:tcPr>
        <w:p w14:paraId="5E345BDA" w14:textId="77777777" w:rsidR="001C1BE7" w:rsidRDefault="001C1BE7">
          <w:pPr>
            <w:rPr>
              <w:sz w:val="10"/>
              <w:szCs w:val="10"/>
            </w:rPr>
          </w:pPr>
        </w:p>
        <w:tbl>
          <w:tblPr>
            <w:tblStyle w:val="a2"/>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1C1BE7" w14:paraId="4D093FE8" w14:textId="77777777">
            <w:trPr>
              <w:trHeight w:val="141"/>
            </w:trPr>
            <w:tc>
              <w:tcPr>
                <w:tcW w:w="2404" w:type="dxa"/>
                <w:vAlign w:val="bottom"/>
              </w:tcPr>
              <w:p w14:paraId="19B4B05D" w14:textId="77777777" w:rsidR="001C1BE7" w:rsidRDefault="001C1BE7">
                <w:pPr>
                  <w:tabs>
                    <w:tab w:val="right" w:pos="8838"/>
                  </w:tabs>
                  <w:ind w:right="-105"/>
                  <w:rPr>
                    <w:b/>
                  </w:rPr>
                </w:pPr>
                <w:r>
                  <w:rPr>
                    <w:b/>
                  </w:rPr>
                  <w:t>Recurso de Revisión:</w:t>
                </w:r>
              </w:p>
            </w:tc>
            <w:tc>
              <w:tcPr>
                <w:tcW w:w="3975" w:type="dxa"/>
              </w:tcPr>
              <w:p w14:paraId="43DE950F" w14:textId="731D8A74" w:rsidR="001C1BE7" w:rsidRDefault="001C1BE7">
                <w:pPr>
                  <w:tabs>
                    <w:tab w:val="right" w:pos="8838"/>
                  </w:tabs>
                  <w:ind w:left="-28" w:right="-107"/>
                </w:pPr>
                <w:r>
                  <w:t>07456/INFOEM/IP/RR/2024</w:t>
                </w:r>
              </w:p>
            </w:tc>
          </w:tr>
          <w:tr w:rsidR="001C1BE7" w14:paraId="073EAE42" w14:textId="77777777">
            <w:trPr>
              <w:trHeight w:val="141"/>
            </w:trPr>
            <w:tc>
              <w:tcPr>
                <w:tcW w:w="2404" w:type="dxa"/>
              </w:tcPr>
              <w:p w14:paraId="76E590DA" w14:textId="77777777" w:rsidR="001C1BE7" w:rsidRDefault="001C1BE7">
                <w:pPr>
                  <w:tabs>
                    <w:tab w:val="right" w:pos="8838"/>
                  </w:tabs>
                  <w:ind w:right="-105"/>
                  <w:rPr>
                    <w:b/>
                  </w:rPr>
                </w:pPr>
                <w:r>
                  <w:rPr>
                    <w:b/>
                  </w:rPr>
                  <w:t>Recurrente:</w:t>
                </w:r>
              </w:p>
            </w:tc>
            <w:tc>
              <w:tcPr>
                <w:tcW w:w="3975" w:type="dxa"/>
              </w:tcPr>
              <w:p w14:paraId="5FF2F8C6" w14:textId="0CF0F291" w:rsidR="001C1BE7" w:rsidRDefault="006F43F0">
                <w:pPr>
                  <w:tabs>
                    <w:tab w:val="right" w:pos="8838"/>
                  </w:tabs>
                  <w:ind w:right="-107"/>
                </w:pPr>
                <w:r w:rsidRPr="006F43F0">
                  <w:rPr>
                    <w:highlight w:val="black"/>
                  </w:rPr>
                  <w:t>NNNNNNNNNNN</w:t>
                </w:r>
              </w:p>
            </w:tc>
          </w:tr>
          <w:tr w:rsidR="001C1BE7" w14:paraId="009C2510" w14:textId="77777777">
            <w:trPr>
              <w:trHeight w:val="276"/>
            </w:trPr>
            <w:tc>
              <w:tcPr>
                <w:tcW w:w="2404" w:type="dxa"/>
              </w:tcPr>
              <w:p w14:paraId="0AAFC3CA" w14:textId="77777777" w:rsidR="001C1BE7" w:rsidRDefault="001C1BE7">
                <w:pPr>
                  <w:tabs>
                    <w:tab w:val="right" w:pos="8838"/>
                  </w:tabs>
                  <w:ind w:right="-105"/>
                  <w:rPr>
                    <w:b/>
                  </w:rPr>
                </w:pPr>
                <w:r>
                  <w:rPr>
                    <w:b/>
                  </w:rPr>
                  <w:t>Sujeto Obligado:</w:t>
                </w:r>
              </w:p>
            </w:tc>
            <w:tc>
              <w:tcPr>
                <w:tcW w:w="3975" w:type="dxa"/>
              </w:tcPr>
              <w:p w14:paraId="13F6DD80" w14:textId="644C3BEB" w:rsidR="001C1BE7" w:rsidRDefault="001C1BE7">
                <w:pPr>
                  <w:tabs>
                    <w:tab w:val="right" w:pos="8838"/>
                  </w:tabs>
                  <w:ind w:right="33"/>
                </w:pPr>
                <w:r w:rsidRPr="00B06F89">
                  <w:t>Instituto de la Función Registral del Estado de México</w:t>
                </w:r>
              </w:p>
            </w:tc>
          </w:tr>
          <w:tr w:rsidR="001C1BE7" w14:paraId="7A4EADF6" w14:textId="77777777">
            <w:trPr>
              <w:trHeight w:val="276"/>
            </w:trPr>
            <w:tc>
              <w:tcPr>
                <w:tcW w:w="2404" w:type="dxa"/>
              </w:tcPr>
              <w:p w14:paraId="014674B7" w14:textId="77777777" w:rsidR="001C1BE7" w:rsidRDefault="001C1BE7">
                <w:pPr>
                  <w:tabs>
                    <w:tab w:val="right" w:pos="8838"/>
                  </w:tabs>
                  <w:ind w:right="-105"/>
                  <w:rPr>
                    <w:b/>
                  </w:rPr>
                </w:pPr>
                <w:r>
                  <w:rPr>
                    <w:b/>
                  </w:rPr>
                  <w:t>Comisionado Ponente:</w:t>
                </w:r>
              </w:p>
            </w:tc>
            <w:tc>
              <w:tcPr>
                <w:tcW w:w="3975" w:type="dxa"/>
              </w:tcPr>
              <w:p w14:paraId="06F82FCE" w14:textId="77777777" w:rsidR="001C1BE7" w:rsidRDefault="001C1BE7">
                <w:pPr>
                  <w:tabs>
                    <w:tab w:val="right" w:pos="8838"/>
                  </w:tabs>
                  <w:ind w:right="-107"/>
                </w:pPr>
                <w:r>
                  <w:t>Luis Gustavo Parra Noriega</w:t>
                </w:r>
              </w:p>
            </w:tc>
          </w:tr>
        </w:tbl>
        <w:p w14:paraId="3774A9CE" w14:textId="77777777" w:rsidR="001C1BE7" w:rsidRDefault="001C1BE7">
          <w:pPr>
            <w:tabs>
              <w:tab w:val="right" w:pos="8838"/>
            </w:tabs>
            <w:ind w:left="-28"/>
            <w:rPr>
              <w:rFonts w:ascii="Arial" w:eastAsia="Arial" w:hAnsi="Arial" w:cs="Arial"/>
              <w:b/>
            </w:rPr>
          </w:pPr>
        </w:p>
      </w:tc>
    </w:tr>
  </w:tbl>
  <w:p w14:paraId="38129A67" w14:textId="77777777" w:rsidR="001C1BE7" w:rsidRDefault="007C4D00">
    <w:pPr>
      <w:pBdr>
        <w:top w:val="nil"/>
        <w:left w:val="nil"/>
        <w:bottom w:val="nil"/>
        <w:right w:val="nil"/>
        <w:between w:val="nil"/>
      </w:pBdr>
      <w:tabs>
        <w:tab w:val="center" w:pos="4419"/>
        <w:tab w:val="right" w:pos="8838"/>
      </w:tabs>
      <w:spacing w:after="0" w:line="240" w:lineRule="auto"/>
      <w:rPr>
        <w:color w:val="000000"/>
      </w:rPr>
    </w:pPr>
    <w:r>
      <w:rPr>
        <w:color w:val="000000"/>
      </w:rPr>
      <w:pict w14:anchorId="4DC54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97.1pt;margin-top:-127.6pt;width:663.5pt;height:12in;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2912BF"/>
    <w:multiLevelType w:val="hybridMultilevel"/>
    <w:tmpl w:val="B93CCF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93057C"/>
    <w:multiLevelType w:val="hybridMultilevel"/>
    <w:tmpl w:val="175EA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BA60E1"/>
    <w:multiLevelType w:val="hybridMultilevel"/>
    <w:tmpl w:val="4F62D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CF385F"/>
    <w:multiLevelType w:val="hybridMultilevel"/>
    <w:tmpl w:val="9E64D0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37331A4"/>
    <w:multiLevelType w:val="hybridMultilevel"/>
    <w:tmpl w:val="26E0D6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03468F2"/>
    <w:multiLevelType w:val="hybridMultilevel"/>
    <w:tmpl w:val="D9727AD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6FF069E"/>
    <w:multiLevelType w:val="hybridMultilevel"/>
    <w:tmpl w:val="36AE1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3A9A5C34"/>
    <w:multiLevelType w:val="hybridMultilevel"/>
    <w:tmpl w:val="F8C40E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C98550A"/>
    <w:multiLevelType w:val="hybridMultilevel"/>
    <w:tmpl w:val="500C61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D4E1B32"/>
    <w:multiLevelType w:val="hybridMultilevel"/>
    <w:tmpl w:val="E12269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E5F089B"/>
    <w:multiLevelType w:val="hybridMultilevel"/>
    <w:tmpl w:val="277AEF12"/>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2C5454B"/>
    <w:multiLevelType w:val="hybridMultilevel"/>
    <w:tmpl w:val="0B3EC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EFF4574"/>
    <w:multiLevelType w:val="hybridMultilevel"/>
    <w:tmpl w:val="69160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2A24731"/>
    <w:multiLevelType w:val="hybridMultilevel"/>
    <w:tmpl w:val="AF8AC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6EE2D28"/>
    <w:multiLevelType w:val="hybridMultilevel"/>
    <w:tmpl w:val="82D81098"/>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3C4415"/>
    <w:multiLevelType w:val="hybridMultilevel"/>
    <w:tmpl w:val="27983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0D1D37"/>
    <w:multiLevelType w:val="hybridMultilevel"/>
    <w:tmpl w:val="6D385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E607AD"/>
    <w:multiLevelType w:val="hybridMultilevel"/>
    <w:tmpl w:val="2E5CE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8110E2"/>
    <w:multiLevelType w:val="hybridMultilevel"/>
    <w:tmpl w:val="B8D0AE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9B63059"/>
    <w:multiLevelType w:val="hybridMultilevel"/>
    <w:tmpl w:val="EF842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B267057"/>
    <w:multiLevelType w:val="multilevel"/>
    <w:tmpl w:val="060A270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C1372AB"/>
    <w:multiLevelType w:val="hybridMultilevel"/>
    <w:tmpl w:val="97F4FF36"/>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75C2585F"/>
    <w:multiLevelType w:val="hybridMultilevel"/>
    <w:tmpl w:val="2016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05F39"/>
    <w:multiLevelType w:val="hybridMultilevel"/>
    <w:tmpl w:val="9F0868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0C60E1"/>
    <w:multiLevelType w:val="hybridMultilevel"/>
    <w:tmpl w:val="C8D66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2"/>
  </w:num>
  <w:num w:numId="5">
    <w:abstractNumId w:val="2"/>
  </w:num>
  <w:num w:numId="6">
    <w:abstractNumId w:val="40"/>
  </w:num>
  <w:num w:numId="7">
    <w:abstractNumId w:val="3"/>
  </w:num>
  <w:num w:numId="8">
    <w:abstractNumId w:val="21"/>
  </w:num>
  <w:num w:numId="9">
    <w:abstractNumId w:val="13"/>
  </w:num>
  <w:num w:numId="10">
    <w:abstractNumId w:val="22"/>
  </w:num>
  <w:num w:numId="11">
    <w:abstractNumId w:val="18"/>
  </w:num>
  <w:num w:numId="12">
    <w:abstractNumId w:val="4"/>
  </w:num>
  <w:num w:numId="13">
    <w:abstractNumId w:val="0"/>
  </w:num>
  <w:num w:numId="14">
    <w:abstractNumId w:val="9"/>
  </w:num>
  <w:num w:numId="15">
    <w:abstractNumId w:val="11"/>
  </w:num>
  <w:num w:numId="16">
    <w:abstractNumId w:val="31"/>
  </w:num>
  <w:num w:numId="17">
    <w:abstractNumId w:val="29"/>
  </w:num>
  <w:num w:numId="18">
    <w:abstractNumId w:val="8"/>
  </w:num>
  <w:num w:numId="19">
    <w:abstractNumId w:val="15"/>
  </w:num>
  <w:num w:numId="20">
    <w:abstractNumId w:val="28"/>
  </w:num>
  <w:num w:numId="21">
    <w:abstractNumId w:val="36"/>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2"/>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9"/>
  </w:num>
  <w:num w:numId="28">
    <w:abstractNumId w:val="30"/>
  </w:num>
  <w:num w:numId="29">
    <w:abstractNumId w:val="24"/>
  </w:num>
  <w:num w:numId="30">
    <w:abstractNumId w:val="5"/>
  </w:num>
  <w:num w:numId="31">
    <w:abstractNumId w:val="38"/>
  </w:num>
  <w:num w:numId="32">
    <w:abstractNumId w:val="39"/>
  </w:num>
  <w:num w:numId="33">
    <w:abstractNumId w:val="14"/>
  </w:num>
  <w:num w:numId="34">
    <w:abstractNumId w:val="27"/>
  </w:num>
  <w:num w:numId="35">
    <w:abstractNumId w:val="26"/>
  </w:num>
  <w:num w:numId="36">
    <w:abstractNumId w:val="6"/>
  </w:num>
  <w:num w:numId="37">
    <w:abstractNumId w:val="10"/>
  </w:num>
  <w:num w:numId="38">
    <w:abstractNumId w:val="1"/>
  </w:num>
  <w:num w:numId="39">
    <w:abstractNumId w:val="17"/>
  </w:num>
  <w:num w:numId="40">
    <w:abstractNumId w:val="23"/>
  </w:num>
  <w:num w:numId="41">
    <w:abstractNumId w:val="37"/>
  </w:num>
  <w:num w:numId="42">
    <w:abstractNumId w:val="33"/>
  </w:num>
  <w:num w:numId="43">
    <w:abstractNumId w:val="1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A5"/>
    <w:rsid w:val="0001121A"/>
    <w:rsid w:val="00030A14"/>
    <w:rsid w:val="00033355"/>
    <w:rsid w:val="000333F3"/>
    <w:rsid w:val="00061E62"/>
    <w:rsid w:val="000620C8"/>
    <w:rsid w:val="000678E8"/>
    <w:rsid w:val="000725BC"/>
    <w:rsid w:val="000809CE"/>
    <w:rsid w:val="0008574F"/>
    <w:rsid w:val="000A5247"/>
    <w:rsid w:val="000B763F"/>
    <w:rsid w:val="000C03C1"/>
    <w:rsid w:val="000C0A8B"/>
    <w:rsid w:val="000C455C"/>
    <w:rsid w:val="000C4729"/>
    <w:rsid w:val="000C51FB"/>
    <w:rsid w:val="000E51A2"/>
    <w:rsid w:val="000F02AC"/>
    <w:rsid w:val="000F1C66"/>
    <w:rsid w:val="000F41F2"/>
    <w:rsid w:val="00116267"/>
    <w:rsid w:val="001171FD"/>
    <w:rsid w:val="00123ED6"/>
    <w:rsid w:val="00151790"/>
    <w:rsid w:val="00162B84"/>
    <w:rsid w:val="001A043A"/>
    <w:rsid w:val="001A3FA2"/>
    <w:rsid w:val="001A4945"/>
    <w:rsid w:val="001A4D72"/>
    <w:rsid w:val="001A518F"/>
    <w:rsid w:val="001A54EF"/>
    <w:rsid w:val="001B2B90"/>
    <w:rsid w:val="001C1BE7"/>
    <w:rsid w:val="001C3D22"/>
    <w:rsid w:val="001C5240"/>
    <w:rsid w:val="001C573B"/>
    <w:rsid w:val="001E3BEF"/>
    <w:rsid w:val="001F1666"/>
    <w:rsid w:val="001F7131"/>
    <w:rsid w:val="00201106"/>
    <w:rsid w:val="0026142D"/>
    <w:rsid w:val="00267D04"/>
    <w:rsid w:val="002711EF"/>
    <w:rsid w:val="00271EEF"/>
    <w:rsid w:val="0027405F"/>
    <w:rsid w:val="0027513C"/>
    <w:rsid w:val="00281A8C"/>
    <w:rsid w:val="00295FEC"/>
    <w:rsid w:val="002A1E5F"/>
    <w:rsid w:val="002A4B9F"/>
    <w:rsid w:val="002B3613"/>
    <w:rsid w:val="002B77FE"/>
    <w:rsid w:val="002D0172"/>
    <w:rsid w:val="002E3EB4"/>
    <w:rsid w:val="0030191A"/>
    <w:rsid w:val="0031078A"/>
    <w:rsid w:val="00321F56"/>
    <w:rsid w:val="003313D5"/>
    <w:rsid w:val="0033337A"/>
    <w:rsid w:val="00347A1A"/>
    <w:rsid w:val="00355945"/>
    <w:rsid w:val="00372769"/>
    <w:rsid w:val="00373C0E"/>
    <w:rsid w:val="00374634"/>
    <w:rsid w:val="0038068D"/>
    <w:rsid w:val="003B7BFE"/>
    <w:rsid w:val="003E4167"/>
    <w:rsid w:val="00400449"/>
    <w:rsid w:val="00416366"/>
    <w:rsid w:val="00432851"/>
    <w:rsid w:val="0045203D"/>
    <w:rsid w:val="004545B1"/>
    <w:rsid w:val="00480823"/>
    <w:rsid w:val="00492F55"/>
    <w:rsid w:val="004B2592"/>
    <w:rsid w:val="004B31C9"/>
    <w:rsid w:val="004B503B"/>
    <w:rsid w:val="004C4B87"/>
    <w:rsid w:val="004D37D8"/>
    <w:rsid w:val="004D5A14"/>
    <w:rsid w:val="00500D89"/>
    <w:rsid w:val="005063A7"/>
    <w:rsid w:val="00586DAD"/>
    <w:rsid w:val="005B5E7C"/>
    <w:rsid w:val="005C14B7"/>
    <w:rsid w:val="005C4CEA"/>
    <w:rsid w:val="005D7AEB"/>
    <w:rsid w:val="005F22DB"/>
    <w:rsid w:val="00600C74"/>
    <w:rsid w:val="00603C0C"/>
    <w:rsid w:val="0060513D"/>
    <w:rsid w:val="00605AAE"/>
    <w:rsid w:val="006269DD"/>
    <w:rsid w:val="0063095E"/>
    <w:rsid w:val="00635EAF"/>
    <w:rsid w:val="006378D1"/>
    <w:rsid w:val="00647460"/>
    <w:rsid w:val="0064764C"/>
    <w:rsid w:val="006515E5"/>
    <w:rsid w:val="00670439"/>
    <w:rsid w:val="0067211C"/>
    <w:rsid w:val="00672439"/>
    <w:rsid w:val="006819BC"/>
    <w:rsid w:val="0068258C"/>
    <w:rsid w:val="006D4068"/>
    <w:rsid w:val="006E46EA"/>
    <w:rsid w:val="006E6C38"/>
    <w:rsid w:val="006E767B"/>
    <w:rsid w:val="006F43F0"/>
    <w:rsid w:val="007017C4"/>
    <w:rsid w:val="00714F94"/>
    <w:rsid w:val="00716450"/>
    <w:rsid w:val="0073428E"/>
    <w:rsid w:val="0074743F"/>
    <w:rsid w:val="00760CA6"/>
    <w:rsid w:val="0076362A"/>
    <w:rsid w:val="0078202B"/>
    <w:rsid w:val="00791585"/>
    <w:rsid w:val="007A54F7"/>
    <w:rsid w:val="007A7643"/>
    <w:rsid w:val="007C4D00"/>
    <w:rsid w:val="007F72D0"/>
    <w:rsid w:val="008022FE"/>
    <w:rsid w:val="00802E3A"/>
    <w:rsid w:val="00805D25"/>
    <w:rsid w:val="008061A1"/>
    <w:rsid w:val="00827EA8"/>
    <w:rsid w:val="00836753"/>
    <w:rsid w:val="008402FC"/>
    <w:rsid w:val="00850D54"/>
    <w:rsid w:val="00862C79"/>
    <w:rsid w:val="00863E16"/>
    <w:rsid w:val="00876057"/>
    <w:rsid w:val="008854E3"/>
    <w:rsid w:val="00893046"/>
    <w:rsid w:val="00897C88"/>
    <w:rsid w:val="008A12F0"/>
    <w:rsid w:val="008B06AB"/>
    <w:rsid w:val="008B1792"/>
    <w:rsid w:val="008C369E"/>
    <w:rsid w:val="008E662E"/>
    <w:rsid w:val="008E6EC4"/>
    <w:rsid w:val="00901916"/>
    <w:rsid w:val="0090345F"/>
    <w:rsid w:val="00915B03"/>
    <w:rsid w:val="00921B80"/>
    <w:rsid w:val="00922619"/>
    <w:rsid w:val="00931903"/>
    <w:rsid w:val="00933D31"/>
    <w:rsid w:val="009354C9"/>
    <w:rsid w:val="0093706C"/>
    <w:rsid w:val="00947E5F"/>
    <w:rsid w:val="0096653F"/>
    <w:rsid w:val="0098702F"/>
    <w:rsid w:val="009A0999"/>
    <w:rsid w:val="009C3A65"/>
    <w:rsid w:val="009D5DFC"/>
    <w:rsid w:val="009E143C"/>
    <w:rsid w:val="009F177B"/>
    <w:rsid w:val="009F4781"/>
    <w:rsid w:val="00A02349"/>
    <w:rsid w:val="00A06082"/>
    <w:rsid w:val="00A169B3"/>
    <w:rsid w:val="00A31D29"/>
    <w:rsid w:val="00A340DF"/>
    <w:rsid w:val="00A3628B"/>
    <w:rsid w:val="00A36580"/>
    <w:rsid w:val="00A50615"/>
    <w:rsid w:val="00A6353E"/>
    <w:rsid w:val="00A7495B"/>
    <w:rsid w:val="00A87680"/>
    <w:rsid w:val="00A9616B"/>
    <w:rsid w:val="00AA681D"/>
    <w:rsid w:val="00AB73E1"/>
    <w:rsid w:val="00AE68DB"/>
    <w:rsid w:val="00AF1546"/>
    <w:rsid w:val="00AF44DB"/>
    <w:rsid w:val="00AF76C2"/>
    <w:rsid w:val="00B06F89"/>
    <w:rsid w:val="00B12E36"/>
    <w:rsid w:val="00B2250B"/>
    <w:rsid w:val="00B46A70"/>
    <w:rsid w:val="00B574FD"/>
    <w:rsid w:val="00B6499E"/>
    <w:rsid w:val="00B662E6"/>
    <w:rsid w:val="00B663EA"/>
    <w:rsid w:val="00B704C2"/>
    <w:rsid w:val="00B95CA9"/>
    <w:rsid w:val="00BA1C09"/>
    <w:rsid w:val="00BA599A"/>
    <w:rsid w:val="00BC37F6"/>
    <w:rsid w:val="00BD5CCE"/>
    <w:rsid w:val="00BD76D4"/>
    <w:rsid w:val="00BE68D6"/>
    <w:rsid w:val="00BF4381"/>
    <w:rsid w:val="00C13CA5"/>
    <w:rsid w:val="00C23341"/>
    <w:rsid w:val="00C4170A"/>
    <w:rsid w:val="00C54A79"/>
    <w:rsid w:val="00C6112D"/>
    <w:rsid w:val="00C622F6"/>
    <w:rsid w:val="00C776C5"/>
    <w:rsid w:val="00CA016E"/>
    <w:rsid w:val="00CA79CD"/>
    <w:rsid w:val="00CB7A34"/>
    <w:rsid w:val="00CC263D"/>
    <w:rsid w:val="00CE19BD"/>
    <w:rsid w:val="00CE3B03"/>
    <w:rsid w:val="00CE4466"/>
    <w:rsid w:val="00CE58A5"/>
    <w:rsid w:val="00CF0CB5"/>
    <w:rsid w:val="00CF1E77"/>
    <w:rsid w:val="00CF6EC8"/>
    <w:rsid w:val="00D4464F"/>
    <w:rsid w:val="00D44EDE"/>
    <w:rsid w:val="00D51406"/>
    <w:rsid w:val="00D52F9F"/>
    <w:rsid w:val="00D62B7C"/>
    <w:rsid w:val="00D679AE"/>
    <w:rsid w:val="00D733BD"/>
    <w:rsid w:val="00D7798F"/>
    <w:rsid w:val="00D93ABD"/>
    <w:rsid w:val="00D97670"/>
    <w:rsid w:val="00DB2D5B"/>
    <w:rsid w:val="00DB2E59"/>
    <w:rsid w:val="00DD3D14"/>
    <w:rsid w:val="00DD4B9A"/>
    <w:rsid w:val="00DD7C00"/>
    <w:rsid w:val="00DE13B1"/>
    <w:rsid w:val="00DE3BBD"/>
    <w:rsid w:val="00DE7205"/>
    <w:rsid w:val="00DF6F15"/>
    <w:rsid w:val="00E03F94"/>
    <w:rsid w:val="00E0692D"/>
    <w:rsid w:val="00E27D46"/>
    <w:rsid w:val="00E40F1F"/>
    <w:rsid w:val="00E47FA5"/>
    <w:rsid w:val="00E51F39"/>
    <w:rsid w:val="00E57161"/>
    <w:rsid w:val="00E624D4"/>
    <w:rsid w:val="00E73EE5"/>
    <w:rsid w:val="00E763D9"/>
    <w:rsid w:val="00E85CCA"/>
    <w:rsid w:val="00EA18B6"/>
    <w:rsid w:val="00EC0007"/>
    <w:rsid w:val="00ED280F"/>
    <w:rsid w:val="00F03AF0"/>
    <w:rsid w:val="00F04222"/>
    <w:rsid w:val="00F049F3"/>
    <w:rsid w:val="00F135B7"/>
    <w:rsid w:val="00F1744F"/>
    <w:rsid w:val="00F25B04"/>
    <w:rsid w:val="00F44355"/>
    <w:rsid w:val="00F770D7"/>
    <w:rsid w:val="00F84B60"/>
    <w:rsid w:val="00F96382"/>
    <w:rsid w:val="00FA2895"/>
    <w:rsid w:val="00FA6E53"/>
    <w:rsid w:val="00FB6A6B"/>
    <w:rsid w:val="00FC6904"/>
    <w:rsid w:val="00FD0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BEC749"/>
  <w15:docId w15:val="{220D7430-DA4E-794B-8599-BDE4138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E0692D"/>
    <w:pPr>
      <w:tabs>
        <w:tab w:val="right" w:leader="dot" w:pos="9204"/>
      </w:tabs>
      <w:spacing w:after="100" w:line="480"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71">
      <w:bodyDiv w:val="1"/>
      <w:marLeft w:val="0"/>
      <w:marRight w:val="0"/>
      <w:marTop w:val="0"/>
      <w:marBottom w:val="0"/>
      <w:divBdr>
        <w:top w:val="none" w:sz="0" w:space="0" w:color="auto"/>
        <w:left w:val="none" w:sz="0" w:space="0" w:color="auto"/>
        <w:bottom w:val="none" w:sz="0" w:space="0" w:color="auto"/>
        <w:right w:val="none" w:sz="0" w:space="0" w:color="auto"/>
      </w:divBdr>
    </w:div>
    <w:div w:id="51118662">
      <w:bodyDiv w:val="1"/>
      <w:marLeft w:val="0"/>
      <w:marRight w:val="0"/>
      <w:marTop w:val="0"/>
      <w:marBottom w:val="0"/>
      <w:divBdr>
        <w:top w:val="none" w:sz="0" w:space="0" w:color="auto"/>
        <w:left w:val="none" w:sz="0" w:space="0" w:color="auto"/>
        <w:bottom w:val="none" w:sz="0" w:space="0" w:color="auto"/>
        <w:right w:val="none" w:sz="0" w:space="0" w:color="auto"/>
      </w:divBdr>
    </w:div>
    <w:div w:id="140773794">
      <w:bodyDiv w:val="1"/>
      <w:marLeft w:val="0"/>
      <w:marRight w:val="0"/>
      <w:marTop w:val="0"/>
      <w:marBottom w:val="0"/>
      <w:divBdr>
        <w:top w:val="none" w:sz="0" w:space="0" w:color="auto"/>
        <w:left w:val="none" w:sz="0" w:space="0" w:color="auto"/>
        <w:bottom w:val="none" w:sz="0" w:space="0" w:color="auto"/>
        <w:right w:val="none" w:sz="0" w:space="0" w:color="auto"/>
      </w:divBdr>
    </w:div>
    <w:div w:id="207305311">
      <w:bodyDiv w:val="1"/>
      <w:marLeft w:val="0"/>
      <w:marRight w:val="0"/>
      <w:marTop w:val="0"/>
      <w:marBottom w:val="0"/>
      <w:divBdr>
        <w:top w:val="none" w:sz="0" w:space="0" w:color="auto"/>
        <w:left w:val="none" w:sz="0" w:space="0" w:color="auto"/>
        <w:bottom w:val="none" w:sz="0" w:space="0" w:color="auto"/>
        <w:right w:val="none" w:sz="0" w:space="0" w:color="auto"/>
      </w:divBdr>
    </w:div>
    <w:div w:id="214976050">
      <w:bodyDiv w:val="1"/>
      <w:marLeft w:val="0"/>
      <w:marRight w:val="0"/>
      <w:marTop w:val="0"/>
      <w:marBottom w:val="0"/>
      <w:divBdr>
        <w:top w:val="none" w:sz="0" w:space="0" w:color="auto"/>
        <w:left w:val="none" w:sz="0" w:space="0" w:color="auto"/>
        <w:bottom w:val="none" w:sz="0" w:space="0" w:color="auto"/>
        <w:right w:val="none" w:sz="0" w:space="0" w:color="auto"/>
      </w:divBdr>
    </w:div>
    <w:div w:id="234828878">
      <w:bodyDiv w:val="1"/>
      <w:marLeft w:val="0"/>
      <w:marRight w:val="0"/>
      <w:marTop w:val="0"/>
      <w:marBottom w:val="0"/>
      <w:divBdr>
        <w:top w:val="none" w:sz="0" w:space="0" w:color="auto"/>
        <w:left w:val="none" w:sz="0" w:space="0" w:color="auto"/>
        <w:bottom w:val="none" w:sz="0" w:space="0" w:color="auto"/>
        <w:right w:val="none" w:sz="0" w:space="0" w:color="auto"/>
      </w:divBdr>
    </w:div>
    <w:div w:id="447512172">
      <w:bodyDiv w:val="1"/>
      <w:marLeft w:val="0"/>
      <w:marRight w:val="0"/>
      <w:marTop w:val="0"/>
      <w:marBottom w:val="0"/>
      <w:divBdr>
        <w:top w:val="none" w:sz="0" w:space="0" w:color="auto"/>
        <w:left w:val="none" w:sz="0" w:space="0" w:color="auto"/>
        <w:bottom w:val="none" w:sz="0" w:space="0" w:color="auto"/>
        <w:right w:val="none" w:sz="0" w:space="0" w:color="auto"/>
      </w:divBdr>
    </w:div>
    <w:div w:id="475071237">
      <w:bodyDiv w:val="1"/>
      <w:marLeft w:val="0"/>
      <w:marRight w:val="0"/>
      <w:marTop w:val="0"/>
      <w:marBottom w:val="0"/>
      <w:divBdr>
        <w:top w:val="none" w:sz="0" w:space="0" w:color="auto"/>
        <w:left w:val="none" w:sz="0" w:space="0" w:color="auto"/>
        <w:bottom w:val="none" w:sz="0" w:space="0" w:color="auto"/>
        <w:right w:val="none" w:sz="0" w:space="0" w:color="auto"/>
      </w:divBdr>
    </w:div>
    <w:div w:id="558438536">
      <w:bodyDiv w:val="1"/>
      <w:marLeft w:val="0"/>
      <w:marRight w:val="0"/>
      <w:marTop w:val="0"/>
      <w:marBottom w:val="0"/>
      <w:divBdr>
        <w:top w:val="none" w:sz="0" w:space="0" w:color="auto"/>
        <w:left w:val="none" w:sz="0" w:space="0" w:color="auto"/>
        <w:bottom w:val="none" w:sz="0" w:space="0" w:color="auto"/>
        <w:right w:val="none" w:sz="0" w:space="0" w:color="auto"/>
      </w:divBdr>
    </w:div>
    <w:div w:id="600262563">
      <w:bodyDiv w:val="1"/>
      <w:marLeft w:val="0"/>
      <w:marRight w:val="0"/>
      <w:marTop w:val="0"/>
      <w:marBottom w:val="0"/>
      <w:divBdr>
        <w:top w:val="none" w:sz="0" w:space="0" w:color="auto"/>
        <w:left w:val="none" w:sz="0" w:space="0" w:color="auto"/>
        <w:bottom w:val="none" w:sz="0" w:space="0" w:color="auto"/>
        <w:right w:val="none" w:sz="0" w:space="0" w:color="auto"/>
      </w:divBdr>
    </w:div>
    <w:div w:id="808984452">
      <w:bodyDiv w:val="1"/>
      <w:marLeft w:val="0"/>
      <w:marRight w:val="0"/>
      <w:marTop w:val="0"/>
      <w:marBottom w:val="0"/>
      <w:divBdr>
        <w:top w:val="none" w:sz="0" w:space="0" w:color="auto"/>
        <w:left w:val="none" w:sz="0" w:space="0" w:color="auto"/>
        <w:bottom w:val="none" w:sz="0" w:space="0" w:color="auto"/>
        <w:right w:val="none" w:sz="0" w:space="0" w:color="auto"/>
      </w:divBdr>
    </w:div>
    <w:div w:id="904147859">
      <w:bodyDiv w:val="1"/>
      <w:marLeft w:val="0"/>
      <w:marRight w:val="0"/>
      <w:marTop w:val="0"/>
      <w:marBottom w:val="0"/>
      <w:divBdr>
        <w:top w:val="none" w:sz="0" w:space="0" w:color="auto"/>
        <w:left w:val="none" w:sz="0" w:space="0" w:color="auto"/>
        <w:bottom w:val="none" w:sz="0" w:space="0" w:color="auto"/>
        <w:right w:val="none" w:sz="0" w:space="0" w:color="auto"/>
      </w:divBdr>
    </w:div>
    <w:div w:id="924995832">
      <w:bodyDiv w:val="1"/>
      <w:marLeft w:val="0"/>
      <w:marRight w:val="0"/>
      <w:marTop w:val="0"/>
      <w:marBottom w:val="0"/>
      <w:divBdr>
        <w:top w:val="none" w:sz="0" w:space="0" w:color="auto"/>
        <w:left w:val="none" w:sz="0" w:space="0" w:color="auto"/>
        <w:bottom w:val="none" w:sz="0" w:space="0" w:color="auto"/>
        <w:right w:val="none" w:sz="0" w:space="0" w:color="auto"/>
      </w:divBdr>
    </w:div>
    <w:div w:id="969478302">
      <w:bodyDiv w:val="1"/>
      <w:marLeft w:val="0"/>
      <w:marRight w:val="0"/>
      <w:marTop w:val="0"/>
      <w:marBottom w:val="0"/>
      <w:divBdr>
        <w:top w:val="none" w:sz="0" w:space="0" w:color="auto"/>
        <w:left w:val="none" w:sz="0" w:space="0" w:color="auto"/>
        <w:bottom w:val="none" w:sz="0" w:space="0" w:color="auto"/>
        <w:right w:val="none" w:sz="0" w:space="0" w:color="auto"/>
      </w:divBdr>
    </w:div>
    <w:div w:id="989018390">
      <w:bodyDiv w:val="1"/>
      <w:marLeft w:val="0"/>
      <w:marRight w:val="0"/>
      <w:marTop w:val="0"/>
      <w:marBottom w:val="0"/>
      <w:divBdr>
        <w:top w:val="none" w:sz="0" w:space="0" w:color="auto"/>
        <w:left w:val="none" w:sz="0" w:space="0" w:color="auto"/>
        <w:bottom w:val="none" w:sz="0" w:space="0" w:color="auto"/>
        <w:right w:val="none" w:sz="0" w:space="0" w:color="auto"/>
      </w:divBdr>
    </w:div>
    <w:div w:id="1046372331">
      <w:bodyDiv w:val="1"/>
      <w:marLeft w:val="0"/>
      <w:marRight w:val="0"/>
      <w:marTop w:val="0"/>
      <w:marBottom w:val="0"/>
      <w:divBdr>
        <w:top w:val="none" w:sz="0" w:space="0" w:color="auto"/>
        <w:left w:val="none" w:sz="0" w:space="0" w:color="auto"/>
        <w:bottom w:val="none" w:sz="0" w:space="0" w:color="auto"/>
        <w:right w:val="none" w:sz="0" w:space="0" w:color="auto"/>
      </w:divBdr>
    </w:div>
    <w:div w:id="1186137263">
      <w:bodyDiv w:val="1"/>
      <w:marLeft w:val="0"/>
      <w:marRight w:val="0"/>
      <w:marTop w:val="0"/>
      <w:marBottom w:val="0"/>
      <w:divBdr>
        <w:top w:val="none" w:sz="0" w:space="0" w:color="auto"/>
        <w:left w:val="none" w:sz="0" w:space="0" w:color="auto"/>
        <w:bottom w:val="none" w:sz="0" w:space="0" w:color="auto"/>
        <w:right w:val="none" w:sz="0" w:space="0" w:color="auto"/>
      </w:divBdr>
    </w:div>
    <w:div w:id="1209031358">
      <w:bodyDiv w:val="1"/>
      <w:marLeft w:val="0"/>
      <w:marRight w:val="0"/>
      <w:marTop w:val="0"/>
      <w:marBottom w:val="0"/>
      <w:divBdr>
        <w:top w:val="none" w:sz="0" w:space="0" w:color="auto"/>
        <w:left w:val="none" w:sz="0" w:space="0" w:color="auto"/>
        <w:bottom w:val="none" w:sz="0" w:space="0" w:color="auto"/>
        <w:right w:val="none" w:sz="0" w:space="0" w:color="auto"/>
      </w:divBdr>
    </w:div>
    <w:div w:id="1472283296">
      <w:bodyDiv w:val="1"/>
      <w:marLeft w:val="0"/>
      <w:marRight w:val="0"/>
      <w:marTop w:val="0"/>
      <w:marBottom w:val="0"/>
      <w:divBdr>
        <w:top w:val="none" w:sz="0" w:space="0" w:color="auto"/>
        <w:left w:val="none" w:sz="0" w:space="0" w:color="auto"/>
        <w:bottom w:val="none" w:sz="0" w:space="0" w:color="auto"/>
        <w:right w:val="none" w:sz="0" w:space="0" w:color="auto"/>
      </w:divBdr>
    </w:div>
    <w:div w:id="1584990588">
      <w:bodyDiv w:val="1"/>
      <w:marLeft w:val="0"/>
      <w:marRight w:val="0"/>
      <w:marTop w:val="0"/>
      <w:marBottom w:val="0"/>
      <w:divBdr>
        <w:top w:val="none" w:sz="0" w:space="0" w:color="auto"/>
        <w:left w:val="none" w:sz="0" w:space="0" w:color="auto"/>
        <w:bottom w:val="none" w:sz="0" w:space="0" w:color="auto"/>
        <w:right w:val="none" w:sz="0" w:space="0" w:color="auto"/>
      </w:divBdr>
      <w:divsChild>
        <w:div w:id="164513933">
          <w:marLeft w:val="0"/>
          <w:marRight w:val="-18928"/>
          <w:marTop w:val="2835"/>
          <w:marBottom w:val="0"/>
          <w:divBdr>
            <w:top w:val="single" w:sz="2" w:space="0" w:color="auto"/>
            <w:left w:val="single" w:sz="2" w:space="0" w:color="auto"/>
            <w:bottom w:val="single" w:sz="2" w:space="0" w:color="auto"/>
            <w:right w:val="single" w:sz="2" w:space="0" w:color="auto"/>
          </w:divBdr>
        </w:div>
        <w:div w:id="1703817986">
          <w:marLeft w:val="0"/>
          <w:marRight w:val="-18928"/>
          <w:marTop w:val="3525"/>
          <w:marBottom w:val="0"/>
          <w:divBdr>
            <w:top w:val="single" w:sz="2" w:space="0" w:color="auto"/>
            <w:left w:val="single" w:sz="2" w:space="0" w:color="auto"/>
            <w:bottom w:val="single" w:sz="2" w:space="0" w:color="auto"/>
            <w:right w:val="single" w:sz="2" w:space="0" w:color="auto"/>
          </w:divBdr>
        </w:div>
      </w:divsChild>
    </w:div>
    <w:div w:id="1610355800">
      <w:bodyDiv w:val="1"/>
      <w:marLeft w:val="0"/>
      <w:marRight w:val="0"/>
      <w:marTop w:val="0"/>
      <w:marBottom w:val="0"/>
      <w:divBdr>
        <w:top w:val="none" w:sz="0" w:space="0" w:color="auto"/>
        <w:left w:val="none" w:sz="0" w:space="0" w:color="auto"/>
        <w:bottom w:val="none" w:sz="0" w:space="0" w:color="auto"/>
        <w:right w:val="none" w:sz="0" w:space="0" w:color="auto"/>
      </w:divBdr>
    </w:div>
    <w:div w:id="1656834127">
      <w:bodyDiv w:val="1"/>
      <w:marLeft w:val="0"/>
      <w:marRight w:val="0"/>
      <w:marTop w:val="0"/>
      <w:marBottom w:val="0"/>
      <w:divBdr>
        <w:top w:val="none" w:sz="0" w:space="0" w:color="auto"/>
        <w:left w:val="none" w:sz="0" w:space="0" w:color="auto"/>
        <w:bottom w:val="none" w:sz="0" w:space="0" w:color="auto"/>
        <w:right w:val="none" w:sz="0" w:space="0" w:color="auto"/>
      </w:divBdr>
    </w:div>
    <w:div w:id="1665359976">
      <w:bodyDiv w:val="1"/>
      <w:marLeft w:val="0"/>
      <w:marRight w:val="0"/>
      <w:marTop w:val="0"/>
      <w:marBottom w:val="0"/>
      <w:divBdr>
        <w:top w:val="none" w:sz="0" w:space="0" w:color="auto"/>
        <w:left w:val="none" w:sz="0" w:space="0" w:color="auto"/>
        <w:bottom w:val="none" w:sz="0" w:space="0" w:color="auto"/>
        <w:right w:val="none" w:sz="0" w:space="0" w:color="auto"/>
      </w:divBdr>
    </w:div>
    <w:div w:id="1697609575">
      <w:bodyDiv w:val="1"/>
      <w:marLeft w:val="0"/>
      <w:marRight w:val="0"/>
      <w:marTop w:val="0"/>
      <w:marBottom w:val="0"/>
      <w:divBdr>
        <w:top w:val="none" w:sz="0" w:space="0" w:color="auto"/>
        <w:left w:val="none" w:sz="0" w:space="0" w:color="auto"/>
        <w:bottom w:val="none" w:sz="0" w:space="0" w:color="auto"/>
        <w:right w:val="none" w:sz="0" w:space="0" w:color="auto"/>
      </w:divBdr>
    </w:div>
    <w:div w:id="1706171762">
      <w:bodyDiv w:val="1"/>
      <w:marLeft w:val="0"/>
      <w:marRight w:val="0"/>
      <w:marTop w:val="0"/>
      <w:marBottom w:val="0"/>
      <w:divBdr>
        <w:top w:val="none" w:sz="0" w:space="0" w:color="auto"/>
        <w:left w:val="none" w:sz="0" w:space="0" w:color="auto"/>
        <w:bottom w:val="none" w:sz="0" w:space="0" w:color="auto"/>
        <w:right w:val="none" w:sz="0" w:space="0" w:color="auto"/>
      </w:divBdr>
    </w:div>
    <w:div w:id="1815675817">
      <w:bodyDiv w:val="1"/>
      <w:marLeft w:val="0"/>
      <w:marRight w:val="0"/>
      <w:marTop w:val="0"/>
      <w:marBottom w:val="0"/>
      <w:divBdr>
        <w:top w:val="none" w:sz="0" w:space="0" w:color="auto"/>
        <w:left w:val="none" w:sz="0" w:space="0" w:color="auto"/>
        <w:bottom w:val="none" w:sz="0" w:space="0" w:color="auto"/>
        <w:right w:val="none" w:sz="0" w:space="0" w:color="auto"/>
      </w:divBdr>
    </w:div>
    <w:div w:id="1867327486">
      <w:bodyDiv w:val="1"/>
      <w:marLeft w:val="0"/>
      <w:marRight w:val="0"/>
      <w:marTop w:val="0"/>
      <w:marBottom w:val="0"/>
      <w:divBdr>
        <w:top w:val="none" w:sz="0" w:space="0" w:color="auto"/>
        <w:left w:val="none" w:sz="0" w:space="0" w:color="auto"/>
        <w:bottom w:val="none" w:sz="0" w:space="0" w:color="auto"/>
        <w:right w:val="none" w:sz="0" w:space="0" w:color="auto"/>
      </w:divBdr>
    </w:div>
    <w:div w:id="1939094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onsultas.curp.gob.mx/CurpSP/html/informacionecurpPS.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K429uzWx4VWYw8qmXf6QOzx2w==">CgMxLjA4AHIhMVFGTFBWOVNXRDJDSk5FN2JkVEYxTUExcTFVRGRMbWl6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F5CB53-6BD2-4734-9333-4A8DBEF6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46</Pages>
  <Words>11753</Words>
  <Characters>64647</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ROX</cp:lastModifiedBy>
  <cp:revision>6</cp:revision>
  <cp:lastPrinted>2025-01-24T15:42:00Z</cp:lastPrinted>
  <dcterms:created xsi:type="dcterms:W3CDTF">2025-01-24T15:42:00Z</dcterms:created>
  <dcterms:modified xsi:type="dcterms:W3CDTF">2025-02-19T17:22:00Z</dcterms:modified>
</cp:coreProperties>
</file>