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8327B" w14:textId="77777777" w:rsidR="006045E6" w:rsidRDefault="006045E6">
      <w:pPr>
        <w:widowControl w:val="0"/>
        <w:pBdr>
          <w:top w:val="nil"/>
          <w:left w:val="nil"/>
          <w:bottom w:val="nil"/>
          <w:right w:val="nil"/>
          <w:between w:val="nil"/>
        </w:pBdr>
        <w:spacing w:after="0" w:line="276" w:lineRule="auto"/>
      </w:pPr>
    </w:p>
    <w:p w14:paraId="1B2575D2" w14:textId="77777777" w:rsidR="006045E6" w:rsidRDefault="006045E6">
      <w:pPr>
        <w:keepNext/>
        <w:keepLines/>
        <w:pBdr>
          <w:top w:val="nil"/>
          <w:left w:val="nil"/>
          <w:bottom w:val="nil"/>
          <w:right w:val="nil"/>
          <w:between w:val="nil"/>
        </w:pBdr>
        <w:spacing w:after="0" w:line="360" w:lineRule="auto"/>
        <w:ind w:left="708" w:hanging="708"/>
        <w:jc w:val="center"/>
        <w:rPr>
          <w:rFonts w:ascii="Palatino Linotype" w:eastAsia="Palatino Linotype" w:hAnsi="Palatino Linotype" w:cs="Palatino Linotype"/>
          <w:color w:val="FF0000"/>
        </w:rPr>
      </w:pPr>
      <w:bookmarkStart w:id="0" w:name="_heading=h.uh8iyuk3jl53" w:colFirst="0" w:colLast="0"/>
      <w:bookmarkEnd w:id="0"/>
    </w:p>
    <w:p w14:paraId="0725CAAA" w14:textId="77777777" w:rsidR="006045E6" w:rsidRDefault="006045E6">
      <w:pPr>
        <w:keepNext/>
        <w:keepLines/>
        <w:pBdr>
          <w:top w:val="nil"/>
          <w:left w:val="nil"/>
          <w:bottom w:val="nil"/>
          <w:right w:val="nil"/>
          <w:between w:val="nil"/>
        </w:pBdr>
        <w:spacing w:after="0" w:line="360" w:lineRule="auto"/>
        <w:jc w:val="center"/>
        <w:rPr>
          <w:rFonts w:ascii="Palatino Linotype" w:eastAsia="Palatino Linotype" w:hAnsi="Palatino Linotype" w:cs="Palatino Linotype"/>
          <w:color w:val="FF0000"/>
        </w:rPr>
      </w:pPr>
    </w:p>
    <w:p w14:paraId="4FDC9946" w14:textId="77777777" w:rsidR="006045E6" w:rsidRPr="00BA57E8" w:rsidRDefault="00AC794E">
      <w:pPr>
        <w:keepNext/>
        <w:keepLines/>
        <w:pBdr>
          <w:top w:val="nil"/>
          <w:left w:val="nil"/>
          <w:bottom w:val="nil"/>
          <w:right w:val="nil"/>
          <w:between w:val="nil"/>
        </w:pBdr>
        <w:spacing w:after="0" w:line="360" w:lineRule="auto"/>
        <w:jc w:val="center"/>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RESOLUCIÓN DEL RECURSO DE REVISIÓN 06851/INFOEM/IP/RR/2025</w:t>
      </w:r>
    </w:p>
    <w:sdt>
      <w:sdtPr>
        <w:id w:val="495307772"/>
        <w:docPartObj>
          <w:docPartGallery w:val="Table of Contents"/>
          <w:docPartUnique/>
        </w:docPartObj>
      </w:sdtPr>
      <w:sdtEndPr/>
      <w:sdtContent>
        <w:p w14:paraId="5CF0F123" w14:textId="77777777" w:rsidR="006045E6" w:rsidRPr="00BA57E8" w:rsidRDefault="00AC794E">
          <w:pPr>
            <w:pBdr>
              <w:top w:val="nil"/>
              <w:left w:val="nil"/>
              <w:bottom w:val="nil"/>
              <w:right w:val="nil"/>
              <w:between w:val="nil"/>
            </w:pBdr>
            <w:tabs>
              <w:tab w:val="right" w:pos="8828"/>
            </w:tabs>
            <w:spacing w:after="100"/>
            <w:rPr>
              <w:rFonts w:ascii="Palatino Linotype" w:eastAsia="Palatino Linotype" w:hAnsi="Palatino Linotype" w:cs="Palatino Linotype"/>
              <w:color w:val="000000"/>
            </w:rPr>
          </w:pPr>
          <w:r w:rsidRPr="00BA57E8">
            <w:fldChar w:fldCharType="begin"/>
          </w:r>
          <w:r w:rsidRPr="00BA57E8">
            <w:instrText xml:space="preserve"> TOC \h \u \z \t "Heading 1,1,Heading 2,2,Heading 3,3,"</w:instrText>
          </w:r>
          <w:r w:rsidRPr="00BA57E8">
            <w:fldChar w:fldCharType="separate"/>
          </w:r>
          <w:hyperlink w:anchor="_heading=h.unr9e0ub39ra">
            <w:r w:rsidRPr="00BA57E8">
              <w:rPr>
                <w:rFonts w:ascii="Palatino Linotype" w:eastAsia="Palatino Linotype" w:hAnsi="Palatino Linotype" w:cs="Palatino Linotype"/>
                <w:color w:val="000000"/>
              </w:rPr>
              <w:t>A N T E C E D E N T E S</w:t>
            </w:r>
            <w:r w:rsidRPr="00BA57E8">
              <w:rPr>
                <w:rFonts w:ascii="Palatino Linotype" w:eastAsia="Palatino Linotype" w:hAnsi="Palatino Linotype" w:cs="Palatino Linotype"/>
                <w:color w:val="000000"/>
              </w:rPr>
              <w:tab/>
              <w:t>2</w:t>
            </w:r>
          </w:hyperlink>
        </w:p>
        <w:p w14:paraId="225FBC56"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u8tn5v8gaigs">
            <w:r w:rsidR="00AC794E" w:rsidRPr="00BA57E8">
              <w:rPr>
                <w:rFonts w:ascii="Palatino Linotype" w:eastAsia="Palatino Linotype" w:hAnsi="Palatino Linotype" w:cs="Palatino Linotype"/>
                <w:color w:val="000000"/>
              </w:rPr>
              <w:t>I. Presentación de la solicitud de información</w:t>
            </w:r>
            <w:r w:rsidR="00AC794E" w:rsidRPr="00BA57E8">
              <w:rPr>
                <w:rFonts w:ascii="Palatino Linotype" w:eastAsia="Palatino Linotype" w:hAnsi="Palatino Linotype" w:cs="Palatino Linotype"/>
                <w:color w:val="000000"/>
              </w:rPr>
              <w:tab/>
              <w:t>2</w:t>
            </w:r>
          </w:hyperlink>
        </w:p>
        <w:p w14:paraId="4DC8E2F1"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u00ncp6dk9f3">
            <w:r w:rsidR="00AC794E" w:rsidRPr="00BA57E8">
              <w:rPr>
                <w:rFonts w:ascii="Palatino Linotype" w:eastAsia="Palatino Linotype" w:hAnsi="Palatino Linotype" w:cs="Palatino Linotype"/>
                <w:color w:val="000000"/>
              </w:rPr>
              <w:t>II. Respuesta del Sujeto Obligado</w:t>
            </w:r>
            <w:r w:rsidR="00AC794E" w:rsidRPr="00BA57E8">
              <w:rPr>
                <w:rFonts w:ascii="Palatino Linotype" w:eastAsia="Palatino Linotype" w:hAnsi="Palatino Linotype" w:cs="Palatino Linotype"/>
                <w:color w:val="000000"/>
              </w:rPr>
              <w:tab/>
              <w:t>2</w:t>
            </w:r>
          </w:hyperlink>
        </w:p>
        <w:p w14:paraId="2EB71E21"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ld6w4j727220">
            <w:r w:rsidR="00AC794E" w:rsidRPr="00BA57E8">
              <w:rPr>
                <w:rFonts w:ascii="Palatino Linotype" w:eastAsia="Palatino Linotype" w:hAnsi="Palatino Linotype" w:cs="Palatino Linotype"/>
                <w:color w:val="000000"/>
              </w:rPr>
              <w:t>III. Interposición del Recurso de Revisión</w:t>
            </w:r>
            <w:r w:rsidR="00AC794E" w:rsidRPr="00BA57E8">
              <w:rPr>
                <w:rFonts w:ascii="Palatino Linotype" w:eastAsia="Palatino Linotype" w:hAnsi="Palatino Linotype" w:cs="Palatino Linotype"/>
                <w:color w:val="000000"/>
              </w:rPr>
              <w:tab/>
              <w:t>5</w:t>
            </w:r>
          </w:hyperlink>
        </w:p>
        <w:p w14:paraId="420BA504"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l8e8fkizvnro">
            <w:r w:rsidR="00AC794E" w:rsidRPr="00BA57E8">
              <w:rPr>
                <w:rFonts w:ascii="Palatino Linotype" w:eastAsia="Palatino Linotype" w:hAnsi="Palatino Linotype" w:cs="Palatino Linotype"/>
                <w:color w:val="000000"/>
              </w:rPr>
              <w:t>IV. Trámite del Recurso de Revisión ante este Instituto</w:t>
            </w:r>
            <w:r w:rsidR="00AC794E" w:rsidRPr="00BA57E8">
              <w:rPr>
                <w:rFonts w:ascii="Palatino Linotype" w:eastAsia="Palatino Linotype" w:hAnsi="Palatino Linotype" w:cs="Palatino Linotype"/>
                <w:color w:val="000000"/>
              </w:rPr>
              <w:tab/>
              <w:t>6</w:t>
            </w:r>
          </w:hyperlink>
        </w:p>
        <w:p w14:paraId="53C659CD" w14:textId="77777777" w:rsidR="006045E6" w:rsidRPr="00BA57E8" w:rsidRDefault="0083416A">
          <w:pPr>
            <w:pBdr>
              <w:top w:val="nil"/>
              <w:left w:val="nil"/>
              <w:bottom w:val="nil"/>
              <w:right w:val="nil"/>
              <w:between w:val="nil"/>
            </w:pBdr>
            <w:tabs>
              <w:tab w:val="right" w:pos="8828"/>
            </w:tabs>
            <w:spacing w:after="100"/>
            <w:rPr>
              <w:rFonts w:ascii="Palatino Linotype" w:eastAsia="Palatino Linotype" w:hAnsi="Palatino Linotype" w:cs="Palatino Linotype"/>
              <w:color w:val="000000"/>
            </w:rPr>
          </w:pPr>
          <w:hyperlink w:anchor="_heading=h.33vu9g9ikjqd">
            <w:r w:rsidR="00AC794E" w:rsidRPr="00BA57E8">
              <w:rPr>
                <w:rFonts w:ascii="Palatino Linotype" w:eastAsia="Palatino Linotype" w:hAnsi="Palatino Linotype" w:cs="Palatino Linotype"/>
                <w:color w:val="000000"/>
              </w:rPr>
              <w:t>C O N S I D E R A N D O S</w:t>
            </w:r>
            <w:r w:rsidR="00AC794E" w:rsidRPr="00BA57E8">
              <w:rPr>
                <w:rFonts w:ascii="Palatino Linotype" w:eastAsia="Palatino Linotype" w:hAnsi="Palatino Linotype" w:cs="Palatino Linotype"/>
                <w:color w:val="000000"/>
              </w:rPr>
              <w:tab/>
              <w:t>7</w:t>
            </w:r>
          </w:hyperlink>
        </w:p>
        <w:p w14:paraId="7B6FF505"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g60vhxblu18q">
            <w:r w:rsidR="00AC794E" w:rsidRPr="00BA57E8">
              <w:rPr>
                <w:rFonts w:ascii="Palatino Linotype" w:eastAsia="Palatino Linotype" w:hAnsi="Palatino Linotype" w:cs="Palatino Linotype"/>
                <w:color w:val="000000"/>
              </w:rPr>
              <w:t>PRIMERO. Competencia</w:t>
            </w:r>
            <w:r w:rsidR="00AC794E" w:rsidRPr="00BA57E8">
              <w:rPr>
                <w:rFonts w:ascii="Palatino Linotype" w:eastAsia="Palatino Linotype" w:hAnsi="Palatino Linotype" w:cs="Palatino Linotype"/>
                <w:color w:val="000000"/>
              </w:rPr>
              <w:tab/>
              <w:t>7</w:t>
            </w:r>
          </w:hyperlink>
        </w:p>
        <w:p w14:paraId="1117C212"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qtha0yq4chb2">
            <w:r w:rsidR="00AC794E" w:rsidRPr="00BA57E8">
              <w:rPr>
                <w:rFonts w:ascii="Palatino Linotype" w:eastAsia="Palatino Linotype" w:hAnsi="Palatino Linotype" w:cs="Palatino Linotype"/>
                <w:color w:val="000000"/>
              </w:rPr>
              <w:t>SEGUNDO. Causales de improcedencia y sobreseimiento</w:t>
            </w:r>
            <w:r w:rsidR="00AC794E" w:rsidRPr="00BA57E8">
              <w:rPr>
                <w:rFonts w:ascii="Palatino Linotype" w:eastAsia="Palatino Linotype" w:hAnsi="Palatino Linotype" w:cs="Palatino Linotype"/>
                <w:color w:val="000000"/>
              </w:rPr>
              <w:tab/>
              <w:t>8</w:t>
            </w:r>
          </w:hyperlink>
        </w:p>
        <w:p w14:paraId="577CECC0"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rug3xmbspz84">
            <w:r w:rsidR="00AC794E" w:rsidRPr="00BA57E8">
              <w:rPr>
                <w:rFonts w:ascii="Palatino Linotype" w:eastAsia="Palatino Linotype" w:hAnsi="Palatino Linotype" w:cs="Palatino Linotype"/>
                <w:color w:val="000000"/>
              </w:rPr>
              <w:t>TERCERO. Determinación de la Controversia</w:t>
            </w:r>
            <w:r w:rsidR="00AC794E" w:rsidRPr="00BA57E8">
              <w:rPr>
                <w:rFonts w:ascii="Palatino Linotype" w:eastAsia="Palatino Linotype" w:hAnsi="Palatino Linotype" w:cs="Palatino Linotype"/>
                <w:color w:val="000000"/>
              </w:rPr>
              <w:tab/>
              <w:t>10</w:t>
            </w:r>
          </w:hyperlink>
        </w:p>
        <w:p w14:paraId="6E937523"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uuc7gf25silq">
            <w:r w:rsidR="00AC794E" w:rsidRPr="00BA57E8">
              <w:rPr>
                <w:rFonts w:ascii="Palatino Linotype" w:eastAsia="Palatino Linotype" w:hAnsi="Palatino Linotype" w:cs="Palatino Linotype"/>
                <w:color w:val="000000"/>
              </w:rPr>
              <w:t>CUARTO. Marco normativo aplicable en materia de transparencia y acceso a la información pública</w:t>
            </w:r>
            <w:r w:rsidR="00AC794E" w:rsidRPr="00BA57E8">
              <w:rPr>
                <w:rFonts w:ascii="Palatino Linotype" w:eastAsia="Palatino Linotype" w:hAnsi="Palatino Linotype" w:cs="Palatino Linotype"/>
                <w:color w:val="000000"/>
              </w:rPr>
              <w:tab/>
              <w:t>12</w:t>
            </w:r>
          </w:hyperlink>
        </w:p>
        <w:p w14:paraId="2A01B56E" w14:textId="77777777" w:rsidR="006045E6" w:rsidRPr="00BA57E8" w:rsidRDefault="0083416A">
          <w:pPr>
            <w:pBdr>
              <w:top w:val="nil"/>
              <w:left w:val="nil"/>
              <w:bottom w:val="nil"/>
              <w:right w:val="nil"/>
              <w:between w:val="nil"/>
            </w:pBdr>
            <w:tabs>
              <w:tab w:val="right" w:pos="8828"/>
            </w:tabs>
            <w:spacing w:after="100"/>
            <w:ind w:left="220"/>
            <w:rPr>
              <w:rFonts w:ascii="Palatino Linotype" w:eastAsia="Palatino Linotype" w:hAnsi="Palatino Linotype" w:cs="Palatino Linotype"/>
              <w:color w:val="000000"/>
            </w:rPr>
          </w:pPr>
          <w:hyperlink w:anchor="_heading=h.6e05kjlflqrk">
            <w:r w:rsidR="00AC794E" w:rsidRPr="00BA57E8">
              <w:rPr>
                <w:rFonts w:ascii="Palatino Linotype" w:eastAsia="Palatino Linotype" w:hAnsi="Palatino Linotype" w:cs="Palatino Linotype"/>
                <w:color w:val="000000"/>
              </w:rPr>
              <w:t>QUINTO. Estudio de Fondo</w:t>
            </w:r>
            <w:r w:rsidR="00AC794E" w:rsidRPr="00BA57E8">
              <w:rPr>
                <w:rFonts w:ascii="Palatino Linotype" w:eastAsia="Palatino Linotype" w:hAnsi="Palatino Linotype" w:cs="Palatino Linotype"/>
                <w:color w:val="000000"/>
              </w:rPr>
              <w:tab/>
              <w:t>13</w:t>
            </w:r>
          </w:hyperlink>
        </w:p>
        <w:p w14:paraId="1E99FE3A" w14:textId="77777777" w:rsidR="006045E6" w:rsidRPr="00BA57E8" w:rsidRDefault="0083416A">
          <w:pPr>
            <w:pBdr>
              <w:top w:val="nil"/>
              <w:left w:val="nil"/>
              <w:bottom w:val="nil"/>
              <w:right w:val="nil"/>
              <w:between w:val="nil"/>
            </w:pBdr>
            <w:tabs>
              <w:tab w:val="right" w:pos="8828"/>
            </w:tabs>
            <w:spacing w:after="100"/>
            <w:rPr>
              <w:rFonts w:ascii="Palatino Linotype" w:eastAsia="Palatino Linotype" w:hAnsi="Palatino Linotype" w:cs="Palatino Linotype"/>
              <w:color w:val="000000"/>
            </w:rPr>
          </w:pPr>
          <w:hyperlink w:anchor="_heading=h.hpjj43mq70mg">
            <w:r w:rsidR="00AC794E" w:rsidRPr="00BA57E8">
              <w:rPr>
                <w:rFonts w:ascii="Palatino Linotype" w:eastAsia="Palatino Linotype" w:hAnsi="Palatino Linotype" w:cs="Palatino Linotype"/>
                <w:b/>
                <w:color w:val="000000"/>
              </w:rPr>
              <w:t>R E S U E L V E</w:t>
            </w:r>
          </w:hyperlink>
          <w:hyperlink w:anchor="_heading=h.hpjj43mq70mg">
            <w:r w:rsidR="00AC794E" w:rsidRPr="00BA57E8">
              <w:rPr>
                <w:rFonts w:ascii="Palatino Linotype" w:eastAsia="Palatino Linotype" w:hAnsi="Palatino Linotype" w:cs="Palatino Linotype"/>
                <w:color w:val="000000"/>
              </w:rPr>
              <w:tab/>
              <w:t>25</w:t>
            </w:r>
          </w:hyperlink>
        </w:p>
        <w:p w14:paraId="14BAB291" w14:textId="77777777" w:rsidR="006045E6" w:rsidRPr="00BA57E8" w:rsidRDefault="00AC794E">
          <w:pPr>
            <w:spacing w:after="0" w:line="360" w:lineRule="auto"/>
            <w:rPr>
              <w:color w:val="FF0000"/>
            </w:rPr>
          </w:pPr>
          <w:r w:rsidRPr="00BA57E8">
            <w:fldChar w:fldCharType="end"/>
          </w:r>
        </w:p>
      </w:sdtContent>
    </w:sdt>
    <w:p w14:paraId="596120B1" w14:textId="77777777" w:rsidR="006045E6" w:rsidRPr="00BA57E8" w:rsidRDefault="006045E6">
      <w:pPr>
        <w:widowControl w:val="0"/>
        <w:pBdr>
          <w:top w:val="nil"/>
          <w:left w:val="nil"/>
          <w:bottom w:val="nil"/>
          <w:right w:val="nil"/>
          <w:between w:val="nil"/>
        </w:pBdr>
        <w:spacing w:after="0" w:line="360" w:lineRule="auto"/>
        <w:rPr>
          <w:rFonts w:ascii="Times New Roman" w:eastAsia="Times New Roman" w:hAnsi="Times New Roman" w:cs="Times New Roman"/>
          <w:color w:val="FF0000"/>
          <w:sz w:val="20"/>
          <w:szCs w:val="20"/>
        </w:rPr>
      </w:pPr>
    </w:p>
    <w:p w14:paraId="7E301318"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15597609" w14:textId="77777777" w:rsidR="006045E6" w:rsidRPr="00BA57E8" w:rsidRDefault="006045E6">
      <w:pPr>
        <w:rPr>
          <w:rFonts w:ascii="Palatino Linotype" w:eastAsia="Palatino Linotype" w:hAnsi="Palatino Linotype" w:cs="Palatino Linotype"/>
          <w:color w:val="FF0000"/>
        </w:rPr>
      </w:pPr>
    </w:p>
    <w:p w14:paraId="2411E38E" w14:textId="77777777" w:rsidR="006045E6" w:rsidRPr="00BA57E8" w:rsidRDefault="006045E6">
      <w:pPr>
        <w:rPr>
          <w:rFonts w:ascii="Palatino Linotype" w:eastAsia="Palatino Linotype" w:hAnsi="Palatino Linotype" w:cs="Palatino Linotype"/>
          <w:color w:val="FF0000"/>
        </w:rPr>
      </w:pPr>
    </w:p>
    <w:p w14:paraId="5D537F79" w14:textId="77777777" w:rsidR="006045E6" w:rsidRPr="00BA57E8" w:rsidRDefault="006045E6">
      <w:pPr>
        <w:rPr>
          <w:rFonts w:ascii="Palatino Linotype" w:eastAsia="Palatino Linotype" w:hAnsi="Palatino Linotype" w:cs="Palatino Linotype"/>
          <w:color w:val="FF0000"/>
        </w:rPr>
      </w:pPr>
    </w:p>
    <w:p w14:paraId="674E2A55" w14:textId="77777777" w:rsidR="006045E6" w:rsidRPr="00BA57E8" w:rsidRDefault="006045E6">
      <w:pPr>
        <w:rPr>
          <w:rFonts w:ascii="Palatino Linotype" w:eastAsia="Palatino Linotype" w:hAnsi="Palatino Linotype" w:cs="Palatino Linotype"/>
          <w:color w:val="FF0000"/>
        </w:rPr>
      </w:pPr>
    </w:p>
    <w:p w14:paraId="3CBAF5DE" w14:textId="77777777" w:rsidR="006045E6" w:rsidRPr="00BA57E8" w:rsidRDefault="006045E6">
      <w:pPr>
        <w:rPr>
          <w:rFonts w:ascii="Palatino Linotype" w:eastAsia="Palatino Linotype" w:hAnsi="Palatino Linotype" w:cs="Palatino Linotype"/>
          <w:color w:val="FF0000"/>
        </w:rPr>
      </w:pPr>
    </w:p>
    <w:p w14:paraId="6B770A35" w14:textId="77777777" w:rsidR="006045E6" w:rsidRPr="00BA57E8" w:rsidRDefault="006045E6">
      <w:pPr>
        <w:rPr>
          <w:rFonts w:ascii="Palatino Linotype" w:eastAsia="Palatino Linotype" w:hAnsi="Palatino Linotype" w:cs="Palatino Linotype"/>
          <w:color w:val="FF0000"/>
        </w:rPr>
      </w:pPr>
    </w:p>
    <w:p w14:paraId="50CF74CF" w14:textId="5CC4A502" w:rsidR="006045E6" w:rsidRPr="00BA57E8" w:rsidRDefault="00AC794E">
      <w:pPr>
        <w:tabs>
          <w:tab w:val="left" w:pos="7080"/>
        </w:tabs>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D7AC8" w:rsidRPr="00BA57E8">
        <w:rPr>
          <w:rFonts w:ascii="Palatino Linotype" w:eastAsia="Palatino Linotype" w:hAnsi="Palatino Linotype" w:cs="Palatino Linotype"/>
        </w:rPr>
        <w:t xml:space="preserve">tres de septiembre </w:t>
      </w:r>
      <w:r w:rsidRPr="00BA57E8">
        <w:rPr>
          <w:rFonts w:ascii="Palatino Linotype" w:eastAsia="Palatino Linotype" w:hAnsi="Palatino Linotype" w:cs="Palatino Linotype"/>
        </w:rPr>
        <w:t xml:space="preserve">de dos mil veinticinco. </w:t>
      </w:r>
    </w:p>
    <w:p w14:paraId="41C11638" w14:textId="77777777" w:rsidR="006045E6" w:rsidRPr="00BA57E8" w:rsidRDefault="006045E6">
      <w:pPr>
        <w:spacing w:after="0" w:line="360" w:lineRule="auto"/>
        <w:rPr>
          <w:rFonts w:ascii="Palatino Linotype" w:eastAsia="Palatino Linotype" w:hAnsi="Palatino Linotype" w:cs="Palatino Linotype"/>
          <w:color w:val="FF0000"/>
        </w:rPr>
      </w:pPr>
    </w:p>
    <w:p w14:paraId="277E4733"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VISTO </w:t>
      </w:r>
      <w:r w:rsidRPr="00BA57E8">
        <w:rPr>
          <w:rFonts w:ascii="Palatino Linotype" w:eastAsia="Palatino Linotype" w:hAnsi="Palatino Linotype" w:cs="Palatino Linotype"/>
        </w:rPr>
        <w:t xml:space="preserve">el expediente conformado con motivo del Recurso de Revisión </w:t>
      </w:r>
      <w:r w:rsidRPr="00F12A5C">
        <w:rPr>
          <w:rFonts w:ascii="Palatino Linotype" w:eastAsia="Palatino Linotype" w:hAnsi="Palatino Linotype" w:cs="Palatino Linotype"/>
          <w:b/>
        </w:rPr>
        <w:t>06851/INFOEM/IP/RR/2025</w:t>
      </w:r>
      <w:r w:rsidRPr="00BA57E8">
        <w:rPr>
          <w:rFonts w:ascii="Palatino Linotype" w:eastAsia="Palatino Linotype" w:hAnsi="Palatino Linotype" w:cs="Palatino Linotype"/>
        </w:rPr>
        <w:t xml:space="preserve">, interpuesto por la persona Recurrente o Particular, en contra de la respuesta del Sujeto Obligado, </w:t>
      </w:r>
      <w:bookmarkStart w:id="1" w:name="_GoBack"/>
      <w:r w:rsidRPr="00F12A5C">
        <w:rPr>
          <w:rFonts w:ascii="Palatino Linotype" w:eastAsia="Palatino Linotype" w:hAnsi="Palatino Linotype" w:cs="Palatino Linotype"/>
          <w:b/>
        </w:rPr>
        <w:t>Ayuntamiento de Toluca</w:t>
      </w:r>
      <w:bookmarkEnd w:id="1"/>
      <w:r w:rsidRPr="00BA57E8">
        <w:rPr>
          <w:rFonts w:ascii="Palatino Linotype" w:eastAsia="Palatino Linotype" w:hAnsi="Palatino Linotype" w:cs="Palatino Linotype"/>
        </w:rPr>
        <w:t>, a la solicitud de acceso a la información pública 02528/TOLUCA/IP/2025, se emite la presente Resolución, con base en los Antecedentes y Considerandos que a continuación se exponen:</w:t>
      </w:r>
    </w:p>
    <w:p w14:paraId="327E35BC" w14:textId="77777777" w:rsidR="006045E6" w:rsidRPr="00BA57E8" w:rsidRDefault="006045E6">
      <w:pPr>
        <w:spacing w:after="0" w:line="360" w:lineRule="auto"/>
        <w:rPr>
          <w:rFonts w:ascii="Palatino Linotype" w:eastAsia="Palatino Linotype" w:hAnsi="Palatino Linotype" w:cs="Palatino Linotype"/>
        </w:rPr>
      </w:pPr>
    </w:p>
    <w:p w14:paraId="2EE04EB4" w14:textId="77777777" w:rsidR="006045E6" w:rsidRPr="00BA57E8" w:rsidRDefault="00AC794E">
      <w:pPr>
        <w:pStyle w:val="Ttulo1"/>
      </w:pPr>
      <w:bookmarkStart w:id="2" w:name="_heading=h.unr9e0ub39ra" w:colFirst="0" w:colLast="0"/>
      <w:bookmarkEnd w:id="2"/>
      <w:r w:rsidRPr="00BA57E8">
        <w:t>A N T E C E D E N T E S</w:t>
      </w:r>
    </w:p>
    <w:p w14:paraId="6E382E53"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C56054F" w14:textId="77777777" w:rsidR="006045E6" w:rsidRPr="00BA57E8" w:rsidRDefault="00AC794E">
      <w:pPr>
        <w:pStyle w:val="Ttulo2"/>
      </w:pPr>
      <w:bookmarkStart w:id="3" w:name="_heading=h.u8tn5v8gaigs" w:colFirst="0" w:colLast="0"/>
      <w:bookmarkEnd w:id="3"/>
      <w:r w:rsidRPr="00BA57E8">
        <w:t>I. Presentación de la solicitud de información</w:t>
      </w:r>
    </w:p>
    <w:p w14:paraId="0B169BEB"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D682F5A" w14:textId="77777777" w:rsidR="006045E6" w:rsidRPr="00BA57E8" w:rsidRDefault="00AC794E">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bookmarkStart w:id="4" w:name="_heading=h.gjdgxs" w:colFirst="0" w:colLast="0"/>
      <w:bookmarkEnd w:id="4"/>
      <w:r w:rsidRPr="00BA57E8">
        <w:rPr>
          <w:rFonts w:ascii="Palatino Linotype" w:eastAsia="Palatino Linotype" w:hAnsi="Palatino Linotype" w:cs="Palatino Linotype"/>
        </w:rPr>
        <w:t>Con fecha veintiocho de abril de dos mil veinticinco, el Particular presentó una solicitud de acceso a la información pública, a través del Sistema de Acceso a la Información Mexiquense (SAIMEX), ante el Ayuntamiento de Toluca, en los siguientes términos:</w:t>
      </w:r>
    </w:p>
    <w:p w14:paraId="20ED9D9D"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6C444B5"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b/>
          <w:i/>
          <w:sz w:val="20"/>
          <w:szCs w:val="20"/>
        </w:rPr>
      </w:pPr>
      <w:r w:rsidRPr="00BA57E8">
        <w:rPr>
          <w:rFonts w:ascii="Palatino Linotype" w:eastAsia="Palatino Linotype" w:hAnsi="Palatino Linotype" w:cs="Palatino Linotype"/>
          <w:b/>
          <w:i/>
          <w:sz w:val="20"/>
          <w:szCs w:val="20"/>
        </w:rPr>
        <w:t>“DESCRIPCIÓN CLARA Y PRECISA DE LA INFORMACIÓN SOLICITADA</w:t>
      </w:r>
    </w:p>
    <w:p w14:paraId="428CC831"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Las fractura pagadas en este gobierno municipal por concepto de Despachos Externos, Asesorias y Asesoría Técnicas, estudios, todas las facturas pagadas con la poliza de cheque a nombre del Despacho MFONTOVA ASOC. S.A de Alma Merino y del Despacho Becerril y Aociados que representa el Contralor Municipal, todos los contratos con depachos o asesorias expeterna y las polizas de pago y facturas de 2022 a 2025” (Sic)</w:t>
      </w:r>
    </w:p>
    <w:p w14:paraId="2DE8E3FB" w14:textId="77777777" w:rsidR="006045E6" w:rsidRPr="00BA57E8" w:rsidRDefault="006045E6">
      <w:pPr>
        <w:tabs>
          <w:tab w:val="left" w:pos="4667"/>
        </w:tabs>
        <w:spacing w:after="0" w:line="360" w:lineRule="auto"/>
        <w:ind w:left="567" w:right="567"/>
        <w:jc w:val="both"/>
        <w:rPr>
          <w:rFonts w:ascii="Palatino Linotype" w:eastAsia="Palatino Linotype" w:hAnsi="Palatino Linotype" w:cs="Palatino Linotype"/>
          <w:i/>
        </w:rPr>
      </w:pPr>
    </w:p>
    <w:p w14:paraId="1FED9CE1" w14:textId="77777777" w:rsidR="00A65AEB" w:rsidRPr="00BA57E8" w:rsidRDefault="00A65AEB">
      <w:pPr>
        <w:tabs>
          <w:tab w:val="left" w:pos="4667"/>
        </w:tabs>
        <w:spacing w:after="0" w:line="360" w:lineRule="auto"/>
        <w:ind w:left="567" w:right="567"/>
        <w:jc w:val="both"/>
        <w:rPr>
          <w:rFonts w:ascii="Palatino Linotype" w:eastAsia="Palatino Linotype" w:hAnsi="Palatino Linotype" w:cs="Palatino Linotype"/>
          <w:i/>
        </w:rPr>
      </w:pPr>
    </w:p>
    <w:p w14:paraId="5A7EE867"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b/>
          <w:i/>
          <w:sz w:val="20"/>
          <w:szCs w:val="20"/>
        </w:rPr>
        <w:lastRenderedPageBreak/>
        <w:t>“MODALIDAD DE ENTREGA</w:t>
      </w:r>
    </w:p>
    <w:p w14:paraId="51A6978D"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A través del SAIMEX”</w:t>
      </w:r>
    </w:p>
    <w:p w14:paraId="7F10D7C8" w14:textId="77777777" w:rsidR="006045E6" w:rsidRPr="00BA57E8" w:rsidRDefault="006045E6">
      <w:pPr>
        <w:tabs>
          <w:tab w:val="left" w:pos="4667"/>
        </w:tabs>
        <w:spacing w:after="0" w:line="360" w:lineRule="auto"/>
        <w:ind w:left="567" w:right="567"/>
        <w:jc w:val="both"/>
        <w:rPr>
          <w:rFonts w:ascii="Palatino Linotype" w:eastAsia="Palatino Linotype" w:hAnsi="Palatino Linotype" w:cs="Palatino Linotype"/>
          <w:i/>
          <w:color w:val="FF0000"/>
          <w:sz w:val="20"/>
          <w:szCs w:val="20"/>
        </w:rPr>
      </w:pPr>
    </w:p>
    <w:p w14:paraId="44331283" w14:textId="77777777" w:rsidR="006045E6" w:rsidRPr="00BA57E8" w:rsidRDefault="00AC794E">
      <w:pPr>
        <w:pStyle w:val="Ttulo2"/>
      </w:pPr>
      <w:bookmarkStart w:id="5" w:name="_heading=h.u00ncp6dk9f3" w:colFirst="0" w:colLast="0"/>
      <w:bookmarkEnd w:id="5"/>
      <w:r w:rsidRPr="00BA57E8">
        <w:t>II. Respuesta del Sujeto Obligado</w:t>
      </w:r>
    </w:p>
    <w:p w14:paraId="7659F2FE"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73CBFE72" w14:textId="77777777" w:rsidR="006045E6" w:rsidRPr="00BA57E8" w:rsidRDefault="00AC794E">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Con fecha veintiuno de mayo de dos mil veinticinco, el Sujeto Obligado, notificó al Solicitante, mediante el Sistema de Acceso a la Información Mexiquense (SAIMEX), la respuesta a la solicitud de acceso a la información, por medio de la digitalización de los siguientes documentos:</w:t>
      </w:r>
    </w:p>
    <w:p w14:paraId="73ED4523"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708234F1" w14:textId="77777777" w:rsidR="006045E6" w:rsidRPr="00BA57E8" w:rsidRDefault="00AC794E"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color w:val="000000"/>
        </w:rPr>
      </w:pPr>
      <w:bookmarkStart w:id="6" w:name="_heading=h.g1psx43fe6kf" w:colFirst="0" w:colLast="0"/>
      <w:bookmarkEnd w:id="6"/>
      <w:r w:rsidRPr="00BA57E8">
        <w:rPr>
          <w:rFonts w:ascii="Palatino Linotype" w:eastAsia="Palatino Linotype" w:hAnsi="Palatino Linotype" w:cs="Palatino Linotype"/>
          <w:color w:val="000000"/>
        </w:rPr>
        <w:t>Oficio 202010000/1568/2025 del seis de mayo de dos mil veinticinco, suscrito por el Tesorero Municipal, dirigido al Solicitante, por medio del cual se menciona lo siguiente:</w:t>
      </w:r>
    </w:p>
    <w:p w14:paraId="4E35EAAD"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0578C2B2" w14:textId="77777777" w:rsidR="006045E6" w:rsidRPr="00BA57E8" w:rsidRDefault="00AC794E">
      <w:pPr>
        <w:pBdr>
          <w:top w:val="nil"/>
          <w:left w:val="nil"/>
          <w:bottom w:val="nil"/>
          <w:right w:val="nil"/>
          <w:between w:val="nil"/>
        </w:pBdr>
        <w:tabs>
          <w:tab w:val="left" w:pos="4667"/>
        </w:tabs>
        <w:spacing w:after="0" w:line="360" w:lineRule="auto"/>
        <w:ind w:left="720" w:right="567"/>
        <w:jc w:val="both"/>
        <w:rPr>
          <w:rFonts w:ascii="Palatino Linotype" w:eastAsia="Palatino Linotype" w:hAnsi="Palatino Linotype" w:cs="Palatino Linotype"/>
          <w:i/>
          <w:color w:val="000000"/>
          <w:sz w:val="20"/>
          <w:szCs w:val="20"/>
        </w:rPr>
      </w:pPr>
      <w:r w:rsidRPr="00BA57E8">
        <w:rPr>
          <w:rFonts w:ascii="Palatino Linotype" w:eastAsia="Palatino Linotype" w:hAnsi="Palatino Linotype" w:cs="Palatino Linotype"/>
          <w:i/>
          <w:color w:val="000000"/>
          <w:sz w:val="20"/>
          <w:szCs w:val="20"/>
        </w:rPr>
        <w:t>“…Conforme a lo establecido por los artículos 12, 24 fracción XI de la Ley de Transparencia y Acceso a la Información Pública del Estado de México y Municipios; 3.19 y 3.20 del Código Reglamentario Municipal de Toluca y numeral 202010000 del Manual de Organización de la Tesorería Municipal de Toluca; le informo que, después de realizar una búsqueda exhaustiva dentro de los archivos que obran en esta Tesorería Municipal, no se encontró documental alguna relacionada con el despacho "MFONTOVA ASOC. S.A de Alma Merino y del Despacho Becerril y Aociados…"(Sic)</w:t>
      </w:r>
    </w:p>
    <w:p w14:paraId="04D1E3F6"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0322F7D0" w14:textId="77777777" w:rsidR="006045E6" w:rsidRPr="00BA57E8" w:rsidRDefault="00AC794E"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Oficio SA/CJ/CJ/201012000/1840/2025 suscrito por la Coordinador Jurídica, dirigido al Consejo Jurídico y Servidor Público Habilitado de la Consejería Jurídica, por medio del cual se menciona lo siguiente:</w:t>
      </w:r>
    </w:p>
    <w:p w14:paraId="6F8996D0"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0C6BA8DF"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lastRenderedPageBreak/>
        <w:t>“..Atinente a lo descrito con anterioridad vengo a dar cumplimiento al requerimiento solicitado por Usted, anexando al presente original del escrito, emitido por la M. en D. Alma Mirna Merino FONTOVA, DIRECTORA GENERAL MFONTOVA ASOC S.C., mediante el cual remite la información requerida…” (Sic)</w:t>
      </w:r>
    </w:p>
    <w:p w14:paraId="193A2E6F" w14:textId="77777777" w:rsidR="006045E6" w:rsidRPr="00BA57E8" w:rsidRDefault="006045E6">
      <w:pPr>
        <w:tabs>
          <w:tab w:val="left" w:pos="4667"/>
        </w:tabs>
        <w:spacing w:after="0" w:line="360" w:lineRule="auto"/>
        <w:ind w:left="567" w:right="567"/>
        <w:jc w:val="both"/>
        <w:rPr>
          <w:rFonts w:ascii="Palatino Linotype" w:eastAsia="Palatino Linotype" w:hAnsi="Palatino Linotype" w:cs="Palatino Linotype"/>
          <w:i/>
          <w:sz w:val="20"/>
          <w:szCs w:val="20"/>
        </w:rPr>
      </w:pPr>
    </w:p>
    <w:p w14:paraId="68140D5F" w14:textId="77777777" w:rsidR="006045E6" w:rsidRPr="00BA57E8" w:rsidRDefault="00AC794E"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Escrito de fecha siete de mayo de dos mil veinticinco, suscrito por la Apoderada Legal del despacho el despacho MFONTOVA ASOC. S.A, dirigido a la Coordinadora Jurídica, por medio del cual se menciona lo siguiente:</w:t>
      </w:r>
    </w:p>
    <w:p w14:paraId="6451E66D" w14:textId="77777777" w:rsidR="006045E6" w:rsidRPr="00BA57E8" w:rsidRDefault="006045E6">
      <w:pPr>
        <w:pBdr>
          <w:top w:val="nil"/>
          <w:left w:val="nil"/>
          <w:bottom w:val="nil"/>
          <w:right w:val="nil"/>
          <w:between w:val="nil"/>
        </w:pBdr>
        <w:tabs>
          <w:tab w:val="left" w:pos="567"/>
        </w:tabs>
        <w:spacing w:after="0" w:line="360" w:lineRule="auto"/>
        <w:ind w:left="720"/>
        <w:jc w:val="both"/>
        <w:rPr>
          <w:rFonts w:ascii="Palatino Linotype" w:eastAsia="Palatino Linotype" w:hAnsi="Palatino Linotype" w:cs="Palatino Linotype"/>
          <w:color w:val="000000"/>
        </w:rPr>
      </w:pPr>
    </w:p>
    <w:p w14:paraId="3501D989"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“…Correspondiente a la solicitud que pudiera competer a este despacho se informa que nosotros no contamos con las facturas pagadas ni los contratos, haciéndole de su conocimiento que el área responsable y encargada de esa información es el área de Tesorería y/o Adquisiciones del H. Ayuntamiento Constitucional de Toluca…” (Sic)</w:t>
      </w:r>
    </w:p>
    <w:p w14:paraId="230332DD"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4CC316CF" w14:textId="77777777" w:rsidR="006045E6" w:rsidRPr="00BA57E8" w:rsidRDefault="00AC794E" w:rsidP="00A65AEB">
      <w:pPr>
        <w:numPr>
          <w:ilvl w:val="0"/>
          <w:numId w:val="1"/>
        </w:numPr>
        <w:pBdr>
          <w:top w:val="nil"/>
          <w:left w:val="nil"/>
          <w:bottom w:val="nil"/>
          <w:right w:val="nil"/>
          <w:between w:val="nil"/>
        </w:pBdr>
        <w:tabs>
          <w:tab w:val="left" w:pos="567"/>
        </w:tabs>
        <w:spacing w:after="0" w:line="360" w:lineRule="auto"/>
        <w:ind w:left="567" w:hanging="207"/>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Oficio SA/CJ/CEyRM/0142/2025 del nueve de mayo de dos mil veinticinco, suscrito por la Coordinadora de Estudios y Reglamentación Municipal, dirigido a la Servidor Público Habilitado de la Consejería Jurídica, por medio del cual menciona lo siguiente:</w:t>
      </w:r>
    </w:p>
    <w:p w14:paraId="734EEAD2" w14:textId="77777777" w:rsidR="006045E6" w:rsidRPr="00BA57E8" w:rsidRDefault="006045E6">
      <w:pPr>
        <w:pBdr>
          <w:top w:val="nil"/>
          <w:left w:val="nil"/>
          <w:bottom w:val="nil"/>
          <w:right w:val="nil"/>
          <w:between w:val="nil"/>
        </w:pBdr>
        <w:tabs>
          <w:tab w:val="left" w:pos="567"/>
        </w:tabs>
        <w:spacing w:after="0" w:line="360" w:lineRule="auto"/>
        <w:ind w:left="720"/>
        <w:jc w:val="both"/>
        <w:rPr>
          <w:rFonts w:ascii="Palatino Linotype" w:eastAsia="Palatino Linotype" w:hAnsi="Palatino Linotype" w:cs="Palatino Linotype"/>
          <w:color w:val="000000"/>
        </w:rPr>
      </w:pPr>
    </w:p>
    <w:p w14:paraId="35938282"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 1. Después de haber realizado una exhaustiva búsqueda de la documentación en físico y de manera digital, en los archivos que ocupa esta Coordinación a mi cargo, se le informa que se encontraron los resguardos de los Contratos a nombre de MFONTOVA ASOC, S.C. de 2022 у 2023, que a continuación se describen:</w:t>
      </w:r>
    </w:p>
    <w:p w14:paraId="770297C1" w14:textId="77777777" w:rsidR="006045E6" w:rsidRPr="00BA57E8" w:rsidRDefault="006045E6">
      <w:pPr>
        <w:tabs>
          <w:tab w:val="left" w:pos="4667"/>
        </w:tabs>
        <w:spacing w:after="0" w:line="360" w:lineRule="auto"/>
        <w:ind w:left="567" w:right="567"/>
        <w:jc w:val="both"/>
        <w:rPr>
          <w:rFonts w:ascii="Palatino Linotype" w:eastAsia="Palatino Linotype" w:hAnsi="Palatino Linotype" w:cs="Palatino Linotype"/>
          <w:i/>
          <w:sz w:val="20"/>
          <w:szCs w:val="20"/>
        </w:rPr>
      </w:pPr>
    </w:p>
    <w:p w14:paraId="3984C1D9" w14:textId="77777777" w:rsidR="006045E6" w:rsidRPr="00BA57E8" w:rsidRDefault="00AC794E">
      <w:pPr>
        <w:pBdr>
          <w:top w:val="nil"/>
          <w:left w:val="nil"/>
          <w:bottom w:val="nil"/>
          <w:right w:val="nil"/>
          <w:between w:val="nil"/>
        </w:pBdr>
        <w:tabs>
          <w:tab w:val="left" w:pos="567"/>
        </w:tabs>
        <w:spacing w:after="0" w:line="360" w:lineRule="auto"/>
        <w:jc w:val="center"/>
        <w:rPr>
          <w:rFonts w:ascii="Palatino Linotype" w:eastAsia="Palatino Linotype" w:hAnsi="Palatino Linotype" w:cs="Palatino Linotype"/>
          <w:color w:val="FF0000"/>
        </w:rPr>
      </w:pPr>
      <w:r w:rsidRPr="00BA57E8">
        <w:rPr>
          <w:rFonts w:ascii="Palatino Linotype" w:eastAsia="Palatino Linotype" w:hAnsi="Palatino Linotype" w:cs="Palatino Linotype"/>
          <w:noProof/>
          <w:color w:val="FF0000"/>
          <w:lang w:eastAsia="es-MX"/>
        </w:rPr>
        <w:drawing>
          <wp:inline distT="0" distB="0" distL="0" distR="0" wp14:anchorId="2F8AF81B" wp14:editId="015CEA05">
            <wp:extent cx="4372585" cy="1057423"/>
            <wp:effectExtent l="0" t="0" r="0" b="0"/>
            <wp:docPr id="21404713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72585" cy="1057423"/>
                    </a:xfrm>
                    <a:prstGeom prst="rect">
                      <a:avLst/>
                    </a:prstGeom>
                    <a:ln/>
                  </pic:spPr>
                </pic:pic>
              </a:graphicData>
            </a:graphic>
          </wp:inline>
        </w:drawing>
      </w:r>
    </w:p>
    <w:p w14:paraId="350D69B0"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5E9C6631"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2. Concluyendo que, esta Coordinación a mi cargo no puede brindar mayor información a dicha solicitud, encontrándonos en el supuesto previsto en el artículo 12 párrafo segundo de la Ley de Transparencia y Acceso a la Información Pública del Estado de México, que a la letra refiere:…” (Sic)</w:t>
      </w:r>
    </w:p>
    <w:p w14:paraId="31095D2A"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4F47D54C" w14:textId="77777777" w:rsidR="006045E6" w:rsidRPr="00BA57E8" w:rsidRDefault="00AC794E" w:rsidP="00A65AEB">
      <w:pPr>
        <w:numPr>
          <w:ilvl w:val="0"/>
          <w:numId w:val="1"/>
        </w:numPr>
        <w:pBdr>
          <w:top w:val="nil"/>
          <w:left w:val="nil"/>
          <w:bottom w:val="nil"/>
          <w:right w:val="nil"/>
          <w:between w:val="nil"/>
        </w:pBdr>
        <w:tabs>
          <w:tab w:val="left" w:pos="567"/>
        </w:tabs>
        <w:spacing w:after="0" w:line="360" w:lineRule="auto"/>
        <w:ind w:left="567" w:hanging="283"/>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Oficio 02528fTOLUCA/JP/2025 del veintiuno de mayo de dos mil veinticinco, suscrito por el Titular de la Unidad de Transparencia, dirigido al Solicitante, por medio del cual se menciona lo siguiente:</w:t>
      </w:r>
    </w:p>
    <w:p w14:paraId="11CE9190"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color w:val="FF0000"/>
        </w:rPr>
      </w:pPr>
    </w:p>
    <w:p w14:paraId="3CB309B2" w14:textId="77777777" w:rsidR="006045E6" w:rsidRPr="00BA57E8" w:rsidRDefault="00AC794E">
      <w:pPr>
        <w:tabs>
          <w:tab w:val="left" w:pos="4667"/>
        </w:tabs>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 xml:space="preserve">“…además de lo relativo al Manual de Organización de la Secretaría del Ayuntamiento y Manual de Procedimientos de la Secretaria del Ayuntamiento; hago de su conocimiento que </w:t>
      </w:r>
      <w:r w:rsidRPr="00BA57E8">
        <w:rPr>
          <w:rFonts w:ascii="Palatino Linotype" w:eastAsia="Palatino Linotype" w:hAnsi="Palatino Linotype" w:cs="Palatino Linotype"/>
          <w:b/>
          <w:i/>
          <w:sz w:val="20"/>
          <w:szCs w:val="20"/>
        </w:rPr>
        <w:t xml:space="preserve">la Dirección General de Administración y Servidora Pública Habilitada, </w:t>
      </w:r>
      <w:r w:rsidRPr="00BA57E8">
        <w:rPr>
          <w:rFonts w:ascii="Palatino Linotype" w:eastAsia="Palatino Linotype" w:hAnsi="Palatino Linotype" w:cs="Palatino Linotype"/>
          <w:i/>
          <w:sz w:val="20"/>
          <w:szCs w:val="20"/>
        </w:rPr>
        <w:t>informó que la Dirección de Recursos Materiales, después de haber realizado una búsqueda exhaustiva y razonable en los archivos que obran en esta Dirección y sus Departamentos, informa que, de conformidad con los artículos 12 segundo párrafo y 160 de la Ley de Transparencia y Acceso a la Información Pública del Estado .de México y Municipios y el artículo 3.22 fracción I y II del Código Reglamentario Municipal vigente a la fecha de la solicitud; informa que el requerimiento de información se encuentra fuera de su competencia…” (Sic)</w:t>
      </w:r>
    </w:p>
    <w:p w14:paraId="3B87B6F9" w14:textId="77777777" w:rsidR="006045E6" w:rsidRPr="00BA57E8" w:rsidRDefault="006045E6">
      <w:pPr>
        <w:pBdr>
          <w:top w:val="nil"/>
          <w:left w:val="nil"/>
          <w:bottom w:val="nil"/>
          <w:right w:val="nil"/>
          <w:between w:val="nil"/>
        </w:pBdr>
        <w:tabs>
          <w:tab w:val="left" w:pos="567"/>
        </w:tabs>
        <w:spacing w:after="0" w:line="360" w:lineRule="auto"/>
        <w:jc w:val="both"/>
        <w:rPr>
          <w:rFonts w:ascii="Palatino Linotype" w:eastAsia="Palatino Linotype" w:hAnsi="Palatino Linotype" w:cs="Palatino Linotype"/>
        </w:rPr>
      </w:pPr>
    </w:p>
    <w:p w14:paraId="608348F8" w14:textId="77777777" w:rsidR="006045E6" w:rsidRPr="00BA57E8" w:rsidRDefault="00AC794E">
      <w:pPr>
        <w:pStyle w:val="Ttulo2"/>
      </w:pPr>
      <w:bookmarkStart w:id="7" w:name="_heading=h.ld6w4j727220" w:colFirst="0" w:colLast="0"/>
      <w:bookmarkEnd w:id="7"/>
      <w:r w:rsidRPr="00BA57E8">
        <w:t>III. Interposición del Recurso de Revisión</w:t>
      </w:r>
    </w:p>
    <w:p w14:paraId="27933C1E" w14:textId="77777777" w:rsidR="006045E6" w:rsidRPr="00BA57E8" w:rsidRDefault="006045E6">
      <w:pPr>
        <w:spacing w:after="0" w:line="360" w:lineRule="auto"/>
        <w:jc w:val="both"/>
        <w:rPr>
          <w:rFonts w:ascii="Palatino Linotype" w:eastAsia="Palatino Linotype" w:hAnsi="Palatino Linotype" w:cs="Palatino Linotype"/>
          <w:b/>
          <w:color w:val="FF0000"/>
        </w:rPr>
      </w:pPr>
    </w:p>
    <w:p w14:paraId="56762590"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Con fecha once de junio de dos mil veinticinco, se recibió en este Instituto, a través del Sistema de Acceso a la Información Mexiquense (SAIMEX), el Recurso de Revisión interpuesto por la parte Recurrente, en contra de la respuesta del Sujeto Obligado, en los siguientes términos:</w:t>
      </w:r>
    </w:p>
    <w:p w14:paraId="0D8BD6EA" w14:textId="77777777" w:rsidR="006045E6" w:rsidRPr="00BA57E8" w:rsidRDefault="006045E6">
      <w:pPr>
        <w:widowControl w:val="0"/>
        <w:spacing w:after="0" w:line="360" w:lineRule="auto"/>
        <w:jc w:val="both"/>
        <w:rPr>
          <w:rFonts w:ascii="Palatino Linotype" w:eastAsia="Palatino Linotype" w:hAnsi="Palatino Linotype" w:cs="Palatino Linotype"/>
        </w:rPr>
      </w:pPr>
    </w:p>
    <w:p w14:paraId="48C07B11" w14:textId="77777777" w:rsidR="006045E6" w:rsidRPr="00BA57E8" w:rsidRDefault="00AC794E">
      <w:pPr>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b/>
          <w:i/>
          <w:sz w:val="20"/>
          <w:szCs w:val="20"/>
        </w:rPr>
        <w:lastRenderedPageBreak/>
        <w:t>“ACTO IMPUGNADO</w:t>
      </w:r>
    </w:p>
    <w:p w14:paraId="1B3E0D86" w14:textId="77777777" w:rsidR="006045E6" w:rsidRPr="00BA57E8" w:rsidRDefault="00AC794E">
      <w:pPr>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la entrega de la información esta incompleta” (Sic)</w:t>
      </w:r>
    </w:p>
    <w:p w14:paraId="3699990F" w14:textId="77777777" w:rsidR="006045E6" w:rsidRPr="00BA57E8" w:rsidRDefault="006045E6">
      <w:pPr>
        <w:spacing w:after="0" w:line="360" w:lineRule="auto"/>
        <w:ind w:right="567"/>
        <w:jc w:val="both"/>
        <w:rPr>
          <w:rFonts w:ascii="Palatino Linotype" w:eastAsia="Palatino Linotype" w:hAnsi="Palatino Linotype" w:cs="Palatino Linotype"/>
          <w:i/>
          <w:sz w:val="20"/>
          <w:szCs w:val="20"/>
        </w:rPr>
      </w:pPr>
    </w:p>
    <w:p w14:paraId="3D91A3F3" w14:textId="77777777" w:rsidR="006045E6" w:rsidRPr="00BA57E8" w:rsidRDefault="00AC794E">
      <w:pPr>
        <w:spacing w:after="0" w:line="360" w:lineRule="auto"/>
        <w:ind w:left="567" w:right="567"/>
        <w:jc w:val="both"/>
        <w:rPr>
          <w:rFonts w:ascii="Palatino Linotype" w:eastAsia="Palatino Linotype" w:hAnsi="Palatino Linotype" w:cs="Palatino Linotype"/>
          <w:b/>
          <w:i/>
          <w:sz w:val="20"/>
          <w:szCs w:val="20"/>
        </w:rPr>
      </w:pPr>
      <w:r w:rsidRPr="00BA57E8">
        <w:rPr>
          <w:rFonts w:ascii="Palatino Linotype" w:eastAsia="Palatino Linotype" w:hAnsi="Palatino Linotype" w:cs="Palatino Linotype"/>
          <w:b/>
          <w:i/>
          <w:sz w:val="20"/>
          <w:szCs w:val="20"/>
        </w:rPr>
        <w:t>“RAZONES O MOTIVOS DE LA INCONFORMIDAD</w:t>
      </w:r>
    </w:p>
    <w:p w14:paraId="174B7068" w14:textId="77777777" w:rsidR="006045E6" w:rsidRPr="00BA57E8" w:rsidRDefault="00AC794E">
      <w:pPr>
        <w:spacing w:after="0" w:line="360" w:lineRule="auto"/>
        <w:ind w:left="567" w:right="567"/>
        <w:jc w:val="both"/>
        <w:rPr>
          <w:rFonts w:ascii="Palatino Linotype" w:eastAsia="Palatino Linotype" w:hAnsi="Palatino Linotype" w:cs="Palatino Linotype"/>
          <w:i/>
          <w:sz w:val="20"/>
          <w:szCs w:val="20"/>
        </w:rPr>
      </w:pPr>
      <w:r w:rsidRPr="00BA57E8">
        <w:rPr>
          <w:rFonts w:ascii="Palatino Linotype" w:eastAsia="Palatino Linotype" w:hAnsi="Palatino Linotype" w:cs="Palatino Linotype"/>
          <w:i/>
          <w:sz w:val="20"/>
          <w:szCs w:val="20"/>
        </w:rPr>
        <w:t>la entrega de la información esta incompleta” (Sic)</w:t>
      </w:r>
    </w:p>
    <w:p w14:paraId="320A3711"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4CEF4631" w14:textId="77777777" w:rsidR="006045E6" w:rsidRPr="00BA57E8" w:rsidRDefault="00AC794E">
      <w:pPr>
        <w:pStyle w:val="Ttulo2"/>
      </w:pPr>
      <w:bookmarkStart w:id="8" w:name="_heading=h.l8e8fkizvnro" w:colFirst="0" w:colLast="0"/>
      <w:bookmarkEnd w:id="8"/>
      <w:r w:rsidRPr="00BA57E8">
        <w:t>IV. Trámite del Recurso de Revisión ante este Instituto</w:t>
      </w:r>
    </w:p>
    <w:p w14:paraId="1264966D" w14:textId="77777777" w:rsidR="006045E6" w:rsidRPr="00BA57E8" w:rsidRDefault="006045E6">
      <w:pPr>
        <w:spacing w:after="0" w:line="360" w:lineRule="auto"/>
        <w:jc w:val="both"/>
        <w:rPr>
          <w:rFonts w:ascii="Palatino Linotype" w:eastAsia="Palatino Linotype" w:hAnsi="Palatino Linotype" w:cs="Palatino Linotype"/>
          <w:b/>
        </w:rPr>
      </w:pPr>
    </w:p>
    <w:p w14:paraId="37EB9828"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a) Turno del Recurso de Revisión. </w:t>
      </w:r>
      <w:r w:rsidRPr="00BA57E8">
        <w:rPr>
          <w:rFonts w:ascii="Palatino Linotype" w:eastAsia="Palatino Linotype" w:hAnsi="Palatino Linotype" w:cs="Palatino Linotype"/>
        </w:rPr>
        <w:t xml:space="preserve">El once de junio de dos mil veinticinco, el Sistema de Acceso a la Información Mexiquense (SAIMEX), asignó el número de expediente </w:t>
      </w:r>
      <w:r w:rsidRPr="00BA57E8">
        <w:rPr>
          <w:rFonts w:ascii="Palatino Linotype" w:eastAsia="Palatino Linotype" w:hAnsi="Palatino Linotype" w:cs="Palatino Linotype"/>
          <w:b/>
        </w:rPr>
        <w:t>06851/INFOEM/IP/RR/2025</w:t>
      </w:r>
      <w:r w:rsidRPr="00BA57E8">
        <w:rPr>
          <w:rFonts w:ascii="Palatino Linotype" w:eastAsia="Palatino Linotype" w:hAnsi="Palatino Linotype" w:cs="Palatino Linotype"/>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4391816"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7D5DF0DC"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b) Admisión de los Recursos de Revisión. </w:t>
      </w:r>
      <w:r w:rsidRPr="00BA57E8">
        <w:rPr>
          <w:rFonts w:ascii="Palatino Linotype" w:eastAsia="Palatino Linotype" w:hAnsi="Palatino Linotype" w:cs="Palatino Linotype"/>
        </w:rPr>
        <w:t>El dieciséis de junio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7EE2534" w14:textId="77777777" w:rsidR="006045E6" w:rsidRPr="00BA57E8" w:rsidRDefault="006045E6">
      <w:pPr>
        <w:spacing w:after="0" w:line="360" w:lineRule="auto"/>
        <w:jc w:val="both"/>
        <w:rPr>
          <w:rFonts w:ascii="Palatino Linotype" w:eastAsia="Palatino Linotype" w:hAnsi="Palatino Linotype" w:cs="Palatino Linotype"/>
        </w:rPr>
      </w:pPr>
    </w:p>
    <w:p w14:paraId="26160A58"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c) Informe Justificado.</w:t>
      </w:r>
      <w:r w:rsidRPr="00BA57E8">
        <w:rPr>
          <w:rFonts w:ascii="Palatino Linotype" w:eastAsia="Palatino Linotype" w:hAnsi="Palatino Linotype" w:cs="Palatino Linotype"/>
        </w:rPr>
        <w:t xml:space="preserve"> El veinticinco de junio de dos mil veinticinco, a través del Sistema de Acceso a la Información Mexiquense (SAIMEX), se recibió en este Instituto el informe justificado por parte del Sujeto Obligado, a través de la digitalización de un escrito de la </w:t>
      </w:r>
      <w:r w:rsidRPr="00BA57E8">
        <w:rPr>
          <w:rFonts w:ascii="Palatino Linotype" w:eastAsia="Palatino Linotype" w:hAnsi="Palatino Linotype" w:cs="Palatino Linotype"/>
        </w:rPr>
        <w:lastRenderedPageBreak/>
        <w:t>misma fecha, dirigido al Comisionado Ponente, por medio del cual se confirma la respuesta del Sujeto Obligado.</w:t>
      </w:r>
    </w:p>
    <w:p w14:paraId="1723257F" w14:textId="77777777" w:rsidR="00923938" w:rsidRPr="00BA57E8" w:rsidRDefault="00923938">
      <w:pPr>
        <w:spacing w:after="0" w:line="360" w:lineRule="auto"/>
        <w:jc w:val="both"/>
        <w:rPr>
          <w:rFonts w:ascii="Palatino Linotype" w:eastAsia="Palatino Linotype" w:hAnsi="Palatino Linotype" w:cs="Palatino Linotype"/>
        </w:rPr>
      </w:pPr>
    </w:p>
    <w:p w14:paraId="36978C44" w14:textId="20A70DDE" w:rsidR="006045E6" w:rsidRPr="00BA57E8" w:rsidRDefault="00923938" w:rsidP="00923938">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d) Ampliación de plazo para resolver. </w:t>
      </w:r>
      <w:r w:rsidRPr="00BA57E8">
        <w:rPr>
          <w:rFonts w:ascii="Palatino Linotype" w:eastAsia="Palatino Linotype" w:hAnsi="Palatino Linotype" w:cs="Palatino Linotype"/>
        </w:rPr>
        <w:t>El doce de agosto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trece de dicho mes y año, mediante el Sistema de Acceso a la Información Mexiquense (SAIMEX).</w:t>
      </w:r>
    </w:p>
    <w:p w14:paraId="09E4BF69" w14:textId="77777777" w:rsidR="00923938" w:rsidRPr="00BA57E8" w:rsidRDefault="00923938" w:rsidP="00923938">
      <w:pPr>
        <w:spacing w:after="0" w:line="360" w:lineRule="auto"/>
        <w:jc w:val="both"/>
        <w:rPr>
          <w:rFonts w:ascii="Palatino Linotype" w:eastAsia="Palatino Linotype" w:hAnsi="Palatino Linotype" w:cs="Palatino Linotype"/>
          <w:color w:val="FF0000"/>
        </w:rPr>
      </w:pPr>
    </w:p>
    <w:p w14:paraId="6EECCC51" w14:textId="1E089E97" w:rsidR="006045E6" w:rsidRPr="00BA57E8" w:rsidRDefault="00923938">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e</w:t>
      </w:r>
      <w:r w:rsidR="00AC794E" w:rsidRPr="00BA57E8">
        <w:rPr>
          <w:rFonts w:ascii="Palatino Linotype" w:eastAsia="Palatino Linotype" w:hAnsi="Palatino Linotype" w:cs="Palatino Linotype"/>
          <w:b/>
        </w:rPr>
        <w:t>) Vista al Informe Justificado.</w:t>
      </w:r>
      <w:r w:rsidR="00AC794E" w:rsidRPr="00BA57E8">
        <w:rPr>
          <w:rFonts w:ascii="Palatino Linotype" w:eastAsia="Palatino Linotype" w:hAnsi="Palatino Linotype" w:cs="Palatino Linotype"/>
        </w:rPr>
        <w:t xml:space="preserve"> El seis de agosto de dos mil veinticinco, se notificó a través del Sistema de Acceso a la Información Mexiquense (SAIMEX), el acuerdo mediante el cual se puso a la vista del Particular el Informe Justificado del Recurso de Revisión, proveído por el cual se le otorgó un término de tres días hábiles contados a partir del día siguiente a la notificación, a fin de emitir las manifestaciones que conforme a sus intereses convinieran. </w:t>
      </w:r>
      <w:r w:rsidR="00AC794E" w:rsidRPr="00BA57E8">
        <w:rPr>
          <w:rFonts w:ascii="Palatino Linotype" w:eastAsia="Palatino Linotype" w:hAnsi="Palatino Linotype" w:cs="Palatino Linotype"/>
          <w:b/>
        </w:rPr>
        <w:t>Cabe señalar que el Particular fue omiso en realizar manifestación alguna.</w:t>
      </w:r>
    </w:p>
    <w:p w14:paraId="0D67216F" w14:textId="77777777" w:rsidR="006045E6" w:rsidRPr="00BA57E8" w:rsidRDefault="006045E6">
      <w:pPr>
        <w:spacing w:after="0" w:line="360" w:lineRule="auto"/>
        <w:jc w:val="both"/>
        <w:rPr>
          <w:rFonts w:ascii="Palatino Linotype" w:eastAsia="Palatino Linotype" w:hAnsi="Palatino Linotype" w:cs="Palatino Linotype"/>
          <w:b/>
          <w:color w:val="FF0000"/>
        </w:rPr>
      </w:pPr>
    </w:p>
    <w:p w14:paraId="487A6947" w14:textId="0D9109D9" w:rsidR="006045E6" w:rsidRPr="00BA57E8" w:rsidRDefault="00923938">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sz w:val="20"/>
          <w:szCs w:val="20"/>
        </w:rPr>
        <w:t>f</w:t>
      </w:r>
      <w:r w:rsidR="00AC794E" w:rsidRPr="00BA57E8">
        <w:rPr>
          <w:rFonts w:ascii="Palatino Linotype" w:eastAsia="Palatino Linotype" w:hAnsi="Palatino Linotype" w:cs="Palatino Linotype"/>
          <w:b/>
        </w:rPr>
        <w:t>) Cierre de instrucción.</w:t>
      </w:r>
      <w:r w:rsidR="00AC794E" w:rsidRPr="00BA57E8">
        <w:rPr>
          <w:rFonts w:ascii="Palatino Linotype" w:eastAsia="Palatino Linotype" w:hAnsi="Palatino Linotype" w:cs="Palatino Linotype"/>
        </w:rPr>
        <w:t xml:space="preserve"> El veintiocho de agosto de dos mil veinticinco,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B25AD59" w14:textId="77777777" w:rsidR="006045E6" w:rsidRPr="00BA57E8" w:rsidRDefault="006045E6">
      <w:pPr>
        <w:spacing w:after="0" w:line="360" w:lineRule="auto"/>
        <w:jc w:val="both"/>
        <w:rPr>
          <w:rFonts w:ascii="Palatino Linotype" w:eastAsia="Palatino Linotype" w:hAnsi="Palatino Linotype" w:cs="Palatino Linotype"/>
          <w:b/>
        </w:rPr>
      </w:pPr>
    </w:p>
    <w:p w14:paraId="0F780008"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a los siguientes: </w:t>
      </w:r>
    </w:p>
    <w:p w14:paraId="09A5FE70" w14:textId="77777777" w:rsidR="006045E6" w:rsidRPr="00BA57E8" w:rsidRDefault="006045E6">
      <w:pPr>
        <w:spacing w:after="0" w:line="360" w:lineRule="auto"/>
        <w:jc w:val="center"/>
        <w:rPr>
          <w:rFonts w:ascii="Palatino Linotype" w:eastAsia="Palatino Linotype" w:hAnsi="Palatino Linotype" w:cs="Palatino Linotype"/>
          <w:b/>
          <w:color w:val="FF0000"/>
        </w:rPr>
      </w:pPr>
    </w:p>
    <w:p w14:paraId="401EC5C3" w14:textId="77777777" w:rsidR="006045E6" w:rsidRPr="00BA57E8" w:rsidRDefault="00AC794E">
      <w:pPr>
        <w:pStyle w:val="Ttulo1"/>
      </w:pPr>
      <w:bookmarkStart w:id="9" w:name="_heading=h.33vu9g9ikjqd" w:colFirst="0" w:colLast="0"/>
      <w:bookmarkEnd w:id="9"/>
      <w:r w:rsidRPr="00BA57E8">
        <w:t>C O N S I D E R A N D O S</w:t>
      </w:r>
    </w:p>
    <w:p w14:paraId="779590B8" w14:textId="77777777" w:rsidR="006045E6" w:rsidRPr="00BA57E8" w:rsidRDefault="006045E6">
      <w:pPr>
        <w:spacing w:after="0" w:line="360" w:lineRule="auto"/>
        <w:jc w:val="both"/>
        <w:rPr>
          <w:rFonts w:ascii="Palatino Linotype" w:eastAsia="Palatino Linotype" w:hAnsi="Palatino Linotype" w:cs="Palatino Linotype"/>
          <w:b/>
        </w:rPr>
      </w:pPr>
    </w:p>
    <w:p w14:paraId="3FDDDC9A" w14:textId="77777777" w:rsidR="006045E6" w:rsidRPr="00BA57E8" w:rsidRDefault="00AC794E">
      <w:pPr>
        <w:pStyle w:val="Ttulo2"/>
      </w:pPr>
      <w:bookmarkStart w:id="10" w:name="_heading=h.g60vhxblu18q" w:colFirst="0" w:colLast="0"/>
      <w:bookmarkEnd w:id="10"/>
      <w:r w:rsidRPr="00BA57E8">
        <w:t>PRIMERO. Competencia</w:t>
      </w:r>
    </w:p>
    <w:p w14:paraId="3D64E03B" w14:textId="77777777" w:rsidR="006045E6" w:rsidRPr="00BA57E8" w:rsidRDefault="006045E6"/>
    <w:p w14:paraId="61FAFA91"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46B8349" w14:textId="77777777" w:rsidR="006045E6" w:rsidRPr="00BA57E8" w:rsidRDefault="006045E6">
      <w:pPr>
        <w:spacing w:after="0" w:line="360" w:lineRule="auto"/>
        <w:jc w:val="both"/>
        <w:rPr>
          <w:rFonts w:ascii="Palatino Linotype" w:eastAsia="Palatino Linotype" w:hAnsi="Palatino Linotype" w:cs="Palatino Linotype"/>
          <w:b/>
        </w:rPr>
      </w:pPr>
    </w:p>
    <w:p w14:paraId="5B9875F6" w14:textId="77777777" w:rsidR="006045E6" w:rsidRPr="00BA57E8" w:rsidRDefault="00AC794E">
      <w:pPr>
        <w:pStyle w:val="Ttulo2"/>
      </w:pPr>
      <w:bookmarkStart w:id="11" w:name="_heading=h.qtha0yq4chb2" w:colFirst="0" w:colLast="0"/>
      <w:bookmarkEnd w:id="11"/>
      <w:r w:rsidRPr="00BA57E8">
        <w:t>SEGUNDO. Causales de improcedencia y sobreseimiento</w:t>
      </w:r>
    </w:p>
    <w:p w14:paraId="02F254AF" w14:textId="77777777" w:rsidR="006045E6" w:rsidRPr="00BA57E8" w:rsidRDefault="006045E6">
      <w:pPr>
        <w:spacing w:after="0" w:line="360" w:lineRule="auto"/>
        <w:jc w:val="both"/>
        <w:rPr>
          <w:rFonts w:ascii="Palatino Linotype" w:eastAsia="Palatino Linotype" w:hAnsi="Palatino Linotype" w:cs="Palatino Linotype"/>
        </w:rPr>
      </w:pPr>
    </w:p>
    <w:p w14:paraId="25A769C9" w14:textId="77777777" w:rsidR="006045E6" w:rsidRPr="00BA57E8" w:rsidRDefault="006045E6">
      <w:pPr>
        <w:spacing w:after="0" w:line="360" w:lineRule="auto"/>
        <w:jc w:val="both"/>
        <w:rPr>
          <w:rFonts w:ascii="Palatino Linotype" w:eastAsia="Palatino Linotype" w:hAnsi="Palatino Linotype" w:cs="Palatino Linotype"/>
        </w:rPr>
      </w:pPr>
    </w:p>
    <w:p w14:paraId="2291FDF2" w14:textId="77777777" w:rsidR="006045E6" w:rsidRPr="00BA57E8" w:rsidRDefault="006045E6">
      <w:pPr>
        <w:spacing w:after="0" w:line="360" w:lineRule="auto"/>
        <w:jc w:val="both"/>
        <w:rPr>
          <w:rFonts w:ascii="Palatino Linotype" w:eastAsia="Palatino Linotype" w:hAnsi="Palatino Linotype" w:cs="Palatino Linotype"/>
        </w:rPr>
      </w:pPr>
    </w:p>
    <w:p w14:paraId="55C7E0B0"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De las constancias que forma parte del Recurso de Revisión que se analiza, se advierte que previo al estudio del fondo de la </w:t>
      </w:r>
      <w:r w:rsidRPr="00BA57E8">
        <w:rPr>
          <w:rFonts w:ascii="Palatino Linotype" w:eastAsia="Palatino Linotype" w:hAnsi="Palatino Linotype" w:cs="Palatino Linotype"/>
          <w:i/>
        </w:rPr>
        <w:t>litis</w:t>
      </w:r>
      <w:r w:rsidRPr="00BA57E8">
        <w:rPr>
          <w:rFonts w:ascii="Palatino Linotype" w:eastAsia="Palatino Linotype" w:hAnsi="Palatino Linotype" w:cs="Palatino Linotype"/>
        </w:rPr>
        <w:t>, es necesario estudiar las causales de improcedencia y sobreseimiento que se adviertan, para determinar lo que en Derecho proceda.</w:t>
      </w:r>
    </w:p>
    <w:p w14:paraId="7003AD7B" w14:textId="77777777" w:rsidR="006045E6" w:rsidRPr="00BA57E8" w:rsidRDefault="006045E6">
      <w:pPr>
        <w:spacing w:after="0" w:line="360" w:lineRule="auto"/>
        <w:jc w:val="both"/>
        <w:rPr>
          <w:rFonts w:ascii="Palatino Linotype" w:eastAsia="Palatino Linotype" w:hAnsi="Palatino Linotype" w:cs="Palatino Linotype"/>
        </w:rPr>
      </w:pPr>
    </w:p>
    <w:p w14:paraId="582336F3"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Causales de improcedencia</w:t>
      </w:r>
    </w:p>
    <w:p w14:paraId="59FFFE70" w14:textId="77777777" w:rsidR="006045E6" w:rsidRPr="00BA57E8" w:rsidRDefault="006045E6">
      <w:pPr>
        <w:spacing w:after="0" w:line="360" w:lineRule="auto"/>
        <w:jc w:val="both"/>
        <w:rPr>
          <w:rFonts w:ascii="Palatino Linotype" w:eastAsia="Palatino Linotype" w:hAnsi="Palatino Linotype" w:cs="Palatino Linotype"/>
        </w:rPr>
      </w:pPr>
    </w:p>
    <w:p w14:paraId="4CD0F9AF"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w:t>
      </w:r>
    </w:p>
    <w:p w14:paraId="0807971A" w14:textId="77777777" w:rsidR="006045E6" w:rsidRPr="00BA57E8" w:rsidRDefault="006045E6">
      <w:pPr>
        <w:spacing w:after="0" w:line="360" w:lineRule="auto"/>
        <w:jc w:val="both"/>
        <w:rPr>
          <w:rFonts w:ascii="Palatino Linotype" w:eastAsia="Palatino Linotype" w:hAnsi="Palatino Linotype" w:cs="Palatino Linotype"/>
        </w:rPr>
      </w:pPr>
    </w:p>
    <w:p w14:paraId="263C82D5"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En el presente caso, </w:t>
      </w:r>
      <w:r w:rsidRPr="00BA57E8">
        <w:rPr>
          <w:rFonts w:ascii="Palatino Linotype" w:eastAsia="Palatino Linotype" w:hAnsi="Palatino Linotype" w:cs="Palatino Linotype"/>
          <w:b/>
        </w:rPr>
        <w:t>no se actualiza alguna de las causales de improcedencia</w:t>
      </w:r>
      <w:r w:rsidRPr="00BA57E8">
        <w:rPr>
          <w:rFonts w:ascii="Palatino Linotype" w:eastAsia="Palatino Linotype" w:hAnsi="Palatino Linotype" w:cs="Palatino Linotype"/>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EB11D69" w14:textId="27F03DC5" w:rsidR="006045E6" w:rsidRPr="00BA57E8" w:rsidRDefault="006045E6">
      <w:pPr>
        <w:spacing w:after="0" w:line="360" w:lineRule="auto"/>
        <w:jc w:val="both"/>
        <w:rPr>
          <w:rFonts w:ascii="Palatino Linotype" w:eastAsia="Palatino Linotype" w:hAnsi="Palatino Linotype" w:cs="Palatino Linotype"/>
        </w:rPr>
      </w:pPr>
    </w:p>
    <w:p w14:paraId="7BC2378F" w14:textId="77777777" w:rsidR="006045E6" w:rsidRPr="00BA57E8" w:rsidRDefault="00AC794E">
      <w:pPr>
        <w:widowControl w:val="0"/>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Asimismo, se actualiza la causal de procedencia del Recurso de Revisión señalada en el artículo 179, fracción V, de la Ley en cita, pues el Recurrente se inconformó con la entrega de información incompleta.</w:t>
      </w:r>
    </w:p>
    <w:p w14:paraId="64DA50CC" w14:textId="77777777" w:rsidR="006045E6" w:rsidRPr="00BA57E8" w:rsidRDefault="006045E6">
      <w:pPr>
        <w:widowControl w:val="0"/>
        <w:spacing w:after="0" w:line="360" w:lineRule="auto"/>
        <w:jc w:val="both"/>
        <w:rPr>
          <w:rFonts w:ascii="Palatino Linotype" w:eastAsia="Palatino Linotype" w:hAnsi="Palatino Linotype" w:cs="Palatino Linotype"/>
        </w:rPr>
      </w:pPr>
    </w:p>
    <w:p w14:paraId="265A9906"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Causales de sobreseimiento</w:t>
      </w:r>
    </w:p>
    <w:p w14:paraId="7CAD38C4" w14:textId="77777777" w:rsidR="006045E6" w:rsidRPr="00BA57E8" w:rsidRDefault="006045E6">
      <w:pPr>
        <w:spacing w:after="0" w:line="360" w:lineRule="auto"/>
        <w:jc w:val="both"/>
        <w:rPr>
          <w:rFonts w:ascii="Palatino Linotype" w:eastAsia="Palatino Linotype" w:hAnsi="Palatino Linotype" w:cs="Palatino Linotype"/>
        </w:rPr>
      </w:pPr>
    </w:p>
    <w:p w14:paraId="1C67C33F"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Por ser de previo y especial pronunciamiento, este Instituto analiza si se actualiza alguna causal de sobreseimiento.</w:t>
      </w:r>
    </w:p>
    <w:p w14:paraId="53BA0E18" w14:textId="77777777" w:rsidR="006045E6" w:rsidRPr="00BA57E8" w:rsidRDefault="006045E6">
      <w:pPr>
        <w:spacing w:after="0" w:line="360" w:lineRule="auto"/>
        <w:jc w:val="both"/>
        <w:rPr>
          <w:rFonts w:ascii="Palatino Linotype" w:eastAsia="Palatino Linotype" w:hAnsi="Palatino Linotype" w:cs="Palatino Linotype"/>
        </w:rPr>
      </w:pPr>
    </w:p>
    <w:p w14:paraId="23BB9021"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6D94FA8F" w14:textId="77777777" w:rsidR="006045E6" w:rsidRPr="00BA57E8" w:rsidRDefault="006045E6">
      <w:pPr>
        <w:spacing w:after="0" w:line="360" w:lineRule="auto"/>
        <w:jc w:val="both"/>
        <w:rPr>
          <w:rFonts w:ascii="Palatino Linotype" w:eastAsia="Palatino Linotype" w:hAnsi="Palatino Linotype" w:cs="Palatino Linotype"/>
        </w:rPr>
      </w:pPr>
    </w:p>
    <w:p w14:paraId="075D1F1D"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Por tales motivos, se considera procedente entrar al fondo del presente asunto.</w:t>
      </w:r>
    </w:p>
    <w:p w14:paraId="1A7F4306" w14:textId="77777777" w:rsidR="006045E6" w:rsidRPr="00BA57E8" w:rsidRDefault="006045E6">
      <w:pPr>
        <w:spacing w:after="0" w:line="360" w:lineRule="auto"/>
        <w:jc w:val="both"/>
        <w:rPr>
          <w:rFonts w:ascii="Palatino Linotype" w:eastAsia="Palatino Linotype" w:hAnsi="Palatino Linotype" w:cs="Palatino Linotype"/>
        </w:rPr>
      </w:pPr>
    </w:p>
    <w:p w14:paraId="1F3B0C75" w14:textId="77777777" w:rsidR="006045E6" w:rsidRPr="00BA57E8" w:rsidRDefault="00AC794E">
      <w:pPr>
        <w:pStyle w:val="Ttulo2"/>
      </w:pPr>
      <w:bookmarkStart w:id="12" w:name="_heading=h.rug3xmbspz84" w:colFirst="0" w:colLast="0"/>
      <w:bookmarkEnd w:id="12"/>
      <w:r w:rsidRPr="00BA57E8">
        <w:t>TERCERO. Determinación de la Controversia</w:t>
      </w:r>
    </w:p>
    <w:p w14:paraId="37599EB9" w14:textId="77777777" w:rsidR="006045E6" w:rsidRPr="00BA57E8" w:rsidRDefault="006045E6">
      <w:pPr>
        <w:spacing w:after="0" w:line="360" w:lineRule="auto"/>
        <w:jc w:val="both"/>
        <w:rPr>
          <w:rFonts w:ascii="Palatino Linotype" w:eastAsia="Palatino Linotype" w:hAnsi="Palatino Linotype" w:cs="Palatino Linotype"/>
          <w:b/>
          <w:color w:val="FF0000"/>
        </w:rPr>
      </w:pPr>
    </w:p>
    <w:p w14:paraId="042AFE38" w14:textId="7E83381D" w:rsidR="006045E6" w:rsidRPr="00BA57E8" w:rsidRDefault="00AC794E">
      <w:pPr>
        <w:spacing w:after="0" w:line="360" w:lineRule="auto"/>
        <w:ind w:right="-28"/>
        <w:jc w:val="both"/>
        <w:rPr>
          <w:rFonts w:ascii="Palatino Linotype" w:eastAsia="Palatino Linotype" w:hAnsi="Palatino Linotype" w:cs="Palatino Linotype"/>
        </w:rPr>
      </w:pPr>
      <w:bookmarkStart w:id="13" w:name="_heading=h.yr5wn057avqo" w:colFirst="0" w:colLast="0"/>
      <w:bookmarkEnd w:id="13"/>
      <w:r w:rsidRPr="00BA57E8">
        <w:rPr>
          <w:rFonts w:ascii="Palatino Linotype" w:eastAsia="Palatino Linotype" w:hAnsi="Palatino Linotype" w:cs="Palatino Linotype"/>
        </w:rPr>
        <w:t>Con el objetivo de ilustrar la controversia planteada, resulta conveniente precisar, que una vez realizado el estudio de las constancias que integran el expediente en el que se actúa, se desprende que el Particular requirió,</w:t>
      </w:r>
      <w:r w:rsidRPr="00BA57E8">
        <w:rPr>
          <w:rFonts w:ascii="Palatino Linotype" w:eastAsia="Palatino Linotype" w:hAnsi="Palatino Linotype" w:cs="Palatino Linotype"/>
          <w:color w:val="FF0000"/>
        </w:rPr>
        <w:t xml:space="preserve"> </w:t>
      </w:r>
      <w:r w:rsidRPr="00BA57E8">
        <w:rPr>
          <w:rFonts w:ascii="Palatino Linotype" w:eastAsia="Palatino Linotype" w:hAnsi="Palatino Linotype" w:cs="Palatino Linotype"/>
        </w:rPr>
        <w:t>en relación con los despachos de asesoría externa en el Ayuntamiento</w:t>
      </w:r>
      <w:r w:rsidR="00A65AEB" w:rsidRPr="00BA57E8">
        <w:rPr>
          <w:rFonts w:ascii="Palatino Linotype" w:eastAsia="Palatino Linotype" w:hAnsi="Palatino Linotype" w:cs="Palatino Linotype"/>
        </w:rPr>
        <w:t>,</w:t>
      </w:r>
      <w:r w:rsidRPr="00BA57E8">
        <w:rPr>
          <w:rFonts w:ascii="Palatino Linotype" w:eastAsia="Palatino Linotype" w:hAnsi="Palatino Linotype" w:cs="Palatino Linotype"/>
        </w:rPr>
        <w:t xml:space="preserve"> incluido el despacho MFONTOVA ASOC. S.A de Alma Merino y del Despacho Becerril y Asociados que representa el Contralor Municipal, del periodo que comprende del primero de enero de dos mil veintidós al treinta y uno de diciembre de dos mil veinticinco, lo siguiente:</w:t>
      </w:r>
    </w:p>
    <w:p w14:paraId="00676A1D" w14:textId="77777777" w:rsidR="006045E6" w:rsidRPr="00BA57E8" w:rsidRDefault="006045E6">
      <w:pPr>
        <w:spacing w:after="0" w:line="360" w:lineRule="auto"/>
        <w:ind w:right="-28"/>
        <w:jc w:val="both"/>
        <w:rPr>
          <w:rFonts w:ascii="Palatino Linotype" w:eastAsia="Palatino Linotype" w:hAnsi="Palatino Linotype" w:cs="Palatino Linotype"/>
        </w:rPr>
      </w:pPr>
    </w:p>
    <w:p w14:paraId="1A5E7DC1" w14:textId="3F375C26" w:rsidR="006045E6" w:rsidRPr="00BA57E8" w:rsidRDefault="00AC794E">
      <w:pPr>
        <w:numPr>
          <w:ilvl w:val="0"/>
          <w:numId w:val="2"/>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 xml:space="preserve">Las fracturas pagadas en este gobierno municipal por concepto de Despachos Externos, Asesorías, Asesoría Técnicas y </w:t>
      </w:r>
      <w:r w:rsidR="00A65AEB" w:rsidRPr="00BA57E8">
        <w:rPr>
          <w:rFonts w:ascii="Palatino Linotype" w:eastAsia="Palatino Linotype" w:hAnsi="Palatino Linotype" w:cs="Palatino Linotype"/>
          <w:color w:val="000000"/>
        </w:rPr>
        <w:t>E</w:t>
      </w:r>
      <w:r w:rsidRPr="00BA57E8">
        <w:rPr>
          <w:rFonts w:ascii="Palatino Linotype" w:eastAsia="Palatino Linotype" w:hAnsi="Palatino Linotype" w:cs="Palatino Linotype"/>
          <w:color w:val="000000"/>
        </w:rPr>
        <w:t>studios</w:t>
      </w:r>
      <w:r w:rsidR="00A65AEB" w:rsidRPr="00BA57E8">
        <w:rPr>
          <w:rFonts w:ascii="Palatino Linotype" w:eastAsia="Palatino Linotype" w:hAnsi="Palatino Linotype" w:cs="Palatino Linotype"/>
          <w:color w:val="000000"/>
        </w:rPr>
        <w:t xml:space="preserve"> realizados;</w:t>
      </w:r>
      <w:r w:rsidRPr="00BA57E8">
        <w:rPr>
          <w:rFonts w:ascii="Palatino Linotype" w:eastAsia="Palatino Linotype" w:hAnsi="Palatino Linotype" w:cs="Palatino Linotype"/>
          <w:color w:val="000000"/>
        </w:rPr>
        <w:t xml:space="preserve"> </w:t>
      </w:r>
    </w:p>
    <w:p w14:paraId="360B16D4" w14:textId="5F2EEA92" w:rsidR="006045E6" w:rsidRPr="00BA57E8" w:rsidRDefault="00AC794E">
      <w:pPr>
        <w:numPr>
          <w:ilvl w:val="0"/>
          <w:numId w:val="2"/>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lastRenderedPageBreak/>
        <w:t>Las pólizas de pago o pólizas cheque</w:t>
      </w:r>
      <w:r w:rsidR="00A65AEB" w:rsidRPr="00BA57E8">
        <w:rPr>
          <w:rFonts w:ascii="Palatino Linotype" w:eastAsia="Palatino Linotype" w:hAnsi="Palatino Linotype" w:cs="Palatino Linotype"/>
          <w:color w:val="000000"/>
        </w:rPr>
        <w:t>, y</w:t>
      </w:r>
    </w:p>
    <w:p w14:paraId="62779052" w14:textId="25E9C7AB" w:rsidR="006045E6" w:rsidRPr="00BA57E8" w:rsidRDefault="00AC794E">
      <w:pPr>
        <w:numPr>
          <w:ilvl w:val="0"/>
          <w:numId w:val="2"/>
        </w:numPr>
        <w:pBdr>
          <w:top w:val="nil"/>
          <w:left w:val="nil"/>
          <w:bottom w:val="nil"/>
          <w:right w:val="nil"/>
          <w:between w:val="nil"/>
        </w:pBdr>
        <w:spacing w:after="0" w:line="360" w:lineRule="auto"/>
        <w:ind w:right="-28"/>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Los contratos celebrados</w:t>
      </w:r>
      <w:r w:rsidR="00A65AEB" w:rsidRPr="00BA57E8">
        <w:rPr>
          <w:rFonts w:ascii="Palatino Linotype" w:eastAsia="Palatino Linotype" w:hAnsi="Palatino Linotype" w:cs="Palatino Linotype"/>
          <w:color w:val="000000"/>
        </w:rPr>
        <w:t>.</w:t>
      </w:r>
    </w:p>
    <w:p w14:paraId="1FE88CE2" w14:textId="77777777" w:rsidR="006045E6" w:rsidRPr="00BA57E8" w:rsidRDefault="006045E6">
      <w:pPr>
        <w:spacing w:after="0" w:line="360" w:lineRule="auto"/>
        <w:jc w:val="both"/>
        <w:rPr>
          <w:rFonts w:ascii="Palatino Linotype" w:eastAsia="Palatino Linotype" w:hAnsi="Palatino Linotype" w:cs="Palatino Linotype"/>
        </w:rPr>
      </w:pPr>
    </w:p>
    <w:p w14:paraId="37716D94"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En respuesta, la Tesorería Municipal señalo que después de realizar una búsqueda exhaustiva dentro de los archivos que obran en esta Tesorería Municipal, no se encontró documental alguna relacionada con el despacho "MFONTOVA ASOC. S.A de Alma Merino y del Despacho Becerril y Asociados, por su parte la Coordinadora Jurídica anexo un escrito por medio del cual la Apoderada Legal del despacho el despacho MFONTOVA ASOC. S.A, refirió que el área responsable y encargada de esa información es el área de Tesorería y/o Adquisiciones del H. Ayuntamiento.</w:t>
      </w:r>
    </w:p>
    <w:p w14:paraId="15859871" w14:textId="77777777" w:rsidR="006045E6" w:rsidRPr="00BA57E8" w:rsidRDefault="006045E6">
      <w:pPr>
        <w:spacing w:after="0" w:line="360" w:lineRule="auto"/>
        <w:jc w:val="both"/>
        <w:rPr>
          <w:rFonts w:ascii="Palatino Linotype" w:eastAsia="Palatino Linotype" w:hAnsi="Palatino Linotype" w:cs="Palatino Linotype"/>
        </w:rPr>
      </w:pPr>
    </w:p>
    <w:p w14:paraId="4135DA14"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Al respecto, la Coordinación de Estudios y Reglamentación Municipal refirió que después de haber realizado una exhaustiva búsqueda de la documentación en físico y de manera digital, en los archivos, se localizaron  los resguardos de los Contratos a nombre de MFONTOVA ASOC, S.C. de  los ejercicios fiscales de dos mil veintidós y dos mil veintitrés, tal como se muestra a continuación:</w:t>
      </w:r>
    </w:p>
    <w:p w14:paraId="49FBFF7E" w14:textId="77777777" w:rsidR="006045E6" w:rsidRPr="00BA57E8" w:rsidRDefault="006045E6">
      <w:pPr>
        <w:spacing w:after="0" w:line="360" w:lineRule="auto"/>
        <w:jc w:val="both"/>
        <w:rPr>
          <w:rFonts w:ascii="Palatino Linotype" w:eastAsia="Palatino Linotype" w:hAnsi="Palatino Linotype" w:cs="Palatino Linotype"/>
        </w:rPr>
      </w:pPr>
    </w:p>
    <w:p w14:paraId="63855086" w14:textId="77777777" w:rsidR="006045E6" w:rsidRPr="00BA57E8" w:rsidRDefault="00AC794E">
      <w:pPr>
        <w:spacing w:after="0" w:line="360" w:lineRule="auto"/>
        <w:jc w:val="center"/>
        <w:rPr>
          <w:rFonts w:ascii="Palatino Linotype" w:eastAsia="Palatino Linotype" w:hAnsi="Palatino Linotype" w:cs="Palatino Linotype"/>
          <w:color w:val="FF0000"/>
        </w:rPr>
      </w:pPr>
      <w:r w:rsidRPr="00BA57E8">
        <w:rPr>
          <w:rFonts w:ascii="Palatino Linotype" w:eastAsia="Palatino Linotype" w:hAnsi="Palatino Linotype" w:cs="Palatino Linotype"/>
          <w:noProof/>
          <w:color w:val="FF0000"/>
          <w:lang w:eastAsia="es-MX"/>
        </w:rPr>
        <w:drawing>
          <wp:inline distT="0" distB="0" distL="0" distR="0" wp14:anchorId="648A7CDC" wp14:editId="2FE4E2DC">
            <wp:extent cx="4371340" cy="1054735"/>
            <wp:effectExtent l="0" t="0" r="0" b="0"/>
            <wp:docPr id="21404713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371340" cy="1054735"/>
                    </a:xfrm>
                    <a:prstGeom prst="rect">
                      <a:avLst/>
                    </a:prstGeom>
                    <a:ln/>
                  </pic:spPr>
                </pic:pic>
              </a:graphicData>
            </a:graphic>
          </wp:inline>
        </w:drawing>
      </w:r>
    </w:p>
    <w:p w14:paraId="1CD2FBB3"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650ED68B" w14:textId="77777777" w:rsidR="006045E6" w:rsidRPr="00BA57E8" w:rsidRDefault="00AC794E">
      <w:pPr>
        <w:spacing w:after="0" w:line="360" w:lineRule="auto"/>
        <w:jc w:val="both"/>
        <w:rPr>
          <w:rFonts w:ascii="Palatino Linotype" w:eastAsia="Palatino Linotype" w:hAnsi="Palatino Linotype" w:cs="Palatino Linotype"/>
          <w:color w:val="FF0000"/>
        </w:rPr>
      </w:pPr>
      <w:r w:rsidRPr="00BA57E8">
        <w:rPr>
          <w:rFonts w:ascii="Palatino Linotype" w:eastAsia="Palatino Linotype" w:hAnsi="Palatino Linotype" w:cs="Palatino Linotype"/>
        </w:rPr>
        <w:t xml:space="preserve">Finalmente, la Dirección General de Administración y Servidora Pública Habilitada, informo que la Dirección de Recursos Materiales, después de haber realizado una búsqueda exhaustiva y razonable en los archivos que obran en esta Dirección y sus Departamentos, el  requerimiento de información se encuentra fuera de su competencia; ante dicha situación, </w:t>
      </w:r>
      <w:r w:rsidRPr="00BA57E8">
        <w:rPr>
          <w:rFonts w:ascii="Palatino Linotype" w:eastAsia="Palatino Linotype" w:hAnsi="Palatino Linotype" w:cs="Palatino Linotype"/>
        </w:rPr>
        <w:lastRenderedPageBreak/>
        <w:t>la parte Recurrente se inconformó de la declaración de la entrega de información incompleta, hecho que actualiza el supuesto previsto en el artículo 179, fracción V, de la Ley de Transparencia y Acceso a la Información Pública del Estado de México y Municipios. Así las cosas, una vez admitido y notificado el Recurso de Revisión, las partes el Sujeto Obligado remitió su informe justificado por medio del cual ratifico su respuesta.</w:t>
      </w:r>
    </w:p>
    <w:p w14:paraId="05498E82"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71ECB5F0"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Lo anterior, se desprende de las documentales que obran en el expediente de referencia, materia de la presente resolución, consistentes en: la solicitud de acceso a la información; la respuesta proporcionada por 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14:paraId="210CB88B" w14:textId="77777777" w:rsidR="006045E6" w:rsidRPr="00BA57E8" w:rsidRDefault="006045E6">
      <w:pPr>
        <w:spacing w:after="0" w:line="360" w:lineRule="auto"/>
        <w:jc w:val="both"/>
        <w:rPr>
          <w:rFonts w:ascii="Palatino Linotype" w:eastAsia="Palatino Linotype" w:hAnsi="Palatino Linotype" w:cs="Palatino Linotype"/>
        </w:rPr>
      </w:pPr>
    </w:p>
    <w:p w14:paraId="001065D2" w14:textId="77777777" w:rsidR="006045E6" w:rsidRPr="00BA57E8" w:rsidRDefault="00AC794E">
      <w:pPr>
        <w:pStyle w:val="Ttulo2"/>
      </w:pPr>
      <w:bookmarkStart w:id="14" w:name="_heading=h.uuc7gf25silq" w:colFirst="0" w:colLast="0"/>
      <w:bookmarkEnd w:id="14"/>
      <w:r w:rsidRPr="00BA57E8">
        <w:t>CUARTO. Marco normativo aplicable en materia de transparencia y acceso a la información pública</w:t>
      </w:r>
    </w:p>
    <w:p w14:paraId="101EDB0B" w14:textId="77777777" w:rsidR="006045E6" w:rsidRPr="00BA57E8" w:rsidRDefault="006045E6">
      <w:pPr>
        <w:spacing w:after="0" w:line="360" w:lineRule="auto"/>
        <w:jc w:val="both"/>
        <w:rPr>
          <w:rFonts w:ascii="Palatino Linotype" w:eastAsia="Palatino Linotype" w:hAnsi="Palatino Linotype" w:cs="Palatino Linotype"/>
          <w:b/>
        </w:rPr>
      </w:pPr>
    </w:p>
    <w:p w14:paraId="0AC5FFDB"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8F520EF" w14:textId="77777777" w:rsidR="006045E6" w:rsidRPr="00BA57E8" w:rsidRDefault="006045E6">
      <w:pPr>
        <w:spacing w:after="0" w:line="360" w:lineRule="auto"/>
        <w:jc w:val="both"/>
        <w:rPr>
          <w:rFonts w:ascii="Palatino Linotype" w:eastAsia="Palatino Linotype" w:hAnsi="Palatino Linotype" w:cs="Palatino Linotype"/>
        </w:rPr>
      </w:pPr>
    </w:p>
    <w:p w14:paraId="1EFD5733"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7806EFC7" w14:textId="77777777" w:rsidR="006045E6" w:rsidRPr="00BA57E8" w:rsidRDefault="006045E6">
      <w:pPr>
        <w:spacing w:after="0" w:line="360" w:lineRule="auto"/>
        <w:jc w:val="both"/>
        <w:rPr>
          <w:rFonts w:ascii="Palatino Linotype" w:eastAsia="Palatino Linotype" w:hAnsi="Palatino Linotype" w:cs="Palatino Linotype"/>
        </w:rPr>
      </w:pPr>
    </w:p>
    <w:p w14:paraId="3D29A499"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9C4C71" w14:textId="77777777" w:rsidR="006045E6" w:rsidRPr="00BA57E8" w:rsidRDefault="006045E6">
      <w:pPr>
        <w:spacing w:after="0" w:line="360" w:lineRule="auto"/>
        <w:jc w:val="both"/>
        <w:rPr>
          <w:rFonts w:ascii="Palatino Linotype" w:eastAsia="Palatino Linotype" w:hAnsi="Palatino Linotype" w:cs="Palatino Linotype"/>
        </w:rPr>
      </w:pPr>
    </w:p>
    <w:p w14:paraId="33A8568A" w14:textId="149DC2CA"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5C0CC79E"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El artículo 12, que, quienes generen, recopilen, administren, manejen, procesen, archiven o conserven información pública serán responsables de la misma.</w:t>
      </w:r>
    </w:p>
    <w:p w14:paraId="7152F048" w14:textId="77777777" w:rsidR="006045E6" w:rsidRPr="00BA57E8" w:rsidRDefault="006045E6">
      <w:pPr>
        <w:spacing w:after="0" w:line="360" w:lineRule="auto"/>
        <w:jc w:val="both"/>
        <w:rPr>
          <w:rFonts w:ascii="Palatino Linotype" w:eastAsia="Palatino Linotype" w:hAnsi="Palatino Linotype" w:cs="Palatino Linotype"/>
        </w:rPr>
      </w:pPr>
    </w:p>
    <w:p w14:paraId="15D8EBF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El artículo 18, que, los Sujetos Obligados deberán documentar todo acto que derive del ejercicio de sus facultades, competencias o funciones, considerando desde su origen la eventual publicidad y reutilización de la información que generen.</w:t>
      </w:r>
    </w:p>
    <w:p w14:paraId="3DE18600" w14:textId="77777777" w:rsidR="006045E6" w:rsidRPr="00BA57E8" w:rsidRDefault="006045E6">
      <w:pPr>
        <w:spacing w:after="0" w:line="360" w:lineRule="auto"/>
        <w:jc w:val="both"/>
        <w:rPr>
          <w:rFonts w:ascii="Palatino Linotype" w:eastAsia="Palatino Linotype" w:hAnsi="Palatino Linotype" w:cs="Palatino Linotype"/>
        </w:rPr>
      </w:pPr>
    </w:p>
    <w:p w14:paraId="0FDE7FF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E0425B" w14:textId="77777777" w:rsidR="006045E6" w:rsidRPr="00BA57E8" w:rsidRDefault="006045E6">
      <w:pPr>
        <w:spacing w:after="0" w:line="360" w:lineRule="auto"/>
        <w:jc w:val="both"/>
        <w:rPr>
          <w:rFonts w:ascii="Palatino Linotype" w:eastAsia="Palatino Linotype" w:hAnsi="Palatino Linotype" w:cs="Palatino Linotype"/>
        </w:rPr>
      </w:pPr>
    </w:p>
    <w:p w14:paraId="675E8129" w14:textId="77777777" w:rsidR="006045E6" w:rsidRPr="00BA57E8" w:rsidRDefault="00AC794E">
      <w:pPr>
        <w:pStyle w:val="Ttulo2"/>
      </w:pPr>
      <w:bookmarkStart w:id="15" w:name="_heading=h.6e05kjlflqrk" w:colFirst="0" w:colLast="0"/>
      <w:bookmarkEnd w:id="15"/>
      <w:r w:rsidRPr="00BA57E8">
        <w:t>QUINTO. Estudio de Fondo</w:t>
      </w:r>
    </w:p>
    <w:p w14:paraId="2F8DF583"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7410607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Expuestas las posturas de las partes, se procede al análisis de los agravios hechos valer por la persona Recurrente, por lo que, en principio es necesario contextualizar la solicitud de información.</w:t>
      </w:r>
    </w:p>
    <w:p w14:paraId="335229DF" w14:textId="77777777" w:rsidR="006045E6" w:rsidRPr="00BA57E8" w:rsidRDefault="006045E6">
      <w:pPr>
        <w:spacing w:after="0" w:line="360" w:lineRule="auto"/>
        <w:jc w:val="both"/>
        <w:rPr>
          <w:rFonts w:ascii="Palatino Linotype" w:eastAsia="Palatino Linotype" w:hAnsi="Palatino Linotype" w:cs="Palatino Linotype"/>
          <w:b/>
        </w:rPr>
      </w:pPr>
    </w:p>
    <w:p w14:paraId="721D2C19"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 xml:space="preserve">Pólizas y Facturas </w:t>
      </w:r>
    </w:p>
    <w:p w14:paraId="64319DFC" w14:textId="77777777" w:rsidR="006045E6" w:rsidRPr="00BA57E8" w:rsidRDefault="006045E6">
      <w:pPr>
        <w:spacing w:after="0" w:line="360" w:lineRule="auto"/>
        <w:jc w:val="both"/>
        <w:rPr>
          <w:rFonts w:ascii="Palatino Linotype" w:eastAsia="Palatino Linotype" w:hAnsi="Palatino Linotype" w:cs="Palatino Linotype"/>
          <w:b/>
        </w:rPr>
      </w:pPr>
    </w:p>
    <w:p w14:paraId="5E86C3C2"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Al respecto, por lo que hace al monto erogado, el artículo 4°, fracción XVIII, de la Ley General de Contabilidad Gubernamental, establece que la información financiera consiste en información presupuestaria y contable que se expresa en unidades monetarias las </w:t>
      </w:r>
      <w:r w:rsidRPr="00BA57E8">
        <w:rPr>
          <w:rFonts w:ascii="Palatino Linotype" w:eastAsia="Palatino Linotype" w:hAnsi="Palatino Linotype" w:cs="Palatino Linotype"/>
          <w:b/>
        </w:rPr>
        <w:t>transacciones que realiza un ente público y los eventos económicos identificables y cuantificable</w:t>
      </w:r>
      <w:r w:rsidRPr="00BA57E8">
        <w:rPr>
          <w:rFonts w:ascii="Palatino Linotype" w:eastAsia="Palatino Linotype" w:hAnsi="Palatino Linotype" w:cs="Palatino Linotype"/>
        </w:rPr>
        <w:t xml:space="preserve"> la cual puede representarse por reportes, informes, estados y notas que expresan su situación financiera, los resultados de su operación y los cambios en su patrimonio.</w:t>
      </w:r>
    </w:p>
    <w:p w14:paraId="7310C2F0" w14:textId="77777777" w:rsidR="006045E6" w:rsidRPr="00BA57E8" w:rsidRDefault="006045E6">
      <w:pPr>
        <w:spacing w:after="0" w:line="360" w:lineRule="auto"/>
        <w:jc w:val="both"/>
        <w:rPr>
          <w:rFonts w:ascii="Palatino Linotype" w:eastAsia="Palatino Linotype" w:hAnsi="Palatino Linotype" w:cs="Palatino Linotype"/>
        </w:rPr>
      </w:pPr>
    </w:p>
    <w:p w14:paraId="65136CBE"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En esa misma tesitura, los artículos 16, 18, 19, fracción V, y 34 de la Ley General en comento, establecen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353FA318" w14:textId="77777777" w:rsidR="006045E6" w:rsidRPr="00BA57E8" w:rsidRDefault="006045E6">
      <w:pPr>
        <w:spacing w:after="0" w:line="360" w:lineRule="auto"/>
        <w:jc w:val="both"/>
        <w:rPr>
          <w:rFonts w:ascii="Palatino Linotype" w:eastAsia="Palatino Linotype" w:hAnsi="Palatino Linotype" w:cs="Palatino Linotype"/>
        </w:rPr>
      </w:pPr>
    </w:p>
    <w:p w14:paraId="6560A309"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Ahora bien, resulta necesario traer a colación, la Resolución Miscelánea Fiscal, establece que la factura es lo mismo, que un Comprobante Fiscal Digital por Internet, por lo que, se puede considerar como el documento que comprueba la realización de una </w:t>
      </w:r>
      <w:r w:rsidRPr="00BA57E8">
        <w:rPr>
          <w:rFonts w:ascii="Palatino Linotype" w:eastAsia="Palatino Linotype" w:hAnsi="Palatino Linotype" w:cs="Palatino Linotype"/>
          <w:b/>
        </w:rPr>
        <w:t>transacción</w:t>
      </w:r>
      <w:r w:rsidRPr="00BA57E8">
        <w:rPr>
          <w:rFonts w:ascii="Palatino Linotype" w:eastAsia="Palatino Linotype" w:hAnsi="Palatino Linotype" w:cs="Palatino Linotype"/>
        </w:rPr>
        <w:t xml:space="preserve"> comercial, entre un comprador y un vendedor, mediante el cual, el primero queda obligado a realizar un pago, mientras que el segundo, a entregar o brindar un producto o servicio.</w:t>
      </w:r>
    </w:p>
    <w:p w14:paraId="475B8FDF" w14:textId="77777777" w:rsidR="006045E6" w:rsidRPr="00BA57E8" w:rsidRDefault="006045E6">
      <w:pPr>
        <w:spacing w:after="0" w:line="360" w:lineRule="auto"/>
        <w:jc w:val="both"/>
        <w:rPr>
          <w:rFonts w:ascii="Palatino Linotype" w:eastAsia="Palatino Linotype" w:hAnsi="Palatino Linotype" w:cs="Palatino Linotype"/>
        </w:rPr>
      </w:pPr>
    </w:p>
    <w:p w14:paraId="1EAB44A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 xml:space="preserve">En ese orden de ideas, el Instructivo del Módulo 1 “Información Contable y Financiera” emitido por el Órgano Superior de Fiscalización del Estado de México, señala que dentro de los formatos que maneja dicho módulo se </w:t>
      </w:r>
      <w:r w:rsidRPr="00BA57E8">
        <w:rPr>
          <w:rFonts w:ascii="Palatino Linotype" w:eastAsia="Palatino Linotype" w:hAnsi="Palatino Linotype" w:cs="Palatino Linotype"/>
          <w:b/>
          <w:u w:val="single"/>
        </w:rPr>
        <w:t>encuentran la Póliza de Egresos y Póliza Cheque, con los documentos comprobatorios,</w:t>
      </w:r>
      <w:r w:rsidRPr="00BA57E8">
        <w:rPr>
          <w:rFonts w:ascii="Palatino Linotype" w:eastAsia="Palatino Linotype" w:hAnsi="Palatino Linotype" w:cs="Palatino Linotype"/>
        </w:rPr>
        <w:t xml:space="preserve">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 los cuales contienen el nombre de proveedores o en su caso razón social.</w:t>
      </w:r>
    </w:p>
    <w:p w14:paraId="2B7601C1" w14:textId="77777777" w:rsidR="006045E6" w:rsidRPr="00BA57E8" w:rsidRDefault="006045E6">
      <w:pPr>
        <w:spacing w:after="0" w:line="360" w:lineRule="auto"/>
        <w:jc w:val="both"/>
        <w:rPr>
          <w:rFonts w:ascii="Palatino Linotype" w:eastAsia="Palatino Linotype" w:hAnsi="Palatino Linotype" w:cs="Palatino Linotype"/>
        </w:rPr>
      </w:pPr>
    </w:p>
    <w:p w14:paraId="692E1457"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En ese sentido, el artículo 92 fracción II del Bando Municipal del Ayuntamiento de Toluca dos mil veinticinco, el cual establece que </w:t>
      </w:r>
      <w:r w:rsidRPr="00BA57E8">
        <w:rPr>
          <w:rFonts w:ascii="Palatino Linotype" w:eastAsia="Palatino Linotype" w:hAnsi="Palatino Linotype" w:cs="Palatino Linotype"/>
          <w:b/>
        </w:rPr>
        <w:t>la Tesorería Municipal es responsable de la administración y control de los recursos financieros del municipio, asegurando el cumplimiento de las disposiciones fiscales y presupuestales</w:t>
      </w:r>
      <w:r w:rsidRPr="00BA57E8">
        <w:rPr>
          <w:rFonts w:ascii="Palatino Linotype" w:eastAsia="Palatino Linotype" w:hAnsi="Palatino Linotype" w:cs="Palatino Linotype"/>
        </w:rPr>
        <w:t>.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27CF3588"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534579C6"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Contratos asesoría externa</w:t>
      </w:r>
    </w:p>
    <w:p w14:paraId="2B5D72D4" w14:textId="77777777" w:rsidR="006045E6" w:rsidRPr="00BA57E8" w:rsidRDefault="006045E6">
      <w:pPr>
        <w:spacing w:after="0" w:line="360" w:lineRule="auto"/>
        <w:jc w:val="both"/>
        <w:rPr>
          <w:rFonts w:ascii="Palatino Linotype" w:eastAsia="Palatino Linotype" w:hAnsi="Palatino Linotype" w:cs="Palatino Linotype"/>
          <w:b/>
        </w:rPr>
      </w:pPr>
    </w:p>
    <w:p w14:paraId="3B0AF6F3"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Al respecto, el Manual de Organización de la Secretaría del Ayuntamiento de Toluca para la administración dos mil veintidós, dos mil veinticuatro, establece que la Consejería Jurídica dentro de sus atribuciones se encarga entre otras cosas de </w:t>
      </w:r>
      <w:r w:rsidRPr="00BA57E8">
        <w:rPr>
          <w:rFonts w:ascii="Palatino Linotype" w:eastAsia="Palatino Linotype" w:hAnsi="Palatino Linotype" w:cs="Palatino Linotype"/>
          <w:b/>
        </w:rPr>
        <w:t xml:space="preserve">fungir como apoderado jurídico del H. Ayuntamiento de Toluca, del presidente municipal y de la administración </w:t>
      </w:r>
      <w:r w:rsidRPr="00BA57E8">
        <w:rPr>
          <w:rFonts w:ascii="Palatino Linotype" w:eastAsia="Palatino Linotype" w:hAnsi="Palatino Linotype" w:cs="Palatino Linotype"/>
          <w:b/>
        </w:rPr>
        <w:lastRenderedPageBreak/>
        <w:t xml:space="preserve">pública municipal </w:t>
      </w:r>
      <w:r w:rsidRPr="00BA57E8">
        <w:rPr>
          <w:rFonts w:ascii="Palatino Linotype" w:eastAsia="Palatino Linotype" w:hAnsi="Palatino Linotype" w:cs="Palatino Linotype"/>
        </w:rPr>
        <w:t xml:space="preserve">Centralizada, así como </w:t>
      </w:r>
      <w:r w:rsidRPr="00BA57E8">
        <w:rPr>
          <w:rFonts w:ascii="Palatino Linotype" w:eastAsia="Palatino Linotype" w:hAnsi="Palatino Linotype" w:cs="Palatino Linotype"/>
          <w:b/>
        </w:rPr>
        <w:t>desahogar las consultas y las asesorías jurídicas</w:t>
      </w:r>
      <w:r w:rsidRPr="00BA57E8">
        <w:rPr>
          <w:rFonts w:ascii="Palatino Linotype" w:eastAsia="Palatino Linotype" w:hAnsi="Palatino Linotype" w:cs="Palatino Linotype"/>
        </w:rPr>
        <w:t>, así como brindar apoyo técnico jurídico a los integrantes del Ayuntamiento y las dependencias municipales, con excepción de las de carácter fiscal.</w:t>
      </w:r>
    </w:p>
    <w:p w14:paraId="2EB08A24" w14:textId="77777777" w:rsidR="006045E6" w:rsidRPr="00BA57E8" w:rsidRDefault="006045E6">
      <w:pPr>
        <w:spacing w:after="0" w:line="360" w:lineRule="auto"/>
        <w:jc w:val="both"/>
        <w:rPr>
          <w:rFonts w:ascii="Palatino Linotype" w:eastAsia="Palatino Linotype" w:hAnsi="Palatino Linotype" w:cs="Palatino Linotype"/>
        </w:rPr>
      </w:pPr>
    </w:p>
    <w:p w14:paraId="45B053F4"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Misma que para el cumplimiento de sus funciones se auxiliara de la Coordinación de Justicia Cívica, la Coordinación de Asuntos Jurídicos, </w:t>
      </w:r>
      <w:r w:rsidRPr="00BA57E8">
        <w:rPr>
          <w:rFonts w:ascii="Palatino Linotype" w:eastAsia="Palatino Linotype" w:hAnsi="Palatino Linotype" w:cs="Palatino Linotype"/>
          <w:b/>
        </w:rPr>
        <w:t>la Coordinación de Estudios y Reglamentación Municipal</w:t>
      </w:r>
      <w:r w:rsidRPr="00BA57E8">
        <w:rPr>
          <w:rFonts w:ascii="Palatino Linotype" w:eastAsia="Palatino Linotype" w:hAnsi="Palatino Linotype" w:cs="Palatino Linotype"/>
        </w:rPr>
        <w:t>, el Centro de Mediación, Conciliación y Justicia Restaurativa.</w:t>
      </w:r>
    </w:p>
    <w:p w14:paraId="18919F6B" w14:textId="77777777" w:rsidR="006045E6" w:rsidRPr="00BA57E8" w:rsidRDefault="006045E6">
      <w:pPr>
        <w:spacing w:after="0" w:line="360" w:lineRule="auto"/>
        <w:jc w:val="both"/>
        <w:rPr>
          <w:rFonts w:ascii="Palatino Linotype" w:eastAsia="Palatino Linotype" w:hAnsi="Palatino Linotype" w:cs="Palatino Linotype"/>
        </w:rPr>
      </w:pPr>
    </w:p>
    <w:p w14:paraId="259D954E" w14:textId="77777777" w:rsidR="006045E6" w:rsidRPr="00BA57E8" w:rsidRDefault="00AC794E">
      <w:pPr>
        <w:spacing w:after="0" w:line="360" w:lineRule="auto"/>
        <w:jc w:val="both"/>
        <w:rPr>
          <w:rFonts w:ascii="Palatino Linotype" w:eastAsia="Palatino Linotype" w:hAnsi="Palatino Linotype" w:cs="Palatino Linotype"/>
          <w:b/>
          <w:u w:val="single"/>
        </w:rPr>
      </w:pPr>
      <w:r w:rsidRPr="00BA57E8">
        <w:rPr>
          <w:rFonts w:ascii="Palatino Linotype" w:eastAsia="Palatino Linotype" w:hAnsi="Palatino Linotype" w:cs="Palatino Linotype"/>
        </w:rPr>
        <w:t xml:space="preserve">En ese mismo sentido, el Manual en comento señala que la Coordinación y Reglamentación Municipal dentro de sus atribuciones se encarga de </w:t>
      </w:r>
      <w:r w:rsidRPr="00BA57E8">
        <w:rPr>
          <w:rFonts w:ascii="Palatino Linotype" w:eastAsia="Palatino Linotype" w:hAnsi="Palatino Linotype" w:cs="Palatino Linotype"/>
          <w:b/>
          <w:u w:val="single"/>
        </w:rPr>
        <w:t>analizar, elaborar, validar y resguardar acuerdos, contratos y convenios que celebre o emita el Ayuntamiento y sus dependencias en el ámbito de sus competencias.</w:t>
      </w:r>
    </w:p>
    <w:p w14:paraId="2975851D" w14:textId="77777777" w:rsidR="006045E6" w:rsidRPr="00BA57E8" w:rsidRDefault="006045E6">
      <w:pPr>
        <w:spacing w:after="0" w:line="360" w:lineRule="auto"/>
        <w:jc w:val="both"/>
        <w:rPr>
          <w:rFonts w:ascii="Palatino Linotype" w:eastAsia="Palatino Linotype" w:hAnsi="Palatino Linotype" w:cs="Palatino Linotype"/>
          <w:b/>
          <w:u w:val="single"/>
        </w:rPr>
      </w:pPr>
    </w:p>
    <w:p w14:paraId="1C8070B8"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rPr>
        <w:t xml:space="preserve">En relación con la información solicitada este Instituto localizó en el </w:t>
      </w:r>
      <w:r w:rsidRPr="00BA57E8">
        <w:rPr>
          <w:rFonts w:ascii="Palatino Linotype" w:eastAsia="Palatino Linotype" w:hAnsi="Palatino Linotype" w:cs="Palatino Linotype"/>
          <w:b/>
        </w:rPr>
        <w:t>Presupuesto o Global</w:t>
      </w:r>
    </w:p>
    <w:p w14:paraId="06710BC1"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Calendarizado PbRM-04c </w:t>
      </w:r>
      <w:r w:rsidRPr="00BA57E8">
        <w:rPr>
          <w:rFonts w:ascii="Palatino Linotype" w:eastAsia="Palatino Linotype" w:hAnsi="Palatino Linotype" w:cs="Palatino Linotype"/>
        </w:rPr>
        <w:t>del periodo que comprende del primero de enero al treinta y uno de diciembre de dos mil veinticinco, los capítulos 3310 Servicios legales, de contabilidad, auditoría y relacionados y el capítulo 3311 Asesorías asociados a convenios o acuerdos, tal como se desprende de la siguiente captura de pantalla:</w:t>
      </w:r>
    </w:p>
    <w:p w14:paraId="43ADD131" w14:textId="77777777" w:rsidR="00A65AEB" w:rsidRPr="00BA57E8" w:rsidRDefault="00A65AEB">
      <w:pPr>
        <w:spacing w:after="0" w:line="360" w:lineRule="auto"/>
        <w:jc w:val="both"/>
        <w:rPr>
          <w:rFonts w:ascii="Palatino Linotype" w:eastAsia="Palatino Linotype" w:hAnsi="Palatino Linotype" w:cs="Palatino Linotype"/>
        </w:rPr>
      </w:pPr>
    </w:p>
    <w:p w14:paraId="39DC9479" w14:textId="77777777" w:rsidR="006045E6" w:rsidRPr="00BA57E8" w:rsidRDefault="00AC794E">
      <w:pPr>
        <w:spacing w:after="0" w:line="360" w:lineRule="auto"/>
        <w:jc w:val="center"/>
        <w:rPr>
          <w:rFonts w:ascii="Palatino Linotype" w:eastAsia="Palatino Linotype" w:hAnsi="Palatino Linotype" w:cs="Palatino Linotype"/>
          <w:b/>
          <w:u w:val="single"/>
        </w:rPr>
      </w:pPr>
      <w:r w:rsidRPr="00BA57E8">
        <w:rPr>
          <w:rFonts w:ascii="Palatino Linotype" w:eastAsia="Palatino Linotype" w:hAnsi="Palatino Linotype" w:cs="Palatino Linotype"/>
          <w:b/>
          <w:u w:val="single"/>
        </w:rPr>
        <w:lastRenderedPageBreak/>
        <w:t xml:space="preserve"> </w:t>
      </w:r>
      <w:r w:rsidRPr="00BA57E8">
        <w:rPr>
          <w:rFonts w:ascii="Palatino Linotype" w:eastAsia="Palatino Linotype" w:hAnsi="Palatino Linotype" w:cs="Palatino Linotype"/>
          <w:b/>
          <w:noProof/>
          <w:u w:val="single"/>
          <w:lang w:eastAsia="es-MX"/>
        </w:rPr>
        <w:drawing>
          <wp:inline distT="0" distB="0" distL="0" distR="0" wp14:anchorId="7ADFD62E" wp14:editId="78288EC1">
            <wp:extent cx="3228120" cy="3195843"/>
            <wp:effectExtent l="0" t="0" r="0" b="0"/>
            <wp:docPr id="21404713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228120" cy="3195843"/>
                    </a:xfrm>
                    <a:prstGeom prst="rect">
                      <a:avLst/>
                    </a:prstGeom>
                    <a:ln/>
                  </pic:spPr>
                </pic:pic>
              </a:graphicData>
            </a:graphic>
          </wp:inline>
        </w:drawing>
      </w:r>
    </w:p>
    <w:p w14:paraId="58E8C6D6" w14:textId="77777777" w:rsidR="00A65AEB" w:rsidRPr="00BA57E8" w:rsidRDefault="00A65AEB">
      <w:pPr>
        <w:spacing w:after="0" w:line="360" w:lineRule="auto"/>
        <w:jc w:val="both"/>
        <w:rPr>
          <w:rFonts w:ascii="Palatino Linotype" w:eastAsia="Palatino Linotype" w:hAnsi="Palatino Linotype" w:cs="Palatino Linotype"/>
        </w:rPr>
      </w:pPr>
    </w:p>
    <w:p w14:paraId="5E38C9FC" w14:textId="7E3F2E86"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Conceptos que pueden relacionarse con la contratación de asesoría externa, proporcionada por despachos.</w:t>
      </w:r>
    </w:p>
    <w:p w14:paraId="43A9B531" w14:textId="77777777" w:rsidR="006045E6" w:rsidRPr="00BA57E8" w:rsidRDefault="006045E6">
      <w:pPr>
        <w:spacing w:after="0" w:line="360" w:lineRule="auto"/>
        <w:rPr>
          <w:rFonts w:ascii="Palatino Linotype" w:eastAsia="Palatino Linotype" w:hAnsi="Palatino Linotype" w:cs="Palatino Linotype"/>
        </w:rPr>
      </w:pPr>
    </w:p>
    <w:p w14:paraId="6099012D" w14:textId="1C1D5D30" w:rsidR="006045E6" w:rsidRPr="00BA57E8" w:rsidRDefault="00AC794E">
      <w:pPr>
        <w:spacing w:after="0" w:line="360" w:lineRule="auto"/>
        <w:jc w:val="both"/>
        <w:rPr>
          <w:rFonts w:ascii="Palatino Linotype" w:eastAsia="Palatino Linotype" w:hAnsi="Palatino Linotype" w:cs="Palatino Linotype"/>
        </w:rPr>
      </w:pPr>
      <w:bookmarkStart w:id="16" w:name="_heading=h.w0wtmtjnlx1p" w:colFirst="0" w:colLast="0"/>
      <w:bookmarkEnd w:id="16"/>
      <w:r w:rsidRPr="00BA57E8">
        <w:rPr>
          <w:rFonts w:ascii="Palatino Linotype" w:eastAsia="Palatino Linotype" w:hAnsi="Palatino Linotype" w:cs="Palatino Linotype"/>
        </w:rPr>
        <w:t>Conforme a lo anterior, se logra vislumbrar que la pretensión del ahora Recurrente, es obtener</w:t>
      </w:r>
      <w:r w:rsidRPr="00BA57E8">
        <w:t xml:space="preserve"> </w:t>
      </w:r>
      <w:r w:rsidRPr="00BA57E8">
        <w:rPr>
          <w:rFonts w:ascii="Palatino Linotype" w:eastAsia="Palatino Linotype" w:hAnsi="Palatino Linotype" w:cs="Palatino Linotype"/>
        </w:rPr>
        <w:t xml:space="preserve">en relación con los despachos de asesoría externa </w:t>
      </w:r>
      <w:r w:rsidR="00110B62" w:rsidRPr="00BA57E8">
        <w:rPr>
          <w:rFonts w:ascii="Palatino Linotype" w:eastAsia="Palatino Linotype" w:hAnsi="Palatino Linotype" w:cs="Palatino Linotype"/>
        </w:rPr>
        <w:t>contratados por</w:t>
      </w:r>
      <w:r w:rsidRPr="00BA57E8">
        <w:rPr>
          <w:rFonts w:ascii="Palatino Linotype" w:eastAsia="Palatino Linotype" w:hAnsi="Palatino Linotype" w:cs="Palatino Linotype"/>
        </w:rPr>
        <w:t xml:space="preserve"> el Ayuntamiento</w:t>
      </w:r>
      <w:r w:rsidR="00A65AEB" w:rsidRPr="00BA57E8">
        <w:rPr>
          <w:rFonts w:ascii="Palatino Linotype" w:eastAsia="Palatino Linotype" w:hAnsi="Palatino Linotype" w:cs="Palatino Linotype"/>
        </w:rPr>
        <w:t>,</w:t>
      </w:r>
      <w:r w:rsidRPr="00BA57E8">
        <w:rPr>
          <w:rFonts w:ascii="Palatino Linotype" w:eastAsia="Palatino Linotype" w:hAnsi="Palatino Linotype" w:cs="Palatino Linotype"/>
        </w:rPr>
        <w:t xml:space="preserve"> incluido el despacho MFONTOVA ASOC. S.A y del Despacho Becerril y Asociados, del primero de enero de dos mil veintidós al treinta y uno de diciembre de dos mil veinticinco, lo siguiente:</w:t>
      </w:r>
    </w:p>
    <w:p w14:paraId="68CEF629" w14:textId="77777777" w:rsidR="006045E6" w:rsidRPr="00BA57E8" w:rsidRDefault="006045E6">
      <w:pPr>
        <w:spacing w:after="0" w:line="360" w:lineRule="auto"/>
        <w:jc w:val="both"/>
        <w:rPr>
          <w:rFonts w:ascii="Palatino Linotype" w:eastAsia="Palatino Linotype" w:hAnsi="Palatino Linotype" w:cs="Palatino Linotype"/>
        </w:rPr>
      </w:pPr>
    </w:p>
    <w:p w14:paraId="66C6626D" w14:textId="2A887ACE" w:rsidR="006045E6" w:rsidRPr="00BA57E8" w:rsidRDefault="00AC794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Los contratos celebrados</w:t>
      </w:r>
      <w:r w:rsidR="00A65AEB" w:rsidRPr="00BA57E8">
        <w:rPr>
          <w:rFonts w:ascii="Palatino Linotype" w:eastAsia="Palatino Linotype" w:hAnsi="Palatino Linotype" w:cs="Palatino Linotype"/>
          <w:color w:val="000000"/>
        </w:rPr>
        <w:t>;</w:t>
      </w:r>
    </w:p>
    <w:p w14:paraId="63BAE023" w14:textId="5A763A48" w:rsidR="006045E6" w:rsidRPr="00BA57E8" w:rsidRDefault="00AC794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fracturas pagadas</w:t>
      </w:r>
      <w:r w:rsidR="00A65AEB" w:rsidRPr="00BA57E8">
        <w:rPr>
          <w:rFonts w:ascii="Palatino Linotype" w:eastAsia="Palatino Linotype" w:hAnsi="Palatino Linotype" w:cs="Palatino Linotype"/>
          <w:color w:val="000000"/>
        </w:rPr>
        <w:t>, y</w:t>
      </w:r>
    </w:p>
    <w:p w14:paraId="1335982D" w14:textId="0DAF8FA3" w:rsidR="006045E6" w:rsidRPr="00BA57E8" w:rsidRDefault="00AC794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pólizas de pago</w:t>
      </w:r>
      <w:r w:rsidR="00A65AEB" w:rsidRPr="00BA57E8">
        <w:rPr>
          <w:rFonts w:ascii="Palatino Linotype" w:eastAsia="Palatino Linotype" w:hAnsi="Palatino Linotype" w:cs="Palatino Linotype"/>
          <w:color w:val="000000"/>
        </w:rPr>
        <w:t xml:space="preserve">, incluídas por </w:t>
      </w:r>
      <w:r w:rsidRPr="00BA57E8">
        <w:rPr>
          <w:rFonts w:ascii="Palatino Linotype" w:eastAsia="Palatino Linotype" w:hAnsi="Palatino Linotype" w:cs="Palatino Linotype"/>
          <w:color w:val="000000"/>
        </w:rPr>
        <w:t>cheque</w:t>
      </w:r>
      <w:r w:rsidR="00A65AEB" w:rsidRPr="00BA57E8">
        <w:rPr>
          <w:rFonts w:ascii="Palatino Linotype" w:eastAsia="Palatino Linotype" w:hAnsi="Palatino Linotype" w:cs="Palatino Linotype"/>
          <w:color w:val="000000"/>
        </w:rPr>
        <w:t>.</w:t>
      </w:r>
      <w:r w:rsidRPr="00BA57E8">
        <w:rPr>
          <w:rFonts w:ascii="Palatino Linotype" w:eastAsia="Palatino Linotype" w:hAnsi="Palatino Linotype" w:cs="Palatino Linotype"/>
          <w:color w:val="000000"/>
        </w:rPr>
        <w:t xml:space="preserve"> </w:t>
      </w:r>
    </w:p>
    <w:p w14:paraId="0A1BBAB0" w14:textId="77777777" w:rsidR="006045E6" w:rsidRPr="00BA57E8" w:rsidRDefault="006045E6">
      <w:pPr>
        <w:spacing w:after="0" w:line="360" w:lineRule="auto"/>
        <w:jc w:val="both"/>
        <w:rPr>
          <w:rFonts w:ascii="Palatino Linotype" w:eastAsia="Palatino Linotype" w:hAnsi="Palatino Linotype" w:cs="Palatino Linotype"/>
        </w:rPr>
      </w:pPr>
    </w:p>
    <w:p w14:paraId="64D59839"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Es importante señalar que la información parte de la información solicitada, se trata de hechos futuros, es decir que tal como se desprende de las constancias del expediente la solicitud, se presentó el veintiocho de abril de dos mil veinticinco, por lo que la información del veintinueve de abril al treinta y uno de diciembre de dos mil veinticinco, no se había generado, por lo que únicamente se procederá a su análisis a la fecha de la solicitud.</w:t>
      </w:r>
    </w:p>
    <w:p w14:paraId="713DBBF0" w14:textId="77777777" w:rsidR="006045E6" w:rsidRPr="00BA57E8" w:rsidRDefault="006045E6">
      <w:pPr>
        <w:spacing w:after="0" w:line="360" w:lineRule="auto"/>
        <w:jc w:val="both"/>
        <w:rPr>
          <w:rFonts w:ascii="Palatino Linotype" w:eastAsia="Palatino Linotype" w:hAnsi="Palatino Linotype" w:cs="Palatino Linotype"/>
        </w:rPr>
      </w:pPr>
    </w:p>
    <w:p w14:paraId="685FE257"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Establecida dicha circunstancia, de las constancias que obran en el expediente electrónico, se advierte que el Sujeto Obligado turnó la solicitud de información a la </w:t>
      </w:r>
      <w:r w:rsidRPr="00BA57E8">
        <w:rPr>
          <w:rFonts w:ascii="Palatino Linotype" w:eastAsia="Palatino Linotype" w:hAnsi="Palatino Linotype" w:cs="Palatino Linotype"/>
          <w:b/>
        </w:rPr>
        <w:t>Tesorería Municipal y Consejería Jurídica</w:t>
      </w:r>
      <w:r w:rsidRPr="00BA57E8">
        <w:rPr>
          <w:rFonts w:ascii="Palatino Linotype" w:eastAsia="Palatino Linotype" w:hAnsi="Palatino Linotype" w:cs="Palatino Linotype"/>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w:t>
      </w:r>
      <w:r w:rsidRPr="00BA57E8">
        <w:t xml:space="preserve"> </w:t>
      </w:r>
      <w:r w:rsidRPr="00BA57E8">
        <w:rPr>
          <w:rFonts w:ascii="Palatino Linotype" w:eastAsia="Palatino Linotype" w:hAnsi="Palatino Linotype" w:cs="Palatino Linotype"/>
        </w:rPr>
        <w:t>con las facultades, competencias y funciones- con el objeto de que dichas áreas realicen una búsqueda exhaustiva y razonable de la información requerida.</w:t>
      </w:r>
    </w:p>
    <w:p w14:paraId="417B230F" w14:textId="77777777" w:rsidR="006045E6" w:rsidRPr="00BA57E8" w:rsidRDefault="006045E6">
      <w:pPr>
        <w:spacing w:after="0" w:line="360" w:lineRule="auto"/>
        <w:jc w:val="both"/>
        <w:rPr>
          <w:rFonts w:ascii="Palatino Linotype" w:eastAsia="Palatino Linotype" w:hAnsi="Palatino Linotype" w:cs="Palatino Linotype"/>
        </w:rPr>
      </w:pPr>
    </w:p>
    <w:p w14:paraId="2BFCCF2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Conforme a lo anterior y a los párrafos que anteceden, se logra colegir que el Sujeto Obligado cumplió con el procedimiento de búsqueda establecido en el artículo 162 de la Ley de Transparencia y Acceso a la Información Pública del Estado de México y Municipios, pues</w:t>
      </w:r>
    </w:p>
    <w:p w14:paraId="1CA45A7F"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Turno el requerimiento a las áreas competentes para conocer de lo soliciitado.</w:t>
      </w:r>
      <w:r w:rsidRPr="00BA57E8">
        <w:t xml:space="preserve"> </w:t>
      </w:r>
      <w:r w:rsidRPr="00BA57E8">
        <w:rPr>
          <w:rFonts w:ascii="Palatino Linotype" w:eastAsia="Palatino Linotype" w:hAnsi="Palatino Linotype" w:cs="Palatino Linotype"/>
        </w:rPr>
        <w:t>Ahora bien, se procede a analizar lo entregado en respuesta.</w:t>
      </w:r>
    </w:p>
    <w:p w14:paraId="6830849D" w14:textId="77777777" w:rsidR="006045E6" w:rsidRPr="00BA57E8" w:rsidRDefault="006045E6">
      <w:pPr>
        <w:spacing w:after="0" w:line="360" w:lineRule="auto"/>
        <w:jc w:val="both"/>
        <w:rPr>
          <w:rFonts w:ascii="Palatino Linotype" w:eastAsia="Palatino Linotype" w:hAnsi="Palatino Linotype" w:cs="Palatino Linotype"/>
        </w:rPr>
      </w:pPr>
    </w:p>
    <w:p w14:paraId="285C6A01"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 xml:space="preserve">Numeral 1 </w:t>
      </w:r>
    </w:p>
    <w:p w14:paraId="7C5B8293" w14:textId="77777777" w:rsidR="006045E6" w:rsidRPr="00BA57E8" w:rsidRDefault="006045E6">
      <w:pPr>
        <w:spacing w:after="0" w:line="360" w:lineRule="auto"/>
        <w:jc w:val="both"/>
        <w:rPr>
          <w:rFonts w:ascii="Palatino Linotype" w:eastAsia="Palatino Linotype" w:hAnsi="Palatino Linotype" w:cs="Palatino Linotype"/>
          <w:b/>
        </w:rPr>
      </w:pPr>
    </w:p>
    <w:p w14:paraId="5DAD35E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lastRenderedPageBreak/>
        <w:t xml:space="preserve">Al respecto, el Sujeto Obligado a traves de  la Dirección General de Administración señalo que despues de haber realizado una búsqueda exhaustiva y razonable en sus archivos el requerimiento realizado se encuentra fuera de su competencia, por su parte la Coordinadora Jurídica señalo que la información podía obrar en Adquisiciones del Ayuntamiento de Toluca. </w:t>
      </w:r>
    </w:p>
    <w:p w14:paraId="58FA3D3B" w14:textId="77777777" w:rsidR="006045E6" w:rsidRPr="00BA57E8" w:rsidRDefault="006045E6">
      <w:pPr>
        <w:spacing w:after="0" w:line="360" w:lineRule="auto"/>
        <w:jc w:val="both"/>
        <w:rPr>
          <w:rFonts w:ascii="Palatino Linotype" w:eastAsia="Palatino Linotype" w:hAnsi="Palatino Linotype" w:cs="Palatino Linotype"/>
        </w:rPr>
      </w:pPr>
    </w:p>
    <w:p w14:paraId="130BD781" w14:textId="77777777" w:rsidR="006045E6" w:rsidRPr="00BA57E8" w:rsidRDefault="00AC794E">
      <w:pPr>
        <w:spacing w:after="0" w:line="360" w:lineRule="auto"/>
        <w:jc w:val="both"/>
        <w:rPr>
          <w:rFonts w:ascii="Palatino Linotype" w:eastAsia="Palatino Linotype" w:hAnsi="Palatino Linotype" w:cs="Palatino Linotype"/>
        </w:rPr>
      </w:pPr>
      <w:bookmarkStart w:id="17" w:name="_heading=h.orlmrrpk679c" w:colFirst="0" w:colLast="0"/>
      <w:bookmarkEnd w:id="17"/>
      <w:r w:rsidRPr="00BA57E8">
        <w:rPr>
          <w:rFonts w:ascii="Palatino Linotype" w:eastAsia="Palatino Linotype" w:hAnsi="Palatino Linotype" w:cs="Palatino Linotype"/>
        </w:rPr>
        <w:t>No obstante la tanto en respuesta como en informe justificado la Coordinadora de Estudios y Reglamentación Municipal señalo que después de realizar una búsqueda exhaustiva de la documentación en sus archivos físicos y digitales se encontraron los resguardos de los contratos contratos a nombre de MFONTOVA ASOC, S.C. de 2022 у 2023, que a continuación se describen:</w:t>
      </w:r>
    </w:p>
    <w:p w14:paraId="0957E1C0" w14:textId="77777777" w:rsidR="00A65AEB" w:rsidRPr="00BA57E8" w:rsidRDefault="00A65AEB">
      <w:pPr>
        <w:spacing w:after="0" w:line="360" w:lineRule="auto"/>
        <w:jc w:val="both"/>
        <w:rPr>
          <w:rFonts w:ascii="Palatino Linotype" w:eastAsia="Palatino Linotype" w:hAnsi="Palatino Linotype" w:cs="Palatino Linotype"/>
        </w:rPr>
      </w:pPr>
    </w:p>
    <w:p w14:paraId="485725E3" w14:textId="77777777" w:rsidR="006045E6" w:rsidRPr="00BA57E8" w:rsidRDefault="00AC794E">
      <w:pPr>
        <w:spacing w:after="0" w:line="360" w:lineRule="auto"/>
        <w:jc w:val="center"/>
        <w:rPr>
          <w:rFonts w:ascii="Palatino Linotype" w:eastAsia="Palatino Linotype" w:hAnsi="Palatino Linotype" w:cs="Palatino Linotype"/>
        </w:rPr>
      </w:pPr>
      <w:r w:rsidRPr="00BA57E8">
        <w:rPr>
          <w:rFonts w:ascii="Palatino Linotype" w:eastAsia="Palatino Linotype" w:hAnsi="Palatino Linotype" w:cs="Palatino Linotype"/>
          <w:noProof/>
          <w:lang w:eastAsia="es-MX"/>
        </w:rPr>
        <w:drawing>
          <wp:inline distT="0" distB="0" distL="0" distR="0" wp14:anchorId="46F97F9E" wp14:editId="61099237">
            <wp:extent cx="3726756" cy="683879"/>
            <wp:effectExtent l="0" t="0" r="0" b="2540"/>
            <wp:docPr id="21404713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753941" cy="688868"/>
                    </a:xfrm>
                    <a:prstGeom prst="rect">
                      <a:avLst/>
                    </a:prstGeom>
                    <a:ln/>
                  </pic:spPr>
                </pic:pic>
              </a:graphicData>
            </a:graphic>
          </wp:inline>
        </w:drawing>
      </w:r>
    </w:p>
    <w:p w14:paraId="44C94D3A" w14:textId="79A474FF" w:rsidR="00A65AEB"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Ahora bien, del analisis de la respuesta proporcionada se logra advertir que si bien se relaciona con la información solicitada, la misma no puede validarse por las siguientes consideraciones:</w:t>
      </w:r>
    </w:p>
    <w:p w14:paraId="0C7DD3A7" w14:textId="77777777" w:rsidR="00A65AEB" w:rsidRPr="00BA57E8" w:rsidRDefault="00A65AEB">
      <w:pPr>
        <w:spacing w:after="0" w:line="360" w:lineRule="auto"/>
        <w:jc w:val="both"/>
        <w:rPr>
          <w:rFonts w:ascii="Palatino Linotype" w:eastAsia="Palatino Linotype" w:hAnsi="Palatino Linotype" w:cs="Palatino Linotype"/>
        </w:rPr>
      </w:pPr>
    </w:p>
    <w:p w14:paraId="2D999777" w14:textId="77777777" w:rsidR="006045E6" w:rsidRPr="00BA57E8" w:rsidRDefault="00AC794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bookmarkStart w:id="18" w:name="_heading=h.nv7y4l77bi1w" w:colFirst="0" w:colLast="0"/>
      <w:bookmarkEnd w:id="18"/>
      <w:r w:rsidRPr="00BA57E8">
        <w:rPr>
          <w:rFonts w:ascii="Palatino Linotype" w:eastAsia="Palatino Linotype" w:hAnsi="Palatino Linotype" w:cs="Palatino Linotype"/>
          <w:color w:val="000000"/>
        </w:rPr>
        <w:t>Sí bien, la información se relaciona con lo solicitado la pretensión del Particular versa en obtener los contratos celebrados con los despachos de asesoría externa en el Ayuntamiento incluido el despacho MFONTOVA ASOC. S.A de Alma Merino y del Despacho Becerril y Asociados, del periodo que comprende del primero de enero de dos mil veintidós al treinta y uno de diciembre de dos mil veinticinco y no así un listado de los mismos.</w:t>
      </w:r>
    </w:p>
    <w:p w14:paraId="78548B31" w14:textId="77777777" w:rsidR="006045E6" w:rsidRPr="00BA57E8" w:rsidRDefault="00AC794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No se pronuncia acerca de toda la temporalidad solicitada.</w:t>
      </w:r>
    </w:p>
    <w:p w14:paraId="5E6CC445" w14:textId="77777777" w:rsidR="006045E6" w:rsidRPr="00BA57E8" w:rsidRDefault="00AC794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lastRenderedPageBreak/>
        <w:t xml:space="preserve">Los contratos que se solicitan son de diversos despachos que brinden servicios de asesoría externa en el Ayuntamiento </w:t>
      </w:r>
      <w:r w:rsidRPr="00BA57E8">
        <w:rPr>
          <w:rFonts w:ascii="Palatino Linotype" w:eastAsia="Palatino Linotype" w:hAnsi="Palatino Linotype" w:cs="Palatino Linotype"/>
          <w:color w:val="000000"/>
          <w:u w:val="single"/>
        </w:rPr>
        <w:t xml:space="preserve">incluidos  los </w:t>
      </w:r>
      <w:r w:rsidRPr="00BA57E8">
        <w:rPr>
          <w:rFonts w:ascii="Palatino Linotype" w:eastAsia="Palatino Linotype" w:hAnsi="Palatino Linotype" w:cs="Palatino Linotype"/>
          <w:color w:val="000000"/>
        </w:rPr>
        <w:t xml:space="preserve">celebrados con </w:t>
      </w:r>
      <w:r w:rsidRPr="00BA57E8">
        <w:rPr>
          <w:rFonts w:ascii="Palatino Linotype" w:eastAsia="Palatino Linotype" w:hAnsi="Palatino Linotype" w:cs="Palatino Linotype"/>
          <w:b/>
          <w:color w:val="000000"/>
        </w:rPr>
        <w:t xml:space="preserve"> </w:t>
      </w:r>
      <w:r w:rsidRPr="00BA57E8">
        <w:rPr>
          <w:rFonts w:ascii="Palatino Linotype" w:eastAsia="Palatino Linotype" w:hAnsi="Palatino Linotype" w:cs="Palatino Linotype"/>
          <w:color w:val="000000"/>
        </w:rPr>
        <w:t>el despacho MFONTOVA ASOC. S.A de Alma Merino y del Despacho Becerril y Asociados.</w:t>
      </w:r>
    </w:p>
    <w:p w14:paraId="0DB27372" w14:textId="77777777" w:rsidR="006045E6" w:rsidRPr="00BA57E8" w:rsidRDefault="006045E6">
      <w:pPr>
        <w:spacing w:after="0" w:line="360" w:lineRule="auto"/>
        <w:jc w:val="both"/>
        <w:rPr>
          <w:rFonts w:ascii="Palatino Linotype" w:eastAsia="Palatino Linotype" w:hAnsi="Palatino Linotype" w:cs="Palatino Linotype"/>
        </w:rPr>
      </w:pPr>
    </w:p>
    <w:p w14:paraId="120390DE" w14:textId="77777777" w:rsidR="006045E6" w:rsidRPr="00BA57E8" w:rsidRDefault="00AC794E">
      <w:pPr>
        <w:spacing w:after="0" w:line="360" w:lineRule="auto"/>
        <w:jc w:val="both"/>
        <w:rPr>
          <w:rFonts w:ascii="Palatino Linotype" w:eastAsia="Palatino Linotype" w:hAnsi="Palatino Linotype" w:cs="Palatino Linotype"/>
        </w:rPr>
      </w:pPr>
      <w:bookmarkStart w:id="19" w:name="_heading=h.bxg4tt4ugrrq" w:colFirst="0" w:colLast="0"/>
      <w:bookmarkEnd w:id="19"/>
      <w:r w:rsidRPr="00BA57E8">
        <w:rPr>
          <w:rFonts w:ascii="Palatino Linotype" w:eastAsia="Palatino Linotype" w:hAnsi="Palatino Linotype" w:cs="Palatino Linotype"/>
        </w:rPr>
        <w:t>Por lo que, para atender el requerimiento de información, el Sujeto Obligado deberá realizar una búsqueda exhaustiva y razonable en los archivos de todas sus áreas competentes, dentro de las cuales no podra omitir a la Coordinadora de Estudios y Reglamentación Municipal, a efecto de que proporcione, los contratos contratos celebrados con los despachos de asesoría externa en el Ayuntamiento incluido el despacho MFONTOVA ASOC. S.A de Alma Merino y del Despacho Becerril y Asociados, del periodo que comprende del primero de enero de dos mil veintidós al treinta y uno de diciembre de dos mil veinticinco, con el fin de dar cumplimiento a los artículos 12 y 160 de la Ley de la materia.</w:t>
      </w:r>
    </w:p>
    <w:p w14:paraId="2DD94DD2" w14:textId="77777777" w:rsidR="006045E6" w:rsidRPr="00BA57E8" w:rsidRDefault="006045E6">
      <w:pPr>
        <w:spacing w:after="0" w:line="360" w:lineRule="auto"/>
        <w:jc w:val="both"/>
        <w:rPr>
          <w:rFonts w:ascii="Palatino Linotype" w:eastAsia="Palatino Linotype" w:hAnsi="Palatino Linotype" w:cs="Palatino Linotype"/>
        </w:rPr>
      </w:pPr>
    </w:p>
    <w:p w14:paraId="048B3B79"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Numerales 2 y 3</w:t>
      </w:r>
    </w:p>
    <w:p w14:paraId="6C753DB0" w14:textId="77777777" w:rsidR="006045E6" w:rsidRPr="00BA57E8" w:rsidRDefault="006045E6">
      <w:pPr>
        <w:spacing w:after="0" w:line="360" w:lineRule="auto"/>
        <w:jc w:val="both"/>
        <w:rPr>
          <w:rFonts w:ascii="Palatino Linotype" w:eastAsia="Palatino Linotype" w:hAnsi="Palatino Linotype" w:cs="Palatino Linotype"/>
          <w:b/>
        </w:rPr>
      </w:pPr>
    </w:p>
    <w:p w14:paraId="22AC4E30" w14:textId="3BBFCD93" w:rsidR="006045E6" w:rsidRPr="00BA57E8" w:rsidRDefault="00AC794E" w:rsidP="00A65AEB">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Al respecto, la Tesorería Municipal en respuesta como en informe justificado señalo que no se encontro documental alguna relacionada con los despachos MFONTOVA ASOC. S.A de Alma Merino y del Despacho Becerril y Asociados; sobre el tema, el Criterio SO/014/2017, emitido por el Instituto Nacional de Transparencia, Acceso a la Información Pública y Protección de Datos Personales en el Estado de México y Municipios, el cual </w:t>
      </w:r>
      <w:r w:rsidR="00A65AEB" w:rsidRPr="00BA57E8">
        <w:rPr>
          <w:rFonts w:ascii="Palatino Linotype" w:eastAsia="Palatino Linotype" w:hAnsi="Palatino Linotype" w:cs="Palatino Linotype"/>
        </w:rPr>
        <w:t>establece que</w:t>
      </w:r>
      <w:r w:rsidRPr="00BA57E8">
        <w:rPr>
          <w:rFonts w:ascii="Palatino Linotype" w:eastAsia="Palatino Linotype" w:hAnsi="Palatino Linotype" w:cs="Palatino Linotype"/>
        </w:rPr>
        <w:t xml:space="preserv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740592F" w14:textId="77777777" w:rsidR="006045E6" w:rsidRPr="00BA57E8" w:rsidRDefault="006045E6">
      <w:pPr>
        <w:spacing w:after="0" w:line="360" w:lineRule="auto"/>
        <w:jc w:val="both"/>
        <w:rPr>
          <w:rFonts w:ascii="Palatino Linotype" w:eastAsia="Palatino Linotype" w:hAnsi="Palatino Linotype" w:cs="Palatino Linotype"/>
        </w:rPr>
      </w:pPr>
    </w:p>
    <w:p w14:paraId="0AAA4070"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rPr>
        <w:lastRenderedPageBreak/>
        <w:t xml:space="preserve">Conforme a lo anterior, la </w:t>
      </w:r>
      <w:r w:rsidRPr="00BA57E8">
        <w:rPr>
          <w:rFonts w:ascii="Palatino Linotype" w:eastAsia="Palatino Linotype" w:hAnsi="Palatino Linotype" w:cs="Palatino Linotype"/>
          <w:b/>
        </w:rPr>
        <w:t>inexistencia</w:t>
      </w:r>
      <w:r w:rsidRPr="00BA57E8">
        <w:rPr>
          <w:rFonts w:ascii="Palatino Linotype" w:eastAsia="Palatino Linotype" w:hAnsi="Palatino Linotype" w:cs="Palatino Linotype"/>
        </w:rPr>
        <w:t xml:space="preserve"> presupone la competencia del sujeto obligado para conocer de la información, pero por alguna circunstancia, la documentación solicitada no obra en sus archivos; sin embargo, para poder acreditar dicha circunstancia, se considera que los Sujetos Obligados</w:t>
      </w:r>
      <w:r w:rsidRPr="00BA57E8">
        <w:rPr>
          <w:rFonts w:ascii="Palatino Linotype" w:eastAsia="Palatino Linotype" w:hAnsi="Palatino Linotype" w:cs="Palatino Linotype"/>
          <w:b/>
        </w:rPr>
        <w:t>, primero deben realizar una indagación en todos los archivos de las áreas con funciones para conocer de lo peticionado.</w:t>
      </w:r>
    </w:p>
    <w:p w14:paraId="4076AC6E" w14:textId="77777777" w:rsidR="006045E6" w:rsidRPr="00BA57E8" w:rsidRDefault="006045E6">
      <w:pPr>
        <w:spacing w:after="0" w:line="360" w:lineRule="auto"/>
        <w:jc w:val="both"/>
        <w:rPr>
          <w:rFonts w:ascii="Palatino Linotype" w:eastAsia="Palatino Linotype" w:hAnsi="Palatino Linotype" w:cs="Palatino Linotype"/>
          <w:b/>
        </w:rPr>
      </w:pPr>
    </w:p>
    <w:p w14:paraId="23C1C417"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rPr>
        <w:t xml:space="preserve">En ese sentido, según Jarquín, Soledad (2019), en el “Diccionario de Transparencia y Acceso a la Información Pública” (p. 68), la </w:t>
      </w:r>
      <w:r w:rsidRPr="00BA57E8">
        <w:rPr>
          <w:rFonts w:ascii="Palatino Linotype" w:eastAsia="Palatino Linotype" w:hAnsi="Palatino Linotype" w:cs="Palatino Linotype"/>
          <w:b/>
        </w:rPr>
        <w:t>búsqueda exhaustiva</w:t>
      </w:r>
      <w:r w:rsidRPr="00BA57E8">
        <w:rPr>
          <w:rFonts w:ascii="Palatino Linotype" w:eastAsia="Palatino Linotype" w:hAnsi="Palatino Linotype" w:cs="Palatino Linotype"/>
        </w:rPr>
        <w:t xml:space="preserve"> es la obligación del área administrativa del Sujeto Obligado que cuenta o puede contar con la información requerida, la cual consiste en localizar toda aquella que atienda la solicitud, </w:t>
      </w:r>
      <w:r w:rsidRPr="00BA57E8">
        <w:rPr>
          <w:rFonts w:ascii="Palatino Linotype" w:eastAsia="Palatino Linotype" w:hAnsi="Palatino Linotype" w:cs="Palatino Linotype"/>
          <w:b/>
        </w:rPr>
        <w:t>hasta agotar por completo las posibilidades de indagación.</w:t>
      </w:r>
    </w:p>
    <w:p w14:paraId="5B8C6ECF" w14:textId="77777777" w:rsidR="006045E6" w:rsidRPr="00BA57E8" w:rsidRDefault="006045E6">
      <w:pPr>
        <w:spacing w:after="0" w:line="360" w:lineRule="auto"/>
        <w:jc w:val="both"/>
        <w:rPr>
          <w:rFonts w:ascii="Palatino Linotype" w:eastAsia="Palatino Linotype" w:hAnsi="Palatino Linotype" w:cs="Palatino Linotype"/>
          <w:b/>
        </w:rPr>
      </w:pPr>
    </w:p>
    <w:p w14:paraId="3583EDD7"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rPr>
        <w:t xml:space="preserve">Además, según Calero, Natalia (2016), en la “Ley General de Transparencia y Acceso a la Información Pública Comentada” (p. 408), para que exista una búsqueda exhaustiva y razonable, se debe hacer una </w:t>
      </w:r>
      <w:r w:rsidRPr="00BA57E8">
        <w:rPr>
          <w:rFonts w:ascii="Palatino Linotype" w:eastAsia="Palatino Linotype" w:hAnsi="Palatino Linotype" w:cs="Palatino Linotype"/>
          <w:b/>
        </w:rPr>
        <w:t>indagación consiente y minuciosa en sus archivos físicos y electrónicos.</w:t>
      </w:r>
    </w:p>
    <w:p w14:paraId="21482780" w14:textId="77777777" w:rsidR="006045E6" w:rsidRPr="00BA57E8" w:rsidRDefault="006045E6">
      <w:pPr>
        <w:spacing w:after="0" w:line="360" w:lineRule="auto"/>
        <w:jc w:val="both"/>
        <w:rPr>
          <w:rFonts w:ascii="Palatino Linotype" w:eastAsia="Palatino Linotype" w:hAnsi="Palatino Linotype" w:cs="Palatino Linotype"/>
          <w:b/>
        </w:rPr>
      </w:pPr>
    </w:p>
    <w:p w14:paraId="68201D88"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Conforme a lo anterior, para poder acreditar el carácter exhaustivo de la búsqueda realizada por los Sujetos Obligados, se deben motivar las razones por las que se buscó la información en determinadas áreas, </w:t>
      </w:r>
      <w:r w:rsidRPr="00BA57E8">
        <w:rPr>
          <w:rFonts w:ascii="Palatino Linotype" w:eastAsia="Palatino Linotype" w:hAnsi="Palatino Linotype" w:cs="Palatino Linotype"/>
          <w:b/>
        </w:rPr>
        <w:t>los criterios de búsqueda utilizados y demás circunstancias que fueron tomadas en cuenta.</w:t>
      </w:r>
    </w:p>
    <w:p w14:paraId="3319E7EA" w14:textId="77777777" w:rsidR="006045E6" w:rsidRPr="00BA57E8" w:rsidRDefault="006045E6">
      <w:pPr>
        <w:spacing w:after="0" w:line="360" w:lineRule="auto"/>
        <w:jc w:val="both"/>
        <w:rPr>
          <w:rFonts w:ascii="Palatino Linotype" w:eastAsia="Palatino Linotype" w:hAnsi="Palatino Linotype" w:cs="Palatino Linotype"/>
        </w:rPr>
      </w:pPr>
    </w:p>
    <w:p w14:paraId="03E2B901"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w:t>
      </w:r>
      <w:r w:rsidRPr="00BA57E8">
        <w:rPr>
          <w:rFonts w:ascii="Palatino Linotype" w:eastAsia="Palatino Linotype" w:hAnsi="Palatino Linotype" w:cs="Palatino Linotype"/>
        </w:rPr>
        <w:lastRenderedPageBreak/>
        <w:t>los elementos suficientes del carácter exhaustivo de la indagación realizada, a saber, los siguientes:</w:t>
      </w:r>
    </w:p>
    <w:p w14:paraId="2BE0094C" w14:textId="77777777" w:rsidR="006045E6" w:rsidRPr="00BA57E8" w:rsidRDefault="006045E6">
      <w:pPr>
        <w:spacing w:after="0" w:line="360" w:lineRule="auto"/>
        <w:jc w:val="both"/>
        <w:rPr>
          <w:rFonts w:ascii="Palatino Linotype" w:eastAsia="Palatino Linotype" w:hAnsi="Palatino Linotype" w:cs="Palatino Linotype"/>
        </w:rPr>
      </w:pPr>
    </w:p>
    <w:p w14:paraId="4CD16959" w14:textId="77777777" w:rsidR="006045E6" w:rsidRPr="00BA57E8" w:rsidRDefault="00AC794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Motivación por las que se buscó la información, en determinadas unidades administrativas;</w:t>
      </w:r>
    </w:p>
    <w:p w14:paraId="18C352C7" w14:textId="77777777" w:rsidR="006045E6" w:rsidRPr="00BA57E8" w:rsidRDefault="00AC794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 xml:space="preserve">Los criterios de búsqueda utilizados, y </w:t>
      </w:r>
    </w:p>
    <w:p w14:paraId="184B4ECC" w14:textId="77777777" w:rsidR="006045E6" w:rsidRPr="00BA57E8" w:rsidRDefault="00AC794E">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circunstancias que fueron tomadas en cuenta.</w:t>
      </w:r>
    </w:p>
    <w:p w14:paraId="1C1AABEC" w14:textId="77777777" w:rsidR="006045E6" w:rsidRPr="00BA57E8" w:rsidRDefault="006045E6">
      <w:pPr>
        <w:spacing w:after="0" w:line="360" w:lineRule="auto"/>
        <w:jc w:val="both"/>
        <w:rPr>
          <w:rFonts w:ascii="Palatino Linotype" w:eastAsia="Palatino Linotype" w:hAnsi="Palatino Linotype" w:cs="Palatino Linotype"/>
        </w:rPr>
      </w:pPr>
    </w:p>
    <w:p w14:paraId="46423EF9"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De tales circunstancias, se considera que para que los Sujetos Obligado justifiquen que realizaron una búsqueda exhaustiva y razonable, deben indicar de manera clara, lo siguiente:</w:t>
      </w:r>
    </w:p>
    <w:p w14:paraId="76769FCF" w14:textId="77777777" w:rsidR="006045E6" w:rsidRPr="00BA57E8" w:rsidRDefault="006045E6">
      <w:pPr>
        <w:spacing w:after="0" w:line="360" w:lineRule="auto"/>
        <w:jc w:val="both"/>
        <w:rPr>
          <w:rFonts w:ascii="Palatino Linotype" w:eastAsia="Palatino Linotype" w:hAnsi="Palatino Linotype" w:cs="Palatino Linotype"/>
        </w:rPr>
      </w:pPr>
    </w:p>
    <w:p w14:paraId="3FDDC1BC" w14:textId="77777777" w:rsidR="006045E6" w:rsidRPr="00BA57E8" w:rsidRDefault="00AC794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áreas donde se buscó la información;</w:t>
      </w:r>
    </w:p>
    <w:p w14:paraId="395E14C0" w14:textId="77777777" w:rsidR="006045E6" w:rsidRPr="00BA57E8" w:rsidRDefault="00AC794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Tipo de archivos buscados (físicos o electrónicos);</w:t>
      </w:r>
    </w:p>
    <w:p w14:paraId="694EE037" w14:textId="77777777" w:rsidR="006045E6" w:rsidRPr="00BA57E8" w:rsidRDefault="00AC794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Los criterios de búsqueda utilizados, y</w:t>
      </w:r>
    </w:p>
    <w:p w14:paraId="11FC8F5A" w14:textId="77777777" w:rsidR="006045E6" w:rsidRPr="00BA57E8" w:rsidRDefault="00AC794E">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circunstancias que fueron tomadas en cuenta.</w:t>
      </w:r>
    </w:p>
    <w:p w14:paraId="21141C5B" w14:textId="77777777" w:rsidR="006045E6" w:rsidRPr="00BA57E8" w:rsidRDefault="006045E6">
      <w:pPr>
        <w:spacing w:after="0" w:line="360" w:lineRule="auto"/>
        <w:jc w:val="both"/>
        <w:rPr>
          <w:rFonts w:ascii="Palatino Linotype" w:eastAsia="Palatino Linotype" w:hAnsi="Palatino Linotype" w:cs="Palatino Linotype"/>
        </w:rPr>
      </w:pPr>
    </w:p>
    <w:p w14:paraId="1B908C6D"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Así y en atención al análisis realizado en párrafos anteriores, se logra vislumbrar que el Sujeto Obligado no cumplió con el procedimiento de búsqueda, pues si bien turno el requerimiento al área competente para conocer de las facturas y polizas solicitadas, a saber de la Tesorería Municipal, lo cierto es que no señalo las áreas donde se busco, tipos de archivo y criterios utilizados para la búsqueda.</w:t>
      </w:r>
    </w:p>
    <w:p w14:paraId="13680260" w14:textId="77777777" w:rsidR="006045E6" w:rsidRPr="00BA57E8" w:rsidRDefault="006045E6">
      <w:pPr>
        <w:spacing w:after="0" w:line="360" w:lineRule="auto"/>
        <w:jc w:val="both"/>
        <w:rPr>
          <w:rFonts w:ascii="Palatino Linotype" w:eastAsia="Palatino Linotype" w:hAnsi="Palatino Linotype" w:cs="Palatino Linotype"/>
        </w:rPr>
      </w:pPr>
    </w:p>
    <w:p w14:paraId="182FC903"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Hecho que se robustece pues como se señalo en párrafos  que anteceden si se celebraron contratos para realizar asesorías externas con el despacho MFONTOVA ASOC. S.A durante dos mil veintidós y dos mil veintitrés, además de que no solo requiere facturas y polizas </w:t>
      </w:r>
      <w:r w:rsidRPr="00BA57E8">
        <w:rPr>
          <w:rFonts w:ascii="Palatino Linotype" w:eastAsia="Palatino Linotype" w:hAnsi="Palatino Linotype" w:cs="Palatino Linotype"/>
        </w:rPr>
        <w:lastRenderedPageBreak/>
        <w:t>derivadas de los contratos celebradas con los despachos MFONTOVA ASOC. S.A de Alma Merino y del Despacho Becerril y Asociados, si no con otros despachos.</w:t>
      </w:r>
    </w:p>
    <w:p w14:paraId="7C3F2B0A" w14:textId="77777777" w:rsidR="006045E6" w:rsidRPr="00BA57E8" w:rsidRDefault="006045E6">
      <w:pPr>
        <w:spacing w:after="0" w:line="360" w:lineRule="auto"/>
        <w:jc w:val="both"/>
        <w:rPr>
          <w:rFonts w:ascii="Palatino Linotype" w:eastAsia="Palatino Linotype" w:hAnsi="Palatino Linotype" w:cs="Palatino Linotype"/>
        </w:rPr>
      </w:pPr>
    </w:p>
    <w:p w14:paraId="1E630C41"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Por otra parte existen las partidas presupuestales 3310 Servicios legales, de contabilidad, auditoría y relacionados y el capítulo 3311 Asesorías asociados a convenios o acuerdos; por lo que, para atender el requerimiento el Sujeto Obligado deberá realizar r una búsqueda conforme a los parámetros analizados, en todas las áreas competentes, entre las cuales no podrá omitir a la Tesorería Municipal, efecto de que proporcione, las facturas pagadas y pólizas de pago o pólizas cheque relacionadas con los contratos celebrados con despachos de asesoría externa en el Ayuntamiento incluido el despacho MFONTOVA ASOC. S.A de Alma Merino y del Despacho Becerril y Asociados, del periodo que comprende del primero de enero de dos mil veintidós al veintiocho de abril de dos mil veinticinco.</w:t>
      </w:r>
    </w:p>
    <w:p w14:paraId="58D9E990" w14:textId="77777777" w:rsidR="006045E6" w:rsidRPr="00BA57E8" w:rsidRDefault="006045E6">
      <w:pPr>
        <w:spacing w:after="0" w:line="360" w:lineRule="auto"/>
        <w:jc w:val="both"/>
        <w:rPr>
          <w:rFonts w:ascii="Palatino Linotype" w:eastAsia="Palatino Linotype" w:hAnsi="Palatino Linotype" w:cs="Palatino Linotype"/>
        </w:rPr>
      </w:pPr>
    </w:p>
    <w:p w14:paraId="3AE20BE2"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CEEBD63" w14:textId="77777777" w:rsidR="006045E6" w:rsidRPr="00BA57E8" w:rsidRDefault="006045E6">
      <w:pPr>
        <w:spacing w:after="0" w:line="360" w:lineRule="auto"/>
        <w:jc w:val="both"/>
        <w:rPr>
          <w:rFonts w:ascii="Palatino Linotype" w:eastAsia="Palatino Linotype" w:hAnsi="Palatino Linotype" w:cs="Palatino Linotype"/>
        </w:rPr>
      </w:pPr>
    </w:p>
    <w:p w14:paraId="3DE4421A"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De esta manera, el derecho de acceso a la información pública se satisface en aquellos casos en que se entregue el soporte documental en el que conste la información solicitada, sin necesidad de elaborar documentos </w:t>
      </w:r>
      <w:r w:rsidRPr="00BA57E8">
        <w:rPr>
          <w:rFonts w:ascii="Palatino Linotype" w:eastAsia="Palatino Linotype" w:hAnsi="Palatino Linotype" w:cs="Palatino Linotype"/>
          <w:i/>
        </w:rPr>
        <w:t>ad hoc</w:t>
      </w:r>
      <w:r w:rsidRPr="00BA57E8">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w:t>
      </w:r>
    </w:p>
    <w:p w14:paraId="78C8AFB1" w14:textId="77777777" w:rsidR="006045E6" w:rsidRPr="00BA57E8" w:rsidRDefault="006045E6">
      <w:pPr>
        <w:spacing w:after="0" w:line="360" w:lineRule="auto"/>
        <w:jc w:val="both"/>
        <w:rPr>
          <w:rFonts w:ascii="Palatino Linotype" w:eastAsia="Palatino Linotype" w:hAnsi="Palatino Linotype" w:cs="Palatino Linotype"/>
        </w:rPr>
      </w:pPr>
    </w:p>
    <w:p w14:paraId="460907BF"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el Sujeto Obligado deberá proporcionar los documentos que den cuenta de lo solicitado. </w:t>
      </w:r>
    </w:p>
    <w:p w14:paraId="64F74827" w14:textId="77777777" w:rsidR="004C0BC2" w:rsidRPr="00BA57E8" w:rsidRDefault="004C0BC2">
      <w:pPr>
        <w:spacing w:after="0" w:line="360" w:lineRule="auto"/>
        <w:jc w:val="both"/>
        <w:rPr>
          <w:rFonts w:ascii="Palatino Linotype" w:eastAsia="Palatino Linotype" w:hAnsi="Palatino Linotype" w:cs="Palatino Linotype"/>
        </w:rPr>
      </w:pPr>
    </w:p>
    <w:p w14:paraId="58506DDB" w14:textId="1CF8BD61" w:rsidR="00110B62" w:rsidRPr="00BA57E8" w:rsidRDefault="004C0BC2" w:rsidP="004C0BC2">
      <w:pPr>
        <w:spacing w:after="0" w:line="360" w:lineRule="auto"/>
        <w:ind w:right="-91"/>
        <w:jc w:val="both"/>
        <w:rPr>
          <w:rFonts w:ascii="Palatino Linotype" w:eastAsia="Palatino Linotype" w:hAnsi="Palatino Linotype" w:cs="Palatino Linotype"/>
        </w:rPr>
      </w:pPr>
      <w:r w:rsidRPr="00BA57E8">
        <w:rPr>
          <w:rFonts w:ascii="Palatino Linotype" w:eastAsia="Palatino Linotype" w:hAnsi="Palatino Linotype" w:cs="Palatino Linotype"/>
        </w:rPr>
        <w:t>Para el caso, que durante algún periodo del dos mil veinticuatro o dos mil veinticinco, no hayan celebrado algún contrato con despachos de asesoría externa, deberá hacerlo del conocimiento de la parte Recurrente de manera clara y precisa, en términos del artículo 19, párrafo segundo, de la Ley de Transparencia y Acceso a la Información Pública del Estado de México y Municipios.</w:t>
      </w:r>
    </w:p>
    <w:p w14:paraId="2EE54FD5" w14:textId="77777777" w:rsidR="00146CF8" w:rsidRPr="00BA57E8" w:rsidRDefault="00146CF8" w:rsidP="004C0BC2">
      <w:pPr>
        <w:spacing w:after="0" w:line="360" w:lineRule="auto"/>
        <w:ind w:right="-91"/>
        <w:jc w:val="both"/>
        <w:rPr>
          <w:rFonts w:ascii="Palatino Linotype" w:eastAsia="Palatino Linotype" w:hAnsi="Palatino Linotype" w:cs="Palatino Linotype"/>
        </w:rPr>
      </w:pPr>
    </w:p>
    <w:p w14:paraId="637AFA55"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Finalmente no pasa desapercibido para este Instituto que los documentos que den cuenta de lo solicitado, pudieran contener datos o información clasificada; al respecto, conforme al</w:t>
      </w:r>
    </w:p>
    <w:p w14:paraId="7FE287CF"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artículo 3°, fracción XLV, relacionado con el 137, ambos de la Ley de Transparencia y Acceso a la Información Pública del Estado de México y Municipios, cuando un documento contenga información pública y reservada o confidencial, la Unidad de Transparencia para</w:t>
      </w:r>
    </w:p>
    <w:p w14:paraId="308116D9"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efectos de atender al requerimiento informativo, deberá elaborar una versión Pública en la que se testen las partes o secciones clasificadas, indicando su contenido de manera genérica y fundando y motivando su clasificación.</w:t>
      </w:r>
    </w:p>
    <w:p w14:paraId="6356460A" w14:textId="77777777" w:rsidR="006045E6" w:rsidRPr="00BA57E8" w:rsidRDefault="006045E6">
      <w:pPr>
        <w:spacing w:after="0" w:line="360" w:lineRule="auto"/>
        <w:jc w:val="both"/>
        <w:rPr>
          <w:rFonts w:ascii="Palatino Linotype" w:eastAsia="Palatino Linotype" w:hAnsi="Palatino Linotype" w:cs="Palatino Linotype"/>
        </w:rPr>
      </w:pPr>
    </w:p>
    <w:p w14:paraId="7FC9EB36"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05160F2" w14:textId="77777777" w:rsidR="006045E6" w:rsidRPr="00BA57E8" w:rsidRDefault="006045E6">
      <w:pPr>
        <w:spacing w:after="0" w:line="360" w:lineRule="auto"/>
        <w:jc w:val="both"/>
        <w:rPr>
          <w:rFonts w:ascii="Palatino Linotype" w:eastAsia="Palatino Linotype" w:hAnsi="Palatino Linotype" w:cs="Palatino Linotype"/>
        </w:rPr>
      </w:pPr>
    </w:p>
    <w:p w14:paraId="4D00CDCC"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SEXTO. Decisión</w:t>
      </w:r>
    </w:p>
    <w:p w14:paraId="32E3F98E" w14:textId="77777777" w:rsidR="006045E6" w:rsidRPr="00BA57E8" w:rsidRDefault="006045E6">
      <w:pPr>
        <w:spacing w:after="0" w:line="360" w:lineRule="auto"/>
        <w:jc w:val="both"/>
        <w:rPr>
          <w:rFonts w:ascii="Palatino Linotype" w:eastAsia="Palatino Linotype" w:hAnsi="Palatino Linotype" w:cs="Palatino Linotype"/>
        </w:rPr>
      </w:pPr>
    </w:p>
    <w:p w14:paraId="6EE99AC5" w14:textId="2CEFAF89"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 xml:space="preserve">De acuerdo con lo expuesto y, con fundamento en el artículo 186, fracción III, de la Ley de Transparencia y Acceso a la Información Pública del Estado de México y Municipios, este Instituto considera procedente </w:t>
      </w:r>
      <w:r w:rsidR="00110B62" w:rsidRPr="00BA57E8">
        <w:rPr>
          <w:rFonts w:ascii="Palatino Linotype" w:eastAsia="Palatino Linotype" w:hAnsi="Palatino Linotype" w:cs="Palatino Linotype"/>
          <w:b/>
        </w:rPr>
        <w:t>MODIFI</w:t>
      </w:r>
      <w:r w:rsidRPr="00BA57E8">
        <w:rPr>
          <w:rFonts w:ascii="Palatino Linotype" w:eastAsia="Palatino Linotype" w:hAnsi="Palatino Linotype" w:cs="Palatino Linotype"/>
          <w:b/>
        </w:rPr>
        <w:t xml:space="preserve">CAR </w:t>
      </w:r>
      <w:r w:rsidRPr="00BA57E8">
        <w:rPr>
          <w:rFonts w:ascii="Palatino Linotype" w:eastAsia="Palatino Linotype" w:hAnsi="Palatino Linotype" w:cs="Palatino Linotype"/>
        </w:rPr>
        <w:t>la respuesta del Ayuntamiento de Toluca</w:t>
      </w:r>
      <w:r w:rsidRPr="00BA57E8">
        <w:rPr>
          <w:rFonts w:ascii="Palatino Linotype" w:eastAsia="Palatino Linotype" w:hAnsi="Palatino Linotype" w:cs="Palatino Linotype"/>
          <w:b/>
        </w:rPr>
        <w:t xml:space="preserve">, </w:t>
      </w:r>
      <w:r w:rsidRPr="00BA57E8">
        <w:rPr>
          <w:rFonts w:ascii="Palatino Linotype" w:eastAsia="Palatino Linotype" w:hAnsi="Palatino Linotype" w:cs="Palatino Linotype"/>
        </w:rPr>
        <w:t>a efecto de que previa búsqueda exhaustiva y razonable entregue la información solicitada.</w:t>
      </w:r>
    </w:p>
    <w:p w14:paraId="12E35DC6" w14:textId="77777777" w:rsidR="006045E6" w:rsidRPr="00BA57E8" w:rsidRDefault="006045E6">
      <w:pPr>
        <w:spacing w:after="0" w:line="360" w:lineRule="auto"/>
        <w:jc w:val="both"/>
        <w:rPr>
          <w:rFonts w:ascii="Palatino Linotype" w:eastAsia="Palatino Linotype" w:hAnsi="Palatino Linotype" w:cs="Palatino Linotype"/>
        </w:rPr>
      </w:pPr>
    </w:p>
    <w:p w14:paraId="37911F1D" w14:textId="77777777" w:rsidR="006045E6" w:rsidRPr="00BA57E8"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b/>
        </w:rPr>
        <w:t>Términos de la Resolución para conocimiento del Particular</w:t>
      </w:r>
    </w:p>
    <w:p w14:paraId="55637F7D" w14:textId="77777777" w:rsidR="006045E6" w:rsidRPr="00BA57E8" w:rsidRDefault="006045E6">
      <w:pPr>
        <w:spacing w:after="0" w:line="360" w:lineRule="auto"/>
        <w:jc w:val="both"/>
        <w:rPr>
          <w:rFonts w:ascii="Palatino Linotype" w:eastAsia="Palatino Linotype" w:hAnsi="Palatino Linotype" w:cs="Palatino Linotype"/>
          <w:b/>
          <w:color w:val="FF0000"/>
        </w:rPr>
      </w:pPr>
    </w:p>
    <w:p w14:paraId="651EC416" w14:textId="77777777" w:rsidR="006045E6" w:rsidRPr="00BA57E8" w:rsidRDefault="00AC794E">
      <w:pPr>
        <w:spacing w:after="0" w:line="360" w:lineRule="auto"/>
        <w:jc w:val="both"/>
        <w:rPr>
          <w:rFonts w:ascii="Palatino Linotype" w:eastAsia="Palatino Linotype" w:hAnsi="Palatino Linotype" w:cs="Palatino Linotype"/>
          <w:color w:val="FF0000"/>
        </w:rPr>
      </w:pPr>
      <w:r w:rsidRPr="00BA57E8">
        <w:rPr>
          <w:rFonts w:ascii="Palatino Linotype" w:eastAsia="Palatino Linotype" w:hAnsi="Palatino Linotype" w:cs="Palatino Linotype"/>
        </w:rPr>
        <w:t>Se le hace del conocimiento a la persona Recurrente que, en el presente asunto, se le da la razón, pues el Sujeto Obligado no proporcionó la información solicitada por el Particular, por lo que, deberá entregar dicha información.</w:t>
      </w:r>
    </w:p>
    <w:p w14:paraId="68556C7C"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359254E3" w14:textId="022DF510"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49CF6740"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rPr>
        <w:t>Por lo expuesto y fundado, este Pleno:</w:t>
      </w:r>
    </w:p>
    <w:p w14:paraId="34B8D379"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31959EE7" w14:textId="77777777" w:rsidR="006045E6" w:rsidRPr="00BA57E8" w:rsidRDefault="00AC794E">
      <w:pPr>
        <w:keepNext/>
        <w:keepLines/>
        <w:spacing w:after="0" w:line="360" w:lineRule="auto"/>
        <w:jc w:val="center"/>
        <w:rPr>
          <w:rFonts w:ascii="Palatino Linotype" w:eastAsia="Palatino Linotype" w:hAnsi="Palatino Linotype" w:cs="Palatino Linotype"/>
          <w:b/>
        </w:rPr>
      </w:pPr>
      <w:bookmarkStart w:id="20" w:name="_heading=h.hpjj43mq70mg" w:colFirst="0" w:colLast="0"/>
      <w:bookmarkEnd w:id="20"/>
      <w:r w:rsidRPr="00BA57E8">
        <w:rPr>
          <w:rFonts w:ascii="Palatino Linotype" w:eastAsia="Palatino Linotype" w:hAnsi="Palatino Linotype" w:cs="Palatino Linotype"/>
          <w:b/>
        </w:rPr>
        <w:t>R E S U E L V E</w:t>
      </w:r>
    </w:p>
    <w:p w14:paraId="53FDC481" w14:textId="77777777" w:rsidR="006045E6" w:rsidRPr="00BA57E8" w:rsidRDefault="006045E6">
      <w:pPr>
        <w:spacing w:after="0" w:line="360" w:lineRule="auto"/>
        <w:jc w:val="both"/>
        <w:rPr>
          <w:rFonts w:ascii="Palatino Linotype" w:eastAsia="Palatino Linotype" w:hAnsi="Palatino Linotype" w:cs="Palatino Linotype"/>
          <w:b/>
        </w:rPr>
      </w:pPr>
    </w:p>
    <w:p w14:paraId="496878BB" w14:textId="3571B62D"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PRIMERO. </w:t>
      </w:r>
      <w:r w:rsidRPr="00BA57E8">
        <w:rPr>
          <w:rFonts w:ascii="Palatino Linotype" w:eastAsia="Palatino Linotype" w:hAnsi="Palatino Linotype" w:cs="Palatino Linotype"/>
        </w:rPr>
        <w:t xml:space="preserve">Se </w:t>
      </w:r>
      <w:r w:rsidR="00110B62" w:rsidRPr="00BA57E8">
        <w:rPr>
          <w:rFonts w:ascii="Palatino Linotype" w:eastAsia="Palatino Linotype" w:hAnsi="Palatino Linotype" w:cs="Palatino Linotype"/>
          <w:b/>
        </w:rPr>
        <w:t>MODIFI</w:t>
      </w:r>
      <w:r w:rsidRPr="00BA57E8">
        <w:rPr>
          <w:rFonts w:ascii="Palatino Linotype" w:eastAsia="Palatino Linotype" w:hAnsi="Palatino Linotype" w:cs="Palatino Linotype"/>
          <w:b/>
        </w:rPr>
        <w:t>CA la</w:t>
      </w:r>
      <w:r w:rsidRPr="00BA57E8">
        <w:rPr>
          <w:rFonts w:ascii="Palatino Linotype" w:eastAsia="Palatino Linotype" w:hAnsi="Palatino Linotype" w:cs="Palatino Linotype"/>
        </w:rPr>
        <w:t xml:space="preserve"> respuesta entregada por el Sujeto Obligado, a la solicitud de información 02528/TOLUCA/IP/2025, por resultar </w:t>
      </w:r>
      <w:r w:rsidRPr="00BA57E8">
        <w:rPr>
          <w:rFonts w:ascii="Palatino Linotype" w:eastAsia="Palatino Linotype" w:hAnsi="Palatino Linotype" w:cs="Palatino Linotype"/>
          <w:b/>
        </w:rPr>
        <w:t xml:space="preserve">FUNDADAS </w:t>
      </w:r>
      <w:r w:rsidRPr="00BA57E8">
        <w:rPr>
          <w:rFonts w:ascii="Palatino Linotype" w:eastAsia="Palatino Linotype" w:hAnsi="Palatino Linotype" w:cs="Palatino Linotype"/>
        </w:rPr>
        <w:t>las razones o motivos de inconformidad hechos valer por el Recurrente, en términos de los considerandos QUINTO y SEXTO de la presente Resolución.</w:t>
      </w:r>
    </w:p>
    <w:p w14:paraId="47EC7F0A"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56D28C0E" w14:textId="0F0E4885"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SEGUNDO. </w:t>
      </w:r>
      <w:r w:rsidRPr="00BA57E8">
        <w:rPr>
          <w:rFonts w:ascii="Palatino Linotype" w:eastAsia="Palatino Linotype" w:hAnsi="Palatino Linotype" w:cs="Palatino Linotype"/>
        </w:rPr>
        <w:t xml:space="preserve">Se </w:t>
      </w:r>
      <w:r w:rsidRPr="00BA57E8">
        <w:rPr>
          <w:rFonts w:ascii="Palatino Linotype" w:eastAsia="Palatino Linotype" w:hAnsi="Palatino Linotype" w:cs="Palatino Linotype"/>
          <w:b/>
        </w:rPr>
        <w:t>ORDENA</w:t>
      </w:r>
      <w:r w:rsidRPr="00BA57E8">
        <w:rPr>
          <w:rFonts w:ascii="Palatino Linotype" w:eastAsia="Palatino Linotype" w:hAnsi="Palatino Linotype" w:cs="Palatino Linotype"/>
        </w:rPr>
        <w:t xml:space="preserve"> al Ente Recurrido</w:t>
      </w:r>
      <w:r w:rsidRPr="00BA57E8">
        <w:rPr>
          <w:rFonts w:ascii="Palatino Linotype" w:eastAsia="Palatino Linotype" w:hAnsi="Palatino Linotype" w:cs="Palatino Linotype"/>
          <w:b/>
        </w:rPr>
        <w:t xml:space="preserve">, </w:t>
      </w:r>
      <w:r w:rsidRPr="00BA57E8">
        <w:rPr>
          <w:rFonts w:ascii="Palatino Linotype" w:eastAsia="Palatino Linotype" w:hAnsi="Palatino Linotype" w:cs="Palatino Linotype"/>
        </w:rPr>
        <w:t>a efecto de que previa búsqueda exhaustiva y razonable, en los archivos de las unidades administrativas competentes, entregue a través del Sistema de Acceso a la Información Mexiquense (SAIMEX),</w:t>
      </w:r>
      <w:r w:rsidRPr="00BA57E8">
        <w:t xml:space="preserve"> </w:t>
      </w:r>
      <w:r w:rsidRPr="00BA57E8">
        <w:rPr>
          <w:rFonts w:ascii="Palatino Linotype" w:eastAsia="Palatino Linotype" w:hAnsi="Palatino Linotype" w:cs="Palatino Linotype"/>
        </w:rPr>
        <w:t xml:space="preserve">en relación con los despachos de asesoría externa </w:t>
      </w:r>
      <w:r w:rsidR="00110B62" w:rsidRPr="00BA57E8">
        <w:rPr>
          <w:rFonts w:ascii="Palatino Linotype" w:eastAsia="Palatino Linotype" w:hAnsi="Palatino Linotype" w:cs="Palatino Linotype"/>
        </w:rPr>
        <w:t>contratados por el Ayuntamiento, del primero de enero de dos mil veintidós al veintiocho de abril de dos mil veinticinco,</w:t>
      </w:r>
      <w:r w:rsidRPr="00BA57E8">
        <w:rPr>
          <w:rFonts w:ascii="Palatino Linotype" w:eastAsia="Palatino Linotype" w:hAnsi="Palatino Linotype" w:cs="Palatino Linotype"/>
        </w:rPr>
        <w:t xml:space="preserve"> incluido el despacho MFONTOVA ASOC. S.A y del Despacho Becerril y Asociados, en su caso en versión pública, lo siguiente:</w:t>
      </w:r>
    </w:p>
    <w:p w14:paraId="6653E4BA" w14:textId="77777777" w:rsidR="006045E6" w:rsidRPr="00BA57E8" w:rsidRDefault="006045E6">
      <w:pPr>
        <w:spacing w:after="0" w:line="360" w:lineRule="auto"/>
        <w:jc w:val="both"/>
        <w:rPr>
          <w:rFonts w:ascii="Palatino Linotype" w:eastAsia="Palatino Linotype" w:hAnsi="Palatino Linotype" w:cs="Palatino Linotype"/>
        </w:rPr>
      </w:pPr>
    </w:p>
    <w:p w14:paraId="3B7AA623" w14:textId="5C752BD9" w:rsidR="006045E6" w:rsidRPr="00BA57E8" w:rsidRDefault="00AC794E">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Los contratos celebrados</w:t>
      </w:r>
      <w:r w:rsidR="004C0BC2" w:rsidRPr="00BA57E8">
        <w:rPr>
          <w:rFonts w:ascii="Palatino Linotype" w:eastAsia="Palatino Linotype" w:hAnsi="Palatino Linotype" w:cs="Palatino Linotype"/>
          <w:color w:val="000000"/>
        </w:rPr>
        <w:t xml:space="preserve"> (incluídos los referidos en respuesta)</w:t>
      </w:r>
      <w:r w:rsidR="00110B62" w:rsidRPr="00BA57E8">
        <w:rPr>
          <w:rFonts w:ascii="Palatino Linotype" w:eastAsia="Palatino Linotype" w:hAnsi="Palatino Linotype" w:cs="Palatino Linotype"/>
          <w:color w:val="000000"/>
        </w:rPr>
        <w:t>;</w:t>
      </w:r>
    </w:p>
    <w:p w14:paraId="6B445C23" w14:textId="3C02EC4E" w:rsidR="006045E6" w:rsidRPr="00BA57E8" w:rsidRDefault="00AC794E">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facturas pagadas</w:t>
      </w:r>
      <w:r w:rsidR="00110B62" w:rsidRPr="00BA57E8">
        <w:rPr>
          <w:rFonts w:ascii="Palatino Linotype" w:eastAsia="Palatino Linotype" w:hAnsi="Palatino Linotype" w:cs="Palatino Linotype"/>
          <w:color w:val="000000"/>
        </w:rPr>
        <w:t>, y</w:t>
      </w:r>
    </w:p>
    <w:p w14:paraId="388F993C" w14:textId="3F15F6D0" w:rsidR="006045E6" w:rsidRPr="00BA57E8" w:rsidRDefault="00AC794E">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BA57E8">
        <w:rPr>
          <w:rFonts w:ascii="Palatino Linotype" w:eastAsia="Palatino Linotype" w:hAnsi="Palatino Linotype" w:cs="Palatino Linotype"/>
          <w:color w:val="000000"/>
        </w:rPr>
        <w:t>Las pólizas de pago</w:t>
      </w:r>
      <w:r w:rsidR="00110B62" w:rsidRPr="00BA57E8">
        <w:rPr>
          <w:rFonts w:ascii="Palatino Linotype" w:eastAsia="Palatino Linotype" w:hAnsi="Palatino Linotype" w:cs="Palatino Linotype"/>
          <w:color w:val="000000"/>
        </w:rPr>
        <w:t xml:space="preserve">, incluídas las de </w:t>
      </w:r>
      <w:r w:rsidRPr="00BA57E8">
        <w:rPr>
          <w:rFonts w:ascii="Palatino Linotype" w:eastAsia="Palatino Linotype" w:hAnsi="Palatino Linotype" w:cs="Palatino Linotype"/>
          <w:color w:val="000000"/>
        </w:rPr>
        <w:t>cheque</w:t>
      </w:r>
    </w:p>
    <w:p w14:paraId="77F669A3" w14:textId="77777777" w:rsidR="006045E6" w:rsidRPr="00BA57E8" w:rsidRDefault="006045E6">
      <w:pPr>
        <w:spacing w:after="0" w:line="360" w:lineRule="auto"/>
        <w:jc w:val="both"/>
        <w:rPr>
          <w:rFonts w:ascii="Palatino Linotype" w:eastAsia="Palatino Linotype" w:hAnsi="Palatino Linotype" w:cs="Palatino Linotype"/>
          <w:color w:val="FF0000"/>
        </w:rPr>
      </w:pPr>
    </w:p>
    <w:p w14:paraId="63CC673C" w14:textId="2D3F4319" w:rsidR="004C0BC2" w:rsidRPr="00BA57E8" w:rsidRDefault="00AC794E">
      <w:pPr>
        <w:spacing w:after="0" w:line="360" w:lineRule="auto"/>
        <w:ind w:right="-91"/>
        <w:jc w:val="both"/>
        <w:rPr>
          <w:rFonts w:ascii="Palatino Linotype" w:eastAsia="Palatino Linotype" w:hAnsi="Palatino Linotype" w:cs="Palatino Linotype"/>
        </w:rPr>
      </w:pPr>
      <w:r w:rsidRPr="00BA57E8">
        <w:rPr>
          <w:rFonts w:ascii="Palatino Linotype" w:eastAsia="Palatino Linotype" w:hAnsi="Palatino Linotype" w:cs="Palatino Linotype"/>
        </w:rPr>
        <w:t>Además, deberá proporcionar el Acuerdo de Clasificación donde el Comité de Transparencia, confirme la eliminación de los datos o información, en la versión pública, de conformidad con los artículos 49, fracciones II y VIII, 132, fracción II y 143, fracción I, de la Ley de Transparencia y Acceso a la Información Pública del Estado de México y Municipios.</w:t>
      </w:r>
    </w:p>
    <w:p w14:paraId="1A9FF3D0" w14:textId="77777777" w:rsidR="004C0BC2" w:rsidRPr="00BA57E8" w:rsidRDefault="004C0BC2">
      <w:pPr>
        <w:spacing w:after="0" w:line="360" w:lineRule="auto"/>
        <w:ind w:right="-91"/>
        <w:jc w:val="both"/>
        <w:rPr>
          <w:rFonts w:ascii="Palatino Linotype" w:eastAsia="Palatino Linotype" w:hAnsi="Palatino Linotype" w:cs="Palatino Linotype"/>
        </w:rPr>
      </w:pPr>
    </w:p>
    <w:p w14:paraId="1D9F6DA5" w14:textId="11DBBA0E" w:rsidR="004C0BC2" w:rsidRPr="00BA57E8" w:rsidRDefault="004C0BC2">
      <w:pPr>
        <w:spacing w:after="0" w:line="360" w:lineRule="auto"/>
        <w:ind w:right="-91"/>
        <w:jc w:val="both"/>
        <w:rPr>
          <w:rFonts w:ascii="Palatino Linotype" w:eastAsia="Palatino Linotype" w:hAnsi="Palatino Linotype" w:cs="Palatino Linotype"/>
        </w:rPr>
      </w:pPr>
      <w:r w:rsidRPr="00BA57E8">
        <w:rPr>
          <w:rFonts w:ascii="Palatino Linotype" w:eastAsia="Palatino Linotype" w:hAnsi="Palatino Linotype" w:cs="Palatino Linotype"/>
        </w:rPr>
        <w:t>Para el caso, que durante algún periodo del dos mil veinticuatro o dos mil veinticinco, no hayan celebrado algún contrato con despachos de asesoría externa, deberá hacerlo del conocimiento de la parte Recurrente de manera clara y precisa.</w:t>
      </w:r>
    </w:p>
    <w:p w14:paraId="34E2B7A6" w14:textId="77777777" w:rsidR="004C0BC2" w:rsidRPr="00BA57E8" w:rsidRDefault="004C0BC2">
      <w:pPr>
        <w:spacing w:after="0" w:line="360" w:lineRule="auto"/>
        <w:ind w:right="-91"/>
        <w:jc w:val="both"/>
        <w:rPr>
          <w:rFonts w:ascii="Palatino Linotype" w:eastAsia="Palatino Linotype" w:hAnsi="Palatino Linotype" w:cs="Palatino Linotype"/>
        </w:rPr>
      </w:pPr>
    </w:p>
    <w:p w14:paraId="061F8513" w14:textId="03C69E1C" w:rsidR="006045E6" w:rsidRPr="00BA57E8" w:rsidRDefault="00AC794E">
      <w:pPr>
        <w:spacing w:after="0" w:line="360" w:lineRule="auto"/>
        <w:ind w:right="-28"/>
        <w:jc w:val="both"/>
        <w:rPr>
          <w:rFonts w:ascii="Palatino Linotype" w:eastAsia="Palatino Linotype" w:hAnsi="Palatino Linotype" w:cs="Palatino Linotype"/>
        </w:rPr>
      </w:pPr>
      <w:r w:rsidRPr="00BA57E8">
        <w:rPr>
          <w:rFonts w:ascii="Palatino Linotype" w:eastAsia="Palatino Linotype" w:hAnsi="Palatino Linotype" w:cs="Palatino Linotype"/>
          <w:b/>
        </w:rPr>
        <w:t xml:space="preserve">TERCERO. NOTIFÍQUESE POR SAIMEX </w:t>
      </w:r>
      <w:r w:rsidRPr="00BA57E8">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w:t>
      </w:r>
      <w:r w:rsidRPr="00BA57E8">
        <w:rPr>
          <w:rFonts w:ascii="Palatino Linotype" w:eastAsia="Palatino Linotype" w:hAnsi="Palatino Linotype" w:cs="Palatino Linotype"/>
        </w:rPr>
        <w:lastRenderedPageBreak/>
        <w:t>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0240E613" w14:textId="77777777" w:rsidR="006045E6" w:rsidRPr="00BA57E8" w:rsidRDefault="006045E6">
      <w:pPr>
        <w:spacing w:after="0" w:line="360" w:lineRule="auto"/>
        <w:jc w:val="both"/>
        <w:rPr>
          <w:rFonts w:ascii="Palatino Linotype" w:eastAsia="Palatino Linotype" w:hAnsi="Palatino Linotype" w:cs="Palatino Linotype"/>
        </w:rPr>
      </w:pPr>
    </w:p>
    <w:p w14:paraId="0EC714E9" w14:textId="77777777" w:rsidR="006045E6" w:rsidRPr="00BA57E8" w:rsidRDefault="00AC794E">
      <w:pPr>
        <w:spacing w:after="0" w:line="360" w:lineRule="auto"/>
        <w:jc w:val="both"/>
        <w:rPr>
          <w:rFonts w:ascii="Palatino Linotype" w:eastAsia="Palatino Linotype" w:hAnsi="Palatino Linotype" w:cs="Palatino Linotype"/>
        </w:rPr>
      </w:pPr>
      <w:r w:rsidRPr="00BA57E8">
        <w:rPr>
          <w:rFonts w:ascii="Palatino Linotype" w:eastAsia="Palatino Linotype" w:hAnsi="Palatino Linotype" w:cs="Palatino Linotype"/>
          <w:b/>
        </w:rPr>
        <w:t>CUARTO. NOTIFÍQUESE POR SAIMEX</w:t>
      </w:r>
      <w:r w:rsidRPr="00BA57E8">
        <w:rPr>
          <w:rFonts w:ascii="Palatino Linotype" w:eastAsia="Palatino Linotype" w:hAnsi="Palatino Linotype" w:cs="Palatino Linotype"/>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679F65B" w14:textId="77777777" w:rsidR="006045E6" w:rsidRPr="00BA57E8" w:rsidRDefault="006045E6">
      <w:pPr>
        <w:spacing w:after="0" w:line="360" w:lineRule="auto"/>
        <w:jc w:val="both"/>
        <w:rPr>
          <w:rFonts w:ascii="Palatino Linotype" w:eastAsia="Palatino Linotype" w:hAnsi="Palatino Linotype" w:cs="Palatino Linotype"/>
          <w:b/>
        </w:rPr>
      </w:pPr>
    </w:p>
    <w:p w14:paraId="0FECC506" w14:textId="2EBF1D0C" w:rsidR="006045E6" w:rsidRDefault="00AC794E">
      <w:pPr>
        <w:spacing w:after="0" w:line="360" w:lineRule="auto"/>
        <w:jc w:val="both"/>
        <w:rPr>
          <w:rFonts w:ascii="Palatino Linotype" w:eastAsia="Palatino Linotype" w:hAnsi="Palatino Linotype" w:cs="Palatino Linotype"/>
          <w:b/>
        </w:rPr>
      </w:pPr>
      <w:r w:rsidRPr="00BA57E8">
        <w:rPr>
          <w:rFonts w:ascii="Palatino Linotype" w:eastAsia="Palatino Linotype" w:hAnsi="Palatino Linotype" w:cs="Palatino Linotype"/>
        </w:rPr>
        <w:t>ASÍ LO RESUELVE, POR </w:t>
      </w:r>
      <w:r w:rsidRPr="00BA57E8">
        <w:rPr>
          <w:rFonts w:ascii="Palatino Linotype" w:eastAsia="Palatino Linotype" w:hAnsi="Palatino Linotype" w:cs="Palatino Linotype"/>
          <w:b/>
        </w:rPr>
        <w:t>UNANIMIDAD</w:t>
      </w:r>
      <w:r w:rsidRPr="00BA57E8">
        <w:rPr>
          <w:rFonts w:ascii="Palatino Linotype" w:eastAsia="Palatino Linotype" w:hAnsi="Palatino Linotype" w:cs="Palatino Linotype"/>
        </w:rPr>
        <w:t> DE VOTOS EL PLENO DEL INSTITUTO DE TRANSPARENCIA, ACCESO A LA INFORMACIÓN PÚBLICA Y PROTECCIÓN DE DATOS PERSONALES DEL ESTADO DE MÉXICO Y MUNICIPIOS, CONFORMADO POR LOS COMISIONADOS JOSÉ MARTÍNEZ VILCHIS, MARÍA DEL ROSARIO MEJÍA AYALA</w:t>
      </w:r>
      <w:r w:rsidR="00146CF8" w:rsidRPr="00BA57E8">
        <w:rPr>
          <w:rFonts w:ascii="Palatino Linotype" w:eastAsia="Palatino Linotype" w:hAnsi="Palatino Linotype" w:cs="Palatino Linotype"/>
        </w:rPr>
        <w:t xml:space="preserve"> (AUSENCIA JUSTIFICADA),</w:t>
      </w:r>
      <w:r w:rsidRPr="00BA57E8">
        <w:rPr>
          <w:rFonts w:ascii="Palatino Linotype" w:eastAsia="Palatino Linotype" w:hAnsi="Palatino Linotype" w:cs="Palatino Linotype"/>
        </w:rPr>
        <w:t xml:space="preserve"> SHARON CRISTINA MORALES MARTÍNEZ, LUIS GUSTAVO PARRA NORIEGA Y GUADALUPE RAMÍREZ PEÑA, EN LA TRIGÉSIMA PRIMERA SESIÓN ORDINARIA, CELEBRADA EL  TRES DE SEPTIEMBRE DE DOS MIL VEINTICINCO, ANTE EL SECRETARIO TÉCNICO DEL PLENO, ALEXIS TAPIA RAMÍREZ.</w:t>
      </w:r>
    </w:p>
    <w:p w14:paraId="094F20FE" w14:textId="77777777" w:rsidR="006045E6" w:rsidRDefault="006045E6">
      <w:pPr>
        <w:spacing w:after="0" w:line="360" w:lineRule="auto"/>
        <w:ind w:right="-28"/>
        <w:jc w:val="both"/>
        <w:rPr>
          <w:rFonts w:ascii="Palatino Linotype" w:eastAsia="Palatino Linotype" w:hAnsi="Palatino Linotype" w:cs="Palatino Linotype"/>
          <w:color w:val="FF0000"/>
        </w:rPr>
      </w:pPr>
    </w:p>
    <w:p w14:paraId="3BB17163" w14:textId="77777777" w:rsidR="006045E6" w:rsidRDefault="006045E6">
      <w:pPr>
        <w:spacing w:after="0" w:line="360" w:lineRule="auto"/>
        <w:jc w:val="both"/>
        <w:rPr>
          <w:rFonts w:ascii="Palatino Linotype" w:eastAsia="Palatino Linotype" w:hAnsi="Palatino Linotype" w:cs="Palatino Linotype"/>
          <w:b/>
          <w:color w:val="FF0000"/>
        </w:rPr>
      </w:pPr>
    </w:p>
    <w:p w14:paraId="2157B6E3" w14:textId="77777777" w:rsidR="006045E6" w:rsidRDefault="006045E6">
      <w:pPr>
        <w:spacing w:after="0" w:line="360" w:lineRule="auto"/>
        <w:jc w:val="both"/>
        <w:rPr>
          <w:rFonts w:ascii="Palatino Linotype" w:eastAsia="Palatino Linotype" w:hAnsi="Palatino Linotype" w:cs="Palatino Linotype"/>
          <w:b/>
          <w:color w:val="FF0000"/>
        </w:rPr>
      </w:pPr>
    </w:p>
    <w:p w14:paraId="3D0FE6BA" w14:textId="77777777" w:rsidR="006045E6" w:rsidRDefault="006045E6">
      <w:pPr>
        <w:spacing w:after="0" w:line="360" w:lineRule="auto"/>
        <w:jc w:val="both"/>
        <w:rPr>
          <w:rFonts w:ascii="Palatino Linotype" w:eastAsia="Palatino Linotype" w:hAnsi="Palatino Linotype" w:cs="Palatino Linotype"/>
          <w:color w:val="FF0000"/>
        </w:rPr>
      </w:pPr>
    </w:p>
    <w:p w14:paraId="26133341" w14:textId="77777777" w:rsidR="006045E6" w:rsidRDefault="006045E6">
      <w:pPr>
        <w:spacing w:after="0" w:line="360" w:lineRule="auto"/>
        <w:jc w:val="both"/>
        <w:rPr>
          <w:rFonts w:ascii="Palatino Linotype" w:eastAsia="Palatino Linotype" w:hAnsi="Palatino Linotype" w:cs="Palatino Linotype"/>
          <w:color w:val="FF0000"/>
        </w:rPr>
      </w:pPr>
    </w:p>
    <w:p w14:paraId="49A21B9B" w14:textId="77777777" w:rsidR="006045E6" w:rsidRDefault="006045E6">
      <w:pPr>
        <w:spacing w:after="0" w:line="360" w:lineRule="auto"/>
        <w:jc w:val="both"/>
        <w:rPr>
          <w:rFonts w:ascii="Palatino Linotype" w:eastAsia="Palatino Linotype" w:hAnsi="Palatino Linotype" w:cs="Palatino Linotype"/>
          <w:color w:val="FF0000"/>
        </w:rPr>
      </w:pPr>
    </w:p>
    <w:p w14:paraId="6B09DEB9" w14:textId="77777777" w:rsidR="006045E6" w:rsidRDefault="006045E6">
      <w:pPr>
        <w:spacing w:after="0" w:line="360" w:lineRule="auto"/>
        <w:jc w:val="both"/>
        <w:rPr>
          <w:rFonts w:ascii="Palatino Linotype" w:eastAsia="Palatino Linotype" w:hAnsi="Palatino Linotype" w:cs="Palatino Linotype"/>
          <w:color w:val="FF0000"/>
        </w:rPr>
      </w:pPr>
    </w:p>
    <w:p w14:paraId="74B2621B" w14:textId="77777777" w:rsidR="006045E6" w:rsidRDefault="006045E6">
      <w:pPr>
        <w:spacing w:after="0" w:line="360" w:lineRule="auto"/>
        <w:jc w:val="both"/>
        <w:rPr>
          <w:rFonts w:ascii="Palatino Linotype" w:eastAsia="Palatino Linotype" w:hAnsi="Palatino Linotype" w:cs="Palatino Linotype"/>
          <w:color w:val="FF0000"/>
        </w:rPr>
      </w:pPr>
    </w:p>
    <w:p w14:paraId="7A6A8C3B" w14:textId="77777777" w:rsidR="006045E6" w:rsidRDefault="006045E6">
      <w:pPr>
        <w:spacing w:after="0" w:line="360" w:lineRule="auto"/>
        <w:rPr>
          <w:color w:val="FF0000"/>
        </w:rPr>
      </w:pPr>
    </w:p>
    <w:p w14:paraId="6492BF53" w14:textId="77777777" w:rsidR="006045E6" w:rsidRDefault="006045E6">
      <w:pPr>
        <w:spacing w:after="0" w:line="360" w:lineRule="auto"/>
        <w:rPr>
          <w:color w:val="FF0000"/>
        </w:rPr>
      </w:pPr>
    </w:p>
    <w:p w14:paraId="6CC2B1C9" w14:textId="77777777" w:rsidR="006045E6" w:rsidRDefault="006045E6">
      <w:pPr>
        <w:spacing w:after="0" w:line="360" w:lineRule="auto"/>
        <w:rPr>
          <w:color w:val="FF0000"/>
        </w:rPr>
      </w:pPr>
    </w:p>
    <w:p w14:paraId="042B55AC" w14:textId="77777777" w:rsidR="006045E6" w:rsidRDefault="006045E6">
      <w:pPr>
        <w:spacing w:after="0" w:line="360" w:lineRule="auto"/>
        <w:rPr>
          <w:color w:val="FF0000"/>
        </w:rPr>
      </w:pPr>
    </w:p>
    <w:p w14:paraId="0D825F76" w14:textId="77777777" w:rsidR="006045E6" w:rsidRDefault="006045E6">
      <w:pPr>
        <w:spacing w:after="0" w:line="360" w:lineRule="auto"/>
        <w:rPr>
          <w:color w:val="FF0000"/>
        </w:rPr>
      </w:pPr>
    </w:p>
    <w:p w14:paraId="5D94D947" w14:textId="77777777" w:rsidR="006045E6" w:rsidRDefault="006045E6">
      <w:pPr>
        <w:spacing w:after="0" w:line="360" w:lineRule="auto"/>
        <w:rPr>
          <w:color w:val="FF0000"/>
        </w:rPr>
      </w:pPr>
    </w:p>
    <w:p w14:paraId="32606777" w14:textId="77777777" w:rsidR="006045E6" w:rsidRDefault="006045E6">
      <w:pPr>
        <w:spacing w:after="0" w:line="360" w:lineRule="auto"/>
        <w:rPr>
          <w:color w:val="FF0000"/>
        </w:rPr>
      </w:pPr>
    </w:p>
    <w:p w14:paraId="376DFE92" w14:textId="77777777" w:rsidR="006045E6" w:rsidRDefault="006045E6">
      <w:pPr>
        <w:spacing w:after="0" w:line="360" w:lineRule="auto"/>
        <w:rPr>
          <w:color w:val="FF0000"/>
        </w:rPr>
      </w:pPr>
    </w:p>
    <w:p w14:paraId="11CC05AD" w14:textId="77777777" w:rsidR="006045E6" w:rsidRDefault="006045E6">
      <w:pPr>
        <w:spacing w:after="0" w:line="360" w:lineRule="auto"/>
        <w:rPr>
          <w:color w:val="FF0000"/>
        </w:rPr>
      </w:pPr>
    </w:p>
    <w:p w14:paraId="5B028122" w14:textId="77777777" w:rsidR="006045E6" w:rsidRDefault="006045E6">
      <w:pPr>
        <w:spacing w:after="0" w:line="360" w:lineRule="auto"/>
        <w:rPr>
          <w:color w:val="FF0000"/>
        </w:rPr>
      </w:pPr>
    </w:p>
    <w:p w14:paraId="0A20D38A" w14:textId="77777777" w:rsidR="006045E6" w:rsidRDefault="006045E6">
      <w:pPr>
        <w:spacing w:after="0" w:line="360" w:lineRule="auto"/>
        <w:rPr>
          <w:color w:val="FF0000"/>
        </w:rPr>
      </w:pPr>
    </w:p>
    <w:p w14:paraId="286014F9" w14:textId="77777777" w:rsidR="006045E6" w:rsidRDefault="006045E6">
      <w:pPr>
        <w:spacing w:after="0" w:line="360" w:lineRule="auto"/>
        <w:rPr>
          <w:color w:val="FF0000"/>
        </w:rPr>
      </w:pPr>
    </w:p>
    <w:p w14:paraId="09116502" w14:textId="77777777" w:rsidR="006045E6" w:rsidRDefault="006045E6">
      <w:pPr>
        <w:spacing w:after="0" w:line="360" w:lineRule="auto"/>
        <w:rPr>
          <w:color w:val="FF0000"/>
        </w:rPr>
      </w:pPr>
    </w:p>
    <w:p w14:paraId="7B5CBB50" w14:textId="77777777" w:rsidR="006045E6" w:rsidRDefault="006045E6">
      <w:pPr>
        <w:spacing w:after="0" w:line="360" w:lineRule="auto"/>
        <w:rPr>
          <w:color w:val="FF0000"/>
        </w:rPr>
      </w:pPr>
    </w:p>
    <w:sectPr w:rsidR="006045E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DDDB8" w14:textId="77777777" w:rsidR="0083416A" w:rsidRDefault="0083416A">
      <w:pPr>
        <w:spacing w:after="0" w:line="240" w:lineRule="auto"/>
      </w:pPr>
      <w:r>
        <w:separator/>
      </w:r>
    </w:p>
  </w:endnote>
  <w:endnote w:type="continuationSeparator" w:id="0">
    <w:p w14:paraId="557014AB" w14:textId="77777777" w:rsidR="0083416A" w:rsidRDefault="0083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0147CE-A56C-4EBB-8E8B-85D4078D5A7D}"/>
    <w:embedBold r:id="rId2" w:fontKey="{84D7BFE9-602B-4DB0-AA4B-7F07F36FA8B9}"/>
  </w:font>
  <w:font w:name="Palatino Linotype">
    <w:panose1 w:val="02040502050505030304"/>
    <w:charset w:val="00"/>
    <w:family w:val="roman"/>
    <w:pitch w:val="variable"/>
    <w:sig w:usb0="E0000287" w:usb1="40000013" w:usb2="00000000" w:usb3="00000000" w:csb0="0000019F" w:csb1="00000000"/>
    <w:embedRegular r:id="rId3" w:fontKey="{6CFC0F61-3BE2-4C14-BE22-5084862A4BC0}"/>
    <w:embedBold r:id="rId4" w:fontKey="{0ECBF04E-37F8-4494-A941-11E0E5ACE17F}"/>
    <w:embedItalic r:id="rId5" w:fontKey="{F6379F69-DDA1-47D9-9BF9-D476F3D11FCE}"/>
    <w:embedBoldItalic r:id="rId6" w:fontKey="{088069E1-C705-490C-8076-E3C439ECC64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4A42EB22-62E9-4DAF-A921-F2555EC56646}"/>
  </w:font>
  <w:font w:name="Georgia">
    <w:panose1 w:val="02040502050405020303"/>
    <w:charset w:val="00"/>
    <w:family w:val="roman"/>
    <w:pitch w:val="variable"/>
    <w:sig w:usb0="00000287" w:usb1="00000000" w:usb2="00000000" w:usb3="00000000" w:csb0="0000009F" w:csb1="00000000"/>
    <w:embedRegular r:id="rId8" w:fontKey="{4129901F-0433-4D00-8B9A-69AA766FC898}"/>
    <w:embedItalic r:id="rId9" w:fontKey="{6D1738DE-CF36-49B9-87BB-915A1C8F0FE8}"/>
  </w:font>
  <w:font w:name="Garamond">
    <w:panose1 w:val="02020404030301010803"/>
    <w:charset w:val="00"/>
    <w:family w:val="roman"/>
    <w:pitch w:val="variable"/>
    <w:sig w:usb0="00000287" w:usb1="00000000" w:usb2="00000000" w:usb3="00000000" w:csb0="0000009F" w:csb1="00000000"/>
    <w:embedRegular r:id="rId10" w:fontKey="{A084DC07-0C66-4FFE-BC20-03D0107F06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E1637" w14:textId="77777777" w:rsidR="006045E6" w:rsidRDefault="00AC794E">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sidR="00A66DA0">
      <w:rPr>
        <w:rFonts w:ascii="Palatino Linotype" w:eastAsia="Palatino Linotype" w:hAnsi="Palatino Linotype" w:cs="Palatino Linotype"/>
        <w:b/>
        <w:color w:val="000000"/>
      </w:rPr>
      <w:fldChar w:fldCharType="separate"/>
    </w:r>
    <w:r w:rsidR="00A66DA0">
      <w:rPr>
        <w:rFonts w:ascii="Palatino Linotype" w:eastAsia="Palatino Linotype" w:hAnsi="Palatino Linotype" w:cs="Palatino Linotype"/>
        <w:b/>
        <w:noProof/>
        <w:color w:val="000000"/>
      </w:rPr>
      <w:t>28</w:t>
    </w:r>
    <w:r>
      <w:rPr>
        <w:rFonts w:ascii="Palatino Linotype" w:eastAsia="Palatino Linotype" w:hAnsi="Palatino Linotype" w:cs="Palatino Linotype"/>
        <w:b/>
        <w:color w:val="000000"/>
      </w:rPr>
      <w:fldChar w:fldCharType="end"/>
    </w:r>
  </w:p>
  <w:p w14:paraId="7F970DA7" w14:textId="77777777" w:rsidR="006045E6" w:rsidRDefault="006045E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61AF8" w14:textId="72D348FD" w:rsidR="006045E6" w:rsidRDefault="00AC794E">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A66DA0">
      <w:rPr>
        <w:rFonts w:ascii="Palatino Linotype" w:eastAsia="Palatino Linotype" w:hAnsi="Palatino Linotype" w:cs="Palatino Linotype"/>
        <w:b/>
        <w:noProof/>
        <w:color w:val="000000"/>
      </w:rPr>
      <w:t>27</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A66DA0">
      <w:rPr>
        <w:rFonts w:ascii="Palatino Linotype" w:eastAsia="Palatino Linotype" w:hAnsi="Palatino Linotype" w:cs="Palatino Linotype"/>
        <w:b/>
        <w:noProof/>
        <w:color w:val="000000"/>
      </w:rPr>
      <w:t>28</w:t>
    </w:r>
    <w:r>
      <w:rPr>
        <w:rFonts w:ascii="Palatino Linotype" w:eastAsia="Palatino Linotype" w:hAnsi="Palatino Linotype" w:cs="Palatino Linotype"/>
        <w:b/>
        <w:color w:val="000000"/>
      </w:rPr>
      <w:fldChar w:fldCharType="end"/>
    </w:r>
  </w:p>
  <w:p w14:paraId="08358F0A" w14:textId="77777777" w:rsidR="006045E6" w:rsidRDefault="006045E6">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00CF1" w14:textId="77777777" w:rsidR="006045E6" w:rsidRDefault="00AC794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A66DA0">
      <w:rPr>
        <w:rFonts w:ascii="Palatino Linotype" w:eastAsia="Palatino Linotype" w:hAnsi="Palatino Linotype" w:cs="Palatino Linotype"/>
        <w:b/>
        <w:noProof/>
        <w:color w:val="000000"/>
      </w:rPr>
      <w:t>1</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A66DA0">
      <w:rPr>
        <w:rFonts w:ascii="Palatino Linotype" w:eastAsia="Palatino Linotype" w:hAnsi="Palatino Linotype" w:cs="Palatino Linotype"/>
        <w:b/>
        <w:noProof/>
        <w:color w:val="000000"/>
      </w:rPr>
      <w:t>28</w:t>
    </w:r>
    <w:r>
      <w:rPr>
        <w:rFonts w:ascii="Palatino Linotype" w:eastAsia="Palatino Linotype" w:hAnsi="Palatino Linotype" w:cs="Palatino Linotype"/>
        <w:b/>
        <w:color w:val="000000"/>
      </w:rPr>
      <w:fldChar w:fldCharType="end"/>
    </w:r>
  </w:p>
  <w:p w14:paraId="19AD5E8F" w14:textId="77777777" w:rsidR="006045E6" w:rsidRDefault="006045E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503AC" w14:textId="77777777" w:rsidR="0083416A" w:rsidRDefault="0083416A">
      <w:pPr>
        <w:spacing w:after="0" w:line="240" w:lineRule="auto"/>
      </w:pPr>
      <w:r>
        <w:separator/>
      </w:r>
    </w:p>
  </w:footnote>
  <w:footnote w:type="continuationSeparator" w:id="0">
    <w:p w14:paraId="53186F1D" w14:textId="77777777" w:rsidR="0083416A" w:rsidRDefault="008341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8513D" w14:textId="77777777" w:rsidR="006045E6" w:rsidRDefault="006045E6">
    <w:pPr>
      <w:widowControl w:val="0"/>
      <w:pBdr>
        <w:top w:val="nil"/>
        <w:left w:val="nil"/>
        <w:bottom w:val="nil"/>
        <w:right w:val="nil"/>
        <w:between w:val="nil"/>
      </w:pBdr>
      <w:spacing w:line="276" w:lineRule="auto"/>
      <w:rPr>
        <w:color w:val="000000"/>
      </w:rPr>
    </w:pPr>
  </w:p>
  <w:tbl>
    <w:tblPr>
      <w:tblStyle w:val="a"/>
      <w:tblW w:w="9705" w:type="dxa"/>
      <w:tblInd w:w="-115" w:type="dxa"/>
      <w:tblLayout w:type="fixed"/>
      <w:tblLook w:val="0400" w:firstRow="0" w:lastRow="0" w:firstColumn="0" w:lastColumn="0" w:noHBand="0" w:noVBand="1"/>
    </w:tblPr>
    <w:tblGrid>
      <w:gridCol w:w="2972"/>
      <w:gridCol w:w="6733"/>
    </w:tblGrid>
    <w:tr w:rsidR="006045E6" w14:paraId="16EE6D9B" w14:textId="77777777">
      <w:trPr>
        <w:trHeight w:val="1435"/>
      </w:trPr>
      <w:tc>
        <w:tcPr>
          <w:tcW w:w="2972" w:type="dxa"/>
        </w:tcPr>
        <w:p w14:paraId="7AC166BA" w14:textId="77777777" w:rsidR="006045E6" w:rsidRDefault="006045E6">
          <w:pPr>
            <w:tabs>
              <w:tab w:val="right" w:pos="4273"/>
            </w:tabs>
            <w:spacing w:line="256" w:lineRule="auto"/>
            <w:rPr>
              <w:rFonts w:ascii="Garamond" w:eastAsia="Garamond" w:hAnsi="Garamond" w:cs="Garamond"/>
            </w:rPr>
          </w:pPr>
        </w:p>
      </w:tc>
      <w:tc>
        <w:tcPr>
          <w:tcW w:w="6733" w:type="dxa"/>
        </w:tcPr>
        <w:p w14:paraId="688ED80B" w14:textId="77777777" w:rsidR="006045E6" w:rsidRDefault="006045E6">
          <w:pPr>
            <w:widowControl w:val="0"/>
            <w:pBdr>
              <w:top w:val="nil"/>
              <w:left w:val="nil"/>
              <w:bottom w:val="nil"/>
              <w:right w:val="nil"/>
              <w:between w:val="nil"/>
            </w:pBdr>
            <w:spacing w:line="276" w:lineRule="auto"/>
            <w:rPr>
              <w:rFonts w:ascii="Garamond" w:eastAsia="Garamond" w:hAnsi="Garamond" w:cs="Garamond"/>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103"/>
            <w:gridCol w:w="3432"/>
          </w:tblGrid>
          <w:tr w:rsidR="006045E6" w14:paraId="7EC01F8D" w14:textId="77777777">
            <w:trPr>
              <w:trHeight w:val="144"/>
            </w:trPr>
            <w:tc>
              <w:tcPr>
                <w:tcW w:w="0" w:type="auto"/>
              </w:tcPr>
              <w:p w14:paraId="4B02FC2E" w14:textId="77777777" w:rsidR="006045E6" w:rsidRDefault="00AC794E">
                <w:pPr>
                  <w:tabs>
                    <w:tab w:val="right" w:pos="8838"/>
                  </w:tabs>
                  <w:ind w:left="-69"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0" w:type="auto"/>
              </w:tcPr>
              <w:p w14:paraId="4C9156EA" w14:textId="77777777" w:rsidR="006045E6" w:rsidRDefault="00AC794E">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02946/INFOEM/IP/RR/2021</w:t>
                </w:r>
              </w:p>
            </w:tc>
          </w:tr>
          <w:tr w:rsidR="006045E6" w14:paraId="2DC17670" w14:textId="77777777">
            <w:trPr>
              <w:trHeight w:val="283"/>
            </w:trPr>
            <w:tc>
              <w:tcPr>
                <w:tcW w:w="0" w:type="auto"/>
              </w:tcPr>
              <w:p w14:paraId="2B876E8B" w14:textId="77777777" w:rsidR="006045E6" w:rsidRDefault="00AC794E">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0" w:type="auto"/>
              </w:tcPr>
              <w:p w14:paraId="05A889F7" w14:textId="77777777" w:rsidR="006045E6" w:rsidRDefault="00AC794E">
                <w:pPr>
                  <w:tabs>
                    <w:tab w:val="left" w:pos="2834"/>
                    <w:tab w:val="right" w:pos="8838"/>
                  </w:tabs>
                  <w:ind w:left="-74" w:right="-105"/>
                  <w:jc w:val="both"/>
                  <w:rPr>
                    <w:rFonts w:ascii="Palatino Linotype" w:eastAsia="Palatino Linotype" w:hAnsi="Palatino Linotype" w:cs="Palatino Linotype"/>
                    <w:b/>
                  </w:rPr>
                </w:pPr>
                <w:r>
                  <w:rPr>
                    <w:rFonts w:ascii="Palatino Linotype" w:eastAsia="Palatino Linotype" w:hAnsi="Palatino Linotype" w:cs="Palatino Linotype"/>
                  </w:rPr>
                  <w:t>Ayuntamiento de San Antonio la Isla</w:t>
                </w:r>
              </w:p>
            </w:tc>
          </w:tr>
          <w:tr w:rsidR="006045E6" w14:paraId="6F03418D" w14:textId="77777777">
            <w:trPr>
              <w:trHeight w:val="283"/>
            </w:trPr>
            <w:tc>
              <w:tcPr>
                <w:tcW w:w="0" w:type="auto"/>
              </w:tcPr>
              <w:p w14:paraId="71E978E2" w14:textId="77777777" w:rsidR="006045E6" w:rsidRDefault="00AC794E">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0" w:type="auto"/>
              </w:tcPr>
              <w:p w14:paraId="24CF59E8" w14:textId="77777777" w:rsidR="006045E6" w:rsidRDefault="00AC794E">
                <w:pPr>
                  <w:tabs>
                    <w:tab w:val="right" w:pos="8838"/>
                  </w:tabs>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p w14:paraId="41B8F106" w14:textId="77777777" w:rsidR="006045E6" w:rsidRDefault="006045E6">
                <w:pPr>
                  <w:tabs>
                    <w:tab w:val="right" w:pos="8838"/>
                  </w:tabs>
                  <w:ind w:left="-74" w:right="-105"/>
                  <w:jc w:val="both"/>
                  <w:rPr>
                    <w:rFonts w:ascii="Palatino Linotype" w:eastAsia="Palatino Linotype" w:hAnsi="Palatino Linotype" w:cs="Palatino Linotype"/>
                    <w:b/>
                  </w:rPr>
                </w:pPr>
              </w:p>
            </w:tc>
          </w:tr>
        </w:tbl>
        <w:p w14:paraId="6AF6BE46" w14:textId="77777777" w:rsidR="006045E6" w:rsidRDefault="006045E6">
          <w:pPr>
            <w:tabs>
              <w:tab w:val="right" w:pos="8838"/>
            </w:tabs>
            <w:spacing w:line="256" w:lineRule="auto"/>
            <w:ind w:left="-28"/>
            <w:jc w:val="both"/>
            <w:rPr>
              <w:rFonts w:ascii="Arial" w:eastAsia="Arial" w:hAnsi="Arial" w:cs="Arial"/>
              <w:b/>
            </w:rPr>
          </w:pPr>
        </w:p>
      </w:tc>
    </w:tr>
  </w:tbl>
  <w:p w14:paraId="53EF959F" w14:textId="77777777" w:rsidR="006045E6" w:rsidRDefault="00AC794E">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lang w:eastAsia="es-MX"/>
      </w:rPr>
      <w:drawing>
        <wp:anchor distT="0" distB="0" distL="0" distR="0" simplePos="0" relativeHeight="251657728" behindDoc="1" locked="0" layoutInCell="1" hidden="0" allowOverlap="1" wp14:anchorId="168CAAC5" wp14:editId="2D7FF952">
          <wp:simplePos x="0" y="0"/>
          <wp:positionH relativeFrom="margin">
            <wp:posOffset>-1381122</wp:posOffset>
          </wp:positionH>
          <wp:positionV relativeFrom="margin">
            <wp:posOffset>-1611627</wp:posOffset>
          </wp:positionV>
          <wp:extent cx="5612130" cy="7308215"/>
          <wp:effectExtent l="0" t="0" r="0" b="0"/>
          <wp:wrapNone/>
          <wp:docPr id="214047136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AC0A" w14:textId="77777777" w:rsidR="006045E6" w:rsidRDefault="006045E6">
    <w:pPr>
      <w:widowControl w:val="0"/>
      <w:pBdr>
        <w:top w:val="nil"/>
        <w:left w:val="nil"/>
        <w:bottom w:val="nil"/>
        <w:right w:val="nil"/>
        <w:between w:val="nil"/>
      </w:pBdr>
      <w:spacing w:after="0" w:line="276" w:lineRule="auto"/>
      <w:rPr>
        <w:color w:val="000000"/>
      </w:rPr>
    </w:pPr>
  </w:p>
  <w:tbl>
    <w:tblPr>
      <w:tblStyle w:val="a1"/>
      <w:tblW w:w="9046" w:type="dxa"/>
      <w:tblInd w:w="-115" w:type="dxa"/>
      <w:tblLayout w:type="fixed"/>
      <w:tblLook w:val="0400" w:firstRow="0" w:lastRow="0" w:firstColumn="0" w:lastColumn="0" w:noHBand="0" w:noVBand="1"/>
    </w:tblPr>
    <w:tblGrid>
      <w:gridCol w:w="1675"/>
      <w:gridCol w:w="7371"/>
    </w:tblGrid>
    <w:tr w:rsidR="006045E6" w14:paraId="68E86996" w14:textId="77777777">
      <w:trPr>
        <w:trHeight w:val="1435"/>
      </w:trPr>
      <w:tc>
        <w:tcPr>
          <w:tcW w:w="1675" w:type="dxa"/>
        </w:tcPr>
        <w:p w14:paraId="2BD8EDAD" w14:textId="77777777" w:rsidR="006045E6" w:rsidRDefault="006045E6">
          <w:pPr>
            <w:tabs>
              <w:tab w:val="right" w:pos="4273"/>
            </w:tabs>
            <w:spacing w:line="256" w:lineRule="auto"/>
            <w:rPr>
              <w:rFonts w:ascii="Garamond" w:eastAsia="Garamond" w:hAnsi="Garamond" w:cs="Garamond"/>
            </w:rPr>
          </w:pPr>
        </w:p>
      </w:tc>
      <w:tc>
        <w:tcPr>
          <w:tcW w:w="7371" w:type="dxa"/>
        </w:tcPr>
        <w:p w14:paraId="3C22CADB" w14:textId="77777777" w:rsidR="006045E6" w:rsidRDefault="006045E6">
          <w:pPr>
            <w:spacing w:after="0" w:line="276" w:lineRule="auto"/>
          </w:pPr>
        </w:p>
        <w:tbl>
          <w:tblPr>
            <w:tblStyle w:val="a2"/>
            <w:tblW w:w="6408" w:type="dxa"/>
            <w:tblInd w:w="745" w:type="dxa"/>
            <w:tblBorders>
              <w:top w:val="nil"/>
              <w:left w:val="nil"/>
              <w:bottom w:val="nil"/>
              <w:right w:val="nil"/>
              <w:insideH w:val="nil"/>
              <w:insideV w:val="nil"/>
            </w:tblBorders>
            <w:tblLayout w:type="fixed"/>
            <w:tblLook w:val="0400" w:firstRow="0" w:lastRow="0" w:firstColumn="0" w:lastColumn="0" w:noHBand="0" w:noVBand="1"/>
          </w:tblPr>
          <w:tblGrid>
            <w:gridCol w:w="2941"/>
            <w:gridCol w:w="3467"/>
          </w:tblGrid>
          <w:tr w:rsidR="006045E6" w14:paraId="4ACE01AB" w14:textId="77777777">
            <w:trPr>
              <w:trHeight w:val="168"/>
            </w:trPr>
            <w:tc>
              <w:tcPr>
                <w:tcW w:w="2941" w:type="dxa"/>
              </w:tcPr>
              <w:p w14:paraId="1DCD1890" w14:textId="77777777" w:rsidR="006045E6" w:rsidRDefault="00AC794E">
                <w:pPr>
                  <w:tabs>
                    <w:tab w:val="right" w:pos="8838"/>
                  </w:tabs>
                  <w:spacing w:after="0" w:line="276" w:lineRule="auto"/>
                  <w:ind w:left="-69"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7" w:type="dxa"/>
              </w:tcPr>
              <w:p w14:paraId="60342075" w14:textId="77777777" w:rsidR="006045E6" w:rsidRDefault="00AC794E">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06851/INFOEM/IP/RR/2025</w:t>
                </w:r>
              </w:p>
            </w:tc>
          </w:tr>
          <w:tr w:rsidR="006045E6" w14:paraId="2EE1357F" w14:textId="77777777">
            <w:trPr>
              <w:trHeight w:val="331"/>
            </w:trPr>
            <w:tc>
              <w:tcPr>
                <w:tcW w:w="2941" w:type="dxa"/>
              </w:tcPr>
              <w:p w14:paraId="5C22DCCE" w14:textId="77777777" w:rsidR="006045E6" w:rsidRDefault="00AC794E">
                <w:pPr>
                  <w:tabs>
                    <w:tab w:val="right" w:pos="8838"/>
                  </w:tabs>
                  <w:spacing w:after="0" w:line="276" w:lineRule="auto"/>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7" w:type="dxa"/>
              </w:tcPr>
              <w:p w14:paraId="407DA2F4" w14:textId="77777777" w:rsidR="006045E6" w:rsidRDefault="00AC794E">
                <w:pPr>
                  <w:tabs>
                    <w:tab w:val="left" w:pos="2834"/>
                    <w:tab w:val="right" w:pos="8838"/>
                  </w:tabs>
                  <w:spacing w:after="0" w:line="276" w:lineRule="auto"/>
                  <w:ind w:left="-74" w:right="-105"/>
                  <w:jc w:val="both"/>
                  <w:rPr>
                    <w:rFonts w:ascii="Palatino Linotype" w:eastAsia="Palatino Linotype" w:hAnsi="Palatino Linotype" w:cs="Palatino Linotype"/>
                    <w:b/>
                  </w:rPr>
                </w:pPr>
                <w:r>
                  <w:rPr>
                    <w:rFonts w:ascii="Palatino Linotype" w:eastAsia="Palatino Linotype" w:hAnsi="Palatino Linotype" w:cs="Palatino Linotype"/>
                  </w:rPr>
                  <w:t>Ayuntamiento de Toluca</w:t>
                </w:r>
              </w:p>
            </w:tc>
          </w:tr>
          <w:tr w:rsidR="006045E6" w14:paraId="5FD60173" w14:textId="77777777">
            <w:trPr>
              <w:trHeight w:val="331"/>
            </w:trPr>
            <w:tc>
              <w:tcPr>
                <w:tcW w:w="2941" w:type="dxa"/>
              </w:tcPr>
              <w:p w14:paraId="10CE0E39" w14:textId="77777777" w:rsidR="006045E6" w:rsidRDefault="00AC794E">
                <w:pPr>
                  <w:tabs>
                    <w:tab w:val="right" w:pos="8838"/>
                  </w:tabs>
                  <w:spacing w:after="0" w:line="276" w:lineRule="auto"/>
                  <w:ind w:left="-74" w:right="-105"/>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467" w:type="dxa"/>
              </w:tcPr>
              <w:p w14:paraId="4C046651" w14:textId="77777777" w:rsidR="006045E6" w:rsidRDefault="00AC794E">
                <w:pPr>
                  <w:tabs>
                    <w:tab w:val="right" w:pos="8838"/>
                  </w:tabs>
                  <w:spacing w:after="0" w:line="276" w:lineRule="auto"/>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30027251" w14:textId="77777777" w:rsidR="006045E6" w:rsidRDefault="006045E6">
          <w:pPr>
            <w:tabs>
              <w:tab w:val="right" w:pos="8838"/>
            </w:tabs>
            <w:spacing w:line="256" w:lineRule="auto"/>
            <w:ind w:left="-28"/>
            <w:jc w:val="both"/>
            <w:rPr>
              <w:rFonts w:ascii="Arial" w:eastAsia="Arial" w:hAnsi="Arial" w:cs="Arial"/>
              <w:b/>
            </w:rPr>
          </w:pPr>
        </w:p>
      </w:tc>
    </w:tr>
  </w:tbl>
  <w:p w14:paraId="3727895E" w14:textId="77777777" w:rsidR="006045E6" w:rsidRDefault="00AC794E">
    <w:pPr>
      <w:pBdr>
        <w:top w:val="nil"/>
        <w:left w:val="nil"/>
        <w:bottom w:val="nil"/>
        <w:right w:val="nil"/>
        <w:between w:val="nil"/>
      </w:pBdr>
      <w:tabs>
        <w:tab w:val="center" w:pos="4419"/>
        <w:tab w:val="right" w:pos="8838"/>
      </w:tabs>
      <w:rPr>
        <w:color w:val="000000"/>
        <w:sz w:val="6"/>
        <w:szCs w:val="6"/>
      </w:rPr>
    </w:pPr>
    <w:r>
      <w:rPr>
        <w:rFonts w:ascii="Garamond" w:eastAsia="Garamond" w:hAnsi="Garamond" w:cs="Garamond"/>
        <w:noProof/>
        <w:color w:val="000000"/>
        <w:lang w:eastAsia="es-MX"/>
      </w:rPr>
      <w:drawing>
        <wp:anchor distT="0" distB="0" distL="0" distR="0" simplePos="0" relativeHeight="251656704" behindDoc="1" locked="0" layoutInCell="1" hidden="0" allowOverlap="1" wp14:anchorId="218C89A5" wp14:editId="27894407">
          <wp:simplePos x="0" y="0"/>
          <wp:positionH relativeFrom="page">
            <wp:align>left</wp:align>
          </wp:positionH>
          <wp:positionV relativeFrom="page">
            <wp:align>top</wp:align>
          </wp:positionV>
          <wp:extent cx="7835900" cy="10203815"/>
          <wp:effectExtent l="0" t="0" r="0" b="0"/>
          <wp:wrapNone/>
          <wp:docPr id="21404713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E9A4" w14:textId="77777777" w:rsidR="006045E6" w:rsidRDefault="006045E6">
    <w:pPr>
      <w:widowControl w:val="0"/>
      <w:pBdr>
        <w:top w:val="nil"/>
        <w:left w:val="nil"/>
        <w:bottom w:val="nil"/>
        <w:right w:val="nil"/>
        <w:between w:val="nil"/>
      </w:pBdr>
      <w:spacing w:after="0" w:line="276" w:lineRule="auto"/>
      <w:rPr>
        <w:color w:val="000000"/>
        <w:sz w:val="6"/>
        <w:szCs w:val="6"/>
      </w:rPr>
    </w:pPr>
  </w:p>
  <w:tbl>
    <w:tblPr>
      <w:tblStyle w:val="a3"/>
      <w:tblW w:w="9639" w:type="dxa"/>
      <w:tblInd w:w="-115" w:type="dxa"/>
      <w:tblLayout w:type="fixed"/>
      <w:tblLook w:val="0400" w:firstRow="0" w:lastRow="0" w:firstColumn="0" w:lastColumn="0" w:noHBand="0" w:noVBand="1"/>
    </w:tblPr>
    <w:tblGrid>
      <w:gridCol w:w="2552"/>
      <w:gridCol w:w="7087"/>
    </w:tblGrid>
    <w:tr w:rsidR="006045E6" w14:paraId="255888B4" w14:textId="77777777">
      <w:trPr>
        <w:trHeight w:val="1435"/>
      </w:trPr>
      <w:tc>
        <w:tcPr>
          <w:tcW w:w="2552" w:type="dxa"/>
        </w:tcPr>
        <w:p w14:paraId="58C208FA" w14:textId="77777777" w:rsidR="006045E6" w:rsidRDefault="006045E6">
          <w:pPr>
            <w:tabs>
              <w:tab w:val="right" w:pos="4273"/>
            </w:tabs>
            <w:spacing w:line="256" w:lineRule="auto"/>
            <w:rPr>
              <w:rFonts w:ascii="Garamond" w:eastAsia="Garamond" w:hAnsi="Garamond" w:cs="Garamond"/>
            </w:rPr>
          </w:pPr>
        </w:p>
      </w:tc>
      <w:tc>
        <w:tcPr>
          <w:tcW w:w="7087" w:type="dxa"/>
        </w:tcPr>
        <w:p w14:paraId="26DF34D7" w14:textId="77777777" w:rsidR="006045E6" w:rsidRDefault="006045E6">
          <w:pPr>
            <w:widowControl w:val="0"/>
            <w:pBdr>
              <w:top w:val="nil"/>
              <w:left w:val="nil"/>
              <w:bottom w:val="nil"/>
              <w:right w:val="nil"/>
              <w:between w:val="nil"/>
            </w:pBdr>
            <w:spacing w:after="0" w:line="276" w:lineRule="auto"/>
            <w:rPr>
              <w:rFonts w:ascii="Garamond" w:eastAsia="Garamond" w:hAnsi="Garamond" w:cs="Garamond"/>
            </w:rPr>
          </w:pPr>
        </w:p>
        <w:tbl>
          <w:tblPr>
            <w:tblStyle w:val="a4"/>
            <w:tblW w:w="6237" w:type="dxa"/>
            <w:tblInd w:w="2" w:type="dxa"/>
            <w:tblBorders>
              <w:top w:val="nil"/>
              <w:left w:val="nil"/>
              <w:bottom w:val="nil"/>
              <w:right w:val="nil"/>
              <w:insideH w:val="nil"/>
              <w:insideV w:val="nil"/>
            </w:tblBorders>
            <w:tblLayout w:type="fixed"/>
            <w:tblLook w:val="0400" w:firstRow="0" w:lastRow="0" w:firstColumn="0" w:lastColumn="0" w:noHBand="0" w:noVBand="1"/>
          </w:tblPr>
          <w:tblGrid>
            <w:gridCol w:w="2863"/>
            <w:gridCol w:w="3374"/>
          </w:tblGrid>
          <w:tr w:rsidR="006045E6" w14:paraId="73E4648F" w14:textId="77777777">
            <w:trPr>
              <w:trHeight w:val="144"/>
            </w:trPr>
            <w:tc>
              <w:tcPr>
                <w:tcW w:w="2863" w:type="dxa"/>
              </w:tcPr>
              <w:p w14:paraId="5BFAE3A9" w14:textId="77777777" w:rsidR="006045E6" w:rsidRDefault="00AC794E">
                <w:pPr>
                  <w:tabs>
                    <w:tab w:val="right" w:pos="8838"/>
                  </w:tabs>
                  <w:spacing w:after="0"/>
                  <w:ind w:left="-69"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74" w:type="dxa"/>
              </w:tcPr>
              <w:p w14:paraId="42FCB624" w14:textId="77777777" w:rsidR="006045E6" w:rsidRDefault="00AC794E">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06851/INFOEM/IP/RR/2025</w:t>
                </w:r>
              </w:p>
            </w:tc>
          </w:tr>
          <w:tr w:rsidR="006045E6" w14:paraId="6C5398DF" w14:textId="77777777">
            <w:trPr>
              <w:trHeight w:val="144"/>
            </w:trPr>
            <w:tc>
              <w:tcPr>
                <w:tcW w:w="2863" w:type="dxa"/>
              </w:tcPr>
              <w:p w14:paraId="1BF2A7DB" w14:textId="77777777" w:rsidR="006045E6" w:rsidRDefault="00AC794E">
                <w:pPr>
                  <w:tabs>
                    <w:tab w:val="right" w:pos="8838"/>
                  </w:tabs>
                  <w:spacing w:after="0"/>
                  <w:ind w:left="-74" w:right="-10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74" w:type="dxa"/>
              </w:tcPr>
              <w:p w14:paraId="471E313C" w14:textId="77777777" w:rsidR="006045E6" w:rsidRDefault="006045E6">
                <w:pPr>
                  <w:tabs>
                    <w:tab w:val="left" w:pos="2834"/>
                    <w:tab w:val="right" w:pos="8838"/>
                  </w:tabs>
                  <w:spacing w:after="0"/>
                  <w:ind w:left="-74" w:right="-105"/>
                  <w:jc w:val="both"/>
                  <w:rPr>
                    <w:rFonts w:ascii="Palatino Linotype" w:eastAsia="Palatino Linotype" w:hAnsi="Palatino Linotype" w:cs="Palatino Linotype"/>
                  </w:rPr>
                </w:pPr>
              </w:p>
            </w:tc>
          </w:tr>
          <w:tr w:rsidR="006045E6" w14:paraId="1CFD7AD3" w14:textId="77777777">
            <w:trPr>
              <w:trHeight w:val="283"/>
            </w:trPr>
            <w:tc>
              <w:tcPr>
                <w:tcW w:w="2863" w:type="dxa"/>
              </w:tcPr>
              <w:p w14:paraId="5E1C8730" w14:textId="77777777" w:rsidR="006045E6" w:rsidRDefault="00AC794E">
                <w:pPr>
                  <w:tabs>
                    <w:tab w:val="right" w:pos="8838"/>
                  </w:tabs>
                  <w:spacing w:after="0"/>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74" w:type="dxa"/>
              </w:tcPr>
              <w:p w14:paraId="077B3719" w14:textId="77777777" w:rsidR="006045E6" w:rsidRDefault="00AC794E">
                <w:pPr>
                  <w:tabs>
                    <w:tab w:val="left" w:pos="2834"/>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6045E6" w14:paraId="2D588B49" w14:textId="77777777">
            <w:trPr>
              <w:trHeight w:val="283"/>
            </w:trPr>
            <w:tc>
              <w:tcPr>
                <w:tcW w:w="2863" w:type="dxa"/>
              </w:tcPr>
              <w:p w14:paraId="435DA1BB" w14:textId="77777777" w:rsidR="006045E6" w:rsidRDefault="00AC794E">
                <w:pPr>
                  <w:tabs>
                    <w:tab w:val="right" w:pos="8838"/>
                  </w:tabs>
                  <w:spacing w:after="0"/>
                  <w:ind w:left="-74" w:right="-105"/>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374" w:type="dxa"/>
              </w:tcPr>
              <w:p w14:paraId="7A125BCC" w14:textId="77777777" w:rsidR="006045E6" w:rsidRDefault="00AC794E">
                <w:pPr>
                  <w:tabs>
                    <w:tab w:val="right" w:pos="8838"/>
                  </w:tabs>
                  <w:spacing w:after="0"/>
                  <w:ind w:left="-74" w:right="-105"/>
                  <w:jc w:val="both"/>
                  <w:rPr>
                    <w:rFonts w:ascii="Palatino Linotype" w:eastAsia="Palatino Linotype" w:hAnsi="Palatino Linotype" w:cs="Palatino Linotype"/>
                  </w:rPr>
                </w:pPr>
                <w:r>
                  <w:rPr>
                    <w:rFonts w:ascii="Palatino Linotype" w:eastAsia="Palatino Linotype" w:hAnsi="Palatino Linotype" w:cs="Palatino Linotype"/>
                  </w:rPr>
                  <w:t>Luis Gustavo Parra Noriega</w:t>
                </w:r>
              </w:p>
            </w:tc>
          </w:tr>
        </w:tbl>
        <w:p w14:paraId="38E431D5" w14:textId="77777777" w:rsidR="006045E6" w:rsidRDefault="006045E6">
          <w:pPr>
            <w:tabs>
              <w:tab w:val="right" w:pos="8838"/>
            </w:tabs>
            <w:spacing w:line="256" w:lineRule="auto"/>
            <w:ind w:left="-28"/>
            <w:jc w:val="both"/>
            <w:rPr>
              <w:rFonts w:ascii="Arial" w:eastAsia="Arial" w:hAnsi="Arial" w:cs="Arial"/>
              <w:b/>
            </w:rPr>
          </w:pPr>
        </w:p>
      </w:tc>
    </w:tr>
  </w:tbl>
  <w:p w14:paraId="50813070" w14:textId="77777777" w:rsidR="006045E6" w:rsidRDefault="0083416A">
    <w:pPr>
      <w:pBdr>
        <w:top w:val="nil"/>
        <w:left w:val="nil"/>
        <w:bottom w:val="nil"/>
        <w:right w:val="nil"/>
        <w:between w:val="nil"/>
      </w:pBdr>
      <w:tabs>
        <w:tab w:val="center" w:pos="4419"/>
        <w:tab w:val="right" w:pos="8838"/>
      </w:tabs>
      <w:rPr>
        <w:color w:val="000000"/>
        <w:sz w:val="2"/>
        <w:szCs w:val="2"/>
      </w:rPr>
    </w:pPr>
    <w:r>
      <w:rPr>
        <w:rFonts w:ascii="Garamond" w:eastAsia="Garamond" w:hAnsi="Garamond" w:cs="Garamond"/>
        <w:color w:val="000000"/>
      </w:rPr>
      <w:pict w14:anchorId="58038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8.15pt;margin-top:-119.05pt;width:663.5pt;height:12in;z-index:-251657728;mso-wrap-edited:f;mso-width-percent:0;mso-height-percent:0;mso-position-horizontal:absolute;mso-position-horizontal-relative:margin;mso-position-vertical:absolute;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D6D9A"/>
    <w:multiLevelType w:val="multilevel"/>
    <w:tmpl w:val="EF1C95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F94421"/>
    <w:multiLevelType w:val="multilevel"/>
    <w:tmpl w:val="D6F02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AF3D36"/>
    <w:multiLevelType w:val="multilevel"/>
    <w:tmpl w:val="189EB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114F88"/>
    <w:multiLevelType w:val="multilevel"/>
    <w:tmpl w:val="C8FC0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DA403A"/>
    <w:multiLevelType w:val="multilevel"/>
    <w:tmpl w:val="6CA6B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242F39"/>
    <w:multiLevelType w:val="multilevel"/>
    <w:tmpl w:val="AE80F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5E6"/>
    <w:rsid w:val="00110B62"/>
    <w:rsid w:val="00146CF8"/>
    <w:rsid w:val="002065CD"/>
    <w:rsid w:val="004C0BC2"/>
    <w:rsid w:val="006045E6"/>
    <w:rsid w:val="006B6318"/>
    <w:rsid w:val="0083416A"/>
    <w:rsid w:val="00923938"/>
    <w:rsid w:val="00A17097"/>
    <w:rsid w:val="00A65AEB"/>
    <w:rsid w:val="00A66DA0"/>
    <w:rsid w:val="00AC794E"/>
    <w:rsid w:val="00BA57E8"/>
    <w:rsid w:val="00C50993"/>
    <w:rsid w:val="00ED7AC8"/>
    <w:rsid w:val="00F12A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2538C5"/>
  <w15:docId w15:val="{A67B1309-2AD7-1D40-A916-58EB6B5C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after="0" w:line="360" w:lineRule="auto"/>
      <w:jc w:val="center"/>
      <w:outlineLvl w:val="0"/>
    </w:pPr>
    <w:rPr>
      <w:rFonts w:ascii="Palatino Linotype" w:eastAsia="Palatino Linotype" w:hAnsi="Palatino Linotype" w:cs="Palatino Linotype"/>
      <w:b/>
      <w:color w:val="000000"/>
    </w:rPr>
  </w:style>
  <w:style w:type="paragraph" w:styleId="Ttulo2">
    <w:name w:val="heading 2"/>
    <w:basedOn w:val="Normal"/>
    <w:next w:val="Normal"/>
    <w:uiPriority w:val="9"/>
    <w:unhideWhenUsed/>
    <w:qFormat/>
    <w:pPr>
      <w:keepNext/>
      <w:keepLines/>
      <w:spacing w:after="0" w:line="360" w:lineRule="auto"/>
      <w:jc w:val="both"/>
      <w:outlineLvl w:val="1"/>
    </w:pPr>
    <w:rPr>
      <w:rFonts w:ascii="Palatino Linotype" w:eastAsia="Palatino Linotype" w:hAnsi="Palatino Linotype" w:cs="Palatino Linotype"/>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AC61DC"/>
    <w:pPr>
      <w:ind w:left="720"/>
      <w:contextualSpacing/>
    </w:pPr>
  </w:style>
  <w:style w:type="character" w:styleId="Hipervnculo">
    <w:name w:val="Hyperlink"/>
    <w:basedOn w:val="Fuentedeprrafopredeter"/>
    <w:uiPriority w:val="99"/>
    <w:unhideWhenUsed/>
    <w:rsid w:val="003E42D3"/>
    <w:rPr>
      <w:color w:val="0563C1" w:themeColor="hyperlink"/>
      <w:u w:val="single"/>
    </w:rPr>
  </w:style>
  <w:style w:type="character" w:customStyle="1" w:styleId="Mencinsinresolver1">
    <w:name w:val="Mención sin resolver1"/>
    <w:basedOn w:val="Fuentedeprrafopredeter"/>
    <w:uiPriority w:val="99"/>
    <w:semiHidden/>
    <w:unhideWhenUsed/>
    <w:rsid w:val="002A2FCF"/>
    <w:rPr>
      <w:color w:val="605E5C"/>
      <w:shd w:val="clear" w:color="auto" w:fill="E1DFDD"/>
    </w:rPr>
  </w:style>
  <w:style w:type="character" w:styleId="Hipervnculovisitado">
    <w:name w:val="FollowedHyperlink"/>
    <w:basedOn w:val="Fuentedeprrafopredeter"/>
    <w:uiPriority w:val="99"/>
    <w:semiHidden/>
    <w:unhideWhenUsed/>
    <w:rsid w:val="00AE31C5"/>
    <w:rPr>
      <w:color w:val="954F72" w:themeColor="followedHyperlink"/>
      <w:u w:val="single"/>
    </w:rPr>
  </w:style>
  <w:style w:type="character" w:customStyle="1" w:styleId="Ttulo1Car">
    <w:name w:val="Título 1 Car"/>
    <w:basedOn w:val="Fuentedeprrafopredeter"/>
    <w:uiPriority w:val="9"/>
    <w:rsid w:val="00F0352C"/>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uiPriority w:val="9"/>
    <w:rsid w:val="00F0352C"/>
    <w:rPr>
      <w:rFonts w:ascii="Palatino Linotype" w:eastAsiaTheme="majorEastAsia" w:hAnsi="Palatino Linotype" w:cstheme="majorBidi"/>
      <w:b/>
      <w:szCs w:val="26"/>
    </w:rPr>
  </w:style>
  <w:style w:type="paragraph" w:styleId="TtulodeTDC">
    <w:name w:val="TOC Heading"/>
    <w:next w:val="Normal"/>
    <w:uiPriority w:val="39"/>
    <w:unhideWhenUsed/>
    <w:qFormat/>
    <w:rsid w:val="00F0352C"/>
    <w:pPr>
      <w:spacing w:before="240"/>
    </w:pPr>
    <w:rPr>
      <w:rFonts w:asciiTheme="majorHAnsi" w:hAnsiTheme="majorHAnsi"/>
      <w:color w:val="2E74B5" w:themeColor="accent1" w:themeShade="BF"/>
      <w:sz w:val="32"/>
      <w:lang w:eastAsia="es-MX"/>
    </w:rPr>
  </w:style>
  <w:style w:type="paragraph" w:styleId="TDC1">
    <w:name w:val="toc 1"/>
    <w:basedOn w:val="Normal"/>
    <w:next w:val="Normal"/>
    <w:autoRedefine/>
    <w:uiPriority w:val="39"/>
    <w:unhideWhenUsed/>
    <w:rsid w:val="00F0352C"/>
    <w:pPr>
      <w:spacing w:after="100"/>
    </w:pPr>
  </w:style>
  <w:style w:type="paragraph" w:styleId="TDC2">
    <w:name w:val="toc 2"/>
    <w:basedOn w:val="Normal"/>
    <w:next w:val="Normal"/>
    <w:autoRedefine/>
    <w:uiPriority w:val="39"/>
    <w:unhideWhenUsed/>
    <w:rsid w:val="00F0352C"/>
    <w:pPr>
      <w:spacing w:after="100"/>
      <w:ind w:left="22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Zs+oPK220A9T0gBZ1WqgLEjRg==">CgMxLjAyDmgudWg4aXl1azNqbDUzMg5oLnVucjllMHViMzlyYTIOaC51OHRuNXY4Z2FpZ3MyCGguZ2pkZ3hzMg5oLnUwMG5jcDZkazlmMzIOaC5nMXBzeDQzZmU2a2YyDmgubGQ2dzRqNzI3MjIwMg5oLmw4ZThma2l6dm5ybzIOaC4zM3Z1OWc5aWtqcWQyDmguZzYwdmh4Ymx1MThxMg5oLnF0aGEweXE0Y2hiMjIOaC5ydWczeG1ic3B6ODQyDmgueXI1d24wNTdhdnFvMg5oLnV1YzdnZjI1c2lscTIOaC42ZTA1a2psZmxxcmsyDmgudzB3dG10am5seDFwMg5oLm9ybG1ycnBrNjc5YzIOaC5udjd5NGw3N2JpMXcyDmguYnhnNHR0NHVncnJxMg5oLmhwamo0M21xNzBtZzgAciExN2Z0bFZ2WDlCMVFHa1ZNUDkyWVVna1NTSzFHQ09JS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6278</Words>
  <Characters>34529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2025-09-05T16:06:00Z</cp:lastPrinted>
  <dcterms:created xsi:type="dcterms:W3CDTF">2025-09-05T16:06:00Z</dcterms:created>
  <dcterms:modified xsi:type="dcterms:W3CDTF">2025-09-05T16:06:00Z</dcterms:modified>
</cp:coreProperties>
</file>