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58DA7" w14:textId="77777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w:t>
      </w:r>
      <w:r w:rsidR="005F595E">
        <w:rPr>
          <w:rFonts w:ascii="Palatino Linotype" w:eastAsia="Palatino Linotype" w:hAnsi="Palatino Linotype" w:cs="Palatino Linotype"/>
          <w:color w:val="000000"/>
          <w:sz w:val="24"/>
          <w:szCs w:val="24"/>
        </w:rPr>
        <w:t>dos</w:t>
      </w:r>
      <w:r>
        <w:rPr>
          <w:rFonts w:ascii="Palatino Linotype" w:eastAsia="Palatino Linotype" w:hAnsi="Palatino Linotype" w:cs="Palatino Linotype"/>
          <w:color w:val="000000"/>
          <w:sz w:val="24"/>
          <w:szCs w:val="24"/>
        </w:rPr>
        <w:t xml:space="preserve"> de </w:t>
      </w:r>
      <w:r w:rsidR="005F595E">
        <w:rPr>
          <w:rFonts w:ascii="Palatino Linotype" w:eastAsia="Palatino Linotype" w:hAnsi="Palatino Linotype" w:cs="Palatino Linotype"/>
          <w:color w:val="000000"/>
          <w:sz w:val="24"/>
          <w:szCs w:val="24"/>
        </w:rPr>
        <w:t>abril</w:t>
      </w:r>
      <w:r>
        <w:rPr>
          <w:rFonts w:ascii="Palatino Linotype" w:eastAsia="Palatino Linotype" w:hAnsi="Palatino Linotype" w:cs="Palatino Linotype"/>
          <w:color w:val="000000"/>
          <w:sz w:val="24"/>
          <w:szCs w:val="24"/>
        </w:rPr>
        <w:t xml:space="preserve"> de dos mil veinticinco.</w:t>
      </w:r>
    </w:p>
    <w:p w14:paraId="1F080E0C" w14:textId="77777777" w:rsidR="00D2150D" w:rsidRDefault="00D2150D" w:rsidP="00D2150D">
      <w:pPr>
        <w:shd w:val="clear" w:color="auto" w:fill="FFFFFF"/>
        <w:spacing w:after="0" w:line="360" w:lineRule="auto"/>
        <w:jc w:val="both"/>
        <w:rPr>
          <w:rFonts w:ascii="Palatino Linotype" w:eastAsia="Palatino Linotype" w:hAnsi="Palatino Linotype" w:cs="Palatino Linotype"/>
          <w:color w:val="000000"/>
          <w:sz w:val="24"/>
          <w:szCs w:val="24"/>
        </w:rPr>
      </w:pPr>
    </w:p>
    <w:p w14:paraId="130F95B0" w14:textId="77777777" w:rsidR="00D2150D" w:rsidRDefault="00D2150D" w:rsidP="00D2150D">
      <w:pPr>
        <w:tabs>
          <w:tab w:val="left" w:pos="1701"/>
        </w:tabs>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VISTO</w:t>
      </w:r>
      <w:r>
        <w:rPr>
          <w:rFonts w:ascii="Palatino Linotype" w:eastAsia="Palatino Linotype" w:hAnsi="Palatino Linotype" w:cs="Palatino Linotype"/>
          <w:sz w:val="24"/>
          <w:szCs w:val="24"/>
        </w:rPr>
        <w:t xml:space="preserve"> el expediente electrónico de los recursos de revisión con número </w:t>
      </w:r>
      <w:bookmarkStart w:id="0" w:name="_GoBack"/>
      <w:r w:rsidR="00A44305">
        <w:rPr>
          <w:rFonts w:ascii="Palatino Linotype" w:eastAsia="Palatino Linotype" w:hAnsi="Palatino Linotype" w:cs="Palatino Linotype"/>
          <w:b/>
          <w:sz w:val="24"/>
          <w:szCs w:val="24"/>
        </w:rPr>
        <w:t>01775/INFOEM/IP/RR/2025</w:t>
      </w:r>
      <w:r>
        <w:rPr>
          <w:rFonts w:ascii="Palatino Linotype" w:eastAsia="Palatino Linotype" w:hAnsi="Palatino Linotype" w:cs="Palatino Linotype"/>
          <w:b/>
          <w:sz w:val="24"/>
          <w:szCs w:val="24"/>
        </w:rPr>
        <w:t xml:space="preserve"> </w:t>
      </w:r>
      <w:bookmarkEnd w:id="0"/>
      <w:r>
        <w:rPr>
          <w:rFonts w:ascii="Palatino Linotype" w:eastAsia="Palatino Linotype" w:hAnsi="Palatino Linotype" w:cs="Palatino Linotype"/>
          <w:color w:val="000000"/>
          <w:sz w:val="24"/>
          <w:szCs w:val="24"/>
        </w:rPr>
        <w:t xml:space="preserve">interpuesto por </w:t>
      </w:r>
      <w:r w:rsidR="00A44305" w:rsidRPr="00A44305">
        <w:rPr>
          <w:rFonts w:ascii="Palatino Linotype" w:eastAsia="Palatino Linotype" w:hAnsi="Palatino Linotype" w:cs="Palatino Linotype"/>
          <w:color w:val="000000"/>
          <w:sz w:val="24"/>
          <w:szCs w:val="24"/>
        </w:rPr>
        <w:t>un particular que no proporcionó nombre o seudónimo</w:t>
      </w:r>
      <w:r>
        <w:rPr>
          <w:rFonts w:ascii="Palatino Linotype" w:eastAsia="Palatino Linotype" w:hAnsi="Palatino Linotype" w:cs="Palatino Linotype"/>
          <w:color w:val="000000"/>
          <w:sz w:val="24"/>
          <w:szCs w:val="24"/>
        </w:rPr>
        <w:t xml:space="preserve">, quien en lo sucesivo se le denominara como la parte </w:t>
      </w:r>
      <w:r>
        <w:rPr>
          <w:rFonts w:ascii="Palatino Linotype" w:eastAsia="Palatino Linotype" w:hAnsi="Palatino Linotype" w:cs="Palatino Linotype"/>
          <w:b/>
          <w:color w:val="000000"/>
          <w:sz w:val="24"/>
          <w:szCs w:val="24"/>
        </w:rPr>
        <w:t>Recurrente</w:t>
      </w:r>
      <w:r>
        <w:rPr>
          <w:rFonts w:ascii="Palatino Linotype" w:eastAsia="Palatino Linotype" w:hAnsi="Palatino Linotype" w:cs="Palatino Linotype"/>
          <w:color w:val="000000"/>
          <w:sz w:val="24"/>
          <w:szCs w:val="24"/>
        </w:rPr>
        <w:t xml:space="preserve">, </w:t>
      </w:r>
      <w:r>
        <w:rPr>
          <w:rFonts w:ascii="Palatino Linotype" w:eastAsia="Palatino Linotype" w:hAnsi="Palatino Linotype" w:cs="Palatino Linotype"/>
          <w:sz w:val="24"/>
          <w:szCs w:val="24"/>
        </w:rPr>
        <w:t xml:space="preserve">en contra de la falta de respuesta del </w:t>
      </w:r>
      <w:r w:rsidR="00A44305">
        <w:rPr>
          <w:rFonts w:ascii="Palatino Linotype" w:eastAsia="Palatino Linotype" w:hAnsi="Palatino Linotype" w:cs="Palatino Linotype"/>
          <w:b/>
          <w:color w:val="000000"/>
          <w:sz w:val="24"/>
          <w:szCs w:val="24"/>
        </w:rPr>
        <w:t>Organismo Descentralizado de Agua y Saneamiento de Chicoloapan</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en lo subsecuente</w:t>
      </w:r>
      <w:r>
        <w:rPr>
          <w:rFonts w:ascii="Palatino Linotype" w:eastAsia="Palatino Linotype" w:hAnsi="Palatino Linotype" w:cs="Palatino Linotype"/>
          <w:b/>
          <w:sz w:val="24"/>
          <w:szCs w:val="24"/>
        </w:rPr>
        <w:t xml:space="preserve"> el Sujeto Obligado, </w:t>
      </w:r>
      <w:r>
        <w:rPr>
          <w:rFonts w:ascii="Palatino Linotype" w:eastAsia="Palatino Linotype" w:hAnsi="Palatino Linotype" w:cs="Palatino Linotype"/>
          <w:sz w:val="24"/>
          <w:szCs w:val="24"/>
        </w:rPr>
        <w:t>se procede a dictar la presente resolución.</w:t>
      </w:r>
    </w:p>
    <w:p w14:paraId="57EE44AC" w14:textId="77777777" w:rsidR="00D2150D" w:rsidRDefault="00D2150D" w:rsidP="00D2150D">
      <w:pPr>
        <w:tabs>
          <w:tab w:val="left" w:pos="6960"/>
        </w:tabs>
        <w:spacing w:after="0" w:line="360" w:lineRule="auto"/>
        <w:jc w:val="both"/>
        <w:rPr>
          <w:rFonts w:ascii="Palatino Linotype" w:eastAsia="Palatino Linotype" w:hAnsi="Palatino Linotype" w:cs="Palatino Linotype"/>
          <w:sz w:val="24"/>
          <w:szCs w:val="24"/>
        </w:rPr>
      </w:pPr>
    </w:p>
    <w:p w14:paraId="6ACD5C1D" w14:textId="77777777" w:rsidR="00D2150D" w:rsidRDefault="00D2150D" w:rsidP="00D2150D">
      <w:pPr>
        <w:spacing w:after="0" w:line="360" w:lineRule="auto"/>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rPr>
        <w:t>A N T E C E D E N T E S</w:t>
      </w:r>
    </w:p>
    <w:p w14:paraId="6353B85F" w14:textId="77777777" w:rsidR="00D2150D" w:rsidRDefault="00D2150D" w:rsidP="00D2150D">
      <w:pPr>
        <w:spacing w:after="0" w:line="360" w:lineRule="auto"/>
        <w:rPr>
          <w:rFonts w:ascii="Palatino Linotype" w:eastAsia="Palatino Linotype" w:hAnsi="Palatino Linotype" w:cs="Palatino Linotype"/>
          <w:b/>
          <w:sz w:val="24"/>
          <w:szCs w:val="24"/>
        </w:rPr>
      </w:pPr>
    </w:p>
    <w:p w14:paraId="1DD50DD3" w14:textId="77777777" w:rsidR="00D2150D" w:rsidRPr="00782BD1" w:rsidRDefault="00D2150D" w:rsidP="00D2150D">
      <w:pPr>
        <w:spacing w:after="0" w:line="360" w:lineRule="auto"/>
        <w:jc w:val="both"/>
        <w:rPr>
          <w:rFonts w:ascii="Palatino Linotype" w:eastAsia="Palatino Linotype" w:hAnsi="Palatino Linotype" w:cs="Palatino Linotype"/>
          <w:b/>
          <w:sz w:val="28"/>
          <w:szCs w:val="24"/>
        </w:rPr>
      </w:pPr>
      <w:r w:rsidRPr="00782BD1">
        <w:rPr>
          <w:rFonts w:ascii="Palatino Linotype" w:eastAsia="Palatino Linotype" w:hAnsi="Palatino Linotype" w:cs="Palatino Linotype"/>
          <w:b/>
          <w:sz w:val="28"/>
          <w:szCs w:val="24"/>
        </w:rPr>
        <w:t xml:space="preserve">PRIMERO. </w:t>
      </w:r>
      <w:r>
        <w:rPr>
          <w:rFonts w:ascii="Palatino Linotype" w:eastAsia="Palatino Linotype" w:hAnsi="Palatino Linotype" w:cs="Palatino Linotype"/>
          <w:b/>
          <w:color w:val="000000"/>
          <w:sz w:val="28"/>
          <w:szCs w:val="24"/>
        </w:rPr>
        <w:t>De la</w:t>
      </w:r>
      <w:r w:rsidRPr="00782BD1">
        <w:rPr>
          <w:rFonts w:ascii="Palatino Linotype" w:eastAsia="Palatino Linotype" w:hAnsi="Palatino Linotype" w:cs="Palatino Linotype"/>
          <w:b/>
          <w:color w:val="000000"/>
          <w:sz w:val="28"/>
          <w:szCs w:val="24"/>
        </w:rPr>
        <w:t xml:space="preserve"> solic</w:t>
      </w:r>
      <w:r>
        <w:rPr>
          <w:rFonts w:ascii="Palatino Linotype" w:eastAsia="Palatino Linotype" w:hAnsi="Palatino Linotype" w:cs="Palatino Linotype"/>
          <w:b/>
          <w:color w:val="000000"/>
          <w:sz w:val="28"/>
          <w:szCs w:val="24"/>
        </w:rPr>
        <w:t>itud</w:t>
      </w:r>
      <w:r w:rsidRPr="00782BD1">
        <w:rPr>
          <w:rFonts w:ascii="Palatino Linotype" w:eastAsia="Palatino Linotype" w:hAnsi="Palatino Linotype" w:cs="Palatino Linotype"/>
          <w:b/>
          <w:color w:val="000000"/>
          <w:sz w:val="28"/>
          <w:szCs w:val="24"/>
        </w:rPr>
        <w:t xml:space="preserve"> de información</w:t>
      </w:r>
      <w:r>
        <w:rPr>
          <w:rFonts w:ascii="Palatino Linotype" w:eastAsia="Palatino Linotype" w:hAnsi="Palatino Linotype" w:cs="Palatino Linotype"/>
          <w:b/>
          <w:color w:val="000000"/>
          <w:sz w:val="28"/>
          <w:szCs w:val="24"/>
        </w:rPr>
        <w:t>.</w:t>
      </w:r>
    </w:p>
    <w:p w14:paraId="11800E0E"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En fecha </w:t>
      </w:r>
      <w:r w:rsidR="00A44305">
        <w:rPr>
          <w:rFonts w:ascii="Palatino Linotype" w:eastAsia="Palatino Linotype" w:hAnsi="Palatino Linotype" w:cs="Palatino Linotype"/>
          <w:sz w:val="24"/>
          <w:szCs w:val="24"/>
        </w:rPr>
        <w:t>veintiocho</w:t>
      </w:r>
      <w:r>
        <w:rPr>
          <w:rFonts w:ascii="Palatino Linotype" w:eastAsia="Palatino Linotype" w:hAnsi="Palatino Linotype" w:cs="Palatino Linotype"/>
          <w:sz w:val="24"/>
          <w:szCs w:val="24"/>
        </w:rPr>
        <w:t xml:space="preserve"> de enero de dos mil veinticinco, la parte</w:t>
      </w:r>
      <w:r>
        <w:rPr>
          <w:rFonts w:ascii="Palatino Linotype" w:eastAsia="Palatino Linotype" w:hAnsi="Palatino Linotype" w:cs="Palatino Linotype"/>
          <w:b/>
          <w:sz w:val="24"/>
          <w:szCs w:val="24"/>
        </w:rPr>
        <w:t xml:space="preserve"> Recurrente</w:t>
      </w:r>
      <w:r>
        <w:rPr>
          <w:rFonts w:ascii="Palatino Linotype" w:eastAsia="Palatino Linotype" w:hAnsi="Palatino Linotype" w:cs="Palatino Linotype"/>
          <w:sz w:val="24"/>
          <w:szCs w:val="24"/>
        </w:rPr>
        <w:t xml:space="preserve"> presentó a través del Sistema de Acceso a la Información Mexiquense (</w:t>
      </w:r>
      <w:r>
        <w:rPr>
          <w:rFonts w:ascii="Palatino Linotype" w:eastAsia="Palatino Linotype" w:hAnsi="Palatino Linotype" w:cs="Palatino Linotype"/>
          <w:b/>
          <w:sz w:val="24"/>
          <w:szCs w:val="24"/>
        </w:rPr>
        <w:t>SAIMEX)</w:t>
      </w:r>
      <w:r>
        <w:rPr>
          <w:rFonts w:ascii="Palatino Linotype" w:eastAsia="Palatino Linotype" w:hAnsi="Palatino Linotype" w:cs="Palatino Linotype"/>
          <w:sz w:val="24"/>
          <w:szCs w:val="24"/>
        </w:rPr>
        <w:t xml:space="preserve">, la solicitud de acceso a la información pública, con número de folio </w:t>
      </w:r>
      <w:r w:rsidR="00A44305">
        <w:rPr>
          <w:rFonts w:ascii="Palatino Linotype" w:eastAsia="Palatino Linotype" w:hAnsi="Palatino Linotype" w:cs="Palatino Linotype"/>
          <w:b/>
          <w:sz w:val="24"/>
          <w:szCs w:val="24"/>
        </w:rPr>
        <w:t>00017/OASCHICOLO/IP/2025</w:t>
      </w:r>
      <w:r>
        <w:rPr>
          <w:rFonts w:ascii="Palatino Linotype" w:eastAsia="Palatino Linotype" w:hAnsi="Palatino Linotype" w:cs="Palatino Linotype"/>
          <w:sz w:val="24"/>
          <w:szCs w:val="24"/>
        </w:rPr>
        <w:t xml:space="preserve">, de lo siguiente: </w:t>
      </w:r>
    </w:p>
    <w:p w14:paraId="78A7DD9D" w14:textId="77777777" w:rsidR="00D2150D" w:rsidRPr="001C7F6F" w:rsidRDefault="00D2150D" w:rsidP="00A44305">
      <w:pPr>
        <w:pStyle w:val="INFOEM"/>
        <w:rPr>
          <w:lang w:val="es-ES_tradnl" w:eastAsia="es-ES"/>
        </w:rPr>
      </w:pPr>
      <w:r w:rsidRPr="00D705FF">
        <w:rPr>
          <w:lang w:val="es-ES_tradnl" w:eastAsia="es-ES"/>
        </w:rPr>
        <w:t>“</w:t>
      </w:r>
      <w:r w:rsidR="00A44305" w:rsidRPr="00A44305">
        <w:rPr>
          <w:lang w:val="es-ES" w:eastAsia="es-ES"/>
        </w:rPr>
        <w:t>Solicito el expediente de red ambiental, de los análisis que realizaron al drenaje en los años 2021, 2022,2023 y 2024, derivado de los constantes olores de hidrocarburos, químicos que se desprendían del drenaje</w:t>
      </w:r>
      <w:r w:rsidRPr="00D705FF">
        <w:rPr>
          <w:lang w:val="es-ES_tradnl" w:eastAsia="es-ES"/>
        </w:rPr>
        <w:t>” (Sic)</w:t>
      </w:r>
    </w:p>
    <w:p w14:paraId="5AEDC885" w14:textId="77777777" w:rsidR="00D2150D" w:rsidRPr="00782BD1" w:rsidRDefault="00D2150D" w:rsidP="00D2150D">
      <w:pPr>
        <w:spacing w:before="240" w:line="360" w:lineRule="auto"/>
        <w:jc w:val="both"/>
        <w:rPr>
          <w:rFonts w:ascii="Palatino Linotype" w:hAnsi="Palatino Linotype"/>
          <w:lang w:val="es-ES_tradnl"/>
        </w:rPr>
      </w:pPr>
      <w:r w:rsidRPr="002C3EC8">
        <w:rPr>
          <w:rFonts w:ascii="Palatino Linotype" w:hAnsi="Palatino Linotype"/>
          <w:b/>
          <w:lang w:val="es-ES_tradnl"/>
        </w:rPr>
        <w:t>Modalidad de entrega:</w:t>
      </w:r>
      <w:r w:rsidRPr="002C3EC8">
        <w:rPr>
          <w:rFonts w:ascii="Palatino Linotype" w:hAnsi="Palatino Linotype"/>
          <w:lang w:val="es-ES_tradnl"/>
        </w:rPr>
        <w:t xml:space="preserve"> A través del SAIMEX.</w:t>
      </w:r>
    </w:p>
    <w:p w14:paraId="6F327326"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p>
    <w:p w14:paraId="7D787B07"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8"/>
          <w:szCs w:val="24"/>
        </w:rPr>
      </w:pPr>
      <w:r w:rsidRPr="00782BD1">
        <w:rPr>
          <w:rFonts w:ascii="Palatino Linotype" w:eastAsia="Palatino Linotype" w:hAnsi="Palatino Linotype" w:cs="Palatino Linotype"/>
          <w:b/>
          <w:color w:val="000000"/>
          <w:sz w:val="28"/>
          <w:szCs w:val="24"/>
        </w:rPr>
        <w:t>SEGUNDO. De la falta de respuesta del Sujeto Obligado.</w:t>
      </w:r>
    </w:p>
    <w:p w14:paraId="1214B00F"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Pr>
          <w:rFonts w:ascii="Palatino Linotype" w:eastAsia="Palatino Linotype" w:hAnsi="Palatino Linotype" w:cs="Palatino Linotype"/>
          <w:color w:val="000000"/>
          <w:sz w:val="24"/>
          <w:szCs w:val="24"/>
        </w:rPr>
        <w:t>E</w:t>
      </w:r>
      <w:r>
        <w:rPr>
          <w:rFonts w:ascii="Palatino Linotype" w:eastAsia="Palatino Linotype" w:hAnsi="Palatino Linotype" w:cs="Palatino Linotype"/>
          <w:sz w:val="24"/>
          <w:szCs w:val="24"/>
        </w:rPr>
        <w:t xml:space="preserv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no proporcionó respuesta a la solicitud de información </w:t>
      </w:r>
      <w:r>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EB2F44F"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sz w:val="28"/>
          <w:szCs w:val="24"/>
        </w:rPr>
      </w:pPr>
    </w:p>
    <w:p w14:paraId="725351C3" w14:textId="77777777" w:rsidR="00D2150D" w:rsidRPr="00782BD1"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8"/>
          <w:szCs w:val="24"/>
        </w:rPr>
      </w:pPr>
      <w:r w:rsidRPr="00782BD1">
        <w:rPr>
          <w:rFonts w:ascii="Palatino Linotype" w:eastAsia="Palatino Linotype" w:hAnsi="Palatino Linotype" w:cs="Palatino Linotype"/>
          <w:b/>
          <w:sz w:val="28"/>
          <w:szCs w:val="24"/>
        </w:rPr>
        <w:t xml:space="preserve">TERCERO. </w:t>
      </w:r>
      <w:r w:rsidRPr="00782BD1">
        <w:rPr>
          <w:rFonts w:ascii="Palatino Linotype" w:eastAsia="Palatino Linotype" w:hAnsi="Palatino Linotype" w:cs="Palatino Linotype"/>
          <w:b/>
          <w:color w:val="000000"/>
          <w:sz w:val="28"/>
          <w:szCs w:val="24"/>
        </w:rPr>
        <w:t>Del recurso de revisión.</w:t>
      </w:r>
    </w:p>
    <w:p w14:paraId="0174A898" w14:textId="77777777" w:rsidR="00D2150D" w:rsidRDefault="00D2150D" w:rsidP="00D2150D">
      <w:pPr>
        <w:spacing w:after="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Ante la falta de respuesta</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del </w:t>
      </w:r>
      <w:r>
        <w:rPr>
          <w:rFonts w:ascii="Palatino Linotype" w:eastAsia="Palatino Linotype" w:hAnsi="Palatino Linotype" w:cs="Palatino Linotype"/>
          <w:b/>
          <w:sz w:val="24"/>
          <w:szCs w:val="24"/>
        </w:rPr>
        <w:t>Sujeto Obligado</w:t>
      </w:r>
      <w:r>
        <w:rPr>
          <w:rFonts w:ascii="Palatino Linotype" w:eastAsia="Palatino Linotype" w:hAnsi="Palatino Linotype" w:cs="Palatino Linotype"/>
          <w:sz w:val="24"/>
          <w:szCs w:val="24"/>
        </w:rPr>
        <w:t xml:space="preserve">, la parte </w:t>
      </w:r>
      <w:r>
        <w:rPr>
          <w:rFonts w:ascii="Palatino Linotype" w:eastAsia="Palatino Linotype" w:hAnsi="Palatino Linotype" w:cs="Palatino Linotype"/>
          <w:b/>
          <w:sz w:val="24"/>
          <w:szCs w:val="24"/>
        </w:rPr>
        <w:t>Recurrente</w:t>
      </w:r>
      <w:r>
        <w:rPr>
          <w:rFonts w:ascii="Palatino Linotype" w:eastAsia="Palatino Linotype" w:hAnsi="Palatino Linotype" w:cs="Palatino Linotype"/>
          <w:sz w:val="24"/>
          <w:szCs w:val="24"/>
        </w:rPr>
        <w:t xml:space="preserve"> interpuso el recurso de revisión en fecha </w:t>
      </w:r>
      <w:r w:rsidR="00A44305">
        <w:rPr>
          <w:rFonts w:ascii="Palatino Linotype" w:eastAsia="Palatino Linotype" w:hAnsi="Palatino Linotype" w:cs="Palatino Linotype"/>
          <w:sz w:val="24"/>
          <w:szCs w:val="24"/>
        </w:rPr>
        <w:t>veintiuno</w:t>
      </w:r>
      <w:r>
        <w:rPr>
          <w:rFonts w:ascii="Palatino Linotype" w:eastAsia="Palatino Linotype" w:hAnsi="Palatino Linotype" w:cs="Palatino Linotype"/>
          <w:sz w:val="24"/>
          <w:szCs w:val="24"/>
        </w:rPr>
        <w:t xml:space="preserve"> de febrero de dos mil veinticinco, registrado</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en el </w:t>
      </w:r>
      <w:r>
        <w:rPr>
          <w:rFonts w:ascii="Palatino Linotype" w:eastAsia="Palatino Linotype" w:hAnsi="Palatino Linotype" w:cs="Palatino Linotype"/>
          <w:b/>
          <w:sz w:val="24"/>
          <w:szCs w:val="24"/>
        </w:rPr>
        <w:t xml:space="preserve">SAIMEX </w:t>
      </w:r>
      <w:r>
        <w:rPr>
          <w:rFonts w:ascii="Palatino Linotype" w:eastAsia="Palatino Linotype" w:hAnsi="Palatino Linotype" w:cs="Palatino Linotype"/>
          <w:sz w:val="24"/>
          <w:szCs w:val="24"/>
        </w:rPr>
        <w:t xml:space="preserve">con el número de expediente </w:t>
      </w:r>
      <w:r w:rsidR="00A44305">
        <w:rPr>
          <w:rFonts w:ascii="Palatino Linotype" w:eastAsia="Palatino Linotype" w:hAnsi="Palatino Linotype" w:cs="Palatino Linotype"/>
          <w:b/>
          <w:sz w:val="24"/>
          <w:szCs w:val="24"/>
        </w:rPr>
        <w:t>01775/INFOEM/IP/RR/2025</w:t>
      </w:r>
      <w:r>
        <w:rPr>
          <w:rFonts w:ascii="Palatino Linotype" w:eastAsia="Palatino Linotype" w:hAnsi="Palatino Linotype" w:cs="Palatino Linotype"/>
          <w:sz w:val="24"/>
          <w:szCs w:val="24"/>
        </w:rPr>
        <w:t>, y señaló como acto impugnado y razones o motivos de inconformidad, lo siguiente:</w:t>
      </w:r>
    </w:p>
    <w:p w14:paraId="73748158" w14:textId="77777777" w:rsidR="00D2150D" w:rsidRDefault="00D2150D" w:rsidP="00D2150D">
      <w:pPr>
        <w:pBdr>
          <w:top w:val="nil"/>
          <w:left w:val="nil"/>
          <w:bottom w:val="nil"/>
          <w:right w:val="nil"/>
          <w:between w:val="nil"/>
        </w:pBdr>
        <w:spacing w:after="0" w:line="360" w:lineRule="auto"/>
        <w:jc w:val="both"/>
        <w:rPr>
          <w:rFonts w:ascii="Palatino Linotype" w:eastAsia="Palatino Linotype" w:hAnsi="Palatino Linotype" w:cs="Palatino Linotype"/>
          <w:b/>
          <w:sz w:val="24"/>
          <w:szCs w:val="24"/>
        </w:rPr>
      </w:pPr>
    </w:p>
    <w:p w14:paraId="5792FAAA" w14:textId="77777777" w:rsidR="00D2150D" w:rsidRPr="0038340D" w:rsidRDefault="00D2150D" w:rsidP="00D2150D">
      <w:pPr>
        <w:numPr>
          <w:ilvl w:val="0"/>
          <w:numId w:val="1"/>
        </w:numPr>
        <w:pBdr>
          <w:top w:val="nil"/>
          <w:left w:val="nil"/>
          <w:bottom w:val="nil"/>
          <w:right w:val="nil"/>
          <w:between w:val="nil"/>
        </w:pBdr>
        <w:spacing w:after="0" w:line="360" w:lineRule="auto"/>
        <w:jc w:val="both"/>
        <w:rPr>
          <w:i/>
        </w:rPr>
      </w:pPr>
      <w:r>
        <w:rPr>
          <w:rFonts w:ascii="Palatino Linotype" w:eastAsia="Palatino Linotype" w:hAnsi="Palatino Linotype" w:cs="Palatino Linotype"/>
          <w:b/>
          <w:i/>
          <w:color w:val="000000"/>
        </w:rPr>
        <w:t xml:space="preserve">Acto Impugnado: </w:t>
      </w:r>
    </w:p>
    <w:p w14:paraId="3CA72E24" w14:textId="77777777" w:rsidR="00D2150D" w:rsidRDefault="00D2150D" w:rsidP="00D2150D">
      <w:pPr>
        <w:pBdr>
          <w:top w:val="nil"/>
          <w:left w:val="nil"/>
          <w:bottom w:val="nil"/>
          <w:right w:val="nil"/>
          <w:between w:val="nil"/>
        </w:pBdr>
        <w:spacing w:after="0" w:line="360" w:lineRule="auto"/>
        <w:ind w:left="720"/>
        <w:jc w:val="both"/>
        <w:rPr>
          <w:i/>
        </w:rPr>
      </w:pPr>
      <w:r>
        <w:rPr>
          <w:rFonts w:ascii="Palatino Linotype" w:eastAsia="Palatino Linotype" w:hAnsi="Palatino Linotype" w:cs="Palatino Linotype"/>
          <w:i/>
          <w:color w:val="000000"/>
        </w:rPr>
        <w:t>“</w:t>
      </w:r>
      <w:r w:rsidR="00A44305" w:rsidRPr="00A44305">
        <w:rPr>
          <w:rFonts w:ascii="Palatino Linotype" w:eastAsia="Palatino Linotype" w:hAnsi="Palatino Linotype" w:cs="Palatino Linotype"/>
          <w:i/>
          <w:color w:val="000000"/>
        </w:rPr>
        <w:t>No presenta información</w:t>
      </w:r>
      <w:r w:rsidRPr="00D2150D">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 xml:space="preserve"> (Sic) </w:t>
      </w:r>
    </w:p>
    <w:p w14:paraId="74A1E182" w14:textId="77777777" w:rsidR="00D2150D" w:rsidRDefault="00D2150D" w:rsidP="00D2150D">
      <w:pPr>
        <w:pBdr>
          <w:top w:val="nil"/>
          <w:left w:val="nil"/>
          <w:bottom w:val="nil"/>
          <w:right w:val="nil"/>
          <w:between w:val="nil"/>
        </w:pBdr>
        <w:spacing w:after="0" w:line="360" w:lineRule="auto"/>
        <w:ind w:left="720"/>
        <w:jc w:val="both"/>
        <w:rPr>
          <w:rFonts w:ascii="Palatino Linotype" w:eastAsia="Palatino Linotype" w:hAnsi="Palatino Linotype" w:cs="Palatino Linotype"/>
          <w:i/>
          <w:color w:val="000000"/>
        </w:rPr>
      </w:pPr>
    </w:p>
    <w:p w14:paraId="01552E8B" w14:textId="77777777" w:rsidR="00D2150D" w:rsidRPr="0038340D" w:rsidRDefault="00D2150D" w:rsidP="00D2150D">
      <w:pPr>
        <w:numPr>
          <w:ilvl w:val="0"/>
          <w:numId w:val="1"/>
        </w:numPr>
        <w:pBdr>
          <w:top w:val="nil"/>
          <w:left w:val="nil"/>
          <w:bottom w:val="nil"/>
          <w:right w:val="nil"/>
          <w:between w:val="nil"/>
        </w:pBdr>
        <w:spacing w:after="0" w:line="360" w:lineRule="auto"/>
        <w:jc w:val="both"/>
      </w:pPr>
      <w:r>
        <w:rPr>
          <w:rFonts w:ascii="Palatino Linotype" w:eastAsia="Palatino Linotype" w:hAnsi="Palatino Linotype" w:cs="Palatino Linotype"/>
          <w:b/>
          <w:i/>
          <w:color w:val="000000"/>
        </w:rPr>
        <w:t>Razones o Motivos de Inconformidad</w:t>
      </w:r>
      <w:r>
        <w:rPr>
          <w:rFonts w:ascii="Palatino Linotype" w:eastAsia="Palatino Linotype" w:hAnsi="Palatino Linotype" w:cs="Palatino Linotype"/>
          <w:i/>
          <w:color w:val="000000"/>
        </w:rPr>
        <w:t xml:space="preserve">: </w:t>
      </w:r>
    </w:p>
    <w:p w14:paraId="3BE736C7" w14:textId="77777777" w:rsidR="00D2150D" w:rsidRDefault="00D2150D" w:rsidP="00D2150D">
      <w:pPr>
        <w:pBdr>
          <w:top w:val="nil"/>
          <w:left w:val="nil"/>
          <w:bottom w:val="nil"/>
          <w:right w:val="nil"/>
          <w:between w:val="nil"/>
        </w:pBdr>
        <w:spacing w:after="0" w:line="360" w:lineRule="auto"/>
        <w:ind w:left="720"/>
        <w:jc w:val="both"/>
      </w:pPr>
      <w:r>
        <w:rPr>
          <w:rFonts w:ascii="Palatino Linotype" w:eastAsia="Palatino Linotype" w:hAnsi="Palatino Linotype" w:cs="Palatino Linotype"/>
          <w:i/>
          <w:color w:val="000000"/>
        </w:rPr>
        <w:t>“</w:t>
      </w:r>
      <w:r w:rsidR="00A44305" w:rsidRPr="00A44305">
        <w:rPr>
          <w:rFonts w:ascii="Palatino Linotype" w:eastAsia="Palatino Linotype" w:hAnsi="Palatino Linotype" w:cs="Palatino Linotype"/>
          <w:i/>
          <w:color w:val="000000"/>
        </w:rPr>
        <w:t>No presenta información</w:t>
      </w:r>
      <w:r>
        <w:rPr>
          <w:rFonts w:ascii="Palatino Linotype" w:eastAsia="Palatino Linotype" w:hAnsi="Palatino Linotype" w:cs="Palatino Linotype"/>
          <w:i/>
          <w:color w:val="000000"/>
        </w:rPr>
        <w:t>”</w:t>
      </w:r>
      <w:r>
        <w:rPr>
          <w:rFonts w:ascii="Palatino Linotype" w:eastAsia="Palatino Linotype" w:hAnsi="Palatino Linotype" w:cs="Palatino Linotype"/>
          <w:color w:val="000000"/>
          <w:sz w:val="24"/>
          <w:szCs w:val="24"/>
        </w:rPr>
        <w:t xml:space="preserve"> (Sic)</w:t>
      </w:r>
      <w:r>
        <w:rPr>
          <w:rFonts w:ascii="Times New Roman" w:eastAsia="Times New Roman" w:hAnsi="Times New Roman" w:cs="Times New Roman"/>
          <w:color w:val="000000"/>
          <w:sz w:val="24"/>
          <w:szCs w:val="24"/>
        </w:rPr>
        <w:t xml:space="preserve"> </w:t>
      </w:r>
    </w:p>
    <w:p w14:paraId="302D578C"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56846056" w14:textId="77777777" w:rsidR="00D2150D" w:rsidRPr="002C3EC8" w:rsidRDefault="00D2150D" w:rsidP="00D2150D">
      <w:pPr>
        <w:spacing w:before="240" w:line="360" w:lineRule="auto"/>
        <w:jc w:val="both"/>
        <w:rPr>
          <w:rFonts w:ascii="Palatino Linotype" w:hAnsi="Palatino Linotype" w:cs="Arial"/>
          <w:b/>
        </w:rPr>
      </w:pPr>
      <w:r>
        <w:rPr>
          <w:rFonts w:ascii="Palatino Linotype" w:hAnsi="Palatino Linotype" w:cs="Arial"/>
          <w:b/>
          <w:sz w:val="28"/>
        </w:rPr>
        <w:t>CUARTO</w:t>
      </w:r>
      <w:r w:rsidRPr="002C3EC8">
        <w:rPr>
          <w:rFonts w:ascii="Palatino Linotype" w:hAnsi="Palatino Linotype" w:cs="Arial"/>
          <w:b/>
        </w:rPr>
        <w:t xml:space="preserve">. </w:t>
      </w:r>
      <w:r w:rsidRPr="002C3EC8">
        <w:rPr>
          <w:rFonts w:ascii="Palatino Linotype" w:hAnsi="Palatino Linotype" w:cs="Arial"/>
          <w:b/>
          <w:sz w:val="28"/>
          <w:szCs w:val="28"/>
        </w:rPr>
        <w:t>Del turno</w:t>
      </w:r>
      <w:r>
        <w:rPr>
          <w:rFonts w:ascii="Palatino Linotype" w:hAnsi="Palatino Linotype" w:cs="Arial"/>
          <w:b/>
          <w:sz w:val="28"/>
          <w:szCs w:val="28"/>
        </w:rPr>
        <w:t xml:space="preserve"> y admisión</w:t>
      </w:r>
      <w:r w:rsidRPr="002C3EC8">
        <w:rPr>
          <w:rFonts w:ascii="Palatino Linotype" w:hAnsi="Palatino Linotype" w:cs="Arial"/>
          <w:b/>
          <w:sz w:val="28"/>
          <w:szCs w:val="28"/>
        </w:rPr>
        <w:t xml:space="preserve"> del recurso de revisión.</w:t>
      </w:r>
    </w:p>
    <w:p w14:paraId="2F70B236" w14:textId="77777777" w:rsidR="00D2150D" w:rsidRPr="00EB21AC" w:rsidRDefault="00D2150D" w:rsidP="00D2150D">
      <w:pPr>
        <w:spacing w:before="240" w:line="360" w:lineRule="auto"/>
        <w:jc w:val="both"/>
        <w:rPr>
          <w:rFonts w:ascii="Palatino Linotype" w:hAnsi="Palatino Linotype" w:cs="Arial"/>
          <w:sz w:val="32"/>
        </w:rPr>
      </w:pPr>
      <w:r w:rsidRPr="00EB21AC">
        <w:rPr>
          <w:rFonts w:ascii="Palatino Linotype" w:hAnsi="Palatino Linotype"/>
          <w:sz w:val="24"/>
        </w:rPr>
        <w:t xml:space="preserve">El medio de impugnación fue turnado al Comisionado Presidente </w:t>
      </w:r>
      <w:r w:rsidRPr="00EB21AC">
        <w:rPr>
          <w:rFonts w:ascii="Palatino Linotype" w:hAnsi="Palatino Linotype"/>
          <w:b/>
          <w:sz w:val="24"/>
        </w:rPr>
        <w:t>José Martínez Vilchis,</w:t>
      </w:r>
      <w:r w:rsidRPr="00EB21AC">
        <w:rPr>
          <w:rFonts w:ascii="Palatino Linotype" w:hAnsi="Palatino Linotype"/>
          <w:sz w:val="24"/>
        </w:rPr>
        <w:t xml:space="preserve"> por medio del sistema electrónico SAIMEX, en términos del artículo 185, fracción I, de la Ley de Transparencia y Acceso a la información Pública del Estado de </w:t>
      </w:r>
      <w:r w:rsidRPr="00EB21AC">
        <w:rPr>
          <w:rFonts w:ascii="Palatino Linotype" w:hAnsi="Palatino Linotype"/>
          <w:sz w:val="24"/>
        </w:rPr>
        <w:lastRenderedPageBreak/>
        <w:t xml:space="preserve">México y Municipios, del cual recayó acuerdo de </w:t>
      </w:r>
      <w:r w:rsidRPr="00EB21AC">
        <w:rPr>
          <w:rFonts w:ascii="Palatino Linotype" w:hAnsi="Palatino Linotype"/>
          <w:b/>
          <w:sz w:val="24"/>
        </w:rPr>
        <w:t>admisión</w:t>
      </w:r>
      <w:r w:rsidRPr="00EB21AC">
        <w:rPr>
          <w:rFonts w:ascii="Palatino Linotype" w:hAnsi="Palatino Linotype"/>
          <w:sz w:val="24"/>
        </w:rPr>
        <w:t xml:space="preserve"> en fecha </w:t>
      </w:r>
      <w:r w:rsidR="00A44305">
        <w:rPr>
          <w:rFonts w:ascii="Palatino Linotype" w:hAnsi="Palatino Linotype"/>
          <w:b/>
          <w:sz w:val="24"/>
        </w:rPr>
        <w:t>veinticuatro</w:t>
      </w:r>
      <w:r>
        <w:rPr>
          <w:rFonts w:ascii="Palatino Linotype" w:hAnsi="Palatino Linotype"/>
          <w:b/>
          <w:sz w:val="24"/>
        </w:rPr>
        <w:t xml:space="preserve"> de febrero de dos mil veinticinco</w:t>
      </w:r>
      <w:r w:rsidRPr="00EB21AC">
        <w:rPr>
          <w:rFonts w:ascii="Palatino Linotype" w:hAnsi="Palatino Linotype"/>
          <w:sz w:val="24"/>
        </w:rPr>
        <w:t>, determinándose en ellos, un plazo de siete días para que las partes manifestaran lo que a su derecho corresponda en términos del numeral ya citado.</w:t>
      </w:r>
    </w:p>
    <w:p w14:paraId="11719BD6" w14:textId="77777777" w:rsidR="00D2150D" w:rsidRDefault="00D2150D" w:rsidP="00D2150D">
      <w:pPr>
        <w:spacing w:after="0" w:line="360" w:lineRule="auto"/>
        <w:jc w:val="both"/>
        <w:rPr>
          <w:rFonts w:ascii="Palatino Linotype" w:eastAsia="Palatino Linotype" w:hAnsi="Palatino Linotype" w:cs="Palatino Linotype"/>
          <w:b/>
          <w:sz w:val="28"/>
          <w:szCs w:val="28"/>
        </w:rPr>
      </w:pPr>
    </w:p>
    <w:p w14:paraId="4E740887" w14:textId="77777777" w:rsidR="00D2150D" w:rsidRPr="00E52C83" w:rsidRDefault="00D2150D" w:rsidP="00D2150D">
      <w:pPr>
        <w:pStyle w:val="Prrafodelista"/>
        <w:spacing w:line="360" w:lineRule="auto"/>
        <w:ind w:left="0"/>
        <w:jc w:val="both"/>
        <w:rPr>
          <w:rFonts w:ascii="Palatino Linotype" w:hAnsi="Palatino Linotype" w:cs="Arial"/>
          <w:b/>
          <w:sz w:val="28"/>
          <w:szCs w:val="28"/>
        </w:rPr>
      </w:pPr>
      <w:r>
        <w:rPr>
          <w:rFonts w:ascii="Palatino Linotype" w:hAnsi="Palatino Linotype" w:cs="Arial"/>
          <w:b/>
          <w:sz w:val="28"/>
        </w:rPr>
        <w:t>QUIN</w:t>
      </w:r>
      <w:r w:rsidRPr="002C3EC8">
        <w:rPr>
          <w:rFonts w:ascii="Palatino Linotype" w:hAnsi="Palatino Linotype" w:cs="Arial"/>
          <w:b/>
          <w:sz w:val="28"/>
        </w:rPr>
        <w:t>TO</w:t>
      </w:r>
      <w:r w:rsidRPr="002C3EC8">
        <w:rPr>
          <w:rFonts w:ascii="Palatino Linotype" w:hAnsi="Palatino Linotype" w:cs="Arial"/>
          <w:b/>
        </w:rPr>
        <w:t>.</w:t>
      </w:r>
      <w:r w:rsidRPr="002C3EC8">
        <w:rPr>
          <w:rFonts w:ascii="Palatino Linotype" w:hAnsi="Palatino Linotype" w:cs="Arial"/>
          <w:b/>
          <w:sz w:val="28"/>
          <w:szCs w:val="28"/>
        </w:rPr>
        <w:t xml:space="preserve"> De la etapa de instrucción.</w:t>
      </w:r>
    </w:p>
    <w:p w14:paraId="54780E31" w14:textId="77777777" w:rsidR="005F595E" w:rsidRPr="005F595E" w:rsidRDefault="005F595E" w:rsidP="005F595E">
      <w:pPr>
        <w:spacing w:line="360" w:lineRule="auto"/>
        <w:jc w:val="both"/>
        <w:rPr>
          <w:rFonts w:ascii="Palatino Linotype" w:hAnsi="Palatino Linotype"/>
          <w:sz w:val="24"/>
        </w:rPr>
      </w:pPr>
      <w:r w:rsidRPr="005F595E">
        <w:rPr>
          <w:rFonts w:ascii="Palatino Linotype" w:hAnsi="Palatino Linotype" w:cs="Arial"/>
          <w:sz w:val="24"/>
        </w:rPr>
        <w:t xml:space="preserve">De las constancias que obran en el expediente electrónico del SAIMEX, se advierte que el </w:t>
      </w:r>
      <w:r w:rsidRPr="005F595E">
        <w:rPr>
          <w:rFonts w:ascii="Palatino Linotype" w:hAnsi="Palatino Linotype" w:cs="Arial"/>
          <w:b/>
          <w:sz w:val="24"/>
        </w:rPr>
        <w:t>Sujeto Obligado</w:t>
      </w:r>
      <w:r w:rsidRPr="005F595E">
        <w:rPr>
          <w:rFonts w:ascii="Palatino Linotype" w:hAnsi="Palatino Linotype" w:cs="Arial"/>
          <w:sz w:val="24"/>
        </w:rPr>
        <w:t xml:space="preserve"> rindió su informe justificado en fecha </w:t>
      </w:r>
      <w:r>
        <w:rPr>
          <w:rFonts w:ascii="Palatino Linotype" w:hAnsi="Palatino Linotype" w:cs="Arial"/>
          <w:sz w:val="24"/>
        </w:rPr>
        <w:t>seis de marzo</w:t>
      </w:r>
      <w:r w:rsidRPr="005F595E">
        <w:rPr>
          <w:rFonts w:ascii="Palatino Linotype" w:hAnsi="Palatino Linotype" w:cs="Arial"/>
          <w:sz w:val="24"/>
        </w:rPr>
        <w:t xml:space="preserve"> de dos mil veinticinco, por medio del archivo electrónico </w:t>
      </w:r>
      <w:r w:rsidRPr="005F595E">
        <w:rPr>
          <w:rFonts w:ascii="Palatino Linotype" w:hAnsi="Palatino Linotype" w:cs="Arial"/>
          <w:b/>
          <w:sz w:val="24"/>
        </w:rPr>
        <w:t>“CHIC_OPDAPAS_DO_007_2025 (2).</w:t>
      </w:r>
      <w:proofErr w:type="spellStart"/>
      <w:r w:rsidRPr="005F595E">
        <w:rPr>
          <w:rFonts w:ascii="Palatino Linotype" w:hAnsi="Palatino Linotype" w:cs="Arial"/>
          <w:b/>
          <w:sz w:val="24"/>
        </w:rPr>
        <w:t>pdf</w:t>
      </w:r>
      <w:proofErr w:type="spellEnd"/>
      <w:r w:rsidRPr="005F595E">
        <w:rPr>
          <w:rFonts w:ascii="Palatino Linotype" w:hAnsi="Palatino Linotype" w:cs="Arial"/>
          <w:sz w:val="24"/>
        </w:rPr>
        <w:t xml:space="preserve">”, mismo que fue puesto a la vista del Recurrente en fecha </w:t>
      </w:r>
      <w:r>
        <w:rPr>
          <w:rFonts w:ascii="Palatino Linotype" w:hAnsi="Palatino Linotype" w:cs="Arial"/>
          <w:sz w:val="24"/>
        </w:rPr>
        <w:t>dieciocho</w:t>
      </w:r>
      <w:r w:rsidRPr="005F595E">
        <w:rPr>
          <w:rFonts w:ascii="Palatino Linotype" w:hAnsi="Palatino Linotype" w:cs="Arial"/>
          <w:sz w:val="24"/>
        </w:rPr>
        <w:t xml:space="preserve"> de marzo de dos mil veinticinco</w:t>
      </w:r>
      <w:r w:rsidRPr="005F595E">
        <w:rPr>
          <w:rFonts w:ascii="Palatino Linotype" w:hAnsi="Palatino Linotype" w:cs="Arial"/>
          <w:b/>
          <w:i/>
          <w:sz w:val="24"/>
        </w:rPr>
        <w:t>.</w:t>
      </w:r>
    </w:p>
    <w:p w14:paraId="1CC53DE7" w14:textId="77777777" w:rsidR="005F595E" w:rsidRPr="005F595E" w:rsidRDefault="005F595E" w:rsidP="005F595E">
      <w:pPr>
        <w:spacing w:line="360" w:lineRule="auto"/>
        <w:jc w:val="both"/>
        <w:rPr>
          <w:rFonts w:ascii="Palatino Linotype" w:hAnsi="Palatino Linotype"/>
          <w:sz w:val="24"/>
        </w:rPr>
      </w:pPr>
    </w:p>
    <w:p w14:paraId="55E48110" w14:textId="77777777" w:rsidR="005F595E" w:rsidRPr="005F595E" w:rsidRDefault="005F595E" w:rsidP="005F595E">
      <w:pPr>
        <w:spacing w:line="360" w:lineRule="auto"/>
        <w:jc w:val="both"/>
        <w:rPr>
          <w:rFonts w:ascii="Palatino Linotype" w:hAnsi="Palatino Linotype" w:cs="Arial"/>
          <w:sz w:val="24"/>
        </w:rPr>
      </w:pPr>
      <w:r w:rsidRPr="005F595E">
        <w:rPr>
          <w:rFonts w:ascii="Palatino Linotype" w:hAnsi="Palatino Linotype" w:cs="Arial"/>
          <w:sz w:val="24"/>
        </w:rPr>
        <w:t xml:space="preserve">Así mismo, se aprecia que no se llevaron a cabo audiencias durante la sustanciación del recurso de revisión, ni se ofrecieron pruebas por parte del </w:t>
      </w:r>
      <w:r w:rsidRPr="005F595E">
        <w:rPr>
          <w:rFonts w:ascii="Palatino Linotype" w:hAnsi="Palatino Linotype" w:cs="Arial"/>
          <w:b/>
          <w:sz w:val="24"/>
        </w:rPr>
        <w:t>Recurrente</w:t>
      </w:r>
      <w:r w:rsidRPr="005F595E">
        <w:rPr>
          <w:rFonts w:ascii="Palatino Linotype" w:hAnsi="Palatino Linotype" w:cs="Arial"/>
          <w:sz w:val="24"/>
        </w:rPr>
        <w:t>; todo lo anterior en términos de los artículos 185 fracciones II y IV, y 195 de la Ley de Transparencia y Acceso a la Información Pública del Estado de México y Municipios.</w:t>
      </w:r>
    </w:p>
    <w:p w14:paraId="3A381ADB" w14:textId="77777777" w:rsidR="00D2150D" w:rsidRDefault="00D2150D" w:rsidP="00D2150D">
      <w:pPr>
        <w:spacing w:after="0" w:line="360" w:lineRule="auto"/>
        <w:jc w:val="both"/>
        <w:rPr>
          <w:rFonts w:ascii="Palatino Linotype" w:hAnsi="Palatino Linotype" w:cs="Arial"/>
          <w:b/>
          <w:sz w:val="28"/>
          <w:szCs w:val="28"/>
        </w:rPr>
      </w:pPr>
    </w:p>
    <w:p w14:paraId="156B0772" w14:textId="77777777" w:rsidR="00D2150D" w:rsidRPr="002C3EC8" w:rsidRDefault="00D2150D" w:rsidP="00D2150D">
      <w:pPr>
        <w:spacing w:after="0" w:line="360" w:lineRule="auto"/>
        <w:jc w:val="both"/>
        <w:rPr>
          <w:rFonts w:ascii="Palatino Linotype" w:hAnsi="Palatino Linotype" w:cs="Arial"/>
          <w:b/>
          <w:sz w:val="28"/>
          <w:szCs w:val="28"/>
        </w:rPr>
      </w:pPr>
      <w:r>
        <w:rPr>
          <w:rFonts w:ascii="Palatino Linotype" w:hAnsi="Palatino Linotype" w:cs="Arial"/>
          <w:b/>
          <w:sz w:val="28"/>
          <w:szCs w:val="28"/>
        </w:rPr>
        <w:t>SEXTO</w:t>
      </w:r>
      <w:r w:rsidRPr="002C3EC8">
        <w:rPr>
          <w:rFonts w:ascii="Palatino Linotype" w:hAnsi="Palatino Linotype" w:cs="Arial"/>
          <w:b/>
          <w:sz w:val="28"/>
          <w:szCs w:val="28"/>
        </w:rPr>
        <w:t>. Del Cierre de Instrucción.</w:t>
      </w:r>
    </w:p>
    <w:p w14:paraId="4609699E" w14:textId="77777777" w:rsidR="00D2150D" w:rsidRDefault="00D2150D" w:rsidP="00D2150D">
      <w:pPr>
        <w:spacing w:after="0" w:line="360" w:lineRule="auto"/>
        <w:jc w:val="both"/>
        <w:rPr>
          <w:rFonts w:ascii="Palatino Linotype" w:hAnsi="Palatino Linotype" w:cs="Arial"/>
          <w:sz w:val="24"/>
          <w:szCs w:val="24"/>
        </w:rPr>
      </w:pPr>
      <w:r w:rsidRPr="002C3EC8">
        <w:rPr>
          <w:rFonts w:ascii="Palatino Linotype" w:hAnsi="Palatino Linotype" w:cs="Arial"/>
          <w:sz w:val="24"/>
          <w:szCs w:val="24"/>
        </w:rPr>
        <w:t>Por lo que una vez transcurrido el periodo otorgado a las partes de siete días hábiles para realizar sus manifestaciones en el acuerdo de admisión, y no habiendo prueba pendiente por desahogar, ni que documentos que integrar al expediente electrónico, se decretó el</w:t>
      </w:r>
      <w:r>
        <w:rPr>
          <w:rFonts w:ascii="Palatino Linotype" w:hAnsi="Palatino Linotype" w:cs="Arial"/>
          <w:sz w:val="24"/>
          <w:szCs w:val="24"/>
        </w:rPr>
        <w:t xml:space="preserve"> cierre de instrucción en fecha </w:t>
      </w:r>
      <w:r w:rsidR="005F595E">
        <w:rPr>
          <w:rFonts w:ascii="Palatino Linotype" w:hAnsi="Palatino Linotype" w:cs="Arial"/>
          <w:b/>
          <w:sz w:val="24"/>
          <w:szCs w:val="24"/>
        </w:rPr>
        <w:t>veinticuatro</w:t>
      </w:r>
      <w:r>
        <w:rPr>
          <w:rFonts w:ascii="Palatino Linotype" w:hAnsi="Palatino Linotype" w:cs="Arial"/>
          <w:b/>
          <w:sz w:val="24"/>
          <w:szCs w:val="24"/>
        </w:rPr>
        <w:t xml:space="preserve"> de marzo de dos mil </w:t>
      </w:r>
      <w:r>
        <w:rPr>
          <w:rFonts w:ascii="Palatino Linotype" w:hAnsi="Palatino Linotype" w:cs="Arial"/>
          <w:b/>
          <w:sz w:val="24"/>
          <w:szCs w:val="24"/>
        </w:rPr>
        <w:lastRenderedPageBreak/>
        <w:t>veinticinco</w:t>
      </w:r>
      <w:r w:rsidRPr="002C3EC8">
        <w:rPr>
          <w:rFonts w:ascii="Palatino Linotype" w:hAnsi="Palatino Linotype" w:cs="Arial"/>
          <w:sz w:val="24"/>
          <w:szCs w:val="24"/>
        </w:rPr>
        <w:t>, en términos del artículo 185 fracción VI de la Ley de Transparencia y Acceso a la Información Pública del Estado de México y Municipios, ordenándose turnar el expediente a la resolución que en derecho proceda.</w:t>
      </w:r>
    </w:p>
    <w:p w14:paraId="7225BDFE"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CF6B32F" w14:textId="77777777" w:rsidR="00D2150D" w:rsidRDefault="00D2150D" w:rsidP="00D2150D">
      <w:pPr>
        <w:spacing w:after="0" w:line="36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b/>
          <w:sz w:val="28"/>
          <w:szCs w:val="28"/>
        </w:rPr>
        <w:t xml:space="preserve">C O N S I D E R A N D O </w:t>
      </w:r>
    </w:p>
    <w:p w14:paraId="0F44D9EF"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5F6960B7" w14:textId="77777777" w:rsidR="00D2150D" w:rsidRPr="00EB21AC" w:rsidRDefault="00D2150D" w:rsidP="00D2150D">
      <w:pPr>
        <w:spacing w:after="0" w:line="360" w:lineRule="auto"/>
        <w:jc w:val="both"/>
        <w:rPr>
          <w:rFonts w:ascii="Palatino Linotype" w:eastAsia="Palatino Linotype" w:hAnsi="Palatino Linotype" w:cs="Palatino Linotype"/>
          <w:sz w:val="28"/>
          <w:szCs w:val="24"/>
        </w:rPr>
      </w:pPr>
      <w:r w:rsidRPr="00EB21AC">
        <w:rPr>
          <w:rFonts w:ascii="Palatino Linotype" w:eastAsia="Palatino Linotype" w:hAnsi="Palatino Linotype" w:cs="Palatino Linotype"/>
          <w:b/>
          <w:sz w:val="28"/>
          <w:szCs w:val="24"/>
        </w:rPr>
        <w:t>PRIMERO. De la competencia</w:t>
      </w:r>
      <w:r w:rsidRPr="00EB21AC">
        <w:rPr>
          <w:rFonts w:ascii="Palatino Linotype" w:eastAsia="Palatino Linotype" w:hAnsi="Palatino Linotype" w:cs="Palatino Linotype"/>
          <w:sz w:val="28"/>
          <w:szCs w:val="24"/>
        </w:rPr>
        <w:t>.</w:t>
      </w:r>
    </w:p>
    <w:p w14:paraId="68B043D7" w14:textId="77777777" w:rsidR="00462245" w:rsidRDefault="00520871" w:rsidP="00D2150D">
      <w:pPr>
        <w:spacing w:after="0" w:line="360" w:lineRule="auto"/>
        <w:jc w:val="both"/>
        <w:rPr>
          <w:rFonts w:ascii="Palatino Linotype" w:eastAsia="Palatino Linotype" w:hAnsi="Palatino Linotype" w:cs="Palatino Linotype"/>
          <w:sz w:val="24"/>
          <w:szCs w:val="24"/>
        </w:rPr>
      </w:pPr>
      <w:r>
        <w:rPr>
          <w:rFonts w:ascii="Palatino Linotype" w:hAnsi="Palatino Linotype"/>
          <w:sz w:val="24"/>
          <w:szCs w:val="24"/>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4D277682"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7DFA262D" w14:textId="77777777" w:rsidR="009354A8" w:rsidRPr="00667998" w:rsidRDefault="009354A8" w:rsidP="009354A8">
      <w:pPr>
        <w:pStyle w:val="Prrafodelista"/>
        <w:autoSpaceDE w:val="0"/>
        <w:autoSpaceDN w:val="0"/>
        <w:adjustRightInd w:val="0"/>
        <w:spacing w:line="360" w:lineRule="auto"/>
        <w:ind w:left="0"/>
        <w:jc w:val="both"/>
        <w:rPr>
          <w:rFonts w:ascii="Palatino Linotype" w:hAnsi="Palatino Linotype" w:cs="Arial"/>
          <w:b/>
        </w:rPr>
      </w:pPr>
      <w:r w:rsidRPr="00667998">
        <w:rPr>
          <w:rFonts w:ascii="Palatino Linotype" w:hAnsi="Palatino Linotype" w:cs="Arial"/>
          <w:b/>
          <w:sz w:val="28"/>
        </w:rPr>
        <w:t>SEGUNDO</w:t>
      </w:r>
      <w:r w:rsidRPr="00667998">
        <w:rPr>
          <w:rFonts w:ascii="Palatino Linotype" w:hAnsi="Palatino Linotype" w:cs="Arial"/>
          <w:b/>
        </w:rPr>
        <w:t xml:space="preserve">. </w:t>
      </w:r>
      <w:r w:rsidRPr="00667998">
        <w:rPr>
          <w:rFonts w:ascii="Palatino Linotype" w:hAnsi="Palatino Linotype" w:cs="Arial"/>
          <w:b/>
          <w:sz w:val="28"/>
          <w:szCs w:val="28"/>
        </w:rPr>
        <w:t>Sobre los alcances del recurso de revisión.</w:t>
      </w:r>
      <w:r w:rsidRPr="00667998">
        <w:rPr>
          <w:rFonts w:ascii="Palatino Linotype" w:hAnsi="Palatino Linotype" w:cs="Arial"/>
          <w:b/>
        </w:rPr>
        <w:t xml:space="preserve"> </w:t>
      </w:r>
    </w:p>
    <w:p w14:paraId="00977B19" w14:textId="77777777" w:rsidR="009354A8" w:rsidRDefault="009354A8" w:rsidP="009354A8">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 xml:space="preserve">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w:t>
      </w:r>
      <w:r>
        <w:rPr>
          <w:rFonts w:ascii="Palatino Linotype" w:hAnsi="Palatino Linotype" w:cs="Arial"/>
          <w:sz w:val="24"/>
          <w:szCs w:val="24"/>
        </w:rPr>
        <w:lastRenderedPageBreak/>
        <w:t>en el expediente electrónico con la finalidad de reparar cualquier posible afectación al derecho de acceso a la información pública y garantizando el principio rector de máxima publicidad.</w:t>
      </w:r>
    </w:p>
    <w:p w14:paraId="4E5A0D2D" w14:textId="77777777" w:rsidR="009354A8" w:rsidRDefault="009354A8" w:rsidP="009354A8">
      <w:pPr>
        <w:autoSpaceDE w:val="0"/>
        <w:autoSpaceDN w:val="0"/>
        <w:adjustRightInd w:val="0"/>
        <w:spacing w:after="0" w:line="360" w:lineRule="auto"/>
        <w:jc w:val="both"/>
        <w:rPr>
          <w:rFonts w:ascii="Palatino Linotype" w:hAnsi="Palatino Linotype" w:cs="Arial"/>
          <w:sz w:val="24"/>
          <w:szCs w:val="24"/>
        </w:rPr>
      </w:pPr>
    </w:p>
    <w:p w14:paraId="6FB85FCC"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0F40025C"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p>
    <w:p w14:paraId="25A7309B"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163.</w:t>
      </w:r>
      <w:r w:rsidRPr="00DF23DA">
        <w:rPr>
          <w:rFonts w:ascii="Palatino Linotype" w:eastAsia="Times New Roman" w:hAnsi="Palatino Linotype" w:cs="Arial"/>
          <w:i/>
          <w:lang w:val="es-ES" w:eastAsia="es-ES"/>
        </w:rPr>
        <w:t xml:space="preserve"> </w:t>
      </w:r>
      <w:r w:rsidRPr="00DF23DA">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1A007218"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1E25B6A5" w14:textId="77777777" w:rsidR="009354A8" w:rsidRPr="00DF23DA" w:rsidRDefault="009354A8" w:rsidP="009354A8">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27DCAD10"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p>
    <w:p w14:paraId="57E7FF79"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la interpretación al precepto legal inserto, se advierte que el plazo que les asiste a los </w:t>
      </w:r>
      <w:r w:rsidRPr="00DF23DA">
        <w:rPr>
          <w:rFonts w:ascii="Palatino Linotype" w:hAnsi="Palatino Linotype" w:cs="Arial"/>
          <w:b/>
          <w:sz w:val="24"/>
          <w:szCs w:val="24"/>
        </w:rPr>
        <w:t>sujetos</w:t>
      </w:r>
      <w:r w:rsidRPr="00DF23DA">
        <w:rPr>
          <w:rFonts w:ascii="Palatino Linotype" w:hAnsi="Palatino Linotype" w:cs="Arial"/>
          <w:sz w:val="24"/>
          <w:szCs w:val="24"/>
        </w:rPr>
        <w:t xml:space="preserve"> </w:t>
      </w:r>
      <w:r w:rsidRPr="00DF23DA">
        <w:rPr>
          <w:rFonts w:ascii="Palatino Linotype" w:hAnsi="Palatino Linotype" w:cs="Arial"/>
          <w:b/>
          <w:sz w:val="24"/>
          <w:szCs w:val="24"/>
        </w:rPr>
        <w:t>obligados</w:t>
      </w:r>
      <w:r w:rsidRPr="00DF23DA">
        <w:rPr>
          <w:rFonts w:ascii="Palatino Linotype"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7A40BBCA"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p>
    <w:p w14:paraId="207137BC"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lastRenderedPageBreak/>
        <w:t xml:space="preserve">Se constituye la figura jurídica de la </w:t>
      </w:r>
      <w:r w:rsidRPr="00DF23DA">
        <w:rPr>
          <w:rFonts w:ascii="Palatino Linotype" w:hAnsi="Palatino Linotype" w:cs="Arial"/>
          <w:b/>
          <w:i/>
          <w:sz w:val="24"/>
          <w:szCs w:val="24"/>
        </w:rPr>
        <w:t>NEGATIVA FICTA</w:t>
      </w:r>
      <w:r w:rsidRPr="00DF23DA">
        <w:rPr>
          <w:rFonts w:ascii="Palatino Linotype"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3273EACF" w14:textId="77777777" w:rsidR="009354A8" w:rsidRPr="00DF23DA" w:rsidRDefault="009354A8" w:rsidP="009354A8">
      <w:pPr>
        <w:spacing w:after="0" w:line="240" w:lineRule="auto"/>
        <w:rPr>
          <w:rFonts w:ascii="Palatino Linotype" w:hAnsi="Palatino Linotype"/>
        </w:rPr>
      </w:pPr>
    </w:p>
    <w:p w14:paraId="2403D3EE"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w:t>
      </w:r>
      <w:r w:rsidRPr="00DF23DA">
        <w:rPr>
          <w:rFonts w:ascii="Palatino Linotype" w:eastAsia="Times New Roman" w:hAnsi="Palatino Linotype" w:cs="Arial"/>
          <w:b/>
          <w:i/>
          <w:lang w:val="es-ES" w:eastAsia="es-ES"/>
        </w:rPr>
        <w:t>Artículo 178.</w:t>
      </w:r>
      <w:r w:rsidRPr="00DF23DA">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1E604F0"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30583CDC"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F23DA">
        <w:rPr>
          <w:rFonts w:ascii="Palatino Linotype" w:eastAsia="Times New Roman" w:hAnsi="Palatino Linotype" w:cs="Arial"/>
          <w:i/>
          <w:lang w:val="es-ES" w:eastAsia="es-ES"/>
        </w:rPr>
        <w:t>, acompañado con el documento que pruebe la fecha en que presentó la solicitud.</w:t>
      </w:r>
    </w:p>
    <w:p w14:paraId="44239D50"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2556D44A"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F23DA">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0F1AE6A3" w14:textId="77777777" w:rsidR="009354A8" w:rsidRPr="00DF23DA" w:rsidRDefault="009354A8" w:rsidP="009354A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160EC732" w14:textId="77777777" w:rsidR="009354A8" w:rsidRPr="00DF23DA" w:rsidRDefault="009354A8" w:rsidP="009354A8">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F23DA">
        <w:rPr>
          <w:rFonts w:ascii="Palatino Linotype" w:eastAsia="Times New Roman" w:hAnsi="Palatino Linotype" w:cs="Arial"/>
          <w:lang w:val="es-ES" w:eastAsia="es-ES"/>
        </w:rPr>
        <w:t>(Énfasis añadido)</w:t>
      </w:r>
    </w:p>
    <w:p w14:paraId="4FFC83AF"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p>
    <w:p w14:paraId="2554A518" w14:textId="77777777" w:rsidR="009354A8" w:rsidRPr="00DF23DA" w:rsidRDefault="009354A8" w:rsidP="009354A8">
      <w:pPr>
        <w:autoSpaceDE w:val="0"/>
        <w:autoSpaceDN w:val="0"/>
        <w:adjustRightInd w:val="0"/>
        <w:spacing w:after="0" w:line="360" w:lineRule="auto"/>
        <w:jc w:val="both"/>
        <w:rPr>
          <w:rFonts w:ascii="Palatino Linotype" w:hAnsi="Palatino Linotype" w:cs="Arial"/>
          <w:sz w:val="24"/>
          <w:szCs w:val="24"/>
        </w:rPr>
      </w:pPr>
      <w:r w:rsidRPr="00DF23DA">
        <w:rPr>
          <w:rFonts w:ascii="Palatino Linotype"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F23DA">
        <w:rPr>
          <w:rFonts w:ascii="Palatino Linotype" w:hAnsi="Palatino Linotype" w:cs="Arial"/>
          <w:b/>
          <w:sz w:val="24"/>
          <w:szCs w:val="24"/>
        </w:rPr>
        <w:t>Sujeto Obligado</w:t>
      </w:r>
      <w:r w:rsidRPr="00DF23DA">
        <w:rPr>
          <w:rFonts w:ascii="Palatino Linotype"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3B4E5F5D" w14:textId="77777777" w:rsidR="009354A8" w:rsidRDefault="009354A8" w:rsidP="009354A8">
      <w:pPr>
        <w:pStyle w:val="Prrafodelista"/>
        <w:autoSpaceDE w:val="0"/>
        <w:autoSpaceDN w:val="0"/>
        <w:adjustRightInd w:val="0"/>
        <w:spacing w:line="360" w:lineRule="auto"/>
        <w:ind w:left="0"/>
        <w:jc w:val="both"/>
        <w:rPr>
          <w:rFonts w:ascii="Palatino Linotype" w:hAnsi="Palatino Linotype" w:cs="Arial"/>
          <w:b/>
        </w:rPr>
      </w:pPr>
    </w:p>
    <w:p w14:paraId="48AD3DDD" w14:textId="77777777" w:rsidR="009354A8" w:rsidRPr="00DF23DA" w:rsidRDefault="009354A8" w:rsidP="009354A8">
      <w:pPr>
        <w:spacing w:after="0" w:line="360" w:lineRule="auto"/>
        <w:ind w:right="49"/>
        <w:jc w:val="both"/>
        <w:rPr>
          <w:rFonts w:ascii="Palatino Linotype" w:eastAsia="Times New Roman" w:hAnsi="Palatino Linotype" w:cs="Arial"/>
          <w:b/>
          <w:sz w:val="28"/>
          <w:szCs w:val="28"/>
          <w:lang w:val="es-ES" w:eastAsia="es-ES"/>
        </w:rPr>
      </w:pPr>
      <w:r w:rsidRPr="00DF23DA">
        <w:rPr>
          <w:rFonts w:ascii="Palatino Linotype" w:eastAsia="Times New Roman" w:hAnsi="Palatino Linotype" w:cs="Arial"/>
          <w:b/>
          <w:sz w:val="28"/>
          <w:szCs w:val="28"/>
          <w:lang w:val="es-ES" w:eastAsia="es-ES"/>
        </w:rPr>
        <w:t>TERCERO.</w:t>
      </w:r>
      <w:r w:rsidRPr="00DF23DA">
        <w:rPr>
          <w:rFonts w:ascii="Palatino Linotype" w:eastAsia="Times New Roman" w:hAnsi="Palatino Linotype" w:cs="Arial"/>
          <w:sz w:val="28"/>
          <w:szCs w:val="28"/>
          <w:lang w:val="es-ES" w:eastAsia="es-ES"/>
        </w:rPr>
        <w:t xml:space="preserve"> </w:t>
      </w:r>
      <w:r w:rsidRPr="00DF23DA">
        <w:rPr>
          <w:rFonts w:ascii="Palatino Linotype" w:eastAsia="Times New Roman" w:hAnsi="Palatino Linotype" w:cs="Arial"/>
          <w:b/>
          <w:sz w:val="28"/>
          <w:szCs w:val="28"/>
          <w:lang w:val="es-ES" w:eastAsia="es-ES"/>
        </w:rPr>
        <w:t xml:space="preserve">De las causas de improcedencia. </w:t>
      </w:r>
    </w:p>
    <w:p w14:paraId="392B2146" w14:textId="77777777" w:rsidR="009354A8" w:rsidRDefault="009354A8" w:rsidP="009354A8">
      <w:pPr>
        <w:spacing w:after="0" w:line="360" w:lineRule="auto"/>
        <w:ind w:right="49"/>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DF23DA">
        <w:rPr>
          <w:rFonts w:ascii="Palatino Linotype" w:eastAsia="Times New Roman" w:hAnsi="Palatino Linotype" w:cs="Arial"/>
          <w:sz w:val="24"/>
          <w:szCs w:val="24"/>
          <w:vertAlign w:val="superscript"/>
          <w:lang w:val="es-ES" w:eastAsia="es-ES"/>
        </w:rPr>
        <w:footnoteReference w:id="1"/>
      </w:r>
      <w:r w:rsidRPr="00DF23DA">
        <w:rPr>
          <w:rFonts w:ascii="Palatino Linotype" w:eastAsia="Times New Roman" w:hAnsi="Palatino Linotype" w:cs="Arial"/>
          <w:sz w:val="24"/>
          <w:szCs w:val="24"/>
          <w:lang w:val="es-ES" w:eastAsia="es-ES"/>
        </w:rPr>
        <w:t>.</w:t>
      </w:r>
    </w:p>
    <w:p w14:paraId="46A85A0A" w14:textId="77777777" w:rsidR="009354A8" w:rsidRPr="00DF23DA" w:rsidRDefault="009354A8" w:rsidP="009354A8">
      <w:pPr>
        <w:spacing w:after="0" w:line="360" w:lineRule="auto"/>
        <w:ind w:right="49"/>
        <w:jc w:val="both"/>
        <w:rPr>
          <w:rFonts w:ascii="Palatino Linotype" w:eastAsia="Times New Roman" w:hAnsi="Palatino Linotype" w:cs="Arial"/>
          <w:sz w:val="24"/>
          <w:szCs w:val="24"/>
          <w:lang w:val="es-ES" w:eastAsia="es-ES"/>
        </w:rPr>
      </w:pPr>
    </w:p>
    <w:p w14:paraId="439302C8" w14:textId="77777777" w:rsidR="009354A8" w:rsidRPr="00DF23DA" w:rsidRDefault="009354A8" w:rsidP="009354A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lastRenderedPageBreak/>
        <w:t>Así las cosas, del análisis de los expedientes electrónicos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79DE81A1" w14:textId="77777777" w:rsidR="009354A8" w:rsidRPr="00DF23DA" w:rsidRDefault="009354A8" w:rsidP="009354A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81FE88F" w14:textId="77777777" w:rsidR="009354A8" w:rsidRDefault="009354A8" w:rsidP="009354A8">
      <w:pPr>
        <w:widowControl w:val="0"/>
        <w:autoSpaceDE w:val="0"/>
        <w:autoSpaceDN w:val="0"/>
        <w:adjustRightInd w:val="0"/>
        <w:spacing w:after="0" w:line="360" w:lineRule="auto"/>
        <w:jc w:val="both"/>
        <w:rPr>
          <w:rFonts w:ascii="Palatino Linotype" w:eastAsia="Times New Roman" w:hAnsi="Palatino Linotype" w:cs="Times New Roman"/>
          <w:b/>
          <w:sz w:val="28"/>
          <w:szCs w:val="28"/>
          <w:lang w:val="es-ES" w:eastAsia="es-ES"/>
        </w:rPr>
      </w:pPr>
      <w:r w:rsidRPr="00DF23DA">
        <w:rPr>
          <w:rFonts w:ascii="Palatino Linotype" w:eastAsia="Times New Roman" w:hAnsi="Palatino Linotype" w:cs="Arial"/>
          <w:b/>
          <w:sz w:val="28"/>
          <w:szCs w:val="28"/>
          <w:lang w:val="es-ES" w:eastAsia="es-ES"/>
        </w:rPr>
        <w:t>CUARTO. Estudio y resolución del asunto</w:t>
      </w:r>
      <w:r w:rsidRPr="00DF23DA">
        <w:rPr>
          <w:rFonts w:ascii="Palatino Linotype" w:eastAsia="Times New Roman" w:hAnsi="Palatino Linotype" w:cs="Times New Roman"/>
          <w:b/>
          <w:sz w:val="28"/>
          <w:szCs w:val="28"/>
          <w:lang w:val="es-ES" w:eastAsia="es-ES"/>
        </w:rPr>
        <w:t xml:space="preserve">. </w:t>
      </w:r>
    </w:p>
    <w:p w14:paraId="2B29A585" w14:textId="77777777" w:rsidR="009354A8" w:rsidRPr="007379EE" w:rsidRDefault="009354A8" w:rsidP="009354A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7379EE">
        <w:rPr>
          <w:rFonts w:ascii="Palatino Linotype" w:eastAsia="Palatino Linotype" w:hAnsi="Palatino Linotype" w:cs="Palatino Linotype"/>
          <w:color w:val="000000"/>
          <w:sz w:val="24"/>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77BFA48C" w14:textId="77777777" w:rsidR="009354A8" w:rsidRPr="00DF23DA" w:rsidRDefault="009354A8" w:rsidP="009354A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E1888C5" w14:textId="77777777" w:rsidR="009354A8" w:rsidRDefault="009354A8" w:rsidP="009354A8">
      <w:pPr>
        <w:spacing w:after="0" w:line="360" w:lineRule="auto"/>
        <w:jc w:val="both"/>
        <w:rPr>
          <w:rFonts w:ascii="Palatino Linotype" w:eastAsia="Times New Roman" w:hAnsi="Palatino Linotype" w:cs="Arial"/>
          <w:sz w:val="24"/>
          <w:szCs w:val="24"/>
          <w:lang w:val="es-ES" w:eastAsia="es-ES"/>
        </w:rPr>
      </w:pPr>
      <w:r w:rsidRPr="00DF23DA">
        <w:rPr>
          <w:rFonts w:ascii="Palatino Linotype" w:eastAsia="Times New Roman" w:hAnsi="Palatino Linotype" w:cs="Arial"/>
          <w:sz w:val="24"/>
          <w:szCs w:val="24"/>
          <w:lang w:val="es-ES" w:eastAsia="es-ES"/>
        </w:rPr>
        <w:t>Ahora bien, de los requerimientos contenidos en la solicitud de información</w:t>
      </w:r>
      <w:r>
        <w:rPr>
          <w:rFonts w:ascii="Palatino Linotype" w:eastAsia="Times New Roman" w:hAnsi="Palatino Linotype" w:cs="Arial"/>
          <w:sz w:val="24"/>
          <w:szCs w:val="24"/>
          <w:lang w:val="es-ES" w:eastAsia="es-ES"/>
        </w:rPr>
        <w:t>, se aprecia que objetivamente el</w:t>
      </w:r>
      <w:r w:rsidRPr="00DF23DA">
        <w:rPr>
          <w:rFonts w:ascii="Palatino Linotype" w:eastAsia="Times New Roman" w:hAnsi="Palatino Linotype" w:cs="Arial"/>
          <w:sz w:val="24"/>
          <w:szCs w:val="24"/>
          <w:lang w:val="es-ES" w:eastAsia="es-ES"/>
        </w:rPr>
        <w:t xml:space="preserve"> </w:t>
      </w:r>
      <w:r w:rsidRPr="00DF23DA">
        <w:rPr>
          <w:rFonts w:ascii="Palatino Linotype" w:eastAsia="Times New Roman" w:hAnsi="Palatino Linotype" w:cs="Arial"/>
          <w:b/>
          <w:sz w:val="24"/>
          <w:szCs w:val="24"/>
          <w:lang w:val="es-ES" w:eastAsia="es-ES"/>
        </w:rPr>
        <w:t>Recurrente</w:t>
      </w:r>
      <w:r w:rsidRPr="00DF23DA">
        <w:rPr>
          <w:rFonts w:ascii="Palatino Linotype" w:eastAsia="Times New Roman" w:hAnsi="Palatino Linotype" w:cs="Arial"/>
          <w:sz w:val="24"/>
          <w:szCs w:val="24"/>
          <w:lang w:val="es-ES" w:eastAsia="es-ES"/>
        </w:rPr>
        <w:t xml:space="preserve"> peticiona le sea entregad</w:t>
      </w:r>
      <w:r>
        <w:rPr>
          <w:rFonts w:ascii="Palatino Linotype" w:eastAsia="Times New Roman" w:hAnsi="Palatino Linotype" w:cs="Arial"/>
          <w:sz w:val="24"/>
          <w:szCs w:val="24"/>
          <w:lang w:val="es-ES" w:eastAsia="es-ES"/>
        </w:rPr>
        <w:t>o</w:t>
      </w:r>
      <w:r w:rsidRPr="00DF23DA">
        <w:rPr>
          <w:rFonts w:ascii="Palatino Linotype" w:eastAsia="Times New Roman" w:hAnsi="Palatino Linotype" w:cs="Arial"/>
          <w:sz w:val="24"/>
          <w:szCs w:val="24"/>
          <w:lang w:val="es-ES" w:eastAsia="es-ES"/>
        </w:rPr>
        <w:t xml:space="preserve"> por el sistema SAIMEX, lo siguiente:</w:t>
      </w:r>
    </w:p>
    <w:p w14:paraId="5E43B56C" w14:textId="77777777" w:rsidR="009354A8" w:rsidRDefault="009354A8" w:rsidP="009354A8">
      <w:pPr>
        <w:spacing w:after="0" w:line="360" w:lineRule="auto"/>
        <w:jc w:val="both"/>
        <w:rPr>
          <w:rFonts w:ascii="Palatino Linotype" w:eastAsia="Times New Roman" w:hAnsi="Palatino Linotype" w:cs="Arial"/>
          <w:sz w:val="24"/>
          <w:szCs w:val="24"/>
          <w:lang w:val="es-ES" w:eastAsia="es-ES"/>
        </w:rPr>
      </w:pPr>
    </w:p>
    <w:p w14:paraId="6693D17D" w14:textId="77777777" w:rsidR="009354A8" w:rsidRPr="009354A8" w:rsidRDefault="009354A8" w:rsidP="009354A8">
      <w:pPr>
        <w:pStyle w:val="Prrafodelista"/>
        <w:numPr>
          <w:ilvl w:val="3"/>
          <w:numId w:val="1"/>
        </w:numPr>
        <w:spacing w:line="360" w:lineRule="auto"/>
        <w:ind w:left="426"/>
        <w:jc w:val="both"/>
        <w:rPr>
          <w:rFonts w:ascii="Palatino Linotype" w:hAnsi="Palatino Linotype" w:cs="Arial"/>
        </w:rPr>
      </w:pPr>
      <w:r>
        <w:rPr>
          <w:rFonts w:ascii="Palatino Linotype" w:hAnsi="Palatino Linotype" w:cs="Arial"/>
        </w:rPr>
        <w:lastRenderedPageBreak/>
        <w:t>E</w:t>
      </w:r>
      <w:r w:rsidRPr="009354A8">
        <w:rPr>
          <w:rFonts w:ascii="Palatino Linotype" w:hAnsi="Palatino Linotype" w:cs="Arial"/>
        </w:rPr>
        <w:t>xpediente de red ambiental, de los análisis que realizaron al drenaje en los años 2021, 2022,</w:t>
      </w:r>
      <w:r w:rsidR="005C04A2">
        <w:rPr>
          <w:rFonts w:ascii="Palatino Linotype" w:hAnsi="Palatino Linotype" w:cs="Arial"/>
        </w:rPr>
        <w:t xml:space="preserve"> </w:t>
      </w:r>
      <w:r w:rsidRPr="009354A8">
        <w:rPr>
          <w:rFonts w:ascii="Palatino Linotype" w:hAnsi="Palatino Linotype" w:cs="Arial"/>
        </w:rPr>
        <w:t>2023 y 2024, derivado de los constantes olores de hidrocarburos, químicos que se desprendían del drenaje</w:t>
      </w:r>
      <w:r>
        <w:rPr>
          <w:rFonts w:ascii="Palatino Linotype" w:hAnsi="Palatino Linotype" w:cs="Arial"/>
        </w:rPr>
        <w:t>.</w:t>
      </w:r>
    </w:p>
    <w:p w14:paraId="4FD89FC5" w14:textId="77777777" w:rsidR="009354A8" w:rsidRDefault="009354A8" w:rsidP="009354A8">
      <w:pPr>
        <w:spacing w:after="0" w:line="360" w:lineRule="auto"/>
        <w:jc w:val="both"/>
        <w:rPr>
          <w:rFonts w:ascii="Palatino Linotype" w:eastAsia="Times New Roman" w:hAnsi="Palatino Linotype" w:cs="Arial"/>
          <w:sz w:val="24"/>
          <w:szCs w:val="24"/>
          <w:lang w:val="es-ES" w:eastAsia="es-ES"/>
        </w:rPr>
      </w:pPr>
    </w:p>
    <w:p w14:paraId="44762FF8" w14:textId="77777777" w:rsidR="005C04A2" w:rsidRDefault="005C04A2" w:rsidP="005C04A2">
      <w:pPr>
        <w:pStyle w:val="INFOEM"/>
        <w:ind w:left="0" w:right="0"/>
        <w:rPr>
          <w:i w:val="0"/>
          <w:sz w:val="24"/>
        </w:rPr>
      </w:pPr>
      <w:r w:rsidRPr="00EA318B">
        <w:rPr>
          <w:rFonts w:eastAsia="Palatino Linotype" w:cs="Palatino Linotype"/>
          <w:i w:val="0"/>
          <w:color w:val="000000"/>
          <w:sz w:val="24"/>
          <w:szCs w:val="24"/>
        </w:rPr>
        <w:t xml:space="preserve">Ante la falta respuesta por parte del </w:t>
      </w:r>
      <w:r w:rsidRPr="00EA318B">
        <w:rPr>
          <w:rFonts w:eastAsia="Palatino Linotype" w:cs="Palatino Linotype"/>
          <w:b/>
          <w:i w:val="0"/>
          <w:color w:val="000000"/>
          <w:sz w:val="24"/>
          <w:szCs w:val="24"/>
        </w:rPr>
        <w:t>Sujeto Obligado</w:t>
      </w:r>
      <w:r w:rsidRPr="00EA318B">
        <w:rPr>
          <w:rFonts w:eastAsia="Palatino Linotype" w:cs="Palatino Linotype"/>
          <w:i w:val="0"/>
          <w:color w:val="000000"/>
          <w:sz w:val="24"/>
          <w:szCs w:val="24"/>
        </w:rPr>
        <w:t xml:space="preserve">, el </w:t>
      </w:r>
      <w:r w:rsidRPr="00EA318B">
        <w:rPr>
          <w:rFonts w:eastAsia="Palatino Linotype" w:cs="Palatino Linotype"/>
          <w:b/>
          <w:i w:val="0"/>
          <w:color w:val="000000"/>
          <w:sz w:val="24"/>
          <w:szCs w:val="24"/>
        </w:rPr>
        <w:t>Recurrente</w:t>
      </w:r>
      <w:r w:rsidRPr="00EA318B">
        <w:rPr>
          <w:rFonts w:eastAsia="Palatino Linotype" w:cs="Palatino Linotype"/>
          <w:i w:val="0"/>
          <w:color w:val="000000"/>
          <w:sz w:val="24"/>
          <w:szCs w:val="24"/>
        </w:rPr>
        <w:t xml:space="preserve"> consideró que su derecho a la información pública había sido </w:t>
      </w:r>
      <w:r>
        <w:rPr>
          <w:rFonts w:eastAsia="Palatino Linotype" w:cs="Palatino Linotype"/>
          <w:i w:val="0"/>
          <w:color w:val="000000"/>
          <w:sz w:val="24"/>
          <w:szCs w:val="24"/>
        </w:rPr>
        <w:t>vulnerado</w:t>
      </w:r>
      <w:r w:rsidRPr="00EA318B">
        <w:rPr>
          <w:rFonts w:eastAsia="Palatino Linotype" w:cs="Palatino Linotype"/>
          <w:i w:val="0"/>
          <w:color w:val="000000"/>
          <w:sz w:val="24"/>
          <w:szCs w:val="24"/>
        </w:rPr>
        <w:t>, por lo que interpuso el recurso de revisión al rubro citado</w:t>
      </w:r>
      <w:r w:rsidRPr="00EA318B">
        <w:rPr>
          <w:rFonts w:cs="Arial"/>
          <w:bCs/>
          <w:i w:val="0"/>
          <w:sz w:val="24"/>
        </w:rPr>
        <w:t>,</w:t>
      </w:r>
      <w:r w:rsidRPr="00667CD7">
        <w:rPr>
          <w:rFonts w:cs="Arial"/>
          <w:bCs/>
          <w:i w:val="0"/>
          <w:sz w:val="24"/>
        </w:rPr>
        <w:t xml:space="preserve"> señalando sustancialmente como sus razones o motivos de inconformidad, lo siguiente:</w:t>
      </w:r>
      <w:r w:rsidRPr="00667CD7" w:rsidDel="00107C3B">
        <w:rPr>
          <w:b/>
          <w:i w:val="0"/>
          <w:sz w:val="24"/>
        </w:rPr>
        <w:t xml:space="preserve"> </w:t>
      </w:r>
      <w:r w:rsidRPr="00667CD7">
        <w:rPr>
          <w:i w:val="0"/>
          <w:sz w:val="24"/>
        </w:rPr>
        <w:t>“</w:t>
      </w:r>
      <w:r w:rsidRPr="005C04A2">
        <w:rPr>
          <w:sz w:val="24"/>
        </w:rPr>
        <w:t>No presenta información</w:t>
      </w:r>
      <w:r w:rsidRPr="00667CD7">
        <w:rPr>
          <w:sz w:val="24"/>
        </w:rPr>
        <w:t>” (Sic)</w:t>
      </w:r>
      <w:r w:rsidRPr="00667CD7">
        <w:rPr>
          <w:i w:val="0"/>
          <w:sz w:val="24"/>
        </w:rPr>
        <w:t xml:space="preserve">. </w:t>
      </w:r>
    </w:p>
    <w:p w14:paraId="051B0A0D" w14:textId="77777777" w:rsidR="005C04A2" w:rsidRDefault="005C04A2" w:rsidP="005C04A2">
      <w:pPr>
        <w:tabs>
          <w:tab w:val="left" w:pos="709"/>
        </w:tabs>
        <w:spacing w:line="360" w:lineRule="auto"/>
        <w:jc w:val="both"/>
        <w:rPr>
          <w:rFonts w:ascii="Palatino Linotype" w:hAnsi="Palatino Linotype" w:cs="Arial"/>
          <w:sz w:val="24"/>
        </w:rPr>
      </w:pPr>
    </w:p>
    <w:p w14:paraId="795D36BD" w14:textId="77777777" w:rsidR="005C04A2" w:rsidRPr="00EA318B" w:rsidRDefault="005C04A2" w:rsidP="005C04A2">
      <w:pPr>
        <w:tabs>
          <w:tab w:val="left" w:pos="709"/>
        </w:tabs>
        <w:spacing w:line="360" w:lineRule="auto"/>
        <w:jc w:val="both"/>
        <w:rPr>
          <w:rFonts w:ascii="Palatino Linotype" w:hAnsi="Palatino Linotype" w:cs="Arial"/>
          <w:sz w:val="24"/>
        </w:rPr>
      </w:pPr>
      <w:r w:rsidRPr="00EA318B">
        <w:rPr>
          <w:rFonts w:ascii="Palatino Linotype" w:hAnsi="Palatino Linotype" w:cs="Arial"/>
          <w:sz w:val="24"/>
        </w:rPr>
        <w:t xml:space="preserve">Aunado a lo anterior, mediante informe justificado rendido por </w:t>
      </w:r>
      <w:r w:rsidRPr="00EA318B">
        <w:rPr>
          <w:rFonts w:ascii="Palatino Linotype" w:hAnsi="Palatino Linotype" w:cs="Arial"/>
          <w:b/>
          <w:sz w:val="24"/>
        </w:rPr>
        <w:t>El Sujeto Obligado</w:t>
      </w:r>
      <w:r w:rsidRPr="00EA318B">
        <w:rPr>
          <w:rFonts w:ascii="Palatino Linotype" w:hAnsi="Palatino Linotype" w:cs="Arial"/>
          <w:sz w:val="24"/>
        </w:rPr>
        <w:t xml:space="preserve">, se advierte que </w:t>
      </w:r>
      <w:r w:rsidRPr="00EA318B">
        <w:rPr>
          <w:rFonts w:ascii="Palatino Linotype" w:hAnsi="Palatino Linotype" w:cs="Arial"/>
          <w:bCs/>
          <w:sz w:val="24"/>
        </w:rPr>
        <w:t>remitió a</w:t>
      </w:r>
      <w:r w:rsidRPr="00EA318B">
        <w:rPr>
          <w:rFonts w:ascii="Palatino Linotype" w:hAnsi="Palatino Linotype" w:cs="Arial"/>
          <w:sz w:val="24"/>
        </w:rPr>
        <w:t xml:space="preserve"> través del Sistema de Acceso a la Información Mexiquense (</w:t>
      </w:r>
      <w:r>
        <w:rPr>
          <w:rFonts w:ascii="Palatino Linotype" w:hAnsi="Palatino Linotype" w:cs="Arial"/>
          <w:b/>
          <w:sz w:val="24"/>
        </w:rPr>
        <w:t xml:space="preserve">SAIMEX), </w:t>
      </w:r>
      <w:r>
        <w:rPr>
          <w:rFonts w:ascii="Palatino Linotype" w:hAnsi="Palatino Linotype" w:cs="Arial"/>
          <w:sz w:val="24"/>
        </w:rPr>
        <w:t>por medio del archivo electrónico siguiente:</w:t>
      </w:r>
    </w:p>
    <w:p w14:paraId="0809DC56" w14:textId="77777777" w:rsidR="009354A8" w:rsidRDefault="005C04A2" w:rsidP="002062E5">
      <w:pPr>
        <w:pStyle w:val="Prrafodelista"/>
        <w:numPr>
          <w:ilvl w:val="0"/>
          <w:numId w:val="6"/>
        </w:numPr>
        <w:spacing w:line="360" w:lineRule="auto"/>
        <w:jc w:val="both"/>
        <w:rPr>
          <w:rFonts w:ascii="Palatino Linotype" w:hAnsi="Palatino Linotype" w:cs="Arial"/>
        </w:rPr>
      </w:pPr>
      <w:r w:rsidRPr="005C04A2">
        <w:rPr>
          <w:rFonts w:ascii="Palatino Linotype" w:hAnsi="Palatino Linotype" w:cs="Arial"/>
          <w:b/>
          <w:i/>
        </w:rPr>
        <w:t>CHIC_OPDAPAS_DO_007_2025 (2).</w:t>
      </w:r>
      <w:proofErr w:type="spellStart"/>
      <w:r w:rsidRPr="005C04A2">
        <w:rPr>
          <w:rFonts w:ascii="Palatino Linotype" w:hAnsi="Palatino Linotype" w:cs="Arial"/>
          <w:b/>
          <w:i/>
        </w:rPr>
        <w:t>pdf</w:t>
      </w:r>
      <w:proofErr w:type="spellEnd"/>
      <w:r>
        <w:rPr>
          <w:rFonts w:ascii="Palatino Linotype" w:hAnsi="Palatino Linotype" w:cs="Arial"/>
        </w:rPr>
        <w:t xml:space="preserve">: constante de una foja, en formato </w:t>
      </w:r>
      <w:proofErr w:type="spellStart"/>
      <w:r>
        <w:rPr>
          <w:rFonts w:ascii="Palatino Linotype" w:hAnsi="Palatino Linotype" w:cs="Arial"/>
        </w:rPr>
        <w:t>pdf</w:t>
      </w:r>
      <w:proofErr w:type="spellEnd"/>
      <w:r>
        <w:rPr>
          <w:rFonts w:ascii="Palatino Linotype" w:hAnsi="Palatino Linotype" w:cs="Arial"/>
        </w:rPr>
        <w:t>, contiene</w:t>
      </w:r>
      <w:r w:rsidR="002062E5">
        <w:rPr>
          <w:rFonts w:ascii="Palatino Linotype" w:hAnsi="Palatino Linotype" w:cs="Arial"/>
        </w:rPr>
        <w:t xml:space="preserve"> el oficio número </w:t>
      </w:r>
      <w:r w:rsidR="002062E5" w:rsidRPr="002062E5">
        <w:rPr>
          <w:rFonts w:ascii="Palatino Linotype" w:hAnsi="Palatino Linotype" w:cs="Arial"/>
        </w:rPr>
        <w:t>CHIC/OPDAPAS/DO/007/2025</w:t>
      </w:r>
      <w:r w:rsidR="002062E5">
        <w:rPr>
          <w:rFonts w:ascii="Palatino Linotype" w:hAnsi="Palatino Linotype" w:cs="Arial"/>
        </w:rPr>
        <w:t>, de fecha veinte de febrero de dos mil veinticinco, firmado por el Director de Operaciones, en el que refiere lo siguiente:</w:t>
      </w:r>
    </w:p>
    <w:p w14:paraId="7D568377" w14:textId="77777777" w:rsidR="002062E5" w:rsidRDefault="002062E5" w:rsidP="002062E5">
      <w:pPr>
        <w:pStyle w:val="INFOEM"/>
      </w:pPr>
      <w:r>
        <w:t>“…</w:t>
      </w:r>
    </w:p>
    <w:p w14:paraId="7AFE5D38" w14:textId="77777777" w:rsidR="002062E5" w:rsidRDefault="002062E5" w:rsidP="002062E5">
      <w:pPr>
        <w:pStyle w:val="INFOEM"/>
      </w:pPr>
      <w:r w:rsidRPr="002062E5">
        <w:rPr>
          <w:b/>
        </w:rPr>
        <w:t>Dado a la respuesta de lo solicitado no se cuenta con un expediente de esos años</w:t>
      </w:r>
      <w:r w:rsidRPr="002062E5">
        <w:t xml:space="preserve"> pero podemos adjuntar evidencia en la que se verifica</w:t>
      </w:r>
      <w:r w:rsidRPr="002062E5">
        <w:rPr>
          <w:u w:val="single"/>
        </w:rPr>
        <w:t xml:space="preserve"> </w:t>
      </w:r>
      <w:r w:rsidRPr="002062E5">
        <w:t xml:space="preserve">que el Organismo Público Descentralizado para la Prestación de los Servicios de Agua Potable, Alcantarillado y Saneamiento del Municipio de Chicoloapan, México. </w:t>
      </w:r>
      <w:r w:rsidRPr="002062E5">
        <w:rPr>
          <w:u w:val="single"/>
        </w:rPr>
        <w:t xml:space="preserve">Realiza constantemente </w:t>
      </w:r>
      <w:r w:rsidRPr="002062E5">
        <w:rPr>
          <w:u w:val="single"/>
        </w:rPr>
        <w:lastRenderedPageBreak/>
        <w:t>limpieza de la red de drenaje para evitar taponamientos y malos olores</w:t>
      </w:r>
      <w:r w:rsidRPr="002062E5">
        <w:t>; Anexo evidencia grafica de ello.</w:t>
      </w:r>
    </w:p>
    <w:p w14:paraId="0B4B2A41" w14:textId="77777777" w:rsidR="00190F54" w:rsidRDefault="00190F54" w:rsidP="00190F54">
      <w:pPr>
        <w:pStyle w:val="INFOEM"/>
        <w:jc w:val="center"/>
      </w:pPr>
      <w:r>
        <w:rPr>
          <w:noProof/>
          <w:lang w:eastAsia="es-MX"/>
        </w:rPr>
        <w:drawing>
          <wp:inline distT="0" distB="0" distL="0" distR="0" wp14:anchorId="47FEDB5D" wp14:editId="173255A1">
            <wp:extent cx="4257675" cy="2110888"/>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8CE45E.tmp"/>
                    <pic:cNvPicPr/>
                  </pic:nvPicPr>
                  <pic:blipFill>
                    <a:blip r:embed="rId7">
                      <a:extLst>
                        <a:ext uri="{28A0092B-C50C-407E-A947-70E740481C1C}">
                          <a14:useLocalDpi xmlns:a14="http://schemas.microsoft.com/office/drawing/2010/main" val="0"/>
                        </a:ext>
                      </a:extLst>
                    </a:blip>
                    <a:stretch>
                      <a:fillRect/>
                    </a:stretch>
                  </pic:blipFill>
                  <pic:spPr>
                    <a:xfrm>
                      <a:off x="0" y="0"/>
                      <a:ext cx="4279827" cy="2121871"/>
                    </a:xfrm>
                    <a:prstGeom prst="rect">
                      <a:avLst/>
                    </a:prstGeom>
                  </pic:spPr>
                </pic:pic>
              </a:graphicData>
            </a:graphic>
          </wp:inline>
        </w:drawing>
      </w:r>
    </w:p>
    <w:p w14:paraId="5DA0AB4C" w14:textId="77777777" w:rsidR="002062E5" w:rsidRPr="002062E5" w:rsidRDefault="002062E5" w:rsidP="002062E5">
      <w:pPr>
        <w:pStyle w:val="INFOEM"/>
      </w:pPr>
      <w:r>
        <w:t>…”</w:t>
      </w:r>
    </w:p>
    <w:p w14:paraId="77D85879" w14:textId="77777777" w:rsidR="009354A8" w:rsidRDefault="009354A8" w:rsidP="009354A8">
      <w:pPr>
        <w:spacing w:after="0" w:line="360" w:lineRule="auto"/>
        <w:jc w:val="both"/>
        <w:rPr>
          <w:rFonts w:ascii="Palatino Linotype" w:eastAsia="Times New Roman" w:hAnsi="Palatino Linotype" w:cs="Arial"/>
          <w:sz w:val="24"/>
          <w:szCs w:val="24"/>
          <w:lang w:val="es-ES" w:eastAsia="es-ES"/>
        </w:rPr>
      </w:pPr>
    </w:p>
    <w:p w14:paraId="41C7204E" w14:textId="77777777" w:rsidR="00B36E5F" w:rsidRDefault="00B36E5F" w:rsidP="009354A8">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En primer término, es necesario precisar las áreas con las que cuenta el Sujeto Obligado para poder determinar si se pronunció el servidor público competente, sirve de ilustración el organigrama:</w:t>
      </w:r>
    </w:p>
    <w:p w14:paraId="0F2F1E0A" w14:textId="77777777" w:rsidR="00B36E5F" w:rsidRDefault="00B36E5F" w:rsidP="00F6065F">
      <w:pPr>
        <w:spacing w:after="0" w:line="360" w:lineRule="auto"/>
        <w:jc w:val="center"/>
        <w:rPr>
          <w:rFonts w:ascii="Palatino Linotype" w:eastAsia="Times New Roman" w:hAnsi="Palatino Linotype" w:cs="Arial"/>
          <w:sz w:val="24"/>
          <w:szCs w:val="24"/>
          <w:lang w:val="es-ES" w:eastAsia="es-ES"/>
        </w:rPr>
      </w:pPr>
      <w:r>
        <w:rPr>
          <w:rFonts w:ascii="Palatino Linotype" w:eastAsia="Times New Roman" w:hAnsi="Palatino Linotype" w:cs="Arial"/>
          <w:noProof/>
          <w:sz w:val="24"/>
          <w:szCs w:val="24"/>
        </w:rPr>
        <w:lastRenderedPageBreak/>
        <mc:AlternateContent>
          <mc:Choice Requires="wps">
            <w:drawing>
              <wp:anchor distT="0" distB="0" distL="114300" distR="114300" simplePos="0" relativeHeight="251659264" behindDoc="0" locked="0" layoutInCell="1" allowOverlap="1" wp14:anchorId="010BC8F9" wp14:editId="3C29B6DF">
                <wp:simplePos x="0" y="0"/>
                <wp:positionH relativeFrom="column">
                  <wp:posOffset>3587115</wp:posOffset>
                </wp:positionH>
                <wp:positionV relativeFrom="paragraph">
                  <wp:posOffset>1497965</wp:posOffset>
                </wp:positionV>
                <wp:extent cx="752475" cy="381000"/>
                <wp:effectExtent l="19050" t="19050" r="28575" b="19050"/>
                <wp:wrapNone/>
                <wp:docPr id="9" name="Rectángulo 9"/>
                <wp:cNvGraphicFramePr/>
                <a:graphic xmlns:a="http://schemas.openxmlformats.org/drawingml/2006/main">
                  <a:graphicData uri="http://schemas.microsoft.com/office/word/2010/wordprocessingShape">
                    <wps:wsp>
                      <wps:cNvSpPr/>
                      <wps:spPr>
                        <a:xfrm>
                          <a:off x="0" y="0"/>
                          <a:ext cx="752475" cy="381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847607" id="Rectángulo 9" o:spid="_x0000_s1026" style="position:absolute;margin-left:282.45pt;margin-top:117.95pt;width:5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" filled="f" strokecolor="red" strokeweight="2.25pt"/>
            </w:pict>
          </mc:Fallback>
        </mc:AlternateContent>
      </w:r>
      <w:r>
        <w:rPr>
          <w:rFonts w:ascii="Palatino Linotype" w:eastAsia="Times New Roman" w:hAnsi="Palatino Linotype" w:cs="Arial"/>
          <w:noProof/>
          <w:sz w:val="24"/>
          <w:szCs w:val="24"/>
        </w:rPr>
        <w:drawing>
          <wp:inline distT="0" distB="0" distL="0" distR="0" wp14:anchorId="27596E9E" wp14:editId="2CF56E07">
            <wp:extent cx="4777994" cy="379095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8C9FC7.tmp"/>
                    <pic:cNvPicPr/>
                  </pic:nvPicPr>
                  <pic:blipFill>
                    <a:blip r:embed="rId8">
                      <a:extLst>
                        <a:ext uri="{28A0092B-C50C-407E-A947-70E740481C1C}">
                          <a14:useLocalDpi xmlns:a14="http://schemas.microsoft.com/office/drawing/2010/main" val="0"/>
                        </a:ext>
                      </a:extLst>
                    </a:blip>
                    <a:stretch>
                      <a:fillRect/>
                    </a:stretch>
                  </pic:blipFill>
                  <pic:spPr>
                    <a:xfrm>
                      <a:off x="0" y="0"/>
                      <a:ext cx="4824975" cy="3828226"/>
                    </a:xfrm>
                    <a:prstGeom prst="rect">
                      <a:avLst/>
                    </a:prstGeom>
                  </pic:spPr>
                </pic:pic>
              </a:graphicData>
            </a:graphic>
          </wp:inline>
        </w:drawing>
      </w:r>
    </w:p>
    <w:p w14:paraId="1DA026F9" w14:textId="77777777" w:rsidR="00B36E5F" w:rsidRDefault="00B36E5F" w:rsidP="009354A8">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De lo anterior, se tiene que el Sujeto Obligado cuenta con diversas unidades y direcciones, siendo de nuestro interés la Dirección de Operación, misma que cuenta con la Coordinación de Drenaje y Alcantarillado. En ese orden de ideas, se tiene que se pronunció el servidor público competente.</w:t>
      </w:r>
    </w:p>
    <w:p w14:paraId="2403E0EC" w14:textId="77777777" w:rsidR="00B36E5F" w:rsidRDefault="00B36E5F" w:rsidP="009354A8">
      <w:pPr>
        <w:spacing w:after="0" w:line="360" w:lineRule="auto"/>
        <w:jc w:val="both"/>
        <w:rPr>
          <w:rFonts w:ascii="Palatino Linotype" w:eastAsia="Times New Roman" w:hAnsi="Palatino Linotype" w:cs="Arial"/>
          <w:sz w:val="24"/>
          <w:szCs w:val="24"/>
          <w:lang w:val="es-ES" w:eastAsia="es-ES"/>
        </w:rPr>
      </w:pPr>
    </w:p>
    <w:p w14:paraId="43D875A2" w14:textId="77777777" w:rsidR="009354A8" w:rsidRDefault="000E50F4" w:rsidP="009354A8">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Para delimitar esferas competenciales, resulta oportuno traer a colación el </w:t>
      </w:r>
      <w:r w:rsidR="00B36E5F" w:rsidRPr="00B36E5F">
        <w:rPr>
          <w:rFonts w:ascii="Palatino Linotype" w:eastAsia="Times New Roman" w:hAnsi="Palatino Linotype" w:cs="Arial"/>
          <w:sz w:val="24"/>
          <w:szCs w:val="24"/>
          <w:lang w:val="es-ES" w:eastAsia="es-ES"/>
        </w:rPr>
        <w:t>Manual de Organización O.P.D.A.P.A.S. Chicoloapan</w:t>
      </w:r>
      <w:r>
        <w:rPr>
          <w:rFonts w:ascii="Palatino Linotype" w:eastAsia="Times New Roman" w:hAnsi="Palatino Linotype" w:cs="Arial"/>
          <w:sz w:val="24"/>
          <w:szCs w:val="24"/>
          <w:lang w:val="es-ES" w:eastAsia="es-ES"/>
        </w:rPr>
        <w:t>, en el que se refiere lo siguiente:</w:t>
      </w:r>
    </w:p>
    <w:p w14:paraId="62258EA8" w14:textId="77777777" w:rsidR="00B36E5F" w:rsidRPr="00B36E5F" w:rsidRDefault="00B36E5F" w:rsidP="00B36E5F">
      <w:pPr>
        <w:pStyle w:val="INFOEM"/>
        <w:numPr>
          <w:ilvl w:val="2"/>
          <w:numId w:val="12"/>
        </w:numPr>
        <w:spacing w:before="0" w:line="240" w:lineRule="auto"/>
        <w:jc w:val="both"/>
        <w:rPr>
          <w:b/>
          <w:bCs/>
          <w:lang w:val="es-ES"/>
        </w:rPr>
      </w:pPr>
      <w:r w:rsidRPr="00B36E5F">
        <w:rPr>
          <w:b/>
          <w:bCs/>
          <w:lang w:val="es-ES"/>
        </w:rPr>
        <w:t>DIRECCIÓN DE OPERACIÓN</w:t>
      </w:r>
    </w:p>
    <w:p w14:paraId="55DEB5D2" w14:textId="77777777" w:rsidR="00B36E5F" w:rsidRPr="00B36E5F" w:rsidRDefault="00B36E5F" w:rsidP="00B36E5F">
      <w:pPr>
        <w:pStyle w:val="INFOEM"/>
        <w:spacing w:before="0" w:line="240" w:lineRule="auto"/>
        <w:rPr>
          <w:b/>
          <w:lang w:val="es-ES"/>
        </w:rPr>
      </w:pPr>
    </w:p>
    <w:p w14:paraId="5BF21D9E" w14:textId="77777777" w:rsidR="00B36E5F" w:rsidRPr="00B36E5F" w:rsidRDefault="00B36E5F" w:rsidP="00B36E5F">
      <w:pPr>
        <w:pStyle w:val="INFOEM"/>
        <w:spacing w:before="0" w:line="240" w:lineRule="auto"/>
        <w:rPr>
          <w:lang w:val="es-ES"/>
        </w:rPr>
      </w:pPr>
      <w:r w:rsidRPr="00B36E5F">
        <w:rPr>
          <w:b/>
          <w:lang w:val="es-ES"/>
        </w:rPr>
        <w:t xml:space="preserve">OBJETIVO: </w:t>
      </w:r>
      <w:r w:rsidRPr="00B36E5F">
        <w:rPr>
          <w:lang w:val="es-ES"/>
        </w:rPr>
        <w:t>Prestar con eficiencia, calidad y transparencia, los servicios para la distribución, recolección y saneamiento del agua a través de esquemas de planeación, construcción, operación y mantenimiento modernos.</w:t>
      </w:r>
    </w:p>
    <w:p w14:paraId="7267188D" w14:textId="77777777" w:rsidR="00B36E5F" w:rsidRPr="00B36E5F" w:rsidRDefault="00B36E5F" w:rsidP="00B36E5F">
      <w:pPr>
        <w:pStyle w:val="INFOEM"/>
        <w:spacing w:before="0" w:line="240" w:lineRule="auto"/>
        <w:rPr>
          <w:b/>
          <w:bCs/>
          <w:lang w:val="es-ES"/>
        </w:rPr>
      </w:pPr>
      <w:r w:rsidRPr="00B36E5F">
        <w:rPr>
          <w:b/>
          <w:bCs/>
          <w:lang w:val="es-ES"/>
        </w:rPr>
        <w:lastRenderedPageBreak/>
        <w:t>FUNCIONES:</w:t>
      </w:r>
    </w:p>
    <w:p w14:paraId="7825D779" w14:textId="77777777" w:rsidR="00B36E5F" w:rsidRPr="00B36E5F" w:rsidRDefault="00B36E5F" w:rsidP="00B36E5F">
      <w:pPr>
        <w:pStyle w:val="INFOEM"/>
        <w:numPr>
          <w:ilvl w:val="0"/>
          <w:numId w:val="11"/>
        </w:numPr>
        <w:spacing w:before="0" w:line="240" w:lineRule="auto"/>
        <w:jc w:val="both"/>
        <w:rPr>
          <w:lang w:val="es-ES"/>
        </w:rPr>
      </w:pPr>
      <w:r w:rsidRPr="00B36E5F">
        <w:rPr>
          <w:lang w:val="es-ES"/>
        </w:rPr>
        <w:t>Impulsar la mejora continua de los procesos para garantizar a los usuarios, la satisfacción de sus necesidades respecto a los servicios que presta, mediante un manejo racional y sustentable.</w:t>
      </w:r>
    </w:p>
    <w:p w14:paraId="5EC83FB5" w14:textId="77777777" w:rsidR="00B36E5F" w:rsidRPr="00B36E5F" w:rsidRDefault="00B36E5F" w:rsidP="00B36E5F">
      <w:pPr>
        <w:pStyle w:val="INFOEM"/>
        <w:numPr>
          <w:ilvl w:val="0"/>
          <w:numId w:val="11"/>
        </w:numPr>
        <w:spacing w:before="0" w:line="240" w:lineRule="auto"/>
        <w:jc w:val="both"/>
        <w:rPr>
          <w:lang w:val="es-ES"/>
        </w:rPr>
      </w:pPr>
      <w:r w:rsidRPr="00B36E5F">
        <w:rPr>
          <w:lang w:val="es-ES"/>
        </w:rPr>
        <w:t>Dirigir y supervisar la planeación, construcción, operación y mantenimiento de los servicios de agua potable, drenaje, alcantarillado y saneamiento del Municipio de Chicoloapan, Estado de México.</w:t>
      </w:r>
    </w:p>
    <w:p w14:paraId="4340DB3F" w14:textId="77777777" w:rsidR="00B36E5F" w:rsidRDefault="00B36E5F" w:rsidP="00B36E5F">
      <w:pPr>
        <w:pStyle w:val="INFOEM"/>
        <w:numPr>
          <w:ilvl w:val="0"/>
          <w:numId w:val="11"/>
        </w:numPr>
        <w:spacing w:before="0" w:line="240" w:lineRule="auto"/>
        <w:jc w:val="both"/>
        <w:rPr>
          <w:lang w:val="es-ES"/>
        </w:rPr>
      </w:pPr>
      <w:r w:rsidRPr="00B36E5F">
        <w:rPr>
          <w:lang w:val="es-ES"/>
        </w:rPr>
        <w:t>Dirigir y supervisar el desarrollo de planes, programas, estudios y proyectos para la detección de necesidades de infraestructura hidráulica, alcantarillado y saneamiento, así como los dictámenes de factibilidad para la prestación de los servicios.</w:t>
      </w:r>
    </w:p>
    <w:p w14:paraId="2A27C738" w14:textId="77777777" w:rsidR="00B36E5F" w:rsidRPr="00B36E5F" w:rsidRDefault="00B36E5F" w:rsidP="00B36E5F">
      <w:pPr>
        <w:pStyle w:val="INFOEM"/>
        <w:numPr>
          <w:ilvl w:val="0"/>
          <w:numId w:val="11"/>
        </w:numPr>
        <w:spacing w:line="240" w:lineRule="auto"/>
        <w:jc w:val="both"/>
        <w:rPr>
          <w:lang w:val="es-ES"/>
        </w:rPr>
      </w:pPr>
      <w:r w:rsidRPr="00B36E5F">
        <w:rPr>
          <w:lang w:val="es-ES"/>
        </w:rPr>
        <w:t>Dirigir y verificar el diseño y aplicación de las políticas, normas y lineamientos técnicos, para el manejo de los sistemas de producción, conducción y distribución de agua potable; así como los procesos de alcantarillado y saneamiento.</w:t>
      </w:r>
    </w:p>
    <w:p w14:paraId="5312862F" w14:textId="77777777" w:rsidR="00B36E5F" w:rsidRPr="00B36E5F" w:rsidRDefault="00B36E5F" w:rsidP="00B36E5F">
      <w:pPr>
        <w:pStyle w:val="INFOEM"/>
        <w:numPr>
          <w:ilvl w:val="0"/>
          <w:numId w:val="11"/>
        </w:numPr>
        <w:spacing w:line="240" w:lineRule="auto"/>
        <w:jc w:val="both"/>
        <w:rPr>
          <w:lang w:val="es-ES"/>
        </w:rPr>
      </w:pPr>
      <w:r w:rsidRPr="00B36E5F">
        <w:rPr>
          <w:lang w:val="es-ES"/>
        </w:rPr>
        <w:t>Dirigir y verificar las acciones relacionadas con licitaciones, concursos, construcción y supervisión de obras en cualquiera de sus modalidades, de conformidad con las políticas, normas y lineamientos establecidos.</w:t>
      </w:r>
    </w:p>
    <w:p w14:paraId="08B2A6EC" w14:textId="77777777" w:rsidR="00B36E5F" w:rsidRPr="00B36E5F" w:rsidRDefault="00B36E5F" w:rsidP="00B36E5F">
      <w:pPr>
        <w:pStyle w:val="INFOEM"/>
        <w:numPr>
          <w:ilvl w:val="0"/>
          <w:numId w:val="11"/>
        </w:numPr>
        <w:spacing w:line="240" w:lineRule="auto"/>
        <w:jc w:val="both"/>
        <w:rPr>
          <w:lang w:val="es-ES"/>
        </w:rPr>
      </w:pPr>
      <w:r w:rsidRPr="00B36E5F">
        <w:rPr>
          <w:lang w:val="es-ES"/>
        </w:rPr>
        <w:t>Participar con las autoridades federales, estatales y municipales, en acciones que coadyuven a elevar la calidad de los servicios prestados.</w:t>
      </w:r>
    </w:p>
    <w:p w14:paraId="48BA6A26" w14:textId="77777777" w:rsidR="00B36E5F" w:rsidRPr="00B36E5F" w:rsidRDefault="00B36E5F" w:rsidP="00B36E5F">
      <w:pPr>
        <w:pStyle w:val="INFOEM"/>
        <w:numPr>
          <w:ilvl w:val="0"/>
          <w:numId w:val="11"/>
        </w:numPr>
        <w:spacing w:line="240" w:lineRule="auto"/>
        <w:jc w:val="both"/>
        <w:rPr>
          <w:lang w:val="es-ES"/>
        </w:rPr>
      </w:pPr>
      <w:r w:rsidRPr="00B36E5F">
        <w:rPr>
          <w:lang w:val="es-ES"/>
        </w:rPr>
        <w:t>Dirigir y supervisar la integración del trabajo en equipo en el ejercicio de las funciones asignadas a la Dirección de Operación, así como promover la capacitación y el desempeño del personal adscrito al Área.</w:t>
      </w:r>
    </w:p>
    <w:p w14:paraId="32871969" w14:textId="77777777" w:rsidR="00B36E5F" w:rsidRPr="00B36E5F" w:rsidRDefault="00B36E5F" w:rsidP="00B36E5F">
      <w:pPr>
        <w:pStyle w:val="INFOEM"/>
        <w:numPr>
          <w:ilvl w:val="0"/>
          <w:numId w:val="11"/>
        </w:numPr>
        <w:spacing w:line="240" w:lineRule="auto"/>
        <w:jc w:val="both"/>
        <w:rPr>
          <w:lang w:val="es-ES"/>
        </w:rPr>
      </w:pPr>
      <w:r w:rsidRPr="00B36E5F">
        <w:rPr>
          <w:lang w:val="es-ES"/>
        </w:rPr>
        <w:t>Dirigir la formulación y diseño de sistemas, métodos y procedimientos que contribuyan a mejorar la calidad en el funcionamiento de la Dirección de Operación, incluyendo la comunicación con otras Áreas del Organismo.</w:t>
      </w:r>
    </w:p>
    <w:p w14:paraId="03E69050" w14:textId="77777777" w:rsidR="00B36E5F" w:rsidRPr="00B36E5F" w:rsidRDefault="00B36E5F" w:rsidP="00B36E5F">
      <w:pPr>
        <w:pStyle w:val="INFOEM"/>
        <w:numPr>
          <w:ilvl w:val="0"/>
          <w:numId w:val="11"/>
        </w:numPr>
        <w:spacing w:line="240" w:lineRule="auto"/>
        <w:jc w:val="both"/>
        <w:rPr>
          <w:lang w:val="es-ES"/>
        </w:rPr>
      </w:pPr>
      <w:r w:rsidRPr="00B36E5F">
        <w:rPr>
          <w:u w:val="single"/>
          <w:lang w:val="es-ES"/>
        </w:rPr>
        <w:t xml:space="preserve">Elaborar Programas y Desarrollar Proyectos Hidráulicos Sustentables; así como otorgar factibilidades de Servicio de Agua Potable y Drenaje, con base al crecimiento poblacional del Municipio, </w:t>
      </w:r>
      <w:r w:rsidRPr="00B36E5F">
        <w:rPr>
          <w:lang w:val="es-ES"/>
        </w:rPr>
        <w:t>con apego a las Leyes y Normas Aplicables.</w:t>
      </w:r>
    </w:p>
    <w:p w14:paraId="3F3B0542" w14:textId="77777777" w:rsidR="00B36E5F" w:rsidRPr="00B36E5F" w:rsidRDefault="00B36E5F" w:rsidP="00B36E5F">
      <w:pPr>
        <w:pStyle w:val="INFOEM"/>
        <w:numPr>
          <w:ilvl w:val="0"/>
          <w:numId w:val="11"/>
        </w:numPr>
        <w:spacing w:line="240" w:lineRule="auto"/>
        <w:jc w:val="both"/>
        <w:rPr>
          <w:lang w:val="es-ES"/>
        </w:rPr>
      </w:pPr>
      <w:r w:rsidRPr="00B36E5F">
        <w:rPr>
          <w:lang w:val="es-ES"/>
        </w:rPr>
        <w:t>Cumplir con la información requerida por la Ley de Transparencia y Acceso a la información Pública del Estado de México y Municipios.</w:t>
      </w:r>
    </w:p>
    <w:p w14:paraId="564597A8" w14:textId="77777777" w:rsidR="00B36E5F" w:rsidRPr="00B36E5F" w:rsidRDefault="00B36E5F" w:rsidP="00B36E5F">
      <w:pPr>
        <w:pStyle w:val="INFOEM"/>
        <w:numPr>
          <w:ilvl w:val="0"/>
          <w:numId w:val="11"/>
        </w:numPr>
        <w:spacing w:line="240" w:lineRule="auto"/>
        <w:jc w:val="both"/>
        <w:rPr>
          <w:lang w:val="es-ES"/>
        </w:rPr>
      </w:pPr>
      <w:r w:rsidRPr="00B36E5F">
        <w:rPr>
          <w:lang w:val="es-ES"/>
        </w:rPr>
        <w:lastRenderedPageBreak/>
        <w:t>Formular y llevar a cabo los programas de detección y corrección de fugas en las redes de distribución y conducción de agua potable.</w:t>
      </w:r>
    </w:p>
    <w:p w14:paraId="46D7EA56" w14:textId="77777777" w:rsidR="00B36E5F" w:rsidRPr="00B36E5F" w:rsidRDefault="00B36E5F" w:rsidP="00B36E5F">
      <w:pPr>
        <w:pStyle w:val="INFOEM"/>
        <w:numPr>
          <w:ilvl w:val="0"/>
          <w:numId w:val="11"/>
        </w:numPr>
        <w:spacing w:line="240" w:lineRule="auto"/>
        <w:jc w:val="both"/>
        <w:rPr>
          <w:lang w:val="es-ES"/>
        </w:rPr>
      </w:pPr>
      <w:r w:rsidRPr="00B36E5F">
        <w:rPr>
          <w:lang w:val="es-ES"/>
        </w:rPr>
        <w:t>Implementar un programa para la detención de fugas no visibles y recuperación de caudales;</w:t>
      </w:r>
    </w:p>
    <w:p w14:paraId="6445CB11" w14:textId="77777777" w:rsidR="00B36E5F" w:rsidRPr="00B36E5F" w:rsidRDefault="00B36E5F" w:rsidP="00656299">
      <w:pPr>
        <w:pStyle w:val="INFOEM"/>
        <w:numPr>
          <w:ilvl w:val="0"/>
          <w:numId w:val="11"/>
        </w:numPr>
        <w:spacing w:line="240" w:lineRule="auto"/>
        <w:jc w:val="both"/>
        <w:rPr>
          <w:lang w:val="es-ES"/>
        </w:rPr>
      </w:pPr>
      <w:r w:rsidRPr="00B36E5F">
        <w:rPr>
          <w:lang w:val="es-ES"/>
        </w:rPr>
        <w:t>Establecer los mecanismos de verificación y control para la vigilancia permanente de los caudales y distribución del agua, mediante un programa de sectorización y</w:t>
      </w:r>
      <w:r>
        <w:rPr>
          <w:lang w:val="es-ES"/>
        </w:rPr>
        <w:t xml:space="preserve"> </w:t>
      </w:r>
      <w:r w:rsidRPr="00B36E5F">
        <w:rPr>
          <w:lang w:val="es-ES"/>
        </w:rPr>
        <w:t>mantenimiento preventivo a pozos de agua potable.</w:t>
      </w:r>
    </w:p>
    <w:p w14:paraId="648C459B" w14:textId="77777777" w:rsidR="00A450C5" w:rsidRPr="00A450C5" w:rsidRDefault="00B36E5F" w:rsidP="00A450C5">
      <w:pPr>
        <w:pStyle w:val="INFOEM"/>
        <w:numPr>
          <w:ilvl w:val="0"/>
          <w:numId w:val="11"/>
        </w:numPr>
        <w:spacing w:before="0" w:line="240" w:lineRule="auto"/>
      </w:pPr>
      <w:r w:rsidRPr="00A450C5">
        <w:rPr>
          <w:lang w:val="es-ES"/>
        </w:rPr>
        <w:t xml:space="preserve"> </w:t>
      </w:r>
      <w:r w:rsidR="00A450C5" w:rsidRPr="00A450C5">
        <w:t>Operar y vigilar las fuentes de abastecimiento, líneas de distribución y conducción, los tanques, los equipos y mecanismos necesarios para la distribución del agua potable, propiedad del Organismo.</w:t>
      </w:r>
    </w:p>
    <w:p w14:paraId="745743DE" w14:textId="77777777" w:rsidR="00A450C5" w:rsidRPr="00A450C5" w:rsidRDefault="00A450C5" w:rsidP="00A450C5">
      <w:pPr>
        <w:pStyle w:val="INFOEM"/>
        <w:numPr>
          <w:ilvl w:val="0"/>
          <w:numId w:val="11"/>
        </w:numPr>
        <w:spacing w:line="240" w:lineRule="auto"/>
        <w:rPr>
          <w:u w:val="single"/>
          <w:lang w:val="es-ES"/>
        </w:rPr>
      </w:pPr>
      <w:r w:rsidRPr="00A450C5">
        <w:rPr>
          <w:u w:val="single"/>
          <w:lang w:val="es-ES"/>
        </w:rPr>
        <w:t>Elaborar e instrumentar los programas de operación, mantenimiento y evaluación del comportamiento de los sistemas de agua potable en conjunto con la electromecánica y los pozos.</w:t>
      </w:r>
    </w:p>
    <w:p w14:paraId="52D37F74" w14:textId="77777777" w:rsidR="00A450C5" w:rsidRPr="00A450C5" w:rsidRDefault="00A450C5" w:rsidP="00A450C5">
      <w:pPr>
        <w:pStyle w:val="INFOEM"/>
        <w:numPr>
          <w:ilvl w:val="0"/>
          <w:numId w:val="11"/>
        </w:numPr>
        <w:spacing w:line="240" w:lineRule="auto"/>
        <w:rPr>
          <w:lang w:val="es-ES"/>
        </w:rPr>
      </w:pPr>
      <w:r w:rsidRPr="00A450C5">
        <w:rPr>
          <w:lang w:val="es-ES"/>
        </w:rPr>
        <w:t>Coordinar la elaboración de los planos actualizados de la red hídrica e instalaciones existentes.</w:t>
      </w:r>
    </w:p>
    <w:p w14:paraId="16CD5CE2" w14:textId="77777777" w:rsidR="00A450C5" w:rsidRPr="00A450C5" w:rsidRDefault="00A450C5" w:rsidP="00A450C5">
      <w:pPr>
        <w:pStyle w:val="INFOEM"/>
        <w:numPr>
          <w:ilvl w:val="0"/>
          <w:numId w:val="11"/>
        </w:numPr>
        <w:spacing w:line="240" w:lineRule="auto"/>
        <w:rPr>
          <w:lang w:val="es-ES"/>
        </w:rPr>
      </w:pPr>
      <w:r w:rsidRPr="00A450C5">
        <w:rPr>
          <w:lang w:val="es-ES"/>
        </w:rPr>
        <w:t>Integrar, clasificar, depurar y actualizar, el sistema de las redes de distribución de agua potable.</w:t>
      </w:r>
    </w:p>
    <w:p w14:paraId="5F71187A" w14:textId="77777777" w:rsidR="00A450C5" w:rsidRPr="00A450C5" w:rsidRDefault="00A450C5" w:rsidP="00A450C5">
      <w:pPr>
        <w:pStyle w:val="INFOEM"/>
        <w:numPr>
          <w:ilvl w:val="0"/>
          <w:numId w:val="11"/>
        </w:numPr>
        <w:spacing w:line="240" w:lineRule="auto"/>
        <w:rPr>
          <w:lang w:val="es-ES"/>
        </w:rPr>
      </w:pPr>
      <w:r w:rsidRPr="00A450C5">
        <w:rPr>
          <w:lang w:val="es-ES"/>
        </w:rPr>
        <w:t>Coordinar el suministro de agua potable mediante pipas a las comunidades o zonas afectadas por trabajos, contingencias o carentes de infraestructura.</w:t>
      </w:r>
    </w:p>
    <w:p w14:paraId="10C4DA03" w14:textId="77777777" w:rsidR="00A450C5" w:rsidRPr="00A450C5" w:rsidRDefault="00A450C5" w:rsidP="00A450C5">
      <w:pPr>
        <w:pStyle w:val="INFOEM"/>
        <w:numPr>
          <w:ilvl w:val="0"/>
          <w:numId w:val="11"/>
        </w:numPr>
        <w:spacing w:line="240" w:lineRule="auto"/>
        <w:rPr>
          <w:lang w:val="es-ES"/>
        </w:rPr>
      </w:pPr>
      <w:r w:rsidRPr="00A450C5">
        <w:rPr>
          <w:lang w:val="es-ES"/>
        </w:rPr>
        <w:t>Regular el abastecimiento de los sistemas de agua potable, determinando los tiempos de operación con base en la demanda solicitada.</w:t>
      </w:r>
    </w:p>
    <w:p w14:paraId="6AEC68D3" w14:textId="77777777" w:rsidR="00A450C5" w:rsidRPr="00A450C5" w:rsidRDefault="00A450C5" w:rsidP="00A450C5">
      <w:pPr>
        <w:pStyle w:val="INFOEM"/>
        <w:numPr>
          <w:ilvl w:val="0"/>
          <w:numId w:val="11"/>
        </w:numPr>
        <w:spacing w:before="0" w:line="240" w:lineRule="auto"/>
        <w:rPr>
          <w:lang w:val="es-ES"/>
        </w:rPr>
      </w:pPr>
      <w:r w:rsidRPr="00A450C5">
        <w:rPr>
          <w:lang w:val="es-ES"/>
        </w:rPr>
        <w:t>Atender las quejas y reportes de la población por deficiencia en el suministro de agua potable.</w:t>
      </w:r>
    </w:p>
    <w:p w14:paraId="0A7E484A" w14:textId="77777777" w:rsidR="00A450C5" w:rsidRPr="00A450C5" w:rsidRDefault="00A450C5" w:rsidP="00A450C5">
      <w:pPr>
        <w:pStyle w:val="INFOEM"/>
        <w:numPr>
          <w:ilvl w:val="0"/>
          <w:numId w:val="11"/>
        </w:numPr>
        <w:spacing w:before="0" w:line="240" w:lineRule="auto"/>
        <w:rPr>
          <w:lang w:val="es-ES"/>
        </w:rPr>
      </w:pPr>
      <w:r w:rsidRPr="00A450C5">
        <w:rPr>
          <w:lang w:val="es-ES"/>
        </w:rPr>
        <w:t>Realizar los trabajos de mantenimiento por obstrucción en el flujo de agua en la toma domiciliaria.</w:t>
      </w:r>
    </w:p>
    <w:p w14:paraId="29A7E612" w14:textId="77777777" w:rsidR="00A450C5" w:rsidRPr="00A450C5" w:rsidRDefault="00A450C5" w:rsidP="00A450C5">
      <w:pPr>
        <w:pStyle w:val="INFOEM"/>
        <w:numPr>
          <w:ilvl w:val="0"/>
          <w:numId w:val="11"/>
        </w:numPr>
        <w:spacing w:line="240" w:lineRule="auto"/>
        <w:rPr>
          <w:b/>
          <w:u w:val="single"/>
          <w:lang w:val="es-ES"/>
        </w:rPr>
      </w:pPr>
      <w:r w:rsidRPr="00A450C5">
        <w:rPr>
          <w:b/>
          <w:u w:val="single"/>
          <w:lang w:val="es-ES"/>
        </w:rPr>
        <w:t>Realizar el estudio químico y/o bacteriológico, del agua potable o sustancias que aparezcan en ella.</w:t>
      </w:r>
    </w:p>
    <w:p w14:paraId="29321A4E" w14:textId="77777777" w:rsidR="00A450C5" w:rsidRPr="00A450C5" w:rsidRDefault="00A450C5" w:rsidP="00A450C5">
      <w:pPr>
        <w:pStyle w:val="INFOEM"/>
        <w:numPr>
          <w:ilvl w:val="0"/>
          <w:numId w:val="11"/>
        </w:numPr>
        <w:spacing w:line="240" w:lineRule="auto"/>
        <w:rPr>
          <w:lang w:val="es-ES"/>
        </w:rPr>
      </w:pPr>
      <w:r w:rsidRPr="00A450C5">
        <w:rPr>
          <w:lang w:val="es-ES"/>
        </w:rPr>
        <w:t>Coordinar la construcción de los sistemas de agua potable, alcantarillado y saneamiento.</w:t>
      </w:r>
    </w:p>
    <w:p w14:paraId="0227ED0B" w14:textId="77777777" w:rsidR="00A450C5" w:rsidRPr="00A450C5" w:rsidRDefault="00A450C5" w:rsidP="00A450C5">
      <w:pPr>
        <w:pStyle w:val="INFOEM"/>
        <w:numPr>
          <w:ilvl w:val="0"/>
          <w:numId w:val="11"/>
        </w:numPr>
        <w:spacing w:before="0" w:line="240" w:lineRule="auto"/>
        <w:rPr>
          <w:lang w:val="es-ES"/>
        </w:rPr>
      </w:pPr>
      <w:r w:rsidRPr="00A450C5">
        <w:rPr>
          <w:lang w:val="es-ES"/>
        </w:rPr>
        <w:lastRenderedPageBreak/>
        <w:t>Realizar la construcción, ampliación y rehabilitación de la infraestructura hidrosanitaria en el territorio Municipal.</w:t>
      </w:r>
    </w:p>
    <w:p w14:paraId="50BD7625" w14:textId="77777777" w:rsidR="00B36E5F" w:rsidRDefault="00A450C5" w:rsidP="00A450C5">
      <w:pPr>
        <w:pStyle w:val="INFOEM"/>
        <w:numPr>
          <w:ilvl w:val="0"/>
          <w:numId w:val="11"/>
        </w:numPr>
        <w:spacing w:before="0" w:line="240" w:lineRule="auto"/>
        <w:jc w:val="both"/>
        <w:rPr>
          <w:lang w:val="es-ES"/>
        </w:rPr>
      </w:pPr>
      <w:r w:rsidRPr="00A450C5">
        <w:rPr>
          <w:lang w:val="es-ES"/>
        </w:rPr>
        <w:t>Analizar y proponer alternativas de solución a los problemas constructivos de los sistemas de agua potable, alcantarillado y saneamiento.</w:t>
      </w:r>
    </w:p>
    <w:p w14:paraId="0F6A374C" w14:textId="77777777" w:rsidR="00A450C5" w:rsidRPr="00A450C5" w:rsidRDefault="00A450C5" w:rsidP="00A450C5">
      <w:pPr>
        <w:pStyle w:val="INFOEM"/>
        <w:numPr>
          <w:ilvl w:val="0"/>
          <w:numId w:val="11"/>
        </w:numPr>
        <w:spacing w:line="240" w:lineRule="auto"/>
        <w:jc w:val="both"/>
        <w:rPr>
          <w:lang w:val="es-ES"/>
        </w:rPr>
      </w:pPr>
      <w:r w:rsidRPr="00A450C5">
        <w:rPr>
          <w:lang w:val="es-ES"/>
        </w:rPr>
        <w:t>Vigilar que los procedimientos de construcción de obras de agua, alcantarillado y saneamiento cumplan con las condiciones de seguridad y calidad establecidas.</w:t>
      </w:r>
    </w:p>
    <w:p w14:paraId="78D81E85" w14:textId="77777777" w:rsidR="00A450C5" w:rsidRPr="00A450C5" w:rsidRDefault="00A450C5" w:rsidP="00A450C5">
      <w:pPr>
        <w:pStyle w:val="INFOEM"/>
        <w:numPr>
          <w:ilvl w:val="0"/>
          <w:numId w:val="11"/>
        </w:numPr>
        <w:spacing w:line="240" w:lineRule="auto"/>
        <w:jc w:val="both"/>
        <w:rPr>
          <w:lang w:val="es-ES"/>
        </w:rPr>
      </w:pPr>
      <w:r w:rsidRPr="00A450C5">
        <w:rPr>
          <w:lang w:val="es-ES"/>
        </w:rPr>
        <w:t>Supervisar a las empresas contratadas para la realización de obras, verificando que cumplan con las normas y especificaciones acordadas por el Organismo.</w:t>
      </w:r>
    </w:p>
    <w:p w14:paraId="1617D233" w14:textId="77777777" w:rsidR="00A450C5" w:rsidRPr="00A450C5" w:rsidRDefault="00A450C5" w:rsidP="00A450C5">
      <w:pPr>
        <w:pStyle w:val="INFOEM"/>
        <w:numPr>
          <w:ilvl w:val="0"/>
          <w:numId w:val="11"/>
        </w:numPr>
        <w:spacing w:line="240" w:lineRule="auto"/>
        <w:jc w:val="both"/>
        <w:rPr>
          <w:lang w:val="es-ES"/>
        </w:rPr>
      </w:pPr>
      <w:r w:rsidRPr="00A450C5">
        <w:rPr>
          <w:lang w:val="es-ES"/>
        </w:rPr>
        <w:t>Proporcionar asistencia técnica a los Comités autónomos del agua, pertenecientes al Municipio, en aspectos relacionados con el alcantarillado, saneamiento y abastecimiento de agua potable.</w:t>
      </w:r>
    </w:p>
    <w:p w14:paraId="2AE7A800" w14:textId="77777777" w:rsidR="00A450C5" w:rsidRPr="005F595E" w:rsidRDefault="00A450C5" w:rsidP="00A450C5">
      <w:pPr>
        <w:pStyle w:val="INFOEM"/>
        <w:numPr>
          <w:ilvl w:val="0"/>
          <w:numId w:val="11"/>
        </w:numPr>
        <w:spacing w:line="240" w:lineRule="auto"/>
        <w:jc w:val="both"/>
        <w:rPr>
          <w:lang w:val="es-ES"/>
        </w:rPr>
      </w:pPr>
      <w:r w:rsidRPr="005F595E">
        <w:rPr>
          <w:lang w:val="es-ES"/>
        </w:rPr>
        <w:t>Realizar los estudios necesarios para la implementación a largo plazo de un plan maestro hidrosanitario con el fin de resolver las necesidades de la población y su crecimiento, considerándolo en su momento para ser incluido en el presupuesto anual del Organismo.</w:t>
      </w:r>
    </w:p>
    <w:p w14:paraId="1424C7B1" w14:textId="77777777" w:rsidR="00A450C5" w:rsidRPr="00A450C5" w:rsidRDefault="00A450C5" w:rsidP="00A450C5">
      <w:pPr>
        <w:pStyle w:val="INFOEM"/>
        <w:numPr>
          <w:ilvl w:val="0"/>
          <w:numId w:val="11"/>
        </w:numPr>
        <w:spacing w:line="240" w:lineRule="auto"/>
        <w:jc w:val="both"/>
        <w:rPr>
          <w:lang w:val="es-ES"/>
        </w:rPr>
      </w:pPr>
      <w:r w:rsidRPr="00A450C5">
        <w:rPr>
          <w:lang w:val="es-ES"/>
        </w:rPr>
        <w:t>Coordinar el abastecimiento oportuno de material y equipo necesario para la realización de obras.</w:t>
      </w:r>
    </w:p>
    <w:p w14:paraId="620D93E9" w14:textId="77777777" w:rsidR="00A450C5" w:rsidRPr="00A450C5" w:rsidRDefault="00A450C5" w:rsidP="00A450C5">
      <w:pPr>
        <w:pStyle w:val="INFOEM"/>
        <w:numPr>
          <w:ilvl w:val="0"/>
          <w:numId w:val="11"/>
        </w:numPr>
        <w:spacing w:line="240" w:lineRule="auto"/>
        <w:jc w:val="both"/>
        <w:rPr>
          <w:lang w:val="es-ES"/>
        </w:rPr>
      </w:pPr>
      <w:r w:rsidRPr="00A450C5">
        <w:rPr>
          <w:lang w:val="es-ES"/>
        </w:rPr>
        <w:t>Canalizar las solicitudes de instalación y mantenimiento de descargas y tomas domiciliarias.</w:t>
      </w:r>
    </w:p>
    <w:p w14:paraId="3DF03DD7" w14:textId="77777777" w:rsidR="00A450C5" w:rsidRPr="00A450C5" w:rsidRDefault="00A450C5" w:rsidP="00A450C5">
      <w:pPr>
        <w:pStyle w:val="INFOEM"/>
        <w:numPr>
          <w:ilvl w:val="0"/>
          <w:numId w:val="11"/>
        </w:numPr>
        <w:spacing w:line="240" w:lineRule="auto"/>
        <w:jc w:val="both"/>
        <w:rPr>
          <w:b/>
          <w:lang w:val="es-ES"/>
        </w:rPr>
      </w:pPr>
      <w:r w:rsidRPr="00A450C5">
        <w:rPr>
          <w:b/>
          <w:lang w:val="es-ES"/>
        </w:rPr>
        <w:t>Realizar estudios tanto de carácter técnico, económico y de ingeniería, para la introducción, aplicación o rehabilitación de sistemas de agua potable alcantarillado y saneamiento del Municipio, en cuanto a las factibilidades.</w:t>
      </w:r>
    </w:p>
    <w:p w14:paraId="44814609" w14:textId="77777777" w:rsidR="00A450C5" w:rsidRPr="00A450C5" w:rsidRDefault="00A450C5" w:rsidP="00A450C5">
      <w:pPr>
        <w:pStyle w:val="INFOEM"/>
        <w:numPr>
          <w:ilvl w:val="0"/>
          <w:numId w:val="11"/>
        </w:numPr>
        <w:spacing w:line="240" w:lineRule="auto"/>
        <w:jc w:val="both"/>
        <w:rPr>
          <w:lang w:val="es-ES"/>
        </w:rPr>
      </w:pPr>
      <w:r w:rsidRPr="00A450C5">
        <w:rPr>
          <w:lang w:val="es-ES"/>
        </w:rPr>
        <w:t>Revisar los convenios de factibilidades en trámite.</w:t>
      </w:r>
    </w:p>
    <w:p w14:paraId="2E689472" w14:textId="77777777" w:rsidR="00A450C5" w:rsidRPr="00A450C5" w:rsidRDefault="00A450C5" w:rsidP="00A450C5">
      <w:pPr>
        <w:pStyle w:val="INFOEM"/>
        <w:numPr>
          <w:ilvl w:val="0"/>
          <w:numId w:val="11"/>
        </w:numPr>
        <w:spacing w:line="240" w:lineRule="auto"/>
        <w:jc w:val="both"/>
        <w:rPr>
          <w:lang w:val="es-ES"/>
        </w:rPr>
      </w:pPr>
      <w:r w:rsidRPr="00A450C5">
        <w:rPr>
          <w:lang w:val="es-ES"/>
        </w:rPr>
        <w:t>Respaldar debidamente todas las factibilidades y aportaciones de mejoras que se encuentren en trámite.</w:t>
      </w:r>
    </w:p>
    <w:p w14:paraId="7D13B6B2" w14:textId="77777777" w:rsidR="00A450C5" w:rsidRPr="00A450C5" w:rsidRDefault="00A450C5" w:rsidP="00A450C5">
      <w:pPr>
        <w:pStyle w:val="INFOEM"/>
        <w:numPr>
          <w:ilvl w:val="0"/>
          <w:numId w:val="11"/>
        </w:numPr>
        <w:spacing w:line="240" w:lineRule="auto"/>
        <w:jc w:val="both"/>
        <w:rPr>
          <w:lang w:val="es-ES"/>
        </w:rPr>
      </w:pPr>
      <w:r w:rsidRPr="00A450C5">
        <w:rPr>
          <w:lang w:val="es-ES"/>
        </w:rPr>
        <w:t>Presentar a consideración de la Dirección General, los convenios y acuerdos de colonias, localidades, y conjuntos urbanos del Municipio, todas las factibilidades en proceso, así como los posibles convenios de pago con la documentación legal correspondiente.</w:t>
      </w:r>
    </w:p>
    <w:p w14:paraId="7854D055" w14:textId="77777777" w:rsidR="00A450C5" w:rsidRPr="00A450C5" w:rsidRDefault="00A450C5" w:rsidP="00A450C5">
      <w:pPr>
        <w:pStyle w:val="INFOEM"/>
        <w:numPr>
          <w:ilvl w:val="0"/>
          <w:numId w:val="11"/>
        </w:numPr>
        <w:spacing w:line="240" w:lineRule="auto"/>
        <w:jc w:val="both"/>
        <w:rPr>
          <w:lang w:val="es-ES"/>
        </w:rPr>
      </w:pPr>
      <w:r w:rsidRPr="00A450C5">
        <w:rPr>
          <w:lang w:val="es-ES"/>
        </w:rPr>
        <w:lastRenderedPageBreak/>
        <w:t>Determinar la aptitud del agua potable para consumo mediante la realización de diversos estudios físicos, químicos y bacteriológicos.</w:t>
      </w:r>
    </w:p>
    <w:p w14:paraId="68C94EE1" w14:textId="77777777" w:rsidR="00A450C5" w:rsidRPr="00A450C5" w:rsidRDefault="00A450C5" w:rsidP="00A450C5">
      <w:pPr>
        <w:pStyle w:val="INFOEM"/>
        <w:numPr>
          <w:ilvl w:val="0"/>
          <w:numId w:val="11"/>
        </w:numPr>
        <w:spacing w:line="240" w:lineRule="auto"/>
        <w:jc w:val="both"/>
        <w:rPr>
          <w:lang w:val="es-ES"/>
        </w:rPr>
      </w:pPr>
      <w:r w:rsidRPr="00A450C5">
        <w:rPr>
          <w:lang w:val="es-ES"/>
        </w:rPr>
        <w:t>Llevar a cabo estudios técnicos y geohidrológicos que determinen la localización de áreas físicas para nuevas fuentes de abastecimiento y su potencialidad, tanques de regulación, red de distribución y líneas de conducción.</w:t>
      </w:r>
    </w:p>
    <w:p w14:paraId="0DE3ED46" w14:textId="77777777" w:rsidR="00A450C5" w:rsidRPr="00A450C5" w:rsidRDefault="00A450C5" w:rsidP="00A450C5">
      <w:pPr>
        <w:pStyle w:val="INFOEM"/>
        <w:numPr>
          <w:ilvl w:val="0"/>
          <w:numId w:val="11"/>
        </w:numPr>
        <w:spacing w:line="240" w:lineRule="auto"/>
        <w:jc w:val="both"/>
        <w:rPr>
          <w:lang w:val="es-ES"/>
        </w:rPr>
      </w:pPr>
      <w:r w:rsidRPr="00A450C5">
        <w:rPr>
          <w:lang w:val="es-ES"/>
        </w:rPr>
        <w:t>Revisar, los proyectos de agua potable, drenaje, alcantarillado y tratamiento de aguas residuales de las obras a realizar, derivadas de las solicitudes de factibilidad de servicios, a efecto de que cumplan con la normatividad establecida para tal fin.</w:t>
      </w:r>
    </w:p>
    <w:p w14:paraId="7C12609B" w14:textId="77777777" w:rsidR="00A450C5" w:rsidRPr="00A450C5" w:rsidRDefault="00A450C5" w:rsidP="00A450C5">
      <w:pPr>
        <w:pStyle w:val="INFOEM"/>
        <w:numPr>
          <w:ilvl w:val="0"/>
          <w:numId w:val="11"/>
        </w:numPr>
        <w:spacing w:line="240" w:lineRule="auto"/>
        <w:jc w:val="both"/>
        <w:rPr>
          <w:lang w:val="es-ES"/>
        </w:rPr>
      </w:pPr>
      <w:r w:rsidRPr="00A450C5">
        <w:rPr>
          <w:lang w:val="es-ES"/>
        </w:rPr>
        <w:t>Supervisar el predio donde se ubica la zona en cuestión, objeto de factibilidad, estudio, servicio u obra.</w:t>
      </w:r>
    </w:p>
    <w:p w14:paraId="681113C4" w14:textId="77777777" w:rsidR="00A450C5" w:rsidRPr="00A450C5" w:rsidRDefault="00A450C5" w:rsidP="00A450C5">
      <w:pPr>
        <w:pStyle w:val="INFOEM"/>
        <w:numPr>
          <w:ilvl w:val="0"/>
          <w:numId w:val="11"/>
        </w:numPr>
        <w:spacing w:line="240" w:lineRule="auto"/>
        <w:jc w:val="both"/>
        <w:rPr>
          <w:lang w:val="es-ES"/>
        </w:rPr>
      </w:pPr>
      <w:r w:rsidRPr="00A450C5">
        <w:rPr>
          <w:lang w:val="es-ES"/>
        </w:rPr>
        <w:t>Supervisar la elaboración de los planos topográficos que se requieren para cada una de las obras.</w:t>
      </w:r>
    </w:p>
    <w:p w14:paraId="723030F9" w14:textId="77777777" w:rsidR="00A450C5" w:rsidRPr="00A450C5" w:rsidRDefault="00A450C5" w:rsidP="00A450C5">
      <w:pPr>
        <w:pStyle w:val="INFOEM"/>
        <w:numPr>
          <w:ilvl w:val="0"/>
          <w:numId w:val="11"/>
        </w:numPr>
        <w:spacing w:line="240" w:lineRule="auto"/>
        <w:jc w:val="both"/>
        <w:rPr>
          <w:lang w:val="es-ES"/>
        </w:rPr>
      </w:pPr>
      <w:r w:rsidRPr="00A450C5">
        <w:rPr>
          <w:lang w:val="es-ES"/>
        </w:rPr>
        <w:t>Implementar programas para los operativos de emergencia en casos de desastre, causados por inundaciones, desbordamientos y/o desabasto en las líneas de drenaje a causa de desbordamientos en las líneas de drenaje.</w:t>
      </w:r>
    </w:p>
    <w:p w14:paraId="3DD3BA71" w14:textId="77777777" w:rsidR="00A450C5" w:rsidRPr="00A450C5" w:rsidRDefault="00A450C5" w:rsidP="00A450C5">
      <w:pPr>
        <w:pStyle w:val="INFOEM"/>
        <w:numPr>
          <w:ilvl w:val="0"/>
          <w:numId w:val="11"/>
        </w:numPr>
        <w:spacing w:line="240" w:lineRule="auto"/>
        <w:jc w:val="both"/>
        <w:rPr>
          <w:lang w:val="es-ES"/>
        </w:rPr>
      </w:pPr>
      <w:r w:rsidRPr="00A450C5">
        <w:rPr>
          <w:lang w:val="es-ES"/>
        </w:rPr>
        <w:t>Participar en los aspectos técnicos que requieran los convenios celebrados por el Organismo.</w:t>
      </w:r>
    </w:p>
    <w:p w14:paraId="7EA44FCC" w14:textId="77777777" w:rsidR="00A450C5" w:rsidRPr="00A450C5" w:rsidRDefault="00A450C5" w:rsidP="00A450C5">
      <w:pPr>
        <w:pStyle w:val="INFOEM"/>
        <w:numPr>
          <w:ilvl w:val="0"/>
          <w:numId w:val="11"/>
        </w:numPr>
        <w:spacing w:line="240" w:lineRule="auto"/>
        <w:jc w:val="both"/>
        <w:rPr>
          <w:lang w:val="es-ES"/>
        </w:rPr>
      </w:pPr>
      <w:r w:rsidRPr="00A450C5">
        <w:rPr>
          <w:lang w:val="es-ES"/>
        </w:rPr>
        <w:t>Elaborar los informes referentes al funcionamiento de los sistemas de agua potable, alcantarillado y saneamiento, sometiéndolos a la consideración de la Dirección General.</w:t>
      </w:r>
    </w:p>
    <w:p w14:paraId="009641A5" w14:textId="77777777" w:rsidR="00A450C5" w:rsidRPr="00A450C5" w:rsidRDefault="00A450C5" w:rsidP="00A450C5">
      <w:pPr>
        <w:pStyle w:val="INFOEM"/>
        <w:numPr>
          <w:ilvl w:val="0"/>
          <w:numId w:val="11"/>
        </w:numPr>
        <w:spacing w:line="240" w:lineRule="auto"/>
        <w:jc w:val="both"/>
        <w:rPr>
          <w:lang w:val="es-ES"/>
        </w:rPr>
      </w:pPr>
      <w:r w:rsidRPr="00A450C5">
        <w:rPr>
          <w:lang w:val="es-ES"/>
        </w:rPr>
        <w:t>Revisar, verificar e informar el avance físico de las obras de agua potable, alcantarillado y saneamiento.</w:t>
      </w:r>
    </w:p>
    <w:p w14:paraId="1F610639" w14:textId="77777777" w:rsidR="00A450C5" w:rsidRPr="00A450C5" w:rsidRDefault="00A450C5" w:rsidP="00A450C5">
      <w:pPr>
        <w:pStyle w:val="INFOEM"/>
        <w:numPr>
          <w:ilvl w:val="0"/>
          <w:numId w:val="11"/>
        </w:numPr>
        <w:spacing w:line="240" w:lineRule="auto"/>
        <w:jc w:val="both"/>
        <w:rPr>
          <w:lang w:val="es-ES"/>
        </w:rPr>
      </w:pPr>
      <w:r w:rsidRPr="00A450C5">
        <w:rPr>
          <w:lang w:val="es-ES"/>
        </w:rPr>
        <w:t>Coordinar las acciones para conservar y/o incrementar la eficiencia de los equipos electromecánicos.</w:t>
      </w:r>
    </w:p>
    <w:p w14:paraId="683883C9" w14:textId="77777777" w:rsidR="00A450C5" w:rsidRPr="00A450C5" w:rsidRDefault="00A450C5" w:rsidP="00A450C5">
      <w:pPr>
        <w:pStyle w:val="INFOEM"/>
        <w:numPr>
          <w:ilvl w:val="0"/>
          <w:numId w:val="11"/>
        </w:numPr>
        <w:spacing w:line="240" w:lineRule="auto"/>
        <w:jc w:val="both"/>
        <w:rPr>
          <w:lang w:val="es-ES"/>
        </w:rPr>
      </w:pPr>
      <w:r w:rsidRPr="00A450C5">
        <w:rPr>
          <w:lang w:val="es-ES"/>
        </w:rPr>
        <w:t>Coordinar las acciones para la desinfección del agua potable conforme a las normas oficiales emitidas para tal efecto.</w:t>
      </w:r>
    </w:p>
    <w:p w14:paraId="5B249B82" w14:textId="77777777" w:rsidR="00A450C5" w:rsidRPr="00A450C5" w:rsidRDefault="00A450C5" w:rsidP="00A450C5">
      <w:pPr>
        <w:pStyle w:val="INFOEM"/>
        <w:numPr>
          <w:ilvl w:val="0"/>
          <w:numId w:val="11"/>
        </w:numPr>
        <w:spacing w:line="240" w:lineRule="auto"/>
        <w:jc w:val="both"/>
        <w:rPr>
          <w:lang w:val="es-ES"/>
        </w:rPr>
      </w:pPr>
      <w:r w:rsidRPr="00A450C5">
        <w:rPr>
          <w:lang w:val="es-ES"/>
        </w:rPr>
        <w:t>Coordinar el mantenimiento preventivo y correctivo de las fuentes de abastecimiento, así como los equipos de bombeo.</w:t>
      </w:r>
    </w:p>
    <w:p w14:paraId="266EB886" w14:textId="77777777" w:rsidR="00A450C5" w:rsidRPr="00A450C5" w:rsidRDefault="00A450C5" w:rsidP="00A450C5">
      <w:pPr>
        <w:pStyle w:val="INFOEM"/>
        <w:numPr>
          <w:ilvl w:val="0"/>
          <w:numId w:val="11"/>
        </w:numPr>
        <w:spacing w:line="240" w:lineRule="auto"/>
        <w:jc w:val="both"/>
        <w:rPr>
          <w:lang w:val="es-ES"/>
        </w:rPr>
      </w:pPr>
      <w:r w:rsidRPr="00A450C5">
        <w:rPr>
          <w:lang w:val="es-ES"/>
        </w:rPr>
        <w:lastRenderedPageBreak/>
        <w:t>Desarrollar todas las demás que le confiere la Legislación vigente; así como los Reglamentos, Manuales y Acuerdos.</w:t>
      </w:r>
    </w:p>
    <w:p w14:paraId="00A9AE8C" w14:textId="77777777" w:rsidR="00A450C5" w:rsidRPr="00A450C5" w:rsidRDefault="00A450C5" w:rsidP="00A450C5">
      <w:pPr>
        <w:pStyle w:val="INFOEM"/>
        <w:spacing w:before="0" w:line="240" w:lineRule="auto"/>
        <w:ind w:left="829"/>
        <w:rPr>
          <w:lang w:val="es-ES"/>
        </w:rPr>
      </w:pPr>
    </w:p>
    <w:p w14:paraId="0899D760" w14:textId="77777777" w:rsidR="00FB3E2F" w:rsidRDefault="00FB3E2F" w:rsidP="000E50F4">
      <w:pPr>
        <w:pStyle w:val="INFOEM"/>
        <w:rPr>
          <w:lang w:val="es-ES"/>
        </w:rPr>
      </w:pPr>
    </w:p>
    <w:p w14:paraId="10E83F4B" w14:textId="77777777" w:rsidR="005F595E" w:rsidRDefault="005F595E" w:rsidP="009354A8">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Conforme al Manual de Organización del Sujeto Obligado, la Dirección de Operación tiene como una de sus funciones la de realizar estudios químicos y/o bacteriológico del agua potable o sustancias que aparezcan en ella, sin embargo, no establece que dichos estudios deban realizar al drenaje.</w:t>
      </w:r>
    </w:p>
    <w:p w14:paraId="38D0CED1" w14:textId="77777777" w:rsidR="005F595E" w:rsidRDefault="005F595E" w:rsidP="009354A8">
      <w:pPr>
        <w:spacing w:after="0" w:line="360" w:lineRule="auto"/>
        <w:jc w:val="both"/>
        <w:rPr>
          <w:rFonts w:ascii="Palatino Linotype" w:eastAsia="Times New Roman" w:hAnsi="Palatino Linotype" w:cs="Arial"/>
          <w:sz w:val="24"/>
          <w:szCs w:val="24"/>
          <w:lang w:val="es-ES" w:eastAsia="es-ES"/>
        </w:rPr>
      </w:pPr>
    </w:p>
    <w:p w14:paraId="3D9AEA5A" w14:textId="77777777" w:rsidR="00190F54" w:rsidRDefault="00190F54" w:rsidP="009354A8">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Por otro lado, la Ley del Agua para el Estado de México y Municipios establece la forma en la que se regulan los servicios de agua potable, drenaje, alcantarillado y saneamiento de residuales, tal como se transcribe:</w:t>
      </w:r>
    </w:p>
    <w:p w14:paraId="7B1D4653" w14:textId="77777777" w:rsidR="00190F54" w:rsidRPr="007A24D6" w:rsidRDefault="00190F54" w:rsidP="007A24D6">
      <w:pPr>
        <w:pStyle w:val="INFOEM"/>
        <w:jc w:val="center"/>
        <w:rPr>
          <w:b/>
          <w:lang w:val="es-ES"/>
        </w:rPr>
      </w:pPr>
      <w:r w:rsidRPr="007A24D6">
        <w:rPr>
          <w:b/>
          <w:lang w:val="es-ES"/>
        </w:rPr>
        <w:t>DEL SERVICIO DE DRENAJE Y ALCANTARILLADO</w:t>
      </w:r>
    </w:p>
    <w:p w14:paraId="2D1FD0DE" w14:textId="77777777" w:rsidR="00190F54" w:rsidRDefault="00190F54" w:rsidP="00190F54">
      <w:pPr>
        <w:pStyle w:val="INFOEM"/>
        <w:rPr>
          <w:lang w:val="es-ES"/>
        </w:rPr>
      </w:pPr>
      <w:r w:rsidRPr="00190F54">
        <w:rPr>
          <w:lang w:val="es-ES"/>
        </w:rPr>
        <w:t xml:space="preserve">Artículo 78.- El prestador de los servicios de drenaje y alcantarillado regulará y controlará las descargas de aguas residuales y pluviales dentro de la red de drenaje y alcantarillado que esté bajo su administración, hasta su vertido, en cada caso, a cuerpos receptores bajo distinta jurisdicción, ya sean estatales o federales, de acuerdo con las disposiciones legales y reglamentarias aplicables. </w:t>
      </w:r>
    </w:p>
    <w:p w14:paraId="389CB216" w14:textId="77777777" w:rsidR="00190F54" w:rsidRDefault="00190F54" w:rsidP="00190F54">
      <w:pPr>
        <w:pStyle w:val="INFOEM"/>
        <w:rPr>
          <w:lang w:val="es-ES"/>
        </w:rPr>
      </w:pPr>
      <w:r w:rsidRPr="00190F54">
        <w:rPr>
          <w:lang w:val="es-ES"/>
        </w:rPr>
        <w:t xml:space="preserve">Artículo 79.- Están obligados a contratar y pagar los servicios de drenaje y alcantarillado: </w:t>
      </w:r>
    </w:p>
    <w:p w14:paraId="6E68BCDF" w14:textId="77777777" w:rsidR="00190F54" w:rsidRDefault="00190F54" w:rsidP="00190F54">
      <w:pPr>
        <w:pStyle w:val="INFOEM"/>
        <w:numPr>
          <w:ilvl w:val="0"/>
          <w:numId w:val="7"/>
        </w:numPr>
        <w:rPr>
          <w:lang w:val="es-ES"/>
        </w:rPr>
      </w:pPr>
      <w:r w:rsidRPr="00190F54">
        <w:rPr>
          <w:lang w:val="es-ES"/>
        </w:rPr>
        <w:t>Los usuarios del servicio de agua potable en sus distintos usos; y</w:t>
      </w:r>
    </w:p>
    <w:p w14:paraId="4322B0C5" w14:textId="77777777" w:rsidR="00190F54" w:rsidRDefault="00190F54" w:rsidP="00190F54">
      <w:pPr>
        <w:pStyle w:val="INFOEM"/>
        <w:numPr>
          <w:ilvl w:val="0"/>
          <w:numId w:val="7"/>
        </w:numPr>
        <w:rPr>
          <w:lang w:val="es-ES"/>
        </w:rPr>
      </w:pPr>
      <w:r w:rsidRPr="00190F54">
        <w:rPr>
          <w:lang w:val="es-ES"/>
        </w:rPr>
        <w:lastRenderedPageBreak/>
        <w:t xml:space="preserve">Los propietarios o poseedores de inmuebles con aprovisionamientos de agua obtenidos de fuente distinta a la red de distribución, que requieran del sistema de drenaje y alcantarillado para la descarga de sus aguas residuales. </w:t>
      </w:r>
    </w:p>
    <w:p w14:paraId="24E455DA" w14:textId="77777777" w:rsidR="00190F54" w:rsidRDefault="00190F54" w:rsidP="00190F54">
      <w:pPr>
        <w:pStyle w:val="INFOEM"/>
        <w:rPr>
          <w:lang w:val="es-ES"/>
        </w:rPr>
      </w:pPr>
      <w:r w:rsidRPr="00190F54">
        <w:rPr>
          <w:lang w:val="es-ES"/>
        </w:rPr>
        <w:t xml:space="preserve">Las condiciones a que deberán sujetarse los usuarios para la prestación de los servicios de drenaje y alcantarillado, serán las mismas que en esta Ley y su Reglamento se señalan para la prestación del servicio de </w:t>
      </w:r>
      <w:r>
        <w:rPr>
          <w:lang w:val="es-ES"/>
        </w:rPr>
        <w:t xml:space="preserve">agua potable, en lo aplicable. </w:t>
      </w:r>
    </w:p>
    <w:p w14:paraId="66BE4F54" w14:textId="77777777" w:rsidR="00190F54" w:rsidRDefault="00190F54" w:rsidP="00190F54">
      <w:pPr>
        <w:pStyle w:val="INFOEM"/>
        <w:rPr>
          <w:lang w:val="es-ES"/>
        </w:rPr>
      </w:pPr>
      <w:r>
        <w:rPr>
          <w:lang w:val="es-ES"/>
        </w:rPr>
        <w:t>A</w:t>
      </w:r>
      <w:r w:rsidRPr="00190F54">
        <w:rPr>
          <w:lang w:val="es-ES"/>
        </w:rPr>
        <w:t xml:space="preserve">rtículo 80.- Las personas físicas o jurídicas colectivas requieren permiso de autoridad competente para descargar aguas residuales en cuerpos receptores de jurisdicción estatal o municipal, en los términos que señale la presente Ley y su Reglamento. </w:t>
      </w:r>
    </w:p>
    <w:p w14:paraId="2DF64021" w14:textId="77777777" w:rsidR="00190F54" w:rsidRDefault="00190F54" w:rsidP="00190F54">
      <w:pPr>
        <w:pStyle w:val="INFOEM"/>
        <w:rPr>
          <w:lang w:val="es-ES"/>
        </w:rPr>
      </w:pPr>
      <w:r w:rsidRPr="00190F54">
        <w:rPr>
          <w:lang w:val="es-ES"/>
        </w:rPr>
        <w:t xml:space="preserve">En el procedimiento descrito en el párrafo anterior, las personas físicas o jurídicas colectivas autorizadas, adoptarán dentro de sus procesos, la utilización de materiales biodegradables, siempre y cuando técnicamente sean viables, atendiendo a las normas de carácter técnico en la materia. Queda prohibido: </w:t>
      </w:r>
    </w:p>
    <w:p w14:paraId="5B06FA11" w14:textId="77777777" w:rsidR="00190F54" w:rsidRDefault="00190F54" w:rsidP="00190F54">
      <w:pPr>
        <w:pStyle w:val="INFOEM"/>
        <w:numPr>
          <w:ilvl w:val="0"/>
          <w:numId w:val="8"/>
        </w:numPr>
        <w:rPr>
          <w:lang w:val="es-ES"/>
        </w:rPr>
      </w:pPr>
      <w:r w:rsidRPr="00190F54">
        <w:rPr>
          <w:lang w:val="es-ES"/>
        </w:rPr>
        <w:t xml:space="preserve">Descargar a los cuerpos de agua y sistemas de drenaje y alcantarillado, desechos sólidos o sustancias que puedan contaminar o alterar física, química o biológicamente las aguas claras de las corrientes, cauces, vasos o depósitos, o que por sus características puedan poner en peligro el funcionamiento de la infraestructura hidráulica, la seguridad de un núcleo de población o de sus habitantes; </w:t>
      </w:r>
    </w:p>
    <w:p w14:paraId="35B45457" w14:textId="77777777" w:rsidR="00190F54" w:rsidRDefault="00190F54" w:rsidP="00190F54">
      <w:pPr>
        <w:pStyle w:val="INFOEM"/>
        <w:numPr>
          <w:ilvl w:val="0"/>
          <w:numId w:val="8"/>
        </w:numPr>
        <w:rPr>
          <w:lang w:val="es-ES"/>
        </w:rPr>
      </w:pPr>
      <w:r w:rsidRPr="00190F54">
        <w:rPr>
          <w:lang w:val="es-ES"/>
        </w:rPr>
        <w:t>Instalar conexiones clandestinas al drenaje o alcantarillad</w:t>
      </w:r>
      <w:r>
        <w:rPr>
          <w:lang w:val="es-ES"/>
        </w:rPr>
        <w:t xml:space="preserve">o para realizar sus descargas; </w:t>
      </w:r>
    </w:p>
    <w:p w14:paraId="6214523D" w14:textId="77777777" w:rsidR="00190F54" w:rsidRDefault="00190F54" w:rsidP="00190F54">
      <w:pPr>
        <w:pStyle w:val="INFOEM"/>
        <w:numPr>
          <w:ilvl w:val="0"/>
          <w:numId w:val="8"/>
        </w:numPr>
        <w:rPr>
          <w:lang w:val="es-ES"/>
        </w:rPr>
      </w:pPr>
      <w:r w:rsidRPr="00190F54">
        <w:rPr>
          <w:lang w:val="es-ES"/>
        </w:rPr>
        <w:lastRenderedPageBreak/>
        <w:t>Realizar alguna derivación para incumplir las obligaciones previstas en la presente Ley y su Regla</w:t>
      </w:r>
      <w:r>
        <w:rPr>
          <w:lang w:val="es-ES"/>
        </w:rPr>
        <w:t>mento, y</w:t>
      </w:r>
    </w:p>
    <w:p w14:paraId="40A3D6AF" w14:textId="77777777" w:rsidR="00190F54" w:rsidRDefault="00190F54" w:rsidP="00190F54">
      <w:pPr>
        <w:pStyle w:val="INFOEM"/>
        <w:numPr>
          <w:ilvl w:val="0"/>
          <w:numId w:val="8"/>
        </w:numPr>
        <w:rPr>
          <w:lang w:val="es-ES"/>
        </w:rPr>
      </w:pPr>
      <w:r w:rsidRPr="00190F54">
        <w:rPr>
          <w:lang w:val="es-ES"/>
        </w:rPr>
        <w:t xml:space="preserve">Realizar descargas de un predio a otro sin la autorización de su propietario o poseedor y del prestador de los servicios. Cuando se trate de descargas de aguas residuales, resultantes de actividades productivas, en cuerpos receptores distintos al drenaje o alcantarillado, el usuario deberá contar con el permiso respectivo. En todo caso, el prestador de los servicios informará sobre dichas descargas a las autoridades correspondientes para los efectos legales a que haya lugar. </w:t>
      </w:r>
    </w:p>
    <w:p w14:paraId="686FE052" w14:textId="77777777" w:rsidR="00190F54" w:rsidRDefault="00190F54" w:rsidP="00190F54">
      <w:pPr>
        <w:pStyle w:val="INFOEM"/>
        <w:rPr>
          <w:lang w:val="es-ES"/>
        </w:rPr>
      </w:pPr>
      <w:r w:rsidRPr="00190F54">
        <w:rPr>
          <w:lang w:val="es-ES"/>
        </w:rPr>
        <w:t xml:space="preserve">Artículo 81.- Podrán suspenderse los servicios de drenaje y alcantarillado, sin responsabilidad para el prestador de los servicios, cuando: </w:t>
      </w:r>
    </w:p>
    <w:p w14:paraId="26FDA772" w14:textId="77777777" w:rsidR="00190F54" w:rsidRDefault="00190F54" w:rsidP="00190F54">
      <w:pPr>
        <w:pStyle w:val="INFOEM"/>
        <w:numPr>
          <w:ilvl w:val="0"/>
          <w:numId w:val="9"/>
        </w:numPr>
        <w:rPr>
          <w:lang w:val="es-ES"/>
        </w:rPr>
      </w:pPr>
      <w:r w:rsidRPr="00190F54">
        <w:rPr>
          <w:lang w:val="es-ES"/>
        </w:rPr>
        <w:t xml:space="preserve">Se requiera reparar o dar mantenimiento a los sistemas de drenaje y alcantarillado; y </w:t>
      </w:r>
    </w:p>
    <w:p w14:paraId="6C0D8B57" w14:textId="77777777" w:rsidR="00190F54" w:rsidRDefault="00190F54" w:rsidP="00190F54">
      <w:pPr>
        <w:pStyle w:val="INFOEM"/>
        <w:numPr>
          <w:ilvl w:val="0"/>
          <w:numId w:val="9"/>
        </w:numPr>
        <w:rPr>
          <w:lang w:val="es-ES"/>
        </w:rPr>
      </w:pPr>
      <w:r w:rsidRPr="00190F54">
        <w:rPr>
          <w:lang w:val="es-ES"/>
        </w:rPr>
        <w:t>La descarga pueda obstruir la infraestructura, afectar el funcionamiento de los sistemas de tratamiento o poner en peligro la seguridad de un núcleo de</w:t>
      </w:r>
      <w:r>
        <w:rPr>
          <w:lang w:val="es-ES"/>
        </w:rPr>
        <w:t xml:space="preserve"> población o de sus habitantes.</w:t>
      </w:r>
    </w:p>
    <w:p w14:paraId="5EA77B05" w14:textId="77777777" w:rsidR="00190F54" w:rsidRDefault="00190F54" w:rsidP="00190F54">
      <w:pPr>
        <w:pStyle w:val="INFOEM"/>
        <w:rPr>
          <w:lang w:val="es-ES"/>
        </w:rPr>
      </w:pPr>
      <w:r w:rsidRPr="00190F54">
        <w:rPr>
          <w:lang w:val="es-ES"/>
        </w:rPr>
        <w:t xml:space="preserve">Artículo 82.- Cuando la descarga de las aguas residuales afecte o pueda afectar fuentes de abastecimiento de agua potable o la salud pública, el municipio o, en su caso, el organismo operador dictará la negativa del permiso correspondiente, su inmediata revocación y/o la aplicación de la sanción. </w:t>
      </w:r>
    </w:p>
    <w:p w14:paraId="5A2756BE" w14:textId="77777777" w:rsidR="00190F54" w:rsidRDefault="00190F54" w:rsidP="00190F54">
      <w:pPr>
        <w:pStyle w:val="INFOEM"/>
        <w:rPr>
          <w:lang w:val="es-ES"/>
        </w:rPr>
      </w:pPr>
      <w:r w:rsidRPr="00190F54">
        <w:rPr>
          <w:lang w:val="es-ES"/>
        </w:rPr>
        <w:t>La Comisión, los municipios, y los organismos operadores, en el ámbito de su respectiva competencia, podrán ordenar la suspensión de las actividades que den origen a las descargas de</w:t>
      </w:r>
      <w:r>
        <w:rPr>
          <w:lang w:val="es-ES"/>
        </w:rPr>
        <w:t xml:space="preserve"> </w:t>
      </w:r>
      <w:r w:rsidRPr="00190F54">
        <w:rPr>
          <w:lang w:val="es-ES"/>
        </w:rPr>
        <w:t xml:space="preserve">aguas residuales a cuerpos y corrientes de jurisdicción </w:t>
      </w:r>
      <w:r w:rsidRPr="00190F54">
        <w:rPr>
          <w:lang w:val="es-ES"/>
        </w:rPr>
        <w:lastRenderedPageBreak/>
        <w:t xml:space="preserve">estatal y municipal, y en su caso, la restricción del suministro del agua en tanto se corrijan estas anomalías cuando: </w:t>
      </w:r>
    </w:p>
    <w:p w14:paraId="32378E64" w14:textId="77777777" w:rsidR="00190F54" w:rsidRDefault="00190F54" w:rsidP="00190F54">
      <w:pPr>
        <w:pStyle w:val="INFOEM"/>
        <w:numPr>
          <w:ilvl w:val="0"/>
          <w:numId w:val="10"/>
        </w:numPr>
        <w:rPr>
          <w:lang w:val="es-ES"/>
        </w:rPr>
      </w:pPr>
      <w:r w:rsidRPr="00190F54">
        <w:rPr>
          <w:lang w:val="es-ES"/>
        </w:rPr>
        <w:t xml:space="preserve">Se carezca del permiso de descarga en los términos de esta Ley; </w:t>
      </w:r>
    </w:p>
    <w:p w14:paraId="185E643A" w14:textId="77777777" w:rsidR="00190F54" w:rsidRDefault="00190F54" w:rsidP="00190F54">
      <w:pPr>
        <w:pStyle w:val="INFOEM"/>
        <w:numPr>
          <w:ilvl w:val="0"/>
          <w:numId w:val="10"/>
        </w:numPr>
        <w:rPr>
          <w:lang w:val="es-ES"/>
        </w:rPr>
      </w:pPr>
      <w:r w:rsidRPr="00190F54">
        <w:rPr>
          <w:lang w:val="es-ES"/>
        </w:rPr>
        <w:t xml:space="preserve">La calidad de las descargas esté fuera de las normas oficiales mexicanas correspondientes, de las condiciones particulares de descarga o de lo dispuesto en esta Ley y su Reglamento; </w:t>
      </w:r>
    </w:p>
    <w:p w14:paraId="7837CD00" w14:textId="77777777" w:rsidR="00190F54" w:rsidRDefault="00190F54" w:rsidP="00190F54">
      <w:pPr>
        <w:pStyle w:val="INFOEM"/>
        <w:numPr>
          <w:ilvl w:val="0"/>
          <w:numId w:val="10"/>
        </w:numPr>
        <w:rPr>
          <w:lang w:val="es-ES"/>
        </w:rPr>
      </w:pPr>
      <w:r w:rsidRPr="00190F54">
        <w:rPr>
          <w:lang w:val="es-ES"/>
        </w:rPr>
        <w:t xml:space="preserve">El responsable de la descarga utilice el proceso de dilución de las aguas residuales para pretender cumplir con las normas oficiales mexicanas respectivas o las condiciones particulares de descarga; o </w:t>
      </w:r>
    </w:p>
    <w:p w14:paraId="0FC0613B" w14:textId="77777777" w:rsidR="00190F54" w:rsidRDefault="00190F54" w:rsidP="00190F54">
      <w:pPr>
        <w:pStyle w:val="INFOEM"/>
        <w:numPr>
          <w:ilvl w:val="0"/>
          <w:numId w:val="10"/>
        </w:numPr>
        <w:rPr>
          <w:lang w:val="es-ES"/>
        </w:rPr>
      </w:pPr>
      <w:r w:rsidRPr="00190F54">
        <w:rPr>
          <w:lang w:val="es-ES"/>
        </w:rPr>
        <w:t xml:space="preserve">Cualquier otra que, a consideración de la Comisión, de los municipios o de los organismos operadores, en su ámbito de competencia, ponga en riesgo la estabilidad de la infraestructura hidráulica o la seguridad de la población. </w:t>
      </w:r>
    </w:p>
    <w:p w14:paraId="625EBB05" w14:textId="77777777" w:rsidR="00190F54" w:rsidRDefault="00190F54" w:rsidP="00190F54">
      <w:pPr>
        <w:pStyle w:val="INFOEM"/>
        <w:rPr>
          <w:lang w:val="es-ES"/>
        </w:rPr>
      </w:pPr>
      <w:r w:rsidRPr="00190F54">
        <w:rPr>
          <w:lang w:val="es-ES"/>
        </w:rPr>
        <w:t>La suspensión será sin perjuicio de la responsabilidad civil, penal o administrativa en que se incurra.</w:t>
      </w:r>
    </w:p>
    <w:p w14:paraId="67399D8F" w14:textId="77777777" w:rsidR="00F6065F" w:rsidRDefault="00F6065F" w:rsidP="00F6065F">
      <w:pPr>
        <w:pStyle w:val="Sinespaciado"/>
        <w:spacing w:line="360" w:lineRule="auto"/>
        <w:jc w:val="both"/>
        <w:rPr>
          <w:rFonts w:ascii="Palatino Linotype" w:eastAsia="Palatino Linotype" w:hAnsi="Palatino Linotype" w:cs="Palatino Linotype"/>
          <w:color w:val="000000"/>
          <w:sz w:val="24"/>
          <w:lang w:val="es-ES_tradnl" w:eastAsia="es-MX"/>
        </w:rPr>
      </w:pPr>
    </w:p>
    <w:p w14:paraId="285E629F" w14:textId="77777777" w:rsidR="00F6065F" w:rsidRDefault="00F6065F" w:rsidP="00F6065F">
      <w:pPr>
        <w:pStyle w:val="Sinespaciado"/>
        <w:spacing w:line="360" w:lineRule="auto"/>
        <w:jc w:val="both"/>
        <w:rPr>
          <w:rFonts w:ascii="Palatino Linotype" w:eastAsia="Palatino Linotype" w:hAnsi="Palatino Linotype" w:cs="Palatino Linotype"/>
          <w:color w:val="000000"/>
          <w:sz w:val="24"/>
          <w:lang w:val="es-ES_tradnl" w:eastAsia="es-MX"/>
        </w:rPr>
      </w:pPr>
      <w:r>
        <w:rPr>
          <w:rFonts w:ascii="Palatino Linotype" w:eastAsia="Palatino Linotype" w:hAnsi="Palatino Linotype" w:cs="Palatino Linotype"/>
          <w:color w:val="000000"/>
          <w:sz w:val="24"/>
          <w:lang w:val="es-ES_tradnl" w:eastAsia="es-MX"/>
        </w:rPr>
        <w:t xml:space="preserve">En virtud de lo anterior, se tiene que las áreas competentes para atender la solicitud han emitido un pronunciamiento como hecho negativo, </w:t>
      </w:r>
      <w:r w:rsidRPr="00583CDD">
        <w:rPr>
          <w:rFonts w:ascii="Palatino Linotype" w:eastAsia="Calibri" w:hAnsi="Palatino Linotype" w:cs="Arial"/>
          <w:sz w:val="24"/>
        </w:rPr>
        <w:t>por lo tanto, dichos requerimientos no pueden obran en los archivos de dicha autoridad, ya que no puede probarse por ser lógica y materialmente imposible, en razón de que, al no haber generado dicha información, no la posee, no administra, y no cuenta con la misma.</w:t>
      </w:r>
    </w:p>
    <w:p w14:paraId="47FA4846" w14:textId="77777777" w:rsidR="00F6065F" w:rsidRPr="00F6065F" w:rsidRDefault="00F6065F" w:rsidP="00F6065F">
      <w:pPr>
        <w:pStyle w:val="Sinespaciado"/>
        <w:spacing w:line="360" w:lineRule="auto"/>
        <w:jc w:val="both"/>
        <w:rPr>
          <w:rFonts w:ascii="Palatino Linotype" w:eastAsia="Palatino Linotype" w:hAnsi="Palatino Linotype" w:cs="Palatino Linotype"/>
          <w:color w:val="000000"/>
          <w:sz w:val="28"/>
          <w:lang w:val="es-ES_tradnl" w:eastAsia="es-MX"/>
        </w:rPr>
      </w:pPr>
    </w:p>
    <w:p w14:paraId="67B38F73" w14:textId="77777777" w:rsidR="00F6065F" w:rsidRPr="00F6065F" w:rsidRDefault="00F6065F" w:rsidP="00F6065F">
      <w:pPr>
        <w:autoSpaceDE w:val="0"/>
        <w:autoSpaceDN w:val="0"/>
        <w:adjustRightInd w:val="0"/>
        <w:spacing w:line="360" w:lineRule="auto"/>
        <w:jc w:val="both"/>
        <w:rPr>
          <w:rFonts w:ascii="Palatino Linotype" w:hAnsi="Palatino Linotype" w:cs="Arial"/>
          <w:sz w:val="24"/>
        </w:rPr>
      </w:pPr>
      <w:r w:rsidRPr="00F6065F">
        <w:rPr>
          <w:rFonts w:ascii="Palatino Linotype" w:hAnsi="Palatino Linotype" w:cs="Arial"/>
          <w:sz w:val="24"/>
        </w:rPr>
        <w:lastRenderedPageBreak/>
        <w:t>De lo anterior se coligue que el sujeto obligado no está obligado a proporcionar información que no obre en sus archivos, siendo necesario referir puntualmente que la inexistencia de la información solicitada en el presente asunto, implica la acreditación de un hecho negativo, el cual no es susceptible de exigir su demostración.</w:t>
      </w:r>
    </w:p>
    <w:p w14:paraId="6E932FCD" w14:textId="77777777" w:rsidR="00F6065F" w:rsidRPr="007769B2" w:rsidRDefault="00F6065F" w:rsidP="00F6065F">
      <w:pPr>
        <w:spacing w:line="360" w:lineRule="auto"/>
        <w:ind w:right="51"/>
        <w:jc w:val="both"/>
        <w:rPr>
          <w:rFonts w:ascii="Palatino Linotype" w:hAnsi="Palatino Linotype" w:cs="Arial"/>
        </w:rPr>
      </w:pPr>
    </w:p>
    <w:p w14:paraId="1F9DC36F" w14:textId="77777777" w:rsidR="00F6065F" w:rsidRPr="00F6065F" w:rsidRDefault="00F6065F" w:rsidP="00F6065F">
      <w:pPr>
        <w:autoSpaceDE w:val="0"/>
        <w:autoSpaceDN w:val="0"/>
        <w:adjustRightInd w:val="0"/>
        <w:spacing w:line="360" w:lineRule="auto"/>
        <w:jc w:val="both"/>
        <w:rPr>
          <w:rFonts w:ascii="Palatino Linotype" w:hAnsi="Palatino Linotype" w:cs="Arial"/>
          <w:sz w:val="24"/>
        </w:rPr>
      </w:pPr>
      <w:r w:rsidRPr="00F6065F">
        <w:rPr>
          <w:rFonts w:ascii="Palatino Linotype" w:hAnsi="Palatino Linotype" w:cs="Arial"/>
          <w:sz w:val="24"/>
        </w:rPr>
        <w:t>Por lo anterior sirve de sustento la Tesis Aislada 267287, emanada por el Máximo Juzgador de la Nación, la cual refiere lo siguiente:</w:t>
      </w:r>
    </w:p>
    <w:p w14:paraId="025F4BD3" w14:textId="77777777" w:rsidR="00F6065F" w:rsidRPr="007769B2" w:rsidRDefault="00F6065F" w:rsidP="00F6065F"/>
    <w:p w14:paraId="1CEC909B" w14:textId="77777777" w:rsidR="00F6065F" w:rsidRPr="007769B2" w:rsidRDefault="00F6065F" w:rsidP="00F6065F">
      <w:pPr>
        <w:shd w:val="clear" w:color="auto" w:fill="FFFFFF"/>
        <w:spacing w:before="120"/>
        <w:ind w:left="851" w:rightChars="386" w:right="849"/>
        <w:jc w:val="both"/>
        <w:rPr>
          <w:rFonts w:ascii="Palatino Linotype" w:hAnsi="Palatino Linotype"/>
          <w:color w:val="222222"/>
        </w:rPr>
      </w:pPr>
      <w:r w:rsidRPr="007769B2">
        <w:rPr>
          <w:rFonts w:ascii="Palatino Linotype" w:hAnsi="Palatino Linotype"/>
          <w:b/>
          <w:bCs/>
          <w:i/>
          <w:iCs/>
          <w:color w:val="222222"/>
        </w:rPr>
        <w:t>HECHOS NEGATIVOS, NO SON SUSCEPTIBLES DE DEMOSTRACIÓN. ”</w:t>
      </w:r>
      <w:r w:rsidRPr="007769B2">
        <w:rPr>
          <w:rFonts w:ascii="Palatino Linotype" w:hAnsi="Palatino Linotype"/>
          <w:i/>
          <w:iCs/>
          <w:color w:val="222222"/>
        </w:rPr>
        <w:t>Tratándose de un hecho negativo, el Juez no tiene por qué invocar prueba alguna de la que se desprenda, ya que es bien sabido que esta clase de hechos no son susceptibles de demostración.</w:t>
      </w:r>
    </w:p>
    <w:p w14:paraId="3A745192" w14:textId="77777777" w:rsidR="00F6065F" w:rsidRPr="007769B2" w:rsidRDefault="00F6065F" w:rsidP="00F6065F">
      <w:pPr>
        <w:shd w:val="clear" w:color="auto" w:fill="FFFFFF"/>
        <w:ind w:left="851" w:rightChars="386" w:right="849"/>
        <w:jc w:val="both"/>
        <w:rPr>
          <w:rFonts w:ascii="Palatino Linotype" w:hAnsi="Palatino Linotype"/>
          <w:i/>
          <w:iCs/>
          <w:color w:val="222222"/>
        </w:rPr>
      </w:pPr>
      <w:r w:rsidRPr="007769B2">
        <w:rPr>
          <w:rFonts w:ascii="Palatino Linotype" w:hAnsi="Palatino Linotype"/>
          <w:i/>
          <w:iCs/>
          <w:color w:val="222222"/>
        </w:rPr>
        <w:t>Amparo en revisión 2022/61. José García Florín (Menor). 9 de octubre de 1961. Cinco votos. Ponente: José Rivera Pérez Campos.”</w:t>
      </w:r>
    </w:p>
    <w:p w14:paraId="1B6A0E8E" w14:textId="77777777" w:rsidR="00F6065F" w:rsidRPr="00F6065F" w:rsidRDefault="00F6065F" w:rsidP="00F6065F">
      <w:pPr>
        <w:rPr>
          <w:sz w:val="16"/>
        </w:rPr>
      </w:pPr>
    </w:p>
    <w:p w14:paraId="4EBD201F" w14:textId="77777777" w:rsidR="00F6065F" w:rsidRPr="00F6065F" w:rsidRDefault="00F6065F" w:rsidP="00F6065F">
      <w:pPr>
        <w:autoSpaceDE w:val="0"/>
        <w:autoSpaceDN w:val="0"/>
        <w:adjustRightInd w:val="0"/>
        <w:spacing w:before="240" w:line="360" w:lineRule="auto"/>
        <w:jc w:val="both"/>
        <w:rPr>
          <w:rFonts w:ascii="Palatino Linotype" w:hAnsi="Palatino Linotype" w:cs="Arial"/>
          <w:sz w:val="24"/>
        </w:rPr>
      </w:pPr>
      <w:r w:rsidRPr="00F6065F">
        <w:rPr>
          <w:rFonts w:ascii="Palatino Linotype" w:hAnsi="Palatino Linotype" w:cs="Arial"/>
          <w:sz w:val="24"/>
        </w:rPr>
        <w:t>De igual forma viene a colación el Criterio 7/2017, emitido por el Instituto Nacional de Transparencia, Acceso a la Información y Protección de Datos Personales, cuyo texto se transcribe a continuación:</w:t>
      </w:r>
    </w:p>
    <w:p w14:paraId="48862A7D" w14:textId="77777777" w:rsidR="00F6065F" w:rsidRPr="007769B2" w:rsidRDefault="00F6065F" w:rsidP="00F6065F">
      <w:pPr>
        <w:tabs>
          <w:tab w:val="left" w:pos="851"/>
        </w:tabs>
        <w:spacing w:before="240" w:after="240" w:line="276" w:lineRule="auto"/>
        <w:ind w:left="851" w:right="850"/>
        <w:jc w:val="both"/>
        <w:rPr>
          <w:i/>
          <w:color w:val="222222"/>
        </w:rPr>
      </w:pPr>
      <w:r w:rsidRPr="007769B2">
        <w:rPr>
          <w:rFonts w:ascii="Palatino Linotype" w:hAnsi="Palatino Linotype"/>
          <w:b/>
          <w:i/>
          <w:color w:val="222222"/>
        </w:rPr>
        <w:t>Casos en los que no es necesario que el Comité de Transparencia confirme formalmente la inexistencia de la información.</w:t>
      </w:r>
      <w:r w:rsidRPr="007769B2">
        <w:rPr>
          <w:rFonts w:ascii="Palatino Linotype" w:hAnsi="Palatino Linotype"/>
          <w:i/>
          <w:color w:val="222222"/>
        </w:rPr>
        <w:t xml:space="preserve">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w:t>
      </w:r>
      <w:r w:rsidRPr="007769B2">
        <w:rPr>
          <w:rFonts w:ascii="Palatino Linotype" w:hAnsi="Palatino Linotype"/>
          <w:i/>
          <w:color w:val="222222"/>
        </w:rPr>
        <w:lastRenderedPageBreak/>
        <w:t>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7769B2">
        <w:rPr>
          <w:i/>
          <w:color w:val="222222"/>
        </w:rPr>
        <w:t>.</w:t>
      </w:r>
    </w:p>
    <w:p w14:paraId="5E18E675" w14:textId="77777777" w:rsidR="000E50F4" w:rsidRDefault="000E50F4" w:rsidP="009354A8">
      <w:pPr>
        <w:spacing w:after="0" w:line="360" w:lineRule="auto"/>
        <w:jc w:val="both"/>
        <w:rPr>
          <w:rFonts w:ascii="Palatino Linotype" w:eastAsia="Times New Roman" w:hAnsi="Palatino Linotype" w:cs="Arial"/>
          <w:sz w:val="24"/>
          <w:szCs w:val="24"/>
          <w:lang w:val="es-ES" w:eastAsia="es-ES"/>
        </w:rPr>
      </w:pPr>
    </w:p>
    <w:p w14:paraId="7C4E09AA" w14:textId="77777777" w:rsidR="000E50F4" w:rsidRPr="006F1142" w:rsidRDefault="000E50F4" w:rsidP="000E50F4">
      <w:pPr>
        <w:pStyle w:val="Sinespaciado"/>
        <w:spacing w:line="360" w:lineRule="auto"/>
        <w:jc w:val="both"/>
        <w:rPr>
          <w:rFonts w:ascii="Palatino Linotype" w:eastAsia="Palatino Linotype" w:hAnsi="Palatino Linotype" w:cs="Palatino Linotype"/>
          <w:color w:val="000000"/>
          <w:sz w:val="24"/>
          <w:lang w:val="es-ES_tradnl" w:eastAsia="es-MX"/>
        </w:rPr>
      </w:pPr>
      <w:r w:rsidRPr="006F1142">
        <w:rPr>
          <w:rFonts w:ascii="Palatino Linotype" w:eastAsia="Palatino Linotype" w:hAnsi="Palatino Linotype" w:cs="Palatino Linotype"/>
          <w:color w:val="000000"/>
          <w:sz w:val="24"/>
          <w:lang w:val="es-ES_tradnl" w:eastAsia="es-MX"/>
        </w:rPr>
        <w:t xml:space="preserve">Ahora bien, quedando establecido lo anterior, este Órgano Garante considera viable realizar el estudio en aras de establecer si la respuesta </w:t>
      </w:r>
      <w:r>
        <w:rPr>
          <w:rFonts w:ascii="Palatino Linotype" w:eastAsia="Palatino Linotype" w:hAnsi="Palatino Linotype" w:cs="Palatino Linotype"/>
          <w:color w:val="000000"/>
          <w:sz w:val="24"/>
          <w:lang w:val="es-ES_tradnl" w:eastAsia="es-MX"/>
        </w:rPr>
        <w:t>del Sujeto Obligado colma</w:t>
      </w:r>
      <w:r w:rsidRPr="006F1142">
        <w:rPr>
          <w:rFonts w:ascii="Palatino Linotype" w:eastAsia="Palatino Linotype" w:hAnsi="Palatino Linotype" w:cs="Palatino Linotype"/>
          <w:color w:val="000000"/>
          <w:sz w:val="24"/>
          <w:lang w:val="es-ES_tradnl" w:eastAsia="es-MX"/>
        </w:rPr>
        <w:t xml:space="preserve"> la pretensión del Recurrente, así como calificar los motivos de inconformidad del particular. </w:t>
      </w:r>
    </w:p>
    <w:p w14:paraId="58D5C5ED" w14:textId="77777777" w:rsidR="000E50F4" w:rsidRPr="00177253" w:rsidRDefault="000E50F4" w:rsidP="000E50F4">
      <w:pPr>
        <w:pStyle w:val="Sinespaciado"/>
        <w:spacing w:line="360" w:lineRule="auto"/>
        <w:jc w:val="both"/>
        <w:rPr>
          <w:rFonts w:ascii="Palatino Linotype" w:eastAsia="Palatino Linotype" w:hAnsi="Palatino Linotype" w:cs="Palatino Linotype"/>
          <w:color w:val="000000"/>
          <w:lang w:val="es-ES_tradnl" w:eastAsia="es-MX"/>
        </w:rPr>
      </w:pPr>
    </w:p>
    <w:tbl>
      <w:tblPr>
        <w:tblStyle w:val="Tablaconcuadrcula"/>
        <w:tblW w:w="91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97"/>
        <w:gridCol w:w="4333"/>
        <w:gridCol w:w="1824"/>
      </w:tblGrid>
      <w:tr w:rsidR="000E50F4" w14:paraId="78D86CD9" w14:textId="77777777" w:rsidTr="00190F54">
        <w:trPr>
          <w:trHeight w:val="396"/>
        </w:trPr>
        <w:tc>
          <w:tcPr>
            <w:tcW w:w="2997" w:type="dxa"/>
            <w:shd w:val="clear" w:color="auto" w:fill="E7E6E6" w:themeFill="background2"/>
          </w:tcPr>
          <w:p w14:paraId="1C170904" w14:textId="77777777" w:rsidR="000E50F4" w:rsidRPr="00E80E99" w:rsidRDefault="000E50F4" w:rsidP="00190F54">
            <w:pPr>
              <w:spacing w:line="360" w:lineRule="auto"/>
              <w:jc w:val="center"/>
              <w:rPr>
                <w:rFonts w:ascii="Palatino Linotype" w:hAnsi="Palatino Linotype"/>
                <w:b/>
                <w:i/>
                <w:color w:val="000000"/>
              </w:rPr>
            </w:pPr>
            <w:r w:rsidRPr="00E80E99">
              <w:rPr>
                <w:rFonts w:ascii="Palatino Linotype" w:hAnsi="Palatino Linotype"/>
                <w:b/>
                <w:i/>
                <w:color w:val="000000"/>
              </w:rPr>
              <w:t>Requerimientos</w:t>
            </w:r>
          </w:p>
        </w:tc>
        <w:tc>
          <w:tcPr>
            <w:tcW w:w="4333" w:type="dxa"/>
            <w:shd w:val="clear" w:color="auto" w:fill="E7E6E6" w:themeFill="background2"/>
          </w:tcPr>
          <w:p w14:paraId="3AC191DB" w14:textId="77777777" w:rsidR="000E50F4" w:rsidRPr="00E80E99" w:rsidRDefault="00F6065F" w:rsidP="00F6065F">
            <w:pPr>
              <w:spacing w:line="360" w:lineRule="auto"/>
              <w:jc w:val="center"/>
              <w:rPr>
                <w:rFonts w:ascii="Palatino Linotype" w:hAnsi="Palatino Linotype"/>
                <w:b/>
                <w:i/>
                <w:color w:val="000000"/>
              </w:rPr>
            </w:pPr>
            <w:r>
              <w:rPr>
                <w:rFonts w:ascii="Palatino Linotype" w:hAnsi="Palatino Linotype"/>
                <w:b/>
                <w:i/>
                <w:color w:val="000000"/>
              </w:rPr>
              <w:t>Informe Justificado</w:t>
            </w:r>
          </w:p>
        </w:tc>
        <w:tc>
          <w:tcPr>
            <w:tcW w:w="1824" w:type="dxa"/>
            <w:shd w:val="clear" w:color="auto" w:fill="E7E6E6" w:themeFill="background2"/>
          </w:tcPr>
          <w:p w14:paraId="2F054943" w14:textId="77777777" w:rsidR="000E50F4" w:rsidRPr="00E80E99" w:rsidRDefault="000E50F4" w:rsidP="00190F54">
            <w:pPr>
              <w:spacing w:line="360" w:lineRule="auto"/>
              <w:jc w:val="center"/>
              <w:rPr>
                <w:rFonts w:ascii="Palatino Linotype" w:hAnsi="Palatino Linotype"/>
                <w:b/>
                <w:i/>
                <w:color w:val="000000"/>
              </w:rPr>
            </w:pPr>
            <w:r>
              <w:rPr>
                <w:rFonts w:ascii="Palatino Linotype" w:hAnsi="Palatino Linotype"/>
                <w:b/>
                <w:i/>
                <w:color w:val="000000"/>
              </w:rPr>
              <w:t>Colma</w:t>
            </w:r>
          </w:p>
        </w:tc>
      </w:tr>
      <w:tr w:rsidR="000E50F4" w14:paraId="351BFAF4" w14:textId="77777777" w:rsidTr="00190F54">
        <w:trPr>
          <w:trHeight w:val="1197"/>
        </w:trPr>
        <w:tc>
          <w:tcPr>
            <w:tcW w:w="2997" w:type="dxa"/>
          </w:tcPr>
          <w:p w14:paraId="21D4B50C" w14:textId="77777777" w:rsidR="000E50F4" w:rsidRPr="007D6649" w:rsidRDefault="00F6065F" w:rsidP="00190F54">
            <w:pPr>
              <w:tabs>
                <w:tab w:val="left" w:pos="1828"/>
              </w:tabs>
              <w:jc w:val="both"/>
              <w:rPr>
                <w:rFonts w:ascii="Palatino Linotype" w:hAnsi="Palatino Linotype" w:cs="Tahoma"/>
                <w:bCs/>
              </w:rPr>
            </w:pPr>
            <w:r w:rsidRPr="00F6065F">
              <w:rPr>
                <w:rFonts w:ascii="Palatino Linotype" w:hAnsi="Palatino Linotype" w:cs="Tahoma"/>
                <w:bCs/>
              </w:rPr>
              <w:t>Expediente de red ambiental, de los análisis que realizaron al drenaje en los años 2021, 2022, 2023 y 2024, derivado de los constantes olores de hidrocarburos, químicos que se desprendían del drenaje</w:t>
            </w:r>
          </w:p>
        </w:tc>
        <w:tc>
          <w:tcPr>
            <w:tcW w:w="4333" w:type="dxa"/>
          </w:tcPr>
          <w:p w14:paraId="78325CB5" w14:textId="77777777" w:rsidR="000E50F4" w:rsidRDefault="00F6065F" w:rsidP="00190F54">
            <w:pPr>
              <w:jc w:val="both"/>
              <w:rPr>
                <w:rFonts w:ascii="Palatino Linotype" w:hAnsi="Palatino Linotype"/>
                <w:color w:val="000000"/>
              </w:rPr>
            </w:pPr>
            <w:r>
              <w:rPr>
                <w:rFonts w:ascii="Palatino Linotype" w:hAnsi="Palatino Linotype"/>
                <w:color w:val="000000"/>
              </w:rPr>
              <w:t xml:space="preserve">El </w:t>
            </w:r>
            <w:r w:rsidRPr="00F6065F">
              <w:rPr>
                <w:rFonts w:ascii="Palatino Linotype" w:hAnsi="Palatino Linotype"/>
                <w:color w:val="000000"/>
              </w:rPr>
              <w:t>Director de Operaciones</w:t>
            </w:r>
            <w:r>
              <w:rPr>
                <w:rFonts w:ascii="Palatino Linotype" w:hAnsi="Palatino Linotype"/>
                <w:color w:val="000000"/>
              </w:rPr>
              <w:t xml:space="preserve"> refirió que no cuentan con un expediente de los años requeridos, sin embargo, realizan limpieza constante en la red de drenaje para evitar taponamientos y malos olores.</w:t>
            </w:r>
          </w:p>
          <w:p w14:paraId="3F1B734E" w14:textId="77777777" w:rsidR="00F6065F" w:rsidRPr="00265709" w:rsidRDefault="00F6065F" w:rsidP="00190F54">
            <w:pPr>
              <w:jc w:val="both"/>
              <w:rPr>
                <w:rFonts w:ascii="Palatino Linotype" w:hAnsi="Palatino Linotype"/>
                <w:color w:val="000000"/>
              </w:rPr>
            </w:pPr>
          </w:p>
        </w:tc>
        <w:tc>
          <w:tcPr>
            <w:tcW w:w="1824" w:type="dxa"/>
          </w:tcPr>
          <w:p w14:paraId="1B235260" w14:textId="77777777" w:rsidR="000E50F4" w:rsidRPr="00F6065F" w:rsidRDefault="00F6065F" w:rsidP="00190F54">
            <w:pPr>
              <w:jc w:val="center"/>
              <w:rPr>
                <w:rFonts w:ascii="Palatino Linotype" w:hAnsi="Palatino Linotype"/>
                <w:b/>
                <w:i/>
              </w:rPr>
            </w:pPr>
            <w:r w:rsidRPr="00F6065F">
              <w:rPr>
                <w:rFonts w:ascii="Palatino Linotype" w:hAnsi="Palatino Linotype"/>
                <w:b/>
                <w:i/>
              </w:rPr>
              <w:t>Sí</w:t>
            </w:r>
          </w:p>
        </w:tc>
      </w:tr>
    </w:tbl>
    <w:p w14:paraId="0D772076" w14:textId="77777777" w:rsidR="009354A8" w:rsidRDefault="009354A8" w:rsidP="009354A8">
      <w:pPr>
        <w:spacing w:after="0" w:line="360" w:lineRule="auto"/>
        <w:jc w:val="both"/>
        <w:rPr>
          <w:rFonts w:ascii="Palatino Linotype" w:eastAsia="Times New Roman" w:hAnsi="Palatino Linotype" w:cs="Arial"/>
          <w:sz w:val="24"/>
          <w:szCs w:val="24"/>
          <w:lang w:val="es-ES" w:eastAsia="es-ES"/>
        </w:rPr>
      </w:pPr>
    </w:p>
    <w:p w14:paraId="2E24FCBA" w14:textId="77777777" w:rsidR="00656299" w:rsidRPr="007769B2" w:rsidRDefault="00656299" w:rsidP="00656299">
      <w:pPr>
        <w:autoSpaceDE w:val="0"/>
        <w:autoSpaceDN w:val="0"/>
        <w:adjustRightInd w:val="0"/>
        <w:spacing w:before="240" w:line="360" w:lineRule="auto"/>
        <w:jc w:val="both"/>
        <w:rPr>
          <w:rFonts w:ascii="Palatino Linotype" w:hAnsi="Palatino Linotype" w:cs="Arial"/>
          <w:sz w:val="24"/>
        </w:rPr>
      </w:pPr>
      <w:r w:rsidRPr="007769B2">
        <w:rPr>
          <w:rFonts w:ascii="Palatino Linotype" w:hAnsi="Palatino Linotype" w:cs="Arial"/>
          <w:sz w:val="24"/>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5C002557" w14:textId="77777777" w:rsidR="00656299" w:rsidRPr="007769B2" w:rsidRDefault="00656299" w:rsidP="00656299">
      <w:pPr>
        <w:spacing w:after="0" w:line="240" w:lineRule="auto"/>
        <w:rPr>
          <w:rFonts w:ascii="Times New Roman" w:eastAsia="Times New Roman" w:hAnsi="Times New Roman" w:cs="Times New Roman"/>
          <w:sz w:val="24"/>
          <w:szCs w:val="24"/>
          <w:lang w:eastAsia="es-ES"/>
        </w:rPr>
      </w:pPr>
    </w:p>
    <w:p w14:paraId="0CA5562C" w14:textId="77777777" w:rsidR="00656299" w:rsidRPr="007769B2" w:rsidRDefault="00656299" w:rsidP="00656299">
      <w:pPr>
        <w:spacing w:after="0" w:line="240" w:lineRule="auto"/>
        <w:ind w:left="851" w:right="850"/>
        <w:jc w:val="both"/>
        <w:rPr>
          <w:rFonts w:ascii="Palatino Linotype" w:eastAsia="Times New Roman" w:hAnsi="Palatino Linotype" w:cs="Times New Roman"/>
          <w:i/>
          <w:lang w:eastAsia="es-ES"/>
        </w:rPr>
      </w:pPr>
      <w:r w:rsidRPr="007769B2">
        <w:rPr>
          <w:rFonts w:ascii="Palatino Linotype" w:eastAsia="Times New Roman" w:hAnsi="Palatino Linotype" w:cs="Times New Roman"/>
          <w:lang w:eastAsia="es-ES"/>
        </w:rPr>
        <w:lastRenderedPageBreak/>
        <w:t>“</w:t>
      </w:r>
      <w:r w:rsidRPr="007769B2">
        <w:rPr>
          <w:rFonts w:ascii="Palatino Linotype" w:eastAsia="Times New Roman" w:hAnsi="Palatino Linotype" w:cs="Times New Roman"/>
          <w:b/>
          <w:i/>
          <w:lang w:eastAsia="es-ES"/>
        </w:rPr>
        <w:t>Artículo 12.</w:t>
      </w:r>
      <w:r w:rsidRPr="007769B2">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 </w:t>
      </w:r>
    </w:p>
    <w:p w14:paraId="3DE7881D" w14:textId="77777777" w:rsidR="00656299" w:rsidRPr="007769B2" w:rsidRDefault="00656299" w:rsidP="00656299">
      <w:pPr>
        <w:spacing w:after="0" w:line="240" w:lineRule="auto"/>
        <w:ind w:left="851" w:right="850"/>
        <w:jc w:val="both"/>
        <w:rPr>
          <w:rFonts w:ascii="Palatino Linotype" w:eastAsia="Times New Roman" w:hAnsi="Palatino Linotype" w:cs="Times New Roman"/>
          <w:i/>
          <w:lang w:eastAsia="es-ES"/>
        </w:rPr>
      </w:pPr>
    </w:p>
    <w:p w14:paraId="765D87DD" w14:textId="77777777" w:rsidR="00656299" w:rsidRPr="007104AA" w:rsidRDefault="00656299" w:rsidP="00656299">
      <w:pPr>
        <w:spacing w:after="0" w:line="240" w:lineRule="auto"/>
        <w:ind w:left="851" w:right="850"/>
        <w:jc w:val="both"/>
        <w:rPr>
          <w:rFonts w:ascii="Palatino Linotype" w:eastAsia="Times New Roman" w:hAnsi="Palatino Linotype" w:cs="Times New Roman"/>
          <w:lang w:eastAsia="es-ES"/>
        </w:rPr>
      </w:pPr>
      <w:r w:rsidRPr="007769B2">
        <w:rPr>
          <w:rFonts w:ascii="Palatino Linotype" w:eastAsia="Times New Roman" w:hAnsi="Palatino Linotype" w:cs="Times New Roman"/>
          <w:b/>
          <w:i/>
          <w:u w:val="single"/>
          <w:lang w:eastAsia="es-ES"/>
        </w:rPr>
        <w:t>Los sujetos obligados sólo proporcionarán la información pública que se les requiera y que obre en sus archivos</w:t>
      </w:r>
      <w:r w:rsidRPr="007769B2">
        <w:rPr>
          <w:rFonts w:ascii="Palatino Linotype" w:eastAsia="Times New Roman" w:hAnsi="Palatino Linotype" w:cs="Times New Roman"/>
          <w:i/>
          <w:lang w:eastAsia="es-ES"/>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D32267D" w14:textId="77777777" w:rsidR="00656299" w:rsidRDefault="00656299" w:rsidP="00656299">
      <w:pPr>
        <w:autoSpaceDE w:val="0"/>
        <w:autoSpaceDN w:val="0"/>
        <w:adjustRightInd w:val="0"/>
        <w:spacing w:after="0" w:line="360" w:lineRule="auto"/>
        <w:jc w:val="both"/>
        <w:rPr>
          <w:rFonts w:ascii="Palatino Linotype" w:hAnsi="Palatino Linotype" w:cs="Arial"/>
          <w:sz w:val="24"/>
          <w:szCs w:val="24"/>
        </w:rPr>
      </w:pPr>
    </w:p>
    <w:p w14:paraId="07FB7755" w14:textId="77777777" w:rsidR="00656299" w:rsidRPr="00A42B6E" w:rsidRDefault="00656299" w:rsidP="00656299">
      <w:pPr>
        <w:autoSpaceDE w:val="0"/>
        <w:autoSpaceDN w:val="0"/>
        <w:adjustRightInd w:val="0"/>
        <w:spacing w:after="0" w:line="360" w:lineRule="auto"/>
        <w:jc w:val="both"/>
        <w:rPr>
          <w:rFonts w:ascii="Palatino Linotype" w:hAnsi="Palatino Linotype" w:cs="Arial"/>
          <w:sz w:val="24"/>
          <w:szCs w:val="24"/>
        </w:rPr>
      </w:pPr>
      <w:r w:rsidRPr="00B81A2B">
        <w:rPr>
          <w:rFonts w:ascii="Palatino Linotype" w:hAnsi="Palatino Linotype" w:cs="Arial"/>
          <w:sz w:val="24"/>
          <w:szCs w:val="24"/>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encuentre, sin que se comprenda el procesamiento de la misma, el presentarla conforme al interés del solicitante, ni generarla, resumirla, efectuar cálculos o practicar investigaciones.</w:t>
      </w:r>
    </w:p>
    <w:p w14:paraId="551DBD56" w14:textId="77777777" w:rsidR="00656299" w:rsidRPr="00B81A2B" w:rsidRDefault="00656299" w:rsidP="00656299">
      <w:pPr>
        <w:autoSpaceDE w:val="0"/>
        <w:autoSpaceDN w:val="0"/>
        <w:adjustRightInd w:val="0"/>
        <w:spacing w:after="0" w:line="360" w:lineRule="auto"/>
        <w:jc w:val="both"/>
        <w:rPr>
          <w:rFonts w:ascii="Palatino Linotype" w:hAnsi="Palatino Linotype"/>
          <w:sz w:val="24"/>
        </w:rPr>
      </w:pPr>
    </w:p>
    <w:p w14:paraId="70F574B1" w14:textId="77777777" w:rsidR="00656299" w:rsidRPr="00B81A2B" w:rsidRDefault="00656299" w:rsidP="00656299">
      <w:pPr>
        <w:autoSpaceDE w:val="0"/>
        <w:autoSpaceDN w:val="0"/>
        <w:adjustRightInd w:val="0"/>
        <w:spacing w:after="0" w:line="360" w:lineRule="auto"/>
        <w:jc w:val="both"/>
        <w:rPr>
          <w:rFonts w:ascii="Palatino Linotype" w:hAnsi="Palatino Linotype"/>
          <w:sz w:val="24"/>
        </w:rPr>
      </w:pPr>
      <w:r w:rsidRPr="00B81A2B">
        <w:rPr>
          <w:rFonts w:ascii="Palatino Linotype" w:hAnsi="Palatino Linotype"/>
          <w:sz w:val="24"/>
        </w:rPr>
        <w:t xml:space="preserve">En </w:t>
      </w:r>
      <w:r>
        <w:rPr>
          <w:rFonts w:ascii="Palatino Linotype" w:hAnsi="Palatino Linotype"/>
          <w:sz w:val="24"/>
        </w:rPr>
        <w:t xml:space="preserve">esa </w:t>
      </w:r>
      <w:r w:rsidRPr="00B81A2B">
        <w:rPr>
          <w:rFonts w:ascii="Palatino Linotype" w:hAnsi="Palatino Linotype"/>
          <w:sz w:val="24"/>
        </w:rPr>
        <w:t>virtud</w:t>
      </w:r>
      <w:r>
        <w:rPr>
          <w:rFonts w:ascii="Palatino Linotype" w:hAnsi="Palatino Linotype"/>
          <w:sz w:val="24"/>
        </w:rPr>
        <w:t>,</w:t>
      </w:r>
      <w:r w:rsidRPr="00B81A2B">
        <w:rPr>
          <w:rFonts w:ascii="Palatino Linotype" w:hAnsi="Palatino Linotype"/>
          <w:sz w:val="24"/>
        </w:rPr>
        <w:t xml:space="preserve"> del análisis efectuado a las manifestaciones esgrimidas mediante su informe justificado, se advierte que </w:t>
      </w:r>
      <w:r w:rsidRPr="00B81A2B">
        <w:rPr>
          <w:rFonts w:ascii="Palatino Linotype" w:hAnsi="Palatino Linotype"/>
          <w:b/>
          <w:sz w:val="24"/>
        </w:rPr>
        <w:t>El Sujeto Obligado</w:t>
      </w:r>
      <w:r w:rsidRPr="00B81A2B">
        <w:rPr>
          <w:rFonts w:ascii="Palatino Linotype" w:hAnsi="Palatino Linotype"/>
          <w:sz w:val="24"/>
        </w:rPr>
        <w:t xml:space="preserve"> colma en su totalidad lo solicitado por la particular, como se desarrolló en los párrafos anteriores.</w:t>
      </w:r>
    </w:p>
    <w:p w14:paraId="138A8C16" w14:textId="77777777" w:rsidR="00656299" w:rsidRPr="00DB3D37" w:rsidRDefault="00656299" w:rsidP="00656299">
      <w:pPr>
        <w:autoSpaceDE w:val="0"/>
        <w:autoSpaceDN w:val="0"/>
        <w:adjustRightInd w:val="0"/>
        <w:spacing w:after="0" w:line="360" w:lineRule="auto"/>
        <w:jc w:val="both"/>
        <w:rPr>
          <w:rFonts w:ascii="Palatino Linotype" w:hAnsi="Palatino Linotype"/>
          <w:sz w:val="24"/>
        </w:rPr>
      </w:pPr>
    </w:p>
    <w:p w14:paraId="452CDD1E" w14:textId="77777777" w:rsidR="00656299" w:rsidRDefault="00656299" w:rsidP="00656299">
      <w:pPr>
        <w:spacing w:line="360" w:lineRule="auto"/>
        <w:jc w:val="both"/>
        <w:rPr>
          <w:rFonts w:ascii="Palatino Linotype" w:hAnsi="Palatino Linotype" w:cs="Arial"/>
          <w:color w:val="000000"/>
          <w:sz w:val="24"/>
        </w:rPr>
      </w:pPr>
      <w:r w:rsidRPr="00281AAA">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281AAA">
        <w:rPr>
          <w:rFonts w:ascii="Palatino Linotype" w:hAnsi="Palatino Linotype" w:cs="Arial"/>
          <w:b/>
          <w:color w:val="000000"/>
          <w:sz w:val="24"/>
        </w:rPr>
        <w:t xml:space="preserve"> </w:t>
      </w:r>
      <w:r w:rsidRPr="00281AAA">
        <w:rPr>
          <w:rFonts w:ascii="Palatino Linotype" w:hAnsi="Palatino Linotype" w:cs="Arial"/>
          <w:color w:val="000000"/>
          <w:sz w:val="24"/>
        </w:rPr>
        <w:t xml:space="preserve">no tienen el deber de generar, poseer o administrar la información pública con el grado de detalle solicitado; esto es, que no tienen el deber </w:t>
      </w:r>
      <w:r w:rsidRPr="00281AAA">
        <w:rPr>
          <w:rFonts w:ascii="Palatino Linotype" w:hAnsi="Palatino Linotype" w:cs="Arial"/>
          <w:color w:val="000000"/>
          <w:sz w:val="24"/>
        </w:rPr>
        <w:lastRenderedPageBreak/>
        <w:t xml:space="preserve">de generar un documento </w:t>
      </w:r>
      <w:r w:rsidRPr="00281AAA">
        <w:rPr>
          <w:rFonts w:ascii="Palatino Linotype" w:hAnsi="Palatino Linotype" w:cs="Arial"/>
          <w:i/>
          <w:color w:val="000000"/>
          <w:sz w:val="24"/>
        </w:rPr>
        <w:t>ad hoc</w:t>
      </w:r>
      <w:r w:rsidRPr="00281AAA">
        <w:rPr>
          <w:rFonts w:ascii="Palatino Linotype" w:hAnsi="Palatino Linotype" w:cs="Arial"/>
          <w:color w:val="000000"/>
          <w:sz w:val="24"/>
        </w:rPr>
        <w:t>, para satisfacer el derecho de acceso a la información pública.</w:t>
      </w:r>
    </w:p>
    <w:p w14:paraId="652B996B" w14:textId="77777777" w:rsidR="00656299" w:rsidRDefault="00656299" w:rsidP="00656299">
      <w:pPr>
        <w:pStyle w:val="Sinespaciado"/>
      </w:pPr>
    </w:p>
    <w:p w14:paraId="54A98FB0" w14:textId="77777777" w:rsidR="00656299" w:rsidRPr="003F6F67" w:rsidRDefault="00656299" w:rsidP="00656299">
      <w:pPr>
        <w:spacing w:line="360" w:lineRule="auto"/>
        <w:jc w:val="both"/>
        <w:rPr>
          <w:rFonts w:ascii="Palatino Linotype" w:hAnsi="Palatino Linotype" w:cs="Arial"/>
          <w:color w:val="000000"/>
          <w:sz w:val="24"/>
        </w:rPr>
      </w:pPr>
      <w:r w:rsidRPr="00281AAA">
        <w:rPr>
          <w:rFonts w:ascii="Palatino Linotype" w:hAnsi="Palatino Linotype" w:cs="Arial"/>
          <w:color w:val="000000"/>
          <w:sz w:val="24"/>
        </w:rPr>
        <w:t xml:space="preserve">Como apoyo a lo anterior, es aplicable el Criterio 03-17, emitido por </w:t>
      </w:r>
      <w:r w:rsidRPr="00281AAA">
        <w:rPr>
          <w:rFonts w:ascii="Palatino Linotype" w:eastAsia="Arial Unicode MS" w:hAnsi="Palatino Linotype" w:cs="Arial"/>
          <w:color w:val="000000"/>
          <w:sz w:val="24"/>
        </w:rPr>
        <w:t>el Instituto Nacional de Transparencia, Acceso a la Información y Protección de Datos Personales,</w:t>
      </w:r>
      <w:r w:rsidRPr="00281AAA">
        <w:rPr>
          <w:rFonts w:ascii="Palatino Linotype" w:hAnsi="Palatino Linotype"/>
          <w:bCs/>
          <w:color w:val="000000"/>
          <w:sz w:val="24"/>
        </w:rPr>
        <w:t xml:space="preserve"> que dice:</w:t>
      </w:r>
      <w:r w:rsidRPr="00281AAA">
        <w:rPr>
          <w:rFonts w:ascii="Palatino Linotype" w:hAnsi="Palatino Linotype"/>
          <w:b/>
          <w:bCs/>
          <w:color w:val="000000"/>
          <w:sz w:val="24"/>
        </w:rPr>
        <w:t xml:space="preserve"> </w:t>
      </w:r>
    </w:p>
    <w:p w14:paraId="07FA2969" w14:textId="77777777" w:rsidR="00656299" w:rsidRPr="00281AAA" w:rsidRDefault="00656299" w:rsidP="00656299">
      <w:pPr>
        <w:ind w:left="851" w:right="850"/>
        <w:jc w:val="both"/>
        <w:rPr>
          <w:rFonts w:ascii="Palatino Linotype" w:hAnsi="Palatino Linotype" w:cs="Arial"/>
          <w:color w:val="000000"/>
          <w:sz w:val="2"/>
        </w:rPr>
      </w:pPr>
    </w:p>
    <w:p w14:paraId="231345C9" w14:textId="77777777" w:rsidR="00656299" w:rsidRPr="00281AAA" w:rsidRDefault="00656299" w:rsidP="00656299">
      <w:pPr>
        <w:ind w:left="567" w:right="567"/>
        <w:jc w:val="both"/>
        <w:rPr>
          <w:rFonts w:ascii="Palatino Linotype" w:hAnsi="Palatino Linotype" w:cs="Arial"/>
          <w:i/>
          <w:color w:val="000000"/>
        </w:rPr>
      </w:pPr>
      <w:r w:rsidRPr="00281AAA">
        <w:rPr>
          <w:rFonts w:ascii="Palatino Linotype" w:hAnsi="Palatino Linotype" w:cs="Arial"/>
          <w:i/>
          <w:color w:val="000000"/>
        </w:rPr>
        <w:t>“</w:t>
      </w:r>
      <w:r w:rsidRPr="00281AAA">
        <w:rPr>
          <w:rFonts w:ascii="Palatino Linotype" w:hAnsi="Palatino Linotype" w:cs="Arial"/>
          <w:b/>
          <w:i/>
          <w:color w:val="000000"/>
        </w:rPr>
        <w:t>No existe obligación de elaborar documentos ad hoc para atender las solicitudes de acceso a la información.</w:t>
      </w:r>
      <w:r w:rsidRPr="00281AAA">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569030B" w14:textId="77777777" w:rsidR="00656299" w:rsidRPr="00281AAA" w:rsidRDefault="00656299" w:rsidP="00656299">
      <w:pPr>
        <w:ind w:left="567" w:right="567"/>
        <w:jc w:val="both"/>
        <w:rPr>
          <w:rFonts w:ascii="Palatino Linotype" w:hAnsi="Palatino Linotype" w:cs="Arial"/>
          <w:i/>
          <w:color w:val="000000"/>
          <w:sz w:val="2"/>
        </w:rPr>
      </w:pPr>
    </w:p>
    <w:p w14:paraId="18A67A5D" w14:textId="77777777" w:rsidR="00656299" w:rsidRPr="00281AAA" w:rsidRDefault="00656299" w:rsidP="00656299">
      <w:pPr>
        <w:ind w:left="567" w:right="567"/>
        <w:jc w:val="both"/>
        <w:rPr>
          <w:rFonts w:ascii="Palatino Linotype" w:hAnsi="Palatino Linotype" w:cs="Arial"/>
          <w:i/>
          <w:color w:val="000000"/>
        </w:rPr>
      </w:pPr>
      <w:r w:rsidRPr="00281AAA">
        <w:rPr>
          <w:rFonts w:ascii="Palatino Linotype" w:hAnsi="Palatino Linotype" w:cs="Arial"/>
          <w:i/>
          <w:color w:val="000000"/>
        </w:rPr>
        <w:t xml:space="preserve">Resoluciones: </w:t>
      </w:r>
    </w:p>
    <w:p w14:paraId="45B1128F" w14:textId="77777777" w:rsidR="00656299" w:rsidRPr="00281AAA" w:rsidRDefault="00656299" w:rsidP="00656299">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3521CA72" w14:textId="77777777" w:rsidR="00656299" w:rsidRPr="00281AAA" w:rsidRDefault="00656299" w:rsidP="00656299">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6C6050BA" w14:textId="77777777" w:rsidR="00656299" w:rsidRPr="00266073" w:rsidRDefault="00656299" w:rsidP="00656299">
      <w:pPr>
        <w:spacing w:line="240" w:lineRule="auto"/>
        <w:ind w:left="567" w:right="567"/>
        <w:jc w:val="both"/>
        <w:rPr>
          <w:rFonts w:ascii="Palatino Linotype" w:hAnsi="Palatino Linotype" w:cs="Arial"/>
          <w:i/>
          <w:color w:val="000000"/>
        </w:rPr>
      </w:pPr>
      <w:r w:rsidRPr="00281AAA">
        <w:rPr>
          <w:rFonts w:ascii="Palatino Linotype" w:hAnsi="Palatino Linotype" w:cs="Arial"/>
          <w:i/>
          <w:color w:val="000000"/>
        </w:rPr>
        <w:sym w:font="Symbol" w:char="F0B7"/>
      </w:r>
      <w:r w:rsidRPr="00281AAA">
        <w:rPr>
          <w:rFonts w:ascii="Palatino Linotype" w:hAnsi="Palatino Linotype" w:cs="Arial"/>
          <w:i/>
          <w:color w:val="000000"/>
        </w:rPr>
        <w:t xml:space="preserve"> RRA 1889/16. Secretaría de Hacienda y Crédito Público. 05 de octubre de 2016. Por unanimidad. Comisionada Ponente. Ximena Puente de la Mora.”</w:t>
      </w:r>
    </w:p>
    <w:p w14:paraId="4605DD31" w14:textId="77777777" w:rsidR="00656299" w:rsidRDefault="00656299" w:rsidP="00656299">
      <w:pPr>
        <w:tabs>
          <w:tab w:val="left" w:pos="2925"/>
        </w:tabs>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b/>
      </w:r>
    </w:p>
    <w:p w14:paraId="6A0370BF" w14:textId="77777777" w:rsidR="00656299" w:rsidRPr="00652657" w:rsidRDefault="00656299" w:rsidP="00656299">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Aunado a lo antes expuesto</w:t>
      </w:r>
      <w:r w:rsidRPr="00B81A2B">
        <w:rPr>
          <w:rFonts w:ascii="Palatino Linotype" w:hAnsi="Palatino Linotype" w:cs="Arial"/>
          <w:sz w:val="24"/>
          <w:szCs w:val="24"/>
        </w:rPr>
        <w:t xml:space="preserve">, la respuesta emitida por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tiene la presunción legal de ser verídica, considerado que fue emitida por un servidor público </w:t>
      </w:r>
      <w:r w:rsidRPr="00B81A2B">
        <w:rPr>
          <w:rFonts w:ascii="Palatino Linotype" w:hAnsi="Palatino Linotype" w:cs="Arial"/>
          <w:sz w:val="24"/>
          <w:szCs w:val="24"/>
        </w:rPr>
        <w:lastRenderedPageBreak/>
        <w:t>en ejercicio de sus funciones, lo que conlleva la presunción de veracidad de todo acto administrativo.</w:t>
      </w:r>
    </w:p>
    <w:p w14:paraId="21094853" w14:textId="77777777" w:rsidR="00656299" w:rsidRPr="00656299" w:rsidRDefault="00656299" w:rsidP="00656299">
      <w:pPr>
        <w:spacing w:after="0"/>
        <w:rPr>
          <w:rFonts w:ascii="Palatino Linotype" w:hAnsi="Palatino Linotype"/>
          <w:sz w:val="28"/>
        </w:rPr>
      </w:pPr>
    </w:p>
    <w:p w14:paraId="7C285212" w14:textId="77777777" w:rsidR="00656299" w:rsidRPr="00656299" w:rsidRDefault="00656299" w:rsidP="00656299">
      <w:pPr>
        <w:pStyle w:val="Sinespaciado"/>
        <w:spacing w:line="360" w:lineRule="auto"/>
        <w:jc w:val="both"/>
        <w:rPr>
          <w:rFonts w:ascii="Palatino Linotype" w:hAnsi="Palatino Linotype" w:cs="Arial"/>
          <w:bCs/>
          <w:sz w:val="24"/>
        </w:rPr>
      </w:pPr>
      <w:r w:rsidRPr="00656299">
        <w:rPr>
          <w:rFonts w:ascii="Palatino Linotype" w:hAnsi="Palatino Linotype" w:cs="Arial"/>
          <w:bCs/>
          <w:sz w:val="24"/>
        </w:rPr>
        <w:t xml:space="preserve">Adicionalmente, es de destacar que este Órgano Garante no está facultado para manifestarse sobre la veracidad de lo afirmado por parte del </w:t>
      </w:r>
      <w:r w:rsidRPr="00656299">
        <w:rPr>
          <w:rFonts w:ascii="Palatino Linotype" w:hAnsi="Palatino Linotype" w:cs="Arial"/>
          <w:b/>
          <w:bCs/>
          <w:sz w:val="24"/>
        </w:rPr>
        <w:t>Sujeto Obligado</w:t>
      </w:r>
      <w:r w:rsidRPr="00656299">
        <w:rPr>
          <w:rFonts w:ascii="Palatino Linotype" w:hAnsi="Palatino Linotype" w:cs="Arial"/>
          <w:bCs/>
          <w:sz w:val="24"/>
        </w:rPr>
        <w:t xml:space="preserve"> pues no existe precepto legal alguno en la Ley de la materia que lo faculte para ello. </w:t>
      </w:r>
    </w:p>
    <w:p w14:paraId="31E1660A" w14:textId="77777777" w:rsidR="009354A8" w:rsidRDefault="009354A8" w:rsidP="009354A8">
      <w:pPr>
        <w:spacing w:after="0" w:line="360" w:lineRule="auto"/>
        <w:jc w:val="both"/>
        <w:rPr>
          <w:rFonts w:ascii="Palatino Linotype" w:eastAsia="Times New Roman" w:hAnsi="Palatino Linotype" w:cs="Arial"/>
          <w:sz w:val="24"/>
          <w:szCs w:val="24"/>
          <w:lang w:val="es-ES" w:eastAsia="es-ES"/>
        </w:rPr>
      </w:pPr>
    </w:p>
    <w:p w14:paraId="2F145DE2" w14:textId="77777777" w:rsidR="009354A8" w:rsidRDefault="009354A8" w:rsidP="009354A8">
      <w:pPr>
        <w:spacing w:after="0" w:line="360" w:lineRule="auto"/>
        <w:jc w:val="both"/>
        <w:rPr>
          <w:rFonts w:ascii="Palatino Linotype" w:eastAsia="Times New Roman" w:hAnsi="Palatino Linotype" w:cs="Arial"/>
          <w:sz w:val="24"/>
          <w:szCs w:val="24"/>
          <w:lang w:val="es-ES" w:eastAsia="es-ES"/>
        </w:rPr>
      </w:pPr>
    </w:p>
    <w:p w14:paraId="3B626F2F" w14:textId="77777777" w:rsidR="00656299" w:rsidRPr="00A11B58" w:rsidRDefault="00656299" w:rsidP="00656299">
      <w:pPr>
        <w:spacing w:line="360" w:lineRule="auto"/>
        <w:ind w:right="51"/>
        <w:jc w:val="both"/>
        <w:rPr>
          <w:rFonts w:ascii="Palatino Linotype" w:hAnsi="Palatino Linotype" w:cs="Arial"/>
          <w:color w:val="000000" w:themeColor="text1"/>
          <w:sz w:val="24"/>
        </w:rPr>
      </w:pPr>
      <w:r w:rsidRPr="00B81A2B">
        <w:rPr>
          <w:rFonts w:ascii="Palatino Linotype" w:hAnsi="Palatino Linotype" w:cs="Arial"/>
          <w:sz w:val="24"/>
          <w:szCs w:val="24"/>
        </w:rPr>
        <w:t xml:space="preserve">En esa tesitura, de acuerdo a lo inmerso en el expediente que nos ocupa se advierte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w:t>
      </w:r>
      <w:r>
        <w:rPr>
          <w:rFonts w:ascii="Palatino Linotype" w:hAnsi="Palatino Linotype" w:cs="Arial"/>
          <w:sz w:val="24"/>
          <w:szCs w:val="24"/>
        </w:rPr>
        <w:t>colmó los requerimientos, por lo tanto, el recurso ha quedado sin materia.</w:t>
      </w:r>
    </w:p>
    <w:p w14:paraId="4A502DDF" w14:textId="77777777" w:rsidR="00656299" w:rsidRDefault="00656299" w:rsidP="00656299">
      <w:pPr>
        <w:autoSpaceDE w:val="0"/>
        <w:autoSpaceDN w:val="0"/>
        <w:adjustRightInd w:val="0"/>
        <w:spacing w:after="0" w:line="360" w:lineRule="auto"/>
        <w:jc w:val="both"/>
        <w:rPr>
          <w:rFonts w:ascii="Palatino Linotype" w:hAnsi="Palatino Linotype" w:cs="Arial"/>
          <w:sz w:val="24"/>
          <w:szCs w:val="24"/>
        </w:rPr>
      </w:pPr>
    </w:p>
    <w:p w14:paraId="00FCAF03" w14:textId="77777777" w:rsidR="00656299" w:rsidRDefault="00656299" w:rsidP="00656299">
      <w:pPr>
        <w:autoSpaceDE w:val="0"/>
        <w:autoSpaceDN w:val="0"/>
        <w:adjustRightInd w:val="0"/>
        <w:spacing w:after="0" w:line="360" w:lineRule="auto"/>
        <w:jc w:val="both"/>
        <w:rPr>
          <w:rFonts w:ascii="Palatino Linotype" w:hAnsi="Palatino Linotype" w:cs="Arial"/>
          <w:sz w:val="24"/>
          <w:szCs w:val="24"/>
        </w:rPr>
      </w:pPr>
      <w:r w:rsidRPr="00B81A2B">
        <w:rPr>
          <w:rFonts w:ascii="Palatino Linotype" w:hAnsi="Palatino Linotype" w:cs="Arial"/>
          <w:sz w:val="24"/>
          <w:szCs w:val="24"/>
        </w:rPr>
        <w:t xml:space="preserve">Hasta lo aquí expuesto, se concluye que </w:t>
      </w:r>
      <w:r w:rsidRPr="00B81A2B">
        <w:rPr>
          <w:rFonts w:ascii="Palatino Linotype" w:hAnsi="Palatino Linotype" w:cs="Arial"/>
          <w:b/>
          <w:sz w:val="24"/>
          <w:szCs w:val="24"/>
        </w:rPr>
        <w:t>El Sujeto Obligado</w:t>
      </w:r>
      <w:r w:rsidRPr="00B81A2B">
        <w:rPr>
          <w:rFonts w:ascii="Palatino Linotype" w:hAnsi="Palatino Linotype" w:cs="Arial"/>
          <w:sz w:val="24"/>
          <w:szCs w:val="24"/>
        </w:rPr>
        <w:t xml:space="preserve"> satisfizo el derecho de acceso a la información mediante su informe justificado, actualizándose la fracción </w:t>
      </w:r>
      <w:r>
        <w:rPr>
          <w:rFonts w:ascii="Palatino Linotype" w:hAnsi="Palatino Linotype" w:cs="Arial"/>
          <w:sz w:val="24"/>
          <w:szCs w:val="24"/>
        </w:rPr>
        <w:t>V</w:t>
      </w:r>
      <w:r w:rsidRPr="00B81A2B">
        <w:rPr>
          <w:rFonts w:ascii="Palatino Linotype" w:hAnsi="Palatino Linotype" w:cs="Arial"/>
          <w:sz w:val="24"/>
          <w:szCs w:val="24"/>
        </w:rPr>
        <w:t xml:space="preserve">, del </w:t>
      </w:r>
      <w:r>
        <w:rPr>
          <w:rFonts w:ascii="Palatino Linotype" w:hAnsi="Palatino Linotype" w:cs="Arial"/>
          <w:sz w:val="24"/>
          <w:szCs w:val="24"/>
        </w:rPr>
        <w:t>artículo</w:t>
      </w:r>
      <w:r w:rsidRPr="00B81A2B">
        <w:rPr>
          <w:rFonts w:ascii="Palatino Linotype" w:hAnsi="Palatino Linotype" w:cs="Arial"/>
          <w:sz w:val="24"/>
          <w:szCs w:val="24"/>
        </w:rPr>
        <w:t xml:space="preserve"> 192, de la Ley de Transparencia </w:t>
      </w:r>
      <w:r>
        <w:rPr>
          <w:rFonts w:ascii="Palatino Linotype" w:hAnsi="Palatino Linotype" w:cs="Arial"/>
          <w:sz w:val="24"/>
          <w:szCs w:val="24"/>
        </w:rPr>
        <w:t>y Acceso a la Información Pública del Estado de México y Municipios</w:t>
      </w:r>
      <w:r w:rsidRPr="00B81A2B">
        <w:rPr>
          <w:rFonts w:ascii="Palatino Linotype" w:hAnsi="Palatino Linotype"/>
          <w:sz w:val="24"/>
          <w:szCs w:val="24"/>
        </w:rPr>
        <w:t xml:space="preserve">, por darse por satisfechos los elementos que integran dicha hipótesis, </w:t>
      </w:r>
      <w:r w:rsidRPr="00B81A2B">
        <w:rPr>
          <w:rFonts w:ascii="Palatino Linotype" w:hAnsi="Palatino Linotype" w:cs="Arial"/>
          <w:sz w:val="24"/>
          <w:szCs w:val="24"/>
        </w:rPr>
        <w:t xml:space="preserve">a saber: </w:t>
      </w:r>
    </w:p>
    <w:p w14:paraId="78D2C840" w14:textId="77777777" w:rsidR="00656299" w:rsidRPr="00B81A2B" w:rsidRDefault="00656299" w:rsidP="00656299">
      <w:pPr>
        <w:autoSpaceDE w:val="0"/>
        <w:autoSpaceDN w:val="0"/>
        <w:adjustRightInd w:val="0"/>
        <w:spacing w:after="0" w:line="360" w:lineRule="auto"/>
        <w:jc w:val="both"/>
        <w:rPr>
          <w:rFonts w:ascii="Palatino Linotype" w:hAnsi="Palatino Linotype" w:cs="Arial"/>
          <w:sz w:val="24"/>
          <w:szCs w:val="24"/>
        </w:rPr>
      </w:pPr>
    </w:p>
    <w:p w14:paraId="49592800" w14:textId="77777777" w:rsidR="00656299" w:rsidRPr="00B81A2B" w:rsidRDefault="00656299" w:rsidP="00656299">
      <w:pPr>
        <w:pStyle w:val="Prrafodelista"/>
        <w:numPr>
          <w:ilvl w:val="0"/>
          <w:numId w:val="13"/>
        </w:numPr>
        <w:tabs>
          <w:tab w:val="left" w:pos="709"/>
        </w:tabs>
        <w:spacing w:line="360" w:lineRule="auto"/>
        <w:ind w:right="51"/>
        <w:jc w:val="both"/>
        <w:rPr>
          <w:rFonts w:ascii="Palatino Linotype" w:hAnsi="Palatino Linotype" w:cs="Arial"/>
        </w:rPr>
      </w:pPr>
      <w:r w:rsidRPr="00B81A2B">
        <w:rPr>
          <w:rFonts w:ascii="Palatino Linotype" w:hAnsi="Palatino Linotype" w:cs="Arial"/>
        </w:rPr>
        <w:t>El primero de ellos es que el sujeto obligado responsable del acto lo modifique o revoque, lo que se demuestra con la documental</w:t>
      </w:r>
      <w:r>
        <w:rPr>
          <w:rFonts w:ascii="Palatino Linotype" w:hAnsi="Palatino Linotype" w:cs="Arial"/>
        </w:rPr>
        <w:t xml:space="preserve"> remitida</w:t>
      </w:r>
      <w:r w:rsidRPr="00B81A2B">
        <w:rPr>
          <w:rFonts w:ascii="Palatino Linotype" w:hAnsi="Palatino Linotype" w:cs="Arial"/>
        </w:rPr>
        <w:t xml:space="preserve"> en el informe justificado de fecha </w:t>
      </w:r>
      <w:r>
        <w:rPr>
          <w:rFonts w:ascii="Palatino Linotype" w:hAnsi="Palatino Linotype" w:cs="Arial"/>
          <w:b/>
        </w:rPr>
        <w:t>dieciocho de marzo de dos mil veinticinco</w:t>
      </w:r>
      <w:r w:rsidRPr="00B81A2B">
        <w:rPr>
          <w:rFonts w:ascii="Palatino Linotype" w:hAnsi="Palatino Linotype" w:cs="Arial"/>
        </w:rPr>
        <w:t>, el cual deviene de la autoridad quien emitió el acto impugnado.</w:t>
      </w:r>
    </w:p>
    <w:p w14:paraId="7C606AD4" w14:textId="77777777" w:rsidR="00656299" w:rsidRPr="00B81A2B" w:rsidRDefault="00656299" w:rsidP="00656299">
      <w:pPr>
        <w:pStyle w:val="Sinespaciado"/>
      </w:pPr>
    </w:p>
    <w:p w14:paraId="19EF3743" w14:textId="77777777" w:rsidR="00656299" w:rsidRPr="00A82E18" w:rsidRDefault="00656299" w:rsidP="00656299">
      <w:pPr>
        <w:pStyle w:val="Prrafodelista"/>
        <w:numPr>
          <w:ilvl w:val="0"/>
          <w:numId w:val="13"/>
        </w:numPr>
        <w:spacing w:line="360" w:lineRule="auto"/>
        <w:ind w:right="51"/>
        <w:jc w:val="both"/>
        <w:rPr>
          <w:rFonts w:ascii="Palatino Linotype" w:hAnsi="Palatino Linotype"/>
        </w:rPr>
      </w:pPr>
      <w:r w:rsidRPr="00B81A2B">
        <w:rPr>
          <w:rFonts w:ascii="Palatino Linotype" w:hAnsi="Palatino Linotype" w:cs="Arial"/>
        </w:rPr>
        <w:lastRenderedPageBreak/>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w:t>
      </w:r>
      <w:r>
        <w:rPr>
          <w:rFonts w:ascii="Palatino Linotype" w:hAnsi="Palatino Linotype" w:cs="Arial"/>
        </w:rPr>
        <w:t xml:space="preserve">en la entrega de la factura de una máquina. </w:t>
      </w:r>
    </w:p>
    <w:p w14:paraId="0927BCB7" w14:textId="77777777" w:rsidR="00656299" w:rsidRDefault="00656299" w:rsidP="00656299">
      <w:pPr>
        <w:autoSpaceDE w:val="0"/>
        <w:autoSpaceDN w:val="0"/>
        <w:adjustRightInd w:val="0"/>
        <w:spacing w:after="0" w:line="360" w:lineRule="auto"/>
        <w:jc w:val="both"/>
        <w:rPr>
          <w:rFonts w:ascii="Palatino Linotype" w:hAnsi="Palatino Linotype" w:cs="Arial"/>
          <w:sz w:val="24"/>
        </w:rPr>
      </w:pPr>
    </w:p>
    <w:p w14:paraId="547F74DF" w14:textId="77777777" w:rsidR="00656299" w:rsidRPr="00B81A2B" w:rsidRDefault="00656299" w:rsidP="0065629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hAnsi="Palatino Linotype" w:cs="Arial"/>
          <w:sz w:val="24"/>
        </w:rPr>
        <w:t xml:space="preserve">En conclusión, la ley de la materia establece </w:t>
      </w:r>
      <w:r w:rsidRPr="00B81A2B">
        <w:rPr>
          <w:rFonts w:ascii="Palatino Linotype" w:eastAsia="Times New Roman" w:hAnsi="Palatino Linotype" w:cs="Arial"/>
          <w:sz w:val="24"/>
          <w:szCs w:val="24"/>
          <w:lang w:val="es-ES" w:eastAsia="es-ES"/>
        </w:rPr>
        <w:t xml:space="preserve">en la fracción </w:t>
      </w:r>
      <w:r>
        <w:rPr>
          <w:rFonts w:ascii="Palatino Linotype" w:eastAsia="Times New Roman" w:hAnsi="Palatino Linotype" w:cs="Arial"/>
          <w:sz w:val="24"/>
          <w:szCs w:val="24"/>
          <w:lang w:val="es-ES" w:eastAsia="es-ES"/>
        </w:rPr>
        <w:t>V</w:t>
      </w:r>
      <w:r w:rsidRPr="00B81A2B">
        <w:rPr>
          <w:rFonts w:ascii="Palatino Linotype" w:eastAsia="Times New Roman" w:hAnsi="Palatino Linotype" w:cs="Arial"/>
          <w:sz w:val="24"/>
          <w:szCs w:val="24"/>
          <w:lang w:val="es-ES" w:eastAsia="es-ES"/>
        </w:rPr>
        <w:t>, del artículo 192, de la Ley de Transparencia vigente en la entidad, que a la letra establecen:</w:t>
      </w:r>
    </w:p>
    <w:p w14:paraId="38B37849" w14:textId="77777777" w:rsidR="00656299" w:rsidRPr="00B81A2B" w:rsidRDefault="00656299" w:rsidP="00656299">
      <w:pPr>
        <w:spacing w:after="0"/>
        <w:rPr>
          <w:lang w:val="es-ES" w:eastAsia="es-ES"/>
        </w:rPr>
      </w:pPr>
    </w:p>
    <w:p w14:paraId="581A6A3A" w14:textId="77777777" w:rsidR="00656299" w:rsidRPr="00B81A2B" w:rsidRDefault="00656299" w:rsidP="00656299">
      <w:pPr>
        <w:autoSpaceDE w:val="0"/>
        <w:autoSpaceDN w:val="0"/>
        <w:adjustRightInd w:val="0"/>
        <w:spacing w:after="0" w:line="240" w:lineRule="auto"/>
        <w:ind w:left="708"/>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b/>
          <w:i/>
          <w:szCs w:val="24"/>
          <w:lang w:val="es-ES" w:eastAsia="es-ES"/>
        </w:rPr>
        <w:t xml:space="preserve">“Artículo 192. </w:t>
      </w:r>
      <w:r w:rsidRPr="00B81A2B">
        <w:rPr>
          <w:rFonts w:ascii="Palatino Linotype" w:eastAsia="Times New Roman" w:hAnsi="Palatino Linotype" w:cs="Times New Roman"/>
          <w:b/>
          <w:i/>
          <w:szCs w:val="24"/>
          <w:u w:val="single"/>
          <w:lang w:val="es-ES" w:eastAsia="es-ES"/>
        </w:rPr>
        <w:t>El recurso será sobreseído, en todo o en parte, cuando una vez admitido, se actualicen alguno de los siguientes supuestos</w:t>
      </w:r>
      <w:r w:rsidRPr="00B81A2B">
        <w:rPr>
          <w:rFonts w:ascii="Palatino Linotype" w:eastAsia="Times New Roman" w:hAnsi="Palatino Linotype" w:cs="Times New Roman"/>
          <w:i/>
          <w:szCs w:val="24"/>
          <w:lang w:val="es-ES" w:eastAsia="es-ES"/>
        </w:rPr>
        <w:t>:</w:t>
      </w:r>
    </w:p>
    <w:p w14:paraId="086A0785" w14:textId="77777777" w:rsidR="00656299" w:rsidRPr="00B81A2B" w:rsidRDefault="00656299" w:rsidP="00656299">
      <w:pPr>
        <w:numPr>
          <w:ilvl w:val="0"/>
          <w:numId w:val="14"/>
        </w:numPr>
        <w:autoSpaceDE w:val="0"/>
        <w:autoSpaceDN w:val="0"/>
        <w:adjustRightInd w:val="0"/>
        <w:spacing w:after="0" w:line="240" w:lineRule="auto"/>
        <w:jc w:val="both"/>
        <w:rPr>
          <w:rFonts w:ascii="Palatino Linotype" w:eastAsia="Times New Roman" w:hAnsi="Palatino Linotype" w:cs="Times New Roman"/>
          <w:i/>
          <w:szCs w:val="24"/>
          <w:lang w:val="es-ES" w:eastAsia="es-ES"/>
        </w:rPr>
      </w:pPr>
      <w:r w:rsidRPr="00B81A2B">
        <w:rPr>
          <w:rFonts w:ascii="Palatino Linotype" w:eastAsia="Times New Roman" w:hAnsi="Palatino Linotype" w:cs="Times New Roman"/>
          <w:i/>
          <w:szCs w:val="24"/>
          <w:lang w:val="es-ES" w:eastAsia="es-ES"/>
        </w:rPr>
        <w:t xml:space="preserve">El recurrente se desista expresamente del recurso; </w:t>
      </w:r>
    </w:p>
    <w:p w14:paraId="66AF21A0" w14:textId="77777777" w:rsidR="00656299" w:rsidRPr="00B81A2B" w:rsidRDefault="00656299" w:rsidP="00656299">
      <w:pPr>
        <w:numPr>
          <w:ilvl w:val="0"/>
          <w:numId w:val="14"/>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El recurrente fallezca o, tratándose de personas jurídicas colectivas, se disuelva; </w:t>
      </w:r>
    </w:p>
    <w:p w14:paraId="67A9ECAF" w14:textId="77777777" w:rsidR="00656299" w:rsidRPr="00400625" w:rsidRDefault="00656299" w:rsidP="00656299">
      <w:pPr>
        <w:numPr>
          <w:ilvl w:val="0"/>
          <w:numId w:val="14"/>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400625">
        <w:rPr>
          <w:rFonts w:ascii="Palatino Linotype" w:eastAsia="Times New Roman" w:hAnsi="Palatino Linotype" w:cs="Times New Roman"/>
          <w:i/>
          <w:szCs w:val="24"/>
          <w:lang w:val="es-ES" w:eastAsia="es-ES"/>
        </w:rPr>
        <w:t xml:space="preserve">El sujeto obligado responsable del acto lo modifique o revoque de tal manera que el recurso de revisión quede sin materia; </w:t>
      </w:r>
    </w:p>
    <w:p w14:paraId="7CE9F58C" w14:textId="77777777" w:rsidR="00656299" w:rsidRPr="00B81A2B" w:rsidRDefault="00656299" w:rsidP="00656299">
      <w:pPr>
        <w:numPr>
          <w:ilvl w:val="0"/>
          <w:numId w:val="14"/>
        </w:numPr>
        <w:autoSpaceDE w:val="0"/>
        <w:autoSpaceDN w:val="0"/>
        <w:adjustRightInd w:val="0"/>
        <w:spacing w:after="0" w:line="240" w:lineRule="auto"/>
        <w:jc w:val="both"/>
        <w:rPr>
          <w:rFonts w:ascii="Palatino Linotype" w:eastAsia="Times New Roman" w:hAnsi="Palatino Linotype" w:cs="Arial"/>
          <w:i/>
          <w:szCs w:val="24"/>
          <w:lang w:val="es-ES" w:eastAsia="es-ES"/>
        </w:rPr>
      </w:pPr>
      <w:r w:rsidRPr="00B81A2B">
        <w:rPr>
          <w:rFonts w:ascii="Palatino Linotype" w:eastAsia="Times New Roman" w:hAnsi="Palatino Linotype" w:cs="Times New Roman"/>
          <w:i/>
          <w:szCs w:val="24"/>
          <w:lang w:val="es-ES" w:eastAsia="es-ES"/>
        </w:rPr>
        <w:t xml:space="preserve">Admitido el recurso de revisión, aparezca alguna causal de improcedencia en los términos de la presente Ley; y </w:t>
      </w:r>
    </w:p>
    <w:p w14:paraId="367E055B" w14:textId="77777777" w:rsidR="00656299" w:rsidRPr="00400625" w:rsidRDefault="00656299" w:rsidP="00656299">
      <w:pPr>
        <w:numPr>
          <w:ilvl w:val="0"/>
          <w:numId w:val="14"/>
        </w:numPr>
        <w:autoSpaceDE w:val="0"/>
        <w:autoSpaceDN w:val="0"/>
        <w:adjustRightInd w:val="0"/>
        <w:spacing w:after="0" w:line="240" w:lineRule="auto"/>
        <w:jc w:val="both"/>
        <w:rPr>
          <w:rFonts w:ascii="Palatino Linotype" w:eastAsia="Times New Roman" w:hAnsi="Palatino Linotype" w:cs="Arial"/>
          <w:b/>
          <w:i/>
          <w:szCs w:val="24"/>
          <w:u w:val="single"/>
          <w:lang w:val="es-ES" w:eastAsia="es-ES"/>
        </w:rPr>
      </w:pPr>
      <w:r w:rsidRPr="00400625">
        <w:rPr>
          <w:rFonts w:ascii="Palatino Linotype" w:eastAsia="Times New Roman" w:hAnsi="Palatino Linotype" w:cs="Times New Roman"/>
          <w:b/>
          <w:i/>
          <w:szCs w:val="24"/>
          <w:u w:val="single"/>
          <w:lang w:val="es-ES" w:eastAsia="es-ES"/>
        </w:rPr>
        <w:t>Cuando por cualquier motivo quede sin materia el recurso.”</w:t>
      </w:r>
    </w:p>
    <w:p w14:paraId="1BA03387" w14:textId="77777777" w:rsidR="00656299" w:rsidRDefault="00656299" w:rsidP="00656299">
      <w:pPr>
        <w:rPr>
          <w:rFonts w:ascii="Palatino Linotype" w:hAnsi="Palatino Linotype"/>
          <w:sz w:val="24"/>
          <w:lang w:val="es-ES" w:eastAsia="es-ES"/>
        </w:rPr>
      </w:pPr>
    </w:p>
    <w:p w14:paraId="6BE56FBF" w14:textId="77777777" w:rsidR="00656299" w:rsidRPr="00A11B58" w:rsidRDefault="00656299" w:rsidP="00656299">
      <w:pPr>
        <w:rPr>
          <w:rFonts w:ascii="Palatino Linotype" w:hAnsi="Palatino Linotype"/>
          <w:sz w:val="24"/>
          <w:lang w:val="es-ES" w:eastAsia="es-ES"/>
        </w:rPr>
      </w:pPr>
    </w:p>
    <w:p w14:paraId="5BFCEAF2" w14:textId="77777777" w:rsidR="00656299" w:rsidRDefault="00656299" w:rsidP="00656299">
      <w:pPr>
        <w:spacing w:line="360" w:lineRule="auto"/>
        <w:jc w:val="both"/>
        <w:rPr>
          <w:rFonts w:ascii="Palatino Linotype" w:hAnsi="Palatino Linotype" w:cs="Arial"/>
          <w:sz w:val="24"/>
          <w:szCs w:val="24"/>
        </w:rPr>
      </w:pPr>
      <w:r>
        <w:rPr>
          <w:rFonts w:ascii="Palatino Linotype" w:hAnsi="Palatino Linotype" w:cs="Arial"/>
          <w:sz w:val="24"/>
          <w:szCs w:val="24"/>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10CE29CC" w14:textId="77777777" w:rsidR="00656299" w:rsidRDefault="00656299" w:rsidP="00656299">
      <w:pPr>
        <w:spacing w:line="360" w:lineRule="auto"/>
        <w:ind w:left="851" w:right="851"/>
        <w:jc w:val="both"/>
        <w:rPr>
          <w:rFonts w:ascii="Palatino Linotype" w:hAnsi="Palatino Linotype" w:cs="Arial"/>
          <w:b/>
          <w:i/>
        </w:rPr>
      </w:pPr>
      <w:r>
        <w:rPr>
          <w:rFonts w:ascii="Palatino Linotype" w:hAnsi="Palatino Linotype" w:cs="Arial"/>
          <w:b/>
          <w:i/>
        </w:rPr>
        <w:lastRenderedPageBreak/>
        <w:t>“SOBRESEIMIENTO EN EL JUICIO DE AMPARO DIRECTO. IMPIDE EL ESTUDIO DE LAS VIOLACIONES PROCESALES PLANTEADAS EN LOS CONCEPTOS DE VIOLACIÓN.</w:t>
      </w:r>
    </w:p>
    <w:p w14:paraId="50262F74" w14:textId="77777777" w:rsidR="00656299" w:rsidRDefault="00656299" w:rsidP="00656299">
      <w:pPr>
        <w:spacing w:line="360" w:lineRule="auto"/>
        <w:ind w:left="851" w:right="851"/>
        <w:jc w:val="both"/>
        <w:rPr>
          <w:rFonts w:ascii="Palatino Linotype" w:hAnsi="Palatino Linotype"/>
          <w:i/>
          <w:color w:val="000000"/>
        </w:rPr>
      </w:pPr>
      <w:r>
        <w:rPr>
          <w:rFonts w:ascii="Palatino Linotype" w:hAnsi="Palatino Linotype" w:cs="Arial"/>
          <w:b/>
          <w:i/>
          <w:u w:val="single"/>
        </w:rPr>
        <w:t>El sobreseimiento</w:t>
      </w:r>
      <w:r>
        <w:rPr>
          <w:rFonts w:ascii="Palatino Linotype" w:hAnsi="Palatino Linotype" w:cs="Arial"/>
          <w:b/>
          <w:i/>
        </w:rPr>
        <w:t xml:space="preserve"> </w:t>
      </w:r>
      <w:r>
        <w:rPr>
          <w:rFonts w:ascii="Palatino Linotype" w:hAnsi="Palatino Linotype" w:cs="Arial"/>
          <w:i/>
        </w:rPr>
        <w:t xml:space="preserve">en el juicio de amparo directo </w:t>
      </w:r>
      <w:r>
        <w:rPr>
          <w:rFonts w:ascii="Palatino Linotype" w:hAnsi="Palatino Linotype" w:cs="Arial"/>
          <w:b/>
          <w:i/>
          <w:u w:val="single"/>
        </w:rPr>
        <w:t>provoca la terminación de la controversia planteada</w:t>
      </w:r>
      <w:r>
        <w:rPr>
          <w:rFonts w:ascii="Palatino Linotype" w:hAnsi="Palatino Linotype" w:cs="Arial"/>
          <w:b/>
          <w:i/>
        </w:rPr>
        <w:t xml:space="preserve"> </w:t>
      </w:r>
      <w:r>
        <w:rPr>
          <w:rFonts w:ascii="Palatino Linotype" w:hAnsi="Palatino Linotype" w:cs="Arial"/>
          <w:i/>
        </w:rPr>
        <w:t>por el quejoso en la demanda de amparo</w:t>
      </w:r>
      <w:r>
        <w:rPr>
          <w:color w:val="000000"/>
          <w:sz w:val="26"/>
          <w:szCs w:val="26"/>
        </w:rPr>
        <w:t xml:space="preserve"> </w:t>
      </w:r>
      <w:r>
        <w:rPr>
          <w:rFonts w:ascii="Palatino Linotype" w:hAnsi="Palatino Linotype"/>
          <w:i/>
          <w:color w:val="000000"/>
        </w:rPr>
        <w:t xml:space="preserve">provoca la terminación de la controversia planteada por el quejoso en la demanda de </w:t>
      </w:r>
      <w:r>
        <w:rPr>
          <w:rFonts w:ascii="Palatino Linotype" w:hAnsi="Palatino Linotype"/>
          <w:b/>
          <w:i/>
          <w:color w:val="000000"/>
        </w:rPr>
        <w:t>amparo</w:t>
      </w:r>
      <w:r>
        <w:rPr>
          <w:rFonts w:ascii="Palatino Linotype" w:hAnsi="Palatino Linotype"/>
          <w:i/>
          <w:color w:val="000000"/>
        </w:rPr>
        <w:t>, sin hacer un pronunciamiento de fondo sobre la legalidad o ilegalidad de la sentencia reclamada. Por consiguiente, si al sobreseerse en el</w:t>
      </w:r>
      <w:r>
        <w:rPr>
          <w:rFonts w:ascii="Palatino Linotype" w:hAnsi="Palatino Linotype"/>
          <w:b/>
          <w:i/>
          <w:color w:val="000000"/>
        </w:rPr>
        <w:t xml:space="preserve"> juicio </w:t>
      </w:r>
      <w:r>
        <w:rPr>
          <w:rFonts w:ascii="Palatino Linotype" w:hAnsi="Palatino Linotype"/>
          <w:i/>
          <w:color w:val="000000"/>
        </w:rPr>
        <w:t xml:space="preserve">de </w:t>
      </w:r>
      <w:r>
        <w:rPr>
          <w:rFonts w:ascii="Palatino Linotype" w:hAnsi="Palatino Linotype"/>
          <w:b/>
          <w:i/>
          <w:color w:val="000000"/>
        </w:rPr>
        <w:t>amparo</w:t>
      </w:r>
      <w:r>
        <w:rPr>
          <w:rFonts w:ascii="Palatino Linotype" w:hAnsi="Palatino Linotype"/>
          <w:i/>
          <w:color w:val="000000"/>
        </w:rPr>
        <w:t xml:space="preserve"> no se pueden estudiar los planteamientos que se hacen valer en contra del fallo reclamado, tampoco se deben analizar las</w:t>
      </w:r>
      <w:r>
        <w:rPr>
          <w:rFonts w:ascii="Palatino Linotype" w:hAnsi="Palatino Linotype"/>
          <w:b/>
          <w:i/>
          <w:color w:val="000000"/>
        </w:rPr>
        <w:t xml:space="preserve"> violaciones procesales</w:t>
      </w:r>
      <w:r>
        <w:rPr>
          <w:rFonts w:ascii="Palatino Linotype" w:hAnsi="Palatino Linotype"/>
          <w:i/>
          <w:color w:val="000000"/>
        </w:rPr>
        <w:t xml:space="preserve"> propuestas en los </w:t>
      </w:r>
      <w:r>
        <w:rPr>
          <w:rFonts w:ascii="Palatino Linotype" w:hAnsi="Palatino Linotype"/>
          <w:b/>
          <w:i/>
          <w:color w:val="000000"/>
        </w:rPr>
        <w:t xml:space="preserve">conceptos </w:t>
      </w:r>
      <w:r>
        <w:rPr>
          <w:rFonts w:ascii="Palatino Linotype" w:hAnsi="Palatino Linotype"/>
          <w:i/>
          <w:color w:val="000000"/>
        </w:rPr>
        <w:t xml:space="preserve">de </w:t>
      </w:r>
      <w:r>
        <w:rPr>
          <w:rFonts w:ascii="Palatino Linotype" w:hAnsi="Palatino Linotype"/>
          <w:b/>
          <w:i/>
          <w:color w:val="000000"/>
        </w:rPr>
        <w:t>violación</w:t>
      </w:r>
      <w:r>
        <w:rPr>
          <w:rFonts w:ascii="Palatino Linotype" w:hAnsi="Palatino Linotype"/>
          <w:i/>
          <w:color w:val="000000"/>
        </w:rPr>
        <w:t xml:space="preserve">, dado que, la principal consecuencia del </w:t>
      </w:r>
      <w:r>
        <w:rPr>
          <w:rFonts w:ascii="Palatino Linotype" w:hAnsi="Palatino Linotype"/>
          <w:b/>
          <w:i/>
          <w:color w:val="000000"/>
        </w:rPr>
        <w:t>sobreseimiento</w:t>
      </w:r>
      <w:r>
        <w:rPr>
          <w:rFonts w:ascii="Palatino Linotype" w:hAnsi="Palatino Linotype"/>
          <w:i/>
          <w:color w:val="000000"/>
        </w:rPr>
        <w:t xml:space="preserve"> es poner fin al </w:t>
      </w:r>
      <w:r>
        <w:rPr>
          <w:rFonts w:ascii="Palatino Linotype" w:hAnsi="Palatino Linotype"/>
          <w:b/>
          <w:i/>
          <w:color w:val="000000"/>
        </w:rPr>
        <w:t xml:space="preserve">juicio </w:t>
      </w:r>
      <w:r>
        <w:rPr>
          <w:rFonts w:ascii="Palatino Linotype" w:hAnsi="Palatino Linotype"/>
          <w:i/>
          <w:color w:val="000000"/>
        </w:rPr>
        <w:t xml:space="preserve">de </w:t>
      </w:r>
      <w:r>
        <w:rPr>
          <w:rFonts w:ascii="Palatino Linotype" w:hAnsi="Palatino Linotype"/>
          <w:b/>
          <w:i/>
          <w:color w:val="000000"/>
        </w:rPr>
        <w:t xml:space="preserve">amparo </w:t>
      </w:r>
      <w:r>
        <w:rPr>
          <w:rFonts w:ascii="Palatino Linotype" w:hAnsi="Palatino Linotype"/>
          <w:i/>
          <w:color w:val="000000"/>
        </w:rPr>
        <w:t>sin resolver la controversia en sus méritos.  </w:t>
      </w:r>
    </w:p>
    <w:p w14:paraId="63F765C2" w14:textId="77777777" w:rsidR="00656299" w:rsidRDefault="00656299" w:rsidP="00656299">
      <w:pPr>
        <w:spacing w:line="360" w:lineRule="auto"/>
        <w:ind w:left="851" w:right="851"/>
        <w:jc w:val="both"/>
        <w:rPr>
          <w:rFonts w:ascii="Palatino Linotype" w:hAnsi="Palatino Linotype" w:cs="Arial"/>
          <w:b/>
          <w:i/>
        </w:rPr>
      </w:pPr>
      <w:r>
        <w:rPr>
          <w:rFonts w:ascii="Palatino Linotype" w:hAnsi="Palatino Linotype" w:cs="Arial"/>
          <w:b/>
          <w:i/>
        </w:rPr>
        <w:t>SÉPTIMO TRIBUNAL COLEGIADO EN MATERIA CIVIL DEL PRIMER CIRCUITO.</w:t>
      </w:r>
    </w:p>
    <w:p w14:paraId="25079D8B" w14:textId="77777777" w:rsidR="00656299" w:rsidRDefault="00656299" w:rsidP="00656299">
      <w:pPr>
        <w:spacing w:line="360" w:lineRule="auto"/>
        <w:ind w:left="851" w:right="851"/>
        <w:jc w:val="both"/>
        <w:rPr>
          <w:rFonts w:ascii="Palatino Linotype" w:hAnsi="Palatino Linotype" w:cs="Arial"/>
          <w:i/>
        </w:rPr>
      </w:pPr>
      <w:r>
        <w:rPr>
          <w:rFonts w:ascii="Palatino Linotype" w:hAnsi="Palatino Linotype" w:cs="Arial"/>
          <w:i/>
        </w:rPr>
        <w:t>Amparo directo 699/2008. Mariana Leticia González Steele. 13 de noviembre de 2008. Unanimidad de votos. Ponente: Sara Judith Montalvo Trejo. Secretario: Arnulfo Mateos García.”</w:t>
      </w:r>
      <w:r>
        <w:rPr>
          <w:rFonts w:ascii="Palatino Linotype" w:eastAsia="Times New Roman" w:hAnsi="Palatino Linotype" w:cs="Times New Roman"/>
          <w:b/>
          <w:i/>
          <w:lang w:val="es-ES_tradnl" w:eastAsia="es-ES"/>
        </w:rPr>
        <w:t xml:space="preserve"> [Sic]</w:t>
      </w:r>
    </w:p>
    <w:p w14:paraId="30339DB6" w14:textId="77777777" w:rsidR="00656299" w:rsidRDefault="00656299" w:rsidP="0065629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7361C25" w14:textId="77777777" w:rsidR="00656299" w:rsidRDefault="00656299" w:rsidP="0065629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Por lo que hace a los requisitos de procedencia del sobreseimiento en términos del artículo 192, de la Ley de Transparencia estatal se establece lo siguiente:</w:t>
      </w:r>
    </w:p>
    <w:p w14:paraId="01E286CB" w14:textId="77777777" w:rsidR="00656299" w:rsidRPr="00B81A2B" w:rsidRDefault="00656299" w:rsidP="00656299">
      <w:pPr>
        <w:pStyle w:val="Sinespaciado"/>
        <w:rPr>
          <w:lang w:val="es-ES"/>
        </w:rPr>
      </w:pPr>
    </w:p>
    <w:p w14:paraId="6A59DAEE" w14:textId="77777777" w:rsidR="00656299" w:rsidRPr="00B81A2B" w:rsidRDefault="00656299" w:rsidP="00656299">
      <w:pPr>
        <w:numPr>
          <w:ilvl w:val="0"/>
          <w:numId w:val="15"/>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 xml:space="preserve">Mediante acuerdo de fecha </w:t>
      </w:r>
      <w:r>
        <w:rPr>
          <w:rFonts w:ascii="Palatino Linotype" w:hAnsi="Palatino Linotype" w:cs="Arial"/>
          <w:b/>
          <w:sz w:val="24"/>
        </w:rPr>
        <w:t>veinticuatro de febrero</w:t>
      </w:r>
      <w:r w:rsidRPr="00656299">
        <w:rPr>
          <w:rFonts w:ascii="Palatino Linotype" w:hAnsi="Palatino Linotype" w:cs="Arial"/>
          <w:b/>
          <w:sz w:val="24"/>
        </w:rPr>
        <w:t xml:space="preserve"> de dos mil veinticinco</w:t>
      </w:r>
      <w:r>
        <w:rPr>
          <w:rFonts w:ascii="Palatino Linotype" w:eastAsia="Times New Roman" w:hAnsi="Palatino Linotype" w:cs="Arial"/>
          <w:sz w:val="24"/>
          <w:szCs w:val="24"/>
          <w:lang w:val="es-ES" w:eastAsia="es-ES"/>
        </w:rPr>
        <w:t>, el</w:t>
      </w:r>
      <w:r w:rsidRPr="00B81A2B">
        <w:rPr>
          <w:rFonts w:ascii="Palatino Linotype" w:eastAsia="Times New Roman" w:hAnsi="Palatino Linotype" w:cs="Arial"/>
          <w:sz w:val="24"/>
          <w:szCs w:val="24"/>
          <w:lang w:val="es-ES" w:eastAsia="es-ES"/>
        </w:rPr>
        <w:t xml:space="preserve"> Comisionad</w:t>
      </w:r>
      <w:r>
        <w:rPr>
          <w:rFonts w:ascii="Palatino Linotype" w:eastAsia="Times New Roman" w:hAnsi="Palatino Linotype" w:cs="Arial"/>
          <w:sz w:val="24"/>
          <w:szCs w:val="24"/>
          <w:lang w:val="es-ES" w:eastAsia="es-ES"/>
        </w:rPr>
        <w:t>o</w:t>
      </w:r>
      <w:r w:rsidRPr="00B81A2B">
        <w:rPr>
          <w:rFonts w:ascii="Palatino Linotype" w:eastAsia="Times New Roman" w:hAnsi="Palatino Linotype" w:cs="Arial"/>
          <w:sz w:val="24"/>
          <w:szCs w:val="24"/>
          <w:lang w:val="es-ES" w:eastAsia="es-ES"/>
        </w:rPr>
        <w:t xml:space="preserve"> </w:t>
      </w:r>
      <w:r>
        <w:rPr>
          <w:rFonts w:ascii="Palatino Linotype" w:eastAsia="Times New Roman" w:hAnsi="Palatino Linotype" w:cs="Arial"/>
          <w:b/>
          <w:sz w:val="24"/>
          <w:szCs w:val="24"/>
          <w:lang w:val="es-ES" w:eastAsia="es-ES"/>
        </w:rPr>
        <w:t>José Martínez Vilchis</w:t>
      </w:r>
      <w:r w:rsidRPr="00B81A2B">
        <w:rPr>
          <w:rFonts w:ascii="Palatino Linotype" w:eastAsia="Times New Roman" w:hAnsi="Palatino Linotype" w:cs="Arial"/>
          <w:sz w:val="24"/>
          <w:szCs w:val="24"/>
          <w:lang w:val="es-ES" w:eastAsia="es-ES"/>
        </w:rPr>
        <w:t>, admitió a trámite el recurso de revisión que nos ocupa</w:t>
      </w:r>
      <w:r w:rsidRPr="00B81A2B">
        <w:rPr>
          <w:rFonts w:ascii="Palatino Linotype" w:eastAsia="Times New Roman" w:hAnsi="Palatino Linotype" w:cs="Arial"/>
          <w:sz w:val="24"/>
          <w:szCs w:val="24"/>
          <w:lang w:eastAsia="es-ES"/>
        </w:rPr>
        <w:t>.</w:t>
      </w:r>
      <w:r>
        <w:rPr>
          <w:rFonts w:ascii="Palatino Linotype" w:eastAsia="Times New Roman" w:hAnsi="Palatino Linotype" w:cs="Arial"/>
          <w:sz w:val="24"/>
          <w:szCs w:val="24"/>
          <w:lang w:eastAsia="es-ES"/>
        </w:rPr>
        <w:t xml:space="preserve"> </w:t>
      </w:r>
    </w:p>
    <w:p w14:paraId="1430DDB8" w14:textId="77777777" w:rsidR="00656299" w:rsidRPr="003F6F67" w:rsidRDefault="00656299" w:rsidP="00656299">
      <w:pPr>
        <w:pStyle w:val="Sinespaciado"/>
      </w:pPr>
    </w:p>
    <w:p w14:paraId="31B68CA0" w14:textId="77777777" w:rsidR="00656299" w:rsidRDefault="00656299" w:rsidP="00656299">
      <w:pPr>
        <w:pStyle w:val="Prrafodelista"/>
        <w:numPr>
          <w:ilvl w:val="0"/>
          <w:numId w:val="15"/>
        </w:numPr>
        <w:autoSpaceDE w:val="0"/>
        <w:autoSpaceDN w:val="0"/>
        <w:adjustRightInd w:val="0"/>
        <w:spacing w:line="360" w:lineRule="auto"/>
        <w:ind w:left="851" w:right="850" w:firstLine="10"/>
        <w:jc w:val="both"/>
        <w:rPr>
          <w:rFonts w:ascii="Palatino Linotype" w:hAnsi="Palatino Linotype" w:cs="Arial"/>
        </w:rPr>
      </w:pPr>
      <w:r w:rsidRPr="00B81A2B">
        <w:rPr>
          <w:rFonts w:ascii="Palatino Linotype" w:hAnsi="Palatino Linotype" w:cs="Arial"/>
        </w:rPr>
        <w:t xml:space="preserve">Lo esgrimido por </w:t>
      </w:r>
      <w:r>
        <w:rPr>
          <w:rFonts w:ascii="Palatino Linotype" w:hAnsi="Palatino Linotype" w:cs="Arial"/>
          <w:b/>
        </w:rPr>
        <w:t>el</w:t>
      </w:r>
      <w:r w:rsidRPr="00B81A2B">
        <w:rPr>
          <w:rFonts w:ascii="Palatino Linotype" w:hAnsi="Palatino Linotype" w:cs="Arial"/>
          <w:b/>
        </w:rPr>
        <w:t xml:space="preserve"> Recurrente</w:t>
      </w:r>
      <w:r w:rsidRPr="00B81A2B">
        <w:rPr>
          <w:rFonts w:ascii="Palatino Linotype" w:hAnsi="Palatino Linotype" w:cs="Arial"/>
        </w:rPr>
        <w:t xml:space="preserve"> dentro del recurso de revisión impugnado queda sin materia, toda vez que </w:t>
      </w:r>
      <w:r w:rsidRPr="00B81A2B">
        <w:rPr>
          <w:rFonts w:ascii="Palatino Linotype" w:hAnsi="Palatino Linotype" w:cs="Arial"/>
          <w:b/>
        </w:rPr>
        <w:t>El Sujeto Obligado</w:t>
      </w:r>
      <w:r w:rsidRPr="00B81A2B">
        <w:rPr>
          <w:rFonts w:ascii="Palatino Linotype" w:hAnsi="Palatino Linotype" w:cs="Arial"/>
        </w:rPr>
        <w:t xml:space="preserve"> colmó el derech</w:t>
      </w:r>
      <w:r>
        <w:rPr>
          <w:rFonts w:ascii="Palatino Linotype" w:hAnsi="Palatino Linotype" w:cs="Arial"/>
        </w:rPr>
        <w:t>o de acceso a la información del</w:t>
      </w:r>
      <w:r w:rsidRPr="00B81A2B">
        <w:rPr>
          <w:rFonts w:ascii="Palatino Linotype" w:hAnsi="Palatino Linotype" w:cs="Arial"/>
        </w:rPr>
        <w:t xml:space="preserve"> </w:t>
      </w:r>
      <w:r w:rsidRPr="00B81A2B">
        <w:rPr>
          <w:rFonts w:ascii="Palatino Linotype" w:hAnsi="Palatino Linotype" w:cs="Arial"/>
          <w:b/>
        </w:rPr>
        <w:t>Recurrente</w:t>
      </w:r>
      <w:r w:rsidRPr="00B81A2B">
        <w:rPr>
          <w:rFonts w:ascii="Palatino Linotype" w:hAnsi="Palatino Linotype" w:cs="Arial"/>
        </w:rPr>
        <w:t>,</w:t>
      </w:r>
      <w:r w:rsidRPr="00B81A2B">
        <w:rPr>
          <w:rFonts w:ascii="Palatino Linotype" w:hAnsi="Palatino Linotype" w:cs="Arial"/>
          <w:b/>
        </w:rPr>
        <w:t xml:space="preserve"> </w:t>
      </w:r>
      <w:r w:rsidRPr="00B81A2B">
        <w:rPr>
          <w:rFonts w:ascii="Palatino Linotype" w:hAnsi="Palatino Linotype" w:cs="Arial"/>
        </w:rPr>
        <w:t xml:space="preserve">mediante la información remitida en su informe justificado, en fecha </w:t>
      </w:r>
      <w:r>
        <w:rPr>
          <w:rFonts w:ascii="Palatino Linotype" w:hAnsi="Palatino Linotype" w:cs="Arial"/>
          <w:b/>
        </w:rPr>
        <w:t>dieciocho de marzo de dos mil veinticinco</w:t>
      </w:r>
      <w:r w:rsidRPr="00B81A2B">
        <w:rPr>
          <w:rFonts w:ascii="Palatino Linotype" w:hAnsi="Palatino Linotype" w:cs="Arial"/>
        </w:rPr>
        <w:t>.</w:t>
      </w:r>
    </w:p>
    <w:p w14:paraId="433D931E" w14:textId="77777777" w:rsidR="00656299" w:rsidRPr="00A82E18" w:rsidRDefault="00656299" w:rsidP="00656299">
      <w:pPr>
        <w:pStyle w:val="Sinespaciado"/>
      </w:pPr>
    </w:p>
    <w:p w14:paraId="2C41BA32" w14:textId="77777777" w:rsidR="00656299" w:rsidRPr="00A82E18" w:rsidRDefault="00656299" w:rsidP="00656299">
      <w:pPr>
        <w:numPr>
          <w:ilvl w:val="0"/>
          <w:numId w:val="15"/>
        </w:numPr>
        <w:autoSpaceDE w:val="0"/>
        <w:autoSpaceDN w:val="0"/>
        <w:adjustRightInd w:val="0"/>
        <w:spacing w:after="0" w:line="360" w:lineRule="auto"/>
        <w:ind w:left="851" w:right="850" w:firstLine="10"/>
        <w:jc w:val="both"/>
        <w:rPr>
          <w:rFonts w:ascii="Palatino Linotype" w:eastAsia="Times New Roman" w:hAnsi="Palatino Linotype" w:cs="Arial"/>
          <w:sz w:val="24"/>
          <w:szCs w:val="24"/>
          <w:lang w:val="es-ES" w:eastAsia="es-ES"/>
        </w:rPr>
      </w:pPr>
      <w:r w:rsidRPr="00B81A2B">
        <w:rPr>
          <w:rFonts w:ascii="Palatino Linotype" w:eastAsia="Times New Roman" w:hAnsi="Palatino Linotype" w:cs="Arial"/>
          <w:sz w:val="24"/>
          <w:szCs w:val="24"/>
          <w:lang w:val="es-ES" w:eastAsia="es-ES"/>
        </w:rPr>
        <w:t xml:space="preserve">El recurso </w:t>
      </w:r>
      <w:r>
        <w:rPr>
          <w:rFonts w:ascii="Palatino Linotype" w:eastAsia="Times New Roman" w:hAnsi="Palatino Linotype" w:cs="Arial"/>
          <w:b/>
          <w:bCs/>
          <w:sz w:val="24"/>
          <w:szCs w:val="24"/>
        </w:rPr>
        <w:t>01775/INFOEM/IP/RR/2025</w:t>
      </w:r>
      <w:r>
        <w:rPr>
          <w:rFonts w:ascii="Palatino Linotype" w:eastAsia="Times New Roman" w:hAnsi="Palatino Linotype" w:cs="Arial"/>
          <w:bCs/>
          <w:sz w:val="24"/>
          <w:szCs w:val="24"/>
          <w:lang w:val="es-ES"/>
        </w:rPr>
        <w:t>,</w:t>
      </w:r>
      <w:r w:rsidRPr="00B81A2B">
        <w:rPr>
          <w:rFonts w:ascii="Palatino Linotype" w:eastAsia="Times New Roman" w:hAnsi="Palatino Linotype" w:cs="Arial"/>
          <w:sz w:val="24"/>
          <w:szCs w:val="24"/>
          <w:lang w:val="es-ES" w:eastAsia="es-ES"/>
        </w:rPr>
        <w:t xml:space="preserve"> no actualiza ninguna hipótesis de las inmersas en el numeral 179, de la Ley en materia vigente en la entidad.</w:t>
      </w:r>
      <w:r>
        <w:rPr>
          <w:rFonts w:ascii="Palatino Linotype" w:eastAsia="Times New Roman" w:hAnsi="Palatino Linotype" w:cs="Arial"/>
          <w:sz w:val="24"/>
          <w:szCs w:val="24"/>
          <w:lang w:val="es-ES" w:eastAsia="es-ES"/>
        </w:rPr>
        <w:t xml:space="preserve"> </w:t>
      </w:r>
    </w:p>
    <w:p w14:paraId="7090D0E6" w14:textId="77777777" w:rsidR="00656299" w:rsidRDefault="00656299" w:rsidP="00656299">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7EAB055B" w14:textId="77777777" w:rsidR="00656299" w:rsidRPr="008A0031" w:rsidRDefault="00656299" w:rsidP="00656299">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B81A2B">
        <w:rPr>
          <w:rFonts w:ascii="Palatino Linotype" w:eastAsia="Times New Roman" w:hAnsi="Palatino Linotype" w:cs="Times New Roman"/>
          <w:sz w:val="24"/>
          <w:szCs w:val="24"/>
          <w:lang w:val="es-ES" w:eastAsia="es-ES"/>
        </w:rPr>
        <w:t xml:space="preserve">Es importante resaltar a manera de analogía que la Suprema Corte de Justicia de la Nación mediante el número 2 de la Serie </w:t>
      </w:r>
      <w:r w:rsidRPr="00B81A2B">
        <w:rPr>
          <w:rFonts w:ascii="Palatino Linotype" w:eastAsia="Times New Roman" w:hAnsi="Palatino Linotype" w:cs="Times New Roman"/>
          <w:i/>
          <w:sz w:val="24"/>
          <w:szCs w:val="24"/>
          <w:lang w:val="es-ES" w:eastAsia="es-ES"/>
        </w:rPr>
        <w:t xml:space="preserve">Estudios Introductorios sobre el Juicio de Amparo </w:t>
      </w:r>
      <w:r w:rsidRPr="00B81A2B">
        <w:rPr>
          <w:rFonts w:ascii="Palatino Linotype" w:eastAsia="Times New Roman" w:hAnsi="Palatino Linotype" w:cs="Times New Roman"/>
          <w:sz w:val="24"/>
          <w:szCs w:val="24"/>
          <w:lang w:val="es-ES" w:eastAsia="es-ES"/>
        </w:rPr>
        <w:t xml:space="preserve">relativo a </w:t>
      </w:r>
      <w:r w:rsidRPr="00B81A2B">
        <w:rPr>
          <w:rFonts w:ascii="Palatino Linotype" w:eastAsia="Times New Roman" w:hAnsi="Palatino Linotype" w:cs="Times New Roman"/>
          <w:i/>
          <w:sz w:val="24"/>
          <w:szCs w:val="24"/>
          <w:lang w:val="es-ES" w:eastAsia="es-ES"/>
        </w:rPr>
        <w:t xml:space="preserve">LA IMPROCEDENCIA DE LA ACCIÓN DE AMPARO </w:t>
      </w:r>
      <w:r w:rsidRPr="00B81A2B">
        <w:rPr>
          <w:rFonts w:ascii="Palatino Linotype" w:eastAsia="Times New Roman" w:hAnsi="Palatino Linotype" w:cs="Times New Roman"/>
          <w:sz w:val="24"/>
          <w:szCs w:val="24"/>
          <w:lang w:val="es-ES" w:eastAsia="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B81A2B">
        <w:rPr>
          <w:rFonts w:ascii="Palatino Linotype" w:eastAsia="Times New Roman" w:hAnsi="Palatino Linotype" w:cs="Times New Roman"/>
          <w:b/>
          <w:sz w:val="24"/>
          <w:szCs w:val="24"/>
          <w:u w:val="single"/>
          <w:lang w:val="es-ES" w:eastAsia="es-ES"/>
        </w:rPr>
        <w:t>lo que generará que la demanda sea desechada; o bien, después de admitida la demanda, lo que tendrá como consecuencia que se sobresea en el juicio.</w:t>
      </w:r>
    </w:p>
    <w:p w14:paraId="01F9735E" w14:textId="77777777" w:rsidR="00656299" w:rsidRDefault="00656299" w:rsidP="00656299">
      <w:pPr>
        <w:pStyle w:val="Sinespaciado"/>
        <w:jc w:val="both"/>
      </w:pPr>
    </w:p>
    <w:p w14:paraId="59CB81A3" w14:textId="77777777" w:rsidR="00656299" w:rsidRDefault="00656299" w:rsidP="00656299">
      <w:pPr>
        <w:pStyle w:val="Sinespaciado"/>
        <w:jc w:val="both"/>
      </w:pPr>
    </w:p>
    <w:p w14:paraId="6F3935A9" w14:textId="77777777" w:rsidR="00656299" w:rsidRPr="008729D0" w:rsidRDefault="00656299" w:rsidP="00656299">
      <w:pPr>
        <w:autoSpaceDE w:val="0"/>
        <w:autoSpaceDN w:val="0"/>
        <w:adjustRightInd w:val="0"/>
        <w:spacing w:before="240" w:after="240" w:line="360" w:lineRule="auto"/>
        <w:jc w:val="both"/>
        <w:rPr>
          <w:rFonts w:ascii="Palatino Linotype" w:eastAsia="Times New Roman" w:hAnsi="Palatino Linotype" w:cs="Times New Roman"/>
          <w:sz w:val="24"/>
          <w:szCs w:val="24"/>
          <w:lang w:val="es-ES" w:eastAsia="es-ES"/>
        </w:rPr>
      </w:pPr>
      <w:r w:rsidRPr="008A0031">
        <w:rPr>
          <w:rFonts w:ascii="Palatino Linotype" w:eastAsia="Times New Roman" w:hAnsi="Palatino Linotype" w:cs="Times New Roman"/>
          <w:sz w:val="24"/>
          <w:szCs w:val="24"/>
          <w:lang w:val="es-ES" w:eastAsia="es-ES"/>
        </w:rPr>
        <w:t xml:space="preserve">Por lo tanto, en mérito de lo expuesto en líneas anteriores, </w:t>
      </w:r>
      <w:r w:rsidRPr="008A0031">
        <w:rPr>
          <w:rFonts w:ascii="Palatino Linotype" w:eastAsia="Times New Roman" w:hAnsi="Palatino Linotype" w:cs="Arial"/>
          <w:b/>
          <w:sz w:val="24"/>
          <w:szCs w:val="24"/>
          <w:lang w:val="es-ES" w:eastAsia="es-ES"/>
        </w:rPr>
        <w:t>c</w:t>
      </w:r>
      <w:r>
        <w:rPr>
          <w:rFonts w:ascii="Palatino Linotype" w:eastAsia="Times New Roman" w:hAnsi="Palatino Linotype" w:cs="Arial"/>
          <w:b/>
          <w:sz w:val="24"/>
          <w:szCs w:val="24"/>
          <w:lang w:val="es-ES" w:eastAsia="es-ES"/>
        </w:rPr>
        <w:t>on fundamento en la fracción V</w:t>
      </w:r>
      <w:r w:rsidRPr="008A0031">
        <w:rPr>
          <w:rFonts w:ascii="Palatino Linotype" w:eastAsia="Times New Roman" w:hAnsi="Palatino Linotype" w:cs="Arial"/>
          <w:b/>
          <w:sz w:val="24"/>
          <w:szCs w:val="24"/>
          <w:lang w:val="es-ES" w:eastAsia="es-ES"/>
        </w:rPr>
        <w:t xml:space="preserve"> del artículo 192, </w:t>
      </w:r>
      <w:r w:rsidRPr="008A0031">
        <w:rPr>
          <w:rFonts w:ascii="Palatino Linotype" w:eastAsia="Times New Roman" w:hAnsi="Palatino Linotype" w:cs="Arial"/>
          <w:sz w:val="24"/>
          <w:szCs w:val="24"/>
          <w:lang w:val="es-ES" w:eastAsia="es-ES"/>
        </w:rPr>
        <w:t xml:space="preserve">de la Ley de Transparencia y Acceso a la Información </w:t>
      </w:r>
      <w:r w:rsidRPr="008A0031">
        <w:rPr>
          <w:rFonts w:ascii="Palatino Linotype" w:eastAsia="Times New Roman" w:hAnsi="Palatino Linotype" w:cs="Arial"/>
          <w:sz w:val="24"/>
          <w:szCs w:val="24"/>
          <w:lang w:val="es-ES" w:eastAsia="es-ES"/>
        </w:rPr>
        <w:lastRenderedPageBreak/>
        <w:t xml:space="preserve">Pública del Estado de México y Municipios, se </w:t>
      </w:r>
      <w:r w:rsidRPr="008A0031">
        <w:rPr>
          <w:rFonts w:ascii="Palatino Linotype" w:eastAsia="Times New Roman" w:hAnsi="Palatino Linotype" w:cs="Arial"/>
          <w:b/>
          <w:sz w:val="24"/>
          <w:szCs w:val="24"/>
          <w:lang w:val="es-ES" w:eastAsia="es-ES"/>
        </w:rPr>
        <w:t xml:space="preserve">SOBRESEE </w:t>
      </w:r>
      <w:r w:rsidRPr="008A0031">
        <w:rPr>
          <w:rFonts w:ascii="Palatino Linotype" w:eastAsia="Times New Roman" w:hAnsi="Palatino Linotype" w:cs="Arial"/>
          <w:sz w:val="24"/>
          <w:szCs w:val="24"/>
          <w:lang w:val="es-ES" w:eastAsia="es-ES"/>
        </w:rPr>
        <w:t xml:space="preserve">el recurso de revisión </w:t>
      </w:r>
      <w:r>
        <w:rPr>
          <w:rFonts w:ascii="Palatino Linotype" w:eastAsia="Times New Roman" w:hAnsi="Palatino Linotype" w:cs="Arial"/>
          <w:b/>
          <w:sz w:val="24"/>
          <w:szCs w:val="24"/>
          <w:lang w:val="es-ES" w:eastAsia="es-ES"/>
        </w:rPr>
        <w:t>01775/INFOEM/IP/RR/2025</w:t>
      </w:r>
      <w:r w:rsidRPr="008A0031">
        <w:rPr>
          <w:rFonts w:ascii="Palatino Linotype" w:eastAsia="Times New Roman" w:hAnsi="Palatino Linotype" w:cs="Arial"/>
          <w:sz w:val="24"/>
          <w:szCs w:val="24"/>
          <w:lang w:val="es-ES" w:eastAsia="es-ES"/>
        </w:rPr>
        <w:t>,</w:t>
      </w:r>
      <w:r w:rsidRPr="008A0031">
        <w:rPr>
          <w:rFonts w:ascii="Palatino Linotype" w:eastAsia="Times New Roman" w:hAnsi="Palatino Linotype" w:cs="Times New Roman"/>
          <w:sz w:val="24"/>
          <w:szCs w:val="24"/>
          <w:lang w:val="es-ES" w:eastAsia="es-ES"/>
        </w:rPr>
        <w:t xml:space="preserve"> que ha sido materia del presente fallo.</w:t>
      </w:r>
    </w:p>
    <w:p w14:paraId="00CC9760" w14:textId="77777777" w:rsidR="00656299" w:rsidRPr="002C3EC8" w:rsidRDefault="00656299" w:rsidP="00656299">
      <w:pPr>
        <w:spacing w:after="0" w:line="360" w:lineRule="auto"/>
        <w:jc w:val="both"/>
        <w:rPr>
          <w:rFonts w:ascii="Palatino Linotype" w:eastAsia="Times New Roman" w:hAnsi="Palatino Linotype" w:cs="Times New Roman"/>
          <w:sz w:val="24"/>
          <w:szCs w:val="24"/>
          <w:lang w:eastAsia="es-ES"/>
        </w:rPr>
      </w:pPr>
      <w:r w:rsidRPr="002C3EC8">
        <w:rPr>
          <w:rFonts w:ascii="Palatino Linotype" w:eastAsia="Times New Roman" w:hAnsi="Palatino Linotype" w:cs="Times New Roman"/>
          <w:sz w:val="24"/>
          <w:szCs w:val="24"/>
          <w:lang w:eastAsia="es-ES"/>
        </w:rPr>
        <w:t>Por lo antes expuesto y fundado es de resolverse y,</w:t>
      </w:r>
    </w:p>
    <w:p w14:paraId="43D7DE78" w14:textId="77777777" w:rsidR="00656299" w:rsidRDefault="00656299" w:rsidP="00656299">
      <w:pPr>
        <w:spacing w:line="360" w:lineRule="auto"/>
        <w:contextualSpacing/>
        <w:jc w:val="both"/>
        <w:rPr>
          <w:rFonts w:ascii="Palatino Linotype" w:eastAsia="MS Mincho" w:hAnsi="Palatino Linotype"/>
        </w:rPr>
      </w:pPr>
    </w:p>
    <w:p w14:paraId="4B7E7BF5" w14:textId="77777777" w:rsidR="00656299" w:rsidRDefault="00656299" w:rsidP="00656299">
      <w:pPr>
        <w:spacing w:line="360" w:lineRule="auto"/>
        <w:contextualSpacing/>
        <w:jc w:val="both"/>
        <w:rPr>
          <w:rFonts w:ascii="Palatino Linotype" w:eastAsia="MS Mincho" w:hAnsi="Palatino Linotype"/>
        </w:rPr>
      </w:pPr>
    </w:p>
    <w:p w14:paraId="4E664D8E" w14:textId="77777777" w:rsidR="00656299" w:rsidRPr="002C3EC8" w:rsidRDefault="00656299" w:rsidP="00656299">
      <w:pPr>
        <w:spacing w:line="360" w:lineRule="auto"/>
        <w:contextualSpacing/>
        <w:jc w:val="both"/>
        <w:rPr>
          <w:rFonts w:ascii="Palatino Linotype" w:eastAsia="MS Mincho" w:hAnsi="Palatino Linotype"/>
        </w:rPr>
      </w:pPr>
    </w:p>
    <w:p w14:paraId="45BA1B79" w14:textId="77777777" w:rsidR="00656299" w:rsidRPr="002C3EC8" w:rsidRDefault="00656299" w:rsidP="00656299">
      <w:pPr>
        <w:spacing w:before="240" w:after="240" w:line="360" w:lineRule="auto"/>
        <w:jc w:val="center"/>
        <w:rPr>
          <w:rFonts w:ascii="Palatino Linotype" w:hAnsi="Palatino Linotype"/>
          <w:b/>
          <w:spacing w:val="60"/>
          <w:sz w:val="28"/>
          <w:szCs w:val="24"/>
        </w:rPr>
      </w:pPr>
      <w:r w:rsidRPr="002C3EC8">
        <w:rPr>
          <w:rFonts w:ascii="Palatino Linotype" w:hAnsi="Palatino Linotype"/>
          <w:b/>
          <w:spacing w:val="60"/>
          <w:sz w:val="28"/>
          <w:szCs w:val="24"/>
        </w:rPr>
        <w:t>S E RESUELVE</w:t>
      </w:r>
    </w:p>
    <w:p w14:paraId="0FBCD776" w14:textId="77777777" w:rsidR="00656299" w:rsidRPr="004721CD" w:rsidRDefault="00656299" w:rsidP="00656299">
      <w:pPr>
        <w:spacing w:after="240" w:line="360" w:lineRule="auto"/>
        <w:jc w:val="both"/>
        <w:rPr>
          <w:rFonts w:ascii="Palatino Linotype" w:eastAsiaTheme="minorEastAsia" w:hAnsi="Palatino Linotype"/>
          <w:sz w:val="24"/>
          <w:lang w:val="es-ES_tradnl"/>
        </w:rPr>
      </w:pPr>
      <w:r w:rsidRPr="00681AE0">
        <w:rPr>
          <w:rFonts w:ascii="Palatino Linotype" w:hAnsi="Palatino Linotype"/>
          <w:b/>
          <w:bCs/>
          <w:sz w:val="28"/>
          <w:szCs w:val="28"/>
        </w:rPr>
        <w:t>PRIMERO</w:t>
      </w:r>
      <w:r w:rsidRPr="005F00C7">
        <w:rPr>
          <w:rFonts w:ascii="Palatino Linotype" w:hAnsi="Palatino Linotype"/>
        </w:rPr>
        <w:t xml:space="preserve">. </w:t>
      </w:r>
      <w:r w:rsidRPr="004721CD">
        <w:rPr>
          <w:rFonts w:ascii="Palatino Linotype" w:hAnsi="Palatino Linotype"/>
          <w:sz w:val="24"/>
        </w:rPr>
        <w:t xml:space="preserve">Se </w:t>
      </w:r>
      <w:r w:rsidRPr="004721CD">
        <w:rPr>
          <w:rFonts w:ascii="Palatino Linotype" w:hAnsi="Palatino Linotype"/>
          <w:b/>
          <w:sz w:val="24"/>
        </w:rPr>
        <w:t xml:space="preserve">SOBRESEE el </w:t>
      </w:r>
      <w:r w:rsidRPr="004721CD">
        <w:rPr>
          <w:rFonts w:ascii="Palatino Linotype" w:hAnsi="Palatino Linotype"/>
          <w:sz w:val="24"/>
        </w:rPr>
        <w:t xml:space="preserve">recurso de revisión número </w:t>
      </w:r>
      <w:r>
        <w:rPr>
          <w:rFonts w:ascii="Palatino Linotype" w:hAnsi="Palatino Linotype"/>
          <w:b/>
          <w:bCs/>
          <w:sz w:val="24"/>
        </w:rPr>
        <w:t>01775/INFOEM/IP/RR/2025</w:t>
      </w:r>
      <w:r w:rsidRPr="004721CD">
        <w:rPr>
          <w:rFonts w:ascii="Palatino Linotype" w:hAnsi="Palatino Linotype"/>
          <w:sz w:val="24"/>
        </w:rPr>
        <w:t xml:space="preserve">, </w:t>
      </w:r>
      <w:r w:rsidRPr="004721CD">
        <w:rPr>
          <w:rFonts w:ascii="Palatino Linotype" w:hAnsi="Palatino Linotype" w:cs="Arial"/>
          <w:b/>
          <w:bCs/>
          <w:sz w:val="24"/>
          <w:lang w:val="es-ES_tradnl"/>
        </w:rPr>
        <w:t>por quedarse sin materia</w:t>
      </w:r>
      <w:r w:rsidRPr="004721CD">
        <w:rPr>
          <w:rFonts w:ascii="Palatino Linotype" w:hAnsi="Palatino Linotype" w:cs="Arial"/>
          <w:sz w:val="24"/>
          <w:lang w:val="es-ES_tradnl"/>
        </w:rPr>
        <w:t xml:space="preserve"> en términos del artículo 192 fracción V de la Ley de Transparencia y Acceso a la Información Pública del Estado de México y Municipios y </w:t>
      </w:r>
      <w:r w:rsidRPr="004721CD">
        <w:rPr>
          <w:rFonts w:ascii="Palatino Linotype" w:eastAsiaTheme="minorEastAsia" w:hAnsi="Palatino Linotype"/>
          <w:sz w:val="24"/>
          <w:lang w:val="es-ES_tradnl"/>
        </w:rPr>
        <w:t xml:space="preserve">del Considerando </w:t>
      </w:r>
      <w:r w:rsidR="00E9621D">
        <w:rPr>
          <w:rFonts w:ascii="Palatino Linotype" w:eastAsiaTheme="minorEastAsia" w:hAnsi="Palatino Linotype"/>
          <w:b/>
          <w:sz w:val="24"/>
          <w:lang w:val="es-ES_tradnl"/>
        </w:rPr>
        <w:t>CUARTO</w:t>
      </w:r>
      <w:r w:rsidRPr="004721CD">
        <w:rPr>
          <w:rFonts w:ascii="Palatino Linotype" w:eastAsiaTheme="minorEastAsia" w:hAnsi="Palatino Linotype"/>
          <w:sz w:val="24"/>
          <w:lang w:val="es-ES_tradnl"/>
        </w:rPr>
        <w:t xml:space="preserve"> </w:t>
      </w:r>
      <w:r w:rsidRPr="004721CD">
        <w:rPr>
          <w:rFonts w:ascii="Palatino Linotype" w:hAnsi="Palatino Linotype"/>
          <w:sz w:val="24"/>
        </w:rPr>
        <w:t xml:space="preserve">de la presente resolución. </w:t>
      </w:r>
    </w:p>
    <w:p w14:paraId="5AA28FED" w14:textId="77777777" w:rsidR="00656299" w:rsidRPr="005F00C7" w:rsidRDefault="00656299" w:rsidP="00656299">
      <w:pPr>
        <w:spacing w:line="360" w:lineRule="auto"/>
        <w:jc w:val="both"/>
        <w:rPr>
          <w:rFonts w:ascii="Palatino Linotype" w:hAnsi="Palatino Linotype" w:cs="Arial"/>
        </w:rPr>
      </w:pPr>
    </w:p>
    <w:p w14:paraId="29784A92" w14:textId="77777777" w:rsidR="00656299" w:rsidRPr="005F00C7" w:rsidRDefault="00656299" w:rsidP="00656299">
      <w:pPr>
        <w:spacing w:line="360" w:lineRule="auto"/>
        <w:jc w:val="both"/>
        <w:rPr>
          <w:rFonts w:ascii="Palatino Linotype" w:hAnsi="Palatino Linotype" w:cs="Arial"/>
        </w:rPr>
      </w:pPr>
      <w:r w:rsidRPr="00681AE0">
        <w:rPr>
          <w:rFonts w:ascii="Palatino Linotype" w:hAnsi="Palatino Linotype" w:cs="Arial"/>
          <w:b/>
          <w:sz w:val="28"/>
          <w:szCs w:val="28"/>
        </w:rPr>
        <w:t>SEGUNDO.</w:t>
      </w:r>
      <w:r w:rsidRPr="005F00C7">
        <w:rPr>
          <w:rFonts w:ascii="Palatino Linotype" w:hAnsi="Palatino Linotype" w:cs="Arial"/>
        </w:rPr>
        <w:t xml:space="preserve"> </w:t>
      </w:r>
      <w:r w:rsidRPr="004721CD">
        <w:rPr>
          <w:rFonts w:ascii="Palatino Linotype" w:hAnsi="Palatino Linotype" w:cs="Arial"/>
          <w:b/>
          <w:sz w:val="24"/>
        </w:rPr>
        <w:t>Notifíquese</w:t>
      </w:r>
      <w:r w:rsidRPr="004721CD">
        <w:rPr>
          <w:rFonts w:ascii="Palatino Linotype" w:hAnsi="Palatino Linotype" w:cs="Arial"/>
          <w:sz w:val="24"/>
        </w:rPr>
        <w:t xml:space="preserve"> la presente resolución al Titular de la Unidad de Transparencia del Sujeto Obligado mediante el Sistema de Acceso a la Información Mexiquense (SAIMEX).</w:t>
      </w:r>
    </w:p>
    <w:p w14:paraId="06D183DB" w14:textId="77777777" w:rsidR="00656299" w:rsidRPr="005F00C7" w:rsidRDefault="00656299" w:rsidP="00656299">
      <w:pPr>
        <w:spacing w:line="360" w:lineRule="auto"/>
        <w:jc w:val="both"/>
        <w:rPr>
          <w:rFonts w:ascii="Palatino Linotype" w:hAnsi="Palatino Linotype" w:cs="Arial"/>
        </w:rPr>
      </w:pPr>
    </w:p>
    <w:p w14:paraId="2EBC209B" w14:textId="77777777" w:rsidR="00656299" w:rsidRPr="00195D3C" w:rsidRDefault="00656299" w:rsidP="00656299">
      <w:pPr>
        <w:spacing w:line="360" w:lineRule="auto"/>
        <w:contextualSpacing/>
        <w:jc w:val="both"/>
        <w:rPr>
          <w:rFonts w:ascii="Palatino Linotype" w:hAnsi="Palatino Linotype" w:cs="Arial"/>
        </w:rPr>
      </w:pPr>
      <w:r w:rsidRPr="00681AE0">
        <w:rPr>
          <w:rFonts w:ascii="Palatino Linotype" w:hAnsi="Palatino Linotype" w:cs="Arial"/>
          <w:b/>
          <w:sz w:val="28"/>
          <w:szCs w:val="28"/>
        </w:rPr>
        <w:t>TERCERO.</w:t>
      </w:r>
      <w:r w:rsidRPr="005F00C7">
        <w:rPr>
          <w:rFonts w:ascii="Palatino Linotype" w:hAnsi="Palatino Linotype" w:cs="Arial"/>
          <w:b/>
        </w:rPr>
        <w:t xml:space="preserve"> </w:t>
      </w:r>
      <w:r w:rsidRPr="004721CD">
        <w:rPr>
          <w:rFonts w:ascii="Palatino Linotype" w:hAnsi="Palatino Linotype" w:cs="Arial"/>
          <w:b/>
          <w:sz w:val="24"/>
        </w:rPr>
        <w:t>Notifíquese</w:t>
      </w:r>
      <w:r w:rsidRPr="004721CD">
        <w:rPr>
          <w:rFonts w:ascii="Palatino Linotype" w:hAnsi="Palatino Linotype" w:cs="Arial"/>
          <w:sz w:val="24"/>
        </w:rPr>
        <w:t xml:space="preserve"> la presente resolución al </w:t>
      </w:r>
      <w:r w:rsidRPr="004721CD">
        <w:rPr>
          <w:rFonts w:ascii="Palatino Linotype" w:hAnsi="Palatino Linotype" w:cs="Arial"/>
          <w:b/>
          <w:bCs/>
          <w:sz w:val="24"/>
        </w:rPr>
        <w:t>Recurrente</w:t>
      </w:r>
      <w:r w:rsidRPr="004721CD">
        <w:rPr>
          <w:rFonts w:ascii="Palatino Linotype" w:hAnsi="Palatino Linotype"/>
          <w:sz w:val="24"/>
        </w:rPr>
        <w:t xml:space="preserve"> </w:t>
      </w:r>
      <w:r w:rsidRPr="004721CD">
        <w:rPr>
          <w:rFonts w:ascii="Palatino Linotype" w:hAnsi="Palatino Linotype" w:cs="Arial"/>
          <w:sz w:val="24"/>
        </w:rPr>
        <w:t xml:space="preserve">a través del Sistema de Acceso a la Información Mexiquense (SAIMEX), y hágase de su conocimiento que, en caso de considerar que la misma le causa algún perjuicio, podrá promover el Juicio de Amparo en los términos de las leyes aplicables, de acuerdo con lo estipulado por el </w:t>
      </w:r>
      <w:r w:rsidRPr="004721CD">
        <w:rPr>
          <w:rFonts w:ascii="Palatino Linotype" w:hAnsi="Palatino Linotype" w:cs="Arial"/>
          <w:sz w:val="24"/>
        </w:rPr>
        <w:lastRenderedPageBreak/>
        <w:t>artículo 196 de la Ley de Transparencia y Acceso a la Información Pública del Estado de México y Municipios.</w:t>
      </w:r>
    </w:p>
    <w:p w14:paraId="023BAF0E"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46B77045"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65AEC27" w14:textId="502EB0D0" w:rsidR="00D2150D" w:rsidRDefault="00D2150D" w:rsidP="00D2150D">
      <w:pPr>
        <w:spacing w:after="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E9621D">
        <w:rPr>
          <w:rFonts w:ascii="Palatino Linotype" w:eastAsia="Palatino Linotype" w:hAnsi="Palatino Linotype" w:cs="Palatino Linotype"/>
          <w:sz w:val="24"/>
          <w:szCs w:val="24"/>
        </w:rPr>
        <w:t xml:space="preserve">DÉCIMO </w:t>
      </w:r>
      <w:r w:rsidR="005F595E">
        <w:rPr>
          <w:rFonts w:ascii="Palatino Linotype" w:eastAsia="Palatino Linotype" w:hAnsi="Palatino Linotype" w:cs="Palatino Linotype"/>
          <w:sz w:val="24"/>
          <w:szCs w:val="24"/>
        </w:rPr>
        <w:t>SEGUNDA</w:t>
      </w:r>
      <w:r w:rsidR="00575FD5">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SESIÓN ORDINARIA CELEBRADA EL </w:t>
      </w:r>
      <w:r w:rsidR="005F595E">
        <w:rPr>
          <w:rFonts w:ascii="Palatino Linotype" w:eastAsia="Palatino Linotype" w:hAnsi="Palatino Linotype" w:cs="Palatino Linotype"/>
          <w:sz w:val="24"/>
          <w:szCs w:val="24"/>
        </w:rPr>
        <w:t>DOS DE ABRIL</w:t>
      </w:r>
      <w:r>
        <w:rPr>
          <w:rFonts w:ascii="Palatino Linotype" w:eastAsia="Palatino Linotype" w:hAnsi="Palatino Linotype" w:cs="Palatino Linotype"/>
          <w:sz w:val="24"/>
          <w:szCs w:val="24"/>
        </w:rPr>
        <w:t xml:space="preserve"> DE DOS MIL VEINTICINCO, ANTE EL SECRETARIO TÉCNICO DEL PLENO, ALEXIS TAPIA RAMÍREZ. ------------------------------------------------------------------------------------------------------------------------------------------------------------------------------------------------------------------------------------------------------------------------------------------------------------------------------------</w:t>
      </w:r>
      <w:r w:rsidR="00F04579">
        <w:rPr>
          <w:rFonts w:ascii="Palatino Linotype" w:eastAsia="Palatino Linotype" w:hAnsi="Palatino Linotype" w:cs="Palatino Linotype"/>
          <w:sz w:val="24"/>
          <w:szCs w:val="24"/>
        </w:rPr>
        <w:t>----------------------------------------------------------------------------------------------------------------------------------------------------------------------------------------------------------------------------------------------------------------------------------------------------------------------------------------------------------------------------------------------------------------------------------------------------------------------------------------------------------------------------------------------------------------------------------------------------------------------------------------------------------------------------------------------------------------------------------------------------------------------------------------------------------------------------------------------------------------------------------------------------------------------------------------</w:t>
      </w:r>
    </w:p>
    <w:p w14:paraId="6922398E" w14:textId="77777777" w:rsidR="00D2150D" w:rsidRPr="00D2150D" w:rsidRDefault="00A44305" w:rsidP="00D2150D">
      <w:pPr>
        <w:spacing w:after="0" w:line="360" w:lineRule="auto"/>
        <w:jc w:val="both"/>
        <w:rPr>
          <w:rFonts w:ascii="Palatino Linotype" w:eastAsia="Palatino Linotype" w:hAnsi="Palatino Linotype" w:cs="Palatino Linotype"/>
          <w:sz w:val="16"/>
          <w:szCs w:val="20"/>
        </w:rPr>
      </w:pPr>
      <w:r>
        <w:rPr>
          <w:rFonts w:ascii="Palatino Linotype" w:eastAsia="Palatino Linotype" w:hAnsi="Palatino Linotype" w:cs="Palatino Linotype"/>
          <w:sz w:val="16"/>
          <w:szCs w:val="20"/>
        </w:rPr>
        <w:t>JMV/CCR/</w:t>
      </w:r>
      <w:r w:rsidR="00183C2D">
        <w:rPr>
          <w:rFonts w:ascii="Palatino Linotype" w:eastAsia="Palatino Linotype" w:hAnsi="Palatino Linotype" w:cs="Palatino Linotype"/>
          <w:sz w:val="16"/>
          <w:szCs w:val="20"/>
        </w:rPr>
        <w:t>LMST</w:t>
      </w:r>
    </w:p>
    <w:p w14:paraId="6106EEED"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6208DAFA"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08C5A3B5" w14:textId="77777777" w:rsidR="00D2150D" w:rsidRDefault="00D2150D" w:rsidP="00D2150D">
      <w:pPr>
        <w:spacing w:after="0" w:line="360" w:lineRule="auto"/>
        <w:jc w:val="both"/>
        <w:rPr>
          <w:rFonts w:ascii="Palatino Linotype" w:eastAsia="Palatino Linotype" w:hAnsi="Palatino Linotype" w:cs="Palatino Linotype"/>
          <w:sz w:val="24"/>
          <w:szCs w:val="24"/>
        </w:rPr>
      </w:pPr>
    </w:p>
    <w:p w14:paraId="21260609" w14:textId="77777777" w:rsidR="00D2150D" w:rsidRDefault="00D2150D" w:rsidP="00D2150D">
      <w:pPr>
        <w:spacing w:after="0"/>
        <w:rPr>
          <w:rFonts w:ascii="Palatino Linotype" w:eastAsia="Palatino Linotype" w:hAnsi="Palatino Linotype" w:cs="Palatino Linotype"/>
        </w:rPr>
      </w:pPr>
    </w:p>
    <w:p w14:paraId="4AC25259" w14:textId="77777777" w:rsidR="00D2150D" w:rsidRDefault="00D2150D" w:rsidP="00D2150D">
      <w:pPr>
        <w:spacing w:after="0"/>
        <w:rPr>
          <w:rFonts w:ascii="Palatino Linotype" w:eastAsia="Palatino Linotype" w:hAnsi="Palatino Linotype" w:cs="Palatino Linotype"/>
        </w:rPr>
      </w:pPr>
    </w:p>
    <w:p w14:paraId="1BDDFA53" w14:textId="77777777" w:rsidR="00D2150D" w:rsidRDefault="00D2150D" w:rsidP="00D2150D">
      <w:pPr>
        <w:spacing w:after="0"/>
        <w:rPr>
          <w:rFonts w:ascii="Palatino Linotype" w:eastAsia="Palatino Linotype" w:hAnsi="Palatino Linotype" w:cs="Palatino Linotype"/>
        </w:rPr>
      </w:pPr>
    </w:p>
    <w:p w14:paraId="2DD8FB66" w14:textId="77777777" w:rsidR="00D2150D" w:rsidRDefault="00D2150D" w:rsidP="00D2150D">
      <w:pPr>
        <w:spacing w:after="0"/>
        <w:rPr>
          <w:rFonts w:ascii="Palatino Linotype" w:eastAsia="Palatino Linotype" w:hAnsi="Palatino Linotype" w:cs="Palatino Linotype"/>
        </w:rPr>
      </w:pPr>
    </w:p>
    <w:p w14:paraId="78314933" w14:textId="77777777" w:rsidR="00D2150D" w:rsidRDefault="00D2150D" w:rsidP="00D2150D">
      <w:pPr>
        <w:spacing w:after="0"/>
        <w:rPr>
          <w:rFonts w:ascii="Palatino Linotype" w:eastAsia="Palatino Linotype" w:hAnsi="Palatino Linotype" w:cs="Palatino Linotype"/>
        </w:rPr>
      </w:pPr>
    </w:p>
    <w:p w14:paraId="15D21EDE" w14:textId="77777777" w:rsidR="00D2150D" w:rsidRDefault="00D2150D" w:rsidP="00D2150D">
      <w:pPr>
        <w:spacing w:after="0"/>
        <w:rPr>
          <w:rFonts w:ascii="Palatino Linotype" w:eastAsia="Palatino Linotype" w:hAnsi="Palatino Linotype" w:cs="Palatino Linotype"/>
        </w:rPr>
      </w:pPr>
    </w:p>
    <w:p w14:paraId="38F6EF82" w14:textId="77777777" w:rsidR="00D2150D" w:rsidRDefault="00D2150D" w:rsidP="00D2150D">
      <w:pPr>
        <w:spacing w:after="0"/>
        <w:rPr>
          <w:rFonts w:ascii="Palatino Linotype" w:eastAsia="Palatino Linotype" w:hAnsi="Palatino Linotype" w:cs="Palatino Linotype"/>
        </w:rPr>
      </w:pPr>
    </w:p>
    <w:p w14:paraId="744F254A" w14:textId="77777777" w:rsidR="00D2150D" w:rsidRDefault="00D2150D" w:rsidP="00D2150D">
      <w:pPr>
        <w:spacing w:after="0"/>
        <w:rPr>
          <w:rFonts w:ascii="Palatino Linotype" w:eastAsia="Palatino Linotype" w:hAnsi="Palatino Linotype" w:cs="Palatino Linotype"/>
        </w:rPr>
      </w:pPr>
    </w:p>
    <w:p w14:paraId="1B568AA3" w14:textId="77777777" w:rsidR="00D2150D" w:rsidRDefault="00D2150D" w:rsidP="00D2150D">
      <w:pPr>
        <w:spacing w:after="0"/>
        <w:rPr>
          <w:rFonts w:ascii="Palatino Linotype" w:eastAsia="Palatino Linotype" w:hAnsi="Palatino Linotype" w:cs="Palatino Linotype"/>
        </w:rPr>
      </w:pPr>
    </w:p>
    <w:p w14:paraId="62114157" w14:textId="77777777" w:rsidR="00D2150D" w:rsidRDefault="00D2150D" w:rsidP="00D2150D">
      <w:pPr>
        <w:spacing w:after="0"/>
        <w:rPr>
          <w:rFonts w:ascii="Palatino Linotype" w:eastAsia="Palatino Linotype" w:hAnsi="Palatino Linotype" w:cs="Palatino Linotype"/>
        </w:rPr>
      </w:pPr>
    </w:p>
    <w:p w14:paraId="4B04944D" w14:textId="77777777" w:rsidR="00D2150D" w:rsidRDefault="00D2150D" w:rsidP="00D2150D">
      <w:pPr>
        <w:spacing w:after="0"/>
      </w:pPr>
    </w:p>
    <w:p w14:paraId="09BA24D1" w14:textId="77777777" w:rsidR="00D2150D" w:rsidRDefault="00D2150D" w:rsidP="00D2150D"/>
    <w:p w14:paraId="45232D68" w14:textId="77777777" w:rsidR="00D2150D" w:rsidRDefault="00D2150D" w:rsidP="00D2150D"/>
    <w:p w14:paraId="7191D38F" w14:textId="77777777" w:rsidR="00D2150D" w:rsidRDefault="00D2150D" w:rsidP="00D2150D"/>
    <w:p w14:paraId="026DFA8E" w14:textId="77777777" w:rsidR="00D2150D" w:rsidRDefault="00D2150D" w:rsidP="00D2150D"/>
    <w:p w14:paraId="5031D8C0" w14:textId="77777777" w:rsidR="00D2150D" w:rsidRDefault="00D2150D" w:rsidP="00D2150D"/>
    <w:p w14:paraId="23551C50" w14:textId="77777777" w:rsidR="00D2150D" w:rsidRDefault="00D2150D" w:rsidP="00D2150D"/>
    <w:p w14:paraId="132BFC63" w14:textId="77777777" w:rsidR="00D2150D" w:rsidRDefault="00D2150D" w:rsidP="00D2150D"/>
    <w:p w14:paraId="197E14D8" w14:textId="77777777" w:rsidR="00D2150D" w:rsidRDefault="00D2150D" w:rsidP="00D2150D"/>
    <w:p w14:paraId="14F262C3" w14:textId="77777777" w:rsidR="00D2150D" w:rsidRDefault="00D2150D" w:rsidP="00D2150D"/>
    <w:p w14:paraId="31C38079" w14:textId="77777777" w:rsidR="00D2150D" w:rsidRDefault="00D2150D" w:rsidP="00D2150D"/>
    <w:p w14:paraId="34246D30" w14:textId="77777777" w:rsidR="00D2150D" w:rsidRDefault="00D2150D" w:rsidP="00D2150D"/>
    <w:p w14:paraId="320013A8" w14:textId="77777777" w:rsidR="00CE7FA7" w:rsidRDefault="00CE7FA7"/>
    <w:sectPr w:rsidR="00CE7FA7">
      <w:headerReference w:type="default" r:id="rId9"/>
      <w:footerReference w:type="default" r:id="rId10"/>
      <w:headerReference w:type="first" r:id="rId11"/>
      <w:footerReference w:type="first" r:id="rId12"/>
      <w:pgSz w:w="12240" w:h="15840"/>
      <w:pgMar w:top="1417" w:right="1467"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A73DA" w14:textId="77777777" w:rsidR="00656299" w:rsidRDefault="00656299" w:rsidP="00D2150D">
      <w:pPr>
        <w:spacing w:after="0" w:line="240" w:lineRule="auto"/>
      </w:pPr>
      <w:r>
        <w:separator/>
      </w:r>
    </w:p>
  </w:endnote>
  <w:endnote w:type="continuationSeparator" w:id="0">
    <w:p w14:paraId="71AA8691" w14:textId="77777777" w:rsidR="00656299" w:rsidRDefault="00656299" w:rsidP="00D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5049" w14:textId="77777777" w:rsidR="00656299" w:rsidRDefault="0065629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60B88">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60B88">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60EDBD6F" w14:textId="77777777" w:rsidR="00656299" w:rsidRDefault="0065629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5629" w14:textId="77777777" w:rsidR="00656299" w:rsidRDefault="00656299">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E60B8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E60B88">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14:paraId="2148626D" w14:textId="77777777" w:rsidR="00656299" w:rsidRDefault="0065629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6F2F8" w14:textId="77777777" w:rsidR="00656299" w:rsidRDefault="00656299" w:rsidP="00D2150D">
      <w:pPr>
        <w:spacing w:after="0" w:line="240" w:lineRule="auto"/>
      </w:pPr>
      <w:r>
        <w:separator/>
      </w:r>
    </w:p>
  </w:footnote>
  <w:footnote w:type="continuationSeparator" w:id="0">
    <w:p w14:paraId="56B85097" w14:textId="77777777" w:rsidR="00656299" w:rsidRDefault="00656299" w:rsidP="00D2150D">
      <w:pPr>
        <w:spacing w:after="0" w:line="240" w:lineRule="auto"/>
      </w:pPr>
      <w:r>
        <w:continuationSeparator/>
      </w:r>
    </w:p>
  </w:footnote>
  <w:footnote w:id="1">
    <w:p w14:paraId="58BA012B" w14:textId="77777777" w:rsidR="00656299" w:rsidRPr="00946E1F" w:rsidRDefault="00656299" w:rsidP="009354A8">
      <w:pPr>
        <w:spacing w:line="240" w:lineRule="auto"/>
        <w:jc w:val="both"/>
        <w:rPr>
          <w:rFonts w:ascii="Palatino Linotype" w:hAnsi="Palatino Linotype"/>
          <w:i/>
          <w:sz w:val="20"/>
          <w:szCs w:val="20"/>
        </w:rPr>
      </w:pPr>
      <w:r>
        <w:rPr>
          <w:rStyle w:val="Refdenotaalpie"/>
          <w:rFonts w:eastAsiaTheme="minorEastAsia"/>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r>
        <w:rPr>
          <w:rFonts w:ascii="Palatino Linotype" w:hAnsi="Palatino Linotype"/>
          <w:b/>
          <w:bCs/>
          <w:i/>
          <w:sz w:val="20"/>
          <w:szCs w:val="20"/>
        </w:rPr>
        <w:t xml:space="preserve"> </w:t>
      </w:r>
      <w:r w:rsidRPr="00946E1F">
        <w:rPr>
          <w:rFonts w:ascii="Palatino Linotype" w:hAnsi="Palatino Linotype"/>
          <w:i/>
          <w:sz w:val="20"/>
          <w:szCs w:val="20"/>
        </w:rPr>
        <w:t>Del examen de compatibilidad de los artículos</w:t>
      </w:r>
      <w:r>
        <w:rPr>
          <w:rFonts w:ascii="Palatino Linotype" w:hAnsi="Palatino Linotype"/>
          <w:i/>
          <w:sz w:val="20"/>
          <w:szCs w:val="20"/>
        </w:rPr>
        <w:t xml:space="preserve"> </w:t>
      </w:r>
      <w:hyperlink r:id="rId1" w:history="1">
        <w:r w:rsidRPr="00946E1F">
          <w:rPr>
            <w:rStyle w:val="Hipervnculo"/>
            <w:rFonts w:ascii="Palatino Linotype" w:hAnsi="Palatino Linotype"/>
            <w:i/>
            <w:sz w:val="20"/>
            <w:szCs w:val="20"/>
          </w:rPr>
          <w:t>73 y 74 de la Ley de Amparo</w:t>
        </w:r>
      </w:hyperlink>
      <w:r>
        <w:rPr>
          <w:rStyle w:val="apple-converted-space"/>
          <w:rFonts w:ascii="Palatino Linotype" w:hAnsi="Palatino Linotype"/>
          <w:i/>
        </w:rPr>
        <w:t xml:space="preserve"> </w:t>
      </w:r>
      <w:r w:rsidRPr="00946E1F">
        <w:rPr>
          <w:rFonts w:ascii="Palatino Linotype" w:hAnsi="Palatino Linotype"/>
          <w:i/>
          <w:sz w:val="20"/>
          <w:szCs w:val="20"/>
        </w:rPr>
        <w:t>con el artículo</w:t>
      </w:r>
      <w:r>
        <w:rPr>
          <w:rFonts w:ascii="Palatino Linotype" w:hAnsi="Palatino Linotype"/>
          <w:i/>
          <w:sz w:val="20"/>
          <w:szCs w:val="20"/>
        </w:rPr>
        <w:t xml:space="preserve"> </w:t>
      </w:r>
      <w:hyperlink r:id="rId2" w:history="1">
        <w:r w:rsidRPr="00946E1F">
          <w:rPr>
            <w:rStyle w:val="Hipervnculo"/>
            <w:rFonts w:ascii="Palatino Linotype" w:hAnsi="Palatino Linotype"/>
            <w:i/>
            <w:sz w:val="20"/>
            <w:szCs w:val="20"/>
          </w:rPr>
          <w:t>25.1 de la Convención Americana sobre Derechos Humanos</w:t>
        </w:r>
      </w:hyperlink>
      <w:r>
        <w:rPr>
          <w:rStyle w:val="apple-converted-space"/>
          <w:rFonts w:ascii="Palatino Linotype" w:hAnsi="Palatino Linotype"/>
          <w:i/>
        </w:rPr>
        <w:t xml:space="preserve">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D9C17" w14:textId="77777777" w:rsidR="00656299" w:rsidRDefault="00656299">
    <w:pPr>
      <w:widowControl w:val="0"/>
      <w:pBdr>
        <w:top w:val="nil"/>
        <w:left w:val="nil"/>
        <w:bottom w:val="nil"/>
        <w:right w:val="nil"/>
        <w:between w:val="nil"/>
      </w:pBdr>
      <w:spacing w:after="0" w:line="276" w:lineRule="auto"/>
    </w:pPr>
  </w:p>
  <w:tbl>
    <w:tblPr>
      <w:tblW w:w="10065" w:type="dxa"/>
      <w:tblInd w:w="-851" w:type="dxa"/>
      <w:tblLayout w:type="fixed"/>
      <w:tblLook w:val="0400" w:firstRow="0" w:lastRow="0" w:firstColumn="0" w:lastColumn="0" w:noHBand="0" w:noVBand="1"/>
    </w:tblPr>
    <w:tblGrid>
      <w:gridCol w:w="5246"/>
      <w:gridCol w:w="4819"/>
    </w:tblGrid>
    <w:tr w:rsidR="00656299" w14:paraId="128CC956" w14:textId="77777777">
      <w:trPr>
        <w:trHeight w:val="227"/>
      </w:trPr>
      <w:tc>
        <w:tcPr>
          <w:tcW w:w="5246" w:type="dxa"/>
        </w:tcPr>
        <w:p w14:paraId="2B69F75F" w14:textId="77777777" w:rsidR="00656299" w:rsidRDefault="00656299">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 N°:</w:t>
          </w:r>
        </w:p>
      </w:tc>
      <w:tc>
        <w:tcPr>
          <w:tcW w:w="4819" w:type="dxa"/>
        </w:tcPr>
        <w:p w14:paraId="1B43C943" w14:textId="77777777" w:rsidR="00656299" w:rsidRDefault="00656299" w:rsidP="00A44305">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01775/INFOEM/IP/RR/2025</w:t>
          </w:r>
        </w:p>
      </w:tc>
    </w:tr>
    <w:tr w:rsidR="00656299" w14:paraId="28529353" w14:textId="77777777">
      <w:trPr>
        <w:trHeight w:val="242"/>
      </w:trPr>
      <w:tc>
        <w:tcPr>
          <w:tcW w:w="5246" w:type="dxa"/>
        </w:tcPr>
        <w:p w14:paraId="3E14B259" w14:textId="77777777" w:rsidR="00656299" w:rsidRDefault="00656299">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3B0ACC76" w14:textId="77777777" w:rsidR="00656299" w:rsidRDefault="00656299">
          <w:pPr>
            <w:spacing w:after="120" w:line="256" w:lineRule="auto"/>
            <w:ind w:left="-486" w:right="214" w:firstLine="284"/>
            <w:jc w:val="right"/>
            <w:rPr>
              <w:rFonts w:ascii="Palatino Linotype" w:eastAsia="Palatino Linotype" w:hAnsi="Palatino Linotype" w:cs="Palatino Linotype"/>
              <w:b/>
              <w:sz w:val="24"/>
              <w:szCs w:val="24"/>
            </w:rPr>
          </w:pPr>
          <w:r w:rsidRPr="00A44305">
            <w:rPr>
              <w:rFonts w:ascii="Palatino Linotype" w:eastAsia="Palatino Linotype" w:hAnsi="Palatino Linotype" w:cs="Palatino Linotype"/>
              <w:b/>
              <w:color w:val="000000"/>
              <w:sz w:val="24"/>
              <w:szCs w:val="24"/>
            </w:rPr>
            <w:t>Organismo Descentralizado de Agua y Saneamiento de Chicoloapan</w:t>
          </w:r>
        </w:p>
      </w:tc>
    </w:tr>
    <w:tr w:rsidR="00656299" w14:paraId="707E2C18" w14:textId="77777777">
      <w:trPr>
        <w:trHeight w:val="342"/>
      </w:trPr>
      <w:tc>
        <w:tcPr>
          <w:tcW w:w="5246" w:type="dxa"/>
        </w:tcPr>
        <w:p w14:paraId="02EAA36F" w14:textId="77777777" w:rsidR="00656299" w:rsidRDefault="00656299">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7E8C895A" w14:textId="77777777" w:rsidR="00656299" w:rsidRDefault="00656299">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336E82F0" w14:textId="77777777" w:rsidR="00656299" w:rsidRDefault="00656299">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rPr>
      <w:drawing>
        <wp:anchor distT="0" distB="0" distL="0" distR="0" simplePos="0" relativeHeight="251659264" behindDoc="1" locked="0" layoutInCell="1" hidden="0" allowOverlap="1" wp14:anchorId="45EEE143" wp14:editId="7844B2DC">
          <wp:simplePos x="0" y="0"/>
          <wp:positionH relativeFrom="page">
            <wp:align>center</wp:align>
          </wp:positionH>
          <wp:positionV relativeFrom="margin">
            <wp:posOffset>-1379219</wp:posOffset>
          </wp:positionV>
          <wp:extent cx="7705725" cy="10048875"/>
          <wp:effectExtent l="0" t="0" r="0" b="0"/>
          <wp:wrapNone/>
          <wp:docPr id="2"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3414F" w14:textId="77777777" w:rsidR="00656299" w:rsidRDefault="0065629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W w:w="9923" w:type="dxa"/>
      <w:tblInd w:w="-851" w:type="dxa"/>
      <w:tblLayout w:type="fixed"/>
      <w:tblLook w:val="0400" w:firstRow="0" w:lastRow="0" w:firstColumn="0" w:lastColumn="0" w:noHBand="0" w:noVBand="1"/>
    </w:tblPr>
    <w:tblGrid>
      <w:gridCol w:w="5104"/>
      <w:gridCol w:w="4819"/>
    </w:tblGrid>
    <w:tr w:rsidR="00656299" w14:paraId="62478A08" w14:textId="77777777">
      <w:trPr>
        <w:trHeight w:val="227"/>
      </w:trPr>
      <w:tc>
        <w:tcPr>
          <w:tcW w:w="5104" w:type="dxa"/>
        </w:tcPr>
        <w:p w14:paraId="5E2D7121" w14:textId="77777777" w:rsidR="00656299" w:rsidRDefault="00656299">
          <w:pPr>
            <w:spacing w:after="120" w:line="256" w:lineRule="auto"/>
            <w:ind w:right="204"/>
            <w:jc w:val="right"/>
            <w:rPr>
              <w:rFonts w:ascii="Palatino Linotype" w:eastAsia="Palatino Linotype" w:hAnsi="Palatino Linotype" w:cs="Palatino Linotype"/>
            </w:rPr>
          </w:pPr>
          <w:bookmarkStart w:id="1" w:name="_30j0zll" w:colFirst="0" w:colLast="0"/>
          <w:bookmarkEnd w:id="1"/>
          <w:r>
            <w:rPr>
              <w:rFonts w:ascii="Palatino Linotype" w:eastAsia="Palatino Linotype" w:hAnsi="Palatino Linotype" w:cs="Palatino Linotype"/>
            </w:rPr>
            <w:t>Recurso de Revisión N°:</w:t>
          </w:r>
        </w:p>
      </w:tc>
      <w:tc>
        <w:tcPr>
          <w:tcW w:w="4819" w:type="dxa"/>
        </w:tcPr>
        <w:p w14:paraId="1059DB87" w14:textId="77777777" w:rsidR="00656299" w:rsidRDefault="00656299" w:rsidP="00A44305">
          <w:pPr>
            <w:spacing w:after="120" w:line="256" w:lineRule="auto"/>
            <w:ind w:left="-486" w:right="214" w:firstLine="1585"/>
            <w:jc w:val="right"/>
            <w:rPr>
              <w:rFonts w:ascii="Palatino Linotype" w:eastAsia="Palatino Linotype" w:hAnsi="Palatino Linotype" w:cs="Palatino Linotype"/>
              <w:b/>
            </w:rPr>
          </w:pPr>
          <w:r>
            <w:rPr>
              <w:rFonts w:ascii="Palatino Linotype" w:eastAsia="Palatino Linotype" w:hAnsi="Palatino Linotype" w:cs="Palatino Linotype"/>
              <w:b/>
              <w:sz w:val="24"/>
              <w:szCs w:val="24"/>
            </w:rPr>
            <w:t>01775/INFOEM/IP/RR/2025</w:t>
          </w:r>
        </w:p>
      </w:tc>
    </w:tr>
    <w:tr w:rsidR="00656299" w14:paraId="7309E90F" w14:textId="77777777">
      <w:trPr>
        <w:trHeight w:val="242"/>
      </w:trPr>
      <w:tc>
        <w:tcPr>
          <w:tcW w:w="5104" w:type="dxa"/>
        </w:tcPr>
        <w:p w14:paraId="6D873363" w14:textId="77777777" w:rsidR="00656299" w:rsidRDefault="00656299">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14:paraId="76CB5F0A" w14:textId="77777777" w:rsidR="00656299" w:rsidRDefault="00656299">
          <w:pPr>
            <w:spacing w:after="120" w:line="256" w:lineRule="auto"/>
            <w:ind w:left="-486" w:right="214" w:firstLine="284"/>
            <w:jc w:val="right"/>
            <w:rPr>
              <w:rFonts w:ascii="Palatino Linotype" w:eastAsia="Palatino Linotype" w:hAnsi="Palatino Linotype" w:cs="Palatino Linotype"/>
              <w:b/>
            </w:rPr>
          </w:pPr>
          <w:r w:rsidRPr="00A44305">
            <w:rPr>
              <w:rFonts w:ascii="Palatino Linotype" w:eastAsia="Palatino Linotype" w:hAnsi="Palatino Linotype" w:cs="Palatino Linotype"/>
              <w:b/>
              <w:color w:val="000000"/>
              <w:sz w:val="24"/>
              <w:szCs w:val="24"/>
            </w:rPr>
            <w:t>Organismo Descentralizado de Agua y Saneamiento de Chicoloapan</w:t>
          </w:r>
        </w:p>
      </w:tc>
    </w:tr>
    <w:tr w:rsidR="00656299" w14:paraId="45B5FDCA" w14:textId="77777777">
      <w:trPr>
        <w:trHeight w:val="342"/>
      </w:trPr>
      <w:tc>
        <w:tcPr>
          <w:tcW w:w="5104" w:type="dxa"/>
        </w:tcPr>
        <w:p w14:paraId="5E3EC9FA" w14:textId="77777777" w:rsidR="00656299" w:rsidRDefault="00656299">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Recurrente:</w:t>
          </w:r>
        </w:p>
      </w:tc>
      <w:tc>
        <w:tcPr>
          <w:tcW w:w="4819" w:type="dxa"/>
        </w:tcPr>
        <w:p w14:paraId="29D75A75" w14:textId="0F6B4F1C" w:rsidR="00656299" w:rsidRDefault="00656299">
          <w:pPr>
            <w:spacing w:after="120" w:line="256" w:lineRule="auto"/>
            <w:ind w:left="-486" w:right="214" w:firstLine="567"/>
            <w:jc w:val="right"/>
            <w:rPr>
              <w:rFonts w:ascii="Palatino Linotype" w:eastAsia="Palatino Linotype" w:hAnsi="Palatino Linotype" w:cs="Palatino Linotype"/>
              <w:b/>
            </w:rPr>
          </w:pPr>
          <w:r>
            <w:rPr>
              <w:noProof/>
            </w:rPr>
            <w:drawing>
              <wp:anchor distT="0" distB="0" distL="0" distR="0" simplePos="0" relativeHeight="251660288" behindDoc="1" locked="0" layoutInCell="1" hidden="0" allowOverlap="1" wp14:anchorId="7E8E94DC" wp14:editId="3EF1AE56">
                <wp:simplePos x="0" y="0"/>
                <wp:positionH relativeFrom="column">
                  <wp:posOffset>-3769994</wp:posOffset>
                </wp:positionH>
                <wp:positionV relativeFrom="paragraph">
                  <wp:posOffset>0</wp:posOffset>
                </wp:positionV>
                <wp:extent cx="7705725" cy="10048875"/>
                <wp:effectExtent l="0" t="0" r="0" b="0"/>
                <wp:wrapNone/>
                <wp:docPr id="1" name="image1.png" descr="logo infoem"/>
                <wp:cNvGraphicFramePr/>
                <a:graphic xmlns:a="http://schemas.openxmlformats.org/drawingml/2006/main">
                  <a:graphicData uri="http://schemas.openxmlformats.org/drawingml/2006/picture">
                    <pic:pic xmlns:pic="http://schemas.openxmlformats.org/drawingml/2006/picture">
                      <pic:nvPicPr>
                        <pic:cNvPr id="0" name="image1.pn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r w:rsidR="00E60B88">
            <w:rPr>
              <w:rFonts w:ascii="Palatino Linotype" w:eastAsia="Palatino Linotype" w:hAnsi="Palatino Linotype" w:cs="Palatino Linotype"/>
              <w:b/>
            </w:rPr>
            <w:t>XXXX</w:t>
          </w:r>
        </w:p>
      </w:tc>
    </w:tr>
    <w:tr w:rsidR="00656299" w14:paraId="766E1448" w14:textId="77777777">
      <w:trPr>
        <w:trHeight w:val="342"/>
      </w:trPr>
      <w:tc>
        <w:tcPr>
          <w:tcW w:w="5104" w:type="dxa"/>
        </w:tcPr>
        <w:p w14:paraId="71D60C91" w14:textId="77777777" w:rsidR="00656299" w:rsidRDefault="00656299">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14:paraId="3BACFCE1" w14:textId="77777777" w:rsidR="00656299" w:rsidRDefault="00656299">
          <w:pPr>
            <w:spacing w:after="120" w:line="256" w:lineRule="auto"/>
            <w:ind w:left="-486" w:right="214" w:firstLine="567"/>
            <w:jc w:val="right"/>
            <w:rPr>
              <w:rFonts w:ascii="Palatino Linotype" w:eastAsia="Palatino Linotype" w:hAnsi="Palatino Linotype" w:cs="Palatino Linotype"/>
              <w:b/>
            </w:rPr>
          </w:pPr>
          <w:r>
            <w:rPr>
              <w:rFonts w:ascii="Palatino Linotype" w:eastAsia="Palatino Linotype" w:hAnsi="Palatino Linotype" w:cs="Palatino Linotype"/>
              <w:b/>
            </w:rPr>
            <w:t>José Martínez Vilchis</w:t>
          </w:r>
        </w:p>
      </w:tc>
    </w:tr>
  </w:tbl>
  <w:p w14:paraId="780D1879" w14:textId="77777777" w:rsidR="00656299" w:rsidRDefault="0065629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444A"/>
    <w:multiLevelType w:val="multilevel"/>
    <w:tmpl w:val="1FCE9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2F68B0"/>
    <w:multiLevelType w:val="hybridMultilevel"/>
    <w:tmpl w:val="27E01044"/>
    <w:lvl w:ilvl="0" w:tplc="2074490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1D12657C"/>
    <w:multiLevelType w:val="hybridMultilevel"/>
    <w:tmpl w:val="AD8E9FDE"/>
    <w:lvl w:ilvl="0" w:tplc="CAACAC5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396E026C"/>
    <w:multiLevelType w:val="hybridMultilevel"/>
    <w:tmpl w:val="1C483CA0"/>
    <w:lvl w:ilvl="0" w:tplc="4DEA9AB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47D3262A"/>
    <w:multiLevelType w:val="hybridMultilevel"/>
    <w:tmpl w:val="CC8EE606"/>
    <w:lvl w:ilvl="0" w:tplc="ED70751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527C1DD7"/>
    <w:multiLevelType w:val="hybridMultilevel"/>
    <w:tmpl w:val="0FC43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AE7FE4"/>
    <w:multiLevelType w:val="hybridMultilevel"/>
    <w:tmpl w:val="55EA565E"/>
    <w:lvl w:ilvl="0" w:tplc="D7C2E9E6">
      <w:start w:val="1"/>
      <w:numFmt w:val="decimal"/>
      <w:lvlText w:val="%1."/>
      <w:lvlJc w:val="left"/>
      <w:pPr>
        <w:ind w:left="829" w:hanging="360"/>
        <w:jc w:val="left"/>
      </w:pPr>
      <w:rPr>
        <w:rFonts w:ascii="Cambria" w:eastAsia="Cambria" w:hAnsi="Cambria" w:cs="Cambria" w:hint="default"/>
        <w:w w:val="100"/>
        <w:sz w:val="22"/>
        <w:szCs w:val="22"/>
        <w:lang w:val="es-ES" w:eastAsia="en-US" w:bidi="ar-SA"/>
      </w:rPr>
    </w:lvl>
    <w:lvl w:ilvl="1" w:tplc="A852CCD2">
      <w:numFmt w:val="bullet"/>
      <w:lvlText w:val="•"/>
      <w:lvlJc w:val="left"/>
      <w:pPr>
        <w:ind w:left="1774" w:hanging="360"/>
      </w:pPr>
      <w:rPr>
        <w:rFonts w:hint="default"/>
        <w:lang w:val="es-ES" w:eastAsia="en-US" w:bidi="ar-SA"/>
      </w:rPr>
    </w:lvl>
    <w:lvl w:ilvl="2" w:tplc="2C1EC0EE">
      <w:numFmt w:val="bullet"/>
      <w:lvlText w:val="•"/>
      <w:lvlJc w:val="left"/>
      <w:pPr>
        <w:ind w:left="2728" w:hanging="360"/>
      </w:pPr>
      <w:rPr>
        <w:rFonts w:hint="default"/>
        <w:lang w:val="es-ES" w:eastAsia="en-US" w:bidi="ar-SA"/>
      </w:rPr>
    </w:lvl>
    <w:lvl w:ilvl="3" w:tplc="1F74FE0E">
      <w:numFmt w:val="bullet"/>
      <w:lvlText w:val="•"/>
      <w:lvlJc w:val="left"/>
      <w:pPr>
        <w:ind w:left="3682" w:hanging="360"/>
      </w:pPr>
      <w:rPr>
        <w:rFonts w:hint="default"/>
        <w:lang w:val="es-ES" w:eastAsia="en-US" w:bidi="ar-SA"/>
      </w:rPr>
    </w:lvl>
    <w:lvl w:ilvl="4" w:tplc="22403332">
      <w:numFmt w:val="bullet"/>
      <w:lvlText w:val="•"/>
      <w:lvlJc w:val="left"/>
      <w:pPr>
        <w:ind w:left="4636" w:hanging="360"/>
      </w:pPr>
      <w:rPr>
        <w:rFonts w:hint="default"/>
        <w:lang w:val="es-ES" w:eastAsia="en-US" w:bidi="ar-SA"/>
      </w:rPr>
    </w:lvl>
    <w:lvl w:ilvl="5" w:tplc="937A59FE">
      <w:numFmt w:val="bullet"/>
      <w:lvlText w:val="•"/>
      <w:lvlJc w:val="left"/>
      <w:pPr>
        <w:ind w:left="5590" w:hanging="360"/>
      </w:pPr>
      <w:rPr>
        <w:rFonts w:hint="default"/>
        <w:lang w:val="es-ES" w:eastAsia="en-US" w:bidi="ar-SA"/>
      </w:rPr>
    </w:lvl>
    <w:lvl w:ilvl="6" w:tplc="E098E200">
      <w:numFmt w:val="bullet"/>
      <w:lvlText w:val="•"/>
      <w:lvlJc w:val="left"/>
      <w:pPr>
        <w:ind w:left="6544" w:hanging="360"/>
      </w:pPr>
      <w:rPr>
        <w:rFonts w:hint="default"/>
        <w:lang w:val="es-ES" w:eastAsia="en-US" w:bidi="ar-SA"/>
      </w:rPr>
    </w:lvl>
    <w:lvl w:ilvl="7" w:tplc="AAFABAE4">
      <w:numFmt w:val="bullet"/>
      <w:lvlText w:val="•"/>
      <w:lvlJc w:val="left"/>
      <w:pPr>
        <w:ind w:left="7498" w:hanging="360"/>
      </w:pPr>
      <w:rPr>
        <w:rFonts w:hint="default"/>
        <w:lang w:val="es-ES" w:eastAsia="en-US" w:bidi="ar-SA"/>
      </w:rPr>
    </w:lvl>
    <w:lvl w:ilvl="8" w:tplc="6FB62D60">
      <w:numFmt w:val="bullet"/>
      <w:lvlText w:val="•"/>
      <w:lvlJc w:val="left"/>
      <w:pPr>
        <w:ind w:left="8452" w:hanging="360"/>
      </w:pPr>
      <w:rPr>
        <w:rFonts w:hint="default"/>
        <w:lang w:val="es-ES" w:eastAsia="en-US" w:bidi="ar-SA"/>
      </w:rPr>
    </w:lvl>
  </w:abstractNum>
  <w:abstractNum w:abstractNumId="9" w15:restartNumberingAfterBreak="0">
    <w:nsid w:val="53AF2C43"/>
    <w:multiLevelType w:val="hybridMultilevel"/>
    <w:tmpl w:val="A2F4D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FC39F2"/>
    <w:multiLevelType w:val="multilevel"/>
    <w:tmpl w:val="533C9312"/>
    <w:lvl w:ilvl="0">
      <w:start w:val="1"/>
      <w:numFmt w:val="decimal"/>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090AFA"/>
    <w:multiLevelType w:val="multilevel"/>
    <w:tmpl w:val="9EB61A5A"/>
    <w:lvl w:ilvl="0">
      <w:start w:val="1"/>
      <w:numFmt w:val="decimal"/>
      <w:lvlText w:val="%1"/>
      <w:lvlJc w:val="left"/>
      <w:pPr>
        <w:ind w:left="1376" w:hanging="409"/>
        <w:jc w:val="left"/>
      </w:pPr>
      <w:rPr>
        <w:rFonts w:hint="default"/>
        <w:lang w:val="es-ES" w:eastAsia="en-US" w:bidi="ar-SA"/>
      </w:rPr>
    </w:lvl>
    <w:lvl w:ilvl="1">
      <w:start w:val="1"/>
      <w:numFmt w:val="decimal"/>
      <w:lvlText w:val="%1.%2."/>
      <w:lvlJc w:val="left"/>
      <w:pPr>
        <w:ind w:left="1376" w:hanging="409"/>
        <w:jc w:val="left"/>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1571" w:hanging="720"/>
        <w:jc w:val="left"/>
      </w:pPr>
      <w:rPr>
        <w:rFonts w:ascii="Palatino Linotype" w:eastAsia="Cambria" w:hAnsi="Palatino Linotype" w:cs="Cambria" w:hint="default"/>
        <w:b/>
        <w:bCs/>
        <w:spacing w:val="-1"/>
        <w:w w:val="100"/>
        <w:sz w:val="24"/>
        <w:szCs w:val="28"/>
        <w:lang w:val="es-ES" w:eastAsia="en-US" w:bidi="ar-SA"/>
      </w:rPr>
    </w:lvl>
    <w:lvl w:ilvl="3">
      <w:start w:val="1"/>
      <w:numFmt w:val="decimal"/>
      <w:lvlText w:val="%1.%2.%3.%4."/>
      <w:lvlJc w:val="left"/>
      <w:pPr>
        <w:ind w:left="2050" w:hanging="1080"/>
        <w:jc w:val="left"/>
      </w:pPr>
      <w:rPr>
        <w:rFonts w:hint="default"/>
        <w:b/>
        <w:bCs/>
        <w:spacing w:val="-1"/>
        <w:w w:val="100"/>
        <w:lang w:val="es-ES" w:eastAsia="en-US" w:bidi="ar-SA"/>
      </w:rPr>
    </w:lvl>
    <w:lvl w:ilvl="4">
      <w:start w:val="1"/>
      <w:numFmt w:val="decimal"/>
      <w:lvlText w:val="%5."/>
      <w:lvlJc w:val="left"/>
      <w:pPr>
        <w:ind w:left="1482" w:hanging="1080"/>
        <w:jc w:val="left"/>
      </w:pPr>
      <w:rPr>
        <w:rFonts w:ascii="Cambria" w:eastAsia="Cambria" w:hAnsi="Cambria" w:cs="Cambria" w:hint="default"/>
        <w:w w:val="100"/>
        <w:sz w:val="22"/>
        <w:szCs w:val="22"/>
        <w:lang w:val="es-ES" w:eastAsia="en-US" w:bidi="ar-SA"/>
      </w:rPr>
    </w:lvl>
    <w:lvl w:ilvl="5">
      <w:numFmt w:val="bullet"/>
      <w:lvlText w:val="•"/>
      <w:lvlJc w:val="left"/>
      <w:pPr>
        <w:ind w:left="3443" w:hanging="1080"/>
      </w:pPr>
      <w:rPr>
        <w:rFonts w:hint="default"/>
        <w:lang w:val="es-ES" w:eastAsia="en-US" w:bidi="ar-SA"/>
      </w:rPr>
    </w:lvl>
    <w:lvl w:ilvl="6">
      <w:numFmt w:val="bullet"/>
      <w:lvlText w:val="•"/>
      <w:lvlJc w:val="left"/>
      <w:pPr>
        <w:ind w:left="4826" w:hanging="1080"/>
      </w:pPr>
      <w:rPr>
        <w:rFonts w:hint="default"/>
        <w:lang w:val="es-ES" w:eastAsia="en-US" w:bidi="ar-SA"/>
      </w:rPr>
    </w:lvl>
    <w:lvl w:ilvl="7">
      <w:numFmt w:val="bullet"/>
      <w:lvlText w:val="•"/>
      <w:lvlJc w:val="left"/>
      <w:pPr>
        <w:ind w:left="6210" w:hanging="1080"/>
      </w:pPr>
      <w:rPr>
        <w:rFonts w:hint="default"/>
        <w:lang w:val="es-ES" w:eastAsia="en-US" w:bidi="ar-SA"/>
      </w:rPr>
    </w:lvl>
    <w:lvl w:ilvl="8">
      <w:numFmt w:val="bullet"/>
      <w:lvlText w:val="•"/>
      <w:lvlJc w:val="left"/>
      <w:pPr>
        <w:ind w:left="7593" w:hanging="1080"/>
      </w:pPr>
      <w:rPr>
        <w:rFonts w:hint="default"/>
        <w:lang w:val="es-ES" w:eastAsia="en-US" w:bidi="ar-SA"/>
      </w:rPr>
    </w:lvl>
  </w:abstractNum>
  <w:abstractNum w:abstractNumId="12" w15:restartNumberingAfterBreak="0">
    <w:nsid w:val="6735249F"/>
    <w:multiLevelType w:val="multilevel"/>
    <w:tmpl w:val="334C5F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C406C26"/>
    <w:multiLevelType w:val="hybridMultilevel"/>
    <w:tmpl w:val="59601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7"/>
  </w:num>
  <w:num w:numId="5">
    <w:abstractNumId w:val="13"/>
  </w:num>
  <w:num w:numId="6">
    <w:abstractNumId w:val="9"/>
  </w:num>
  <w:num w:numId="7">
    <w:abstractNumId w:val="5"/>
  </w:num>
  <w:num w:numId="8">
    <w:abstractNumId w:val="2"/>
  </w:num>
  <w:num w:numId="9">
    <w:abstractNumId w:val="6"/>
  </w:num>
  <w:num w:numId="10">
    <w:abstractNumId w:val="1"/>
  </w:num>
  <w:num w:numId="11">
    <w:abstractNumId w:val="8"/>
  </w:num>
  <w:num w:numId="12">
    <w:abstractNumId w:val="11"/>
  </w:num>
  <w:num w:numId="13">
    <w:abstractNumId w:val="14"/>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D"/>
    <w:rsid w:val="000E50F4"/>
    <w:rsid w:val="00183C2D"/>
    <w:rsid w:val="00190F54"/>
    <w:rsid w:val="002062E5"/>
    <w:rsid w:val="00462245"/>
    <w:rsid w:val="00520871"/>
    <w:rsid w:val="00575FD5"/>
    <w:rsid w:val="005B2104"/>
    <w:rsid w:val="005C04A2"/>
    <w:rsid w:val="005F595E"/>
    <w:rsid w:val="00656299"/>
    <w:rsid w:val="006D36DD"/>
    <w:rsid w:val="007A24D6"/>
    <w:rsid w:val="009354A8"/>
    <w:rsid w:val="00A44305"/>
    <w:rsid w:val="00A450C5"/>
    <w:rsid w:val="00B36E5F"/>
    <w:rsid w:val="00BC7E0A"/>
    <w:rsid w:val="00C84B62"/>
    <w:rsid w:val="00CE7FA7"/>
    <w:rsid w:val="00D2150D"/>
    <w:rsid w:val="00E60B88"/>
    <w:rsid w:val="00E9621D"/>
    <w:rsid w:val="00F04579"/>
    <w:rsid w:val="00F6065F"/>
    <w:rsid w:val="00FB3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4935"/>
  <w15:chartTrackingRefBased/>
  <w15:docId w15:val="{F3AE0BE3-9A5B-4BFC-AA36-33DB7E79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15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EM">
    <w:name w:val="INFOEM"/>
    <w:basedOn w:val="Normal"/>
    <w:qFormat/>
    <w:rsid w:val="00D2150D"/>
    <w:pPr>
      <w:spacing w:before="240" w:line="360" w:lineRule="auto"/>
      <w:ind w:left="851" w:right="851"/>
      <w:jc w:val="both"/>
    </w:pPr>
    <w:rPr>
      <w:rFonts w:ascii="Palatino Linotype" w:eastAsiaTheme="minorHAnsi" w:hAnsi="Palatino Linotype" w:cstheme="minorBidi"/>
      <w:i/>
      <w:szCs w:val="14"/>
      <w:lang w:eastAsia="en-U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2150D"/>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2150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21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50D"/>
    <w:rPr>
      <w:rFonts w:ascii="Calibri" w:eastAsia="Calibri" w:hAnsi="Calibri" w:cs="Calibri"/>
      <w:lang w:eastAsia="es-MX"/>
    </w:rPr>
  </w:style>
  <w:style w:type="paragraph" w:styleId="Piedepgina">
    <w:name w:val="footer"/>
    <w:basedOn w:val="Normal"/>
    <w:link w:val="PiedepginaCar"/>
    <w:uiPriority w:val="99"/>
    <w:unhideWhenUsed/>
    <w:rsid w:val="00D21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50D"/>
    <w:rPr>
      <w:rFonts w:ascii="Calibri" w:eastAsia="Calibri" w:hAnsi="Calibri" w:cs="Calibri"/>
      <w:lang w:eastAsia="es-MX"/>
    </w:rPr>
  </w:style>
  <w:style w:type="character" w:customStyle="1" w:styleId="apple-converted-space">
    <w:name w:val="apple-converted-space"/>
    <w:basedOn w:val="Fuentedeprrafopredeter"/>
    <w:rsid w:val="009354A8"/>
  </w:style>
  <w:style w:type="character" w:styleId="Hipervnculo">
    <w:name w:val="Hyperlink"/>
    <w:aliases w:val="Hipervínculo1,Hipervínculo11,Hipervínculo12,Hipervínculo13,Hipervínculo14,Hipervínculo15"/>
    <w:basedOn w:val="Fuentedeprrafopredeter"/>
    <w:uiPriority w:val="99"/>
    <w:unhideWhenUsed/>
    <w:rsid w:val="009354A8"/>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rsid w:val="009354A8"/>
    <w:rPr>
      <w:vertAlign w:val="superscript"/>
    </w:rPr>
  </w:style>
  <w:style w:type="paragraph" w:styleId="Sinespaciado">
    <w:name w:val="No Spacing"/>
    <w:aliases w:val="Francesa,INAI"/>
    <w:link w:val="SinespaciadoCar"/>
    <w:uiPriority w:val="1"/>
    <w:qFormat/>
    <w:rsid w:val="000E50F4"/>
    <w:pPr>
      <w:spacing w:after="0" w:line="240" w:lineRule="auto"/>
    </w:pPr>
  </w:style>
  <w:style w:type="character" w:customStyle="1" w:styleId="SinespaciadoCar">
    <w:name w:val="Sin espaciado Car"/>
    <w:aliases w:val="Francesa Car,INAI Car"/>
    <w:link w:val="Sinespaciado"/>
    <w:uiPriority w:val="1"/>
    <w:locked/>
    <w:rsid w:val="000E50F4"/>
  </w:style>
  <w:style w:type="table" w:styleId="Tablaconcuadrcula">
    <w:name w:val="Table Grid"/>
    <w:basedOn w:val="Tablanormal"/>
    <w:uiPriority w:val="39"/>
    <w:rsid w:val="000E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A450C5"/>
    <w:pPr>
      <w:spacing w:after="120"/>
    </w:pPr>
  </w:style>
  <w:style w:type="character" w:customStyle="1" w:styleId="TextoindependienteCar">
    <w:name w:val="Texto independiente Car"/>
    <w:basedOn w:val="Fuentedeprrafopredeter"/>
    <w:link w:val="Textoindependiente"/>
    <w:uiPriority w:val="99"/>
    <w:semiHidden/>
    <w:rsid w:val="00A450C5"/>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8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30</Pages>
  <Words>6331</Words>
  <Characters>34821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9</cp:revision>
  <dcterms:created xsi:type="dcterms:W3CDTF">2025-03-04T23:22:00Z</dcterms:created>
  <dcterms:modified xsi:type="dcterms:W3CDTF">2025-04-29T16:44:00Z</dcterms:modified>
</cp:coreProperties>
</file>