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diez de septiembre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07864/INFOEM/IP/RR/2025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 XXXXXXXX XXXXXXXXX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00165/NICOROM/IP/2025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Ayuntamiento de Nicolás Romero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veintisiete de mayo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ab/>
      </w:r>
    </w:p>
    <w:p w:rsidR="00000000" w:rsidDel="00000000" w:rsidP="00000000" w:rsidRDefault="00000000" w:rsidRPr="00000000" w14:paraId="00000009">
      <w:pPr>
        <w:spacing w:after="0" w:line="24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“Solicito los recibos de nómina timbrados y debidamente firmados por todos los servidores públicos de la administración pública 2025 - 2027, de la primera quincena de mayo 2025, en versión PDF y la información requerida que sea emitida por esta plataforma SAIMEX..”</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 para emitir 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diecisiete de junio de dos mil veinticinc</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solicitó una ampliación de plazo para emitir respuesta.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w:t>
      </w:r>
      <w:r w:rsidDel="00000000" w:rsidR="00000000" w:rsidRPr="00000000">
        <w:rPr>
          <w:rFonts w:ascii="Palatino Linotype" w:cs="Palatino Linotype" w:eastAsia="Palatino Linotype" w:hAnsi="Palatino Linotype"/>
          <w:b w:val="1"/>
          <w:rtl w:val="0"/>
        </w:rPr>
        <w:t xml:space="preserve">veintiséis de junio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la cual fue previamente del conocimiento de la parte Recurrente.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veintisiete de junio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“La información emitida no es la que se solicitó.”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276"/>
        </w:tabs>
        <w:spacing w:after="0" w:lineRule="auto"/>
        <w:ind w:left="567" w:right="70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“La información requerida se presentó incompleta, toda vez que solicite que a la letra dice "Solicito los recibos de nómina timbrados y debidamente firmados por todos los servidores públicos de la administración pública 2025 - 2027, de la primera quincena de mayo 2025, en versión PDF y la información requerida que sea emitida por esta plataforma SAIMEX. (sic) Bajo este contexto, </w:t>
      </w:r>
      <w:r w:rsidDel="00000000" w:rsidR="00000000" w:rsidRPr="00000000">
        <w:rPr>
          <w:rFonts w:ascii="Palatino Linotype" w:cs="Palatino Linotype" w:eastAsia="Palatino Linotype" w:hAnsi="Palatino Linotype"/>
          <w:b w:val="1"/>
          <w:i w:val="1"/>
          <w:u w:val="single"/>
          <w:rtl w:val="0"/>
        </w:rPr>
        <w:t xml:space="preserve">solo se presentó un archivo de Excel en forma de listado con los nombres</w:t>
      </w:r>
      <w:r w:rsidDel="00000000" w:rsidR="00000000" w:rsidRPr="00000000">
        <w:rPr>
          <w:rFonts w:ascii="Palatino Linotype" w:cs="Palatino Linotype" w:eastAsia="Palatino Linotype" w:hAnsi="Palatino Linotype"/>
          <w:i w:val="1"/>
          <w:rtl w:val="0"/>
        </w:rPr>
        <w:t xml:space="preserve">, cargos y áreas de adscripción de los servidores públicos, Y NO LOS RECIBOS DE NOMINA DEBIDAMENTE FIRMADOS POR LOS SERVIDORES PUBLICOS EN VERSION PUBLICA. por lo que solicito se dictamine y se resolucione la solicitud de información como se requirió.”. </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adjuntó los documentos de respuesta proporcionados por el Sujeto Obligado.</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07864/INFOEM/IP/RR/2025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w:t>
      </w:r>
      <w:r w:rsidDel="00000000" w:rsidR="00000000" w:rsidRPr="00000000">
        <w:rPr>
          <w:rFonts w:ascii="Palatino Linotype" w:cs="Palatino Linotype" w:eastAsia="Palatino Linotype" w:hAnsi="Palatino Linotype"/>
          <w:b w:val="1"/>
          <w:rtl w:val="0"/>
        </w:rPr>
        <w:t xml:space="preserve"> uno de julio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cuatro septiembre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numPr>
          <w:ilvl w:val="0"/>
          <w:numId w:val="8"/>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cuatro de septiembre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36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D">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w:t>
      </w:r>
    </w:p>
    <w:p w:rsidR="00000000" w:rsidDel="00000000" w:rsidP="00000000" w:rsidRDefault="00000000" w:rsidRPr="00000000" w14:paraId="0000002E">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F">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0">
      <w:pPr>
        <w:numPr>
          <w:ilvl w:val="0"/>
          <w:numId w:val="9"/>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La afectación generada en la situación jurídica de la persona involucrada en el proceso: Violación a sus derechos humanos.</w:t>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B">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4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del </w:t>
      </w:r>
      <w:r w:rsidDel="00000000" w:rsidR="00000000" w:rsidRPr="00000000">
        <w:rPr>
          <w:rFonts w:ascii="Palatino Linotype" w:cs="Palatino Linotype" w:eastAsia="Palatino Linotype" w:hAnsi="Palatino Linotype"/>
          <w:b w:val="1"/>
          <w:rtl w:val="0"/>
        </w:rPr>
        <w:t xml:space="preserve">veintiséis de junio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w:t>
      </w:r>
      <w:r w:rsidDel="00000000" w:rsidR="00000000" w:rsidRPr="00000000">
        <w:rPr>
          <w:rFonts w:ascii="Palatino Linotype" w:cs="Palatino Linotype" w:eastAsia="Palatino Linotype" w:hAnsi="Palatino Linotype"/>
          <w:b w:val="1"/>
          <w:rtl w:val="0"/>
        </w:rPr>
        <w:t xml:space="preserve">veintisiete de junio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dos mil veinticinco</w:t>
      </w:r>
      <w:r w:rsidDel="00000000" w:rsidR="00000000" w:rsidRPr="00000000">
        <w:rPr>
          <w:rFonts w:ascii="Palatino Linotype" w:cs="Palatino Linotype" w:eastAsia="Palatino Linotype" w:hAnsi="Palatino Linotype"/>
          <w:rtl w:val="0"/>
        </w:rPr>
        <w:t xml:space="preserve">, esto es al siguinte día hábil en que se tuvo conocimiento de la respuesta.</w:t>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actualizan las hipótesis de procedencia previstas en el artículo 179 fracción  VI  de la Ley de la materia, que a la letra dice:</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0">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1">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entrega de información que no corresponda con lo solicitado;</w:t>
      </w:r>
    </w:p>
    <w:p w:rsidR="00000000" w:rsidDel="00000000" w:rsidP="00000000" w:rsidRDefault="00000000" w:rsidRPr="00000000" w14:paraId="00000052">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VI del artículo 179 de la Ley en la materia. </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del Sujeto Obligado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9">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A">
      <w:pPr>
        <w:tabs>
          <w:tab w:val="left" w:leader="none" w:pos="851"/>
        </w:tabs>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F">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61">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5">
      <w:pPr>
        <w:spacing w:after="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7">
      <w:pPr>
        <w:spacing w:after="0" w:lineRule="auto"/>
        <w:ind w:left="567" w:right="4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6F">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spacing w:after="0" w:lineRule="auto"/>
        <w:ind w:left="567"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1">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5">
      <w:pPr>
        <w:tabs>
          <w:tab w:val="left" w:leader="none" w:pos="7797"/>
        </w:tabs>
        <w:spacing w:after="0" w:lineRule="auto"/>
        <w:ind w:left="709"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6">
      <w:pPr>
        <w:tabs>
          <w:tab w:val="left" w:leader="none" w:pos="7797"/>
        </w:tabs>
        <w:spacing w:after="0" w:lineRule="auto"/>
        <w:ind w:left="709" w:right="4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7">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8">
      <w:pPr>
        <w:tabs>
          <w:tab w:val="left" w:leader="none" w:pos="7797"/>
        </w:tabs>
        <w:spacing w:after="0" w:lineRule="auto"/>
        <w:ind w:left="709" w:right="49"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de recordar que la parte Solicitante requirió los recibos de nómina timbrados y firmados de todos los servidores públicos de la primera quincena de mayo de dos mil veinticinco. </w:t>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proporcionó la siguiente información:</w:t>
      </w:r>
    </w:p>
    <w:p w:rsidR="00000000" w:rsidDel="00000000" w:rsidP="00000000" w:rsidRDefault="00000000" w:rsidRPr="00000000" w14:paraId="0000007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Listado de nómina del uno al quince de mayo de dos mil veinticinco, en versión pública. </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veinticinco de junio de dos mil veinticinco, suscrito por el Titular de la Unidad de Transparencia, mediante el cual señala que, se le da atención a la solicitud de información. </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emitido por el Comité de Transparencia del Sujeto Obligado mediante el cual se aprueba la ampliación de plazo para emitir respuesta.</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Acuerdo emitido por el Comité de Transparencia del Sujeto Obligado mediante el cual se aprueba la versión pública de la información remitida en respuesta.</w:t>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dieciséis de junio de dos mil veinticinco, signado por la Directora de Administración mediante el cual refiere que se envía la información solicitada. </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Recurrente se inconformó señalando que, la información proporcionada en respuesta, no correspondía con lo solicitado. </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u w:val="single"/>
        </w:rPr>
      </w:pPr>
      <w:r w:rsidDel="00000000" w:rsidR="00000000" w:rsidRPr="00000000">
        <w:rPr>
          <w:rtl w:val="0"/>
        </w:rPr>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procede a contextualizar la información solicitada, la cual se relaciona con el pago de servidores públicos; para ello, el Glosario localizado en la página de Transparencia Presupuestaria de la Secretaría de Hacienda y Crédito Público (consultado en </w:t>
      </w:r>
      <w:hyperlink r:id="rId7">
        <w:r w:rsidDel="00000000" w:rsidR="00000000" w:rsidRPr="00000000">
          <w:rPr>
            <w:rFonts w:ascii="Palatino Linotype" w:cs="Palatino Linotype" w:eastAsia="Palatino Linotype" w:hAnsi="Palatino Linotype"/>
            <w:u w:val="single"/>
            <w:rtl w:val="0"/>
          </w:rPr>
          <w:t xml:space="preserve">https://www.transparenciapresupuestaria.gob.mx/es/PTP/Glosario</w:t>
        </w:r>
      </w:hyperlink>
      <w:r w:rsidDel="00000000" w:rsidR="00000000" w:rsidRPr="00000000">
        <w:rPr>
          <w:rFonts w:ascii="Palatino Linotype" w:cs="Palatino Linotype" w:eastAsia="Palatino Linotype" w:hAnsi="Palatino Linotype"/>
          <w:rtl w:val="0"/>
        </w:rPr>
        <w:t xml:space="preserve">), establece que:</w:t>
      </w:r>
    </w:p>
    <w:p w:rsidR="00000000" w:rsidDel="00000000" w:rsidP="00000000" w:rsidRDefault="00000000" w:rsidRPr="00000000" w14:paraId="00000089">
      <w:pPr>
        <w:tabs>
          <w:tab w:val="left" w:leader="none" w:pos="3261"/>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186953" cy="1197435"/>
            <wp:effectExtent b="0" l="0" r="0" t="0"/>
            <wp:docPr id="147864238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86953" cy="119743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misma manera, el Glosario de términos más usuales en la Administración Pública Federal, emitido por la Secretaría de Hacienda y Crédito Público (</w:t>
      </w:r>
      <w:hyperlink r:id="rId9">
        <w:r w:rsidDel="00000000" w:rsidR="00000000" w:rsidRPr="00000000">
          <w:rPr>
            <w:rFonts w:ascii="Palatino Linotype" w:cs="Palatino Linotype" w:eastAsia="Palatino Linotype" w:hAnsi="Palatino Linotype"/>
            <w:u w:val="single"/>
            <w:rtl w:val="0"/>
          </w:rPr>
          <w:t xml:space="preserve">http://www.apartados.hacienda.gob.mx/contabilidad/documentos/informe_cuenta/1998/cuenta_publica/Glosario/n.htm</w:t>
        </w:r>
      </w:hyperlink>
      <w:r w:rsidDel="00000000" w:rsidR="00000000" w:rsidRPr="00000000">
        <w:rPr>
          <w:rFonts w:ascii="Palatino Linotype" w:cs="Palatino Linotype" w:eastAsia="Palatino Linotype" w:hAnsi="Palatino Linotype"/>
          <w:rtl w:val="0"/>
        </w:rPr>
        <w:t xml:space="preserve">), establece que la nómina es un listado general de los trabajadores de una institución, en el cual se asientan las percepciones brutas, deducciones y alcance neto de las mismas.</w:t>
      </w:r>
    </w:p>
    <w:p w:rsidR="00000000" w:rsidDel="00000000" w:rsidP="00000000" w:rsidRDefault="00000000" w:rsidRPr="00000000" w14:paraId="0000008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puede advertir que la nómina se puede referir a lo siguiente:</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0">
      <w:pPr>
        <w:tabs>
          <w:tab w:val="left" w:leader="none" w:pos="8222"/>
        </w:tabs>
        <w:spacing w:after="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Relación de trabajadores con las percepciones monetarias de cada uno.</w:t>
      </w:r>
    </w:p>
    <w:p w:rsidR="00000000" w:rsidDel="00000000" w:rsidP="00000000" w:rsidRDefault="00000000" w:rsidRPr="00000000" w14:paraId="00000091">
      <w:pPr>
        <w:tabs>
          <w:tab w:val="left" w:leader="none" w:pos="8222"/>
        </w:tabs>
        <w:spacing w:after="0" w:lineRule="auto"/>
        <w:ind w:left="567" w:right="709" w:firstLine="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b)      Recibo individual que contiene las prestaciones y deducciones de un trabajador.</w:t>
      </w:r>
    </w:p>
    <w:p w:rsidR="00000000" w:rsidDel="00000000" w:rsidP="00000000" w:rsidRDefault="00000000" w:rsidRPr="00000000" w14:paraId="00000092">
      <w:pPr>
        <w:tabs>
          <w:tab w:val="left" w:leader="none" w:pos="8222"/>
        </w:tabs>
        <w:spacing w:after="0" w:lineRule="auto"/>
        <w:ind w:left="567"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       Listado general de los servidores públicos de una institución o dependencia, en el cual se asientan las percepciones brutas, deducciones y alcance neto de las mismas.</w:t>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9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9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099">
      <w:pPr>
        <w:spacing w:after="0" w:line="360" w:lineRule="auto"/>
        <w:ind w:right="843"/>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9D">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E">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09F">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0">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los datos que componen el Comprobante Fiscal Digital por Internet, en principio es de mencionar que este es una factura electrónica emitida a los trabajadores dentro de una relación laboral para hacer constatar sus ingresos percibidos, así como las retenciones de impuestos u otros descuentos laborales aplicados. </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Del="00000000" w:rsidR="00000000" w:rsidRPr="00000000">
        <w:rPr>
          <w:rFonts w:ascii="Palatino Linotype" w:cs="Palatino Linotype" w:eastAsia="Palatino Linotype" w:hAnsi="Palatino Linotype"/>
          <w:b w:val="1"/>
          <w:rtl w:val="0"/>
        </w:rPr>
        <w:t xml:space="preserve">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Del="00000000" w:rsidR="00000000" w:rsidRPr="00000000">
        <w:rPr>
          <w:rFonts w:ascii="Palatino Linotype" w:cs="Palatino Linotype" w:eastAsia="Palatino Linotype" w:hAnsi="Palatino Linotype"/>
          <w:rtl w:val="0"/>
        </w:rPr>
        <w:t xml:space="preserve">,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el nombre del servidor público, su cargo, monto de percepciones netas y brutas, por mencionar algunas. </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hace a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AB">
      <w:pP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C">
      <w:pPr>
        <w:spacing w:after="0" w:lineRule="auto"/>
        <w:ind w:left="567"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p>
    <w:p w:rsidR="00000000" w:rsidDel="00000000" w:rsidP="00000000" w:rsidRDefault="00000000" w:rsidRPr="00000000" w14:paraId="000000AD">
      <w:pP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E">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AF">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0">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B1">
      <w:pPr>
        <w:spacing w:after="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2">
      <w:pPr>
        <w:spacing w:after="0"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3">
      <w:pPr>
        <w:spacing w:after="0" w:line="360" w:lineRule="auto"/>
        <w:ind w:right="1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 </w:t>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compete al Sujeto Obligado, es de mencionar que, el Bando Municipal de Nicolás Romero 2025, establece en su  que se integrará diversas dependencias, entre las cuales se encuentra: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1"/>
          <w:szCs w:val="21"/>
          <w:u w:val="none"/>
          <w:shd w:fill="auto" w:val="clear"/>
          <w:vertAlign w:val="baseline"/>
          <w:rtl w:val="0"/>
        </w:rPr>
        <w:t xml:space="preserve">Artículo 52. </w:t>
      </w: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La administración pública municipal está constituida por una estructura orgánica que actúa para el cumplimiento de los objetivos del Ayuntamiento de manera programada, con base en las políticas establecidas en el Plan de Desarrollo Municipal y las que dicte el Ejecutivo Municipal; por lo que, para el ejercicio de sus atribuciones y responsabilidades ejecutivas, el Gobierno Municipal se auxiliará con las dependencias, entidades y organismos auxiliares de la administración pública municipal, que acuerde el Cabildo a propuesta de la Presidenta Municipal, las que estarán subordinadas a este servidor público.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Para una mejor eficiencia, la administración pública municipal se divide en Centralizada, Descentralizada y Desconcentrada; la Centralizada se constituye por las dependencias que señala la Ley Orgánica Municipal del Estado de México, así como por aquellas que sean creadas por acuerdo de Cabildo.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A. La Administración Pública Centralizada se integra por: </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Presidencia Municipal; </w:t>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Secretaría del Ayuntamiento </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Tesorería Municipal; </w:t>
      </w:r>
    </w:p>
    <w:p w:rsidR="00000000" w:rsidDel="00000000" w:rsidP="00000000" w:rsidRDefault="00000000" w:rsidRPr="00000000" w14:paraId="000000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Administración; </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General de Infraestructura Municipal; </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Desarrollo Urbano; </w:t>
      </w:r>
    </w:p>
    <w:p w:rsidR="00000000" w:rsidDel="00000000" w:rsidP="00000000" w:rsidRDefault="00000000" w:rsidRPr="00000000" w14:paraId="000000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Medio Ambiente; </w:t>
      </w:r>
    </w:p>
    <w:p w:rsidR="00000000" w:rsidDel="00000000" w:rsidP="00000000" w:rsidRDefault="00000000" w:rsidRPr="00000000" w14:paraId="000000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Desarrollo Económico; </w:t>
      </w:r>
    </w:p>
    <w:p w:rsidR="00000000" w:rsidDel="00000000" w:rsidP="00000000" w:rsidRDefault="00000000" w:rsidRPr="00000000" w14:paraId="000000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Bienestar Social; </w:t>
      </w:r>
    </w:p>
    <w:p w:rsidR="00000000" w:rsidDel="00000000" w:rsidP="00000000" w:rsidRDefault="00000000" w:rsidRPr="00000000" w14:paraId="000000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Salud; </w:t>
      </w:r>
    </w:p>
    <w:p w:rsidR="00000000" w:rsidDel="00000000" w:rsidP="00000000" w:rsidRDefault="00000000" w:rsidRPr="00000000" w14:paraId="000000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las Mujeres, Inclusión y Equidad; </w:t>
      </w:r>
    </w:p>
    <w:p w:rsidR="00000000" w:rsidDel="00000000" w:rsidP="00000000" w:rsidRDefault="00000000" w:rsidRPr="00000000" w14:paraId="000000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Seguridad Pública y Protección Ciudadana; </w:t>
      </w:r>
    </w:p>
    <w:p w:rsidR="00000000" w:rsidDel="00000000" w:rsidP="00000000" w:rsidRDefault="00000000" w:rsidRPr="00000000" w14:paraId="000000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Dirección de Innovación Gubernamental; y </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8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Contraloría Municipal. </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La Administración Pública Descentralizada se integra por los organismos auxiliares con personalidad jurídica y patrimonio propios, entre ellos se encuentran los siguientes: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I. Organismo Público Descentralizado para la Prestación de los Servicios de Agua Potable, Alcantarillado y Saneamiento del Municipio de Nicolás Romero (OPD-SAPASNIR);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II. Sistema Municipal para el Desarrollo Integral de la Familia (DIF); III. Instituto Municipal de Cultura Física y Deporte (IMCUFIDENR). </w:t>
      </w:r>
    </w:p>
    <w:p w:rsidR="00000000" w:rsidDel="00000000" w:rsidP="00000000" w:rsidRDefault="00000000" w:rsidRPr="00000000" w14:paraId="000000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Los Organismos Desconcentrados son aquellos que el Ayuntamiento determine crear por acuerdo de Cabildo y serán aquellas dependencias o unidades administrativas a las que la administración centralizada les transmite parte de sus funciones, con el objeto de acercar la prestación de servicios a la ciudadanía y descongestionar el poder centralizado </w:t>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76" w:lineRule="auto"/>
        <w:ind w:left="567" w:right="709" w:hanging="283"/>
        <w:jc w:val="both"/>
        <w:rPr>
          <w:rFonts w:ascii="Palatino Linotype" w:cs="Palatino Linotype" w:eastAsia="Palatino Linotype" w:hAnsi="Palatino Linotype"/>
          <w:b w:val="0"/>
          <w:i w:val="1"/>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Órgano Autónomo Municipal.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567" w:right="709" w:hanging="283"/>
        <w:jc w:val="both"/>
        <w:rPr>
          <w:rFonts w:ascii="Palatino Linotype" w:cs="Palatino Linotype" w:eastAsia="Palatino Linotype" w:hAnsi="Palatino Linotype"/>
          <w:b w:val="0"/>
          <w:i w:val="1"/>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1"/>
          <w:szCs w:val="21"/>
          <w:u w:val="none"/>
          <w:shd w:fill="auto" w:val="clear"/>
          <w:vertAlign w:val="baseline"/>
          <w:rtl w:val="0"/>
        </w:rPr>
        <w:t xml:space="preserve">I. Defensoría Municipal de Derechos Humanos. </w:t>
      </w: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ello, se advierte que, el Sujeto Obligado es competente para generar, administrar y poseer la información solicitada, en principio porque cuenta con las unidades administrativas de las que requiere obtener la información el solicitante y por otro lado, porque cuenta con una unidad administrativa encargada de administrar lo relacionado con el pago de remuneraciones a los servidores públicos.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 los agravios hechos valer por la parte Recurrente, relativos a que se le proporcionó información distinta a la solicitada, es menester referir que del análisis a las documentales proporcionadas por el Sujeto Obligado en respuesta, se advierte que, este entregó un listado de nómina correspondiente del uno al quince de mayo de dos mil veinticinco, sin embargo, esto no se equipara con los recibos de nómina, tal como se puede observar;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916128" cy="2353528"/>
            <wp:effectExtent b="0" l="0" r="0" t="0"/>
            <wp:docPr id="147864238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16128" cy="2353528"/>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considera que los agravios hechos valer por la parte Recurrente devienen </w:t>
      </w:r>
      <w:r w:rsidDel="00000000" w:rsidR="00000000" w:rsidRPr="00000000">
        <w:rPr>
          <w:rFonts w:ascii="Palatino Linotype" w:cs="Palatino Linotype" w:eastAsia="Palatino Linotype" w:hAnsi="Palatino Linotype"/>
          <w:b w:val="1"/>
          <w:rtl w:val="0"/>
        </w:rPr>
        <w:t xml:space="preserve">FUNDADOS </w:t>
      </w:r>
      <w:r w:rsidDel="00000000" w:rsidR="00000000" w:rsidRPr="00000000">
        <w:rPr>
          <w:rFonts w:ascii="Palatino Linotype" w:cs="Palatino Linotype" w:eastAsia="Palatino Linotype" w:hAnsi="Palatino Linotype"/>
          <w:rtl w:val="0"/>
        </w:rPr>
        <w:t xml:space="preserve">y por ende, se determina </w:t>
      </w:r>
      <w:r w:rsidDel="00000000" w:rsidR="00000000" w:rsidRPr="00000000">
        <w:rPr>
          <w:rFonts w:ascii="Palatino Linotype" w:cs="Palatino Linotype" w:eastAsia="Palatino Linotype" w:hAnsi="Palatino Linotype"/>
          <w:b w:val="1"/>
          <w:rtl w:val="0"/>
        </w:rPr>
        <w:t xml:space="preserve">ORDENAR </w:t>
      </w:r>
      <w:r w:rsidDel="00000000" w:rsidR="00000000" w:rsidRPr="00000000">
        <w:rPr>
          <w:rFonts w:ascii="Palatino Linotype" w:cs="Palatino Linotype" w:eastAsia="Palatino Linotype" w:hAnsi="Palatino Linotype"/>
          <w:rtl w:val="0"/>
        </w:rPr>
        <w:t xml:space="preserve">la entrega, en versión pública de los recibos de nómina de todos los servidores públicos del uno al quince de mayo de dos mil veinticinco.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no pasa desapercibido señalar que el Particular requirió los recibos de nómina debidamente firmados y en formato PDF, no obstante, en lo que respecta a las firmas, del análisis a la normatividad que regula al Sujeto Obligado, no se advierte fuente obligacional que constriña a los Sujetos Obligados a generar CFDI’s firmados por cada uno de los servidores públicos, por lo que, el Ayuntamiento de Nicolás Romero deberá hacer entrega de la información con la que cuente, tal como obre en sus archivos.</w:t>
      </w:r>
    </w:p>
    <w:p w:rsidR="00000000" w:rsidDel="00000000" w:rsidP="00000000" w:rsidRDefault="00000000" w:rsidRPr="00000000" w14:paraId="000000D5">
      <w:pPr>
        <w:tabs>
          <w:tab w:val="left" w:leader="none" w:pos="709"/>
        </w:tabs>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0D8">
      <w:pPr>
        <w:spacing w:after="0" w:line="360" w:lineRule="auto"/>
        <w:ind w:right="902"/>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 indispensable mencionar que, en los documentos que se determina ordenar contienen datos los cuales son necesarios de analizar, al tenor de lo siguiente: </w:t>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numPr>
          <w:ilvl w:val="0"/>
          <w:numId w:val="10"/>
        </w:numPr>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Clave Única de Registro de Población (CURP)</w:t>
      </w:r>
    </w:p>
    <w:p w:rsidR="00000000" w:rsidDel="00000000" w:rsidP="00000000" w:rsidRDefault="00000000" w:rsidRPr="00000000" w14:paraId="000000DC">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000000" w:rsidDel="00000000" w:rsidP="00000000" w:rsidRDefault="00000000" w:rsidRPr="00000000" w14:paraId="000000DE">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000000" w:rsidDel="00000000" w:rsidP="00000000" w:rsidRDefault="00000000" w:rsidRPr="00000000" w14:paraId="000000E0">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la Secretaría de Gobernación en las direcciones </w:t>
      </w:r>
      <w:hyperlink r:id="rId11">
        <w:r w:rsidDel="00000000" w:rsidR="00000000" w:rsidRPr="00000000">
          <w:rPr>
            <w:rFonts w:ascii="Palatino Linotype" w:cs="Palatino Linotype" w:eastAsia="Palatino Linotype" w:hAnsi="Palatino Linotype"/>
            <w:u w:val="single"/>
            <w:rtl w:val="0"/>
          </w:rPr>
          <w:t xml:space="preserve">https://consultas.curp.gob.mx/CurpSP/html/informacionecurpPS.html</w:t>
        </w:r>
      </w:hyperlink>
      <w:r w:rsidDel="00000000" w:rsidR="00000000" w:rsidRPr="00000000">
        <w:rPr>
          <w:rFonts w:ascii="Palatino Linotype" w:cs="Palatino Linotype" w:eastAsia="Palatino Linotype" w:hAnsi="Palatino Linotype"/>
          <w:rtl w:val="0"/>
        </w:rPr>
        <w:t xml:space="preserve"> y </w:t>
      </w:r>
      <w:hyperlink r:id="rId12">
        <w:r w:rsidDel="00000000" w:rsidR="00000000" w:rsidRPr="00000000">
          <w:rPr>
            <w:rFonts w:ascii="Palatino Linotype" w:cs="Palatino Linotype" w:eastAsia="Palatino Linotype" w:hAnsi="Palatino Linotype"/>
            <w:u w:val="single"/>
            <w:rtl w:val="0"/>
          </w:rPr>
          <w:t xml:space="preserve">https://www.gob.mx/segob/renapo/acciones-y-programas/clave-unica-de-registro-de-poblacion-curp-142226</w:t>
        </w:r>
      </w:hyperlink>
      <w:r w:rsidDel="00000000" w:rsidR="00000000" w:rsidRPr="00000000">
        <w:rPr>
          <w:rFonts w:ascii="Palatino Linotype" w:cs="Palatino Linotype" w:eastAsia="Palatino Linotype" w:hAnsi="Palatino Linotype"/>
          <w:rtl w:val="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Del="00000000" w:rsidR="00000000" w:rsidRPr="00000000">
        <w:rPr>
          <w:rFonts w:ascii="Palatino Linotype" w:cs="Palatino Linotype" w:eastAsia="Palatino Linotype" w:hAnsi="Palatino Linotype"/>
          <w:b w:val="1"/>
          <w:rtl w:val="0"/>
        </w:rPr>
        <w:t xml:space="preserve">se generan a partir de los datos contenidos en el documento probatorio de la identidad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interesado </w:t>
      </w:r>
      <w:r w:rsidDel="00000000" w:rsidR="00000000" w:rsidRPr="00000000">
        <w:rPr>
          <w:rFonts w:ascii="Palatino Linotype" w:cs="Palatino Linotype" w:eastAsia="Palatino Linotype" w:hAnsi="Palatino Linotype"/>
          <w:rtl w:val="0"/>
        </w:rPr>
        <w:t xml:space="preserve">(acta de nacimiento, carta de naturalización o documento migratorio) de la siguiente forma:</w:t>
      </w:r>
    </w:p>
    <w:p w:rsidR="00000000" w:rsidDel="00000000" w:rsidP="00000000" w:rsidRDefault="00000000" w:rsidRPr="00000000" w14:paraId="000000E2">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numPr>
          <w:ilvl w:val="0"/>
          <w:numId w:val="11"/>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primero y segundo apellidos, así como al nombre de pila;</w:t>
      </w:r>
    </w:p>
    <w:p w:rsidR="00000000" w:rsidDel="00000000" w:rsidP="00000000" w:rsidRDefault="00000000" w:rsidRPr="00000000" w14:paraId="000000E4">
      <w:pPr>
        <w:numPr>
          <w:ilvl w:val="0"/>
          <w:numId w:val="11"/>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fecha de nacimiento;</w:t>
      </w:r>
    </w:p>
    <w:p w:rsidR="00000000" w:rsidDel="00000000" w:rsidP="00000000" w:rsidRDefault="00000000" w:rsidRPr="00000000" w14:paraId="000000E5">
      <w:pPr>
        <w:numPr>
          <w:ilvl w:val="0"/>
          <w:numId w:val="11"/>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sexo, y</w:t>
      </w:r>
    </w:p>
    <w:p w:rsidR="00000000" w:rsidDel="00000000" w:rsidP="00000000" w:rsidRDefault="00000000" w:rsidRPr="00000000" w14:paraId="000000E6">
      <w:pPr>
        <w:numPr>
          <w:ilvl w:val="0"/>
          <w:numId w:val="11"/>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entidad federativa de nacimiento.</w:t>
      </w:r>
    </w:p>
    <w:p w:rsidR="00000000" w:rsidDel="00000000" w:rsidP="00000000" w:rsidRDefault="00000000" w:rsidRPr="00000000" w14:paraId="000000E7">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dos últimos elementos de la Clave Única de Registro de Población evitan la duplicidad de la Clave y garantizan su correcta integración.</w:t>
      </w:r>
    </w:p>
    <w:p w:rsidR="00000000" w:rsidDel="00000000" w:rsidP="00000000" w:rsidRDefault="00000000" w:rsidRPr="00000000" w14:paraId="000000E9">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0EB">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el Criterio Orientador, de la Segunda Época, con número de registro SO/018/2017, emitido por el Instituto Nacional de Transparencia, Acceso a la Información y Protección de Datos Personales, vigente a la fecha de la solicitud, que establece lo siguiente:</w:t>
      </w:r>
    </w:p>
    <w:p w:rsidR="00000000" w:rsidDel="00000000" w:rsidP="00000000" w:rsidRDefault="00000000" w:rsidRPr="00000000" w14:paraId="000000ED">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after="0" w:lineRule="auto"/>
        <w:ind w:left="1134"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00000" w:rsidDel="00000000" w:rsidP="00000000" w:rsidRDefault="00000000" w:rsidRPr="00000000" w14:paraId="000000EF">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000000" w:rsidDel="00000000" w:rsidP="00000000" w:rsidRDefault="00000000" w:rsidRPr="00000000" w14:paraId="000000F1">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numPr>
          <w:ilvl w:val="0"/>
          <w:numId w:val="10"/>
        </w:numPr>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Registro Federal de Contribuyentes (RFC)</w:t>
      </w:r>
    </w:p>
    <w:p w:rsidR="00000000" w:rsidDel="00000000" w:rsidP="00000000" w:rsidRDefault="00000000" w:rsidRPr="00000000" w14:paraId="000000F3">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4">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000000" w:rsidDel="00000000" w:rsidP="00000000" w:rsidRDefault="00000000" w:rsidRPr="00000000" w14:paraId="000000F5">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000000" w:rsidDel="00000000" w:rsidP="00000000" w:rsidRDefault="00000000" w:rsidRPr="00000000" w14:paraId="000000F7">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000000" w:rsidDel="00000000" w:rsidP="00000000" w:rsidRDefault="00000000" w:rsidRPr="00000000" w14:paraId="000000F9">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000000" w:rsidDel="00000000" w:rsidP="00000000" w:rsidRDefault="00000000" w:rsidRPr="00000000" w14:paraId="000000FB">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C">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rsidR="00000000" w:rsidDel="00000000" w:rsidP="00000000" w:rsidRDefault="00000000" w:rsidRPr="00000000" w14:paraId="000000FD">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E">
      <w:pPr>
        <w:spacing w:after="0" w:lineRule="auto"/>
        <w:ind w:left="1134"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0FF">
      <w:pPr>
        <w:spacing w:after="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0">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000000" w:rsidDel="00000000" w:rsidP="00000000" w:rsidRDefault="00000000" w:rsidRPr="00000000" w14:paraId="00000101">
      <w:pPr>
        <w:tabs>
          <w:tab w:val="center" w:leader="none" w:pos="4522"/>
        </w:tabs>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2">
      <w:pPr>
        <w:numPr>
          <w:ilvl w:val="0"/>
          <w:numId w:val="10"/>
        </w:numPr>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seguridad social del Instituto de Seguridad Social del Estado de México y Municipios</w:t>
      </w:r>
    </w:p>
    <w:p w:rsidR="00000000" w:rsidDel="00000000" w:rsidP="00000000" w:rsidRDefault="00000000" w:rsidRPr="00000000" w14:paraId="00000103">
      <w:pPr>
        <w:spacing w:after="0"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4">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000000" w:rsidDel="00000000" w:rsidP="00000000" w:rsidRDefault="00000000" w:rsidRPr="00000000" w14:paraId="00000105">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000000" w:rsidDel="00000000" w:rsidP="00000000" w:rsidRDefault="00000000" w:rsidRPr="00000000" w14:paraId="00000107">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000000" w:rsidDel="00000000" w:rsidP="00000000" w:rsidRDefault="00000000" w:rsidRPr="00000000" w14:paraId="00000109">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numPr>
          <w:ilvl w:val="0"/>
          <w:numId w:val="1"/>
        </w:numPr>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Sellos digitales del emisor y del Servicio de Administración Tributaria y cadena original del complemento de certificación digital del órgano previamente señalado; así como los respectivos números de serie de los certificados de sellos digitales y número de serie del emisor. </w:t>
      </w:r>
      <w:r w:rsidDel="00000000" w:rsidR="00000000" w:rsidRPr="00000000">
        <w:rPr>
          <w:rtl w:val="0"/>
        </w:rPr>
      </w:r>
    </w:p>
    <w:p w:rsidR="00000000" w:rsidDel="00000000" w:rsidP="00000000" w:rsidRDefault="00000000" w:rsidRPr="00000000" w14:paraId="0000010D">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000000" w:rsidDel="00000000" w:rsidP="00000000" w:rsidRDefault="00000000" w:rsidRPr="00000000" w14:paraId="0000010F">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0">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cadenas originales y sellos que se agregan a las facturas</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rsidR="00000000" w:rsidDel="00000000" w:rsidP="00000000" w:rsidRDefault="00000000" w:rsidRPr="00000000" w14:paraId="00000111">
      <w:pPr>
        <w:spacing w:after="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2">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3">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Elementos utilizados en la generación de Sellos Digitales:</w:t>
      </w:r>
    </w:p>
    <w:p w:rsidR="00000000" w:rsidDel="00000000" w:rsidP="00000000" w:rsidRDefault="00000000" w:rsidRPr="00000000" w14:paraId="00000114">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t xml:space="preserve">Cadena Original, el elemento a sellar, en este caso de un comprobante fiscal digital a través de Internet.</w:t>
      </w:r>
    </w:p>
    <w:p w:rsidR="00000000" w:rsidDel="00000000" w:rsidP="00000000" w:rsidRDefault="00000000" w:rsidRPr="00000000" w14:paraId="00000115">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t xml:space="preserve">Certificado de Sello Digital y su correspondiente clave privada.</w:t>
      </w:r>
    </w:p>
    <w:p w:rsidR="00000000" w:rsidDel="00000000" w:rsidP="00000000" w:rsidRDefault="00000000" w:rsidRPr="00000000" w14:paraId="00000116">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t xml:space="preserve">Algoritmos de criptografía de clave pública para firma electrónica avanzada.</w:t>
      </w:r>
    </w:p>
    <w:p w:rsidR="00000000" w:rsidDel="00000000" w:rsidP="00000000" w:rsidRDefault="00000000" w:rsidRPr="00000000" w14:paraId="00000117">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t xml:space="preserve">Especificaciones de conversión de la firma electrónica avanzada a Base 64.</w:t>
      </w:r>
    </w:p>
    <w:p w:rsidR="00000000" w:rsidDel="00000000" w:rsidP="00000000" w:rsidRDefault="00000000" w:rsidRPr="00000000" w14:paraId="00000118">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generación de sellos digitales se utiliza criptografía de clave pública aplicada a una cadena original.</w:t>
      </w:r>
    </w:p>
    <w:p w:rsidR="00000000" w:rsidDel="00000000" w:rsidP="00000000" w:rsidRDefault="00000000" w:rsidRPr="00000000" w14:paraId="00000119">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Criptografía de la Clave Pública</w:t>
      </w:r>
    </w:p>
    <w:p w:rsidR="00000000" w:rsidDel="00000000" w:rsidP="00000000" w:rsidRDefault="00000000" w:rsidRPr="00000000" w14:paraId="0000011A">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000000" w:rsidDel="00000000" w:rsidP="00000000" w:rsidRDefault="00000000" w:rsidRPr="00000000" w14:paraId="0000011B">
      <w:pPr>
        <w:spacing w:after="0" w:lineRule="auto"/>
        <w:ind w:left="567" w:right="53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C">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1D">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no obstante, en el presente caso, el Sujeto Obligado señaló que estos se integraban del RFC de los trabajadores por lo que, son susceptibles de ser clasificados como confidencial. </w:t>
      </w:r>
    </w:p>
    <w:p w:rsidR="00000000" w:rsidDel="00000000" w:rsidP="00000000" w:rsidRDefault="00000000" w:rsidRPr="00000000" w14:paraId="0000011E">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por lo que hace al número de serie de los certificados de Sello Digitales del emisor y del Servicio de Administración Tributaria, el ANEXO 20 de la Segunda Resolución de modificaciones a la Resolución Miscelánea Fiscal, 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13">
        <w:r w:rsidDel="00000000" w:rsidR="00000000" w:rsidRPr="00000000">
          <w:rPr>
            <w:rFonts w:ascii="Palatino Linotype" w:cs="Palatino Linotype" w:eastAsia="Palatino Linotype" w:hAnsi="Palatino Linotype"/>
            <w:u w:val="single"/>
            <w:rtl w:val="0"/>
          </w:rPr>
          <w:t xml:space="preserve">https://portalanterior.ine.mx/archivos2/tutoriales/sistemas/ApoyoInstitucional/SIF/docs/candidatos/folioFiscalFactura.pdf</w:t>
        </w:r>
      </w:hyperlink>
      <w:r w:rsidDel="00000000" w:rsidR="00000000" w:rsidRPr="00000000">
        <w:rPr>
          <w:rFonts w:ascii="Palatino Linotype" w:cs="Palatino Linotype" w:eastAsia="Palatino Linotype" w:hAnsi="Palatino Linotype"/>
          <w:rtl w:val="0"/>
        </w:rPr>
        <w:t xml:space="preserve">), en la cual se advierte que únicamente se encuentra conformado por números, se muestra a continuación:</w:t>
      </w:r>
    </w:p>
    <w:p w:rsidR="00000000" w:rsidDel="00000000" w:rsidP="00000000" w:rsidRDefault="00000000" w:rsidRPr="00000000" w14:paraId="00000120">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360" w:lineRule="auto"/>
        <w:ind w:left="567"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19659" cy="914407"/>
            <wp:effectExtent b="0" l="0" r="0" t="0"/>
            <wp:docPr descr="Imagen que contiene Texto&#10;&#10;Descripción generada automáticamente" id="1478642388" name="image4.png"/>
            <a:graphic>
              <a:graphicData uri="http://schemas.openxmlformats.org/drawingml/2006/picture">
                <pic:pic>
                  <pic:nvPicPr>
                    <pic:cNvPr descr="Imagen que contiene Texto&#10;&#10;Descripción generada automáticamente" id="0" name="image4.png"/>
                    <pic:cNvPicPr preferRelativeResize="0"/>
                  </pic:nvPicPr>
                  <pic:blipFill>
                    <a:blip r:embed="rId14"/>
                    <a:srcRect b="0" l="0" r="0" t="0"/>
                    <a:stretch>
                      <a:fillRect/>
                    </a:stretch>
                  </pic:blipFill>
                  <pic:spPr>
                    <a:xfrm>
                      <a:off x="0" y="0"/>
                      <a:ext cx="4619659" cy="914407"/>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360" w:lineRule="auto"/>
        <w:ind w:left="567"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logra observar, por sí solos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p>
    <w:p w:rsidR="00000000" w:rsidDel="00000000" w:rsidP="00000000" w:rsidRDefault="00000000" w:rsidRPr="00000000" w14:paraId="00000124">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numPr>
          <w:ilvl w:val="0"/>
          <w:numId w:val="1"/>
        </w:numPr>
        <w:spacing w:after="0" w:line="360" w:lineRule="auto"/>
        <w:ind w:left="567"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Código bidimensional o Qr</w:t>
      </w:r>
    </w:p>
    <w:p w:rsidR="00000000" w:rsidDel="00000000" w:rsidP="00000000" w:rsidRDefault="00000000" w:rsidRPr="00000000" w14:paraId="00000126">
      <w:pPr>
        <w:spacing w:after="0"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7">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resulta necesario señalar que los comprobantes fiscales digitales por Internet, deben de incluir un código bidimensional conforme al formato </w:t>
      </w:r>
      <w:r w:rsidDel="00000000" w:rsidR="00000000" w:rsidRPr="00000000">
        <w:rPr>
          <w:rFonts w:ascii="Palatino Linotype" w:cs="Palatino Linotype" w:eastAsia="Palatino Linotype" w:hAnsi="Palatino Linotype"/>
          <w:i w:val="1"/>
          <w:rtl w:val="0"/>
        </w:rPr>
        <w:t xml:space="preserve">QR Code (Quick Response Code)</w:t>
      </w:r>
      <w:r w:rsidDel="00000000" w:rsidR="00000000" w:rsidRPr="00000000">
        <w:rPr>
          <w:rFonts w:ascii="Palatino Linotype" w:cs="Palatino Linotype" w:eastAsia="Palatino Linotype" w:hAnsi="Palatino Linotype"/>
          <w:rtl w:val="0"/>
        </w:rPr>
        <w:t xml:space="preserv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 los servidores públicos.</w:t>
      </w:r>
    </w:p>
    <w:p w:rsidR="00000000" w:rsidDel="00000000" w:rsidP="00000000" w:rsidRDefault="00000000" w:rsidRPr="00000000" w14:paraId="00000128">
      <w:pP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000000" w:rsidDel="00000000" w:rsidP="00000000" w:rsidRDefault="00000000" w:rsidRPr="00000000" w14:paraId="00000129">
      <w:pP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tabs>
          <w:tab w:val="left" w:leader="none" w:pos="4962"/>
        </w:tabs>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pasa desapercibido mencionar que, el Sujeto Obligado dejó visibles datos personales confidenciales en la respuesta proporcionada a la solicitud de información que nos ocupa, a saber, la cuenta bancaria del servidor público, circunstancia que vulnera lo previsto en el artículo 143, fracción I, de la Ley de Transparencia y Acceso a la Información Pública del Estado de México y Municipios. </w:t>
      </w:r>
    </w:p>
    <w:p w:rsidR="00000000" w:rsidDel="00000000" w:rsidP="00000000" w:rsidRDefault="00000000" w:rsidRPr="00000000" w14:paraId="0000012B">
      <w:pPr>
        <w:tabs>
          <w:tab w:val="left" w:leader="none" w:pos="4962"/>
        </w:tabs>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tabs>
          <w:tab w:val="left" w:leader="none" w:pos="4962"/>
        </w:tabs>
        <w:spacing w:after="0" w:line="360" w:lineRule="auto"/>
        <w:ind w:left="56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Deducciones personales y por Ley. </w:t>
      </w: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es necesario precisar que existen deducciones que se generan con motivo de una decisión libre y voluntaria de los servidores públicos, como son: créditos personales, fondo de resistencia del Sindicato Único de Trabajadores de los Poderes, Municipios e Institución Descentralizadas del Estado de México, seguro de vida, accidentes y enfermedades. </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hay otras que se generan con motivo de una sentencia judicial, como es la pensión alimenticia que periódicamente se retira de la cuenta de un empleado, a efecto de que sea entregado a un tercero. </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dichas deducciones reflejan el destino que un servidor público da a su patrimonio y por lo tanto, resulta procedente clasificar dichos datos, en el caso, que obren, en el documento que dé cuenta de lo requerido, en términos del artículo 143, fracción I de la Ley de Transparencia y Acceso a la Información Pública del Estado de México y Municipios, no obstante, cuando se traten de deducciones por Ley, este dato, no es susceptible de ser clasificado.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derivado de la información que se ordena entregar existe información de la </w:t>
      </w:r>
      <w:r w:rsidDel="00000000" w:rsidR="00000000" w:rsidRPr="00000000">
        <w:rPr>
          <w:rFonts w:ascii="Palatino Linotype" w:cs="Palatino Linotype" w:eastAsia="Palatino Linotype" w:hAnsi="Palatino Linotype"/>
          <w:b w:val="1"/>
          <w:rtl w:val="0"/>
        </w:rPr>
        <w:t xml:space="preserve">Dirección de Seguridad Pública del Ayuntamiento o su equivalente,</w:t>
      </w:r>
      <w:r w:rsidDel="00000000" w:rsidR="00000000" w:rsidRPr="00000000">
        <w:rPr>
          <w:rFonts w:ascii="Palatino Linotype" w:cs="Palatino Linotype" w:eastAsia="Palatino Linotype" w:hAnsi="Palatino Linotype"/>
          <w:rtl w:val="0"/>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por lo que deberá testarse de igual manera sólo el nombre de los servidores públicos de la Policía Municipal </w:t>
      </w:r>
      <w:r w:rsidDel="00000000" w:rsidR="00000000" w:rsidRPr="00000000">
        <w:rPr>
          <w:rFonts w:ascii="Palatino Linotype" w:cs="Palatino Linotype" w:eastAsia="Palatino Linotype" w:hAnsi="Palatino Linotype"/>
          <w:b w:val="1"/>
          <w:rtl w:val="0"/>
        </w:rPr>
        <w:t xml:space="preserve">que desempeñen funciones operativas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información </w:t>
      </w:r>
      <w:r w:rsidDel="00000000" w:rsidR="00000000" w:rsidRPr="00000000">
        <w:rPr>
          <w:rFonts w:ascii="Palatino Linotype" w:cs="Palatino Linotype" w:eastAsia="Palatino Linotype" w:hAnsi="Palatino Linotype"/>
          <w:b w:val="1"/>
          <w:rtl w:val="0"/>
        </w:rPr>
        <w:t xml:space="preserve">de los elementos que realizan funciones operativas, entre ellos su nombre debe ser protegido</w:t>
      </w:r>
      <w:r w:rsidDel="00000000" w:rsidR="00000000" w:rsidRPr="00000000">
        <w:rPr>
          <w:rFonts w:ascii="Palatino Linotype" w:cs="Palatino Linotype" w:eastAsia="Palatino Linotype" w:hAnsi="Palatino Linotype"/>
          <w:rtl w:val="0"/>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rsidR="00000000" w:rsidDel="00000000" w:rsidP="00000000" w:rsidRDefault="00000000" w:rsidRPr="00000000" w14:paraId="0000013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r w:rsidDel="00000000" w:rsidR="00000000" w:rsidRPr="00000000">
        <w:rPr>
          <w:rtl w:val="0"/>
        </w:rPr>
      </w:r>
    </w:p>
    <w:p w:rsidR="00000000" w:rsidDel="00000000" w:rsidP="00000000" w:rsidRDefault="00000000" w:rsidRPr="00000000" w14:paraId="0000013B">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rtl w:val="0"/>
        </w:rPr>
        <w:t xml:space="preserve">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r w:rsidDel="00000000" w:rsidR="00000000" w:rsidRPr="00000000">
        <w:rPr>
          <w:rtl w:val="0"/>
        </w:rPr>
      </w:r>
    </w:p>
    <w:p w:rsidR="00000000" w:rsidDel="00000000" w:rsidP="00000000" w:rsidRDefault="00000000" w:rsidRPr="00000000" w14:paraId="0000013D">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rtl w:val="0"/>
        </w:rPr>
        <w:t xml:space="preserve">En ese entendido, la leyenda de clasificación que se genere, deberá establecer ambos supuestos de clasificación: reserva y confidencialidad, en congruencia con los requisitos establecidos en los lineamientos citados.</w:t>
      </w:r>
      <w:r w:rsidDel="00000000" w:rsidR="00000000" w:rsidRPr="00000000">
        <w:rPr>
          <w:rtl w:val="0"/>
        </w:rPr>
      </w:r>
    </w:p>
    <w:p w:rsidR="00000000" w:rsidDel="00000000" w:rsidP="00000000" w:rsidRDefault="00000000" w:rsidRPr="00000000" w14:paraId="0000013F">
      <w:pPr>
        <w:spacing w:after="0" w:line="360" w:lineRule="auto"/>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567" w:right="616" w:firstLine="0"/>
        <w:jc w:val="both"/>
        <w:rPr/>
      </w:pPr>
      <w:r w:rsidDel="00000000" w:rsidR="00000000" w:rsidRPr="00000000">
        <w:rPr>
          <w:rFonts w:ascii="Palatino Linotype" w:cs="Palatino Linotype" w:eastAsia="Palatino Linotype" w:hAnsi="Palatino Linotype"/>
          <w:b w:val="1"/>
          <w:i w:val="1"/>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Del="00000000" w:rsidR="00000000" w:rsidRPr="00000000">
        <w:rPr>
          <w:rtl w:val="0"/>
        </w:rPr>
      </w:r>
    </w:p>
    <w:p w:rsidR="00000000" w:rsidDel="00000000" w:rsidP="00000000" w:rsidRDefault="00000000" w:rsidRPr="00000000" w14:paraId="00000143">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rtl w:val="0"/>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Del="00000000" w:rsidR="00000000" w:rsidRPr="00000000">
        <w:rPr>
          <w:rFonts w:ascii="Palatino Linotype" w:cs="Palatino Linotype" w:eastAsia="Palatino Linotype" w:hAnsi="Palatino Linotype"/>
          <w:b w:val="1"/>
          <w:rtl w:val="0"/>
        </w:rPr>
        <w:t xml:space="preserve">funciones de carácter operativo.</w:t>
      </w:r>
      <w:r w:rsidDel="00000000" w:rsidR="00000000" w:rsidRPr="00000000">
        <w:rPr>
          <w:rtl w:val="0"/>
        </w:rPr>
      </w:r>
    </w:p>
    <w:p w:rsidR="00000000" w:rsidDel="00000000" w:rsidP="00000000" w:rsidRDefault="00000000" w:rsidRPr="00000000" w14:paraId="00000145">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360" w:lineRule="auto"/>
        <w:jc w:val="both"/>
        <w:rPr/>
      </w:pPr>
      <w:r w:rsidDel="00000000" w:rsidR="00000000" w:rsidRPr="00000000">
        <w:rPr>
          <w:rFonts w:ascii="Palatino Linotype" w:cs="Palatino Linotype" w:eastAsia="Palatino Linotype" w:hAnsi="Palatino Linotype"/>
          <w:rtl w:val="0"/>
        </w:rPr>
        <w:t xml:space="preserve">Sirven de sustento a lo anterior las tesis jurisprudenciales emitidas por la Suprema corte de Justicia de la Nación, que son del literal siguiente:</w:t>
      </w:r>
      <w:r w:rsidDel="00000000" w:rsidR="00000000" w:rsidRPr="00000000">
        <w:rPr>
          <w:rtl w:val="0"/>
        </w:rPr>
      </w:r>
    </w:p>
    <w:p w:rsidR="00000000" w:rsidDel="00000000" w:rsidP="00000000" w:rsidRDefault="00000000" w:rsidRPr="00000000" w14:paraId="00000147">
      <w:pPr>
        <w:spacing w:after="0" w:line="360" w:lineRule="auto"/>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Rule="auto"/>
        <w:ind w:left="567" w:right="616" w:firstLine="0"/>
        <w:jc w:val="both"/>
        <w:rPr/>
      </w:pPr>
      <w:r w:rsidDel="00000000" w:rsidR="00000000" w:rsidRPr="00000000">
        <w:rPr>
          <w:rFonts w:ascii="Palatino Linotype" w:cs="Palatino Linotype" w:eastAsia="Palatino Linotype" w:hAnsi="Palatino Linotype"/>
          <w:b w:val="1"/>
          <w:i w:val="1"/>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rtl w:val="0"/>
        </w:rPr>
        <w:t xml:space="preserve">mientras que por lo que respecta a la protección de la persona existen normas que protegen el derecho a la vida o a la privacidad de los gobernados.</w:t>
      </w:r>
      <w:r w:rsidDel="00000000" w:rsidR="00000000" w:rsidRPr="00000000">
        <w:rPr>
          <w:rtl w:val="0"/>
        </w:rPr>
      </w:r>
    </w:p>
    <w:p w:rsidR="00000000" w:rsidDel="00000000" w:rsidP="00000000" w:rsidRDefault="00000000" w:rsidRPr="00000000" w14:paraId="00000149">
      <w:pPr>
        <w:spacing w:after="0" w:lineRule="auto"/>
        <w:ind w:left="567" w:right="616" w:firstLine="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Rule="auto"/>
        <w:ind w:left="567" w:right="616" w:firstLine="0"/>
        <w:jc w:val="both"/>
        <w:rPr/>
      </w:pP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r w:rsidDel="00000000" w:rsidR="00000000" w:rsidRPr="00000000">
        <w:rPr>
          <w:rtl w:val="0"/>
        </w:rPr>
      </w:r>
    </w:p>
    <w:p w:rsidR="00000000" w:rsidDel="00000000" w:rsidP="00000000" w:rsidRDefault="00000000" w:rsidRPr="00000000" w14:paraId="0000014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4D">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4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5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5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5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5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5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57">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58">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59">
      <w:pPr>
        <w:tabs>
          <w:tab w:val="left" w:leader="none" w:pos="1134"/>
        </w:tabs>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5A">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B">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C">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5D">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5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5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6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61">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63">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7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7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76">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77">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78">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79">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7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7E">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7F">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0">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81">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82">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83">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84">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85">
      <w:pPr>
        <w:spacing w:after="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8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8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07864/INFOEM/IP/RR/2025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00165/NICOROM/IP/2025</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18A">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8C">
      <w:pPr>
        <w:spacing w:after="0" w:line="360" w:lineRule="auto"/>
        <w:ind w:right="49"/>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8D">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07864/INFOEM/IP/RR/2025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REVOCA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9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1">
      <w:pPr>
        <w:spacing w:after="0" w:line="360" w:lineRule="auto"/>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w:t>
      </w:r>
      <w:r w:rsidDel="00000000" w:rsidR="00000000" w:rsidRPr="00000000">
        <w:rPr>
          <w:rFonts w:ascii="Palatino Linotype" w:cs="Palatino Linotype" w:eastAsia="Palatino Linotype" w:hAnsi="Palatino Linotype"/>
          <w:b w:val="1"/>
          <w:rtl w:val="0"/>
        </w:rPr>
        <w:t xml:space="preserve">Cuarto y Quinto</w:t>
      </w:r>
      <w:r w:rsidDel="00000000" w:rsidR="00000000" w:rsidRPr="00000000">
        <w:rPr>
          <w:rFonts w:ascii="Palatino Linotype" w:cs="Palatino Linotype" w:eastAsia="Palatino Linotype" w:hAnsi="Palatino Linotype"/>
          <w:rtl w:val="0"/>
        </w:rPr>
        <w:t xml:space="preserve">, haga entrega, previa búsqueda exhaustiva y razonable, vía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versión pública, en formato PDF o en el que se haya generado, de la siguiente información: </w:t>
      </w:r>
    </w:p>
    <w:p w:rsidR="00000000" w:rsidDel="00000000" w:rsidP="00000000" w:rsidRDefault="00000000" w:rsidRPr="00000000" w14:paraId="0000019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7"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Recibos de nómina de todos los servidores públicos, correspondiente a la primera quincena de mayo de dos mil veinticinco</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left" w:leader="none" w:pos="709"/>
        </w:tabs>
        <w:spacing w:after="0" w:line="360" w:lineRule="auto"/>
        <w:ind w:left="720" w:right="42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spacing w:after="0" w:lineRule="auto"/>
        <w:ind w:left="567" w:right="615"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96">
      <w:pPr>
        <w:spacing w:after="0" w:lineRule="auto"/>
        <w:ind w:left="567" w:right="61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7">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98">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9">
      <w:pPr>
        <w:spacing w:after="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vía SAIMEX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9A">
      <w:pPr>
        <w:spacing w:after="0" w:line="360" w:lineRule="auto"/>
        <w:ind w:right="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D">
      <w:pPr>
        <w:spacing w:after="0" w:line="360" w:lineRule="auto"/>
        <w:ind w:right="49"/>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SEGUNDA SESIÓN ORDINARIA CELEBRADA EL DIEZ DE SEPTIEMBRE DE DOS MIL VEINTICINCO, ANTE EL SECRETARIO TÉCNICO DEL PLENO ALEXIS TAPIA RAMÍREZ.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2041" w:left="1701" w:right="160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-744853</wp:posOffset>
          </wp:positionH>
          <wp:positionV relativeFrom="paragraph">
            <wp:posOffset>-315593</wp:posOffset>
          </wp:positionV>
          <wp:extent cx="7809876" cy="10165823"/>
          <wp:effectExtent b="0" l="0" r="0" t="0"/>
          <wp:wrapNone/>
          <wp:docPr id="147864238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07864/INFOEM/IP/RR/202</w:t>
          </w:r>
          <w:r w:rsidDel="00000000" w:rsidR="00000000" w:rsidRPr="00000000">
            <w:rPr>
              <w:rFonts w:ascii="Palatino Linotype" w:cs="Palatino Linotype" w:eastAsia="Palatino Linotype" w:hAnsi="Palatino Linotype"/>
              <w:b w:val="1"/>
              <w:sz w:val="20"/>
              <w:szCs w:val="20"/>
              <w:rtl w:val="0"/>
            </w:rPr>
            <w:t xml:space="preserve">5</w:t>
          </w:r>
          <w:r w:rsidDel="00000000" w:rsidR="00000000" w:rsidRPr="00000000">
            <w:rPr>
              <w:rtl w:val="0"/>
            </w:rPr>
          </w:r>
        </w:p>
      </w:tc>
    </w:tr>
    <w:tr>
      <w:trPr>
        <w:cantSplit w:val="0"/>
        <w:trHeight w:val="217" w:hRule="atLeast"/>
        <w:tblHeader w:val="0"/>
      </w:trPr>
      <w:tc>
        <w:tcPr>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Nicolás Romero</w:t>
          </w:r>
        </w:p>
      </w:tc>
    </w:tr>
    <w:tr>
      <w:trPr>
        <w:cantSplit w:val="0"/>
        <w:tblHeader w:val="0"/>
      </w:trPr>
      <w:tc>
        <w:tcPr>
          <w:vAlign w:val="center"/>
        </w:tcPr>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-712466</wp:posOffset>
          </wp:positionH>
          <wp:positionV relativeFrom="paragraph">
            <wp:posOffset>-117472</wp:posOffset>
          </wp:positionV>
          <wp:extent cx="7809865" cy="10165715"/>
          <wp:effectExtent b="0" l="0" r="0" t="0"/>
          <wp:wrapNone/>
          <wp:docPr id="14786423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595.0" w:type="dxa"/>
      <w:jc w:val="left"/>
      <w:tblInd w:w="3611.0" w:type="dxa"/>
      <w:tblLayout w:type="fixed"/>
      <w:tblLook w:val="0400"/>
    </w:tblPr>
    <w:tblGrid>
      <w:gridCol w:w="2565"/>
      <w:gridCol w:w="3030"/>
      <w:tblGridChange w:id="0">
        <w:tblGrid>
          <w:gridCol w:w="2565"/>
          <w:gridCol w:w="3030"/>
        </w:tblGrid>
      </w:tblGridChange>
    </w:tblGrid>
    <w:tr>
      <w:trPr>
        <w:cantSplit w:val="0"/>
        <w:tblHeader w:val="0"/>
      </w:trPr>
      <w:tc>
        <w:tcPr>
          <w:vAlign w:val="center"/>
        </w:tcPr>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07864/INFOEM/IP/RR/2025</w:t>
          </w:r>
        </w:p>
      </w:tc>
    </w:tr>
    <w:tr>
      <w:trPr>
        <w:cantSplit w:val="0"/>
        <w:tblHeader w:val="0"/>
      </w:trPr>
      <w:tc>
        <w:tcPr>
          <w:vAlign w:val="center"/>
        </w:tcPr>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rtl w:val="0"/>
            </w:rPr>
            <w:t xml:space="preserve">XXXXX XXXXXXXX XXXXXXXXX </w:t>
          </w: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1C1">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C2">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Nicolás Romero</w:t>
          </w:r>
        </w:p>
      </w:tc>
    </w:tr>
    <w:tr>
      <w:trPr>
        <w:cantSplit w:val="0"/>
        <w:tblHeader w:val="0"/>
      </w:trPr>
      <w:tc>
        <w:tcPr>
          <w:vAlign w:val="center"/>
        </w:tcPr>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6"/>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720" w:hanging="360"/>
      </w:pPr>
      <w:rPr/>
    </w:lvl>
    <w:lvl w:ilvl="1">
      <w:start w:val="1"/>
      <w:numFmt w:val="upperRoman"/>
      <w:lvlText w:val="%2."/>
      <w:lvlJc w:val="right"/>
      <w:pPr>
        <w:ind w:left="1440" w:hanging="360"/>
      </w:pPr>
      <w:rPr/>
    </w:lvl>
    <w:lvl w:ilvl="2">
      <w:start w:val="1"/>
      <w:numFmt w:val="upperRoman"/>
      <w:lvlText w:val="%3."/>
      <w:lvlJc w:val="right"/>
      <w:pPr>
        <w:ind w:left="2160" w:hanging="360"/>
      </w:pPr>
      <w:rPr/>
    </w:lvl>
    <w:lvl w:ilvl="3">
      <w:start w:val="1"/>
      <w:numFmt w:val="upperRoman"/>
      <w:lvlText w:val="%4."/>
      <w:lvlJc w:val="right"/>
      <w:pPr>
        <w:ind w:left="2880" w:hanging="360"/>
      </w:pPr>
      <w:rPr/>
    </w:lvl>
    <w:lvl w:ilvl="4">
      <w:start w:val="1"/>
      <w:numFmt w:val="upperRoman"/>
      <w:lvlText w:val="%5."/>
      <w:lvlJc w:val="right"/>
      <w:pPr>
        <w:ind w:left="3600" w:hanging="360"/>
      </w:pPr>
      <w:rPr/>
    </w:lvl>
    <w:lvl w:ilvl="5">
      <w:start w:val="1"/>
      <w:numFmt w:val="upperRoman"/>
      <w:lvlText w:val="%6."/>
      <w:lvlJc w:val="right"/>
      <w:pPr>
        <w:ind w:left="4320" w:hanging="360"/>
      </w:pPr>
      <w:rPr/>
    </w:lvl>
    <w:lvl w:ilvl="6">
      <w:start w:val="1"/>
      <w:numFmt w:val="upperRoman"/>
      <w:lvlText w:val="%7."/>
      <w:lvlJc w:val="right"/>
      <w:pPr>
        <w:ind w:left="5040" w:hanging="360"/>
      </w:pPr>
      <w:rPr/>
    </w:lvl>
    <w:lvl w:ilvl="7">
      <w:start w:val="1"/>
      <w:numFmt w:val="upperRoman"/>
      <w:lvlText w:val="%8."/>
      <w:lvlJc w:val="right"/>
      <w:pPr>
        <w:ind w:left="5760" w:hanging="360"/>
      </w:pPr>
      <w:rPr/>
    </w:lvl>
    <w:lvl w:ilvl="8">
      <w:start w:val="1"/>
      <w:numFmt w:val="upperRoman"/>
      <w:lvlText w:val="%9."/>
      <w:lvlJc w:val="right"/>
      <w:pPr>
        <w:ind w:left="6480" w:hanging="360"/>
      </w:pPr>
      <w:rPr/>
    </w:lvl>
  </w:abstractNum>
  <w:abstractNum w:abstractNumId="5">
    <w:lvl w:ilvl="0">
      <w:start w:val="4"/>
      <w:numFmt w:val="upperRoman"/>
      <w:lvlText w:val="%1."/>
      <w:lvlJc w:val="right"/>
      <w:pPr>
        <w:ind w:left="720" w:hanging="360"/>
      </w:pPr>
      <w:rPr/>
    </w:lvl>
    <w:lvl w:ilvl="1">
      <w:start w:val="1"/>
      <w:numFmt w:val="upperRoman"/>
      <w:lvlText w:val="%2."/>
      <w:lvlJc w:val="right"/>
      <w:pPr>
        <w:ind w:left="1440" w:hanging="360"/>
      </w:pPr>
      <w:rPr/>
    </w:lvl>
    <w:lvl w:ilvl="2">
      <w:start w:val="1"/>
      <w:numFmt w:val="upperRoman"/>
      <w:lvlText w:val="%3."/>
      <w:lvlJc w:val="right"/>
      <w:pPr>
        <w:ind w:left="2160" w:hanging="360"/>
      </w:pPr>
      <w:rPr/>
    </w:lvl>
    <w:lvl w:ilvl="3">
      <w:start w:val="1"/>
      <w:numFmt w:val="upperRoman"/>
      <w:lvlText w:val="%4."/>
      <w:lvlJc w:val="right"/>
      <w:pPr>
        <w:ind w:left="2880" w:hanging="360"/>
      </w:pPr>
      <w:rPr/>
    </w:lvl>
    <w:lvl w:ilvl="4">
      <w:start w:val="1"/>
      <w:numFmt w:val="upperRoman"/>
      <w:lvlText w:val="%5."/>
      <w:lvlJc w:val="right"/>
      <w:pPr>
        <w:ind w:left="3600" w:hanging="360"/>
      </w:pPr>
      <w:rPr/>
    </w:lvl>
    <w:lvl w:ilvl="5">
      <w:start w:val="1"/>
      <w:numFmt w:val="upperRoman"/>
      <w:lvlText w:val="%6."/>
      <w:lvlJc w:val="right"/>
      <w:pPr>
        <w:ind w:left="4320" w:hanging="360"/>
      </w:pPr>
      <w:rPr/>
    </w:lvl>
    <w:lvl w:ilvl="6">
      <w:start w:val="1"/>
      <w:numFmt w:val="upperRoman"/>
      <w:lvlText w:val="%7."/>
      <w:lvlJc w:val="right"/>
      <w:pPr>
        <w:ind w:left="5040" w:hanging="360"/>
      </w:pPr>
      <w:rPr/>
    </w:lvl>
    <w:lvl w:ilvl="7">
      <w:start w:val="1"/>
      <w:numFmt w:val="upperRoman"/>
      <w:lvlText w:val="%8."/>
      <w:lvlJc w:val="right"/>
      <w:pPr>
        <w:ind w:left="5760" w:hanging="360"/>
      </w:pPr>
      <w:rPr/>
    </w:lvl>
    <w:lvl w:ilvl="8">
      <w:start w:val="1"/>
      <w:numFmt w:val="upperRoman"/>
      <w:lvlText w:val="%9."/>
      <w:lvlJc w:val="right"/>
      <w:pPr>
        <w:ind w:left="6480" w:hanging="360"/>
      </w:pPr>
      <w:rPr/>
    </w:lvl>
  </w:abstractNum>
  <w:abstractNum w:abstractNumId="6">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0">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9377D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377DA"/>
    <w:rPr>
      <w:rFonts w:ascii="Calibri" w:cs="Times New Roman" w:eastAsia="Times New Roman" w:hAnsi="Calibri"/>
    </w:rPr>
  </w:style>
  <w:style w:type="paragraph" w:styleId="Piedepgina">
    <w:name w:val="footer"/>
    <w:basedOn w:val="Normal"/>
    <w:link w:val="PiedepginaCar"/>
    <w:uiPriority w:val="99"/>
    <w:unhideWhenUsed w:val="1"/>
    <w:rsid w:val="009377D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377DA"/>
    <w:rPr>
      <w:rFonts w:ascii="Calibri" w:cs="Times New Roman" w:eastAsia="Times New Roman" w:hAnsi="Calibri"/>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4721"/>
    <w:pPr>
      <w:spacing w:after="160" w:line="259" w:lineRule="auto"/>
      <w:ind w:left="720"/>
      <w:contextualSpacing w:val="1"/>
    </w:pPr>
    <w:rPr>
      <w:rFonts w:cs="Calibri" w:eastAsia="Calibri"/>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4721"/>
    <w:rPr>
      <w:rFonts w:ascii="Calibri" w:cs="Calibri" w:eastAsia="Calibri" w:hAnsi="Calibri"/>
      <w:lang w:eastAsia="es-MX"/>
    </w:rPr>
  </w:style>
  <w:style w:type="character" w:styleId="Hipervnculo">
    <w:name w:val="Hyperlink"/>
    <w:basedOn w:val="Fuentedeprrafopredeter"/>
    <w:uiPriority w:val="99"/>
    <w:unhideWhenUsed w:val="1"/>
    <w:rsid w:val="003E21AB"/>
    <w:rPr>
      <w:color w:val="0563c1" w:themeColor="hyperlink"/>
      <w:u w:val="single"/>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paragraph" w:styleId="Sinespaciado">
    <w:name w:val="No Spacing"/>
    <w:aliases w:val="Francesa,INAI"/>
    <w:link w:val="SinespaciadoCar"/>
    <w:uiPriority w:val="1"/>
    <w:qFormat w:val="1"/>
    <w:rsid w:val="00B20C1F"/>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B20C1F"/>
    <w:rPr>
      <w:rFonts w:ascii="Times New Roman" w:cs="Times New Roman" w:eastAsia="Times New Roman" w:hAnsi="Times New Roman"/>
      <w:sz w:val="24"/>
      <w:szCs w:val="24"/>
      <w:lang w:eastAsia="es-ES" w:val="es-ES"/>
    </w:r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5067EB"/>
    <w:pPr>
      <w:spacing w:after="100" w:afterAutospacing="1" w:before="100" w:beforeAutospacing="1" w:line="240" w:lineRule="auto"/>
    </w:pPr>
    <w:rPr>
      <w:rFonts w:ascii="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onsultas.curp.gob.mx/CurpSP/html/informacionecurpPS.html" TargetMode="External"/><Relationship Id="rId10" Type="http://schemas.openxmlformats.org/officeDocument/2006/relationships/image" Target="media/image2.png"/><Relationship Id="rId13" Type="http://schemas.openxmlformats.org/officeDocument/2006/relationships/hyperlink" Target="https://portalanterior.ine.mx/archivos2/tutoriales/sistemas/ApoyoInstitucional/SIF/docs/candidatos/folioFiscalFactura.pdf" TargetMode="External"/><Relationship Id="rId12" Type="http://schemas.openxmlformats.org/officeDocument/2006/relationships/hyperlink" Target="https://www.gob.mx/segob/renapo/acciones-y-programas/clave-unica-de-registro-de-poblacion-curp-1422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partados.hacienda.gob.mx/contabilidad/documentos/informe_cuenta/1998/cuenta_publica/Glosario/n.htm" TargetMode="Externa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hyperlink" Target="https://www.transparenciapresupuestaria.gob.mx/es/PTP/Glosario"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etSbGbOl8xkTY3meuZFEjcIzw==">CgMxLjAyCWguMzBqMHpsbDIJaC4xZm9iOXRlMghoLmdqZGd4czgAciExdkVzU0MtQUZCa1hMaldiSDJ0WWM1TTJ1YVdTYllyM3Y=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2025-10-06T18:21:00Z</dcterms:created>
  <dc:creator>USUARIO</dc:creator>
</cp:coreProperties>
</file>