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595767" w14:textId="77777777" w:rsidR="00A14093" w:rsidRDefault="00A14093">
      <w:pPr>
        <w:widowControl w:val="0"/>
        <w:pBdr>
          <w:top w:val="nil"/>
          <w:left w:val="nil"/>
          <w:bottom w:val="nil"/>
          <w:right w:val="nil"/>
          <w:between w:val="nil"/>
        </w:pBdr>
        <w:spacing w:line="276" w:lineRule="auto"/>
      </w:pPr>
    </w:p>
    <w:p w14:paraId="6F7AD86A" w14:textId="77777777" w:rsidR="00A14093" w:rsidRDefault="00A14093">
      <w:pPr>
        <w:spacing w:line="360" w:lineRule="auto"/>
        <w:ind w:right="-28"/>
        <w:jc w:val="both"/>
        <w:rPr>
          <w:rFonts w:ascii="Palatino Linotype" w:eastAsia="Palatino Linotype" w:hAnsi="Palatino Linotype" w:cs="Palatino Linotype"/>
          <w:sz w:val="22"/>
          <w:szCs w:val="22"/>
        </w:rPr>
      </w:pPr>
    </w:p>
    <w:p w14:paraId="56CD5E15" w14:textId="77777777" w:rsidR="00A14093" w:rsidRDefault="000A6908">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RESOLUCIÓN DEL RECURSO DE REVISIÓN 05996/INFOEM/IP/RR/2025</w:t>
      </w:r>
    </w:p>
    <w:p w14:paraId="1F9F23F9" w14:textId="77777777" w:rsidR="00A14093" w:rsidRDefault="00A14093">
      <w:pPr>
        <w:spacing w:line="360" w:lineRule="auto"/>
        <w:rPr>
          <w:rFonts w:ascii="Palatino Linotype" w:eastAsia="Palatino Linotype" w:hAnsi="Palatino Linotype" w:cs="Palatino Linotype"/>
          <w:sz w:val="22"/>
          <w:szCs w:val="22"/>
        </w:rPr>
      </w:pPr>
    </w:p>
    <w:sdt>
      <w:sdtPr>
        <w:id w:val="55320981"/>
        <w:docPartObj>
          <w:docPartGallery w:val="Table of Contents"/>
          <w:docPartUnique/>
        </w:docPartObj>
      </w:sdtPr>
      <w:sdtEndPr/>
      <w:sdtContent>
        <w:p w14:paraId="3733C0DA" w14:textId="77777777" w:rsidR="00A14093" w:rsidRDefault="000A6908">
          <w:pPr>
            <w:pBdr>
              <w:top w:val="nil"/>
              <w:left w:val="nil"/>
              <w:bottom w:val="nil"/>
              <w:right w:val="nil"/>
              <w:between w:val="nil"/>
            </w:pBdr>
            <w:tabs>
              <w:tab w:val="right" w:pos="9034"/>
            </w:tabs>
            <w:spacing w:line="360" w:lineRule="auto"/>
            <w:rPr>
              <w:rFonts w:ascii="Palatino Linotype" w:eastAsia="Palatino Linotype" w:hAnsi="Palatino Linotype" w:cs="Palatino Linotype"/>
              <w:color w:val="0D0D0D"/>
              <w:sz w:val="22"/>
              <w:szCs w:val="22"/>
            </w:rPr>
          </w:pPr>
          <w:r>
            <w:fldChar w:fldCharType="begin"/>
          </w:r>
          <w:r>
            <w:instrText xml:space="preserve"> TOC \h \u \z \t "Heading 1,1,Heading 2,2,Heading 3,3,"</w:instrText>
          </w:r>
          <w:r>
            <w:fldChar w:fldCharType="separate"/>
          </w:r>
          <w:hyperlink w:anchor="_heading=h.t3ucoaceymd4">
            <w:r>
              <w:rPr>
                <w:rFonts w:ascii="Palatino Linotype" w:eastAsia="Palatino Linotype" w:hAnsi="Palatino Linotype" w:cs="Palatino Linotype"/>
                <w:color w:val="0D0D0D"/>
                <w:sz w:val="22"/>
                <w:szCs w:val="22"/>
              </w:rPr>
              <w:t>A N T E C E D E N T E S</w:t>
            </w:r>
            <w:r>
              <w:rPr>
                <w:rFonts w:ascii="Palatino Linotype" w:eastAsia="Palatino Linotype" w:hAnsi="Palatino Linotype" w:cs="Palatino Linotype"/>
                <w:color w:val="0D0D0D"/>
                <w:sz w:val="22"/>
                <w:szCs w:val="22"/>
              </w:rPr>
              <w:tab/>
              <w:t>2</w:t>
            </w:r>
          </w:hyperlink>
        </w:p>
        <w:p w14:paraId="577A4A47" w14:textId="77777777" w:rsidR="00A14093" w:rsidRDefault="00954C1A">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D0D0D"/>
              <w:sz w:val="22"/>
              <w:szCs w:val="22"/>
            </w:rPr>
          </w:pPr>
          <w:hyperlink w:anchor="_heading=h.hkbusyrd7u90">
            <w:r w:rsidR="000A6908">
              <w:rPr>
                <w:rFonts w:ascii="Palatino Linotype" w:eastAsia="Palatino Linotype" w:hAnsi="Palatino Linotype" w:cs="Palatino Linotype"/>
                <w:color w:val="0D0D0D"/>
                <w:sz w:val="22"/>
                <w:szCs w:val="22"/>
              </w:rPr>
              <w:t>I. Presentación de la solicitud de información</w:t>
            </w:r>
            <w:r w:rsidR="000A6908">
              <w:rPr>
                <w:rFonts w:ascii="Palatino Linotype" w:eastAsia="Palatino Linotype" w:hAnsi="Palatino Linotype" w:cs="Palatino Linotype"/>
                <w:color w:val="0D0D0D"/>
                <w:sz w:val="22"/>
                <w:szCs w:val="22"/>
              </w:rPr>
              <w:tab/>
              <w:t>2</w:t>
            </w:r>
          </w:hyperlink>
        </w:p>
        <w:p w14:paraId="098072E4" w14:textId="77777777" w:rsidR="00A14093" w:rsidRDefault="00954C1A">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D0D0D"/>
              <w:sz w:val="22"/>
              <w:szCs w:val="22"/>
            </w:rPr>
          </w:pPr>
          <w:hyperlink w:anchor="_heading=h.gp66u6mvb8br">
            <w:r w:rsidR="000A6908">
              <w:rPr>
                <w:rFonts w:ascii="Palatino Linotype" w:eastAsia="Palatino Linotype" w:hAnsi="Palatino Linotype" w:cs="Palatino Linotype"/>
                <w:color w:val="0D0D0D"/>
                <w:sz w:val="22"/>
                <w:szCs w:val="22"/>
              </w:rPr>
              <w:t>II. Respuesta del Sujeto Obligado</w:t>
            </w:r>
            <w:r w:rsidR="000A6908">
              <w:rPr>
                <w:rFonts w:ascii="Palatino Linotype" w:eastAsia="Palatino Linotype" w:hAnsi="Palatino Linotype" w:cs="Palatino Linotype"/>
                <w:color w:val="0D0D0D"/>
                <w:sz w:val="22"/>
                <w:szCs w:val="22"/>
              </w:rPr>
              <w:tab/>
              <w:t>3</w:t>
            </w:r>
          </w:hyperlink>
        </w:p>
        <w:p w14:paraId="1FC45A4A" w14:textId="77777777" w:rsidR="00A14093" w:rsidRDefault="00954C1A">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D0D0D"/>
              <w:sz w:val="22"/>
              <w:szCs w:val="22"/>
            </w:rPr>
          </w:pPr>
          <w:hyperlink w:anchor="_heading=h.ac4f64f2777">
            <w:r w:rsidR="000A6908">
              <w:rPr>
                <w:rFonts w:ascii="Palatino Linotype" w:eastAsia="Palatino Linotype" w:hAnsi="Palatino Linotype" w:cs="Palatino Linotype"/>
                <w:color w:val="0D0D0D"/>
                <w:sz w:val="22"/>
                <w:szCs w:val="22"/>
              </w:rPr>
              <w:t>III. Interposición del Recurso de Revisión</w:t>
            </w:r>
            <w:r w:rsidR="000A6908">
              <w:rPr>
                <w:rFonts w:ascii="Palatino Linotype" w:eastAsia="Palatino Linotype" w:hAnsi="Palatino Linotype" w:cs="Palatino Linotype"/>
                <w:color w:val="0D0D0D"/>
                <w:sz w:val="22"/>
                <w:szCs w:val="22"/>
              </w:rPr>
              <w:tab/>
              <w:t>3</w:t>
            </w:r>
          </w:hyperlink>
        </w:p>
        <w:p w14:paraId="4AC88AF8" w14:textId="77777777" w:rsidR="00A14093" w:rsidRDefault="00954C1A">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D0D0D"/>
              <w:sz w:val="22"/>
              <w:szCs w:val="22"/>
            </w:rPr>
          </w:pPr>
          <w:hyperlink w:anchor="_heading=h.6vxkp0sq2rem">
            <w:r w:rsidR="000A6908">
              <w:rPr>
                <w:rFonts w:ascii="Palatino Linotype" w:eastAsia="Palatino Linotype" w:hAnsi="Palatino Linotype" w:cs="Palatino Linotype"/>
                <w:color w:val="0D0D0D"/>
                <w:sz w:val="22"/>
                <w:szCs w:val="22"/>
              </w:rPr>
              <w:t>IV. Trámite del Recurso de Revisión ante el Instituto</w:t>
            </w:r>
            <w:r w:rsidR="000A6908">
              <w:rPr>
                <w:rFonts w:ascii="Palatino Linotype" w:eastAsia="Palatino Linotype" w:hAnsi="Palatino Linotype" w:cs="Palatino Linotype"/>
                <w:color w:val="0D0D0D"/>
                <w:sz w:val="22"/>
                <w:szCs w:val="22"/>
              </w:rPr>
              <w:tab/>
              <w:t>4</w:t>
            </w:r>
          </w:hyperlink>
        </w:p>
        <w:p w14:paraId="0A882DE1" w14:textId="77777777" w:rsidR="00A14093" w:rsidRDefault="00954C1A">
          <w:pPr>
            <w:pBdr>
              <w:top w:val="nil"/>
              <w:left w:val="nil"/>
              <w:bottom w:val="nil"/>
              <w:right w:val="nil"/>
              <w:between w:val="nil"/>
            </w:pBdr>
            <w:tabs>
              <w:tab w:val="right" w:pos="9034"/>
            </w:tabs>
            <w:spacing w:line="360" w:lineRule="auto"/>
            <w:rPr>
              <w:rFonts w:ascii="Palatino Linotype" w:eastAsia="Palatino Linotype" w:hAnsi="Palatino Linotype" w:cs="Palatino Linotype"/>
              <w:color w:val="0D0D0D"/>
              <w:sz w:val="22"/>
              <w:szCs w:val="22"/>
            </w:rPr>
          </w:pPr>
          <w:hyperlink w:anchor="_heading=h.m34c0fnu3z2c">
            <w:r w:rsidR="000A6908">
              <w:rPr>
                <w:rFonts w:ascii="Palatino Linotype" w:eastAsia="Palatino Linotype" w:hAnsi="Palatino Linotype" w:cs="Palatino Linotype"/>
                <w:color w:val="0D0D0D"/>
                <w:sz w:val="22"/>
                <w:szCs w:val="22"/>
              </w:rPr>
              <w:t>C O N S I D E R A N D O S</w:t>
            </w:r>
            <w:r w:rsidR="000A6908">
              <w:rPr>
                <w:rFonts w:ascii="Palatino Linotype" w:eastAsia="Palatino Linotype" w:hAnsi="Palatino Linotype" w:cs="Palatino Linotype"/>
                <w:color w:val="0D0D0D"/>
                <w:sz w:val="22"/>
                <w:szCs w:val="22"/>
              </w:rPr>
              <w:tab/>
              <w:t>5</w:t>
            </w:r>
          </w:hyperlink>
        </w:p>
        <w:p w14:paraId="2554C5CA" w14:textId="77777777" w:rsidR="00A14093" w:rsidRDefault="00954C1A">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D0D0D"/>
              <w:sz w:val="22"/>
              <w:szCs w:val="22"/>
            </w:rPr>
          </w:pPr>
          <w:hyperlink w:anchor="_heading=h.75sy8lxaycd2">
            <w:r w:rsidR="000A6908">
              <w:rPr>
                <w:rFonts w:ascii="Palatino Linotype" w:eastAsia="Palatino Linotype" w:hAnsi="Palatino Linotype" w:cs="Palatino Linotype"/>
                <w:color w:val="0D0D0D"/>
                <w:sz w:val="22"/>
                <w:szCs w:val="22"/>
              </w:rPr>
              <w:t>PRIMERO. Competencia</w:t>
            </w:r>
            <w:r w:rsidR="000A6908">
              <w:rPr>
                <w:rFonts w:ascii="Palatino Linotype" w:eastAsia="Palatino Linotype" w:hAnsi="Palatino Linotype" w:cs="Palatino Linotype"/>
                <w:color w:val="0D0D0D"/>
                <w:sz w:val="22"/>
                <w:szCs w:val="22"/>
              </w:rPr>
              <w:tab/>
              <w:t>5</w:t>
            </w:r>
          </w:hyperlink>
        </w:p>
        <w:p w14:paraId="4034A0F0" w14:textId="77777777" w:rsidR="00A14093" w:rsidRDefault="00954C1A">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D0D0D"/>
              <w:sz w:val="22"/>
              <w:szCs w:val="22"/>
            </w:rPr>
          </w:pPr>
          <w:hyperlink w:anchor="_heading=h.a1zn8abf0d6d">
            <w:r w:rsidR="000A6908">
              <w:rPr>
                <w:rFonts w:ascii="Palatino Linotype" w:eastAsia="Palatino Linotype" w:hAnsi="Palatino Linotype" w:cs="Palatino Linotype"/>
                <w:color w:val="0D0D0D"/>
                <w:sz w:val="22"/>
                <w:szCs w:val="22"/>
              </w:rPr>
              <w:t>SEGUNDO. Causales de improcedencia y sobreseimiento</w:t>
            </w:r>
            <w:r w:rsidR="000A6908">
              <w:rPr>
                <w:rFonts w:ascii="Palatino Linotype" w:eastAsia="Palatino Linotype" w:hAnsi="Palatino Linotype" w:cs="Palatino Linotype"/>
                <w:color w:val="0D0D0D"/>
                <w:sz w:val="22"/>
                <w:szCs w:val="22"/>
              </w:rPr>
              <w:tab/>
              <w:t>6</w:t>
            </w:r>
          </w:hyperlink>
        </w:p>
        <w:p w14:paraId="3E0EE6C3" w14:textId="77777777" w:rsidR="00A14093" w:rsidRDefault="00954C1A">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D0D0D"/>
              <w:sz w:val="22"/>
              <w:szCs w:val="22"/>
            </w:rPr>
          </w:pPr>
          <w:hyperlink w:anchor="_heading=h.wplljk7p5luu">
            <w:r w:rsidR="000A6908">
              <w:rPr>
                <w:rFonts w:ascii="Palatino Linotype" w:eastAsia="Palatino Linotype" w:hAnsi="Palatino Linotype" w:cs="Palatino Linotype"/>
                <w:color w:val="0D0D0D"/>
                <w:sz w:val="22"/>
                <w:szCs w:val="22"/>
              </w:rPr>
              <w:t>TERCERO. Determinación de la Controversia</w:t>
            </w:r>
            <w:r w:rsidR="000A6908">
              <w:rPr>
                <w:rFonts w:ascii="Palatino Linotype" w:eastAsia="Palatino Linotype" w:hAnsi="Palatino Linotype" w:cs="Palatino Linotype"/>
                <w:color w:val="0D0D0D"/>
                <w:sz w:val="22"/>
                <w:szCs w:val="22"/>
              </w:rPr>
              <w:tab/>
              <w:t>7</w:t>
            </w:r>
          </w:hyperlink>
        </w:p>
        <w:p w14:paraId="5CB79CEE" w14:textId="77777777" w:rsidR="00A14093" w:rsidRDefault="00954C1A">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D0D0D"/>
              <w:sz w:val="22"/>
              <w:szCs w:val="22"/>
            </w:rPr>
          </w:pPr>
          <w:hyperlink w:anchor="_heading=h.368fcpd2yu5c">
            <w:r w:rsidR="000A6908">
              <w:rPr>
                <w:rFonts w:ascii="Palatino Linotype" w:eastAsia="Palatino Linotype" w:hAnsi="Palatino Linotype" w:cs="Palatino Linotype"/>
                <w:color w:val="0D0D0D"/>
                <w:sz w:val="22"/>
                <w:szCs w:val="22"/>
              </w:rPr>
              <w:t>CUARTO. Marco normativo aplicable en materia de transparencia y acceso a la información pública</w:t>
            </w:r>
            <w:r w:rsidR="000A6908">
              <w:rPr>
                <w:rFonts w:ascii="Palatino Linotype" w:eastAsia="Palatino Linotype" w:hAnsi="Palatino Linotype" w:cs="Palatino Linotype"/>
                <w:color w:val="0D0D0D"/>
                <w:sz w:val="22"/>
                <w:szCs w:val="22"/>
              </w:rPr>
              <w:tab/>
              <w:t>8</w:t>
            </w:r>
          </w:hyperlink>
        </w:p>
        <w:p w14:paraId="0B0C4B5A" w14:textId="77777777" w:rsidR="00A14093" w:rsidRDefault="00954C1A">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D0D0D"/>
              <w:sz w:val="22"/>
              <w:szCs w:val="22"/>
            </w:rPr>
          </w:pPr>
          <w:hyperlink w:anchor="_heading=h.w8x0nliiuk23">
            <w:r w:rsidR="000A6908">
              <w:rPr>
                <w:rFonts w:ascii="Palatino Linotype" w:eastAsia="Palatino Linotype" w:hAnsi="Palatino Linotype" w:cs="Palatino Linotype"/>
                <w:color w:val="0D0D0D"/>
                <w:sz w:val="22"/>
                <w:szCs w:val="22"/>
              </w:rPr>
              <w:t>QUINTO. Estudio de Fondo</w:t>
            </w:r>
            <w:r w:rsidR="000A6908">
              <w:rPr>
                <w:rFonts w:ascii="Palatino Linotype" w:eastAsia="Palatino Linotype" w:hAnsi="Palatino Linotype" w:cs="Palatino Linotype"/>
                <w:color w:val="0D0D0D"/>
                <w:sz w:val="22"/>
                <w:szCs w:val="22"/>
              </w:rPr>
              <w:tab/>
              <w:t>9</w:t>
            </w:r>
          </w:hyperlink>
        </w:p>
        <w:p w14:paraId="71B37CF5" w14:textId="08793E5C" w:rsidR="00A14093" w:rsidRDefault="00954C1A">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D0D0D"/>
              <w:sz w:val="22"/>
              <w:szCs w:val="22"/>
            </w:rPr>
          </w:pPr>
          <w:hyperlink w:anchor="_heading=h.rcyfmgqlt39e">
            <w:r w:rsidR="000A6908">
              <w:rPr>
                <w:rFonts w:ascii="Palatino Linotype" w:eastAsia="Palatino Linotype" w:hAnsi="Palatino Linotype" w:cs="Palatino Linotype"/>
                <w:color w:val="0D0D0D"/>
                <w:sz w:val="22"/>
                <w:szCs w:val="22"/>
              </w:rPr>
              <w:t>SEXTO. Decisión</w:t>
            </w:r>
            <w:r w:rsidR="000A6908">
              <w:rPr>
                <w:rFonts w:ascii="Palatino Linotype" w:eastAsia="Palatino Linotype" w:hAnsi="Palatino Linotype" w:cs="Palatino Linotype"/>
                <w:color w:val="0D0D0D"/>
                <w:sz w:val="22"/>
                <w:szCs w:val="22"/>
              </w:rPr>
              <w:tab/>
            </w:r>
            <w:r w:rsidR="002119E3">
              <w:rPr>
                <w:rFonts w:ascii="Palatino Linotype" w:eastAsia="Palatino Linotype" w:hAnsi="Palatino Linotype" w:cs="Palatino Linotype"/>
                <w:color w:val="0D0D0D"/>
                <w:sz w:val="22"/>
                <w:szCs w:val="22"/>
              </w:rPr>
              <w:t>24</w:t>
            </w:r>
          </w:hyperlink>
        </w:p>
        <w:p w14:paraId="0DCDA4DD" w14:textId="75487403" w:rsidR="00A14093" w:rsidRDefault="00954C1A">
          <w:pPr>
            <w:pBdr>
              <w:top w:val="nil"/>
              <w:left w:val="nil"/>
              <w:bottom w:val="nil"/>
              <w:right w:val="nil"/>
              <w:between w:val="nil"/>
            </w:pBdr>
            <w:tabs>
              <w:tab w:val="right" w:pos="9034"/>
            </w:tabs>
            <w:spacing w:line="360" w:lineRule="auto"/>
            <w:rPr>
              <w:rFonts w:ascii="Palatino Linotype" w:eastAsia="Palatino Linotype" w:hAnsi="Palatino Linotype" w:cs="Palatino Linotype"/>
              <w:color w:val="0D0D0D"/>
              <w:sz w:val="22"/>
              <w:szCs w:val="22"/>
            </w:rPr>
          </w:pPr>
          <w:hyperlink w:anchor="_heading=h.t4avbq2smrxw">
            <w:r w:rsidR="000A6908">
              <w:rPr>
                <w:rFonts w:ascii="Palatino Linotype" w:eastAsia="Palatino Linotype" w:hAnsi="Palatino Linotype" w:cs="Palatino Linotype"/>
                <w:color w:val="0D0D0D"/>
                <w:sz w:val="22"/>
                <w:szCs w:val="22"/>
              </w:rPr>
              <w:t>R E S U E L V E</w:t>
            </w:r>
            <w:r w:rsidR="000A6908">
              <w:rPr>
                <w:rFonts w:ascii="Palatino Linotype" w:eastAsia="Palatino Linotype" w:hAnsi="Palatino Linotype" w:cs="Palatino Linotype"/>
                <w:color w:val="0D0D0D"/>
                <w:sz w:val="22"/>
                <w:szCs w:val="22"/>
              </w:rPr>
              <w:tab/>
            </w:r>
            <w:r w:rsidR="002119E3">
              <w:rPr>
                <w:rFonts w:ascii="Palatino Linotype" w:eastAsia="Palatino Linotype" w:hAnsi="Palatino Linotype" w:cs="Palatino Linotype"/>
                <w:color w:val="0D0D0D"/>
                <w:sz w:val="22"/>
                <w:szCs w:val="22"/>
              </w:rPr>
              <w:t>25</w:t>
            </w:r>
          </w:hyperlink>
        </w:p>
        <w:p w14:paraId="253A6E74" w14:textId="77777777" w:rsidR="00A14093" w:rsidRDefault="000A6908">
          <w:pPr>
            <w:spacing w:line="360" w:lineRule="auto"/>
          </w:pPr>
          <w:r>
            <w:fldChar w:fldCharType="end"/>
          </w:r>
        </w:p>
      </w:sdtContent>
    </w:sdt>
    <w:p w14:paraId="4DAC2C82" w14:textId="77777777" w:rsidR="00A14093" w:rsidRDefault="00A14093">
      <w:pPr>
        <w:spacing w:line="360" w:lineRule="auto"/>
        <w:ind w:right="-28"/>
        <w:jc w:val="both"/>
        <w:rPr>
          <w:rFonts w:ascii="Palatino Linotype" w:eastAsia="Palatino Linotype" w:hAnsi="Palatino Linotype" w:cs="Palatino Linotype"/>
          <w:sz w:val="22"/>
          <w:szCs w:val="22"/>
        </w:rPr>
      </w:pPr>
    </w:p>
    <w:p w14:paraId="6134654B" w14:textId="77777777" w:rsidR="00A14093" w:rsidRDefault="00A14093">
      <w:pPr>
        <w:spacing w:line="360" w:lineRule="auto"/>
        <w:ind w:right="-28"/>
        <w:jc w:val="both"/>
        <w:rPr>
          <w:rFonts w:ascii="Palatino Linotype" w:eastAsia="Palatino Linotype" w:hAnsi="Palatino Linotype" w:cs="Palatino Linotype"/>
          <w:sz w:val="22"/>
          <w:szCs w:val="22"/>
        </w:rPr>
      </w:pPr>
    </w:p>
    <w:p w14:paraId="321EE7EE" w14:textId="77777777" w:rsidR="00A14093" w:rsidRDefault="00A14093">
      <w:pPr>
        <w:spacing w:line="360" w:lineRule="auto"/>
        <w:ind w:right="-28"/>
        <w:jc w:val="both"/>
        <w:rPr>
          <w:rFonts w:ascii="Palatino Linotype" w:eastAsia="Palatino Linotype" w:hAnsi="Palatino Linotype" w:cs="Palatino Linotype"/>
          <w:sz w:val="22"/>
          <w:szCs w:val="22"/>
        </w:rPr>
      </w:pPr>
    </w:p>
    <w:p w14:paraId="66B46EB3" w14:textId="77777777" w:rsidR="00A14093" w:rsidRDefault="00A14093">
      <w:pPr>
        <w:spacing w:line="360" w:lineRule="auto"/>
        <w:ind w:right="-28"/>
        <w:jc w:val="both"/>
        <w:rPr>
          <w:rFonts w:ascii="Palatino Linotype" w:eastAsia="Palatino Linotype" w:hAnsi="Palatino Linotype" w:cs="Palatino Linotype"/>
          <w:sz w:val="22"/>
          <w:szCs w:val="22"/>
        </w:rPr>
      </w:pPr>
    </w:p>
    <w:p w14:paraId="3307AFAE" w14:textId="77777777" w:rsidR="00A14093" w:rsidRDefault="00A14093">
      <w:pPr>
        <w:spacing w:line="360" w:lineRule="auto"/>
        <w:ind w:right="-28"/>
        <w:jc w:val="both"/>
        <w:rPr>
          <w:rFonts w:ascii="Palatino Linotype" w:eastAsia="Palatino Linotype" w:hAnsi="Palatino Linotype" w:cs="Palatino Linotype"/>
          <w:sz w:val="22"/>
          <w:szCs w:val="22"/>
        </w:rPr>
      </w:pPr>
    </w:p>
    <w:p w14:paraId="48EB7A35" w14:textId="77777777" w:rsidR="00A14093" w:rsidRDefault="00A14093">
      <w:pPr>
        <w:spacing w:line="360" w:lineRule="auto"/>
        <w:ind w:right="-28"/>
        <w:jc w:val="both"/>
        <w:rPr>
          <w:rFonts w:ascii="Palatino Linotype" w:eastAsia="Palatino Linotype" w:hAnsi="Palatino Linotype" w:cs="Palatino Linotype"/>
          <w:sz w:val="22"/>
          <w:szCs w:val="22"/>
        </w:rPr>
      </w:pPr>
    </w:p>
    <w:p w14:paraId="0CBC0E7C" w14:textId="77777777" w:rsidR="00A14093" w:rsidRDefault="00A14093">
      <w:pPr>
        <w:spacing w:line="360" w:lineRule="auto"/>
        <w:ind w:right="-28"/>
        <w:jc w:val="both"/>
        <w:rPr>
          <w:rFonts w:ascii="Palatino Linotype" w:eastAsia="Palatino Linotype" w:hAnsi="Palatino Linotype" w:cs="Palatino Linotype"/>
          <w:sz w:val="22"/>
          <w:szCs w:val="22"/>
        </w:rPr>
      </w:pPr>
    </w:p>
    <w:p w14:paraId="25846C9C" w14:textId="77777777" w:rsidR="00A14093" w:rsidRDefault="00A14093">
      <w:pPr>
        <w:spacing w:line="360" w:lineRule="auto"/>
        <w:ind w:right="-28"/>
        <w:jc w:val="both"/>
        <w:rPr>
          <w:rFonts w:ascii="Palatino Linotype" w:eastAsia="Palatino Linotype" w:hAnsi="Palatino Linotype" w:cs="Palatino Linotype"/>
          <w:sz w:val="22"/>
          <w:szCs w:val="22"/>
        </w:rPr>
      </w:pPr>
    </w:p>
    <w:p w14:paraId="64477409" w14:textId="77777777" w:rsidR="00A14093" w:rsidRDefault="000A6908">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Resolución del Pleno del Instituto de Transparencia, Acceso a la Información Pública y Protección de Datos Personales del Estado de México y Municipios, con domicilio en Metepec, Estado de México, del veinte de agosto de dos mil veinticinco.</w:t>
      </w:r>
    </w:p>
    <w:p w14:paraId="243B7588" w14:textId="77777777" w:rsidR="00A14093" w:rsidRDefault="00A14093">
      <w:pPr>
        <w:spacing w:line="360" w:lineRule="auto"/>
        <w:ind w:right="-28"/>
        <w:jc w:val="both"/>
        <w:rPr>
          <w:rFonts w:ascii="Palatino Linotype" w:eastAsia="Palatino Linotype" w:hAnsi="Palatino Linotype" w:cs="Palatino Linotype"/>
          <w:sz w:val="22"/>
          <w:szCs w:val="22"/>
        </w:rPr>
      </w:pPr>
    </w:p>
    <w:p w14:paraId="1818AA57" w14:textId="77777777" w:rsidR="00A14093" w:rsidRDefault="000A6908">
      <w:pPr>
        <w:spacing w:line="360" w:lineRule="auto"/>
        <w:ind w:right="-28"/>
        <w:jc w:val="both"/>
        <w:rPr>
          <w:rFonts w:ascii="Palatino Linotype" w:eastAsia="Palatino Linotype" w:hAnsi="Palatino Linotype" w:cs="Palatino Linotype"/>
          <w:sz w:val="22"/>
          <w:szCs w:val="22"/>
        </w:rPr>
      </w:pPr>
      <w:bookmarkStart w:id="0" w:name="_heading=h.mpnv28w83mww" w:colFirst="0" w:colLast="0"/>
      <w:bookmarkEnd w:id="0"/>
      <w:r>
        <w:rPr>
          <w:rFonts w:ascii="Palatino Linotype" w:eastAsia="Palatino Linotype" w:hAnsi="Palatino Linotype" w:cs="Palatino Linotype"/>
          <w:b/>
          <w:sz w:val="22"/>
          <w:szCs w:val="22"/>
        </w:rPr>
        <w:t xml:space="preserve">VISTO </w:t>
      </w:r>
      <w:r>
        <w:rPr>
          <w:rFonts w:ascii="Palatino Linotype" w:eastAsia="Palatino Linotype" w:hAnsi="Palatino Linotype" w:cs="Palatino Linotype"/>
          <w:sz w:val="22"/>
          <w:szCs w:val="22"/>
        </w:rPr>
        <w:t xml:space="preserve">el expediente conformado con motivo del Recurso de Revisión </w:t>
      </w:r>
      <w:r w:rsidRPr="00CC2705">
        <w:rPr>
          <w:rFonts w:ascii="Palatino Linotype" w:eastAsia="Palatino Linotype" w:hAnsi="Palatino Linotype" w:cs="Palatino Linotype"/>
          <w:b/>
          <w:color w:val="0D0D0D"/>
          <w:sz w:val="22"/>
          <w:szCs w:val="22"/>
        </w:rPr>
        <w:t>05996/INFOEM/IP/RR/2025</w:t>
      </w:r>
      <w:r>
        <w:rPr>
          <w:rFonts w:ascii="Palatino Linotype" w:eastAsia="Palatino Linotype" w:hAnsi="Palatino Linotype" w:cs="Palatino Linotype"/>
          <w:sz w:val="22"/>
          <w:szCs w:val="22"/>
        </w:rPr>
        <w:t xml:space="preserve">, interpuesto por la persona Recurrente o Particular, en contra de la respuesta del Sujeto Obligado, </w:t>
      </w:r>
      <w:r w:rsidRPr="00CC2705">
        <w:rPr>
          <w:rFonts w:ascii="Palatino Linotype" w:eastAsia="Palatino Linotype" w:hAnsi="Palatino Linotype" w:cs="Palatino Linotype"/>
          <w:b/>
          <w:color w:val="000000"/>
          <w:sz w:val="22"/>
          <w:szCs w:val="22"/>
        </w:rPr>
        <w:t xml:space="preserve">Ayuntamiento de </w:t>
      </w:r>
      <w:proofErr w:type="spellStart"/>
      <w:r w:rsidRPr="00CC2705">
        <w:rPr>
          <w:rFonts w:ascii="Palatino Linotype" w:eastAsia="Palatino Linotype" w:hAnsi="Palatino Linotype" w:cs="Palatino Linotype"/>
          <w:b/>
          <w:color w:val="000000"/>
          <w:sz w:val="22"/>
          <w:szCs w:val="22"/>
        </w:rPr>
        <w:t>Jocotitlán</w:t>
      </w:r>
      <w:proofErr w:type="spellEnd"/>
      <w:r>
        <w:rPr>
          <w:rFonts w:ascii="Palatino Linotype" w:eastAsia="Palatino Linotype" w:hAnsi="Palatino Linotype" w:cs="Palatino Linotype"/>
          <w:sz w:val="22"/>
          <w:szCs w:val="22"/>
        </w:rPr>
        <w:t>, a la solicitud de acceso a la información pública con número de folio</w:t>
      </w:r>
      <w:r>
        <w:rPr>
          <w:rFonts w:ascii="Verdana" w:eastAsia="Verdana" w:hAnsi="Verdana" w:cs="Verdana"/>
          <w:b/>
          <w:color w:val="FF0000"/>
        </w:rPr>
        <w:t> </w:t>
      </w:r>
      <w:r>
        <w:rPr>
          <w:rFonts w:ascii="Palatino Linotype" w:eastAsia="Palatino Linotype" w:hAnsi="Palatino Linotype" w:cs="Palatino Linotype"/>
          <w:sz w:val="22"/>
          <w:szCs w:val="22"/>
        </w:rPr>
        <w:t xml:space="preserve">00127/JOCOTIT/IP/2025, se emite la presente Resolución, con base en los Antecedentes y Considerandos que se exponen a continuación: </w:t>
      </w:r>
    </w:p>
    <w:p w14:paraId="054B8D79" w14:textId="77777777" w:rsidR="00A14093" w:rsidRDefault="00A14093">
      <w:pPr>
        <w:spacing w:line="360" w:lineRule="auto"/>
        <w:ind w:right="-28"/>
        <w:jc w:val="both"/>
        <w:rPr>
          <w:rFonts w:ascii="Palatino Linotype" w:eastAsia="Palatino Linotype" w:hAnsi="Palatino Linotype" w:cs="Palatino Linotype"/>
          <w:sz w:val="22"/>
          <w:szCs w:val="22"/>
        </w:rPr>
      </w:pPr>
    </w:p>
    <w:p w14:paraId="3E7F0178" w14:textId="77777777" w:rsidR="00A14093" w:rsidRDefault="000A6908">
      <w:pPr>
        <w:pStyle w:val="Ttulo1"/>
        <w:spacing w:before="0" w:after="0" w:line="360" w:lineRule="auto"/>
        <w:jc w:val="center"/>
        <w:rPr>
          <w:rFonts w:ascii="Palatino Linotype" w:eastAsia="Palatino Linotype" w:hAnsi="Palatino Linotype" w:cs="Palatino Linotype"/>
          <w:b/>
          <w:color w:val="000000"/>
          <w:sz w:val="22"/>
          <w:szCs w:val="22"/>
        </w:rPr>
      </w:pPr>
      <w:bookmarkStart w:id="1" w:name="_heading=h.t3ucoaceymd4" w:colFirst="0" w:colLast="0"/>
      <w:bookmarkEnd w:id="1"/>
      <w:r>
        <w:rPr>
          <w:rFonts w:ascii="Palatino Linotype" w:eastAsia="Palatino Linotype" w:hAnsi="Palatino Linotype" w:cs="Palatino Linotype"/>
          <w:b/>
          <w:color w:val="000000"/>
          <w:sz w:val="22"/>
          <w:szCs w:val="22"/>
        </w:rPr>
        <w:t>A N T E C E D E N T E S</w:t>
      </w:r>
    </w:p>
    <w:p w14:paraId="2968405F" w14:textId="77777777" w:rsidR="00A14093" w:rsidRDefault="00A14093">
      <w:pPr>
        <w:tabs>
          <w:tab w:val="center" w:pos="4522"/>
          <w:tab w:val="left" w:pos="7245"/>
          <w:tab w:val="right" w:pos="9044"/>
        </w:tabs>
        <w:spacing w:line="360" w:lineRule="auto"/>
        <w:ind w:right="-28"/>
        <w:rPr>
          <w:rFonts w:ascii="Palatino Linotype" w:eastAsia="Palatino Linotype" w:hAnsi="Palatino Linotype" w:cs="Palatino Linotype"/>
          <w:b/>
          <w:sz w:val="22"/>
          <w:szCs w:val="22"/>
        </w:rPr>
      </w:pPr>
    </w:p>
    <w:p w14:paraId="1F7A45F2" w14:textId="77777777" w:rsidR="00A14093" w:rsidRDefault="000A6908">
      <w:pPr>
        <w:pStyle w:val="Ttulo2"/>
        <w:spacing w:before="0" w:after="0" w:line="360" w:lineRule="auto"/>
        <w:rPr>
          <w:rFonts w:ascii="Palatino Linotype" w:eastAsia="Palatino Linotype" w:hAnsi="Palatino Linotype" w:cs="Palatino Linotype"/>
          <w:b/>
          <w:color w:val="000000"/>
          <w:sz w:val="22"/>
          <w:szCs w:val="22"/>
        </w:rPr>
      </w:pPr>
      <w:bookmarkStart w:id="2" w:name="_heading=h.hkbusyrd7u90" w:colFirst="0" w:colLast="0"/>
      <w:bookmarkEnd w:id="2"/>
      <w:r>
        <w:rPr>
          <w:rFonts w:ascii="Palatino Linotype" w:eastAsia="Palatino Linotype" w:hAnsi="Palatino Linotype" w:cs="Palatino Linotype"/>
          <w:b/>
          <w:color w:val="000000"/>
          <w:sz w:val="22"/>
          <w:szCs w:val="22"/>
        </w:rPr>
        <w:t>I. Presentación de la solicitud de información</w:t>
      </w:r>
    </w:p>
    <w:p w14:paraId="30DA08B1" w14:textId="77777777" w:rsidR="00A14093" w:rsidRDefault="00A14093">
      <w:pPr>
        <w:spacing w:line="360" w:lineRule="auto"/>
        <w:jc w:val="both"/>
        <w:rPr>
          <w:rFonts w:ascii="Palatino Linotype" w:eastAsia="Palatino Linotype" w:hAnsi="Palatino Linotype" w:cs="Palatino Linotype"/>
          <w:sz w:val="22"/>
          <w:szCs w:val="22"/>
        </w:rPr>
      </w:pPr>
    </w:p>
    <w:p w14:paraId="378C357C" w14:textId="77777777" w:rsidR="00A14093" w:rsidRDefault="000A690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fecha dos de mayo de dos mil veinticinco, el Particular presentó una solicitud de acceso a la información pública, a través del Sistema de Acceso a la Información Mexiquense (SAIMEX), ante el </w:t>
      </w:r>
      <w:r>
        <w:rPr>
          <w:rFonts w:ascii="Palatino Linotype" w:eastAsia="Palatino Linotype" w:hAnsi="Palatino Linotype" w:cs="Palatino Linotype"/>
          <w:color w:val="000000"/>
          <w:sz w:val="22"/>
          <w:szCs w:val="22"/>
        </w:rPr>
        <w:t xml:space="preserve">Ayuntamiento de </w:t>
      </w:r>
      <w:proofErr w:type="spellStart"/>
      <w:r>
        <w:rPr>
          <w:rFonts w:ascii="Palatino Linotype" w:eastAsia="Palatino Linotype" w:hAnsi="Palatino Linotype" w:cs="Palatino Linotype"/>
          <w:color w:val="000000"/>
          <w:sz w:val="22"/>
          <w:szCs w:val="22"/>
        </w:rPr>
        <w:t>Jocotitlán</w:t>
      </w:r>
      <w:proofErr w:type="spellEnd"/>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sz w:val="22"/>
          <w:szCs w:val="22"/>
        </w:rPr>
        <w:t xml:space="preserve"> (ya que, si bien se registró el primero del mismo mes y año, también es que fue inhábil, por lo que se tuvo por registrado el hábil siguiente),</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mediante la cual requirió lo siguiente:</w:t>
      </w:r>
    </w:p>
    <w:p w14:paraId="18EC9EF4" w14:textId="77777777" w:rsidR="00A14093" w:rsidRDefault="00A14093">
      <w:pPr>
        <w:tabs>
          <w:tab w:val="left" w:pos="4667"/>
        </w:tabs>
        <w:spacing w:line="360" w:lineRule="auto"/>
        <w:ind w:right="567"/>
        <w:jc w:val="both"/>
        <w:rPr>
          <w:rFonts w:ascii="Palatino Linotype" w:eastAsia="Palatino Linotype" w:hAnsi="Palatino Linotype" w:cs="Palatino Linotype"/>
          <w:b/>
          <w:i/>
        </w:rPr>
      </w:pPr>
    </w:p>
    <w:p w14:paraId="489AC65D" w14:textId="77777777" w:rsidR="00A14093" w:rsidRDefault="000A6908">
      <w:pPr>
        <w:tabs>
          <w:tab w:val="left" w:pos="4667"/>
        </w:tabs>
        <w:spacing w:line="360" w:lineRule="auto"/>
        <w:ind w:left="567" w:right="567"/>
        <w:jc w:val="both"/>
        <w:rPr>
          <w:rFonts w:ascii="Palatino Linotype" w:eastAsia="Palatino Linotype" w:hAnsi="Palatino Linotype" w:cs="Palatino Linotype"/>
          <w:b/>
          <w:i/>
        </w:rPr>
      </w:pPr>
      <w:bookmarkStart w:id="3" w:name="_heading=h.eu6q62q6oy69" w:colFirst="0" w:colLast="0"/>
      <w:bookmarkEnd w:id="3"/>
      <w:r>
        <w:rPr>
          <w:rFonts w:ascii="Palatino Linotype" w:eastAsia="Palatino Linotype" w:hAnsi="Palatino Linotype" w:cs="Palatino Linotype"/>
          <w:b/>
          <w:i/>
        </w:rPr>
        <w:t>“DESCRIPCIÓN CLARA Y PRECISA DE LA INFORMACIÓN SOLICITADA:</w:t>
      </w:r>
    </w:p>
    <w:p w14:paraId="74B8C1D0" w14:textId="77777777" w:rsidR="00A14093" w:rsidRDefault="000A6908">
      <w:pPr>
        <w:pBdr>
          <w:top w:val="nil"/>
          <w:left w:val="nil"/>
          <w:bottom w:val="nil"/>
          <w:right w:val="nil"/>
          <w:between w:val="nil"/>
        </w:pBdr>
        <w:tabs>
          <w:tab w:val="left" w:pos="4667"/>
        </w:tabs>
        <w:spacing w:line="360" w:lineRule="auto"/>
        <w:ind w:left="567" w:right="567"/>
        <w:jc w:val="both"/>
        <w:rPr>
          <w:rFonts w:ascii="Palatino Linotype" w:eastAsia="Palatino Linotype" w:hAnsi="Palatino Linotype" w:cs="Palatino Linotype"/>
          <w:i/>
          <w:color w:val="000000"/>
        </w:rPr>
      </w:pPr>
      <w:proofErr w:type="gramStart"/>
      <w:r>
        <w:rPr>
          <w:rFonts w:ascii="Palatino Linotype" w:eastAsia="Palatino Linotype" w:hAnsi="Palatino Linotype" w:cs="Palatino Linotype"/>
          <w:i/>
          <w:color w:val="000000"/>
        </w:rPr>
        <w:t>solicito</w:t>
      </w:r>
      <w:proofErr w:type="gramEnd"/>
      <w:r>
        <w:rPr>
          <w:rFonts w:ascii="Palatino Linotype" w:eastAsia="Palatino Linotype" w:hAnsi="Palatino Linotype" w:cs="Palatino Linotype"/>
          <w:i/>
          <w:color w:val="000000"/>
        </w:rPr>
        <w:t xml:space="preserve"> el contrato de prestaciones de servicios de la empresa "festival flores" que fue realizado en la administración 2025-2027.” (Sic).</w:t>
      </w:r>
    </w:p>
    <w:p w14:paraId="6EF03535" w14:textId="77777777" w:rsidR="00A14093" w:rsidRDefault="00A14093">
      <w:pPr>
        <w:tabs>
          <w:tab w:val="left" w:pos="4667"/>
        </w:tabs>
        <w:spacing w:line="360" w:lineRule="auto"/>
        <w:ind w:right="567"/>
        <w:jc w:val="both"/>
        <w:rPr>
          <w:rFonts w:ascii="Palatino Linotype" w:eastAsia="Palatino Linotype" w:hAnsi="Palatino Linotype" w:cs="Palatino Linotype"/>
          <w:b/>
          <w:i/>
        </w:rPr>
      </w:pPr>
    </w:p>
    <w:p w14:paraId="10361AC8" w14:textId="77777777" w:rsidR="00A14093" w:rsidRDefault="000A6908">
      <w:pPr>
        <w:tabs>
          <w:tab w:val="left" w:pos="4667"/>
        </w:tabs>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“Modalidad de Entrega</w:t>
      </w:r>
    </w:p>
    <w:p w14:paraId="06AE2D1F" w14:textId="77777777" w:rsidR="00A14093" w:rsidRDefault="000A6908">
      <w:pPr>
        <w:tabs>
          <w:tab w:val="left" w:pos="567"/>
        </w:tabs>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A través del SAIMEX”  </w:t>
      </w:r>
    </w:p>
    <w:p w14:paraId="6305B628" w14:textId="77777777" w:rsidR="00A14093" w:rsidRDefault="00A14093">
      <w:pPr>
        <w:spacing w:line="360" w:lineRule="auto"/>
        <w:rPr>
          <w:rFonts w:ascii="Palatino Linotype" w:eastAsia="Palatino Linotype" w:hAnsi="Palatino Linotype" w:cs="Palatino Linotype"/>
          <w:b/>
          <w:sz w:val="22"/>
          <w:szCs w:val="22"/>
        </w:rPr>
      </w:pPr>
      <w:bookmarkStart w:id="4" w:name="_heading=h.fn9kwm8d9lpr" w:colFirst="0" w:colLast="0"/>
      <w:bookmarkEnd w:id="4"/>
    </w:p>
    <w:p w14:paraId="6D2A09B3" w14:textId="77777777" w:rsidR="00A14093" w:rsidRDefault="000A6908">
      <w:pPr>
        <w:pStyle w:val="Ttulo2"/>
        <w:spacing w:before="0" w:after="0" w:line="360" w:lineRule="auto"/>
        <w:rPr>
          <w:rFonts w:ascii="Palatino Linotype" w:eastAsia="Palatino Linotype" w:hAnsi="Palatino Linotype" w:cs="Palatino Linotype"/>
          <w:b/>
          <w:color w:val="000000"/>
          <w:sz w:val="22"/>
          <w:szCs w:val="22"/>
        </w:rPr>
      </w:pPr>
      <w:bookmarkStart w:id="5" w:name="_heading=h.gp66u6mvb8br" w:colFirst="0" w:colLast="0"/>
      <w:bookmarkEnd w:id="5"/>
      <w:r>
        <w:rPr>
          <w:rFonts w:ascii="Palatino Linotype" w:eastAsia="Palatino Linotype" w:hAnsi="Palatino Linotype" w:cs="Palatino Linotype"/>
          <w:b/>
          <w:color w:val="000000"/>
          <w:sz w:val="22"/>
          <w:szCs w:val="22"/>
        </w:rPr>
        <w:t>II. Respuesta del Sujeto Obligado</w:t>
      </w:r>
    </w:p>
    <w:p w14:paraId="00C30AD2" w14:textId="77777777" w:rsidR="00A14093" w:rsidRDefault="00A14093">
      <w:pPr>
        <w:tabs>
          <w:tab w:val="left" w:pos="4667"/>
        </w:tabs>
        <w:spacing w:line="360" w:lineRule="auto"/>
        <w:ind w:right="567"/>
        <w:jc w:val="both"/>
        <w:rPr>
          <w:rFonts w:ascii="Palatino Linotype" w:eastAsia="Palatino Linotype" w:hAnsi="Palatino Linotype" w:cs="Palatino Linotype"/>
          <w:b/>
          <w:sz w:val="22"/>
          <w:szCs w:val="22"/>
        </w:rPr>
      </w:pPr>
    </w:p>
    <w:p w14:paraId="5582D841" w14:textId="77777777" w:rsidR="00A14093" w:rsidRDefault="000A690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fecha veintiséis de mayo de dos mil veinticinco, el</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Sujeto Obligado dio respuesta a la solicitud de acceso a la información a través del Sistema de Acceso a la Información Mexiquense (SAIMEX), mediante la digitalización del siguiente documento:</w:t>
      </w:r>
    </w:p>
    <w:p w14:paraId="17AF17C6" w14:textId="77777777" w:rsidR="00A14093" w:rsidRDefault="00A14093">
      <w:pPr>
        <w:spacing w:line="360" w:lineRule="auto"/>
        <w:jc w:val="both"/>
        <w:rPr>
          <w:rFonts w:ascii="Palatino Linotype" w:eastAsia="Palatino Linotype" w:hAnsi="Palatino Linotype" w:cs="Palatino Linotype"/>
          <w:sz w:val="22"/>
          <w:szCs w:val="22"/>
        </w:rPr>
      </w:pPr>
    </w:p>
    <w:p w14:paraId="332FC3EC" w14:textId="77777777" w:rsidR="00A14093" w:rsidRDefault="000A690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i) Oficio número ADM/0220/2025 del veintitrés de mayo de dos mil veinticinco, suscrito por la Directora de Administración y dirigido a la Coordinadora de Transparencia por medio del cual precisó que no existe un contrato de prestación de servicios, dada la naturaleza del objeto, se realizó bajo convenio de concesión y proporcionó un extracto de dicho convenio. </w:t>
      </w:r>
    </w:p>
    <w:p w14:paraId="4A7C0907" w14:textId="77777777" w:rsidR="00A14093" w:rsidRDefault="00A14093">
      <w:pPr>
        <w:spacing w:line="360" w:lineRule="auto"/>
        <w:jc w:val="both"/>
        <w:rPr>
          <w:rFonts w:ascii="Palatino Linotype" w:eastAsia="Palatino Linotype" w:hAnsi="Palatino Linotype" w:cs="Palatino Linotype"/>
          <w:sz w:val="22"/>
          <w:szCs w:val="22"/>
        </w:rPr>
      </w:pPr>
    </w:p>
    <w:p w14:paraId="137338A6" w14:textId="77777777" w:rsidR="00A14093" w:rsidRDefault="000A6908">
      <w:pPr>
        <w:pStyle w:val="Ttulo2"/>
        <w:spacing w:before="0" w:after="0" w:line="360" w:lineRule="auto"/>
        <w:rPr>
          <w:rFonts w:ascii="Palatino Linotype" w:eastAsia="Palatino Linotype" w:hAnsi="Palatino Linotype" w:cs="Palatino Linotype"/>
          <w:b/>
          <w:sz w:val="22"/>
          <w:szCs w:val="22"/>
        </w:rPr>
      </w:pPr>
      <w:bookmarkStart w:id="6" w:name="_heading=h.ac4f64f2777" w:colFirst="0" w:colLast="0"/>
      <w:bookmarkEnd w:id="6"/>
      <w:r>
        <w:rPr>
          <w:rFonts w:ascii="Palatino Linotype" w:eastAsia="Palatino Linotype" w:hAnsi="Palatino Linotype" w:cs="Palatino Linotype"/>
          <w:b/>
          <w:color w:val="000000"/>
          <w:sz w:val="22"/>
          <w:szCs w:val="22"/>
        </w:rPr>
        <w:t>III. Interposición del Recurso de Revisión</w:t>
      </w:r>
    </w:p>
    <w:p w14:paraId="4650E962" w14:textId="77777777" w:rsidR="00A14093" w:rsidRDefault="00A14093">
      <w:pPr>
        <w:spacing w:line="360" w:lineRule="auto"/>
        <w:ind w:right="-28"/>
        <w:jc w:val="both"/>
        <w:rPr>
          <w:rFonts w:ascii="Palatino Linotype" w:eastAsia="Palatino Linotype" w:hAnsi="Palatino Linotype" w:cs="Palatino Linotype"/>
          <w:sz w:val="22"/>
          <w:szCs w:val="22"/>
        </w:rPr>
      </w:pPr>
    </w:p>
    <w:p w14:paraId="29162D78" w14:textId="77777777" w:rsidR="00A14093" w:rsidRDefault="000A690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fecha veintisiete de mayo de dos mil veinticinco, se recibió en este Instituto, a través del Sistema de Acceso a la Información Mexiquense (SAIMEX), el Recurso de Revisión interpuesto por la parte Recurrente, en contra de la respuesta del Sujeto Obligado</w:t>
      </w:r>
      <w:r>
        <w:rPr>
          <w:rFonts w:ascii="Palatino Linotype" w:eastAsia="Palatino Linotype" w:hAnsi="Palatino Linotype" w:cs="Palatino Linotype"/>
          <w:b/>
          <w:sz w:val="22"/>
          <w:szCs w:val="22"/>
        </w:rPr>
        <w:t>,</w:t>
      </w:r>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sz w:val="22"/>
          <w:szCs w:val="22"/>
        </w:rPr>
        <w:t>en los siguientes términos:</w:t>
      </w:r>
    </w:p>
    <w:p w14:paraId="52DB1867" w14:textId="77777777" w:rsidR="00A14093" w:rsidRDefault="00A14093">
      <w:pPr>
        <w:spacing w:line="360" w:lineRule="auto"/>
        <w:ind w:right="-28"/>
        <w:jc w:val="both"/>
        <w:rPr>
          <w:rFonts w:ascii="Palatino Linotype" w:eastAsia="Palatino Linotype" w:hAnsi="Palatino Linotype" w:cs="Palatino Linotype"/>
          <w:i/>
        </w:rPr>
      </w:pPr>
    </w:p>
    <w:p w14:paraId="3A441005" w14:textId="77777777" w:rsidR="00A14093" w:rsidRDefault="000A6908">
      <w:pPr>
        <w:tabs>
          <w:tab w:val="left" w:pos="4667"/>
        </w:tabs>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“ACTO IMPUGNADO</w:t>
      </w:r>
    </w:p>
    <w:p w14:paraId="6027592B" w14:textId="77777777" w:rsidR="00A14093" w:rsidRDefault="000A6908">
      <w:pPr>
        <w:spacing w:line="360" w:lineRule="auto"/>
        <w:ind w:left="567" w:right="567"/>
        <w:jc w:val="both"/>
        <w:rPr>
          <w:rFonts w:ascii="Palatino Linotype" w:eastAsia="Palatino Linotype" w:hAnsi="Palatino Linotype" w:cs="Palatino Linotype"/>
          <w:i/>
        </w:rPr>
      </w:pPr>
      <w:proofErr w:type="gramStart"/>
      <w:r>
        <w:rPr>
          <w:rFonts w:ascii="Palatino Linotype" w:eastAsia="Palatino Linotype" w:hAnsi="Palatino Linotype" w:cs="Palatino Linotype"/>
          <w:i/>
          <w:color w:val="000000"/>
        </w:rPr>
        <w:t>el</w:t>
      </w:r>
      <w:proofErr w:type="gramEnd"/>
      <w:r>
        <w:rPr>
          <w:rFonts w:ascii="Palatino Linotype" w:eastAsia="Palatino Linotype" w:hAnsi="Palatino Linotype" w:cs="Palatino Linotype"/>
          <w:i/>
          <w:color w:val="000000"/>
        </w:rPr>
        <w:t xml:space="preserve"> oficio que se envió no es respuesta suficiente para no entregar el contrato</w:t>
      </w:r>
      <w:r>
        <w:rPr>
          <w:rFonts w:ascii="Palatino Linotype" w:eastAsia="Palatino Linotype" w:hAnsi="Palatino Linotype" w:cs="Palatino Linotype"/>
          <w:i/>
        </w:rPr>
        <w:t>”</w:t>
      </w:r>
    </w:p>
    <w:p w14:paraId="6094C027" w14:textId="77777777" w:rsidR="00A14093" w:rsidRDefault="00A14093">
      <w:pPr>
        <w:tabs>
          <w:tab w:val="left" w:pos="4667"/>
        </w:tabs>
        <w:spacing w:line="360" w:lineRule="auto"/>
        <w:ind w:right="567"/>
        <w:jc w:val="both"/>
        <w:rPr>
          <w:rFonts w:ascii="Palatino Linotype" w:eastAsia="Palatino Linotype" w:hAnsi="Palatino Linotype" w:cs="Palatino Linotype"/>
          <w:i/>
        </w:rPr>
      </w:pPr>
    </w:p>
    <w:p w14:paraId="459C89D6" w14:textId="77777777" w:rsidR="00A14093" w:rsidRDefault="000A6908">
      <w:pPr>
        <w:tabs>
          <w:tab w:val="left" w:pos="4667"/>
        </w:tabs>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“RAZONES O MOTIVOS DE LA INCONFORMIDAD</w:t>
      </w:r>
    </w:p>
    <w:p w14:paraId="21609F46" w14:textId="77777777" w:rsidR="00A14093" w:rsidRDefault="000A6908">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color w:val="000000"/>
        </w:rPr>
        <w:t xml:space="preserve">el oficio que se envió no es una respuesta que satisfaga el acceso a la información pública, si bien es cierto que existen </w:t>
      </w:r>
      <w:proofErr w:type="spellStart"/>
      <w:r>
        <w:rPr>
          <w:rFonts w:ascii="Palatino Linotype" w:eastAsia="Palatino Linotype" w:hAnsi="Palatino Linotype" w:cs="Palatino Linotype"/>
          <w:i/>
          <w:color w:val="000000"/>
        </w:rPr>
        <w:t>clausulas</w:t>
      </w:r>
      <w:proofErr w:type="spellEnd"/>
      <w:r>
        <w:rPr>
          <w:rFonts w:ascii="Palatino Linotype" w:eastAsia="Palatino Linotype" w:hAnsi="Palatino Linotype" w:cs="Palatino Linotype"/>
          <w:i/>
          <w:color w:val="000000"/>
        </w:rPr>
        <w:t xml:space="preserve"> de confidencialidad la otra parte deberá de siempre estar </w:t>
      </w:r>
      <w:proofErr w:type="spellStart"/>
      <w:r>
        <w:rPr>
          <w:rFonts w:ascii="Palatino Linotype" w:eastAsia="Palatino Linotype" w:hAnsi="Palatino Linotype" w:cs="Palatino Linotype"/>
          <w:i/>
          <w:color w:val="000000"/>
        </w:rPr>
        <w:t>consiente</w:t>
      </w:r>
      <w:proofErr w:type="spellEnd"/>
      <w:r>
        <w:rPr>
          <w:rFonts w:ascii="Palatino Linotype" w:eastAsia="Palatino Linotype" w:hAnsi="Palatino Linotype" w:cs="Palatino Linotype"/>
          <w:i/>
          <w:color w:val="000000"/>
        </w:rPr>
        <w:t xml:space="preserve"> de que al ofrecer un servicio recibe un recurso público por lo que deberá de entregar el contrato que se </w:t>
      </w:r>
      <w:proofErr w:type="spellStart"/>
      <w:r>
        <w:rPr>
          <w:rFonts w:ascii="Palatino Linotype" w:eastAsia="Palatino Linotype" w:hAnsi="Palatino Linotype" w:cs="Palatino Linotype"/>
          <w:i/>
          <w:color w:val="000000"/>
        </w:rPr>
        <w:lastRenderedPageBreak/>
        <w:t>firmo</w:t>
      </w:r>
      <w:proofErr w:type="spellEnd"/>
      <w:r>
        <w:rPr>
          <w:rFonts w:ascii="Palatino Linotype" w:eastAsia="Palatino Linotype" w:hAnsi="Palatino Linotype" w:cs="Palatino Linotype"/>
          <w:i/>
          <w:color w:val="000000"/>
        </w:rPr>
        <w:t xml:space="preserve"> con la empresa festival flores, ya que refieren que no existe un contrato si no convenio en la </w:t>
      </w:r>
      <w:proofErr w:type="spellStart"/>
      <w:r>
        <w:rPr>
          <w:rFonts w:ascii="Palatino Linotype" w:eastAsia="Palatino Linotype" w:hAnsi="Palatino Linotype" w:cs="Palatino Linotype"/>
          <w:i/>
          <w:color w:val="000000"/>
        </w:rPr>
        <w:t>clausula</w:t>
      </w:r>
      <w:proofErr w:type="spellEnd"/>
      <w:r>
        <w:rPr>
          <w:rFonts w:ascii="Palatino Linotype" w:eastAsia="Palatino Linotype" w:hAnsi="Palatino Linotype" w:cs="Palatino Linotype"/>
          <w:i/>
          <w:color w:val="000000"/>
        </w:rPr>
        <w:t xml:space="preserve"> decima cuarta mencionan que si existe un contrato así como en la </w:t>
      </w:r>
      <w:proofErr w:type="spellStart"/>
      <w:r>
        <w:rPr>
          <w:rFonts w:ascii="Palatino Linotype" w:eastAsia="Palatino Linotype" w:hAnsi="Palatino Linotype" w:cs="Palatino Linotype"/>
          <w:i/>
          <w:color w:val="000000"/>
        </w:rPr>
        <w:t>decima</w:t>
      </w:r>
      <w:proofErr w:type="spellEnd"/>
      <w:r>
        <w:rPr>
          <w:rFonts w:ascii="Palatino Linotype" w:eastAsia="Palatino Linotype" w:hAnsi="Palatino Linotype" w:cs="Palatino Linotype"/>
          <w:i/>
          <w:color w:val="000000"/>
        </w:rPr>
        <w:t xml:space="preserve"> quinta, sin embargo solo hacen mención de la normativa aplicable pero no a los artículos que fundamentan dicha justificación.</w:t>
      </w:r>
      <w:r>
        <w:rPr>
          <w:rFonts w:ascii="Palatino Linotype" w:eastAsia="Palatino Linotype" w:hAnsi="Palatino Linotype" w:cs="Palatino Linotype"/>
          <w:i/>
        </w:rPr>
        <w:t xml:space="preserve">”  </w:t>
      </w:r>
    </w:p>
    <w:p w14:paraId="12CB13AE" w14:textId="77777777" w:rsidR="00A14093" w:rsidRDefault="00A14093">
      <w:pPr>
        <w:spacing w:line="360" w:lineRule="auto"/>
        <w:ind w:left="567" w:right="567"/>
        <w:jc w:val="both"/>
        <w:rPr>
          <w:rFonts w:ascii="Palatino Linotype" w:eastAsia="Palatino Linotype" w:hAnsi="Palatino Linotype" w:cs="Palatino Linotype"/>
          <w:i/>
        </w:rPr>
      </w:pPr>
    </w:p>
    <w:p w14:paraId="13BEA61F" w14:textId="77777777" w:rsidR="00A14093" w:rsidRDefault="000A6908">
      <w:pPr>
        <w:pStyle w:val="Ttulo2"/>
        <w:spacing w:before="0" w:after="0" w:line="360" w:lineRule="auto"/>
        <w:rPr>
          <w:rFonts w:ascii="Palatino Linotype" w:eastAsia="Palatino Linotype" w:hAnsi="Palatino Linotype" w:cs="Palatino Linotype"/>
          <w:b/>
          <w:color w:val="000000"/>
          <w:sz w:val="22"/>
          <w:szCs w:val="22"/>
        </w:rPr>
      </w:pPr>
      <w:bookmarkStart w:id="7" w:name="_heading=h.6vxkp0sq2rem" w:colFirst="0" w:colLast="0"/>
      <w:bookmarkEnd w:id="7"/>
      <w:r>
        <w:rPr>
          <w:rFonts w:ascii="Palatino Linotype" w:eastAsia="Palatino Linotype" w:hAnsi="Palatino Linotype" w:cs="Palatino Linotype"/>
          <w:b/>
          <w:color w:val="000000"/>
          <w:sz w:val="22"/>
          <w:szCs w:val="22"/>
        </w:rPr>
        <w:t>IV. Trámite del Recurso de Revisión ante el Instituto</w:t>
      </w:r>
    </w:p>
    <w:p w14:paraId="13F7B7AD" w14:textId="77777777" w:rsidR="00A14093" w:rsidRDefault="00A14093">
      <w:pPr>
        <w:spacing w:line="360" w:lineRule="auto"/>
        <w:ind w:right="-28"/>
        <w:jc w:val="both"/>
        <w:rPr>
          <w:rFonts w:ascii="Palatino Linotype" w:eastAsia="Palatino Linotype" w:hAnsi="Palatino Linotype" w:cs="Palatino Linotype"/>
          <w:b/>
          <w:sz w:val="22"/>
          <w:szCs w:val="22"/>
        </w:rPr>
      </w:pPr>
    </w:p>
    <w:p w14:paraId="214E151B" w14:textId="77777777" w:rsidR="00A14093" w:rsidRDefault="000A6908">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a) Turno del Recurso de Revisión. </w:t>
      </w:r>
      <w:r>
        <w:rPr>
          <w:rFonts w:ascii="Palatino Linotype" w:eastAsia="Palatino Linotype" w:hAnsi="Palatino Linotype" w:cs="Palatino Linotype"/>
          <w:sz w:val="22"/>
          <w:szCs w:val="22"/>
        </w:rPr>
        <w:t xml:space="preserve">El veintisiete de mayo de dos mil veinticinco, el Sistema de Acceso a la Información Mexiquense (SAIMEX), asignó el número de expediente </w:t>
      </w:r>
      <w:r>
        <w:rPr>
          <w:rFonts w:ascii="Palatino Linotype" w:eastAsia="Palatino Linotype" w:hAnsi="Palatino Linotype" w:cs="Palatino Linotype"/>
          <w:b/>
          <w:sz w:val="22"/>
          <w:szCs w:val="22"/>
        </w:rPr>
        <w:t xml:space="preserve">05996/INFOEM/IP/RR/2025, </w:t>
      </w:r>
      <w:r>
        <w:rPr>
          <w:rFonts w:ascii="Palatino Linotype" w:eastAsia="Palatino Linotype" w:hAnsi="Palatino Linotype" w:cs="Palatino Linotype"/>
          <w:sz w:val="22"/>
          <w:szCs w:val="22"/>
        </w:rPr>
        <w:t xml:space="preserve">al Recurso de Revisión y lo turnó al Comisionado Ponente </w:t>
      </w:r>
      <w:r>
        <w:rPr>
          <w:rFonts w:ascii="Palatino Linotype" w:eastAsia="Palatino Linotype" w:hAnsi="Palatino Linotype" w:cs="Palatino Linotype"/>
          <w:b/>
          <w:sz w:val="22"/>
          <w:szCs w:val="22"/>
        </w:rPr>
        <w:t>Luis Gustavo Parra Noriega</w:t>
      </w:r>
      <w:r>
        <w:rPr>
          <w:rFonts w:ascii="Palatino Linotype" w:eastAsia="Palatino Linotype" w:hAnsi="Palatino Linotype" w:cs="Palatino Linotype"/>
          <w:sz w:val="22"/>
          <w:szCs w:val="22"/>
        </w:rPr>
        <w:t>, para los efectos del artículo 185, fracción I, de la Ley de Transparencia y Acceso a la Información Pública del Estado de México y Municipios.</w:t>
      </w:r>
    </w:p>
    <w:p w14:paraId="4B8C7B8F" w14:textId="77777777" w:rsidR="00A14093" w:rsidRDefault="00A14093">
      <w:pPr>
        <w:spacing w:line="360" w:lineRule="auto"/>
        <w:ind w:right="-28"/>
        <w:jc w:val="both"/>
        <w:rPr>
          <w:rFonts w:ascii="Palatino Linotype" w:eastAsia="Palatino Linotype" w:hAnsi="Palatino Linotype" w:cs="Palatino Linotype"/>
          <w:sz w:val="22"/>
          <w:szCs w:val="22"/>
        </w:rPr>
      </w:pPr>
    </w:p>
    <w:p w14:paraId="676CF31D" w14:textId="77777777" w:rsidR="00A14093" w:rsidRDefault="000A690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b) Admisión del Recurso de Revisión. </w:t>
      </w:r>
      <w:r>
        <w:rPr>
          <w:rFonts w:ascii="Palatino Linotype" w:eastAsia="Palatino Linotype" w:hAnsi="Palatino Linotype" w:cs="Palatino Linotype"/>
          <w:sz w:val="22"/>
          <w:szCs w:val="22"/>
        </w:rPr>
        <w:t>El treinta de mayo de dos mil veinticinco,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59B79B64" w14:textId="77777777" w:rsidR="00A14093" w:rsidRDefault="00A14093">
      <w:pPr>
        <w:spacing w:line="360" w:lineRule="auto"/>
        <w:jc w:val="both"/>
        <w:rPr>
          <w:rFonts w:ascii="Palatino Linotype" w:eastAsia="Palatino Linotype" w:hAnsi="Palatino Linotype" w:cs="Palatino Linotype"/>
          <w:sz w:val="22"/>
          <w:szCs w:val="22"/>
        </w:rPr>
      </w:pPr>
    </w:p>
    <w:p w14:paraId="73D12ED4" w14:textId="2F3D84C7" w:rsidR="00A14093" w:rsidRDefault="000A6908">
      <w:pPr>
        <w:widowControl w:val="0"/>
        <w:spacing w:after="16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c) Ampliación de plazo para resolver. </w:t>
      </w:r>
      <w:r>
        <w:rPr>
          <w:rFonts w:ascii="Palatino Linotype" w:eastAsia="Palatino Linotype" w:hAnsi="Palatino Linotype" w:cs="Palatino Linotype"/>
          <w:sz w:val="22"/>
          <w:szCs w:val="22"/>
        </w:rPr>
        <w:t>El doce de agosto de dos mil veinticinco, el Comisionado Ponente, con fundamento en lo dispuesto por el artículo 181, párrafo tercero, de la Ley de Transparencia y Acceso a la Información Pública del Estado de México y Municipios, acordó ampliar por un plazo de quince días hábiles, el plazo para resolver el Recurso de Revisión que nos ocupa; acto que fue notificado</w:t>
      </w:r>
      <w:r w:rsidR="00970FAF">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 xml:space="preserve">mediante el Sistema de Acceso a la </w:t>
      </w:r>
      <w:r>
        <w:rPr>
          <w:rFonts w:ascii="Palatino Linotype" w:eastAsia="Palatino Linotype" w:hAnsi="Palatino Linotype" w:cs="Palatino Linotype"/>
          <w:sz w:val="22"/>
          <w:szCs w:val="22"/>
        </w:rPr>
        <w:lastRenderedPageBreak/>
        <w:t xml:space="preserve">Información Mexiquense (SAIMEX). </w:t>
      </w:r>
    </w:p>
    <w:p w14:paraId="3AFE839C" w14:textId="77777777" w:rsidR="00A14093" w:rsidRDefault="00A14093">
      <w:pPr>
        <w:spacing w:line="360" w:lineRule="auto"/>
        <w:jc w:val="both"/>
        <w:rPr>
          <w:rFonts w:ascii="Palatino Linotype" w:eastAsia="Palatino Linotype" w:hAnsi="Palatino Linotype" w:cs="Palatino Linotype"/>
          <w:sz w:val="22"/>
          <w:szCs w:val="22"/>
        </w:rPr>
      </w:pPr>
    </w:p>
    <w:p w14:paraId="510BD69B" w14:textId="77777777" w:rsidR="00A14093" w:rsidRDefault="000A6908">
      <w:pPr>
        <w:tabs>
          <w:tab w:val="left" w:pos="3261"/>
        </w:tabs>
        <w:spacing w:line="360" w:lineRule="auto"/>
        <w:jc w:val="both"/>
        <w:rPr>
          <w:rFonts w:ascii="Palatino Linotype" w:eastAsia="Palatino Linotype" w:hAnsi="Palatino Linotype" w:cs="Palatino Linotype"/>
          <w:sz w:val="22"/>
          <w:szCs w:val="22"/>
        </w:rPr>
      </w:pPr>
      <w:bookmarkStart w:id="8" w:name="_heading=h.ys6tis3ysm6l" w:colFirst="0" w:colLast="0"/>
      <w:bookmarkEnd w:id="8"/>
      <w:r>
        <w:rPr>
          <w:rFonts w:ascii="Palatino Linotype" w:eastAsia="Palatino Linotype" w:hAnsi="Palatino Linotype" w:cs="Palatino Linotype"/>
          <w:b/>
          <w:sz w:val="22"/>
          <w:szCs w:val="22"/>
        </w:rPr>
        <w:t xml:space="preserve">d) </w:t>
      </w:r>
      <w:r>
        <w:rPr>
          <w:rFonts w:ascii="Palatino Linotype" w:eastAsia="Palatino Linotype" w:hAnsi="Palatino Linotype" w:cs="Palatino Linotype"/>
          <w:b/>
          <w:color w:val="000000"/>
          <w:sz w:val="22"/>
          <w:szCs w:val="22"/>
        </w:rPr>
        <w:t>Informe Justificado o Manifestaciones.</w:t>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color w:val="000000"/>
          <w:sz w:val="22"/>
          <w:szCs w:val="22"/>
        </w:rPr>
        <w:t>Las partes fueron omisas en realizar manifestaciones o alegatos.</w:t>
      </w:r>
    </w:p>
    <w:p w14:paraId="4E34D778" w14:textId="77777777" w:rsidR="00A14093" w:rsidRDefault="00A14093">
      <w:pPr>
        <w:spacing w:line="360" w:lineRule="auto"/>
        <w:jc w:val="both"/>
        <w:rPr>
          <w:rFonts w:ascii="Palatino Linotype" w:eastAsia="Palatino Linotype" w:hAnsi="Palatino Linotype" w:cs="Palatino Linotype"/>
          <w:color w:val="000000"/>
          <w:sz w:val="22"/>
          <w:szCs w:val="22"/>
        </w:rPr>
      </w:pPr>
    </w:p>
    <w:p w14:paraId="5C3AE44B" w14:textId="77777777" w:rsidR="00A14093" w:rsidRDefault="000A6908">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e) Cierre de instrucción. </w:t>
      </w:r>
      <w:r>
        <w:rPr>
          <w:rFonts w:ascii="Palatino Linotype" w:eastAsia="Palatino Linotype" w:hAnsi="Palatino Linotype" w:cs="Palatino Linotype"/>
          <w:sz w:val="22"/>
          <w:szCs w:val="22"/>
        </w:rPr>
        <w:t>El diecinueve de agosto de dos mil veinticinco, al no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 el mismo día, a través del Sistema de Acceso a la Información Mexiquense (SAIMEX).</w:t>
      </w:r>
    </w:p>
    <w:p w14:paraId="5A54F8F2" w14:textId="77777777" w:rsidR="00A14093" w:rsidRDefault="00A14093">
      <w:pPr>
        <w:spacing w:line="360" w:lineRule="auto"/>
        <w:ind w:right="-28"/>
        <w:jc w:val="both"/>
        <w:rPr>
          <w:rFonts w:ascii="Palatino Linotype" w:eastAsia="Palatino Linotype" w:hAnsi="Palatino Linotype" w:cs="Palatino Linotype"/>
          <w:sz w:val="22"/>
          <w:szCs w:val="22"/>
        </w:rPr>
      </w:pPr>
    </w:p>
    <w:p w14:paraId="08DF44BE" w14:textId="77777777" w:rsidR="00A14093" w:rsidRDefault="000A6908">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razón de que fue debidamente sustanciado el expediente electrónico y no existe diligencia pendiente de desahogo, se emite la resolución que conforme a Derecho proceda, de acuerdo con los siguientes:</w:t>
      </w:r>
    </w:p>
    <w:p w14:paraId="785CE4EB" w14:textId="77777777" w:rsidR="00A14093" w:rsidRDefault="00A14093">
      <w:pPr>
        <w:spacing w:line="360" w:lineRule="auto"/>
        <w:ind w:right="-28"/>
        <w:jc w:val="both"/>
        <w:rPr>
          <w:rFonts w:ascii="Palatino Linotype" w:eastAsia="Palatino Linotype" w:hAnsi="Palatino Linotype" w:cs="Palatino Linotype"/>
          <w:color w:val="000000"/>
          <w:sz w:val="22"/>
          <w:szCs w:val="22"/>
        </w:rPr>
      </w:pPr>
    </w:p>
    <w:p w14:paraId="1EC6F88B" w14:textId="77777777" w:rsidR="00A14093" w:rsidRDefault="000A6908">
      <w:pPr>
        <w:pStyle w:val="Ttulo1"/>
        <w:spacing w:before="0" w:after="0" w:line="360" w:lineRule="auto"/>
        <w:jc w:val="center"/>
        <w:rPr>
          <w:rFonts w:ascii="Palatino Linotype" w:eastAsia="Palatino Linotype" w:hAnsi="Palatino Linotype" w:cs="Palatino Linotype"/>
          <w:b/>
          <w:color w:val="000000"/>
          <w:sz w:val="22"/>
          <w:szCs w:val="22"/>
        </w:rPr>
      </w:pPr>
      <w:bookmarkStart w:id="9" w:name="_heading=h.m34c0fnu3z2c" w:colFirst="0" w:colLast="0"/>
      <w:bookmarkEnd w:id="9"/>
      <w:r>
        <w:rPr>
          <w:rFonts w:ascii="Palatino Linotype" w:eastAsia="Palatino Linotype" w:hAnsi="Palatino Linotype" w:cs="Palatino Linotype"/>
          <w:b/>
          <w:color w:val="000000"/>
          <w:sz w:val="22"/>
          <w:szCs w:val="22"/>
        </w:rPr>
        <w:t>C O N S I D E R A N D O S</w:t>
      </w:r>
    </w:p>
    <w:p w14:paraId="5239B8FF" w14:textId="77777777" w:rsidR="00A14093" w:rsidRDefault="00A14093">
      <w:pPr>
        <w:spacing w:line="360" w:lineRule="auto"/>
      </w:pPr>
    </w:p>
    <w:p w14:paraId="0B7AF9F0" w14:textId="77777777" w:rsidR="00A14093" w:rsidRDefault="000A6908">
      <w:pPr>
        <w:pStyle w:val="Ttulo2"/>
        <w:spacing w:before="0" w:after="0" w:line="360" w:lineRule="auto"/>
        <w:rPr>
          <w:rFonts w:ascii="Palatino Linotype" w:eastAsia="Palatino Linotype" w:hAnsi="Palatino Linotype" w:cs="Palatino Linotype"/>
          <w:b/>
          <w:color w:val="000000"/>
          <w:sz w:val="22"/>
          <w:szCs w:val="22"/>
        </w:rPr>
      </w:pPr>
      <w:bookmarkStart w:id="10" w:name="_heading=h.75sy8lxaycd2" w:colFirst="0" w:colLast="0"/>
      <w:bookmarkEnd w:id="10"/>
      <w:r>
        <w:rPr>
          <w:rFonts w:ascii="Palatino Linotype" w:eastAsia="Palatino Linotype" w:hAnsi="Palatino Linotype" w:cs="Palatino Linotype"/>
          <w:b/>
          <w:color w:val="000000"/>
          <w:sz w:val="22"/>
          <w:szCs w:val="22"/>
        </w:rPr>
        <w:t>PRIMERO. Competencia</w:t>
      </w:r>
    </w:p>
    <w:p w14:paraId="07D323DD" w14:textId="77777777" w:rsidR="00A14093" w:rsidRDefault="00A14093">
      <w:pPr>
        <w:spacing w:line="360" w:lineRule="auto"/>
        <w:ind w:right="-28"/>
        <w:jc w:val="both"/>
        <w:rPr>
          <w:rFonts w:ascii="Palatino Linotype" w:eastAsia="Palatino Linotype" w:hAnsi="Palatino Linotype" w:cs="Palatino Linotype"/>
          <w:b/>
          <w:sz w:val="22"/>
          <w:szCs w:val="22"/>
        </w:rPr>
      </w:pPr>
    </w:p>
    <w:p w14:paraId="4A138730" w14:textId="77777777" w:rsidR="00A14093" w:rsidRDefault="000A6908">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fracciones I, II, III, IV y V de la Constitución Política del Estado Libre y Soberano de México; 1, 2, </w:t>
      </w:r>
      <w:r>
        <w:rPr>
          <w:rFonts w:ascii="Palatino Linotype" w:eastAsia="Palatino Linotype" w:hAnsi="Palatino Linotype" w:cs="Palatino Linotype"/>
          <w:sz w:val="22"/>
          <w:szCs w:val="22"/>
        </w:rPr>
        <w:lastRenderedPageBreak/>
        <w:t>fracciones II y IV; 13, 29. 36, fracciones I y II; 176, 178, 179, 181 párrafo tercero, 185, 188 y 189 de la Ley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6A36153A" w14:textId="77777777" w:rsidR="00A14093" w:rsidRDefault="000A6908">
      <w:pPr>
        <w:pStyle w:val="Ttulo2"/>
        <w:spacing w:before="0" w:after="0" w:line="360" w:lineRule="auto"/>
        <w:rPr>
          <w:rFonts w:ascii="Palatino Linotype" w:eastAsia="Palatino Linotype" w:hAnsi="Palatino Linotype" w:cs="Palatino Linotype"/>
          <w:b/>
          <w:color w:val="000000"/>
          <w:sz w:val="22"/>
          <w:szCs w:val="22"/>
        </w:rPr>
      </w:pPr>
      <w:bookmarkStart w:id="11" w:name="_heading=h.a1zn8abf0d6d" w:colFirst="0" w:colLast="0"/>
      <w:bookmarkEnd w:id="11"/>
      <w:r>
        <w:rPr>
          <w:rFonts w:ascii="Palatino Linotype" w:eastAsia="Palatino Linotype" w:hAnsi="Palatino Linotype" w:cs="Palatino Linotype"/>
          <w:b/>
          <w:color w:val="000000"/>
          <w:sz w:val="22"/>
          <w:szCs w:val="22"/>
        </w:rPr>
        <w:t>SEGUNDO. Causales de improcedencia y sobreseimiento</w:t>
      </w:r>
    </w:p>
    <w:p w14:paraId="37D93547" w14:textId="77777777" w:rsidR="00A14093" w:rsidRDefault="00A14093">
      <w:pPr>
        <w:spacing w:line="360" w:lineRule="auto"/>
        <w:jc w:val="both"/>
        <w:rPr>
          <w:rFonts w:ascii="Palatino Linotype" w:eastAsia="Palatino Linotype" w:hAnsi="Palatino Linotype" w:cs="Palatino Linotype"/>
          <w:sz w:val="22"/>
          <w:szCs w:val="22"/>
        </w:rPr>
      </w:pPr>
    </w:p>
    <w:p w14:paraId="22DDAB27" w14:textId="77777777" w:rsidR="00A14093" w:rsidRDefault="000A690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proofErr w:type="spellStart"/>
      <w:r>
        <w:rPr>
          <w:rFonts w:ascii="Palatino Linotype" w:eastAsia="Palatino Linotype" w:hAnsi="Palatino Linotype" w:cs="Palatino Linotype"/>
          <w:i/>
          <w:sz w:val="22"/>
          <w:szCs w:val="22"/>
        </w:rPr>
        <w:t>litis</w:t>
      </w:r>
      <w:proofErr w:type="spellEnd"/>
      <w:r>
        <w:rPr>
          <w:rFonts w:ascii="Palatino Linotype" w:eastAsia="Palatino Linotype" w:hAnsi="Palatino Linotype" w:cs="Palatino Linotype"/>
          <w:sz w:val="22"/>
          <w:szCs w:val="22"/>
        </w:rPr>
        <w:t>, es necesario estudiar las causales de improcedencia, para determinar lo que en Derecho proceda.</w:t>
      </w:r>
    </w:p>
    <w:p w14:paraId="2CFBC026" w14:textId="77777777" w:rsidR="00A14093" w:rsidRDefault="00A14093">
      <w:pPr>
        <w:spacing w:line="360" w:lineRule="auto"/>
        <w:jc w:val="both"/>
        <w:rPr>
          <w:rFonts w:ascii="Palatino Linotype" w:eastAsia="Palatino Linotype" w:hAnsi="Palatino Linotype" w:cs="Palatino Linotype"/>
          <w:b/>
          <w:color w:val="000000"/>
          <w:sz w:val="22"/>
          <w:szCs w:val="22"/>
        </w:rPr>
      </w:pPr>
    </w:p>
    <w:p w14:paraId="5107487F" w14:textId="77777777" w:rsidR="00A14093" w:rsidRDefault="000A6908">
      <w:pP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Causales de improcedencia</w:t>
      </w:r>
    </w:p>
    <w:p w14:paraId="1F75100C" w14:textId="77777777" w:rsidR="00A14093" w:rsidRDefault="00A14093">
      <w:pPr>
        <w:spacing w:line="360" w:lineRule="auto"/>
        <w:jc w:val="both"/>
        <w:rPr>
          <w:rFonts w:ascii="Palatino Linotype" w:eastAsia="Palatino Linotype" w:hAnsi="Palatino Linotype" w:cs="Palatino Linotype"/>
          <w:color w:val="000000"/>
          <w:sz w:val="22"/>
          <w:szCs w:val="22"/>
        </w:rPr>
      </w:pPr>
    </w:p>
    <w:p w14:paraId="68F56304" w14:textId="77777777" w:rsidR="00A14093" w:rsidRDefault="000A6908">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8E4754F" w14:textId="77777777" w:rsidR="00A14093" w:rsidRDefault="00A14093">
      <w:pPr>
        <w:spacing w:line="360" w:lineRule="auto"/>
        <w:ind w:right="-28"/>
        <w:jc w:val="both"/>
        <w:rPr>
          <w:rFonts w:ascii="Palatino Linotype" w:eastAsia="Palatino Linotype" w:hAnsi="Palatino Linotype" w:cs="Palatino Linotype"/>
          <w:color w:val="000000"/>
          <w:sz w:val="22"/>
          <w:szCs w:val="22"/>
        </w:rPr>
      </w:pPr>
    </w:p>
    <w:p w14:paraId="5F751DE8" w14:textId="77777777" w:rsidR="00A14093" w:rsidRDefault="000A690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En el presente caso, </w:t>
      </w:r>
      <w:r>
        <w:rPr>
          <w:rFonts w:ascii="Palatino Linotype" w:eastAsia="Palatino Linotype" w:hAnsi="Palatino Linotype" w:cs="Palatino Linotype"/>
          <w:b/>
          <w:sz w:val="22"/>
          <w:szCs w:val="22"/>
        </w:rPr>
        <w:t>no se actualiza ninguna de las causales de improcedencia</w:t>
      </w:r>
      <w:r>
        <w:rPr>
          <w:rFonts w:ascii="Palatino Linotype" w:eastAsia="Palatino Linotype" w:hAnsi="Palatino Linotype" w:cs="Palatino Linotype"/>
          <w:sz w:val="22"/>
          <w:szCs w:val="22"/>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w:t>
      </w:r>
      <w:r>
        <w:rPr>
          <w:rFonts w:ascii="Palatino Linotype" w:eastAsia="Palatino Linotype" w:hAnsi="Palatino Linotype" w:cs="Palatino Linotype"/>
          <w:sz w:val="22"/>
          <w:szCs w:val="22"/>
        </w:rPr>
        <w:lastRenderedPageBreak/>
        <w:t xml:space="preserve">el Recurrente ante otra instancia; no existió prevención alguna; la veracidad de la respuesta no formó parte del agravio; ni se realizó una consulta o ampliación a los alcances del requerimiento informativo; además de que </w:t>
      </w:r>
      <w:r>
        <w:rPr>
          <w:rFonts w:ascii="Palatino Linotype" w:eastAsia="Palatino Linotype" w:hAnsi="Palatino Linotype" w:cs="Palatino Linotype"/>
          <w:color w:val="000000"/>
          <w:sz w:val="22"/>
          <w:szCs w:val="22"/>
        </w:rPr>
        <w:t>el medio de impugnación fue presentado en tiempo.</w:t>
      </w:r>
    </w:p>
    <w:p w14:paraId="2B092EB1" w14:textId="77777777" w:rsidR="00A14093" w:rsidRDefault="00A14093">
      <w:pPr>
        <w:spacing w:line="360" w:lineRule="auto"/>
        <w:jc w:val="both"/>
        <w:rPr>
          <w:rFonts w:ascii="Palatino Linotype" w:eastAsia="Palatino Linotype" w:hAnsi="Palatino Linotype" w:cs="Palatino Linotype"/>
          <w:color w:val="000000"/>
          <w:sz w:val="22"/>
          <w:szCs w:val="22"/>
        </w:rPr>
      </w:pPr>
    </w:p>
    <w:p w14:paraId="1A50F4E0" w14:textId="77777777" w:rsidR="00A14093" w:rsidRDefault="00A14093">
      <w:pPr>
        <w:spacing w:line="360" w:lineRule="auto"/>
        <w:jc w:val="both"/>
        <w:rPr>
          <w:rFonts w:ascii="Palatino Linotype" w:eastAsia="Palatino Linotype" w:hAnsi="Palatino Linotype" w:cs="Palatino Linotype"/>
          <w:color w:val="000000"/>
          <w:sz w:val="22"/>
          <w:szCs w:val="22"/>
        </w:rPr>
      </w:pPr>
    </w:p>
    <w:p w14:paraId="2ECEEE2C" w14:textId="77777777" w:rsidR="00A14093" w:rsidRDefault="000A6908">
      <w:pPr>
        <w:widowControl w:val="0"/>
        <w:spacing w:line="360" w:lineRule="auto"/>
        <w:jc w:val="both"/>
      </w:pPr>
      <w:bookmarkStart w:id="12" w:name="_heading=h.9jspkjntqpju" w:colFirst="0" w:colLast="0"/>
      <w:bookmarkEnd w:id="12"/>
      <w:r>
        <w:rPr>
          <w:rFonts w:ascii="Palatino Linotype" w:eastAsia="Palatino Linotype" w:hAnsi="Palatino Linotype" w:cs="Palatino Linotype"/>
          <w:sz w:val="22"/>
          <w:szCs w:val="22"/>
        </w:rPr>
        <w:t xml:space="preserve">Asimismo, se actualiza la causal de procedencia del Recurso de Revisión señalada en el artículo 179, fracción II, de la Ley en cita, </w:t>
      </w:r>
      <w:r>
        <w:rPr>
          <w:rFonts w:ascii="Palatino Linotype" w:eastAsia="Palatino Linotype" w:hAnsi="Palatino Linotype" w:cs="Palatino Linotype"/>
          <w:color w:val="000000"/>
          <w:sz w:val="22"/>
          <w:szCs w:val="22"/>
        </w:rPr>
        <w:t>pues el Recurrente se inconformó con la clasificación de la información.</w:t>
      </w:r>
    </w:p>
    <w:p w14:paraId="5393DBAF" w14:textId="77777777" w:rsidR="00A14093" w:rsidRDefault="00A14093">
      <w:pPr>
        <w:spacing w:line="360" w:lineRule="auto"/>
        <w:jc w:val="both"/>
        <w:rPr>
          <w:rFonts w:ascii="Palatino Linotype" w:eastAsia="Palatino Linotype" w:hAnsi="Palatino Linotype" w:cs="Palatino Linotype"/>
          <w:b/>
          <w:color w:val="0D0D0D"/>
          <w:sz w:val="22"/>
          <w:szCs w:val="22"/>
        </w:rPr>
      </w:pPr>
    </w:p>
    <w:p w14:paraId="6A5FB046" w14:textId="77777777" w:rsidR="00A14093" w:rsidRDefault="000A6908">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b/>
          <w:color w:val="0D0D0D"/>
          <w:sz w:val="22"/>
          <w:szCs w:val="22"/>
        </w:rPr>
        <w:t>Causales de sobreseimiento</w:t>
      </w:r>
    </w:p>
    <w:p w14:paraId="73FA5640" w14:textId="77777777" w:rsidR="00A14093" w:rsidRDefault="00A14093">
      <w:pPr>
        <w:spacing w:line="360" w:lineRule="auto"/>
        <w:jc w:val="both"/>
        <w:rPr>
          <w:rFonts w:ascii="Palatino Linotype" w:eastAsia="Palatino Linotype" w:hAnsi="Palatino Linotype" w:cs="Palatino Linotype"/>
          <w:color w:val="0D0D0D"/>
          <w:sz w:val="22"/>
          <w:szCs w:val="22"/>
        </w:rPr>
      </w:pPr>
    </w:p>
    <w:p w14:paraId="65CBD9DF" w14:textId="77777777" w:rsidR="00A14093" w:rsidRDefault="000A690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ser de previo y especial pronunciamiento, este Instituto analiza si se actualiza alguna causal de sobreseimiento.</w:t>
      </w:r>
    </w:p>
    <w:p w14:paraId="58722D55" w14:textId="77777777" w:rsidR="00A14093" w:rsidRDefault="00A14093">
      <w:pPr>
        <w:spacing w:line="360" w:lineRule="auto"/>
        <w:jc w:val="both"/>
        <w:rPr>
          <w:rFonts w:ascii="Palatino Linotype" w:eastAsia="Palatino Linotype" w:hAnsi="Palatino Linotype" w:cs="Palatino Linotype"/>
          <w:sz w:val="22"/>
          <w:szCs w:val="22"/>
        </w:rPr>
      </w:pPr>
    </w:p>
    <w:p w14:paraId="2F41F03E" w14:textId="77777777" w:rsidR="00A14093" w:rsidRDefault="000A690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0FAA569D" w14:textId="77777777" w:rsidR="00A14093" w:rsidRDefault="00A14093">
      <w:pPr>
        <w:spacing w:line="360" w:lineRule="auto"/>
        <w:jc w:val="both"/>
        <w:rPr>
          <w:rFonts w:ascii="Palatino Linotype" w:eastAsia="Palatino Linotype" w:hAnsi="Palatino Linotype" w:cs="Palatino Linotype"/>
          <w:sz w:val="22"/>
          <w:szCs w:val="22"/>
        </w:rPr>
      </w:pPr>
    </w:p>
    <w:p w14:paraId="14C98195" w14:textId="77777777" w:rsidR="00A14093" w:rsidRDefault="000A6908">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tales motivos, se considera procedente entrar al fondo del presente asunto. </w:t>
      </w:r>
    </w:p>
    <w:p w14:paraId="117CDB9E" w14:textId="77777777" w:rsidR="00A14093" w:rsidRDefault="00A14093">
      <w:pPr>
        <w:tabs>
          <w:tab w:val="left" w:pos="4962"/>
        </w:tabs>
        <w:spacing w:line="360" w:lineRule="auto"/>
        <w:jc w:val="both"/>
        <w:rPr>
          <w:rFonts w:ascii="Palatino Linotype" w:eastAsia="Palatino Linotype" w:hAnsi="Palatino Linotype" w:cs="Palatino Linotype"/>
          <w:sz w:val="22"/>
          <w:szCs w:val="22"/>
        </w:rPr>
      </w:pPr>
    </w:p>
    <w:p w14:paraId="7E01EF7F" w14:textId="77777777" w:rsidR="00A14093" w:rsidRDefault="000A6908">
      <w:pPr>
        <w:pStyle w:val="Ttulo2"/>
        <w:spacing w:before="0" w:after="0" w:line="360" w:lineRule="auto"/>
        <w:rPr>
          <w:rFonts w:ascii="Palatino Linotype" w:eastAsia="Palatino Linotype" w:hAnsi="Palatino Linotype" w:cs="Palatino Linotype"/>
          <w:b/>
          <w:color w:val="000000"/>
          <w:sz w:val="22"/>
          <w:szCs w:val="22"/>
        </w:rPr>
      </w:pPr>
      <w:bookmarkStart w:id="13" w:name="_heading=h.wplljk7p5luu" w:colFirst="0" w:colLast="0"/>
      <w:bookmarkEnd w:id="13"/>
      <w:r>
        <w:rPr>
          <w:rFonts w:ascii="Palatino Linotype" w:eastAsia="Palatino Linotype" w:hAnsi="Palatino Linotype" w:cs="Palatino Linotype"/>
          <w:b/>
          <w:color w:val="000000"/>
          <w:sz w:val="22"/>
          <w:szCs w:val="22"/>
        </w:rPr>
        <w:lastRenderedPageBreak/>
        <w:t>TERCERO. Determinación de la Controversia</w:t>
      </w:r>
    </w:p>
    <w:p w14:paraId="2B4DD6B2" w14:textId="77777777" w:rsidR="00A14093" w:rsidRDefault="00A14093">
      <w:pPr>
        <w:tabs>
          <w:tab w:val="left" w:pos="4962"/>
        </w:tabs>
        <w:spacing w:line="360" w:lineRule="auto"/>
        <w:jc w:val="both"/>
        <w:rPr>
          <w:rFonts w:ascii="Palatino Linotype" w:eastAsia="Palatino Linotype" w:hAnsi="Palatino Linotype" w:cs="Palatino Linotype"/>
          <w:b/>
          <w:sz w:val="22"/>
          <w:szCs w:val="22"/>
        </w:rPr>
      </w:pPr>
    </w:p>
    <w:p w14:paraId="6432325E" w14:textId="77777777" w:rsidR="00A14093" w:rsidRDefault="000A690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Una vez realizado el estudio de las constancias que integran el expediente en que se actúa, se desprende que el Recurrente requirió el contrato de prestación de servicios de la empresa “Festival Flores” realizado por la Administración Pública Municipal 2025-2027, del primero de enero al dos de mayo de dos mil veinticinco. </w:t>
      </w:r>
    </w:p>
    <w:p w14:paraId="74C339D4" w14:textId="77777777" w:rsidR="00A14093" w:rsidRDefault="00A14093">
      <w:pPr>
        <w:spacing w:line="360" w:lineRule="auto"/>
        <w:jc w:val="both"/>
        <w:rPr>
          <w:rFonts w:ascii="Palatino Linotype" w:eastAsia="Palatino Linotype" w:hAnsi="Palatino Linotype" w:cs="Palatino Linotype"/>
          <w:sz w:val="22"/>
          <w:szCs w:val="22"/>
        </w:rPr>
      </w:pPr>
    </w:p>
    <w:p w14:paraId="008E799F" w14:textId="77777777" w:rsidR="00A14093" w:rsidRDefault="000A6908">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respuesta, el Sujeto Obligado, por medio de la Dirección de Administración precisó que no existía un contrato de prestación de servicios, toda vez que derivado de la naturaleza del objeto se realizó bajo un convenio de concesión y proporcionó un extracto de la Cláusula Décima Quinta sobre la confidencialidad de la información; ante dicha circunstancia, el Particular se inconformó que si bien existen cláusulas de confidencial no era motivo suficiente para no entregar el contrato, lo cual, actualiza la causal de procedencia prevista en la fracción II, del artículo 179 de la Ley de Transparencia y Acceso a la Información Pública del Estado de México y Municipios</w:t>
      </w: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color w:val="000000"/>
          <w:sz w:val="22"/>
          <w:szCs w:val="22"/>
        </w:rPr>
        <w:t>Así las cosas, una vez admitido y notificado el Recurso de Revisión a las partes, estas fueron omisa</w:t>
      </w:r>
      <w:r>
        <w:rPr>
          <w:rFonts w:ascii="Palatino Linotype" w:eastAsia="Palatino Linotype" w:hAnsi="Palatino Linotype" w:cs="Palatino Linotype"/>
          <w:sz w:val="22"/>
          <w:szCs w:val="22"/>
        </w:rPr>
        <w:t>s</w:t>
      </w:r>
      <w:r>
        <w:rPr>
          <w:rFonts w:ascii="Palatino Linotype" w:eastAsia="Palatino Linotype" w:hAnsi="Palatino Linotype" w:cs="Palatino Linotype"/>
          <w:color w:val="000000"/>
          <w:sz w:val="22"/>
          <w:szCs w:val="22"/>
        </w:rPr>
        <w:t xml:space="preserve"> en manifestarse. </w:t>
      </w:r>
    </w:p>
    <w:p w14:paraId="74DC891F" w14:textId="77777777" w:rsidR="00A14093" w:rsidRDefault="00A14093">
      <w:pPr>
        <w:spacing w:line="360" w:lineRule="auto"/>
        <w:ind w:right="-28"/>
        <w:jc w:val="both"/>
        <w:rPr>
          <w:rFonts w:ascii="Palatino Linotype" w:eastAsia="Palatino Linotype" w:hAnsi="Palatino Linotype" w:cs="Palatino Linotype"/>
          <w:sz w:val="22"/>
          <w:szCs w:val="22"/>
        </w:rPr>
      </w:pPr>
    </w:p>
    <w:p w14:paraId="4B856B97" w14:textId="77777777" w:rsidR="00A14093" w:rsidRDefault="000A6908">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 anterior, se desprende de las documentales que obran en el expediente de referencia, materia de la presente resolución, consistente en: la solicitud de acceso a la información, la respuesta, el escrito </w:t>
      </w:r>
      <w:proofErr w:type="spellStart"/>
      <w:r>
        <w:rPr>
          <w:rFonts w:ascii="Palatino Linotype" w:eastAsia="Palatino Linotype" w:hAnsi="Palatino Linotype" w:cs="Palatino Linotype"/>
          <w:sz w:val="22"/>
          <w:szCs w:val="22"/>
        </w:rPr>
        <w:t>recursal</w:t>
      </w:r>
      <w:proofErr w:type="spellEnd"/>
      <w:r>
        <w:rPr>
          <w:rFonts w:ascii="Palatino Linotype" w:eastAsia="Palatino Linotype" w:hAnsi="Palatino Linotype" w:cs="Palatino Linotype"/>
          <w:sz w:val="22"/>
          <w:szCs w:val="22"/>
        </w:rPr>
        <w:t>, el Informe con Justificación y el Alcance al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587D5280" w14:textId="77777777" w:rsidR="00A14093" w:rsidRDefault="00A14093">
      <w:pPr>
        <w:spacing w:line="360" w:lineRule="auto"/>
        <w:jc w:val="both"/>
        <w:rPr>
          <w:rFonts w:ascii="Palatino Linotype" w:eastAsia="Palatino Linotype" w:hAnsi="Palatino Linotype" w:cs="Palatino Linotype"/>
          <w:b/>
          <w:sz w:val="22"/>
          <w:szCs w:val="22"/>
        </w:rPr>
      </w:pPr>
    </w:p>
    <w:p w14:paraId="5AD2DFC0" w14:textId="77777777" w:rsidR="00A14093" w:rsidRDefault="000A6908">
      <w:pPr>
        <w:pStyle w:val="Ttulo2"/>
        <w:spacing w:before="0" w:after="0" w:line="360" w:lineRule="auto"/>
        <w:jc w:val="both"/>
        <w:rPr>
          <w:rFonts w:ascii="Palatino Linotype" w:eastAsia="Palatino Linotype" w:hAnsi="Palatino Linotype" w:cs="Palatino Linotype"/>
          <w:b/>
          <w:color w:val="000000"/>
          <w:sz w:val="22"/>
          <w:szCs w:val="22"/>
        </w:rPr>
      </w:pPr>
      <w:bookmarkStart w:id="14" w:name="_heading=h.368fcpd2yu5c" w:colFirst="0" w:colLast="0"/>
      <w:bookmarkEnd w:id="14"/>
      <w:r>
        <w:rPr>
          <w:rFonts w:ascii="Palatino Linotype" w:eastAsia="Palatino Linotype" w:hAnsi="Palatino Linotype" w:cs="Palatino Linotype"/>
          <w:b/>
          <w:color w:val="000000"/>
          <w:sz w:val="22"/>
          <w:szCs w:val="22"/>
        </w:rPr>
        <w:lastRenderedPageBreak/>
        <w:t>CUARTO. Marco normativo aplicable en materia de transparencia y acceso a la información pública</w:t>
      </w:r>
    </w:p>
    <w:p w14:paraId="66DEAE20" w14:textId="77777777" w:rsidR="00A14093" w:rsidRDefault="00A14093">
      <w:pPr>
        <w:spacing w:line="360" w:lineRule="auto"/>
        <w:jc w:val="both"/>
        <w:rPr>
          <w:rFonts w:ascii="Palatino Linotype" w:eastAsia="Palatino Linotype" w:hAnsi="Palatino Linotype" w:cs="Palatino Linotype"/>
          <w:b/>
          <w:sz w:val="22"/>
          <w:szCs w:val="22"/>
        </w:rPr>
      </w:pPr>
    </w:p>
    <w:p w14:paraId="07CAF89D" w14:textId="77777777" w:rsidR="00A14093" w:rsidRDefault="000A690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0B06399" w14:textId="77777777" w:rsidR="00A14093" w:rsidRDefault="00A14093">
      <w:pPr>
        <w:spacing w:line="360" w:lineRule="auto"/>
        <w:jc w:val="both"/>
        <w:rPr>
          <w:rFonts w:ascii="Palatino Linotype" w:eastAsia="Palatino Linotype" w:hAnsi="Palatino Linotype" w:cs="Palatino Linotype"/>
          <w:sz w:val="22"/>
          <w:szCs w:val="22"/>
        </w:rPr>
      </w:pPr>
    </w:p>
    <w:p w14:paraId="59E99FC6" w14:textId="77777777" w:rsidR="00A14093" w:rsidRDefault="000A690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2A35BCC" w14:textId="77777777" w:rsidR="00A14093" w:rsidRDefault="00A14093">
      <w:pPr>
        <w:spacing w:line="360" w:lineRule="auto"/>
        <w:jc w:val="both"/>
        <w:rPr>
          <w:rFonts w:ascii="Palatino Linotype" w:eastAsia="Palatino Linotype" w:hAnsi="Palatino Linotype" w:cs="Palatino Linotype"/>
          <w:sz w:val="22"/>
          <w:szCs w:val="22"/>
        </w:rPr>
      </w:pPr>
    </w:p>
    <w:p w14:paraId="00059E65" w14:textId="77777777" w:rsidR="00A14093" w:rsidRDefault="000A690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su parte, la Ley de Transparencia y Acceso a la Información Pública del Estado de México y Municipios (Reglamentaria del artículo 5° de la Constitución Local), establece lo siguiente:</w:t>
      </w:r>
    </w:p>
    <w:p w14:paraId="729A30C6" w14:textId="77777777" w:rsidR="00A14093" w:rsidRDefault="00A14093">
      <w:pPr>
        <w:spacing w:line="360" w:lineRule="auto"/>
        <w:jc w:val="both"/>
        <w:rPr>
          <w:rFonts w:ascii="Palatino Linotype" w:eastAsia="Palatino Linotype" w:hAnsi="Palatino Linotype" w:cs="Palatino Linotype"/>
          <w:sz w:val="22"/>
          <w:szCs w:val="22"/>
        </w:rPr>
      </w:pPr>
    </w:p>
    <w:p w14:paraId="204E22F4" w14:textId="77777777" w:rsidR="00A14093" w:rsidRDefault="000A690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14:paraId="709FB830" w14:textId="77777777" w:rsidR="00A14093" w:rsidRDefault="00A14093">
      <w:pPr>
        <w:spacing w:line="360" w:lineRule="auto"/>
        <w:jc w:val="both"/>
        <w:rPr>
          <w:rFonts w:ascii="Palatino Linotype" w:eastAsia="Palatino Linotype" w:hAnsi="Palatino Linotype" w:cs="Palatino Linotype"/>
          <w:sz w:val="22"/>
          <w:szCs w:val="22"/>
        </w:rPr>
      </w:pPr>
    </w:p>
    <w:p w14:paraId="3A6A0991" w14:textId="77777777" w:rsidR="00A14093" w:rsidRDefault="000A6908">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10FDCA88" w14:textId="77777777" w:rsidR="00A14093" w:rsidRDefault="00A14093">
      <w:pPr>
        <w:spacing w:line="360" w:lineRule="auto"/>
        <w:jc w:val="both"/>
        <w:rPr>
          <w:rFonts w:ascii="Palatino Linotype" w:eastAsia="Palatino Linotype" w:hAnsi="Palatino Linotype" w:cs="Palatino Linotype"/>
          <w:sz w:val="22"/>
          <w:szCs w:val="22"/>
        </w:rPr>
      </w:pPr>
    </w:p>
    <w:p w14:paraId="734F887D" w14:textId="77777777" w:rsidR="00A14093" w:rsidRDefault="000A690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artículo 19, que, se presume que la información debe existir si se refiere a las facultades, competencias y funciones que los ordenamientos jurídicos aplicables otorgan a los sujetos </w:t>
      </w:r>
      <w:r>
        <w:rPr>
          <w:rFonts w:ascii="Palatino Linotype" w:eastAsia="Palatino Linotype" w:hAnsi="Palatino Linotype" w:cs="Palatino Linotype"/>
          <w:sz w:val="22"/>
          <w:szCs w:val="22"/>
        </w:rPr>
        <w:lastRenderedPageBreak/>
        <w:t xml:space="preserve">obligados y en caso de que dichas facultades no se hayan ejercido, se deberá motivar la respuesta en función de las causas que motivaron tal circunstancia. </w:t>
      </w:r>
    </w:p>
    <w:p w14:paraId="4D340F62" w14:textId="77777777" w:rsidR="00A14093" w:rsidRDefault="00A14093">
      <w:pPr>
        <w:spacing w:line="360" w:lineRule="auto"/>
        <w:jc w:val="both"/>
        <w:rPr>
          <w:rFonts w:ascii="Palatino Linotype" w:eastAsia="Palatino Linotype" w:hAnsi="Palatino Linotype" w:cs="Palatino Linotype"/>
          <w:sz w:val="22"/>
          <w:szCs w:val="22"/>
        </w:rPr>
      </w:pPr>
    </w:p>
    <w:p w14:paraId="613EF2B3" w14:textId="77777777" w:rsidR="00A14093" w:rsidRDefault="000A6908">
      <w:pPr>
        <w:pStyle w:val="Ttulo2"/>
        <w:spacing w:before="0" w:after="0" w:line="360" w:lineRule="auto"/>
        <w:rPr>
          <w:rFonts w:ascii="Palatino Linotype" w:eastAsia="Palatino Linotype" w:hAnsi="Palatino Linotype" w:cs="Palatino Linotype"/>
          <w:b/>
          <w:color w:val="000000"/>
          <w:sz w:val="22"/>
          <w:szCs w:val="22"/>
        </w:rPr>
      </w:pPr>
      <w:bookmarkStart w:id="15" w:name="_heading=h.w8x0nliiuk23" w:colFirst="0" w:colLast="0"/>
      <w:bookmarkEnd w:id="15"/>
      <w:r>
        <w:rPr>
          <w:rFonts w:ascii="Palatino Linotype" w:eastAsia="Palatino Linotype" w:hAnsi="Palatino Linotype" w:cs="Palatino Linotype"/>
          <w:b/>
          <w:color w:val="000000"/>
          <w:sz w:val="22"/>
          <w:szCs w:val="22"/>
        </w:rPr>
        <w:t>QUINTO. Estudio de Fondo</w:t>
      </w:r>
    </w:p>
    <w:p w14:paraId="46F19D89" w14:textId="77777777" w:rsidR="00A14093" w:rsidRDefault="00A14093">
      <w:pPr>
        <w:spacing w:line="360" w:lineRule="auto"/>
        <w:jc w:val="both"/>
        <w:rPr>
          <w:rFonts w:ascii="Palatino Linotype" w:eastAsia="Palatino Linotype" w:hAnsi="Palatino Linotype" w:cs="Palatino Linotype"/>
          <w:sz w:val="22"/>
          <w:szCs w:val="22"/>
        </w:rPr>
      </w:pPr>
    </w:p>
    <w:p w14:paraId="3E3568D0" w14:textId="77777777" w:rsidR="00A14093" w:rsidRDefault="000A6908">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Expuestas las posturas de las partes, se procede a realizar el análisis de los agravios hechos valer por el ahora Recurrente, concernientes a la clasificación de la información, para lo cual, en principio, cabe señalar que el Sujeto Obligado refirió a través de la Dirección de Administración, que no existe un contrato de prestación de servicios y dada la naturaleza del objeto, se realizó bajo Convenio de Concesión.  </w:t>
      </w:r>
    </w:p>
    <w:p w14:paraId="2202B773" w14:textId="77777777" w:rsidR="00A14093" w:rsidRDefault="00A14093">
      <w:pPr>
        <w:widowControl w:val="0"/>
        <w:spacing w:line="360" w:lineRule="auto"/>
        <w:jc w:val="both"/>
        <w:rPr>
          <w:rFonts w:ascii="Palatino Linotype" w:eastAsia="Palatino Linotype" w:hAnsi="Palatino Linotype" w:cs="Palatino Linotype"/>
          <w:sz w:val="22"/>
          <w:szCs w:val="22"/>
        </w:rPr>
      </w:pPr>
    </w:p>
    <w:p w14:paraId="5D447FFB" w14:textId="77777777" w:rsidR="00A14093" w:rsidRDefault="00A14093">
      <w:pPr>
        <w:widowControl w:val="0"/>
        <w:spacing w:line="360" w:lineRule="auto"/>
        <w:jc w:val="both"/>
        <w:rPr>
          <w:rFonts w:ascii="Palatino Linotype" w:eastAsia="Palatino Linotype" w:hAnsi="Palatino Linotype" w:cs="Palatino Linotype"/>
          <w:sz w:val="22"/>
          <w:szCs w:val="22"/>
        </w:rPr>
      </w:pPr>
    </w:p>
    <w:p w14:paraId="27EEABC8" w14:textId="77777777" w:rsidR="00A14093" w:rsidRDefault="000A6908">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cabe señalar que los Particulares no son peritos en la materia, por lo que no conocen el nombre de los todos los documentos que dan cuenta de lo solicitado o de los actos jurídicos que emite el Ente Recurrido, por lo que en el caso en particular del análisis de la solicitud realizada por el hoy Recurrente se advierte que su pretensión versa en obtener el Convenio de Concesión realizado con la empresa “Festival Flores”.</w:t>
      </w:r>
    </w:p>
    <w:p w14:paraId="0A40EB34" w14:textId="77777777" w:rsidR="00A14093" w:rsidRDefault="00A14093">
      <w:pPr>
        <w:widowControl w:val="0"/>
        <w:spacing w:line="360" w:lineRule="auto"/>
        <w:jc w:val="both"/>
        <w:rPr>
          <w:rFonts w:ascii="Palatino Linotype" w:eastAsia="Palatino Linotype" w:hAnsi="Palatino Linotype" w:cs="Palatino Linotype"/>
          <w:sz w:val="22"/>
          <w:szCs w:val="22"/>
        </w:rPr>
      </w:pPr>
    </w:p>
    <w:p w14:paraId="778BF1AB" w14:textId="77777777" w:rsidR="00A14093" w:rsidRDefault="000A6908">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Establecida dicha circunstancia, se procede analizar la respuesta entregada, para lo cual, es de señalar que de las constancias que de las constancias que obran en el expediente, se logra vislumbrar que el Sujeto Obligado turno la solicitud de información a </w:t>
      </w:r>
      <w:r>
        <w:rPr>
          <w:rFonts w:ascii="Palatino Linotype" w:eastAsia="Palatino Linotype" w:hAnsi="Palatino Linotype" w:cs="Palatino Linotype"/>
          <w:b/>
          <w:sz w:val="22"/>
          <w:szCs w:val="22"/>
        </w:rPr>
        <w:t>Dirección de Administración</w:t>
      </w:r>
      <w:r>
        <w:rPr>
          <w:rFonts w:ascii="Palatino Linotype" w:eastAsia="Palatino Linotype" w:hAnsi="Palatino Linotype" w:cs="Palatino Linotype"/>
          <w:sz w:val="22"/>
          <w:szCs w:val="22"/>
        </w:rPr>
        <w:t xml:space="preserve">,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w:t>
      </w:r>
      <w:r>
        <w:rPr>
          <w:rFonts w:ascii="Palatino Linotype" w:eastAsia="Palatino Linotype" w:hAnsi="Palatino Linotype" w:cs="Palatino Linotype"/>
          <w:sz w:val="22"/>
          <w:szCs w:val="22"/>
        </w:rPr>
        <w:lastRenderedPageBreak/>
        <w:t>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4EC32DC6" w14:textId="77777777" w:rsidR="00A14093" w:rsidRDefault="00A14093">
      <w:pPr>
        <w:spacing w:line="360" w:lineRule="auto"/>
        <w:ind w:right="-28"/>
        <w:jc w:val="both"/>
        <w:rPr>
          <w:rFonts w:ascii="Palatino Linotype" w:eastAsia="Palatino Linotype" w:hAnsi="Palatino Linotype" w:cs="Palatino Linotype"/>
          <w:sz w:val="22"/>
          <w:szCs w:val="22"/>
        </w:rPr>
      </w:pPr>
    </w:p>
    <w:p w14:paraId="30BFDA20" w14:textId="77777777" w:rsidR="00A14093" w:rsidRDefault="000A6908">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Al respecto, el artículo 72, fracción XIV del Bando Municipal, dos mil veinticinco, de </w:t>
      </w:r>
      <w:proofErr w:type="spellStart"/>
      <w:r>
        <w:rPr>
          <w:rFonts w:ascii="Palatino Linotype" w:eastAsia="Palatino Linotype" w:hAnsi="Palatino Linotype" w:cs="Palatino Linotype"/>
          <w:sz w:val="22"/>
          <w:szCs w:val="22"/>
        </w:rPr>
        <w:t>Jocotitlán</w:t>
      </w:r>
      <w:proofErr w:type="spellEnd"/>
      <w:r>
        <w:rPr>
          <w:rFonts w:ascii="Palatino Linotype" w:eastAsia="Palatino Linotype" w:hAnsi="Palatino Linotype" w:cs="Palatino Linotype"/>
          <w:sz w:val="22"/>
          <w:szCs w:val="22"/>
        </w:rPr>
        <w:t xml:space="preserve">, en relación con el artículo 32, fracción XXI del Reglamento de la Administración Pública Municipal de </w:t>
      </w:r>
      <w:proofErr w:type="spellStart"/>
      <w:r>
        <w:rPr>
          <w:rFonts w:ascii="Palatino Linotype" w:eastAsia="Palatino Linotype" w:hAnsi="Palatino Linotype" w:cs="Palatino Linotype"/>
          <w:sz w:val="22"/>
          <w:szCs w:val="22"/>
        </w:rPr>
        <w:t>Jocotitlán</w:t>
      </w:r>
      <w:proofErr w:type="spellEnd"/>
      <w:r>
        <w:rPr>
          <w:rFonts w:ascii="Palatino Linotype" w:eastAsia="Palatino Linotype" w:hAnsi="Palatino Linotype" w:cs="Palatino Linotype"/>
          <w:sz w:val="22"/>
          <w:szCs w:val="22"/>
        </w:rPr>
        <w:t xml:space="preserve"> 2025-2027, precisan que para el despacho y estudio de los asuntos de la Administración Pública Municipal, el Ayuntamiento contará con la Dirección de Administración, que tiene por objeto organizar, dirigir, suministrar y coordinar el desarrollo de los sistemas de administración de personal, </w:t>
      </w:r>
      <w:r>
        <w:rPr>
          <w:rFonts w:ascii="Palatino Linotype" w:eastAsia="Palatino Linotype" w:hAnsi="Palatino Linotype" w:cs="Palatino Linotype"/>
          <w:b/>
          <w:sz w:val="22"/>
          <w:szCs w:val="22"/>
        </w:rPr>
        <w:t xml:space="preserve">recursos documentales </w:t>
      </w:r>
      <w:r>
        <w:rPr>
          <w:rFonts w:ascii="Palatino Linotype" w:eastAsia="Palatino Linotype" w:hAnsi="Palatino Linotype" w:cs="Palatino Linotype"/>
          <w:sz w:val="22"/>
          <w:szCs w:val="22"/>
        </w:rPr>
        <w:t>y materiales del Municipio, asimismo, se encargará de elaborar los contratos o convenios derivados de los procesos adquisitivos de bienes o de prestación de servicios, así como vigilar su cumplimiento, previa revisión por el área Jurídica del Ayuntamiento.</w:t>
      </w:r>
    </w:p>
    <w:p w14:paraId="60D2682D" w14:textId="77777777" w:rsidR="00410CEA" w:rsidRDefault="00410CEA">
      <w:pPr>
        <w:tabs>
          <w:tab w:val="left" w:pos="4962"/>
        </w:tabs>
        <w:spacing w:line="360" w:lineRule="auto"/>
        <w:jc w:val="both"/>
        <w:rPr>
          <w:rFonts w:ascii="Palatino Linotype" w:eastAsia="Palatino Linotype" w:hAnsi="Palatino Linotype" w:cs="Palatino Linotype"/>
          <w:sz w:val="22"/>
          <w:szCs w:val="22"/>
        </w:rPr>
      </w:pPr>
    </w:p>
    <w:p w14:paraId="4B1FC542" w14:textId="77777777" w:rsidR="00A14093" w:rsidRDefault="000A6908">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y de lo plasmado en párrafos anteriores, se logra colegir que el Sujeto Obligado cumplió con el procedimiento de búsqueda establecido en el artículo 162 de la Ley de Transparencia y Acceso a la Información Pública del Estado de México y Municipios, toda vez, que gestionó el requerimiento de información al área competente para conocer de lo peticionado, sin embargo dicha área no proporcionó el Convenio de Concesión referido, derivado de las cláusulas de confidencialidad, de conformidad con lo siguiente: </w:t>
      </w:r>
    </w:p>
    <w:p w14:paraId="1CDF4155" w14:textId="77777777" w:rsidR="00A14093" w:rsidRDefault="00A14093">
      <w:pPr>
        <w:spacing w:line="360" w:lineRule="auto"/>
        <w:ind w:right="-28"/>
        <w:jc w:val="both"/>
        <w:rPr>
          <w:rFonts w:ascii="Palatino Linotype" w:eastAsia="Palatino Linotype" w:hAnsi="Palatino Linotype" w:cs="Palatino Linotype"/>
          <w:sz w:val="22"/>
          <w:szCs w:val="22"/>
        </w:rPr>
      </w:pPr>
    </w:p>
    <w:p w14:paraId="3BDA10E0" w14:textId="77777777" w:rsidR="00A14093" w:rsidRDefault="000A6908">
      <w:pPr>
        <w:spacing w:line="360" w:lineRule="auto"/>
        <w:ind w:right="-28"/>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lastRenderedPageBreak/>
        <w:drawing>
          <wp:inline distT="0" distB="0" distL="0" distR="0" wp14:anchorId="5F4E5AA6" wp14:editId="5BF88458">
            <wp:extent cx="4152688" cy="306112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152688" cy="3061124"/>
                    </a:xfrm>
                    <a:prstGeom prst="rect">
                      <a:avLst/>
                    </a:prstGeom>
                    <a:ln/>
                  </pic:spPr>
                </pic:pic>
              </a:graphicData>
            </a:graphic>
          </wp:inline>
        </w:drawing>
      </w:r>
    </w:p>
    <w:p w14:paraId="37C647A7" w14:textId="77777777" w:rsidR="00A14093" w:rsidRDefault="00A14093">
      <w:pPr>
        <w:spacing w:line="360" w:lineRule="auto"/>
        <w:ind w:right="-28"/>
        <w:jc w:val="both"/>
        <w:rPr>
          <w:rFonts w:ascii="Palatino Linotype" w:eastAsia="Palatino Linotype" w:hAnsi="Palatino Linotype" w:cs="Palatino Linotype"/>
          <w:sz w:val="22"/>
          <w:szCs w:val="22"/>
        </w:rPr>
      </w:pPr>
    </w:p>
    <w:p w14:paraId="4CB7A92F" w14:textId="77777777" w:rsidR="00A14093" w:rsidRDefault="000A6908">
      <w:pPr>
        <w:spacing w:line="360" w:lineRule="auto"/>
        <w:jc w:val="both"/>
        <w:rPr>
          <w:rFonts w:ascii="Palatino Linotype" w:eastAsia="Palatino Linotype" w:hAnsi="Palatino Linotype" w:cs="Palatino Linotype"/>
          <w:color w:val="FF0000"/>
          <w:sz w:val="22"/>
          <w:szCs w:val="22"/>
        </w:rPr>
      </w:pPr>
      <w:r>
        <w:rPr>
          <w:rFonts w:ascii="Palatino Linotype" w:eastAsia="Palatino Linotype" w:hAnsi="Palatino Linotype" w:cs="Palatino Linotype"/>
          <w:color w:val="000000"/>
          <w:sz w:val="22"/>
          <w:szCs w:val="22"/>
        </w:rPr>
        <w:t xml:space="preserve">Al respecto, cabe precisar, que conforme al artículo 20 de la Ley de Transparencia y Acceso a la Información Pública del Estado de México y Municipios, </w:t>
      </w:r>
      <w:r>
        <w:rPr>
          <w:rFonts w:ascii="Palatino Linotype" w:eastAsia="Palatino Linotype" w:hAnsi="Palatino Linotype" w:cs="Palatino Linotype"/>
          <w:b/>
          <w:color w:val="000000"/>
          <w:sz w:val="22"/>
          <w:szCs w:val="22"/>
        </w:rPr>
        <w:t>ante la negativa de acceso a la información o su inexistencia, el sujeto obligado deberá demostrar que encuentra en alguna de las excepciones establecidas en la normatividad aplicable.</w:t>
      </w:r>
    </w:p>
    <w:p w14:paraId="3CE24FE8" w14:textId="77777777" w:rsidR="00A14093" w:rsidRDefault="00A14093">
      <w:pPr>
        <w:spacing w:line="360" w:lineRule="auto"/>
        <w:jc w:val="both"/>
        <w:rPr>
          <w:rFonts w:ascii="Palatino Linotype" w:eastAsia="Palatino Linotype" w:hAnsi="Palatino Linotype" w:cs="Palatino Linotype"/>
          <w:color w:val="FF0000"/>
          <w:sz w:val="22"/>
          <w:szCs w:val="22"/>
        </w:rPr>
      </w:pPr>
    </w:p>
    <w:p w14:paraId="51205D55" w14:textId="77777777" w:rsidR="00A14093" w:rsidRDefault="000A690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ese sentido, según Trujillo, Humberto (2019), en el “Diccionario de Transparencia y Acceso a la Información Pública” (p. 201), </w:t>
      </w:r>
      <w:r>
        <w:rPr>
          <w:rFonts w:ascii="Palatino Linotype" w:eastAsia="Palatino Linotype" w:hAnsi="Palatino Linotype" w:cs="Palatino Linotype"/>
          <w:b/>
          <w:color w:val="000000"/>
          <w:sz w:val="22"/>
          <w:szCs w:val="22"/>
        </w:rPr>
        <w:t>la negativa de acceso a la información</w:t>
      </w:r>
      <w:r>
        <w:rPr>
          <w:rFonts w:ascii="Palatino Linotype" w:eastAsia="Palatino Linotype" w:hAnsi="Palatino Linotype" w:cs="Palatino Linotype"/>
          <w:color w:val="000000"/>
          <w:sz w:val="22"/>
          <w:szCs w:val="22"/>
        </w:rPr>
        <w:t xml:space="preserve"> ocurre cuando de manera fundada y motivada, una autoridad la niega o la limita, por alguna de las siguientes razones:</w:t>
      </w:r>
    </w:p>
    <w:p w14:paraId="61A96EDA" w14:textId="77777777" w:rsidR="00A14093" w:rsidRDefault="00A14093">
      <w:pPr>
        <w:spacing w:line="360" w:lineRule="auto"/>
        <w:jc w:val="both"/>
        <w:rPr>
          <w:rFonts w:ascii="Palatino Linotype" w:eastAsia="Palatino Linotype" w:hAnsi="Palatino Linotype" w:cs="Palatino Linotype"/>
          <w:color w:val="000000"/>
          <w:sz w:val="22"/>
          <w:szCs w:val="22"/>
        </w:rPr>
      </w:pPr>
    </w:p>
    <w:p w14:paraId="3C0E8D64" w14:textId="77777777" w:rsidR="00A14093" w:rsidRDefault="000A6908">
      <w:pPr>
        <w:numPr>
          <w:ilvl w:val="0"/>
          <w:numId w:val="5"/>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La inexistencia de la información (p. 171):</w:t>
      </w:r>
      <w:r>
        <w:rPr>
          <w:rFonts w:ascii="Palatino Linotype" w:eastAsia="Palatino Linotype" w:hAnsi="Palatino Linotype" w:cs="Palatino Linotype"/>
          <w:sz w:val="22"/>
          <w:szCs w:val="22"/>
        </w:rPr>
        <w:t xml:space="preserve"> Sucede cuando la información solicitada no se encuentra en los archivos públicos o clasificados, de los entes sujetos a las Leyes de Transparencia</w:t>
      </w:r>
    </w:p>
    <w:p w14:paraId="15531A42" w14:textId="77777777" w:rsidR="00A14093" w:rsidRDefault="00A14093">
      <w:pPr>
        <w:spacing w:line="360" w:lineRule="auto"/>
        <w:jc w:val="both"/>
        <w:rPr>
          <w:rFonts w:ascii="Palatino Linotype" w:eastAsia="Palatino Linotype" w:hAnsi="Palatino Linotype" w:cs="Palatino Linotype"/>
          <w:sz w:val="22"/>
          <w:szCs w:val="22"/>
        </w:rPr>
      </w:pPr>
    </w:p>
    <w:p w14:paraId="30232327" w14:textId="77777777" w:rsidR="00A14093" w:rsidRDefault="000A6908">
      <w:pPr>
        <w:numPr>
          <w:ilvl w:val="0"/>
          <w:numId w:val="5"/>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La incompetencia del Sujeto Obligado (p. 171):</w:t>
      </w:r>
      <w:r>
        <w:rPr>
          <w:rFonts w:ascii="Palatino Linotype" w:eastAsia="Palatino Linotype" w:hAnsi="Palatino Linotype" w:cs="Palatino Linotype"/>
          <w:sz w:val="22"/>
          <w:szCs w:val="22"/>
        </w:rPr>
        <w:t xml:space="preserve"> Ocurre cuando el Sujeto Obligado carece de atribuciones para poseer la información peticionada.</w:t>
      </w:r>
    </w:p>
    <w:p w14:paraId="4F086C74" w14:textId="77777777" w:rsidR="00A14093" w:rsidRDefault="00A14093">
      <w:pPr>
        <w:spacing w:line="360" w:lineRule="auto"/>
        <w:jc w:val="both"/>
        <w:rPr>
          <w:rFonts w:ascii="Palatino Linotype" w:eastAsia="Palatino Linotype" w:hAnsi="Palatino Linotype" w:cs="Palatino Linotype"/>
          <w:sz w:val="22"/>
          <w:szCs w:val="22"/>
        </w:rPr>
      </w:pPr>
    </w:p>
    <w:p w14:paraId="11357D74" w14:textId="77777777" w:rsidR="00A14093" w:rsidRDefault="000A6908">
      <w:pPr>
        <w:numPr>
          <w:ilvl w:val="0"/>
          <w:numId w:val="5"/>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La clasificación de la información (p. 70):</w:t>
      </w:r>
      <w:r>
        <w:rPr>
          <w:rFonts w:ascii="Palatino Linotype" w:eastAsia="Palatino Linotype" w:hAnsi="Palatino Linotype" w:cs="Palatino Linotype"/>
          <w:sz w:val="22"/>
          <w:szCs w:val="22"/>
        </w:rPr>
        <w:t xml:space="preserve"> Es el proceso o conjunto de acciones que realizan los sujetos obligados para establecer que determinada información se encuentra en alguno de los supuestos de reserva o confidencialidad establecidos en la legislación en materia de transparencia.</w:t>
      </w:r>
    </w:p>
    <w:p w14:paraId="4C1A806A" w14:textId="77777777" w:rsidR="00A14093" w:rsidRDefault="00A14093">
      <w:pPr>
        <w:spacing w:line="360" w:lineRule="auto"/>
        <w:jc w:val="both"/>
        <w:rPr>
          <w:rFonts w:ascii="Palatino Linotype" w:eastAsia="Palatino Linotype" w:hAnsi="Palatino Linotype" w:cs="Palatino Linotype"/>
          <w:color w:val="000000"/>
          <w:sz w:val="22"/>
          <w:szCs w:val="22"/>
        </w:rPr>
      </w:pPr>
    </w:p>
    <w:p w14:paraId="2FBD41F8" w14:textId="77777777" w:rsidR="00A14093" w:rsidRDefault="000A6908">
      <w:pP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En ese orden de ideas y en atención a lo anterior, es de señalar que las excepciones al derecho de acceso a la información, consisten en que la documentación sea inexistente, se encuentre </w:t>
      </w:r>
      <w:r>
        <w:rPr>
          <w:rFonts w:ascii="Palatino Linotype" w:eastAsia="Palatino Linotype" w:hAnsi="Palatino Linotype" w:cs="Palatino Linotype"/>
          <w:b/>
          <w:color w:val="000000"/>
          <w:sz w:val="22"/>
          <w:szCs w:val="22"/>
        </w:rPr>
        <w:t>clasificada,</w:t>
      </w:r>
      <w:r>
        <w:rPr>
          <w:rFonts w:ascii="Palatino Linotype" w:eastAsia="Palatino Linotype" w:hAnsi="Palatino Linotype" w:cs="Palatino Linotype"/>
          <w:color w:val="000000"/>
          <w:sz w:val="22"/>
          <w:szCs w:val="22"/>
        </w:rPr>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Pr>
          <w:rFonts w:ascii="Palatino Linotype" w:eastAsia="Palatino Linotype" w:hAnsi="Palatino Linotype" w:cs="Palatino Linotype"/>
          <w:b/>
          <w:color w:val="000000"/>
          <w:sz w:val="22"/>
          <w:szCs w:val="22"/>
        </w:rPr>
        <w:t>confidenciales o reservados.</w:t>
      </w:r>
    </w:p>
    <w:p w14:paraId="0A988A4F" w14:textId="77777777" w:rsidR="00A14093" w:rsidRDefault="00A14093">
      <w:pPr>
        <w:spacing w:line="360" w:lineRule="auto"/>
        <w:jc w:val="both"/>
        <w:rPr>
          <w:rFonts w:ascii="Palatino Linotype" w:eastAsia="Palatino Linotype" w:hAnsi="Palatino Linotype" w:cs="Palatino Linotype"/>
          <w:b/>
          <w:color w:val="000000"/>
          <w:sz w:val="22"/>
          <w:szCs w:val="22"/>
        </w:rPr>
      </w:pPr>
    </w:p>
    <w:p w14:paraId="18FEA98E" w14:textId="77777777" w:rsidR="00A14093" w:rsidRDefault="000A690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Así, en los artículos 122, 128 y 130 de la Ley Transparencia y Acceso a la Información Pública del Estado de México y Municipios, se prevé que </w:t>
      </w:r>
      <w:r>
        <w:rPr>
          <w:rFonts w:ascii="Palatino Linotype" w:eastAsia="Palatino Linotype" w:hAnsi="Palatino Linotype" w:cs="Palatino Linotype"/>
          <w:b/>
          <w:color w:val="000000"/>
          <w:sz w:val="22"/>
          <w:szCs w:val="22"/>
        </w:rPr>
        <w:t>la clasificación</w:t>
      </w:r>
      <w:r>
        <w:rPr>
          <w:rFonts w:ascii="Palatino Linotype" w:eastAsia="Palatino Linotype" w:hAnsi="Palatino Linotype" w:cs="Palatino Linotype"/>
          <w:color w:val="000000"/>
          <w:sz w:val="22"/>
          <w:szCs w:val="22"/>
        </w:rPr>
        <w:t xml:space="preserve"> 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14:paraId="7CBB708B" w14:textId="77777777" w:rsidR="00A14093" w:rsidRDefault="00A14093">
      <w:pPr>
        <w:spacing w:line="360" w:lineRule="auto"/>
        <w:jc w:val="both"/>
        <w:rPr>
          <w:rFonts w:ascii="Palatino Linotype" w:eastAsia="Palatino Linotype" w:hAnsi="Palatino Linotype" w:cs="Palatino Linotype"/>
          <w:color w:val="000000"/>
          <w:sz w:val="22"/>
          <w:szCs w:val="22"/>
        </w:rPr>
      </w:pPr>
    </w:p>
    <w:p w14:paraId="3DD97B08" w14:textId="77777777" w:rsidR="00A14093" w:rsidRDefault="000A690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Por lo cual, </w:t>
      </w:r>
      <w:r>
        <w:rPr>
          <w:rFonts w:ascii="Palatino Linotype" w:eastAsia="Palatino Linotype" w:hAnsi="Palatino Linotype" w:cs="Palatino Linotype"/>
          <w:color w:val="000000"/>
          <w:sz w:val="22"/>
          <w:szCs w:val="22"/>
          <w:u w:val="single"/>
        </w:rPr>
        <w:t xml:space="preserve">en los casos en que se niegue el acceso a la información, por actualizarse alguno de los supuestos de clasificación, </w:t>
      </w:r>
      <w:r>
        <w:rPr>
          <w:rFonts w:ascii="Palatino Linotype" w:eastAsia="Palatino Linotype" w:hAnsi="Palatino Linotype" w:cs="Palatino Linotype"/>
          <w:b/>
          <w:color w:val="000000"/>
          <w:sz w:val="22"/>
          <w:szCs w:val="22"/>
          <w:u w:val="single"/>
        </w:rPr>
        <w:t xml:space="preserve">el Comité de Transparencia deberá confirmar, modificar o </w:t>
      </w:r>
      <w:r>
        <w:rPr>
          <w:rFonts w:ascii="Palatino Linotype" w:eastAsia="Palatino Linotype" w:hAnsi="Palatino Linotype" w:cs="Palatino Linotype"/>
          <w:b/>
          <w:color w:val="000000"/>
          <w:sz w:val="22"/>
          <w:szCs w:val="22"/>
          <w:u w:val="single"/>
        </w:rPr>
        <w:lastRenderedPageBreak/>
        <w:t>revocar la decisión;</w:t>
      </w:r>
      <w:r>
        <w:rPr>
          <w:rFonts w:ascii="Palatino Linotype" w:eastAsia="Palatino Linotype" w:hAnsi="Palatino Linotype" w:cs="Palatino Linotype"/>
          <w:color w:val="000000"/>
          <w:sz w:val="22"/>
          <w:szCs w:val="22"/>
          <w:u w:val="single"/>
        </w:rPr>
        <w:t xml:space="preserve"> además, deberá motivar la confirmación de dicha situación, señalando las razones, motivos o circunstancias</w:t>
      </w:r>
      <w:r>
        <w:rPr>
          <w:rFonts w:ascii="Palatino Linotype" w:eastAsia="Palatino Linotype" w:hAnsi="Palatino Linotype" w:cs="Palatino Linotype"/>
          <w:color w:val="000000"/>
          <w:sz w:val="22"/>
          <w:szCs w:val="22"/>
        </w:rPr>
        <w:t xml:space="preserve"> especiales que llevaron al sujeto obligado a concluir que en el caso particular se ajusta al supuesto previsto por la norma legal invocada como fundamento.</w:t>
      </w:r>
    </w:p>
    <w:p w14:paraId="5B51C988" w14:textId="77777777" w:rsidR="00A14093" w:rsidRDefault="00A14093">
      <w:pPr>
        <w:spacing w:line="360" w:lineRule="auto"/>
        <w:jc w:val="both"/>
        <w:rPr>
          <w:rFonts w:ascii="Palatino Linotype" w:eastAsia="Palatino Linotype" w:hAnsi="Palatino Linotype" w:cs="Palatino Linotype"/>
          <w:color w:val="000000"/>
          <w:sz w:val="22"/>
          <w:szCs w:val="22"/>
        </w:rPr>
      </w:pPr>
    </w:p>
    <w:p w14:paraId="6BAD4843" w14:textId="77777777" w:rsidR="00A14093" w:rsidRDefault="000A690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otro orden de ideas, la clasificación como reservada o confidencial, en materia de transparencia y acceso a la información, va tendiente al contenido de los documentos, sin tomar en cuenta otras situaciones como la localización o ubicación de los archivos, pues su fin es proteger la información contenida en estos.</w:t>
      </w:r>
    </w:p>
    <w:p w14:paraId="71BA14B8" w14:textId="77777777" w:rsidR="00A14093" w:rsidRDefault="00A14093">
      <w:pPr>
        <w:spacing w:line="360" w:lineRule="auto"/>
        <w:jc w:val="both"/>
        <w:rPr>
          <w:rFonts w:ascii="Palatino Linotype" w:eastAsia="Palatino Linotype" w:hAnsi="Palatino Linotype" w:cs="Palatino Linotype"/>
          <w:color w:val="000000"/>
          <w:sz w:val="22"/>
          <w:szCs w:val="22"/>
        </w:rPr>
      </w:pPr>
    </w:p>
    <w:p w14:paraId="0AB9C3B8" w14:textId="77777777" w:rsidR="00A14093" w:rsidRDefault="000A690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cuales se encontraban vigentes a la fecha de la solicitud, los sujetos obligados no podrán emitir acuerdos de carácter general que clasifiquen documentos o expedientes; por lo que, la clasificación de información se llevará a cabo mediante un análisis caso por caso.</w:t>
      </w:r>
    </w:p>
    <w:p w14:paraId="13961A7A" w14:textId="77777777" w:rsidR="00A14093" w:rsidRDefault="00A14093">
      <w:pPr>
        <w:spacing w:line="360" w:lineRule="auto"/>
        <w:jc w:val="both"/>
        <w:rPr>
          <w:rFonts w:ascii="Palatino Linotype" w:eastAsia="Palatino Linotype" w:hAnsi="Palatino Linotype" w:cs="Palatino Linotype"/>
          <w:color w:val="000000"/>
          <w:sz w:val="22"/>
          <w:szCs w:val="22"/>
        </w:rPr>
      </w:pPr>
    </w:p>
    <w:p w14:paraId="00826961" w14:textId="77777777" w:rsidR="00A14093" w:rsidRDefault="000A690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Sobre lo anterior, el artículo 131 de la Ley referida, así como el Quinto de los Lineamientos Generales vigentes a la fecha de la solicitud, establecen que los sujetos obligados deberán fundar y motivar debidamente la clasificación de la información.</w:t>
      </w:r>
    </w:p>
    <w:p w14:paraId="0445F680" w14:textId="77777777" w:rsidR="00A14093" w:rsidRDefault="00A14093">
      <w:pPr>
        <w:spacing w:line="360" w:lineRule="auto"/>
        <w:jc w:val="both"/>
        <w:rPr>
          <w:rFonts w:ascii="Palatino Linotype" w:eastAsia="Palatino Linotype" w:hAnsi="Palatino Linotype" w:cs="Palatino Linotype"/>
          <w:color w:val="000000"/>
          <w:sz w:val="22"/>
          <w:szCs w:val="22"/>
        </w:rPr>
      </w:pPr>
    </w:p>
    <w:p w14:paraId="0B0E5020" w14:textId="77777777" w:rsidR="00A14093" w:rsidRDefault="000A690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Al respecto, el Octavo de los Lineamientos Generales en comento, precisa lo siguiente:</w:t>
      </w:r>
    </w:p>
    <w:p w14:paraId="3F249F9F" w14:textId="77777777" w:rsidR="00A14093" w:rsidRDefault="00A14093">
      <w:pPr>
        <w:spacing w:line="360" w:lineRule="auto"/>
        <w:jc w:val="both"/>
        <w:rPr>
          <w:rFonts w:ascii="Palatino Linotype" w:eastAsia="Palatino Linotype" w:hAnsi="Palatino Linotype" w:cs="Palatino Linotype"/>
          <w:color w:val="000000"/>
          <w:sz w:val="22"/>
          <w:szCs w:val="22"/>
        </w:rPr>
      </w:pPr>
    </w:p>
    <w:p w14:paraId="7B0C7D99" w14:textId="77777777" w:rsidR="00A14093" w:rsidRDefault="000A6908">
      <w:pPr>
        <w:numPr>
          <w:ilvl w:val="0"/>
          <w:numId w:val="6"/>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Para fundar la clasificación </w:t>
      </w:r>
      <w:r>
        <w:rPr>
          <w:rFonts w:ascii="Palatino Linotype" w:eastAsia="Palatino Linotype" w:hAnsi="Palatino Linotype" w:cs="Palatino Linotype"/>
          <w:color w:val="000000"/>
          <w:sz w:val="22"/>
          <w:szCs w:val="22"/>
        </w:rPr>
        <w:t xml:space="preserve">de la información se deberán señalar el artículo, fracción, inciso, párrafo o numeral de la Ley aplicable; </w:t>
      </w:r>
    </w:p>
    <w:p w14:paraId="293B4F38" w14:textId="77777777" w:rsidR="00A14093" w:rsidRDefault="00A14093">
      <w:pPr>
        <w:spacing w:line="360" w:lineRule="auto"/>
        <w:jc w:val="both"/>
        <w:rPr>
          <w:rFonts w:ascii="Palatino Linotype" w:eastAsia="Palatino Linotype" w:hAnsi="Palatino Linotype" w:cs="Palatino Linotype"/>
          <w:color w:val="000000"/>
          <w:sz w:val="22"/>
          <w:szCs w:val="22"/>
        </w:rPr>
      </w:pPr>
    </w:p>
    <w:p w14:paraId="635ADBE7" w14:textId="77777777" w:rsidR="00A14093" w:rsidRDefault="000A6908">
      <w:pPr>
        <w:numPr>
          <w:ilvl w:val="0"/>
          <w:numId w:val="6"/>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color w:val="000000"/>
          <w:sz w:val="22"/>
          <w:szCs w:val="22"/>
        </w:rPr>
        <w:t>Para motivar la clasificación</w:t>
      </w:r>
      <w:r>
        <w:rPr>
          <w:rFonts w:ascii="Palatino Linotype" w:eastAsia="Palatino Linotype" w:hAnsi="Palatino Linotype" w:cs="Palatino Linotype"/>
          <w:color w:val="000000"/>
          <w:sz w:val="22"/>
          <w:szCs w:val="22"/>
        </w:rPr>
        <w:t xml:space="preserve"> se deberán indicar las razones y circunstancias especiales que lo llevaron a concluir que el caso particular se ajusta al supuesto previsto por la norma legal invocada.</w:t>
      </w:r>
    </w:p>
    <w:p w14:paraId="2FB30E7A" w14:textId="77777777" w:rsidR="00A14093" w:rsidRDefault="00A14093">
      <w:pPr>
        <w:spacing w:line="360" w:lineRule="auto"/>
        <w:jc w:val="both"/>
        <w:rPr>
          <w:rFonts w:ascii="Palatino Linotype" w:eastAsia="Palatino Linotype" w:hAnsi="Palatino Linotype" w:cs="Palatino Linotype"/>
          <w:color w:val="FF0000"/>
          <w:sz w:val="22"/>
          <w:szCs w:val="22"/>
        </w:rPr>
      </w:pPr>
    </w:p>
    <w:p w14:paraId="033F24D5" w14:textId="77777777" w:rsidR="00A14093" w:rsidRDefault="000A690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se trae cita por analogía la Tesis aislada número I. 4o. P. 56 P, Octava Época, publicada en el Semanario Judicial de la Federación, Tomo XIV, noviembre de mil novecientos noventa y cuatro, (p. 450), que establece lo siguiente:</w:t>
      </w:r>
    </w:p>
    <w:p w14:paraId="2874AFEF" w14:textId="77777777" w:rsidR="00A14093" w:rsidRDefault="00A14093">
      <w:pPr>
        <w:spacing w:line="360" w:lineRule="auto"/>
        <w:jc w:val="both"/>
        <w:rPr>
          <w:rFonts w:ascii="Palatino Linotype" w:eastAsia="Palatino Linotype" w:hAnsi="Palatino Linotype" w:cs="Palatino Linotype"/>
          <w:color w:val="000000"/>
          <w:sz w:val="22"/>
          <w:szCs w:val="22"/>
        </w:rPr>
      </w:pPr>
    </w:p>
    <w:p w14:paraId="1F8E3247" w14:textId="77777777" w:rsidR="00A14093" w:rsidRDefault="000A6908">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“FUNDAMENTACION Y MOTIVACION, CONCEPTO DE.</w:t>
      </w:r>
      <w:r>
        <w:rPr>
          <w:rFonts w:ascii="Palatino Linotype" w:eastAsia="Palatino Linotype" w:hAnsi="Palatino Linotype" w:cs="Palatino Linotype"/>
          <w:i/>
        </w:rPr>
        <w:t xml:space="preserve"> 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2D2B9F17" w14:textId="77777777" w:rsidR="00A14093" w:rsidRDefault="00A14093">
      <w:pPr>
        <w:spacing w:line="360" w:lineRule="auto"/>
        <w:jc w:val="both"/>
        <w:rPr>
          <w:rFonts w:ascii="Palatino Linotype" w:eastAsia="Palatino Linotype" w:hAnsi="Palatino Linotype" w:cs="Palatino Linotype"/>
          <w:color w:val="000000"/>
          <w:sz w:val="22"/>
          <w:szCs w:val="22"/>
        </w:rPr>
      </w:pPr>
    </w:p>
    <w:p w14:paraId="7D831243" w14:textId="77777777" w:rsidR="00A14093" w:rsidRDefault="000A690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Conforme a lo anterior, se advierte lo siguiente:</w:t>
      </w:r>
    </w:p>
    <w:p w14:paraId="28609D89" w14:textId="77777777" w:rsidR="00A14093" w:rsidRDefault="00A14093">
      <w:pPr>
        <w:spacing w:line="360" w:lineRule="auto"/>
        <w:jc w:val="both"/>
        <w:rPr>
          <w:rFonts w:ascii="Palatino Linotype" w:eastAsia="Palatino Linotype" w:hAnsi="Palatino Linotype" w:cs="Palatino Linotype"/>
          <w:color w:val="000000"/>
          <w:sz w:val="22"/>
          <w:szCs w:val="22"/>
        </w:rPr>
      </w:pPr>
    </w:p>
    <w:p w14:paraId="1D885ABA" w14:textId="77777777" w:rsidR="00A14093" w:rsidRDefault="000A6908">
      <w:pPr>
        <w:numPr>
          <w:ilvl w:val="0"/>
          <w:numId w:val="7"/>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Fundamentación:</w:t>
      </w:r>
      <w:r>
        <w:rPr>
          <w:rFonts w:ascii="Palatino Linotype" w:eastAsia="Palatino Linotype" w:hAnsi="Palatino Linotype" w:cs="Palatino Linotype"/>
          <w:color w:val="000000"/>
          <w:sz w:val="22"/>
          <w:szCs w:val="22"/>
        </w:rPr>
        <w:t xml:space="preserve"> Obligación de la autoridad que emite un acto, para citar los preceptos legales, sustantivos y adjetivos, en que se apoye para la determinación tomada.</w:t>
      </w:r>
    </w:p>
    <w:p w14:paraId="130D4FC4" w14:textId="77777777" w:rsidR="00A14093" w:rsidRDefault="00A14093">
      <w:pPr>
        <w:spacing w:line="360" w:lineRule="auto"/>
        <w:jc w:val="both"/>
        <w:rPr>
          <w:rFonts w:ascii="Palatino Linotype" w:eastAsia="Palatino Linotype" w:hAnsi="Palatino Linotype" w:cs="Palatino Linotype"/>
          <w:color w:val="000000"/>
          <w:sz w:val="22"/>
          <w:szCs w:val="22"/>
        </w:rPr>
      </w:pPr>
    </w:p>
    <w:p w14:paraId="00B9BC8B" w14:textId="77777777" w:rsidR="00A14093" w:rsidRDefault="000A6908">
      <w:pPr>
        <w:numPr>
          <w:ilvl w:val="0"/>
          <w:numId w:val="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lastRenderedPageBreak/>
        <w:t>Motivación:</w:t>
      </w:r>
      <w:r>
        <w:rPr>
          <w:rFonts w:ascii="Palatino Linotype" w:eastAsia="Palatino Linotype" w:hAnsi="Palatino Linotype" w:cs="Palatino Linotype"/>
          <w:sz w:val="22"/>
          <w:szCs w:val="22"/>
        </w:rPr>
        <w:t xml:space="preserve"> Razonamientos lógico-jurídicos sobre porque se consideró en el caso en concreto, que se ajusta a la hipótesis normativa.</w:t>
      </w:r>
    </w:p>
    <w:p w14:paraId="7082C5A8" w14:textId="77777777" w:rsidR="00A14093" w:rsidRDefault="00A14093">
      <w:pPr>
        <w:spacing w:line="360" w:lineRule="auto"/>
        <w:jc w:val="both"/>
        <w:rPr>
          <w:rFonts w:ascii="Palatino Linotype" w:eastAsia="Palatino Linotype" w:hAnsi="Palatino Linotype" w:cs="Palatino Linotype"/>
          <w:color w:val="FF0000"/>
          <w:sz w:val="22"/>
          <w:szCs w:val="22"/>
        </w:rPr>
      </w:pPr>
    </w:p>
    <w:p w14:paraId="63E5C1D4" w14:textId="77777777" w:rsidR="00A14093" w:rsidRDefault="000A690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Situación que toma relevancia, pues conforme al artículo 149 de la Ley de Transparencia y Acceso a la Información Pública del Estado de México y Municipios, todo acuerdo que clasifique la información como confidencial, deberá contener un razonamiento lógico en el que se demuestre que la información actualiza alguna de las hipótesis previstas en el artículo 143 del ordenamiento jurídico establecido.</w:t>
      </w:r>
    </w:p>
    <w:p w14:paraId="0049DAE1" w14:textId="77777777" w:rsidR="00A14093" w:rsidRDefault="00A14093">
      <w:pPr>
        <w:spacing w:line="360" w:lineRule="auto"/>
        <w:jc w:val="both"/>
        <w:rPr>
          <w:rFonts w:ascii="Palatino Linotype" w:eastAsia="Palatino Linotype" w:hAnsi="Palatino Linotype" w:cs="Palatino Linotype"/>
          <w:color w:val="000000"/>
          <w:sz w:val="22"/>
          <w:szCs w:val="22"/>
        </w:rPr>
      </w:pPr>
    </w:p>
    <w:p w14:paraId="2C5E9CB1" w14:textId="77777777" w:rsidR="00A14093" w:rsidRDefault="000A690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En ese contexto, es de señalar que Ayuntamiento de </w:t>
      </w:r>
      <w:proofErr w:type="spellStart"/>
      <w:r>
        <w:rPr>
          <w:rFonts w:ascii="Palatino Linotype" w:eastAsia="Palatino Linotype" w:hAnsi="Palatino Linotype" w:cs="Palatino Linotype"/>
          <w:sz w:val="22"/>
          <w:szCs w:val="22"/>
        </w:rPr>
        <w:t>Jocotitlán</w:t>
      </w:r>
      <w:proofErr w:type="spellEnd"/>
      <w:r>
        <w:rPr>
          <w:rFonts w:ascii="Palatino Linotype" w:eastAsia="Palatino Linotype" w:hAnsi="Palatino Linotype" w:cs="Palatino Linotype"/>
          <w:sz w:val="22"/>
          <w:szCs w:val="22"/>
        </w:rPr>
        <w:t>, no precisó de manera fundada y motivada las razones por las cuales, consideraba que el documento solicitado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sz w:val="22"/>
          <w:szCs w:val="22"/>
        </w:rPr>
        <w:t xml:space="preserve">era clasificado en su totalidad; ni el Comité de Transparencia emitió el acuerdo que confirmará dicha circunstancia, pues únicamente refirió que existían clausulas para no dar a conocer dicha información, </w:t>
      </w:r>
      <w:r>
        <w:rPr>
          <w:rFonts w:ascii="Palatino Linotype" w:eastAsia="Palatino Linotype" w:hAnsi="Palatino Linotype" w:cs="Palatino Linotype"/>
          <w:color w:val="000000"/>
          <w:sz w:val="22"/>
          <w:szCs w:val="22"/>
        </w:rPr>
        <w:t xml:space="preserve">lo cual da como resultado que el agravio sea </w:t>
      </w:r>
      <w:r>
        <w:rPr>
          <w:rFonts w:ascii="Palatino Linotype" w:eastAsia="Palatino Linotype" w:hAnsi="Palatino Linotype" w:cs="Palatino Linotype"/>
          <w:b/>
          <w:color w:val="000000"/>
          <w:sz w:val="22"/>
          <w:szCs w:val="22"/>
        </w:rPr>
        <w:t>FUNDADO</w:t>
      </w:r>
      <w:r>
        <w:rPr>
          <w:rFonts w:ascii="Palatino Linotype" w:eastAsia="Palatino Linotype" w:hAnsi="Palatino Linotype" w:cs="Palatino Linotype"/>
          <w:color w:val="000000"/>
          <w:sz w:val="22"/>
          <w:szCs w:val="22"/>
        </w:rPr>
        <w:t>.</w:t>
      </w:r>
    </w:p>
    <w:p w14:paraId="44ADF98F" w14:textId="77777777" w:rsidR="00A14093" w:rsidRDefault="00A14093">
      <w:pPr>
        <w:spacing w:line="360" w:lineRule="auto"/>
        <w:jc w:val="both"/>
        <w:rPr>
          <w:rFonts w:ascii="Palatino Linotype" w:eastAsia="Palatino Linotype" w:hAnsi="Palatino Linotype" w:cs="Palatino Linotype"/>
          <w:color w:val="000000"/>
          <w:sz w:val="22"/>
          <w:szCs w:val="22"/>
        </w:rPr>
      </w:pPr>
    </w:p>
    <w:p w14:paraId="614BC135" w14:textId="77777777" w:rsidR="00A14093" w:rsidRDefault="000A690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el artículo 138 de la Ley de Transparencia y Acceso a la Información Pública del Estado de México y Municipios y Quincuagésimo séptimo de los Lineamientos Generales, establecen que no se podrá omitir de las versiones públicas la información relativa a las obligaciones de transparencia; lo cual se traduce al hecho de que no se puede clasificar información que corresponda a una obligación de transparencia.</w:t>
      </w:r>
    </w:p>
    <w:p w14:paraId="323FFB6D" w14:textId="77777777" w:rsidR="00A14093" w:rsidRDefault="00A14093">
      <w:pPr>
        <w:spacing w:line="360" w:lineRule="auto"/>
        <w:jc w:val="both"/>
        <w:rPr>
          <w:rFonts w:ascii="Palatino Linotype" w:eastAsia="Palatino Linotype" w:hAnsi="Palatino Linotype" w:cs="Palatino Linotype"/>
          <w:sz w:val="22"/>
          <w:szCs w:val="22"/>
        </w:rPr>
      </w:pPr>
    </w:p>
    <w:p w14:paraId="5B9D5106" w14:textId="77777777" w:rsidR="00A14093" w:rsidRDefault="000A690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Sobre dicha circunstancia, el artículo 92, fracción XXXII, de la Ley de Transparencia y Acceso a la Información Pública del Estado de México y Municipios, precisan que los sujetos obligados deben de publicar las concesiones y convenios otorgados; además, precisa que se </w:t>
      </w:r>
      <w:r>
        <w:rPr>
          <w:rFonts w:ascii="Palatino Linotype" w:eastAsia="Palatino Linotype" w:hAnsi="Palatino Linotype" w:cs="Palatino Linotype"/>
          <w:color w:val="000000"/>
          <w:sz w:val="22"/>
          <w:szCs w:val="22"/>
        </w:rPr>
        <w:lastRenderedPageBreak/>
        <w:t>deben identificar el nombre o razón social de los titulares con los que se celebran o emiten los actos jurídicos, vigencia, tipo, términos, condiciones, montos, así como el objeto.</w:t>
      </w:r>
    </w:p>
    <w:p w14:paraId="3D3A3782" w14:textId="77777777" w:rsidR="00A14093" w:rsidRDefault="00A14093">
      <w:pPr>
        <w:spacing w:line="360" w:lineRule="auto"/>
        <w:jc w:val="both"/>
        <w:rPr>
          <w:rFonts w:ascii="Palatino Linotype" w:eastAsia="Palatino Linotype" w:hAnsi="Palatino Linotype" w:cs="Palatino Linotype"/>
          <w:color w:val="000000"/>
          <w:sz w:val="22"/>
          <w:szCs w:val="22"/>
        </w:rPr>
      </w:pPr>
    </w:p>
    <w:p w14:paraId="7D705861" w14:textId="77777777" w:rsidR="00A14093" w:rsidRDefault="000A6908">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Islas, Jorge (2016), en la “Ley General de Transparencia y Acceso a la Información Pública Comentada” (p. 248), hace alusión a que la información referida en el párrafo anterior, sirve para involucrar de mejor y mayor manera a los gobernados en temas sobre los actos jurídicos que celebran los Sujetos Obligados, pues de esta manera los ciudadanos pueden acceder directamente a la fuente jurídica que sustentan su actuar y conocer obligaciones, condiciones y montos y personalidad jurídica de concesionarios, celebrantes y permisionarios, causas de rescisión, cláusulas penales y todo detalle de convencionalidades que suscriban las entidades públicas.</w:t>
      </w:r>
    </w:p>
    <w:p w14:paraId="59FB7F7E" w14:textId="77777777" w:rsidR="00A14093" w:rsidRDefault="00A14093">
      <w:pPr>
        <w:spacing w:line="360" w:lineRule="auto"/>
        <w:ind w:right="-28"/>
        <w:jc w:val="both"/>
        <w:rPr>
          <w:rFonts w:ascii="Palatino Linotype" w:eastAsia="Palatino Linotype" w:hAnsi="Palatino Linotype" w:cs="Palatino Linotype"/>
          <w:color w:val="000000"/>
          <w:sz w:val="22"/>
          <w:szCs w:val="22"/>
        </w:rPr>
      </w:pPr>
    </w:p>
    <w:p w14:paraId="2056E12A" w14:textId="77777777" w:rsidR="00A14093" w:rsidRDefault="000A690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los artículos 3°, fracción XLV, y 137 de la Ley de Transparencia y Acceso a la Información Pública del Estado de México y Municipios y los numerales Segundo, fracción XVIII, y Quincuagésimo sexto de los Lineamientos Generales, establecen que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documento que deberá ser aprobado por el Comité de Transparencia.</w:t>
      </w:r>
    </w:p>
    <w:p w14:paraId="4008BA4F" w14:textId="77777777" w:rsidR="00A14093" w:rsidRDefault="00A14093">
      <w:pPr>
        <w:spacing w:line="360" w:lineRule="auto"/>
        <w:rPr>
          <w:rFonts w:ascii="Palatino Linotype" w:eastAsia="Palatino Linotype" w:hAnsi="Palatino Linotype" w:cs="Palatino Linotype"/>
          <w:sz w:val="22"/>
          <w:szCs w:val="22"/>
        </w:rPr>
      </w:pPr>
    </w:p>
    <w:p w14:paraId="29E04F6D" w14:textId="77777777" w:rsidR="00A14093" w:rsidRDefault="000A690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Como se logra observar, la clasificación total del documento no es la única forma de proteger información localizada en este, pues existe otro procedimiento, en el cual, solamente se testan las partes que contienen datos o información, denominado versión pública; con lo cual, el Sujeto Obligado podría testar los datos y proporcionar el documento que da cuenta de la </w:t>
      </w:r>
      <w:r>
        <w:rPr>
          <w:rFonts w:ascii="Palatino Linotype" w:eastAsia="Palatino Linotype" w:hAnsi="Palatino Linotype" w:cs="Palatino Linotype"/>
          <w:sz w:val="22"/>
          <w:szCs w:val="22"/>
        </w:rPr>
        <w:lastRenderedPageBreak/>
        <w:t xml:space="preserve">información solicitada; lo cual toma relevancia, pues conforme a las propias </w:t>
      </w:r>
      <w:proofErr w:type="spellStart"/>
      <w:r>
        <w:rPr>
          <w:rFonts w:ascii="Palatino Linotype" w:eastAsia="Palatino Linotype" w:hAnsi="Palatino Linotype" w:cs="Palatino Linotype"/>
          <w:sz w:val="22"/>
          <w:szCs w:val="22"/>
        </w:rPr>
        <w:t>clausulas</w:t>
      </w:r>
      <w:proofErr w:type="spellEnd"/>
      <w:r>
        <w:rPr>
          <w:rFonts w:ascii="Palatino Linotype" w:eastAsia="Palatino Linotype" w:hAnsi="Palatino Linotype" w:cs="Palatino Linotype"/>
          <w:sz w:val="22"/>
          <w:szCs w:val="22"/>
        </w:rPr>
        <w:t xml:space="preserve"> del convenio, se precisa que será pública las acciones derivadas del convenio, y que únicamente será clasificable la información confidencial.</w:t>
      </w:r>
    </w:p>
    <w:p w14:paraId="1D53E390" w14:textId="77777777" w:rsidR="00A14093" w:rsidRDefault="00A14093">
      <w:pPr>
        <w:spacing w:line="360" w:lineRule="auto"/>
        <w:jc w:val="both"/>
        <w:rPr>
          <w:rFonts w:ascii="Palatino Linotype" w:eastAsia="Palatino Linotype" w:hAnsi="Palatino Linotype" w:cs="Palatino Linotype"/>
          <w:color w:val="000000"/>
          <w:sz w:val="22"/>
          <w:szCs w:val="22"/>
        </w:rPr>
      </w:pPr>
    </w:p>
    <w:p w14:paraId="364DD26C" w14:textId="77777777" w:rsidR="00A14093" w:rsidRDefault="000A6908">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se logra vislumbrar que, para atender el requerimiento de información, el Sujeto Obligado, deberá </w:t>
      </w:r>
      <w:r>
        <w:rPr>
          <w:rFonts w:ascii="Palatino Linotype" w:eastAsia="Palatino Linotype" w:hAnsi="Palatino Linotype" w:cs="Palatino Linotype"/>
          <w:color w:val="000000"/>
          <w:sz w:val="22"/>
          <w:szCs w:val="22"/>
        </w:rPr>
        <w:t>proporcionar  el Convenio de Concesión referido en respuesta; d</w:t>
      </w:r>
      <w:r>
        <w:rPr>
          <w:rFonts w:ascii="Palatino Linotype" w:eastAsia="Palatino Linotype" w:hAnsi="Palatino Linotype" w:cs="Palatino Linotype"/>
          <w:sz w:val="22"/>
          <w:szCs w:val="22"/>
        </w:rPr>
        <w:t>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628E3B2B" w14:textId="77777777" w:rsidR="00A14093" w:rsidRDefault="00A14093">
      <w:pPr>
        <w:spacing w:line="360" w:lineRule="auto"/>
        <w:jc w:val="both"/>
        <w:rPr>
          <w:rFonts w:ascii="Palatino Linotype" w:eastAsia="Palatino Linotype" w:hAnsi="Palatino Linotype" w:cs="Palatino Linotype"/>
          <w:color w:val="FF0000"/>
          <w:sz w:val="22"/>
          <w:szCs w:val="22"/>
        </w:rPr>
      </w:pPr>
    </w:p>
    <w:p w14:paraId="0580DAD5" w14:textId="77777777" w:rsidR="00A14093" w:rsidRDefault="000A690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esta manera, el derecho de acceso a la información pública se satisface en aquellos casos en que se entregue el soporte documental en el que conste la información solicitada, sin necesidad de elaborar documentos </w:t>
      </w:r>
      <w:r>
        <w:rPr>
          <w:rFonts w:ascii="Palatino Linotype" w:eastAsia="Palatino Linotype" w:hAnsi="Palatino Linotype" w:cs="Palatino Linotype"/>
          <w:i/>
          <w:sz w:val="22"/>
          <w:szCs w:val="22"/>
        </w:rPr>
        <w:t>ad hoc</w:t>
      </w:r>
      <w:r>
        <w:rPr>
          <w:rFonts w:ascii="Palatino Linotype" w:eastAsia="Palatino Linotype" w:hAnsi="Palatino Linotype" w:cs="Palatino Linotype"/>
          <w:sz w:val="22"/>
          <w:szCs w:val="22"/>
        </w:rPr>
        <w:t>; lo cual, de conformidad con en el artículo 160 de la Ley de Transparencia y Acceso a la Información Pública del Estado de México y Municipios, el cual refiere que los sujetos obligados deberán entregar la información que obre en sus archivos.</w:t>
      </w:r>
    </w:p>
    <w:p w14:paraId="3B57DAAC" w14:textId="77777777" w:rsidR="00A14093" w:rsidRDefault="00A14093">
      <w:pPr>
        <w:spacing w:line="360" w:lineRule="auto"/>
        <w:jc w:val="both"/>
        <w:rPr>
          <w:rFonts w:ascii="Palatino Linotype" w:eastAsia="Palatino Linotype" w:hAnsi="Palatino Linotype" w:cs="Palatino Linotype"/>
          <w:sz w:val="22"/>
          <w:szCs w:val="22"/>
        </w:rPr>
      </w:pPr>
    </w:p>
    <w:p w14:paraId="346CC24A" w14:textId="77777777" w:rsidR="00A14093" w:rsidRDefault="000A690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la información previamente referida. </w:t>
      </w:r>
    </w:p>
    <w:p w14:paraId="4B666780" w14:textId="77777777" w:rsidR="00A14093" w:rsidRDefault="00A14093">
      <w:pPr>
        <w:spacing w:line="360" w:lineRule="auto"/>
        <w:jc w:val="both"/>
        <w:rPr>
          <w:rFonts w:ascii="Palatino Linotype" w:eastAsia="Palatino Linotype" w:hAnsi="Palatino Linotype" w:cs="Palatino Linotype"/>
          <w:sz w:val="22"/>
          <w:szCs w:val="22"/>
        </w:rPr>
      </w:pPr>
    </w:p>
    <w:p w14:paraId="329D7271" w14:textId="77777777" w:rsidR="00A14093" w:rsidRDefault="000A6908">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w:t>
      </w:r>
      <w:r>
        <w:rPr>
          <w:rFonts w:ascii="Palatino Linotype" w:eastAsia="Palatino Linotype" w:hAnsi="Palatino Linotype" w:cs="Palatino Linotype"/>
          <w:color w:val="000000"/>
          <w:sz w:val="22"/>
          <w:szCs w:val="22"/>
        </w:rPr>
        <w:t xml:space="preserve"> no pasa desapercibido para este Instituto que la información solicitada </w:t>
      </w:r>
      <w:r>
        <w:rPr>
          <w:rFonts w:ascii="Palatino Linotype" w:eastAsia="Palatino Linotype" w:hAnsi="Palatino Linotype" w:cs="Palatino Linotype"/>
          <w:sz w:val="22"/>
          <w:szCs w:val="22"/>
        </w:rPr>
        <w:t xml:space="preserve">pudiera contener datos tal como el nombre, firma y clave de elector de representante legal, resulta </w:t>
      </w:r>
      <w:r>
        <w:rPr>
          <w:rFonts w:ascii="Palatino Linotype" w:eastAsia="Palatino Linotype" w:hAnsi="Palatino Linotype" w:cs="Palatino Linotype"/>
          <w:sz w:val="22"/>
          <w:szCs w:val="22"/>
        </w:rPr>
        <w:lastRenderedPageBreak/>
        <w:t>procedente analizar si dichos datos son públicos o privados; para lo cual, cabe mencionar que el artículo 143, fracción I, de la Ley previamente citada, establece que la información privada y los datos personales, concernientes a una persona física o jurídica colectiva identificada o identificable son confidenciales.</w:t>
      </w:r>
    </w:p>
    <w:p w14:paraId="5D3C23D4" w14:textId="77777777" w:rsidR="00A14093" w:rsidRDefault="00A14093">
      <w:pPr>
        <w:spacing w:line="360" w:lineRule="auto"/>
        <w:jc w:val="both"/>
        <w:rPr>
          <w:rFonts w:ascii="Palatino Linotype" w:eastAsia="Palatino Linotype" w:hAnsi="Palatino Linotype" w:cs="Palatino Linotype"/>
          <w:sz w:val="22"/>
          <w:szCs w:val="22"/>
        </w:rPr>
      </w:pPr>
    </w:p>
    <w:p w14:paraId="6737607E" w14:textId="77777777" w:rsidR="00A14093" w:rsidRDefault="000A690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527DB1DE" w14:textId="77777777" w:rsidR="00A14093" w:rsidRDefault="00A14093">
      <w:pPr>
        <w:spacing w:line="360" w:lineRule="auto"/>
        <w:jc w:val="both"/>
        <w:rPr>
          <w:rFonts w:ascii="Palatino Linotype" w:eastAsia="Palatino Linotype" w:hAnsi="Palatino Linotype" w:cs="Palatino Linotype"/>
          <w:color w:val="000000"/>
          <w:sz w:val="22"/>
          <w:szCs w:val="22"/>
        </w:rPr>
      </w:pPr>
    </w:p>
    <w:p w14:paraId="3B1D614C" w14:textId="77777777" w:rsidR="00A14093" w:rsidRDefault="000A690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términos de lo expuesto, la documentación y aquellos datos que se consideren confidenciales, serán una limitante del derecho de acceso a la información, siempre y cuando:</w:t>
      </w:r>
    </w:p>
    <w:p w14:paraId="712A7DAB" w14:textId="77777777" w:rsidR="00A14093" w:rsidRDefault="00A14093">
      <w:pPr>
        <w:spacing w:line="360" w:lineRule="auto"/>
        <w:jc w:val="both"/>
        <w:rPr>
          <w:rFonts w:ascii="Palatino Linotype" w:eastAsia="Palatino Linotype" w:hAnsi="Palatino Linotype" w:cs="Palatino Linotype"/>
          <w:color w:val="000000"/>
          <w:sz w:val="22"/>
          <w:szCs w:val="22"/>
        </w:rPr>
      </w:pPr>
    </w:p>
    <w:p w14:paraId="0623F9E4" w14:textId="77777777" w:rsidR="00A14093" w:rsidRDefault="000A6908">
      <w:pPr>
        <w:numPr>
          <w:ilvl w:val="0"/>
          <w:numId w:val="3"/>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Se trate de datos personales o información privada; esto es, información concerniente a una persona física o jurídico colectiva y que esta sea identificada o identificable. </w:t>
      </w:r>
    </w:p>
    <w:p w14:paraId="2D36618B" w14:textId="77777777" w:rsidR="00A14093" w:rsidRDefault="000A6908">
      <w:pPr>
        <w:numPr>
          <w:ilvl w:val="0"/>
          <w:numId w:val="3"/>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Para la difusión de los datos, se requiera el consentimiento del titular. </w:t>
      </w:r>
    </w:p>
    <w:p w14:paraId="1A48D070" w14:textId="77777777" w:rsidR="00A14093" w:rsidRDefault="00A14093">
      <w:pPr>
        <w:spacing w:line="360" w:lineRule="auto"/>
        <w:jc w:val="both"/>
        <w:rPr>
          <w:rFonts w:ascii="Palatino Linotype" w:eastAsia="Palatino Linotype" w:hAnsi="Palatino Linotype" w:cs="Palatino Linotype"/>
          <w:color w:val="000000"/>
          <w:sz w:val="22"/>
          <w:szCs w:val="22"/>
        </w:rPr>
      </w:pPr>
    </w:p>
    <w:p w14:paraId="76712257" w14:textId="77777777" w:rsidR="00A14093" w:rsidRDefault="000A690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w:t>
      </w:r>
      <w:r>
        <w:rPr>
          <w:rFonts w:ascii="Palatino Linotype" w:eastAsia="Palatino Linotype" w:hAnsi="Palatino Linotype" w:cs="Palatino Linotype"/>
          <w:color w:val="000000"/>
          <w:sz w:val="22"/>
          <w:szCs w:val="22"/>
        </w:rPr>
        <w:lastRenderedPageBreak/>
        <w:t xml:space="preserve">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5081034B" w14:textId="77777777" w:rsidR="00410CEA" w:rsidRDefault="00410CEA">
      <w:pPr>
        <w:spacing w:line="360" w:lineRule="auto"/>
        <w:jc w:val="both"/>
        <w:rPr>
          <w:rFonts w:ascii="Palatino Linotype" w:eastAsia="Palatino Linotype" w:hAnsi="Palatino Linotype" w:cs="Palatino Linotype"/>
          <w:color w:val="000000"/>
          <w:sz w:val="22"/>
          <w:szCs w:val="22"/>
        </w:rPr>
      </w:pPr>
    </w:p>
    <w:p w14:paraId="6D3F52A6" w14:textId="77777777" w:rsidR="00A14093" w:rsidRDefault="000A690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31528BA3" w14:textId="77777777" w:rsidR="00A14093" w:rsidRDefault="00A14093">
      <w:pPr>
        <w:spacing w:line="360" w:lineRule="auto"/>
        <w:jc w:val="both"/>
        <w:rPr>
          <w:rFonts w:ascii="Palatino Linotype" w:eastAsia="Palatino Linotype" w:hAnsi="Palatino Linotype" w:cs="Palatino Linotype"/>
          <w:color w:val="000000"/>
          <w:sz w:val="22"/>
          <w:szCs w:val="22"/>
        </w:rPr>
      </w:pPr>
    </w:p>
    <w:p w14:paraId="46C3C441" w14:textId="77777777" w:rsidR="00A14093" w:rsidRDefault="000A6908">
      <w:pPr>
        <w:widowControl w:val="0"/>
        <w:numPr>
          <w:ilvl w:val="0"/>
          <w:numId w:val="2"/>
        </w:numPr>
        <w:tabs>
          <w:tab w:val="center" w:pos="4522"/>
        </w:tabs>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Nombre de Representante Legal</w:t>
      </w:r>
    </w:p>
    <w:p w14:paraId="5F4CDBDC" w14:textId="77777777" w:rsidR="00A14093" w:rsidRDefault="000A690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w:t>
      </w:r>
    </w:p>
    <w:p w14:paraId="229B767E" w14:textId="77777777" w:rsidR="00A14093" w:rsidRDefault="000A690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resulta necesario señalar que las personas morales son representadas mediante personas físicas, debidamente acreditadas para realizar determinados actos a nombre de la jurídico-colectiva, por lo que, el nombre de dichos individuos no puede ser objeto de clasificación, en virtud de que la representación persigue la finalidad de dar certeza jurídica a los actos que realiza, en el presente caso, para obtener la autorización de construcción y de uso de suelo.</w:t>
      </w:r>
    </w:p>
    <w:p w14:paraId="411D8502" w14:textId="77777777" w:rsidR="00A14093" w:rsidRDefault="000A690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w:t>
      </w:r>
    </w:p>
    <w:p w14:paraId="24847146" w14:textId="77777777" w:rsidR="00A14093" w:rsidRDefault="000A690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el artículo 10 de la Ley General de Sociedades Mercantiles, establece que la representación de toda sociedad mercantil corresponderá a su administrador o administradores, quiénes podrán realizar todas las operaciones inherentes al objeto de la sociedad; por lo que, para que surtan efectos los poderes que otorgue dicha empresa bastará su protocolización ante notario público.</w:t>
      </w:r>
    </w:p>
    <w:p w14:paraId="07FA5237" w14:textId="77777777" w:rsidR="00A14093" w:rsidRDefault="000A6908">
      <w:pPr>
        <w:spacing w:line="360" w:lineRule="auto"/>
        <w:jc w:val="both"/>
        <w:rPr>
          <w:rFonts w:ascii="Palatino Linotype" w:eastAsia="Palatino Linotype" w:hAnsi="Palatino Linotype" w:cs="Palatino Linotype"/>
          <w:color w:val="242424"/>
          <w:sz w:val="22"/>
          <w:szCs w:val="22"/>
        </w:rPr>
      </w:pPr>
      <w:r>
        <w:rPr>
          <w:rFonts w:ascii="Palatino Linotype" w:eastAsia="Palatino Linotype" w:hAnsi="Palatino Linotype" w:cs="Palatino Linotype"/>
          <w:sz w:val="22"/>
          <w:szCs w:val="22"/>
        </w:rPr>
        <w:lastRenderedPageBreak/>
        <w:t> </w:t>
      </w:r>
    </w:p>
    <w:p w14:paraId="2930BBE8" w14:textId="77777777" w:rsidR="00A14093" w:rsidRDefault="000A6908">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42424"/>
          <w:sz w:val="22"/>
          <w:szCs w:val="22"/>
        </w:rPr>
      </w:pPr>
      <w:r>
        <w:rPr>
          <w:rFonts w:ascii="Palatino Linotype" w:eastAsia="Palatino Linotype" w:hAnsi="Palatino Linotype" w:cs="Palatino Linotype"/>
          <w:color w:val="000000"/>
          <w:sz w:val="22"/>
          <w:szCs w:val="22"/>
        </w:rPr>
        <w:t>En esa tesitura, la representación de las personas morales se realizará por medio de representantes o apoderados, y en el caso específico de las sociedades mercantiles, dicha representación se otorgará mediante instrumento público.</w:t>
      </w:r>
    </w:p>
    <w:p w14:paraId="4DA58866" w14:textId="77777777" w:rsidR="00A14093" w:rsidRDefault="000A6908">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42424"/>
          <w:sz w:val="22"/>
          <w:szCs w:val="22"/>
        </w:rPr>
      </w:pPr>
      <w:r>
        <w:rPr>
          <w:rFonts w:ascii="Palatino Linotype" w:eastAsia="Palatino Linotype" w:hAnsi="Palatino Linotype" w:cs="Palatino Linotype"/>
          <w:color w:val="000000"/>
          <w:sz w:val="22"/>
          <w:szCs w:val="22"/>
        </w:rPr>
        <w:t> </w:t>
      </w:r>
    </w:p>
    <w:p w14:paraId="626E9814" w14:textId="77777777" w:rsidR="00A14093" w:rsidRDefault="000A6908">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Ello, toda vez que la representación legal debe ser conocida para surtir efectos ante terceros; es decir, la publicidad de la misma tiene por objeto dar certeza a quienes se relacionan con la persona jurídico colectiva representada, que las actuaciones de su representante están previamente autorizadas y que surtirán efectos legales a que constriñe cada acto.</w:t>
      </w:r>
    </w:p>
    <w:p w14:paraId="47CD2E1A" w14:textId="77777777" w:rsidR="00A14093" w:rsidRDefault="00A14093">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42424"/>
          <w:sz w:val="22"/>
          <w:szCs w:val="22"/>
        </w:rPr>
      </w:pPr>
    </w:p>
    <w:p w14:paraId="256E786F" w14:textId="77777777" w:rsidR="00A14093" w:rsidRDefault="000A6908">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42424"/>
          <w:sz w:val="22"/>
          <w:szCs w:val="22"/>
        </w:rPr>
      </w:pPr>
      <w:r>
        <w:rPr>
          <w:rFonts w:ascii="Palatino Linotype" w:eastAsia="Palatino Linotype" w:hAnsi="Palatino Linotype" w:cs="Palatino Linotype"/>
          <w:color w:val="000000"/>
          <w:sz w:val="22"/>
          <w:szCs w:val="22"/>
        </w:rPr>
        <w:t>En ese orden de ideas, se estima que si bien, el nombre es uno de los atributos de la personalidad y la manifestación principal del derecho subjetivo a la identidad, en virtud de que hace una persona física identificada o identificable; lo cierto es que el nombre del apoderado legal de una empresa, </w:t>
      </w:r>
      <w:r>
        <w:rPr>
          <w:rFonts w:ascii="Palatino Linotype" w:eastAsia="Palatino Linotype" w:hAnsi="Palatino Linotype" w:cs="Palatino Linotype"/>
          <w:b/>
          <w:color w:val="000000"/>
          <w:sz w:val="22"/>
          <w:szCs w:val="22"/>
        </w:rPr>
        <w:t>es público, </w:t>
      </w:r>
      <w:r>
        <w:rPr>
          <w:rFonts w:ascii="Palatino Linotype" w:eastAsia="Palatino Linotype" w:hAnsi="Palatino Linotype" w:cs="Palatino Linotype"/>
          <w:color w:val="000000"/>
          <w:sz w:val="22"/>
          <w:szCs w:val="22"/>
        </w:rPr>
        <w:t>toda vez que por conducto de este, una persona jurídico-colectiva realiza cualquier acto jurídico; es decir, la publicidad de dicho dato da certeza a quienes se relacionan con la persona representada, partiendo del supuesto de que las actuaciones de su representante están previamente autorizadas y que surtirán los efectos legales a que se constriñe en cada acto.</w:t>
      </w:r>
    </w:p>
    <w:p w14:paraId="1A0EFDC3" w14:textId="77777777" w:rsidR="00A14093" w:rsidRDefault="000A6908">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42424"/>
          <w:sz w:val="22"/>
          <w:szCs w:val="22"/>
        </w:rPr>
      </w:pPr>
      <w:r>
        <w:rPr>
          <w:rFonts w:ascii="Palatino Linotype" w:eastAsia="Palatino Linotype" w:hAnsi="Palatino Linotype" w:cs="Palatino Linotype"/>
          <w:color w:val="000000"/>
          <w:sz w:val="22"/>
          <w:szCs w:val="22"/>
        </w:rPr>
        <w:t> </w:t>
      </w:r>
    </w:p>
    <w:p w14:paraId="4C29E799" w14:textId="77777777" w:rsidR="00A14093" w:rsidRDefault="000A6908">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42424"/>
          <w:sz w:val="22"/>
          <w:szCs w:val="22"/>
        </w:rPr>
      </w:pPr>
      <w:r>
        <w:rPr>
          <w:rFonts w:ascii="Palatino Linotype" w:eastAsia="Palatino Linotype" w:hAnsi="Palatino Linotype" w:cs="Palatino Linotype"/>
          <w:color w:val="242424"/>
          <w:sz w:val="22"/>
          <w:szCs w:val="22"/>
        </w:rPr>
        <w:t>Lo anterior, se robustece con el Criterio de Interpretación, de la Segunda Época, con clave de control SO/001/2019, emitido por el Instituto Nacional de Transparencia, Acceso a la Información y Protección de Datos Personales, que establece lo siguiente:</w:t>
      </w:r>
    </w:p>
    <w:p w14:paraId="7EA6B68A" w14:textId="77777777" w:rsidR="00A14093" w:rsidRDefault="000A6908">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42424"/>
          <w:sz w:val="22"/>
          <w:szCs w:val="22"/>
        </w:rPr>
      </w:pPr>
      <w:r>
        <w:rPr>
          <w:rFonts w:ascii="Palatino Linotype" w:eastAsia="Palatino Linotype" w:hAnsi="Palatino Linotype" w:cs="Palatino Linotype"/>
          <w:color w:val="242424"/>
          <w:sz w:val="22"/>
          <w:szCs w:val="22"/>
        </w:rPr>
        <w:t> </w:t>
      </w:r>
    </w:p>
    <w:p w14:paraId="5CB5C3CB" w14:textId="77777777" w:rsidR="00A14093" w:rsidRDefault="000A6908">
      <w:pPr>
        <w:pBdr>
          <w:top w:val="nil"/>
          <w:left w:val="nil"/>
          <w:bottom w:val="nil"/>
          <w:right w:val="nil"/>
          <w:between w:val="nil"/>
        </w:pBdr>
        <w:shd w:val="clear" w:color="auto" w:fill="FFFFFF"/>
        <w:spacing w:line="360" w:lineRule="auto"/>
        <w:ind w:left="567" w:right="567"/>
        <w:jc w:val="both"/>
        <w:rPr>
          <w:rFonts w:ascii="Palatino Linotype" w:eastAsia="Palatino Linotype" w:hAnsi="Palatino Linotype" w:cs="Palatino Linotype"/>
          <w:color w:val="242424"/>
        </w:rPr>
      </w:pPr>
      <w:r>
        <w:rPr>
          <w:rFonts w:ascii="Palatino Linotype" w:eastAsia="Palatino Linotype" w:hAnsi="Palatino Linotype" w:cs="Palatino Linotype"/>
          <w:b/>
          <w:i/>
          <w:color w:val="242424"/>
        </w:rPr>
        <w:t>“Datos de identificación del representante o apoderado legal.</w:t>
      </w:r>
      <w:r>
        <w:rPr>
          <w:rFonts w:ascii="Palatino Linotype" w:eastAsia="Palatino Linotype" w:hAnsi="Palatino Linotype" w:cs="Palatino Linotype"/>
          <w:i/>
          <w:color w:val="242424"/>
        </w:rPr>
        <w:t> </w:t>
      </w:r>
      <w:r>
        <w:rPr>
          <w:rFonts w:ascii="Palatino Linotype" w:eastAsia="Palatino Linotype" w:hAnsi="Palatino Linotype" w:cs="Palatino Linotype"/>
          <w:b/>
          <w:i/>
          <w:color w:val="242424"/>
        </w:rPr>
        <w:t>Naturaleza jurídica. </w:t>
      </w:r>
      <w:r>
        <w:rPr>
          <w:rFonts w:ascii="Palatino Linotype" w:eastAsia="Palatino Linotype" w:hAnsi="Palatino Linotype" w:cs="Palatino Linotype"/>
          <w:i/>
          <w:color w:val="242424"/>
        </w:rPr>
        <w:t xml:space="preserve">El nombre, la firma y la rúbrica de una persona física, que actúe como representante o apoderado legal de un tercero que haya celebrado un acto jurídico, con algún sujeto obligado, es información pública, </w:t>
      </w:r>
      <w:r>
        <w:rPr>
          <w:rFonts w:ascii="Palatino Linotype" w:eastAsia="Palatino Linotype" w:hAnsi="Palatino Linotype" w:cs="Palatino Linotype"/>
          <w:i/>
          <w:color w:val="242424"/>
        </w:rPr>
        <w:lastRenderedPageBreak/>
        <w:t>en razón de que tales datos fueron proporcionados con el objeto de expresar el consentimiento obligacional del tercero y otorgar validez a dicho instrumento jurídico.”</w:t>
      </w:r>
    </w:p>
    <w:p w14:paraId="44251FBB" w14:textId="77777777" w:rsidR="00A14093" w:rsidRDefault="000A6908">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42424"/>
          <w:sz w:val="22"/>
          <w:szCs w:val="22"/>
        </w:rPr>
      </w:pPr>
      <w:r>
        <w:rPr>
          <w:rFonts w:ascii="Palatino Linotype" w:eastAsia="Palatino Linotype" w:hAnsi="Palatino Linotype" w:cs="Palatino Linotype"/>
          <w:color w:val="000000"/>
          <w:sz w:val="22"/>
          <w:szCs w:val="22"/>
        </w:rPr>
        <w:t> </w:t>
      </w:r>
    </w:p>
    <w:p w14:paraId="5F3F32BB" w14:textId="77777777" w:rsidR="00A14093" w:rsidRDefault="000A690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Ante tales situaciones, el nombre del representante legal, de una persona jurídica colectiva, no es susceptible de ser clasificado como confidencial, en términos del artículo 143, fracción I, de la Ley </w:t>
      </w:r>
      <w:proofErr w:type="spellStart"/>
      <w:r>
        <w:rPr>
          <w:rFonts w:ascii="Palatino Linotype" w:eastAsia="Palatino Linotype" w:hAnsi="Palatino Linotype" w:cs="Palatino Linotype"/>
          <w:sz w:val="22"/>
          <w:szCs w:val="22"/>
        </w:rPr>
        <w:t>Ley</w:t>
      </w:r>
      <w:proofErr w:type="spellEnd"/>
      <w:r>
        <w:rPr>
          <w:rFonts w:ascii="Palatino Linotype" w:eastAsia="Palatino Linotype" w:hAnsi="Palatino Linotype" w:cs="Palatino Linotype"/>
          <w:sz w:val="22"/>
          <w:szCs w:val="22"/>
        </w:rPr>
        <w:t xml:space="preserve"> de Transparencia y Acceso a la Información Pública del Estado de México y Municipios.</w:t>
      </w:r>
    </w:p>
    <w:p w14:paraId="168A1C0F" w14:textId="77777777" w:rsidR="00A14093" w:rsidRDefault="00A14093">
      <w:pPr>
        <w:widowControl w:val="0"/>
        <w:spacing w:line="360" w:lineRule="auto"/>
        <w:jc w:val="both"/>
        <w:rPr>
          <w:rFonts w:ascii="Palatino Linotype" w:eastAsia="Palatino Linotype" w:hAnsi="Palatino Linotype" w:cs="Palatino Linotype"/>
          <w:color w:val="000000"/>
          <w:sz w:val="22"/>
          <w:szCs w:val="22"/>
        </w:rPr>
      </w:pPr>
    </w:p>
    <w:p w14:paraId="4B63230C" w14:textId="77777777" w:rsidR="00A14093" w:rsidRDefault="000A6908">
      <w:pPr>
        <w:widowControl w:val="0"/>
        <w:numPr>
          <w:ilvl w:val="0"/>
          <w:numId w:val="2"/>
        </w:numPr>
        <w:tabs>
          <w:tab w:val="center" w:pos="452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Firma del representante legal</w:t>
      </w:r>
    </w:p>
    <w:p w14:paraId="354454A8" w14:textId="77777777" w:rsidR="00A14093" w:rsidRDefault="00A14093">
      <w:pPr>
        <w:widowControl w:val="0"/>
        <w:tabs>
          <w:tab w:val="center" w:pos="4522"/>
        </w:tabs>
        <w:spacing w:line="360" w:lineRule="auto"/>
        <w:jc w:val="both"/>
        <w:rPr>
          <w:rFonts w:ascii="Palatino Linotype" w:eastAsia="Palatino Linotype" w:hAnsi="Palatino Linotype" w:cs="Palatino Linotype"/>
          <w:color w:val="000000"/>
          <w:sz w:val="22"/>
          <w:szCs w:val="22"/>
        </w:rPr>
      </w:pPr>
    </w:p>
    <w:p w14:paraId="19708DF2" w14:textId="77777777" w:rsidR="00A14093" w:rsidRDefault="000A6908">
      <w:pPr>
        <w:widowControl w:val="0"/>
        <w:tabs>
          <w:tab w:val="center" w:pos="452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Al respecto, la firma es considerada un dato personal, al tratarse de información gráfica a través de la cual su titular exterioriza su voluntad en actos públicos y privados; dicho dato  exterioriza la voluntad en un acto público y que lo realiza una persona física identificada o identificable, en su calidad de representante legal, por lo que, expresa el consentimiento de la persona moral para realizar o recibir ciertas obligaciones; además, que le otorga validez al instrumento jurídico, en el presente caso, la celebración de contratos para la adquisición  o arrendamiento de bienes y servicios.</w:t>
      </w:r>
    </w:p>
    <w:p w14:paraId="0E023962" w14:textId="77777777" w:rsidR="00A14093" w:rsidRDefault="00A14093">
      <w:pPr>
        <w:widowControl w:val="0"/>
        <w:tabs>
          <w:tab w:val="center" w:pos="4522"/>
        </w:tabs>
        <w:spacing w:line="360" w:lineRule="auto"/>
        <w:jc w:val="both"/>
        <w:rPr>
          <w:rFonts w:ascii="Palatino Linotype" w:eastAsia="Palatino Linotype" w:hAnsi="Palatino Linotype" w:cs="Palatino Linotype"/>
          <w:color w:val="000000"/>
          <w:sz w:val="22"/>
          <w:szCs w:val="22"/>
        </w:rPr>
      </w:pPr>
    </w:p>
    <w:p w14:paraId="06602E7C" w14:textId="77777777" w:rsidR="00A14093" w:rsidRDefault="000A6908">
      <w:pPr>
        <w:widowControl w:val="0"/>
        <w:tabs>
          <w:tab w:val="center" w:pos="452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Conforme a lo anterior, no procede la clasificación de la firma del proveedor o representante legal, localizados en los documentos que den cuenta de la información solicitada, en términos del artículo 143, fracción I de la Ley de Transparencia y Acceso a la Información Pública del Estado de México y Municipios.</w:t>
      </w:r>
    </w:p>
    <w:p w14:paraId="32E40245" w14:textId="77777777" w:rsidR="00A14093" w:rsidRDefault="00A14093">
      <w:pPr>
        <w:widowControl w:val="0"/>
        <w:tabs>
          <w:tab w:val="center" w:pos="4522"/>
        </w:tabs>
        <w:spacing w:line="360" w:lineRule="auto"/>
        <w:jc w:val="both"/>
        <w:rPr>
          <w:rFonts w:ascii="Palatino Linotype" w:eastAsia="Palatino Linotype" w:hAnsi="Palatino Linotype" w:cs="Palatino Linotype"/>
          <w:color w:val="000000"/>
          <w:sz w:val="22"/>
          <w:szCs w:val="22"/>
        </w:rPr>
      </w:pPr>
    </w:p>
    <w:p w14:paraId="7037E5E2" w14:textId="77777777" w:rsidR="00A14093" w:rsidRDefault="000A6908">
      <w:pPr>
        <w:numPr>
          <w:ilvl w:val="0"/>
          <w:numId w:val="4"/>
        </w:numP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Clave de registro o elector del representante legal</w:t>
      </w:r>
    </w:p>
    <w:p w14:paraId="2B7B009F" w14:textId="77777777" w:rsidR="00A14093" w:rsidRDefault="00A14093">
      <w:pPr>
        <w:widowControl w:val="0"/>
        <w:tabs>
          <w:tab w:val="center" w:pos="4522"/>
        </w:tabs>
        <w:spacing w:line="360" w:lineRule="auto"/>
        <w:jc w:val="both"/>
        <w:rPr>
          <w:rFonts w:ascii="Palatino Linotype" w:eastAsia="Palatino Linotype" w:hAnsi="Palatino Linotype" w:cs="Palatino Linotype"/>
          <w:color w:val="000000"/>
          <w:sz w:val="22"/>
          <w:szCs w:val="22"/>
        </w:rPr>
      </w:pPr>
    </w:p>
    <w:p w14:paraId="28D38E6F" w14:textId="77777777" w:rsidR="00A14093" w:rsidRDefault="000A6908">
      <w:pPr>
        <w:widowControl w:val="0"/>
        <w:tabs>
          <w:tab w:val="center" w:pos="452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Al respecto, este Instituto localizó el Acuerdo del Consejo General del Instituto Federal Electoral, por el que se aprueban diversas disposiciones relativas a la forma y contenido de la Lista nominal de electores residentes en el extranjero, que se utilizará con motivo de la jornada electoral del primero de julio de dos mil doce, publicado en el Diario Oficial de la Federación el cinco de abril de dos mil doce, en el cual establece que la clave de elector, se conforma por las consonantes iniciales de los apellidos y el nombre del elector, seguido de su fecha de nacimiento (dos dígitos para el año, dos dígitos para el mes, dos dígitos para el día), número de la entidad federativa de nacimiento, letra que identifica el género y una </w:t>
      </w:r>
      <w:proofErr w:type="spellStart"/>
      <w:r>
        <w:rPr>
          <w:rFonts w:ascii="Palatino Linotype" w:eastAsia="Palatino Linotype" w:hAnsi="Palatino Linotype" w:cs="Palatino Linotype"/>
          <w:color w:val="000000"/>
          <w:sz w:val="22"/>
          <w:szCs w:val="22"/>
        </w:rPr>
        <w:t>homoclave</w:t>
      </w:r>
      <w:proofErr w:type="spellEnd"/>
      <w:r>
        <w:rPr>
          <w:rFonts w:ascii="Palatino Linotype" w:eastAsia="Palatino Linotype" w:hAnsi="Palatino Linotype" w:cs="Palatino Linotype"/>
          <w:color w:val="000000"/>
          <w:sz w:val="22"/>
          <w:szCs w:val="22"/>
        </w:rPr>
        <w:t xml:space="preserve"> compuesta de tres dígitos, dando un total de 18 caracteres.</w:t>
      </w:r>
    </w:p>
    <w:p w14:paraId="570BF46A" w14:textId="77777777" w:rsidR="00A14093" w:rsidRDefault="00A14093">
      <w:pPr>
        <w:widowControl w:val="0"/>
        <w:tabs>
          <w:tab w:val="center" w:pos="4522"/>
        </w:tabs>
        <w:spacing w:line="360" w:lineRule="auto"/>
        <w:jc w:val="both"/>
        <w:rPr>
          <w:rFonts w:ascii="Palatino Linotype" w:eastAsia="Palatino Linotype" w:hAnsi="Palatino Linotype" w:cs="Palatino Linotype"/>
          <w:color w:val="000000"/>
          <w:sz w:val="22"/>
          <w:szCs w:val="22"/>
        </w:rPr>
      </w:pPr>
    </w:p>
    <w:p w14:paraId="00AC7A47" w14:textId="77777777" w:rsidR="00A14093" w:rsidRDefault="000A6908">
      <w:pPr>
        <w:widowControl w:val="0"/>
        <w:tabs>
          <w:tab w:val="center" w:pos="452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Conforme a lo anterior, se puede advertir que, con la clave de elector, se podrían obtener indicios o datos completos de una persona, que la podría ser identificada e identificable, pues se podría inferir el nombre de la persona, así como, su fecha y entidad de nacimiento, los cuales son considerados de su vida privada.</w:t>
      </w:r>
    </w:p>
    <w:p w14:paraId="73DB9B41" w14:textId="77777777" w:rsidR="00A14093" w:rsidRDefault="00A14093">
      <w:pPr>
        <w:widowControl w:val="0"/>
        <w:tabs>
          <w:tab w:val="center" w:pos="4522"/>
        </w:tabs>
        <w:spacing w:line="360" w:lineRule="auto"/>
        <w:jc w:val="both"/>
        <w:rPr>
          <w:rFonts w:ascii="Palatino Linotype" w:eastAsia="Palatino Linotype" w:hAnsi="Palatino Linotype" w:cs="Palatino Linotype"/>
          <w:color w:val="000000"/>
          <w:sz w:val="22"/>
          <w:szCs w:val="22"/>
        </w:rPr>
      </w:pPr>
    </w:p>
    <w:p w14:paraId="4AE005EC" w14:textId="77777777" w:rsidR="00A14093" w:rsidRDefault="000A6908">
      <w:pPr>
        <w:widowControl w:val="0"/>
        <w:tabs>
          <w:tab w:val="center" w:pos="4522"/>
        </w:tabs>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Por lo tanto, al ser un dato que hace reconocible a una persona física, </w:t>
      </w:r>
      <w:r>
        <w:rPr>
          <w:rFonts w:ascii="Palatino Linotype" w:eastAsia="Palatino Linotype" w:hAnsi="Palatino Linotype" w:cs="Palatino Linotype"/>
          <w:b/>
          <w:color w:val="000000"/>
          <w:sz w:val="22"/>
          <w:szCs w:val="22"/>
        </w:rPr>
        <w:t>resulta procedente su clasificación como información confidencial en términos de lo dispuesto por el artículo 143, fracción I de la Ley de Transparencia y Acceso a la Información Pública del Estado de México y Municipios.</w:t>
      </w:r>
    </w:p>
    <w:p w14:paraId="0F50171D" w14:textId="77777777" w:rsidR="00A14093" w:rsidRDefault="00A14093">
      <w:pPr>
        <w:widowControl w:val="0"/>
        <w:tabs>
          <w:tab w:val="center" w:pos="4522"/>
        </w:tabs>
        <w:spacing w:line="360" w:lineRule="auto"/>
        <w:jc w:val="both"/>
        <w:rPr>
          <w:rFonts w:ascii="Palatino Linotype" w:eastAsia="Palatino Linotype" w:hAnsi="Palatino Linotype" w:cs="Palatino Linotype"/>
          <w:color w:val="000000"/>
          <w:sz w:val="22"/>
          <w:szCs w:val="22"/>
        </w:rPr>
      </w:pPr>
    </w:p>
    <w:p w14:paraId="0E9367FD" w14:textId="77777777" w:rsidR="00A14093" w:rsidRDefault="000A690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Por lo que, en su caso el Ente Recurrido, deberá elaborar la versión pública respectiva, tomando en consideración los datos analizados y precisando que no podrá clasificar el nombre o razón social con el que celebró el convenio solicitado; al respecto, conforme al artículo 3°, fracción XLV, relacionado con el 137, ambos de la Ley de Transparencia y Acceso a la Información Pública del Estado de México y Municipios, cuando un documento contenga </w:t>
      </w:r>
      <w:r>
        <w:rPr>
          <w:rFonts w:ascii="Palatino Linotype" w:eastAsia="Palatino Linotype" w:hAnsi="Palatino Linotype" w:cs="Palatino Linotype"/>
          <w:color w:val="000000"/>
          <w:sz w:val="22"/>
          <w:szCs w:val="22"/>
        </w:rPr>
        <w:lastRenderedPageBreak/>
        <w:t xml:space="preserve">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48090E15" w14:textId="77777777" w:rsidR="00A14093" w:rsidRDefault="00A14093">
      <w:pPr>
        <w:spacing w:line="360" w:lineRule="auto"/>
        <w:jc w:val="both"/>
        <w:rPr>
          <w:rFonts w:ascii="Palatino Linotype" w:eastAsia="Palatino Linotype" w:hAnsi="Palatino Linotype" w:cs="Palatino Linotype"/>
          <w:color w:val="000000"/>
          <w:sz w:val="22"/>
          <w:szCs w:val="22"/>
        </w:rPr>
      </w:pPr>
    </w:p>
    <w:p w14:paraId="1E6E05CF" w14:textId="77777777" w:rsidR="00A14093" w:rsidRDefault="000A690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7DE1A94B" w14:textId="77777777" w:rsidR="00A14093" w:rsidRDefault="00A14093">
      <w:pPr>
        <w:spacing w:line="360" w:lineRule="auto"/>
        <w:jc w:val="both"/>
        <w:rPr>
          <w:rFonts w:ascii="Palatino Linotype" w:eastAsia="Palatino Linotype" w:hAnsi="Palatino Linotype" w:cs="Palatino Linotype"/>
          <w:sz w:val="22"/>
          <w:szCs w:val="22"/>
        </w:rPr>
      </w:pPr>
    </w:p>
    <w:p w14:paraId="55288CF1" w14:textId="77777777" w:rsidR="00A14093" w:rsidRDefault="000A6908">
      <w:pPr>
        <w:pStyle w:val="Ttulo2"/>
        <w:spacing w:before="0" w:after="0" w:line="360" w:lineRule="auto"/>
        <w:rPr>
          <w:rFonts w:ascii="Palatino Linotype" w:eastAsia="Palatino Linotype" w:hAnsi="Palatino Linotype" w:cs="Palatino Linotype"/>
          <w:b/>
          <w:color w:val="000000"/>
          <w:sz w:val="22"/>
          <w:szCs w:val="22"/>
        </w:rPr>
      </w:pPr>
      <w:bookmarkStart w:id="16" w:name="_heading=h.rcyfmgqlt39e" w:colFirst="0" w:colLast="0"/>
      <w:bookmarkEnd w:id="16"/>
      <w:r>
        <w:rPr>
          <w:rFonts w:ascii="Palatino Linotype" w:eastAsia="Palatino Linotype" w:hAnsi="Palatino Linotype" w:cs="Palatino Linotype"/>
          <w:b/>
          <w:color w:val="000000"/>
          <w:sz w:val="22"/>
          <w:szCs w:val="22"/>
        </w:rPr>
        <w:t xml:space="preserve">SEXTO. Decisión </w:t>
      </w:r>
    </w:p>
    <w:p w14:paraId="0FB3EC92" w14:textId="77777777" w:rsidR="00A14093" w:rsidRDefault="000A6908">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w:t>
      </w:r>
    </w:p>
    <w:p w14:paraId="0487498D" w14:textId="77777777" w:rsidR="00A14093" w:rsidRDefault="000A690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acuerdo con lo expuesto y, con fundamento en el artículo 186, fracción III, de la Ley de Transparencia y Acceso a la Información Pública del Estado de México y Municipios, este Instituto considera procedente </w:t>
      </w:r>
      <w:r>
        <w:rPr>
          <w:rFonts w:ascii="Palatino Linotype" w:eastAsia="Palatino Linotype" w:hAnsi="Palatino Linotype" w:cs="Palatino Linotype"/>
          <w:b/>
          <w:color w:val="000000"/>
          <w:sz w:val="22"/>
          <w:szCs w:val="22"/>
        </w:rPr>
        <w:t xml:space="preserve">MODIFICAR </w:t>
      </w:r>
      <w:r>
        <w:rPr>
          <w:rFonts w:ascii="Palatino Linotype" w:eastAsia="Palatino Linotype" w:hAnsi="Palatino Linotype" w:cs="Palatino Linotype"/>
          <w:color w:val="000000"/>
          <w:sz w:val="22"/>
          <w:szCs w:val="22"/>
        </w:rPr>
        <w:t xml:space="preserve">la respuesta del Ayuntamiento de </w:t>
      </w:r>
      <w:proofErr w:type="spellStart"/>
      <w:r>
        <w:rPr>
          <w:rFonts w:ascii="Palatino Linotype" w:eastAsia="Palatino Linotype" w:hAnsi="Palatino Linotype" w:cs="Palatino Linotype"/>
          <w:color w:val="000000"/>
          <w:sz w:val="22"/>
          <w:szCs w:val="22"/>
        </w:rPr>
        <w:t>Jocotitlán</w:t>
      </w:r>
      <w:proofErr w:type="spellEnd"/>
      <w:r>
        <w:rPr>
          <w:rFonts w:ascii="Palatino Linotype" w:eastAsia="Palatino Linotype" w:hAnsi="Palatino Linotype" w:cs="Palatino Linotype"/>
          <w:color w:val="000000"/>
          <w:sz w:val="22"/>
          <w:szCs w:val="22"/>
        </w:rPr>
        <w:t>, a efecto de que entregue el convenio referido.</w:t>
      </w:r>
    </w:p>
    <w:p w14:paraId="551D55A7" w14:textId="77777777" w:rsidR="00A14093" w:rsidRDefault="00A14093">
      <w:pPr>
        <w:spacing w:line="360" w:lineRule="auto"/>
      </w:pPr>
    </w:p>
    <w:p w14:paraId="616BC0AE" w14:textId="77777777" w:rsidR="00A14093" w:rsidRDefault="000A6908">
      <w:pP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Términos de la Resolución para conocimiento del Particular.</w:t>
      </w:r>
    </w:p>
    <w:p w14:paraId="7DCBCB51" w14:textId="77777777" w:rsidR="00A14093" w:rsidRDefault="00A14093">
      <w:pPr>
        <w:spacing w:line="360" w:lineRule="auto"/>
        <w:jc w:val="both"/>
        <w:rPr>
          <w:rFonts w:ascii="Palatino Linotype" w:eastAsia="Palatino Linotype" w:hAnsi="Palatino Linotype" w:cs="Palatino Linotype"/>
          <w:b/>
          <w:color w:val="000000"/>
          <w:sz w:val="22"/>
          <w:szCs w:val="22"/>
        </w:rPr>
      </w:pPr>
    </w:p>
    <w:p w14:paraId="0E43E926" w14:textId="77777777" w:rsidR="00A14093" w:rsidRDefault="000A6908">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Se le hace del conocimiento al Particular, que, en el presente caso, se le concede la razón, pues el Sujetó Obligado no señaló de forma fundada y motivada los razones para restringir la información, además de tratarse de información de naturaleza pública, por lo que deberá entregar la información solicitada. </w:t>
      </w:r>
    </w:p>
    <w:p w14:paraId="5E54210F" w14:textId="77777777" w:rsidR="00A14093" w:rsidRDefault="00A14093">
      <w:pPr>
        <w:spacing w:line="360" w:lineRule="auto"/>
        <w:ind w:right="-28"/>
        <w:jc w:val="both"/>
        <w:rPr>
          <w:rFonts w:ascii="Palatino Linotype" w:eastAsia="Palatino Linotype" w:hAnsi="Palatino Linotype" w:cs="Palatino Linotype"/>
          <w:color w:val="000000"/>
          <w:sz w:val="22"/>
          <w:szCs w:val="22"/>
        </w:rPr>
      </w:pPr>
    </w:p>
    <w:p w14:paraId="5C851683" w14:textId="77777777" w:rsidR="00A14093" w:rsidRDefault="000A690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Finalmente, se le informa que la labor de este Instituto de Transparencia, Acceso a la Información Pública y Protección de Datos Personales del Estado de México y Municipios, es </w:t>
      </w:r>
      <w:r>
        <w:rPr>
          <w:rFonts w:ascii="Palatino Linotype" w:eastAsia="Palatino Linotype" w:hAnsi="Palatino Linotype" w:cs="Palatino Linotype"/>
          <w:sz w:val="22"/>
          <w:szCs w:val="22"/>
        </w:rPr>
        <w:lastRenderedPageBreak/>
        <w:t>apoyar a la población a acceder a la información pública y garantizar la protección de sus datos personales.</w:t>
      </w:r>
    </w:p>
    <w:p w14:paraId="78BD862A" w14:textId="77777777" w:rsidR="00A14093" w:rsidRDefault="00A14093">
      <w:pPr>
        <w:spacing w:line="360" w:lineRule="auto"/>
        <w:ind w:right="-28"/>
        <w:jc w:val="both"/>
        <w:rPr>
          <w:rFonts w:ascii="Palatino Linotype" w:eastAsia="Palatino Linotype" w:hAnsi="Palatino Linotype" w:cs="Palatino Linotype"/>
          <w:sz w:val="22"/>
          <w:szCs w:val="22"/>
        </w:rPr>
      </w:pPr>
    </w:p>
    <w:p w14:paraId="19D0ECA6" w14:textId="77777777" w:rsidR="00A14093" w:rsidRDefault="000A690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expuesto y fundado, este Pleno:</w:t>
      </w:r>
    </w:p>
    <w:p w14:paraId="7F136BA6" w14:textId="77777777" w:rsidR="00A14093" w:rsidRDefault="00A14093">
      <w:pPr>
        <w:spacing w:line="360" w:lineRule="auto"/>
        <w:jc w:val="both"/>
        <w:rPr>
          <w:rFonts w:ascii="Palatino Linotype" w:eastAsia="Palatino Linotype" w:hAnsi="Palatino Linotype" w:cs="Palatino Linotype"/>
          <w:sz w:val="22"/>
          <w:szCs w:val="22"/>
        </w:rPr>
      </w:pPr>
    </w:p>
    <w:p w14:paraId="2715CD39" w14:textId="77777777" w:rsidR="00A14093" w:rsidRDefault="000A6908">
      <w:pPr>
        <w:pStyle w:val="Ttulo1"/>
        <w:spacing w:before="0" w:after="0" w:line="360" w:lineRule="auto"/>
        <w:jc w:val="center"/>
        <w:rPr>
          <w:rFonts w:ascii="Palatino Linotype" w:eastAsia="Palatino Linotype" w:hAnsi="Palatino Linotype" w:cs="Palatino Linotype"/>
          <w:b/>
          <w:color w:val="0D0D0D"/>
          <w:sz w:val="22"/>
          <w:szCs w:val="22"/>
        </w:rPr>
      </w:pPr>
      <w:bookmarkStart w:id="17" w:name="_heading=h.t4avbq2smrxw" w:colFirst="0" w:colLast="0"/>
      <w:bookmarkEnd w:id="17"/>
      <w:r>
        <w:rPr>
          <w:rFonts w:ascii="Palatino Linotype" w:eastAsia="Palatino Linotype" w:hAnsi="Palatino Linotype" w:cs="Palatino Linotype"/>
          <w:b/>
          <w:color w:val="0D0D0D"/>
          <w:sz w:val="22"/>
          <w:szCs w:val="22"/>
        </w:rPr>
        <w:t>R E S U E L V E</w:t>
      </w:r>
    </w:p>
    <w:p w14:paraId="0A6EB863" w14:textId="77777777" w:rsidR="00A14093" w:rsidRDefault="000A690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54A455AD" w14:textId="77777777" w:rsidR="00A14093" w:rsidRDefault="000A690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sz w:val="22"/>
          <w:szCs w:val="22"/>
        </w:rPr>
        <w:t xml:space="preserve">PRIMERO. </w:t>
      </w:r>
      <w:r>
        <w:rPr>
          <w:rFonts w:ascii="Palatino Linotype" w:eastAsia="Palatino Linotype" w:hAnsi="Palatino Linotype" w:cs="Palatino Linotype"/>
          <w:color w:val="000000"/>
          <w:sz w:val="22"/>
          <w:szCs w:val="22"/>
        </w:rPr>
        <w:t xml:space="preserve">Se </w:t>
      </w:r>
      <w:r>
        <w:rPr>
          <w:rFonts w:ascii="Palatino Linotype" w:eastAsia="Palatino Linotype" w:hAnsi="Palatino Linotype" w:cs="Palatino Linotype"/>
          <w:b/>
          <w:color w:val="000000"/>
          <w:sz w:val="22"/>
          <w:szCs w:val="22"/>
        </w:rPr>
        <w:t xml:space="preserve">MODIFICA </w:t>
      </w:r>
      <w:r>
        <w:rPr>
          <w:rFonts w:ascii="Palatino Linotype" w:eastAsia="Palatino Linotype" w:hAnsi="Palatino Linotype" w:cs="Palatino Linotype"/>
          <w:color w:val="000000"/>
          <w:sz w:val="22"/>
          <w:szCs w:val="22"/>
        </w:rPr>
        <w:t xml:space="preserve">la respuesta entregada por el Ayuntamiento de </w:t>
      </w:r>
      <w:proofErr w:type="spellStart"/>
      <w:r>
        <w:rPr>
          <w:rFonts w:ascii="Palatino Linotype" w:eastAsia="Palatino Linotype" w:hAnsi="Palatino Linotype" w:cs="Palatino Linotype"/>
          <w:color w:val="000000"/>
          <w:sz w:val="22"/>
          <w:szCs w:val="22"/>
        </w:rPr>
        <w:t>Jocotitlán</w:t>
      </w:r>
      <w:proofErr w:type="spellEnd"/>
      <w:r>
        <w:rPr>
          <w:rFonts w:ascii="Palatino Linotype" w:eastAsia="Palatino Linotype" w:hAnsi="Palatino Linotype" w:cs="Palatino Linotype"/>
          <w:color w:val="000000"/>
          <w:sz w:val="22"/>
          <w:szCs w:val="22"/>
        </w:rPr>
        <w:t xml:space="preserve">, a la solicitud de información </w:t>
      </w:r>
      <w:r>
        <w:rPr>
          <w:rFonts w:ascii="Palatino Linotype" w:eastAsia="Palatino Linotype" w:hAnsi="Palatino Linotype" w:cs="Palatino Linotype"/>
          <w:sz w:val="22"/>
          <w:szCs w:val="22"/>
        </w:rPr>
        <w:t>00127/JOCOTIT/IP/2025</w:t>
      </w:r>
      <w:r>
        <w:rPr>
          <w:rFonts w:ascii="Palatino Linotype" w:eastAsia="Palatino Linotype" w:hAnsi="Palatino Linotype" w:cs="Palatino Linotype"/>
          <w:color w:val="000000"/>
          <w:sz w:val="22"/>
          <w:szCs w:val="22"/>
        </w:rPr>
        <w:t xml:space="preserve">, por resultar parcialmente </w:t>
      </w:r>
      <w:r>
        <w:rPr>
          <w:rFonts w:ascii="Palatino Linotype" w:eastAsia="Palatino Linotype" w:hAnsi="Palatino Linotype" w:cs="Palatino Linotype"/>
          <w:b/>
          <w:color w:val="000000"/>
          <w:sz w:val="22"/>
          <w:szCs w:val="22"/>
        </w:rPr>
        <w:t>FUNDADAS</w:t>
      </w:r>
      <w:r>
        <w:rPr>
          <w:rFonts w:ascii="Palatino Linotype" w:eastAsia="Palatino Linotype" w:hAnsi="Palatino Linotype" w:cs="Palatino Linotype"/>
          <w:color w:val="000000"/>
          <w:sz w:val="22"/>
          <w:szCs w:val="22"/>
        </w:rPr>
        <w:t xml:space="preserve"> las razones o motivos de inconformidad hechos valer por la Particular, en términos de los considerandos QUINTO y SEXTO de la presente Resolución.</w:t>
      </w:r>
    </w:p>
    <w:p w14:paraId="3F77B207" w14:textId="77777777" w:rsidR="00A14093" w:rsidRDefault="00A14093">
      <w:pPr>
        <w:spacing w:line="360" w:lineRule="auto"/>
        <w:jc w:val="both"/>
        <w:rPr>
          <w:rFonts w:ascii="Palatino Linotype" w:eastAsia="Palatino Linotype" w:hAnsi="Palatino Linotype" w:cs="Palatino Linotype"/>
          <w:b/>
          <w:sz w:val="22"/>
          <w:szCs w:val="22"/>
        </w:rPr>
      </w:pPr>
    </w:p>
    <w:p w14:paraId="6DF58AC3" w14:textId="77777777" w:rsidR="00A14093" w:rsidRDefault="000A690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sz w:val="22"/>
          <w:szCs w:val="22"/>
        </w:rPr>
        <w:t xml:space="preserve">SEGUNDO. </w:t>
      </w:r>
      <w:r>
        <w:rPr>
          <w:rFonts w:ascii="Palatino Linotype" w:eastAsia="Palatino Linotype" w:hAnsi="Palatino Linotype" w:cs="Palatino Linotype"/>
          <w:sz w:val="22"/>
          <w:szCs w:val="22"/>
        </w:rPr>
        <w:t xml:space="preserve">Se </w:t>
      </w:r>
      <w:r>
        <w:rPr>
          <w:rFonts w:ascii="Palatino Linotype" w:eastAsia="Palatino Linotype" w:hAnsi="Palatino Linotype" w:cs="Palatino Linotype"/>
          <w:b/>
          <w:sz w:val="22"/>
          <w:szCs w:val="22"/>
        </w:rPr>
        <w:t xml:space="preserve">ORDENA </w:t>
      </w:r>
      <w:r>
        <w:rPr>
          <w:rFonts w:ascii="Palatino Linotype" w:eastAsia="Palatino Linotype" w:hAnsi="Palatino Linotype" w:cs="Palatino Linotype"/>
          <w:sz w:val="22"/>
          <w:szCs w:val="22"/>
        </w:rPr>
        <w:t xml:space="preserve">al Ente Recurrido, </w:t>
      </w:r>
      <w:r>
        <w:rPr>
          <w:rFonts w:ascii="Palatino Linotype" w:eastAsia="Palatino Linotype" w:hAnsi="Palatino Linotype" w:cs="Palatino Linotype"/>
          <w:color w:val="000000"/>
          <w:sz w:val="22"/>
          <w:szCs w:val="22"/>
        </w:rPr>
        <w:t>a efecto de que entregue a través del Sistema de Acceso a la Información Mexiquense (SAIMEX), en su caso, en versión pública, lo siguiente:</w:t>
      </w:r>
    </w:p>
    <w:p w14:paraId="7FD93AF8" w14:textId="77777777" w:rsidR="00A14093" w:rsidRDefault="00A14093">
      <w:pPr>
        <w:spacing w:line="360" w:lineRule="auto"/>
        <w:jc w:val="both"/>
        <w:rPr>
          <w:rFonts w:ascii="Palatino Linotype" w:eastAsia="Palatino Linotype" w:hAnsi="Palatino Linotype" w:cs="Palatino Linotype"/>
          <w:sz w:val="22"/>
          <w:szCs w:val="22"/>
        </w:rPr>
      </w:pPr>
    </w:p>
    <w:p w14:paraId="4BB83E18" w14:textId="77777777" w:rsidR="00A14093" w:rsidRDefault="000A6908">
      <w:pPr>
        <w:numPr>
          <w:ilvl w:val="0"/>
          <w:numId w:val="1"/>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Convenio de Concesión referido en respuesta. </w:t>
      </w:r>
    </w:p>
    <w:p w14:paraId="7632FE40" w14:textId="77777777" w:rsidR="00A14093" w:rsidRDefault="00A14093">
      <w:pPr>
        <w:pBdr>
          <w:top w:val="nil"/>
          <w:left w:val="nil"/>
          <w:bottom w:val="nil"/>
          <w:right w:val="nil"/>
          <w:between w:val="nil"/>
        </w:pBdr>
        <w:spacing w:line="360" w:lineRule="auto"/>
        <w:ind w:left="927" w:right="-28"/>
        <w:jc w:val="both"/>
        <w:rPr>
          <w:rFonts w:ascii="Palatino Linotype" w:eastAsia="Palatino Linotype" w:hAnsi="Palatino Linotype" w:cs="Palatino Linotype"/>
          <w:color w:val="000000"/>
          <w:sz w:val="22"/>
          <w:szCs w:val="22"/>
        </w:rPr>
      </w:pPr>
    </w:p>
    <w:p w14:paraId="1D50CDCB" w14:textId="77777777" w:rsidR="00A14093" w:rsidRDefault="000A690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deberá proporcionar el Acuerdo de Clasificación donde el Comité de Transparencia, confirme la eliminación de los datos confidenciales, tomando en cuenta lo establecido en el Considerando QUINTO, en la versión pública, de conformidad con los artículos 49, fracciones II y VIII, 132, fracción II y 143, fracción I, de la Ley de Transparencia y Acceso a la Información Pública del Estado de México y Municipios.</w:t>
      </w:r>
    </w:p>
    <w:p w14:paraId="3FF3B7FE" w14:textId="77777777" w:rsidR="00A14093" w:rsidRDefault="00A14093">
      <w:pPr>
        <w:spacing w:line="360" w:lineRule="auto"/>
        <w:ind w:right="-28"/>
        <w:jc w:val="both"/>
        <w:rPr>
          <w:rFonts w:ascii="Palatino Linotype" w:eastAsia="Palatino Linotype" w:hAnsi="Palatino Linotype" w:cs="Palatino Linotype"/>
          <w:sz w:val="22"/>
          <w:szCs w:val="22"/>
        </w:rPr>
      </w:pPr>
    </w:p>
    <w:p w14:paraId="03E65D8C" w14:textId="77777777" w:rsidR="00A14093" w:rsidRDefault="000A6908">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TERCERO. NOTIFÍQUESE POR SAIMEX </w:t>
      </w:r>
      <w:r>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w:t>
      </w:r>
      <w:r>
        <w:rPr>
          <w:rFonts w:ascii="Palatino Linotype" w:eastAsia="Palatino Linotype" w:hAnsi="Palatino Linotype" w:cs="Palatino Linotype"/>
          <w:sz w:val="22"/>
          <w:szCs w:val="22"/>
        </w:rPr>
        <w:lastRenderedPageBreak/>
        <w:t xml:space="preserve">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14:paraId="379F8845" w14:textId="77777777" w:rsidR="00A14093" w:rsidRDefault="00A14093">
      <w:pPr>
        <w:spacing w:line="360" w:lineRule="auto"/>
        <w:ind w:right="-28"/>
        <w:jc w:val="both"/>
        <w:rPr>
          <w:rFonts w:ascii="Palatino Linotype" w:eastAsia="Palatino Linotype" w:hAnsi="Palatino Linotype" w:cs="Palatino Linotype"/>
          <w:sz w:val="22"/>
          <w:szCs w:val="22"/>
        </w:rPr>
      </w:pPr>
    </w:p>
    <w:p w14:paraId="7E3B92AF" w14:textId="77777777" w:rsidR="00A14093" w:rsidRDefault="000A6908">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conformidad con el artículo 198 de la </w:t>
      </w:r>
      <w:r>
        <w:rPr>
          <w:rFonts w:ascii="Palatino Linotype" w:eastAsia="Palatino Linotype" w:hAnsi="Palatino Linotype" w:cs="Palatino Linotype"/>
          <w:sz w:val="22"/>
          <w:szCs w:val="22"/>
        </w:rPr>
        <w:t>Ley de la materia</w:t>
      </w:r>
      <w:r>
        <w:rPr>
          <w:rFonts w:ascii="Palatino Linotype" w:eastAsia="Palatino Linotype" w:hAnsi="Palatino Linotype" w:cs="Palatino Linotype"/>
          <w:color w:val="000000"/>
          <w:sz w:val="22"/>
          <w:szCs w:val="22"/>
        </w:rPr>
        <w:t>, de considerarlo procedente, el Sujeto Obligado de manera fundada y motivada, podrá solicitar una ampliación de plazo para el cumplimiento de la presente resolución.</w:t>
      </w:r>
    </w:p>
    <w:p w14:paraId="4E7738B0" w14:textId="77777777" w:rsidR="00A14093" w:rsidRDefault="00A14093">
      <w:pPr>
        <w:spacing w:line="360" w:lineRule="auto"/>
        <w:ind w:right="-28"/>
        <w:jc w:val="both"/>
        <w:rPr>
          <w:rFonts w:ascii="Palatino Linotype" w:eastAsia="Palatino Linotype" w:hAnsi="Palatino Linotype" w:cs="Palatino Linotype"/>
          <w:b/>
          <w:sz w:val="22"/>
          <w:szCs w:val="22"/>
        </w:rPr>
      </w:pPr>
    </w:p>
    <w:p w14:paraId="4EC68E2E" w14:textId="77777777" w:rsidR="00A14093" w:rsidRDefault="000A690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CUARTO. NOTIFÍQUESE POR SAIMEX</w:t>
      </w:r>
      <w:r>
        <w:rPr>
          <w:rFonts w:ascii="Palatino Linotype" w:eastAsia="Palatino Linotype" w:hAnsi="Palatino Linotype" w:cs="Palatino Linotype"/>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249572C" w14:textId="77777777" w:rsidR="00A14093" w:rsidRDefault="00A14093">
      <w:pPr>
        <w:spacing w:line="360" w:lineRule="auto"/>
        <w:ind w:right="-28"/>
        <w:jc w:val="both"/>
        <w:rPr>
          <w:rFonts w:ascii="Palatino Linotype" w:eastAsia="Palatino Linotype" w:hAnsi="Palatino Linotype" w:cs="Palatino Linotype"/>
          <w:color w:val="000000"/>
          <w:sz w:val="22"/>
          <w:szCs w:val="22"/>
        </w:rPr>
      </w:pPr>
    </w:p>
    <w:p w14:paraId="42A2125E" w14:textId="316DA761" w:rsidR="00A14093" w:rsidRDefault="000A690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LO RESUELVE, POR </w:t>
      </w:r>
      <w:r w:rsidRPr="00CC2705">
        <w:rPr>
          <w:rFonts w:ascii="Palatino Linotype" w:eastAsia="Palatino Linotype" w:hAnsi="Palatino Linotype" w:cs="Palatino Linotype"/>
          <w:b/>
          <w:sz w:val="22"/>
          <w:szCs w:val="22"/>
        </w:rPr>
        <w:t xml:space="preserve">UNANIMIDAD </w:t>
      </w:r>
      <w:r>
        <w:rPr>
          <w:rFonts w:ascii="Palatino Linotype" w:eastAsia="Palatino Linotype" w:hAnsi="Palatino Linotype" w:cs="Palatino Linotype"/>
          <w:sz w:val="22"/>
          <w:szCs w:val="22"/>
        </w:rPr>
        <w:t xml:space="preserve">DE VOTOS EL PLENO DEL INSTITUTO DE TRANSPARENCIA, ACCESO A LA INFORMACIÓN PÚBLICA Y PROTECCIÓN DE DATOS PERSONALES DEL ESTADO DE MÉXICO Y MUNICIPIOS, CONFORMADO POR LOS COMISIONADOS JOSÉ MARTÍNEZ VILCHIS </w:t>
      </w:r>
      <w:r w:rsidR="00C3439F">
        <w:rPr>
          <w:rFonts w:ascii="Palatino Linotype" w:eastAsia="Palatino Linotype" w:hAnsi="Palatino Linotype" w:cs="Palatino Linotype"/>
          <w:sz w:val="22"/>
          <w:szCs w:val="22"/>
        </w:rPr>
        <w:t>(</w:t>
      </w:r>
      <w:bookmarkStart w:id="18" w:name="_GoBack"/>
      <w:bookmarkEnd w:id="18"/>
      <w:r>
        <w:rPr>
          <w:rFonts w:ascii="Palatino Linotype" w:eastAsia="Palatino Linotype" w:hAnsi="Palatino Linotype" w:cs="Palatino Linotype"/>
          <w:sz w:val="22"/>
          <w:szCs w:val="22"/>
        </w:rPr>
        <w:t>AUSENCIA JUSTIFICADA</w:t>
      </w:r>
      <w:r w:rsidR="00C3439F">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 MARÍA DEL ROSARIO MEJÍA AYALA, SHARON CRISTINA MORALES MARTÍNEZ, LUIS GUSTAVO PARRA NORIEGA Y GUADALUPE RAMÍREZ PEÑA, EN LA VIGÉSIMA NOVENA SESIÓN ORDINARIA, CELEBRADA EL VEINTE DE AGOSTO DE DOS MIL VEINTICINCO, ANTE EL SECRETARIO TÉCNICO DEL PLENO, ALEXIS TAPIA RAMÍREZ.</w:t>
      </w:r>
    </w:p>
    <w:p w14:paraId="5EA782C1" w14:textId="77777777" w:rsidR="00A14093" w:rsidRDefault="00A14093">
      <w:pPr>
        <w:spacing w:line="360" w:lineRule="auto"/>
        <w:ind w:right="-28"/>
        <w:jc w:val="both"/>
        <w:rPr>
          <w:rFonts w:ascii="Palatino Linotype" w:eastAsia="Palatino Linotype" w:hAnsi="Palatino Linotype" w:cs="Palatino Linotype"/>
          <w:sz w:val="22"/>
          <w:szCs w:val="22"/>
        </w:rPr>
      </w:pPr>
    </w:p>
    <w:p w14:paraId="5B500173" w14:textId="77777777" w:rsidR="00A14093" w:rsidRDefault="00A14093">
      <w:pPr>
        <w:spacing w:line="360" w:lineRule="auto"/>
        <w:rPr>
          <w:rFonts w:ascii="Palatino Linotype" w:eastAsia="Palatino Linotype" w:hAnsi="Palatino Linotype" w:cs="Palatino Linotype"/>
        </w:rPr>
      </w:pPr>
    </w:p>
    <w:p w14:paraId="275482BA" w14:textId="77777777" w:rsidR="00A14093" w:rsidRDefault="00A14093">
      <w:pPr>
        <w:spacing w:line="360" w:lineRule="auto"/>
        <w:rPr>
          <w:rFonts w:ascii="Palatino Linotype" w:eastAsia="Palatino Linotype" w:hAnsi="Palatino Linotype" w:cs="Palatino Linotype"/>
        </w:rPr>
      </w:pPr>
    </w:p>
    <w:p w14:paraId="7027ED43" w14:textId="77777777" w:rsidR="00A14093" w:rsidRDefault="00A14093">
      <w:pPr>
        <w:spacing w:line="360" w:lineRule="auto"/>
        <w:rPr>
          <w:rFonts w:ascii="Palatino Linotype" w:eastAsia="Palatino Linotype" w:hAnsi="Palatino Linotype" w:cs="Palatino Linotype"/>
        </w:rPr>
      </w:pPr>
    </w:p>
    <w:p w14:paraId="46C61F6C" w14:textId="77777777" w:rsidR="00A14093" w:rsidRDefault="00A14093">
      <w:pPr>
        <w:spacing w:line="360" w:lineRule="auto"/>
        <w:rPr>
          <w:rFonts w:ascii="Palatino Linotype" w:eastAsia="Palatino Linotype" w:hAnsi="Palatino Linotype" w:cs="Palatino Linotype"/>
        </w:rPr>
      </w:pPr>
    </w:p>
    <w:p w14:paraId="39B04448" w14:textId="77777777" w:rsidR="00A14093" w:rsidRDefault="00A14093">
      <w:pPr>
        <w:spacing w:line="360" w:lineRule="auto"/>
        <w:rPr>
          <w:rFonts w:ascii="Palatino Linotype" w:eastAsia="Palatino Linotype" w:hAnsi="Palatino Linotype" w:cs="Palatino Linotype"/>
        </w:rPr>
      </w:pPr>
    </w:p>
    <w:p w14:paraId="3A385406" w14:textId="77777777" w:rsidR="00A14093" w:rsidRDefault="00A14093">
      <w:pPr>
        <w:spacing w:line="360" w:lineRule="auto"/>
        <w:rPr>
          <w:rFonts w:ascii="Palatino Linotype" w:eastAsia="Palatino Linotype" w:hAnsi="Palatino Linotype" w:cs="Palatino Linotype"/>
        </w:rPr>
      </w:pPr>
    </w:p>
    <w:p w14:paraId="1DFC4A2A" w14:textId="77777777" w:rsidR="00A14093" w:rsidRDefault="00A14093">
      <w:pPr>
        <w:spacing w:line="360" w:lineRule="auto"/>
        <w:rPr>
          <w:rFonts w:ascii="Palatino Linotype" w:eastAsia="Palatino Linotype" w:hAnsi="Palatino Linotype" w:cs="Palatino Linotype"/>
        </w:rPr>
      </w:pPr>
    </w:p>
    <w:p w14:paraId="72B5FAE1" w14:textId="77777777" w:rsidR="00A14093" w:rsidRDefault="00A14093">
      <w:pPr>
        <w:spacing w:line="360" w:lineRule="auto"/>
        <w:rPr>
          <w:rFonts w:ascii="Palatino Linotype" w:eastAsia="Palatino Linotype" w:hAnsi="Palatino Linotype" w:cs="Palatino Linotype"/>
        </w:rPr>
      </w:pPr>
    </w:p>
    <w:p w14:paraId="4A6690D5" w14:textId="77777777" w:rsidR="00A14093" w:rsidRDefault="00A14093">
      <w:pPr>
        <w:spacing w:line="360" w:lineRule="auto"/>
        <w:rPr>
          <w:rFonts w:ascii="Palatino Linotype" w:eastAsia="Palatino Linotype" w:hAnsi="Palatino Linotype" w:cs="Palatino Linotype"/>
        </w:rPr>
      </w:pPr>
    </w:p>
    <w:p w14:paraId="5BCF2866" w14:textId="77777777" w:rsidR="00A14093" w:rsidRDefault="00A14093">
      <w:pPr>
        <w:spacing w:line="360" w:lineRule="auto"/>
        <w:rPr>
          <w:rFonts w:ascii="Palatino Linotype" w:eastAsia="Palatino Linotype" w:hAnsi="Palatino Linotype" w:cs="Palatino Linotype"/>
        </w:rPr>
      </w:pPr>
    </w:p>
    <w:p w14:paraId="354DB5E9" w14:textId="77777777" w:rsidR="00A14093" w:rsidRDefault="00A14093">
      <w:pPr>
        <w:spacing w:line="360" w:lineRule="auto"/>
        <w:rPr>
          <w:rFonts w:ascii="Palatino Linotype" w:eastAsia="Palatino Linotype" w:hAnsi="Palatino Linotype" w:cs="Palatino Linotype"/>
        </w:rPr>
      </w:pPr>
    </w:p>
    <w:p w14:paraId="014871DB" w14:textId="77777777" w:rsidR="00A14093" w:rsidRDefault="00A14093">
      <w:pPr>
        <w:spacing w:line="360" w:lineRule="auto"/>
        <w:rPr>
          <w:rFonts w:ascii="Palatino Linotype" w:eastAsia="Palatino Linotype" w:hAnsi="Palatino Linotype" w:cs="Palatino Linotype"/>
        </w:rPr>
      </w:pPr>
    </w:p>
    <w:p w14:paraId="5344999A" w14:textId="77777777" w:rsidR="00A14093" w:rsidRDefault="00A14093">
      <w:pPr>
        <w:spacing w:line="360" w:lineRule="auto"/>
        <w:rPr>
          <w:rFonts w:ascii="Palatino Linotype" w:eastAsia="Palatino Linotype" w:hAnsi="Palatino Linotype" w:cs="Palatino Linotype"/>
        </w:rPr>
      </w:pPr>
    </w:p>
    <w:p w14:paraId="09C587E2" w14:textId="77777777" w:rsidR="00A14093" w:rsidRDefault="00A14093">
      <w:pPr>
        <w:spacing w:line="360" w:lineRule="auto"/>
        <w:rPr>
          <w:rFonts w:ascii="Palatino Linotype" w:eastAsia="Palatino Linotype" w:hAnsi="Palatino Linotype" w:cs="Palatino Linotype"/>
        </w:rPr>
      </w:pPr>
    </w:p>
    <w:p w14:paraId="79FAAD5C" w14:textId="77777777" w:rsidR="00A14093" w:rsidRDefault="00A14093">
      <w:pPr>
        <w:spacing w:line="360" w:lineRule="auto"/>
        <w:rPr>
          <w:rFonts w:ascii="Palatino Linotype" w:eastAsia="Palatino Linotype" w:hAnsi="Palatino Linotype" w:cs="Palatino Linotype"/>
        </w:rPr>
      </w:pPr>
    </w:p>
    <w:p w14:paraId="20D98E79" w14:textId="77777777" w:rsidR="00A14093" w:rsidRDefault="00A14093">
      <w:pPr>
        <w:spacing w:line="360" w:lineRule="auto"/>
        <w:rPr>
          <w:rFonts w:ascii="Palatino Linotype" w:eastAsia="Palatino Linotype" w:hAnsi="Palatino Linotype" w:cs="Palatino Linotype"/>
        </w:rPr>
      </w:pPr>
    </w:p>
    <w:p w14:paraId="553B68BC" w14:textId="77777777" w:rsidR="00A14093" w:rsidRDefault="00A14093">
      <w:pPr>
        <w:spacing w:line="360" w:lineRule="auto"/>
        <w:rPr>
          <w:rFonts w:ascii="Palatino Linotype" w:eastAsia="Palatino Linotype" w:hAnsi="Palatino Linotype" w:cs="Palatino Linotype"/>
        </w:rPr>
      </w:pPr>
    </w:p>
    <w:p w14:paraId="632DD7A6" w14:textId="77777777" w:rsidR="00A14093" w:rsidRDefault="00A14093">
      <w:pPr>
        <w:spacing w:line="360" w:lineRule="auto"/>
        <w:rPr>
          <w:rFonts w:ascii="Palatino Linotype" w:eastAsia="Palatino Linotype" w:hAnsi="Palatino Linotype" w:cs="Palatino Linotype"/>
        </w:rPr>
      </w:pPr>
    </w:p>
    <w:p w14:paraId="70B6F5F6" w14:textId="77777777" w:rsidR="00A14093" w:rsidRDefault="00A14093">
      <w:pPr>
        <w:spacing w:line="360" w:lineRule="auto"/>
        <w:rPr>
          <w:rFonts w:ascii="Palatino Linotype" w:eastAsia="Palatino Linotype" w:hAnsi="Palatino Linotype" w:cs="Palatino Linotype"/>
        </w:rPr>
      </w:pPr>
    </w:p>
    <w:p w14:paraId="3606C578" w14:textId="77777777" w:rsidR="00A14093" w:rsidRDefault="00A14093">
      <w:pPr>
        <w:spacing w:line="360" w:lineRule="auto"/>
        <w:rPr>
          <w:rFonts w:ascii="Palatino Linotype" w:eastAsia="Palatino Linotype" w:hAnsi="Palatino Linotype" w:cs="Palatino Linotype"/>
        </w:rPr>
      </w:pPr>
    </w:p>
    <w:p w14:paraId="3CD26409" w14:textId="77777777" w:rsidR="00A14093" w:rsidRDefault="00A14093">
      <w:pPr>
        <w:spacing w:line="360" w:lineRule="auto"/>
        <w:rPr>
          <w:rFonts w:ascii="Palatino Linotype" w:eastAsia="Palatino Linotype" w:hAnsi="Palatino Linotype" w:cs="Palatino Linotype"/>
        </w:rPr>
      </w:pPr>
    </w:p>
    <w:p w14:paraId="6E548622" w14:textId="77777777" w:rsidR="00A14093" w:rsidRDefault="00A14093">
      <w:pPr>
        <w:spacing w:line="360" w:lineRule="auto"/>
      </w:pPr>
    </w:p>
    <w:p w14:paraId="3BAAB087" w14:textId="77777777" w:rsidR="00A14093" w:rsidRDefault="00A14093">
      <w:pPr>
        <w:spacing w:line="360" w:lineRule="auto"/>
      </w:pPr>
    </w:p>
    <w:p w14:paraId="1E42ED5B" w14:textId="77777777" w:rsidR="00A14093" w:rsidRDefault="00A14093">
      <w:pPr>
        <w:spacing w:line="360" w:lineRule="auto"/>
      </w:pPr>
    </w:p>
    <w:p w14:paraId="08988C63" w14:textId="77777777" w:rsidR="00A14093" w:rsidRDefault="00A14093">
      <w:pPr>
        <w:spacing w:line="360" w:lineRule="auto"/>
      </w:pPr>
    </w:p>
    <w:sectPr w:rsidR="00A14093">
      <w:headerReference w:type="even" r:id="rId9"/>
      <w:headerReference w:type="default" r:id="rId10"/>
      <w:footerReference w:type="default" r:id="rId11"/>
      <w:headerReference w:type="first" r:id="rId12"/>
      <w:footerReference w:type="first" r:id="rId13"/>
      <w:pgSz w:w="12240" w:h="15840"/>
      <w:pgMar w:top="80" w:right="1608" w:bottom="1134" w:left="1588" w:header="850" w:footer="6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D5F0D9" w14:textId="77777777" w:rsidR="00954C1A" w:rsidRDefault="00954C1A">
      <w:r>
        <w:separator/>
      </w:r>
    </w:p>
  </w:endnote>
  <w:endnote w:type="continuationSeparator" w:id="0">
    <w:p w14:paraId="3586B5CE" w14:textId="77777777" w:rsidR="00954C1A" w:rsidRDefault="00954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714ED857-A48D-4223-8258-1C71DD369636}"/>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39522EBC-C987-4E8B-8DBA-C33AD4439473}"/>
    <w:embedBold r:id="rId3" w:fontKey="{8454405F-ED85-4AED-87EB-E2D3F40ECE0B}"/>
    <w:embedItalic r:id="rId4" w:fontKey="{F7142BF5-4178-4D49-BA62-201F41AD985D}"/>
    <w:embedBoldItalic r:id="rId5" w:fontKey="{2D9A394A-F509-4438-B840-96C119144A12}"/>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A969FF0C-6BE2-41DB-8A5A-B83F159D5D73}"/>
  </w:font>
  <w:font w:name="Calibri Light">
    <w:panose1 w:val="020F0302020204030204"/>
    <w:charset w:val="00"/>
    <w:family w:val="swiss"/>
    <w:pitch w:val="variable"/>
    <w:sig w:usb0="E4002EFF" w:usb1="C200247B" w:usb2="00000009" w:usb3="00000000" w:csb0="000001FF" w:csb1="00000000"/>
    <w:embedRegular r:id="rId7" w:fontKey="{2675A329-16F7-4E21-BE2B-CD016A2182CE}"/>
  </w:font>
  <w:font w:name="Verdana">
    <w:panose1 w:val="020B0604030504040204"/>
    <w:charset w:val="00"/>
    <w:family w:val="swiss"/>
    <w:pitch w:val="variable"/>
    <w:sig w:usb0="A00006FF" w:usb1="4000205B" w:usb2="00000010" w:usb3="00000000" w:csb0="0000019F" w:csb1="00000000"/>
    <w:embedRegular r:id="rId8" w:fontKey="{3035587B-ABE5-4656-96C2-98D66B262450}"/>
    <w:embedBold r:id="rId9" w:fontKey="{A5952A56-CEAB-4538-AFFE-BEA263581970}"/>
  </w:font>
  <w:font w:name="Garamond">
    <w:panose1 w:val="02020404030301010803"/>
    <w:charset w:val="00"/>
    <w:family w:val="roman"/>
    <w:pitch w:val="variable"/>
    <w:sig w:usb0="00000287" w:usb1="00000000" w:usb2="00000000" w:usb3="00000000" w:csb0="0000009F" w:csb1="00000000"/>
    <w:embedRegular r:id="rId10" w:fontKey="{B29E5EB8-C2B8-4EA3-936E-0B95690C38F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13088" w14:textId="77777777" w:rsidR="00A14093" w:rsidRDefault="00A14093">
    <w:pPr>
      <w:pBdr>
        <w:top w:val="nil"/>
        <w:left w:val="nil"/>
        <w:bottom w:val="nil"/>
        <w:right w:val="nil"/>
        <w:between w:val="nil"/>
      </w:pBdr>
      <w:tabs>
        <w:tab w:val="center" w:pos="4419"/>
        <w:tab w:val="right" w:pos="8838"/>
      </w:tabs>
      <w:jc w:val="right"/>
      <w:rPr>
        <w:color w:val="000000"/>
        <w:sz w:val="26"/>
        <w:szCs w:val="26"/>
      </w:rPr>
    </w:pPr>
  </w:p>
  <w:p w14:paraId="5BFF822F" w14:textId="77777777" w:rsidR="00A14093" w:rsidRDefault="000A6908">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235C3">
      <w:rPr>
        <w:b/>
        <w:noProof/>
        <w:color w:val="000000"/>
        <w:sz w:val="24"/>
        <w:szCs w:val="24"/>
      </w:rPr>
      <w:t>26</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235C3">
      <w:rPr>
        <w:b/>
        <w:noProof/>
        <w:color w:val="000000"/>
        <w:sz w:val="24"/>
        <w:szCs w:val="24"/>
      </w:rPr>
      <w:t>27</w:t>
    </w:r>
    <w:r>
      <w:rPr>
        <w:b/>
        <w:color w:val="000000"/>
        <w:sz w:val="24"/>
        <w:szCs w:val="24"/>
      </w:rPr>
      <w:fldChar w:fldCharType="end"/>
    </w:r>
  </w:p>
  <w:p w14:paraId="7432286D" w14:textId="77777777" w:rsidR="00A14093" w:rsidRDefault="00A1409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2F615" w14:textId="77777777" w:rsidR="00A14093" w:rsidRDefault="00A14093">
    <w:pPr>
      <w:pBdr>
        <w:top w:val="nil"/>
        <w:left w:val="nil"/>
        <w:bottom w:val="nil"/>
        <w:right w:val="nil"/>
        <w:between w:val="nil"/>
      </w:pBdr>
      <w:tabs>
        <w:tab w:val="center" w:pos="4419"/>
        <w:tab w:val="right" w:pos="8838"/>
      </w:tabs>
      <w:jc w:val="right"/>
      <w:rPr>
        <w:color w:val="000000"/>
      </w:rPr>
    </w:pPr>
  </w:p>
  <w:p w14:paraId="4597518E" w14:textId="77777777" w:rsidR="00A14093" w:rsidRDefault="00A14093">
    <w:pPr>
      <w:pBdr>
        <w:top w:val="nil"/>
        <w:left w:val="nil"/>
        <w:bottom w:val="nil"/>
        <w:right w:val="nil"/>
        <w:between w:val="nil"/>
      </w:pBdr>
      <w:tabs>
        <w:tab w:val="center" w:pos="4419"/>
        <w:tab w:val="right" w:pos="8838"/>
      </w:tabs>
      <w:jc w:val="right"/>
      <w:rPr>
        <w:color w:val="000000"/>
      </w:rPr>
    </w:pPr>
  </w:p>
  <w:p w14:paraId="59208AD4" w14:textId="77777777" w:rsidR="00A14093" w:rsidRDefault="00A14093">
    <w:pPr>
      <w:pBdr>
        <w:top w:val="nil"/>
        <w:left w:val="nil"/>
        <w:bottom w:val="nil"/>
        <w:right w:val="nil"/>
        <w:between w:val="nil"/>
      </w:pBdr>
      <w:tabs>
        <w:tab w:val="center" w:pos="4419"/>
        <w:tab w:val="right" w:pos="8838"/>
      </w:tabs>
      <w:jc w:val="right"/>
      <w:rPr>
        <w:color w:val="000000"/>
      </w:rPr>
    </w:pPr>
  </w:p>
  <w:p w14:paraId="507AC37A" w14:textId="77777777" w:rsidR="00A14093" w:rsidRDefault="000A6908">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235C3">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235C3">
      <w:rPr>
        <w:b/>
        <w:noProof/>
        <w:color w:val="000000"/>
        <w:sz w:val="24"/>
        <w:szCs w:val="24"/>
      </w:rPr>
      <w:t>27</w:t>
    </w:r>
    <w:r>
      <w:rPr>
        <w:b/>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552B42" w14:textId="77777777" w:rsidR="00954C1A" w:rsidRDefault="00954C1A">
      <w:r>
        <w:separator/>
      </w:r>
    </w:p>
  </w:footnote>
  <w:footnote w:type="continuationSeparator" w:id="0">
    <w:p w14:paraId="39F25169" w14:textId="77777777" w:rsidR="00954C1A" w:rsidRDefault="00954C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4D226" w14:textId="77777777" w:rsidR="00A14093" w:rsidRDefault="00954C1A">
    <w:pPr>
      <w:pBdr>
        <w:top w:val="nil"/>
        <w:left w:val="nil"/>
        <w:bottom w:val="nil"/>
        <w:right w:val="nil"/>
        <w:between w:val="nil"/>
      </w:pBdr>
      <w:tabs>
        <w:tab w:val="center" w:pos="4419"/>
        <w:tab w:val="right" w:pos="8838"/>
      </w:tabs>
      <w:rPr>
        <w:color w:val="000000"/>
      </w:rPr>
    </w:pPr>
    <w:r>
      <w:rPr>
        <w:color w:val="000000"/>
      </w:rPr>
      <w:pict w14:anchorId="7B2E0E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aguaINFOEM" style="position:absolute;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7A94E" w14:textId="77777777" w:rsidR="00A14093" w:rsidRDefault="00954C1A">
    <w:pPr>
      <w:tabs>
        <w:tab w:val="left" w:pos="3416"/>
      </w:tabs>
      <w:rPr>
        <w:sz w:val="22"/>
        <w:szCs w:val="22"/>
      </w:rPr>
    </w:pPr>
    <w:r>
      <w:rPr>
        <w:sz w:val="14"/>
        <w:szCs w:val="14"/>
      </w:rPr>
      <w:pict w14:anchorId="31015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aguaINFOEM" style="position:absolute;margin-left:-94.7pt;margin-top:-137.5pt;width:663.5pt;height:12in;z-index:-251659776;mso-position-horizontal:absolute;mso-position-horizontal-relative:margin;mso-position-vertical:absolute;mso-position-vertical-relative:margin">
          <v:imagedata r:id="rId1" o:title="image1"/>
          <w10:wrap anchorx="margin" anchory="margin"/>
        </v:shape>
      </w:pict>
    </w:r>
  </w:p>
  <w:tbl>
    <w:tblPr>
      <w:tblStyle w:val="a"/>
      <w:tblW w:w="9461" w:type="dxa"/>
      <w:tblInd w:w="0" w:type="dxa"/>
      <w:tblLayout w:type="fixed"/>
      <w:tblLook w:val="0400" w:firstRow="0" w:lastRow="0" w:firstColumn="0" w:lastColumn="0" w:noHBand="0" w:noVBand="1"/>
    </w:tblPr>
    <w:tblGrid>
      <w:gridCol w:w="2268"/>
      <w:gridCol w:w="7193"/>
    </w:tblGrid>
    <w:tr w:rsidR="00A14093" w14:paraId="6A62C4B4" w14:textId="77777777">
      <w:trPr>
        <w:trHeight w:val="1609"/>
      </w:trPr>
      <w:tc>
        <w:tcPr>
          <w:tcW w:w="2268" w:type="dxa"/>
        </w:tcPr>
        <w:p w14:paraId="1AD70894" w14:textId="77777777" w:rsidR="00A14093" w:rsidRDefault="00A14093">
          <w:pPr>
            <w:tabs>
              <w:tab w:val="right" w:pos="4273"/>
            </w:tabs>
            <w:rPr>
              <w:rFonts w:ascii="Garamond" w:eastAsia="Garamond" w:hAnsi="Garamond" w:cs="Garamond"/>
              <w:sz w:val="16"/>
              <w:szCs w:val="16"/>
            </w:rPr>
          </w:pPr>
        </w:p>
      </w:tc>
      <w:tc>
        <w:tcPr>
          <w:tcW w:w="7193" w:type="dxa"/>
        </w:tcPr>
        <w:p w14:paraId="4670D72E" w14:textId="77777777" w:rsidR="00A14093" w:rsidRDefault="00A14093">
          <w:pPr>
            <w:widowControl w:val="0"/>
            <w:pBdr>
              <w:top w:val="nil"/>
              <w:left w:val="nil"/>
              <w:bottom w:val="nil"/>
              <w:right w:val="nil"/>
              <w:between w:val="nil"/>
            </w:pBdr>
            <w:spacing w:line="276" w:lineRule="auto"/>
            <w:rPr>
              <w:rFonts w:ascii="Garamond" w:eastAsia="Garamond" w:hAnsi="Garamond" w:cs="Garamond"/>
              <w:sz w:val="16"/>
              <w:szCs w:val="16"/>
            </w:rPr>
          </w:pPr>
        </w:p>
        <w:tbl>
          <w:tblPr>
            <w:tblStyle w:val="a0"/>
            <w:tblW w:w="79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726"/>
            <w:gridCol w:w="4212"/>
          </w:tblGrid>
          <w:tr w:rsidR="00A14093" w14:paraId="7F25DF99" w14:textId="77777777">
            <w:trPr>
              <w:trHeight w:val="128"/>
            </w:trPr>
            <w:tc>
              <w:tcPr>
                <w:tcW w:w="3726" w:type="dxa"/>
                <w:vAlign w:val="bottom"/>
              </w:tcPr>
              <w:p w14:paraId="71FBC923" w14:textId="77777777" w:rsidR="00A14093" w:rsidRDefault="000A6908">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Recurso de Revisión:</w:t>
                </w:r>
              </w:p>
            </w:tc>
            <w:tc>
              <w:tcPr>
                <w:tcW w:w="4212" w:type="dxa"/>
              </w:tcPr>
              <w:p w14:paraId="63604437" w14:textId="77777777" w:rsidR="00A14093" w:rsidRDefault="000A6908">
                <w:pPr>
                  <w:tabs>
                    <w:tab w:val="right" w:pos="8838"/>
                  </w:tabs>
                  <w:ind w:left="-28" w:right="683"/>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05996/INFOEM/IP/RR/2025</w:t>
                </w:r>
              </w:p>
            </w:tc>
          </w:tr>
          <w:tr w:rsidR="00A14093" w14:paraId="15F4BC0D" w14:textId="77777777">
            <w:trPr>
              <w:trHeight w:val="251"/>
            </w:trPr>
            <w:tc>
              <w:tcPr>
                <w:tcW w:w="3726" w:type="dxa"/>
              </w:tcPr>
              <w:p w14:paraId="6AFFE6D1" w14:textId="77777777" w:rsidR="00A14093" w:rsidRDefault="000A6908">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Sujeto Obligado:</w:t>
                </w:r>
              </w:p>
            </w:tc>
            <w:tc>
              <w:tcPr>
                <w:tcW w:w="4212" w:type="dxa"/>
              </w:tcPr>
              <w:p w14:paraId="7646D20A" w14:textId="77777777" w:rsidR="00A14093" w:rsidRDefault="000A6908">
                <w:pPr>
                  <w:tabs>
                    <w:tab w:val="right" w:pos="8838"/>
                  </w:tabs>
                  <w:ind w:right="1008"/>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Ayuntamiento de </w:t>
                </w:r>
                <w:proofErr w:type="spellStart"/>
                <w:r>
                  <w:rPr>
                    <w:rFonts w:ascii="Palatino Linotype" w:eastAsia="Palatino Linotype" w:hAnsi="Palatino Linotype" w:cs="Palatino Linotype"/>
                    <w:color w:val="000000"/>
                    <w:sz w:val="22"/>
                    <w:szCs w:val="22"/>
                  </w:rPr>
                  <w:t>Jocotitlán</w:t>
                </w:r>
                <w:proofErr w:type="spellEnd"/>
              </w:p>
            </w:tc>
          </w:tr>
          <w:tr w:rsidR="00A14093" w14:paraId="7FD3B4B6" w14:textId="77777777">
            <w:trPr>
              <w:trHeight w:val="251"/>
            </w:trPr>
            <w:tc>
              <w:tcPr>
                <w:tcW w:w="3726" w:type="dxa"/>
              </w:tcPr>
              <w:p w14:paraId="68DF0048" w14:textId="77777777" w:rsidR="00A14093" w:rsidRDefault="000A6908">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Comisionado Ponente:</w:t>
                </w:r>
              </w:p>
            </w:tc>
            <w:tc>
              <w:tcPr>
                <w:tcW w:w="4212" w:type="dxa"/>
              </w:tcPr>
              <w:p w14:paraId="4E1AC7E3" w14:textId="77777777" w:rsidR="00A14093" w:rsidRDefault="000A6908">
                <w:pPr>
                  <w:tabs>
                    <w:tab w:val="right" w:pos="8838"/>
                  </w:tabs>
                  <w:ind w:left="-28" w:right="-32"/>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Luis Gustavo Parra Noriega </w:t>
                </w:r>
              </w:p>
              <w:p w14:paraId="7473215C" w14:textId="77777777" w:rsidR="00A14093" w:rsidRDefault="00A14093">
                <w:pPr>
                  <w:tabs>
                    <w:tab w:val="right" w:pos="8838"/>
                  </w:tabs>
                  <w:ind w:left="-28" w:right="-32"/>
                  <w:rPr>
                    <w:rFonts w:ascii="Palatino Linotype" w:eastAsia="Palatino Linotype" w:hAnsi="Palatino Linotype" w:cs="Palatino Linotype"/>
                    <w:b/>
                    <w:sz w:val="22"/>
                    <w:szCs w:val="22"/>
                  </w:rPr>
                </w:pPr>
              </w:p>
            </w:tc>
          </w:tr>
        </w:tbl>
        <w:p w14:paraId="77C8B8B4" w14:textId="77777777" w:rsidR="00A14093" w:rsidRDefault="00A14093">
          <w:pPr>
            <w:tabs>
              <w:tab w:val="right" w:pos="8838"/>
            </w:tabs>
            <w:ind w:left="-28"/>
            <w:rPr>
              <w:rFonts w:ascii="Arial" w:eastAsia="Arial" w:hAnsi="Arial" w:cs="Arial"/>
              <w:b/>
            </w:rPr>
          </w:pPr>
        </w:p>
      </w:tc>
    </w:tr>
  </w:tbl>
  <w:p w14:paraId="6A211C35" w14:textId="77777777" w:rsidR="00A14093" w:rsidRDefault="00A14093">
    <w:pPr>
      <w:pBdr>
        <w:top w:val="nil"/>
        <w:left w:val="nil"/>
        <w:bottom w:val="nil"/>
        <w:right w:val="nil"/>
        <w:between w:val="nil"/>
      </w:pBdr>
      <w:tabs>
        <w:tab w:val="center" w:pos="4419"/>
        <w:tab w:val="right" w:pos="8838"/>
      </w:tabs>
      <w:rPr>
        <w:color w:val="000000"/>
        <w:sz w:val="14"/>
        <w:szCs w:val="14"/>
      </w:rPr>
    </w:pPr>
  </w:p>
  <w:p w14:paraId="13440FE6" w14:textId="77777777" w:rsidR="00A14093" w:rsidRDefault="00A14093">
    <w:pPr>
      <w:pBdr>
        <w:top w:val="nil"/>
        <w:left w:val="nil"/>
        <w:bottom w:val="nil"/>
        <w:right w:val="nil"/>
        <w:between w:val="nil"/>
      </w:pBdr>
      <w:tabs>
        <w:tab w:val="center" w:pos="4419"/>
        <w:tab w:val="right" w:pos="8838"/>
      </w:tabs>
      <w:rPr>
        <w:color w:val="000000"/>
        <w:sz w:val="14"/>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61CCA" w14:textId="77777777" w:rsidR="00A14093" w:rsidRDefault="00A14093">
    <w:pPr>
      <w:widowControl w:val="0"/>
      <w:pBdr>
        <w:top w:val="nil"/>
        <w:left w:val="nil"/>
        <w:bottom w:val="nil"/>
        <w:right w:val="nil"/>
        <w:between w:val="nil"/>
      </w:pBdr>
      <w:spacing w:line="276" w:lineRule="auto"/>
      <w:rPr>
        <w:color w:val="000000"/>
        <w:sz w:val="14"/>
        <w:szCs w:val="14"/>
      </w:rPr>
    </w:pPr>
  </w:p>
  <w:tbl>
    <w:tblPr>
      <w:tblStyle w:val="a1"/>
      <w:tblW w:w="7234" w:type="dxa"/>
      <w:tblInd w:w="1980" w:type="dxa"/>
      <w:tblBorders>
        <w:top w:val="nil"/>
        <w:left w:val="nil"/>
        <w:bottom w:val="nil"/>
        <w:right w:val="nil"/>
        <w:insideH w:val="nil"/>
        <w:insideV w:val="nil"/>
      </w:tblBorders>
      <w:tblLayout w:type="fixed"/>
      <w:tblLook w:val="0400" w:firstRow="0" w:lastRow="0" w:firstColumn="0" w:lastColumn="0" w:noHBand="0" w:noVBand="1"/>
    </w:tblPr>
    <w:tblGrid>
      <w:gridCol w:w="3827"/>
      <w:gridCol w:w="3407"/>
    </w:tblGrid>
    <w:tr w:rsidR="00A14093" w14:paraId="1989ECF6" w14:textId="77777777">
      <w:trPr>
        <w:trHeight w:val="302"/>
      </w:trPr>
      <w:tc>
        <w:tcPr>
          <w:tcW w:w="3827" w:type="dxa"/>
        </w:tcPr>
        <w:p w14:paraId="590B4FCB" w14:textId="77777777" w:rsidR="00A14093" w:rsidRDefault="000A6908">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Recurso de Revisión:</w:t>
          </w:r>
        </w:p>
      </w:tc>
      <w:tc>
        <w:tcPr>
          <w:tcW w:w="3407" w:type="dxa"/>
        </w:tcPr>
        <w:p w14:paraId="2200F37E" w14:textId="77777777" w:rsidR="00A14093" w:rsidRDefault="000A6908">
          <w:pPr>
            <w:tabs>
              <w:tab w:val="right" w:pos="8838"/>
            </w:tabs>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05996/INFOEM/IP/RR/2025</w:t>
          </w:r>
        </w:p>
      </w:tc>
    </w:tr>
    <w:tr w:rsidR="00A14093" w14:paraId="722A6610" w14:textId="77777777">
      <w:trPr>
        <w:trHeight w:val="110"/>
      </w:trPr>
      <w:tc>
        <w:tcPr>
          <w:tcW w:w="3827" w:type="dxa"/>
        </w:tcPr>
        <w:p w14:paraId="5B545815" w14:textId="77777777" w:rsidR="00A14093" w:rsidRDefault="000A6908">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Recurrente:</w:t>
          </w:r>
        </w:p>
      </w:tc>
      <w:tc>
        <w:tcPr>
          <w:tcW w:w="3407" w:type="dxa"/>
        </w:tcPr>
        <w:p w14:paraId="4DC3F8BE" w14:textId="77777777" w:rsidR="00A14093" w:rsidRDefault="00A14093">
          <w:pPr>
            <w:jc w:val="both"/>
            <w:rPr>
              <w:rFonts w:ascii="Palatino Linotype" w:eastAsia="Palatino Linotype" w:hAnsi="Palatino Linotype" w:cs="Palatino Linotype"/>
              <w:sz w:val="22"/>
              <w:szCs w:val="22"/>
            </w:rPr>
          </w:pPr>
        </w:p>
      </w:tc>
    </w:tr>
    <w:tr w:rsidR="00A14093" w14:paraId="5196ACAE" w14:textId="77777777">
      <w:trPr>
        <w:trHeight w:val="248"/>
      </w:trPr>
      <w:tc>
        <w:tcPr>
          <w:tcW w:w="3827" w:type="dxa"/>
        </w:tcPr>
        <w:p w14:paraId="5F9A7A3B" w14:textId="77777777" w:rsidR="00A14093" w:rsidRDefault="000A6908">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Sujeto Obligado:</w:t>
          </w:r>
        </w:p>
      </w:tc>
      <w:tc>
        <w:tcPr>
          <w:tcW w:w="3407" w:type="dxa"/>
        </w:tcPr>
        <w:p w14:paraId="4450248A" w14:textId="77777777" w:rsidR="00A14093" w:rsidRDefault="000A6908">
          <w:pPr>
            <w:tabs>
              <w:tab w:val="right" w:pos="8838"/>
            </w:tabs>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Ayuntamiento de </w:t>
          </w:r>
          <w:proofErr w:type="spellStart"/>
          <w:r>
            <w:rPr>
              <w:rFonts w:ascii="Palatino Linotype" w:eastAsia="Palatino Linotype" w:hAnsi="Palatino Linotype" w:cs="Palatino Linotype"/>
              <w:color w:val="000000"/>
              <w:sz w:val="22"/>
              <w:szCs w:val="22"/>
            </w:rPr>
            <w:t>Jocotitlán</w:t>
          </w:r>
          <w:proofErr w:type="spellEnd"/>
        </w:p>
      </w:tc>
    </w:tr>
    <w:tr w:rsidR="00A14093" w14:paraId="31ADACAE" w14:textId="77777777">
      <w:trPr>
        <w:trHeight w:val="248"/>
      </w:trPr>
      <w:tc>
        <w:tcPr>
          <w:tcW w:w="3827" w:type="dxa"/>
        </w:tcPr>
        <w:p w14:paraId="1C6B744B" w14:textId="77777777" w:rsidR="00A14093" w:rsidRDefault="000A6908">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Comisionado Ponente:</w:t>
          </w:r>
        </w:p>
      </w:tc>
      <w:tc>
        <w:tcPr>
          <w:tcW w:w="3407" w:type="dxa"/>
        </w:tcPr>
        <w:p w14:paraId="615915FE" w14:textId="77777777" w:rsidR="00A14093" w:rsidRDefault="000A6908">
          <w:pPr>
            <w:tabs>
              <w:tab w:val="right" w:pos="8838"/>
            </w:tabs>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6EC66F44" w14:textId="77777777" w:rsidR="00A14093" w:rsidRDefault="00954C1A">
    <w:pPr>
      <w:ind w:right="-312"/>
    </w:pPr>
    <w:r>
      <w:pict w14:anchorId="1A7679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aguaINFOEM" style="position:absolute;margin-left:-92.55pt;margin-top:-120.9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8856D5"/>
    <w:multiLevelType w:val="multilevel"/>
    <w:tmpl w:val="FC9A2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74188D"/>
    <w:multiLevelType w:val="multilevel"/>
    <w:tmpl w:val="3CD66C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EA10D9"/>
    <w:multiLevelType w:val="multilevel"/>
    <w:tmpl w:val="31247FFC"/>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5177DCD"/>
    <w:multiLevelType w:val="multilevel"/>
    <w:tmpl w:val="71506E1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 w15:restartNumberingAfterBreak="0">
    <w:nsid w:val="36EB1B0F"/>
    <w:multiLevelType w:val="multilevel"/>
    <w:tmpl w:val="803E3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2C7019E"/>
    <w:multiLevelType w:val="multilevel"/>
    <w:tmpl w:val="91D4DF8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DF70A90"/>
    <w:multiLevelType w:val="multilevel"/>
    <w:tmpl w:val="E79E3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5"/>
  </w:num>
  <w:num w:numId="4">
    <w:abstractNumId w:val="6"/>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093"/>
    <w:rsid w:val="000A6908"/>
    <w:rsid w:val="002119E3"/>
    <w:rsid w:val="00410CEA"/>
    <w:rsid w:val="0042373B"/>
    <w:rsid w:val="00840921"/>
    <w:rsid w:val="00954C1A"/>
    <w:rsid w:val="00970FAF"/>
    <w:rsid w:val="00A14093"/>
    <w:rsid w:val="00C3439F"/>
    <w:rsid w:val="00CC2705"/>
    <w:rsid w:val="00F235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B70C75"/>
  <w15:docId w15:val="{828C13B5-3308-4D9F-AD6F-9E99D4FC7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Calibri" w:eastAsia="Calibri" w:hAnsi="Calibri" w:cs="Calibri"/>
      <w:color w:val="2F5496"/>
      <w:sz w:val="40"/>
      <w:szCs w:val="40"/>
    </w:rPr>
  </w:style>
  <w:style w:type="paragraph" w:styleId="Ttulo2">
    <w:name w:val="heading 2"/>
    <w:basedOn w:val="Normal"/>
    <w:next w:val="Normal"/>
    <w:uiPriority w:val="9"/>
    <w:unhideWhenUsed/>
    <w:qFormat/>
    <w:pPr>
      <w:keepNext/>
      <w:keepLines/>
      <w:spacing w:before="160" w:after="80"/>
      <w:outlineLvl w:val="1"/>
    </w:pPr>
    <w:rPr>
      <w:rFonts w:ascii="Calibri" w:eastAsia="Calibri" w:hAnsi="Calibri" w:cs="Calibri"/>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paragraph" w:styleId="Ttulo7">
    <w:name w:val="heading 7"/>
    <w:basedOn w:val="Normal"/>
    <w:next w:val="Normal"/>
    <w:link w:val="Ttulo7Car"/>
    <w:uiPriority w:val="9"/>
    <w:semiHidden/>
    <w:unhideWhenUsed/>
    <w:qFormat/>
    <w:rsid w:val="00722A8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22A8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22A8D"/>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uiPriority w:val="10"/>
    <w:qFormat/>
    <w:pPr>
      <w:spacing w:after="80"/>
    </w:pPr>
    <w:rPr>
      <w:rFonts w:ascii="Calibri" w:eastAsia="Calibri" w:hAnsi="Calibri" w:cs="Calibri"/>
      <w:sz w:val="56"/>
      <w:szCs w:val="56"/>
    </w:rPr>
  </w:style>
  <w:style w:type="character" w:customStyle="1" w:styleId="Ttulo1Car">
    <w:name w:val="Título 1 Car"/>
    <w:basedOn w:val="Fuentedeprrafopredeter"/>
    <w:uiPriority w:val="9"/>
    <w:rsid w:val="00722A8D"/>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rsid w:val="00722A8D"/>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722A8D"/>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722A8D"/>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722A8D"/>
    <w:rPr>
      <w:rFonts w:eastAsiaTheme="majorEastAsia" w:cstheme="majorBidi"/>
      <w:color w:val="2F5496" w:themeColor="accent1" w:themeShade="BF"/>
    </w:rPr>
  </w:style>
  <w:style w:type="character" w:customStyle="1" w:styleId="Ttulo6Car">
    <w:name w:val="Título 6 Car"/>
    <w:basedOn w:val="Fuentedeprrafopredeter"/>
    <w:uiPriority w:val="9"/>
    <w:semiHidden/>
    <w:rsid w:val="00722A8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22A8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22A8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22A8D"/>
    <w:rPr>
      <w:rFonts w:eastAsiaTheme="majorEastAsia" w:cstheme="majorBidi"/>
      <w:color w:val="272727" w:themeColor="text1" w:themeTint="D8"/>
    </w:rPr>
  </w:style>
  <w:style w:type="character" w:customStyle="1" w:styleId="TtuloCar">
    <w:name w:val="Título Car"/>
    <w:basedOn w:val="Fuentedeprrafopredeter"/>
    <w:uiPriority w:val="10"/>
    <w:rsid w:val="00722A8D"/>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722A8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22A8D"/>
    <w:pPr>
      <w:spacing w:before="160"/>
      <w:jc w:val="center"/>
    </w:pPr>
    <w:rPr>
      <w:i/>
      <w:iCs/>
      <w:color w:val="404040" w:themeColor="text1" w:themeTint="BF"/>
    </w:rPr>
  </w:style>
  <w:style w:type="character" w:customStyle="1" w:styleId="CitaCar">
    <w:name w:val="Cita Car"/>
    <w:basedOn w:val="Fuentedeprrafopredeter"/>
    <w:link w:val="Cita"/>
    <w:uiPriority w:val="29"/>
    <w:rsid w:val="00722A8D"/>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22A8D"/>
    <w:pPr>
      <w:ind w:left="720"/>
      <w:contextualSpacing/>
    </w:pPr>
  </w:style>
  <w:style w:type="character" w:styleId="nfasisintenso">
    <w:name w:val="Intense Emphasis"/>
    <w:basedOn w:val="Fuentedeprrafopredeter"/>
    <w:uiPriority w:val="21"/>
    <w:qFormat/>
    <w:rsid w:val="00722A8D"/>
    <w:rPr>
      <w:i/>
      <w:iCs/>
      <w:color w:val="2F5496" w:themeColor="accent1" w:themeShade="BF"/>
    </w:rPr>
  </w:style>
  <w:style w:type="paragraph" w:styleId="Citadestacada">
    <w:name w:val="Intense Quote"/>
    <w:basedOn w:val="Normal"/>
    <w:next w:val="Normal"/>
    <w:link w:val="CitadestacadaCar"/>
    <w:uiPriority w:val="30"/>
    <w:qFormat/>
    <w:rsid w:val="00722A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722A8D"/>
    <w:rPr>
      <w:i/>
      <w:iCs/>
      <w:color w:val="2F5496" w:themeColor="accent1" w:themeShade="BF"/>
    </w:rPr>
  </w:style>
  <w:style w:type="character" w:styleId="Referenciaintensa">
    <w:name w:val="Intense Reference"/>
    <w:basedOn w:val="Fuentedeprrafopredeter"/>
    <w:uiPriority w:val="32"/>
    <w:qFormat/>
    <w:rsid w:val="00722A8D"/>
    <w:rPr>
      <w:b/>
      <w:bCs/>
      <w:smallCaps/>
      <w:color w:val="2F5496" w:themeColor="accent1" w:themeShade="BF"/>
      <w:spacing w:val="5"/>
    </w:rPr>
  </w:style>
  <w:style w:type="paragraph" w:styleId="Encabezado">
    <w:name w:val="header"/>
    <w:basedOn w:val="Normal"/>
    <w:link w:val="EncabezadoCar"/>
    <w:uiPriority w:val="99"/>
    <w:unhideWhenUsed/>
    <w:rsid w:val="00722A8D"/>
    <w:pPr>
      <w:tabs>
        <w:tab w:val="center" w:pos="4419"/>
        <w:tab w:val="right" w:pos="8838"/>
      </w:tabs>
    </w:pPr>
  </w:style>
  <w:style w:type="character" w:customStyle="1" w:styleId="EncabezadoCar">
    <w:name w:val="Encabezado Car"/>
    <w:basedOn w:val="Fuentedeprrafopredeter"/>
    <w:link w:val="Encabezado"/>
    <w:uiPriority w:val="99"/>
    <w:rsid w:val="00722A8D"/>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722A8D"/>
    <w:pPr>
      <w:tabs>
        <w:tab w:val="center" w:pos="4419"/>
        <w:tab w:val="right" w:pos="8838"/>
      </w:tabs>
    </w:pPr>
  </w:style>
  <w:style w:type="character" w:customStyle="1" w:styleId="PiedepginaCar">
    <w:name w:val="Pie de página Car"/>
    <w:basedOn w:val="Fuentedeprrafopredeter"/>
    <w:link w:val="Piedepgina"/>
    <w:uiPriority w:val="99"/>
    <w:rsid w:val="00722A8D"/>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722A8D"/>
  </w:style>
  <w:style w:type="table" w:styleId="Tablaconcuadrcula">
    <w:name w:val="Table Grid"/>
    <w:basedOn w:val="Tablanormal"/>
    <w:uiPriority w:val="39"/>
    <w:rsid w:val="00722A8D"/>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22A8D"/>
    <w:rPr>
      <w:color w:val="0563C1" w:themeColor="hyperlink"/>
      <w:u w:val="single"/>
    </w:rPr>
  </w:style>
  <w:style w:type="paragraph" w:styleId="TDC1">
    <w:name w:val="toc 1"/>
    <w:basedOn w:val="Normal"/>
    <w:next w:val="Normal"/>
    <w:autoRedefine/>
    <w:uiPriority w:val="39"/>
    <w:unhideWhenUsed/>
    <w:rsid w:val="00722A8D"/>
    <w:pPr>
      <w:spacing w:after="100"/>
    </w:pPr>
  </w:style>
  <w:style w:type="paragraph" w:styleId="TtulodeTDC">
    <w:name w:val="TOC Heading"/>
    <w:next w:val="Normal"/>
    <w:uiPriority w:val="39"/>
    <w:unhideWhenUsed/>
    <w:qFormat/>
    <w:rsid w:val="00722A8D"/>
    <w:pPr>
      <w:spacing w:before="240"/>
    </w:pPr>
    <w:rPr>
      <w:sz w:val="32"/>
      <w:szCs w:val="32"/>
    </w:rPr>
  </w:style>
  <w:style w:type="paragraph" w:styleId="TDC2">
    <w:name w:val="toc 2"/>
    <w:basedOn w:val="Normal"/>
    <w:next w:val="Normal"/>
    <w:autoRedefine/>
    <w:uiPriority w:val="39"/>
    <w:unhideWhenUsed/>
    <w:rsid w:val="00722A8D"/>
    <w:pPr>
      <w:tabs>
        <w:tab w:val="right" w:leader="dot" w:pos="9034"/>
      </w:tabs>
      <w:spacing w:line="360" w:lineRule="auto"/>
      <w:ind w:left="200"/>
      <w:contextualSpacing/>
      <w:jc w:val="both"/>
    </w:pPr>
  </w:style>
  <w:style w:type="character" w:customStyle="1" w:styleId="Mencinsinresolver1">
    <w:name w:val="Mención sin resolver1"/>
    <w:basedOn w:val="Fuentedeprrafopredeter"/>
    <w:uiPriority w:val="99"/>
    <w:semiHidden/>
    <w:unhideWhenUsed/>
    <w:rsid w:val="00B368ED"/>
    <w:rPr>
      <w:color w:val="605E5C"/>
      <w:shd w:val="clear" w:color="auto" w:fill="E1DFDD"/>
    </w:rPr>
  </w:style>
  <w:style w:type="table" w:customStyle="1" w:styleId="Tablaconcuadrcula1">
    <w:name w:val="Tabla con cuadrícula1"/>
    <w:basedOn w:val="Tablanormal"/>
    <w:next w:val="Tablaconcuadrcula"/>
    <w:uiPriority w:val="59"/>
    <w:rsid w:val="005203D6"/>
    <w:pPr>
      <w:jc w:val="both"/>
    </w:pPr>
    <w:rPr>
      <w:rFonts w:ascii="Palatino Linotype" w:eastAsia="Palatino Linotype" w:hAnsi="Palatino Linotype" w:cs="Palatino Linoty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gmail-msonormal">
    <w:name w:val="x_gmail-msonormal"/>
    <w:basedOn w:val="Normal"/>
    <w:rsid w:val="00BD19D9"/>
    <w:pPr>
      <w:spacing w:before="100" w:beforeAutospacing="1" w:after="100" w:afterAutospacing="1"/>
    </w:pPr>
    <w:rPr>
      <w:sz w:val="24"/>
      <w:szCs w:val="24"/>
      <w:lang w:val="en-US" w:eastAsia="en-US"/>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ST6WA462KmGhKRuB7hzLgZXzzw==">CgMxLjAyDmgubXBudjI4dzgzbXd3Mg5oLnQzdWNvYWNleW1kNDIOaC5oa2J1c3lyZDd1OTAyDmguZXU2cTYycTZveTY5Mg5oLmZuOWt3bThkOWxwcjIOaC5ncDY2dTZtdmI4YnIyDWguYWM0ZjY0ZjI3NzcyDmguNnZ4a3Awc3EycmVtMg5oLnlzNnRpczN5c202bDIOaC5tMzRjMGZudTN6MmMyDmguNzVzeThseGF5Y2QyMg5oLmExem44YWJmMGQ2ZDIOaC45anNwa2pudHFwanUyDmgud3BsbGprN3A1bHV1Mg5oLjM2OGZjcGQyeXU1YzIOaC53OHgwbmxpaXVrMjMyDmgucmN5Zm1ncWx0MzllMg5oLnQ0YXZicTJzbXJ4dzgAciExN2RlbHF5Y3k1NV8tM0lSTlFlbEVFbmg0VXpYWXBiLU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6313</Words>
  <Characters>34725</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USUARIO</cp:lastModifiedBy>
  <cp:revision>3</cp:revision>
  <cp:lastPrinted>2025-08-22T18:29:00Z</cp:lastPrinted>
  <dcterms:created xsi:type="dcterms:W3CDTF">2025-08-22T18:29:00Z</dcterms:created>
  <dcterms:modified xsi:type="dcterms:W3CDTF">2025-08-22T18:29:00Z</dcterms:modified>
</cp:coreProperties>
</file>