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D7" w:rsidRPr="00E7229C" w:rsidRDefault="003672D7" w:rsidP="00E7229C">
      <w:pPr>
        <w:widowControl w:val="0"/>
        <w:pBdr>
          <w:top w:val="nil"/>
          <w:left w:val="nil"/>
          <w:bottom w:val="nil"/>
          <w:right w:val="nil"/>
          <w:between w:val="nil"/>
        </w:pBdr>
        <w:spacing w:line="276" w:lineRule="auto"/>
        <w:rPr>
          <w:rFonts w:ascii="Palatino Linotype" w:hAnsi="Palatino Linotype"/>
          <w:color w:val="000000" w:themeColor="text1"/>
        </w:rPr>
      </w:pPr>
    </w:p>
    <w:p w:rsidR="003672D7" w:rsidRPr="00367D60" w:rsidRDefault="00945786" w:rsidP="00E7229C">
      <w:pPr>
        <w:tabs>
          <w:tab w:val="left" w:pos="3465"/>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367D60">
        <w:rPr>
          <w:rFonts w:ascii="Palatino Linotype" w:eastAsia="Palatino Linotype" w:hAnsi="Palatino Linotype" w:cs="Palatino Linotype"/>
          <w:b/>
          <w:color w:val="000000" w:themeColor="text1"/>
        </w:rPr>
        <w:t>de fecha veinti</w:t>
      </w:r>
      <w:r w:rsidR="00E7229C" w:rsidRPr="00367D60">
        <w:rPr>
          <w:rFonts w:ascii="Palatino Linotype" w:eastAsia="Palatino Linotype" w:hAnsi="Palatino Linotype" w:cs="Palatino Linotype"/>
          <w:b/>
          <w:color w:val="000000" w:themeColor="text1"/>
        </w:rPr>
        <w:t xml:space="preserve">ocho </w:t>
      </w:r>
      <w:r w:rsidRPr="00367D60">
        <w:rPr>
          <w:rFonts w:ascii="Palatino Linotype" w:eastAsia="Palatino Linotype" w:hAnsi="Palatino Linotype" w:cs="Palatino Linotype"/>
          <w:b/>
          <w:color w:val="000000" w:themeColor="text1"/>
        </w:rPr>
        <w:t>de mayo de dos mil veinticinco</w:t>
      </w:r>
      <w:r w:rsidRPr="00367D60">
        <w:rPr>
          <w:rFonts w:ascii="Palatino Linotype" w:eastAsia="Palatino Linotype" w:hAnsi="Palatino Linotype" w:cs="Palatino Linotype"/>
          <w:color w:val="000000" w:themeColor="text1"/>
        </w:rPr>
        <w:t>.</w:t>
      </w:r>
    </w:p>
    <w:p w:rsidR="003672D7" w:rsidRPr="00367D60" w:rsidRDefault="003672D7" w:rsidP="00E7229C">
      <w:pPr>
        <w:tabs>
          <w:tab w:val="left" w:pos="3465"/>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color w:val="000000" w:themeColor="text1"/>
        </w:rPr>
        <w:t>VISTO</w:t>
      </w:r>
      <w:r w:rsidRPr="00367D60">
        <w:rPr>
          <w:rFonts w:ascii="Palatino Linotype" w:eastAsia="Palatino Linotype" w:hAnsi="Palatino Linotype" w:cs="Palatino Linotype"/>
          <w:color w:val="000000" w:themeColor="text1"/>
        </w:rPr>
        <w:t xml:space="preserve"> el expediente electrónico formado con motivo del recurso de revisión </w:t>
      </w:r>
      <w:r w:rsidRPr="00367D60">
        <w:rPr>
          <w:rFonts w:ascii="Palatino Linotype" w:eastAsia="Palatino Linotype" w:hAnsi="Palatino Linotype" w:cs="Palatino Linotype"/>
          <w:b/>
          <w:color w:val="000000" w:themeColor="text1"/>
        </w:rPr>
        <w:t>04763/INFOEM/IP/RR/2025</w:t>
      </w:r>
      <w:r w:rsidRPr="00367D60">
        <w:rPr>
          <w:rFonts w:ascii="Palatino Linotype" w:eastAsia="Palatino Linotype" w:hAnsi="Palatino Linotype" w:cs="Palatino Linotype"/>
          <w:color w:val="000000" w:themeColor="text1"/>
        </w:rPr>
        <w:t xml:space="preserve">, interpuesto por </w:t>
      </w:r>
      <w:r w:rsidRPr="00367D60">
        <w:rPr>
          <w:rFonts w:ascii="Palatino Linotype" w:eastAsia="Palatino Linotype" w:hAnsi="Palatino Linotype" w:cs="Palatino Linotype"/>
          <w:b/>
          <w:color w:val="000000" w:themeColor="text1"/>
        </w:rPr>
        <w:t xml:space="preserve">un usuario que no proporcionó nombre alguno, </w:t>
      </w:r>
      <w:r w:rsidRPr="00367D60">
        <w:rPr>
          <w:rFonts w:ascii="Palatino Linotype" w:eastAsia="Palatino Linotype" w:hAnsi="Palatino Linotype" w:cs="Palatino Linotype"/>
          <w:color w:val="000000" w:themeColor="text1"/>
        </w:rPr>
        <w:t xml:space="preserve">y en lo sucesivo se denominará como </w:t>
      </w:r>
      <w:r w:rsidR="00E7229C" w:rsidRPr="00367D60">
        <w:rPr>
          <w:rFonts w:ascii="Palatino Linotype" w:eastAsia="Palatino Linotype" w:hAnsi="Palatino Linotype" w:cs="Palatino Linotype"/>
          <w:b/>
          <w:color w:val="000000" w:themeColor="text1"/>
        </w:rPr>
        <w:t>EL</w:t>
      </w:r>
      <w:r w:rsidRPr="00367D60">
        <w:rPr>
          <w:rFonts w:ascii="Palatino Linotype" w:eastAsia="Palatino Linotype" w:hAnsi="Palatino Linotype" w:cs="Palatino Linotype"/>
          <w:color w:val="000000" w:themeColor="text1"/>
        </w:rPr>
        <w:t xml:space="preserve"> </w:t>
      </w:r>
      <w:r w:rsidRPr="00367D60">
        <w:rPr>
          <w:rFonts w:ascii="Palatino Linotype" w:eastAsia="Palatino Linotype" w:hAnsi="Palatino Linotype" w:cs="Palatino Linotype"/>
          <w:b/>
          <w:color w:val="000000" w:themeColor="text1"/>
        </w:rPr>
        <w:t>RECURRENTE</w:t>
      </w:r>
      <w:r w:rsidRPr="00367D60">
        <w:rPr>
          <w:rFonts w:ascii="Palatino Linotype" w:eastAsia="Palatino Linotype" w:hAnsi="Palatino Linotype" w:cs="Palatino Linotype"/>
          <w:color w:val="000000" w:themeColor="text1"/>
        </w:rPr>
        <w:t xml:space="preserve">, en contra de la respuesta del </w:t>
      </w:r>
      <w:r w:rsidRPr="00367D60">
        <w:rPr>
          <w:rFonts w:ascii="Palatino Linotype" w:eastAsia="Palatino Linotype" w:hAnsi="Palatino Linotype" w:cs="Palatino Linotype"/>
          <w:b/>
          <w:color w:val="000000" w:themeColor="text1"/>
        </w:rPr>
        <w:t>Ayuntamiento de Toluca</w:t>
      </w:r>
      <w:r w:rsidRPr="00367D60">
        <w:rPr>
          <w:rFonts w:ascii="Palatino Linotype" w:eastAsia="Palatino Linotype" w:hAnsi="Palatino Linotype" w:cs="Palatino Linotype"/>
          <w:color w:val="000000" w:themeColor="text1"/>
        </w:rPr>
        <w:t>, en adelante el</w:t>
      </w:r>
      <w:r w:rsidRPr="00367D60">
        <w:rPr>
          <w:rFonts w:ascii="Palatino Linotype" w:eastAsia="Palatino Linotype" w:hAnsi="Palatino Linotype" w:cs="Palatino Linotype"/>
          <w:b/>
          <w:color w:val="000000" w:themeColor="text1"/>
        </w:rPr>
        <w:t xml:space="preserve"> SUJETO OBLIGADO</w:t>
      </w:r>
      <w:r w:rsidRPr="00367D60">
        <w:rPr>
          <w:rFonts w:ascii="Palatino Linotype" w:eastAsia="Palatino Linotype" w:hAnsi="Palatino Linotype" w:cs="Palatino Linotype"/>
          <w:color w:val="000000" w:themeColor="text1"/>
        </w:rPr>
        <w:t>,</w:t>
      </w:r>
      <w:r w:rsidRPr="00367D60">
        <w:rPr>
          <w:rFonts w:ascii="Palatino Linotype" w:eastAsia="Palatino Linotype" w:hAnsi="Palatino Linotype" w:cs="Palatino Linotype"/>
          <w:b/>
          <w:color w:val="000000" w:themeColor="text1"/>
        </w:rPr>
        <w:t xml:space="preserve"> </w:t>
      </w:r>
      <w:r w:rsidRPr="00367D60">
        <w:rPr>
          <w:rFonts w:ascii="Palatino Linotype" w:eastAsia="Palatino Linotype" w:hAnsi="Palatino Linotype" w:cs="Palatino Linotype"/>
          <w:color w:val="000000" w:themeColor="text1"/>
        </w:rPr>
        <w:t>se procede a dictar la presente resolución, con base en los siguientes:</w:t>
      </w:r>
    </w:p>
    <w:p w:rsidR="003672D7" w:rsidRPr="00367D60" w:rsidRDefault="003672D7" w:rsidP="00E7229C">
      <w:pPr>
        <w:spacing w:line="360" w:lineRule="auto"/>
        <w:jc w:val="both"/>
        <w:rPr>
          <w:rFonts w:ascii="Palatino Linotype" w:eastAsia="Palatino Linotype" w:hAnsi="Palatino Linotype" w:cs="Palatino Linotype"/>
          <w:b/>
          <w:color w:val="000000" w:themeColor="text1"/>
        </w:rPr>
      </w:pPr>
    </w:p>
    <w:p w:rsidR="003672D7" w:rsidRPr="00367D60" w:rsidRDefault="00945786" w:rsidP="00E7229C">
      <w:pPr>
        <w:pStyle w:val="Ttulo1"/>
        <w:spacing w:before="0" w:line="360" w:lineRule="auto"/>
        <w:jc w:val="center"/>
        <w:rPr>
          <w:b/>
          <w:color w:val="000000" w:themeColor="text1"/>
          <w:szCs w:val="24"/>
        </w:rPr>
      </w:pPr>
      <w:bookmarkStart w:id="0" w:name="_heading=h.gjdgxs" w:colFirst="0" w:colLast="0"/>
      <w:bookmarkEnd w:id="0"/>
      <w:r w:rsidRPr="00367D60">
        <w:rPr>
          <w:b/>
          <w:color w:val="000000" w:themeColor="text1"/>
          <w:szCs w:val="24"/>
        </w:rPr>
        <w:t>A N T E C E D E N T E S</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El </w:t>
      </w:r>
      <w:r w:rsidRPr="00367D60">
        <w:rPr>
          <w:rFonts w:ascii="Palatino Linotype" w:eastAsia="Palatino Linotype" w:hAnsi="Palatino Linotype" w:cs="Palatino Linotype"/>
          <w:b/>
          <w:color w:val="000000" w:themeColor="text1"/>
        </w:rPr>
        <w:t>veintiocho de marzo de dos mil veinticinco</w:t>
      </w:r>
      <w:r w:rsidRPr="00367D60">
        <w:rPr>
          <w:rFonts w:ascii="Palatino Linotype" w:eastAsia="Palatino Linotype" w:hAnsi="Palatino Linotype" w:cs="Palatino Linotype"/>
          <w:color w:val="000000" w:themeColor="text1"/>
        </w:rPr>
        <w:t>, el particular presentó</w:t>
      </w:r>
      <w:r w:rsidRPr="00367D60">
        <w:rPr>
          <w:rFonts w:ascii="Palatino Linotype" w:eastAsia="Palatino Linotype" w:hAnsi="Palatino Linotype" w:cs="Palatino Linotype"/>
          <w:b/>
          <w:color w:val="000000" w:themeColor="text1"/>
        </w:rPr>
        <w:t xml:space="preserve"> </w:t>
      </w:r>
      <w:r w:rsidRPr="00367D60">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Pr="00367D60">
        <w:rPr>
          <w:rFonts w:ascii="Palatino Linotype" w:eastAsia="Palatino Linotype" w:hAnsi="Palatino Linotype" w:cs="Palatino Linotype"/>
          <w:b/>
          <w:color w:val="000000" w:themeColor="text1"/>
        </w:rPr>
        <w:t>01870/TOLUCA/IP/2025,</w:t>
      </w:r>
      <w:r w:rsidRPr="00367D60">
        <w:rPr>
          <w:rFonts w:ascii="Palatino Linotype" w:eastAsia="Palatino Linotype" w:hAnsi="Palatino Linotype" w:cs="Palatino Linotype"/>
          <w:color w:val="000000" w:themeColor="text1"/>
        </w:rPr>
        <w:t xml:space="preserve"> en la  que requirió lo siguiente:</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i/>
          <w:color w:val="000000" w:themeColor="text1"/>
        </w:rPr>
        <w:t xml:space="preserve"> “¿Soliciten a los DELEGADOS DE SANTIAGO TLACOTEPEC indiquen el fundamento legal que les otorga competencia en materia de vialidad municipal (que compete a la materia de seguridad pública municipal), para otorgar algún “VISTO BUENO” para transitar en la carretera al Refugio de esta Delegación de Santiago Tlacotepec, del municipio de Toluca, Estado de México? ¿Soliciten a los DELEGADOS DE SANTIAGO TLACOTEPEC indiquen si conocen la restricción legal que prevé los artículos 9 y 176 del Código Penal del Estado de México?.” </w:t>
      </w:r>
      <w:r w:rsidRPr="00367D60">
        <w:rPr>
          <w:rFonts w:ascii="Palatino Linotype" w:eastAsia="Palatino Linotype" w:hAnsi="Palatino Linotype" w:cs="Palatino Linotype"/>
          <w:color w:val="000000" w:themeColor="text1"/>
        </w:rPr>
        <w:t>(Sic).</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Se hace constar que el particular señaló como modalidad de entrega de la información:</w:t>
      </w:r>
      <w:r w:rsidRPr="00367D60">
        <w:rPr>
          <w:rFonts w:ascii="Palatino Linotype" w:eastAsia="Palatino Linotype" w:hAnsi="Palatino Linotype" w:cs="Palatino Linotype"/>
          <w:b/>
          <w:color w:val="000000" w:themeColor="text1"/>
        </w:rPr>
        <w:t xml:space="preserve"> </w:t>
      </w:r>
      <w:r w:rsidRPr="00367D60">
        <w:rPr>
          <w:rFonts w:ascii="Palatino Linotype" w:eastAsia="Palatino Linotype" w:hAnsi="Palatino Linotype" w:cs="Palatino Linotype"/>
          <w:b/>
          <w:i/>
          <w:color w:val="000000" w:themeColor="text1"/>
        </w:rPr>
        <w:t>A través del SAIMEX</w:t>
      </w:r>
      <w:r w:rsidRPr="00367D60">
        <w:rPr>
          <w:rFonts w:ascii="Palatino Linotype" w:eastAsia="Palatino Linotype" w:hAnsi="Palatino Linotype" w:cs="Palatino Linotype"/>
          <w:color w:val="000000" w:themeColor="text1"/>
        </w:rPr>
        <w:t>.</w:t>
      </w: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 xml:space="preserve">El </w:t>
      </w:r>
      <w:r w:rsidRPr="00367D60">
        <w:rPr>
          <w:rFonts w:ascii="Palatino Linotype" w:eastAsia="Palatino Linotype" w:hAnsi="Palatino Linotype" w:cs="Palatino Linotype"/>
          <w:b/>
          <w:color w:val="000000" w:themeColor="text1"/>
        </w:rPr>
        <w:t xml:space="preserve">treinta y uno de marzo de dos mil veinticinco, </w:t>
      </w:r>
      <w:r w:rsidRPr="00367D60">
        <w:rPr>
          <w:rFonts w:ascii="Palatino Linotype" w:eastAsia="Palatino Linotype" w:hAnsi="Palatino Linotype" w:cs="Palatino Linotype"/>
          <w:color w:val="000000" w:themeColor="text1"/>
        </w:rPr>
        <w:t xml:space="preserve">se realizó un requerimiento al servidor público habilitado. </w:t>
      </w:r>
    </w:p>
    <w:p w:rsidR="003672D7" w:rsidRPr="00367D60" w:rsidRDefault="003672D7" w:rsidP="00E7229C">
      <w:pPr>
        <w:pBdr>
          <w:top w:val="nil"/>
          <w:left w:val="nil"/>
          <w:bottom w:val="nil"/>
          <w:right w:val="nil"/>
          <w:between w:val="nil"/>
        </w:pBdr>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El veinticuatro de abril de dos mil veinticinco, el Sujeto Obligado entregó respuesta en el siguiente sentido:</w:t>
      </w:r>
    </w:p>
    <w:p w:rsidR="003672D7" w:rsidRPr="00367D60" w:rsidRDefault="003672D7" w:rsidP="00E7229C">
      <w:pPr>
        <w:pBdr>
          <w:top w:val="nil"/>
          <w:left w:val="nil"/>
          <w:bottom w:val="nil"/>
          <w:right w:val="nil"/>
          <w:between w:val="nil"/>
        </w:pBdr>
        <w:rPr>
          <w:rFonts w:ascii="Palatino Linotype" w:eastAsia="Palatino Linotype" w:hAnsi="Palatino Linotype" w:cs="Palatino Linotype"/>
          <w:color w:val="000000" w:themeColor="text1"/>
        </w:rPr>
      </w:pPr>
    </w:p>
    <w:tbl>
      <w:tblPr>
        <w:tblStyle w:val="a"/>
        <w:tblW w:w="7837" w:type="dxa"/>
        <w:jc w:val="center"/>
        <w:tblInd w:w="0" w:type="dxa"/>
        <w:tblLayout w:type="fixed"/>
        <w:tblLook w:val="0400" w:firstRow="0" w:lastRow="0" w:firstColumn="0" w:lastColumn="0" w:noHBand="0" w:noVBand="1"/>
      </w:tblPr>
      <w:tblGrid>
        <w:gridCol w:w="7837"/>
      </w:tblGrid>
      <w:tr w:rsidR="00E7229C" w:rsidRPr="00367D60">
        <w:trPr>
          <w:trHeight w:val="303"/>
          <w:jc w:val="center"/>
        </w:trPr>
        <w:tc>
          <w:tcPr>
            <w:tcW w:w="7837" w:type="dxa"/>
            <w:vAlign w:val="center"/>
          </w:tcPr>
          <w:p w:rsidR="003672D7" w:rsidRPr="00367D60" w:rsidRDefault="00945786" w:rsidP="00E7229C">
            <w:pPr>
              <w:jc w:val="right"/>
              <w:rPr>
                <w:rFonts w:ascii="Palatino Linotype" w:eastAsia="Palatino Linotype" w:hAnsi="Palatino Linotype" w:cs="Palatino Linotype"/>
                <w:i/>
                <w:color w:val="000000" w:themeColor="text1"/>
              </w:rPr>
            </w:pPr>
            <w:bookmarkStart w:id="1" w:name="_GoBack"/>
            <w:bookmarkEnd w:id="1"/>
            <w:r w:rsidRPr="00367D60">
              <w:rPr>
                <w:rFonts w:ascii="Palatino Linotype" w:eastAsia="Palatino Linotype" w:hAnsi="Palatino Linotype" w:cs="Palatino Linotype"/>
                <w:i/>
                <w:color w:val="000000" w:themeColor="text1"/>
              </w:rPr>
              <w:br/>
              <w:t>Toluca, México a 24 de Abril de 2025</w:t>
            </w:r>
          </w:p>
        </w:tc>
      </w:tr>
      <w:tr w:rsidR="00E7229C" w:rsidRPr="00367D60">
        <w:trPr>
          <w:trHeight w:val="303"/>
          <w:jc w:val="center"/>
        </w:trPr>
        <w:tc>
          <w:tcPr>
            <w:tcW w:w="7837" w:type="dxa"/>
            <w:vAlign w:val="center"/>
          </w:tcPr>
          <w:p w:rsidR="003672D7" w:rsidRPr="00367D60" w:rsidRDefault="00945786" w:rsidP="00E7229C">
            <w:pPr>
              <w:jc w:val="right"/>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Nombre del solicitante: C. Solicitante</w:t>
            </w:r>
          </w:p>
        </w:tc>
      </w:tr>
      <w:tr w:rsidR="00E7229C" w:rsidRPr="00367D60">
        <w:trPr>
          <w:trHeight w:val="303"/>
          <w:jc w:val="center"/>
        </w:trPr>
        <w:tc>
          <w:tcPr>
            <w:tcW w:w="7837" w:type="dxa"/>
            <w:vAlign w:val="center"/>
          </w:tcPr>
          <w:p w:rsidR="003672D7" w:rsidRPr="00367D60" w:rsidRDefault="00945786" w:rsidP="00E7229C">
            <w:pPr>
              <w:jc w:val="right"/>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Folio de la solicitud: 01870/TOLUCA/IP/2025</w:t>
            </w:r>
          </w:p>
        </w:tc>
      </w:tr>
      <w:tr w:rsidR="00E7229C" w:rsidRPr="00367D60">
        <w:trPr>
          <w:trHeight w:val="455"/>
          <w:jc w:val="center"/>
        </w:trPr>
        <w:tc>
          <w:tcPr>
            <w:tcW w:w="7837" w:type="dxa"/>
            <w:vAlign w:val="center"/>
          </w:tcPr>
          <w:p w:rsidR="003672D7" w:rsidRPr="00367D60" w:rsidRDefault="003672D7" w:rsidP="00E7229C">
            <w:pPr>
              <w:jc w:val="right"/>
              <w:rPr>
                <w:rFonts w:ascii="Palatino Linotype" w:eastAsia="Palatino Linotype" w:hAnsi="Palatino Linotype" w:cs="Palatino Linotype"/>
                <w:i/>
                <w:color w:val="000000" w:themeColor="text1"/>
              </w:rPr>
            </w:pPr>
          </w:p>
        </w:tc>
      </w:tr>
      <w:tr w:rsidR="00E7229C" w:rsidRPr="00367D60">
        <w:trPr>
          <w:trHeight w:val="151"/>
          <w:jc w:val="center"/>
        </w:trPr>
        <w:tc>
          <w:tcPr>
            <w:tcW w:w="7837" w:type="dxa"/>
            <w:vAlign w:val="center"/>
          </w:tcPr>
          <w:p w:rsidR="003672D7" w:rsidRPr="00367D60" w:rsidRDefault="00945786" w:rsidP="00E7229C">
            <w:pPr>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7229C" w:rsidRPr="00367D60">
        <w:trPr>
          <w:trHeight w:val="379"/>
          <w:jc w:val="center"/>
        </w:trPr>
        <w:tc>
          <w:tcPr>
            <w:tcW w:w="7837" w:type="dxa"/>
            <w:vAlign w:val="center"/>
          </w:tcPr>
          <w:p w:rsidR="003672D7" w:rsidRPr="00367D60" w:rsidRDefault="003672D7" w:rsidP="00E7229C">
            <w:pPr>
              <w:jc w:val="both"/>
              <w:rPr>
                <w:rFonts w:ascii="Palatino Linotype" w:eastAsia="Palatino Linotype" w:hAnsi="Palatino Linotype" w:cs="Palatino Linotype"/>
                <w:i/>
                <w:color w:val="000000" w:themeColor="text1"/>
              </w:rPr>
            </w:pPr>
          </w:p>
        </w:tc>
      </w:tr>
      <w:tr w:rsidR="00E7229C" w:rsidRPr="00367D60">
        <w:trPr>
          <w:trHeight w:val="96"/>
          <w:jc w:val="center"/>
        </w:trPr>
        <w:tc>
          <w:tcPr>
            <w:tcW w:w="7837" w:type="dxa"/>
            <w:vAlign w:val="center"/>
          </w:tcPr>
          <w:p w:rsidR="003672D7" w:rsidRPr="00367D60" w:rsidRDefault="00945786" w:rsidP="00E7229C">
            <w:pPr>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En atención a la solicitud con folio 01870/TOLUCA/IP/2025, me permito adjuntar al presente la respuesta correspondiente DE LA SECRETARÍA PARTICULAR DE PRESIDENCIA,Sin más por el momento, reciba un saludo</w:t>
            </w:r>
          </w:p>
        </w:tc>
      </w:tr>
      <w:tr w:rsidR="00E7229C" w:rsidRPr="00367D60">
        <w:trPr>
          <w:trHeight w:val="379"/>
          <w:jc w:val="center"/>
        </w:trPr>
        <w:tc>
          <w:tcPr>
            <w:tcW w:w="7837" w:type="dxa"/>
            <w:vAlign w:val="center"/>
          </w:tcPr>
          <w:p w:rsidR="003672D7" w:rsidRPr="00367D60" w:rsidRDefault="003672D7" w:rsidP="00E7229C">
            <w:pPr>
              <w:rPr>
                <w:rFonts w:ascii="Palatino Linotype" w:eastAsia="Palatino Linotype" w:hAnsi="Palatino Linotype" w:cs="Palatino Linotype"/>
                <w:i/>
                <w:color w:val="000000" w:themeColor="text1"/>
              </w:rPr>
            </w:pPr>
          </w:p>
        </w:tc>
      </w:tr>
      <w:tr w:rsidR="00E7229C" w:rsidRPr="00367D60">
        <w:trPr>
          <w:trHeight w:val="151"/>
          <w:jc w:val="center"/>
        </w:trPr>
        <w:tc>
          <w:tcPr>
            <w:tcW w:w="7837" w:type="dxa"/>
            <w:vAlign w:val="center"/>
          </w:tcPr>
          <w:p w:rsidR="003672D7" w:rsidRPr="00367D60" w:rsidRDefault="003672D7" w:rsidP="00E7229C">
            <w:pPr>
              <w:jc w:val="center"/>
              <w:rPr>
                <w:rFonts w:ascii="Palatino Linotype" w:eastAsia="Palatino Linotype" w:hAnsi="Palatino Linotype" w:cs="Palatino Linotype"/>
                <w:i/>
                <w:color w:val="000000" w:themeColor="text1"/>
              </w:rPr>
            </w:pPr>
          </w:p>
        </w:tc>
      </w:tr>
      <w:tr w:rsidR="00E7229C" w:rsidRPr="00367D60">
        <w:trPr>
          <w:trHeight w:val="151"/>
          <w:jc w:val="center"/>
        </w:trPr>
        <w:tc>
          <w:tcPr>
            <w:tcW w:w="7837" w:type="dxa"/>
            <w:vAlign w:val="center"/>
          </w:tcPr>
          <w:p w:rsidR="003672D7" w:rsidRPr="00367D60" w:rsidRDefault="003672D7" w:rsidP="00E7229C">
            <w:pPr>
              <w:rPr>
                <w:rFonts w:ascii="Palatino Linotype" w:eastAsia="Palatino Linotype" w:hAnsi="Palatino Linotype" w:cs="Palatino Linotype"/>
                <w:i/>
                <w:color w:val="000000" w:themeColor="text1"/>
              </w:rPr>
            </w:pPr>
          </w:p>
        </w:tc>
      </w:tr>
      <w:tr w:rsidR="00E7229C" w:rsidRPr="00367D60">
        <w:trPr>
          <w:trHeight w:val="151"/>
          <w:jc w:val="center"/>
        </w:trPr>
        <w:tc>
          <w:tcPr>
            <w:tcW w:w="7837" w:type="dxa"/>
            <w:vAlign w:val="center"/>
          </w:tcPr>
          <w:p w:rsidR="003672D7" w:rsidRPr="00367D60" w:rsidRDefault="00945786" w:rsidP="00E7229C">
            <w:pPr>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ATENTAMENTE</w:t>
            </w:r>
          </w:p>
        </w:tc>
      </w:tr>
      <w:tr w:rsidR="00E7229C" w:rsidRPr="00367D60">
        <w:trPr>
          <w:trHeight w:val="227"/>
          <w:jc w:val="center"/>
        </w:trPr>
        <w:tc>
          <w:tcPr>
            <w:tcW w:w="7837" w:type="dxa"/>
            <w:vAlign w:val="center"/>
          </w:tcPr>
          <w:p w:rsidR="003672D7" w:rsidRPr="00367D60" w:rsidRDefault="003672D7" w:rsidP="00E7229C">
            <w:pPr>
              <w:rPr>
                <w:rFonts w:ascii="Palatino Linotype" w:eastAsia="Palatino Linotype" w:hAnsi="Palatino Linotype" w:cs="Palatino Linotype"/>
                <w:i/>
                <w:color w:val="000000" w:themeColor="text1"/>
              </w:rPr>
            </w:pPr>
          </w:p>
        </w:tc>
      </w:tr>
      <w:tr w:rsidR="00E7229C" w:rsidRPr="00367D60">
        <w:trPr>
          <w:trHeight w:val="151"/>
          <w:jc w:val="center"/>
        </w:trPr>
        <w:tc>
          <w:tcPr>
            <w:tcW w:w="7837" w:type="dxa"/>
            <w:vAlign w:val="center"/>
          </w:tcPr>
          <w:p w:rsidR="003672D7" w:rsidRPr="00367D60" w:rsidRDefault="00945786" w:rsidP="00E7229C">
            <w:pPr>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Dr. Nahum Miguel Mendoza Morales</w:t>
            </w:r>
          </w:p>
        </w:tc>
      </w:tr>
    </w:tbl>
    <w:p w:rsidR="003672D7"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725B4" w:rsidRPr="00367D60" w:rsidRDefault="008725B4"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3"/>
        </w:numPr>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A la respuesta se adjuntaron los archivos que se describen enseguida:</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313EC3" w:rsidP="00E7229C">
      <w:pPr>
        <w:numPr>
          <w:ilvl w:val="0"/>
          <w:numId w:val="4"/>
        </w:numPr>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hyperlink r:id="rId8">
        <w:r w:rsidR="00945786" w:rsidRPr="00367D60">
          <w:rPr>
            <w:rFonts w:ascii="Palatino Linotype" w:eastAsia="Palatino Linotype" w:hAnsi="Palatino Linotype" w:cs="Palatino Linotype"/>
            <w:b/>
            <w:color w:val="000000" w:themeColor="text1"/>
            <w:u w:val="single"/>
          </w:rPr>
          <w:t>Anexo 01870.pdf</w:t>
        </w:r>
      </w:hyperlink>
      <w:r w:rsidR="00945786" w:rsidRPr="00367D60">
        <w:rPr>
          <w:rFonts w:ascii="Palatino Linotype" w:eastAsia="Palatino Linotype" w:hAnsi="Palatino Linotype" w:cs="Palatino Linotype"/>
          <w:color w:val="000000" w:themeColor="text1"/>
        </w:rPr>
        <w:t>: Reglamento de Tránsito del Estado de México.</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313EC3" w:rsidP="00E7229C">
      <w:pPr>
        <w:numPr>
          <w:ilvl w:val="0"/>
          <w:numId w:val="4"/>
        </w:numPr>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hyperlink r:id="rId9">
        <w:r w:rsidR="00945786" w:rsidRPr="00367D60">
          <w:rPr>
            <w:rFonts w:ascii="Palatino Linotype" w:eastAsia="Palatino Linotype" w:hAnsi="Palatino Linotype" w:cs="Palatino Linotype"/>
            <w:b/>
            <w:color w:val="000000" w:themeColor="text1"/>
            <w:u w:val="single"/>
          </w:rPr>
          <w:t>Resp_Oficio_1104_Solic_01870.pdf</w:t>
        </w:r>
      </w:hyperlink>
      <w:r w:rsidR="00945786" w:rsidRPr="00367D60">
        <w:rPr>
          <w:rFonts w:ascii="Palatino Linotype" w:eastAsia="Palatino Linotype" w:hAnsi="Palatino Linotype" w:cs="Palatino Linotype"/>
          <w:color w:val="000000" w:themeColor="text1"/>
        </w:rPr>
        <w:t xml:space="preserve">: oficio número 2000100000/1104/2025 de fecha nueve de abril de dos mil veinticinco, suscrito por el Secretario Particular de Presidencia quien señaló, de forma medular, que el requerimiento se trata de interrogantes y manifestaciones subjetivas que no se satisfacen con la entrega de documentos, no obstante, remite el Reglamento de Tránsito Municipal y el link del H. Ayuntamiento. </w:t>
      </w:r>
    </w:p>
    <w:p w:rsidR="003672D7" w:rsidRPr="00367D60" w:rsidRDefault="003672D7" w:rsidP="00E7229C">
      <w:pPr>
        <w:pBdr>
          <w:top w:val="nil"/>
          <w:left w:val="nil"/>
          <w:bottom w:val="nil"/>
          <w:right w:val="nil"/>
          <w:between w:val="nil"/>
        </w:pBdr>
        <w:rPr>
          <w:rFonts w:ascii="Palatino Linotype" w:eastAsia="Palatino Linotype" w:hAnsi="Palatino Linotype" w:cs="Palatino Linotype"/>
          <w:color w:val="000000" w:themeColor="text1"/>
        </w:rPr>
      </w:pPr>
    </w:p>
    <w:p w:rsidR="003672D7" w:rsidRPr="00367D60" w:rsidRDefault="00313EC3" w:rsidP="00E7229C">
      <w:pPr>
        <w:numPr>
          <w:ilvl w:val="0"/>
          <w:numId w:val="4"/>
        </w:numPr>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hyperlink r:id="rId10">
        <w:r w:rsidR="00945786" w:rsidRPr="00367D60">
          <w:rPr>
            <w:rFonts w:ascii="Palatino Linotype" w:eastAsia="Palatino Linotype" w:hAnsi="Palatino Linotype" w:cs="Palatino Linotype"/>
            <w:b/>
            <w:color w:val="000000" w:themeColor="text1"/>
            <w:u w:val="single"/>
          </w:rPr>
          <w:t>ANEXO 1870.docx</w:t>
        </w:r>
      </w:hyperlink>
      <w:r w:rsidR="00945786" w:rsidRPr="00367D60">
        <w:rPr>
          <w:rFonts w:ascii="Palatino Linotype" w:eastAsia="Palatino Linotype" w:hAnsi="Palatino Linotype" w:cs="Palatino Linotype"/>
          <w:color w:val="000000" w:themeColor="text1"/>
        </w:rPr>
        <w:t xml:space="preserve">: </w:t>
      </w:r>
      <w:hyperlink r:id="rId11">
        <w:r w:rsidR="00945786" w:rsidRPr="00367D60">
          <w:rPr>
            <w:rFonts w:ascii="Palatino Linotype" w:hAnsi="Palatino Linotype"/>
            <w:color w:val="000000" w:themeColor="text1"/>
            <w:u w:val="single"/>
          </w:rPr>
          <w:t>https://www2.toluca.gob.mx/</w:t>
        </w:r>
      </w:hyperlink>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El </w:t>
      </w:r>
      <w:r w:rsidRPr="00367D60">
        <w:rPr>
          <w:rFonts w:ascii="Palatino Linotype" w:eastAsia="Palatino Linotype" w:hAnsi="Palatino Linotype" w:cs="Palatino Linotype"/>
          <w:b/>
          <w:color w:val="000000" w:themeColor="text1"/>
        </w:rPr>
        <w:t>veinticuatro de abril de dos mil veinticinco</w:t>
      </w:r>
      <w:r w:rsidRPr="00367D60">
        <w:rPr>
          <w:rFonts w:ascii="Palatino Linotype" w:eastAsia="Palatino Linotype" w:hAnsi="Palatino Linotype" w:cs="Palatino Linotype"/>
          <w:color w:val="000000" w:themeColor="text1"/>
        </w:rPr>
        <w:t>, el particular interpuso el recurso de revisión; impugnación en la que refirió lo siguiente:</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2"/>
        </w:numPr>
        <w:pBdr>
          <w:top w:val="nil"/>
          <w:left w:val="nil"/>
          <w:bottom w:val="nil"/>
          <w:right w:val="nil"/>
          <w:between w:val="nil"/>
        </w:pBdr>
        <w:tabs>
          <w:tab w:val="left" w:pos="1134"/>
          <w:tab w:val="left" w:pos="8222"/>
        </w:tabs>
        <w:spacing w:line="276" w:lineRule="auto"/>
        <w:ind w:left="0"/>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color w:val="000000" w:themeColor="text1"/>
        </w:rPr>
        <w:t>Acto impugnado:</w:t>
      </w:r>
      <w:r w:rsidRPr="00367D60">
        <w:rPr>
          <w:rFonts w:ascii="Palatino Linotype" w:eastAsia="Palatino Linotype" w:hAnsi="Palatino Linotype" w:cs="Palatino Linotype"/>
          <w:color w:val="000000" w:themeColor="text1"/>
        </w:rPr>
        <w:t xml:space="preserve"> “</w:t>
      </w:r>
      <w:r w:rsidRPr="00367D60">
        <w:rPr>
          <w:rFonts w:ascii="Palatino Linotype" w:eastAsia="Palatino Linotype" w:hAnsi="Palatino Linotype" w:cs="Palatino Linotype"/>
          <w:i/>
          <w:color w:val="000000" w:themeColor="text1"/>
        </w:rPr>
        <w:t>La respuesta esta incompleta”</w:t>
      </w:r>
      <w:r w:rsidRPr="00367D60">
        <w:rPr>
          <w:rFonts w:ascii="Palatino Linotype" w:eastAsia="Palatino Linotype" w:hAnsi="Palatino Linotype" w:cs="Palatino Linotype"/>
          <w:color w:val="000000" w:themeColor="text1"/>
        </w:rPr>
        <w:t xml:space="preserve"> (Sic).</w:t>
      </w:r>
    </w:p>
    <w:p w:rsidR="003672D7" w:rsidRPr="00367D60" w:rsidRDefault="003672D7" w:rsidP="00E7229C">
      <w:pPr>
        <w:pBdr>
          <w:top w:val="nil"/>
          <w:left w:val="nil"/>
          <w:bottom w:val="nil"/>
          <w:right w:val="nil"/>
          <w:between w:val="nil"/>
        </w:pBdr>
        <w:tabs>
          <w:tab w:val="left" w:pos="1134"/>
          <w:tab w:val="left" w:pos="8222"/>
        </w:tabs>
        <w:spacing w:line="276"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2"/>
        </w:numPr>
        <w:pBdr>
          <w:top w:val="nil"/>
          <w:left w:val="nil"/>
          <w:bottom w:val="nil"/>
          <w:right w:val="nil"/>
          <w:between w:val="nil"/>
        </w:pBdr>
        <w:tabs>
          <w:tab w:val="left" w:pos="1134"/>
          <w:tab w:val="left" w:pos="8222"/>
        </w:tabs>
        <w:spacing w:line="276" w:lineRule="auto"/>
        <w:ind w:left="0"/>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color w:val="000000" w:themeColor="text1"/>
        </w:rPr>
        <w:t>Razones o motivos de inconformidad:</w:t>
      </w:r>
      <w:r w:rsidRPr="00367D60">
        <w:rPr>
          <w:rFonts w:ascii="Palatino Linotype" w:eastAsia="Palatino Linotype" w:hAnsi="Palatino Linotype" w:cs="Palatino Linotype"/>
          <w:color w:val="000000" w:themeColor="text1"/>
        </w:rPr>
        <w:t xml:space="preserve"> “</w:t>
      </w:r>
      <w:r w:rsidRPr="00367D60">
        <w:rPr>
          <w:rFonts w:ascii="Palatino Linotype" w:eastAsia="Palatino Linotype" w:hAnsi="Palatino Linotype" w:cs="Palatino Linotype"/>
          <w:i/>
          <w:color w:val="000000" w:themeColor="text1"/>
        </w:rPr>
        <w:t>La entrega de la información esta incompleta”</w:t>
      </w:r>
      <w:r w:rsidRPr="00367D60">
        <w:rPr>
          <w:rFonts w:ascii="Palatino Linotype" w:eastAsia="Palatino Linotype" w:hAnsi="Palatino Linotype" w:cs="Palatino Linotype"/>
          <w:color w:val="000000" w:themeColor="text1"/>
        </w:rPr>
        <w:t xml:space="preserve"> (Sic).</w:t>
      </w:r>
    </w:p>
    <w:p w:rsidR="003672D7" w:rsidRPr="00367D60" w:rsidRDefault="003672D7" w:rsidP="00E7229C">
      <w:pP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Se registró el recurso de revisión bajo el número de expediente </w:t>
      </w:r>
      <w:r w:rsidRPr="00367D60">
        <w:rPr>
          <w:rFonts w:ascii="Palatino Linotype" w:eastAsia="Palatino Linotype" w:hAnsi="Palatino Linotype" w:cs="Palatino Linotype"/>
          <w:b/>
          <w:color w:val="000000" w:themeColor="text1"/>
        </w:rPr>
        <w:t>04763/INFOEM/IP/RR/2025</w:t>
      </w:r>
      <w:r w:rsidRPr="00367D60">
        <w:rPr>
          <w:rFonts w:ascii="Palatino Linotype" w:eastAsia="Palatino Linotype" w:hAnsi="Palatino Linotype" w:cs="Palatino Linotype"/>
          <w:color w:val="000000" w:themeColor="text1"/>
        </w:rPr>
        <w:t xml:space="preserve">; asimismo, con fundamento en lo dispuesto por el artículo 185, fracción I, de la Ley de Transparencia y Acceso a la Información Pública del Estado de México y Municipios se turna a la </w:t>
      </w:r>
      <w:r w:rsidRPr="00367D60">
        <w:rPr>
          <w:rFonts w:ascii="Palatino Linotype" w:eastAsia="Palatino Linotype" w:hAnsi="Palatino Linotype" w:cs="Palatino Linotype"/>
          <w:b/>
          <w:color w:val="000000" w:themeColor="text1"/>
        </w:rPr>
        <w:t>Comisionada María del Rosario Mejía Ayala</w:t>
      </w:r>
      <w:r w:rsidRPr="00367D60">
        <w:rPr>
          <w:rFonts w:ascii="Palatino Linotype" w:eastAsia="Palatino Linotype" w:hAnsi="Palatino Linotype" w:cs="Palatino Linotype"/>
          <w:color w:val="000000" w:themeColor="text1"/>
        </w:rPr>
        <w:t>, para su análisis.</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r w:rsidRPr="00367D6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367D60">
        <w:rPr>
          <w:rFonts w:ascii="Palatino Linotype" w:eastAsia="Palatino Linotype" w:hAnsi="Palatino Linotype" w:cs="Palatino Linotype"/>
          <w:b/>
          <w:color w:val="000000" w:themeColor="text1"/>
        </w:rPr>
        <w:t>veinticinco de abril de dos mil veinticinco</w:t>
      </w:r>
      <w:r w:rsidRPr="00367D60">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 lo que a derecho conviniera, </w:t>
      </w:r>
      <w:r w:rsidRPr="00367D60">
        <w:rPr>
          <w:rFonts w:ascii="Palatino Linotype" w:eastAsia="Palatino Linotype" w:hAnsi="Palatino Linotype" w:cs="Palatino Linotype"/>
          <w:color w:val="000000" w:themeColor="text1"/>
        </w:rPr>
        <w:lastRenderedPageBreak/>
        <w:t xml:space="preserve">ofreciera pruebas y alegatos según corresponda a los casos concretos, de esta forma para que el </w:t>
      </w:r>
      <w:r w:rsidRPr="00367D60">
        <w:rPr>
          <w:rFonts w:ascii="Palatino Linotype" w:eastAsia="Palatino Linotype" w:hAnsi="Palatino Linotype" w:cs="Palatino Linotype"/>
          <w:b/>
          <w:color w:val="000000" w:themeColor="text1"/>
        </w:rPr>
        <w:t>SUJETO OBLIGADO</w:t>
      </w:r>
      <w:r w:rsidRPr="00367D60">
        <w:rPr>
          <w:rFonts w:ascii="Palatino Linotype" w:eastAsia="Palatino Linotype" w:hAnsi="Palatino Linotype" w:cs="Palatino Linotype"/>
          <w:color w:val="000000" w:themeColor="text1"/>
        </w:rPr>
        <w:t xml:space="preserve"> presentará su Informe Justificado respectivo.</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De las constancias del expediente SAIMEX, se advierte que el Recurrente no realizó manifestaciones; por su parte, el Sujeto Obligado entregó informe justificado el ocho de mayo de dos mil veinticinco, mismo que se puso a la vista del particular el ocho de mayo del mismo año y que consta de los archivos que se describen enseguida:</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313EC3" w:rsidP="00E7229C">
      <w:pPr>
        <w:numPr>
          <w:ilvl w:val="0"/>
          <w:numId w:val="3"/>
        </w:numPr>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rPr>
      </w:pPr>
      <w:hyperlink r:id="rId12">
        <w:r w:rsidR="00945786" w:rsidRPr="00367D60">
          <w:rPr>
            <w:rFonts w:ascii="Palatino Linotype" w:eastAsia="Palatino Linotype" w:hAnsi="Palatino Linotype" w:cs="Palatino Linotype"/>
            <w:b/>
            <w:color w:val="000000" w:themeColor="text1"/>
            <w:u w:val="single"/>
          </w:rPr>
          <w:t>AnexoRR04763-2025.pdf</w:t>
        </w:r>
      </w:hyperlink>
      <w:r w:rsidR="00945786" w:rsidRPr="00367D60">
        <w:rPr>
          <w:rFonts w:ascii="Palatino Linotype" w:eastAsia="Palatino Linotype" w:hAnsi="Palatino Linotype" w:cs="Palatino Linotype"/>
          <w:color w:val="000000" w:themeColor="text1"/>
        </w:rPr>
        <w:t xml:space="preserve">: oficio número 200010000/1349/2025 de fecha seis de mayo de dos mil veinticinco, suscrito por el Secretario Particular de Presidencia, quien, de forma medular, ratificó su respuesta. </w:t>
      </w:r>
    </w:p>
    <w:p w:rsidR="003672D7" w:rsidRPr="00367D60" w:rsidRDefault="00313EC3" w:rsidP="00E7229C">
      <w:pPr>
        <w:numPr>
          <w:ilvl w:val="0"/>
          <w:numId w:val="3"/>
        </w:numPr>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rPr>
      </w:pPr>
      <w:hyperlink r:id="rId13">
        <w:r w:rsidR="00945786" w:rsidRPr="00367D60">
          <w:rPr>
            <w:rFonts w:ascii="Palatino Linotype" w:eastAsia="Palatino Linotype" w:hAnsi="Palatino Linotype" w:cs="Palatino Linotype"/>
            <w:b/>
            <w:color w:val="000000" w:themeColor="text1"/>
            <w:u w:val="single"/>
          </w:rPr>
          <w:t>Ratificación 4763.pdf</w:t>
        </w:r>
      </w:hyperlink>
      <w:r w:rsidR="00945786" w:rsidRPr="00367D60">
        <w:rPr>
          <w:rFonts w:ascii="Palatino Linotype" w:eastAsia="Palatino Linotype" w:hAnsi="Palatino Linotype" w:cs="Palatino Linotype"/>
          <w:color w:val="000000" w:themeColor="text1"/>
        </w:rPr>
        <w:t xml:space="preserve">: documento de respuesta emitido por el Titular de la Unidad de Transparencia, quien ratificó la respuesta. </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Finalmente, el </w:t>
      </w:r>
      <w:r w:rsidRPr="00367D60">
        <w:rPr>
          <w:rFonts w:ascii="Palatino Linotype" w:eastAsia="Palatino Linotype" w:hAnsi="Palatino Linotype" w:cs="Palatino Linotype"/>
          <w:b/>
          <w:color w:val="000000" w:themeColor="text1"/>
        </w:rPr>
        <w:t>veintiuno de mayo de dos mil veinticinco</w:t>
      </w:r>
      <w:r w:rsidRPr="00367D60">
        <w:rPr>
          <w:rFonts w:ascii="Palatino Linotype" w:eastAsia="Palatino Linotype" w:hAnsi="Palatino Linotype" w:cs="Palatino Linotype"/>
          <w:color w:val="000000" w:themeColor="text1"/>
        </w:rPr>
        <w:t xml:space="preserve">, la Comisionada Ponente decretó el cierre del periodo de instrucción, por lo que ordenó turnar el expediente para su resolución, misma que ahora se pronuncia; y </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bookmarkStart w:id="3" w:name="_heading=h.1fob9te" w:colFirst="0" w:colLast="0"/>
      <w:bookmarkEnd w:id="3"/>
    </w:p>
    <w:p w:rsidR="003672D7" w:rsidRPr="00367D60" w:rsidRDefault="00945786" w:rsidP="00E7229C">
      <w:pPr>
        <w:pStyle w:val="Ttulo1"/>
        <w:spacing w:before="0" w:line="360" w:lineRule="auto"/>
        <w:jc w:val="center"/>
        <w:rPr>
          <w:b/>
          <w:color w:val="000000" w:themeColor="text1"/>
          <w:szCs w:val="24"/>
        </w:rPr>
      </w:pPr>
      <w:bookmarkStart w:id="4" w:name="_heading=h.3znysh7" w:colFirst="0" w:colLast="0"/>
      <w:bookmarkEnd w:id="4"/>
      <w:r w:rsidRPr="00367D60">
        <w:rPr>
          <w:b/>
          <w:color w:val="000000" w:themeColor="text1"/>
          <w:szCs w:val="24"/>
        </w:rPr>
        <w:t>C O N S I D E R A N D O</w:t>
      </w:r>
    </w:p>
    <w:p w:rsidR="003672D7" w:rsidRPr="00367D60" w:rsidRDefault="003672D7" w:rsidP="00E7229C">
      <w:pPr>
        <w:spacing w:line="360" w:lineRule="auto"/>
        <w:rPr>
          <w:rFonts w:ascii="Palatino Linotype" w:hAnsi="Palatino Linotype"/>
          <w:color w:val="000000" w:themeColor="text1"/>
        </w:rPr>
      </w:pPr>
    </w:p>
    <w:p w:rsidR="003672D7" w:rsidRPr="00367D60" w:rsidRDefault="00945786" w:rsidP="00E7229C">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367D60">
        <w:rPr>
          <w:rFonts w:ascii="Palatino Linotype" w:eastAsia="Palatino Linotype" w:hAnsi="Palatino Linotype" w:cs="Palatino Linotype"/>
          <w:b/>
          <w:color w:val="000000" w:themeColor="text1"/>
          <w:sz w:val="24"/>
          <w:szCs w:val="24"/>
        </w:rPr>
        <w:t>PRIMERO. De la competencia</w:t>
      </w: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367D6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séptimo, </w:t>
      </w:r>
      <w:r w:rsidRPr="00367D60">
        <w:rPr>
          <w:rFonts w:ascii="Palatino Linotype" w:eastAsia="Palatino Linotype" w:hAnsi="Palatino Linotype" w:cs="Palatino Linotype"/>
          <w:color w:val="000000" w:themeColor="text1"/>
        </w:rPr>
        <w:lastRenderedPageBreak/>
        <w:t>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Pr="00367D60">
        <w:rPr>
          <w:rFonts w:ascii="Palatino Linotype" w:eastAsia="Palatino Linotype" w:hAnsi="Palatino Linotype" w:cs="Palatino Linotype"/>
          <w:b/>
          <w:color w:val="000000" w:themeColor="text1"/>
        </w:rPr>
        <w:t>.</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p>
    <w:p w:rsidR="003672D7" w:rsidRPr="00367D60" w:rsidRDefault="00945786" w:rsidP="00E7229C">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367D60">
        <w:rPr>
          <w:rFonts w:ascii="Palatino Linotype" w:eastAsia="Palatino Linotype" w:hAnsi="Palatino Linotype" w:cs="Palatino Linotype"/>
          <w:b/>
          <w:color w:val="000000" w:themeColor="text1"/>
          <w:sz w:val="24"/>
          <w:szCs w:val="24"/>
        </w:rPr>
        <w:t>SEGUNDO. De la oportunidad y procedencia.</w:t>
      </w: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El medio de impugnación fue presentado a través del </w:t>
      </w:r>
      <w:r w:rsidRPr="00367D60">
        <w:rPr>
          <w:rFonts w:ascii="Palatino Linotype" w:eastAsia="Palatino Linotype" w:hAnsi="Palatino Linotype" w:cs="Palatino Linotype"/>
          <w:b/>
          <w:color w:val="000000" w:themeColor="text1"/>
        </w:rPr>
        <w:t>SAIMEX,</w:t>
      </w:r>
      <w:r w:rsidRPr="00367D6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367D60">
        <w:rPr>
          <w:rFonts w:ascii="Palatino Linotype" w:eastAsia="Palatino Linotype" w:hAnsi="Palatino Linotype" w:cs="Palatino Linotype"/>
          <w:b/>
          <w:color w:val="000000" w:themeColor="text1"/>
        </w:rPr>
        <w:t>SUJETO OBLIGADO</w:t>
      </w:r>
      <w:r w:rsidRPr="00367D60">
        <w:rPr>
          <w:rFonts w:ascii="Palatino Linotype" w:eastAsia="Palatino Linotype" w:hAnsi="Palatino Linotype" w:cs="Palatino Linotype"/>
          <w:color w:val="000000" w:themeColor="text1"/>
        </w:rPr>
        <w:t xml:space="preserve"> entregó respuesta a la solicitud el día </w:t>
      </w:r>
      <w:r w:rsidRPr="00367D60">
        <w:rPr>
          <w:rFonts w:ascii="Palatino Linotype" w:eastAsia="Palatino Linotype" w:hAnsi="Palatino Linotype" w:cs="Palatino Linotype"/>
          <w:b/>
          <w:color w:val="000000" w:themeColor="text1"/>
        </w:rPr>
        <w:t>veinticuatro de abril de dos mil veinticinco</w:t>
      </w:r>
      <w:r w:rsidRPr="00367D60">
        <w:rPr>
          <w:rFonts w:ascii="Palatino Linotype" w:eastAsia="Palatino Linotype" w:hAnsi="Palatino Linotype" w:cs="Palatino Linotype"/>
          <w:color w:val="000000" w:themeColor="text1"/>
        </w:rPr>
        <w:t xml:space="preserve">, de tal forma que el plazo para interponer el recurso de revisión transcurrió del </w:t>
      </w:r>
      <w:r w:rsidRPr="00367D60">
        <w:rPr>
          <w:rFonts w:ascii="Palatino Linotype" w:eastAsia="Palatino Linotype" w:hAnsi="Palatino Linotype" w:cs="Palatino Linotype"/>
          <w:b/>
          <w:color w:val="000000" w:themeColor="text1"/>
        </w:rPr>
        <w:t>veinticinco de abril al diecinueve de mayo de dos mil veinticinco</w:t>
      </w:r>
      <w:r w:rsidRPr="00367D60">
        <w:rPr>
          <w:rFonts w:ascii="Palatino Linotype" w:eastAsia="Palatino Linotype" w:hAnsi="Palatino Linotype" w:cs="Palatino Linotype"/>
          <w:color w:val="000000" w:themeColor="text1"/>
        </w:rPr>
        <w:t xml:space="preserve">; en consecuencia, presentó su inconformidad el día </w:t>
      </w:r>
      <w:r w:rsidRPr="00367D60">
        <w:rPr>
          <w:rFonts w:ascii="Palatino Linotype" w:eastAsia="Palatino Linotype" w:hAnsi="Palatino Linotype" w:cs="Palatino Linotype"/>
          <w:b/>
          <w:color w:val="000000" w:themeColor="text1"/>
        </w:rPr>
        <w:t>veinticuatro de abril de dos mil veinticinco</w:t>
      </w:r>
      <w:r w:rsidRPr="00367D60">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367D6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67D60">
        <w:rPr>
          <w:rFonts w:ascii="Palatino Linotype" w:eastAsia="Palatino Linotype" w:hAnsi="Palatino Linotype" w:cs="Palatino Linotype"/>
          <w:color w:val="000000" w:themeColor="text1"/>
        </w:rPr>
        <w:t>vigente.</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w:t>
      </w:r>
      <w:r w:rsidRPr="00367D60">
        <w:rPr>
          <w:rFonts w:ascii="Palatino Linotype" w:eastAsia="Palatino Linotype" w:hAnsi="Palatino Linotype" w:cs="Palatino Linotype"/>
          <w:color w:val="000000" w:themeColor="text1"/>
        </w:rPr>
        <w:lastRenderedPageBreak/>
        <w:t>que en aras de privilegiar el derecho de acceso a la información se entra al estudio del presente recurso de revisión sin que la fecha en que se presentó afecte la resolución.</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3672D7" w:rsidRPr="00367D60" w:rsidRDefault="00945786" w:rsidP="00E7229C">
      <w:pPr>
        <w:spacing w:before="240"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 1a./J. 41/2015 (10a.) </w:t>
      </w: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Recurso de reclamación 1067/2014. Raúl Rodríguez Cervantes. 28 de enero de 2015. Cinco votos de los Ministros Arturo Zaldívar Lelo de Larrea, José Ramón Cossío Díaz, Jorge Mario Pardo </w:t>
      </w:r>
      <w:r w:rsidRPr="00367D60">
        <w:rPr>
          <w:rFonts w:ascii="Palatino Linotype" w:eastAsia="Palatino Linotype" w:hAnsi="Palatino Linotype" w:cs="Palatino Linotype"/>
          <w:i/>
          <w:color w:val="000000" w:themeColor="text1"/>
        </w:rPr>
        <w:lastRenderedPageBreak/>
        <w:t xml:space="preserve">Rebolledo, Olga Sánchez Cordero de García Villegas y Alfredo Gutiérrez Ortiz Mena. Ponente: Alfredo Gutiérrez Ortiz Mena. Secretaria: Cecilia Armengol Alonso.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spacing w:after="240"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Tesis de jurisprudencia 41/2015 (10a.). Aprobada por la Primera Sala de este Alto Tribunal, en sesión privada de veintisiete de mayo de dos mil quince.</w:t>
      </w: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color w:val="000000" w:themeColor="text1"/>
        </w:rPr>
        <w:t xml:space="preserve">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w:t>
      </w:r>
      <w:r w:rsidRPr="00367D60">
        <w:rPr>
          <w:rFonts w:ascii="Palatino Linotype" w:eastAsia="Palatino Linotype" w:hAnsi="Palatino Linotype" w:cs="Palatino Linotype"/>
          <w:color w:val="000000" w:themeColor="text1"/>
        </w:rPr>
        <w:lastRenderedPageBreak/>
        <w:t>que el mismo día de notificada el recurrente actúe, ya que al contrario lo que demuestra es el interés del mismo para ejercer su derecho bajo el principio constitucional de justicia expedita.</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color w:val="000000" w:themeColor="text1"/>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367D60">
        <w:rPr>
          <w:rFonts w:ascii="Palatino Linotype" w:eastAsia="Palatino Linotype" w:hAnsi="Palatino Linotype" w:cs="Palatino Linotype"/>
          <w:b/>
          <w:color w:val="000000" w:themeColor="text1"/>
        </w:rPr>
        <w:t>SUJETO OBLIGADO</w:t>
      </w:r>
      <w:r w:rsidRPr="00367D60">
        <w:rPr>
          <w:rFonts w:ascii="Palatino Linotype" w:eastAsia="Palatino Linotype" w:hAnsi="Palatino Linotype" w:cs="Palatino Linotype"/>
          <w:color w:val="000000" w:themeColor="text1"/>
        </w:rPr>
        <w:t>.</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Por otro lado, 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367D60">
        <w:rPr>
          <w:rFonts w:ascii="Palatino Linotype" w:eastAsia="Palatino Linotype" w:hAnsi="Palatino Linotype" w:cs="Palatino Linotype"/>
          <w:b/>
          <w:color w:val="000000" w:themeColor="text1"/>
        </w:rPr>
        <w:t>no señaló su nombre, ni se tiene certeza de su identidad</w:t>
      </w:r>
      <w:r w:rsidRPr="00367D60">
        <w:rPr>
          <w:rFonts w:ascii="Palatino Linotype" w:eastAsia="Palatino Linotype" w:hAnsi="Palatino Linotype" w:cs="Palatino Linotype"/>
          <w:color w:val="000000" w:themeColor="text1"/>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Esto es así, ya que de conformidad con los artículos 6, apartado A, fracciones III y IV de la Constitución Política de los Estados Unidos Mexicanos; 5, párrafos trigésimo, </w:t>
      </w:r>
      <w:r w:rsidRPr="00367D60">
        <w:rPr>
          <w:rFonts w:ascii="Palatino Linotype" w:eastAsia="Palatino Linotype" w:hAnsi="Palatino Linotype" w:cs="Palatino Linotype"/>
          <w:color w:val="000000" w:themeColor="text1"/>
        </w:rPr>
        <w:lastRenderedPageBreak/>
        <w:t>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Así mismo, como lo establece la Convención Americana, en su artículo 13, el derecho de acceso a la información es un derecho humano universal y, en consecuencia, toda persona tiene derecho a solicitar acceso a la información.</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 xml:space="preserve">Por lo tanto, el nombre del </w:t>
      </w:r>
      <w:r w:rsidRPr="00367D60">
        <w:rPr>
          <w:rFonts w:ascii="Palatino Linotype" w:eastAsia="Palatino Linotype" w:hAnsi="Palatino Linotype" w:cs="Palatino Linotype"/>
          <w:b/>
          <w:color w:val="000000" w:themeColor="text1"/>
        </w:rPr>
        <w:t>SOLICITANTE</w:t>
      </w:r>
      <w:r w:rsidRPr="00367D60">
        <w:rPr>
          <w:rFonts w:ascii="Palatino Linotype" w:eastAsia="Palatino Linotype" w:hAnsi="Palatino Linotype" w:cs="Palatino Linotype"/>
          <w:color w:val="000000" w:themeColor="text1"/>
        </w:rPr>
        <w:t xml:space="preserve"> y subsecuente </w:t>
      </w:r>
      <w:r w:rsidRPr="00367D60">
        <w:rPr>
          <w:rFonts w:ascii="Palatino Linotype" w:eastAsia="Palatino Linotype" w:hAnsi="Palatino Linotype" w:cs="Palatino Linotype"/>
          <w:b/>
          <w:color w:val="000000" w:themeColor="text1"/>
        </w:rPr>
        <w:t>RECURRENTE</w:t>
      </w:r>
      <w:r w:rsidRPr="00367D60">
        <w:rPr>
          <w:rFonts w:ascii="Palatino Linotype" w:eastAsia="Palatino Linotype" w:hAnsi="Palatino Linotype" w:cs="Palatino Linotype"/>
          <w:color w:val="000000" w:themeColor="text1"/>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3672D7" w:rsidRPr="00367D60" w:rsidRDefault="003672D7" w:rsidP="00E7229C">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367D60">
        <w:rPr>
          <w:rFonts w:ascii="Palatino Linotype" w:eastAsia="Palatino Linotype" w:hAnsi="Palatino Linotype" w:cs="Palatino Linotype"/>
          <w:b/>
          <w:color w:val="000000" w:themeColor="text1"/>
          <w:sz w:val="24"/>
          <w:szCs w:val="24"/>
        </w:rPr>
        <w:t>TERCERO. De las causales de sobreseimiento.</w:t>
      </w: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367D60">
        <w:rPr>
          <w:rFonts w:ascii="Palatino Linotype" w:eastAsia="Palatino Linotype" w:hAnsi="Palatino Linotype" w:cs="Palatino Linotype"/>
          <w:b/>
          <w:color w:val="000000" w:themeColor="text1"/>
          <w:u w:val="single"/>
        </w:rPr>
        <w:t>sobreseimiento</w:t>
      </w:r>
      <w:r w:rsidRPr="00367D60">
        <w:rPr>
          <w:rFonts w:ascii="Palatino Linotype" w:eastAsia="Palatino Linotype" w:hAnsi="Palatino Linotype" w:cs="Palatino Linotype"/>
          <w:color w:val="000000" w:themeColor="text1"/>
        </w:rPr>
        <w:t xml:space="preserve">; </w:t>
      </w:r>
      <w:r w:rsidRPr="00367D60">
        <w:rPr>
          <w:rFonts w:ascii="Palatino Linotype" w:eastAsia="Palatino Linotype" w:hAnsi="Palatino Linotype" w:cs="Palatino Linotype"/>
          <w:color w:val="000000" w:themeColor="text1"/>
        </w:rPr>
        <w:lastRenderedPageBreak/>
        <w:t xml:space="preserve">y, en su caso, ordenar la entrega de la información respecto a la falta de respuesta por parte del </w:t>
      </w:r>
      <w:r w:rsidRPr="00367D60">
        <w:rPr>
          <w:rFonts w:ascii="Palatino Linotype" w:eastAsia="Palatino Linotype" w:hAnsi="Palatino Linotype" w:cs="Palatino Linotype"/>
          <w:b/>
          <w:color w:val="000000" w:themeColor="text1"/>
        </w:rPr>
        <w:t>SUJETO</w:t>
      </w:r>
      <w:r w:rsidRPr="00367D60">
        <w:rPr>
          <w:rFonts w:ascii="Palatino Linotype" w:eastAsia="Palatino Linotype" w:hAnsi="Palatino Linotype" w:cs="Palatino Linotype"/>
          <w:color w:val="000000" w:themeColor="text1"/>
        </w:rPr>
        <w:t xml:space="preserve"> </w:t>
      </w:r>
      <w:r w:rsidRPr="00367D60">
        <w:rPr>
          <w:rFonts w:ascii="Palatino Linotype" w:eastAsia="Palatino Linotype" w:hAnsi="Palatino Linotype" w:cs="Palatino Linotype"/>
          <w:b/>
          <w:color w:val="000000" w:themeColor="text1"/>
        </w:rPr>
        <w:t>OBLIGADO</w:t>
      </w:r>
      <w:r w:rsidRPr="00367D60">
        <w:rPr>
          <w:rFonts w:ascii="Palatino Linotype" w:eastAsia="Palatino Linotype" w:hAnsi="Palatino Linotype" w:cs="Palatino Linotype"/>
          <w:color w:val="000000" w:themeColor="text1"/>
        </w:rPr>
        <w:t>.</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Establecido lo anterior, de la lectura a la solicitud de información, se advierte que el entonces </w:t>
      </w:r>
      <w:r w:rsidRPr="00367D60">
        <w:rPr>
          <w:rFonts w:ascii="Palatino Linotype" w:eastAsia="Palatino Linotype" w:hAnsi="Palatino Linotype" w:cs="Palatino Linotype"/>
          <w:b/>
          <w:color w:val="000000" w:themeColor="text1"/>
        </w:rPr>
        <w:t>SOLICITANTE</w:t>
      </w:r>
      <w:r w:rsidRPr="00367D60">
        <w:rPr>
          <w:rFonts w:ascii="Palatino Linotype" w:eastAsia="Palatino Linotype" w:hAnsi="Palatino Linotype" w:cs="Palatino Linotype"/>
          <w:color w:val="000000" w:themeColor="text1"/>
        </w:rPr>
        <w:t xml:space="preserve"> requirió acceder a la siguiente información:</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“¿Soliciten a los DELEGADOS DE SANTIAGO TLACOTEPEC indiquen el fundamento legal que les otorga competencia en materia de vialidad municipal (que compete a la materia de seguridad pública municipal), para otorgar algún “VISTO BUENO” para transitar en la carretera al Refugio de esta Delegación de Santiago Tlacotepec, del municipio de Toluca, Estado de México? ¿Soliciten a los DELEGADOS DE SANTIAGO TLACOTEPEC indiquen si conocen la restricción legal que prevé los artículos 9 y 176 del Código Penal del Estado de México?”</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Establecido lo anterior, de la lectura al contenido de la solicitud de información, se advierte que el entonces </w:t>
      </w:r>
      <w:r w:rsidRPr="00367D60">
        <w:rPr>
          <w:rFonts w:ascii="Palatino Linotype" w:eastAsia="Palatino Linotype" w:hAnsi="Palatino Linotype" w:cs="Palatino Linotype"/>
          <w:b/>
          <w:color w:val="000000" w:themeColor="text1"/>
        </w:rPr>
        <w:t>SOLICITANTE</w:t>
      </w:r>
      <w:r w:rsidRPr="00367D60">
        <w:rPr>
          <w:rFonts w:ascii="Palatino Linotype" w:eastAsia="Palatino Linotype" w:hAnsi="Palatino Linotype" w:cs="Palatino Linotype"/>
          <w:color w:val="000000" w:themeColor="text1"/>
        </w:rPr>
        <w:t xml:space="preserve"> requirió al Ayuntamiento de Toluca información que no se atiende a través del derecho de acceso a la información, es decir, le requiere información en base a manifestaciones subjetivas e interrogantes. </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Así las cosas, la pretensión del particular se traduce en el ejercicio de un </w:t>
      </w:r>
      <w:r w:rsidRPr="00367D60">
        <w:rPr>
          <w:rFonts w:ascii="Palatino Linotype" w:eastAsia="Palatino Linotype" w:hAnsi="Palatino Linotype" w:cs="Palatino Linotype"/>
          <w:b/>
          <w:color w:val="000000" w:themeColor="text1"/>
        </w:rPr>
        <w:t>derecho de petición</w:t>
      </w:r>
      <w:r w:rsidRPr="00367D60">
        <w:rPr>
          <w:rFonts w:ascii="Palatino Linotype" w:eastAsia="Palatino Linotype" w:hAnsi="Palatino Linotype" w:cs="Palatino Linotype"/>
          <w:color w:val="000000" w:themeColor="text1"/>
        </w:rPr>
        <w:t>, al consistir en manifestaciones subjetivas unilaterales imposibles de ser atendidas vía ejercicio del derecho de acceso a la información.</w:t>
      </w:r>
    </w:p>
    <w:p w:rsidR="003672D7" w:rsidRPr="00367D60" w:rsidRDefault="003672D7" w:rsidP="00E7229C">
      <w:pPr>
        <w:pBdr>
          <w:top w:val="nil"/>
          <w:left w:val="nil"/>
          <w:bottom w:val="nil"/>
          <w:right w:val="nil"/>
          <w:between w:val="nil"/>
        </w:pBdr>
        <w:rPr>
          <w:rFonts w:ascii="Palatino Linotype" w:eastAsia="Palatino Linotype" w:hAnsi="Palatino Linotype" w:cs="Palatino Linotype"/>
          <w:color w:val="000000" w:themeColor="text1"/>
        </w:rPr>
      </w:pP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Bajo ese contexto, es importante dejar en claro lo que debe entenderse por derecho de petición; al respecto, el Maestro Ignacio Burgoa Orihuela refiere lo define de la siguiente manera:</w:t>
      </w:r>
    </w:p>
    <w:p w:rsidR="003672D7" w:rsidRPr="00367D60" w:rsidRDefault="00945786" w:rsidP="00E7229C">
      <w:pPr>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color w:val="000000" w:themeColor="text1"/>
        </w:rPr>
        <w:t>“</w:t>
      </w:r>
      <w:r w:rsidRPr="00367D60">
        <w:rPr>
          <w:rFonts w:ascii="Palatino Linotype" w:eastAsia="Palatino Linotype" w:hAnsi="Palatino Linotype" w:cs="Palatino Linotype"/>
          <w:color w:val="000000" w:themeColor="text1"/>
        </w:rPr>
        <w:t>…</w:t>
      </w:r>
      <w:r w:rsidRPr="00367D60">
        <w:rPr>
          <w:rFonts w:ascii="Palatino Linotype" w:eastAsia="Palatino Linotype" w:hAnsi="Palatino Linotype" w:cs="Palatino Linotype"/>
          <w:i/>
          <w:color w:val="000000" w:themeColor="text1"/>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r w:rsidRPr="00367D60">
        <w:rPr>
          <w:rFonts w:ascii="Palatino Linotype" w:eastAsia="Palatino Linotype" w:hAnsi="Palatino Linotype" w:cs="Palatino Linotype"/>
          <w:color w:val="000000" w:themeColor="text1"/>
        </w:rPr>
        <w:t>(Sic)</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Por su parte, David Cienfuegos Salgado, concibe al derecho de petición como </w:t>
      </w:r>
      <w:r w:rsidRPr="00367D60">
        <w:rPr>
          <w:rFonts w:ascii="Palatino Linotype" w:eastAsia="Palatino Linotype" w:hAnsi="Palatino Linotype" w:cs="Palatino Linotype"/>
          <w:i/>
          <w:color w:val="000000" w:themeColor="text1"/>
        </w:rPr>
        <w:t>“(…) el derecho de toda persona a ser escuchado por quienes ejercen el poder público.”</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8" w:name="_heading=h.2s8eyo1" w:colFirst="0" w:colLast="0"/>
      <w:bookmarkEnd w:id="8"/>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rPr>
        <w:t>el derecho de toda persona a ser escuchado por quienes ejercen el poder público.</w:t>
      </w: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rPr>
        <w:t xml:space="preserve"> (sic)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 A este respecto, para diferenciar el derecho de petición al derecho de acceso a la información, resulta conducente señalar que José Guadalupe Robles, conceptualiza el derecho a la información como: </w:t>
      </w: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rPr>
        <w:t xml:space="preserve"> (sic)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Corolario a lo anterior, el doctrinario Ernesto Villanueva Villanueva define al derecho de acceso a la información como: </w:t>
      </w:r>
    </w:p>
    <w:p w:rsidR="003672D7" w:rsidRPr="00367D60" w:rsidRDefault="003672D7"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367D60">
        <w:rPr>
          <w:rFonts w:ascii="Palatino Linotype" w:eastAsia="Palatino Linotype" w:hAnsi="Palatino Linotype" w:cs="Palatino Linotype"/>
          <w:b/>
          <w:i/>
          <w:color w:val="000000" w:themeColor="text1"/>
        </w:rPr>
        <w:t>”</w:t>
      </w:r>
      <w:r w:rsidRPr="00367D60">
        <w:rPr>
          <w:rFonts w:ascii="Palatino Linotype" w:eastAsia="Palatino Linotype" w:hAnsi="Palatino Linotype" w:cs="Palatino Linotype"/>
          <w:i/>
          <w:color w:val="000000" w:themeColor="text1"/>
          <w:vertAlign w:val="superscript"/>
        </w:rPr>
        <w:t xml:space="preserve"> </w:t>
      </w:r>
      <w:r w:rsidRPr="00367D60">
        <w:rPr>
          <w:rFonts w:ascii="Palatino Linotype" w:eastAsia="Palatino Linotype" w:hAnsi="Palatino Linotype" w:cs="Palatino Linotype"/>
          <w:i/>
          <w:color w:val="000000" w:themeColor="text1"/>
        </w:rPr>
        <w:t xml:space="preserve">(sic) </w:t>
      </w:r>
    </w:p>
    <w:p w:rsidR="003672D7" w:rsidRPr="00367D60" w:rsidRDefault="003672D7" w:rsidP="00E7229C">
      <w:pPr>
        <w:spacing w:line="360" w:lineRule="auto"/>
        <w:jc w:val="both"/>
        <w:rPr>
          <w:rFonts w:ascii="Palatino Linotype" w:eastAsia="Palatino Linotype" w:hAnsi="Palatino Linotype" w:cs="Palatino Linotype"/>
          <w:i/>
          <w:color w:val="000000" w:themeColor="text1"/>
        </w:rPr>
      </w:pPr>
    </w:p>
    <w:p w:rsidR="003672D7" w:rsidRPr="00367D60" w:rsidRDefault="00945786" w:rsidP="00E7229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r w:rsidRPr="00367D60">
        <w:rPr>
          <w:rFonts w:ascii="Palatino Linotype" w:eastAsia="Palatino Linotype" w:hAnsi="Palatino Linotype" w:cs="Palatino Linotype"/>
          <w:color w:val="000000" w:themeColor="text1"/>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w:t>
      </w:r>
      <w:r w:rsidRPr="00367D60">
        <w:rPr>
          <w:rFonts w:ascii="Palatino Linotype" w:eastAsia="Palatino Linotype" w:hAnsi="Palatino Linotype" w:cs="Palatino Linotype"/>
          <w:color w:val="000000" w:themeColor="text1"/>
        </w:rPr>
        <w:lastRenderedPageBreak/>
        <w:t xml:space="preserve">que actúe en el sentido de contestar lo solicitado, mientras que en el segundo supuesto </w:t>
      </w:r>
      <w:r w:rsidRPr="00367D60">
        <w:rPr>
          <w:rFonts w:ascii="Palatino Linotype" w:eastAsia="Palatino Linotype" w:hAnsi="Palatino Linotype" w:cs="Palatino Linotype"/>
          <w:b/>
          <w:color w:val="000000" w:themeColor="text1"/>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Finalmente, es preciso señalar que la Ley de Transparencia y Acceso a la Información Pública del Estado de México y Municipios, en sus artículos 191, fracción VI y, 192, fracción IV, establece lo siguiente:</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r w:rsidRPr="00367D60">
        <w:rPr>
          <w:rFonts w:ascii="Palatino Linotype" w:eastAsia="Palatino Linotype" w:hAnsi="Palatino Linotype" w:cs="Palatino Linotype"/>
          <w:b/>
          <w:i/>
          <w:color w:val="000000" w:themeColor="text1"/>
        </w:rPr>
        <w:t>Artículo 191.</w:t>
      </w:r>
      <w:r w:rsidRPr="00367D60">
        <w:rPr>
          <w:rFonts w:ascii="Palatino Linotype" w:eastAsia="Palatino Linotype" w:hAnsi="Palatino Linotype" w:cs="Palatino Linotype"/>
          <w:i/>
          <w:color w:val="000000" w:themeColor="text1"/>
        </w:rPr>
        <w:t xml:space="preserve"> El recurso será desechado por improcedente cuando:</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i/>
          <w:color w:val="000000" w:themeColor="text1"/>
        </w:rPr>
        <w:t>VI.</w:t>
      </w:r>
      <w:r w:rsidRPr="00367D60">
        <w:rPr>
          <w:rFonts w:ascii="Palatino Linotype" w:eastAsia="Palatino Linotype" w:hAnsi="Palatino Linotype" w:cs="Palatino Linotype"/>
          <w:i/>
          <w:color w:val="000000" w:themeColor="text1"/>
        </w:rPr>
        <w:t xml:space="preserve"> Se trate de una consulta, o trámite en específico; y</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p>
    <w:p w:rsidR="003672D7" w:rsidRPr="00367D60" w:rsidRDefault="003672D7" w:rsidP="00E7229C">
      <w:pPr>
        <w:tabs>
          <w:tab w:val="left" w:pos="426"/>
        </w:tabs>
        <w:spacing w:line="276" w:lineRule="auto"/>
        <w:jc w:val="both"/>
        <w:rPr>
          <w:rFonts w:ascii="Palatino Linotype" w:eastAsia="Palatino Linotype" w:hAnsi="Palatino Linotype" w:cs="Palatino Linotype"/>
          <w:i/>
          <w:color w:val="000000" w:themeColor="text1"/>
        </w:rPr>
      </w:pP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r w:rsidRPr="00367D60">
        <w:rPr>
          <w:rFonts w:ascii="Palatino Linotype" w:eastAsia="Palatino Linotype" w:hAnsi="Palatino Linotype" w:cs="Palatino Linotype"/>
          <w:b/>
          <w:i/>
          <w:color w:val="000000" w:themeColor="text1"/>
        </w:rPr>
        <w:t>Artículo 192.</w:t>
      </w:r>
      <w:r w:rsidRPr="00367D60">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b/>
          <w:i/>
          <w:color w:val="000000" w:themeColor="text1"/>
        </w:rPr>
        <w:t>IV.</w:t>
      </w:r>
      <w:r w:rsidRPr="00367D60">
        <w:rPr>
          <w:rFonts w:ascii="Palatino Linotype" w:eastAsia="Palatino Linotype" w:hAnsi="Palatino Linotype" w:cs="Palatino Linotype"/>
          <w:i/>
          <w:color w:val="000000" w:themeColor="text1"/>
        </w:rPr>
        <w:t xml:space="preserve"> Admitido el recurso de revisión, aparezca alguna causal de improcedencia en los términos de la presente Ley; y</w:t>
      </w:r>
    </w:p>
    <w:p w:rsidR="003672D7" w:rsidRPr="00367D60" w:rsidRDefault="00945786" w:rsidP="00E7229C">
      <w:pPr>
        <w:tabs>
          <w:tab w:val="left" w:pos="426"/>
        </w:tabs>
        <w:spacing w:line="276" w:lineRule="auto"/>
        <w:jc w:val="both"/>
        <w:rPr>
          <w:rFonts w:ascii="Palatino Linotype" w:eastAsia="Palatino Linotype" w:hAnsi="Palatino Linotype" w:cs="Palatino Linotype"/>
          <w:i/>
          <w:color w:val="000000" w:themeColor="text1"/>
        </w:rPr>
      </w:pPr>
      <w:r w:rsidRPr="00367D60">
        <w:rPr>
          <w:rFonts w:ascii="Palatino Linotype" w:eastAsia="Palatino Linotype" w:hAnsi="Palatino Linotype" w:cs="Palatino Linotype"/>
          <w:i/>
          <w:color w:val="000000" w:themeColor="text1"/>
        </w:rPr>
        <w:t>(…)”</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Así las cosas, la Ley de la materia contempla que el recurso de revisión será desechado por improcedente cuando la solicitud de información primigenia se trate de una </w:t>
      </w:r>
      <w:r w:rsidRPr="00367D60">
        <w:rPr>
          <w:rFonts w:ascii="Palatino Linotype" w:eastAsia="Palatino Linotype" w:hAnsi="Palatino Linotype" w:cs="Palatino Linotype"/>
          <w:b/>
          <w:color w:val="000000" w:themeColor="text1"/>
        </w:rPr>
        <w:t>consulta</w:t>
      </w:r>
      <w:r w:rsidRPr="00367D60">
        <w:rPr>
          <w:rFonts w:ascii="Palatino Linotype" w:eastAsia="Palatino Linotype" w:hAnsi="Palatino Linotype" w:cs="Palatino Linotype"/>
          <w:color w:val="000000" w:themeColor="text1"/>
        </w:rPr>
        <w:t xml:space="preserve"> o, lo que es lo mismo, el ejercicio de un </w:t>
      </w:r>
      <w:r w:rsidRPr="00367D60">
        <w:rPr>
          <w:rFonts w:ascii="Palatino Linotype" w:eastAsia="Palatino Linotype" w:hAnsi="Palatino Linotype" w:cs="Palatino Linotype"/>
          <w:b/>
          <w:color w:val="000000" w:themeColor="text1"/>
        </w:rPr>
        <w:t>derecho de petición</w:t>
      </w:r>
      <w:r w:rsidRPr="00367D60">
        <w:rPr>
          <w:rFonts w:ascii="Palatino Linotype" w:eastAsia="Palatino Linotype" w:hAnsi="Palatino Linotype" w:cs="Palatino Linotype"/>
          <w:color w:val="000000" w:themeColor="text1"/>
        </w:rPr>
        <w:t xml:space="preserve">. Tal como ocurre en el presente asunto al identificarse que el </w:t>
      </w:r>
      <w:r w:rsidRPr="00367D60">
        <w:rPr>
          <w:rFonts w:ascii="Palatino Linotype" w:eastAsia="Palatino Linotype" w:hAnsi="Palatino Linotype" w:cs="Palatino Linotype"/>
          <w:b/>
          <w:color w:val="000000" w:themeColor="text1"/>
        </w:rPr>
        <w:t>RECURRENTE</w:t>
      </w:r>
      <w:r w:rsidRPr="00367D60">
        <w:rPr>
          <w:rFonts w:ascii="Palatino Linotype" w:eastAsia="Palatino Linotype" w:hAnsi="Palatino Linotype" w:cs="Palatino Linotype"/>
          <w:color w:val="000000" w:themeColor="text1"/>
        </w:rPr>
        <w:t xml:space="preserve"> no ejerció su derecho de acceso a la información, sino de petición.</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Al respecto, la doctrina establece que </w:t>
      </w:r>
      <w:r w:rsidRPr="00367D60">
        <w:rPr>
          <w:rFonts w:ascii="Palatino Linotype" w:eastAsia="Palatino Linotype" w:hAnsi="Palatino Linotype" w:cs="Palatino Linotype"/>
          <w:b/>
          <w:color w:val="000000" w:themeColor="text1"/>
        </w:rPr>
        <w:t xml:space="preserve">el sobreseimiento provoca que un procedimiento se suspenda o se resuelva en definitiva sin que se entre al estudio de los </w:t>
      </w:r>
      <w:r w:rsidRPr="00367D60">
        <w:rPr>
          <w:rFonts w:ascii="Palatino Linotype" w:eastAsia="Palatino Linotype" w:hAnsi="Palatino Linotype" w:cs="Palatino Linotype"/>
          <w:b/>
          <w:color w:val="000000" w:themeColor="text1"/>
        </w:rPr>
        <w:lastRenderedPageBreak/>
        <w:t>agravios o motivos de inconformidad</w:t>
      </w:r>
      <w:r w:rsidRPr="00367D60">
        <w:rPr>
          <w:rFonts w:ascii="Palatino Linotype" w:eastAsia="Palatino Linotype" w:hAnsi="Palatino Linotype" w:cs="Palatino Linotype"/>
          <w:color w:val="000000" w:themeColor="text1"/>
        </w:rPr>
        <w:t>. Este mismo criterio es compartido por el más alto tribunal del país en múltiples jurisprudencias, por lo que a continuación se agrega una de ellas que sirve como orientador en esta resolución:</w:t>
      </w:r>
    </w:p>
    <w:p w:rsidR="003672D7" w:rsidRPr="00367D60" w:rsidRDefault="00945786" w:rsidP="00E7229C">
      <w:pPr>
        <w:spacing w:line="276"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367D60">
        <w:rPr>
          <w:rFonts w:ascii="Palatino Linotype" w:eastAsia="Palatino Linotype" w:hAnsi="Palatino Linotype" w:cs="Palatino Linotype"/>
          <w:i/>
          <w:color w:val="000000" w:themeColor="text1"/>
        </w:rPr>
        <w:t xml:space="preserve"> en el juicio de amparo directo </w:t>
      </w:r>
      <w:r w:rsidRPr="00367D60">
        <w:rPr>
          <w:rFonts w:ascii="Palatino Linotype" w:eastAsia="Palatino Linotype" w:hAnsi="Palatino Linotype" w:cs="Palatino Linotype"/>
          <w:b/>
          <w:i/>
          <w:color w:val="000000" w:themeColor="text1"/>
        </w:rPr>
        <w:t>provoca la terminación de la controversia planteada</w:t>
      </w:r>
      <w:r w:rsidRPr="00367D60">
        <w:rPr>
          <w:rFonts w:ascii="Palatino Linotype" w:eastAsia="Palatino Linotype" w:hAnsi="Palatino Linotype" w:cs="Palatino Linotype"/>
          <w:i/>
          <w:color w:val="000000" w:themeColor="text1"/>
        </w:rPr>
        <w:t xml:space="preserve"> por el quejoso en la demanda de amparo</w:t>
      </w:r>
      <w:r w:rsidRPr="00367D60">
        <w:rPr>
          <w:rFonts w:ascii="Palatino Linotype" w:eastAsia="Palatino Linotype" w:hAnsi="Palatino Linotype" w:cs="Palatino Linotype"/>
          <w:b/>
          <w:i/>
          <w:color w:val="000000" w:themeColor="text1"/>
        </w:rPr>
        <w:t>, sin hacer un pronunciamiento de fondo sobre la legalidad o ilegalidad de la sentencia reclamada</w:t>
      </w:r>
      <w:r w:rsidRPr="00367D60">
        <w:rPr>
          <w:rFonts w:ascii="Palatino Linotype" w:eastAsia="Palatino Linotype" w:hAnsi="Palatino Linotype" w:cs="Palatino Linotype"/>
          <w:i/>
          <w:color w:val="000000" w:themeColor="text1"/>
        </w:rPr>
        <w:t xml:space="preserve">. </w:t>
      </w:r>
      <w:r w:rsidRPr="00367D60">
        <w:rPr>
          <w:rFonts w:ascii="Palatino Linotype" w:eastAsia="Palatino Linotype" w:hAnsi="Palatino Linotype" w:cs="Palatino Linotype"/>
          <w:b/>
          <w:i/>
          <w:color w:val="000000" w:themeColor="text1"/>
        </w:rPr>
        <w:t xml:space="preserve">Por consiguiente, si al sobreseerse en el juicio de amparo </w:t>
      </w:r>
      <w:r w:rsidRPr="00367D60">
        <w:rPr>
          <w:rFonts w:ascii="Palatino Linotype" w:eastAsia="Palatino Linotype" w:hAnsi="Palatino Linotype" w:cs="Palatino Linotype"/>
          <w:b/>
          <w:i/>
          <w:color w:val="000000" w:themeColor="text1"/>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67D60">
        <w:rPr>
          <w:rFonts w:ascii="Palatino Linotype" w:eastAsia="Palatino Linotype" w:hAnsi="Palatino Linotype" w:cs="Palatino Linotype"/>
          <w:i/>
          <w:color w:val="000000" w:themeColor="text1"/>
        </w:rPr>
        <w:t>.”</w:t>
      </w:r>
    </w:p>
    <w:p w:rsidR="003672D7" w:rsidRPr="00367D60" w:rsidRDefault="00945786" w:rsidP="00E7229C">
      <w:pPr>
        <w:spacing w:line="276"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(Énfasis añadido)</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Luego entonces, en términos del artículo 186, fracción I, de la Ley de Transparencia y Acceso a la Información Pública del Estado de México y Municipios, este Pleno determina el </w:t>
      </w:r>
      <w:r w:rsidRPr="00367D60">
        <w:rPr>
          <w:rFonts w:ascii="Palatino Linotype" w:eastAsia="Palatino Linotype" w:hAnsi="Palatino Linotype" w:cs="Palatino Linotype"/>
          <w:b/>
          <w:color w:val="000000" w:themeColor="text1"/>
        </w:rPr>
        <w:t xml:space="preserve">SOBRESEIMIENTO </w:t>
      </w:r>
      <w:r w:rsidRPr="00367D60">
        <w:rPr>
          <w:rFonts w:ascii="Palatino Linotype" w:eastAsia="Palatino Linotype" w:hAnsi="Palatino Linotype" w:cs="Palatino Linotype"/>
          <w:color w:val="000000" w:themeColor="text1"/>
        </w:rPr>
        <w:t>del presente recurso de revisión, toda vez que durante la sustanciación del asunto, se quedó sin materia.</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lastRenderedPageBreak/>
        <w:t xml:space="preserve">Por lo tanto, en consecuencia y en mérito de lo expuesto en líneas anteriores, con fundamento en el artículo 192, fracción V, de la Ley de Transparencia y Acceso a la Información Pública del Estado de México y Municipios, se </w:t>
      </w:r>
      <w:r w:rsidRPr="00367D60">
        <w:rPr>
          <w:rFonts w:ascii="Palatino Linotype" w:eastAsia="Palatino Linotype" w:hAnsi="Palatino Linotype" w:cs="Palatino Linotype"/>
          <w:b/>
          <w:color w:val="000000" w:themeColor="text1"/>
        </w:rPr>
        <w:t xml:space="preserve">SOBRESEE </w:t>
      </w:r>
      <w:r w:rsidRPr="00367D60">
        <w:rPr>
          <w:rFonts w:ascii="Palatino Linotype" w:eastAsia="Palatino Linotype" w:hAnsi="Palatino Linotype" w:cs="Palatino Linotype"/>
          <w:color w:val="000000" w:themeColor="text1"/>
        </w:rPr>
        <w:t xml:space="preserve">el recurso de revisión </w:t>
      </w:r>
      <w:r w:rsidRPr="00367D60">
        <w:rPr>
          <w:rFonts w:ascii="Palatino Linotype" w:eastAsia="Palatino Linotype" w:hAnsi="Palatino Linotype" w:cs="Palatino Linotype"/>
          <w:b/>
          <w:color w:val="000000" w:themeColor="text1"/>
        </w:rPr>
        <w:t>04763/INFOEM/IP/RR/2025</w:t>
      </w:r>
      <w:r w:rsidRPr="00367D60">
        <w:rPr>
          <w:rFonts w:ascii="Palatino Linotype" w:eastAsia="Palatino Linotype" w:hAnsi="Palatino Linotype" w:cs="Palatino Linotype"/>
          <w:color w:val="000000" w:themeColor="text1"/>
        </w:rPr>
        <w:t>, que ha sido materia del presente fallo.</w:t>
      </w:r>
    </w:p>
    <w:p w:rsidR="003672D7" w:rsidRPr="00367D60" w:rsidRDefault="003672D7" w:rsidP="00E7229C">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rPr>
        <w:t xml:space="preserve">Por lo anteriormente expuesto y fundado, este </w:t>
      </w:r>
      <w:r w:rsidRPr="00367D60">
        <w:rPr>
          <w:rFonts w:ascii="Palatino Linotype" w:eastAsia="Palatino Linotype" w:hAnsi="Palatino Linotype" w:cs="Palatino Linotype"/>
          <w:b/>
          <w:color w:val="000000" w:themeColor="text1"/>
        </w:rPr>
        <w:t>ÓRGANO GARANTE</w:t>
      </w:r>
      <w:r w:rsidRPr="00367D60">
        <w:rPr>
          <w:rFonts w:ascii="Palatino Linotype" w:eastAsia="Palatino Linotype" w:hAnsi="Palatino Linotype" w:cs="Palatino Linotype"/>
          <w:color w:val="000000" w:themeColor="text1"/>
        </w:rPr>
        <w:t xml:space="preserve"> emite los siguientes: </w:t>
      </w:r>
    </w:p>
    <w:p w:rsidR="003672D7" w:rsidRPr="00367D60" w:rsidRDefault="003672D7" w:rsidP="00E7229C">
      <w:pPr>
        <w:spacing w:line="360" w:lineRule="auto"/>
        <w:rPr>
          <w:rFonts w:ascii="Palatino Linotype" w:eastAsia="Palatino Linotype" w:hAnsi="Palatino Linotype" w:cs="Palatino Linotype"/>
          <w:color w:val="000000" w:themeColor="text1"/>
        </w:rPr>
      </w:pPr>
    </w:p>
    <w:p w:rsidR="003672D7" w:rsidRPr="00367D60" w:rsidRDefault="00945786" w:rsidP="00E7229C">
      <w:pPr>
        <w:pStyle w:val="Ttulo1"/>
        <w:spacing w:before="0" w:line="360" w:lineRule="auto"/>
        <w:jc w:val="center"/>
        <w:rPr>
          <w:b/>
          <w:color w:val="000000" w:themeColor="text1"/>
          <w:szCs w:val="24"/>
        </w:rPr>
      </w:pPr>
      <w:bookmarkStart w:id="9" w:name="_heading=h.17dp8vu" w:colFirst="0" w:colLast="0"/>
      <w:bookmarkEnd w:id="9"/>
      <w:r w:rsidRPr="00367D60">
        <w:rPr>
          <w:b/>
          <w:color w:val="000000" w:themeColor="text1"/>
          <w:szCs w:val="24"/>
        </w:rPr>
        <w:t>R E S O L U T I V O S</w:t>
      </w:r>
    </w:p>
    <w:p w:rsidR="003672D7" w:rsidRPr="00367D60" w:rsidRDefault="003672D7" w:rsidP="00E7229C">
      <w:pPr>
        <w:spacing w:line="360" w:lineRule="auto"/>
        <w:jc w:val="both"/>
        <w:rPr>
          <w:rFonts w:ascii="Palatino Linotype" w:eastAsia="Palatino Linotype" w:hAnsi="Palatino Linotype" w:cs="Palatino Linotype"/>
          <w:b/>
          <w:color w:val="000000" w:themeColor="text1"/>
        </w:rPr>
      </w:pPr>
    </w:p>
    <w:p w:rsidR="003672D7" w:rsidRPr="00367D60" w:rsidRDefault="00945786" w:rsidP="00E7229C">
      <w:pPr>
        <w:spacing w:line="360" w:lineRule="auto"/>
        <w:jc w:val="both"/>
        <w:rPr>
          <w:rFonts w:ascii="Palatino Linotype" w:eastAsia="Palatino Linotype" w:hAnsi="Palatino Linotype" w:cs="Palatino Linotype"/>
          <w:color w:val="000000" w:themeColor="text1"/>
        </w:rPr>
      </w:pPr>
      <w:bookmarkStart w:id="10" w:name="_heading=h.22zx6kolykvr" w:colFirst="0" w:colLast="0"/>
      <w:bookmarkEnd w:id="10"/>
      <w:r w:rsidRPr="00367D60">
        <w:rPr>
          <w:rFonts w:ascii="Palatino Linotype" w:eastAsia="Palatino Linotype" w:hAnsi="Palatino Linotype" w:cs="Palatino Linotype"/>
          <w:b/>
          <w:color w:val="000000" w:themeColor="text1"/>
        </w:rPr>
        <w:t xml:space="preserve">PRIMERO. Se SOBRESEE </w:t>
      </w:r>
      <w:r w:rsidRPr="00367D60">
        <w:rPr>
          <w:rFonts w:ascii="Palatino Linotype" w:eastAsia="Palatino Linotype" w:hAnsi="Palatino Linotype" w:cs="Palatino Linotype"/>
          <w:color w:val="000000" w:themeColor="text1"/>
        </w:rPr>
        <w:t>el recurso de revisión número</w:t>
      </w:r>
      <w:r w:rsidRPr="00367D60">
        <w:rPr>
          <w:rFonts w:ascii="Palatino Linotype" w:eastAsia="Palatino Linotype" w:hAnsi="Palatino Linotype" w:cs="Palatino Linotype"/>
          <w:b/>
          <w:color w:val="000000" w:themeColor="text1"/>
        </w:rPr>
        <w:t xml:space="preserve"> 04763/INFOEM/IP/RR/2025, </w:t>
      </w:r>
      <w:r w:rsidRPr="00367D60">
        <w:rPr>
          <w:rFonts w:ascii="Palatino Linotype" w:eastAsia="Palatino Linotype" w:hAnsi="Palatino Linotype" w:cs="Palatino Linotype"/>
          <w:color w:val="000000" w:themeColor="text1"/>
        </w:rPr>
        <w:t xml:space="preserve">con fundamento en los artículos 191, fracción VI y, 192, fracción IV, de la Ley de Transparencia y Acceso a la Información Pública del Estado de México y Municipios, al tratarse de una consulta, en términos del </w:t>
      </w:r>
      <w:r w:rsidRPr="00367D60">
        <w:rPr>
          <w:rFonts w:ascii="Palatino Linotype" w:eastAsia="Palatino Linotype" w:hAnsi="Palatino Linotype" w:cs="Palatino Linotype"/>
          <w:b/>
          <w:color w:val="000000" w:themeColor="text1"/>
        </w:rPr>
        <w:t>Considerando TERCERO</w:t>
      </w:r>
      <w:r w:rsidRPr="00367D60">
        <w:rPr>
          <w:rFonts w:ascii="Palatino Linotype" w:eastAsia="Palatino Linotype" w:hAnsi="Palatino Linotype" w:cs="Palatino Linotype"/>
          <w:color w:val="000000" w:themeColor="text1"/>
        </w:rPr>
        <w:t xml:space="preserve"> de la presente resolución.</w:t>
      </w:r>
    </w:p>
    <w:p w:rsidR="00367D60" w:rsidRPr="00367D60" w:rsidRDefault="00367D60" w:rsidP="00E7229C">
      <w:pP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67D60">
        <w:rPr>
          <w:rFonts w:ascii="Palatino Linotype" w:eastAsia="Palatino Linotype" w:hAnsi="Palatino Linotype" w:cs="Palatino Linotype"/>
          <w:b/>
          <w:color w:val="000000" w:themeColor="text1"/>
        </w:rPr>
        <w:t xml:space="preserve">SEGUNDO. Notifíquese </w:t>
      </w:r>
      <w:r w:rsidRPr="00367D60">
        <w:rPr>
          <w:rFonts w:ascii="Palatino Linotype" w:eastAsia="Palatino Linotype" w:hAnsi="Palatino Linotype" w:cs="Palatino Linotype"/>
          <w:color w:val="000000" w:themeColor="text1"/>
        </w:rPr>
        <w:t>a través del Sistema de Acceso a la Información Mexiquense (SA</w:t>
      </w:r>
      <w:r w:rsidR="00D7297A" w:rsidRPr="00367D60">
        <w:rPr>
          <w:rFonts w:ascii="Palatino Linotype" w:eastAsia="Palatino Linotype" w:hAnsi="Palatino Linotype" w:cs="Palatino Linotype"/>
          <w:color w:val="000000" w:themeColor="text1"/>
        </w:rPr>
        <w:t xml:space="preserve">IMEX) la presente resolución al </w:t>
      </w:r>
      <w:r w:rsidRPr="00367D60">
        <w:rPr>
          <w:rFonts w:ascii="Palatino Linotype" w:eastAsia="Palatino Linotype" w:hAnsi="Palatino Linotype" w:cs="Palatino Linotype"/>
          <w:color w:val="000000" w:themeColor="text1"/>
        </w:rPr>
        <w:t>Titular de la Unidad de Transparencia del</w:t>
      </w:r>
      <w:r w:rsidRPr="00367D60">
        <w:rPr>
          <w:rFonts w:ascii="Palatino Linotype" w:eastAsia="Palatino Linotype" w:hAnsi="Palatino Linotype" w:cs="Palatino Linotype"/>
          <w:b/>
          <w:color w:val="000000" w:themeColor="text1"/>
        </w:rPr>
        <w:t xml:space="preserve"> SUJETO OBLIGADO. </w:t>
      </w:r>
    </w:p>
    <w:p w:rsidR="003672D7" w:rsidRPr="00367D60" w:rsidRDefault="003672D7" w:rsidP="00E7229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672D7" w:rsidRPr="00367D60" w:rsidRDefault="00945786"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color w:val="000000" w:themeColor="text1"/>
        </w:rPr>
        <w:t xml:space="preserve">TERCERO. Notifíquese </w:t>
      </w:r>
      <w:r w:rsidRPr="00367D60">
        <w:rPr>
          <w:rFonts w:ascii="Palatino Linotype" w:eastAsia="Palatino Linotype" w:hAnsi="Palatino Linotype" w:cs="Palatino Linotype"/>
          <w:color w:val="000000" w:themeColor="text1"/>
        </w:rPr>
        <w:t xml:space="preserve">al </w:t>
      </w:r>
      <w:r w:rsidRPr="00367D60">
        <w:rPr>
          <w:rFonts w:ascii="Palatino Linotype" w:eastAsia="Palatino Linotype" w:hAnsi="Palatino Linotype" w:cs="Palatino Linotype"/>
          <w:b/>
          <w:color w:val="000000" w:themeColor="text1"/>
        </w:rPr>
        <w:t xml:space="preserve">RECURRENTE </w:t>
      </w:r>
      <w:r w:rsidRPr="00367D60">
        <w:rPr>
          <w:rFonts w:ascii="Palatino Linotype" w:eastAsia="Palatino Linotype" w:hAnsi="Palatino Linotype" w:cs="Palatino Linotype"/>
          <w:color w:val="000000" w:themeColor="text1"/>
        </w:rPr>
        <w:t>la presente resolución vía Sistema de Acceso a la Información Mexiquense (SAIMEX).</w:t>
      </w:r>
    </w:p>
    <w:p w:rsidR="00367D60" w:rsidRPr="00367D60" w:rsidRDefault="00367D60"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672D7" w:rsidRPr="00367D60" w:rsidRDefault="00945786" w:rsidP="00E7229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b/>
          <w:color w:val="000000" w:themeColor="text1"/>
        </w:rPr>
        <w:t>CUARTO.</w:t>
      </w:r>
      <w:r w:rsidRPr="00367D60">
        <w:rPr>
          <w:rFonts w:ascii="Palatino Linotype" w:eastAsia="Palatino Linotype" w:hAnsi="Palatino Linotype" w:cs="Palatino Linotype"/>
          <w:color w:val="000000" w:themeColor="text1"/>
        </w:rPr>
        <w:t xml:space="preserve"> Se hace del conocimiento del </w:t>
      </w:r>
      <w:r w:rsidRPr="00367D60">
        <w:rPr>
          <w:rFonts w:ascii="Palatino Linotype" w:eastAsia="Palatino Linotype" w:hAnsi="Palatino Linotype" w:cs="Palatino Linotype"/>
          <w:b/>
          <w:color w:val="000000" w:themeColor="text1"/>
        </w:rPr>
        <w:t xml:space="preserve">RECURRENTE </w:t>
      </w:r>
      <w:r w:rsidRPr="00367D60">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w:t>
      </w:r>
      <w:r w:rsidRPr="00367D60">
        <w:rPr>
          <w:rFonts w:ascii="Palatino Linotype" w:eastAsia="Palatino Linotype" w:hAnsi="Palatino Linotype" w:cs="Palatino Linotype"/>
          <w:color w:val="000000" w:themeColor="text1"/>
        </w:rPr>
        <w:lastRenderedPageBreak/>
        <w:t>algún perjuicio podrá impugnar vía juicio de amparo en los términos de las leyes aplicables.</w:t>
      </w:r>
    </w:p>
    <w:p w:rsidR="00367D60" w:rsidRPr="00367D60" w:rsidRDefault="00367D60" w:rsidP="00367D60">
      <w:pPr>
        <w:spacing w:line="360" w:lineRule="auto"/>
        <w:jc w:val="both"/>
        <w:rPr>
          <w:rFonts w:ascii="Palatino Linotype" w:eastAsia="Palatino Linotype" w:hAnsi="Palatino Linotype" w:cs="Palatino Linotype"/>
          <w:color w:val="000000" w:themeColor="text1"/>
          <w:lang w:val="es-ES_tradnl" w:eastAsia="es-ES"/>
        </w:rPr>
      </w:pPr>
    </w:p>
    <w:p w:rsidR="003672D7" w:rsidRPr="00E7229C" w:rsidRDefault="00367D60" w:rsidP="00367D60">
      <w:pPr>
        <w:spacing w:line="360" w:lineRule="auto"/>
        <w:jc w:val="both"/>
        <w:rPr>
          <w:rFonts w:ascii="Palatino Linotype" w:eastAsia="Palatino Linotype" w:hAnsi="Palatino Linotype" w:cs="Palatino Linotype"/>
          <w:color w:val="000000" w:themeColor="text1"/>
        </w:rPr>
      </w:pPr>
      <w:r w:rsidRPr="00367D60">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367D60">
        <w:rPr>
          <w:rFonts w:ascii="Palatino Linotype" w:eastAsia="Palatino Linotype" w:hAnsi="Palatino Linotype" w:cs="Palatino Linotype"/>
          <w:color w:val="000000" w:themeColor="text1"/>
        </w:rPr>
        <w:t xml:space="preserve">(AUSENCIA JUSTIFICADA) </w:t>
      </w:r>
      <w:r w:rsidRPr="00367D60">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r w:rsidR="00945786" w:rsidRPr="00E7229C">
        <w:rPr>
          <w:rFonts w:ascii="Palatino Linotype" w:hAnsi="Palatino Linotype"/>
          <w:color w:val="000000" w:themeColor="text1"/>
        </w:rPr>
        <w:br w:type="page"/>
      </w:r>
    </w:p>
    <w:p w:rsidR="003672D7" w:rsidRPr="00E7229C" w:rsidRDefault="003672D7" w:rsidP="00E7229C">
      <w:pPr>
        <w:rPr>
          <w:rFonts w:ascii="Palatino Linotype" w:hAnsi="Palatino Linotype"/>
          <w:color w:val="000000" w:themeColor="text1"/>
        </w:rPr>
      </w:pPr>
    </w:p>
    <w:p w:rsidR="003672D7" w:rsidRPr="00E7229C" w:rsidRDefault="003672D7" w:rsidP="00E7229C">
      <w:pPr>
        <w:rPr>
          <w:rFonts w:ascii="Palatino Linotype" w:hAnsi="Palatino Linotype"/>
          <w:color w:val="000000" w:themeColor="text1"/>
        </w:rPr>
      </w:pPr>
    </w:p>
    <w:p w:rsidR="00E7229C" w:rsidRPr="00E7229C" w:rsidRDefault="00E7229C">
      <w:pPr>
        <w:rPr>
          <w:rFonts w:ascii="Palatino Linotype" w:hAnsi="Palatino Linotype"/>
          <w:color w:val="000000" w:themeColor="text1"/>
        </w:rPr>
      </w:pPr>
    </w:p>
    <w:sectPr w:rsidR="00E7229C" w:rsidRPr="00E7229C" w:rsidSect="00E7229C">
      <w:headerReference w:type="default" r:id="rId14"/>
      <w:footerReference w:type="default" r:id="rId15"/>
      <w:headerReference w:type="first" r:id="rId16"/>
      <w:footerReference w:type="first" r:id="rId17"/>
      <w:pgSz w:w="12240" w:h="15840"/>
      <w:pgMar w:top="2021"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C3" w:rsidRDefault="00313EC3">
      <w:r>
        <w:separator/>
      </w:r>
    </w:p>
  </w:endnote>
  <w:endnote w:type="continuationSeparator" w:id="0">
    <w:p w:rsidR="00313EC3" w:rsidRDefault="0031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2D7" w:rsidRDefault="0094578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725B4">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725B4">
      <w:rPr>
        <w:rFonts w:ascii="Palatino Linotype" w:eastAsia="Palatino Linotype" w:hAnsi="Palatino Linotype" w:cs="Palatino Linotype"/>
        <w:b/>
        <w:noProof/>
        <w:color w:val="000000"/>
        <w:sz w:val="22"/>
        <w:szCs w:val="22"/>
      </w:rPr>
      <w:t>19</w:t>
    </w:r>
    <w:r>
      <w:rPr>
        <w:rFonts w:ascii="Palatino Linotype" w:eastAsia="Palatino Linotype" w:hAnsi="Palatino Linotype" w:cs="Palatino Linotype"/>
        <w:b/>
        <w:color w:val="000000"/>
        <w:sz w:val="22"/>
        <w:szCs w:val="22"/>
      </w:rPr>
      <w:fldChar w:fldCharType="end"/>
    </w:r>
  </w:p>
  <w:p w:rsidR="003672D7" w:rsidRDefault="003672D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2D7" w:rsidRDefault="0094578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725B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725B4">
      <w:rPr>
        <w:rFonts w:ascii="Palatino Linotype" w:eastAsia="Palatino Linotype" w:hAnsi="Palatino Linotype" w:cs="Palatino Linotype"/>
        <w:noProof/>
        <w:color w:val="000000"/>
        <w:sz w:val="22"/>
        <w:szCs w:val="22"/>
      </w:rPr>
      <w:t>19</w:t>
    </w:r>
    <w:r>
      <w:rPr>
        <w:rFonts w:ascii="Palatino Linotype" w:eastAsia="Palatino Linotype" w:hAnsi="Palatino Linotype" w:cs="Palatino Linotype"/>
        <w:color w:val="000000"/>
        <w:sz w:val="22"/>
        <w:szCs w:val="22"/>
      </w:rPr>
      <w:fldChar w:fldCharType="end"/>
    </w:r>
  </w:p>
  <w:p w:rsidR="003672D7" w:rsidRDefault="003672D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C3" w:rsidRDefault="00313EC3">
      <w:r>
        <w:separator/>
      </w:r>
    </w:p>
  </w:footnote>
  <w:footnote w:type="continuationSeparator" w:id="0">
    <w:p w:rsidR="00313EC3" w:rsidRDefault="00313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2D7" w:rsidRDefault="003672D7">
    <w:pPr>
      <w:widowControl w:val="0"/>
      <w:pBdr>
        <w:top w:val="nil"/>
        <w:left w:val="nil"/>
        <w:bottom w:val="nil"/>
        <w:right w:val="nil"/>
        <w:between w:val="nil"/>
      </w:pBdr>
      <w:spacing w:line="276" w:lineRule="auto"/>
      <w:rPr>
        <w:color w:val="000000"/>
        <w:sz w:val="20"/>
        <w:szCs w:val="20"/>
      </w:rPr>
    </w:pPr>
  </w:p>
  <w:tbl>
    <w:tblPr>
      <w:tblStyle w:val="a0"/>
      <w:tblW w:w="8075" w:type="dxa"/>
      <w:jc w:val="right"/>
      <w:tblInd w:w="0" w:type="dxa"/>
      <w:tblLayout w:type="fixed"/>
      <w:tblLook w:val="0400" w:firstRow="0" w:lastRow="0" w:firstColumn="0" w:lastColumn="0" w:noHBand="0" w:noVBand="1"/>
    </w:tblPr>
    <w:tblGrid>
      <w:gridCol w:w="4248"/>
      <w:gridCol w:w="3827"/>
    </w:tblGrid>
    <w:tr w:rsidR="003672D7" w:rsidRPr="00E7229C" w:rsidTr="00E7229C">
      <w:trPr>
        <w:trHeight w:val="138"/>
        <w:jc w:val="right"/>
      </w:trPr>
      <w:tc>
        <w:tcPr>
          <w:tcW w:w="4248" w:type="dxa"/>
          <w:vAlign w:val="center"/>
        </w:tcPr>
        <w:p w:rsidR="003672D7" w:rsidRPr="00E7229C" w:rsidRDefault="00945786" w:rsidP="00E7229C">
          <w:pPr>
            <w:ind w:left="594"/>
            <w:jc w:val="right"/>
            <w:rPr>
              <w:rFonts w:ascii="Palatino Linotype" w:eastAsia="Palatino Linotype" w:hAnsi="Palatino Linotype" w:cs="Palatino Linotype"/>
              <w:b/>
            </w:rPr>
          </w:pPr>
          <w:r w:rsidRPr="00E7229C">
            <w:rPr>
              <w:rFonts w:ascii="Palatino Linotype" w:eastAsia="Palatino Linotype" w:hAnsi="Palatino Linotype" w:cs="Palatino Linotype"/>
              <w:b/>
            </w:rPr>
            <w:t>RECURSO DE REVISIÓN:</w:t>
          </w:r>
        </w:p>
      </w:tc>
      <w:tc>
        <w:tcPr>
          <w:tcW w:w="3827" w:type="dxa"/>
          <w:vAlign w:val="center"/>
        </w:tcPr>
        <w:p w:rsidR="003672D7" w:rsidRPr="00E7229C" w:rsidRDefault="00945786" w:rsidP="00E7229C">
          <w:pPr>
            <w:pBdr>
              <w:top w:val="nil"/>
              <w:left w:val="nil"/>
              <w:bottom w:val="nil"/>
              <w:right w:val="nil"/>
              <w:between w:val="nil"/>
            </w:pBdr>
            <w:tabs>
              <w:tab w:val="right" w:pos="8504"/>
            </w:tabs>
            <w:jc w:val="both"/>
            <w:rPr>
              <w:rFonts w:ascii="Palatino Linotype" w:eastAsia="Palatino Linotype" w:hAnsi="Palatino Linotype" w:cs="Palatino Linotype"/>
            </w:rPr>
          </w:pPr>
          <w:r w:rsidRPr="00E7229C">
            <w:rPr>
              <w:rFonts w:ascii="Palatino Linotype" w:eastAsia="Palatino Linotype" w:hAnsi="Palatino Linotype" w:cs="Palatino Linotype"/>
            </w:rPr>
            <w:t>04763/INFOEM/IP/RR/2025</w:t>
          </w:r>
        </w:p>
      </w:tc>
    </w:tr>
    <w:tr w:rsidR="003672D7" w:rsidRPr="00E7229C" w:rsidTr="00E7229C">
      <w:trPr>
        <w:trHeight w:val="233"/>
        <w:jc w:val="right"/>
      </w:trPr>
      <w:tc>
        <w:tcPr>
          <w:tcW w:w="4248" w:type="dxa"/>
          <w:vAlign w:val="center"/>
        </w:tcPr>
        <w:p w:rsidR="003672D7" w:rsidRPr="00E7229C" w:rsidRDefault="00945786" w:rsidP="00E7229C">
          <w:pPr>
            <w:ind w:left="594"/>
            <w:jc w:val="right"/>
            <w:rPr>
              <w:rFonts w:ascii="Palatino Linotype" w:eastAsia="Palatino Linotype" w:hAnsi="Palatino Linotype" w:cs="Palatino Linotype"/>
              <w:b/>
            </w:rPr>
          </w:pPr>
          <w:r w:rsidRPr="00E7229C">
            <w:rPr>
              <w:rFonts w:ascii="Palatino Linotype" w:eastAsia="Palatino Linotype" w:hAnsi="Palatino Linotype" w:cs="Palatino Linotype"/>
              <w:b/>
            </w:rPr>
            <w:t>SUJETO OBLIGADO:</w:t>
          </w:r>
        </w:p>
      </w:tc>
      <w:tc>
        <w:tcPr>
          <w:tcW w:w="3827" w:type="dxa"/>
          <w:vAlign w:val="center"/>
        </w:tcPr>
        <w:p w:rsidR="003672D7" w:rsidRPr="00E7229C" w:rsidRDefault="00945786" w:rsidP="00E7229C">
          <w:pPr>
            <w:pBdr>
              <w:top w:val="nil"/>
              <w:left w:val="nil"/>
              <w:bottom w:val="nil"/>
              <w:right w:val="nil"/>
              <w:between w:val="nil"/>
            </w:pBdr>
            <w:tabs>
              <w:tab w:val="right" w:pos="8504"/>
            </w:tabs>
            <w:rPr>
              <w:rFonts w:ascii="Palatino Linotype" w:eastAsia="Palatino Linotype" w:hAnsi="Palatino Linotype" w:cs="Palatino Linotype"/>
            </w:rPr>
          </w:pPr>
          <w:r w:rsidRPr="00E7229C">
            <w:rPr>
              <w:rFonts w:ascii="Palatino Linotype" w:eastAsia="Palatino Linotype" w:hAnsi="Palatino Linotype" w:cs="Palatino Linotype"/>
            </w:rPr>
            <w:t>Ayuntamiento de Toluca</w:t>
          </w:r>
        </w:p>
      </w:tc>
    </w:tr>
    <w:tr w:rsidR="003672D7" w:rsidRPr="00E7229C" w:rsidTr="00E7229C">
      <w:trPr>
        <w:trHeight w:val="321"/>
        <w:jc w:val="right"/>
      </w:trPr>
      <w:tc>
        <w:tcPr>
          <w:tcW w:w="4248" w:type="dxa"/>
          <w:vAlign w:val="center"/>
        </w:tcPr>
        <w:p w:rsidR="003672D7" w:rsidRPr="00E7229C" w:rsidRDefault="00945786" w:rsidP="00E7229C">
          <w:pPr>
            <w:ind w:left="594"/>
            <w:jc w:val="right"/>
            <w:rPr>
              <w:rFonts w:ascii="Palatino Linotype" w:eastAsia="Palatino Linotype" w:hAnsi="Palatino Linotype" w:cs="Palatino Linotype"/>
              <w:b/>
            </w:rPr>
          </w:pPr>
          <w:r w:rsidRPr="00E7229C">
            <w:rPr>
              <w:rFonts w:ascii="Palatino Linotype" w:eastAsia="Palatino Linotype" w:hAnsi="Palatino Linotype" w:cs="Palatino Linotype"/>
              <w:b/>
            </w:rPr>
            <w:t>COMISIONADA PONENTE:</w:t>
          </w:r>
        </w:p>
      </w:tc>
      <w:tc>
        <w:tcPr>
          <w:tcW w:w="3827" w:type="dxa"/>
          <w:vAlign w:val="center"/>
        </w:tcPr>
        <w:p w:rsidR="003672D7" w:rsidRPr="00E7229C" w:rsidRDefault="00945786" w:rsidP="00E7229C">
          <w:pPr>
            <w:pBdr>
              <w:top w:val="nil"/>
              <w:left w:val="nil"/>
              <w:bottom w:val="nil"/>
              <w:right w:val="nil"/>
              <w:between w:val="nil"/>
            </w:pBdr>
            <w:tabs>
              <w:tab w:val="right" w:pos="8504"/>
            </w:tabs>
            <w:rPr>
              <w:rFonts w:ascii="Palatino Linotype" w:eastAsia="Palatino Linotype" w:hAnsi="Palatino Linotype" w:cs="Palatino Linotype"/>
            </w:rPr>
          </w:pPr>
          <w:r w:rsidRPr="00E7229C">
            <w:rPr>
              <w:rFonts w:ascii="Palatino Linotype" w:eastAsia="Palatino Linotype" w:hAnsi="Palatino Linotype" w:cs="Palatino Linotype"/>
            </w:rPr>
            <w:t>María del Rosario Mejía Ayala</w:t>
          </w:r>
        </w:p>
      </w:tc>
    </w:tr>
  </w:tbl>
  <w:p w:rsidR="003672D7" w:rsidRDefault="00945786">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page">
            <wp:align>center</wp:align>
          </wp:positionH>
          <wp:positionV relativeFrom="page">
            <wp:posOffset>13335</wp:posOffset>
          </wp:positionV>
          <wp:extent cx="7694930" cy="10020300"/>
          <wp:effectExtent l="0" t="0" r="127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2D7" w:rsidRDefault="003672D7">
    <w:pPr>
      <w:widowControl w:val="0"/>
      <w:pBdr>
        <w:top w:val="nil"/>
        <w:left w:val="nil"/>
        <w:bottom w:val="nil"/>
        <w:right w:val="nil"/>
        <w:between w:val="nil"/>
      </w:pBdr>
      <w:spacing w:line="276" w:lineRule="auto"/>
      <w:rPr>
        <w:color w:val="000000"/>
      </w:rPr>
    </w:pPr>
  </w:p>
  <w:tbl>
    <w:tblPr>
      <w:tblStyle w:val="a1"/>
      <w:tblW w:w="7797"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4111"/>
      <w:gridCol w:w="3686"/>
    </w:tblGrid>
    <w:tr w:rsidR="003672D7" w:rsidRPr="00E7229C" w:rsidTr="00E7229C">
      <w:trPr>
        <w:trHeight w:val="138"/>
        <w:jc w:val="right"/>
      </w:trPr>
      <w:tc>
        <w:tcPr>
          <w:tcW w:w="4111" w:type="dxa"/>
          <w:vAlign w:val="center"/>
        </w:tcPr>
        <w:p w:rsidR="003672D7" w:rsidRPr="00E7229C" w:rsidRDefault="00945786" w:rsidP="00E7229C">
          <w:pPr>
            <w:jc w:val="right"/>
            <w:rPr>
              <w:rFonts w:ascii="Palatino Linotype" w:eastAsia="Palatino Linotype" w:hAnsi="Palatino Linotype" w:cs="Palatino Linotype"/>
              <w:b/>
            </w:rPr>
          </w:pPr>
          <w:r w:rsidRPr="00E7229C">
            <w:tab/>
          </w:r>
          <w:r w:rsidRPr="00E7229C">
            <w:rPr>
              <w:rFonts w:ascii="Palatino Linotype" w:eastAsia="Palatino Linotype" w:hAnsi="Palatino Linotype" w:cs="Palatino Linotype"/>
              <w:b/>
            </w:rPr>
            <w:t>RECURSO DE REVISIÓN:</w:t>
          </w:r>
        </w:p>
      </w:tc>
      <w:tc>
        <w:tcPr>
          <w:tcW w:w="3686" w:type="dxa"/>
          <w:vAlign w:val="center"/>
        </w:tcPr>
        <w:p w:rsidR="003672D7" w:rsidRPr="00E7229C" w:rsidRDefault="00945786" w:rsidP="00E7229C">
          <w:pPr>
            <w:pBdr>
              <w:top w:val="nil"/>
              <w:left w:val="nil"/>
              <w:bottom w:val="nil"/>
              <w:right w:val="nil"/>
              <w:between w:val="nil"/>
            </w:pBdr>
            <w:tabs>
              <w:tab w:val="center" w:pos="4252"/>
              <w:tab w:val="right" w:pos="8504"/>
            </w:tabs>
            <w:rPr>
              <w:rFonts w:ascii="Palatino Linotype" w:eastAsia="Palatino Linotype" w:hAnsi="Palatino Linotype" w:cs="Palatino Linotype"/>
            </w:rPr>
          </w:pPr>
          <w:r w:rsidRPr="00E7229C">
            <w:rPr>
              <w:rFonts w:ascii="Palatino Linotype" w:eastAsia="Palatino Linotype" w:hAnsi="Palatino Linotype" w:cs="Palatino Linotype"/>
            </w:rPr>
            <w:t>04763/INFOEM/IP/RR/2025</w:t>
          </w:r>
        </w:p>
      </w:tc>
    </w:tr>
    <w:tr w:rsidR="003672D7" w:rsidRPr="00E7229C" w:rsidTr="00E7229C">
      <w:trPr>
        <w:trHeight w:val="233"/>
        <w:jc w:val="right"/>
      </w:trPr>
      <w:tc>
        <w:tcPr>
          <w:tcW w:w="4111" w:type="dxa"/>
          <w:vAlign w:val="center"/>
        </w:tcPr>
        <w:p w:rsidR="003672D7" w:rsidRPr="00E7229C" w:rsidRDefault="00945786" w:rsidP="00E7229C">
          <w:pPr>
            <w:jc w:val="right"/>
            <w:rPr>
              <w:rFonts w:ascii="Palatino Linotype" w:eastAsia="Palatino Linotype" w:hAnsi="Palatino Linotype" w:cs="Palatino Linotype"/>
              <w:b/>
            </w:rPr>
          </w:pPr>
          <w:r w:rsidRPr="00E7229C">
            <w:rPr>
              <w:rFonts w:ascii="Palatino Linotype" w:eastAsia="Palatino Linotype" w:hAnsi="Palatino Linotype" w:cs="Palatino Linotype"/>
              <w:b/>
            </w:rPr>
            <w:t>RECURRENTE:</w:t>
          </w:r>
        </w:p>
      </w:tc>
      <w:tc>
        <w:tcPr>
          <w:tcW w:w="3686" w:type="dxa"/>
        </w:tcPr>
        <w:p w:rsidR="003672D7" w:rsidRPr="00E7229C" w:rsidRDefault="003672D7" w:rsidP="00E7229C">
          <w:pPr>
            <w:pBdr>
              <w:top w:val="nil"/>
              <w:left w:val="nil"/>
              <w:bottom w:val="nil"/>
              <w:right w:val="nil"/>
              <w:between w:val="nil"/>
            </w:pBdr>
            <w:tabs>
              <w:tab w:val="center" w:pos="4252"/>
              <w:tab w:val="right" w:pos="8504"/>
            </w:tabs>
            <w:rPr>
              <w:rFonts w:ascii="Palatino Linotype" w:eastAsia="Palatino Linotype" w:hAnsi="Palatino Linotype" w:cs="Palatino Linotype"/>
            </w:rPr>
          </w:pPr>
        </w:p>
      </w:tc>
    </w:tr>
    <w:tr w:rsidR="003672D7" w:rsidRPr="00E7229C" w:rsidTr="00E7229C">
      <w:trPr>
        <w:trHeight w:val="321"/>
        <w:jc w:val="right"/>
      </w:trPr>
      <w:tc>
        <w:tcPr>
          <w:tcW w:w="4111" w:type="dxa"/>
          <w:vAlign w:val="center"/>
        </w:tcPr>
        <w:p w:rsidR="003672D7" w:rsidRPr="00E7229C" w:rsidRDefault="00945786" w:rsidP="00E7229C">
          <w:pPr>
            <w:jc w:val="right"/>
            <w:rPr>
              <w:rFonts w:ascii="Palatino Linotype" w:eastAsia="Palatino Linotype" w:hAnsi="Palatino Linotype" w:cs="Palatino Linotype"/>
              <w:b/>
            </w:rPr>
          </w:pPr>
          <w:r w:rsidRPr="00E7229C">
            <w:rPr>
              <w:rFonts w:ascii="Palatino Linotype" w:eastAsia="Palatino Linotype" w:hAnsi="Palatino Linotype" w:cs="Palatino Linotype"/>
              <w:b/>
            </w:rPr>
            <w:t>SUJETO OBLIGADO:</w:t>
          </w:r>
        </w:p>
      </w:tc>
      <w:tc>
        <w:tcPr>
          <w:tcW w:w="3686" w:type="dxa"/>
          <w:vAlign w:val="center"/>
        </w:tcPr>
        <w:p w:rsidR="003672D7" w:rsidRPr="00E7229C" w:rsidRDefault="00945786" w:rsidP="00E7229C">
          <w:pPr>
            <w:pBdr>
              <w:top w:val="nil"/>
              <w:left w:val="nil"/>
              <w:bottom w:val="nil"/>
              <w:right w:val="nil"/>
              <w:between w:val="nil"/>
            </w:pBdr>
            <w:tabs>
              <w:tab w:val="center" w:pos="4252"/>
              <w:tab w:val="right" w:pos="8504"/>
            </w:tabs>
            <w:rPr>
              <w:rFonts w:ascii="Palatino Linotype" w:eastAsia="Palatino Linotype" w:hAnsi="Palatino Linotype" w:cs="Palatino Linotype"/>
            </w:rPr>
          </w:pPr>
          <w:r w:rsidRPr="00E7229C">
            <w:rPr>
              <w:rFonts w:ascii="Palatino Linotype" w:eastAsia="Palatino Linotype" w:hAnsi="Palatino Linotype" w:cs="Palatino Linotype"/>
            </w:rPr>
            <w:t>Ayuntamiento de Toluca</w:t>
          </w:r>
        </w:p>
      </w:tc>
    </w:tr>
    <w:tr w:rsidR="003672D7" w:rsidRPr="00E7229C" w:rsidTr="00E7229C">
      <w:trPr>
        <w:trHeight w:val="321"/>
        <w:jc w:val="right"/>
      </w:trPr>
      <w:tc>
        <w:tcPr>
          <w:tcW w:w="4111" w:type="dxa"/>
          <w:vAlign w:val="center"/>
        </w:tcPr>
        <w:p w:rsidR="003672D7" w:rsidRPr="00E7229C" w:rsidRDefault="00945786" w:rsidP="00E7229C">
          <w:pPr>
            <w:jc w:val="right"/>
            <w:rPr>
              <w:rFonts w:ascii="Palatino Linotype" w:eastAsia="Palatino Linotype" w:hAnsi="Palatino Linotype" w:cs="Palatino Linotype"/>
              <w:b/>
            </w:rPr>
          </w:pPr>
          <w:r w:rsidRPr="00E7229C">
            <w:rPr>
              <w:rFonts w:ascii="Palatino Linotype" w:eastAsia="Palatino Linotype" w:hAnsi="Palatino Linotype" w:cs="Palatino Linotype"/>
              <w:b/>
            </w:rPr>
            <w:t>COMISIONADA PONENTE:</w:t>
          </w:r>
        </w:p>
      </w:tc>
      <w:tc>
        <w:tcPr>
          <w:tcW w:w="3686" w:type="dxa"/>
          <w:vAlign w:val="center"/>
        </w:tcPr>
        <w:p w:rsidR="003672D7" w:rsidRPr="00E7229C" w:rsidRDefault="00945786" w:rsidP="00E7229C">
          <w:pPr>
            <w:pBdr>
              <w:top w:val="nil"/>
              <w:left w:val="nil"/>
              <w:bottom w:val="nil"/>
              <w:right w:val="nil"/>
              <w:between w:val="nil"/>
            </w:pBdr>
            <w:tabs>
              <w:tab w:val="center" w:pos="4252"/>
              <w:tab w:val="right" w:pos="8504"/>
            </w:tabs>
            <w:ind w:left="33"/>
            <w:rPr>
              <w:rFonts w:ascii="Palatino Linotype" w:eastAsia="Palatino Linotype" w:hAnsi="Palatino Linotype" w:cs="Palatino Linotype"/>
            </w:rPr>
          </w:pPr>
          <w:r w:rsidRPr="00E7229C">
            <w:rPr>
              <w:rFonts w:ascii="Palatino Linotype" w:eastAsia="Palatino Linotype" w:hAnsi="Palatino Linotype" w:cs="Palatino Linotype"/>
            </w:rPr>
            <w:t>María del Rosario Mejía Ayala</w:t>
          </w:r>
        </w:p>
      </w:tc>
    </w:tr>
  </w:tbl>
  <w:p w:rsidR="003672D7" w:rsidRDefault="00313EC3">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8.55pt;margin-top:-111.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C4BA0"/>
    <w:multiLevelType w:val="multilevel"/>
    <w:tmpl w:val="F17A812A"/>
    <w:lvl w:ilvl="0">
      <w:numFmt w:val="bullet"/>
      <w:lvlText w:val="-"/>
      <w:lvlJc w:val="left"/>
      <w:pPr>
        <w:ind w:left="1080" w:hanging="360"/>
      </w:pPr>
      <w:rPr>
        <w:rFonts w:ascii="Palatino Linotype" w:eastAsia="Palatino Linotype" w:hAnsi="Palatino Linotype" w:cs="Palatino Linotyp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7AA64C6"/>
    <w:multiLevelType w:val="multilevel"/>
    <w:tmpl w:val="946C6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15461F"/>
    <w:multiLevelType w:val="multilevel"/>
    <w:tmpl w:val="A6DAAA3C"/>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CC4A31"/>
    <w:multiLevelType w:val="multilevel"/>
    <w:tmpl w:val="004CC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D7"/>
    <w:rsid w:val="001E0D5E"/>
    <w:rsid w:val="00313EC3"/>
    <w:rsid w:val="003672D7"/>
    <w:rsid w:val="00367D60"/>
    <w:rsid w:val="008725B4"/>
    <w:rsid w:val="008B1DC1"/>
    <w:rsid w:val="00945786"/>
    <w:rsid w:val="009E33CA"/>
    <w:rsid w:val="00C11C14"/>
    <w:rsid w:val="00D7297A"/>
    <w:rsid w:val="00E7229C"/>
    <w:rsid w:val="00F95F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5208F6B-CFBC-4356-806F-0A624B5F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8F"/>
  </w:style>
  <w:style w:type="paragraph" w:styleId="Ttulo1">
    <w:name w:val="heading 1"/>
    <w:basedOn w:val="Normal"/>
    <w:next w:val="Normal"/>
    <w:link w:val="Ttulo1Car"/>
    <w:uiPriority w:val="9"/>
    <w:qFormat/>
    <w:rsid w:val="006C4A8F"/>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6C4A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C4A8F"/>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6C4A8F"/>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6C4A8F"/>
    <w:pPr>
      <w:numPr>
        <w:numId w:val="1"/>
      </w:numPr>
      <w:contextualSpacing/>
    </w:pPr>
    <w:rPr>
      <w:rFonts w:ascii="Times New Roman" w:eastAsia="Times New Roman" w:hAnsi="Times New Roman" w:cs="Times New Roman"/>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4A8F"/>
    <w:pPr>
      <w:ind w:left="720"/>
      <w:contextualSpacing/>
    </w:pPr>
  </w:style>
  <w:style w:type="character" w:styleId="Hipervnculo">
    <w:name w:val="Hyperlink"/>
    <w:basedOn w:val="Fuentedeprrafopredeter"/>
    <w:uiPriority w:val="99"/>
    <w:unhideWhenUsed/>
    <w:rsid w:val="006C4A8F"/>
    <w:rPr>
      <w:color w:val="0563C1" w:themeColor="hyperlink"/>
      <w:u w:val="single"/>
    </w:rPr>
  </w:style>
  <w:style w:type="paragraph" w:styleId="Encabezado">
    <w:name w:val="header"/>
    <w:basedOn w:val="Normal"/>
    <w:link w:val="EncabezadoCar"/>
    <w:uiPriority w:val="99"/>
    <w:unhideWhenUsed/>
    <w:rsid w:val="006C4A8F"/>
    <w:pPr>
      <w:tabs>
        <w:tab w:val="center" w:pos="4419"/>
        <w:tab w:val="right" w:pos="8838"/>
      </w:tabs>
    </w:pPr>
  </w:style>
  <w:style w:type="character" w:customStyle="1" w:styleId="EncabezadoCar">
    <w:name w:val="Encabezado Car"/>
    <w:basedOn w:val="Fuentedeprrafopredeter"/>
    <w:link w:val="Encabezado"/>
    <w:uiPriority w:val="99"/>
    <w:rsid w:val="006C4A8F"/>
    <w:rPr>
      <w:rFonts w:ascii="Cambria" w:eastAsia="Cambria" w:hAnsi="Cambria" w:cs="Cambria"/>
      <w:sz w:val="24"/>
      <w:szCs w:val="24"/>
      <w:lang w:eastAsia="es-MX"/>
    </w:rPr>
  </w:style>
  <w:style w:type="paragraph" w:styleId="Piedepgina">
    <w:name w:val="footer"/>
    <w:basedOn w:val="Normal"/>
    <w:link w:val="PiedepginaCar"/>
    <w:uiPriority w:val="99"/>
    <w:unhideWhenUsed/>
    <w:rsid w:val="006C4A8F"/>
    <w:pPr>
      <w:tabs>
        <w:tab w:val="center" w:pos="4419"/>
        <w:tab w:val="right" w:pos="8838"/>
      </w:tabs>
    </w:pPr>
  </w:style>
  <w:style w:type="character" w:customStyle="1" w:styleId="PiedepginaCar">
    <w:name w:val="Pie de página Car"/>
    <w:basedOn w:val="Fuentedeprrafopredeter"/>
    <w:link w:val="Piedepgina"/>
    <w:uiPriority w:val="99"/>
    <w:rsid w:val="006C4A8F"/>
    <w:rPr>
      <w:rFonts w:ascii="Cambria" w:eastAsia="Cambria" w:hAnsi="Cambria" w:cs="Cambria"/>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A060F"/>
    <w:rPr>
      <w:rFonts w:ascii="Cambria" w:eastAsia="Cambria" w:hAnsi="Cambria" w:cs="Cambria"/>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1930.page" TargetMode="External"/><Relationship Id="rId13" Type="http://schemas.openxmlformats.org/officeDocument/2006/relationships/hyperlink" Target="https://saimex.org.mx/saimex/solicitud/downloadAttach/2434299.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434174.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20825.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1193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x0PjbD9Lom+vQRTxjvkujl9iA==">CgMxLjAyCGguZ2pkZ3hzMgloLjMwajB6bGwyCWguMWZvYjl0ZTIJaC4zem55c2g3MgloLjJldDkycDAyCGgudHlqY3d0MgloLjF0M2g1c2YyCWguMnM4ZXlvMTIJaC4xN2RwOHZ1Mg5oLjIyeng2a29seWt2cjgAciExRzNxRzVDUWpTRVVvQ05Sand4OEVxS2F5RnkyOW9ZTzg=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4284</Words>
  <Characters>23563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7</cp:revision>
  <cp:lastPrinted>2025-05-30T16:51:00Z</cp:lastPrinted>
  <dcterms:created xsi:type="dcterms:W3CDTF">2025-05-15T20:14:00Z</dcterms:created>
  <dcterms:modified xsi:type="dcterms:W3CDTF">2025-06-03T19:41:00Z</dcterms:modified>
</cp:coreProperties>
</file>