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6252CE" w14:textId="77777777" w:rsidR="00A12EBB" w:rsidRPr="005E410F" w:rsidRDefault="00AD46E7">
      <w:pPr>
        <w:spacing w:line="360" w:lineRule="auto"/>
        <w:jc w:val="both"/>
        <w:rPr>
          <w:rFonts w:ascii="Palatino Linotype" w:eastAsia="Palatino Linotype" w:hAnsi="Palatino Linotype" w:cs="Palatino Linotype"/>
          <w:sz w:val="22"/>
          <w:szCs w:val="22"/>
        </w:rPr>
      </w:pPr>
      <w:bookmarkStart w:id="0" w:name="_heading=h.2et92p0" w:colFirst="0" w:colLast="0"/>
      <w:bookmarkEnd w:id="0"/>
      <w:r w:rsidRPr="005E410F">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de fecha veintiséis de febrero de dos mil veinticinco. </w:t>
      </w:r>
    </w:p>
    <w:p w14:paraId="060FAB71"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2230B23E"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Visto</w:t>
      </w:r>
      <w:r w:rsidRPr="005E410F">
        <w:rPr>
          <w:rFonts w:ascii="Palatino Linotype" w:eastAsia="Palatino Linotype" w:hAnsi="Palatino Linotype" w:cs="Palatino Linotype"/>
          <w:sz w:val="22"/>
          <w:szCs w:val="22"/>
        </w:rPr>
        <w:t xml:space="preserve"> el expediente relativo al recurso de revisión </w:t>
      </w:r>
      <w:r w:rsidRPr="005E410F">
        <w:rPr>
          <w:rFonts w:ascii="Palatino Linotype" w:eastAsia="Palatino Linotype" w:hAnsi="Palatino Linotype" w:cs="Palatino Linotype"/>
          <w:b/>
          <w:sz w:val="22"/>
          <w:szCs w:val="22"/>
        </w:rPr>
        <w:t>00589/INFOEM/IP/RR/2025</w:t>
      </w:r>
      <w:r w:rsidRPr="005E410F">
        <w:rPr>
          <w:rFonts w:ascii="Palatino Linotype" w:eastAsia="Palatino Linotype" w:hAnsi="Palatino Linotype" w:cs="Palatino Linotype"/>
          <w:sz w:val="22"/>
          <w:szCs w:val="22"/>
        </w:rPr>
        <w:t xml:space="preserve">, interpuesto por </w:t>
      </w:r>
      <w:r w:rsidRPr="005E410F">
        <w:rPr>
          <w:rFonts w:ascii="Palatino Linotype" w:eastAsia="Palatino Linotype" w:hAnsi="Palatino Linotype" w:cs="Palatino Linotype"/>
          <w:b/>
          <w:sz w:val="22"/>
          <w:szCs w:val="22"/>
        </w:rPr>
        <w:t xml:space="preserve">un particular que no proporcionó nombre o seudónimo para ser identificado, </w:t>
      </w:r>
      <w:r w:rsidRPr="005E410F">
        <w:rPr>
          <w:rFonts w:ascii="Palatino Linotype" w:eastAsia="Palatino Linotype" w:hAnsi="Palatino Linotype" w:cs="Palatino Linotype"/>
          <w:sz w:val="22"/>
          <w:szCs w:val="22"/>
        </w:rPr>
        <w:t>en lo sucesivo se le denominará la parte</w:t>
      </w:r>
      <w:r w:rsidRPr="005E410F">
        <w:rPr>
          <w:rFonts w:ascii="Palatino Linotype" w:eastAsia="Palatino Linotype" w:hAnsi="Palatino Linotype" w:cs="Palatino Linotype"/>
          <w:b/>
          <w:sz w:val="22"/>
          <w:szCs w:val="22"/>
        </w:rPr>
        <w:t xml:space="preserve"> Recurrente</w:t>
      </w:r>
      <w:r w:rsidRPr="005E410F">
        <w:rPr>
          <w:rFonts w:ascii="Palatino Linotype" w:eastAsia="Palatino Linotype" w:hAnsi="Palatino Linotype" w:cs="Palatino Linotype"/>
          <w:sz w:val="22"/>
          <w:szCs w:val="22"/>
        </w:rPr>
        <w:t>, en contra de la respuesta a su solicitud de información con número de folio</w:t>
      </w:r>
      <w:r w:rsidRPr="005E410F">
        <w:rPr>
          <w:rFonts w:ascii="Palatino Linotype" w:eastAsia="Palatino Linotype" w:hAnsi="Palatino Linotype" w:cs="Palatino Linotype"/>
          <w:b/>
          <w:sz w:val="22"/>
          <w:szCs w:val="22"/>
        </w:rPr>
        <w:t xml:space="preserve"> 00032/COCOTIT/IP/2025</w:t>
      </w:r>
      <w:r w:rsidRPr="005E410F">
        <w:rPr>
          <w:rFonts w:ascii="Palatino Linotype" w:eastAsia="Palatino Linotype" w:hAnsi="Palatino Linotype" w:cs="Palatino Linotype"/>
          <w:sz w:val="22"/>
          <w:szCs w:val="22"/>
        </w:rPr>
        <w:t xml:space="preserve">, por parte del </w:t>
      </w:r>
      <w:r w:rsidRPr="005E410F">
        <w:rPr>
          <w:rFonts w:ascii="Palatino Linotype" w:eastAsia="Palatino Linotype" w:hAnsi="Palatino Linotype" w:cs="Palatino Linotype"/>
          <w:b/>
          <w:sz w:val="22"/>
          <w:szCs w:val="22"/>
        </w:rPr>
        <w:t xml:space="preserve">Ayuntamiento de Cocotitlán, </w:t>
      </w:r>
      <w:r w:rsidRPr="005E410F">
        <w:rPr>
          <w:rFonts w:ascii="Palatino Linotype" w:eastAsia="Palatino Linotype" w:hAnsi="Palatino Linotype" w:cs="Palatino Linotype"/>
          <w:sz w:val="22"/>
          <w:szCs w:val="22"/>
        </w:rPr>
        <w:t xml:space="preserve">en lo sucesivo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w:t>
      </w:r>
      <w:r w:rsidRPr="005E410F">
        <w:rPr>
          <w:rFonts w:ascii="Palatino Linotype" w:eastAsia="Palatino Linotype" w:hAnsi="Palatino Linotype" w:cs="Palatino Linotype"/>
          <w:b/>
          <w:sz w:val="22"/>
          <w:szCs w:val="22"/>
        </w:rPr>
        <w:t xml:space="preserve"> </w:t>
      </w:r>
      <w:r w:rsidRPr="005E410F">
        <w:rPr>
          <w:rFonts w:ascii="Palatino Linotype" w:eastAsia="Palatino Linotype" w:hAnsi="Palatino Linotype" w:cs="Palatino Linotype"/>
          <w:sz w:val="22"/>
          <w:szCs w:val="22"/>
        </w:rPr>
        <w:t>se procede a dictar la presente resolución, con base en los siguientes:</w:t>
      </w:r>
    </w:p>
    <w:p w14:paraId="4132C419" w14:textId="77777777" w:rsidR="00A12EBB" w:rsidRPr="005E410F" w:rsidRDefault="00AD46E7">
      <w:pPr>
        <w:numPr>
          <w:ilvl w:val="0"/>
          <w:numId w:val="4"/>
        </w:numPr>
        <w:pBdr>
          <w:top w:val="nil"/>
          <w:left w:val="nil"/>
          <w:bottom w:val="nil"/>
          <w:right w:val="nil"/>
          <w:between w:val="nil"/>
        </w:pBdr>
        <w:spacing w:line="360" w:lineRule="auto"/>
        <w:ind w:left="993" w:hanging="276"/>
        <w:jc w:val="center"/>
        <w:rPr>
          <w:rFonts w:ascii="Palatino Linotype" w:eastAsia="Palatino Linotype" w:hAnsi="Palatino Linotype" w:cs="Palatino Linotype"/>
          <w:b/>
          <w:sz w:val="22"/>
          <w:szCs w:val="22"/>
        </w:rPr>
      </w:pPr>
      <w:r w:rsidRPr="005E410F">
        <w:rPr>
          <w:rFonts w:ascii="Palatino Linotype" w:eastAsia="Palatino Linotype" w:hAnsi="Palatino Linotype" w:cs="Palatino Linotype"/>
          <w:b/>
          <w:sz w:val="22"/>
          <w:szCs w:val="22"/>
        </w:rPr>
        <w:t>A N T E C E D E N T E S:</w:t>
      </w:r>
    </w:p>
    <w:p w14:paraId="5399C92C" w14:textId="77777777" w:rsidR="00A12EBB" w:rsidRPr="005E410F" w:rsidRDefault="00A12EBB">
      <w:pPr>
        <w:pBdr>
          <w:top w:val="nil"/>
          <w:left w:val="nil"/>
          <w:bottom w:val="nil"/>
          <w:right w:val="nil"/>
          <w:between w:val="nil"/>
        </w:pBdr>
        <w:spacing w:line="360" w:lineRule="auto"/>
        <w:ind w:left="1077"/>
        <w:jc w:val="center"/>
        <w:rPr>
          <w:rFonts w:ascii="Palatino Linotype" w:eastAsia="Palatino Linotype" w:hAnsi="Palatino Linotype" w:cs="Palatino Linotype"/>
          <w:b/>
          <w:sz w:val="22"/>
          <w:szCs w:val="22"/>
        </w:rPr>
      </w:pPr>
    </w:p>
    <w:p w14:paraId="4DC791DF" w14:textId="77777777" w:rsidR="00A12EBB" w:rsidRPr="005E410F" w:rsidRDefault="00AD46E7">
      <w:pPr>
        <w:numPr>
          <w:ilvl w:val="1"/>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b/>
          <w:sz w:val="22"/>
          <w:szCs w:val="22"/>
        </w:rPr>
      </w:pPr>
      <w:r w:rsidRPr="005E410F">
        <w:rPr>
          <w:rFonts w:ascii="Palatino Linotype" w:eastAsia="Palatino Linotype" w:hAnsi="Palatino Linotype" w:cs="Palatino Linotype"/>
          <w:b/>
          <w:sz w:val="22"/>
          <w:szCs w:val="22"/>
        </w:rPr>
        <w:t xml:space="preserve">Solicitud de acceso a la información. </w:t>
      </w:r>
      <w:r w:rsidRPr="005E410F">
        <w:rPr>
          <w:rFonts w:ascii="Palatino Linotype" w:eastAsia="Palatino Linotype" w:hAnsi="Palatino Linotype" w:cs="Palatino Linotype"/>
          <w:sz w:val="22"/>
          <w:szCs w:val="22"/>
        </w:rPr>
        <w:t xml:space="preserve">Con fecha </w:t>
      </w:r>
      <w:r w:rsidRPr="005E410F">
        <w:rPr>
          <w:rFonts w:ascii="Palatino Linotype" w:eastAsia="Palatino Linotype" w:hAnsi="Palatino Linotype" w:cs="Palatino Linotype"/>
          <w:b/>
          <w:sz w:val="22"/>
          <w:szCs w:val="22"/>
        </w:rPr>
        <w:t>trece de enero de dos mil veinticinco</w:t>
      </w:r>
      <w:r w:rsidRPr="005E410F">
        <w:rPr>
          <w:rFonts w:ascii="Palatino Linotype" w:eastAsia="Palatino Linotype" w:hAnsi="Palatino Linotype" w:cs="Palatino Linotype"/>
          <w:sz w:val="22"/>
          <w:szCs w:val="22"/>
        </w:rPr>
        <w:t xml:space="preserve">, la parte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formuló solicitud de acceso a información pública al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a través del Sistema de Acceso a la Información Mexiquense, en adelante </w:t>
      </w:r>
      <w:r w:rsidRPr="005E410F">
        <w:rPr>
          <w:rFonts w:ascii="Palatino Linotype" w:eastAsia="Palatino Linotype" w:hAnsi="Palatino Linotype" w:cs="Palatino Linotype"/>
          <w:b/>
          <w:sz w:val="22"/>
          <w:szCs w:val="22"/>
        </w:rPr>
        <w:t>SAIMEX</w:t>
      </w:r>
      <w:r w:rsidRPr="005E410F">
        <w:rPr>
          <w:rFonts w:ascii="Palatino Linotype" w:eastAsia="Palatino Linotype" w:hAnsi="Palatino Linotype" w:cs="Palatino Linotype"/>
          <w:sz w:val="22"/>
          <w:szCs w:val="22"/>
        </w:rPr>
        <w:t>, requiriéndole lo siguiente:</w:t>
      </w:r>
    </w:p>
    <w:p w14:paraId="7C33FFA2" w14:textId="77777777" w:rsidR="00A12EBB" w:rsidRPr="005E410F" w:rsidRDefault="00A12EBB">
      <w:p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p>
    <w:p w14:paraId="71E2F212"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“Solicito el currículum y nombramiento de la Síndico Municipal la C. Blanca Nieves Espinosa Segovia”</w:t>
      </w:r>
    </w:p>
    <w:p w14:paraId="2A6D7F12" w14:textId="77777777" w:rsidR="00A12EBB" w:rsidRPr="005E410F" w:rsidRDefault="00A12EBB">
      <w:pPr>
        <w:spacing w:line="360" w:lineRule="auto"/>
        <w:ind w:left="709" w:right="900"/>
        <w:jc w:val="both"/>
        <w:rPr>
          <w:rFonts w:ascii="Palatino Linotype" w:eastAsia="Palatino Linotype" w:hAnsi="Palatino Linotype" w:cs="Palatino Linotype"/>
          <w:b/>
          <w:i/>
          <w:sz w:val="22"/>
          <w:szCs w:val="22"/>
        </w:rPr>
      </w:pPr>
    </w:p>
    <w:p w14:paraId="45B0A9FC"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 xml:space="preserve">Modalidad elegida para la entrega de la información: </w:t>
      </w:r>
      <w:r w:rsidRPr="005E410F">
        <w:rPr>
          <w:rFonts w:ascii="Palatino Linotype" w:eastAsia="Palatino Linotype" w:hAnsi="Palatino Linotype" w:cs="Palatino Linotype"/>
          <w:sz w:val="22"/>
          <w:szCs w:val="22"/>
        </w:rPr>
        <w:t xml:space="preserve">a través del Sistema de Acceso a la Información Mexiquense. </w:t>
      </w:r>
    </w:p>
    <w:p w14:paraId="2575F739" w14:textId="77777777" w:rsidR="00A12EBB" w:rsidRPr="005E410F" w:rsidRDefault="00A12EBB">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399A14E8" w14:textId="77777777" w:rsidR="00A12EBB" w:rsidRPr="005E410F" w:rsidRDefault="00AD46E7">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 xml:space="preserve">Respuesta. </w:t>
      </w:r>
      <w:r w:rsidRPr="005E410F">
        <w:rPr>
          <w:rFonts w:ascii="Palatino Linotype" w:eastAsia="Palatino Linotype" w:hAnsi="Palatino Linotype" w:cs="Palatino Linotype"/>
          <w:sz w:val="22"/>
          <w:szCs w:val="22"/>
        </w:rPr>
        <w:t xml:space="preserve">Con fecha </w:t>
      </w:r>
      <w:r w:rsidRPr="005E410F">
        <w:rPr>
          <w:rFonts w:ascii="Palatino Linotype" w:eastAsia="Palatino Linotype" w:hAnsi="Palatino Linotype" w:cs="Palatino Linotype"/>
          <w:b/>
          <w:sz w:val="22"/>
          <w:szCs w:val="22"/>
        </w:rPr>
        <w:t>cuatro de febrero de dos mil veinticinco</w:t>
      </w:r>
      <w:r w:rsidRPr="005E410F">
        <w:rPr>
          <w:rFonts w:ascii="Palatino Linotype" w:eastAsia="Palatino Linotype" w:hAnsi="Palatino Linotype" w:cs="Palatino Linotype"/>
          <w:sz w:val="22"/>
          <w:szCs w:val="22"/>
        </w:rPr>
        <w:t xml:space="preserv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envió su respuesta a la solicitud de acceso a la información a través del SAIMEX, la cual versa como sigue: </w:t>
      </w:r>
    </w:p>
    <w:p w14:paraId="6720E1E5" w14:textId="77777777" w:rsidR="00A12EBB" w:rsidRPr="005E410F" w:rsidRDefault="00A12EBB">
      <w:pPr>
        <w:tabs>
          <w:tab w:val="left" w:pos="7371"/>
        </w:tabs>
        <w:spacing w:line="360" w:lineRule="auto"/>
        <w:ind w:left="567" w:right="616"/>
        <w:jc w:val="both"/>
        <w:rPr>
          <w:rFonts w:ascii="Palatino Linotype" w:eastAsia="Palatino Linotype" w:hAnsi="Palatino Linotype" w:cs="Palatino Linotype"/>
          <w:i/>
          <w:sz w:val="22"/>
          <w:szCs w:val="22"/>
        </w:rPr>
      </w:pPr>
      <w:bookmarkStart w:id="1" w:name="_heading=h.3znysh7" w:colFirst="0" w:colLast="0"/>
      <w:bookmarkEnd w:id="1"/>
    </w:p>
    <w:p w14:paraId="7386F152"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1AE4BC8B"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EN RESPUESTA A SU SOLICITUD 00032/COCOTIT/IP/2025 LE ENVIO CURRICULUM DE LA SINDICO MUNICIPAL EN VERSION PUBLICA</w:t>
      </w:r>
    </w:p>
    <w:p w14:paraId="5421EDBF"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ATENTAMENTE</w:t>
      </w:r>
    </w:p>
    <w:p w14:paraId="34AA9CA4"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Ing. Juan José Montoya Galicia” (Sic)</w:t>
      </w:r>
    </w:p>
    <w:p w14:paraId="10481AC5" w14:textId="77777777" w:rsidR="00A12EBB" w:rsidRPr="005E410F" w:rsidRDefault="00A12EBB">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3937AD37" w14:textId="77777777" w:rsidR="00A12EBB" w:rsidRPr="005E410F" w:rsidRDefault="00AD46E7">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Adjuntando a su respuesta el archivo electrónico denominado “</w:t>
      </w:r>
      <w:r w:rsidRPr="005E410F">
        <w:rPr>
          <w:rFonts w:ascii="Palatino Linotype" w:eastAsia="Palatino Linotype" w:hAnsi="Palatino Linotype" w:cs="Palatino Linotype"/>
          <w:b/>
          <w:i/>
          <w:sz w:val="22"/>
          <w:szCs w:val="22"/>
        </w:rPr>
        <w:t>CURRICULUM SINDICO.pdf</w:t>
      </w:r>
      <w:r w:rsidRPr="005E410F">
        <w:rPr>
          <w:rFonts w:ascii="Palatino Linotype" w:eastAsia="Palatino Linotype" w:hAnsi="Palatino Linotype" w:cs="Palatino Linotype"/>
          <w:sz w:val="22"/>
          <w:szCs w:val="22"/>
        </w:rPr>
        <w:t xml:space="preserve">”, el cual contiene el formato público de currículum vitae de la sindica municipal referida en la solicitud de información. </w:t>
      </w:r>
    </w:p>
    <w:p w14:paraId="27FCF2EB" w14:textId="77777777" w:rsidR="00A12EBB" w:rsidRPr="005E410F" w:rsidRDefault="00A12EBB">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2DFFF657" w14:textId="77777777" w:rsidR="00A12EBB" w:rsidRPr="005E410F" w:rsidRDefault="00AD46E7">
      <w:pPr>
        <w:numPr>
          <w:ilvl w:val="0"/>
          <w:numId w:val="5"/>
        </w:numPr>
        <w:pBdr>
          <w:top w:val="nil"/>
          <w:left w:val="nil"/>
          <w:bottom w:val="nil"/>
          <w:right w:val="nil"/>
          <w:between w:val="nil"/>
        </w:pBdr>
        <w:tabs>
          <w:tab w:val="left" w:pos="426"/>
        </w:tabs>
        <w:spacing w:line="360" w:lineRule="auto"/>
        <w:ind w:left="0" w:right="49" w:firstLine="0"/>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 xml:space="preserve">Interposición del recurso de revisión. </w:t>
      </w:r>
      <w:r w:rsidRPr="005E410F">
        <w:rPr>
          <w:rFonts w:ascii="Palatino Linotype" w:eastAsia="Palatino Linotype" w:hAnsi="Palatino Linotype" w:cs="Palatino Linotype"/>
          <w:sz w:val="22"/>
          <w:szCs w:val="22"/>
        </w:rPr>
        <w:t xml:space="preserve">Inconforme con la respuesta del </w:t>
      </w:r>
      <w:r w:rsidRPr="005E410F">
        <w:rPr>
          <w:rFonts w:ascii="Palatino Linotype" w:eastAsia="Palatino Linotype" w:hAnsi="Palatino Linotype" w:cs="Palatino Linotype"/>
          <w:b/>
          <w:sz w:val="22"/>
          <w:szCs w:val="22"/>
        </w:rPr>
        <w:t xml:space="preserve">Sujeto Obligado </w:t>
      </w:r>
      <w:r w:rsidRPr="005E410F">
        <w:rPr>
          <w:rFonts w:ascii="Palatino Linotype" w:eastAsia="Palatino Linotype" w:hAnsi="Palatino Linotype" w:cs="Palatino Linotype"/>
          <w:sz w:val="22"/>
          <w:szCs w:val="22"/>
        </w:rPr>
        <w:t>la parte</w:t>
      </w:r>
      <w:r w:rsidRPr="005E410F">
        <w:rPr>
          <w:rFonts w:ascii="Palatino Linotype" w:eastAsia="Palatino Linotype" w:hAnsi="Palatino Linotype" w:cs="Palatino Linotype"/>
          <w:b/>
          <w:sz w:val="22"/>
          <w:szCs w:val="22"/>
        </w:rPr>
        <w:t xml:space="preserve"> Recurrente</w:t>
      </w:r>
      <w:r w:rsidRPr="005E410F">
        <w:rPr>
          <w:rFonts w:ascii="Palatino Linotype" w:eastAsia="Palatino Linotype" w:hAnsi="Palatino Linotype" w:cs="Palatino Linotype"/>
          <w:sz w:val="22"/>
          <w:szCs w:val="22"/>
        </w:rPr>
        <w:t xml:space="preserve"> interpuso recurso de revisión a través del SAIMEX en fecha </w:t>
      </w:r>
      <w:r w:rsidRPr="005E410F">
        <w:rPr>
          <w:rFonts w:ascii="Palatino Linotype" w:eastAsia="Palatino Linotype" w:hAnsi="Palatino Linotype" w:cs="Palatino Linotype"/>
          <w:b/>
          <w:sz w:val="22"/>
          <w:szCs w:val="22"/>
        </w:rPr>
        <w:t>cinco de febrero de dos mil veinticinco</w:t>
      </w:r>
      <w:r w:rsidRPr="005E410F">
        <w:rPr>
          <w:rFonts w:ascii="Palatino Linotype" w:eastAsia="Palatino Linotype" w:hAnsi="Palatino Linotype" w:cs="Palatino Linotype"/>
          <w:sz w:val="22"/>
          <w:szCs w:val="22"/>
        </w:rPr>
        <w:t>, a través del cual expresó lo siguiente:</w:t>
      </w:r>
    </w:p>
    <w:p w14:paraId="4F9A40B2" w14:textId="77777777" w:rsidR="00A12EBB" w:rsidRPr="005E410F" w:rsidRDefault="00A12EBB">
      <w:pPr>
        <w:pBdr>
          <w:top w:val="nil"/>
          <w:left w:val="nil"/>
          <w:bottom w:val="nil"/>
          <w:right w:val="nil"/>
          <w:between w:val="nil"/>
        </w:pBdr>
        <w:tabs>
          <w:tab w:val="left" w:pos="426"/>
        </w:tabs>
        <w:spacing w:line="360" w:lineRule="auto"/>
        <w:ind w:right="49"/>
        <w:jc w:val="both"/>
        <w:rPr>
          <w:rFonts w:ascii="Palatino Linotype" w:eastAsia="Palatino Linotype" w:hAnsi="Palatino Linotype" w:cs="Palatino Linotype"/>
          <w:sz w:val="22"/>
          <w:szCs w:val="22"/>
        </w:rPr>
      </w:pPr>
    </w:p>
    <w:p w14:paraId="6BB0C560" w14:textId="77777777" w:rsidR="00A12EBB" w:rsidRPr="005E410F" w:rsidRDefault="00AD46E7">
      <w:pPr>
        <w:spacing w:line="360"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sz w:val="22"/>
          <w:szCs w:val="22"/>
        </w:rPr>
        <w:t xml:space="preserve">Acto impugnado. </w:t>
      </w:r>
      <w:r w:rsidRPr="005E410F">
        <w:rPr>
          <w:rFonts w:ascii="Palatino Linotype" w:eastAsia="Palatino Linotype" w:hAnsi="Palatino Linotype" w:cs="Palatino Linotype"/>
          <w:i/>
          <w:sz w:val="22"/>
          <w:szCs w:val="22"/>
        </w:rPr>
        <w:t xml:space="preserve">“La información está incompleta” </w:t>
      </w:r>
    </w:p>
    <w:p w14:paraId="7790F679" w14:textId="77777777" w:rsidR="00A12EBB" w:rsidRPr="005E410F" w:rsidRDefault="00A12EBB">
      <w:pPr>
        <w:spacing w:line="360" w:lineRule="auto"/>
        <w:ind w:left="851" w:right="616"/>
        <w:rPr>
          <w:rFonts w:ascii="Palatino Linotype" w:eastAsia="Palatino Linotype" w:hAnsi="Palatino Linotype" w:cs="Palatino Linotype"/>
          <w:sz w:val="22"/>
          <w:szCs w:val="22"/>
        </w:rPr>
      </w:pPr>
    </w:p>
    <w:p w14:paraId="0F4C70E1" w14:textId="77777777" w:rsidR="00A12EBB" w:rsidRPr="005E410F" w:rsidRDefault="00AD46E7">
      <w:pPr>
        <w:pBdr>
          <w:top w:val="nil"/>
          <w:left w:val="nil"/>
          <w:bottom w:val="nil"/>
          <w:right w:val="nil"/>
          <w:between w:val="nil"/>
        </w:pBdr>
        <w:spacing w:line="360" w:lineRule="auto"/>
        <w:ind w:left="851" w:right="616"/>
        <w:jc w:val="both"/>
        <w:rPr>
          <w:rFonts w:ascii="Palatino Linotype" w:eastAsia="Palatino Linotype" w:hAnsi="Palatino Linotype" w:cs="Palatino Linotype"/>
          <w:b/>
          <w:i/>
          <w:sz w:val="22"/>
          <w:szCs w:val="22"/>
          <w:u w:val="single"/>
        </w:rPr>
      </w:pPr>
      <w:r w:rsidRPr="005E410F">
        <w:rPr>
          <w:rFonts w:ascii="Palatino Linotype" w:eastAsia="Palatino Linotype" w:hAnsi="Palatino Linotype" w:cs="Palatino Linotype"/>
          <w:b/>
          <w:sz w:val="22"/>
          <w:szCs w:val="22"/>
        </w:rPr>
        <w:t xml:space="preserve">Motivos de inconformidad. </w:t>
      </w:r>
      <w:r w:rsidRPr="005E410F">
        <w:rPr>
          <w:rFonts w:ascii="Palatino Linotype" w:eastAsia="Palatino Linotype" w:hAnsi="Palatino Linotype" w:cs="Palatino Linotype"/>
          <w:i/>
          <w:sz w:val="22"/>
          <w:szCs w:val="22"/>
        </w:rPr>
        <w:t>“La información está incompleta”</w:t>
      </w:r>
    </w:p>
    <w:p w14:paraId="02931107" w14:textId="77777777" w:rsidR="00A12EBB" w:rsidRPr="005E410F" w:rsidRDefault="00A12EBB">
      <w:pPr>
        <w:pBdr>
          <w:top w:val="nil"/>
          <w:left w:val="nil"/>
          <w:bottom w:val="nil"/>
          <w:right w:val="nil"/>
          <w:between w:val="nil"/>
        </w:pBdr>
        <w:spacing w:line="360" w:lineRule="auto"/>
        <w:ind w:left="567"/>
        <w:jc w:val="both"/>
        <w:rPr>
          <w:rFonts w:ascii="Palatino Linotype" w:eastAsia="Palatino Linotype" w:hAnsi="Palatino Linotype" w:cs="Palatino Linotype"/>
          <w:i/>
          <w:sz w:val="22"/>
          <w:szCs w:val="22"/>
        </w:rPr>
      </w:pPr>
    </w:p>
    <w:p w14:paraId="5F00F03D" w14:textId="77777777" w:rsidR="00A12EBB" w:rsidRPr="005E410F" w:rsidRDefault="00AD46E7">
      <w:pPr>
        <w:numPr>
          <w:ilvl w:val="0"/>
          <w:numId w:val="5"/>
        </w:numPr>
        <w:pBdr>
          <w:top w:val="nil"/>
          <w:left w:val="nil"/>
          <w:bottom w:val="nil"/>
          <w:right w:val="nil"/>
          <w:between w:val="nil"/>
        </w:pBdr>
        <w:tabs>
          <w:tab w:val="left" w:pos="284"/>
        </w:tabs>
        <w:spacing w:line="360" w:lineRule="auto"/>
        <w:ind w:left="0" w:firstLine="0"/>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 xml:space="preserve">Turno. </w:t>
      </w:r>
      <w:r w:rsidRPr="005E410F">
        <w:rPr>
          <w:rFonts w:ascii="Palatino Linotype" w:eastAsia="Palatino Linotype" w:hAnsi="Palatino Linotype" w:cs="Palatino Linotype"/>
          <w:sz w:val="22"/>
          <w:szCs w:val="22"/>
        </w:rPr>
        <w:t xml:space="preserve">De conformidad con el artículo 185, fracción I de la Ley de Transparencia y Acceso a la Información Pública del Estado de México y Municipios, el recurso de revisión número </w:t>
      </w:r>
      <w:r w:rsidRPr="005E410F">
        <w:rPr>
          <w:rFonts w:ascii="Palatino Linotype" w:eastAsia="Palatino Linotype" w:hAnsi="Palatino Linotype" w:cs="Palatino Linotype"/>
          <w:b/>
          <w:sz w:val="22"/>
          <w:szCs w:val="22"/>
        </w:rPr>
        <w:t>00589/INFOEM/IP/RR/2025</w:t>
      </w:r>
      <w:r w:rsidRPr="005E410F">
        <w:rPr>
          <w:rFonts w:ascii="Palatino Linotype" w:eastAsia="Palatino Linotype" w:hAnsi="Palatino Linotype" w:cs="Palatino Linotype"/>
          <w:sz w:val="22"/>
          <w:szCs w:val="22"/>
        </w:rPr>
        <w:t xml:space="preserve">, se turnó por el sistema electrónico del Instituto de Transparencia, Acceso a la Información Pública y Protección de Datos Personales del Estado de México y Municipios, a la Comisionada </w:t>
      </w:r>
      <w:r w:rsidRPr="005E410F">
        <w:rPr>
          <w:rFonts w:ascii="Palatino Linotype" w:eastAsia="Palatino Linotype" w:hAnsi="Palatino Linotype" w:cs="Palatino Linotype"/>
          <w:b/>
          <w:sz w:val="22"/>
          <w:szCs w:val="22"/>
        </w:rPr>
        <w:t>Guadalupe Ramírez Peña</w:t>
      </w:r>
      <w:r w:rsidRPr="005E410F">
        <w:rPr>
          <w:rFonts w:ascii="Palatino Linotype" w:eastAsia="Palatino Linotype" w:hAnsi="Palatino Linotype" w:cs="Palatino Linotype"/>
          <w:sz w:val="22"/>
          <w:szCs w:val="22"/>
        </w:rPr>
        <w:t>, para su análisis, estudio, elaboración del proyecto y presentación ante el Pleno de este Instituto.</w:t>
      </w:r>
    </w:p>
    <w:p w14:paraId="420D44EE" w14:textId="77777777" w:rsidR="00A12EBB" w:rsidRPr="005E410F" w:rsidRDefault="00A12EBB">
      <w:pPr>
        <w:pBdr>
          <w:top w:val="nil"/>
          <w:left w:val="nil"/>
          <w:bottom w:val="nil"/>
          <w:right w:val="nil"/>
          <w:between w:val="nil"/>
        </w:pBdr>
        <w:tabs>
          <w:tab w:val="left" w:pos="284"/>
        </w:tabs>
        <w:spacing w:line="360" w:lineRule="auto"/>
        <w:jc w:val="both"/>
        <w:rPr>
          <w:rFonts w:ascii="Palatino Linotype" w:eastAsia="Palatino Linotype" w:hAnsi="Palatino Linotype" w:cs="Palatino Linotype"/>
          <w:sz w:val="22"/>
          <w:szCs w:val="22"/>
        </w:rPr>
      </w:pPr>
    </w:p>
    <w:p w14:paraId="121A371B" w14:textId="77777777" w:rsidR="00A12EBB" w:rsidRPr="005E410F" w:rsidRDefault="00AD46E7">
      <w:pPr>
        <w:numPr>
          <w:ilvl w:val="0"/>
          <w:numId w:val="5"/>
        </w:numPr>
        <w:pBdr>
          <w:top w:val="nil"/>
          <w:left w:val="nil"/>
          <w:bottom w:val="nil"/>
          <w:right w:val="nil"/>
          <w:between w:val="nil"/>
        </w:pBdr>
        <w:tabs>
          <w:tab w:val="left" w:pos="284"/>
        </w:tabs>
        <w:spacing w:line="360" w:lineRule="auto"/>
        <w:ind w:left="0" w:firstLine="0"/>
        <w:jc w:val="both"/>
        <w:rPr>
          <w:rFonts w:ascii="Palatino Linotype" w:eastAsia="Palatino Linotype" w:hAnsi="Palatino Linotype" w:cs="Palatino Linotype"/>
          <w:sz w:val="22"/>
          <w:szCs w:val="22"/>
        </w:rPr>
      </w:pPr>
      <w:bookmarkStart w:id="2" w:name="_heading=h.gjdgxs" w:colFirst="0" w:colLast="0"/>
      <w:bookmarkEnd w:id="2"/>
      <w:r w:rsidRPr="005E410F">
        <w:rPr>
          <w:rFonts w:ascii="Palatino Linotype" w:eastAsia="Palatino Linotype" w:hAnsi="Palatino Linotype" w:cs="Palatino Linotype"/>
          <w:b/>
          <w:sz w:val="22"/>
          <w:szCs w:val="22"/>
        </w:rPr>
        <w:t xml:space="preserve">Admisión del recurso de revisión: </w:t>
      </w:r>
      <w:r w:rsidRPr="005E410F">
        <w:rPr>
          <w:rFonts w:ascii="Palatino Linotype" w:eastAsia="Palatino Linotype" w:hAnsi="Palatino Linotype" w:cs="Palatino Linotype"/>
          <w:sz w:val="22"/>
          <w:szCs w:val="22"/>
        </w:rPr>
        <w:t xml:space="preserve">En fecha </w:t>
      </w:r>
      <w:r w:rsidRPr="005E410F">
        <w:rPr>
          <w:rFonts w:ascii="Palatino Linotype" w:eastAsia="Palatino Linotype" w:hAnsi="Palatino Linotype" w:cs="Palatino Linotype"/>
          <w:b/>
          <w:sz w:val="22"/>
          <w:szCs w:val="22"/>
        </w:rPr>
        <w:t xml:space="preserve">diez de febrero de dos mil veinticinco, </w:t>
      </w:r>
      <w:r w:rsidRPr="005E410F">
        <w:rPr>
          <w:rFonts w:ascii="Palatino Linotype" w:eastAsia="Palatino Linotype" w:hAnsi="Palatino Linotype" w:cs="Palatino Linotype"/>
          <w:sz w:val="22"/>
          <w:szCs w:val="22"/>
        </w:rPr>
        <w:t xml:space="preserve">la Comisionada Ponente admitió a trámite el recurso de revisión que ahora se resuelve, dando un plazo máximo de siete días hábiles para que las partes manifestaran lo que a su derecho resultara conveniente, ofrecieran pruebas, formularan alegatos y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presentara su informe justificado.</w:t>
      </w:r>
    </w:p>
    <w:p w14:paraId="12C0B5B7" w14:textId="77777777" w:rsidR="00A12EBB" w:rsidRPr="005E410F" w:rsidRDefault="00A12EBB">
      <w:pPr>
        <w:pBdr>
          <w:top w:val="nil"/>
          <w:left w:val="nil"/>
          <w:bottom w:val="nil"/>
          <w:right w:val="nil"/>
          <w:between w:val="nil"/>
        </w:pBdr>
        <w:tabs>
          <w:tab w:val="left" w:pos="284"/>
        </w:tabs>
        <w:spacing w:line="360" w:lineRule="auto"/>
        <w:jc w:val="both"/>
        <w:rPr>
          <w:rFonts w:ascii="Palatino Linotype" w:eastAsia="Palatino Linotype" w:hAnsi="Palatino Linotype" w:cs="Palatino Linotype"/>
          <w:sz w:val="22"/>
          <w:szCs w:val="22"/>
        </w:rPr>
      </w:pPr>
    </w:p>
    <w:p w14:paraId="0607FC16" w14:textId="77777777" w:rsidR="00A12EBB" w:rsidRPr="005E410F" w:rsidRDefault="00AD46E7">
      <w:pPr>
        <w:numPr>
          <w:ilvl w:val="0"/>
          <w:numId w:val="5"/>
        </w:numPr>
        <w:pBdr>
          <w:top w:val="nil"/>
          <w:left w:val="nil"/>
          <w:bottom w:val="nil"/>
          <w:right w:val="nil"/>
          <w:between w:val="nil"/>
        </w:pBdr>
        <w:tabs>
          <w:tab w:val="left" w:pos="284"/>
        </w:tabs>
        <w:spacing w:line="360" w:lineRule="auto"/>
        <w:ind w:left="0" w:firstLine="0"/>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Manifestaciones</w:t>
      </w:r>
      <w:r w:rsidRPr="005E410F">
        <w:rPr>
          <w:rFonts w:ascii="Palatino Linotype" w:eastAsia="Palatino Linotype" w:hAnsi="Palatino Linotype" w:cs="Palatino Linotype"/>
          <w:sz w:val="22"/>
          <w:szCs w:val="22"/>
        </w:rPr>
        <w:t xml:space="preserve">: De las constancias que obran en el expediente electrónico del </w:t>
      </w:r>
      <w:r w:rsidRPr="005E410F">
        <w:rPr>
          <w:rFonts w:ascii="Palatino Linotype" w:eastAsia="Palatino Linotype" w:hAnsi="Palatino Linotype" w:cs="Palatino Linotype"/>
          <w:b/>
          <w:sz w:val="22"/>
          <w:szCs w:val="22"/>
        </w:rPr>
        <w:t>SAIMEX</w:t>
      </w:r>
      <w:r w:rsidRPr="005E410F">
        <w:rPr>
          <w:rFonts w:ascii="Palatino Linotype" w:eastAsia="Palatino Linotype" w:hAnsi="Palatino Linotype" w:cs="Palatino Linotype"/>
          <w:sz w:val="22"/>
          <w:szCs w:val="22"/>
        </w:rPr>
        <w:t xml:space="preserve"> se desprende que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no rindió su informe justificado, del mismo modo la parte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omitió realizar manifestaciones, como se observa a continuación:</w:t>
      </w:r>
    </w:p>
    <w:p w14:paraId="7B5E79DB" w14:textId="77777777" w:rsidR="00A12EBB" w:rsidRPr="005E410F" w:rsidRDefault="00AD46E7">
      <w:pPr>
        <w:pBdr>
          <w:top w:val="nil"/>
          <w:left w:val="nil"/>
          <w:bottom w:val="nil"/>
          <w:right w:val="nil"/>
          <w:between w:val="nil"/>
        </w:pBdr>
        <w:tabs>
          <w:tab w:val="left" w:pos="284"/>
        </w:tabs>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noProof/>
          <w:sz w:val="22"/>
          <w:szCs w:val="22"/>
          <w:lang w:val="es-MX" w:eastAsia="es-MX"/>
        </w:rPr>
        <w:drawing>
          <wp:inline distT="0" distB="0" distL="0" distR="0" wp14:anchorId="26A5EB98" wp14:editId="464BEB4D">
            <wp:extent cx="5612130" cy="1296670"/>
            <wp:effectExtent l="0" t="0" r="0" b="0"/>
            <wp:docPr id="1613343139" name="image2.png" descr="Una captura de pantalla de una red social&#10;&#10;El contenido generado por IA puede ser incorrecto."/>
            <wp:cNvGraphicFramePr/>
            <a:graphic xmlns:a="http://schemas.openxmlformats.org/drawingml/2006/main">
              <a:graphicData uri="http://schemas.openxmlformats.org/drawingml/2006/picture">
                <pic:pic xmlns:pic="http://schemas.openxmlformats.org/drawingml/2006/picture">
                  <pic:nvPicPr>
                    <pic:cNvPr id="0" name="image2.png" descr="Una captura de pantalla de una red social&#10;&#10;El contenido generado por IA puede ser incorrecto."/>
                    <pic:cNvPicPr preferRelativeResize="0"/>
                  </pic:nvPicPr>
                  <pic:blipFill>
                    <a:blip r:embed="rId8"/>
                    <a:srcRect/>
                    <a:stretch>
                      <a:fillRect/>
                    </a:stretch>
                  </pic:blipFill>
                  <pic:spPr>
                    <a:xfrm>
                      <a:off x="0" y="0"/>
                      <a:ext cx="5612130" cy="1296670"/>
                    </a:xfrm>
                    <a:prstGeom prst="rect">
                      <a:avLst/>
                    </a:prstGeom>
                    <a:ln/>
                  </pic:spPr>
                </pic:pic>
              </a:graphicData>
            </a:graphic>
          </wp:inline>
        </w:drawing>
      </w:r>
    </w:p>
    <w:p w14:paraId="7275CAA8"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2BEC71DD" w14:textId="77777777" w:rsidR="00A12EBB" w:rsidRPr="005E410F" w:rsidRDefault="00AD46E7">
      <w:pPr>
        <w:numPr>
          <w:ilvl w:val="0"/>
          <w:numId w:val="5"/>
        </w:numPr>
        <w:pBdr>
          <w:top w:val="nil"/>
          <w:left w:val="nil"/>
          <w:bottom w:val="nil"/>
          <w:right w:val="nil"/>
          <w:between w:val="nil"/>
        </w:pBdr>
        <w:tabs>
          <w:tab w:val="left" w:pos="426"/>
        </w:tabs>
        <w:spacing w:line="360" w:lineRule="auto"/>
        <w:ind w:left="0" w:firstLine="0"/>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 xml:space="preserve">Cierre de instrucción. </w:t>
      </w:r>
      <w:r w:rsidRPr="005E410F">
        <w:rPr>
          <w:rFonts w:ascii="Palatino Linotype" w:eastAsia="Palatino Linotype" w:hAnsi="Palatino Linotype" w:cs="Palatino Linotype"/>
          <w:sz w:val="22"/>
          <w:szCs w:val="22"/>
        </w:rPr>
        <w:t xml:space="preserve">El </w:t>
      </w:r>
      <w:r w:rsidRPr="005E410F">
        <w:rPr>
          <w:rFonts w:ascii="Palatino Linotype" w:eastAsia="Palatino Linotype" w:hAnsi="Palatino Linotype" w:cs="Palatino Linotype"/>
          <w:b/>
          <w:sz w:val="22"/>
          <w:szCs w:val="22"/>
        </w:rPr>
        <w:t>veinte de febrero de dos mil veinticinco</w:t>
      </w:r>
      <w:r w:rsidRPr="005E410F">
        <w:rPr>
          <w:rFonts w:ascii="Palatino Linotype" w:eastAsia="Palatino Linotype" w:hAnsi="Palatino Linotype" w:cs="Palatino Linotype"/>
          <w:sz w:val="22"/>
          <w:szCs w:val="22"/>
        </w:rPr>
        <w:t>, la Comisionada Ponente determinó el cierre de instrucción en términos de la fracción VI del artículo 185 de la Ley de Transparencia y Acceso a la Información Pública del Estado de México y Municipios.</w:t>
      </w:r>
    </w:p>
    <w:p w14:paraId="28D8F53E" w14:textId="77777777" w:rsidR="00A12EBB" w:rsidRPr="005E410F" w:rsidRDefault="00A12EBB">
      <w:pPr>
        <w:pBdr>
          <w:top w:val="nil"/>
          <w:left w:val="nil"/>
          <w:bottom w:val="nil"/>
          <w:right w:val="nil"/>
          <w:between w:val="nil"/>
        </w:pBdr>
        <w:tabs>
          <w:tab w:val="left" w:pos="426"/>
        </w:tabs>
        <w:spacing w:line="360" w:lineRule="auto"/>
        <w:jc w:val="both"/>
        <w:rPr>
          <w:rFonts w:ascii="Palatino Linotype" w:eastAsia="Palatino Linotype" w:hAnsi="Palatino Linotype" w:cs="Palatino Linotype"/>
          <w:sz w:val="22"/>
          <w:szCs w:val="22"/>
        </w:rPr>
      </w:pPr>
    </w:p>
    <w:p w14:paraId="264509B7"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En razón de que fue debidamente sustanciado el expediente electrónico y no existe diligencia pendiente de desahogo, se emite la Resolución que conforme a Derecho proceda, de acuerdo con los siguientes: </w:t>
      </w:r>
    </w:p>
    <w:p w14:paraId="4192822E"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2C98EA3D" w14:textId="77777777" w:rsidR="00A12EBB" w:rsidRPr="005E410F" w:rsidRDefault="00AD46E7">
      <w:pPr>
        <w:numPr>
          <w:ilvl w:val="0"/>
          <w:numId w:val="4"/>
        </w:numPr>
        <w:pBdr>
          <w:top w:val="nil"/>
          <w:left w:val="nil"/>
          <w:bottom w:val="nil"/>
          <w:right w:val="nil"/>
          <w:between w:val="nil"/>
        </w:pBdr>
        <w:spacing w:line="360" w:lineRule="auto"/>
        <w:jc w:val="center"/>
        <w:rPr>
          <w:rFonts w:ascii="Palatino Linotype" w:eastAsia="Palatino Linotype" w:hAnsi="Palatino Linotype" w:cs="Palatino Linotype"/>
          <w:b/>
          <w:sz w:val="22"/>
          <w:szCs w:val="22"/>
        </w:rPr>
      </w:pPr>
      <w:bookmarkStart w:id="3" w:name="_heading=h.30j0zll" w:colFirst="0" w:colLast="0"/>
      <w:bookmarkEnd w:id="3"/>
      <w:r w:rsidRPr="005E410F">
        <w:rPr>
          <w:rFonts w:ascii="Palatino Linotype" w:eastAsia="Palatino Linotype" w:hAnsi="Palatino Linotype" w:cs="Palatino Linotype"/>
          <w:b/>
          <w:sz w:val="22"/>
          <w:szCs w:val="22"/>
        </w:rPr>
        <w:t>C O N S I D E R A N D O:</w:t>
      </w:r>
    </w:p>
    <w:p w14:paraId="015F039A" w14:textId="77777777" w:rsidR="00A12EBB" w:rsidRPr="005E410F" w:rsidRDefault="00A12EBB">
      <w:pPr>
        <w:pBdr>
          <w:top w:val="nil"/>
          <w:left w:val="nil"/>
          <w:bottom w:val="nil"/>
          <w:right w:val="nil"/>
          <w:between w:val="nil"/>
        </w:pBdr>
        <w:spacing w:line="360" w:lineRule="auto"/>
        <w:ind w:left="1077"/>
        <w:jc w:val="center"/>
        <w:rPr>
          <w:rFonts w:ascii="Palatino Linotype" w:eastAsia="Palatino Linotype" w:hAnsi="Palatino Linotype" w:cs="Palatino Linotype"/>
          <w:b/>
          <w:sz w:val="22"/>
          <w:szCs w:val="22"/>
        </w:rPr>
      </w:pPr>
    </w:p>
    <w:p w14:paraId="3519CB77"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 xml:space="preserve">Primero. Competencia. </w:t>
      </w:r>
      <w:r w:rsidRPr="005E410F">
        <w:rPr>
          <w:rFonts w:ascii="Palatino Linotype" w:eastAsia="Palatino Linotype" w:hAnsi="Palatino Linotype" w:cs="Palatino Linotype"/>
          <w:sz w:val="22"/>
          <w:szCs w:val="22"/>
        </w:rPr>
        <w:t>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tercero, trigésimo cuarto y trigésimo quinto, fracciones IV y V de la Constitución Política del Estado Libre y Soberano de México; 1, 2, fracción II; 13,  29, 36, fracciones I y II; 176, 178, 179, 181 párrafo tercero y 185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399F67A1" w14:textId="77777777" w:rsidR="00A12EBB" w:rsidRPr="005E410F" w:rsidRDefault="00A12EBB">
      <w:pPr>
        <w:spacing w:line="360" w:lineRule="auto"/>
        <w:jc w:val="both"/>
        <w:rPr>
          <w:rFonts w:ascii="Palatino Linotype" w:eastAsia="Palatino Linotype" w:hAnsi="Palatino Linotype" w:cs="Palatino Linotype"/>
          <w:b/>
          <w:sz w:val="22"/>
          <w:szCs w:val="22"/>
        </w:rPr>
      </w:pPr>
    </w:p>
    <w:p w14:paraId="335750D6"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Segundo. Oportunidad y Procedibilidad del Recurso de Revisión</w:t>
      </w:r>
      <w:r w:rsidRPr="005E410F">
        <w:rPr>
          <w:rFonts w:ascii="Palatino Linotype" w:eastAsia="Palatino Linotype" w:hAnsi="Palatino Linotype" w:cs="Palatino Linotype"/>
          <w:sz w:val="22"/>
          <w:szCs w:val="22"/>
        </w:rPr>
        <w:t>. 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14:paraId="37C4EC85"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18B28ECC" w14:textId="77777777" w:rsidR="00A12EBB" w:rsidRPr="005E410F" w:rsidRDefault="00AD46E7">
      <w:pP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El recurso de revisión fue interpuesto dentro del plazo de quince días hábiles, previsto en el artículo 178 de la Ley de Transparencia y Acceso a la Información Pública del Estado de México y Municipios, ya que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proporcionó su respuesta a la solicitud de información el </w:t>
      </w:r>
      <w:r w:rsidRPr="005E410F">
        <w:rPr>
          <w:rFonts w:ascii="Palatino Linotype" w:eastAsia="Palatino Linotype" w:hAnsi="Palatino Linotype" w:cs="Palatino Linotype"/>
          <w:b/>
          <w:sz w:val="22"/>
          <w:szCs w:val="22"/>
        </w:rPr>
        <w:t>cuatro de febrero de dos mil veinticinco</w:t>
      </w:r>
      <w:r w:rsidRPr="005E410F">
        <w:rPr>
          <w:rFonts w:ascii="Palatino Linotype" w:eastAsia="Palatino Linotype" w:hAnsi="Palatino Linotype" w:cs="Palatino Linotype"/>
          <w:sz w:val="22"/>
          <w:szCs w:val="22"/>
        </w:rPr>
        <w:t xml:space="preserve">, y la parte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presentó su recurso de revisión el </w:t>
      </w:r>
      <w:r w:rsidRPr="005E410F">
        <w:rPr>
          <w:rFonts w:ascii="Palatino Linotype" w:eastAsia="Palatino Linotype" w:hAnsi="Palatino Linotype" w:cs="Palatino Linotype"/>
          <w:b/>
          <w:sz w:val="22"/>
          <w:szCs w:val="22"/>
        </w:rPr>
        <w:t>cinco de febrero de dos mil veinticinco</w:t>
      </w:r>
      <w:r w:rsidRPr="005E410F">
        <w:rPr>
          <w:rFonts w:ascii="Palatino Linotype" w:eastAsia="Palatino Linotype" w:hAnsi="Palatino Linotype" w:cs="Palatino Linotype"/>
          <w:sz w:val="22"/>
          <w:szCs w:val="22"/>
        </w:rPr>
        <w:t>;</w:t>
      </w:r>
      <w:r w:rsidRPr="005E410F">
        <w:rPr>
          <w:rFonts w:ascii="Palatino Linotype" w:eastAsia="Palatino Linotype" w:hAnsi="Palatino Linotype" w:cs="Palatino Linotype"/>
          <w:b/>
          <w:sz w:val="22"/>
          <w:szCs w:val="22"/>
        </w:rPr>
        <w:t xml:space="preserve"> </w:t>
      </w:r>
      <w:r w:rsidRPr="005E410F">
        <w:rPr>
          <w:rFonts w:ascii="Palatino Linotype" w:eastAsia="Palatino Linotype" w:hAnsi="Palatino Linotype" w:cs="Palatino Linotype"/>
          <w:sz w:val="22"/>
          <w:szCs w:val="22"/>
        </w:rPr>
        <w:t xml:space="preserve">esto es el primer día hábil en que tuvo conocimiento de la respuesta. </w:t>
      </w:r>
    </w:p>
    <w:p w14:paraId="151CF1D7" w14:textId="77777777" w:rsidR="00A12EBB" w:rsidRPr="005E410F" w:rsidRDefault="00A12EBB">
      <w:pPr>
        <w:spacing w:line="360" w:lineRule="auto"/>
        <w:ind w:right="843"/>
        <w:jc w:val="both"/>
        <w:rPr>
          <w:rFonts w:ascii="Palatino Linotype" w:eastAsia="Palatino Linotype" w:hAnsi="Palatino Linotype" w:cs="Palatino Linotype"/>
          <w:i/>
          <w:sz w:val="22"/>
          <w:szCs w:val="22"/>
        </w:rPr>
      </w:pPr>
    </w:p>
    <w:p w14:paraId="127694C2" w14:textId="77777777" w:rsidR="00A12EBB" w:rsidRPr="005E410F" w:rsidRDefault="00AD46E7">
      <w:pP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Asimismo, por cuanto hace a la procedibilidad del recurso de revisión, es de suma importancia señalar que la parte</w:t>
      </w:r>
      <w:r w:rsidRPr="005E410F">
        <w:rPr>
          <w:rFonts w:ascii="Palatino Linotype" w:eastAsia="Palatino Linotype" w:hAnsi="Palatino Linotype" w:cs="Palatino Linotype"/>
          <w:b/>
          <w:sz w:val="22"/>
          <w:szCs w:val="22"/>
        </w:rPr>
        <w:t xml:space="preserve"> Recurrente</w:t>
      </w:r>
      <w:r w:rsidRPr="005E410F">
        <w:rPr>
          <w:rFonts w:ascii="Palatino Linotype" w:eastAsia="Palatino Linotype" w:hAnsi="Palatino Linotype" w:cs="Palatino Linotype"/>
          <w:sz w:val="22"/>
          <w:szCs w:val="22"/>
        </w:rPr>
        <w:t>, no señaló un nombre con el que pueda ser identificado, tal como se advierte en el detalle de seguimiento del SAIMEX, no obstante, no proporcionar el nombre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6A358D2C" w14:textId="77777777" w:rsidR="00A12EBB" w:rsidRPr="005E410F" w:rsidRDefault="00AD46E7">
      <w:pPr>
        <w:pBdr>
          <w:top w:val="nil"/>
          <w:left w:val="nil"/>
          <w:bottom w:val="nil"/>
          <w:right w:val="nil"/>
          <w:between w:val="nil"/>
        </w:pBdr>
        <w:spacing w:before="240" w:after="240"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"Las </w:t>
      </w:r>
      <w:r w:rsidRPr="005E410F">
        <w:rPr>
          <w:rFonts w:ascii="Palatino Linotype" w:eastAsia="Palatino Linotype" w:hAnsi="Palatino Linotype" w:cs="Palatino Linotype"/>
          <w:b/>
          <w:i/>
          <w:sz w:val="22"/>
          <w:szCs w:val="22"/>
        </w:rPr>
        <w:t>solicitudes anónimas</w:t>
      </w:r>
      <w:r w:rsidRPr="005E410F">
        <w:rPr>
          <w:rFonts w:ascii="Palatino Linotype" w:eastAsia="Palatino Linotype" w:hAnsi="Palatino Linotype" w:cs="Palatino Linotype"/>
          <w:i/>
          <w:sz w:val="22"/>
          <w:szCs w:val="22"/>
        </w:rPr>
        <w:t>, con nombre incompleto o seudónimo serán procedentes para su trámite por parte del sujeto obligado ante quien se presente. No podrá requerirse información adicional con motivo del nombre proporcionado por el solicitante."</w:t>
      </w:r>
    </w:p>
    <w:p w14:paraId="2375C1C1" w14:textId="77777777" w:rsidR="00A12EBB" w:rsidRPr="005E410F" w:rsidRDefault="00AD46E7">
      <w:pPr>
        <w:spacing w:line="360" w:lineRule="auto"/>
        <w:jc w:val="both"/>
        <w:rPr>
          <w:rFonts w:ascii="Palatino Linotype" w:eastAsia="Palatino Linotype" w:hAnsi="Palatino Linotype" w:cs="Palatino Linotype"/>
          <w:b/>
          <w:sz w:val="22"/>
          <w:szCs w:val="22"/>
        </w:rPr>
      </w:pPr>
      <w:r w:rsidRPr="005E410F">
        <w:rPr>
          <w:rFonts w:ascii="Palatino Linotype" w:eastAsia="Palatino Linotype" w:hAnsi="Palatino Linotype" w:cs="Palatino Linotype"/>
          <w:sz w:val="22"/>
          <w:szCs w:val="22"/>
        </w:rPr>
        <w:t xml:space="preserve">De acuerdo al análisis efectuado se advierte que resulta procedente la interposición del recurso y se concluye la acreditación plena de todos y cada uno de los elementos formales exigidos por el artículo 180 de la Ley de Transparencia y Acceso a la Información Pública del Estado de México y Municipios en vigor, en atención a que fue presentado mediante el formato visible </w:t>
      </w:r>
      <w:r w:rsidRPr="005E410F">
        <w:rPr>
          <w:rFonts w:ascii="Palatino Linotype" w:eastAsia="Palatino Linotype" w:hAnsi="Palatino Linotype" w:cs="Palatino Linotype"/>
          <w:b/>
          <w:sz w:val="22"/>
          <w:szCs w:val="22"/>
        </w:rPr>
        <w:t>EL SAIMEX.</w:t>
      </w:r>
    </w:p>
    <w:p w14:paraId="7796CABF"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6EED0615"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Asimismo, resulta procedente la interposición del recurso de revisión al rubro anotado, toda vez que se actualiza las hipótesis previstas en el artículo 179, fracción V de la ley de la materia, que a la letra dice:</w:t>
      </w:r>
    </w:p>
    <w:p w14:paraId="160F47D8"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6343F8D1" w14:textId="77777777" w:rsidR="00A12EBB" w:rsidRPr="005E410F" w:rsidRDefault="00AD46E7">
      <w:pPr>
        <w:tabs>
          <w:tab w:val="left" w:pos="85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 xml:space="preserve">Artículo 179. </w:t>
      </w:r>
      <w:r w:rsidRPr="005E410F">
        <w:rPr>
          <w:rFonts w:ascii="Palatino Linotype" w:eastAsia="Palatino Linotype" w:hAnsi="Palatino Linotype" w:cs="Palatino Linotype"/>
          <w:i/>
          <w:sz w:val="22"/>
          <w:szCs w:val="22"/>
        </w:rPr>
        <w:t>El recurso de revisión es un medio de protección que la Ley otorga a los particulares, para hacer valer su derecho de acceso a la información pública, y procederá en contra de las siguientes causas:</w:t>
      </w:r>
    </w:p>
    <w:p w14:paraId="41AD517A" w14:textId="77777777" w:rsidR="00A12EBB" w:rsidRPr="005E410F" w:rsidRDefault="00AD46E7">
      <w:pPr>
        <w:tabs>
          <w:tab w:val="left" w:pos="85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311B9036" w14:textId="77777777" w:rsidR="00A12EBB" w:rsidRPr="005E410F" w:rsidRDefault="00AD46E7">
      <w:pPr>
        <w:tabs>
          <w:tab w:val="left" w:pos="85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V. La entrega de información incompleta;</w:t>
      </w:r>
      <w:r w:rsidRPr="005E410F">
        <w:rPr>
          <w:rFonts w:ascii="Palatino Linotype" w:eastAsia="Palatino Linotype" w:hAnsi="Palatino Linotype" w:cs="Palatino Linotype"/>
          <w:i/>
          <w:sz w:val="22"/>
          <w:szCs w:val="22"/>
        </w:rPr>
        <w:br/>
        <w:t xml:space="preserve">…” </w:t>
      </w:r>
    </w:p>
    <w:p w14:paraId="097827C2" w14:textId="77777777" w:rsidR="00A12EBB" w:rsidRPr="005E410F" w:rsidRDefault="00A12EBB">
      <w:pPr>
        <w:spacing w:line="360" w:lineRule="auto"/>
        <w:ind w:left="567" w:right="616"/>
        <w:jc w:val="both"/>
        <w:rPr>
          <w:rFonts w:ascii="Palatino Linotype" w:eastAsia="Palatino Linotype" w:hAnsi="Palatino Linotype" w:cs="Palatino Linotype"/>
          <w:i/>
          <w:sz w:val="22"/>
          <w:szCs w:val="22"/>
        </w:rPr>
      </w:pPr>
    </w:p>
    <w:p w14:paraId="619A0388"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Tercero. Materia de Revisión</w:t>
      </w:r>
      <w:r w:rsidRPr="005E410F">
        <w:rPr>
          <w:rFonts w:ascii="Palatino Linotype" w:eastAsia="Palatino Linotype" w:hAnsi="Palatino Linotype" w:cs="Palatino Linotype"/>
          <w:sz w:val="22"/>
          <w:szCs w:val="22"/>
        </w:rPr>
        <w:t xml:space="preserve">: De las constancias que integran el expediente electrónico se advierte que el tema sobre el que este Instituto se pronunciará será en determinar si se actualiza la fracción V del artículo 179 de la Ley de Transparencia y Acceso a la Información Pública del Estado de México y Municipios.  </w:t>
      </w:r>
    </w:p>
    <w:p w14:paraId="6C86723D"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7CD97555"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 xml:space="preserve">Cuarto. Estudio de fondo del asunto. </w:t>
      </w:r>
      <w:r w:rsidRPr="005E410F">
        <w:rPr>
          <w:rFonts w:ascii="Palatino Linotype" w:eastAsia="Palatino Linotype" w:hAnsi="Palatino Linotype" w:cs="Palatino Linotype"/>
          <w:sz w:val="22"/>
          <w:szCs w:val="22"/>
        </w:rPr>
        <w:t>Es conveniente analizar si la respuesta del Sujeto Obligado</w:t>
      </w:r>
      <w:r w:rsidRPr="005E410F">
        <w:rPr>
          <w:rFonts w:ascii="Palatino Linotype" w:eastAsia="Palatino Linotype" w:hAnsi="Palatino Linotype" w:cs="Palatino Linotype"/>
          <w:b/>
          <w:sz w:val="22"/>
          <w:szCs w:val="22"/>
        </w:rPr>
        <w:t xml:space="preserve"> </w:t>
      </w:r>
      <w:r w:rsidRPr="005E410F">
        <w:rPr>
          <w:rFonts w:ascii="Palatino Linotype" w:eastAsia="Palatino Linotype" w:hAnsi="Palatino Linotype" w:cs="Palatino Linotype"/>
          <w:sz w:val="22"/>
          <w:szCs w:val="22"/>
        </w:rPr>
        <w:t>cumple con los requisitos y procedimientos del derecho de acceso a la información pública, en atención a que en la Ley de Transparencia y Acceso a la Información Pública del Estado de México y Municipios en su artículo 4, que dice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3D7742BA"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2347B55C" w14:textId="77777777" w:rsidR="00A12EBB" w:rsidRPr="005E410F" w:rsidRDefault="00AD46E7">
      <w:pPr>
        <w:tabs>
          <w:tab w:val="left" w:pos="85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4</w:t>
      </w:r>
      <w:r w:rsidRPr="005E410F">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11055175" w14:textId="77777777" w:rsidR="00A12EBB" w:rsidRPr="005E410F" w:rsidRDefault="00AD46E7">
      <w:pPr>
        <w:tabs>
          <w:tab w:val="left" w:pos="85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w:t>
      </w:r>
      <w:r w:rsidRPr="005E410F">
        <w:rPr>
          <w:rFonts w:ascii="Palatino Linotype" w:eastAsia="Palatino Linotype" w:hAnsi="Palatino Linotype" w:cs="Palatino Linotype"/>
          <w:i/>
          <w:sz w:val="22"/>
          <w:szCs w:val="22"/>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1412B07A" w14:textId="77777777" w:rsidR="00A12EBB" w:rsidRPr="005E410F" w:rsidRDefault="00AD46E7">
      <w:pPr>
        <w:tabs>
          <w:tab w:val="left" w:pos="85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lastRenderedPageBreak/>
        <w:t>Los sujetos obligados deben poner en práctica, políticas y programas de acceso a la información que se apeguen a criterios de publicidad, veracidad, oportunidad, precisión y suficiencia en beneficio de los solicitantes</w:t>
      </w:r>
      <w:proofErr w:type="gramStart"/>
      <w:r w:rsidRPr="005E410F">
        <w:rPr>
          <w:rFonts w:ascii="Palatino Linotype" w:eastAsia="Palatino Linotype" w:hAnsi="Palatino Linotype" w:cs="Palatino Linotype"/>
          <w:i/>
          <w:sz w:val="22"/>
          <w:szCs w:val="22"/>
        </w:rPr>
        <w:t>.”(</w:t>
      </w:r>
      <w:proofErr w:type="gramEnd"/>
      <w:r w:rsidRPr="005E410F">
        <w:rPr>
          <w:rFonts w:ascii="Palatino Linotype" w:eastAsia="Palatino Linotype" w:hAnsi="Palatino Linotype" w:cs="Palatino Linotype"/>
          <w:i/>
          <w:sz w:val="22"/>
          <w:szCs w:val="22"/>
        </w:rPr>
        <w:t>Sic)</w:t>
      </w:r>
    </w:p>
    <w:p w14:paraId="2C08E9ED"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6D02E603"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que a la letra dice:</w:t>
      </w:r>
    </w:p>
    <w:p w14:paraId="233EF4C8" w14:textId="77777777" w:rsidR="00A12EBB" w:rsidRPr="005E410F" w:rsidRDefault="00A12EBB">
      <w:pPr>
        <w:spacing w:line="276" w:lineRule="auto"/>
        <w:ind w:left="567" w:right="616"/>
        <w:jc w:val="both"/>
        <w:rPr>
          <w:rFonts w:ascii="Palatino Linotype" w:eastAsia="Palatino Linotype" w:hAnsi="Palatino Linotype" w:cs="Palatino Linotype"/>
          <w:sz w:val="22"/>
          <w:szCs w:val="22"/>
        </w:rPr>
      </w:pPr>
    </w:p>
    <w:p w14:paraId="41416184"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12.-</w:t>
      </w:r>
      <w:r w:rsidRPr="005E410F">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0446DC06" w14:textId="77777777" w:rsidR="00A12EBB" w:rsidRPr="005E410F" w:rsidRDefault="00A12EBB">
      <w:pPr>
        <w:spacing w:line="276" w:lineRule="auto"/>
        <w:ind w:left="851" w:right="616"/>
        <w:jc w:val="both"/>
        <w:rPr>
          <w:rFonts w:ascii="Palatino Linotype" w:eastAsia="Palatino Linotype" w:hAnsi="Palatino Linotype" w:cs="Palatino Linotype"/>
          <w:i/>
          <w:sz w:val="22"/>
          <w:szCs w:val="22"/>
        </w:rPr>
      </w:pPr>
    </w:p>
    <w:p w14:paraId="2D738834"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Los sujetos obligados sólo proporcionarán la información pública que se les requiera y que obre en sus archivos y en el estado en que ésta se encuentre</w:t>
      </w:r>
      <w:r w:rsidRPr="005E410F">
        <w:rPr>
          <w:rFonts w:ascii="Palatino Linotype" w:eastAsia="Palatino Linotype" w:hAnsi="Palatino Linotype" w:cs="Palatino Linotype"/>
          <w:i/>
          <w:sz w:val="22"/>
          <w:szCs w:val="22"/>
        </w:rPr>
        <w:t xml:space="preserve">. </w:t>
      </w:r>
      <w:r w:rsidRPr="005E410F">
        <w:rPr>
          <w:rFonts w:ascii="Palatino Linotype" w:eastAsia="Palatino Linotype" w:hAnsi="Palatino Linotype" w:cs="Palatino Linotype"/>
          <w:b/>
          <w:i/>
          <w:sz w:val="22"/>
          <w:szCs w:val="22"/>
        </w:rPr>
        <w:t>La obligación de proporcionar información no comprende el procesamiento de la misma, ni el presentarla conforme al interés del solicitante; no estarán obligados a generarla, resumirla, efectuar cálculos o practicar investigaciones</w:t>
      </w:r>
      <w:r w:rsidRPr="005E410F">
        <w:rPr>
          <w:rFonts w:ascii="Palatino Linotype" w:eastAsia="Palatino Linotype" w:hAnsi="Palatino Linotype" w:cs="Palatino Linotype"/>
          <w:i/>
          <w:sz w:val="22"/>
          <w:szCs w:val="22"/>
        </w:rPr>
        <w:t xml:space="preserve">.” </w:t>
      </w:r>
    </w:p>
    <w:p w14:paraId="443D0B4E" w14:textId="77777777" w:rsidR="00A12EBB" w:rsidRPr="005E410F" w:rsidRDefault="00A12EBB">
      <w:pPr>
        <w:spacing w:line="360" w:lineRule="auto"/>
        <w:ind w:right="-93"/>
        <w:jc w:val="both"/>
        <w:rPr>
          <w:rFonts w:ascii="Palatino Linotype" w:eastAsia="Palatino Linotype" w:hAnsi="Palatino Linotype" w:cs="Palatino Linotype"/>
          <w:sz w:val="22"/>
          <w:szCs w:val="22"/>
        </w:rPr>
      </w:pPr>
    </w:p>
    <w:p w14:paraId="74E7960F" w14:textId="77777777" w:rsidR="00A12EBB" w:rsidRPr="005E410F" w:rsidRDefault="00AD46E7">
      <w:pPr>
        <w:spacing w:line="360" w:lineRule="auto"/>
        <w:ind w:right="-93"/>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y practicar investigaciones; en otras palabras, que los Sujetos Obligados sólo se concretarán a proporcionar la información solicitada que tengan en su poder en el estado que se encuentran, sin necesidad de concretarse al interés o términos específicos del solicitante.</w:t>
      </w:r>
    </w:p>
    <w:p w14:paraId="7374BEC6" w14:textId="77777777" w:rsidR="00A12EBB" w:rsidRPr="005E410F" w:rsidRDefault="00A12EBB">
      <w:pPr>
        <w:spacing w:line="360" w:lineRule="auto"/>
        <w:ind w:right="-93"/>
        <w:jc w:val="both"/>
        <w:rPr>
          <w:rFonts w:ascii="Palatino Linotype" w:eastAsia="Palatino Linotype" w:hAnsi="Palatino Linotype" w:cs="Palatino Linotype"/>
          <w:sz w:val="22"/>
          <w:szCs w:val="22"/>
        </w:rPr>
      </w:pPr>
    </w:p>
    <w:p w14:paraId="60C79F8C" w14:textId="77777777" w:rsidR="00A12EBB" w:rsidRPr="005E410F" w:rsidRDefault="00AD46E7">
      <w:pPr>
        <w:spacing w:line="360" w:lineRule="auto"/>
        <w:jc w:val="both"/>
        <w:rPr>
          <w:rFonts w:ascii="Palatino Linotype" w:eastAsia="Palatino Linotype" w:hAnsi="Palatino Linotype" w:cs="Palatino Linotype"/>
          <w:b/>
          <w:sz w:val="22"/>
          <w:szCs w:val="22"/>
        </w:rPr>
      </w:pPr>
      <w:r w:rsidRPr="005E410F">
        <w:rPr>
          <w:rFonts w:ascii="Palatino Linotype" w:eastAsia="Palatino Linotype" w:hAnsi="Palatino Linotype" w:cs="Palatino Linotype"/>
          <w:sz w:val="22"/>
          <w:szCs w:val="22"/>
        </w:rPr>
        <w:t>Sirve de apoyo a lo anterior, el criterio 03-17, expuesto por el Instituto Nacional de Transparencia, Acceso a la Información y Protección de Datos Personales, que dice:</w:t>
      </w:r>
      <w:r w:rsidRPr="005E410F">
        <w:rPr>
          <w:rFonts w:ascii="Palatino Linotype" w:eastAsia="Palatino Linotype" w:hAnsi="Palatino Linotype" w:cs="Palatino Linotype"/>
          <w:b/>
          <w:sz w:val="22"/>
          <w:szCs w:val="22"/>
        </w:rPr>
        <w:t xml:space="preserve"> </w:t>
      </w:r>
    </w:p>
    <w:p w14:paraId="6540B42B" w14:textId="77777777" w:rsidR="00A12EBB" w:rsidRPr="005E410F" w:rsidRDefault="00A12EBB">
      <w:pPr>
        <w:spacing w:line="276" w:lineRule="auto"/>
        <w:ind w:left="851" w:right="850"/>
        <w:jc w:val="both"/>
        <w:rPr>
          <w:rFonts w:ascii="Palatino Linotype" w:eastAsia="Palatino Linotype" w:hAnsi="Palatino Linotype" w:cs="Palatino Linotype"/>
          <w:sz w:val="22"/>
          <w:szCs w:val="22"/>
        </w:rPr>
      </w:pPr>
    </w:p>
    <w:p w14:paraId="7E4CCE8D"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No existe obligación de elaborar documentos ad hoc para atender las solicitudes de acceso a la información.</w:t>
      </w:r>
      <w:r w:rsidRPr="005E410F">
        <w:rPr>
          <w:rFonts w:ascii="Palatino Linotype" w:eastAsia="Palatino Linotype" w:hAnsi="Palatino Linotype" w:cs="Palatino Linotype"/>
          <w:i/>
          <w:sz w:val="22"/>
          <w:szCs w:val="22"/>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 </w:t>
      </w:r>
    </w:p>
    <w:p w14:paraId="639CFDDE" w14:textId="77777777" w:rsidR="00A12EBB" w:rsidRPr="005E410F" w:rsidRDefault="00A12EBB">
      <w:pPr>
        <w:spacing w:line="276" w:lineRule="auto"/>
        <w:ind w:left="567" w:right="616"/>
        <w:jc w:val="both"/>
        <w:rPr>
          <w:rFonts w:ascii="Palatino Linotype" w:eastAsia="Palatino Linotype" w:hAnsi="Palatino Linotype" w:cs="Palatino Linotype"/>
          <w:i/>
          <w:sz w:val="22"/>
          <w:szCs w:val="22"/>
        </w:rPr>
      </w:pPr>
    </w:p>
    <w:p w14:paraId="18C4173A"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35BBBCED"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7E4B940E"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w:t>
      </w:r>
      <w:r w:rsidRPr="005E410F">
        <w:rPr>
          <w:rFonts w:ascii="Palatino Linotype" w:eastAsia="Palatino Linotype" w:hAnsi="Palatino Linotype" w:cs="Palatino Linotype"/>
          <w:sz w:val="22"/>
          <w:szCs w:val="22"/>
        </w:rPr>
        <w:lastRenderedPageBreak/>
        <w:t xml:space="preserve">impreso, sonoro, visual, electrónico, informático u holográfico de conformidad con el artículo 3, fracción XI de la Ley de la materia, el cual señala lo siguiente: </w:t>
      </w:r>
    </w:p>
    <w:p w14:paraId="347BD3A0"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0D726264"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 xml:space="preserve">Artículo 3. </w:t>
      </w:r>
      <w:r w:rsidRPr="005E410F">
        <w:rPr>
          <w:rFonts w:ascii="Palatino Linotype" w:eastAsia="Palatino Linotype" w:hAnsi="Palatino Linotype" w:cs="Palatino Linotype"/>
          <w:i/>
          <w:sz w:val="22"/>
          <w:szCs w:val="22"/>
        </w:rPr>
        <w:t>Para los efectos de la presente Ley se entenderá por:</w:t>
      </w:r>
    </w:p>
    <w:p w14:paraId="783551D1"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3090C7AC"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XI. Documento:</w:t>
      </w:r>
      <w:r w:rsidRPr="005E410F">
        <w:rPr>
          <w:rFonts w:ascii="Palatino Linotype" w:eastAsia="Palatino Linotype" w:hAnsi="Palatino Linotype" w:cs="Palatino Linotype"/>
          <w:i/>
          <w:sz w:val="22"/>
          <w:szCs w:val="22"/>
        </w:rPr>
        <w:t xml:space="preserve"> Los expedientes, reportes, estudios, actas</w:t>
      </w:r>
      <w:r w:rsidRPr="005E410F">
        <w:rPr>
          <w:rFonts w:ascii="Palatino Linotype" w:eastAsia="Palatino Linotype" w:hAnsi="Palatino Linotype" w:cs="Palatino Linotype"/>
          <w:b/>
          <w:i/>
          <w:sz w:val="22"/>
          <w:szCs w:val="22"/>
        </w:rPr>
        <w:t>,</w:t>
      </w:r>
      <w:r w:rsidRPr="005E410F">
        <w:rPr>
          <w:rFonts w:ascii="Palatino Linotype" w:eastAsia="Palatino Linotype" w:hAnsi="Palatino Linotype" w:cs="Palatino Linotype"/>
          <w:i/>
          <w:sz w:val="22"/>
          <w:szCs w:val="22"/>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(Sic)</w:t>
      </w:r>
    </w:p>
    <w:p w14:paraId="3D48D7FE" w14:textId="77777777" w:rsidR="00A12EBB" w:rsidRPr="005E410F" w:rsidRDefault="00A12EBB">
      <w:pPr>
        <w:spacing w:line="360" w:lineRule="auto"/>
        <w:ind w:left="851" w:right="899"/>
        <w:jc w:val="both"/>
        <w:rPr>
          <w:rFonts w:ascii="Palatino Linotype" w:eastAsia="Palatino Linotype" w:hAnsi="Palatino Linotype" w:cs="Palatino Linotype"/>
          <w:sz w:val="22"/>
          <w:szCs w:val="22"/>
        </w:rPr>
      </w:pPr>
    </w:p>
    <w:p w14:paraId="2E930231"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58C7E040" w14:textId="77777777" w:rsidR="00A12EBB" w:rsidRPr="005E410F" w:rsidRDefault="00A12EBB">
      <w:pPr>
        <w:spacing w:line="360" w:lineRule="auto"/>
        <w:ind w:left="851" w:right="899"/>
        <w:jc w:val="both"/>
        <w:rPr>
          <w:rFonts w:ascii="Palatino Linotype" w:eastAsia="Palatino Linotype" w:hAnsi="Palatino Linotype" w:cs="Palatino Linotype"/>
          <w:sz w:val="22"/>
          <w:szCs w:val="22"/>
        </w:rPr>
      </w:pPr>
    </w:p>
    <w:p w14:paraId="06F2D7E9" w14:textId="77777777" w:rsidR="00A12EBB" w:rsidRPr="005E410F" w:rsidRDefault="00AD46E7">
      <w:pPr>
        <w:spacing w:line="276" w:lineRule="auto"/>
        <w:ind w:left="851" w:right="616"/>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sz w:val="22"/>
          <w:szCs w:val="22"/>
        </w:rPr>
        <w:t>“</w:t>
      </w:r>
      <w:r w:rsidRPr="005E410F">
        <w:rPr>
          <w:rFonts w:ascii="Palatino Linotype" w:eastAsia="Palatino Linotype" w:hAnsi="Palatino Linotype" w:cs="Palatino Linotype"/>
          <w:b/>
          <w:i/>
          <w:sz w:val="22"/>
          <w:szCs w:val="22"/>
        </w:rPr>
        <w:t>CRITERIO 0002-11. INFORMACIÓN PÚBLICA, CONCEPTO DE, EN MATERIA DE TRANSPARENCIA. INTERPRETACIÓN SISTEMÁTICA DE LOS ARTÍCULOS 2°, FRACCIÓN V, XV, Y XVI, 3°, 4°, 11 Y 41.</w:t>
      </w:r>
      <w:r w:rsidRPr="005E410F">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2D51C543"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En </w:t>
      </w:r>
      <w:proofErr w:type="gramStart"/>
      <w:r w:rsidRPr="005E410F">
        <w:rPr>
          <w:rFonts w:ascii="Palatino Linotype" w:eastAsia="Palatino Linotype" w:hAnsi="Palatino Linotype" w:cs="Palatino Linotype"/>
          <w:i/>
          <w:sz w:val="22"/>
          <w:szCs w:val="22"/>
        </w:rPr>
        <w:t>consecuencia</w:t>
      </w:r>
      <w:proofErr w:type="gramEnd"/>
      <w:r w:rsidRPr="005E410F">
        <w:rPr>
          <w:rFonts w:ascii="Palatino Linotype" w:eastAsia="Palatino Linotype" w:hAnsi="Palatino Linotype" w:cs="Palatino Linotype"/>
          <w:i/>
          <w:sz w:val="22"/>
          <w:szCs w:val="22"/>
        </w:rPr>
        <w:t xml:space="preserve"> el acceso a la información se refiere a que se cumplan cualquiera de los siguientes tres supuestos:</w:t>
      </w:r>
    </w:p>
    <w:p w14:paraId="350956FC"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1) Que se trate de información registrada en cualquier soporte documental, </w:t>
      </w:r>
      <w:proofErr w:type="gramStart"/>
      <w:r w:rsidRPr="005E410F">
        <w:rPr>
          <w:rFonts w:ascii="Palatino Linotype" w:eastAsia="Palatino Linotype" w:hAnsi="Palatino Linotype" w:cs="Palatino Linotype"/>
          <w:i/>
          <w:sz w:val="22"/>
          <w:szCs w:val="22"/>
        </w:rPr>
        <w:t>que</w:t>
      </w:r>
      <w:proofErr w:type="gramEnd"/>
      <w:r w:rsidRPr="005E410F">
        <w:rPr>
          <w:rFonts w:ascii="Palatino Linotype" w:eastAsia="Palatino Linotype" w:hAnsi="Palatino Linotype" w:cs="Palatino Linotype"/>
          <w:i/>
          <w:sz w:val="22"/>
          <w:szCs w:val="22"/>
        </w:rPr>
        <w:t xml:space="preserve"> en ejercicio de las atribuciones conferidas, sea generada por los Sujetos Obligados;</w:t>
      </w:r>
    </w:p>
    <w:p w14:paraId="425ACB80" w14:textId="77777777" w:rsidR="00A12EBB" w:rsidRPr="005E410F" w:rsidRDefault="00AD46E7">
      <w:pPr>
        <w:spacing w:line="276" w:lineRule="auto"/>
        <w:ind w:left="851" w:right="616"/>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lastRenderedPageBreak/>
        <w:t xml:space="preserve">2) Que se trate de información registrada en cualquier soporte documental, </w:t>
      </w:r>
      <w:proofErr w:type="gramStart"/>
      <w:r w:rsidRPr="005E410F">
        <w:rPr>
          <w:rFonts w:ascii="Palatino Linotype" w:eastAsia="Palatino Linotype" w:hAnsi="Palatino Linotype" w:cs="Palatino Linotype"/>
          <w:b/>
          <w:i/>
          <w:sz w:val="22"/>
          <w:szCs w:val="22"/>
        </w:rPr>
        <w:t>que</w:t>
      </w:r>
      <w:proofErr w:type="gramEnd"/>
      <w:r w:rsidRPr="005E410F">
        <w:rPr>
          <w:rFonts w:ascii="Palatino Linotype" w:eastAsia="Palatino Linotype" w:hAnsi="Palatino Linotype" w:cs="Palatino Linotype"/>
          <w:b/>
          <w:i/>
          <w:sz w:val="22"/>
          <w:szCs w:val="22"/>
        </w:rPr>
        <w:t xml:space="preserve"> en ejercicio de las atribuciones conferidas, sea administrada por los Sujetos Obligados, y</w:t>
      </w:r>
    </w:p>
    <w:p w14:paraId="303DD20E" w14:textId="77777777" w:rsidR="00A12EBB" w:rsidRPr="005E410F" w:rsidRDefault="00AD46E7">
      <w:pPr>
        <w:spacing w:line="276" w:lineRule="auto"/>
        <w:ind w:left="851" w:right="616"/>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t xml:space="preserve">3) Que se trate de información registrada en cualquier soporte documental, </w:t>
      </w:r>
      <w:proofErr w:type="gramStart"/>
      <w:r w:rsidRPr="005E410F">
        <w:rPr>
          <w:rFonts w:ascii="Palatino Linotype" w:eastAsia="Palatino Linotype" w:hAnsi="Palatino Linotype" w:cs="Palatino Linotype"/>
          <w:b/>
          <w:i/>
          <w:sz w:val="22"/>
          <w:szCs w:val="22"/>
        </w:rPr>
        <w:t>que</w:t>
      </w:r>
      <w:proofErr w:type="gramEnd"/>
      <w:r w:rsidRPr="005E410F">
        <w:rPr>
          <w:rFonts w:ascii="Palatino Linotype" w:eastAsia="Palatino Linotype" w:hAnsi="Palatino Linotype" w:cs="Palatino Linotype"/>
          <w:b/>
          <w:i/>
          <w:sz w:val="22"/>
          <w:szCs w:val="22"/>
        </w:rPr>
        <w:t xml:space="preserve"> en ejercicio de las atribuciones conferidas, se encuentre en posesión de los Sujetos Obligados.” (Sic)</w:t>
      </w:r>
    </w:p>
    <w:p w14:paraId="4EB033C8"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58BF718C" w14:textId="77777777" w:rsidR="00A12EBB" w:rsidRPr="005E410F" w:rsidRDefault="00AD46E7">
      <w:pP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Lo anterior, siempre y cuando no se trate de información clasificada como reservada o confidencial, cuya difusión pueda lesionar en interés jurídicamente protegido por la Ley, producir un daño mayor que el interés de conocerse, o bien, generar un daño en los derechos de las personas,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4373E54C"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50305B7E"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En el mismo tenor, los artículos 6 apartado A, fracción I de la Constitución Política de los Estados Unidos Mexicanos y 5 fracción I de la Constitución Política del Estado Libre y Soberano de México, establecen que toda la información en posesión de cualquier autoridad, entidad, órgano y organismos de los Poderes Ejecutivo, Legislativo y Judicial, órganos autónomos, partidos políticos, fideicomisos y fondos públicos estatales y municipales, así como del gobierno y de la administración pública municipal y sus organismos descentralizados, asimismo de cualquier persona física, jurídica colectiva o sindicato que reciba y ejerza recursos públicos o realice actos de autoridad en el ámbito estatal y municipal, es pública y sólo podrá ser reservada temporalmente por las razones previstas en la Constitución Federal por interés público y seguridad, en los términos que fijen las leyes de la materia.</w:t>
      </w:r>
    </w:p>
    <w:p w14:paraId="6A32C42B" w14:textId="77777777" w:rsidR="00A12EBB" w:rsidRPr="005E410F" w:rsidRDefault="00AD46E7">
      <w:pPr>
        <w:spacing w:before="240" w:after="240" w:line="360" w:lineRule="auto"/>
        <w:ind w:right="51"/>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 xml:space="preserve">Ahora bien, del análisis de la solicitud de información, motivo del recurso de revisión que ahora se resuelve, se advierte que la parte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requirió al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lo siguiente: </w:t>
      </w:r>
    </w:p>
    <w:p w14:paraId="389C85D4" w14:textId="77777777" w:rsidR="00A12EBB" w:rsidRPr="005E410F" w:rsidRDefault="00AD46E7">
      <w:pPr>
        <w:numPr>
          <w:ilvl w:val="0"/>
          <w:numId w:val="1"/>
        </w:numPr>
        <w:pBdr>
          <w:top w:val="nil"/>
          <w:left w:val="nil"/>
          <w:bottom w:val="nil"/>
          <w:right w:val="nil"/>
          <w:between w:val="nil"/>
        </w:pBdr>
        <w:spacing w:before="240" w:after="240" w:line="360" w:lineRule="auto"/>
        <w:ind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 De la Síndica Municipal, currículum y nombramiento. </w:t>
      </w:r>
    </w:p>
    <w:p w14:paraId="67C6F88B" w14:textId="77777777" w:rsidR="00A12EBB" w:rsidRPr="005E410F" w:rsidRDefault="00AD46E7">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En respuesta,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a través del Titular de la Unidad de Transparencia informó la entrega del currículum de la síndica municipal en versión pública. </w:t>
      </w:r>
    </w:p>
    <w:p w14:paraId="5739E73A" w14:textId="77777777" w:rsidR="00A12EBB" w:rsidRPr="005E410F" w:rsidRDefault="00AD46E7">
      <w:pPr>
        <w:spacing w:before="240" w:after="240" w:line="360" w:lineRule="auto"/>
        <w:ind w:right="51"/>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Inconforme con la respuesta, la parte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procedió a interponer el presente recurso de revisión, señalando en sus razones o motivos de inconformidad, que la información se encuentra incompleta. </w:t>
      </w:r>
    </w:p>
    <w:p w14:paraId="63688A23" w14:textId="77777777" w:rsidR="00A12EBB" w:rsidRPr="005E410F" w:rsidRDefault="00AD46E7">
      <w:pPr>
        <w:widowControl w:val="0"/>
        <w:tabs>
          <w:tab w:val="left" w:pos="1701"/>
          <w:tab w:val="left" w:pos="1843"/>
        </w:tabs>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Por otra parte, de las constancias que obran en el </w:t>
      </w:r>
      <w:r w:rsidRPr="005E410F">
        <w:rPr>
          <w:rFonts w:ascii="Palatino Linotype" w:eastAsia="Palatino Linotype" w:hAnsi="Palatino Linotype" w:cs="Palatino Linotype"/>
          <w:b/>
          <w:sz w:val="22"/>
          <w:szCs w:val="22"/>
        </w:rPr>
        <w:t>SAIMEX,</w:t>
      </w:r>
      <w:r w:rsidRPr="005E410F">
        <w:rPr>
          <w:rFonts w:ascii="Palatino Linotype" w:eastAsia="Palatino Linotype" w:hAnsi="Palatino Linotype" w:cs="Palatino Linotype"/>
          <w:sz w:val="22"/>
          <w:szCs w:val="22"/>
        </w:rPr>
        <w:t xml:space="preserve"> se advierte que el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no realizó manifestaciones, alegatos o pruebas que a su derecho convinieran y por su parte el </w:t>
      </w:r>
      <w:r w:rsidRPr="005E410F">
        <w:rPr>
          <w:rFonts w:ascii="Palatino Linotype" w:eastAsia="Palatino Linotype" w:hAnsi="Palatino Linotype" w:cs="Palatino Linotype"/>
          <w:b/>
          <w:sz w:val="22"/>
          <w:szCs w:val="22"/>
        </w:rPr>
        <w:t xml:space="preserve">Sujeto Obligado </w:t>
      </w:r>
      <w:r w:rsidRPr="005E410F">
        <w:rPr>
          <w:rFonts w:ascii="Palatino Linotype" w:eastAsia="Palatino Linotype" w:hAnsi="Palatino Linotype" w:cs="Palatino Linotype"/>
          <w:sz w:val="22"/>
          <w:szCs w:val="22"/>
        </w:rPr>
        <w:t>tampoco</w:t>
      </w:r>
      <w:r w:rsidRPr="005E410F">
        <w:rPr>
          <w:rFonts w:ascii="Palatino Linotype" w:eastAsia="Palatino Linotype" w:hAnsi="Palatino Linotype" w:cs="Palatino Linotype"/>
          <w:b/>
          <w:sz w:val="22"/>
          <w:szCs w:val="22"/>
        </w:rPr>
        <w:t xml:space="preserve"> </w:t>
      </w:r>
      <w:r w:rsidRPr="005E410F">
        <w:rPr>
          <w:rFonts w:ascii="Palatino Linotype" w:eastAsia="Palatino Linotype" w:hAnsi="Palatino Linotype" w:cs="Palatino Linotype"/>
          <w:sz w:val="22"/>
          <w:szCs w:val="22"/>
        </w:rPr>
        <w:t xml:space="preserve">rindió su informe justificado. </w:t>
      </w:r>
    </w:p>
    <w:p w14:paraId="3C885A66" w14:textId="77777777" w:rsidR="00A12EBB" w:rsidRPr="005E410F" w:rsidRDefault="00A12EBB">
      <w:pPr>
        <w:widowControl w:val="0"/>
        <w:tabs>
          <w:tab w:val="left" w:pos="1701"/>
          <w:tab w:val="left" w:pos="1843"/>
        </w:tabs>
        <w:spacing w:line="360" w:lineRule="auto"/>
        <w:jc w:val="both"/>
        <w:rPr>
          <w:rFonts w:ascii="Palatino Linotype" w:eastAsia="Palatino Linotype" w:hAnsi="Palatino Linotype" w:cs="Palatino Linotype"/>
          <w:sz w:val="22"/>
          <w:szCs w:val="22"/>
        </w:rPr>
      </w:pPr>
    </w:p>
    <w:p w14:paraId="5600D44B" w14:textId="77777777" w:rsidR="00A12EBB" w:rsidRPr="005E410F" w:rsidRDefault="00AD46E7">
      <w:pPr>
        <w:widowControl w:val="0"/>
        <w:tabs>
          <w:tab w:val="left" w:pos="1701"/>
          <w:tab w:val="left" w:pos="1843"/>
        </w:tabs>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Expuesto lo anterior, se procede al análisis pormenorizado de los requerimientos de información, a efecto de determinar si con la información remitida en respuesta, el </w:t>
      </w:r>
      <w:r w:rsidRPr="005E410F">
        <w:rPr>
          <w:rFonts w:ascii="Palatino Linotype" w:eastAsia="Palatino Linotype" w:hAnsi="Palatino Linotype" w:cs="Palatino Linotype"/>
          <w:b/>
          <w:sz w:val="22"/>
          <w:szCs w:val="22"/>
        </w:rPr>
        <w:t>Sujeto Obligad</w:t>
      </w:r>
      <w:r w:rsidRPr="005E410F">
        <w:rPr>
          <w:rFonts w:ascii="Palatino Linotype" w:eastAsia="Palatino Linotype" w:hAnsi="Palatino Linotype" w:cs="Palatino Linotype"/>
          <w:sz w:val="22"/>
          <w:szCs w:val="22"/>
        </w:rPr>
        <w:t xml:space="preserve"> colmó el derecho a de acceso a la información de la parte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o en su defecto ordenar su entrega. </w:t>
      </w:r>
    </w:p>
    <w:p w14:paraId="78DD27E5" w14:textId="77777777" w:rsidR="00A12EBB" w:rsidRPr="005E410F" w:rsidRDefault="00A12EBB">
      <w:pPr>
        <w:widowControl w:val="0"/>
        <w:tabs>
          <w:tab w:val="left" w:pos="1701"/>
          <w:tab w:val="left" w:pos="1843"/>
        </w:tabs>
        <w:spacing w:line="360" w:lineRule="auto"/>
        <w:jc w:val="both"/>
        <w:rPr>
          <w:rFonts w:ascii="Palatino Linotype" w:eastAsia="Palatino Linotype" w:hAnsi="Palatino Linotype" w:cs="Palatino Linotype"/>
          <w:sz w:val="22"/>
          <w:szCs w:val="22"/>
        </w:rPr>
      </w:pPr>
    </w:p>
    <w:p w14:paraId="5750768C" w14:textId="77777777" w:rsidR="00A12EBB" w:rsidRPr="005E410F" w:rsidRDefault="00AD46E7">
      <w:pPr>
        <w:widowControl w:val="0"/>
        <w:numPr>
          <w:ilvl w:val="0"/>
          <w:numId w:val="1"/>
        </w:numPr>
        <w:pBdr>
          <w:top w:val="nil"/>
          <w:left w:val="nil"/>
          <w:bottom w:val="nil"/>
          <w:right w:val="nil"/>
          <w:between w:val="nil"/>
        </w:pBdr>
        <w:tabs>
          <w:tab w:val="left" w:pos="1701"/>
          <w:tab w:val="left" w:pos="1843"/>
        </w:tabs>
        <w:spacing w:line="360" w:lineRule="auto"/>
        <w:jc w:val="both"/>
        <w:rPr>
          <w:rFonts w:ascii="Palatino Linotype" w:eastAsia="Palatino Linotype" w:hAnsi="Palatino Linotype" w:cs="Palatino Linotype"/>
          <w:b/>
          <w:sz w:val="22"/>
          <w:szCs w:val="22"/>
        </w:rPr>
      </w:pPr>
      <w:r w:rsidRPr="005E410F">
        <w:rPr>
          <w:rFonts w:ascii="Palatino Linotype" w:eastAsia="Palatino Linotype" w:hAnsi="Palatino Linotype" w:cs="Palatino Linotype"/>
          <w:b/>
          <w:sz w:val="22"/>
          <w:szCs w:val="22"/>
        </w:rPr>
        <w:t xml:space="preserve">Currículum Vitae </w:t>
      </w:r>
    </w:p>
    <w:p w14:paraId="44E0CA87" w14:textId="77777777" w:rsidR="00A12EBB" w:rsidRPr="005E410F" w:rsidRDefault="00A12EBB">
      <w:pPr>
        <w:widowControl w:val="0"/>
        <w:pBdr>
          <w:top w:val="nil"/>
          <w:left w:val="nil"/>
          <w:bottom w:val="nil"/>
          <w:right w:val="nil"/>
          <w:between w:val="nil"/>
        </w:pBdr>
        <w:tabs>
          <w:tab w:val="left" w:pos="1701"/>
          <w:tab w:val="left" w:pos="1843"/>
        </w:tabs>
        <w:spacing w:line="360" w:lineRule="auto"/>
        <w:ind w:left="720"/>
        <w:jc w:val="both"/>
        <w:rPr>
          <w:rFonts w:ascii="Palatino Linotype" w:eastAsia="Palatino Linotype" w:hAnsi="Palatino Linotype" w:cs="Palatino Linotype"/>
          <w:b/>
          <w:sz w:val="22"/>
          <w:szCs w:val="22"/>
        </w:rPr>
      </w:pPr>
    </w:p>
    <w:p w14:paraId="7EC66592" w14:textId="77777777" w:rsidR="00A12EBB" w:rsidRPr="005E410F" w:rsidRDefault="00AD46E7">
      <w:pPr>
        <w:widowControl w:val="0"/>
        <w:tabs>
          <w:tab w:val="left" w:pos="1701"/>
          <w:tab w:val="left" w:pos="1843"/>
        </w:tabs>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Previo al análisis de la respuesta es necesario precisar que el artículo 41 del Bando Municipal del Ayuntamiento de Cocotitlán vigente, establece que, para el despacho, estudio y planeación de los diversos asuntos de la administración municipal,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contará con una Coordinación de Administración y Desarrollo de Personal adscrita a la </w:t>
      </w:r>
      <w:r w:rsidRPr="005E410F">
        <w:rPr>
          <w:rFonts w:ascii="Palatino Linotype" w:eastAsia="Palatino Linotype" w:hAnsi="Palatino Linotype" w:cs="Palatino Linotype"/>
          <w:sz w:val="22"/>
          <w:szCs w:val="22"/>
        </w:rPr>
        <w:lastRenderedPageBreak/>
        <w:t xml:space="preserve">Tesorería Municipal, tal y como se muestra a continuación: </w:t>
      </w:r>
    </w:p>
    <w:p w14:paraId="1C338BA6" w14:textId="77777777" w:rsidR="00A12EBB" w:rsidRPr="005E410F" w:rsidRDefault="00A12EBB">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008131A8"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42</w:t>
      </w:r>
      <w:r w:rsidRPr="005E410F">
        <w:rPr>
          <w:rFonts w:ascii="Palatino Linotype" w:eastAsia="Palatino Linotype" w:hAnsi="Palatino Linotype" w:cs="Palatino Linotype"/>
          <w:i/>
          <w:sz w:val="22"/>
          <w:szCs w:val="22"/>
        </w:rPr>
        <w:t>. Para el despacho, estudio y planeación de los diversos asuntos de la administración municipal, el Ayuntamiento cuenta con las siguientes Dependencias:</w:t>
      </w:r>
    </w:p>
    <w:p w14:paraId="775A9F0B"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 La Secretaría del Ayuntamiento.</w:t>
      </w:r>
    </w:p>
    <w:p w14:paraId="6A945EDB"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a. Juzgado Cívico.</w:t>
      </w:r>
    </w:p>
    <w:p w14:paraId="5907F8A9"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II. Contraloría Interna Municipal.</w:t>
      </w:r>
    </w:p>
    <w:p w14:paraId="21DB43F6"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a. Autoridad Sustanciadora.</w:t>
      </w:r>
    </w:p>
    <w:p w14:paraId="73CB02AA"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b. Autoridad Resolutora.</w:t>
      </w:r>
    </w:p>
    <w:p w14:paraId="4E322CD7"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c. Autoridad Investigadora.</w:t>
      </w:r>
    </w:p>
    <w:p w14:paraId="75EF2252"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d. Unidad de Transparencia y Acceso a la Información.</w:t>
      </w:r>
    </w:p>
    <w:p w14:paraId="7204AB68"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b/>
          <w:i/>
          <w:sz w:val="22"/>
          <w:szCs w:val="22"/>
          <w:u w:val="single"/>
        </w:rPr>
      </w:pPr>
      <w:r w:rsidRPr="005E410F">
        <w:rPr>
          <w:rFonts w:ascii="Palatino Linotype" w:eastAsia="Palatino Linotype" w:hAnsi="Palatino Linotype" w:cs="Palatino Linotype"/>
          <w:b/>
          <w:i/>
          <w:sz w:val="22"/>
          <w:szCs w:val="22"/>
          <w:u w:val="single"/>
        </w:rPr>
        <w:t>III. La Tesorería Municipal.</w:t>
      </w:r>
    </w:p>
    <w:p w14:paraId="3830AC4B"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a. Catastro.</w:t>
      </w:r>
    </w:p>
    <w:p w14:paraId="3E4E884C"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b. Jefatura de Ingresos.</w:t>
      </w:r>
    </w:p>
    <w:p w14:paraId="65CF9749"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c. Jefatura de Egresos.</w:t>
      </w:r>
    </w:p>
    <w:p w14:paraId="67EBB6E4"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b/>
          <w:i/>
          <w:sz w:val="22"/>
          <w:szCs w:val="22"/>
          <w:u w:val="single"/>
        </w:rPr>
      </w:pPr>
      <w:r w:rsidRPr="005E410F">
        <w:rPr>
          <w:rFonts w:ascii="Palatino Linotype" w:eastAsia="Palatino Linotype" w:hAnsi="Palatino Linotype" w:cs="Palatino Linotype"/>
          <w:i/>
          <w:sz w:val="22"/>
          <w:szCs w:val="22"/>
          <w:u w:val="single"/>
        </w:rPr>
        <w:t xml:space="preserve">d. </w:t>
      </w:r>
      <w:r w:rsidRPr="005E410F">
        <w:rPr>
          <w:rFonts w:ascii="Palatino Linotype" w:eastAsia="Palatino Linotype" w:hAnsi="Palatino Linotype" w:cs="Palatino Linotype"/>
          <w:b/>
          <w:i/>
          <w:sz w:val="22"/>
          <w:szCs w:val="22"/>
          <w:u w:val="single"/>
        </w:rPr>
        <w:t>Coordinación de Administración y Desarrollo Personal.</w:t>
      </w:r>
    </w:p>
    <w:p w14:paraId="58D42DD5"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IV. Coordinación Jurídica Municipal.</w:t>
      </w:r>
    </w:p>
    <w:p w14:paraId="5EEF1886"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V. Coordinación General Municipal de Mejora Regulatoria.</w:t>
      </w:r>
    </w:p>
    <w:p w14:paraId="158CA5D9"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VI. Oficialía del Registro Civil.</w:t>
      </w:r>
    </w:p>
    <w:p w14:paraId="4FC32F27"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VII. Dirección de Desarrollo Urbano.</w:t>
      </w:r>
    </w:p>
    <w:p w14:paraId="0DF4C349"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01F49261" w14:textId="77777777" w:rsidR="00A12EBB" w:rsidRPr="005E410F" w:rsidRDefault="00AD46E7">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(Énfasis Añadido)</w:t>
      </w:r>
    </w:p>
    <w:p w14:paraId="1EA031F6" w14:textId="77777777" w:rsidR="00A12EBB" w:rsidRPr="005E410F" w:rsidRDefault="00A12EBB">
      <w:pPr>
        <w:pBdr>
          <w:top w:val="nil"/>
          <w:left w:val="nil"/>
          <w:bottom w:val="nil"/>
          <w:right w:val="nil"/>
          <w:between w:val="nil"/>
        </w:pBdr>
        <w:tabs>
          <w:tab w:val="left" w:pos="709"/>
        </w:tabs>
        <w:spacing w:line="276" w:lineRule="auto"/>
        <w:ind w:left="851" w:right="616"/>
        <w:jc w:val="both"/>
        <w:rPr>
          <w:rFonts w:ascii="Palatino Linotype" w:eastAsia="Palatino Linotype" w:hAnsi="Palatino Linotype" w:cs="Palatino Linotype"/>
          <w:sz w:val="22"/>
          <w:szCs w:val="22"/>
        </w:rPr>
      </w:pPr>
    </w:p>
    <w:p w14:paraId="02A96FFB" w14:textId="77777777" w:rsidR="00A12EBB" w:rsidRPr="005E410F" w:rsidRDefault="00AD46E7">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En esa tesitura, el artículo 4 del Reglamento Interno de la Coordinación de Administración y Desarrollo de Personal, refiere que su finalidad será la de administrar eficientemente los recursos técnicos, humanos y públicos con que se cuente para satisfacer oportuna y eficazmente el desempeño de los servidores públicos para brindar una excelente atención a los habitantes del Municipio de Cocotitlán.</w:t>
      </w:r>
    </w:p>
    <w:p w14:paraId="3939B0D9" w14:textId="77777777" w:rsidR="00A12EBB" w:rsidRPr="005E410F" w:rsidRDefault="00A12EBB">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7542454E" w14:textId="77777777" w:rsidR="00A12EBB" w:rsidRPr="005E410F" w:rsidRDefault="00AD46E7">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 xml:space="preserve">Por su parte el Manual de Organización de la Tesorería Municipal establece que el Coordinador de Administración y Desarrollo de Personal tendrá las siguientes facultades: </w:t>
      </w:r>
    </w:p>
    <w:p w14:paraId="0A69B554" w14:textId="77777777" w:rsidR="00A12EBB" w:rsidRPr="005E410F" w:rsidRDefault="00A12EBB">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145E11E3"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 Planear y administrar los recursos humanos, materiales y los servicios de la Administración Pública Municipal.</w:t>
      </w:r>
    </w:p>
    <w:p w14:paraId="77E0F80B"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II. </w:t>
      </w:r>
      <w:r w:rsidRPr="005E410F">
        <w:rPr>
          <w:rFonts w:ascii="Palatino Linotype" w:eastAsia="Palatino Linotype" w:hAnsi="Palatino Linotype" w:cs="Palatino Linotype"/>
          <w:b/>
          <w:i/>
          <w:sz w:val="22"/>
          <w:szCs w:val="22"/>
          <w:u w:val="single"/>
        </w:rPr>
        <w:t>Reclutar, Seleccionar y contratar</w:t>
      </w:r>
      <w:r w:rsidRPr="005E410F">
        <w:rPr>
          <w:rFonts w:ascii="Palatino Linotype" w:eastAsia="Palatino Linotype" w:hAnsi="Palatino Linotype" w:cs="Palatino Linotype"/>
          <w:b/>
          <w:i/>
          <w:sz w:val="22"/>
          <w:szCs w:val="22"/>
        </w:rPr>
        <w:t xml:space="preserve"> </w:t>
      </w:r>
      <w:r w:rsidRPr="005E410F">
        <w:rPr>
          <w:rFonts w:ascii="Palatino Linotype" w:eastAsia="Palatino Linotype" w:hAnsi="Palatino Linotype" w:cs="Palatino Linotype"/>
          <w:b/>
          <w:i/>
          <w:sz w:val="22"/>
          <w:szCs w:val="22"/>
          <w:u w:val="single"/>
        </w:rPr>
        <w:t>personal, en base a los perfiles y necesidades que las diversas dependencias de la Administración Pública Municipal requieran, para cumplir de manera eficaz y eficiente con sus funciones</w:t>
      </w:r>
      <w:r w:rsidRPr="005E410F">
        <w:rPr>
          <w:rFonts w:ascii="Palatino Linotype" w:eastAsia="Palatino Linotype" w:hAnsi="Palatino Linotype" w:cs="Palatino Linotype"/>
          <w:i/>
          <w:sz w:val="22"/>
          <w:szCs w:val="22"/>
        </w:rPr>
        <w:t>.</w:t>
      </w:r>
    </w:p>
    <w:p w14:paraId="0C98C23F"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III. Coordinar programas de capacitación para el personal de las diferentes áreas que integran la Administración Pública Municipal.</w:t>
      </w:r>
    </w:p>
    <w:p w14:paraId="5B60B54A"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IV. Coordinar con la Tesorería, la adquisición de bienes e insumos y pago de obligaciones, así como la elaboración y distribución oportuna de la nómina para el pago al personal que labora en la Administración, apegándose a la normatividad en la materia y al presupuesto autorizado.</w:t>
      </w:r>
    </w:p>
    <w:p w14:paraId="2817BFE3"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V. Coordinar la Metodología para la elaboración de Manuales de Procedimiento y de Organización de las dependencias de la Administración Pública Municipal.</w:t>
      </w:r>
    </w:p>
    <w:p w14:paraId="32291F70"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VI. Atender las controversias laborales, en coordinación con la Dirección Jurídica y/o la Contraloría Interna Municipal.</w:t>
      </w:r>
    </w:p>
    <w:p w14:paraId="6EA7D976"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VII. Supervisar el control de incapacidades, asistencias e inasistencias.</w:t>
      </w:r>
    </w:p>
    <w:p w14:paraId="384E7289"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VIII. Emitir los lineamientos de operación del proceso de administración de recursos humanos, que permitan contribuir al desempeño de las funciones de la Administración.</w:t>
      </w:r>
    </w:p>
    <w:p w14:paraId="348CD68D"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1A0F9E77"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643EFA65"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Por lo anteriormente expuesto, se advierte que la unidad administrativa que cuenta con atribuciones para contratar personal, en base a los perfiles y necesidades de las diversas dependencias de la Administración Pública Municipal, es la Tesorería Municipal a través de la Coordinación de Administración y Desarrollo de Personal. </w:t>
      </w:r>
    </w:p>
    <w:p w14:paraId="5F18D340"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566D20EE"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Ahora bien, de la revisión a las constancias que obran en el expediente electrónico, se logra advertir que la solicitud se turnó a la Tesorería Municipal, tal y como se muestra a continuación:</w:t>
      </w:r>
    </w:p>
    <w:p w14:paraId="33952CC5"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7CE34107"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noProof/>
          <w:sz w:val="22"/>
          <w:szCs w:val="22"/>
          <w:lang w:val="es-MX" w:eastAsia="es-MX"/>
        </w:rPr>
        <w:drawing>
          <wp:inline distT="0" distB="0" distL="0" distR="0" wp14:anchorId="698ED4F1" wp14:editId="278C17F0">
            <wp:extent cx="5612130" cy="638175"/>
            <wp:effectExtent l="0" t="0" r="0" b="0"/>
            <wp:docPr id="161334314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a:stretch>
                      <a:fillRect/>
                    </a:stretch>
                  </pic:blipFill>
                  <pic:spPr>
                    <a:xfrm>
                      <a:off x="0" y="0"/>
                      <a:ext cx="5612130" cy="638175"/>
                    </a:xfrm>
                    <a:prstGeom prst="rect">
                      <a:avLst/>
                    </a:prstGeom>
                    <a:ln/>
                  </pic:spPr>
                </pic:pic>
              </a:graphicData>
            </a:graphic>
          </wp:inline>
        </w:drawing>
      </w:r>
    </w:p>
    <w:p w14:paraId="3542A3FA" w14:textId="77777777" w:rsidR="00A12EBB" w:rsidRPr="005E410F" w:rsidRDefault="00AD46E7">
      <w:pP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De la imagen inserta se advierte que la solicitud de información fue atendida por el Servidor Público Habilitado, </w:t>
      </w:r>
      <w:proofErr w:type="spellStart"/>
      <w:r w:rsidRPr="005E410F">
        <w:rPr>
          <w:rFonts w:ascii="Palatino Linotype" w:eastAsia="Palatino Linotype" w:hAnsi="Palatino Linotype" w:cs="Palatino Linotype"/>
          <w:sz w:val="22"/>
          <w:szCs w:val="22"/>
        </w:rPr>
        <w:t>Jahel</w:t>
      </w:r>
      <w:proofErr w:type="spellEnd"/>
      <w:r w:rsidRPr="005E410F">
        <w:rPr>
          <w:rFonts w:ascii="Palatino Linotype" w:eastAsia="Palatino Linotype" w:hAnsi="Palatino Linotype" w:cs="Palatino Linotype"/>
          <w:sz w:val="22"/>
          <w:szCs w:val="22"/>
        </w:rPr>
        <w:t xml:space="preserve"> Guzmán Galicia, el cual se ostenta como Tesorero Municipal, tal y como se advierte del Directorio de servidores públicos, publicado en la página oficial del Ayuntamiento de Cocotitlán, como a continuación se ilustra:</w:t>
      </w:r>
    </w:p>
    <w:p w14:paraId="5899802A" w14:textId="77777777" w:rsidR="00A12EBB" w:rsidRPr="005E410F" w:rsidRDefault="00AD46E7">
      <w:pPr>
        <w:spacing w:line="360" w:lineRule="auto"/>
        <w:jc w:val="center"/>
        <w:rPr>
          <w:rFonts w:ascii="Palatino Linotype" w:eastAsia="Palatino Linotype" w:hAnsi="Palatino Linotype" w:cs="Palatino Linotype"/>
          <w:sz w:val="22"/>
          <w:szCs w:val="22"/>
        </w:rPr>
      </w:pPr>
      <w:r w:rsidRPr="005E410F">
        <w:rPr>
          <w:rFonts w:ascii="Palatino Linotype" w:eastAsia="Palatino Linotype" w:hAnsi="Palatino Linotype" w:cs="Palatino Linotype"/>
          <w:noProof/>
          <w:sz w:val="22"/>
          <w:szCs w:val="22"/>
          <w:lang w:val="es-MX" w:eastAsia="es-MX"/>
        </w:rPr>
        <w:drawing>
          <wp:inline distT="0" distB="0" distL="0" distR="0" wp14:anchorId="447F2BBA" wp14:editId="5DBD5ABB">
            <wp:extent cx="5288102" cy="1477294"/>
            <wp:effectExtent l="0" t="0" r="0" b="0"/>
            <wp:docPr id="161334314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5288102" cy="1477294"/>
                    </a:xfrm>
                    <a:prstGeom prst="rect">
                      <a:avLst/>
                    </a:prstGeom>
                    <a:ln/>
                  </pic:spPr>
                </pic:pic>
              </a:graphicData>
            </a:graphic>
          </wp:inline>
        </w:drawing>
      </w:r>
      <w:r w:rsidRPr="005E410F">
        <w:rPr>
          <w:noProof/>
          <w:lang w:val="es-MX" w:eastAsia="es-MX"/>
        </w:rPr>
        <mc:AlternateContent>
          <mc:Choice Requires="wpg">
            <w:drawing>
              <wp:anchor distT="0" distB="0" distL="114300" distR="114300" simplePos="0" relativeHeight="251658240" behindDoc="0" locked="0" layoutInCell="1" hidden="0" allowOverlap="1" wp14:anchorId="444EA1CF" wp14:editId="17A24EEE">
                <wp:simplePos x="0" y="0"/>
                <wp:positionH relativeFrom="column">
                  <wp:posOffset>508000</wp:posOffset>
                </wp:positionH>
                <wp:positionV relativeFrom="paragraph">
                  <wp:posOffset>1231900</wp:posOffset>
                </wp:positionV>
                <wp:extent cx="4067175" cy="190500"/>
                <wp:effectExtent l="0" t="0" r="0" b="0"/>
                <wp:wrapNone/>
                <wp:docPr id="1613343136" name="Rectángulo 1613343136"/>
                <wp:cNvGraphicFramePr/>
                <a:graphic xmlns:a="http://schemas.openxmlformats.org/drawingml/2006/main">
                  <a:graphicData uri="http://schemas.microsoft.com/office/word/2010/wordprocessingShape">
                    <wps:wsp>
                      <wps:cNvSpPr/>
                      <wps:spPr>
                        <a:xfrm>
                          <a:off x="3321938" y="3694275"/>
                          <a:ext cx="4048125" cy="171450"/>
                        </a:xfrm>
                        <a:prstGeom prst="rect">
                          <a:avLst/>
                        </a:prstGeom>
                        <a:noFill/>
                        <a:ln w="19050" cap="flat" cmpd="sng">
                          <a:solidFill>
                            <a:srgbClr val="FF0000"/>
                          </a:solidFill>
                          <a:prstDash val="solid"/>
                          <a:miter lim="800000"/>
                          <a:headEnd type="none" w="sm" len="sm"/>
                          <a:tailEnd type="none" w="sm" len="sm"/>
                        </a:ln>
                      </wps:spPr>
                      <wps:txbx>
                        <w:txbxContent>
                          <w:p w14:paraId="509B3316" w14:textId="77777777" w:rsidR="00A12EBB" w:rsidRDefault="00A12EBB">
                            <w:pPr>
                              <w:textDirection w:val="btLr"/>
                            </w:pPr>
                          </w:p>
                        </w:txbxContent>
                      </wps:txbx>
                      <wps:bodyPr spcFirstLastPara="1" wrap="square" lIns="91425" tIns="91425" rIns="91425" bIns="91425" anchor="ctr" anchorCtr="0">
                        <a:noAutofit/>
                      </wps:bodyPr>
                    </wps:wsp>
                  </a:graphicData>
                </a:graphic>
              </wp:anchor>
            </w:drawing>
          </mc:Choice>
          <mc:Fallback xmlns:oel="http://schemas.microsoft.com/office/2019/extlst"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508000</wp:posOffset>
                </wp:positionH>
                <wp:positionV relativeFrom="paragraph">
                  <wp:posOffset>1231900</wp:posOffset>
                </wp:positionV>
                <wp:extent cx="4067175" cy="190500"/>
                <wp:effectExtent b="0" l="0" r="0" t="0"/>
                <wp:wrapNone/>
                <wp:docPr id="1613343136" name="image5.png"/>
                <a:graphic>
                  <a:graphicData uri="http://schemas.openxmlformats.org/drawingml/2006/picture">
                    <pic:pic>
                      <pic:nvPicPr>
                        <pic:cNvPr id="0" name="image5.png"/>
                        <pic:cNvPicPr preferRelativeResize="0"/>
                      </pic:nvPicPr>
                      <pic:blipFill>
                        <a:blip r:embed="rId11"/>
                        <a:srcRect/>
                        <a:stretch>
                          <a:fillRect/>
                        </a:stretch>
                      </pic:blipFill>
                      <pic:spPr>
                        <a:xfrm>
                          <a:off x="0" y="0"/>
                          <a:ext cx="4067175" cy="190500"/>
                        </a:xfrm>
                        <a:prstGeom prst="rect"/>
                        <a:ln/>
                      </pic:spPr>
                    </pic:pic>
                  </a:graphicData>
                </a:graphic>
              </wp:anchor>
            </w:drawing>
          </mc:Fallback>
        </mc:AlternateContent>
      </w:r>
    </w:p>
    <w:p w14:paraId="13D6BD01"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301D7880"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De este modo se advierte que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turnó la solicitud de información a la unidad administrativa competente, de modo que, es necesario hacer referencia al procedimiento de búsqueda que deben de seguir los Sujetos Obligados para localizar la información, el cual se encuentra previsto en los artículos 160 y 162 de la Ley de Transparencia y Acceso a la Información Pública del Estado de México y Municipios, mismo que es el siguiente:</w:t>
      </w:r>
    </w:p>
    <w:p w14:paraId="75A4959F" w14:textId="77777777" w:rsidR="00A12EBB" w:rsidRPr="005E410F" w:rsidRDefault="00A12EBB">
      <w:pPr>
        <w:spacing w:line="360" w:lineRule="auto"/>
        <w:rPr>
          <w:rFonts w:ascii="Palatino Linotype" w:eastAsia="Palatino Linotype" w:hAnsi="Palatino Linotype" w:cs="Palatino Linotype"/>
          <w:sz w:val="22"/>
          <w:szCs w:val="22"/>
        </w:rPr>
      </w:pPr>
    </w:p>
    <w:p w14:paraId="460CEDC5" w14:textId="77777777" w:rsidR="00A12EBB" w:rsidRPr="005E410F" w:rsidRDefault="00AD46E7">
      <w:pPr>
        <w:numPr>
          <w:ilvl w:val="0"/>
          <w:numId w:val="3"/>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Las Unidades de Transparencia garantizarán que las solicitudes de acceso a la información se turnen a todas las áreas competentes que cuenten con la información o deban tenerla -de acuerdo a las facultades, competencias y funciones-, con el objeto de que dichas áreas realicen una búsqueda exhaustiva y razonable de la información requerida, y</w:t>
      </w:r>
    </w:p>
    <w:p w14:paraId="790A85E4" w14:textId="77777777" w:rsidR="00A12EBB" w:rsidRPr="005E410F" w:rsidRDefault="00AD46E7">
      <w:pPr>
        <w:numPr>
          <w:ilvl w:val="0"/>
          <w:numId w:val="3"/>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Los sujetos obligados otorgarán acceso a los documentos que se encuentren en sus archivos o que estén obligados a documentar de acuerdo con sus facultades, competencias o funciones, en el formato en que el solicitante manifieste, de entre aquellos formatos existentes.</w:t>
      </w:r>
    </w:p>
    <w:p w14:paraId="23BF682D" w14:textId="77777777" w:rsidR="00A12EBB" w:rsidRPr="005E410F" w:rsidRDefault="00A12EBB">
      <w:pPr>
        <w:tabs>
          <w:tab w:val="left" w:pos="4962"/>
        </w:tabs>
        <w:spacing w:line="360" w:lineRule="auto"/>
        <w:ind w:right="-28"/>
        <w:jc w:val="both"/>
        <w:rPr>
          <w:rFonts w:ascii="Palatino Linotype" w:eastAsia="Palatino Linotype" w:hAnsi="Palatino Linotype" w:cs="Palatino Linotype"/>
          <w:sz w:val="22"/>
          <w:szCs w:val="22"/>
        </w:rPr>
      </w:pPr>
    </w:p>
    <w:p w14:paraId="010C5301"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De tal circunstancia, se logra colegir que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cumplió con el procedimiento de búsqueda establecido en el artículo 162 de la Ley de Transparencia y Acceso a la Información Pública del Estado de México y Municipios, toda vez que turnó la solicitud a la Tesorería Municipal, unidad administrativa que tiene a su cargo la Coordinación de Administración y Desarrollo de Personal, encargada de administrar eficientemente los recursos humanos del Sujeto Obligado; así como, contratar al personal de la administración pública municipal en base a sus perfiles y necesidades. </w:t>
      </w:r>
    </w:p>
    <w:p w14:paraId="50D8F9DF" w14:textId="77777777" w:rsidR="00A12EBB" w:rsidRPr="005E410F" w:rsidRDefault="00A12EBB">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2EF6B5CF" w14:textId="77777777" w:rsidR="00A12EBB" w:rsidRPr="005E410F" w:rsidRDefault="00AD46E7">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Ahora bien, en lo que respecta al </w:t>
      </w:r>
      <w:r w:rsidRPr="005E410F">
        <w:rPr>
          <w:rFonts w:ascii="Palatino Linotype" w:eastAsia="Palatino Linotype" w:hAnsi="Palatino Linotype" w:cs="Palatino Linotype"/>
          <w:b/>
          <w:sz w:val="22"/>
          <w:szCs w:val="22"/>
        </w:rPr>
        <w:t>currículum vítae</w:t>
      </w:r>
      <w:r w:rsidRPr="005E410F">
        <w:rPr>
          <w:rFonts w:ascii="Palatino Linotype" w:eastAsia="Palatino Linotype" w:hAnsi="Palatino Linotype" w:cs="Palatino Linotype"/>
          <w:sz w:val="22"/>
          <w:szCs w:val="22"/>
        </w:rPr>
        <w:t xml:space="preserve"> este es aquel que contiene la información relacionada con la trayectoria académica, profesional y laboral de un Servidor Público por medio del cual se acredita la capacidad, habilidades, experiencia o pericia de una persona para ocupar un cargo, puesto o comisión, que permitan realizar una comparación de las actividades que ha realizado con las que habrá de desarrollar, y determinar si cumple con el perfil del cargo a ocupar, del cual se desprende el último cargo que ocupó.</w:t>
      </w:r>
    </w:p>
    <w:p w14:paraId="49A98451" w14:textId="77777777" w:rsidR="00A12EBB" w:rsidRPr="005E410F" w:rsidRDefault="00AD46E7">
      <w:pPr>
        <w:pBdr>
          <w:top w:val="nil"/>
          <w:left w:val="nil"/>
          <w:bottom w:val="nil"/>
          <w:right w:val="nil"/>
          <w:between w:val="nil"/>
        </w:pBdr>
        <w:spacing w:before="240"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 xml:space="preserve">En ese orden de ideas, si bien, el documento referido es elaborado por cada persona sin ninguna validez oficial, el cual tiene como objetivo que las personas conozcan la trayectoria de quien lo presenta, situación que toma mayor relevancia al tratarse de aquel que ostenta un cargo en la administración; por lo que, existe un interés público para dar a conocer su contenido, pues transparenta que el personal que labora para el </w:t>
      </w:r>
      <w:r w:rsidRPr="005E410F">
        <w:rPr>
          <w:rFonts w:ascii="Palatino Linotype" w:eastAsia="Palatino Linotype" w:hAnsi="Palatino Linotype" w:cs="Palatino Linotype"/>
          <w:b/>
          <w:sz w:val="22"/>
          <w:szCs w:val="22"/>
        </w:rPr>
        <w:t> Sujeto Obligado</w:t>
      </w:r>
      <w:r w:rsidRPr="005E410F">
        <w:rPr>
          <w:rFonts w:ascii="Palatino Linotype" w:eastAsia="Palatino Linotype" w:hAnsi="Palatino Linotype" w:cs="Palatino Linotype"/>
          <w:sz w:val="22"/>
          <w:szCs w:val="22"/>
        </w:rPr>
        <w:t xml:space="preserve"> cuenta con las capacidades, conocimientos y experiencia necesaria para el cabal cumplimiento de sus funciones. </w:t>
      </w:r>
    </w:p>
    <w:p w14:paraId="0745E129" w14:textId="77777777" w:rsidR="00A12EBB" w:rsidRPr="005E410F" w:rsidRDefault="00AD46E7">
      <w:pPr>
        <w:pBdr>
          <w:top w:val="nil"/>
          <w:left w:val="nil"/>
          <w:bottom w:val="nil"/>
          <w:right w:val="nil"/>
          <w:between w:val="nil"/>
        </w:pBdr>
        <w:spacing w:before="240" w:after="240" w:line="360" w:lineRule="auto"/>
        <w:ind w:right="51"/>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Lo que se sustenta, con lo señalado por el Instituto Federal de Acceso a la Información ahora Instituto Nacional de Transparencia Acceso a la Información y Protección de Datos Personales, en su criterio 03/2009 que indica que una de las formas en la que los ciudadanos puede evaluar las aptitudes de los servidores públicos para desempeñar el cargo público que les ha sido encomendado, es mediante la publicidad de ciertos datos contenidos en los currículums vitae, o bien en las solicitudes de empleo, el cual para mayor ilustración se transcribe a continuación:</w:t>
      </w:r>
    </w:p>
    <w:p w14:paraId="1EDB8B2F" w14:textId="77777777" w:rsidR="00A12EBB" w:rsidRPr="005E410F" w:rsidRDefault="00AD46E7">
      <w:pPr>
        <w:pBdr>
          <w:top w:val="nil"/>
          <w:left w:val="nil"/>
          <w:bottom w:val="nil"/>
          <w:right w:val="nil"/>
          <w:between w:val="nil"/>
        </w:pBdr>
        <w:spacing w:before="240" w:after="240" w:line="276" w:lineRule="auto"/>
        <w:ind w:left="851" w:right="618"/>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w:t>
      </w:r>
      <w:proofErr w:type="spellStart"/>
      <w:r w:rsidRPr="005E410F">
        <w:rPr>
          <w:rFonts w:ascii="Palatino Linotype" w:eastAsia="Palatino Linotype" w:hAnsi="Palatino Linotype" w:cs="Palatino Linotype"/>
          <w:b/>
          <w:i/>
          <w:sz w:val="22"/>
          <w:szCs w:val="22"/>
        </w:rPr>
        <w:t>Curriculum</w:t>
      </w:r>
      <w:proofErr w:type="spellEnd"/>
      <w:r w:rsidRPr="005E410F">
        <w:rPr>
          <w:rFonts w:ascii="Palatino Linotype" w:eastAsia="Palatino Linotype" w:hAnsi="Palatino Linotype" w:cs="Palatino Linotype"/>
          <w:b/>
          <w:i/>
          <w:sz w:val="22"/>
          <w:szCs w:val="22"/>
        </w:rPr>
        <w:t xml:space="preserve"> Vitae de servidores públicos. Es obligación de los sujetos obligados otorgar acceso a versiones públicas de los mismos ante una solicitud de acceso. </w:t>
      </w:r>
      <w:r w:rsidRPr="005E410F">
        <w:rPr>
          <w:rFonts w:ascii="Palatino Linotype" w:eastAsia="Palatino Linotype" w:hAnsi="Palatino Linotype" w:cs="Palatino Linotype"/>
          <w:i/>
          <w:sz w:val="22"/>
          <w:szCs w:val="22"/>
        </w:rPr>
        <w:t xml:space="preserve">Uno de los objetivos de la Ley Federal de Transparencia y Acceso a la Información Pública Gubernamental, de acuerdo con su artículo 4, fracción IV, es favorecer la rendición de cuentas a las personas, de manera que puedan valorar el desempeño de los sujetos obligados. Si bien en el currículo vitae se describe información de una persona relacionada con su formación académica, trayectoria profesional, datos de contacto, datos biográficos, entre otros, los cuales constituyen datos personales, de acuerdo con lo previsto en el artículo 3, fracción II de la Ley Federal de Transparencia y Acceso a la Información Pública Gubernamental, y en consecuencia, representan información confidencial, en términos de lo establecido en el artículo 18, fracción II de la Ley Federal de Transparencia y Acceso a la Información Pública Gubernamental, tratándose del </w:t>
      </w:r>
      <w:proofErr w:type="spellStart"/>
      <w:r w:rsidRPr="005E410F">
        <w:rPr>
          <w:rFonts w:ascii="Palatino Linotype" w:eastAsia="Palatino Linotype" w:hAnsi="Palatino Linotype" w:cs="Palatino Linotype"/>
          <w:i/>
          <w:sz w:val="22"/>
          <w:szCs w:val="22"/>
        </w:rPr>
        <w:t>curriculum</w:t>
      </w:r>
      <w:proofErr w:type="spellEnd"/>
      <w:r w:rsidRPr="005E410F">
        <w:rPr>
          <w:rFonts w:ascii="Palatino Linotype" w:eastAsia="Palatino Linotype" w:hAnsi="Palatino Linotype" w:cs="Palatino Linotype"/>
          <w:i/>
          <w:sz w:val="22"/>
          <w:szCs w:val="22"/>
        </w:rPr>
        <w:t xml:space="preserve"> vitae de un servidor público, una de las formas en que los ciudadanos </w:t>
      </w:r>
      <w:r w:rsidRPr="005E410F">
        <w:rPr>
          <w:rFonts w:ascii="Palatino Linotype" w:eastAsia="Palatino Linotype" w:hAnsi="Palatino Linotype" w:cs="Palatino Linotype"/>
          <w:i/>
          <w:sz w:val="22"/>
          <w:szCs w:val="22"/>
        </w:rPr>
        <w:lastRenderedPageBreak/>
        <w:t xml:space="preserve">pueden evaluar sus aptitudes para desempeñar el cargo público que le ha sido encomendado, es mediante la publicidad de ciertos datos de los ahí contenidos. En esa tesitura, entre los datos personales del </w:t>
      </w:r>
      <w:proofErr w:type="spellStart"/>
      <w:r w:rsidRPr="005E410F">
        <w:rPr>
          <w:rFonts w:ascii="Palatino Linotype" w:eastAsia="Palatino Linotype" w:hAnsi="Palatino Linotype" w:cs="Palatino Linotype"/>
          <w:i/>
          <w:sz w:val="22"/>
          <w:szCs w:val="22"/>
        </w:rPr>
        <w:t>curriculum</w:t>
      </w:r>
      <w:proofErr w:type="spellEnd"/>
      <w:r w:rsidRPr="005E410F">
        <w:rPr>
          <w:rFonts w:ascii="Palatino Linotype" w:eastAsia="Palatino Linotype" w:hAnsi="Palatino Linotype" w:cs="Palatino Linotype"/>
          <w:i/>
          <w:sz w:val="22"/>
          <w:szCs w:val="22"/>
        </w:rPr>
        <w:t xml:space="preserve"> vitae de un servidor público susceptibles de hacerse del conocimiento público, ante una solicitud de acceso, se encuentran los relativos a su trayectoria académica, profesional, laboral, así como todos aquellos que acrediten su capacidad, habilidades o pericia para ocupar el cargo público.”</w:t>
      </w:r>
    </w:p>
    <w:p w14:paraId="677740C5" w14:textId="77777777" w:rsidR="00A12EBB" w:rsidRPr="005E410F" w:rsidRDefault="00AD46E7">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En esa tesitura, debe apuntarse que esta constituye una obligación de transparencia, pues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se encuentra constreñido a poner a disposición del público en su portal de Información Pública de Oficio Mexiquense (IPOMEX), la información curricular de sus servidores públicos, ello con la finalidad de enaltecer los principios de máxima publicidad, transparencia y certeza, como lo estipula el artículo 92, fracción XXI de la ley aplicable a la materia, que es del tenor literal siguiente: </w:t>
      </w:r>
    </w:p>
    <w:p w14:paraId="64FCB655"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92</w:t>
      </w:r>
      <w:r w:rsidRPr="005E410F">
        <w:rPr>
          <w:rFonts w:ascii="Palatino Linotype" w:eastAsia="Palatino Linotype" w:hAnsi="Palatino Linotype" w:cs="Palatino Linotype"/>
          <w:i/>
          <w:sz w:val="22"/>
          <w:szCs w:val="22"/>
        </w:rPr>
        <w:t>.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4DEBC2E1"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w:t>
      </w:r>
    </w:p>
    <w:p w14:paraId="68A01012"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XXI. La información curricular, desde el nivel de jefe de departamento o equivalente, hasta el titular del sujeto obligado</w:t>
      </w:r>
      <w:r w:rsidRPr="005E410F">
        <w:rPr>
          <w:rFonts w:ascii="Palatino Linotype" w:eastAsia="Palatino Linotype" w:hAnsi="Palatino Linotype" w:cs="Palatino Linotype"/>
          <w:i/>
          <w:sz w:val="22"/>
          <w:szCs w:val="22"/>
        </w:rPr>
        <w:t xml:space="preserve">, así como, en su caso, las sanciones administrativas de que haya sido objeto” </w:t>
      </w:r>
    </w:p>
    <w:p w14:paraId="5F9576AD"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(Énfasis añadido)</w:t>
      </w:r>
    </w:p>
    <w:p w14:paraId="03F6B985" w14:textId="77777777" w:rsidR="00A12EBB" w:rsidRPr="005E410F" w:rsidRDefault="00AD46E7">
      <w:pPr>
        <w:pBdr>
          <w:top w:val="nil"/>
          <w:left w:val="nil"/>
          <w:bottom w:val="nil"/>
          <w:right w:val="nil"/>
          <w:between w:val="nil"/>
        </w:pBdr>
        <w:spacing w:before="240" w:after="240" w:line="360" w:lineRule="auto"/>
        <w:ind w:right="51"/>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Como se aprecia en el dispositivo legal citado, lo sujetos obligados deben publicar la información curricular de los(as) servidores(as) públicos(as) y/o personas que desempeñen actualmente un empleo, cargo o comisión y/o ejerzan actos de autoridad en el </w:t>
      </w:r>
      <w:r w:rsidRPr="005E410F">
        <w:rPr>
          <w:rFonts w:ascii="Palatino Linotype" w:eastAsia="Palatino Linotype" w:hAnsi="Palatino Linotype" w:cs="Palatino Linotype"/>
          <w:b/>
          <w:sz w:val="22"/>
          <w:szCs w:val="22"/>
        </w:rPr>
        <w:t xml:space="preserve">Sujeto Obligado, </w:t>
      </w:r>
      <w:r w:rsidRPr="005E410F">
        <w:rPr>
          <w:rFonts w:ascii="Palatino Linotype" w:eastAsia="Palatino Linotype" w:hAnsi="Palatino Linotype" w:cs="Palatino Linotype"/>
          <w:sz w:val="22"/>
          <w:szCs w:val="22"/>
        </w:rPr>
        <w:t>como se apreció en la cita, debe precisarse que dicha circunstancia no es</w:t>
      </w:r>
      <w:r w:rsidRPr="005E410F">
        <w:rPr>
          <w:rFonts w:ascii="Palatino Linotype" w:eastAsia="Palatino Linotype" w:hAnsi="Palatino Linotype" w:cs="Palatino Linotype"/>
          <w:b/>
          <w:sz w:val="22"/>
          <w:szCs w:val="22"/>
        </w:rPr>
        <w:t xml:space="preserve"> </w:t>
      </w:r>
      <w:r w:rsidRPr="005E410F">
        <w:rPr>
          <w:rFonts w:ascii="Palatino Linotype" w:eastAsia="Palatino Linotype" w:hAnsi="Palatino Linotype" w:cs="Palatino Linotype"/>
          <w:sz w:val="22"/>
          <w:szCs w:val="22"/>
        </w:rPr>
        <w:t xml:space="preserve">óbice </w:t>
      </w:r>
      <w:r w:rsidRPr="005E410F">
        <w:rPr>
          <w:rFonts w:ascii="Palatino Linotype" w:eastAsia="Palatino Linotype" w:hAnsi="Palatino Linotype" w:cs="Palatino Linotype"/>
          <w:sz w:val="22"/>
          <w:szCs w:val="22"/>
        </w:rPr>
        <w:lastRenderedPageBreak/>
        <w:t>para que se encuentre impedido a contar con dicha información respecto de todos los servidores públicos con los que tenga una relación laboral.</w:t>
      </w:r>
    </w:p>
    <w:p w14:paraId="2B37E1A9" w14:textId="77777777" w:rsidR="00A12EBB" w:rsidRPr="005E410F" w:rsidRDefault="00AD46E7">
      <w:pPr>
        <w:pBdr>
          <w:top w:val="nil"/>
          <w:left w:val="nil"/>
          <w:bottom w:val="nil"/>
          <w:right w:val="nil"/>
          <w:between w:val="nil"/>
        </w:pBdr>
        <w:spacing w:before="240"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De lo anterior, se desprende que una de las formas en que los ciudadanos pueden evaluar las aptitudes para desempeñar un cargo público determinado, es mediante la publicidad de ciertos datos contenidos en la ficha curricular, tales como: la trayectoria académica, profesional, laboral, así como todos aquellos que acrediten su capacidad, habilidades y pericia para ocupar el puesto público. Lo anterior, para favorecer la rendición de cuentas, pues la publicidad de lo anterior tiene como fin verificar el correcto desempeño de los sujetos obligados.</w:t>
      </w:r>
    </w:p>
    <w:p w14:paraId="19D8C8AB" w14:textId="77777777" w:rsidR="00A12EBB" w:rsidRPr="005E410F" w:rsidRDefault="00AD46E7">
      <w:pPr>
        <w:spacing w:before="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Bajo este orden de ideas, debemos recordar que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hizo entrega del currículum vitae de la sindica municipal en aparente versión pública, así señalado por el propio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sin que se tenga claridad o certeza respecto a los datos que fueron testados, ya que no se adjuntó el acta del Comité de Transparencia en el que se fundara y motivara las razones por la cuales resultaba procedente la clasificación de dichos datos.</w:t>
      </w:r>
    </w:p>
    <w:p w14:paraId="2C970B69"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399D72F8" w14:textId="77777777" w:rsidR="00A12EBB" w:rsidRPr="005E410F" w:rsidRDefault="00AD46E7">
      <w:pP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En este sentido, es necesario hacer del conocimiento de las partes que para los casos en los que se presenten versiones públicas, estas deberán acompañarse con el acuerdo del Comité de Transparencia en donde se apruebe la versión pública del historial académico alusivo, ya que en caso contrario se considera que es un documento ilegible e incompleto, esto en razón de que los artículos 12</w:t>
      </w:r>
      <w:r w:rsidRPr="005E410F">
        <w:rPr>
          <w:rFonts w:ascii="Palatino Linotype" w:eastAsia="Palatino Linotype" w:hAnsi="Palatino Linotype" w:cs="Palatino Linotype"/>
          <w:sz w:val="22"/>
          <w:szCs w:val="22"/>
          <w:vertAlign w:val="superscript"/>
        </w:rPr>
        <w:footnoteReference w:id="1"/>
      </w:r>
      <w:r w:rsidRPr="005E410F">
        <w:rPr>
          <w:rFonts w:ascii="Palatino Linotype" w:eastAsia="Palatino Linotype" w:hAnsi="Palatino Linotype" w:cs="Palatino Linotype"/>
          <w:sz w:val="22"/>
          <w:szCs w:val="22"/>
        </w:rPr>
        <w:t xml:space="preserve"> y 23 fracción, IV</w:t>
      </w:r>
      <w:r w:rsidRPr="005E410F">
        <w:rPr>
          <w:rFonts w:ascii="Palatino Linotype" w:eastAsia="Palatino Linotype" w:hAnsi="Palatino Linotype" w:cs="Palatino Linotype"/>
          <w:sz w:val="22"/>
          <w:szCs w:val="22"/>
          <w:vertAlign w:val="superscript"/>
        </w:rPr>
        <w:footnoteReference w:id="2"/>
      </w:r>
      <w:r w:rsidRPr="005E410F">
        <w:rPr>
          <w:rFonts w:ascii="Palatino Linotype" w:eastAsia="Palatino Linotype" w:hAnsi="Palatino Linotype" w:cs="Palatino Linotype"/>
          <w:sz w:val="22"/>
          <w:szCs w:val="22"/>
        </w:rPr>
        <w:t xml:space="preserve"> de la Ley de la Materia, establecen que los </w:t>
      </w:r>
      <w:r w:rsidRPr="005E410F">
        <w:rPr>
          <w:rFonts w:ascii="Palatino Linotype" w:eastAsia="Palatino Linotype" w:hAnsi="Palatino Linotype" w:cs="Palatino Linotype"/>
          <w:sz w:val="22"/>
          <w:szCs w:val="22"/>
        </w:rPr>
        <w:lastRenderedPageBreak/>
        <w:t>Sujetos Obligados tiene la obligación de transparentar y permitir el acceso a toda la información pública que generen, recopilen, administren, manejen, procesen, archiven o conserven; así como proteger los datos personales que obren en su poder.</w:t>
      </w:r>
    </w:p>
    <w:p w14:paraId="685053EE" w14:textId="77777777" w:rsidR="00A12EBB" w:rsidRPr="005E410F" w:rsidRDefault="00A12EBB">
      <w:pPr>
        <w:spacing w:line="360" w:lineRule="auto"/>
        <w:ind w:right="49"/>
        <w:jc w:val="both"/>
        <w:rPr>
          <w:rFonts w:ascii="Palatino Linotype" w:eastAsia="Palatino Linotype" w:hAnsi="Palatino Linotype" w:cs="Palatino Linotype"/>
          <w:sz w:val="22"/>
          <w:szCs w:val="22"/>
        </w:rPr>
      </w:pPr>
    </w:p>
    <w:p w14:paraId="6CB0C85F" w14:textId="77777777" w:rsidR="00A12EBB" w:rsidRPr="005E410F" w:rsidRDefault="00AD46E7">
      <w:pP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Aunque, existen excepciones al derecho de acceso a la información conforme a lo establecido en los artículos 3, fracciones XX, XXI, XXXIV y XLV, 91, 122, 135, 143, 147, 148 y 149 de la repetitiva Ley de Transparencia, los cuales establecen lo siguiente:</w:t>
      </w:r>
    </w:p>
    <w:p w14:paraId="5503C877" w14:textId="77777777" w:rsidR="00A12EBB" w:rsidRPr="005E410F" w:rsidRDefault="00A12EBB">
      <w:pPr>
        <w:tabs>
          <w:tab w:val="left" w:pos="709"/>
        </w:tabs>
        <w:ind w:left="567" w:right="567"/>
        <w:jc w:val="both"/>
        <w:rPr>
          <w:rFonts w:ascii="Palatino Linotype" w:eastAsia="Palatino Linotype" w:hAnsi="Palatino Linotype" w:cs="Palatino Linotype"/>
          <w:i/>
          <w:sz w:val="22"/>
          <w:szCs w:val="22"/>
        </w:rPr>
      </w:pPr>
    </w:p>
    <w:p w14:paraId="0D2E6310"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3.</w:t>
      </w:r>
      <w:r w:rsidRPr="005E410F">
        <w:rPr>
          <w:rFonts w:ascii="Palatino Linotype" w:eastAsia="Palatino Linotype" w:hAnsi="Palatino Linotype" w:cs="Palatino Linotype"/>
          <w:i/>
          <w:sz w:val="22"/>
          <w:szCs w:val="22"/>
        </w:rPr>
        <w:t xml:space="preserve"> Para los efectos de la presente Ley se entenderá </w:t>
      </w:r>
      <w:proofErr w:type="gramStart"/>
      <w:r w:rsidRPr="005E410F">
        <w:rPr>
          <w:rFonts w:ascii="Palatino Linotype" w:eastAsia="Palatino Linotype" w:hAnsi="Palatino Linotype" w:cs="Palatino Linotype"/>
          <w:i/>
          <w:sz w:val="22"/>
          <w:szCs w:val="22"/>
        </w:rPr>
        <w:t>por:…</w:t>
      </w:r>
      <w:proofErr w:type="gramEnd"/>
    </w:p>
    <w:p w14:paraId="479B0A85"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XX.</w:t>
      </w:r>
      <w:r w:rsidRPr="005E410F">
        <w:rPr>
          <w:rFonts w:ascii="Palatino Linotype" w:eastAsia="Palatino Linotype" w:hAnsi="Palatino Linotype" w:cs="Palatino Linotype"/>
          <w:i/>
          <w:sz w:val="22"/>
          <w:szCs w:val="22"/>
        </w:rPr>
        <w:t xml:space="preserve"> Información clasificada: Aquella considerada por la presente Ley como reservada o confidencial; </w:t>
      </w:r>
    </w:p>
    <w:p w14:paraId="21EF6284"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XXI.</w:t>
      </w:r>
      <w:r w:rsidRPr="005E410F">
        <w:rPr>
          <w:rFonts w:ascii="Palatino Linotype" w:eastAsia="Palatino Linotype" w:hAnsi="Palatino Linotype" w:cs="Palatino Linotype"/>
          <w:i/>
          <w:sz w:val="22"/>
          <w:szCs w:val="22"/>
        </w:rPr>
        <w:t xml:space="preserve"> Información confidencial: Se considera como información confidencial los secretos bancario, fiduciario, industrial, comercial, fiscal, bursátil y postal, cuya titularidad corresponda a particulares, sujetos de derecho internacional o a sujetos obligados cuando no involucren el ejercicio de recursos públicos;</w:t>
      </w:r>
    </w:p>
    <w:p w14:paraId="77A31F64"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47F83D6F"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XXXIV</w:t>
      </w:r>
      <w:r w:rsidRPr="005E410F">
        <w:rPr>
          <w:rFonts w:ascii="Palatino Linotype" w:eastAsia="Palatino Linotype" w:hAnsi="Palatino Linotype" w:cs="Palatino Linotype"/>
          <w:i/>
          <w:sz w:val="22"/>
          <w:szCs w:val="22"/>
        </w:rPr>
        <w:t>. Prueba de interés público: Es el proceso de ponderación entre el beneficio que reporta dar a conocer la información confidencial solicitada contra el daño que su divulgación genera en los derechos de las personas, llevado a cabo por el Instituto en el ámbito de sus respectivas competencias</w:t>
      </w:r>
    </w:p>
    <w:p w14:paraId="195999C7"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1D6D2197"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XLV.</w:t>
      </w:r>
      <w:r w:rsidRPr="005E410F">
        <w:rPr>
          <w:rFonts w:ascii="Palatino Linotype" w:eastAsia="Palatino Linotype" w:hAnsi="Palatino Linotype" w:cs="Palatino Linotype"/>
          <w:i/>
          <w:sz w:val="22"/>
          <w:szCs w:val="22"/>
        </w:rPr>
        <w:t xml:space="preserve"> Versión pública: Documento en el que se elimine, suprime o borra la información clasificada como reservada o confidencial para permitir su acceso</w:t>
      </w:r>
    </w:p>
    <w:p w14:paraId="7EAE5D77"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91.</w:t>
      </w:r>
      <w:r w:rsidRPr="005E410F">
        <w:rPr>
          <w:rFonts w:ascii="Palatino Linotype" w:eastAsia="Palatino Linotype" w:hAnsi="Palatino Linotype" w:cs="Palatino Linotype"/>
          <w:i/>
          <w:sz w:val="22"/>
          <w:szCs w:val="22"/>
        </w:rPr>
        <w:t xml:space="preserve"> El acceso a la información pública será restringido excepcionalmente, cuando ésta sea clasificada como reservada o confidencial.</w:t>
      </w:r>
    </w:p>
    <w:p w14:paraId="0244A69B"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122.</w:t>
      </w:r>
      <w:r w:rsidRPr="005E410F">
        <w:rPr>
          <w:rFonts w:ascii="Palatino Linotype" w:eastAsia="Palatino Linotype" w:hAnsi="Palatino Linotype" w:cs="Palatino Linotype"/>
          <w:i/>
          <w:sz w:val="22"/>
          <w:szCs w:val="22"/>
        </w:rPr>
        <w:t xml:space="preserve"> La clasificación es el proceso mediante el cual el sujeto obligado determina que la información en su poder </w:t>
      </w:r>
      <w:proofErr w:type="spellStart"/>
      <w:r w:rsidRPr="005E410F">
        <w:rPr>
          <w:rFonts w:ascii="Palatino Linotype" w:eastAsia="Palatino Linotype" w:hAnsi="Palatino Linotype" w:cs="Palatino Linotype"/>
          <w:i/>
          <w:sz w:val="22"/>
          <w:szCs w:val="22"/>
        </w:rPr>
        <w:t>actualiza</w:t>
      </w:r>
      <w:proofErr w:type="spellEnd"/>
      <w:r w:rsidRPr="005E410F">
        <w:rPr>
          <w:rFonts w:ascii="Palatino Linotype" w:eastAsia="Palatino Linotype" w:hAnsi="Palatino Linotype" w:cs="Palatino Linotype"/>
          <w:i/>
          <w:sz w:val="22"/>
          <w:szCs w:val="22"/>
        </w:rPr>
        <w:t xml:space="preserve"> alguno de los supuestos de reserva o confidencialidad, de conformidad con lo dispuesto en el presente título.</w:t>
      </w:r>
    </w:p>
    <w:p w14:paraId="1EB82BE7"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Los supuestos de reserva o confidencialidad previstos en las leyes deberán ser acordes con las bases, principios y disposiciones establecidos en la Ley General y, en ningún caso, podrán contravenirla.</w:t>
      </w:r>
    </w:p>
    <w:p w14:paraId="1A78FB1D"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lastRenderedPageBreak/>
        <w:t>Los titulares de las áreas de los sujetos obligados serán los responsables de clasificar la información, de conformidad con lo dispuesto en la presente Ley y demás disposiciones jurídicas aplicables</w:t>
      </w:r>
    </w:p>
    <w:p w14:paraId="2E4648E0"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135.</w:t>
      </w:r>
      <w:r w:rsidRPr="005E410F">
        <w:rPr>
          <w:rFonts w:ascii="Palatino Linotype" w:eastAsia="Palatino Linotype" w:hAnsi="Palatino Linotype" w:cs="Palatino Linotype"/>
          <w:i/>
          <w:sz w:val="22"/>
          <w:szCs w:val="22"/>
        </w:rPr>
        <w:t xml:space="preserve"> Los lineamientos generales que se emitan al respecto en materia de clasificación de la información reservada y confidencial y, para la elaboración de versiones públicas, serán de observancia obligatoria para los sujetos obligados.</w:t>
      </w:r>
    </w:p>
    <w:p w14:paraId="59667BD6"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143</w:t>
      </w:r>
      <w:r w:rsidRPr="005E410F">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4BA99F00" w14:textId="77777777" w:rsidR="00A12EBB" w:rsidRPr="005E410F" w:rsidRDefault="00AD46E7">
      <w:pPr>
        <w:tabs>
          <w:tab w:val="left" w:pos="709"/>
        </w:tabs>
        <w:ind w:left="851" w:right="567"/>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t xml:space="preserve">I. Se refiera a la información privada y los datos personales concernientes a una persona física o jurídico colectiva identificada o identificable; </w:t>
      </w:r>
    </w:p>
    <w:p w14:paraId="4545B02C"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w:t>
      </w:r>
      <w:r w:rsidRPr="005E410F">
        <w:rPr>
          <w:rFonts w:ascii="Palatino Linotype" w:eastAsia="Palatino Linotype" w:hAnsi="Palatino Linotype" w:cs="Palatino Linotype"/>
          <w:i/>
          <w:sz w:val="22"/>
          <w:szCs w:val="22"/>
        </w:rPr>
        <w:t xml:space="preserve"> Los secretos bancario, fiduciario, industrial, comercial, fiscal, bursátil y postal, cuya titularidad corresponda a particulares, sujetos de derecho internacional o a sujetos obligados cuando no involucren el ejercicio de recursos públicos; y </w:t>
      </w:r>
    </w:p>
    <w:p w14:paraId="1D84546A"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III.</w:t>
      </w:r>
      <w:r w:rsidRPr="005E410F">
        <w:rPr>
          <w:rFonts w:ascii="Palatino Linotype" w:eastAsia="Palatino Linotype" w:hAnsi="Palatino Linotype" w:cs="Palatino Linotype"/>
          <w:i/>
          <w:sz w:val="22"/>
          <w:szCs w:val="22"/>
        </w:rPr>
        <w:t xml:space="preserve"> La que presenten los particulares a los sujetos obligados, de conformidad con lo dispuesto por las leyes o los tratados internacionales.</w:t>
      </w:r>
    </w:p>
    <w:p w14:paraId="78A72478"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La información confidencial no estará sujeta a temporalidad alguna y sólo podrán tener acceso a ella los titulares de la misma, sus representantes y los servidores públicos facultados para ello.</w:t>
      </w:r>
    </w:p>
    <w:p w14:paraId="3F2F181D"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No se considerará confidencial la información que se encuentre en los registros públicos o en fuentes de acceso público, ni tampoco la que sea considerada por la presente ley como información pública.</w:t>
      </w:r>
    </w:p>
    <w:p w14:paraId="0CBCE894" w14:textId="77777777" w:rsidR="00A12EBB" w:rsidRPr="005E410F" w:rsidRDefault="00AD46E7">
      <w:pPr>
        <w:tabs>
          <w:tab w:val="left" w:pos="709"/>
        </w:tabs>
        <w:ind w:left="851" w:right="567"/>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t>Artículo 147. Para que los sujetos obligados puedan permitir el acceso a información confidencial requieren obtener el consentimiento de los particulares titulares de la información.</w:t>
      </w:r>
    </w:p>
    <w:p w14:paraId="463339A7"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148.</w:t>
      </w:r>
      <w:r w:rsidRPr="005E410F">
        <w:rPr>
          <w:rFonts w:ascii="Palatino Linotype" w:eastAsia="Palatino Linotype" w:hAnsi="Palatino Linotype" w:cs="Palatino Linotype"/>
          <w:i/>
          <w:sz w:val="22"/>
          <w:szCs w:val="22"/>
        </w:rPr>
        <w:t xml:space="preserve"> No se requerirá el consentimiento del titular de la información confidencial cuando:</w:t>
      </w:r>
    </w:p>
    <w:p w14:paraId="363784E0"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w:t>
      </w:r>
      <w:r w:rsidRPr="005E410F">
        <w:rPr>
          <w:rFonts w:ascii="Palatino Linotype" w:eastAsia="Palatino Linotype" w:hAnsi="Palatino Linotype" w:cs="Palatino Linotype"/>
          <w:i/>
          <w:sz w:val="22"/>
          <w:szCs w:val="22"/>
        </w:rPr>
        <w:t xml:space="preserve"> La información se encuentre en registros públicos o fuentes de acceso público;</w:t>
      </w:r>
    </w:p>
    <w:p w14:paraId="0AF14A9D"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w:t>
      </w:r>
      <w:r w:rsidRPr="005E410F">
        <w:rPr>
          <w:rFonts w:ascii="Palatino Linotype" w:eastAsia="Palatino Linotype" w:hAnsi="Palatino Linotype" w:cs="Palatino Linotype"/>
          <w:i/>
          <w:sz w:val="22"/>
          <w:szCs w:val="22"/>
        </w:rPr>
        <w:t xml:space="preserve"> Por Ley tenga el carácter de pública;</w:t>
      </w:r>
    </w:p>
    <w:p w14:paraId="65C81637"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III</w:t>
      </w:r>
      <w:r w:rsidRPr="005E410F">
        <w:rPr>
          <w:rFonts w:ascii="Palatino Linotype" w:eastAsia="Palatino Linotype" w:hAnsi="Palatino Linotype" w:cs="Palatino Linotype"/>
          <w:i/>
          <w:sz w:val="22"/>
          <w:szCs w:val="22"/>
        </w:rPr>
        <w:t>. Exista una orden judicial;</w:t>
      </w:r>
    </w:p>
    <w:p w14:paraId="48092A20"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IV.</w:t>
      </w:r>
      <w:r w:rsidRPr="005E410F">
        <w:rPr>
          <w:rFonts w:ascii="Palatino Linotype" w:eastAsia="Palatino Linotype" w:hAnsi="Palatino Linotype" w:cs="Palatino Linotype"/>
          <w:i/>
          <w:sz w:val="22"/>
          <w:szCs w:val="22"/>
        </w:rPr>
        <w:t xml:space="preserve"> Por razones de seguridad pública, o para proteger los derechos de terceros, se requiera su publicación; o</w:t>
      </w:r>
    </w:p>
    <w:p w14:paraId="22A1E7EA"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V.</w:t>
      </w:r>
      <w:r w:rsidRPr="005E410F">
        <w:rPr>
          <w:rFonts w:ascii="Palatino Linotype" w:eastAsia="Palatino Linotype" w:hAnsi="Palatino Linotype" w:cs="Palatino Linotype"/>
          <w:i/>
          <w:sz w:val="22"/>
          <w:szCs w:val="22"/>
        </w:rPr>
        <w:t xml:space="preserve"> Cuando se transmita entre sujetos obligados y entre éstos y los sujetos de derecho internacional, en términos de los tratados y los acuerdos interinstitucionales, siempre y cuando la información se utilice para el ejercicio de facultades propias de los mismos. Para efectos de la fracción I del presente artículo, deberá sujetarse a lo previsto en las disposiciones jurídicas aplicables.</w:t>
      </w:r>
    </w:p>
    <w:p w14:paraId="384AD121"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Para efectos de la fracción IV del presente artículo, el Instituto deberá aplicar la prueba de interés público. Además, se deberá corroborar una conexión patente entre la información confidencial y un tema de interés público y la proporcionalidad entre </w:t>
      </w:r>
      <w:r w:rsidRPr="005E410F">
        <w:rPr>
          <w:rFonts w:ascii="Palatino Linotype" w:eastAsia="Palatino Linotype" w:hAnsi="Palatino Linotype" w:cs="Palatino Linotype"/>
          <w:i/>
          <w:sz w:val="22"/>
          <w:szCs w:val="22"/>
        </w:rPr>
        <w:lastRenderedPageBreak/>
        <w:t xml:space="preserve">la invasión a la intimidad ocasionada por la divulgación de la información confidencial y el interés público de la información. </w:t>
      </w:r>
    </w:p>
    <w:p w14:paraId="29459FA7"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149.</w:t>
      </w:r>
      <w:r w:rsidRPr="005E410F">
        <w:rPr>
          <w:rFonts w:ascii="Palatino Linotype" w:eastAsia="Palatino Linotype" w:hAnsi="Palatino Linotype" w:cs="Palatino Linotype"/>
          <w:i/>
          <w:sz w:val="22"/>
          <w:szCs w:val="22"/>
        </w:rPr>
        <w:t xml:space="preserve"> El acuerdo que clasifique la información como confidencial deberá contener un razonamiento lógico en el que demuestre que la información se encuentra en alguna o algunas de las hipótesis previstas en la presente Ley.” </w:t>
      </w:r>
    </w:p>
    <w:p w14:paraId="6F0A9A23"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(Énfasis añadido)</w:t>
      </w:r>
    </w:p>
    <w:p w14:paraId="04C83411" w14:textId="77777777" w:rsidR="00A12EBB" w:rsidRPr="005E410F" w:rsidRDefault="00A12EBB">
      <w:pPr>
        <w:tabs>
          <w:tab w:val="left" w:pos="709"/>
        </w:tabs>
        <w:ind w:left="567" w:right="567"/>
        <w:jc w:val="both"/>
        <w:rPr>
          <w:rFonts w:ascii="Palatino Linotype" w:eastAsia="Palatino Linotype" w:hAnsi="Palatino Linotype" w:cs="Palatino Linotype"/>
          <w:i/>
          <w:sz w:val="22"/>
          <w:szCs w:val="22"/>
        </w:rPr>
      </w:pPr>
    </w:p>
    <w:p w14:paraId="0F8233B1"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De los artículos transcritos anteriormente, se observan las excepciones que tiene el derecho de acceso a la información pública, respecto a algunos tipos de información, lo cual restringe su acceso, precisándose de manera clara las hipótesis que dan lugar a clasificar la información, la cual puede ser de dos maneras: Reservada o Confidencial.</w:t>
      </w:r>
    </w:p>
    <w:p w14:paraId="1105B3AB" w14:textId="77777777" w:rsidR="00A12EBB" w:rsidRPr="005E410F" w:rsidRDefault="00A12EBB">
      <w:pPr>
        <w:spacing w:line="360" w:lineRule="auto"/>
        <w:ind w:right="49"/>
        <w:jc w:val="both"/>
        <w:rPr>
          <w:rFonts w:ascii="Palatino Linotype" w:eastAsia="Palatino Linotype" w:hAnsi="Palatino Linotype" w:cs="Palatino Linotype"/>
          <w:sz w:val="22"/>
          <w:szCs w:val="22"/>
        </w:rPr>
      </w:pPr>
    </w:p>
    <w:p w14:paraId="22CA5A99"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Reviste interés para el caso particular, la clasificación de la información como confidencial, la cual se actualizará cuando por su naturaleza, contenga datos personales concernientes a una persona física o jurídico colectiva identificada o identificable, los secretos bancario, fiduciario, industrial, comercial, fiscal, bursátil y postal, cuya titularidad corresponda a particulares, sujetos de derecho internacional o a Sujetos Obligados cuando no involucren el ejercicio de recursos públicos y la que presenten los particulares a los Sujetos Obligados, de conformidad con lo dispuesto por las leyes o los tratados internacionales.</w:t>
      </w:r>
    </w:p>
    <w:p w14:paraId="48027141"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20BFA401"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De igual forma, para el caso de la información confidencial se aprecia, que se establece un procedimiento para clasificar la información como confidencial, mediante el cual se fundamentará y motivará la necesidad de clasificar la información, en el que se precisen los motivos que obliguen a la clasificación; lo que se consolida con lo señalado por el artículo 168 de la Ley en la Materia, que señala:</w:t>
      </w:r>
    </w:p>
    <w:p w14:paraId="73038896"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699BD49B" w14:textId="77777777" w:rsidR="00A12EBB" w:rsidRPr="005E410F" w:rsidRDefault="00AD46E7">
      <w:pPr>
        <w:ind w:left="567"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168</w:t>
      </w:r>
      <w:r w:rsidRPr="005E410F">
        <w:rPr>
          <w:rFonts w:ascii="Palatino Linotype" w:eastAsia="Palatino Linotype" w:hAnsi="Palatino Linotype" w:cs="Palatino Linotype"/>
          <w:i/>
          <w:sz w:val="22"/>
          <w:szCs w:val="22"/>
        </w:rPr>
        <w:t>. En caso de que los sujetos obligados consideren que los documentos o la información deban ser clasificados, se sujetará a lo siguiente:</w:t>
      </w:r>
    </w:p>
    <w:p w14:paraId="1A3830BA" w14:textId="77777777" w:rsidR="00A12EBB" w:rsidRPr="005E410F" w:rsidRDefault="00AD46E7">
      <w:pPr>
        <w:ind w:left="567"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lastRenderedPageBreak/>
        <w:t>I.</w:t>
      </w:r>
      <w:r w:rsidRPr="005E410F">
        <w:rPr>
          <w:rFonts w:ascii="Palatino Linotype" w:eastAsia="Palatino Linotype" w:hAnsi="Palatino Linotype" w:cs="Palatino Linotype"/>
          <w:i/>
          <w:sz w:val="22"/>
          <w:szCs w:val="22"/>
        </w:rPr>
        <w:t xml:space="preserve"> El Área deberá remitir la solicitud, así como un escrito en el que </w:t>
      </w:r>
      <w:r w:rsidRPr="005E410F">
        <w:rPr>
          <w:rFonts w:ascii="Palatino Linotype" w:eastAsia="Palatino Linotype" w:hAnsi="Palatino Linotype" w:cs="Palatino Linotype"/>
          <w:b/>
          <w:i/>
          <w:sz w:val="22"/>
          <w:szCs w:val="22"/>
        </w:rPr>
        <w:t>funde y motive la clasificación al Comité de Transparencia</w:t>
      </w:r>
      <w:r w:rsidRPr="005E410F">
        <w:rPr>
          <w:rFonts w:ascii="Palatino Linotype" w:eastAsia="Palatino Linotype" w:hAnsi="Palatino Linotype" w:cs="Palatino Linotype"/>
          <w:i/>
          <w:sz w:val="22"/>
          <w:szCs w:val="22"/>
        </w:rPr>
        <w:t>, mismo que deberá resolver para:</w:t>
      </w:r>
    </w:p>
    <w:p w14:paraId="78B2110E" w14:textId="77777777" w:rsidR="00A12EBB" w:rsidRPr="005E410F" w:rsidRDefault="00AD46E7">
      <w:pPr>
        <w:ind w:left="567" w:right="616"/>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i/>
          <w:sz w:val="22"/>
          <w:szCs w:val="22"/>
        </w:rPr>
        <w:t>a</w:t>
      </w:r>
      <w:r w:rsidRPr="005E410F">
        <w:rPr>
          <w:rFonts w:ascii="Palatino Linotype" w:eastAsia="Palatino Linotype" w:hAnsi="Palatino Linotype" w:cs="Palatino Linotype"/>
          <w:b/>
          <w:i/>
          <w:sz w:val="22"/>
          <w:szCs w:val="22"/>
        </w:rPr>
        <w:t>) Confirmar la clasificación;</w:t>
      </w:r>
    </w:p>
    <w:p w14:paraId="62453CD8" w14:textId="77777777" w:rsidR="00A12EBB" w:rsidRPr="005E410F" w:rsidRDefault="00AD46E7">
      <w:pPr>
        <w:ind w:left="567"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b) Modificar la clasificación y otorgar total o parcialmente el acceso a la información; y c) Revocar la clasificación y conceder el acceso a la información.</w:t>
      </w:r>
    </w:p>
    <w:p w14:paraId="153C26ED" w14:textId="77777777" w:rsidR="00A12EBB" w:rsidRPr="005E410F" w:rsidRDefault="00AD46E7">
      <w:pPr>
        <w:ind w:left="567"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w:t>
      </w:r>
      <w:r w:rsidRPr="005E410F">
        <w:rPr>
          <w:rFonts w:ascii="Palatino Linotype" w:eastAsia="Palatino Linotype" w:hAnsi="Palatino Linotype" w:cs="Palatino Linotype"/>
          <w:i/>
          <w:sz w:val="22"/>
          <w:szCs w:val="22"/>
        </w:rPr>
        <w:t xml:space="preserve"> El Comité de Transparencia podrá tener acceso a la información que esté en poder del Área correspondiente, de la cual se haya solicitado su clasificación; y</w:t>
      </w:r>
    </w:p>
    <w:p w14:paraId="3FAE209F" w14:textId="77777777" w:rsidR="00A12EBB" w:rsidRPr="005E410F" w:rsidRDefault="00AD46E7">
      <w:pPr>
        <w:ind w:left="567"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III.</w:t>
      </w:r>
      <w:r w:rsidRPr="005E410F">
        <w:rPr>
          <w:rFonts w:ascii="Palatino Linotype" w:eastAsia="Palatino Linotype" w:hAnsi="Palatino Linotype" w:cs="Palatino Linotype"/>
          <w:i/>
          <w:sz w:val="22"/>
          <w:szCs w:val="22"/>
        </w:rPr>
        <w:t xml:space="preserve"> La resolución del Comité de Transparencia será notificada al interesado en el plazo de respuesta a la solicitud que establece esta Ley.</w:t>
      </w:r>
    </w:p>
    <w:p w14:paraId="16265B64"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588CC6D2"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Hechas estas precisiones, se advierte que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no cumplió con lo señalado en lo procedente, al omitir acompañar el acuerdo de su Comité de Transparencia que funde y motive del por qué testó diversa información dentro del currículum vitae, creando con ello una incertidumbre jurídica, por no sustentar la versión pública de los datos señalados, contraviniendo lo establecido por el artículo 9, fracción I</w:t>
      </w:r>
      <w:r w:rsidRPr="005E410F">
        <w:rPr>
          <w:rFonts w:ascii="Palatino Linotype" w:eastAsia="Palatino Linotype" w:hAnsi="Palatino Linotype" w:cs="Palatino Linotype"/>
          <w:sz w:val="22"/>
          <w:szCs w:val="22"/>
          <w:vertAlign w:val="superscript"/>
        </w:rPr>
        <w:footnoteReference w:id="3"/>
      </w:r>
      <w:r w:rsidRPr="005E410F">
        <w:rPr>
          <w:rFonts w:ascii="Palatino Linotype" w:eastAsia="Palatino Linotype" w:hAnsi="Palatino Linotype" w:cs="Palatino Linotype"/>
          <w:sz w:val="22"/>
          <w:szCs w:val="22"/>
        </w:rPr>
        <w:t>, VI, VIII y 11 párrafo primero</w:t>
      </w:r>
      <w:r w:rsidRPr="005E410F">
        <w:rPr>
          <w:rFonts w:ascii="Palatino Linotype" w:eastAsia="Palatino Linotype" w:hAnsi="Palatino Linotype" w:cs="Palatino Linotype"/>
          <w:sz w:val="22"/>
          <w:szCs w:val="22"/>
          <w:vertAlign w:val="superscript"/>
        </w:rPr>
        <w:footnoteReference w:id="4"/>
      </w:r>
      <w:r w:rsidRPr="005E410F">
        <w:rPr>
          <w:rFonts w:ascii="Palatino Linotype" w:eastAsia="Palatino Linotype" w:hAnsi="Palatino Linotype" w:cs="Palatino Linotype"/>
          <w:sz w:val="22"/>
          <w:szCs w:val="22"/>
        </w:rPr>
        <w:t xml:space="preserve"> de la ley de la Materia.</w:t>
      </w:r>
    </w:p>
    <w:p w14:paraId="2BB448AC" w14:textId="77777777" w:rsidR="00A12EBB" w:rsidRPr="005E410F" w:rsidRDefault="00A12EBB">
      <w:pPr>
        <w:spacing w:line="360" w:lineRule="auto"/>
        <w:ind w:right="49"/>
        <w:jc w:val="both"/>
        <w:rPr>
          <w:rFonts w:ascii="Palatino Linotype" w:eastAsia="Palatino Linotype" w:hAnsi="Palatino Linotype" w:cs="Palatino Linotype"/>
          <w:sz w:val="22"/>
          <w:szCs w:val="22"/>
        </w:rPr>
      </w:pPr>
    </w:p>
    <w:p w14:paraId="3E54B4EB" w14:textId="77777777" w:rsidR="00A12EBB" w:rsidRPr="005E410F" w:rsidRDefault="00AD46E7">
      <w:pPr>
        <w:spacing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Adicionalmente, no se advierte que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hubiese expresado el artículo, fracción, inciso o </w:t>
      </w:r>
      <w:proofErr w:type="spellStart"/>
      <w:r w:rsidRPr="005E410F">
        <w:rPr>
          <w:rFonts w:ascii="Palatino Linotype" w:eastAsia="Palatino Linotype" w:hAnsi="Palatino Linotype" w:cs="Palatino Linotype"/>
          <w:sz w:val="22"/>
          <w:szCs w:val="22"/>
        </w:rPr>
        <w:t>subinciso</w:t>
      </w:r>
      <w:proofErr w:type="spellEnd"/>
      <w:r w:rsidRPr="005E410F">
        <w:rPr>
          <w:rFonts w:ascii="Palatino Linotype" w:eastAsia="Palatino Linotype" w:hAnsi="Palatino Linotype" w:cs="Palatino Linotype"/>
          <w:sz w:val="22"/>
          <w:szCs w:val="22"/>
        </w:rPr>
        <w:t xml:space="preserve"> de la legislación aplicable a la materia, que establece de manera expresa la naturaleza jurídica de todos y cada uno de los datos testados en el currículum vitae que entregó en respuesta, lo anterior, con la finalidad de justificar la procedencia de omitirlos o testarlos, en consecuencia, el actuar del Sujeto Obligado carece de </w:t>
      </w:r>
      <w:r w:rsidRPr="005E410F">
        <w:rPr>
          <w:rFonts w:ascii="Palatino Linotype" w:eastAsia="Palatino Linotype" w:hAnsi="Palatino Linotype" w:cs="Palatino Linotype"/>
          <w:sz w:val="22"/>
          <w:szCs w:val="22"/>
        </w:rPr>
        <w:lastRenderedPageBreak/>
        <w:t>fundamentación y motivación, consistentes en la obligación que tiene todo ente público de expresar los preceptos jurídicos aplicables al asunto motivo del acto y las razones o argumentos de su actuar.</w:t>
      </w:r>
    </w:p>
    <w:p w14:paraId="52AD6B52"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Al respecto, el máximo tribunal del país ha establecido jurisprudencia respecto a qué debe entenderse por fundamentación y motivación, en los siguientes términos:</w:t>
      </w:r>
    </w:p>
    <w:p w14:paraId="61FAFB5C" w14:textId="77777777" w:rsidR="00A12EBB" w:rsidRPr="005E410F" w:rsidRDefault="00A12EBB">
      <w:pPr>
        <w:jc w:val="both"/>
        <w:rPr>
          <w:rFonts w:ascii="Palatino Linotype" w:eastAsia="Palatino Linotype" w:hAnsi="Palatino Linotype" w:cs="Palatino Linotype"/>
          <w:sz w:val="22"/>
          <w:szCs w:val="22"/>
        </w:rPr>
      </w:pPr>
    </w:p>
    <w:p w14:paraId="7489D8B4" w14:textId="77777777" w:rsidR="00A12EBB" w:rsidRPr="005E410F" w:rsidRDefault="00AD46E7">
      <w:pPr>
        <w:ind w:left="851" w:right="850"/>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 xml:space="preserve">“FUNDAMENTACION Y MOTIVACION. </w:t>
      </w:r>
      <w:r w:rsidRPr="005E410F">
        <w:rPr>
          <w:rFonts w:ascii="Palatino Linotype" w:eastAsia="Palatino Linotype" w:hAnsi="Palatino Linotype" w:cs="Palatino Linotype"/>
          <w:i/>
          <w:sz w:val="22"/>
          <w:szCs w:val="22"/>
        </w:rPr>
        <w:t xml:space="preserve">La </w:t>
      </w:r>
      <w:r w:rsidRPr="005E410F">
        <w:rPr>
          <w:rFonts w:ascii="Palatino Linotype" w:eastAsia="Palatino Linotype" w:hAnsi="Palatino Linotype" w:cs="Palatino Linotype"/>
          <w:b/>
          <w:i/>
          <w:sz w:val="22"/>
          <w:szCs w:val="22"/>
          <w:u w:val="single"/>
        </w:rPr>
        <w:t>debida fundamentación y motivación legal, deben entenderse, por lo primero, la cita del precepto legal aplicable al caso, y por lo segundo, las razones, motivos o circunstancias especiales que llevaron a la autoridad a concluir que el caso particular encuadra en el supuesto previsto por la norma legal invocada como fundamento</w:t>
      </w:r>
      <w:r w:rsidRPr="005E410F">
        <w:rPr>
          <w:rFonts w:ascii="Palatino Linotype" w:eastAsia="Palatino Linotype" w:hAnsi="Palatino Linotype" w:cs="Palatino Linotype"/>
          <w:i/>
          <w:sz w:val="22"/>
          <w:szCs w:val="22"/>
        </w:rPr>
        <w:t>.</w:t>
      </w:r>
    </w:p>
    <w:p w14:paraId="674B5AE3" w14:textId="77777777" w:rsidR="00A12EBB" w:rsidRPr="005E410F" w:rsidRDefault="00AD46E7">
      <w:pPr>
        <w:ind w:left="851" w:right="850"/>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t xml:space="preserve">…” </w:t>
      </w:r>
    </w:p>
    <w:p w14:paraId="50EAAD13" w14:textId="77777777" w:rsidR="00A12EBB" w:rsidRPr="005E410F" w:rsidRDefault="00A12EBB">
      <w:pPr>
        <w:ind w:left="851" w:right="850"/>
        <w:jc w:val="both"/>
        <w:rPr>
          <w:rFonts w:ascii="Palatino Linotype" w:eastAsia="Palatino Linotype" w:hAnsi="Palatino Linotype" w:cs="Palatino Linotype"/>
          <w:i/>
          <w:sz w:val="22"/>
          <w:szCs w:val="22"/>
        </w:rPr>
      </w:pPr>
    </w:p>
    <w:p w14:paraId="55FEA058"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Así, en un acto de autoridad se surte la debida fundamentación cuando se cita el precepto legal aplicable al caso concreto y la debida motivación cuando se expresan las razones, motivos o circunstancias que tomó en cuenta la autoridad para adecuar el hecho a los fundamentos de derecho.</w:t>
      </w:r>
    </w:p>
    <w:p w14:paraId="245A4622" w14:textId="77777777" w:rsidR="00A12EBB" w:rsidRPr="005E410F" w:rsidRDefault="00A12EBB">
      <w:pPr>
        <w:spacing w:line="360" w:lineRule="auto"/>
        <w:ind w:right="-518"/>
        <w:jc w:val="both"/>
        <w:rPr>
          <w:rFonts w:ascii="Palatino Linotype" w:eastAsia="Palatino Linotype" w:hAnsi="Palatino Linotype" w:cs="Palatino Linotype"/>
          <w:sz w:val="22"/>
          <w:szCs w:val="22"/>
        </w:rPr>
      </w:pPr>
    </w:p>
    <w:p w14:paraId="36414AFD"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Más aún, a través de diversa jurisprudencia dictada por el Poder Judicial de la Federación se sostiene que la finalidad de la fundamentación o motivación es la de explicar, justificar, posibilitar la defensa y comunicar la decisión de la autoridad:</w:t>
      </w:r>
    </w:p>
    <w:p w14:paraId="01E68E13" w14:textId="77777777" w:rsidR="00A12EBB" w:rsidRPr="005E410F" w:rsidRDefault="00A12EBB">
      <w:pPr>
        <w:ind w:right="-518"/>
        <w:jc w:val="both"/>
        <w:rPr>
          <w:rFonts w:ascii="Palatino Linotype" w:eastAsia="Palatino Linotype" w:hAnsi="Palatino Linotype" w:cs="Palatino Linotype"/>
          <w:sz w:val="22"/>
          <w:szCs w:val="22"/>
        </w:rPr>
      </w:pPr>
    </w:p>
    <w:p w14:paraId="04E5314B" w14:textId="77777777" w:rsidR="00A12EBB" w:rsidRPr="005E410F" w:rsidRDefault="00AD46E7">
      <w:pPr>
        <w:ind w:left="851" w:right="899"/>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“FUNDAMENTACIÓN Y MOTIVACIÓN. EL ASPECTO FORMAL DE LA GARANTÍA Y SU FINALIDAD SE TRADUCEN EN EXPLICAR, JUSTIFICAR, POSIBILITAR LA DEFENSA Y COMUNICAR LA DECISIÓN</w:t>
      </w:r>
      <w:r w:rsidRPr="005E410F">
        <w:rPr>
          <w:rFonts w:ascii="Palatino Linotype" w:eastAsia="Palatino Linotype" w:hAnsi="Palatino Linotype" w:cs="Palatino Linotype"/>
          <w:i/>
          <w:sz w:val="22"/>
          <w:szCs w:val="22"/>
        </w:rPr>
        <w:t>. El contenido formal de la garantía de legalidad prevista en el artículo 16 constitucional relativa a la fundamentación</w:t>
      </w:r>
      <w:r w:rsidRPr="005E410F">
        <w:rPr>
          <w:rFonts w:ascii="Palatino Linotype" w:eastAsia="Palatino Linotype" w:hAnsi="Palatino Linotype" w:cs="Palatino Linotype"/>
          <w:b/>
          <w:i/>
          <w:sz w:val="22"/>
          <w:szCs w:val="22"/>
        </w:rPr>
        <w:t xml:space="preserve"> y motivación tiene como propósito primordial y ratio que el justiciable conozca el "para qué" de la conducta de la autoridad, lo que se traduce en darle a conocer en detalle y de manera completa la esencia de todas las circunstancias y </w:t>
      </w:r>
      <w:r w:rsidRPr="005E410F">
        <w:rPr>
          <w:rFonts w:ascii="Palatino Linotype" w:eastAsia="Palatino Linotype" w:hAnsi="Palatino Linotype" w:cs="Palatino Linotype"/>
          <w:b/>
          <w:i/>
          <w:sz w:val="22"/>
          <w:szCs w:val="22"/>
        </w:rPr>
        <w:lastRenderedPageBreak/>
        <w:t>condiciones que determinaron el acto de voluntad, de manera que sea evidente y muy claro para el afectado poder cuestionar y controvertir el mérito de la decisión, permitiéndole una real y auténtica defensa</w:t>
      </w:r>
      <w:r w:rsidRPr="005E410F">
        <w:rPr>
          <w:rFonts w:ascii="Palatino Linotype" w:eastAsia="Palatino Linotype" w:hAnsi="Palatino Linotype" w:cs="Palatino Linotype"/>
          <w:i/>
          <w:sz w:val="22"/>
          <w:szCs w:val="22"/>
        </w:rPr>
        <w:t xml:space="preserve">. Por tanto, </w:t>
      </w:r>
      <w:r w:rsidRPr="005E410F">
        <w:rPr>
          <w:rFonts w:ascii="Palatino Linotype" w:eastAsia="Palatino Linotype" w:hAnsi="Palatino Linotype" w:cs="Palatino Linotype"/>
          <w:b/>
          <w:i/>
          <w:sz w:val="22"/>
          <w:szCs w:val="22"/>
          <w:u w:val="single"/>
        </w:rPr>
        <w:t>no basta que el acto de autoridad apenas observe una motivación pro forma pero de una manera incongruente, insuficiente o imprecisa</w:t>
      </w:r>
      <w:r w:rsidRPr="005E410F">
        <w:rPr>
          <w:rFonts w:ascii="Palatino Linotype" w:eastAsia="Palatino Linotype" w:hAnsi="Palatino Linotype" w:cs="Palatino Linotype"/>
          <w:i/>
          <w:sz w:val="22"/>
          <w:szCs w:val="22"/>
        </w:rPr>
        <w:t>, que impida la finalidad del conocimiento, comprobación y defensa pertinente</w:t>
      </w:r>
      <w:r w:rsidRPr="005E410F">
        <w:rPr>
          <w:rFonts w:ascii="Palatino Linotype" w:eastAsia="Palatino Linotype" w:hAnsi="Palatino Linotype" w:cs="Palatino Linotype"/>
          <w:b/>
          <w:i/>
          <w:sz w:val="22"/>
          <w:szCs w:val="22"/>
          <w:u w:val="single"/>
        </w:rPr>
        <w:t>, ni es válido exigirle una amplitud o abundancia superflua, pues es suficiente la expresión de lo estrictamente necesario para explicar, justificar y posibilitar la defensa, así como para comunicar la decisión a efecto de que se considere debidamente fundado y motivado, exponiendo los hechos relevantes para decidir, citando la norma habilitante y un argumento mínimo pero suficiente para acreditar el razonamiento del que se deduzca la relación de pertenencia lógica de los hechos al derecho invocado, que es la subsunción</w:t>
      </w:r>
      <w:r w:rsidRPr="005E410F">
        <w:rPr>
          <w:rFonts w:ascii="Palatino Linotype" w:eastAsia="Palatino Linotype" w:hAnsi="Palatino Linotype" w:cs="Palatino Linotype"/>
          <w:i/>
          <w:sz w:val="22"/>
          <w:szCs w:val="22"/>
        </w:rPr>
        <w:t>.” Énfasis añadido.</w:t>
      </w:r>
    </w:p>
    <w:p w14:paraId="67A0BB2D" w14:textId="77777777" w:rsidR="00A12EBB" w:rsidRPr="005E410F" w:rsidRDefault="00AD46E7">
      <w:pP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En consecuencia, la fundamentación y motivación implica </w:t>
      </w:r>
      <w:proofErr w:type="gramStart"/>
      <w:r w:rsidRPr="005E410F">
        <w:rPr>
          <w:rFonts w:ascii="Palatino Linotype" w:eastAsia="Palatino Linotype" w:hAnsi="Palatino Linotype" w:cs="Palatino Linotype"/>
          <w:sz w:val="22"/>
          <w:szCs w:val="22"/>
        </w:rPr>
        <w:t>que</w:t>
      </w:r>
      <w:proofErr w:type="gramEnd"/>
      <w:r w:rsidRPr="005E410F">
        <w:rPr>
          <w:rFonts w:ascii="Palatino Linotype" w:eastAsia="Palatino Linotype" w:hAnsi="Palatino Linotype" w:cs="Palatino Linotype"/>
          <w:sz w:val="22"/>
          <w:szCs w:val="22"/>
        </w:rPr>
        <w:t xml:space="preserve"> en el acto de autoridad, además de contener los supuestos jurídicos aplicables debe explicar claramente por qué a través de la utilización de la norma se emitió el acto. De este modo, la persona que se siente afectada podrá impugnar la decisión, permitiéndole una real y auténtica defensa, circunstancia que en el presente asunto no sucedió.</w:t>
      </w:r>
    </w:p>
    <w:p w14:paraId="1C398F46" w14:textId="77777777" w:rsidR="00A12EBB" w:rsidRPr="005E410F" w:rsidRDefault="00AD46E7">
      <w:pPr>
        <w:shd w:val="clear" w:color="auto" w:fill="FFFFFF"/>
        <w:spacing w:before="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Aunado a ello no se debe perder de vista que la clasificación es el proceso mediante el cual el sujeto obligado determina que la información en su poder </w:t>
      </w:r>
      <w:proofErr w:type="spellStart"/>
      <w:r w:rsidRPr="005E410F">
        <w:rPr>
          <w:rFonts w:ascii="Palatino Linotype" w:eastAsia="Palatino Linotype" w:hAnsi="Palatino Linotype" w:cs="Palatino Linotype"/>
          <w:sz w:val="22"/>
          <w:szCs w:val="22"/>
        </w:rPr>
        <w:t>actualiza</w:t>
      </w:r>
      <w:proofErr w:type="spellEnd"/>
      <w:r w:rsidRPr="005E410F">
        <w:rPr>
          <w:rFonts w:ascii="Palatino Linotype" w:eastAsia="Palatino Linotype" w:hAnsi="Palatino Linotype" w:cs="Palatino Linotype"/>
          <w:sz w:val="22"/>
          <w:szCs w:val="22"/>
        </w:rPr>
        <w:t xml:space="preserve"> alguno de los supuestos de reserva o confidencialidad, los cuales deberán ser acordes con las bases, principios y disposiciones establecidos en la Ley General de Transparencia, al respecto, conviene referir que la Ley de Transparencia vigente en el Estado de México establece:</w:t>
      </w:r>
    </w:p>
    <w:p w14:paraId="673A2421" w14:textId="77777777" w:rsidR="00A12EBB" w:rsidRPr="005E410F" w:rsidRDefault="00A12EBB">
      <w:pPr>
        <w:shd w:val="clear" w:color="auto" w:fill="FFFFFF"/>
        <w:spacing w:line="360" w:lineRule="auto"/>
        <w:jc w:val="both"/>
        <w:rPr>
          <w:rFonts w:ascii="Palatino Linotype" w:eastAsia="Palatino Linotype" w:hAnsi="Palatino Linotype" w:cs="Palatino Linotype"/>
          <w:b/>
          <w:sz w:val="22"/>
          <w:szCs w:val="22"/>
        </w:rPr>
      </w:pPr>
    </w:p>
    <w:p w14:paraId="3C88EC91" w14:textId="77777777" w:rsidR="00A12EBB" w:rsidRPr="005E410F" w:rsidRDefault="00AD46E7">
      <w:pPr>
        <w:shd w:val="clear" w:color="auto" w:fill="FFFFFF"/>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131.</w:t>
      </w:r>
      <w:r w:rsidRPr="005E410F">
        <w:rPr>
          <w:rFonts w:ascii="Palatino Linotype" w:eastAsia="Palatino Linotype" w:hAnsi="Palatino Linotype" w:cs="Palatino Linotype"/>
          <w:i/>
          <w:sz w:val="22"/>
          <w:szCs w:val="22"/>
        </w:rPr>
        <w:t xml:space="preserve"> </w:t>
      </w:r>
      <w:r w:rsidRPr="005E410F">
        <w:rPr>
          <w:rFonts w:ascii="Palatino Linotype" w:eastAsia="Palatino Linotype" w:hAnsi="Palatino Linotype" w:cs="Palatino Linotype"/>
          <w:b/>
          <w:i/>
          <w:sz w:val="22"/>
          <w:szCs w:val="22"/>
          <w:u w:val="single"/>
        </w:rPr>
        <w:t>La carga de la prueba para justificar toda negativa de acceso a la información, por actualizarse cualquiera de los supuestos de clasificación</w:t>
      </w:r>
      <w:r w:rsidRPr="005E410F">
        <w:rPr>
          <w:rFonts w:ascii="Palatino Linotype" w:eastAsia="Palatino Linotype" w:hAnsi="Palatino Linotype" w:cs="Palatino Linotype"/>
          <w:i/>
          <w:sz w:val="22"/>
          <w:szCs w:val="22"/>
        </w:rPr>
        <w:t xml:space="preserve"> previstos en esta Ley </w:t>
      </w:r>
      <w:r w:rsidRPr="005E410F">
        <w:rPr>
          <w:rFonts w:ascii="Palatino Linotype" w:eastAsia="Palatino Linotype" w:hAnsi="Palatino Linotype" w:cs="Palatino Linotype"/>
          <w:b/>
          <w:i/>
          <w:sz w:val="22"/>
          <w:szCs w:val="22"/>
          <w:u w:val="single"/>
        </w:rPr>
        <w:t>corresponderá a los sujetos obligados; en tal caso deberá fundar y motivar debidamente la clasificación de la información</w:t>
      </w:r>
      <w:r w:rsidRPr="005E410F">
        <w:rPr>
          <w:rFonts w:ascii="Palatino Linotype" w:eastAsia="Palatino Linotype" w:hAnsi="Palatino Linotype" w:cs="Palatino Linotype"/>
          <w:i/>
          <w:sz w:val="22"/>
          <w:szCs w:val="22"/>
        </w:rPr>
        <w:t>, de conformidad con lo previsto en la presente Ley.</w:t>
      </w:r>
    </w:p>
    <w:p w14:paraId="6BE843B3" w14:textId="77777777" w:rsidR="00A12EBB" w:rsidRPr="005E410F" w:rsidRDefault="00A12EBB">
      <w:pPr>
        <w:shd w:val="clear" w:color="auto" w:fill="FFFFFF"/>
        <w:ind w:left="851" w:right="851"/>
        <w:jc w:val="both"/>
        <w:rPr>
          <w:rFonts w:ascii="Palatino Linotype" w:eastAsia="Palatino Linotype" w:hAnsi="Palatino Linotype" w:cs="Palatino Linotype"/>
          <w:b/>
          <w:i/>
          <w:sz w:val="22"/>
          <w:szCs w:val="22"/>
        </w:rPr>
      </w:pPr>
    </w:p>
    <w:p w14:paraId="487A1FBD" w14:textId="77777777" w:rsidR="00A12EBB" w:rsidRPr="005E410F" w:rsidRDefault="00AD46E7">
      <w:pPr>
        <w:shd w:val="clear" w:color="auto" w:fill="FFFFFF"/>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lastRenderedPageBreak/>
        <w:t>Artículo 132.</w:t>
      </w:r>
      <w:r w:rsidRPr="005E410F">
        <w:rPr>
          <w:rFonts w:ascii="Palatino Linotype" w:eastAsia="Palatino Linotype" w:hAnsi="Palatino Linotype" w:cs="Palatino Linotype"/>
          <w:i/>
          <w:sz w:val="22"/>
          <w:szCs w:val="22"/>
        </w:rPr>
        <w:t xml:space="preserve"> </w:t>
      </w:r>
      <w:r w:rsidRPr="005E410F">
        <w:rPr>
          <w:rFonts w:ascii="Palatino Linotype" w:eastAsia="Palatino Linotype" w:hAnsi="Palatino Linotype" w:cs="Palatino Linotype"/>
          <w:b/>
          <w:i/>
          <w:sz w:val="22"/>
          <w:szCs w:val="22"/>
          <w:u w:val="single"/>
        </w:rPr>
        <w:t>La clasificación de la información se llevará a cabo</w:t>
      </w:r>
      <w:r w:rsidRPr="005E410F">
        <w:rPr>
          <w:rFonts w:ascii="Palatino Linotype" w:eastAsia="Palatino Linotype" w:hAnsi="Palatino Linotype" w:cs="Palatino Linotype"/>
          <w:i/>
          <w:sz w:val="22"/>
          <w:szCs w:val="22"/>
        </w:rPr>
        <w:t xml:space="preserve"> en el momento en que:</w:t>
      </w:r>
    </w:p>
    <w:p w14:paraId="10207D4A" w14:textId="77777777" w:rsidR="00A12EBB" w:rsidRPr="005E410F" w:rsidRDefault="00AD46E7">
      <w:pPr>
        <w:shd w:val="clear" w:color="auto" w:fill="FFFFFF"/>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w:t>
      </w:r>
      <w:r w:rsidRPr="005E410F">
        <w:rPr>
          <w:rFonts w:ascii="Palatino Linotype" w:eastAsia="Palatino Linotype" w:hAnsi="Palatino Linotype" w:cs="Palatino Linotype"/>
          <w:i/>
          <w:sz w:val="22"/>
          <w:szCs w:val="22"/>
        </w:rPr>
        <w:t xml:space="preserve"> </w:t>
      </w:r>
      <w:r w:rsidRPr="005E410F">
        <w:rPr>
          <w:rFonts w:ascii="Palatino Linotype" w:eastAsia="Palatino Linotype" w:hAnsi="Palatino Linotype" w:cs="Palatino Linotype"/>
          <w:b/>
          <w:i/>
          <w:sz w:val="22"/>
          <w:szCs w:val="22"/>
          <w:u w:val="single"/>
        </w:rPr>
        <w:t>Se reciba una solicitud de acceso a la información</w:t>
      </w:r>
      <w:r w:rsidRPr="005E410F">
        <w:rPr>
          <w:rFonts w:ascii="Palatino Linotype" w:eastAsia="Palatino Linotype" w:hAnsi="Palatino Linotype" w:cs="Palatino Linotype"/>
          <w:i/>
          <w:sz w:val="22"/>
          <w:szCs w:val="22"/>
        </w:rPr>
        <w:t>;</w:t>
      </w:r>
    </w:p>
    <w:p w14:paraId="49733B60" w14:textId="77777777" w:rsidR="00A12EBB" w:rsidRPr="005E410F" w:rsidRDefault="00AD46E7">
      <w:pPr>
        <w:shd w:val="clear" w:color="auto" w:fill="FFFFFF"/>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w:t>
      </w:r>
      <w:r w:rsidRPr="005E410F">
        <w:rPr>
          <w:rFonts w:ascii="Palatino Linotype" w:eastAsia="Palatino Linotype" w:hAnsi="Palatino Linotype" w:cs="Palatino Linotype"/>
          <w:i/>
          <w:sz w:val="22"/>
          <w:szCs w:val="22"/>
        </w:rPr>
        <w:t xml:space="preserve"> Se determine mediante resolución de autoridad competente; o</w:t>
      </w:r>
    </w:p>
    <w:p w14:paraId="64B9B441" w14:textId="77777777" w:rsidR="00A12EBB" w:rsidRPr="005E410F" w:rsidRDefault="00AD46E7">
      <w:pPr>
        <w:shd w:val="clear" w:color="auto" w:fill="FFFFFF"/>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III.</w:t>
      </w:r>
      <w:r w:rsidRPr="005E410F">
        <w:rPr>
          <w:rFonts w:ascii="Palatino Linotype" w:eastAsia="Palatino Linotype" w:hAnsi="Palatino Linotype" w:cs="Palatino Linotype"/>
          <w:i/>
          <w:sz w:val="22"/>
          <w:szCs w:val="22"/>
        </w:rPr>
        <w:t xml:space="preserve"> Se generen versiones públicas para dar cumplimiento a las obligaciones de transparencia previstas en esta Ley.</w:t>
      </w:r>
    </w:p>
    <w:p w14:paraId="43450E69" w14:textId="77777777" w:rsidR="00A12EBB" w:rsidRPr="005E410F" w:rsidRDefault="00A12EBB">
      <w:pPr>
        <w:shd w:val="clear" w:color="auto" w:fill="FFFFFF"/>
        <w:ind w:left="851" w:right="851"/>
        <w:jc w:val="both"/>
        <w:rPr>
          <w:rFonts w:ascii="Palatino Linotype" w:eastAsia="Palatino Linotype" w:hAnsi="Palatino Linotype" w:cs="Palatino Linotype"/>
          <w:i/>
          <w:sz w:val="22"/>
          <w:szCs w:val="22"/>
        </w:rPr>
      </w:pPr>
    </w:p>
    <w:p w14:paraId="4B46A218" w14:textId="77777777" w:rsidR="00A12EBB" w:rsidRPr="005E410F" w:rsidRDefault="00AD46E7">
      <w:pPr>
        <w:shd w:val="clear" w:color="auto" w:fill="FFFFFF"/>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Tratándose de información reservada, los titulares de las áreas deberán revisar la clasificación al momento de la recepción de una solicitud, para verificar si subsisten las causas que le dieron origen.</w:t>
      </w:r>
    </w:p>
    <w:p w14:paraId="6FC5454A" w14:textId="77777777" w:rsidR="00A12EBB" w:rsidRPr="005E410F" w:rsidRDefault="00A12EBB">
      <w:pPr>
        <w:shd w:val="clear" w:color="auto" w:fill="FFFFFF"/>
        <w:ind w:left="851" w:right="851"/>
        <w:jc w:val="both"/>
        <w:rPr>
          <w:rFonts w:ascii="Palatino Linotype" w:eastAsia="Palatino Linotype" w:hAnsi="Palatino Linotype" w:cs="Palatino Linotype"/>
          <w:i/>
          <w:sz w:val="22"/>
          <w:szCs w:val="22"/>
        </w:rPr>
      </w:pPr>
    </w:p>
    <w:p w14:paraId="7E00082A" w14:textId="77777777" w:rsidR="00A12EBB" w:rsidRPr="005E410F" w:rsidRDefault="00AD46E7">
      <w:pPr>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134.</w:t>
      </w:r>
      <w:r w:rsidRPr="005E410F">
        <w:rPr>
          <w:rFonts w:ascii="Palatino Linotype" w:eastAsia="Palatino Linotype" w:hAnsi="Palatino Linotype" w:cs="Palatino Linotype"/>
          <w:i/>
          <w:sz w:val="22"/>
          <w:szCs w:val="22"/>
        </w:rPr>
        <w:t xml:space="preserve"> </w:t>
      </w:r>
      <w:r w:rsidRPr="005E410F">
        <w:rPr>
          <w:rFonts w:ascii="Palatino Linotype" w:eastAsia="Palatino Linotype" w:hAnsi="Palatino Linotype" w:cs="Palatino Linotype"/>
          <w:b/>
          <w:i/>
          <w:sz w:val="22"/>
          <w:szCs w:val="22"/>
          <w:u w:val="single"/>
        </w:rPr>
        <w:t>Los sujetos obligados no podrán emitir acuerdos de carácter general</w:t>
      </w:r>
      <w:r w:rsidRPr="005E410F">
        <w:rPr>
          <w:rFonts w:ascii="Palatino Linotype" w:eastAsia="Palatino Linotype" w:hAnsi="Palatino Linotype" w:cs="Palatino Linotype"/>
          <w:i/>
          <w:sz w:val="22"/>
          <w:szCs w:val="22"/>
        </w:rPr>
        <w:t xml:space="preserve"> ni particular que clasifiquen documentos o información como reservada. La clasificación podrá establecerse de manera parcial o total de acuerdo al contenido de la información del documento y deberá estar acorde con la actualización de los supuestos definidos en el presente Título como información clasificada.</w:t>
      </w:r>
    </w:p>
    <w:p w14:paraId="62461CD4" w14:textId="77777777" w:rsidR="00A12EBB" w:rsidRPr="005E410F" w:rsidRDefault="00A12EBB">
      <w:pPr>
        <w:ind w:left="851" w:right="851"/>
        <w:jc w:val="both"/>
        <w:rPr>
          <w:rFonts w:ascii="Palatino Linotype" w:eastAsia="Palatino Linotype" w:hAnsi="Palatino Linotype" w:cs="Palatino Linotype"/>
          <w:i/>
          <w:sz w:val="22"/>
          <w:szCs w:val="22"/>
        </w:rPr>
      </w:pPr>
    </w:p>
    <w:p w14:paraId="36CCEEAC" w14:textId="77777777" w:rsidR="00A12EBB" w:rsidRPr="005E410F" w:rsidRDefault="00AD46E7">
      <w:pPr>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u w:val="single"/>
        </w:rPr>
        <w:t>En ningún caso se podrán clasificar documentos antes de que se genere la información</w:t>
      </w:r>
      <w:r w:rsidRPr="005E410F">
        <w:rPr>
          <w:rFonts w:ascii="Palatino Linotype" w:eastAsia="Palatino Linotype" w:hAnsi="Palatino Linotype" w:cs="Palatino Linotype"/>
          <w:i/>
          <w:sz w:val="22"/>
          <w:szCs w:val="22"/>
        </w:rPr>
        <w:t>.</w:t>
      </w:r>
    </w:p>
    <w:p w14:paraId="6EED0769" w14:textId="77777777" w:rsidR="00A12EBB" w:rsidRPr="005E410F" w:rsidRDefault="00A12EBB">
      <w:pPr>
        <w:ind w:left="851" w:right="851"/>
        <w:jc w:val="both"/>
        <w:rPr>
          <w:rFonts w:ascii="Palatino Linotype" w:eastAsia="Palatino Linotype" w:hAnsi="Palatino Linotype" w:cs="Palatino Linotype"/>
          <w:i/>
          <w:sz w:val="22"/>
          <w:szCs w:val="22"/>
        </w:rPr>
      </w:pPr>
    </w:p>
    <w:p w14:paraId="16423990" w14:textId="77777777" w:rsidR="00A12EBB" w:rsidRPr="005E410F" w:rsidRDefault="00AD46E7">
      <w:pPr>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La clasificación de información se realizará conforme a un análisis caso por caso, mediante la aplicación de la prueba de daño.</w:t>
      </w:r>
    </w:p>
    <w:p w14:paraId="05A70AE1" w14:textId="77777777" w:rsidR="00A12EBB" w:rsidRPr="005E410F" w:rsidRDefault="00A12EBB">
      <w:pPr>
        <w:ind w:left="851" w:right="851"/>
        <w:jc w:val="both"/>
        <w:rPr>
          <w:rFonts w:ascii="Palatino Linotype" w:eastAsia="Palatino Linotype" w:hAnsi="Palatino Linotype" w:cs="Palatino Linotype"/>
          <w:b/>
          <w:i/>
          <w:sz w:val="22"/>
          <w:szCs w:val="22"/>
        </w:rPr>
      </w:pPr>
    </w:p>
    <w:p w14:paraId="74590ABD" w14:textId="77777777" w:rsidR="00A12EBB" w:rsidRPr="005E410F" w:rsidRDefault="00AD46E7">
      <w:pPr>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135.</w:t>
      </w:r>
      <w:r w:rsidRPr="005E410F">
        <w:rPr>
          <w:rFonts w:ascii="Palatino Linotype" w:eastAsia="Palatino Linotype" w:hAnsi="Palatino Linotype" w:cs="Palatino Linotype"/>
          <w:i/>
          <w:sz w:val="22"/>
          <w:szCs w:val="22"/>
        </w:rPr>
        <w:t xml:space="preserve"> Los lineamientos generales que se emitan al respecto en materia de clasificación de la información reservada y confidencial y, para la elaboración de versiones públicas, serán de observancia obligatoria para los sujetos obligados.</w:t>
      </w:r>
    </w:p>
    <w:p w14:paraId="16FDECEC" w14:textId="77777777" w:rsidR="00A12EBB" w:rsidRPr="005E410F" w:rsidRDefault="00A12EBB">
      <w:pPr>
        <w:ind w:left="851" w:right="851"/>
        <w:jc w:val="both"/>
        <w:rPr>
          <w:rFonts w:ascii="Palatino Linotype" w:eastAsia="Palatino Linotype" w:hAnsi="Palatino Linotype" w:cs="Palatino Linotype"/>
          <w:i/>
          <w:sz w:val="22"/>
          <w:szCs w:val="22"/>
        </w:rPr>
      </w:pPr>
    </w:p>
    <w:p w14:paraId="2676E1BE" w14:textId="77777777" w:rsidR="00A12EBB" w:rsidRPr="005E410F" w:rsidRDefault="00AD46E7">
      <w:pPr>
        <w:ind w:left="851" w:right="85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(Énfasis añadido)</w:t>
      </w:r>
    </w:p>
    <w:p w14:paraId="39BEFEDB" w14:textId="77777777" w:rsidR="00A12EBB" w:rsidRPr="005E410F" w:rsidRDefault="00A12EBB">
      <w:pPr>
        <w:ind w:left="851" w:right="851"/>
        <w:jc w:val="both"/>
        <w:rPr>
          <w:rFonts w:ascii="Palatino Linotype" w:eastAsia="Palatino Linotype" w:hAnsi="Palatino Linotype" w:cs="Palatino Linotype"/>
          <w:i/>
          <w:sz w:val="22"/>
          <w:szCs w:val="22"/>
        </w:rPr>
      </w:pPr>
    </w:p>
    <w:p w14:paraId="6F43E050" w14:textId="77777777" w:rsidR="00A12EBB" w:rsidRPr="005E410F" w:rsidRDefault="00AD46E7">
      <w:pP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De la normatividad se aprecia que l</w:t>
      </w:r>
      <w:r w:rsidRPr="005E410F">
        <w:rPr>
          <w:rFonts w:ascii="Palatino Linotype" w:eastAsia="Palatino Linotype" w:hAnsi="Palatino Linotype" w:cs="Palatino Linotype"/>
          <w:b/>
          <w:sz w:val="22"/>
          <w:szCs w:val="22"/>
        </w:rPr>
        <w:t xml:space="preserve">a </w:t>
      </w:r>
      <w:r w:rsidRPr="005E410F">
        <w:rPr>
          <w:rFonts w:ascii="Palatino Linotype" w:eastAsia="Palatino Linotype" w:hAnsi="Palatino Linotype" w:cs="Palatino Linotype"/>
          <w:sz w:val="22"/>
          <w:szCs w:val="22"/>
        </w:rPr>
        <w:t xml:space="preserve">carga de la prueba para justificar toda negativa de acceso a la información, por actualizarse cualquiera de los supuestos de clasificación corresponde a los sujetos obligados; en tal caso deberá fundar y motivar debidamente la clasificación de la información, la cual se llevará a cabo en el momento en que </w:t>
      </w:r>
      <w:r w:rsidRPr="005E410F">
        <w:rPr>
          <w:rFonts w:ascii="Palatino Linotype" w:eastAsia="Palatino Linotype" w:hAnsi="Palatino Linotype" w:cs="Palatino Linotype"/>
          <w:i/>
          <w:sz w:val="22"/>
          <w:szCs w:val="22"/>
        </w:rPr>
        <w:t>se reciba una solicitud de acceso a la información;</w:t>
      </w:r>
      <w:r w:rsidRPr="005E410F">
        <w:rPr>
          <w:rFonts w:ascii="Palatino Linotype" w:eastAsia="Palatino Linotype" w:hAnsi="Palatino Linotype" w:cs="Palatino Linotype"/>
          <w:sz w:val="22"/>
          <w:szCs w:val="22"/>
        </w:rPr>
        <w:t xml:space="preserve"> </w:t>
      </w:r>
      <w:r w:rsidRPr="005E410F">
        <w:rPr>
          <w:rFonts w:ascii="Palatino Linotype" w:eastAsia="Palatino Linotype" w:hAnsi="Palatino Linotype" w:cs="Palatino Linotype"/>
          <w:i/>
          <w:sz w:val="22"/>
          <w:szCs w:val="22"/>
        </w:rPr>
        <w:t>determine mediante resolución de autoridad competente; o</w:t>
      </w:r>
      <w:r w:rsidRPr="005E410F">
        <w:rPr>
          <w:rFonts w:ascii="Palatino Linotype" w:eastAsia="Palatino Linotype" w:hAnsi="Palatino Linotype" w:cs="Palatino Linotype"/>
          <w:sz w:val="22"/>
          <w:szCs w:val="22"/>
        </w:rPr>
        <w:t xml:space="preserve"> </w:t>
      </w:r>
      <w:r w:rsidRPr="005E410F">
        <w:rPr>
          <w:rFonts w:ascii="Palatino Linotype" w:eastAsia="Palatino Linotype" w:hAnsi="Palatino Linotype" w:cs="Palatino Linotype"/>
          <w:i/>
          <w:sz w:val="22"/>
          <w:szCs w:val="22"/>
        </w:rPr>
        <w:lastRenderedPageBreak/>
        <w:t>generen versiones públicas para dar cumplimiento a las obligaciones de transparencia,</w:t>
      </w:r>
      <w:r w:rsidRPr="005E410F">
        <w:rPr>
          <w:rFonts w:ascii="Palatino Linotype" w:eastAsia="Palatino Linotype" w:hAnsi="Palatino Linotype" w:cs="Palatino Linotype"/>
          <w:sz w:val="22"/>
          <w:szCs w:val="22"/>
        </w:rPr>
        <w:t xml:space="preserve"> cabe mencionar que los sujetos obligados no podrán emitir acuerdos de carácter general, en donde no se podrán clasificar documentos antes de que se genere la información, es decir, la clasificación de información se realizará conforme a un análisis caso por caso, formalidades que en el presente asunto no fueron observadas por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w:t>
      </w:r>
    </w:p>
    <w:p w14:paraId="1A014537" w14:textId="77777777" w:rsidR="00A12EBB" w:rsidRPr="005E410F" w:rsidRDefault="00AD46E7">
      <w:pPr>
        <w:widowControl w:val="0"/>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Ahora bien, de la versión pública no se podrán testar la trayectoria académica, profesional, laboral, toda vez que estos datos permiten identificar el nivel de conocimientos de su titular, así como, su perfil profesional o laboral.</w:t>
      </w:r>
    </w:p>
    <w:p w14:paraId="3DC9150A" w14:textId="77777777" w:rsidR="00A12EBB" w:rsidRPr="005E410F" w:rsidRDefault="00A12EBB">
      <w:pPr>
        <w:widowControl w:val="0"/>
        <w:spacing w:line="360" w:lineRule="auto"/>
        <w:jc w:val="both"/>
        <w:rPr>
          <w:rFonts w:ascii="Palatino Linotype" w:eastAsia="Palatino Linotype" w:hAnsi="Palatino Linotype" w:cs="Palatino Linotype"/>
          <w:sz w:val="22"/>
          <w:szCs w:val="22"/>
        </w:rPr>
      </w:pPr>
    </w:p>
    <w:p w14:paraId="6638F41A" w14:textId="77777777" w:rsidR="00A12EBB" w:rsidRPr="005E410F" w:rsidRDefault="00AD46E7">
      <w:pPr>
        <w:widowControl w:val="0"/>
        <w:spacing w:line="360" w:lineRule="auto"/>
        <w:jc w:val="both"/>
        <w:rPr>
          <w:rFonts w:ascii="Palatino Linotype" w:eastAsia="Palatino Linotype" w:hAnsi="Palatino Linotype" w:cs="Palatino Linotype"/>
          <w:b/>
          <w:sz w:val="22"/>
          <w:szCs w:val="22"/>
        </w:rPr>
      </w:pPr>
      <w:r w:rsidRPr="005E410F">
        <w:rPr>
          <w:rFonts w:ascii="Palatino Linotype" w:eastAsia="Palatino Linotype" w:hAnsi="Palatino Linotype" w:cs="Palatino Linotype"/>
          <w:sz w:val="22"/>
          <w:szCs w:val="22"/>
        </w:rPr>
        <w:t xml:space="preserve">En el mismo sentido, el Criterio de Interpretación, de la Tercera de Época, con número de registro SO/007/2023, emitido por el Instituto Nacional de Transparencia, Acceso a la Información y Protección de Datos Personales, establece que una de las formas en que los ciudadanos pueden evaluar las aptitudes para desempeñar un cargo público determinado, es mediante la </w:t>
      </w:r>
      <w:r w:rsidRPr="005E410F">
        <w:rPr>
          <w:rFonts w:ascii="Palatino Linotype" w:eastAsia="Palatino Linotype" w:hAnsi="Palatino Linotype" w:cs="Palatino Linotype"/>
          <w:b/>
          <w:sz w:val="22"/>
          <w:szCs w:val="22"/>
        </w:rPr>
        <w:t xml:space="preserve">publicidad de ciertos datos </w:t>
      </w:r>
      <w:r w:rsidRPr="005E410F">
        <w:rPr>
          <w:rFonts w:ascii="Palatino Linotype" w:eastAsia="Palatino Linotype" w:hAnsi="Palatino Linotype" w:cs="Palatino Linotype"/>
          <w:sz w:val="22"/>
          <w:szCs w:val="22"/>
        </w:rPr>
        <w:t>tales como,</w:t>
      </w:r>
      <w:r w:rsidRPr="005E410F">
        <w:rPr>
          <w:rFonts w:ascii="Palatino Linotype" w:eastAsia="Palatino Linotype" w:hAnsi="Palatino Linotype" w:cs="Palatino Linotype"/>
          <w:b/>
          <w:sz w:val="22"/>
          <w:szCs w:val="22"/>
        </w:rPr>
        <w:t xml:space="preserve"> la trayectoria académica, profesional, laboral, así como todos aquellos que acrediten su capacidad, habilidades y pericia para ocupar el puesto público.</w:t>
      </w:r>
    </w:p>
    <w:p w14:paraId="31F9709F" w14:textId="77777777" w:rsidR="00A12EBB" w:rsidRPr="005E410F" w:rsidRDefault="00A12EBB">
      <w:pPr>
        <w:widowControl w:val="0"/>
        <w:spacing w:line="360" w:lineRule="auto"/>
        <w:jc w:val="both"/>
        <w:rPr>
          <w:rFonts w:ascii="Palatino Linotype" w:eastAsia="Palatino Linotype" w:hAnsi="Palatino Linotype" w:cs="Palatino Linotype"/>
          <w:b/>
          <w:sz w:val="22"/>
          <w:szCs w:val="22"/>
        </w:rPr>
      </w:pPr>
    </w:p>
    <w:p w14:paraId="4962622C" w14:textId="77777777" w:rsidR="00A12EBB" w:rsidRPr="005E410F" w:rsidRDefault="00AD46E7">
      <w:pPr>
        <w:widowControl w:val="0"/>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Aunado a ello, toma relevancia, pues conforme al formato 17 LGT_Art_70_Fr_XVII (Información curricular y las sanciones administrativas definitivas de los(as) servidores(as) públicas(os) y/o personas que desempeñen un empleo, cargo o comisión) de los Lineamientos técnicos generales para la publicación, homologación y estandarización de la información de las obligaciones establecidas en el título quinto y en la fracción IV del artículo 31 de la Ley General de Transparencia y Acceso a la Información Pública –Lineamientos Generales-, que deben de difundir los sujetos obligados en los portales de Internet y en la Plataforma Nacional de Transparencia, establece como datos a publicar, de </w:t>
      </w:r>
      <w:r w:rsidRPr="005E410F">
        <w:rPr>
          <w:rFonts w:ascii="Palatino Linotype" w:eastAsia="Palatino Linotype" w:hAnsi="Palatino Linotype" w:cs="Palatino Linotype"/>
          <w:sz w:val="22"/>
          <w:szCs w:val="22"/>
        </w:rPr>
        <w:lastRenderedPageBreak/>
        <w:t>los servidores públicos, el nivel máximo de estudios concluido y comprobable, así como la experiencia laboral, concerniente a los tres últimos empleos.</w:t>
      </w:r>
    </w:p>
    <w:p w14:paraId="5E5D06BA" w14:textId="77777777" w:rsidR="00A12EBB" w:rsidRPr="005E410F" w:rsidRDefault="00A12EBB">
      <w:pPr>
        <w:widowControl w:val="0"/>
        <w:spacing w:line="360" w:lineRule="auto"/>
        <w:jc w:val="both"/>
        <w:rPr>
          <w:rFonts w:ascii="Palatino Linotype" w:eastAsia="Palatino Linotype" w:hAnsi="Palatino Linotype" w:cs="Palatino Linotype"/>
          <w:sz w:val="22"/>
          <w:szCs w:val="22"/>
        </w:rPr>
      </w:pPr>
    </w:p>
    <w:p w14:paraId="31D7F81F" w14:textId="77777777" w:rsidR="00A12EBB" w:rsidRPr="005E410F" w:rsidRDefault="00AD46E7">
      <w:pPr>
        <w:widowControl w:val="0"/>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Respecto al periodo en el que trabajo y el nombre o institución o empresa, este Instituto no advierte de que forma, darlos a conocer puede afectar a la intimidad o privacidad del servidor público, pues al contrario, abonan a la transparencia, dado que los datos le dan validez al documento, al conocer el nombre de las instituciones o empresas en las que ha prestado sus servicios, salvo que se trate de la prestación de servicios profesiones prestados a un particular; además que permite identificar y robustecer la experiencia con la que cuenta el servidor público, al conocer las ramas en las que se ha desempeñado. </w:t>
      </w:r>
    </w:p>
    <w:p w14:paraId="45567BFA" w14:textId="77777777" w:rsidR="00A12EBB" w:rsidRPr="005E410F" w:rsidRDefault="00A12EBB">
      <w:pPr>
        <w:widowControl w:val="0"/>
        <w:spacing w:line="360" w:lineRule="auto"/>
        <w:jc w:val="both"/>
        <w:rPr>
          <w:rFonts w:ascii="Palatino Linotype" w:eastAsia="Palatino Linotype" w:hAnsi="Palatino Linotype" w:cs="Palatino Linotype"/>
          <w:sz w:val="22"/>
          <w:szCs w:val="22"/>
        </w:rPr>
      </w:pPr>
    </w:p>
    <w:p w14:paraId="21DF00EF" w14:textId="77777777" w:rsidR="00A12EBB" w:rsidRPr="005E410F" w:rsidRDefault="00AD46E7">
      <w:pPr>
        <w:widowControl w:val="0"/>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Por lo que, dichos datos no actualizan la causal de clasificación establecida en el artículo 143, fracción I, de la Ley de Transparencia y Acceso a la Información Pública del Estado de México y Municipios. </w:t>
      </w:r>
    </w:p>
    <w:p w14:paraId="0333A5DF" w14:textId="77777777" w:rsidR="00A12EBB" w:rsidRPr="005E410F" w:rsidRDefault="00A12EBB">
      <w:pPr>
        <w:widowControl w:val="0"/>
        <w:spacing w:line="360" w:lineRule="auto"/>
        <w:jc w:val="both"/>
        <w:rPr>
          <w:rFonts w:ascii="Palatino Linotype" w:eastAsia="Palatino Linotype" w:hAnsi="Palatino Linotype" w:cs="Palatino Linotype"/>
          <w:sz w:val="22"/>
          <w:szCs w:val="22"/>
        </w:rPr>
      </w:pPr>
    </w:p>
    <w:p w14:paraId="6F6F15B4" w14:textId="77777777" w:rsidR="00A12EBB" w:rsidRPr="005E410F" w:rsidRDefault="00AD46E7">
      <w:pPr>
        <w:widowControl w:val="0"/>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Conforme a lo anterior, es información pública los datos académicos e información profesional de los servidores públicos, así como</w:t>
      </w:r>
      <w:r w:rsidRPr="005E410F">
        <w:t xml:space="preserve"> </w:t>
      </w:r>
      <w:r w:rsidRPr="005E410F">
        <w:rPr>
          <w:rFonts w:ascii="Palatino Linotype" w:eastAsia="Palatino Linotype" w:hAnsi="Palatino Linotype" w:cs="Palatino Linotype"/>
          <w:sz w:val="22"/>
          <w:szCs w:val="22"/>
        </w:rPr>
        <w:t xml:space="preserve">el periodo en el que trabajo y el nombre o institución o empresa en la que se despeño, </w:t>
      </w:r>
      <w:proofErr w:type="gramStart"/>
      <w:r w:rsidRPr="005E410F">
        <w:rPr>
          <w:rFonts w:ascii="Palatino Linotype" w:eastAsia="Palatino Linotype" w:hAnsi="Palatino Linotype" w:cs="Palatino Linotype"/>
          <w:sz w:val="22"/>
          <w:szCs w:val="22"/>
        </w:rPr>
        <w:t>y</w:t>
      </w:r>
      <w:proofErr w:type="gramEnd"/>
      <w:r w:rsidRPr="005E410F">
        <w:rPr>
          <w:rFonts w:ascii="Palatino Linotype" w:eastAsia="Palatino Linotype" w:hAnsi="Palatino Linotype" w:cs="Palatino Linotype"/>
          <w:sz w:val="22"/>
          <w:szCs w:val="22"/>
        </w:rPr>
        <w:t xml:space="preserve"> por lo tanto, no procede su clasificación, en términos del artículo 143, fracción I, de la Ley de la materia; por lo que, resulta procedente ordenar nuevamente su entrega sin que se clasifiquen dichos datos por ser información pública. </w:t>
      </w:r>
    </w:p>
    <w:p w14:paraId="13A0955A" w14:textId="77777777" w:rsidR="00A12EBB" w:rsidRPr="005E410F" w:rsidRDefault="00A12EBB">
      <w:p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p>
    <w:p w14:paraId="128E6AF3" w14:textId="77777777" w:rsidR="00A12EBB" w:rsidRPr="005E410F" w:rsidRDefault="00AD46E7">
      <w:pPr>
        <w:numPr>
          <w:ilvl w:val="0"/>
          <w:numId w:val="1"/>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 xml:space="preserve">Nombramiento </w:t>
      </w:r>
    </w:p>
    <w:p w14:paraId="7CA9AA2A" w14:textId="77777777" w:rsidR="00A12EBB" w:rsidRPr="005E410F" w:rsidRDefault="00A12EBB">
      <w:pPr>
        <w:pBdr>
          <w:top w:val="nil"/>
          <w:left w:val="nil"/>
          <w:bottom w:val="nil"/>
          <w:right w:val="nil"/>
          <w:between w:val="nil"/>
        </w:pBdr>
        <w:spacing w:line="360" w:lineRule="auto"/>
        <w:ind w:left="720"/>
        <w:jc w:val="both"/>
        <w:rPr>
          <w:rFonts w:ascii="Palatino Linotype" w:eastAsia="Palatino Linotype" w:hAnsi="Palatino Linotype" w:cs="Palatino Linotype"/>
          <w:sz w:val="22"/>
          <w:szCs w:val="22"/>
        </w:rPr>
      </w:pPr>
    </w:p>
    <w:p w14:paraId="13F20ED0" w14:textId="77777777" w:rsidR="00A12EBB" w:rsidRPr="005E410F" w:rsidRDefault="00AD46E7">
      <w:pPr>
        <w:spacing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Respecto a este punto, conviene iniciar señalando </w:t>
      </w:r>
      <w:proofErr w:type="gramStart"/>
      <w:r w:rsidRPr="005E410F">
        <w:rPr>
          <w:rFonts w:ascii="Palatino Linotype" w:eastAsia="Palatino Linotype" w:hAnsi="Palatino Linotype" w:cs="Palatino Linotype"/>
          <w:sz w:val="22"/>
          <w:szCs w:val="22"/>
        </w:rPr>
        <w:t>que</w:t>
      </w:r>
      <w:proofErr w:type="gramEnd"/>
      <w:r w:rsidRPr="005E410F">
        <w:rPr>
          <w:rFonts w:ascii="Palatino Linotype" w:eastAsia="Palatino Linotype" w:hAnsi="Palatino Linotype" w:cs="Palatino Linotype"/>
          <w:sz w:val="22"/>
          <w:szCs w:val="22"/>
        </w:rPr>
        <w:t xml:space="preserve"> si bien es cierto, la parte</w:t>
      </w:r>
      <w:r w:rsidRPr="005E410F">
        <w:rPr>
          <w:rFonts w:ascii="Palatino Linotype" w:eastAsia="Palatino Linotype" w:hAnsi="Palatino Linotype" w:cs="Palatino Linotype"/>
          <w:b/>
          <w:sz w:val="22"/>
          <w:szCs w:val="22"/>
        </w:rPr>
        <w:t xml:space="preserve"> Recurrente </w:t>
      </w:r>
      <w:r w:rsidRPr="005E410F">
        <w:rPr>
          <w:rFonts w:ascii="Palatino Linotype" w:eastAsia="Palatino Linotype" w:hAnsi="Palatino Linotype" w:cs="Palatino Linotype"/>
          <w:sz w:val="22"/>
          <w:szCs w:val="22"/>
        </w:rPr>
        <w:t>empleó la expresión “</w:t>
      </w:r>
      <w:r w:rsidRPr="005E410F">
        <w:rPr>
          <w:rFonts w:ascii="Palatino Linotype" w:eastAsia="Palatino Linotype" w:hAnsi="Palatino Linotype" w:cs="Palatino Linotype"/>
          <w:i/>
          <w:sz w:val="22"/>
          <w:szCs w:val="22"/>
        </w:rPr>
        <w:t>nombramiento</w:t>
      </w:r>
      <w:r w:rsidRPr="005E410F">
        <w:rPr>
          <w:rFonts w:ascii="Palatino Linotype" w:eastAsia="Palatino Linotype" w:hAnsi="Palatino Linotype" w:cs="Palatino Linotype"/>
          <w:sz w:val="22"/>
          <w:szCs w:val="22"/>
        </w:rPr>
        <w:t xml:space="preserve">”, esta no debe entenderse en estricto sentido como tal, </w:t>
      </w:r>
      <w:r w:rsidRPr="005E410F">
        <w:rPr>
          <w:rFonts w:ascii="Palatino Linotype" w:eastAsia="Palatino Linotype" w:hAnsi="Palatino Linotype" w:cs="Palatino Linotype"/>
          <w:sz w:val="22"/>
          <w:szCs w:val="22"/>
        </w:rPr>
        <w:lastRenderedPageBreak/>
        <w:t xml:space="preserve">sino que debe entenderse como el documento con el cual se formaliza su ingreso al servicio público en su carácter de servidor público de elección popular, por lo que se infiere que la documental requerida es la constancia de mayoría. </w:t>
      </w:r>
    </w:p>
    <w:p w14:paraId="482EF749" w14:textId="77777777" w:rsidR="00A12EBB" w:rsidRPr="005E410F" w:rsidRDefault="00AD46E7">
      <w:pPr>
        <w:spacing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En primera instancia, es necesario analizar la emisión de la constancia de mayoría, para ello debemos observar lo previsto por la Constitución Política del Estado Libre y Soberano de México, la cual dispone lo siguiente: </w:t>
      </w:r>
    </w:p>
    <w:p w14:paraId="4CD18E6D"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“Artículo 113.- Cada municipio será gobernado por un ayuntamiento con la competencia que le otorga la Constitución Política de los Estados Unidos Mexicanos, la presente Constitución y las leyes que de ellas emanen.</w:t>
      </w:r>
    </w:p>
    <w:p w14:paraId="1E51BC73" w14:textId="77777777" w:rsidR="00A12EBB" w:rsidRPr="005E410F" w:rsidRDefault="00AD46E7">
      <w:pPr>
        <w:spacing w:line="276" w:lineRule="auto"/>
        <w:ind w:left="851" w:right="616"/>
        <w:jc w:val="both"/>
        <w:rPr>
          <w:rFonts w:ascii="Palatino Linotype" w:eastAsia="Palatino Linotype" w:hAnsi="Palatino Linotype" w:cs="Palatino Linotype"/>
          <w:b/>
          <w:i/>
          <w:sz w:val="22"/>
          <w:szCs w:val="22"/>
          <w:u w:val="single"/>
        </w:rPr>
      </w:pPr>
      <w:r w:rsidRPr="005E410F">
        <w:rPr>
          <w:rFonts w:ascii="Palatino Linotype" w:eastAsia="Palatino Linotype" w:hAnsi="Palatino Linotype" w:cs="Palatino Linotype"/>
          <w:b/>
          <w:i/>
          <w:sz w:val="22"/>
          <w:szCs w:val="22"/>
        </w:rPr>
        <w:t xml:space="preserve">Artículo 114.- Los ayuntamientos serán electos mediante sufragio universal, libre, secreto y directo. La ley de la materia determinará la fecha de la elección. Las elecciones de ayuntamientos serán computadas y declaradas válidas por el órgano electoral municipal, </w:t>
      </w:r>
      <w:r w:rsidRPr="005E410F">
        <w:rPr>
          <w:rFonts w:ascii="Palatino Linotype" w:eastAsia="Palatino Linotype" w:hAnsi="Palatino Linotype" w:cs="Palatino Linotype"/>
          <w:b/>
          <w:i/>
          <w:sz w:val="22"/>
          <w:szCs w:val="22"/>
          <w:u w:val="single"/>
        </w:rPr>
        <w:t>mismo que otorgará la constancia de mayoría de las y los integrantes de la planilla que hubiere obtenido el mayor número de votos en términos de la ley de la materia.</w:t>
      </w:r>
    </w:p>
    <w:p w14:paraId="40B73AE1"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El cargo de miembro del ayuntamiento no es renunciable, sino por justa causa que calificará el ayuntamiento ante el que se presentará la renuncia y quien conocerá también de las licencias de sus miembros.</w:t>
      </w:r>
    </w:p>
    <w:p w14:paraId="505A9EEE"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Artículo 115.- En ningún caso los ayuntamientos, como cuerpos colegiados, podrán desempeñar las funciones del presidente municipal, ni éste por sí solo las de los ayuntamientos, ni el ayuntamiento o el presidente municipal, funciones judiciales.</w:t>
      </w:r>
    </w:p>
    <w:p w14:paraId="3F8FFE75"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Artículo 116.- Los ayuntamientos serán asamblea deliberante y tendrán autoridad y competencia propias en los asuntos que se sometan a su decisión, pero la ejecución de ésta corresponderá exclusivamente a los presidentes o presidentas municipales, quienes durarán en sus funciones tres años.</w:t>
      </w:r>
    </w:p>
    <w:p w14:paraId="12219ADC"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La elección consecutiva para el mismo cargo de presidentas o presidentes municipales, regidoras o regidores y síndicas o síndicos, será por un periodo adicional. La postulación solo podrá ser realizada por el mismo partido o por cualquiera de los partidos integrantes de la coalición que los hubiere postulado, salvo </w:t>
      </w:r>
      <w:r w:rsidRPr="005E410F">
        <w:rPr>
          <w:rFonts w:ascii="Palatino Linotype" w:eastAsia="Palatino Linotype" w:hAnsi="Palatino Linotype" w:cs="Palatino Linotype"/>
          <w:i/>
          <w:sz w:val="22"/>
          <w:szCs w:val="22"/>
        </w:rPr>
        <w:lastRenderedPageBreak/>
        <w:t>que hayan renunciado o perdido su militancia antes de la mitad de su mandato y de conformidad con lo establecido en la ley respectiva.</w:t>
      </w:r>
    </w:p>
    <w:p w14:paraId="2E3EA0EC"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u w:val="single"/>
        </w:rPr>
      </w:pPr>
      <w:r w:rsidRPr="005E410F">
        <w:rPr>
          <w:rFonts w:ascii="Palatino Linotype" w:eastAsia="Palatino Linotype" w:hAnsi="Palatino Linotype" w:cs="Palatino Linotype"/>
          <w:b/>
          <w:i/>
          <w:sz w:val="22"/>
          <w:szCs w:val="22"/>
          <w:u w:val="single"/>
        </w:rPr>
        <w:t xml:space="preserve">Artículo 117.- Los ayuntamientos se integrarán con </w:t>
      </w:r>
      <w:r w:rsidRPr="005E410F">
        <w:rPr>
          <w:rFonts w:ascii="Palatino Linotype" w:eastAsia="Palatino Linotype" w:hAnsi="Palatino Linotype" w:cs="Palatino Linotype"/>
          <w:i/>
          <w:sz w:val="22"/>
          <w:szCs w:val="22"/>
          <w:u w:val="single"/>
        </w:rPr>
        <w:t xml:space="preserve">una jefa o jefe de asamblea que se denominará </w:t>
      </w:r>
      <w:proofErr w:type="gramStart"/>
      <w:r w:rsidRPr="005E410F">
        <w:rPr>
          <w:rFonts w:ascii="Palatino Linotype" w:eastAsia="Palatino Linotype" w:hAnsi="Palatino Linotype" w:cs="Palatino Linotype"/>
          <w:i/>
          <w:sz w:val="22"/>
          <w:szCs w:val="22"/>
          <w:u w:val="single"/>
        </w:rPr>
        <w:t>Presidenta</w:t>
      </w:r>
      <w:proofErr w:type="gramEnd"/>
      <w:r w:rsidRPr="005E410F">
        <w:rPr>
          <w:rFonts w:ascii="Palatino Linotype" w:eastAsia="Palatino Linotype" w:hAnsi="Palatino Linotype" w:cs="Palatino Linotype"/>
          <w:i/>
          <w:sz w:val="22"/>
          <w:szCs w:val="22"/>
          <w:u w:val="single"/>
        </w:rPr>
        <w:t xml:space="preserve"> o Presidente Municipal, respectivamente,</w:t>
      </w:r>
      <w:r w:rsidRPr="005E410F">
        <w:rPr>
          <w:rFonts w:ascii="Palatino Linotype" w:eastAsia="Palatino Linotype" w:hAnsi="Palatino Linotype" w:cs="Palatino Linotype"/>
          <w:b/>
          <w:i/>
          <w:sz w:val="22"/>
          <w:szCs w:val="22"/>
          <w:u w:val="single"/>
        </w:rPr>
        <w:t xml:space="preserve"> y con varios miembros más llamados Síndicas o Síndicos y Regidoras o Regidores, </w:t>
      </w:r>
      <w:r w:rsidRPr="005E410F">
        <w:rPr>
          <w:rFonts w:ascii="Palatino Linotype" w:eastAsia="Palatino Linotype" w:hAnsi="Palatino Linotype" w:cs="Palatino Linotype"/>
          <w:i/>
          <w:sz w:val="22"/>
          <w:szCs w:val="22"/>
          <w:u w:val="single"/>
        </w:rPr>
        <w:t>cuyo número se determinará en razón directa de la población del municipio que representen, como lo disponga la Ley Orgánica respectiva.</w:t>
      </w:r>
    </w:p>
    <w:p w14:paraId="33B03DA6"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Los ayuntamientos de los municipios podrán tener síndicas o síndicos y regidoras o regidores electos según el principio de representación proporcional de acuerdo a los requisitos y reglas de asignación que establezca la ley de la materia</w:t>
      </w:r>
      <w:r w:rsidRPr="005E410F">
        <w:rPr>
          <w:rFonts w:ascii="Palatino Linotype" w:eastAsia="Palatino Linotype" w:hAnsi="Palatino Linotype" w:cs="Palatino Linotype"/>
          <w:i/>
          <w:sz w:val="22"/>
          <w:szCs w:val="22"/>
        </w:rPr>
        <w:t>, respetando el principio de paridad de género.”</w:t>
      </w:r>
    </w:p>
    <w:p w14:paraId="0B39E0D3"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(Énfasis añadido)</w:t>
      </w:r>
    </w:p>
    <w:p w14:paraId="4672B81F" w14:textId="77777777" w:rsidR="00A12EBB" w:rsidRPr="005E410F" w:rsidRDefault="00A12EBB">
      <w:pPr>
        <w:spacing w:line="276" w:lineRule="auto"/>
        <w:ind w:left="851" w:right="616"/>
        <w:jc w:val="both"/>
        <w:rPr>
          <w:rFonts w:ascii="Palatino Linotype" w:eastAsia="Palatino Linotype" w:hAnsi="Palatino Linotype" w:cs="Palatino Linotype"/>
          <w:i/>
          <w:sz w:val="22"/>
          <w:szCs w:val="22"/>
        </w:rPr>
      </w:pPr>
    </w:p>
    <w:p w14:paraId="3A0E6351" w14:textId="77777777" w:rsidR="00A12EBB" w:rsidRPr="005E410F" w:rsidRDefault="00AD46E7">
      <w:pPr>
        <w:spacing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En armonía con lo señalado anteriormente, el Código Electoral del Estado de México, prevé la existencia de los consejos municipales electorales, los cuales entran en funciones únicamente durante el proceso para la elección de ayuntamientos y cuentan con las siguientes atribuciones: </w:t>
      </w:r>
    </w:p>
    <w:p w14:paraId="5504DD09" w14:textId="77777777" w:rsidR="00A12EBB" w:rsidRPr="005E410F" w:rsidRDefault="00AD46E7">
      <w:pPr>
        <w:tabs>
          <w:tab w:val="left" w:pos="737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“Artículo 220. Los consejos municipales electorales tienen las siguientes atribuciones:</w:t>
      </w:r>
    </w:p>
    <w:p w14:paraId="36A08E78" w14:textId="77777777" w:rsidR="00A12EBB" w:rsidRPr="005E410F" w:rsidRDefault="00AD46E7">
      <w:pPr>
        <w:tabs>
          <w:tab w:val="left" w:pos="737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48865029" w14:textId="77777777" w:rsidR="00A12EBB" w:rsidRPr="005E410F" w:rsidRDefault="00AD46E7">
      <w:pPr>
        <w:tabs>
          <w:tab w:val="left" w:pos="737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u w:val="single"/>
        </w:rPr>
        <w:t>V. Expedir la declaratoria de validez y la constancia de mayoría a la planilla que obtenga el mayor número de votos, y las constancias de asignación de regidores y síndico, por el principio de representación proporcional</w:t>
      </w:r>
      <w:r w:rsidRPr="005E410F">
        <w:rPr>
          <w:rFonts w:ascii="Palatino Linotype" w:eastAsia="Palatino Linotype" w:hAnsi="Palatino Linotype" w:cs="Palatino Linotype"/>
          <w:i/>
          <w:sz w:val="22"/>
          <w:szCs w:val="22"/>
        </w:rPr>
        <w:t xml:space="preserve">.” </w:t>
      </w:r>
    </w:p>
    <w:p w14:paraId="63BE0212" w14:textId="77777777" w:rsidR="00A12EBB" w:rsidRPr="005E410F" w:rsidRDefault="00AD46E7">
      <w:pPr>
        <w:tabs>
          <w:tab w:val="left" w:pos="7371"/>
        </w:tabs>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(Énfasis añadido)</w:t>
      </w:r>
    </w:p>
    <w:p w14:paraId="0B6249D4" w14:textId="77777777" w:rsidR="00A12EBB" w:rsidRPr="005E410F" w:rsidRDefault="00A12EBB">
      <w:pPr>
        <w:tabs>
          <w:tab w:val="left" w:pos="7371"/>
        </w:tabs>
        <w:spacing w:line="276" w:lineRule="auto"/>
        <w:ind w:left="851" w:right="616"/>
        <w:jc w:val="both"/>
        <w:rPr>
          <w:rFonts w:ascii="Palatino Linotype" w:eastAsia="Palatino Linotype" w:hAnsi="Palatino Linotype" w:cs="Palatino Linotype"/>
          <w:i/>
          <w:sz w:val="22"/>
          <w:szCs w:val="22"/>
        </w:rPr>
      </w:pPr>
    </w:p>
    <w:p w14:paraId="54B702F6" w14:textId="77777777" w:rsidR="00A12EBB" w:rsidRPr="005E410F" w:rsidRDefault="00AD46E7">
      <w:pPr>
        <w:spacing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Con lo anteriormente citado, se advierte claramente que para el caso de integrantes de los ayuntamientos no existe propiamente la figura de los nombramientos sino de las constancias de mayoría que acreditan a determinada planilla que obtuvo el mayor número de votos, por lo tanto, serán las autoridades que ejercerán el poder político durante un periodo determinado.</w:t>
      </w:r>
    </w:p>
    <w:p w14:paraId="0BF97302" w14:textId="77777777" w:rsidR="00A12EBB" w:rsidRPr="005E410F" w:rsidRDefault="00AD46E7">
      <w:pPr>
        <w:spacing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 xml:space="preserve">Por otra parte, resulta importante señalar que los Lineamientos que Norman la Entrega-Recepción de los Ayuntamientos, sus Dependencias y Organismos Descentralizados Municipales del Estado de México señalan en sus artículos 2, fracción XIV y 22 que la constancia de mayoría es el documento con el que acreditan el cargo para efecto de la entrega-recepción: </w:t>
      </w:r>
    </w:p>
    <w:p w14:paraId="7BBDCCD2"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“Artículo 2. Para los efectos de estos lineamientos se entenderá por:</w:t>
      </w:r>
    </w:p>
    <w:p w14:paraId="3B677DDD"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0C545E95"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u w:val="single"/>
        </w:rPr>
        <w:t>XIV. Documento que acredite el cargo: A la constancia de mayoría emitida por el órgano electoral competente</w:t>
      </w:r>
      <w:r w:rsidRPr="005E410F">
        <w:rPr>
          <w:rFonts w:ascii="Palatino Linotype" w:eastAsia="Palatino Linotype" w:hAnsi="Palatino Linotype" w:cs="Palatino Linotype"/>
          <w:i/>
          <w:sz w:val="22"/>
          <w:szCs w:val="22"/>
        </w:rPr>
        <w:t>, nombramiento, acta del Órgano de Gobierno, contrato o cualquier otro documento que acredite al servidor público para ocupar el empleo, cargo o comisión;</w:t>
      </w:r>
    </w:p>
    <w:p w14:paraId="1BBD1EB2" w14:textId="77777777" w:rsidR="00A12EBB" w:rsidRPr="005E410F" w:rsidRDefault="00AD46E7">
      <w:pPr>
        <w:spacing w:line="276" w:lineRule="auto"/>
        <w:ind w:left="851" w:right="616"/>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t>…</w:t>
      </w:r>
    </w:p>
    <w:p w14:paraId="414F5EB7"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Artículo 22. Cuando un servidor público saliente tenga que realizar la entrega-recepción y por cualquier causa no se haya nombrado al servidor público entrante o, bien, éste no asista, ello no será obstáculo para llevar a cabo dicho acto; </w:t>
      </w:r>
      <w:r w:rsidRPr="005E410F">
        <w:rPr>
          <w:rFonts w:ascii="Palatino Linotype" w:eastAsia="Palatino Linotype" w:hAnsi="Palatino Linotype" w:cs="Palatino Linotype"/>
          <w:b/>
          <w:i/>
          <w:sz w:val="22"/>
          <w:szCs w:val="22"/>
          <w:u w:val="single"/>
        </w:rPr>
        <w:t>el servidor público saliente entregará al superior jerárquico de acuerdo con lo establecido en su estructura orgánica administrativa, con la participación de la persona titular del Órgano Interno de Control o el Síndico o Representante, según corresponda, debiendo adjuntar el documento que acredite el cargo como superior jerárquico que recibe la unidad administrativa</w:t>
      </w:r>
      <w:r w:rsidRPr="005E410F">
        <w:rPr>
          <w:rFonts w:ascii="Palatino Linotype" w:eastAsia="Palatino Linotype" w:hAnsi="Palatino Linotype" w:cs="Palatino Linotype"/>
          <w:i/>
          <w:sz w:val="22"/>
          <w:szCs w:val="22"/>
        </w:rPr>
        <w:t xml:space="preserve"> y se asentará en el apartado de observaciones del acta de entrega-recepción.” </w:t>
      </w:r>
    </w:p>
    <w:p w14:paraId="1CF17A55"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(Énfasis añadido)</w:t>
      </w:r>
    </w:p>
    <w:p w14:paraId="76EEDF46" w14:textId="77777777" w:rsidR="00A12EBB" w:rsidRPr="005E410F" w:rsidRDefault="00A12EBB">
      <w:pPr>
        <w:spacing w:line="276" w:lineRule="auto"/>
        <w:ind w:left="567" w:right="900"/>
        <w:jc w:val="both"/>
        <w:rPr>
          <w:rFonts w:ascii="Palatino Linotype" w:eastAsia="Palatino Linotype" w:hAnsi="Palatino Linotype" w:cs="Palatino Linotype"/>
          <w:i/>
          <w:sz w:val="22"/>
          <w:szCs w:val="22"/>
        </w:rPr>
      </w:pPr>
    </w:p>
    <w:p w14:paraId="44F87CD0" w14:textId="77777777" w:rsidR="00A12EBB" w:rsidRPr="005E410F" w:rsidRDefault="00AD46E7">
      <w:pPr>
        <w:spacing w:before="240"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Acotado lo anterior, debemos recordar que si bien es cierto que la Tesorería Municipal al ser la unidad administrativa competente emitió un pronunciamiento respecto a la solicitud de información que nos ocupa, lo cierto es que, únicamente se </w:t>
      </w:r>
      <w:proofErr w:type="spellStart"/>
      <w:r w:rsidRPr="005E410F">
        <w:rPr>
          <w:rFonts w:ascii="Palatino Linotype" w:eastAsia="Palatino Linotype" w:hAnsi="Palatino Linotype" w:cs="Palatino Linotype"/>
          <w:sz w:val="22"/>
          <w:szCs w:val="22"/>
        </w:rPr>
        <w:t>pronuncio</w:t>
      </w:r>
      <w:proofErr w:type="spellEnd"/>
      <w:r w:rsidRPr="005E410F">
        <w:rPr>
          <w:rFonts w:ascii="Palatino Linotype" w:eastAsia="Palatino Linotype" w:hAnsi="Palatino Linotype" w:cs="Palatino Linotype"/>
          <w:sz w:val="22"/>
          <w:szCs w:val="22"/>
        </w:rPr>
        <w:t xml:space="preserve"> respecto al currículum vitae y no así respecto al nombramiento, de modo que el Sujeto Obligado no fue congruente ni exhaustivo en su respuesta de conformidad con el Criterio 02/17 emitido </w:t>
      </w:r>
      <w:r w:rsidRPr="005E410F">
        <w:rPr>
          <w:rFonts w:ascii="Palatino Linotype" w:eastAsia="Palatino Linotype" w:hAnsi="Palatino Linotype" w:cs="Palatino Linotype"/>
          <w:sz w:val="22"/>
          <w:szCs w:val="22"/>
        </w:rPr>
        <w:lastRenderedPageBreak/>
        <w:t>por el Instituto Nacional de Transparencia, Acceso a la Información y Protección de Datos Personales el cual establece lo siguiente:</w:t>
      </w:r>
    </w:p>
    <w:p w14:paraId="0BD8FF1F" w14:textId="77777777" w:rsidR="00A12EBB" w:rsidRPr="005E410F" w:rsidRDefault="00AD46E7">
      <w:pPr>
        <w:pBdr>
          <w:top w:val="nil"/>
          <w:left w:val="nil"/>
          <w:bottom w:val="nil"/>
          <w:right w:val="nil"/>
          <w:between w:val="nil"/>
        </w:pBdr>
        <w:ind w:left="851" w:right="701"/>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Congruencia y exhaustividad. Sus alcances para garantizar el derecho de acceso a la información.</w:t>
      </w:r>
      <w:r w:rsidRPr="005E410F">
        <w:rPr>
          <w:rFonts w:ascii="Palatino Linotype" w:eastAsia="Palatino Linotype" w:hAnsi="Palatino Linotype" w:cs="Palatino Linotype"/>
          <w:i/>
          <w:sz w:val="22"/>
          <w:szCs w:val="22"/>
        </w:rPr>
        <w:t xml:space="preserve"> De conformidad con el artículo 3 de la Ley Federal de Procedimiento Administrativo, de aplicación supletoria a la Ley Federal de Transparencia y Acceso a la Información Pública, en términos de su artículo 7; todo acto administrativo debe cumplir con los principios de congruencia y exhaustividad. Para el efectivo ejercicio del derecho de acceso a la información, la congruencia implica que exista concordancia entre el requerimiento formulado por el particular y la respuesta proporcionada por el sujeto obligado; mientras que la exhaustividad significa que dicha respuesta se refiera expresamente a cada uno de los puntos solicitados. Por lo anterior, los sujetos obligados cumplirán con los principios de congruencia y exhaustividad, cuando las respuestas que emitan guarden una relación lógica con lo solicitado y atiendan de manera puntual y expresa, cada uno de los contenidos de información.</w:t>
      </w:r>
    </w:p>
    <w:p w14:paraId="1EC00DA6" w14:textId="77777777" w:rsidR="00A12EBB" w:rsidRPr="005E410F" w:rsidRDefault="00A12EBB">
      <w:pPr>
        <w:pBdr>
          <w:top w:val="nil"/>
          <w:left w:val="nil"/>
          <w:bottom w:val="nil"/>
          <w:right w:val="nil"/>
          <w:between w:val="nil"/>
        </w:pBdr>
        <w:spacing w:line="360" w:lineRule="auto"/>
        <w:ind w:right="-7"/>
        <w:jc w:val="both"/>
        <w:rPr>
          <w:rFonts w:ascii="Palatino Linotype" w:eastAsia="Palatino Linotype" w:hAnsi="Palatino Linotype" w:cs="Palatino Linotype"/>
          <w:sz w:val="22"/>
          <w:szCs w:val="22"/>
        </w:rPr>
      </w:pPr>
    </w:p>
    <w:p w14:paraId="48D8546C" w14:textId="77777777" w:rsidR="00A12EBB" w:rsidRPr="005E410F" w:rsidRDefault="00AD46E7">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Es así, que los sujetos obligados para garantizar el derecho de acceso a la Información, deberán cumplir con los principios de exhaustividad y congruencia, esto es, que la congruencia </w:t>
      </w:r>
      <w:r w:rsidRPr="005E410F">
        <w:rPr>
          <w:rFonts w:ascii="Palatino Linotype" w:eastAsia="Palatino Linotype" w:hAnsi="Palatino Linotype" w:cs="Palatino Linotype"/>
          <w:b/>
          <w:sz w:val="22"/>
          <w:szCs w:val="22"/>
        </w:rPr>
        <w:t>implica que exista concordancia entre el requerimiento formulado por el particular y la respuesta proporcionada por el sujeto obligado</w:t>
      </w:r>
      <w:r w:rsidRPr="005E410F">
        <w:rPr>
          <w:rFonts w:ascii="Palatino Linotype" w:eastAsia="Palatino Linotype" w:hAnsi="Palatino Linotype" w:cs="Palatino Linotype"/>
          <w:sz w:val="22"/>
          <w:szCs w:val="22"/>
        </w:rPr>
        <w:t xml:space="preserve">, mientras que la exhaustividad establece que el sujeto obligado </w:t>
      </w:r>
      <w:r w:rsidRPr="005E410F">
        <w:rPr>
          <w:rFonts w:ascii="Palatino Linotype" w:eastAsia="Palatino Linotype" w:hAnsi="Palatino Linotype" w:cs="Palatino Linotype"/>
          <w:b/>
          <w:sz w:val="22"/>
          <w:szCs w:val="22"/>
        </w:rPr>
        <w:t>deberá atender de manera expresa cada uno de los puntos solicitados</w:t>
      </w:r>
      <w:r w:rsidRPr="005E410F">
        <w:rPr>
          <w:rFonts w:ascii="Palatino Linotype" w:eastAsia="Palatino Linotype" w:hAnsi="Palatino Linotype" w:cs="Palatino Linotype"/>
          <w:sz w:val="22"/>
          <w:szCs w:val="22"/>
        </w:rPr>
        <w:t xml:space="preserve">, situación que en el presente caso </w:t>
      </w:r>
      <w:r w:rsidRPr="005E410F">
        <w:rPr>
          <w:rFonts w:ascii="Palatino Linotype" w:eastAsia="Palatino Linotype" w:hAnsi="Palatino Linotype" w:cs="Palatino Linotype"/>
          <w:b/>
          <w:sz w:val="22"/>
          <w:szCs w:val="22"/>
          <w:u w:val="single"/>
        </w:rPr>
        <w:t>no aconteció</w:t>
      </w:r>
      <w:r w:rsidRPr="005E410F">
        <w:rPr>
          <w:rFonts w:ascii="Palatino Linotype" w:eastAsia="Palatino Linotype" w:hAnsi="Palatino Linotype" w:cs="Palatino Linotype"/>
          <w:sz w:val="22"/>
          <w:szCs w:val="22"/>
        </w:rPr>
        <w:t xml:space="preserve">, pues el Sujeto Obligado no fue congruente ni exhaustivo en proporcionar la información que requirió específicamente la parte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w:t>
      </w:r>
    </w:p>
    <w:p w14:paraId="2E2B9923" w14:textId="77777777" w:rsidR="00A12EBB" w:rsidRPr="005E410F" w:rsidRDefault="00AD46E7">
      <w:pPr>
        <w:spacing w:before="240"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Ahora bien, no pasa desapercibido para este Instituto establecer que para dar cabal cumplimiento al artículo 162 de la Ley de Transparencia y Acceso a la Información Pública, deberá turnarse la solicitud a la Contraloría Municipal, lo anterior en razón de </w:t>
      </w:r>
      <w:proofErr w:type="gramStart"/>
      <w:r w:rsidRPr="005E410F">
        <w:rPr>
          <w:rFonts w:ascii="Palatino Linotype" w:eastAsia="Palatino Linotype" w:hAnsi="Palatino Linotype" w:cs="Palatino Linotype"/>
          <w:sz w:val="22"/>
          <w:szCs w:val="22"/>
        </w:rPr>
        <w:t>que</w:t>
      </w:r>
      <w:proofErr w:type="gramEnd"/>
      <w:r w:rsidRPr="005E410F">
        <w:rPr>
          <w:rFonts w:ascii="Palatino Linotype" w:eastAsia="Palatino Linotype" w:hAnsi="Palatino Linotype" w:cs="Palatino Linotype"/>
          <w:sz w:val="22"/>
          <w:szCs w:val="22"/>
        </w:rPr>
        <w:t xml:space="preserve"> conforme al Manual de Organización de la Contraloría Interna Municipal del Ayuntamiento de Cocotitlán, se le atribuyen las siguientes funciones: </w:t>
      </w:r>
    </w:p>
    <w:p w14:paraId="599EAEC0" w14:textId="77777777" w:rsidR="00A12EBB" w:rsidRPr="005E410F" w:rsidRDefault="00AD46E7">
      <w:pPr>
        <w:spacing w:line="276" w:lineRule="auto"/>
        <w:ind w:left="851" w:right="616"/>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i/>
          <w:sz w:val="22"/>
          <w:szCs w:val="22"/>
        </w:rPr>
        <w:lastRenderedPageBreak/>
        <w:t>“</w:t>
      </w:r>
      <w:r w:rsidRPr="005E410F">
        <w:rPr>
          <w:rFonts w:ascii="Palatino Linotype" w:eastAsia="Palatino Linotype" w:hAnsi="Palatino Linotype" w:cs="Palatino Linotype"/>
          <w:b/>
          <w:i/>
          <w:sz w:val="22"/>
          <w:szCs w:val="22"/>
        </w:rPr>
        <w:t>CONTRALORÍA INTERNA MUNICIPAL</w:t>
      </w:r>
    </w:p>
    <w:p w14:paraId="37A2F030"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Funciones: </w:t>
      </w:r>
    </w:p>
    <w:p w14:paraId="00E5459F" w14:textId="77777777" w:rsidR="00A12EBB" w:rsidRPr="005E410F" w:rsidRDefault="00AD46E7">
      <w:pPr>
        <w:spacing w:line="276" w:lineRule="auto"/>
        <w:ind w:left="851" w:right="616"/>
        <w:jc w:val="both"/>
        <w:rPr>
          <w:rFonts w:ascii="Palatino Linotype" w:eastAsia="Palatino Linotype" w:hAnsi="Palatino Linotype" w:cs="Palatino Linotype"/>
          <w:b/>
          <w:i/>
          <w:sz w:val="22"/>
          <w:szCs w:val="22"/>
          <w:u w:val="single"/>
        </w:rPr>
      </w:pPr>
      <w:r w:rsidRPr="005E410F">
        <w:rPr>
          <w:rFonts w:ascii="Palatino Linotype" w:eastAsia="Palatino Linotype" w:hAnsi="Palatino Linotype" w:cs="Palatino Linotype"/>
          <w:sz w:val="22"/>
          <w:szCs w:val="22"/>
        </w:rPr>
        <w:t xml:space="preserve"> </w:t>
      </w:r>
      <w:r w:rsidRPr="005E410F">
        <w:rPr>
          <w:rFonts w:ascii="Palatino Linotype" w:eastAsia="Palatino Linotype" w:hAnsi="Palatino Linotype" w:cs="Palatino Linotype"/>
          <w:b/>
          <w:i/>
          <w:sz w:val="22"/>
          <w:szCs w:val="22"/>
          <w:u w:val="single"/>
        </w:rPr>
        <w:t xml:space="preserve">XII. Participar en la entrega-recepción de las unidades administrativas de las dependencias, </w:t>
      </w:r>
      <w:r w:rsidRPr="005E410F">
        <w:rPr>
          <w:rFonts w:ascii="Palatino Linotype" w:eastAsia="Palatino Linotype" w:hAnsi="Palatino Linotype" w:cs="Palatino Linotype"/>
          <w:i/>
          <w:sz w:val="22"/>
          <w:szCs w:val="22"/>
        </w:rPr>
        <w:t>organismos auxiliares y fideicomisos del municipio, …</w:t>
      </w:r>
    </w:p>
    <w:p w14:paraId="76AC929D"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(Énfasis añadido)</w:t>
      </w:r>
    </w:p>
    <w:p w14:paraId="55819788" w14:textId="77777777" w:rsidR="00A12EBB" w:rsidRPr="005E410F" w:rsidRDefault="00AD46E7">
      <w:pPr>
        <w:spacing w:before="240"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Por lo que la Contraloría Interna Municipal también cuenta con atribuciones para poseer y/o administrar dicha información, puesto que se encuentra facultada para participar en la entrega – recepción de las unidades administrativas de las dependencias, además que los Lineamientos que Norman la Entrega-Recepción de los Ayuntamientos, sus Dependencias y Organismos Descentralizados Municipales del Estado de México mandatan a esta unidad administrativa para participar en el acto de la entrega-recepción debiendo adjuntar el documento que acredite el cargo como superior jerárquico que recibe la unidad administrativa.</w:t>
      </w:r>
    </w:p>
    <w:p w14:paraId="679F2395" w14:textId="77777777" w:rsidR="00A12EBB" w:rsidRPr="005E410F" w:rsidRDefault="00AD46E7">
      <w:pPr>
        <w:spacing w:before="240" w:after="240" w:line="360" w:lineRule="auto"/>
        <w:ind w:right="49"/>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sz w:val="22"/>
          <w:szCs w:val="22"/>
        </w:rPr>
        <w:t xml:space="preserve">Es por todo lo anterior que esta autoridad estima que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efectivamente cuenta con la información para atender el requerimiento de información de la persona solicitante, por lo que para efecto de brindar la mayor protección del derecho de acceso a la información pública de la persona solicitante, deberá efectuarse una búsqueda exhaustiva y razonable de la información para efecto de localizar la constancia de mayoría de la Sindica Municipal del Ayuntamiento de Cocotitlán, en funciones al trece de enero de dos mil veinticinco. </w:t>
      </w:r>
    </w:p>
    <w:p w14:paraId="5F24E989" w14:textId="77777777" w:rsidR="00A12EBB" w:rsidRPr="005E410F" w:rsidRDefault="00AD46E7">
      <w:pPr>
        <w:spacing w:before="240" w:after="240"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Así las cosas, se consideran que las razones o motivos de inconformidad hechos valer por la parte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se estiman fundados; por lo que, lo procedente es </w:t>
      </w:r>
      <w:r w:rsidRPr="005E410F">
        <w:rPr>
          <w:rFonts w:ascii="Palatino Linotype" w:eastAsia="Palatino Linotype" w:hAnsi="Palatino Linotype" w:cs="Palatino Linotype"/>
          <w:b/>
          <w:sz w:val="22"/>
          <w:szCs w:val="22"/>
        </w:rPr>
        <w:t xml:space="preserve">Modificar </w:t>
      </w:r>
      <w:r w:rsidRPr="005E410F">
        <w:rPr>
          <w:rFonts w:ascii="Palatino Linotype" w:eastAsia="Palatino Linotype" w:hAnsi="Palatino Linotype" w:cs="Palatino Linotype"/>
          <w:sz w:val="22"/>
          <w:szCs w:val="22"/>
        </w:rPr>
        <w:t xml:space="preserve">la respuesta del </w:t>
      </w:r>
      <w:r w:rsidRPr="005E410F">
        <w:rPr>
          <w:rFonts w:ascii="Palatino Linotype" w:eastAsia="Palatino Linotype" w:hAnsi="Palatino Linotype" w:cs="Palatino Linotype"/>
          <w:b/>
          <w:sz w:val="22"/>
          <w:szCs w:val="22"/>
        </w:rPr>
        <w:t xml:space="preserve">Sujeto Obligado y ordenar la entrega </w:t>
      </w:r>
      <w:r w:rsidRPr="005E410F">
        <w:rPr>
          <w:rFonts w:ascii="Palatino Linotype" w:eastAsia="Palatino Linotype" w:hAnsi="Palatino Linotype" w:cs="Palatino Linotype"/>
          <w:sz w:val="22"/>
          <w:szCs w:val="22"/>
        </w:rPr>
        <w:t>de la constancia de mayoría de la Sindica Municipal del Ayuntamiento de Cocotitlán, referida en la solicitud, en versión pública de ser procedente, ello conforme a lo previsto por el considerando siguiente.</w:t>
      </w:r>
    </w:p>
    <w:p w14:paraId="262027E1" w14:textId="77777777" w:rsidR="00A12EBB" w:rsidRPr="005E410F" w:rsidRDefault="00AD46E7">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lastRenderedPageBreak/>
        <w:t xml:space="preserve">Quinto. Versión Pública. </w:t>
      </w:r>
      <w:r w:rsidRPr="005E410F">
        <w:rPr>
          <w:rFonts w:ascii="Palatino Linotype" w:eastAsia="Palatino Linotype" w:hAnsi="Palatino Linotype" w:cs="Palatino Linotype"/>
          <w:sz w:val="22"/>
          <w:szCs w:val="22"/>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señala,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tendrá que hacer la elaboración de una versión pública de los documentos que vaya entregar para dar cumplimiento a esta resolución, a fin de satisfacer el derecho de acceso a la información pública de la recurrente sin menoscabar el derecho a la protección de los datos personales de terceros, lo anterior, de conformidad a lo que señalan los artículos 3, fracciones IX, XX, XXXII, XLV; 6, 137 y 143 fracción I, de la Ley de Transparencia y Acceso a la Información Pública del Estado de México y Municipios vigente, los cuales establecen lo siguiente:</w:t>
      </w:r>
    </w:p>
    <w:p w14:paraId="3AA6A6EC"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3.</w:t>
      </w:r>
      <w:r w:rsidRPr="005E410F">
        <w:rPr>
          <w:rFonts w:ascii="Palatino Linotype" w:eastAsia="Palatino Linotype" w:hAnsi="Palatino Linotype" w:cs="Palatino Linotype"/>
          <w:i/>
          <w:sz w:val="22"/>
          <w:szCs w:val="22"/>
        </w:rPr>
        <w:t xml:space="preserve"> Para los efectos de la presente Ley se entenderá </w:t>
      </w:r>
      <w:proofErr w:type="gramStart"/>
      <w:r w:rsidRPr="005E410F">
        <w:rPr>
          <w:rFonts w:ascii="Palatino Linotype" w:eastAsia="Palatino Linotype" w:hAnsi="Palatino Linotype" w:cs="Palatino Linotype"/>
          <w:i/>
          <w:sz w:val="22"/>
          <w:szCs w:val="22"/>
        </w:rPr>
        <w:t>por:…</w:t>
      </w:r>
      <w:proofErr w:type="gramEnd"/>
    </w:p>
    <w:p w14:paraId="265E90D1"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XX.</w:t>
      </w:r>
      <w:r w:rsidRPr="005E410F">
        <w:rPr>
          <w:rFonts w:ascii="Palatino Linotype" w:eastAsia="Palatino Linotype" w:hAnsi="Palatino Linotype" w:cs="Palatino Linotype"/>
          <w:i/>
          <w:sz w:val="22"/>
          <w:szCs w:val="22"/>
        </w:rPr>
        <w:t xml:space="preserve"> Información clasificada: Aquella considerada por la presente Ley como reservada o confidencial; </w:t>
      </w:r>
    </w:p>
    <w:p w14:paraId="14E656AE"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XXI.</w:t>
      </w:r>
      <w:r w:rsidRPr="005E410F">
        <w:rPr>
          <w:rFonts w:ascii="Palatino Linotype" w:eastAsia="Palatino Linotype" w:hAnsi="Palatino Linotype" w:cs="Palatino Linotype"/>
          <w:i/>
          <w:sz w:val="22"/>
          <w:szCs w:val="22"/>
        </w:rPr>
        <w:t xml:space="preserve"> Información confidencial: Se considera como información confidencial los secretos bancario, fiduciario, industrial, comercial, fiscal, bursátil y postal, cuya titularidad corresponda a particulares, sujetos de derecho internacional o a sujetos obligados cuando no involucren el ejercicio de recursos públicos;</w:t>
      </w:r>
    </w:p>
    <w:p w14:paraId="6397FFE4"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5940ADE3"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XXXIV</w:t>
      </w:r>
      <w:r w:rsidRPr="005E410F">
        <w:rPr>
          <w:rFonts w:ascii="Palatino Linotype" w:eastAsia="Palatino Linotype" w:hAnsi="Palatino Linotype" w:cs="Palatino Linotype"/>
          <w:i/>
          <w:sz w:val="22"/>
          <w:szCs w:val="22"/>
        </w:rPr>
        <w:t>. Prueba de interés público: Es el proceso de ponderación entre el beneficio que reporta dar a conocer la información confidencial solicitada contra el daño que su divulgación genera en los derechos de las personas, llevado a cabo por el Instituto en el ámbito de sus respectivas competencias</w:t>
      </w:r>
    </w:p>
    <w:p w14:paraId="215BB210"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55CAC60F"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XLV.</w:t>
      </w:r>
      <w:r w:rsidRPr="005E410F">
        <w:rPr>
          <w:rFonts w:ascii="Palatino Linotype" w:eastAsia="Palatino Linotype" w:hAnsi="Palatino Linotype" w:cs="Palatino Linotype"/>
          <w:i/>
          <w:sz w:val="22"/>
          <w:szCs w:val="22"/>
        </w:rPr>
        <w:t xml:space="preserve"> Versión pública: Documento en el que se elimine, suprime o borra la información clasificada como reservada o confidencial para permitir su acceso</w:t>
      </w:r>
    </w:p>
    <w:p w14:paraId="5F1D1AC5"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91.</w:t>
      </w:r>
      <w:r w:rsidRPr="005E410F">
        <w:rPr>
          <w:rFonts w:ascii="Palatino Linotype" w:eastAsia="Palatino Linotype" w:hAnsi="Palatino Linotype" w:cs="Palatino Linotype"/>
          <w:i/>
          <w:sz w:val="22"/>
          <w:szCs w:val="22"/>
        </w:rPr>
        <w:t xml:space="preserve"> El acceso a la información pública será restringido excepcionalmente, cuando ésta sea clasificada como reservada o confidencial.</w:t>
      </w:r>
    </w:p>
    <w:p w14:paraId="7A98D1ED"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122.</w:t>
      </w:r>
      <w:r w:rsidRPr="005E410F">
        <w:rPr>
          <w:rFonts w:ascii="Palatino Linotype" w:eastAsia="Palatino Linotype" w:hAnsi="Palatino Linotype" w:cs="Palatino Linotype"/>
          <w:i/>
          <w:sz w:val="22"/>
          <w:szCs w:val="22"/>
        </w:rPr>
        <w:t xml:space="preserve"> La clasificación es el proceso mediante el cual el sujeto obligado determina que la información en su poder </w:t>
      </w:r>
      <w:proofErr w:type="spellStart"/>
      <w:r w:rsidRPr="005E410F">
        <w:rPr>
          <w:rFonts w:ascii="Palatino Linotype" w:eastAsia="Palatino Linotype" w:hAnsi="Palatino Linotype" w:cs="Palatino Linotype"/>
          <w:i/>
          <w:sz w:val="22"/>
          <w:szCs w:val="22"/>
        </w:rPr>
        <w:t>actualiza</w:t>
      </w:r>
      <w:proofErr w:type="spellEnd"/>
      <w:r w:rsidRPr="005E410F">
        <w:rPr>
          <w:rFonts w:ascii="Palatino Linotype" w:eastAsia="Palatino Linotype" w:hAnsi="Palatino Linotype" w:cs="Palatino Linotype"/>
          <w:i/>
          <w:sz w:val="22"/>
          <w:szCs w:val="22"/>
        </w:rPr>
        <w:t xml:space="preserve"> alguno de los supuestos de reserva o confidencialidad, de conformidad con lo dispuesto en el presente título.</w:t>
      </w:r>
    </w:p>
    <w:p w14:paraId="53BA738C"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lastRenderedPageBreak/>
        <w:t>Los supuestos de reserva o confidencialidad previstos en las leyes deberán ser acordes con las bases, principios y disposiciones establecidos en la Ley General y, en ningún caso, podrán contravenirla.</w:t>
      </w:r>
    </w:p>
    <w:p w14:paraId="32EFA4D7"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Los titulares de las áreas de los sujetos obligados serán los responsables de clasificar la información, de conformidad con lo dispuesto en la presente Ley y demás disposiciones jurídicas aplicables</w:t>
      </w:r>
    </w:p>
    <w:p w14:paraId="2E93A3EC"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135.</w:t>
      </w:r>
      <w:r w:rsidRPr="005E410F">
        <w:rPr>
          <w:rFonts w:ascii="Palatino Linotype" w:eastAsia="Palatino Linotype" w:hAnsi="Palatino Linotype" w:cs="Palatino Linotype"/>
          <w:i/>
          <w:sz w:val="22"/>
          <w:szCs w:val="22"/>
        </w:rPr>
        <w:t xml:space="preserve"> Los lineamientos generales que se emitan al respecto en materia de clasificación de la información reservada y confidencial y, para la elaboración de versiones públicas, serán de observancia obligatoria para los sujetos obligados.</w:t>
      </w:r>
    </w:p>
    <w:p w14:paraId="71046A13" w14:textId="77777777" w:rsidR="00A12EBB" w:rsidRPr="005E410F" w:rsidRDefault="00AD46E7">
      <w:pPr>
        <w:tabs>
          <w:tab w:val="left" w:pos="709"/>
        </w:tabs>
        <w:ind w:left="851" w:right="567"/>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t>Artículo 137.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516656D5"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143</w:t>
      </w:r>
      <w:r w:rsidRPr="005E410F">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5E1E1400" w14:textId="77777777" w:rsidR="00A12EBB" w:rsidRPr="005E410F" w:rsidRDefault="00AD46E7">
      <w:pPr>
        <w:tabs>
          <w:tab w:val="left" w:pos="709"/>
        </w:tabs>
        <w:ind w:left="851" w:right="567"/>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t xml:space="preserve">I. Se refiera a la información privada y los datos personales concernientes a una persona física o jurídica colectiva identificada o identificable; </w:t>
      </w:r>
    </w:p>
    <w:p w14:paraId="42F2300C"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w:t>
      </w:r>
      <w:r w:rsidRPr="005E410F">
        <w:rPr>
          <w:rFonts w:ascii="Palatino Linotype" w:eastAsia="Palatino Linotype" w:hAnsi="Palatino Linotype" w:cs="Palatino Linotype"/>
          <w:i/>
          <w:sz w:val="22"/>
          <w:szCs w:val="22"/>
        </w:rPr>
        <w:t xml:space="preserve"> Los secretos bancario, fiduciario, industrial, comercial, fiscal, bursátil y postal, cuya titularidad corresponda a particulares, sujetos de derecho internacional o a sujetos obligados cuando no involucren el ejercicio de recursos públicos; y </w:t>
      </w:r>
    </w:p>
    <w:p w14:paraId="602A1359"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III.</w:t>
      </w:r>
      <w:r w:rsidRPr="005E410F">
        <w:rPr>
          <w:rFonts w:ascii="Palatino Linotype" w:eastAsia="Palatino Linotype" w:hAnsi="Palatino Linotype" w:cs="Palatino Linotype"/>
          <w:i/>
          <w:sz w:val="22"/>
          <w:szCs w:val="22"/>
        </w:rPr>
        <w:t xml:space="preserve"> La que presenten los particulares a los sujetos obligados, de conformidad con lo dispuesto por las leyes o los tratados internacionales.</w:t>
      </w:r>
    </w:p>
    <w:p w14:paraId="4935391D"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La información confidencial no estará sujeta a temporalidad alguna y sólo podrán tener acceso a ella los titulares de la misma, sus representantes y los servidores públicos facultados para ello.</w:t>
      </w:r>
    </w:p>
    <w:p w14:paraId="19DCEA13"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No se considerará confidencial la información que se encuentre en los registros públicos o en fuentes de acceso público, ni tampoco la que sea considerada por la presente ley como información pública.</w:t>
      </w:r>
    </w:p>
    <w:p w14:paraId="4B0C9AE4" w14:textId="77777777" w:rsidR="00A12EBB" w:rsidRPr="005E410F" w:rsidRDefault="00AD46E7">
      <w:pPr>
        <w:tabs>
          <w:tab w:val="left" w:pos="709"/>
        </w:tabs>
        <w:ind w:left="851" w:right="567"/>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t>Artículo 147. Para que los sujetos obligados puedan permitir el acceso a información confidencial requieren obtener el consentimiento de los particulares titulares de la información.</w:t>
      </w:r>
    </w:p>
    <w:p w14:paraId="3D9EFB50"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148.</w:t>
      </w:r>
      <w:r w:rsidRPr="005E410F">
        <w:rPr>
          <w:rFonts w:ascii="Palatino Linotype" w:eastAsia="Palatino Linotype" w:hAnsi="Palatino Linotype" w:cs="Palatino Linotype"/>
          <w:i/>
          <w:sz w:val="22"/>
          <w:szCs w:val="22"/>
        </w:rPr>
        <w:t xml:space="preserve"> No se requerirá el consentimiento del titular de la información confidencial cuando:</w:t>
      </w:r>
    </w:p>
    <w:p w14:paraId="171C07C7"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w:t>
      </w:r>
      <w:r w:rsidRPr="005E410F">
        <w:rPr>
          <w:rFonts w:ascii="Palatino Linotype" w:eastAsia="Palatino Linotype" w:hAnsi="Palatino Linotype" w:cs="Palatino Linotype"/>
          <w:i/>
          <w:sz w:val="22"/>
          <w:szCs w:val="22"/>
        </w:rPr>
        <w:t xml:space="preserve"> La información se encuentre en registros públicos o fuentes de acceso público;</w:t>
      </w:r>
    </w:p>
    <w:p w14:paraId="29631D5C"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w:t>
      </w:r>
      <w:r w:rsidRPr="005E410F">
        <w:rPr>
          <w:rFonts w:ascii="Palatino Linotype" w:eastAsia="Palatino Linotype" w:hAnsi="Palatino Linotype" w:cs="Palatino Linotype"/>
          <w:i/>
          <w:sz w:val="22"/>
          <w:szCs w:val="22"/>
        </w:rPr>
        <w:t xml:space="preserve"> Por Ley tenga el carácter de pública;</w:t>
      </w:r>
    </w:p>
    <w:p w14:paraId="5A6A1183"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III</w:t>
      </w:r>
      <w:r w:rsidRPr="005E410F">
        <w:rPr>
          <w:rFonts w:ascii="Palatino Linotype" w:eastAsia="Palatino Linotype" w:hAnsi="Palatino Linotype" w:cs="Palatino Linotype"/>
          <w:i/>
          <w:sz w:val="22"/>
          <w:szCs w:val="22"/>
        </w:rPr>
        <w:t>. Exista una orden judicial;</w:t>
      </w:r>
    </w:p>
    <w:p w14:paraId="322EA62F"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lastRenderedPageBreak/>
        <w:t>IV.</w:t>
      </w:r>
      <w:r w:rsidRPr="005E410F">
        <w:rPr>
          <w:rFonts w:ascii="Palatino Linotype" w:eastAsia="Palatino Linotype" w:hAnsi="Palatino Linotype" w:cs="Palatino Linotype"/>
          <w:i/>
          <w:sz w:val="22"/>
          <w:szCs w:val="22"/>
        </w:rPr>
        <w:t xml:space="preserve"> Por razones de seguridad pública, o para proteger los derechos de terceros, se requiera su publicación; o</w:t>
      </w:r>
    </w:p>
    <w:p w14:paraId="42AA1983"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V.</w:t>
      </w:r>
      <w:r w:rsidRPr="005E410F">
        <w:rPr>
          <w:rFonts w:ascii="Palatino Linotype" w:eastAsia="Palatino Linotype" w:hAnsi="Palatino Linotype" w:cs="Palatino Linotype"/>
          <w:i/>
          <w:sz w:val="22"/>
          <w:szCs w:val="22"/>
        </w:rPr>
        <w:t xml:space="preserve"> Cuando se transmita entre sujetos obligados y entre éstos y los sujetos de derecho internacional, en términos de los tratados y los acuerdos interinstitucionales, siempre y cuando la información se utilice para el ejercicio de facultades propias de los mismos. Para efectos de la fracción I del presente artículo, deberá sujetarse a lo previsto en las disposiciones jurídicas aplicables.</w:t>
      </w:r>
    </w:p>
    <w:p w14:paraId="12A19886"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Para efectos de la fracción IV del presente artículo, el Instituto deberá aplicar la prueba de interés público. Además, se deberá corroborar una conexión patente entre la información confidencial y un tema de interés público y la proporcionalidad entre la invasión a la intimidad ocasionada por la divulgación de la información confidencial y el interés público de la información. </w:t>
      </w:r>
    </w:p>
    <w:p w14:paraId="5C650FAA" w14:textId="77777777" w:rsidR="00A12EBB" w:rsidRPr="005E410F" w:rsidRDefault="00AD46E7">
      <w:pPr>
        <w:tabs>
          <w:tab w:val="left" w:pos="709"/>
        </w:tabs>
        <w:ind w:left="851" w:right="567"/>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149.</w:t>
      </w:r>
      <w:r w:rsidRPr="005E410F">
        <w:rPr>
          <w:rFonts w:ascii="Palatino Linotype" w:eastAsia="Palatino Linotype" w:hAnsi="Palatino Linotype" w:cs="Palatino Linotype"/>
          <w:i/>
          <w:sz w:val="22"/>
          <w:szCs w:val="22"/>
        </w:rPr>
        <w:t xml:space="preserve"> El acuerdo que clasifique la información como confidencial deberá contener un razonamiento lógico en el que demuestre que la información se encuentra en alguna o algunas de las hipótesis previstas en la presente Ley.” (Sic)</w:t>
      </w:r>
    </w:p>
    <w:p w14:paraId="2C16D56F" w14:textId="77777777" w:rsidR="00A12EBB" w:rsidRPr="005E410F" w:rsidRDefault="00A12EBB">
      <w:pPr>
        <w:spacing w:line="360" w:lineRule="auto"/>
        <w:ind w:right="49"/>
        <w:jc w:val="both"/>
        <w:rPr>
          <w:rFonts w:ascii="Palatino Linotype" w:eastAsia="Palatino Linotype" w:hAnsi="Palatino Linotype" w:cs="Palatino Linotype"/>
          <w:sz w:val="22"/>
          <w:szCs w:val="22"/>
        </w:rPr>
      </w:pPr>
    </w:p>
    <w:p w14:paraId="0306D3A7"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De los artículos transcritos anteriormente, se observan las excepciones que tiene el derecho de acceso a la información pública, respecto a algunos tipos de información, lo cual restringe su acceso, precisando de manera clara las hipótesis que dan lugar a clasificar la información, la cual puede ser de dos maneras: Reservada o Confidencial.</w:t>
      </w:r>
    </w:p>
    <w:p w14:paraId="37F2565B"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66E7ACBD"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En otras palabras, la información confidencial será cuando por su naturaleza, contenga datos personales concernientes a una persona física o jurídico colectiva identificada o identificable, los secretos bancario, fiduciario, industrial, comercial, fiscal, bursátil y postal, cuya titularidad corresponda a particulares, sujetos de derecho internacional o a Sujetos Obligados cuando no involucren el ejercicio de recursos públicos y la que presenten los particulares a los Sujetos Obligados, de conformidad con lo dispuesto por las leyes o los tratados internacionales.</w:t>
      </w:r>
    </w:p>
    <w:p w14:paraId="60DAAAAC"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3FD2646C"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De igual forma, para el caso de la información confidencial se aprecia, que se establece un procedimiento para clasificar la información como confidencial, mediante el cual se </w:t>
      </w:r>
      <w:r w:rsidRPr="005E410F">
        <w:rPr>
          <w:rFonts w:ascii="Palatino Linotype" w:eastAsia="Palatino Linotype" w:hAnsi="Palatino Linotype" w:cs="Palatino Linotype"/>
          <w:sz w:val="22"/>
          <w:szCs w:val="22"/>
        </w:rPr>
        <w:lastRenderedPageBreak/>
        <w:t>fundamentará y motivará la necesidad de clasificar la información, en el que se precisen los motivos que obliguen a la clasificación; lo que se consolida con lo señalado por el artículo 168 de la Ley en la Materia, que señala:</w:t>
      </w:r>
    </w:p>
    <w:p w14:paraId="05635835"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4F3B9BFB" w14:textId="77777777" w:rsidR="00A12EBB" w:rsidRPr="005E410F" w:rsidRDefault="00AD46E7">
      <w:pPr>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168</w:t>
      </w:r>
      <w:r w:rsidRPr="005E410F">
        <w:rPr>
          <w:rFonts w:ascii="Palatino Linotype" w:eastAsia="Palatino Linotype" w:hAnsi="Palatino Linotype" w:cs="Palatino Linotype"/>
          <w:i/>
          <w:sz w:val="22"/>
          <w:szCs w:val="22"/>
        </w:rPr>
        <w:t>. En caso de que los sujetos obligados consideren que los documentos o la información deban ser clasificados, se sujetará a lo siguiente:</w:t>
      </w:r>
    </w:p>
    <w:p w14:paraId="3CDBC4E6" w14:textId="77777777" w:rsidR="00A12EBB" w:rsidRPr="005E410F" w:rsidRDefault="00AD46E7">
      <w:pPr>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w:t>
      </w:r>
      <w:r w:rsidRPr="005E410F">
        <w:rPr>
          <w:rFonts w:ascii="Palatino Linotype" w:eastAsia="Palatino Linotype" w:hAnsi="Palatino Linotype" w:cs="Palatino Linotype"/>
          <w:i/>
          <w:sz w:val="22"/>
          <w:szCs w:val="22"/>
        </w:rPr>
        <w:t xml:space="preserve"> El Área deberá remitir la solicitud, así como un escrito en el que </w:t>
      </w:r>
      <w:r w:rsidRPr="005E410F">
        <w:rPr>
          <w:rFonts w:ascii="Palatino Linotype" w:eastAsia="Palatino Linotype" w:hAnsi="Palatino Linotype" w:cs="Palatino Linotype"/>
          <w:b/>
          <w:i/>
          <w:sz w:val="22"/>
          <w:szCs w:val="22"/>
        </w:rPr>
        <w:t>funde y motive la clasificación al Comité de Transparencia</w:t>
      </w:r>
      <w:r w:rsidRPr="005E410F">
        <w:rPr>
          <w:rFonts w:ascii="Palatino Linotype" w:eastAsia="Palatino Linotype" w:hAnsi="Palatino Linotype" w:cs="Palatino Linotype"/>
          <w:i/>
          <w:sz w:val="22"/>
          <w:szCs w:val="22"/>
        </w:rPr>
        <w:t>, mismo que deberá resolver para:</w:t>
      </w:r>
    </w:p>
    <w:p w14:paraId="561D87CA" w14:textId="77777777" w:rsidR="00A12EBB" w:rsidRPr="005E410F" w:rsidRDefault="00AD46E7">
      <w:pPr>
        <w:ind w:left="851" w:right="616"/>
        <w:jc w:val="both"/>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i/>
          <w:sz w:val="22"/>
          <w:szCs w:val="22"/>
        </w:rPr>
        <w:t>a</w:t>
      </w:r>
      <w:r w:rsidRPr="005E410F">
        <w:rPr>
          <w:rFonts w:ascii="Palatino Linotype" w:eastAsia="Palatino Linotype" w:hAnsi="Palatino Linotype" w:cs="Palatino Linotype"/>
          <w:b/>
          <w:i/>
          <w:sz w:val="22"/>
          <w:szCs w:val="22"/>
        </w:rPr>
        <w:t>) Confirmar la clasificación;</w:t>
      </w:r>
    </w:p>
    <w:p w14:paraId="45EF413A" w14:textId="77777777" w:rsidR="00A12EBB" w:rsidRPr="005E410F" w:rsidRDefault="00AD46E7">
      <w:pPr>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b) Modificar la clasificación y otorgar total o parcialmente el acceso a la información; y c) Revocar la clasificación y conceder el acceso a la información.</w:t>
      </w:r>
    </w:p>
    <w:p w14:paraId="06A616AE" w14:textId="77777777" w:rsidR="00A12EBB" w:rsidRPr="005E410F" w:rsidRDefault="00AD46E7">
      <w:pPr>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w:t>
      </w:r>
      <w:r w:rsidRPr="005E410F">
        <w:rPr>
          <w:rFonts w:ascii="Palatino Linotype" w:eastAsia="Palatino Linotype" w:hAnsi="Palatino Linotype" w:cs="Palatino Linotype"/>
          <w:i/>
          <w:sz w:val="22"/>
          <w:szCs w:val="22"/>
        </w:rPr>
        <w:t xml:space="preserve"> El Comité de Transparencia podrá tener acceso a la información que esté en poder del Área correspondiente, de la cual se haya solicitado su clasificación; y</w:t>
      </w:r>
    </w:p>
    <w:p w14:paraId="2CC0C510" w14:textId="77777777" w:rsidR="00A12EBB" w:rsidRPr="005E410F" w:rsidRDefault="00AD46E7">
      <w:pPr>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III.</w:t>
      </w:r>
      <w:r w:rsidRPr="005E410F">
        <w:rPr>
          <w:rFonts w:ascii="Palatino Linotype" w:eastAsia="Palatino Linotype" w:hAnsi="Palatino Linotype" w:cs="Palatino Linotype"/>
          <w:i/>
          <w:sz w:val="22"/>
          <w:szCs w:val="22"/>
        </w:rPr>
        <w:t xml:space="preserve"> La resolución del Comité de Transparencia será notificada al interesado en el plazo de respuesta a la solicitud que establece esta Ley.” (Sic)</w:t>
      </w:r>
    </w:p>
    <w:p w14:paraId="7A54C4F6"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2114FC84" w14:textId="77777777" w:rsidR="00A12EBB" w:rsidRPr="005E410F" w:rsidRDefault="00AD46E7">
      <w:pPr>
        <w:spacing w:line="360" w:lineRule="auto"/>
        <w:ind w:right="51"/>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deberá proceder a testar los datos personales que se encuentren contenidos en los documentos a entregar por parte del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para satisfacer el derecho de acceso a la información pública de la recurrente,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3D282434" w14:textId="77777777" w:rsidR="00A12EBB" w:rsidRPr="005E410F" w:rsidRDefault="00AD46E7">
      <w:pP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 xml:space="preserve">En el caso específico, es criterio reiterado de este Instituto que además de los datos especificados en la Ley de Transparencia y Acceso a la Información Pública del Estado de México y Municipios, se consideran confidenciales y por tanto deben testarse al momento de la elaboración de versiones públicas el </w:t>
      </w:r>
      <w:r w:rsidRPr="005E410F">
        <w:rPr>
          <w:rFonts w:ascii="Palatino Linotype" w:eastAsia="Palatino Linotype" w:hAnsi="Palatino Linotype" w:cs="Palatino Linotype"/>
          <w:b/>
          <w:sz w:val="22"/>
          <w:szCs w:val="22"/>
        </w:rPr>
        <w:t>Registro Federal de Contribuyentes</w:t>
      </w:r>
      <w:r w:rsidRPr="005E410F">
        <w:rPr>
          <w:rFonts w:ascii="Palatino Linotype" w:eastAsia="Palatino Linotype" w:hAnsi="Palatino Linotype" w:cs="Palatino Linotype"/>
          <w:sz w:val="22"/>
          <w:szCs w:val="22"/>
        </w:rPr>
        <w:t xml:space="preserve"> (RFC), la </w:t>
      </w:r>
      <w:r w:rsidRPr="005E410F">
        <w:rPr>
          <w:rFonts w:ascii="Palatino Linotype" w:eastAsia="Palatino Linotype" w:hAnsi="Palatino Linotype" w:cs="Palatino Linotype"/>
          <w:b/>
          <w:sz w:val="22"/>
          <w:szCs w:val="22"/>
        </w:rPr>
        <w:t>Clave Única de Registro de Población</w:t>
      </w:r>
      <w:r w:rsidRPr="005E410F">
        <w:rPr>
          <w:rFonts w:ascii="Palatino Linotype" w:eastAsia="Palatino Linotype" w:hAnsi="Palatino Linotype" w:cs="Palatino Linotype"/>
          <w:sz w:val="22"/>
          <w:szCs w:val="22"/>
        </w:rPr>
        <w:t xml:space="preserve"> (CURP) y la </w:t>
      </w:r>
      <w:r w:rsidRPr="005E410F">
        <w:rPr>
          <w:rFonts w:ascii="Palatino Linotype" w:eastAsia="Palatino Linotype" w:hAnsi="Palatino Linotype" w:cs="Palatino Linotype"/>
          <w:b/>
          <w:sz w:val="22"/>
          <w:szCs w:val="22"/>
        </w:rPr>
        <w:t>Clave de cualquier tipo de seguridad social</w:t>
      </w:r>
      <w:r w:rsidRPr="005E410F">
        <w:rPr>
          <w:rFonts w:ascii="Palatino Linotype" w:eastAsia="Palatino Linotype" w:hAnsi="Palatino Linotype" w:cs="Palatino Linotype"/>
          <w:sz w:val="22"/>
          <w:szCs w:val="22"/>
        </w:rPr>
        <w:t xml:space="preserve"> (ISSEMYM, u otros), así como, el</w:t>
      </w:r>
      <w:r w:rsidRPr="005E410F">
        <w:rPr>
          <w:rFonts w:ascii="Palatino Linotype" w:eastAsia="Palatino Linotype" w:hAnsi="Palatino Linotype" w:cs="Palatino Linotype"/>
          <w:b/>
          <w:sz w:val="22"/>
          <w:szCs w:val="22"/>
        </w:rPr>
        <w:t xml:space="preserve"> número de empleado, </w:t>
      </w:r>
      <w:r w:rsidRPr="005E410F">
        <w:rPr>
          <w:rFonts w:ascii="Palatino Linotype" w:eastAsia="Palatino Linotype" w:hAnsi="Palatino Linotype" w:cs="Palatino Linotype"/>
          <w:sz w:val="22"/>
          <w:szCs w:val="22"/>
        </w:rPr>
        <w:t xml:space="preserve">así como de ser el caso, el </w:t>
      </w:r>
      <w:r w:rsidRPr="005E410F">
        <w:rPr>
          <w:rFonts w:ascii="Palatino Linotype" w:eastAsia="Palatino Linotype" w:hAnsi="Palatino Linotype" w:cs="Palatino Linotype"/>
          <w:b/>
          <w:sz w:val="22"/>
          <w:szCs w:val="22"/>
        </w:rPr>
        <w:t>folio fiscal</w:t>
      </w:r>
      <w:r w:rsidRPr="005E410F">
        <w:rPr>
          <w:rFonts w:ascii="Palatino Linotype" w:eastAsia="Palatino Linotype" w:hAnsi="Palatino Linotype" w:cs="Palatino Linotype"/>
          <w:sz w:val="22"/>
          <w:szCs w:val="22"/>
        </w:rPr>
        <w:t xml:space="preserve">, la  </w:t>
      </w:r>
      <w:r w:rsidRPr="005E410F">
        <w:rPr>
          <w:rFonts w:ascii="Palatino Linotype" w:eastAsia="Palatino Linotype" w:hAnsi="Palatino Linotype" w:cs="Palatino Linotype"/>
          <w:b/>
          <w:sz w:val="22"/>
          <w:szCs w:val="22"/>
        </w:rPr>
        <w:t xml:space="preserve">cadena original, </w:t>
      </w:r>
      <w:r w:rsidRPr="005E410F">
        <w:rPr>
          <w:rFonts w:ascii="Palatino Linotype" w:eastAsia="Palatino Linotype" w:hAnsi="Palatino Linotype" w:cs="Palatino Linotype"/>
          <w:sz w:val="22"/>
          <w:szCs w:val="22"/>
        </w:rPr>
        <w:t>los</w:t>
      </w:r>
      <w:r w:rsidRPr="005E410F">
        <w:rPr>
          <w:rFonts w:ascii="Palatino Linotype" w:eastAsia="Palatino Linotype" w:hAnsi="Palatino Linotype" w:cs="Palatino Linotype"/>
          <w:b/>
          <w:sz w:val="22"/>
          <w:szCs w:val="22"/>
        </w:rPr>
        <w:t xml:space="preserve"> códigos bidimensionales o códigos QR,</w:t>
      </w:r>
      <w:r w:rsidRPr="005E410F">
        <w:rPr>
          <w:rFonts w:ascii="Palatino Linotype" w:eastAsia="Palatino Linotype" w:hAnsi="Palatino Linotype" w:cs="Palatino Linotype"/>
          <w:sz w:val="22"/>
          <w:szCs w:val="22"/>
        </w:rPr>
        <w:t xml:space="preserve"> y cualquier información de carácter fiscal, bajo las siguientes consideraciones. </w:t>
      </w:r>
    </w:p>
    <w:p w14:paraId="4801A6F9" w14:textId="77777777" w:rsidR="00A12EBB" w:rsidRPr="005E410F" w:rsidRDefault="00AD46E7">
      <w:pP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En cuanto al RFC, este constituye un dato personal, ya que para su obtención es necesario acreditar ante la autoridad fiscal previamente la identidad de la persona, su fecha de nacimiento, entre otros aspectos.</w:t>
      </w:r>
    </w:p>
    <w:p w14:paraId="026F6E42" w14:textId="77777777" w:rsidR="00A12EBB" w:rsidRPr="005E410F" w:rsidRDefault="00AD46E7">
      <w:pP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Ahora bien, las personas físicas tramitan su inscripción en el registro con el propósito de realizar —mediante esa clave de identificación— operaciones o actividades de naturaleza fiscal, la cual, les permite hacerse identificables respecto de una situación fiscal determinada.</w:t>
      </w:r>
    </w:p>
    <w:p w14:paraId="07E59E9D" w14:textId="77777777" w:rsidR="00A12EBB" w:rsidRPr="005E410F" w:rsidRDefault="00AD46E7">
      <w:pP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Lo anterior es compartido por el Instituto Nacional de Transparencia, Acceso a la Información y Protección de Datos (INAI) a través del Criterio 19/17, el cual es del tenor literal siguiente:</w:t>
      </w:r>
    </w:p>
    <w:p w14:paraId="0F02AF34" w14:textId="77777777" w:rsidR="00A12EBB" w:rsidRPr="005E410F" w:rsidRDefault="00AD46E7">
      <w:pPr>
        <w:spacing w:after="120"/>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 xml:space="preserve">Registro Federal de Contribuyentes (RFC) de personas físicas. </w:t>
      </w:r>
      <w:r w:rsidRPr="005E410F">
        <w:rPr>
          <w:rFonts w:ascii="Palatino Linotype" w:eastAsia="Palatino Linotype" w:hAnsi="Palatino Linotype" w:cs="Palatino Linotype"/>
          <w:i/>
          <w:sz w:val="22"/>
          <w:szCs w:val="22"/>
        </w:rPr>
        <w:t>El RFC es una clave de carácter fiscal, única e irrepetible, que permite identificar al titular, su edad y fecha de nacimiento, por lo que es un dato personal de carácter confidencial.” (Sic)</w:t>
      </w:r>
    </w:p>
    <w:p w14:paraId="750810E8" w14:textId="77777777" w:rsidR="00A12EBB" w:rsidRPr="005E410F" w:rsidRDefault="00AD46E7">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Así, el RFC se vincula al nombre de su titular y permite identificar la edad de la persona, su fecha de nacimiento, así como su </w:t>
      </w:r>
      <w:proofErr w:type="spellStart"/>
      <w:r w:rsidRPr="005E410F">
        <w:rPr>
          <w:rFonts w:ascii="Palatino Linotype" w:eastAsia="Palatino Linotype" w:hAnsi="Palatino Linotype" w:cs="Palatino Linotype"/>
          <w:sz w:val="22"/>
          <w:szCs w:val="22"/>
        </w:rPr>
        <w:t>homoclave</w:t>
      </w:r>
      <w:proofErr w:type="spellEnd"/>
      <w:r w:rsidRPr="005E410F">
        <w:rPr>
          <w:rFonts w:ascii="Palatino Linotype" w:eastAsia="Palatino Linotype" w:hAnsi="Palatino Linotype" w:cs="Palatino Linotype"/>
          <w:sz w:val="22"/>
          <w:szCs w:val="22"/>
        </w:rPr>
        <w:t xml:space="preserve">, la cual es única e irrepetible y determina la identificación de dicha persona para efectos fiscales, por lo que constituye un dato personal que concierne a una persona física identificada e identificable en términos de los artículos 3, </w:t>
      </w:r>
      <w:r w:rsidRPr="005E410F">
        <w:rPr>
          <w:rFonts w:ascii="Palatino Linotype" w:eastAsia="Palatino Linotype" w:hAnsi="Palatino Linotype" w:cs="Palatino Linotype"/>
          <w:sz w:val="22"/>
          <w:szCs w:val="22"/>
        </w:rPr>
        <w:lastRenderedPageBreak/>
        <w:t>fracción IX de la Ley de Transparencia y Acceso a la Información Pública del Estado de México y Municipios y 4 fracción VII de la Ley de Protección de Datos Personales del Estado de México.</w:t>
      </w:r>
    </w:p>
    <w:p w14:paraId="517D799F" w14:textId="77777777" w:rsidR="00A12EBB" w:rsidRPr="005E410F" w:rsidRDefault="00AD46E7">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En cuanto al CURP, en virtud de que éste se integra por datos personales que únicamente le conciernen a un particular como son su fecha de nacimiento, su nombre, sus apellidos y su lugar de nacimiento; información que permite distinguirlo del resto de los habitantes, se considera que es de carácter confidencial.</w:t>
      </w:r>
    </w:p>
    <w:p w14:paraId="55AFA932" w14:textId="77777777" w:rsidR="00A12EBB" w:rsidRPr="005E410F" w:rsidRDefault="00AD46E7">
      <w:pP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Argumento que es compartido por el Instituto Nacional de Transparencia, Acceso a la Información y Protección de Datos (INAI)</w:t>
      </w:r>
      <w:r w:rsidRPr="005E410F">
        <w:rPr>
          <w:rFonts w:ascii="Palatino Linotype" w:eastAsia="Palatino Linotype" w:hAnsi="Palatino Linotype" w:cs="Palatino Linotype"/>
          <w:b/>
          <w:sz w:val="22"/>
          <w:szCs w:val="22"/>
        </w:rPr>
        <w:t xml:space="preserve">, conforme al </w:t>
      </w:r>
      <w:r w:rsidRPr="005E410F">
        <w:rPr>
          <w:rFonts w:ascii="Palatino Linotype" w:eastAsia="Palatino Linotype" w:hAnsi="Palatino Linotype" w:cs="Palatino Linotype"/>
          <w:sz w:val="22"/>
          <w:szCs w:val="22"/>
        </w:rPr>
        <w:t xml:space="preserve">criterio número 18/17, el cual refiere: </w:t>
      </w:r>
    </w:p>
    <w:p w14:paraId="4EFAB43C" w14:textId="77777777" w:rsidR="00A12EBB" w:rsidRPr="005E410F" w:rsidRDefault="00AD46E7">
      <w:pPr>
        <w:pBdr>
          <w:top w:val="nil"/>
          <w:left w:val="nil"/>
          <w:bottom w:val="nil"/>
          <w:right w:val="nil"/>
          <w:between w:val="nil"/>
        </w:pBdr>
        <w:spacing w:after="120"/>
        <w:ind w:left="851" w:right="616"/>
        <w:jc w:val="both"/>
        <w:rPr>
          <w:rFonts w:ascii="Palatino Linotype" w:eastAsia="Palatino Linotype" w:hAnsi="Palatino Linotype" w:cs="Palatino Linotype"/>
          <w:b/>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 xml:space="preserve">Clave Única de Registro de Población (CURP). </w:t>
      </w:r>
      <w:r w:rsidRPr="005E410F">
        <w:rPr>
          <w:rFonts w:ascii="Palatino Linotype" w:eastAsia="Palatino Linotype" w:hAnsi="Palatino Linotype" w:cs="Palatino Linotype"/>
          <w:i/>
          <w:sz w:val="22"/>
          <w:szCs w:val="22"/>
        </w:rPr>
        <w:t>La Clave Única de Registro de Población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la CURP está considerada como información confidencial.” (Sic)</w:t>
      </w:r>
    </w:p>
    <w:p w14:paraId="02E1502C" w14:textId="77777777" w:rsidR="00A12EBB" w:rsidRPr="005E410F" w:rsidRDefault="00AD46E7">
      <w:pPr>
        <w:spacing w:before="240" w:after="240"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Por otra parte y respecto a la clave de seguridad social y en su caso clave o número del servidor público –trabajador-, en virtud de que su divulgación no aporta a la transparencia o a la rendición de cuentas y sí provoca una transgresión a la vida privada e intimidad de la persona, esta información también resulta ser de carácter confidencial; siendo aplicable como orientador el criterio número 15/10 emitido por el entonces Instituto Federal de Transparencia y Acceso a la Información (INAI, cuyo texto y sentido literal es el siguiente:</w:t>
      </w:r>
    </w:p>
    <w:p w14:paraId="18CD4A74" w14:textId="77777777" w:rsidR="00A12EBB" w:rsidRPr="005E410F" w:rsidRDefault="00AD46E7">
      <w:pPr>
        <w:spacing w:before="240" w:after="24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El número de ficha de identificación única de los trabajadores es información de carácter confidencial.</w:t>
      </w:r>
      <w:r w:rsidRPr="005E410F">
        <w:rPr>
          <w:rFonts w:ascii="Palatino Linotype" w:eastAsia="Palatino Linotype" w:hAnsi="Palatino Linotype" w:cs="Palatino Linotype"/>
          <w:i/>
          <w:sz w:val="22"/>
          <w:szCs w:val="22"/>
        </w:rPr>
        <w:t xml:space="preserve"> </w:t>
      </w:r>
      <w:r w:rsidRPr="005E410F">
        <w:rPr>
          <w:rFonts w:ascii="Palatino Linotype" w:eastAsia="Palatino Linotype" w:hAnsi="Palatino Linotype" w:cs="Palatino Linotype"/>
          <w:i/>
          <w:sz w:val="22"/>
          <w:szCs w:val="22"/>
          <w:u w:val="single"/>
        </w:rPr>
        <w:t>En los casos en que el número de trabajador o ficha de identificación única constituya un elemento por medio del cual los trabajadores puedan acceder a un sistema de datos o información de la dependencia o entidad, para hacer uso de diversos servicios, como la presentación de consultas relacionadas con su situación laboral particular</w:t>
      </w:r>
      <w:r w:rsidRPr="005E410F">
        <w:rPr>
          <w:rFonts w:ascii="Palatino Linotype" w:eastAsia="Palatino Linotype" w:hAnsi="Palatino Linotype" w:cs="Palatino Linotype"/>
          <w:i/>
          <w:sz w:val="22"/>
          <w:szCs w:val="22"/>
        </w:rPr>
        <w:t xml:space="preserve">, </w:t>
      </w:r>
      <w:r w:rsidRPr="005E410F">
        <w:rPr>
          <w:rFonts w:ascii="Palatino Linotype" w:eastAsia="Palatino Linotype" w:hAnsi="Palatino Linotype" w:cs="Palatino Linotype"/>
          <w:i/>
          <w:sz w:val="22"/>
          <w:szCs w:val="22"/>
          <w:u w:val="single"/>
        </w:rPr>
        <w:t xml:space="preserve">dicha información es susceptible de </w:t>
      </w:r>
      <w:r w:rsidRPr="005E410F">
        <w:rPr>
          <w:rFonts w:ascii="Palatino Linotype" w:eastAsia="Palatino Linotype" w:hAnsi="Palatino Linotype" w:cs="Palatino Linotype"/>
          <w:i/>
          <w:sz w:val="22"/>
          <w:szCs w:val="22"/>
          <w:u w:val="single"/>
        </w:rPr>
        <w:lastRenderedPageBreak/>
        <w:t>clasificarse con el carácter de confidencial</w:t>
      </w:r>
      <w:r w:rsidRPr="005E410F">
        <w:rPr>
          <w:rFonts w:ascii="Palatino Linotype" w:eastAsia="Palatino Linotype" w:hAnsi="Palatino Linotype" w:cs="Palatino Linotype"/>
          <w:i/>
          <w:sz w:val="22"/>
          <w:szCs w:val="22"/>
        </w:rPr>
        <w:t>, en términos de lo establecido en el artículo 18, fracción II de la Ley Federal de Transparencia y Acceso a la Información Pública Gubernamental, en virtud de que a través de la misma es posible conocer información personal de su titular.” (Sic)</w:t>
      </w:r>
    </w:p>
    <w:p w14:paraId="16AE0CE7"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Fotografía de servidores públicos</w:t>
      </w:r>
      <w:r w:rsidRPr="005E410F">
        <w:rPr>
          <w:rFonts w:ascii="Palatino Linotype" w:eastAsia="Palatino Linotype" w:hAnsi="Palatino Linotype" w:cs="Palatino Linotype"/>
          <w:sz w:val="22"/>
          <w:szCs w:val="22"/>
        </w:rPr>
        <w:t xml:space="preserve">: </w:t>
      </w:r>
    </w:p>
    <w:p w14:paraId="2E31AC59"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Es preciso señalar que estas dan cuenta de las características físicas de los servidores públicos; por lo que, no debe perderse de vista que la imagen personal es la apariencia física, la cual puede ser captada en dibujo, pintura, escultura, fotografía, y video; la imagen así captada puede ser reproducida, publicada y divulgada por diversos medios, desde volantes impresos de la forma más rudimentaria, hasta filmaciones y fotografías transmitidas por televisión cine, video, correo electrónico o Internet.</w:t>
      </w:r>
    </w:p>
    <w:p w14:paraId="42AD8F2D"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175A77B5"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Así, dichos datos constituyen la reproducción fiel de las características físicas de una persona en un momento determinado, por lo que representan un instrumento de identificación, proyección exterior y factor imprescindible para su propio reconocimiento como sujeto individual; lo que en el presente caso, acreditaría e identificaría a una persona como servidor público, por lo que es posible advertir que existe cierto interés público, cuando la fotografía obra en documentos de servidores públicos vinculados con el cumplimiento de disposiciones legales.</w:t>
      </w:r>
    </w:p>
    <w:p w14:paraId="04AF23BD"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4DFAB9FD"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Además, existen documentos que contienen la fotografía con los cuales se permite identificar que una persona que se acredita como trabajador gubernamental, realmente tiene el cargo con el que se ostenta, otros documentos con los cuales se rinde cuentas a la ciudadanía, por ejemplo cuando se cubre el perfil de puesto; además cuando se brinda servicios a la ciudadanía, es de relevancia conocer e identificar a todos sus trabajadores, no importa el nivel o rango (con excepción del personal operativo en materia de seguridad, </w:t>
      </w:r>
      <w:r w:rsidRPr="005E410F">
        <w:rPr>
          <w:rFonts w:ascii="Palatino Linotype" w:eastAsia="Palatino Linotype" w:hAnsi="Palatino Linotype" w:cs="Palatino Linotype"/>
          <w:sz w:val="22"/>
          <w:szCs w:val="22"/>
        </w:rPr>
        <w:lastRenderedPageBreak/>
        <w:t>respecto del cual el Pleno de este Instituto ya se ha pronunciado en el sentido de que la información que los haga identificados o identificables debe clasificarse como reservada).</w:t>
      </w:r>
    </w:p>
    <w:p w14:paraId="26BDFED2"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61E584F2"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En este sentido, resultan aplicables por analogía, los Criterios SO/015/2017 y SO/001/2013 del Instituto Nacional de Transparencia y Acceso a la Información Pública y Protección de Datos Personales, en los cuales se esgrimen argumentos, que, si bien no refieren de manera específica a fotografías de servidores públicos, sí establecen un criterio para que este dato personal pueda ser considerado como público, cuando se pretende acreditar que una persona es servidor público.</w:t>
      </w:r>
    </w:p>
    <w:p w14:paraId="3D2A1CC5"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139E77C7"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Debe tenerse presente que el actuar de los servidores públicos incide de manera específica en los derechos de los particulares, pues el acto de un servidor público en ejercicio de sus funciones, de manera directa genera derechos y obligaciones pues se considera un acto administrativo o acto de autoridad, por lo que es primordial, que estos trabajadores se identifiquen ante la ciudadanía, por lo que otorgar acceso a los documentos que obran en los archivos de los sujetos obligados y que además están directamente relacionados con el cumplimiento de disposiciones normativas o el ejercicio de funciones revisten un interés público. </w:t>
      </w:r>
    </w:p>
    <w:p w14:paraId="4165C856"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78C36A2C"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Por lo anterior, cuando las fotografías de los servidores públicos obran en documentos que dan cuenta del cumplimiento de funciones, requisitos legales o los acredita como servidores públicos, deben ser consideradas un dato personal, que no puede ser clasificado como confidencial, pues en este caso, es superado por el interés público de conocer si en realidad, la persona que se ostenta en carácter de servidor público, se encuentra en ese encargo, si realiza las funciones o si cumple con los requisitos legales; sin que se considere como factor </w:t>
      </w:r>
      <w:r w:rsidRPr="005E410F">
        <w:rPr>
          <w:rFonts w:ascii="Palatino Linotype" w:eastAsia="Palatino Linotype" w:hAnsi="Palatino Linotype" w:cs="Palatino Linotype"/>
          <w:sz w:val="22"/>
          <w:szCs w:val="22"/>
        </w:rPr>
        <w:lastRenderedPageBreak/>
        <w:t>diferenciador para determinar la publicidad o clasificación el cargo o nivel jerárquico en el que se desempeñe el servidor público.</w:t>
      </w:r>
    </w:p>
    <w:p w14:paraId="7BCD1F81"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073E8C15"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De acuerdo con el argumento planteado, la determinación de esta resolución deja sin efectos el criterio adoptado anteriormente por el Pleno de este Instituto, con número 03/2019, en el que solo se consideraban como públicas las fotografías de mandos medios y/o superiores.</w:t>
      </w:r>
    </w:p>
    <w:p w14:paraId="0590AA9E"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19EE3097"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Conforme a lo anterior, las fotografías de servidores públicos sin importar el nivel o rango guardan la naturaleza de públicas (con excepción del personal operativo en materia de seguridad) y no procede su clasificación, en términos del artículo 143, fracción I, de la Ley de Transparencia y Acceso a la Información Pública del Estado de México y Municipios, por lo que en las versiones públicas que se ordenen, no podrá clasificarse esa información.</w:t>
      </w:r>
    </w:p>
    <w:p w14:paraId="61CAC561" w14:textId="77777777" w:rsidR="00A12EBB" w:rsidRPr="005E410F" w:rsidRDefault="00A12EBB">
      <w:pPr>
        <w:spacing w:line="360" w:lineRule="auto"/>
        <w:ind w:right="51"/>
        <w:jc w:val="both"/>
        <w:rPr>
          <w:rFonts w:ascii="Palatino Linotype" w:eastAsia="Palatino Linotype" w:hAnsi="Palatino Linotype" w:cs="Palatino Linotype"/>
          <w:sz w:val="22"/>
          <w:szCs w:val="22"/>
        </w:rPr>
      </w:pPr>
    </w:p>
    <w:p w14:paraId="3B0300BE" w14:textId="77777777" w:rsidR="00A12EBB" w:rsidRPr="005E410F" w:rsidRDefault="00AD46E7">
      <w:pPr>
        <w:spacing w:line="360" w:lineRule="auto"/>
        <w:ind w:right="51"/>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En ese contexto, la clasificación de la información no opera con la simple supresión de datos que se haga en los documentos de que se trate o con la simple decisión que tome el Servidor Público Habilitado o el </w:t>
      </w:r>
      <w:proofErr w:type="gramStart"/>
      <w:r w:rsidRPr="005E410F">
        <w:rPr>
          <w:rFonts w:ascii="Palatino Linotype" w:eastAsia="Palatino Linotype" w:hAnsi="Palatino Linotype" w:cs="Palatino Linotype"/>
          <w:sz w:val="22"/>
          <w:szCs w:val="22"/>
        </w:rPr>
        <w:t>Responsable</w:t>
      </w:r>
      <w:proofErr w:type="gramEnd"/>
      <w:r w:rsidRPr="005E410F">
        <w:rPr>
          <w:rFonts w:ascii="Palatino Linotype" w:eastAsia="Palatino Linotype" w:hAnsi="Palatino Linotype" w:cs="Palatino Linotype"/>
          <w:sz w:val="22"/>
          <w:szCs w:val="22"/>
        </w:rPr>
        <w:t xml:space="preserve"> de la Unidad de Transparencia del Sujeto Obligado, sino que ello deberá realizarse en términos de lo que disponen los artículos 49 fracción VIII, 53, fracción X y 59, fracción V, de la Ley en consulta, cuyo sentido literal es el siguiente:</w:t>
      </w:r>
    </w:p>
    <w:p w14:paraId="7D403F14" w14:textId="77777777" w:rsidR="00A12EBB" w:rsidRPr="005E410F" w:rsidRDefault="00A12EBB">
      <w:pPr>
        <w:spacing w:line="360" w:lineRule="auto"/>
        <w:ind w:right="51"/>
        <w:jc w:val="both"/>
        <w:rPr>
          <w:rFonts w:ascii="Palatino Linotype" w:eastAsia="Palatino Linotype" w:hAnsi="Palatino Linotype" w:cs="Palatino Linotype"/>
          <w:sz w:val="22"/>
          <w:szCs w:val="22"/>
        </w:rPr>
      </w:pPr>
    </w:p>
    <w:p w14:paraId="24C0DC1A"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49.</w:t>
      </w:r>
      <w:r w:rsidRPr="005E410F">
        <w:rPr>
          <w:rFonts w:ascii="Palatino Linotype" w:eastAsia="Palatino Linotype" w:hAnsi="Palatino Linotype" w:cs="Palatino Linotype"/>
          <w:i/>
          <w:sz w:val="22"/>
          <w:szCs w:val="22"/>
        </w:rPr>
        <w:t xml:space="preserve"> </w:t>
      </w:r>
      <w:r w:rsidRPr="005E410F">
        <w:rPr>
          <w:rFonts w:ascii="Palatino Linotype" w:eastAsia="Palatino Linotype" w:hAnsi="Palatino Linotype" w:cs="Palatino Linotype"/>
          <w:b/>
          <w:i/>
          <w:sz w:val="22"/>
          <w:szCs w:val="22"/>
        </w:rPr>
        <w:t>Los Comités de Transparencia</w:t>
      </w:r>
      <w:r w:rsidRPr="005E410F">
        <w:rPr>
          <w:rFonts w:ascii="Palatino Linotype" w:eastAsia="Palatino Linotype" w:hAnsi="Palatino Linotype" w:cs="Palatino Linotype"/>
          <w:i/>
          <w:sz w:val="22"/>
          <w:szCs w:val="22"/>
        </w:rPr>
        <w:t xml:space="preserve"> tendrán las siguientes atribuciones:</w:t>
      </w:r>
    </w:p>
    <w:p w14:paraId="15C89269"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VIII. Aprobar, modificar o revocar la clasificación de la información</w:t>
      </w:r>
      <w:r w:rsidRPr="005E410F">
        <w:rPr>
          <w:rFonts w:ascii="Palatino Linotype" w:eastAsia="Palatino Linotype" w:hAnsi="Palatino Linotype" w:cs="Palatino Linotype"/>
          <w:i/>
          <w:sz w:val="22"/>
          <w:szCs w:val="22"/>
        </w:rPr>
        <w:t>…”</w:t>
      </w:r>
    </w:p>
    <w:p w14:paraId="4AA58C21"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53.</w:t>
      </w:r>
      <w:r w:rsidRPr="005E410F">
        <w:rPr>
          <w:rFonts w:ascii="Palatino Linotype" w:eastAsia="Palatino Linotype" w:hAnsi="Palatino Linotype" w:cs="Palatino Linotype"/>
          <w:i/>
          <w:sz w:val="22"/>
          <w:szCs w:val="22"/>
        </w:rPr>
        <w:t xml:space="preserve"> Las </w:t>
      </w:r>
      <w:r w:rsidRPr="005E410F">
        <w:rPr>
          <w:rFonts w:ascii="Palatino Linotype" w:eastAsia="Palatino Linotype" w:hAnsi="Palatino Linotype" w:cs="Palatino Linotype"/>
          <w:b/>
          <w:i/>
          <w:sz w:val="22"/>
          <w:szCs w:val="22"/>
        </w:rPr>
        <w:t>Unidades de Transparencia</w:t>
      </w:r>
      <w:r w:rsidRPr="005E410F">
        <w:rPr>
          <w:rFonts w:ascii="Palatino Linotype" w:eastAsia="Palatino Linotype" w:hAnsi="Palatino Linotype" w:cs="Palatino Linotype"/>
          <w:i/>
          <w:sz w:val="22"/>
          <w:szCs w:val="22"/>
        </w:rPr>
        <w:t xml:space="preserve"> tendrán las siguientes </w:t>
      </w:r>
      <w:r w:rsidRPr="005E410F">
        <w:rPr>
          <w:rFonts w:ascii="Palatino Linotype" w:eastAsia="Palatino Linotype" w:hAnsi="Palatino Linotype" w:cs="Palatino Linotype"/>
          <w:b/>
          <w:i/>
          <w:sz w:val="22"/>
          <w:szCs w:val="22"/>
        </w:rPr>
        <w:t>funciones</w:t>
      </w:r>
      <w:r w:rsidRPr="005E410F">
        <w:rPr>
          <w:rFonts w:ascii="Palatino Linotype" w:eastAsia="Palatino Linotype" w:hAnsi="Palatino Linotype" w:cs="Palatino Linotype"/>
          <w:i/>
          <w:sz w:val="22"/>
          <w:szCs w:val="22"/>
        </w:rPr>
        <w:t>:</w:t>
      </w:r>
    </w:p>
    <w:p w14:paraId="4BFD9A7D"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X. Presentar ante el Comité, el proyecto de clasificación de información</w:t>
      </w:r>
      <w:r w:rsidRPr="005E410F">
        <w:rPr>
          <w:rFonts w:ascii="Palatino Linotype" w:eastAsia="Palatino Linotype" w:hAnsi="Palatino Linotype" w:cs="Palatino Linotype"/>
          <w:i/>
          <w:sz w:val="22"/>
          <w:szCs w:val="22"/>
        </w:rPr>
        <w:t xml:space="preserve">…” </w:t>
      </w:r>
    </w:p>
    <w:p w14:paraId="5B1C98B5"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“Artículo 59.</w:t>
      </w:r>
      <w:r w:rsidRPr="005E410F">
        <w:rPr>
          <w:rFonts w:ascii="Palatino Linotype" w:eastAsia="Palatino Linotype" w:hAnsi="Palatino Linotype" w:cs="Palatino Linotype"/>
          <w:i/>
          <w:sz w:val="22"/>
          <w:szCs w:val="22"/>
        </w:rPr>
        <w:t xml:space="preserve"> Los </w:t>
      </w:r>
      <w:r w:rsidRPr="005E410F">
        <w:rPr>
          <w:rFonts w:ascii="Palatino Linotype" w:eastAsia="Palatino Linotype" w:hAnsi="Palatino Linotype" w:cs="Palatino Linotype"/>
          <w:b/>
          <w:i/>
          <w:sz w:val="22"/>
          <w:szCs w:val="22"/>
        </w:rPr>
        <w:t>servidores públicos habilitados</w:t>
      </w:r>
      <w:r w:rsidRPr="005E410F">
        <w:rPr>
          <w:rFonts w:ascii="Palatino Linotype" w:eastAsia="Palatino Linotype" w:hAnsi="Palatino Linotype" w:cs="Palatino Linotype"/>
          <w:i/>
          <w:sz w:val="22"/>
          <w:szCs w:val="22"/>
        </w:rPr>
        <w:t xml:space="preserve"> tendrán las </w:t>
      </w:r>
      <w:r w:rsidRPr="005E410F">
        <w:rPr>
          <w:rFonts w:ascii="Palatino Linotype" w:eastAsia="Palatino Linotype" w:hAnsi="Palatino Linotype" w:cs="Palatino Linotype"/>
          <w:b/>
          <w:i/>
          <w:sz w:val="22"/>
          <w:szCs w:val="22"/>
        </w:rPr>
        <w:t>funciones</w:t>
      </w:r>
      <w:r w:rsidRPr="005E410F">
        <w:rPr>
          <w:rFonts w:ascii="Palatino Linotype" w:eastAsia="Palatino Linotype" w:hAnsi="Palatino Linotype" w:cs="Palatino Linotype"/>
          <w:i/>
          <w:sz w:val="22"/>
          <w:szCs w:val="22"/>
        </w:rPr>
        <w:t xml:space="preserve"> siguientes:</w:t>
      </w:r>
    </w:p>
    <w:p w14:paraId="731B35C9" w14:textId="77777777" w:rsidR="00A12EBB" w:rsidRPr="005E410F" w:rsidRDefault="00AD46E7">
      <w:pP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V. Integrar y presentar al responsable de la Unidad de Transparencia la propuesta de clasificación de información</w:t>
      </w:r>
      <w:r w:rsidRPr="005E410F">
        <w:rPr>
          <w:rFonts w:ascii="Palatino Linotype" w:eastAsia="Palatino Linotype" w:hAnsi="Palatino Linotype" w:cs="Palatino Linotype"/>
          <w:i/>
          <w:sz w:val="22"/>
          <w:szCs w:val="22"/>
        </w:rPr>
        <w:t>, la cual tendrá los fundamentos y argumentos en que se basa dicha propuesta</w:t>
      </w:r>
      <w:proofErr w:type="gramStart"/>
      <w:r w:rsidRPr="005E410F">
        <w:rPr>
          <w:rFonts w:ascii="Palatino Linotype" w:eastAsia="Palatino Linotype" w:hAnsi="Palatino Linotype" w:cs="Palatino Linotype"/>
          <w:i/>
          <w:sz w:val="22"/>
          <w:szCs w:val="22"/>
        </w:rPr>
        <w:t>…”(</w:t>
      </w:r>
      <w:proofErr w:type="gramEnd"/>
      <w:r w:rsidRPr="005E410F">
        <w:rPr>
          <w:rFonts w:ascii="Palatino Linotype" w:eastAsia="Palatino Linotype" w:hAnsi="Palatino Linotype" w:cs="Palatino Linotype"/>
          <w:i/>
          <w:sz w:val="22"/>
          <w:szCs w:val="22"/>
        </w:rPr>
        <w:t>Sic)</w:t>
      </w:r>
    </w:p>
    <w:p w14:paraId="75EB5EA5" w14:textId="77777777" w:rsidR="00A12EBB" w:rsidRPr="005E410F" w:rsidRDefault="00A12EBB">
      <w:pPr>
        <w:ind w:left="992" w:right="1043"/>
        <w:jc w:val="both"/>
        <w:rPr>
          <w:rFonts w:ascii="Palatino Linotype" w:eastAsia="Palatino Linotype" w:hAnsi="Palatino Linotype" w:cs="Palatino Linotype"/>
          <w:i/>
          <w:sz w:val="22"/>
          <w:szCs w:val="22"/>
        </w:rPr>
      </w:pPr>
    </w:p>
    <w:p w14:paraId="619ADF3E"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Denotándose de dichos elementos normativos que el determinar la clasificación de la información es un trabajo en conjunto tanto de los Servidores Públicos Habilitados, de las Unidades de Transparencia y del Comité de Transparencia del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teniendo el deber los primeros de ellos de presentar ante la Unidad de Transparencia la propuesta de la 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0D733EBE"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193AC41C"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Para lo cual, a su vez en el caso de información de carácter confidencial, se debe atender a lo que señala el artículo 149 de la Ley de Transparencia Local vigente, que se lee como sigue:</w:t>
      </w:r>
    </w:p>
    <w:p w14:paraId="7E822BC7"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62D667AE" w14:textId="77777777" w:rsidR="00A12EBB" w:rsidRPr="005E410F" w:rsidRDefault="00AD46E7">
      <w:pPr>
        <w:spacing w:after="24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Artículo 149.</w:t>
      </w:r>
      <w:r w:rsidRPr="005E410F">
        <w:rPr>
          <w:rFonts w:ascii="Palatino Linotype" w:eastAsia="Palatino Linotype" w:hAnsi="Palatino Linotype" w:cs="Palatino Linotype"/>
          <w:i/>
          <w:sz w:val="22"/>
          <w:szCs w:val="22"/>
        </w:rPr>
        <w:t xml:space="preserve"> El </w:t>
      </w:r>
      <w:r w:rsidRPr="005E410F">
        <w:rPr>
          <w:rFonts w:ascii="Palatino Linotype" w:eastAsia="Palatino Linotype" w:hAnsi="Palatino Linotype" w:cs="Palatino Linotype"/>
          <w:b/>
          <w:i/>
          <w:sz w:val="22"/>
          <w:szCs w:val="22"/>
        </w:rPr>
        <w:t>acuerdo que clasifique la información como confidencial</w:t>
      </w:r>
      <w:r w:rsidRPr="005E410F">
        <w:rPr>
          <w:rFonts w:ascii="Palatino Linotype" w:eastAsia="Palatino Linotype" w:hAnsi="Palatino Linotype" w:cs="Palatino Linotype"/>
          <w:i/>
          <w:sz w:val="22"/>
          <w:szCs w:val="22"/>
        </w:rPr>
        <w:t xml:space="preserve"> deberá contener un razonamiento lógico en el que demuestre que la información se encuentra en alguna o algunas de las hipótesis previstas en la presente Ley.” </w:t>
      </w:r>
    </w:p>
    <w:p w14:paraId="565457C0" w14:textId="77777777" w:rsidR="00A12EBB" w:rsidRPr="005E410F" w:rsidRDefault="00A12EBB">
      <w:pPr>
        <w:spacing w:before="240" w:line="360" w:lineRule="auto"/>
        <w:ind w:right="51"/>
        <w:jc w:val="both"/>
        <w:rPr>
          <w:rFonts w:ascii="Palatino Linotype" w:eastAsia="Palatino Linotype" w:hAnsi="Palatino Linotype" w:cs="Palatino Linotype"/>
          <w:sz w:val="22"/>
          <w:szCs w:val="22"/>
        </w:rPr>
      </w:pPr>
    </w:p>
    <w:p w14:paraId="7CB73CE9" w14:textId="77777777" w:rsidR="00A12EBB" w:rsidRPr="005E410F" w:rsidRDefault="00AD46E7">
      <w:pPr>
        <w:spacing w:line="360" w:lineRule="auto"/>
        <w:ind w:right="51"/>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Es decir,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1CA8A085" w14:textId="77777777" w:rsidR="00A12EBB" w:rsidRPr="005E410F" w:rsidRDefault="00A12EBB">
      <w:pPr>
        <w:spacing w:line="360" w:lineRule="auto"/>
        <w:ind w:right="51"/>
        <w:jc w:val="both"/>
        <w:rPr>
          <w:rFonts w:ascii="Palatino Linotype" w:eastAsia="Palatino Linotype" w:hAnsi="Palatino Linotype" w:cs="Palatino Linotype"/>
          <w:sz w:val="22"/>
          <w:szCs w:val="22"/>
        </w:rPr>
      </w:pPr>
    </w:p>
    <w:p w14:paraId="0C22DB1F"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 xml:space="preserve">Al respecto, se destaca que la versión pública que elabore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debe cumplir con las formalidades exigidas en la Ley; es decir, resulta necesario que el Comité de Transparencia del Sujeto Obligado emita el Acuerdo de Clasificación correspondiente debidamente fundado y motivado, que sustente la versión pública, el cual deberá cumplir cabalmente con las formalidades previstas en el artículo 137 de la Ley de Transparencia y Acceso a la Información Pública del Estado de México y Municipios, ya expuesto; así como con los numerales aplicables de los </w:t>
      </w:r>
      <w:r w:rsidRPr="005E410F">
        <w:rPr>
          <w:rFonts w:ascii="Palatino Linotype" w:eastAsia="Palatino Linotype" w:hAnsi="Palatino Linotype" w:cs="Palatino Linotype"/>
          <w:b/>
          <w:sz w:val="22"/>
          <w:szCs w:val="22"/>
        </w:rPr>
        <w:t>LINEAMIENTOS GENERALES EN MATERIA DE CLASIFICACIÓN Y DESCLASIFICACIÓN DE LA INFORMACIÓN, ASÍ COMO PARA LA ELABORACIÓN DE VERSIONES PÚBLICAS</w:t>
      </w:r>
      <w:r w:rsidRPr="005E410F">
        <w:rPr>
          <w:rFonts w:ascii="Palatino Linotype" w:eastAsia="Palatino Linotype" w:hAnsi="Palatino Linotype" w:cs="Palatino Linotype"/>
          <w:sz w:val="22"/>
          <w:szCs w:val="22"/>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303CEEB5" w14:textId="77777777" w:rsidR="00A12EBB" w:rsidRPr="005E410F" w:rsidRDefault="00A12EBB">
      <w:pPr>
        <w:ind w:left="709" w:right="709"/>
        <w:jc w:val="both"/>
        <w:rPr>
          <w:rFonts w:ascii="Palatino Linotype" w:eastAsia="Palatino Linotype" w:hAnsi="Palatino Linotype" w:cs="Palatino Linotype"/>
          <w:b/>
          <w:i/>
          <w:sz w:val="22"/>
          <w:szCs w:val="22"/>
        </w:rPr>
      </w:pPr>
    </w:p>
    <w:p w14:paraId="2C9E634E"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w:t>
      </w:r>
      <w:r w:rsidRPr="005E410F">
        <w:rPr>
          <w:rFonts w:ascii="Palatino Linotype" w:eastAsia="Palatino Linotype" w:hAnsi="Palatino Linotype" w:cs="Palatino Linotype"/>
          <w:b/>
          <w:i/>
          <w:sz w:val="22"/>
          <w:szCs w:val="22"/>
        </w:rPr>
        <w:t>Lineamientos Generales en materia de Clasificación y Desclasificación de la Información, así como para la elaboración de Versiones Públicas</w:t>
      </w:r>
    </w:p>
    <w:p w14:paraId="53548119"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w:t>
      </w:r>
      <w:proofErr w:type="gramStart"/>
      <w:r w:rsidRPr="005E410F">
        <w:rPr>
          <w:rFonts w:ascii="Palatino Linotype" w:eastAsia="Palatino Linotype" w:hAnsi="Palatino Linotype" w:cs="Palatino Linotype"/>
          <w:b/>
          <w:i/>
          <w:sz w:val="22"/>
          <w:szCs w:val="22"/>
        </w:rPr>
        <w:t>Segundo.-</w:t>
      </w:r>
      <w:proofErr w:type="gramEnd"/>
      <w:r w:rsidRPr="005E410F">
        <w:rPr>
          <w:rFonts w:ascii="Palatino Linotype" w:eastAsia="Palatino Linotype" w:hAnsi="Palatino Linotype" w:cs="Palatino Linotype"/>
          <w:i/>
          <w:sz w:val="22"/>
          <w:szCs w:val="22"/>
        </w:rPr>
        <w:t xml:space="preserve"> Para efectos de los presentes Lineamientos Generales, se entenderá por:</w:t>
      </w:r>
    </w:p>
    <w:p w14:paraId="6BE98D25"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XVIII.</w:t>
      </w:r>
      <w:r w:rsidRPr="005E410F">
        <w:rPr>
          <w:rFonts w:ascii="Palatino Linotype" w:eastAsia="Palatino Linotype" w:hAnsi="Palatino Linotype" w:cs="Palatino Linotype"/>
          <w:i/>
          <w:sz w:val="22"/>
          <w:szCs w:val="22"/>
        </w:rPr>
        <w:t xml:space="preserve"> </w:t>
      </w:r>
      <w:r w:rsidRPr="005E410F">
        <w:rPr>
          <w:rFonts w:ascii="Palatino Linotype" w:eastAsia="Palatino Linotype" w:hAnsi="Palatino Linotype" w:cs="Palatino Linotype"/>
          <w:b/>
          <w:i/>
          <w:sz w:val="22"/>
          <w:szCs w:val="22"/>
        </w:rPr>
        <w:t>Versión pública:</w:t>
      </w:r>
      <w:r w:rsidRPr="005E410F">
        <w:rPr>
          <w:rFonts w:ascii="Palatino Linotype" w:eastAsia="Palatino Linotype" w:hAnsi="Palatino Linotype" w:cs="Palatino Linotype"/>
          <w:i/>
          <w:sz w:val="22"/>
          <w:szCs w:val="22"/>
        </w:rPr>
        <w:t xml:space="preserve"> El documento a partir del que se otorga acceso a la información, en el que se testan partes o secciones clasificadas, indicando el contenido de éstas de manera genérica, </w:t>
      </w:r>
      <w:r w:rsidRPr="005E410F">
        <w:rPr>
          <w:rFonts w:ascii="Palatino Linotype" w:eastAsia="Palatino Linotype" w:hAnsi="Palatino Linotype" w:cs="Palatino Linotype"/>
          <w:b/>
          <w:i/>
          <w:sz w:val="22"/>
          <w:szCs w:val="22"/>
          <w:u w:val="single"/>
        </w:rPr>
        <w:t>fundando y motivando la</w:t>
      </w:r>
      <w:r w:rsidRPr="005E410F">
        <w:rPr>
          <w:rFonts w:ascii="Palatino Linotype" w:eastAsia="Palatino Linotype" w:hAnsi="Palatino Linotype" w:cs="Palatino Linotype"/>
          <w:i/>
          <w:sz w:val="22"/>
          <w:szCs w:val="22"/>
        </w:rPr>
        <w:t xml:space="preserve"> reserva o </w:t>
      </w:r>
      <w:r w:rsidRPr="005E410F">
        <w:rPr>
          <w:rFonts w:ascii="Palatino Linotype" w:eastAsia="Palatino Linotype" w:hAnsi="Palatino Linotype" w:cs="Palatino Linotype"/>
          <w:b/>
          <w:i/>
          <w:sz w:val="22"/>
          <w:szCs w:val="22"/>
          <w:u w:val="single"/>
        </w:rPr>
        <w:t>confidencialidad</w:t>
      </w:r>
      <w:r w:rsidRPr="005E410F">
        <w:rPr>
          <w:rFonts w:ascii="Palatino Linotype" w:eastAsia="Palatino Linotype" w:hAnsi="Palatino Linotype" w:cs="Palatino Linotype"/>
          <w:i/>
          <w:sz w:val="22"/>
          <w:szCs w:val="22"/>
        </w:rPr>
        <w:t>, a través de la resolución que para tal efecto emita el Comité de Transparencia.</w:t>
      </w:r>
    </w:p>
    <w:p w14:paraId="79D8C850"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Cuarto.</w:t>
      </w:r>
      <w:r w:rsidRPr="005E410F">
        <w:rPr>
          <w:rFonts w:ascii="Palatino Linotype" w:eastAsia="Palatino Linotype" w:hAnsi="Palatino Linotype" w:cs="Palatino Linotype"/>
          <w:i/>
          <w:sz w:val="22"/>
          <w:szCs w:val="22"/>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0C899948"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Los sujetos obligados deberán aplicar, de manera estricta, las excepciones al derecho de acceso a la información y sólo podrán invocarlas cuando acrediten su procedencia.</w:t>
      </w:r>
    </w:p>
    <w:p w14:paraId="15CA0825"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Quinto.</w:t>
      </w:r>
      <w:r w:rsidRPr="005E410F">
        <w:rPr>
          <w:rFonts w:ascii="Palatino Linotype" w:eastAsia="Palatino Linotype" w:hAnsi="Palatino Linotype" w:cs="Palatino Linotype"/>
          <w:i/>
          <w:sz w:val="22"/>
          <w:szCs w:val="22"/>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w:t>
      </w:r>
      <w:r w:rsidRPr="005E410F">
        <w:rPr>
          <w:rFonts w:ascii="Palatino Linotype" w:eastAsia="Palatino Linotype" w:hAnsi="Palatino Linotype" w:cs="Palatino Linotype"/>
          <w:i/>
          <w:sz w:val="22"/>
          <w:szCs w:val="22"/>
        </w:rPr>
        <w:lastRenderedPageBreak/>
        <w:t>información ante una solicitud de acceso o al momento en que generen versiones públicas para dar cumplimiento a las obligaciones de transparencia, observando lo dispuesto en la Ley General y las demás disposiciones aplicables en la materia.</w:t>
      </w:r>
    </w:p>
    <w:p w14:paraId="02A734A2"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w:t>
      </w:r>
    </w:p>
    <w:p w14:paraId="639ADF60"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Séptimo.</w:t>
      </w:r>
      <w:r w:rsidRPr="005E410F">
        <w:rPr>
          <w:rFonts w:ascii="Palatino Linotype" w:eastAsia="Palatino Linotype" w:hAnsi="Palatino Linotype" w:cs="Palatino Linotype"/>
          <w:i/>
          <w:sz w:val="22"/>
          <w:szCs w:val="22"/>
        </w:rPr>
        <w:t xml:space="preserve"> La clasificación de la información se llevará a cabo en el momento en que:</w:t>
      </w:r>
    </w:p>
    <w:p w14:paraId="47784C61"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I.</w:t>
      </w:r>
      <w:r w:rsidRPr="005E410F">
        <w:rPr>
          <w:rFonts w:ascii="Palatino Linotype" w:eastAsia="Palatino Linotype" w:hAnsi="Palatino Linotype" w:cs="Palatino Linotype"/>
          <w:i/>
          <w:sz w:val="22"/>
          <w:szCs w:val="22"/>
        </w:rPr>
        <w:t xml:space="preserve"> Se reciba una solicitud de acceso a la información;</w:t>
      </w:r>
    </w:p>
    <w:p w14:paraId="6D17024C"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II.</w:t>
      </w:r>
      <w:r w:rsidRPr="005E410F">
        <w:rPr>
          <w:rFonts w:ascii="Palatino Linotype" w:eastAsia="Palatino Linotype" w:hAnsi="Palatino Linotype" w:cs="Palatino Linotype"/>
          <w:i/>
          <w:sz w:val="22"/>
          <w:szCs w:val="22"/>
        </w:rPr>
        <w:t xml:space="preserve"> </w:t>
      </w:r>
      <w:proofErr w:type="gramStart"/>
      <w:r w:rsidRPr="005E410F">
        <w:rPr>
          <w:rFonts w:ascii="Palatino Linotype" w:eastAsia="Palatino Linotype" w:hAnsi="Palatino Linotype" w:cs="Palatino Linotype"/>
          <w:i/>
          <w:sz w:val="22"/>
          <w:szCs w:val="22"/>
        </w:rPr>
        <w:t>Se  determine</w:t>
      </w:r>
      <w:proofErr w:type="gramEnd"/>
      <w:r w:rsidRPr="005E410F">
        <w:rPr>
          <w:rFonts w:ascii="Palatino Linotype" w:eastAsia="Palatino Linotype" w:hAnsi="Palatino Linotype" w:cs="Palatino Linotype"/>
          <w:i/>
          <w:sz w:val="22"/>
          <w:szCs w:val="22"/>
        </w:rPr>
        <w:t xml:space="preserve"> mediante resolución del Comité de Transparencia, el órgano garante </w:t>
      </w:r>
    </w:p>
    <w:p w14:paraId="26C00E61"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competente, o en cumplimiento a una sentencia del Poder Judicial; o</w:t>
      </w:r>
    </w:p>
    <w:p w14:paraId="30F460F4"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III.</w:t>
      </w:r>
      <w:r w:rsidRPr="005E410F">
        <w:rPr>
          <w:rFonts w:ascii="Palatino Linotype" w:eastAsia="Palatino Linotype" w:hAnsi="Palatino Linotype" w:cs="Palatino Linotype"/>
          <w:i/>
          <w:sz w:val="22"/>
          <w:szCs w:val="22"/>
        </w:rPr>
        <w:t xml:space="preserve"> Se generen versiones públicas para dar cumplimiento a las obligaciones de transparencia previstas en la Ley General, la Ley Federal y las correspondientes de las entidades federativas.</w:t>
      </w:r>
    </w:p>
    <w:p w14:paraId="2A382F95"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Los titulares de las áreas deberán revisar la clasificación al momento de la recepción de una solicitud de acceso a la información, para verificar si encuadra en una causal de reserva o de confidencialidad.</w:t>
      </w:r>
    </w:p>
    <w:p w14:paraId="488630C9"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Octavo.</w:t>
      </w:r>
      <w:r w:rsidRPr="005E410F">
        <w:rPr>
          <w:rFonts w:ascii="Palatino Linotype" w:eastAsia="Palatino Linotype" w:hAnsi="Palatino Linotype" w:cs="Palatino Linotype"/>
          <w:i/>
          <w:sz w:val="22"/>
          <w:szCs w:val="22"/>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5F0A57B3"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Para motivar la clasificación se deberán señalar las razones o circunstancias especiales que lo llevaron a concluir que el caso particular se ajusta al supuesto previsto por la norma legal invocada como fundamento.</w:t>
      </w:r>
    </w:p>
    <w:p w14:paraId="2AD34F36"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En caso de referirse a información reservada, la motivación de la clasificación deberá comprender el análisis de la prueba de daño a que hace referencia el artículo 104 de la Ley General, en relación con el artículo trigésimo tercero de los presentes lineamientos, así como las circunstancias que justifican el establecimiento de determinado plazo de reserva. </w:t>
      </w:r>
    </w:p>
    <w:p w14:paraId="079294A6"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Noveno.</w:t>
      </w:r>
      <w:r w:rsidRPr="005E410F">
        <w:rPr>
          <w:rFonts w:ascii="Palatino Linotype" w:eastAsia="Palatino Linotype" w:hAnsi="Palatino Linotype" w:cs="Palatino Linotype"/>
          <w:i/>
          <w:sz w:val="22"/>
          <w:szCs w:val="22"/>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1D5D6977"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Décimo.</w:t>
      </w:r>
      <w:r w:rsidRPr="005E410F">
        <w:rPr>
          <w:rFonts w:ascii="Palatino Linotype" w:eastAsia="Palatino Linotype" w:hAnsi="Palatino Linotype" w:cs="Palatino Linotype"/>
          <w:i/>
          <w:sz w:val="22"/>
          <w:szCs w:val="22"/>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23A3C6CF"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lastRenderedPageBreak/>
        <w:t>En ausencia de los titulares de las áreas, la información será clasificada o desclasificada por la persona que lo supla, en términos de la normativa que rija la actuación del sujeto obligado.</w:t>
      </w:r>
    </w:p>
    <w:p w14:paraId="5D0EBF1A"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Décimo primero.</w:t>
      </w:r>
      <w:r w:rsidRPr="005E410F">
        <w:rPr>
          <w:rFonts w:ascii="Palatino Linotype" w:eastAsia="Palatino Linotype" w:hAnsi="Palatino Linotype" w:cs="Palatino Linotype"/>
          <w:i/>
          <w:sz w:val="22"/>
          <w:szCs w:val="22"/>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19C6225D" w14:textId="77777777" w:rsidR="00A12EBB" w:rsidRPr="005E410F" w:rsidRDefault="00A12EBB">
      <w:pPr>
        <w:tabs>
          <w:tab w:val="left" w:pos="851"/>
          <w:tab w:val="left" w:pos="8080"/>
        </w:tabs>
        <w:ind w:left="851" w:right="616"/>
        <w:jc w:val="both"/>
        <w:rPr>
          <w:rFonts w:ascii="Palatino Linotype" w:eastAsia="Palatino Linotype" w:hAnsi="Palatino Linotype" w:cs="Palatino Linotype"/>
          <w:sz w:val="22"/>
          <w:szCs w:val="22"/>
        </w:rPr>
      </w:pPr>
    </w:p>
    <w:p w14:paraId="6120FC0F" w14:textId="77777777" w:rsidR="00A12EBB" w:rsidRPr="005E410F" w:rsidRDefault="00AD46E7">
      <w:pPr>
        <w:tabs>
          <w:tab w:val="left" w:pos="851"/>
          <w:tab w:val="left" w:pos="8080"/>
        </w:tabs>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w:t>
      </w:r>
    </w:p>
    <w:p w14:paraId="4972C715" w14:textId="77777777" w:rsidR="00A12EBB" w:rsidRPr="005E410F" w:rsidRDefault="00AD46E7">
      <w:pPr>
        <w:tabs>
          <w:tab w:val="left" w:pos="851"/>
          <w:tab w:val="left" w:pos="8080"/>
        </w:tabs>
        <w:ind w:left="851" w:right="616"/>
        <w:jc w:val="center"/>
        <w:rPr>
          <w:rFonts w:ascii="Palatino Linotype" w:eastAsia="Palatino Linotype" w:hAnsi="Palatino Linotype" w:cs="Palatino Linotype"/>
          <w:sz w:val="22"/>
          <w:szCs w:val="22"/>
        </w:rPr>
      </w:pPr>
      <w:r w:rsidRPr="005E410F">
        <w:rPr>
          <w:rFonts w:ascii="Palatino Linotype" w:eastAsia="Palatino Linotype" w:hAnsi="Palatino Linotype" w:cs="Palatino Linotype"/>
          <w:b/>
          <w:i/>
          <w:sz w:val="22"/>
          <w:szCs w:val="22"/>
        </w:rPr>
        <w:t>CAPÍTULO VIII</w:t>
      </w:r>
    </w:p>
    <w:p w14:paraId="534C3F3A" w14:textId="77777777" w:rsidR="00A12EBB" w:rsidRPr="005E410F" w:rsidRDefault="00AD46E7">
      <w:pPr>
        <w:tabs>
          <w:tab w:val="left" w:pos="851"/>
          <w:tab w:val="left" w:pos="8080"/>
        </w:tabs>
        <w:spacing w:after="160"/>
        <w:ind w:left="851" w:right="616"/>
        <w:jc w:val="center"/>
        <w:rPr>
          <w:rFonts w:ascii="Palatino Linotype" w:eastAsia="Palatino Linotype" w:hAnsi="Palatino Linotype" w:cs="Palatino Linotype"/>
          <w:b/>
          <w:i/>
          <w:sz w:val="22"/>
          <w:szCs w:val="22"/>
        </w:rPr>
      </w:pPr>
      <w:r w:rsidRPr="005E410F">
        <w:rPr>
          <w:rFonts w:ascii="Palatino Linotype" w:eastAsia="Palatino Linotype" w:hAnsi="Palatino Linotype" w:cs="Palatino Linotype"/>
          <w:b/>
          <w:i/>
          <w:sz w:val="22"/>
          <w:szCs w:val="22"/>
        </w:rPr>
        <w:t>DE LOS ELEMENTOS PARA LA CLASIFICACIÓN</w:t>
      </w:r>
    </w:p>
    <w:p w14:paraId="2F2282AA"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Quincuagésimo</w:t>
      </w:r>
      <w:r w:rsidRPr="005E410F">
        <w:rPr>
          <w:rFonts w:ascii="Palatino Linotype" w:eastAsia="Palatino Linotype" w:hAnsi="Palatino Linotype" w:cs="Palatino Linotype"/>
          <w:i/>
          <w:sz w:val="22"/>
          <w:szCs w:val="22"/>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59FB917E"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Quincuagésimo primero</w:t>
      </w:r>
      <w:r w:rsidRPr="005E410F">
        <w:rPr>
          <w:rFonts w:ascii="Palatino Linotype" w:eastAsia="Palatino Linotype" w:hAnsi="Palatino Linotype" w:cs="Palatino Linotype"/>
          <w:i/>
          <w:sz w:val="22"/>
          <w:szCs w:val="22"/>
        </w:rPr>
        <w:t>. Toda acta del Comité de Transparencia deberá contener:</w:t>
      </w:r>
    </w:p>
    <w:p w14:paraId="23097188"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I. El número de sesión y fecha; </w:t>
      </w:r>
    </w:p>
    <w:p w14:paraId="3C553151"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II. El nombre del área que solicitó la clasificación de información;</w:t>
      </w:r>
    </w:p>
    <w:p w14:paraId="2B51D222"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III. La fundamentación legal y motivación correspondiente;</w:t>
      </w:r>
    </w:p>
    <w:p w14:paraId="7CF736CB"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IV. La resolución o resoluciones aprobadas; y</w:t>
      </w:r>
    </w:p>
    <w:p w14:paraId="32FDFEC9"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V. La rúbrica o firma digital de cada integrante del Comité de Transparencia. </w:t>
      </w:r>
    </w:p>
    <w:p w14:paraId="5524345E"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Las resoluciones del Comité en las que se haya determinado confirmar o modificar la clasificación de información pública como reservada, deberán incluir, cuando menos:</w:t>
      </w:r>
    </w:p>
    <w:p w14:paraId="68F9E1B2"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 Los motivos y razonamientos que sustenten la confirmación o modificación de la prueba de daño;</w:t>
      </w:r>
    </w:p>
    <w:p w14:paraId="55546AEA"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II. Descripción de las partes o secciones reservadas, en caso de clasificación parcial;</w:t>
      </w:r>
    </w:p>
    <w:p w14:paraId="22967983"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III. El periodo por el que mantendrá su clasificación y fecha de expiración; y</w:t>
      </w:r>
    </w:p>
    <w:p w14:paraId="01C05CA7"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IV. El nombre del titular y área encargada de realizar la versión pública del documento, en su caso.</w:t>
      </w:r>
    </w:p>
    <w:p w14:paraId="4BAF1FC6"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En los casos en que se clasifique la información como reservada siempre se entregará o anexará la prueba de daño con la respuesta al solicitante. </w:t>
      </w:r>
    </w:p>
    <w:p w14:paraId="1862D61C"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lastRenderedPageBreak/>
        <w:t>En los casos de resoluciones del Comité de Transparencia en las que se confirme la clasificación de información confidencial solo se deberán de identificar los tipos de datos protegidos, de conformidad con el lineamiento trigésimo octavo.</w:t>
      </w:r>
    </w:p>
    <w:p w14:paraId="22BCBF39"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b/>
          <w:i/>
          <w:sz w:val="22"/>
          <w:szCs w:val="22"/>
        </w:rPr>
        <w:t>Quincuagésimo segundo</w:t>
      </w:r>
      <w:r w:rsidRPr="005E410F">
        <w:rPr>
          <w:rFonts w:ascii="Palatino Linotype" w:eastAsia="Palatino Linotype" w:hAnsi="Palatino Linotype" w:cs="Palatino Linotype"/>
          <w:i/>
          <w:sz w:val="22"/>
          <w:szCs w:val="22"/>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3E00B963"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En el caso específico de la clasificación y elaboración de versiones públicas de documentos que contengan información confidencial, las áreas de los sujetos obligados deberán:</w:t>
      </w:r>
    </w:p>
    <w:p w14:paraId="3CD4CFF9"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 Fijar la fecha en que se elaboró la versión pública y la fecha en la cual el Comité de Transparencia confirmó dicha versión;</w:t>
      </w:r>
    </w:p>
    <w:p w14:paraId="4B3B6876"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II. Señalar dentro del documento el tipo de información confidencial que fue testada en cada caso específico, de conformidad con el lineamiento trigésimo octavo; y</w:t>
      </w:r>
    </w:p>
    <w:p w14:paraId="41234B03"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III. Señalar las personas o instancias autorizadas a acceder a la información clasificada.</w:t>
      </w:r>
    </w:p>
    <w:p w14:paraId="02018B42"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En los documentos de difusión electrónica, señalar en la primera hoja y en el nombre del archivo, que la versión pública corresponde a un documento que contiene información confidencial.</w:t>
      </w:r>
    </w:p>
    <w:p w14:paraId="10481C4D"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w:t>
      </w:r>
    </w:p>
    <w:p w14:paraId="397267BA"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Quincuagésimo cuarto. Cuando el Comité de Transparencia confirme la clasificación de documentos reservados y/o confidenciales,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p>
    <w:p w14:paraId="75022C6C" w14:textId="77777777" w:rsidR="00A12EBB" w:rsidRPr="005E410F" w:rsidRDefault="00AD46E7">
      <w:pPr>
        <w:tabs>
          <w:tab w:val="left" w:pos="851"/>
          <w:tab w:val="left" w:pos="8080"/>
        </w:tabs>
        <w:spacing w:after="160"/>
        <w:ind w:left="851" w:right="616"/>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i/>
          <w:sz w:val="22"/>
          <w:szCs w:val="22"/>
        </w:rPr>
        <w:t xml:space="preserve">Quincuagésimo quinto. Cada área del sujeto obligado podrá designar formalmente a una o más personas como responsables del </w:t>
      </w:r>
      <w:proofErr w:type="spellStart"/>
      <w:r w:rsidRPr="005E410F">
        <w:rPr>
          <w:rFonts w:ascii="Palatino Linotype" w:eastAsia="Palatino Linotype" w:hAnsi="Palatino Linotype" w:cs="Palatino Linotype"/>
          <w:i/>
          <w:sz w:val="22"/>
          <w:szCs w:val="22"/>
        </w:rPr>
        <w:t>testado</w:t>
      </w:r>
      <w:proofErr w:type="spellEnd"/>
      <w:r w:rsidRPr="005E410F">
        <w:rPr>
          <w:rFonts w:ascii="Palatino Linotype" w:eastAsia="Palatino Linotype" w:hAnsi="Palatino Linotype" w:cs="Palatino Linotype"/>
          <w:i/>
          <w:sz w:val="22"/>
          <w:szCs w:val="22"/>
        </w:rPr>
        <w:t>,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w:t>
      </w:r>
      <w:r w:rsidRPr="005E410F">
        <w:rPr>
          <w:rFonts w:ascii="Palatino Linotype" w:eastAsia="Palatino Linotype" w:hAnsi="Palatino Linotype" w:cs="Palatino Linotype"/>
          <w:sz w:val="22"/>
          <w:szCs w:val="22"/>
        </w:rPr>
        <w:t>.</w:t>
      </w:r>
    </w:p>
    <w:p w14:paraId="6F6F33FA"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1829EAB2" w14:textId="77777777" w:rsidR="00A12EBB" w:rsidRPr="005E410F" w:rsidRDefault="00AD46E7">
      <w:pPr>
        <w:spacing w:line="360" w:lineRule="auto"/>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lastRenderedPageBreak/>
        <w:t>Efectivamente, cuando se clasifica información como confidencial es importante someterlo al Comité de Transparencia, quien debe confirmar, modificar o revocar la clasificación.</w:t>
      </w:r>
    </w:p>
    <w:p w14:paraId="1B1D5F4C" w14:textId="77777777" w:rsidR="00A12EBB" w:rsidRPr="005E410F" w:rsidRDefault="00A12EBB">
      <w:pPr>
        <w:spacing w:line="360" w:lineRule="auto"/>
        <w:jc w:val="both"/>
        <w:rPr>
          <w:rFonts w:ascii="Palatino Linotype" w:eastAsia="Palatino Linotype" w:hAnsi="Palatino Linotype" w:cs="Palatino Linotype"/>
          <w:sz w:val="22"/>
          <w:szCs w:val="22"/>
        </w:rPr>
      </w:pPr>
    </w:p>
    <w:p w14:paraId="50DD95AA" w14:textId="77777777" w:rsidR="00A12EBB" w:rsidRPr="005E410F" w:rsidRDefault="00AD46E7">
      <w:pPr>
        <w:shd w:val="clear" w:color="auto" w:fill="FFFFFF"/>
        <w:spacing w:line="360" w:lineRule="auto"/>
        <w:ind w:right="51"/>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sz w:val="22"/>
          <w:szCs w:val="22"/>
        </w:rPr>
        <w:t xml:space="preserve">Por lo tanto, la entrega de documentos en su versión pública debe acompañarse necesariamente del Acuerdo del Comité de Transparencia que la sustente, en el que se expongan los fundamentos y razonamientos que llevaron al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del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w:t>
      </w:r>
    </w:p>
    <w:p w14:paraId="5FC3774B" w14:textId="77777777" w:rsidR="00A12EBB" w:rsidRPr="005E410F" w:rsidRDefault="00AD46E7">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bookmarkStart w:id="4" w:name="_heading=h.3dy6vkm" w:colFirst="0" w:colLast="0"/>
      <w:bookmarkEnd w:id="4"/>
      <w:r w:rsidRPr="005E410F">
        <w:rPr>
          <w:rFonts w:ascii="Palatino Linotype" w:eastAsia="Palatino Linotype" w:hAnsi="Palatino Linotype" w:cs="Palatino Linotype"/>
          <w:sz w:val="22"/>
          <w:szCs w:val="22"/>
        </w:rPr>
        <w:t>Así, con fundamento en lo prescrito en los artículos 5 párrafos trigésimo tercero, trigésimo cuarto y trigésimo quinto, fracciones IV y V de la Constitución Política del Estado Libre y Soberano de México; 2, fracción II; 29, 36 fracciones I y II; 176, 178, 181, 185 y 186 fracción II de la Ley de Transparencia y Acceso a la Información Pública del Estado de México y Municipios, este Pleno:</w:t>
      </w:r>
    </w:p>
    <w:p w14:paraId="68C45E99" w14:textId="77777777" w:rsidR="00A12EBB" w:rsidRPr="005E410F" w:rsidRDefault="00AD46E7">
      <w:pPr>
        <w:spacing w:line="360" w:lineRule="auto"/>
        <w:ind w:left="567"/>
        <w:jc w:val="center"/>
        <w:rPr>
          <w:rFonts w:ascii="Palatino Linotype" w:eastAsia="Palatino Linotype" w:hAnsi="Palatino Linotype" w:cs="Palatino Linotype"/>
          <w:b/>
          <w:sz w:val="22"/>
          <w:szCs w:val="22"/>
        </w:rPr>
      </w:pPr>
      <w:r w:rsidRPr="005E410F">
        <w:rPr>
          <w:rFonts w:ascii="Palatino Linotype" w:eastAsia="Palatino Linotype" w:hAnsi="Palatino Linotype" w:cs="Palatino Linotype"/>
          <w:b/>
          <w:sz w:val="22"/>
          <w:szCs w:val="22"/>
        </w:rPr>
        <w:t>R E S U E L V E</w:t>
      </w:r>
    </w:p>
    <w:p w14:paraId="506DF211" w14:textId="77777777" w:rsidR="00A12EBB" w:rsidRPr="005E410F" w:rsidRDefault="00AD46E7">
      <w:pP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Primero.</w:t>
      </w:r>
      <w:r w:rsidRPr="005E410F">
        <w:rPr>
          <w:rFonts w:ascii="Palatino Linotype" w:eastAsia="Palatino Linotype" w:hAnsi="Palatino Linotype" w:cs="Palatino Linotype"/>
          <w:sz w:val="22"/>
          <w:szCs w:val="22"/>
        </w:rPr>
        <w:t xml:space="preserve"> Resultan </w:t>
      </w:r>
      <w:r w:rsidRPr="005E410F">
        <w:rPr>
          <w:rFonts w:ascii="Palatino Linotype" w:eastAsia="Palatino Linotype" w:hAnsi="Palatino Linotype" w:cs="Palatino Linotype"/>
          <w:b/>
          <w:sz w:val="22"/>
          <w:szCs w:val="22"/>
        </w:rPr>
        <w:t>fundados</w:t>
      </w:r>
      <w:r w:rsidRPr="005E410F">
        <w:rPr>
          <w:rFonts w:ascii="Palatino Linotype" w:eastAsia="Palatino Linotype" w:hAnsi="Palatino Linotype" w:cs="Palatino Linotype"/>
          <w:sz w:val="22"/>
          <w:szCs w:val="22"/>
        </w:rPr>
        <w:t xml:space="preserve"> los motivos de inconformidad hechos valer por la parte </w:t>
      </w:r>
      <w:r w:rsidRPr="005E410F">
        <w:rPr>
          <w:rFonts w:ascii="Palatino Linotype" w:eastAsia="Palatino Linotype" w:hAnsi="Palatino Linotype" w:cs="Palatino Linotype"/>
          <w:b/>
          <w:sz w:val="22"/>
          <w:szCs w:val="22"/>
        </w:rPr>
        <w:t>Recurrente</w:t>
      </w:r>
      <w:r w:rsidRPr="005E410F">
        <w:rPr>
          <w:rFonts w:ascii="Palatino Linotype" w:eastAsia="Palatino Linotype" w:hAnsi="Palatino Linotype" w:cs="Palatino Linotype"/>
          <w:sz w:val="22"/>
          <w:szCs w:val="22"/>
        </w:rPr>
        <w:t xml:space="preserve"> en el Recurso de Revisión </w:t>
      </w:r>
      <w:r w:rsidRPr="005E410F">
        <w:rPr>
          <w:rFonts w:ascii="Palatino Linotype" w:eastAsia="Palatino Linotype" w:hAnsi="Palatino Linotype" w:cs="Palatino Linotype"/>
          <w:b/>
          <w:sz w:val="22"/>
          <w:szCs w:val="22"/>
        </w:rPr>
        <w:t>00589/INFOEM/IP/RR/2025</w:t>
      </w:r>
      <w:r w:rsidRPr="005E410F">
        <w:rPr>
          <w:rFonts w:ascii="Palatino Linotype" w:eastAsia="Palatino Linotype" w:hAnsi="Palatino Linotype" w:cs="Palatino Linotype"/>
          <w:sz w:val="22"/>
          <w:szCs w:val="22"/>
        </w:rPr>
        <w:t xml:space="preserve">, por lo que, en términos del </w:t>
      </w:r>
      <w:r w:rsidRPr="005E410F">
        <w:rPr>
          <w:rFonts w:ascii="Palatino Linotype" w:eastAsia="Palatino Linotype" w:hAnsi="Palatino Linotype" w:cs="Palatino Linotype"/>
          <w:b/>
          <w:sz w:val="22"/>
          <w:szCs w:val="22"/>
        </w:rPr>
        <w:t xml:space="preserve">Considerando Cuarto </w:t>
      </w:r>
      <w:r w:rsidRPr="005E410F">
        <w:rPr>
          <w:rFonts w:ascii="Palatino Linotype" w:eastAsia="Palatino Linotype" w:hAnsi="Palatino Linotype" w:cs="Palatino Linotype"/>
          <w:sz w:val="22"/>
          <w:szCs w:val="22"/>
        </w:rPr>
        <w:t xml:space="preserve">de esta resolución, se </w:t>
      </w:r>
      <w:r w:rsidRPr="005E410F">
        <w:rPr>
          <w:rFonts w:ascii="Palatino Linotype" w:eastAsia="Palatino Linotype" w:hAnsi="Palatino Linotype" w:cs="Palatino Linotype"/>
          <w:b/>
          <w:sz w:val="22"/>
          <w:szCs w:val="22"/>
        </w:rPr>
        <w:t xml:space="preserve">Modifica </w:t>
      </w:r>
      <w:r w:rsidRPr="005E410F">
        <w:rPr>
          <w:rFonts w:ascii="Palatino Linotype" w:eastAsia="Palatino Linotype" w:hAnsi="Palatino Linotype" w:cs="Palatino Linotype"/>
          <w:sz w:val="22"/>
          <w:szCs w:val="22"/>
        </w:rPr>
        <w:t xml:space="preserve">la respuesta emitida por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w:t>
      </w:r>
    </w:p>
    <w:p w14:paraId="24EC51E4" w14:textId="77777777" w:rsidR="00A12EBB" w:rsidRPr="005E410F" w:rsidRDefault="00A12EBB">
      <w:pPr>
        <w:spacing w:line="360" w:lineRule="auto"/>
        <w:ind w:right="49"/>
        <w:jc w:val="both"/>
        <w:rPr>
          <w:rFonts w:ascii="Palatino Linotype" w:eastAsia="Palatino Linotype" w:hAnsi="Palatino Linotype" w:cs="Palatino Linotype"/>
          <w:sz w:val="22"/>
          <w:szCs w:val="22"/>
        </w:rPr>
      </w:pPr>
    </w:p>
    <w:p w14:paraId="190E57E5" w14:textId="77777777" w:rsidR="00A12EBB" w:rsidRPr="005E410F" w:rsidRDefault="00AD46E7">
      <w:pP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lastRenderedPageBreak/>
        <w:t>Segundo</w:t>
      </w:r>
      <w:r w:rsidRPr="005E410F">
        <w:rPr>
          <w:rFonts w:ascii="Palatino Linotype" w:eastAsia="Palatino Linotype" w:hAnsi="Palatino Linotype" w:cs="Palatino Linotype"/>
          <w:sz w:val="22"/>
          <w:szCs w:val="22"/>
        </w:rPr>
        <w:t xml:space="preserve">. Se </w:t>
      </w:r>
      <w:r w:rsidRPr="005E410F">
        <w:rPr>
          <w:rFonts w:ascii="Palatino Linotype" w:eastAsia="Palatino Linotype" w:hAnsi="Palatino Linotype" w:cs="Palatino Linotype"/>
          <w:b/>
          <w:sz w:val="22"/>
          <w:szCs w:val="22"/>
        </w:rPr>
        <w:t>ordena</w:t>
      </w:r>
      <w:r w:rsidRPr="005E410F">
        <w:rPr>
          <w:rFonts w:ascii="Palatino Linotype" w:eastAsia="Palatino Linotype" w:hAnsi="Palatino Linotype" w:cs="Palatino Linotype"/>
          <w:sz w:val="22"/>
          <w:szCs w:val="22"/>
        </w:rPr>
        <w:t xml:space="preserve"> al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w:t>
      </w:r>
      <w:proofErr w:type="gramStart"/>
      <w:r w:rsidRPr="005E410F">
        <w:rPr>
          <w:rFonts w:ascii="Palatino Linotype" w:eastAsia="Palatino Linotype" w:hAnsi="Palatino Linotype" w:cs="Palatino Linotype"/>
          <w:sz w:val="22"/>
          <w:szCs w:val="22"/>
        </w:rPr>
        <w:t>que</w:t>
      </w:r>
      <w:proofErr w:type="gramEnd"/>
      <w:r w:rsidRPr="005E410F">
        <w:rPr>
          <w:rFonts w:ascii="Palatino Linotype" w:eastAsia="Palatino Linotype" w:hAnsi="Palatino Linotype" w:cs="Palatino Linotype"/>
          <w:sz w:val="22"/>
          <w:szCs w:val="22"/>
        </w:rPr>
        <w:t xml:space="preserve"> en términos del </w:t>
      </w:r>
      <w:r w:rsidRPr="005E410F">
        <w:rPr>
          <w:rFonts w:ascii="Palatino Linotype" w:eastAsia="Palatino Linotype" w:hAnsi="Palatino Linotype" w:cs="Palatino Linotype"/>
          <w:b/>
          <w:sz w:val="22"/>
          <w:szCs w:val="22"/>
        </w:rPr>
        <w:t>Considerando Cuarto y Quinto</w:t>
      </w:r>
      <w:r w:rsidRPr="005E410F">
        <w:rPr>
          <w:rFonts w:ascii="Palatino Linotype" w:eastAsia="Palatino Linotype" w:hAnsi="Palatino Linotype" w:cs="Palatino Linotype"/>
          <w:sz w:val="22"/>
          <w:szCs w:val="22"/>
        </w:rPr>
        <w:t xml:space="preserve">, haga entrega vía Sistema de Acceso a la Información Mexiquense, previa búsqueda exhaustiva y razonable, de ser procedente en versión pública, de lo siguiente: </w:t>
      </w:r>
    </w:p>
    <w:p w14:paraId="564EAB48" w14:textId="77777777" w:rsidR="00A12EBB" w:rsidRPr="005E410F" w:rsidRDefault="00A12EBB">
      <w:pPr>
        <w:spacing w:line="360" w:lineRule="auto"/>
        <w:ind w:right="49"/>
        <w:jc w:val="both"/>
        <w:rPr>
          <w:rFonts w:ascii="Palatino Linotype" w:eastAsia="Palatino Linotype" w:hAnsi="Palatino Linotype" w:cs="Palatino Linotype"/>
          <w:sz w:val="22"/>
          <w:szCs w:val="22"/>
        </w:rPr>
      </w:pPr>
    </w:p>
    <w:p w14:paraId="230DC0C0" w14:textId="77777777" w:rsidR="00A12EBB" w:rsidRPr="005E410F" w:rsidRDefault="00AD46E7">
      <w:pPr>
        <w:numPr>
          <w:ilvl w:val="0"/>
          <w:numId w:val="1"/>
        </w:numPr>
        <w:pBdr>
          <w:top w:val="nil"/>
          <w:left w:val="nil"/>
          <w:bottom w:val="nil"/>
          <w:right w:val="nil"/>
          <w:between w:val="nil"/>
        </w:pBdr>
        <w:spacing w:line="276" w:lineRule="auto"/>
        <w:ind w:left="851" w:right="616"/>
        <w:jc w:val="both"/>
        <w:rPr>
          <w:rFonts w:ascii="Palatino Linotype" w:eastAsia="Palatino Linotype" w:hAnsi="Palatino Linotype" w:cs="Palatino Linotype"/>
          <w:b/>
          <w:i/>
          <w:sz w:val="22"/>
          <w:szCs w:val="22"/>
        </w:rPr>
      </w:pPr>
      <w:bookmarkStart w:id="5" w:name="_heading=h.1fob9te" w:colFirst="0" w:colLast="0"/>
      <w:bookmarkEnd w:id="5"/>
      <w:r w:rsidRPr="005E410F">
        <w:rPr>
          <w:rFonts w:ascii="Palatino Linotype" w:eastAsia="Palatino Linotype" w:hAnsi="Palatino Linotype" w:cs="Palatino Linotype"/>
          <w:b/>
          <w:i/>
          <w:sz w:val="22"/>
          <w:szCs w:val="22"/>
        </w:rPr>
        <w:t xml:space="preserve">De la Sindica Municipal referida en la solicitud de información: </w:t>
      </w:r>
    </w:p>
    <w:p w14:paraId="61A84630" w14:textId="77777777" w:rsidR="00A12EBB" w:rsidRPr="005E410F" w:rsidRDefault="00AD46E7">
      <w:pPr>
        <w:numPr>
          <w:ilvl w:val="0"/>
          <w:numId w:val="2"/>
        </w:numPr>
        <w:pBdr>
          <w:top w:val="nil"/>
          <w:left w:val="nil"/>
          <w:bottom w:val="nil"/>
          <w:right w:val="nil"/>
          <w:between w:val="nil"/>
        </w:pBdr>
        <w:spacing w:line="276" w:lineRule="auto"/>
        <w:ind w:left="1276"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Currículum vitae.</w:t>
      </w:r>
    </w:p>
    <w:p w14:paraId="0F99815F" w14:textId="77777777" w:rsidR="00A12EBB" w:rsidRPr="005E410F" w:rsidRDefault="00AD46E7">
      <w:pPr>
        <w:numPr>
          <w:ilvl w:val="0"/>
          <w:numId w:val="2"/>
        </w:numPr>
        <w:pBdr>
          <w:top w:val="nil"/>
          <w:left w:val="nil"/>
          <w:bottom w:val="nil"/>
          <w:right w:val="nil"/>
          <w:between w:val="nil"/>
        </w:pBdr>
        <w:spacing w:line="276" w:lineRule="auto"/>
        <w:ind w:left="1276"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Constancia de mayoría. </w:t>
      </w:r>
    </w:p>
    <w:p w14:paraId="0F04DC80" w14:textId="77777777" w:rsidR="00A12EBB" w:rsidRPr="005E410F" w:rsidRDefault="00A12EBB">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p>
    <w:p w14:paraId="488BDCD0" w14:textId="77777777" w:rsidR="00A12EBB" w:rsidRPr="005E410F" w:rsidRDefault="00AD46E7">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5E410F">
        <w:rPr>
          <w:rFonts w:ascii="Palatino Linotype" w:eastAsia="Palatino Linotype" w:hAnsi="Palatino Linotype" w:cs="Palatino Linotype"/>
          <w:i/>
          <w:sz w:val="22"/>
          <w:szCs w:val="22"/>
        </w:rPr>
        <w:t xml:space="preserve">Deberá emitir el Acuerdo del Comité de Transparencia en términos de la Ley de Transparencia y Acceso a la Información Pública del Estado de México y Municipios, en el que funde y motive las razones sobre los datos que se supriman o eliminen y se ponga a disposición de la parte </w:t>
      </w:r>
      <w:r w:rsidRPr="005E410F">
        <w:rPr>
          <w:rFonts w:ascii="Palatino Linotype" w:eastAsia="Palatino Linotype" w:hAnsi="Palatino Linotype" w:cs="Palatino Linotype"/>
          <w:b/>
          <w:i/>
          <w:sz w:val="22"/>
          <w:szCs w:val="22"/>
        </w:rPr>
        <w:t>Recurrente.</w:t>
      </w:r>
    </w:p>
    <w:p w14:paraId="38A2E7E3" w14:textId="77777777" w:rsidR="00A12EBB" w:rsidRPr="005E410F" w:rsidRDefault="00A12EBB">
      <w:pPr>
        <w:pBdr>
          <w:top w:val="nil"/>
          <w:left w:val="nil"/>
          <w:bottom w:val="nil"/>
          <w:right w:val="nil"/>
          <w:between w:val="nil"/>
        </w:pBdr>
        <w:spacing w:line="276" w:lineRule="auto"/>
        <w:ind w:left="1080" w:right="616"/>
        <w:jc w:val="both"/>
        <w:rPr>
          <w:rFonts w:ascii="Palatino Linotype" w:eastAsia="Palatino Linotype" w:hAnsi="Palatino Linotype" w:cs="Palatino Linotype"/>
          <w:i/>
          <w:sz w:val="22"/>
          <w:szCs w:val="22"/>
        </w:rPr>
      </w:pPr>
    </w:p>
    <w:p w14:paraId="5CA6BE83" w14:textId="77777777" w:rsidR="00A12EBB" w:rsidRPr="005E410F" w:rsidRDefault="00AD46E7">
      <w:pPr>
        <w:spacing w:line="360" w:lineRule="auto"/>
        <w:ind w:right="49"/>
        <w:jc w:val="both"/>
        <w:rPr>
          <w:rFonts w:ascii="Palatino Linotype" w:eastAsia="Palatino Linotype" w:hAnsi="Palatino Linotype" w:cs="Palatino Linotype"/>
          <w:b/>
          <w:sz w:val="22"/>
          <w:szCs w:val="22"/>
        </w:rPr>
      </w:pPr>
      <w:r w:rsidRPr="005E410F">
        <w:rPr>
          <w:rFonts w:ascii="Palatino Linotype" w:eastAsia="Palatino Linotype" w:hAnsi="Palatino Linotype" w:cs="Palatino Linotype"/>
          <w:b/>
          <w:sz w:val="22"/>
          <w:szCs w:val="22"/>
        </w:rPr>
        <w:t>Tercero.</w:t>
      </w:r>
      <w:r w:rsidRPr="005E410F">
        <w:rPr>
          <w:rFonts w:ascii="Palatino Linotype" w:eastAsia="Palatino Linotype" w:hAnsi="Palatino Linotype" w:cs="Palatino Linotype"/>
          <w:sz w:val="22"/>
          <w:szCs w:val="22"/>
        </w:rPr>
        <w:t xml:space="preserve"> </w:t>
      </w:r>
      <w:r w:rsidRPr="005E410F">
        <w:rPr>
          <w:rFonts w:ascii="Palatino Linotype" w:eastAsia="Palatino Linotype" w:hAnsi="Palatino Linotype" w:cs="Palatino Linotype"/>
          <w:b/>
          <w:sz w:val="22"/>
          <w:szCs w:val="22"/>
        </w:rPr>
        <w:t xml:space="preserve">Notifíquese, </w:t>
      </w:r>
      <w:r w:rsidRPr="005E410F">
        <w:rPr>
          <w:rFonts w:ascii="Palatino Linotype" w:eastAsia="Palatino Linotype" w:hAnsi="Palatino Linotype" w:cs="Palatino Linotype"/>
          <w:sz w:val="22"/>
          <w:szCs w:val="22"/>
        </w:rPr>
        <w:t xml:space="preserve">vía </w:t>
      </w:r>
      <w:r w:rsidRPr="005E410F">
        <w:rPr>
          <w:rFonts w:ascii="Palatino Linotype" w:eastAsia="Palatino Linotype" w:hAnsi="Palatino Linotype" w:cs="Palatino Linotype"/>
          <w:b/>
          <w:sz w:val="22"/>
          <w:szCs w:val="22"/>
        </w:rPr>
        <w:t xml:space="preserve">SAIMEX </w:t>
      </w:r>
      <w:r w:rsidRPr="005E410F">
        <w:rPr>
          <w:rFonts w:ascii="Palatino Linotype" w:eastAsia="Palatino Linotype" w:hAnsi="Palatino Linotype" w:cs="Palatino Linotype"/>
          <w:sz w:val="22"/>
          <w:szCs w:val="22"/>
        </w:rPr>
        <w:t xml:space="preserve">la presente resolución a la </w:t>
      </w:r>
      <w:r w:rsidRPr="005E410F">
        <w:rPr>
          <w:rFonts w:ascii="Palatino Linotype" w:eastAsia="Palatino Linotype" w:hAnsi="Palatino Linotype" w:cs="Palatino Linotype"/>
          <w:b/>
          <w:sz w:val="22"/>
          <w:szCs w:val="22"/>
        </w:rPr>
        <w:t xml:space="preserve">Titular de la Unidad de Transparencia </w:t>
      </w:r>
      <w:r w:rsidRPr="005E410F">
        <w:rPr>
          <w:rFonts w:ascii="Palatino Linotype" w:eastAsia="Palatino Linotype" w:hAnsi="Palatino Linotype" w:cs="Palatino Linotype"/>
          <w:sz w:val="22"/>
          <w:szCs w:val="22"/>
        </w:rPr>
        <w:t xml:space="preserve">del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216de la Ley  de Transparencia y Acceso a la Información Pública del Estado de México y Municipios.</w:t>
      </w:r>
    </w:p>
    <w:p w14:paraId="03E799A2" w14:textId="77777777" w:rsidR="00A12EBB" w:rsidRPr="005E410F" w:rsidRDefault="00A12EBB">
      <w:pPr>
        <w:spacing w:line="360" w:lineRule="auto"/>
        <w:ind w:right="49"/>
        <w:jc w:val="both"/>
        <w:rPr>
          <w:rFonts w:ascii="Palatino Linotype" w:eastAsia="Palatino Linotype" w:hAnsi="Palatino Linotype" w:cs="Palatino Linotype"/>
          <w:sz w:val="22"/>
          <w:szCs w:val="22"/>
        </w:rPr>
      </w:pPr>
    </w:p>
    <w:p w14:paraId="66FDA0DC" w14:textId="77777777" w:rsidR="00A12EBB" w:rsidRPr="005E410F" w:rsidRDefault="00AD46E7">
      <w:pP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t>Cuarto.</w:t>
      </w:r>
      <w:r w:rsidRPr="005E410F">
        <w:rPr>
          <w:rFonts w:ascii="Palatino Linotype" w:eastAsia="Palatino Linotype" w:hAnsi="Palatino Linotype" w:cs="Palatino Linotype"/>
          <w:sz w:val="22"/>
          <w:szCs w:val="22"/>
        </w:rPr>
        <w:t xml:space="preserve"> </w:t>
      </w:r>
      <w:r w:rsidRPr="005E410F">
        <w:rPr>
          <w:rFonts w:ascii="Palatino Linotype" w:eastAsia="Palatino Linotype" w:hAnsi="Palatino Linotype" w:cs="Palatino Linotype"/>
          <w:b/>
          <w:sz w:val="22"/>
          <w:szCs w:val="22"/>
        </w:rPr>
        <w:t xml:space="preserve">Notifíquese </w:t>
      </w:r>
      <w:r w:rsidRPr="005E410F">
        <w:rPr>
          <w:rFonts w:ascii="Palatino Linotype" w:eastAsia="Palatino Linotype" w:hAnsi="Palatino Linotype" w:cs="Palatino Linotype"/>
          <w:sz w:val="22"/>
          <w:szCs w:val="22"/>
        </w:rPr>
        <w:t>vía</w:t>
      </w:r>
      <w:r w:rsidRPr="005E410F">
        <w:rPr>
          <w:rFonts w:ascii="Palatino Linotype" w:eastAsia="Palatino Linotype" w:hAnsi="Palatino Linotype" w:cs="Palatino Linotype"/>
          <w:b/>
          <w:sz w:val="22"/>
          <w:szCs w:val="22"/>
        </w:rPr>
        <w:t xml:space="preserve"> SAIMEX </w:t>
      </w:r>
      <w:r w:rsidRPr="005E410F">
        <w:rPr>
          <w:rFonts w:ascii="Palatino Linotype" w:eastAsia="Palatino Linotype" w:hAnsi="Palatino Linotype" w:cs="Palatino Linotype"/>
          <w:sz w:val="22"/>
          <w:szCs w:val="22"/>
        </w:rPr>
        <w:t xml:space="preserve">a la parte </w:t>
      </w:r>
      <w:r w:rsidRPr="005E410F">
        <w:rPr>
          <w:rFonts w:ascii="Palatino Linotype" w:eastAsia="Palatino Linotype" w:hAnsi="Palatino Linotype" w:cs="Palatino Linotype"/>
          <w:b/>
          <w:sz w:val="22"/>
          <w:szCs w:val="22"/>
        </w:rPr>
        <w:t xml:space="preserve">Recurrente </w:t>
      </w:r>
      <w:r w:rsidRPr="005E410F">
        <w:rPr>
          <w:rFonts w:ascii="Palatino Linotype" w:eastAsia="Palatino Linotype" w:hAnsi="Palatino Linotype" w:cs="Palatino Linotype"/>
          <w:sz w:val="22"/>
          <w:szCs w:val="22"/>
        </w:rPr>
        <w:t xml:space="preserve">la presente resolución, así como, que de conformidad con lo establecido en el artículo 196 de la Ley de Transparencia y Acceso a la Información Pública del Estado de México y Municipios, podrá impugnar la presente resolución vía Juicio de Amparo en los términos de las leyes aplicables. </w:t>
      </w:r>
    </w:p>
    <w:p w14:paraId="2B10FCED" w14:textId="77777777" w:rsidR="00A12EBB" w:rsidRPr="005E410F" w:rsidRDefault="00A12EBB">
      <w:pPr>
        <w:spacing w:line="360" w:lineRule="auto"/>
        <w:ind w:right="49"/>
        <w:jc w:val="both"/>
        <w:rPr>
          <w:rFonts w:ascii="Palatino Linotype" w:eastAsia="Palatino Linotype" w:hAnsi="Palatino Linotype" w:cs="Palatino Linotype"/>
          <w:sz w:val="22"/>
          <w:szCs w:val="22"/>
        </w:rPr>
      </w:pPr>
    </w:p>
    <w:p w14:paraId="45C3E43E" w14:textId="77777777" w:rsidR="00A12EBB" w:rsidRPr="005E410F" w:rsidRDefault="00AD46E7">
      <w:pPr>
        <w:spacing w:line="360" w:lineRule="auto"/>
        <w:ind w:right="49"/>
        <w:jc w:val="both"/>
        <w:rPr>
          <w:rFonts w:ascii="Palatino Linotype" w:eastAsia="Palatino Linotype" w:hAnsi="Palatino Linotype" w:cs="Palatino Linotype"/>
          <w:sz w:val="22"/>
          <w:szCs w:val="22"/>
        </w:rPr>
      </w:pPr>
      <w:r w:rsidRPr="005E410F">
        <w:rPr>
          <w:rFonts w:ascii="Palatino Linotype" w:eastAsia="Palatino Linotype" w:hAnsi="Palatino Linotype" w:cs="Palatino Linotype"/>
          <w:b/>
          <w:sz w:val="22"/>
          <w:szCs w:val="22"/>
        </w:rPr>
        <w:lastRenderedPageBreak/>
        <w:t>Quinto.</w:t>
      </w:r>
      <w:r w:rsidRPr="005E410F">
        <w:rPr>
          <w:rFonts w:ascii="Palatino Linotype" w:eastAsia="Palatino Linotype" w:hAnsi="Palatino Linotype" w:cs="Palatino Linotype"/>
          <w:sz w:val="22"/>
          <w:szCs w:val="22"/>
        </w:rPr>
        <w:t xml:space="preserve"> De conformidad con el artículo 198 de la Ley de Transparencia y Acceso a la Información Pública del Estado de México y Municipios, de considerarlo procedente, el </w:t>
      </w:r>
      <w:r w:rsidRPr="005E410F">
        <w:rPr>
          <w:rFonts w:ascii="Palatino Linotype" w:eastAsia="Palatino Linotype" w:hAnsi="Palatino Linotype" w:cs="Palatino Linotype"/>
          <w:b/>
          <w:sz w:val="22"/>
          <w:szCs w:val="22"/>
        </w:rPr>
        <w:t>Sujeto Obligado</w:t>
      </w:r>
      <w:r w:rsidRPr="005E410F">
        <w:rPr>
          <w:rFonts w:ascii="Palatino Linotype" w:eastAsia="Palatino Linotype" w:hAnsi="Palatino Linotype" w:cs="Palatino Linotype"/>
          <w:sz w:val="22"/>
          <w:szCs w:val="22"/>
        </w:rPr>
        <w:t xml:space="preserve"> de manera fundada y motivada, podrá solicitar una ampliación de plazo para el cumplimiento de la presente resolución.</w:t>
      </w:r>
    </w:p>
    <w:p w14:paraId="0717F7B1" w14:textId="77777777" w:rsidR="00A12EBB" w:rsidRPr="005E410F" w:rsidRDefault="00A12EBB">
      <w:pPr>
        <w:spacing w:line="360" w:lineRule="auto"/>
        <w:ind w:right="49"/>
        <w:jc w:val="both"/>
        <w:rPr>
          <w:rFonts w:ascii="Palatino Linotype" w:eastAsia="Palatino Linotype" w:hAnsi="Palatino Linotype" w:cs="Palatino Linotype"/>
          <w:sz w:val="22"/>
          <w:szCs w:val="22"/>
        </w:rPr>
      </w:pPr>
    </w:p>
    <w:p w14:paraId="3D85FA9F" w14:textId="77777777" w:rsidR="00A12EBB" w:rsidRPr="00C31060" w:rsidRDefault="00AD46E7">
      <w:pPr>
        <w:spacing w:line="360" w:lineRule="auto"/>
        <w:jc w:val="both"/>
        <w:rPr>
          <w:rFonts w:ascii="Palatino Linotype" w:eastAsia="Palatino Linotype" w:hAnsi="Palatino Linotype" w:cs="Palatino Linotype"/>
          <w:sz w:val="22"/>
          <w:szCs w:val="22"/>
        </w:rPr>
        <w:sectPr w:rsidR="00A12EBB" w:rsidRPr="00C31060">
          <w:headerReference w:type="default" r:id="rId12"/>
          <w:footerReference w:type="default" r:id="rId13"/>
          <w:headerReference w:type="first" r:id="rId14"/>
          <w:footerReference w:type="first" r:id="rId15"/>
          <w:pgSz w:w="12240" w:h="15840"/>
          <w:pgMar w:top="2041" w:right="1701" w:bottom="1701" w:left="1701" w:header="709" w:footer="709" w:gutter="0"/>
          <w:pgNumType w:start="1"/>
          <w:cols w:space="720"/>
          <w:titlePg/>
        </w:sectPr>
      </w:pPr>
      <w:r w:rsidRPr="005E410F">
        <w:rPr>
          <w:rFonts w:ascii="Palatino Linotype" w:eastAsia="Palatino Linotype" w:hAnsi="Palatino Linotype" w:cs="Palatino Linotype"/>
          <w:sz w:val="22"/>
          <w:szCs w:val="22"/>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w:t>
      </w:r>
      <w:r w:rsidR="00813239" w:rsidRPr="005E410F">
        <w:rPr>
          <w:rFonts w:ascii="Palatino Linotype" w:eastAsia="Palatino Linotype" w:hAnsi="Palatino Linotype" w:cs="Palatino Linotype"/>
          <w:sz w:val="22"/>
          <w:szCs w:val="22"/>
        </w:rPr>
        <w:t xml:space="preserve"> (EMITIENDO VOTO PARTICULAR)</w:t>
      </w:r>
      <w:r w:rsidRPr="005E410F">
        <w:rPr>
          <w:rFonts w:ascii="Palatino Linotype" w:eastAsia="Palatino Linotype" w:hAnsi="Palatino Linotype" w:cs="Palatino Linotype"/>
          <w:sz w:val="22"/>
          <w:szCs w:val="22"/>
        </w:rPr>
        <w:t>; EN LA SÉPTIMA SESIÓN ORDINARIA CELEBRADA EL VEINTISÉIS DE FEBRERO DE DOS MIL VEINTICINCO, ANTE EL SECRETARIO TÉCNICO DEL PLENO ALEXIS TAPIA RAMÍREZ.</w:t>
      </w:r>
      <w:r w:rsidRPr="00C31060">
        <w:rPr>
          <w:rFonts w:ascii="Palatino Linotype" w:eastAsia="Palatino Linotype" w:hAnsi="Palatino Linotype" w:cs="Palatino Linotype"/>
          <w:sz w:val="22"/>
          <w:szCs w:val="22"/>
        </w:rPr>
        <w:t xml:space="preserve">                              </w:t>
      </w:r>
    </w:p>
    <w:p w14:paraId="57EC7DE0" w14:textId="77777777" w:rsidR="00A12EBB" w:rsidRPr="00C31060" w:rsidRDefault="00A12EBB">
      <w:pPr>
        <w:spacing w:line="360" w:lineRule="auto"/>
        <w:jc w:val="both"/>
        <w:rPr>
          <w:rFonts w:ascii="Palatino Linotype" w:eastAsia="Palatino Linotype" w:hAnsi="Palatino Linotype" w:cs="Palatino Linotype"/>
          <w:sz w:val="22"/>
          <w:szCs w:val="22"/>
        </w:rPr>
      </w:pPr>
    </w:p>
    <w:sectPr w:rsidR="00A12EBB" w:rsidRPr="00C31060">
      <w:headerReference w:type="first" r:id="rId16"/>
      <w:pgSz w:w="12240" w:h="15840"/>
      <w:pgMar w:top="2041" w:right="1701" w:bottom="1701" w:left="1701"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5C549" w14:textId="77777777" w:rsidR="002168B1" w:rsidRDefault="002168B1">
      <w:r>
        <w:separator/>
      </w:r>
    </w:p>
  </w:endnote>
  <w:endnote w:type="continuationSeparator" w:id="0">
    <w:p w14:paraId="4DDAEB46" w14:textId="77777777" w:rsidR="002168B1" w:rsidRDefault="002168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FFEA3" w14:textId="77777777" w:rsidR="00A12EBB" w:rsidRDefault="00AD46E7">
    <w:pPr>
      <w:pBdr>
        <w:top w:val="nil"/>
        <w:left w:val="nil"/>
        <w:bottom w:val="nil"/>
        <w:right w:val="nil"/>
        <w:between w:val="nil"/>
      </w:pBdr>
      <w:tabs>
        <w:tab w:val="center" w:pos="4252"/>
        <w:tab w:val="right" w:pos="8504"/>
      </w:tabs>
      <w:jc w:val="right"/>
      <w:rPr>
        <w:rFonts w:ascii="Arial" w:eastAsia="Arial" w:hAnsi="Arial" w:cs="Arial"/>
        <w:color w:val="000000"/>
        <w:sz w:val="20"/>
        <w:szCs w:val="2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5E410F">
      <w:rPr>
        <w:rFonts w:ascii="Arial" w:eastAsia="Arial" w:hAnsi="Arial" w:cs="Arial"/>
        <w:b/>
        <w:noProof/>
        <w:color w:val="000000"/>
        <w:sz w:val="20"/>
        <w:szCs w:val="20"/>
      </w:rPr>
      <w:t>48</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5E410F">
      <w:rPr>
        <w:rFonts w:ascii="Arial" w:eastAsia="Arial" w:hAnsi="Arial" w:cs="Arial"/>
        <w:b/>
        <w:noProof/>
        <w:color w:val="000000"/>
        <w:sz w:val="20"/>
        <w:szCs w:val="20"/>
      </w:rPr>
      <w:t>50</w:t>
    </w:r>
    <w:r>
      <w:rPr>
        <w:rFonts w:ascii="Arial" w:eastAsia="Arial" w:hAnsi="Arial" w:cs="Arial"/>
        <w:b/>
        <w:color w:val="000000"/>
        <w:sz w:val="20"/>
        <w:szCs w:val="20"/>
      </w:rPr>
      <w:fldChar w:fldCharType="end"/>
    </w:r>
  </w:p>
  <w:p w14:paraId="03289C32" w14:textId="77777777" w:rsidR="00A12EBB" w:rsidRDefault="00A12EBB">
    <w:pPr>
      <w:pBdr>
        <w:top w:val="nil"/>
        <w:left w:val="nil"/>
        <w:bottom w:val="nil"/>
        <w:right w:val="nil"/>
        <w:between w:val="nil"/>
      </w:pBdr>
      <w:tabs>
        <w:tab w:val="center" w:pos="4252"/>
        <w:tab w:val="right" w:pos="8504"/>
      </w:tabs>
      <w:rPr>
        <w:color w:val="000000"/>
      </w:rPr>
    </w:pPr>
  </w:p>
  <w:p w14:paraId="47FCC9A2" w14:textId="77777777" w:rsidR="00A12EBB" w:rsidRDefault="00A12EBB">
    <w:pPr>
      <w:pBdr>
        <w:top w:val="nil"/>
        <w:left w:val="nil"/>
        <w:bottom w:val="nil"/>
        <w:right w:val="nil"/>
        <w:between w:val="nil"/>
      </w:pBdr>
      <w:tabs>
        <w:tab w:val="center" w:pos="4252"/>
        <w:tab w:val="right" w:pos="8504"/>
      </w:tabs>
      <w:ind w:firstLine="708"/>
      <w:rPr>
        <w:rFonts w:ascii="Calibri" w:eastAsia="Calibri" w:hAnsi="Calibri" w:cs="Calibri"/>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F58C9" w14:textId="77777777" w:rsidR="00A12EBB" w:rsidRDefault="00AD46E7">
    <w:pPr>
      <w:pBdr>
        <w:top w:val="nil"/>
        <w:left w:val="nil"/>
        <w:bottom w:val="nil"/>
        <w:right w:val="nil"/>
        <w:between w:val="nil"/>
      </w:pBdr>
      <w:tabs>
        <w:tab w:val="center" w:pos="4252"/>
        <w:tab w:val="right" w:pos="8504"/>
      </w:tabs>
      <w:jc w:val="right"/>
      <w:rPr>
        <w:rFonts w:ascii="Arial" w:eastAsia="Arial" w:hAnsi="Arial" w:cs="Arial"/>
        <w:color w:val="000000"/>
        <w:sz w:val="20"/>
        <w:szCs w:val="2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5E410F">
      <w:rPr>
        <w:rFonts w:ascii="Arial" w:eastAsia="Arial" w:hAnsi="Arial" w:cs="Arial"/>
        <w:b/>
        <w:noProof/>
        <w:color w:val="000000"/>
        <w:sz w:val="20"/>
        <w:szCs w:val="20"/>
      </w:rPr>
      <w:t>50</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5E410F">
      <w:rPr>
        <w:rFonts w:ascii="Arial" w:eastAsia="Arial" w:hAnsi="Arial" w:cs="Arial"/>
        <w:b/>
        <w:noProof/>
        <w:color w:val="000000"/>
        <w:sz w:val="20"/>
        <w:szCs w:val="20"/>
      </w:rPr>
      <w:t>50</w:t>
    </w:r>
    <w:r>
      <w:rPr>
        <w:rFonts w:ascii="Arial" w:eastAsia="Arial" w:hAnsi="Arial" w:cs="Arial"/>
        <w:b/>
        <w:color w:val="000000"/>
        <w:sz w:val="20"/>
        <w:szCs w:val="20"/>
      </w:rPr>
      <w:fldChar w:fldCharType="end"/>
    </w:r>
  </w:p>
  <w:p w14:paraId="390DD8CF" w14:textId="77777777" w:rsidR="00A12EBB" w:rsidRDefault="00A12EBB">
    <w:pPr>
      <w:pBdr>
        <w:top w:val="nil"/>
        <w:left w:val="nil"/>
        <w:bottom w:val="nil"/>
        <w:right w:val="nil"/>
        <w:between w:val="nil"/>
      </w:pBdr>
      <w:tabs>
        <w:tab w:val="center" w:pos="4252"/>
        <w:tab w:val="right" w:pos="8504"/>
      </w:tabs>
      <w:rPr>
        <w:rFonts w:ascii="Calibri" w:eastAsia="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0A0A2A" w14:textId="77777777" w:rsidR="002168B1" w:rsidRDefault="002168B1">
      <w:r>
        <w:separator/>
      </w:r>
    </w:p>
  </w:footnote>
  <w:footnote w:type="continuationSeparator" w:id="0">
    <w:p w14:paraId="19069B71" w14:textId="77777777" w:rsidR="002168B1" w:rsidRDefault="002168B1">
      <w:r>
        <w:continuationSeparator/>
      </w:r>
    </w:p>
  </w:footnote>
  <w:footnote w:id="1">
    <w:p w14:paraId="55A0E208" w14:textId="77777777" w:rsidR="00A12EBB" w:rsidRDefault="00AD46E7">
      <w:pPr>
        <w:tabs>
          <w:tab w:val="left" w:pos="709"/>
        </w:tabs>
        <w:ind w:right="567"/>
        <w:jc w:val="both"/>
        <w:rPr>
          <w:rFonts w:ascii="Palatino Linotype" w:eastAsia="Palatino Linotype" w:hAnsi="Palatino Linotype" w:cs="Palatino Linotype"/>
          <w:sz w:val="16"/>
          <w:szCs w:val="16"/>
        </w:rPr>
      </w:pPr>
      <w:r>
        <w:rPr>
          <w:vertAlign w:val="superscript"/>
        </w:rPr>
        <w:footnoteRef/>
      </w:r>
      <w:r>
        <w:rPr>
          <w:rFonts w:ascii="Palatino Linotype" w:eastAsia="Palatino Linotype" w:hAnsi="Palatino Linotype" w:cs="Palatino Linotype"/>
          <w:sz w:val="16"/>
          <w:szCs w:val="16"/>
        </w:rPr>
        <w:t>“Artículo 12. Quienes generen, recopilen, administren, manejen, procesen, archiven o conserven información pública serán responsables de la misma en los términos de las disposiciones jurídicas aplicables.</w:t>
      </w:r>
    </w:p>
    <w:p w14:paraId="180C41B9" w14:textId="77777777" w:rsidR="00A12EBB" w:rsidRDefault="00AD46E7">
      <w:pPr>
        <w:tabs>
          <w:tab w:val="left" w:pos="709"/>
        </w:tabs>
        <w:ind w:right="567"/>
        <w:jc w:val="both"/>
        <w:rPr>
          <w:rFonts w:ascii="Palatino Linotype" w:eastAsia="Palatino Linotype" w:hAnsi="Palatino Linotype" w:cs="Palatino Linotype"/>
          <w:sz w:val="16"/>
          <w:szCs w:val="16"/>
        </w:rPr>
      </w:pPr>
      <w:r>
        <w:rPr>
          <w:rFonts w:ascii="Palatino Linotype" w:eastAsia="Palatino Linotype" w:hAnsi="Palatino Linotype" w:cs="Palatino Linotype"/>
          <w:sz w:val="16"/>
          <w:szCs w:val="16"/>
        </w:rPr>
        <w:t>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w:t>
      </w:r>
    </w:p>
  </w:footnote>
  <w:footnote w:id="2">
    <w:p w14:paraId="29421081" w14:textId="77777777" w:rsidR="00A12EBB" w:rsidRDefault="00AD46E7">
      <w:pPr>
        <w:tabs>
          <w:tab w:val="left" w:pos="709"/>
        </w:tabs>
        <w:ind w:right="567"/>
        <w:jc w:val="both"/>
        <w:rPr>
          <w:rFonts w:ascii="Palatino Linotype" w:eastAsia="Palatino Linotype" w:hAnsi="Palatino Linotype" w:cs="Palatino Linotype"/>
          <w:sz w:val="16"/>
          <w:szCs w:val="16"/>
        </w:rPr>
      </w:pPr>
      <w:r>
        <w:rPr>
          <w:vertAlign w:val="superscript"/>
        </w:rPr>
        <w:footnoteRef/>
      </w:r>
      <w:r>
        <w:rPr>
          <w:rFonts w:ascii="Palatino Linotype" w:eastAsia="Palatino Linotype" w:hAnsi="Palatino Linotype" w:cs="Palatino Linotype"/>
          <w:sz w:val="16"/>
          <w:szCs w:val="16"/>
        </w:rPr>
        <w:t xml:space="preserve"> Artículo 23. Son sujetos obligados a transparentar y permitir el acceso a su información y proteger los datos personales que obren en su poder…</w:t>
      </w:r>
    </w:p>
    <w:p w14:paraId="667FE47A" w14:textId="77777777" w:rsidR="00A12EBB" w:rsidRDefault="00AD46E7">
      <w:pPr>
        <w:tabs>
          <w:tab w:val="left" w:pos="709"/>
        </w:tabs>
        <w:ind w:right="567"/>
        <w:jc w:val="both"/>
        <w:rPr>
          <w:rFonts w:ascii="Palatino Linotype" w:eastAsia="Palatino Linotype" w:hAnsi="Palatino Linotype" w:cs="Palatino Linotype"/>
          <w:sz w:val="16"/>
          <w:szCs w:val="16"/>
        </w:rPr>
      </w:pPr>
      <w:r>
        <w:rPr>
          <w:rFonts w:ascii="Palatino Linotype" w:eastAsia="Palatino Linotype" w:hAnsi="Palatino Linotype" w:cs="Palatino Linotype"/>
          <w:sz w:val="16"/>
          <w:szCs w:val="16"/>
        </w:rPr>
        <w:t>IV. Los ayuntamientos y las dependencias, organismos, órganos y entidades de la administración municipal;…”(Sic)</w:t>
      </w:r>
    </w:p>
  </w:footnote>
  <w:footnote w:id="3">
    <w:p w14:paraId="536CFE53" w14:textId="77777777" w:rsidR="00A12EBB" w:rsidRDefault="00AD46E7">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color w:val="000000"/>
          <w:sz w:val="20"/>
          <w:szCs w:val="20"/>
        </w:rPr>
        <w:t xml:space="preserve"> </w:t>
      </w:r>
      <w:r>
        <w:rPr>
          <w:rFonts w:ascii="Palatino Linotype" w:eastAsia="Palatino Linotype" w:hAnsi="Palatino Linotype" w:cs="Palatino Linotype"/>
          <w:color w:val="000000"/>
          <w:sz w:val="16"/>
          <w:szCs w:val="16"/>
        </w:rPr>
        <w:t>“Artículo 9. El Instituto deberá regir su funcionamiento de acuerdo a los siguientes principios:</w:t>
      </w:r>
    </w:p>
    <w:p w14:paraId="1765A679" w14:textId="77777777" w:rsidR="00A12EBB" w:rsidRDefault="00AD46E7">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I. Certeza: Principio que otorga seguridad y certidumbre jurídica a los particulares, en virtud de que permite conocer si las acciones del Instituto son apegadas a derecho y garantiza que los procedimientos sean completamente verificables, fidedignos y confiable…</w:t>
      </w:r>
    </w:p>
    <w:p w14:paraId="31B02E26" w14:textId="77777777" w:rsidR="00A12EBB" w:rsidRDefault="00AD46E7">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VI. Legalidad: Obligación del Instituto de ajustar su actuación, que funde y motive sus resoluciones y actos en las normas aplicables…</w:t>
      </w:r>
    </w:p>
    <w:p w14:paraId="4EE73880" w14:textId="77777777" w:rsidR="00A12EBB" w:rsidRDefault="00AD46E7">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VIII. Objetividad: Obligación del Instituto de ajustar su actuación a los presupuestos de ley que deben ser aplicados al analizar el caso en concreto y resolver todos los hechos, prescindiendo de las consideraciones y criterios personales…” (Sic)</w:t>
      </w:r>
    </w:p>
  </w:footnote>
  <w:footnote w:id="4">
    <w:p w14:paraId="176F7865" w14:textId="77777777" w:rsidR="00A12EBB" w:rsidRDefault="00AD46E7">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“Artículo 11. En la generación, publicación y entrega de información se deberá garantizar que ésta sea accesible, actualizada, completa, </w:t>
      </w:r>
      <w:r>
        <w:rPr>
          <w:rFonts w:ascii="Palatino Linotype" w:eastAsia="Palatino Linotype" w:hAnsi="Palatino Linotype" w:cs="Palatino Linotype"/>
          <w:b/>
          <w:color w:val="000000"/>
          <w:sz w:val="16"/>
          <w:szCs w:val="16"/>
        </w:rPr>
        <w:t>congruente</w:t>
      </w:r>
      <w:r>
        <w:rPr>
          <w:rFonts w:ascii="Palatino Linotype" w:eastAsia="Palatino Linotype" w:hAnsi="Palatino Linotype" w:cs="Palatino Linotype"/>
          <w:color w:val="000000"/>
          <w:sz w:val="16"/>
          <w:szCs w:val="16"/>
        </w:rPr>
        <w:t>, confiable, verificable, veraz, integral, oportuna y expedita, sujeta a un claro régimen de excepciones que deberá estar definido y ser además legítima y estrictamente necesaria en una sociedad democrática, por lo que atenderá las necesidades del derecho de acceso a la información de toda persona…”(Sic)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86E5C" w14:textId="77777777" w:rsidR="00A12EBB" w:rsidRDefault="00AD46E7">
    <w:pPr>
      <w:widowControl w:val="0"/>
      <w:pBdr>
        <w:top w:val="nil"/>
        <w:left w:val="nil"/>
        <w:bottom w:val="nil"/>
        <w:right w:val="nil"/>
        <w:between w:val="nil"/>
      </w:pBdr>
      <w:spacing w:line="276" w:lineRule="auto"/>
      <w:rPr>
        <w:rFonts w:ascii="Calibri" w:eastAsia="Calibri" w:hAnsi="Calibri" w:cs="Calibri"/>
        <w:color w:val="000000"/>
      </w:rPr>
    </w:pPr>
    <w:r>
      <w:rPr>
        <w:noProof/>
        <w:lang w:val="es-MX" w:eastAsia="es-MX"/>
      </w:rPr>
      <w:drawing>
        <wp:anchor distT="0" distB="0" distL="0" distR="0" simplePos="0" relativeHeight="251658240" behindDoc="1" locked="0" layoutInCell="1" hidden="0" allowOverlap="1" wp14:anchorId="220BA26F" wp14:editId="33633B6A">
          <wp:simplePos x="0" y="0"/>
          <wp:positionH relativeFrom="column">
            <wp:posOffset>-638173</wp:posOffset>
          </wp:positionH>
          <wp:positionV relativeFrom="paragraph">
            <wp:posOffset>-450213</wp:posOffset>
          </wp:positionV>
          <wp:extent cx="7809876" cy="10165823"/>
          <wp:effectExtent l="0" t="0" r="0" b="0"/>
          <wp:wrapNone/>
          <wp:docPr id="161334313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76" cy="10165823"/>
                  </a:xfrm>
                  <a:prstGeom prst="rect">
                    <a:avLst/>
                  </a:prstGeom>
                  <a:ln/>
                </pic:spPr>
              </pic:pic>
            </a:graphicData>
          </a:graphic>
        </wp:anchor>
      </w:drawing>
    </w:r>
  </w:p>
  <w:tbl>
    <w:tblPr>
      <w:tblStyle w:val="af3"/>
      <w:tblW w:w="5528" w:type="dxa"/>
      <w:tblInd w:w="3261" w:type="dxa"/>
      <w:tblLayout w:type="fixed"/>
      <w:tblLook w:val="0400" w:firstRow="0" w:lastRow="0" w:firstColumn="0" w:lastColumn="0" w:noHBand="0" w:noVBand="1"/>
    </w:tblPr>
    <w:tblGrid>
      <w:gridCol w:w="2551"/>
      <w:gridCol w:w="2977"/>
    </w:tblGrid>
    <w:tr w:rsidR="00A12EBB" w14:paraId="6F72A509" w14:textId="77777777">
      <w:tc>
        <w:tcPr>
          <w:tcW w:w="2551" w:type="dxa"/>
          <w:vAlign w:val="center"/>
        </w:tcPr>
        <w:p w14:paraId="2B6EB0DD" w14:textId="77777777" w:rsidR="00A12EBB" w:rsidRDefault="00AD46E7">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2977" w:type="dxa"/>
          <w:vAlign w:val="center"/>
        </w:tcPr>
        <w:p w14:paraId="5083E846" w14:textId="77777777" w:rsidR="00A12EBB" w:rsidRDefault="00AD46E7">
          <w:pPr>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00589/INFOEM/IP/RR/2025</w:t>
          </w:r>
        </w:p>
      </w:tc>
    </w:tr>
    <w:tr w:rsidR="00A12EBB" w14:paraId="0FAE3F6F" w14:textId="77777777">
      <w:trPr>
        <w:trHeight w:val="228"/>
      </w:trPr>
      <w:tc>
        <w:tcPr>
          <w:tcW w:w="2551" w:type="dxa"/>
          <w:vAlign w:val="center"/>
        </w:tcPr>
        <w:p w14:paraId="1C3241C8" w14:textId="77777777" w:rsidR="00A12EBB" w:rsidRDefault="00AD46E7">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2977" w:type="dxa"/>
          <w:vAlign w:val="center"/>
        </w:tcPr>
        <w:p w14:paraId="4F1264B4" w14:textId="77777777" w:rsidR="00A12EBB" w:rsidRDefault="00AD46E7">
          <w:pPr>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Cocotitlán</w:t>
          </w:r>
        </w:p>
      </w:tc>
    </w:tr>
    <w:tr w:rsidR="00A12EBB" w14:paraId="7624493E" w14:textId="77777777">
      <w:tc>
        <w:tcPr>
          <w:tcW w:w="2551" w:type="dxa"/>
          <w:vAlign w:val="center"/>
        </w:tcPr>
        <w:p w14:paraId="2AC44A56" w14:textId="77777777" w:rsidR="00A12EBB" w:rsidRDefault="00AD46E7">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2977" w:type="dxa"/>
          <w:vAlign w:val="center"/>
        </w:tcPr>
        <w:p w14:paraId="476483E2" w14:textId="77777777" w:rsidR="00A12EBB" w:rsidRDefault="00AD46E7">
          <w:pPr>
            <w:ind w:right="-533"/>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691ACF0D" w14:textId="77777777" w:rsidR="00A12EBB" w:rsidRDefault="00AD46E7">
    <w:pPr>
      <w:pBdr>
        <w:top w:val="nil"/>
        <w:left w:val="nil"/>
        <w:bottom w:val="nil"/>
        <w:right w:val="nil"/>
        <w:between w:val="nil"/>
      </w:pBdr>
      <w:tabs>
        <w:tab w:val="center" w:pos="4252"/>
        <w:tab w:val="right" w:pos="8504"/>
        <w:tab w:val="left" w:pos="2326"/>
      </w:tabs>
      <w:rPr>
        <w:rFonts w:ascii="Calibri" w:eastAsia="Calibri" w:hAnsi="Calibri" w:cs="Calibri"/>
        <w:color w:val="000000"/>
      </w:rPr>
    </w:pPr>
    <w:r>
      <w:rPr>
        <w:rFonts w:ascii="Calibri" w:eastAsia="Calibri" w:hAnsi="Calibri" w:cs="Calibri"/>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C4CD7" w14:textId="77777777" w:rsidR="00A12EBB" w:rsidRDefault="00AD46E7">
    <w:pPr>
      <w:pBdr>
        <w:top w:val="nil"/>
        <w:left w:val="nil"/>
        <w:bottom w:val="nil"/>
        <w:right w:val="nil"/>
        <w:between w:val="nil"/>
      </w:pBdr>
      <w:tabs>
        <w:tab w:val="center" w:pos="4252"/>
        <w:tab w:val="right" w:pos="8504"/>
      </w:tabs>
      <w:jc w:val="both"/>
      <w:rPr>
        <w:rFonts w:ascii="Calibri" w:eastAsia="Calibri" w:hAnsi="Calibri" w:cs="Calibri"/>
        <w:color w:val="000000"/>
      </w:rPr>
    </w:pPr>
    <w:r>
      <w:rPr>
        <w:noProof/>
        <w:lang w:val="es-MX" w:eastAsia="es-MX"/>
      </w:rPr>
      <w:drawing>
        <wp:anchor distT="0" distB="0" distL="0" distR="0" simplePos="0" relativeHeight="251659264" behindDoc="1" locked="0" layoutInCell="1" hidden="0" allowOverlap="1" wp14:anchorId="00EB291A" wp14:editId="58948AE2">
          <wp:simplePos x="0" y="0"/>
          <wp:positionH relativeFrom="column">
            <wp:posOffset>-798191</wp:posOffset>
          </wp:positionH>
          <wp:positionV relativeFrom="paragraph">
            <wp:posOffset>-399411</wp:posOffset>
          </wp:positionV>
          <wp:extent cx="7809876" cy="10165823"/>
          <wp:effectExtent l="0" t="0" r="0" b="0"/>
          <wp:wrapNone/>
          <wp:docPr id="161334313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76" cy="10165823"/>
                  </a:xfrm>
                  <a:prstGeom prst="rect">
                    <a:avLst/>
                  </a:prstGeom>
                  <a:ln/>
                </pic:spPr>
              </pic:pic>
            </a:graphicData>
          </a:graphic>
        </wp:anchor>
      </w:drawing>
    </w:r>
  </w:p>
  <w:tbl>
    <w:tblPr>
      <w:tblStyle w:val="af4"/>
      <w:tblW w:w="5670" w:type="dxa"/>
      <w:tblInd w:w="3119" w:type="dxa"/>
      <w:tblLayout w:type="fixed"/>
      <w:tblLook w:val="0400" w:firstRow="0" w:lastRow="0" w:firstColumn="0" w:lastColumn="0" w:noHBand="0" w:noVBand="1"/>
    </w:tblPr>
    <w:tblGrid>
      <w:gridCol w:w="2551"/>
      <w:gridCol w:w="3119"/>
    </w:tblGrid>
    <w:tr w:rsidR="00A12EBB" w14:paraId="708DFC0F" w14:textId="77777777">
      <w:tc>
        <w:tcPr>
          <w:tcW w:w="2551" w:type="dxa"/>
          <w:vAlign w:val="center"/>
        </w:tcPr>
        <w:p w14:paraId="3C4C81F6" w14:textId="77777777" w:rsidR="00A12EBB" w:rsidRDefault="00AD46E7">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119" w:type="dxa"/>
          <w:vAlign w:val="center"/>
        </w:tcPr>
        <w:p w14:paraId="5E229A80" w14:textId="77777777" w:rsidR="00A12EBB" w:rsidRDefault="00AD46E7">
          <w:pPr>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 xml:space="preserve">00589/INFOEM/IP/RR/2025 </w:t>
          </w:r>
        </w:p>
      </w:tc>
    </w:tr>
    <w:tr w:rsidR="00A12EBB" w14:paraId="2A1A2BD6" w14:textId="77777777">
      <w:tc>
        <w:tcPr>
          <w:tcW w:w="2551" w:type="dxa"/>
          <w:vAlign w:val="center"/>
        </w:tcPr>
        <w:p w14:paraId="120BCA4E" w14:textId="77777777" w:rsidR="00A12EBB" w:rsidRDefault="00AD46E7">
          <w:pPr>
            <w:ind w:left="35" w:hanging="3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119" w:type="dxa"/>
          <w:vAlign w:val="center"/>
        </w:tcPr>
        <w:p w14:paraId="695CD9BE" w14:textId="77777777" w:rsidR="00A12EBB" w:rsidRDefault="00A12EBB">
          <w:pPr>
            <w:ind w:left="-115" w:right="-533"/>
            <w:jc w:val="both"/>
            <w:rPr>
              <w:rFonts w:ascii="Palatino Linotype" w:eastAsia="Palatino Linotype" w:hAnsi="Palatino Linotype" w:cs="Palatino Linotype"/>
              <w:b/>
              <w:sz w:val="22"/>
              <w:szCs w:val="22"/>
            </w:rPr>
          </w:pPr>
        </w:p>
      </w:tc>
    </w:tr>
    <w:tr w:rsidR="00A12EBB" w14:paraId="7DC845A9" w14:textId="77777777">
      <w:trPr>
        <w:trHeight w:val="228"/>
      </w:trPr>
      <w:tc>
        <w:tcPr>
          <w:tcW w:w="2551" w:type="dxa"/>
          <w:vAlign w:val="center"/>
        </w:tcPr>
        <w:p w14:paraId="4910741A" w14:textId="77777777" w:rsidR="00A12EBB" w:rsidRDefault="00AD46E7">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119" w:type="dxa"/>
          <w:vAlign w:val="center"/>
        </w:tcPr>
        <w:p w14:paraId="1742EE9A" w14:textId="77777777" w:rsidR="00A12EBB" w:rsidRDefault="00AD46E7">
          <w:pPr>
            <w:ind w:right="27"/>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Cocotitlán</w:t>
          </w:r>
        </w:p>
      </w:tc>
    </w:tr>
    <w:tr w:rsidR="00A12EBB" w14:paraId="55E14503" w14:textId="77777777">
      <w:tc>
        <w:tcPr>
          <w:tcW w:w="2551" w:type="dxa"/>
          <w:vAlign w:val="center"/>
        </w:tcPr>
        <w:p w14:paraId="07255BAF" w14:textId="77777777" w:rsidR="00A12EBB" w:rsidRDefault="00AD46E7">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119" w:type="dxa"/>
          <w:vAlign w:val="center"/>
        </w:tcPr>
        <w:p w14:paraId="3F3B02A5" w14:textId="77777777" w:rsidR="00A12EBB" w:rsidRDefault="00AD46E7">
          <w:pPr>
            <w:ind w:right="-533"/>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3E217276" w14:textId="77777777" w:rsidR="00A12EBB" w:rsidRDefault="00A12EBB">
    <w:pPr>
      <w:pBdr>
        <w:top w:val="nil"/>
        <w:left w:val="nil"/>
        <w:bottom w:val="nil"/>
        <w:right w:val="nil"/>
        <w:between w:val="nil"/>
      </w:pBdr>
      <w:tabs>
        <w:tab w:val="center" w:pos="4252"/>
        <w:tab w:val="right" w:pos="8504"/>
      </w:tabs>
      <w:rPr>
        <w:rFonts w:ascii="Calibri" w:eastAsia="Calibri" w:hAnsi="Calibri" w:cs="Calibri"/>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265B6" w14:textId="77777777" w:rsidR="00A12EBB" w:rsidRDefault="00A12EBB">
    <w:pPr>
      <w:pBdr>
        <w:top w:val="nil"/>
        <w:left w:val="nil"/>
        <w:bottom w:val="nil"/>
        <w:right w:val="nil"/>
        <w:between w:val="nil"/>
      </w:pBdr>
      <w:tabs>
        <w:tab w:val="center" w:pos="4252"/>
        <w:tab w:val="right" w:pos="8504"/>
      </w:tabs>
      <w:jc w:val="both"/>
      <w:rPr>
        <w:rFonts w:ascii="Calibri" w:eastAsia="Calibri" w:hAnsi="Calibri" w:cs="Calibri"/>
        <w:color w:val="000000"/>
      </w:rPr>
    </w:pPr>
  </w:p>
  <w:p w14:paraId="0DB4B71C" w14:textId="77777777" w:rsidR="00A12EBB" w:rsidRDefault="00A12EBB">
    <w:pPr>
      <w:pBdr>
        <w:top w:val="nil"/>
        <w:left w:val="nil"/>
        <w:bottom w:val="nil"/>
        <w:right w:val="nil"/>
        <w:between w:val="nil"/>
      </w:pBdr>
      <w:tabs>
        <w:tab w:val="center" w:pos="4252"/>
        <w:tab w:val="right" w:pos="8504"/>
      </w:tabs>
      <w:rPr>
        <w:rFonts w:ascii="Calibri" w:eastAsia="Calibri" w:hAnsi="Calibri" w:cs="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BC34E7"/>
    <w:multiLevelType w:val="multilevel"/>
    <w:tmpl w:val="6E5E961C"/>
    <w:lvl w:ilvl="0">
      <w:start w:val="1"/>
      <w:numFmt w:val="decimal"/>
      <w:pStyle w:val="Listaconvietas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3AB207F1"/>
    <w:multiLevelType w:val="multilevel"/>
    <w:tmpl w:val="AE463A7E"/>
    <w:lvl w:ilvl="0">
      <w:start w:val="1"/>
      <w:numFmt w:val="decimal"/>
      <w:lvlText w:val="%1."/>
      <w:lvlJc w:val="left"/>
      <w:pPr>
        <w:ind w:left="720" w:hanging="360"/>
      </w:pPr>
      <w:rPr>
        <w:b/>
      </w:r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6F3335B7"/>
    <w:multiLevelType w:val="multilevel"/>
    <w:tmpl w:val="C8167A7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F345B31"/>
    <w:multiLevelType w:val="multilevel"/>
    <w:tmpl w:val="6B2C0408"/>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16157E6"/>
    <w:multiLevelType w:val="multilevel"/>
    <w:tmpl w:val="980EF812"/>
    <w:lvl w:ilvl="0">
      <w:start w:val="1"/>
      <w:numFmt w:val="upperRoman"/>
      <w:lvlText w:val="%1."/>
      <w:lvlJc w:val="right"/>
      <w:pPr>
        <w:ind w:left="1077" w:hanging="360"/>
      </w:pPr>
    </w:lvl>
    <w:lvl w:ilvl="1">
      <w:start w:val="1"/>
      <w:numFmt w:val="decimal"/>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5" w15:restartNumberingAfterBreak="0">
    <w:nsid w:val="79B913C9"/>
    <w:multiLevelType w:val="multilevel"/>
    <w:tmpl w:val="582E4A9E"/>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2"/>
  </w:num>
  <w:num w:numId="2">
    <w:abstractNumId w:val="5"/>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2EBB"/>
    <w:rsid w:val="002168B1"/>
    <w:rsid w:val="005E410F"/>
    <w:rsid w:val="00813239"/>
    <w:rsid w:val="00A12EBB"/>
    <w:rsid w:val="00AD46E7"/>
    <w:rsid w:val="00C31060"/>
    <w:rsid w:val="00C539E7"/>
    <w:rsid w:val="00FE0D4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321253"/>
  <w15:docId w15:val="{2B9A066D-66F3-44C8-8D9E-ECF115FDCD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ES"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2631"/>
    <w:rPr>
      <w:lang w:eastAsia="es-E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link w:val="Ttulo3Car"/>
    <w:uiPriority w:val="9"/>
    <w:qFormat/>
    <w:rsid w:val="002D2EAC"/>
    <w:pPr>
      <w:spacing w:before="100" w:beforeAutospacing="1" w:after="100" w:afterAutospacing="1"/>
      <w:outlineLvl w:val="2"/>
    </w:pPr>
    <w:rPr>
      <w:b/>
      <w:bCs/>
      <w:sz w:val="27"/>
      <w:szCs w:val="27"/>
      <w:lang w:val="es-MX" w:eastAsia="es-MX"/>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AC3C64"/>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AC3C64"/>
    <w:rPr>
      <w:rFonts w:eastAsiaTheme="minorEastAsia"/>
      <w:sz w:val="24"/>
      <w:szCs w:val="24"/>
      <w:lang w:val="es-ES_tradnl" w:eastAsia="es-ES"/>
    </w:rPr>
  </w:style>
  <w:style w:type="paragraph" w:styleId="Piedepgina">
    <w:name w:val="footer"/>
    <w:basedOn w:val="Normal"/>
    <w:link w:val="PiedepginaCar"/>
    <w:uiPriority w:val="99"/>
    <w:unhideWhenUsed/>
    <w:rsid w:val="00AC3C64"/>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AC3C64"/>
    <w:rPr>
      <w:rFonts w:eastAsiaTheme="minorEastAsia"/>
      <w:sz w:val="24"/>
      <w:szCs w:val="24"/>
      <w:lang w:val="es-ES_tradnl"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AC3C64"/>
    <w:rPr>
      <w:rFonts w:ascii="Times New Roman" w:eastAsia="Times New Roman" w:hAnsi="Times New Roman" w:cs="Times New Roman"/>
      <w:lang w:val="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AC3C64"/>
    <w:pPr>
      <w:ind w:left="708"/>
    </w:pPr>
    <w:rPr>
      <w:sz w:val="22"/>
      <w:szCs w:val="22"/>
      <w:lang w:eastAsia="en-US"/>
    </w:rPr>
  </w:style>
  <w:style w:type="table" w:styleId="Tablaconcuadrcula">
    <w:name w:val="Table Grid"/>
    <w:basedOn w:val="Tablanormal"/>
    <w:uiPriority w:val="39"/>
    <w:rsid w:val="00AC3C64"/>
    <w:rPr>
      <w:rFonts w:eastAsiaTheme="minorEastAsia"/>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Fuentedeprrafopredeter"/>
    <w:rsid w:val="00AC3C64"/>
  </w:style>
  <w:style w:type="character" w:customStyle="1" w:styleId="apple-converted-space">
    <w:name w:val="apple-converted-space"/>
    <w:basedOn w:val="Fuentedeprrafopredeter"/>
    <w:rsid w:val="00AC3C64"/>
  </w:style>
  <w:style w:type="paragraph" w:customStyle="1" w:styleId="paragraph">
    <w:name w:val="paragraph"/>
    <w:basedOn w:val="Normal"/>
    <w:rsid w:val="00AC3C64"/>
    <w:pPr>
      <w:spacing w:before="100" w:beforeAutospacing="1" w:after="100" w:afterAutospacing="1"/>
    </w:pPr>
    <w:rPr>
      <w:lang w:val="es-MX" w:eastAsia="es-MX"/>
    </w:rPr>
  </w:style>
  <w:style w:type="character" w:customStyle="1" w:styleId="eop">
    <w:name w:val="eop"/>
    <w:basedOn w:val="Fuentedeprrafopredeter"/>
    <w:rsid w:val="00AC3C64"/>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AC3C64"/>
    <w:rPr>
      <w:rFonts w:asciiTheme="minorHAnsi" w:eastAsiaTheme="minorHAnsi" w:hAnsiTheme="minorHAnsi" w:cstheme="minorBidi"/>
      <w:sz w:val="20"/>
      <w:szCs w:val="20"/>
      <w:lang w:val="es-MX"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AC3C64"/>
    <w:rPr>
      <w:sz w:val="20"/>
      <w:szCs w:val="20"/>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AC3C64"/>
    <w:rPr>
      <w:vertAlign w:val="superscript"/>
    </w:rPr>
  </w:style>
  <w:style w:type="character" w:styleId="Hipervnculo">
    <w:name w:val="Hyperlink"/>
    <w:basedOn w:val="Fuentedeprrafopredeter"/>
    <w:uiPriority w:val="99"/>
    <w:unhideWhenUsed/>
    <w:rsid w:val="00AC3C64"/>
    <w:rPr>
      <w:color w:val="0563C1" w:themeColor="hyperlink"/>
      <w:u w:val="single"/>
    </w:rPr>
  </w:style>
  <w:style w:type="paragraph" w:styleId="NormalWeb">
    <w:name w:val="Normal (Web)"/>
    <w:basedOn w:val="Normal"/>
    <w:uiPriority w:val="99"/>
    <w:unhideWhenUsed/>
    <w:rsid w:val="00AC3C64"/>
    <w:pPr>
      <w:spacing w:before="100" w:beforeAutospacing="1" w:after="100" w:afterAutospacing="1"/>
    </w:pPr>
    <w:rPr>
      <w:lang w:val="es-MX" w:eastAsia="es-MX"/>
    </w:rPr>
  </w:style>
  <w:style w:type="character" w:customStyle="1" w:styleId="Ttulo3Car">
    <w:name w:val="Título 3 Car"/>
    <w:basedOn w:val="Fuentedeprrafopredeter"/>
    <w:link w:val="Ttulo3"/>
    <w:uiPriority w:val="9"/>
    <w:rsid w:val="002D2EAC"/>
    <w:rPr>
      <w:rFonts w:ascii="Times New Roman" w:eastAsia="Times New Roman" w:hAnsi="Times New Roman" w:cs="Times New Roman"/>
      <w:b/>
      <w:bCs/>
      <w:sz w:val="27"/>
      <w:szCs w:val="27"/>
      <w:lang w:eastAsia="es-MX"/>
    </w:rPr>
  </w:style>
  <w:style w:type="character" w:customStyle="1" w:styleId="titulorubro">
    <w:name w:val="titulorubro"/>
    <w:basedOn w:val="Fuentedeprrafopredeter"/>
    <w:rsid w:val="002D2EAC"/>
  </w:style>
  <w:style w:type="paragraph" w:styleId="Textoindependiente">
    <w:name w:val="Body Text"/>
    <w:basedOn w:val="Normal"/>
    <w:link w:val="TextoindependienteCar"/>
    <w:uiPriority w:val="1"/>
    <w:qFormat/>
    <w:rsid w:val="006F3C93"/>
    <w:pPr>
      <w:autoSpaceDE w:val="0"/>
      <w:autoSpaceDN w:val="0"/>
      <w:adjustRightInd w:val="0"/>
      <w:ind w:left="93"/>
    </w:pPr>
    <w:rPr>
      <w:rFonts w:eastAsiaTheme="minorHAnsi"/>
      <w:sz w:val="23"/>
      <w:szCs w:val="23"/>
      <w:lang w:val="es-MX" w:eastAsia="en-US"/>
    </w:rPr>
  </w:style>
  <w:style w:type="character" w:customStyle="1" w:styleId="TextoindependienteCar">
    <w:name w:val="Texto independiente Car"/>
    <w:basedOn w:val="Fuentedeprrafopredeter"/>
    <w:link w:val="Textoindependiente"/>
    <w:uiPriority w:val="1"/>
    <w:rsid w:val="006F3C93"/>
    <w:rPr>
      <w:rFonts w:ascii="Times New Roman" w:hAnsi="Times New Roman" w:cs="Times New Roman"/>
      <w:sz w:val="23"/>
      <w:szCs w:val="23"/>
    </w:rPr>
  </w:style>
  <w:style w:type="paragraph" w:styleId="Textodeglobo">
    <w:name w:val="Balloon Text"/>
    <w:basedOn w:val="Normal"/>
    <w:link w:val="TextodegloboCar"/>
    <w:uiPriority w:val="99"/>
    <w:semiHidden/>
    <w:unhideWhenUsed/>
    <w:rsid w:val="00A037B6"/>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037B6"/>
    <w:rPr>
      <w:rFonts w:ascii="Segoe UI" w:eastAsia="Times New Roman" w:hAnsi="Segoe UI" w:cs="Segoe UI"/>
      <w:sz w:val="18"/>
      <w:szCs w:val="18"/>
      <w:lang w:val="es-ES" w:eastAsia="es-ES"/>
    </w:rPr>
  </w:style>
  <w:style w:type="paragraph" w:customStyle="1" w:styleId="Pa1">
    <w:name w:val="Pa1"/>
    <w:basedOn w:val="Normal"/>
    <w:next w:val="Normal"/>
    <w:uiPriority w:val="99"/>
    <w:rsid w:val="0074718F"/>
    <w:pPr>
      <w:autoSpaceDE w:val="0"/>
      <w:autoSpaceDN w:val="0"/>
      <w:adjustRightInd w:val="0"/>
      <w:spacing w:line="191" w:lineRule="atLeast"/>
    </w:pPr>
    <w:rPr>
      <w:rFonts w:ascii="Helvetica" w:eastAsiaTheme="minorHAnsi" w:hAnsi="Helvetica" w:cs="Helvetica"/>
      <w:lang w:val="es-MX" w:eastAsia="en-US"/>
    </w:rPr>
  </w:style>
  <w:style w:type="paragraph" w:customStyle="1" w:styleId="Pa2">
    <w:name w:val="Pa2"/>
    <w:basedOn w:val="Normal"/>
    <w:next w:val="Normal"/>
    <w:uiPriority w:val="99"/>
    <w:rsid w:val="0074718F"/>
    <w:pPr>
      <w:autoSpaceDE w:val="0"/>
      <w:autoSpaceDN w:val="0"/>
      <w:adjustRightInd w:val="0"/>
      <w:spacing w:line="191" w:lineRule="atLeast"/>
    </w:pPr>
    <w:rPr>
      <w:rFonts w:ascii="Helvetica" w:eastAsiaTheme="minorHAnsi" w:hAnsi="Helvetica" w:cs="Helvetica"/>
      <w:lang w:val="es-MX" w:eastAsia="en-US"/>
    </w:rPr>
  </w:style>
  <w:style w:type="paragraph" w:customStyle="1" w:styleId="Pa3">
    <w:name w:val="Pa3"/>
    <w:basedOn w:val="Normal"/>
    <w:next w:val="Normal"/>
    <w:uiPriority w:val="99"/>
    <w:rsid w:val="0074718F"/>
    <w:pPr>
      <w:autoSpaceDE w:val="0"/>
      <w:autoSpaceDN w:val="0"/>
      <w:adjustRightInd w:val="0"/>
      <w:spacing w:line="191" w:lineRule="atLeast"/>
    </w:pPr>
    <w:rPr>
      <w:rFonts w:ascii="Helvetica" w:eastAsiaTheme="minorHAnsi" w:hAnsi="Helvetica" w:cs="Helvetica"/>
      <w:lang w:val="es-MX" w:eastAsia="en-US"/>
    </w:rPr>
  </w:style>
  <w:style w:type="paragraph" w:styleId="Sinespaciado">
    <w:name w:val="No Spacing"/>
    <w:aliases w:val="Francesa,INAI"/>
    <w:link w:val="SinespaciadoCar"/>
    <w:uiPriority w:val="1"/>
    <w:qFormat/>
    <w:rsid w:val="00CE2CFE"/>
  </w:style>
  <w:style w:type="character" w:customStyle="1" w:styleId="SinespaciadoCar">
    <w:name w:val="Sin espaciado Car"/>
    <w:aliases w:val="Francesa Car,INAI Car"/>
    <w:link w:val="Sinespaciado"/>
    <w:uiPriority w:val="1"/>
    <w:locked/>
    <w:rsid w:val="00CE2CFE"/>
  </w:style>
  <w:style w:type="table" w:styleId="Tabladelista1clara-nfasis1">
    <w:name w:val="List Table 1 Light Accent 1"/>
    <w:basedOn w:val="Tablanormal"/>
    <w:uiPriority w:val="46"/>
    <w:rsid w:val="00D30935"/>
    <w:rPr>
      <w:rFonts w:eastAsiaTheme="minorEastAsia"/>
      <w:lang w:val="es-ES_tradnl" w:eastAsia="es-ES"/>
    </w:r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4"/>
    <w:tblPr>
      <w:tblStyleRowBandSize w:val="1"/>
      <w:tblStyleColBandSize w:val="1"/>
      <w:tblCellMar>
        <w:left w:w="108" w:type="dxa"/>
        <w:right w:w="108" w:type="dxa"/>
      </w:tblCellMar>
    </w:tblPr>
  </w:style>
  <w:style w:type="table" w:customStyle="1" w:styleId="a0">
    <w:basedOn w:val="TableNormal4"/>
    <w:tblPr>
      <w:tblStyleRowBandSize w:val="1"/>
      <w:tblStyleColBandSize w:val="1"/>
      <w:tblCellMar>
        <w:left w:w="115" w:type="dxa"/>
        <w:right w:w="115" w:type="dxa"/>
      </w:tblCellMar>
    </w:tblPr>
  </w:style>
  <w:style w:type="table" w:customStyle="1" w:styleId="a1">
    <w:basedOn w:val="TableNormal4"/>
    <w:tblPr>
      <w:tblStyleRowBandSize w:val="1"/>
      <w:tblStyleColBandSize w:val="1"/>
      <w:tblCellMar>
        <w:left w:w="115" w:type="dxa"/>
        <w:right w:w="115" w:type="dxa"/>
      </w:tblCellMar>
    </w:tblPr>
  </w:style>
  <w:style w:type="character" w:styleId="Hipervnculovisitado">
    <w:name w:val="FollowedHyperlink"/>
    <w:basedOn w:val="Fuentedeprrafopredeter"/>
    <w:uiPriority w:val="99"/>
    <w:semiHidden/>
    <w:unhideWhenUsed/>
    <w:rsid w:val="00B93218"/>
    <w:rPr>
      <w:color w:val="954F72" w:themeColor="followedHyperlink"/>
      <w:u w:val="single"/>
    </w:rPr>
  </w:style>
  <w:style w:type="table" w:customStyle="1" w:styleId="a2">
    <w:basedOn w:val="TableNormal4"/>
    <w:tblPr>
      <w:tblStyleRowBandSize w:val="1"/>
      <w:tblStyleColBandSize w:val="1"/>
      <w:tblCellMar>
        <w:left w:w="108" w:type="dxa"/>
        <w:right w:w="108" w:type="dxa"/>
      </w:tblCellMar>
    </w:tblPr>
  </w:style>
  <w:style w:type="table" w:customStyle="1" w:styleId="a3">
    <w:basedOn w:val="TableNormal4"/>
    <w:tblPr>
      <w:tblStyleRowBandSize w:val="1"/>
      <w:tblStyleColBandSize w:val="1"/>
      <w:tblCellMar>
        <w:left w:w="108" w:type="dxa"/>
        <w:right w:w="108" w:type="dxa"/>
      </w:tblCellMar>
    </w:tblPr>
  </w:style>
  <w:style w:type="table" w:customStyle="1" w:styleId="a4">
    <w:basedOn w:val="TableNormal4"/>
    <w:tblPr>
      <w:tblStyleRowBandSize w:val="1"/>
      <w:tblStyleColBandSize w:val="1"/>
      <w:tblCellMar>
        <w:left w:w="108" w:type="dxa"/>
        <w:right w:w="108" w:type="dxa"/>
      </w:tblCellMar>
    </w:tblPr>
  </w:style>
  <w:style w:type="table" w:customStyle="1" w:styleId="a5">
    <w:basedOn w:val="TableNormal4"/>
    <w:tblPr>
      <w:tblStyleRowBandSize w:val="1"/>
      <w:tblStyleColBandSize w:val="1"/>
      <w:tblCellMar>
        <w:left w:w="108" w:type="dxa"/>
        <w:right w:w="108" w:type="dxa"/>
      </w:tblCellMar>
    </w:tblPr>
  </w:style>
  <w:style w:type="table" w:customStyle="1" w:styleId="a6">
    <w:basedOn w:val="TableNormal4"/>
    <w:tblPr>
      <w:tblStyleRowBandSize w:val="1"/>
      <w:tblStyleColBandSize w:val="1"/>
      <w:tblCellMar>
        <w:left w:w="108" w:type="dxa"/>
        <w:right w:w="108" w:type="dxa"/>
      </w:tblCellMar>
    </w:tblPr>
  </w:style>
  <w:style w:type="table" w:customStyle="1" w:styleId="a7">
    <w:basedOn w:val="TableNormal4"/>
    <w:tblPr>
      <w:tblStyleRowBandSize w:val="1"/>
      <w:tblStyleColBandSize w:val="1"/>
      <w:tblCellMar>
        <w:left w:w="108" w:type="dxa"/>
        <w:right w:w="108" w:type="dxa"/>
      </w:tblCellMar>
    </w:tblPr>
  </w:style>
  <w:style w:type="table" w:customStyle="1" w:styleId="a8">
    <w:basedOn w:val="TableNormal4"/>
    <w:tblPr>
      <w:tblStyleRowBandSize w:val="1"/>
      <w:tblStyleColBandSize w:val="1"/>
      <w:tblCellMar>
        <w:left w:w="108" w:type="dxa"/>
        <w:right w:w="108" w:type="dxa"/>
      </w:tblCellMar>
    </w:tblPr>
  </w:style>
  <w:style w:type="table" w:customStyle="1" w:styleId="a9">
    <w:basedOn w:val="TableNormal4"/>
    <w:tblPr>
      <w:tblStyleRowBandSize w:val="1"/>
      <w:tblStyleColBandSize w:val="1"/>
      <w:tblCellMar>
        <w:left w:w="115" w:type="dxa"/>
        <w:right w:w="115" w:type="dxa"/>
      </w:tblCellMar>
    </w:tblPr>
  </w:style>
  <w:style w:type="table" w:customStyle="1" w:styleId="aa">
    <w:basedOn w:val="TableNormal4"/>
    <w:tblPr>
      <w:tblStyleRowBandSize w:val="1"/>
      <w:tblStyleColBandSize w:val="1"/>
      <w:tblCellMar>
        <w:left w:w="115" w:type="dxa"/>
        <w:right w:w="115" w:type="dxa"/>
      </w:tblCellMar>
    </w:tblPr>
  </w:style>
  <w:style w:type="table" w:customStyle="1" w:styleId="ab">
    <w:basedOn w:val="TableNormal4"/>
    <w:tblPr>
      <w:tblStyleRowBandSize w:val="1"/>
      <w:tblStyleColBandSize w:val="1"/>
      <w:tblCellMar>
        <w:left w:w="115" w:type="dxa"/>
        <w:right w:w="115" w:type="dxa"/>
      </w:tblCellMar>
    </w:tblPr>
  </w:style>
  <w:style w:type="table" w:customStyle="1" w:styleId="ac">
    <w:basedOn w:val="TableNormal3"/>
    <w:tblPr>
      <w:tblStyleRowBandSize w:val="1"/>
      <w:tblStyleColBandSize w:val="1"/>
      <w:tblCellMar>
        <w:left w:w="115" w:type="dxa"/>
        <w:right w:w="115" w:type="dxa"/>
      </w:tblCellMar>
    </w:tblPr>
  </w:style>
  <w:style w:type="table" w:customStyle="1" w:styleId="ad">
    <w:basedOn w:val="TableNormal3"/>
    <w:tblPr>
      <w:tblStyleRowBandSize w:val="1"/>
      <w:tblStyleColBandSize w:val="1"/>
      <w:tblCellMar>
        <w:left w:w="115" w:type="dxa"/>
        <w:right w:w="115" w:type="dxa"/>
      </w:tblCellMar>
    </w:tblPr>
  </w:style>
  <w:style w:type="table" w:customStyle="1" w:styleId="ae">
    <w:basedOn w:val="TableNormal3"/>
    <w:tblPr>
      <w:tblStyleRowBandSize w:val="1"/>
      <w:tblStyleColBandSize w:val="1"/>
      <w:tblCellMar>
        <w:left w:w="115" w:type="dxa"/>
        <w:right w:w="115" w:type="dxa"/>
      </w:tblCellMar>
    </w:tblPr>
  </w:style>
  <w:style w:type="character" w:styleId="Textoennegrita">
    <w:name w:val="Strong"/>
    <w:uiPriority w:val="22"/>
    <w:qFormat/>
    <w:rsid w:val="002B3D0A"/>
    <w:rPr>
      <w:b/>
      <w:bCs/>
    </w:rPr>
  </w:style>
  <w:style w:type="paragraph" w:customStyle="1" w:styleId="Texto">
    <w:name w:val="Texto"/>
    <w:basedOn w:val="Normal"/>
    <w:link w:val="TextoCar"/>
    <w:qFormat/>
    <w:rsid w:val="002B3D0A"/>
    <w:pPr>
      <w:spacing w:after="101" w:line="216" w:lineRule="exact"/>
      <w:ind w:firstLine="288"/>
      <w:jc w:val="both"/>
    </w:pPr>
    <w:rPr>
      <w:rFonts w:ascii="Arial" w:hAnsi="Arial" w:cs="Arial"/>
      <w:sz w:val="18"/>
      <w:szCs w:val="18"/>
      <w:lang w:val="es-MX"/>
    </w:rPr>
  </w:style>
  <w:style w:type="character" w:customStyle="1" w:styleId="apple-style-span">
    <w:name w:val="apple-style-span"/>
    <w:qFormat/>
    <w:rsid w:val="002B3D0A"/>
  </w:style>
  <w:style w:type="character" w:customStyle="1" w:styleId="TextoCar">
    <w:name w:val="Texto Car"/>
    <w:link w:val="Texto"/>
    <w:locked/>
    <w:rsid w:val="002B3D0A"/>
    <w:rPr>
      <w:rFonts w:ascii="Arial" w:hAnsi="Arial" w:cs="Arial"/>
      <w:sz w:val="18"/>
      <w:szCs w:val="18"/>
      <w:lang w:val="es-MX" w:eastAsia="es-ES"/>
    </w:rPr>
  </w:style>
  <w:style w:type="paragraph" w:customStyle="1" w:styleId="Citas">
    <w:name w:val="Citas"/>
    <w:basedOn w:val="Normal"/>
    <w:qFormat/>
    <w:rsid w:val="009D3D69"/>
    <w:pPr>
      <w:spacing w:before="240" w:after="160" w:line="360" w:lineRule="auto"/>
      <w:ind w:left="851" w:right="851"/>
      <w:jc w:val="both"/>
    </w:pPr>
    <w:rPr>
      <w:rFonts w:ascii="Palatino Linotype" w:eastAsiaTheme="minorHAnsi" w:hAnsi="Palatino Linotype" w:cs="Arial"/>
      <w:i/>
      <w:sz w:val="22"/>
      <w:szCs w:val="22"/>
      <w:lang w:val="es-MX" w:eastAsia="en-US"/>
    </w:rPr>
  </w:style>
  <w:style w:type="paragraph" w:styleId="Listaconvietas3">
    <w:name w:val="List Bullet 3"/>
    <w:basedOn w:val="Normal"/>
    <w:uiPriority w:val="99"/>
    <w:unhideWhenUsed/>
    <w:rsid w:val="009E0405"/>
    <w:pPr>
      <w:numPr>
        <w:numId w:val="6"/>
      </w:numPr>
      <w:contextualSpacing/>
    </w:pPr>
    <w:rPr>
      <w:lang w:val="es-MX" w:eastAsia="es-MX"/>
    </w:rPr>
  </w:style>
  <w:style w:type="paragraph" w:styleId="Listaconvietas">
    <w:name w:val="List Bullet"/>
    <w:basedOn w:val="Normal"/>
    <w:uiPriority w:val="99"/>
    <w:unhideWhenUsed/>
    <w:rsid w:val="00E6231A"/>
    <w:pPr>
      <w:tabs>
        <w:tab w:val="num" w:pos="720"/>
      </w:tabs>
      <w:ind w:left="720" w:hanging="720"/>
      <w:contextualSpacing/>
    </w:pPr>
    <w:rPr>
      <w:lang w:val="es-MX" w:eastAsia="es-MX"/>
    </w:rPr>
  </w:style>
  <w:style w:type="character" w:customStyle="1" w:styleId="Mencinsinresolver1">
    <w:name w:val="Mención sin resolver1"/>
    <w:basedOn w:val="Fuentedeprrafopredeter"/>
    <w:uiPriority w:val="99"/>
    <w:semiHidden/>
    <w:unhideWhenUsed/>
    <w:rsid w:val="00582A33"/>
    <w:rPr>
      <w:color w:val="605E5C"/>
      <w:shd w:val="clear" w:color="auto" w:fill="E1DFDD"/>
    </w:rPr>
  </w:style>
  <w:style w:type="table" w:customStyle="1" w:styleId="af">
    <w:basedOn w:val="TableNormal2"/>
    <w:tblPr>
      <w:tblStyleRowBandSize w:val="1"/>
      <w:tblStyleColBandSize w:val="1"/>
      <w:tblCellMar>
        <w:left w:w="115" w:type="dxa"/>
        <w:right w:w="115" w:type="dxa"/>
      </w:tblCellMar>
    </w:tblPr>
  </w:style>
  <w:style w:type="table" w:customStyle="1" w:styleId="af0">
    <w:basedOn w:val="TableNormal2"/>
    <w:tblPr>
      <w:tblStyleRowBandSize w:val="1"/>
      <w:tblStyleColBandSize w:val="1"/>
      <w:tblCellMar>
        <w:left w:w="115" w:type="dxa"/>
        <w:right w:w="115" w:type="dxa"/>
      </w:tblCellMar>
    </w:tblPr>
  </w:style>
  <w:style w:type="character" w:customStyle="1" w:styleId="Mencinsinresolver2">
    <w:name w:val="Mención sin resolver2"/>
    <w:basedOn w:val="Fuentedeprrafopredeter"/>
    <w:uiPriority w:val="99"/>
    <w:semiHidden/>
    <w:unhideWhenUsed/>
    <w:rsid w:val="00836A8D"/>
    <w:rPr>
      <w:color w:val="605E5C"/>
      <w:shd w:val="clear" w:color="auto" w:fill="E1DFDD"/>
    </w:rPr>
  </w:style>
  <w:style w:type="table" w:customStyle="1" w:styleId="af1">
    <w:basedOn w:val="TableNormal1"/>
    <w:tblPr>
      <w:tblStyleRowBandSize w:val="1"/>
      <w:tblStyleColBandSize w:val="1"/>
      <w:tblCellMar>
        <w:left w:w="115" w:type="dxa"/>
        <w:right w:w="115" w:type="dxa"/>
      </w:tblCellMar>
    </w:tblPr>
  </w:style>
  <w:style w:type="table" w:customStyle="1" w:styleId="af2">
    <w:basedOn w:val="TableNormal1"/>
    <w:tblPr>
      <w:tblStyleRowBandSize w:val="1"/>
      <w:tblStyleColBandSize w:val="1"/>
      <w:tblCellMar>
        <w:left w:w="115" w:type="dxa"/>
        <w:right w:w="115" w:type="dxa"/>
      </w:tblCellMar>
    </w:tblPr>
  </w:style>
  <w:style w:type="table" w:customStyle="1" w:styleId="af3">
    <w:basedOn w:val="TableNormal0"/>
    <w:tblPr>
      <w:tblStyleRowBandSize w:val="1"/>
      <w:tblStyleColBandSize w:val="1"/>
      <w:tblCellMar>
        <w:left w:w="115" w:type="dxa"/>
        <w:right w:w="115" w:type="dxa"/>
      </w:tblCellMar>
    </w:tblPr>
  </w:style>
  <w:style w:type="table" w:customStyle="1" w:styleId="af4">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tI69HLLj723S+I5SKSQmeXhB1bg==">CgMxLjAyCWguMmV0OTJwMDIJaC4zem55c2g3MghoLmdqZGd4czIJaC4zMGowemxsMgloLjNkeTZ2a20yCWguMWZvYjl0ZTgAciExTGFUdzNYN0NjU1NDSnBSV1pQdE9VQkNaUkMwZUlVV2k=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50</Pages>
  <Words>14152</Words>
  <Characters>77837</Characters>
  <Application>Microsoft Office Word</Application>
  <DocSecurity>0</DocSecurity>
  <Lines>648</Lines>
  <Paragraphs>183</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91806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Maricela Villagómez Martínez</cp:lastModifiedBy>
  <cp:revision>2</cp:revision>
  <cp:lastPrinted>2025-02-28T18:07:00Z</cp:lastPrinted>
  <dcterms:created xsi:type="dcterms:W3CDTF">2025-03-10T19:00:00Z</dcterms:created>
  <dcterms:modified xsi:type="dcterms:W3CDTF">2025-03-10T19:00:00Z</dcterms:modified>
</cp:coreProperties>
</file>