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D31" w:rsidRPr="00CB5DC5" w:rsidRDefault="00357D31" w:rsidP="002B3735">
      <w:pPr>
        <w:spacing w:line="360" w:lineRule="auto"/>
        <w:jc w:val="both"/>
        <w:rPr>
          <w:rFonts w:ascii="Palatino Linotype" w:eastAsia="Palatino Linotype" w:hAnsi="Palatino Linotype" w:cs="Palatino Linotype"/>
          <w:color w:val="000000" w:themeColor="text1"/>
        </w:rPr>
      </w:pPr>
      <w:bookmarkStart w:id="0" w:name="_GoBack"/>
      <w:bookmarkEnd w:id="0"/>
      <w:r w:rsidRPr="00CB5DC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B5DC5">
        <w:rPr>
          <w:rFonts w:ascii="Palatino Linotype" w:eastAsia="Palatino Linotype" w:hAnsi="Palatino Linotype" w:cs="Palatino Linotype"/>
          <w:b/>
          <w:color w:val="000000" w:themeColor="text1"/>
        </w:rPr>
        <w:t>de fecha</w:t>
      </w:r>
      <w:r w:rsidRPr="00CB5DC5">
        <w:rPr>
          <w:rFonts w:ascii="Palatino Linotype" w:eastAsia="Palatino Linotype" w:hAnsi="Palatino Linotype" w:cs="Palatino Linotype"/>
          <w:color w:val="000000" w:themeColor="text1"/>
        </w:rPr>
        <w:t xml:space="preserve"> </w:t>
      </w:r>
      <w:r w:rsidRPr="00CB5DC5">
        <w:rPr>
          <w:rFonts w:ascii="Palatino Linotype" w:eastAsia="Palatino Linotype" w:hAnsi="Palatino Linotype" w:cs="Palatino Linotype"/>
          <w:b/>
          <w:color w:val="000000" w:themeColor="text1"/>
        </w:rPr>
        <w:t>veinte</w:t>
      </w:r>
      <w:r w:rsidR="00436D74">
        <w:rPr>
          <w:rFonts w:ascii="Palatino Linotype" w:eastAsia="Palatino Linotype" w:hAnsi="Palatino Linotype" w:cs="Palatino Linotype"/>
          <w:b/>
          <w:color w:val="000000" w:themeColor="text1"/>
        </w:rPr>
        <w:t xml:space="preserve"> (20) </w:t>
      </w:r>
      <w:r w:rsidRPr="00CB5DC5">
        <w:rPr>
          <w:rFonts w:ascii="Palatino Linotype" w:eastAsia="Palatino Linotype" w:hAnsi="Palatino Linotype" w:cs="Palatino Linotype"/>
          <w:b/>
          <w:color w:val="000000" w:themeColor="text1"/>
        </w:rPr>
        <w:t>de agosto de dos mil veinticinco.</w:t>
      </w: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b/>
          <w:color w:val="000000" w:themeColor="text1"/>
        </w:rPr>
        <w:t>VISTOS</w:t>
      </w:r>
      <w:r w:rsidRPr="00CB5DC5">
        <w:rPr>
          <w:rFonts w:ascii="Palatino Linotype" w:eastAsia="Palatino Linotype" w:hAnsi="Palatino Linotype" w:cs="Palatino Linotype"/>
          <w:color w:val="000000" w:themeColor="text1"/>
        </w:rPr>
        <w:t xml:space="preserve"> los expedientes electrónicos formados con motivo de los recursos de revisión </w:t>
      </w:r>
      <w:r w:rsidRPr="00CB5DC5">
        <w:rPr>
          <w:rFonts w:ascii="Palatino Linotype" w:eastAsia="Palatino Linotype" w:hAnsi="Palatino Linotype" w:cs="Palatino Linotype"/>
          <w:b/>
          <w:color w:val="000000" w:themeColor="text1"/>
        </w:rPr>
        <w:t xml:space="preserve">08328/INFOEM/IP/RR/2025, 08329/INFOEM/IP/RR/2025 y 08330/INFOEM/IP/RR/2025, </w:t>
      </w:r>
      <w:r w:rsidRPr="00CB5DC5">
        <w:rPr>
          <w:rFonts w:ascii="Palatino Linotype" w:eastAsia="Palatino Linotype" w:hAnsi="Palatino Linotype" w:cs="Palatino Linotype"/>
          <w:color w:val="000000" w:themeColor="text1"/>
        </w:rPr>
        <w:t xml:space="preserve">promovido por </w:t>
      </w:r>
      <w:r w:rsidR="002D006B">
        <w:rPr>
          <w:rFonts w:ascii="Palatino Linotype" w:eastAsia="Palatino Linotype" w:hAnsi="Palatino Linotype" w:cs="Palatino Linotype"/>
          <w:b/>
          <w:bCs/>
          <w:color w:val="000000" w:themeColor="text1"/>
        </w:rPr>
        <w:t>XXXX</w:t>
      </w:r>
      <w:r w:rsidRPr="00CB5DC5">
        <w:rPr>
          <w:rFonts w:ascii="Palatino Linotype" w:eastAsia="Palatino Linotype" w:hAnsi="Palatino Linotype" w:cs="Palatino Linotype"/>
          <w:color w:val="000000" w:themeColor="text1"/>
        </w:rPr>
        <w:t xml:space="preserve">, en lo sucesivo el </w:t>
      </w:r>
      <w:r w:rsidRPr="00CB5DC5">
        <w:rPr>
          <w:rFonts w:ascii="Palatino Linotype" w:eastAsia="Palatino Linotype" w:hAnsi="Palatino Linotype" w:cs="Palatino Linotype"/>
          <w:b/>
          <w:color w:val="000000" w:themeColor="text1"/>
        </w:rPr>
        <w:t>RECURRENTE</w:t>
      </w:r>
      <w:r w:rsidRPr="00CB5DC5">
        <w:rPr>
          <w:rFonts w:ascii="Palatino Linotype" w:eastAsia="Palatino Linotype" w:hAnsi="Palatino Linotype" w:cs="Palatino Linotype"/>
          <w:color w:val="000000" w:themeColor="text1"/>
        </w:rPr>
        <w:t>, en contra de la</w:t>
      </w:r>
      <w:r w:rsidR="002B3735" w:rsidRPr="00CB5DC5">
        <w:rPr>
          <w:rFonts w:ascii="Palatino Linotype" w:eastAsia="Palatino Linotype" w:hAnsi="Palatino Linotype" w:cs="Palatino Linotype"/>
          <w:color w:val="000000" w:themeColor="text1"/>
        </w:rPr>
        <w:t>s</w:t>
      </w:r>
      <w:r w:rsidRPr="00CB5DC5">
        <w:rPr>
          <w:rFonts w:ascii="Palatino Linotype" w:eastAsia="Palatino Linotype" w:hAnsi="Palatino Linotype" w:cs="Palatino Linotype"/>
          <w:color w:val="000000" w:themeColor="text1"/>
        </w:rPr>
        <w:t xml:space="preserve"> respuesta</w:t>
      </w:r>
      <w:r w:rsidR="002B3735" w:rsidRPr="00CB5DC5">
        <w:rPr>
          <w:rFonts w:ascii="Palatino Linotype" w:eastAsia="Palatino Linotype" w:hAnsi="Palatino Linotype" w:cs="Palatino Linotype"/>
          <w:color w:val="000000" w:themeColor="text1"/>
        </w:rPr>
        <w:t>s</w:t>
      </w:r>
      <w:r w:rsidRPr="00CB5DC5">
        <w:rPr>
          <w:rFonts w:ascii="Palatino Linotype" w:eastAsia="Palatino Linotype" w:hAnsi="Palatino Linotype" w:cs="Palatino Linotype"/>
          <w:color w:val="000000" w:themeColor="text1"/>
        </w:rPr>
        <w:t xml:space="preserve"> del </w:t>
      </w:r>
      <w:r w:rsidRPr="00CB5DC5">
        <w:rPr>
          <w:rFonts w:ascii="Palatino Linotype" w:eastAsia="Palatino Linotype" w:hAnsi="Palatino Linotype" w:cs="Palatino Linotype"/>
          <w:b/>
          <w:color w:val="000000" w:themeColor="text1"/>
        </w:rPr>
        <w:t xml:space="preserve">Ayuntamiento de Villa del Carbón, </w:t>
      </w:r>
      <w:r w:rsidRPr="00CB5DC5">
        <w:rPr>
          <w:rFonts w:ascii="Palatino Linotype" w:eastAsia="Palatino Linotype" w:hAnsi="Palatino Linotype" w:cs="Palatino Linotype"/>
          <w:color w:val="000000" w:themeColor="text1"/>
        </w:rPr>
        <w:t>en adelante el</w:t>
      </w:r>
      <w:r w:rsidRPr="00CB5DC5">
        <w:rPr>
          <w:rFonts w:ascii="Palatino Linotype" w:eastAsia="Palatino Linotype" w:hAnsi="Palatino Linotype" w:cs="Palatino Linotype"/>
          <w:b/>
          <w:color w:val="000000" w:themeColor="text1"/>
        </w:rPr>
        <w:t xml:space="preserve"> SUJETO OBLIGADO</w:t>
      </w:r>
      <w:r w:rsidRPr="00CB5DC5">
        <w:rPr>
          <w:rFonts w:ascii="Palatino Linotype" w:eastAsia="Palatino Linotype" w:hAnsi="Palatino Linotype" w:cs="Palatino Linotype"/>
          <w:color w:val="000000" w:themeColor="text1"/>
        </w:rPr>
        <w:t>, por lo que se procede a dictar la presente resolución, con base en los siguientes:</w:t>
      </w: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p>
    <w:p w:rsidR="00357D31" w:rsidRPr="00CB5DC5" w:rsidRDefault="00357D31" w:rsidP="002B3735">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CB5DC5">
        <w:rPr>
          <w:rFonts w:ascii="Palatino Linotype" w:eastAsia="Palatino Linotype" w:hAnsi="Palatino Linotype" w:cs="Palatino Linotype"/>
          <w:b/>
          <w:color w:val="000000" w:themeColor="text1"/>
        </w:rPr>
        <w:t>A N T E C E D E N T E S</w:t>
      </w:r>
    </w:p>
    <w:p w:rsidR="00357D31" w:rsidRPr="00CB5DC5" w:rsidRDefault="00357D31" w:rsidP="002B3735">
      <w:pPr>
        <w:spacing w:line="360" w:lineRule="auto"/>
        <w:rPr>
          <w:rFonts w:ascii="Palatino Linotype" w:eastAsia="Palatino Linotype" w:hAnsi="Palatino Linotype" w:cs="Palatino Linotype"/>
          <w:color w:val="000000" w:themeColor="text1"/>
        </w:rPr>
      </w:pPr>
    </w:p>
    <w:p w:rsidR="00357D31" w:rsidRPr="00CB5DC5" w:rsidRDefault="00357D31" w:rsidP="002B3735">
      <w:pPr>
        <w:numPr>
          <w:ilvl w:val="0"/>
          <w:numId w:val="1"/>
        </w:numP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 xml:space="preserve">El </w:t>
      </w:r>
      <w:r w:rsidRPr="00CB5DC5">
        <w:rPr>
          <w:rFonts w:ascii="Palatino Linotype" w:eastAsia="Palatino Linotype" w:hAnsi="Palatino Linotype" w:cs="Palatino Linotype"/>
          <w:b/>
          <w:color w:val="000000" w:themeColor="text1"/>
        </w:rPr>
        <w:t>diecisiete de junio de dos mil veinticinco</w:t>
      </w:r>
      <w:r w:rsidRPr="00CB5DC5">
        <w:rPr>
          <w:rFonts w:ascii="Palatino Linotype" w:eastAsia="Palatino Linotype" w:hAnsi="Palatino Linotype" w:cs="Palatino Linotype"/>
          <w:color w:val="000000" w:themeColor="text1"/>
        </w:rPr>
        <w:t>, el</w:t>
      </w:r>
      <w:r w:rsidRPr="00CB5DC5">
        <w:rPr>
          <w:rFonts w:ascii="Palatino Linotype" w:eastAsia="Palatino Linotype" w:hAnsi="Palatino Linotype" w:cs="Palatino Linotype"/>
          <w:b/>
          <w:color w:val="000000" w:themeColor="text1"/>
        </w:rPr>
        <w:t xml:space="preserve"> RECURRENTE </w:t>
      </w:r>
      <w:r w:rsidRPr="00CB5DC5">
        <w:rPr>
          <w:rFonts w:ascii="Palatino Linotype" w:eastAsia="Palatino Linotype" w:hAnsi="Palatino Linotype" w:cs="Palatino Linotype"/>
          <w:color w:val="000000" w:themeColor="text1"/>
        </w:rPr>
        <w:t xml:space="preserve">presentó ante el </w:t>
      </w:r>
      <w:r w:rsidRPr="00CB5DC5">
        <w:rPr>
          <w:rFonts w:ascii="Palatino Linotype" w:eastAsia="Palatino Linotype" w:hAnsi="Palatino Linotype" w:cs="Palatino Linotype"/>
          <w:b/>
          <w:color w:val="000000" w:themeColor="text1"/>
        </w:rPr>
        <w:t>SUJETO OBLIGADO,</w:t>
      </w:r>
      <w:r w:rsidRPr="00CB5DC5">
        <w:rPr>
          <w:rFonts w:ascii="Palatino Linotype" w:eastAsia="Palatino Linotype" w:hAnsi="Palatino Linotype" w:cs="Palatino Linotype"/>
          <w:color w:val="000000" w:themeColor="text1"/>
        </w:rPr>
        <w:t xml:space="preserve"> a través del Sistema de Acceso a la Información Mexiquense </w:t>
      </w:r>
      <w:r w:rsidRPr="00CB5DC5">
        <w:rPr>
          <w:rFonts w:ascii="Palatino Linotype" w:eastAsia="Palatino Linotype" w:hAnsi="Palatino Linotype" w:cs="Palatino Linotype"/>
          <w:b/>
          <w:color w:val="000000" w:themeColor="text1"/>
        </w:rPr>
        <w:t>(SAIMEX),</w:t>
      </w:r>
      <w:r w:rsidRPr="00CB5DC5">
        <w:rPr>
          <w:rFonts w:ascii="Palatino Linotype" w:eastAsia="Palatino Linotype" w:hAnsi="Palatino Linotype" w:cs="Palatino Linotype"/>
          <w:color w:val="000000" w:themeColor="text1"/>
        </w:rPr>
        <w:t xml:space="preserve"> las solicitudes de información pública </w:t>
      </w:r>
      <w:r w:rsidRPr="00CB5DC5">
        <w:rPr>
          <w:rFonts w:ascii="Palatino Linotype" w:eastAsia="Palatino Linotype" w:hAnsi="Palatino Linotype" w:cs="Palatino Linotype"/>
          <w:b/>
          <w:bCs/>
          <w:color w:val="000000" w:themeColor="text1"/>
        </w:rPr>
        <w:t>00181/VICARBO/IP/2025</w:t>
      </w:r>
      <w:r w:rsidRPr="00CB5DC5">
        <w:rPr>
          <w:rFonts w:ascii="Palatino Linotype" w:hAnsi="Palatino Linotype"/>
          <w:b/>
          <w:bCs/>
          <w:color w:val="000000" w:themeColor="text1"/>
        </w:rPr>
        <w:t>, 00182/VICARBO/IP/2025</w:t>
      </w:r>
      <w:r w:rsidRPr="00CB5DC5">
        <w:rPr>
          <w:rFonts w:ascii="Palatino Linotype" w:eastAsia="Palatino Linotype" w:hAnsi="Palatino Linotype" w:cs="Palatino Linotype"/>
          <w:b/>
          <w:color w:val="000000" w:themeColor="text1"/>
        </w:rPr>
        <w:t xml:space="preserve"> y </w:t>
      </w:r>
      <w:r w:rsidRPr="00CB5DC5">
        <w:rPr>
          <w:rFonts w:ascii="Palatino Linotype" w:eastAsia="Palatino Linotype" w:hAnsi="Palatino Linotype" w:cs="Palatino Linotype"/>
          <w:b/>
          <w:bCs/>
          <w:color w:val="000000" w:themeColor="text1"/>
        </w:rPr>
        <w:t>00183/VICARBO/IP/2025</w:t>
      </w:r>
      <w:r w:rsidRPr="00CB5DC5">
        <w:rPr>
          <w:rFonts w:ascii="Palatino Linotype" w:eastAsia="Palatino Linotype" w:hAnsi="Palatino Linotype" w:cs="Palatino Linotype"/>
          <w:color w:val="000000" w:themeColor="text1"/>
        </w:rPr>
        <w:t>, en las que se solicitó:</w:t>
      </w:r>
    </w:p>
    <w:p w:rsidR="00357D31" w:rsidRPr="00CB5DC5" w:rsidRDefault="00357D31" w:rsidP="002B3735">
      <w:pPr>
        <w:spacing w:line="360" w:lineRule="auto"/>
        <w:jc w:val="both"/>
        <w:rPr>
          <w:rFonts w:ascii="Palatino Linotype" w:eastAsia="Palatino Linotype" w:hAnsi="Palatino Linotype" w:cs="Palatino Linotype"/>
          <w:i/>
          <w:color w:val="000000" w:themeColor="text1"/>
        </w:rPr>
      </w:pP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b/>
          <w:bCs/>
          <w:color w:val="000000" w:themeColor="text1"/>
        </w:rPr>
        <w:t>00181/VICARBO/IP/2025</w:t>
      </w:r>
      <w:r w:rsidRPr="00CB5DC5">
        <w:rPr>
          <w:rFonts w:ascii="Palatino Linotype" w:eastAsia="Palatino Linotype" w:hAnsi="Palatino Linotype" w:cs="Palatino Linotype"/>
          <w:b/>
          <w:color w:val="000000" w:themeColor="text1"/>
        </w:rPr>
        <w:t>:</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t xml:space="preserve">“solicito el presupuesto y el monto ejecutado para el rastreo de la comunidad de Piequexhimo como el ayuntamiento lo informo en su pagina oficial de Facebook en el siguiente link https://www.facebook.com/share/p/15Nr8eau87/” (Sic) </w:t>
      </w:r>
    </w:p>
    <w:p w:rsidR="00357D31"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36D74" w:rsidRDefault="00436D74"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36D74" w:rsidRDefault="00436D74"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36D74" w:rsidRPr="00CB5DC5" w:rsidRDefault="00436D74"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b/>
          <w:bCs/>
          <w:color w:val="000000" w:themeColor="text1"/>
        </w:rPr>
        <w:lastRenderedPageBreak/>
        <w:t>00182/VICARBO/IP/2025</w:t>
      </w:r>
      <w:r w:rsidRPr="00CB5DC5">
        <w:rPr>
          <w:rFonts w:ascii="Palatino Linotype" w:eastAsia="Palatino Linotype" w:hAnsi="Palatino Linotype" w:cs="Palatino Linotype"/>
          <w:b/>
          <w:color w:val="000000" w:themeColor="text1"/>
        </w:rPr>
        <w:t>:</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t xml:space="preserve">“solicito el presupuesto y el monto ejecutado para el rastreo de la comunidad de San Luis Anahuac como el ayuntamiento lo informo en su pagina oficial de Facebook en el siguiente link: https://www.facebook.com/share/p/1FTyZNSs69/” (Sic) </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b/>
          <w:bCs/>
          <w:color w:val="000000" w:themeColor="text1"/>
        </w:rPr>
        <w:t>00183/VICARBO/IP/2025</w:t>
      </w:r>
      <w:r w:rsidRPr="00CB5DC5">
        <w:rPr>
          <w:rFonts w:ascii="Palatino Linotype" w:eastAsia="Palatino Linotype" w:hAnsi="Palatino Linotype" w:cs="Palatino Linotype"/>
          <w:b/>
          <w:color w:val="000000" w:themeColor="text1"/>
        </w:rPr>
        <w:t>:</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t xml:space="preserve">“solicito el presupuesto y monto ejecutado para el rastreo de la comunidad de San Luis Taxhimay como el ayuntamiento lo informo en su pagina oficial de Facebook en el siguiente link: https://www.facebook.com/share/p/1FTyZNSs69/” (Sic) </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7D31" w:rsidRPr="00CB5DC5" w:rsidRDefault="00357D31" w:rsidP="002B3735">
      <w:pPr>
        <w:numPr>
          <w:ilvl w:val="0"/>
          <w:numId w:val="1"/>
        </w:numP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Se hace constar que se señaló como modalidad de entrega de la información a través de SAIMEX.</w:t>
      </w:r>
    </w:p>
    <w:p w:rsidR="00357D31" w:rsidRPr="00CB5DC5" w:rsidRDefault="00357D31" w:rsidP="002B3735">
      <w:pPr>
        <w:pBdr>
          <w:top w:val="nil"/>
          <w:left w:val="nil"/>
          <w:bottom w:val="nil"/>
          <w:right w:val="nil"/>
          <w:between w:val="nil"/>
        </w:pBdr>
        <w:rPr>
          <w:rFonts w:ascii="Palatino Linotype" w:eastAsia="Palatino Linotype" w:hAnsi="Palatino Linotype" w:cs="Palatino Linotype"/>
          <w:color w:val="000000" w:themeColor="text1"/>
        </w:rPr>
      </w:pPr>
    </w:p>
    <w:p w:rsidR="00357D31" w:rsidRPr="00CB5DC5" w:rsidRDefault="00357D31" w:rsidP="002B3735">
      <w:pPr>
        <w:numPr>
          <w:ilvl w:val="0"/>
          <w:numId w:val="1"/>
        </w:numP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 xml:space="preserve">El </w:t>
      </w:r>
      <w:r w:rsidRPr="00CB5DC5">
        <w:rPr>
          <w:rFonts w:ascii="Palatino Linotype" w:eastAsia="Palatino Linotype" w:hAnsi="Palatino Linotype" w:cs="Palatino Linotype"/>
          <w:b/>
          <w:color w:val="000000" w:themeColor="text1"/>
        </w:rPr>
        <w:t xml:space="preserve">ocho de julio de dos mil veinticinco, </w:t>
      </w:r>
      <w:r w:rsidRPr="00CB5DC5">
        <w:rPr>
          <w:rFonts w:ascii="Palatino Linotype" w:eastAsia="Palatino Linotype" w:hAnsi="Palatino Linotype" w:cs="Palatino Linotype"/>
          <w:color w:val="000000" w:themeColor="text1"/>
        </w:rPr>
        <w:t xml:space="preserve">el </w:t>
      </w:r>
      <w:r w:rsidRPr="00CB5DC5">
        <w:rPr>
          <w:rFonts w:ascii="Palatino Linotype" w:eastAsia="Palatino Linotype" w:hAnsi="Palatino Linotype" w:cs="Palatino Linotype"/>
          <w:b/>
          <w:color w:val="000000" w:themeColor="text1"/>
        </w:rPr>
        <w:t>Sujeto Obligado</w:t>
      </w:r>
      <w:r w:rsidRPr="00CB5DC5">
        <w:rPr>
          <w:rFonts w:ascii="Palatino Linotype" w:eastAsia="Palatino Linotype" w:hAnsi="Palatino Linotype" w:cs="Palatino Linotype"/>
          <w:b/>
          <w:i/>
          <w:color w:val="000000" w:themeColor="text1"/>
        </w:rPr>
        <w:t xml:space="preserve"> </w:t>
      </w:r>
      <w:r w:rsidRPr="00CB5DC5">
        <w:rPr>
          <w:rFonts w:ascii="Palatino Linotype" w:eastAsia="Palatino Linotype" w:hAnsi="Palatino Linotype" w:cs="Palatino Linotype"/>
          <w:color w:val="000000" w:themeColor="text1"/>
        </w:rPr>
        <w:t>dio respuesta a las solicitudes de información, en los siguientes términos:</w:t>
      </w:r>
    </w:p>
    <w:p w:rsidR="00357D31" w:rsidRPr="00CB5DC5" w:rsidRDefault="00357D31" w:rsidP="002B3735">
      <w:pPr>
        <w:spacing w:line="360" w:lineRule="auto"/>
        <w:jc w:val="both"/>
        <w:rPr>
          <w:rFonts w:ascii="Palatino Linotype" w:hAnsi="Palatino Linotype"/>
          <w:color w:val="000000" w:themeColor="text1"/>
        </w:rPr>
      </w:pPr>
    </w:p>
    <w:p w:rsidR="00357D31" w:rsidRPr="00CB5DC5" w:rsidRDefault="00357D31" w:rsidP="002B3735">
      <w:pPr>
        <w:spacing w:line="360" w:lineRule="auto"/>
        <w:jc w:val="both"/>
        <w:rPr>
          <w:rFonts w:ascii="Palatino Linotype" w:eastAsia="Palatino Linotype" w:hAnsi="Palatino Linotype" w:cs="Palatino Linotype"/>
          <w:b/>
          <w:bCs/>
          <w:color w:val="000000" w:themeColor="text1"/>
        </w:rPr>
      </w:pPr>
      <w:r w:rsidRPr="00CB5DC5">
        <w:rPr>
          <w:rFonts w:ascii="Palatino Linotype" w:eastAsia="Palatino Linotype" w:hAnsi="Palatino Linotype" w:cs="Palatino Linotype"/>
          <w:b/>
          <w:bCs/>
          <w:color w:val="000000" w:themeColor="text1"/>
        </w:rPr>
        <w:t>00181/VICARBO/IP/2025:</w:t>
      </w:r>
    </w:p>
    <w:p w:rsidR="00357D31" w:rsidRPr="00CB5DC5" w:rsidRDefault="00357D31" w:rsidP="002B3735">
      <w:pPr>
        <w:spacing w:line="360" w:lineRule="auto"/>
        <w:jc w:val="both"/>
        <w:rPr>
          <w:rFonts w:ascii="Palatino Linotype" w:eastAsia="Palatino Linotype" w:hAnsi="Palatino Linotype" w:cs="Palatino Linotype"/>
          <w:b/>
          <w:bCs/>
          <w:color w:val="000000" w:themeColor="text1"/>
        </w:rPr>
      </w:pPr>
    </w:p>
    <w:tbl>
      <w:tblPr>
        <w:tblW w:w="7466" w:type="dxa"/>
        <w:jc w:val="center"/>
        <w:tblCellSpacing w:w="0" w:type="dxa"/>
        <w:tblCellMar>
          <w:left w:w="0" w:type="dxa"/>
          <w:right w:w="0" w:type="dxa"/>
        </w:tblCellMar>
        <w:tblLook w:val="04A0" w:firstRow="1" w:lastRow="0" w:firstColumn="1" w:lastColumn="0" w:noHBand="0" w:noVBand="1"/>
      </w:tblPr>
      <w:tblGrid>
        <w:gridCol w:w="7466"/>
      </w:tblGrid>
      <w:tr w:rsidR="002B3735" w:rsidRPr="00CB5DC5" w:rsidTr="00357D31">
        <w:trPr>
          <w:trHeight w:val="565"/>
          <w:tblCellSpacing w:w="0" w:type="dxa"/>
          <w:jc w:val="center"/>
        </w:trPr>
        <w:tc>
          <w:tcPr>
            <w:tcW w:w="0" w:type="auto"/>
            <w:vAlign w:val="center"/>
            <w:hideMark/>
          </w:tcPr>
          <w:p w:rsidR="00357D31" w:rsidRPr="00CB5DC5" w:rsidRDefault="00357D31" w:rsidP="002B3735">
            <w:pPr>
              <w:jc w:val="right"/>
              <w:rPr>
                <w:rFonts w:ascii="Palatino Linotype" w:hAnsi="Palatino Linotype"/>
                <w:i/>
                <w:color w:val="000000" w:themeColor="text1"/>
              </w:rPr>
            </w:pPr>
            <w:r w:rsidRPr="00CB5DC5">
              <w:rPr>
                <w:rFonts w:ascii="Palatino Linotype" w:hAnsi="Palatino Linotype"/>
                <w:i/>
                <w:color w:val="000000" w:themeColor="text1"/>
              </w:rPr>
              <w:t>Villa del Carbón, México a 08 de Julio de 2025</w:t>
            </w:r>
          </w:p>
        </w:tc>
      </w:tr>
      <w:tr w:rsidR="002B3735" w:rsidRPr="00CB5DC5" w:rsidTr="00357D31">
        <w:trPr>
          <w:trHeight w:val="565"/>
          <w:tblCellSpacing w:w="0" w:type="dxa"/>
          <w:jc w:val="center"/>
        </w:trPr>
        <w:tc>
          <w:tcPr>
            <w:tcW w:w="0" w:type="auto"/>
            <w:vAlign w:val="center"/>
            <w:hideMark/>
          </w:tcPr>
          <w:p w:rsidR="00357D31" w:rsidRPr="00CB5DC5" w:rsidRDefault="00357D31" w:rsidP="002B3735">
            <w:pPr>
              <w:jc w:val="right"/>
              <w:rPr>
                <w:rFonts w:ascii="Palatino Linotype" w:hAnsi="Palatino Linotype"/>
                <w:i/>
                <w:color w:val="000000" w:themeColor="text1"/>
              </w:rPr>
            </w:pPr>
            <w:r w:rsidRPr="00CB5DC5">
              <w:rPr>
                <w:rFonts w:ascii="Palatino Linotype" w:hAnsi="Palatino Linotype"/>
                <w:i/>
                <w:color w:val="000000" w:themeColor="text1"/>
              </w:rPr>
              <w:t>Nombre del solicitante: C. Solicitante</w:t>
            </w:r>
          </w:p>
        </w:tc>
      </w:tr>
      <w:tr w:rsidR="002B3735" w:rsidRPr="00CB5DC5" w:rsidTr="00357D31">
        <w:trPr>
          <w:trHeight w:val="565"/>
          <w:tblCellSpacing w:w="0" w:type="dxa"/>
          <w:jc w:val="center"/>
        </w:trPr>
        <w:tc>
          <w:tcPr>
            <w:tcW w:w="0" w:type="auto"/>
            <w:vAlign w:val="center"/>
            <w:hideMark/>
          </w:tcPr>
          <w:p w:rsidR="00357D31" w:rsidRPr="00CB5DC5" w:rsidRDefault="00357D31" w:rsidP="002B3735">
            <w:pPr>
              <w:jc w:val="right"/>
              <w:rPr>
                <w:rFonts w:ascii="Palatino Linotype" w:hAnsi="Palatino Linotype"/>
                <w:i/>
                <w:color w:val="000000" w:themeColor="text1"/>
              </w:rPr>
            </w:pPr>
            <w:r w:rsidRPr="00CB5DC5">
              <w:rPr>
                <w:rFonts w:ascii="Palatino Linotype" w:hAnsi="Palatino Linotype"/>
                <w:i/>
                <w:color w:val="000000" w:themeColor="text1"/>
              </w:rPr>
              <w:t>Folio de la solicitud: 00181/VICARBO/IP/2025</w:t>
            </w:r>
          </w:p>
        </w:tc>
      </w:tr>
      <w:tr w:rsidR="002B3735" w:rsidRPr="00CB5DC5" w:rsidTr="00357D31">
        <w:trPr>
          <w:trHeight w:val="847"/>
          <w:tblCellSpacing w:w="0" w:type="dxa"/>
          <w:jc w:val="center"/>
        </w:trPr>
        <w:tc>
          <w:tcPr>
            <w:tcW w:w="0" w:type="auto"/>
            <w:vAlign w:val="center"/>
            <w:hideMark/>
          </w:tcPr>
          <w:p w:rsidR="00357D31" w:rsidRPr="00CB5DC5" w:rsidRDefault="00357D31" w:rsidP="002B3735">
            <w:pPr>
              <w:jc w:val="right"/>
              <w:rPr>
                <w:rFonts w:ascii="Palatino Linotype" w:hAnsi="Palatino Linotype"/>
                <w:i/>
                <w:color w:val="000000" w:themeColor="text1"/>
              </w:rPr>
            </w:pPr>
          </w:p>
        </w:tc>
      </w:tr>
      <w:tr w:rsidR="002B3735" w:rsidRPr="00CB5DC5" w:rsidTr="00357D31">
        <w:trPr>
          <w:trHeight w:val="282"/>
          <w:tblCellSpacing w:w="0" w:type="dxa"/>
          <w:jc w:val="center"/>
        </w:trPr>
        <w:tc>
          <w:tcPr>
            <w:tcW w:w="0" w:type="auto"/>
            <w:vAlign w:val="center"/>
            <w:hideMark/>
          </w:tcPr>
          <w:p w:rsidR="00357D31" w:rsidRPr="00CB5DC5" w:rsidRDefault="00357D31" w:rsidP="002B3735">
            <w:pPr>
              <w:jc w:val="both"/>
              <w:rPr>
                <w:rFonts w:ascii="Palatino Linotype" w:hAnsi="Palatino Linotype"/>
                <w:i/>
                <w:color w:val="000000" w:themeColor="text1"/>
              </w:rPr>
            </w:pPr>
            <w:r w:rsidRPr="00CB5DC5">
              <w:rPr>
                <w:rFonts w:ascii="Palatino Linotype" w:hAnsi="Palatino Linotype"/>
                <w:i/>
                <w:color w:val="000000" w:themeColor="text1"/>
              </w:rPr>
              <w:t xml:space="preserve">En respuesta a la solicitud recibida, nos permitimos hacer de su conocimiento que con fundamento en el artículo 53, Fracciones: II, V y VI de la Ley de </w:t>
            </w:r>
            <w:r w:rsidRPr="00CB5DC5">
              <w:rPr>
                <w:rFonts w:ascii="Palatino Linotype" w:hAnsi="Palatino Linotype"/>
                <w:i/>
                <w:color w:val="000000" w:themeColor="text1"/>
              </w:rPr>
              <w:lastRenderedPageBreak/>
              <w:t>Transparencia y Acceso a la Información Pública del Estado de México y Municipios, le contestamos que:</w:t>
            </w:r>
          </w:p>
        </w:tc>
      </w:tr>
      <w:tr w:rsidR="002B3735" w:rsidRPr="00CB5DC5" w:rsidTr="00357D31">
        <w:trPr>
          <w:trHeight w:val="706"/>
          <w:tblCellSpacing w:w="0" w:type="dxa"/>
          <w:jc w:val="center"/>
        </w:trPr>
        <w:tc>
          <w:tcPr>
            <w:tcW w:w="0" w:type="auto"/>
            <w:vAlign w:val="center"/>
            <w:hideMark/>
          </w:tcPr>
          <w:p w:rsidR="00357D31" w:rsidRPr="00CB5DC5" w:rsidRDefault="00357D31" w:rsidP="002B3735">
            <w:pPr>
              <w:jc w:val="both"/>
              <w:rPr>
                <w:rFonts w:ascii="Palatino Linotype" w:hAnsi="Palatino Linotype"/>
                <w:i/>
                <w:color w:val="000000" w:themeColor="text1"/>
              </w:rPr>
            </w:pPr>
          </w:p>
        </w:tc>
      </w:tr>
      <w:tr w:rsidR="002B3735" w:rsidRPr="00CB5DC5" w:rsidTr="00357D31">
        <w:trPr>
          <w:trHeight w:val="282"/>
          <w:tblCellSpacing w:w="0" w:type="dxa"/>
          <w:jc w:val="center"/>
        </w:trPr>
        <w:tc>
          <w:tcPr>
            <w:tcW w:w="0" w:type="auto"/>
            <w:vAlign w:val="center"/>
            <w:hideMark/>
          </w:tcPr>
          <w:p w:rsidR="00357D31" w:rsidRPr="00CB5DC5" w:rsidRDefault="00357D31" w:rsidP="002B3735">
            <w:pPr>
              <w:jc w:val="both"/>
              <w:rPr>
                <w:rFonts w:ascii="Palatino Linotype" w:hAnsi="Palatino Linotype"/>
                <w:i/>
                <w:color w:val="000000" w:themeColor="text1"/>
              </w:rPr>
            </w:pPr>
            <w:r w:rsidRPr="00CB5DC5">
              <w:rPr>
                <w:rFonts w:ascii="Palatino Linotype" w:hAnsi="Palatino Linotype"/>
                <w:i/>
                <w:color w:val="000000" w:themeColor="text1"/>
              </w:rPr>
              <w:t>Por medio del presente reciba un cordial saludo. En calidad de Servidor Público Habilitado de la Unidad de Transparencia y Protección de Datos Personales del Ayuntamiento de Villa del Carbón Estado de México, se adjunta la contestación mediante Sistema de Acceso de la Información Mexiquense (SAIMEX) a la solicitud pública de información 00181/VICARBO/IP/2025. Y hacemos de su conocimiento al particular los artículos 177 y 178 primer párrafo de la Ley de Transparencia y Acceso a la Información Pública del Estado de México y Municipios para su consulta y garantía secundaria.</w:t>
            </w:r>
          </w:p>
        </w:tc>
      </w:tr>
      <w:tr w:rsidR="002B3735" w:rsidRPr="00CB5DC5" w:rsidTr="00357D31">
        <w:trPr>
          <w:trHeight w:val="706"/>
          <w:tblCellSpacing w:w="0" w:type="dxa"/>
          <w:jc w:val="center"/>
        </w:trPr>
        <w:tc>
          <w:tcPr>
            <w:tcW w:w="0" w:type="auto"/>
            <w:vAlign w:val="center"/>
            <w:hideMark/>
          </w:tcPr>
          <w:p w:rsidR="00357D31" w:rsidRPr="00CB5DC5" w:rsidRDefault="00357D31" w:rsidP="002B3735">
            <w:pPr>
              <w:rPr>
                <w:rFonts w:ascii="Palatino Linotype" w:hAnsi="Palatino Linotype"/>
                <w:i/>
                <w:color w:val="000000" w:themeColor="text1"/>
              </w:rPr>
            </w:pPr>
          </w:p>
        </w:tc>
      </w:tr>
      <w:tr w:rsidR="002B3735" w:rsidRPr="00CB5DC5" w:rsidTr="00357D31">
        <w:trPr>
          <w:trHeight w:val="282"/>
          <w:tblCellSpacing w:w="0" w:type="dxa"/>
          <w:jc w:val="center"/>
        </w:trPr>
        <w:tc>
          <w:tcPr>
            <w:tcW w:w="0" w:type="auto"/>
            <w:vAlign w:val="center"/>
            <w:hideMark/>
          </w:tcPr>
          <w:p w:rsidR="00357D31" w:rsidRPr="00CB5DC5" w:rsidRDefault="00357D31" w:rsidP="002B3735">
            <w:pPr>
              <w:rPr>
                <w:rFonts w:ascii="Palatino Linotype" w:hAnsi="Palatino Linotype"/>
                <w:i/>
                <w:color w:val="000000" w:themeColor="text1"/>
              </w:rPr>
            </w:pPr>
          </w:p>
        </w:tc>
      </w:tr>
      <w:tr w:rsidR="002B3735" w:rsidRPr="00CB5DC5" w:rsidTr="00357D31">
        <w:trPr>
          <w:trHeight w:val="282"/>
          <w:tblCellSpacing w:w="0" w:type="dxa"/>
          <w:jc w:val="center"/>
        </w:trPr>
        <w:tc>
          <w:tcPr>
            <w:tcW w:w="0" w:type="auto"/>
            <w:vAlign w:val="center"/>
            <w:hideMark/>
          </w:tcPr>
          <w:p w:rsidR="00357D31" w:rsidRPr="00CB5DC5" w:rsidRDefault="00357D31" w:rsidP="002B3735">
            <w:pPr>
              <w:rPr>
                <w:rFonts w:ascii="Palatino Linotype" w:hAnsi="Palatino Linotype"/>
                <w:i/>
                <w:color w:val="000000" w:themeColor="text1"/>
              </w:rPr>
            </w:pPr>
            <w:r w:rsidRPr="00CB5DC5">
              <w:rPr>
                <w:rFonts w:ascii="Palatino Linotype" w:hAnsi="Palatino Linotype"/>
                <w:i/>
                <w:color w:val="000000" w:themeColor="text1"/>
              </w:rPr>
              <w:t>ATENTAMENTE</w:t>
            </w:r>
          </w:p>
        </w:tc>
      </w:tr>
      <w:tr w:rsidR="002B3735" w:rsidRPr="00CB5DC5" w:rsidTr="00357D31">
        <w:trPr>
          <w:trHeight w:val="423"/>
          <w:tblCellSpacing w:w="0" w:type="dxa"/>
          <w:jc w:val="center"/>
        </w:trPr>
        <w:tc>
          <w:tcPr>
            <w:tcW w:w="0" w:type="auto"/>
            <w:vAlign w:val="center"/>
            <w:hideMark/>
          </w:tcPr>
          <w:p w:rsidR="00357D31" w:rsidRPr="00CB5DC5" w:rsidRDefault="00357D31" w:rsidP="002B3735">
            <w:pPr>
              <w:rPr>
                <w:rFonts w:ascii="Palatino Linotype" w:hAnsi="Palatino Linotype"/>
                <w:i/>
                <w:color w:val="000000" w:themeColor="text1"/>
              </w:rPr>
            </w:pPr>
          </w:p>
        </w:tc>
      </w:tr>
      <w:tr w:rsidR="00357D31" w:rsidRPr="00CB5DC5" w:rsidTr="00357D31">
        <w:trPr>
          <w:trHeight w:val="282"/>
          <w:tblCellSpacing w:w="0" w:type="dxa"/>
          <w:jc w:val="center"/>
        </w:trPr>
        <w:tc>
          <w:tcPr>
            <w:tcW w:w="0" w:type="auto"/>
            <w:vAlign w:val="center"/>
            <w:hideMark/>
          </w:tcPr>
          <w:p w:rsidR="00357D31" w:rsidRPr="00CB5DC5" w:rsidRDefault="00357D31" w:rsidP="002B3735">
            <w:pPr>
              <w:rPr>
                <w:rFonts w:ascii="Palatino Linotype" w:hAnsi="Palatino Linotype"/>
                <w:i/>
                <w:color w:val="000000" w:themeColor="text1"/>
              </w:rPr>
            </w:pPr>
            <w:r w:rsidRPr="00CB5DC5">
              <w:rPr>
                <w:rFonts w:ascii="Palatino Linotype" w:hAnsi="Palatino Linotype"/>
                <w:i/>
                <w:color w:val="000000" w:themeColor="text1"/>
              </w:rPr>
              <w:t>Lic. Juan Carlos Jandette Delgado</w:t>
            </w:r>
          </w:p>
        </w:tc>
      </w:tr>
    </w:tbl>
    <w:p w:rsidR="00357D31" w:rsidRPr="00CB5DC5" w:rsidRDefault="00357D31" w:rsidP="002B3735">
      <w:pPr>
        <w:spacing w:line="360" w:lineRule="auto"/>
        <w:jc w:val="both"/>
        <w:rPr>
          <w:rFonts w:ascii="Palatino Linotype" w:eastAsia="Palatino Linotype" w:hAnsi="Palatino Linotype" w:cs="Palatino Linotype"/>
          <w:b/>
          <w:bCs/>
          <w:color w:val="000000" w:themeColor="text1"/>
        </w:rPr>
      </w:pPr>
    </w:p>
    <w:p w:rsidR="00C2682D" w:rsidRPr="00CB5DC5" w:rsidRDefault="00357D31" w:rsidP="002B3735">
      <w:pPr>
        <w:pStyle w:val="Prrafodelista"/>
        <w:numPr>
          <w:ilvl w:val="0"/>
          <w:numId w:val="2"/>
        </w:numPr>
        <w:spacing w:line="360" w:lineRule="auto"/>
        <w:ind w:left="0"/>
        <w:jc w:val="both"/>
        <w:rPr>
          <w:rFonts w:ascii="Palatino Linotype" w:eastAsia="Palatino Linotype" w:hAnsi="Palatino Linotype" w:cs="Palatino Linotype"/>
          <w:bCs/>
          <w:color w:val="000000" w:themeColor="text1"/>
          <w:sz w:val="24"/>
        </w:rPr>
      </w:pPr>
      <w:r w:rsidRPr="00CB5DC5">
        <w:rPr>
          <w:rFonts w:ascii="Palatino Linotype" w:eastAsia="Palatino Linotype" w:hAnsi="Palatino Linotype" w:cs="Palatino Linotype"/>
          <w:bCs/>
          <w:color w:val="000000" w:themeColor="text1"/>
          <w:sz w:val="24"/>
        </w:rPr>
        <w:t xml:space="preserve">A la respuesta se adjuntó el archivo denominado </w:t>
      </w:r>
      <w:hyperlink r:id="rId7" w:tgtFrame="_blank" w:history="1">
        <w:r w:rsidRPr="00CB5DC5">
          <w:rPr>
            <w:rStyle w:val="Hipervnculo"/>
            <w:rFonts w:ascii="Palatino Linotype" w:eastAsia="Palatino Linotype" w:hAnsi="Palatino Linotype" w:cs="Palatino Linotype"/>
            <w:b/>
            <w:bCs/>
            <w:color w:val="000000" w:themeColor="text1"/>
            <w:sz w:val="24"/>
          </w:rPr>
          <w:t>181.pdf</w:t>
        </w:r>
      </w:hyperlink>
      <w:r w:rsidRPr="00CB5DC5">
        <w:rPr>
          <w:rFonts w:ascii="Palatino Linotype" w:eastAsia="Palatino Linotype" w:hAnsi="Palatino Linotype" w:cs="Palatino Linotype"/>
          <w:bCs/>
          <w:color w:val="000000" w:themeColor="text1"/>
          <w:sz w:val="24"/>
        </w:rPr>
        <w:t>, en el que se advierte el oficio número MVC/DOP/200/2025 de fecha siete de julio de dos mil veinticinco, suscrito por el Director de Obras Públicas quien señaló que der</w:t>
      </w:r>
      <w:r w:rsidR="00C2682D" w:rsidRPr="00CB5DC5">
        <w:rPr>
          <w:rFonts w:ascii="Palatino Linotype" w:eastAsia="Palatino Linotype" w:hAnsi="Palatino Linotype" w:cs="Palatino Linotype"/>
          <w:bCs/>
          <w:color w:val="000000" w:themeColor="text1"/>
          <w:sz w:val="24"/>
        </w:rPr>
        <w:t>ivado de la búsqueda exhaustiva en los archivo físicos como electrónicos o digitales, no se localizó información relacionada con los solicitado.</w:t>
      </w:r>
    </w:p>
    <w:p w:rsidR="00357D31" w:rsidRPr="00CB5DC5" w:rsidRDefault="00357D31" w:rsidP="002B3735">
      <w:pPr>
        <w:spacing w:line="360" w:lineRule="auto"/>
        <w:jc w:val="both"/>
        <w:rPr>
          <w:rFonts w:ascii="Palatino Linotype" w:eastAsia="Palatino Linotype" w:hAnsi="Palatino Linotype" w:cs="Palatino Linotype"/>
          <w:b/>
          <w:bCs/>
          <w:color w:val="000000" w:themeColor="text1"/>
        </w:rPr>
      </w:pPr>
    </w:p>
    <w:p w:rsidR="00357D31" w:rsidRPr="00CB5DC5" w:rsidRDefault="00C2682D" w:rsidP="002B3735">
      <w:pPr>
        <w:spacing w:line="360" w:lineRule="auto"/>
        <w:jc w:val="both"/>
        <w:rPr>
          <w:rFonts w:ascii="Palatino Linotype" w:hAnsi="Palatino Linotype"/>
          <w:b/>
          <w:bCs/>
          <w:color w:val="000000" w:themeColor="text1"/>
        </w:rPr>
      </w:pPr>
      <w:r w:rsidRPr="00CB5DC5">
        <w:rPr>
          <w:rFonts w:ascii="Palatino Linotype" w:hAnsi="Palatino Linotype"/>
          <w:b/>
          <w:bCs/>
          <w:color w:val="000000" w:themeColor="text1"/>
        </w:rPr>
        <w:t>00182/VICARBO/IP/2025</w:t>
      </w:r>
      <w:r w:rsidR="00357D31" w:rsidRPr="00CB5DC5">
        <w:rPr>
          <w:rFonts w:ascii="Palatino Linotype" w:hAnsi="Palatino Linotype"/>
          <w:b/>
          <w:bCs/>
          <w:color w:val="000000" w:themeColor="text1"/>
        </w:rPr>
        <w:t>:</w:t>
      </w:r>
    </w:p>
    <w:tbl>
      <w:tblPr>
        <w:tblW w:w="7509" w:type="dxa"/>
        <w:jc w:val="center"/>
        <w:tblCellSpacing w:w="0" w:type="dxa"/>
        <w:tblCellMar>
          <w:left w:w="0" w:type="dxa"/>
          <w:right w:w="0" w:type="dxa"/>
        </w:tblCellMar>
        <w:tblLook w:val="04A0" w:firstRow="1" w:lastRow="0" w:firstColumn="1" w:lastColumn="0" w:noHBand="0" w:noVBand="1"/>
      </w:tblPr>
      <w:tblGrid>
        <w:gridCol w:w="7509"/>
      </w:tblGrid>
      <w:tr w:rsidR="002B3735" w:rsidRPr="00CB5DC5" w:rsidTr="00C2682D">
        <w:trPr>
          <w:trHeight w:val="596"/>
          <w:tblCellSpacing w:w="0" w:type="dxa"/>
          <w:jc w:val="center"/>
        </w:trPr>
        <w:tc>
          <w:tcPr>
            <w:tcW w:w="0" w:type="auto"/>
            <w:vAlign w:val="center"/>
            <w:hideMark/>
          </w:tcPr>
          <w:p w:rsidR="00C2682D" w:rsidRPr="00CB5DC5" w:rsidRDefault="00C2682D" w:rsidP="002B3735">
            <w:pPr>
              <w:jc w:val="right"/>
              <w:rPr>
                <w:rFonts w:ascii="Palatino Linotype" w:hAnsi="Palatino Linotype"/>
                <w:i/>
                <w:color w:val="000000" w:themeColor="text1"/>
              </w:rPr>
            </w:pPr>
            <w:r w:rsidRPr="00CB5DC5">
              <w:rPr>
                <w:rFonts w:ascii="Palatino Linotype" w:hAnsi="Palatino Linotype"/>
                <w:i/>
                <w:color w:val="000000" w:themeColor="text1"/>
              </w:rPr>
              <w:t>Villa del Carbón, México a 08 de Julio de 2025</w:t>
            </w:r>
          </w:p>
        </w:tc>
      </w:tr>
      <w:tr w:rsidR="002B3735" w:rsidRPr="00CB5DC5" w:rsidTr="00C2682D">
        <w:trPr>
          <w:trHeight w:val="596"/>
          <w:tblCellSpacing w:w="0" w:type="dxa"/>
          <w:jc w:val="center"/>
        </w:trPr>
        <w:tc>
          <w:tcPr>
            <w:tcW w:w="0" w:type="auto"/>
            <w:vAlign w:val="center"/>
            <w:hideMark/>
          </w:tcPr>
          <w:p w:rsidR="00C2682D" w:rsidRPr="00CB5DC5" w:rsidRDefault="00C2682D" w:rsidP="002B3735">
            <w:pPr>
              <w:jc w:val="right"/>
              <w:rPr>
                <w:rFonts w:ascii="Palatino Linotype" w:hAnsi="Palatino Linotype"/>
                <w:i/>
                <w:color w:val="000000" w:themeColor="text1"/>
              </w:rPr>
            </w:pPr>
            <w:r w:rsidRPr="00CB5DC5">
              <w:rPr>
                <w:rFonts w:ascii="Palatino Linotype" w:hAnsi="Palatino Linotype"/>
                <w:i/>
                <w:color w:val="000000" w:themeColor="text1"/>
              </w:rPr>
              <w:t>Nombre del solicitante: C. Solicitante</w:t>
            </w:r>
          </w:p>
        </w:tc>
      </w:tr>
      <w:tr w:rsidR="002B3735" w:rsidRPr="00CB5DC5" w:rsidTr="00C2682D">
        <w:trPr>
          <w:trHeight w:val="596"/>
          <w:tblCellSpacing w:w="0" w:type="dxa"/>
          <w:jc w:val="center"/>
        </w:trPr>
        <w:tc>
          <w:tcPr>
            <w:tcW w:w="0" w:type="auto"/>
            <w:vAlign w:val="center"/>
            <w:hideMark/>
          </w:tcPr>
          <w:p w:rsidR="00C2682D" w:rsidRPr="00CB5DC5" w:rsidRDefault="00C2682D" w:rsidP="002B3735">
            <w:pPr>
              <w:jc w:val="right"/>
              <w:rPr>
                <w:rFonts w:ascii="Palatino Linotype" w:hAnsi="Palatino Linotype"/>
                <w:i/>
                <w:color w:val="000000" w:themeColor="text1"/>
              </w:rPr>
            </w:pPr>
            <w:r w:rsidRPr="00CB5DC5">
              <w:rPr>
                <w:rFonts w:ascii="Palatino Linotype" w:hAnsi="Palatino Linotype"/>
                <w:i/>
                <w:color w:val="000000" w:themeColor="text1"/>
              </w:rPr>
              <w:t>Folio de la solicitud: 00182/VICARBO/IP/2025</w:t>
            </w:r>
          </w:p>
        </w:tc>
      </w:tr>
      <w:tr w:rsidR="002B3735" w:rsidRPr="00CB5DC5" w:rsidTr="00C2682D">
        <w:trPr>
          <w:trHeight w:val="894"/>
          <w:tblCellSpacing w:w="0" w:type="dxa"/>
          <w:jc w:val="center"/>
        </w:trPr>
        <w:tc>
          <w:tcPr>
            <w:tcW w:w="0" w:type="auto"/>
            <w:vAlign w:val="center"/>
            <w:hideMark/>
          </w:tcPr>
          <w:p w:rsidR="00C2682D" w:rsidRPr="00CB5DC5" w:rsidRDefault="00C2682D" w:rsidP="002B3735">
            <w:pPr>
              <w:jc w:val="right"/>
              <w:rPr>
                <w:rFonts w:ascii="Palatino Linotype" w:hAnsi="Palatino Linotype"/>
                <w:i/>
                <w:color w:val="000000" w:themeColor="text1"/>
              </w:rPr>
            </w:pPr>
          </w:p>
        </w:tc>
      </w:tr>
      <w:tr w:rsidR="002B3735" w:rsidRPr="00CB5DC5" w:rsidTr="00C2682D">
        <w:trPr>
          <w:trHeight w:val="298"/>
          <w:tblCellSpacing w:w="0" w:type="dxa"/>
          <w:jc w:val="center"/>
        </w:trPr>
        <w:tc>
          <w:tcPr>
            <w:tcW w:w="0" w:type="auto"/>
            <w:vAlign w:val="center"/>
            <w:hideMark/>
          </w:tcPr>
          <w:p w:rsidR="00C2682D" w:rsidRPr="00CB5DC5" w:rsidRDefault="00C2682D" w:rsidP="002B3735">
            <w:pPr>
              <w:jc w:val="both"/>
              <w:rPr>
                <w:rFonts w:ascii="Palatino Linotype" w:hAnsi="Palatino Linotype"/>
                <w:i/>
                <w:color w:val="000000" w:themeColor="text1"/>
              </w:rPr>
            </w:pPr>
            <w:r w:rsidRPr="00CB5DC5">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B3735" w:rsidRPr="00CB5DC5" w:rsidTr="00C2682D">
        <w:trPr>
          <w:trHeight w:val="745"/>
          <w:tblCellSpacing w:w="0" w:type="dxa"/>
          <w:jc w:val="center"/>
        </w:trPr>
        <w:tc>
          <w:tcPr>
            <w:tcW w:w="0" w:type="auto"/>
            <w:vAlign w:val="center"/>
            <w:hideMark/>
          </w:tcPr>
          <w:p w:rsidR="00C2682D" w:rsidRPr="00CB5DC5" w:rsidRDefault="00C2682D" w:rsidP="002B3735">
            <w:pPr>
              <w:jc w:val="both"/>
              <w:rPr>
                <w:rFonts w:ascii="Palatino Linotype" w:hAnsi="Palatino Linotype"/>
                <w:i/>
                <w:color w:val="000000" w:themeColor="text1"/>
              </w:rPr>
            </w:pPr>
          </w:p>
        </w:tc>
      </w:tr>
      <w:tr w:rsidR="002B3735" w:rsidRPr="00CB5DC5" w:rsidTr="00C2682D">
        <w:trPr>
          <w:trHeight w:val="298"/>
          <w:tblCellSpacing w:w="0" w:type="dxa"/>
          <w:jc w:val="center"/>
        </w:trPr>
        <w:tc>
          <w:tcPr>
            <w:tcW w:w="0" w:type="auto"/>
            <w:vAlign w:val="center"/>
            <w:hideMark/>
          </w:tcPr>
          <w:p w:rsidR="00C2682D" w:rsidRPr="00CB5DC5" w:rsidRDefault="00C2682D" w:rsidP="002B3735">
            <w:pPr>
              <w:jc w:val="both"/>
              <w:rPr>
                <w:rFonts w:ascii="Palatino Linotype" w:hAnsi="Palatino Linotype"/>
                <w:i/>
                <w:color w:val="000000" w:themeColor="text1"/>
              </w:rPr>
            </w:pPr>
            <w:r w:rsidRPr="00CB5DC5">
              <w:rPr>
                <w:rFonts w:ascii="Palatino Linotype" w:hAnsi="Palatino Linotype"/>
                <w:i/>
                <w:color w:val="000000" w:themeColor="text1"/>
              </w:rPr>
              <w:t>Por medio del presente reciba un cordial saludo. En calidad de Servidor Público Habilitado de la Unidad de Transparencia y Protección de Datos Personales del Ayuntamiento de Villa del Carbón Estado de México, se adjunta la contestación mediante Sistema de Acceso de la Información Mexiquense (SAIMEX) a la solicitud pública de información 00182/VICARBO/IP/2025. Y hacemos de su conocimiento al particular los artículos 177 y 178 primer párrafo de la Ley de Transparencia y Acceso a la Información Pública del Estado de México y Municipios para su consulta y garantía secundaria.</w:t>
            </w:r>
          </w:p>
        </w:tc>
      </w:tr>
      <w:tr w:rsidR="002B3735" w:rsidRPr="00CB5DC5" w:rsidTr="00C2682D">
        <w:trPr>
          <w:trHeight w:val="298"/>
          <w:tblCellSpacing w:w="0" w:type="dxa"/>
          <w:jc w:val="center"/>
        </w:trPr>
        <w:tc>
          <w:tcPr>
            <w:tcW w:w="0" w:type="auto"/>
            <w:vAlign w:val="center"/>
            <w:hideMark/>
          </w:tcPr>
          <w:p w:rsidR="00C2682D" w:rsidRPr="00CB5DC5" w:rsidRDefault="00C2682D" w:rsidP="002B3735">
            <w:pPr>
              <w:rPr>
                <w:rFonts w:ascii="Palatino Linotype" w:hAnsi="Palatino Linotype"/>
                <w:i/>
                <w:color w:val="000000" w:themeColor="text1"/>
              </w:rPr>
            </w:pPr>
          </w:p>
        </w:tc>
      </w:tr>
      <w:tr w:rsidR="002B3735" w:rsidRPr="00CB5DC5" w:rsidTr="00C2682D">
        <w:trPr>
          <w:trHeight w:val="298"/>
          <w:tblCellSpacing w:w="0" w:type="dxa"/>
          <w:jc w:val="center"/>
        </w:trPr>
        <w:tc>
          <w:tcPr>
            <w:tcW w:w="0" w:type="auto"/>
            <w:vAlign w:val="center"/>
            <w:hideMark/>
          </w:tcPr>
          <w:p w:rsidR="00C2682D" w:rsidRPr="00CB5DC5" w:rsidRDefault="00C2682D" w:rsidP="002B3735">
            <w:pPr>
              <w:rPr>
                <w:rFonts w:ascii="Palatino Linotype" w:hAnsi="Palatino Linotype"/>
                <w:i/>
                <w:color w:val="000000" w:themeColor="text1"/>
              </w:rPr>
            </w:pPr>
            <w:r w:rsidRPr="00CB5DC5">
              <w:rPr>
                <w:rFonts w:ascii="Palatino Linotype" w:hAnsi="Palatino Linotype"/>
                <w:i/>
                <w:color w:val="000000" w:themeColor="text1"/>
              </w:rPr>
              <w:t>ATENTAMENTE</w:t>
            </w:r>
          </w:p>
        </w:tc>
      </w:tr>
      <w:tr w:rsidR="002B3735" w:rsidRPr="00CB5DC5" w:rsidTr="00C2682D">
        <w:trPr>
          <w:trHeight w:val="447"/>
          <w:tblCellSpacing w:w="0" w:type="dxa"/>
          <w:jc w:val="center"/>
        </w:trPr>
        <w:tc>
          <w:tcPr>
            <w:tcW w:w="0" w:type="auto"/>
            <w:vAlign w:val="center"/>
            <w:hideMark/>
          </w:tcPr>
          <w:p w:rsidR="00C2682D" w:rsidRPr="00CB5DC5" w:rsidRDefault="00C2682D" w:rsidP="002B3735">
            <w:pPr>
              <w:rPr>
                <w:rFonts w:ascii="Palatino Linotype" w:hAnsi="Palatino Linotype"/>
                <w:i/>
                <w:color w:val="000000" w:themeColor="text1"/>
              </w:rPr>
            </w:pPr>
          </w:p>
        </w:tc>
      </w:tr>
      <w:tr w:rsidR="00C2682D" w:rsidRPr="00CB5DC5" w:rsidTr="00C2682D">
        <w:trPr>
          <w:trHeight w:val="298"/>
          <w:tblCellSpacing w:w="0" w:type="dxa"/>
          <w:jc w:val="center"/>
        </w:trPr>
        <w:tc>
          <w:tcPr>
            <w:tcW w:w="0" w:type="auto"/>
            <w:vAlign w:val="center"/>
            <w:hideMark/>
          </w:tcPr>
          <w:p w:rsidR="00C2682D" w:rsidRPr="00CB5DC5" w:rsidRDefault="00C2682D" w:rsidP="002B3735">
            <w:pPr>
              <w:rPr>
                <w:rFonts w:ascii="Palatino Linotype" w:hAnsi="Palatino Linotype"/>
                <w:i/>
                <w:color w:val="000000" w:themeColor="text1"/>
              </w:rPr>
            </w:pPr>
            <w:r w:rsidRPr="00CB5DC5">
              <w:rPr>
                <w:rFonts w:ascii="Palatino Linotype" w:hAnsi="Palatino Linotype"/>
                <w:i/>
                <w:color w:val="000000" w:themeColor="text1"/>
              </w:rPr>
              <w:t>Lic. Juan Carlos Jandette Delgado</w:t>
            </w:r>
          </w:p>
        </w:tc>
      </w:tr>
    </w:tbl>
    <w:p w:rsidR="00357D31" w:rsidRPr="00CB5DC5" w:rsidRDefault="00357D31" w:rsidP="002B3735">
      <w:pPr>
        <w:spacing w:line="360" w:lineRule="auto"/>
        <w:jc w:val="both"/>
        <w:rPr>
          <w:rFonts w:ascii="Palatino Linotype" w:hAnsi="Palatino Linotype"/>
          <w:b/>
          <w:bCs/>
          <w:color w:val="000000" w:themeColor="text1"/>
        </w:rPr>
      </w:pPr>
    </w:p>
    <w:p w:rsidR="00357D31" w:rsidRPr="00CB5DC5" w:rsidRDefault="00357D31" w:rsidP="002B3735">
      <w:pPr>
        <w:pStyle w:val="Prrafodelista"/>
        <w:numPr>
          <w:ilvl w:val="0"/>
          <w:numId w:val="2"/>
        </w:numPr>
        <w:spacing w:line="360" w:lineRule="auto"/>
        <w:ind w:left="0"/>
        <w:jc w:val="both"/>
        <w:rPr>
          <w:rFonts w:ascii="Palatino Linotype" w:eastAsia="Palatino Linotype" w:hAnsi="Palatino Linotype" w:cs="Palatino Linotype"/>
          <w:bCs/>
          <w:color w:val="000000" w:themeColor="text1"/>
          <w:sz w:val="24"/>
        </w:rPr>
      </w:pPr>
      <w:r w:rsidRPr="00CB5DC5">
        <w:rPr>
          <w:rFonts w:ascii="Palatino Linotype" w:eastAsia="Palatino Linotype" w:hAnsi="Palatino Linotype" w:cs="Palatino Linotype"/>
          <w:bCs/>
          <w:color w:val="000000" w:themeColor="text1"/>
          <w:sz w:val="24"/>
        </w:rPr>
        <w:t xml:space="preserve">A la respuesta se adjuntó el archivo denominado </w:t>
      </w:r>
      <w:hyperlink r:id="rId8" w:tgtFrame="_blank" w:history="1">
        <w:r w:rsidR="00C2682D" w:rsidRPr="00CB5DC5">
          <w:rPr>
            <w:rStyle w:val="Hipervnculo"/>
            <w:rFonts w:ascii="Palatino Linotype" w:eastAsia="Palatino Linotype" w:hAnsi="Palatino Linotype" w:cs="Palatino Linotype"/>
            <w:b/>
            <w:bCs/>
            <w:color w:val="000000" w:themeColor="text1"/>
            <w:sz w:val="24"/>
          </w:rPr>
          <w:t>182.pdf</w:t>
        </w:r>
      </w:hyperlink>
      <w:r w:rsidR="00C2682D" w:rsidRPr="00CB5DC5">
        <w:rPr>
          <w:rFonts w:ascii="Palatino Linotype" w:eastAsia="Palatino Linotype" w:hAnsi="Palatino Linotype" w:cs="Palatino Linotype"/>
          <w:bCs/>
          <w:color w:val="000000" w:themeColor="text1"/>
          <w:sz w:val="24"/>
        </w:rPr>
        <w:t>, en el que se advierte el oficio número MVC/DOP/201/2025 de fecha siete de julio de dos mil veinticinco, suscrito por el Director de Obras Públicas quien señaló que derivado de la búsqueda exhaustiva en los archivo físicos como electrónicos o digitales, no se localizó información relacionada con los solicitado.</w:t>
      </w:r>
    </w:p>
    <w:p w:rsidR="00357D31" w:rsidRPr="00CB5DC5" w:rsidRDefault="00357D31" w:rsidP="002B3735">
      <w:pPr>
        <w:spacing w:line="360" w:lineRule="auto"/>
        <w:jc w:val="both"/>
        <w:rPr>
          <w:rFonts w:ascii="Palatino Linotype" w:hAnsi="Palatino Linotype"/>
          <w:b/>
          <w:bCs/>
          <w:color w:val="000000" w:themeColor="text1"/>
        </w:rPr>
      </w:pPr>
    </w:p>
    <w:p w:rsidR="00357D31" w:rsidRPr="00CB5DC5" w:rsidRDefault="00C2682D" w:rsidP="002B3735">
      <w:pPr>
        <w:spacing w:line="360" w:lineRule="auto"/>
        <w:jc w:val="both"/>
        <w:rPr>
          <w:rFonts w:ascii="Palatino Linotype" w:hAnsi="Palatino Linotype"/>
          <w:b/>
          <w:bCs/>
          <w:color w:val="000000" w:themeColor="text1"/>
        </w:rPr>
      </w:pPr>
      <w:r w:rsidRPr="00CB5DC5">
        <w:rPr>
          <w:rFonts w:ascii="Palatino Linotype" w:hAnsi="Palatino Linotype"/>
          <w:b/>
          <w:bCs/>
          <w:color w:val="000000" w:themeColor="text1"/>
        </w:rPr>
        <w:t>00183/VICARBO/IP/2025</w:t>
      </w:r>
      <w:r w:rsidR="00357D31" w:rsidRPr="00CB5DC5">
        <w:rPr>
          <w:rFonts w:ascii="Palatino Linotype" w:hAnsi="Palatino Linotype"/>
          <w:b/>
          <w:bCs/>
          <w:color w:val="000000" w:themeColor="text1"/>
        </w:rPr>
        <w:t>:</w:t>
      </w:r>
    </w:p>
    <w:p w:rsidR="00357D31" w:rsidRPr="00CB5DC5" w:rsidRDefault="00357D31" w:rsidP="002B3735">
      <w:pPr>
        <w:spacing w:line="360" w:lineRule="auto"/>
        <w:jc w:val="both"/>
        <w:rPr>
          <w:rFonts w:ascii="Palatino Linotype" w:hAnsi="Palatino Linotype"/>
          <w:b/>
          <w:bCs/>
          <w:color w:val="000000" w:themeColor="text1"/>
        </w:rPr>
      </w:pPr>
    </w:p>
    <w:tbl>
      <w:tblPr>
        <w:tblW w:w="7337" w:type="dxa"/>
        <w:jc w:val="center"/>
        <w:tblCellSpacing w:w="0" w:type="dxa"/>
        <w:tblCellMar>
          <w:left w:w="0" w:type="dxa"/>
          <w:right w:w="0" w:type="dxa"/>
        </w:tblCellMar>
        <w:tblLook w:val="04A0" w:firstRow="1" w:lastRow="0" w:firstColumn="1" w:lastColumn="0" w:noHBand="0" w:noVBand="1"/>
      </w:tblPr>
      <w:tblGrid>
        <w:gridCol w:w="7337"/>
      </w:tblGrid>
      <w:tr w:rsidR="002B3735" w:rsidRPr="00CB5DC5" w:rsidTr="00C2682D">
        <w:trPr>
          <w:trHeight w:val="558"/>
          <w:tblCellSpacing w:w="0" w:type="dxa"/>
          <w:jc w:val="center"/>
        </w:trPr>
        <w:tc>
          <w:tcPr>
            <w:tcW w:w="0" w:type="auto"/>
            <w:vAlign w:val="center"/>
            <w:hideMark/>
          </w:tcPr>
          <w:p w:rsidR="00C2682D" w:rsidRPr="00CB5DC5" w:rsidRDefault="00C2682D" w:rsidP="002B3735">
            <w:pPr>
              <w:jc w:val="right"/>
              <w:rPr>
                <w:rFonts w:ascii="Palatino Linotype" w:hAnsi="Palatino Linotype"/>
                <w:i/>
                <w:color w:val="000000" w:themeColor="text1"/>
              </w:rPr>
            </w:pPr>
            <w:r w:rsidRPr="00CB5DC5">
              <w:rPr>
                <w:rFonts w:ascii="Palatino Linotype" w:hAnsi="Palatino Linotype"/>
                <w:i/>
                <w:color w:val="000000" w:themeColor="text1"/>
              </w:rPr>
              <w:t>Villa del Carbón, México a 08 de Julio de 2025</w:t>
            </w:r>
          </w:p>
        </w:tc>
      </w:tr>
      <w:tr w:rsidR="002B3735" w:rsidRPr="00CB5DC5" w:rsidTr="00C2682D">
        <w:trPr>
          <w:trHeight w:val="558"/>
          <w:tblCellSpacing w:w="0" w:type="dxa"/>
          <w:jc w:val="center"/>
        </w:trPr>
        <w:tc>
          <w:tcPr>
            <w:tcW w:w="0" w:type="auto"/>
            <w:vAlign w:val="center"/>
            <w:hideMark/>
          </w:tcPr>
          <w:p w:rsidR="00C2682D" w:rsidRPr="00CB5DC5" w:rsidRDefault="00C2682D" w:rsidP="002B3735">
            <w:pPr>
              <w:jc w:val="right"/>
              <w:rPr>
                <w:rFonts w:ascii="Palatino Linotype" w:hAnsi="Palatino Linotype"/>
                <w:i/>
                <w:color w:val="000000" w:themeColor="text1"/>
              </w:rPr>
            </w:pPr>
            <w:r w:rsidRPr="00CB5DC5">
              <w:rPr>
                <w:rFonts w:ascii="Palatino Linotype" w:hAnsi="Palatino Linotype"/>
                <w:i/>
                <w:color w:val="000000" w:themeColor="text1"/>
              </w:rPr>
              <w:t>Nombre del solicitante: C. Solicitante</w:t>
            </w:r>
          </w:p>
        </w:tc>
      </w:tr>
      <w:tr w:rsidR="002B3735" w:rsidRPr="00CB5DC5" w:rsidTr="00C2682D">
        <w:trPr>
          <w:trHeight w:val="558"/>
          <w:tblCellSpacing w:w="0" w:type="dxa"/>
          <w:jc w:val="center"/>
        </w:trPr>
        <w:tc>
          <w:tcPr>
            <w:tcW w:w="0" w:type="auto"/>
            <w:vAlign w:val="center"/>
            <w:hideMark/>
          </w:tcPr>
          <w:p w:rsidR="00C2682D" w:rsidRPr="00CB5DC5" w:rsidRDefault="00C2682D" w:rsidP="002B3735">
            <w:pPr>
              <w:jc w:val="right"/>
              <w:rPr>
                <w:rFonts w:ascii="Palatino Linotype" w:hAnsi="Palatino Linotype"/>
                <w:i/>
                <w:color w:val="000000" w:themeColor="text1"/>
              </w:rPr>
            </w:pPr>
            <w:r w:rsidRPr="00CB5DC5">
              <w:rPr>
                <w:rFonts w:ascii="Palatino Linotype" w:hAnsi="Palatino Linotype"/>
                <w:i/>
                <w:color w:val="000000" w:themeColor="text1"/>
              </w:rPr>
              <w:lastRenderedPageBreak/>
              <w:t>Folio de la solicitud: 00183/VICARBO/IP/2025</w:t>
            </w:r>
          </w:p>
        </w:tc>
      </w:tr>
      <w:tr w:rsidR="002B3735" w:rsidRPr="00CB5DC5" w:rsidTr="00C2682D">
        <w:trPr>
          <w:trHeight w:val="837"/>
          <w:tblCellSpacing w:w="0" w:type="dxa"/>
          <w:jc w:val="center"/>
        </w:trPr>
        <w:tc>
          <w:tcPr>
            <w:tcW w:w="0" w:type="auto"/>
            <w:vAlign w:val="center"/>
            <w:hideMark/>
          </w:tcPr>
          <w:p w:rsidR="00C2682D" w:rsidRPr="00CB5DC5" w:rsidRDefault="00C2682D" w:rsidP="002B3735">
            <w:pPr>
              <w:jc w:val="right"/>
              <w:rPr>
                <w:rFonts w:ascii="Palatino Linotype" w:hAnsi="Palatino Linotype"/>
                <w:i/>
                <w:color w:val="000000" w:themeColor="text1"/>
              </w:rPr>
            </w:pPr>
          </w:p>
        </w:tc>
      </w:tr>
      <w:tr w:rsidR="002B3735" w:rsidRPr="00CB5DC5" w:rsidTr="00C2682D">
        <w:trPr>
          <w:trHeight w:val="279"/>
          <w:tblCellSpacing w:w="0" w:type="dxa"/>
          <w:jc w:val="center"/>
        </w:trPr>
        <w:tc>
          <w:tcPr>
            <w:tcW w:w="0" w:type="auto"/>
            <w:vAlign w:val="center"/>
            <w:hideMark/>
          </w:tcPr>
          <w:p w:rsidR="00C2682D" w:rsidRPr="00CB5DC5" w:rsidRDefault="00C2682D" w:rsidP="002B3735">
            <w:pPr>
              <w:jc w:val="both"/>
              <w:rPr>
                <w:rFonts w:ascii="Palatino Linotype" w:hAnsi="Palatino Linotype"/>
                <w:i/>
                <w:color w:val="000000" w:themeColor="text1"/>
              </w:rPr>
            </w:pPr>
            <w:r w:rsidRPr="00CB5DC5">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B3735" w:rsidRPr="00CB5DC5" w:rsidTr="00C2682D">
        <w:trPr>
          <w:trHeight w:val="697"/>
          <w:tblCellSpacing w:w="0" w:type="dxa"/>
          <w:jc w:val="center"/>
        </w:trPr>
        <w:tc>
          <w:tcPr>
            <w:tcW w:w="0" w:type="auto"/>
            <w:vAlign w:val="center"/>
            <w:hideMark/>
          </w:tcPr>
          <w:p w:rsidR="00C2682D" w:rsidRPr="00CB5DC5" w:rsidRDefault="00C2682D" w:rsidP="002B3735">
            <w:pPr>
              <w:jc w:val="both"/>
              <w:rPr>
                <w:rFonts w:ascii="Palatino Linotype" w:hAnsi="Palatino Linotype"/>
                <w:i/>
                <w:color w:val="000000" w:themeColor="text1"/>
              </w:rPr>
            </w:pPr>
          </w:p>
        </w:tc>
      </w:tr>
      <w:tr w:rsidR="002B3735" w:rsidRPr="00CB5DC5" w:rsidTr="00C2682D">
        <w:trPr>
          <w:trHeight w:val="279"/>
          <w:tblCellSpacing w:w="0" w:type="dxa"/>
          <w:jc w:val="center"/>
        </w:trPr>
        <w:tc>
          <w:tcPr>
            <w:tcW w:w="0" w:type="auto"/>
            <w:vAlign w:val="center"/>
            <w:hideMark/>
          </w:tcPr>
          <w:p w:rsidR="00C2682D" w:rsidRPr="00CB5DC5" w:rsidRDefault="00C2682D" w:rsidP="002B3735">
            <w:pPr>
              <w:jc w:val="both"/>
              <w:rPr>
                <w:rFonts w:ascii="Palatino Linotype" w:hAnsi="Palatino Linotype"/>
                <w:i/>
                <w:color w:val="000000" w:themeColor="text1"/>
              </w:rPr>
            </w:pPr>
            <w:r w:rsidRPr="00CB5DC5">
              <w:rPr>
                <w:rFonts w:ascii="Palatino Linotype" w:hAnsi="Palatino Linotype"/>
                <w:i/>
                <w:color w:val="000000" w:themeColor="text1"/>
              </w:rPr>
              <w:t>Por medio del presente reciba un cordial saludo. En calidad de Servidor Público Habilitado de la Unidad de Transparencia y Protección de Datos Personales del Ayuntamiento de Villa del Carbón Estado de México, se adjunta la contestación mediante Sistema de Acceso de la Información Mexiquense (SAIMEX) a la solicitud pública de información 00183/VICARBO/IP/2025. Y hacemos de su conocimiento al particular los artículos 177 y 178 primer párrafo de la Ley de Transparencia y Acceso a la Información Pública del Estado de México y Municipios para su consulta y garantía secundaria.</w:t>
            </w:r>
          </w:p>
        </w:tc>
      </w:tr>
      <w:tr w:rsidR="002B3735" w:rsidRPr="00CB5DC5" w:rsidTr="00C2682D">
        <w:trPr>
          <w:trHeight w:val="697"/>
          <w:tblCellSpacing w:w="0" w:type="dxa"/>
          <w:jc w:val="center"/>
        </w:trPr>
        <w:tc>
          <w:tcPr>
            <w:tcW w:w="0" w:type="auto"/>
            <w:vAlign w:val="center"/>
            <w:hideMark/>
          </w:tcPr>
          <w:p w:rsidR="00C2682D" w:rsidRPr="00CB5DC5" w:rsidRDefault="00C2682D" w:rsidP="002B3735">
            <w:pPr>
              <w:rPr>
                <w:rFonts w:ascii="Palatino Linotype" w:hAnsi="Palatino Linotype"/>
                <w:i/>
                <w:color w:val="000000" w:themeColor="text1"/>
              </w:rPr>
            </w:pPr>
          </w:p>
        </w:tc>
      </w:tr>
      <w:tr w:rsidR="002B3735" w:rsidRPr="00CB5DC5" w:rsidTr="00C2682D">
        <w:trPr>
          <w:trHeight w:val="279"/>
          <w:tblCellSpacing w:w="0" w:type="dxa"/>
          <w:jc w:val="center"/>
        </w:trPr>
        <w:tc>
          <w:tcPr>
            <w:tcW w:w="0" w:type="auto"/>
            <w:vAlign w:val="center"/>
            <w:hideMark/>
          </w:tcPr>
          <w:p w:rsidR="00C2682D" w:rsidRPr="00CB5DC5" w:rsidRDefault="00C2682D" w:rsidP="002B3735">
            <w:pPr>
              <w:jc w:val="center"/>
              <w:rPr>
                <w:rFonts w:ascii="Palatino Linotype" w:hAnsi="Palatino Linotype"/>
                <w:i/>
                <w:color w:val="000000" w:themeColor="text1"/>
              </w:rPr>
            </w:pPr>
          </w:p>
        </w:tc>
      </w:tr>
      <w:tr w:rsidR="002B3735" w:rsidRPr="00CB5DC5" w:rsidTr="00C2682D">
        <w:trPr>
          <w:trHeight w:val="279"/>
          <w:tblCellSpacing w:w="0" w:type="dxa"/>
          <w:jc w:val="center"/>
        </w:trPr>
        <w:tc>
          <w:tcPr>
            <w:tcW w:w="0" w:type="auto"/>
            <w:vAlign w:val="center"/>
            <w:hideMark/>
          </w:tcPr>
          <w:p w:rsidR="00C2682D" w:rsidRPr="00CB5DC5" w:rsidRDefault="00C2682D" w:rsidP="002B3735">
            <w:pPr>
              <w:rPr>
                <w:rFonts w:ascii="Palatino Linotype" w:hAnsi="Palatino Linotype"/>
                <w:i/>
                <w:color w:val="000000" w:themeColor="text1"/>
              </w:rPr>
            </w:pPr>
          </w:p>
        </w:tc>
      </w:tr>
      <w:tr w:rsidR="002B3735" w:rsidRPr="00CB5DC5" w:rsidTr="00C2682D">
        <w:trPr>
          <w:trHeight w:val="279"/>
          <w:tblCellSpacing w:w="0" w:type="dxa"/>
          <w:jc w:val="center"/>
        </w:trPr>
        <w:tc>
          <w:tcPr>
            <w:tcW w:w="0" w:type="auto"/>
            <w:vAlign w:val="center"/>
            <w:hideMark/>
          </w:tcPr>
          <w:p w:rsidR="00C2682D" w:rsidRPr="00CB5DC5" w:rsidRDefault="00C2682D" w:rsidP="002B3735">
            <w:pPr>
              <w:rPr>
                <w:rFonts w:ascii="Palatino Linotype" w:hAnsi="Palatino Linotype"/>
                <w:i/>
                <w:color w:val="000000" w:themeColor="text1"/>
              </w:rPr>
            </w:pPr>
            <w:r w:rsidRPr="00CB5DC5">
              <w:rPr>
                <w:rFonts w:ascii="Palatino Linotype" w:hAnsi="Palatino Linotype"/>
                <w:i/>
                <w:color w:val="000000" w:themeColor="text1"/>
              </w:rPr>
              <w:t>ATENTAMENTE</w:t>
            </w:r>
          </w:p>
        </w:tc>
      </w:tr>
      <w:tr w:rsidR="002B3735" w:rsidRPr="00CB5DC5" w:rsidTr="00C2682D">
        <w:trPr>
          <w:trHeight w:val="418"/>
          <w:tblCellSpacing w:w="0" w:type="dxa"/>
          <w:jc w:val="center"/>
        </w:trPr>
        <w:tc>
          <w:tcPr>
            <w:tcW w:w="0" w:type="auto"/>
            <w:vAlign w:val="center"/>
            <w:hideMark/>
          </w:tcPr>
          <w:p w:rsidR="00C2682D" w:rsidRPr="00CB5DC5" w:rsidRDefault="00C2682D" w:rsidP="002B3735">
            <w:pPr>
              <w:rPr>
                <w:rFonts w:ascii="Palatino Linotype" w:hAnsi="Palatino Linotype"/>
                <w:i/>
                <w:color w:val="000000" w:themeColor="text1"/>
              </w:rPr>
            </w:pPr>
          </w:p>
        </w:tc>
      </w:tr>
      <w:tr w:rsidR="00C2682D" w:rsidRPr="00CB5DC5" w:rsidTr="00C2682D">
        <w:trPr>
          <w:trHeight w:val="279"/>
          <w:tblCellSpacing w:w="0" w:type="dxa"/>
          <w:jc w:val="center"/>
        </w:trPr>
        <w:tc>
          <w:tcPr>
            <w:tcW w:w="0" w:type="auto"/>
            <w:vAlign w:val="center"/>
            <w:hideMark/>
          </w:tcPr>
          <w:p w:rsidR="00C2682D" w:rsidRPr="00CB5DC5" w:rsidRDefault="00C2682D" w:rsidP="002B3735">
            <w:pPr>
              <w:rPr>
                <w:rFonts w:ascii="Palatino Linotype" w:hAnsi="Palatino Linotype"/>
                <w:i/>
                <w:color w:val="000000" w:themeColor="text1"/>
              </w:rPr>
            </w:pPr>
            <w:r w:rsidRPr="00CB5DC5">
              <w:rPr>
                <w:rFonts w:ascii="Palatino Linotype" w:hAnsi="Palatino Linotype"/>
                <w:i/>
                <w:color w:val="000000" w:themeColor="text1"/>
              </w:rPr>
              <w:t>Lic. Juan Carlos Jandette Delgado</w:t>
            </w:r>
          </w:p>
        </w:tc>
      </w:tr>
    </w:tbl>
    <w:p w:rsidR="00357D31" w:rsidRPr="00CB5DC5" w:rsidRDefault="00357D31" w:rsidP="002B3735">
      <w:pPr>
        <w:spacing w:line="360" w:lineRule="auto"/>
        <w:jc w:val="both"/>
        <w:rPr>
          <w:rFonts w:ascii="Palatino Linotype" w:hAnsi="Palatino Linotype"/>
          <w:b/>
          <w:bCs/>
          <w:color w:val="000000" w:themeColor="text1"/>
        </w:rPr>
      </w:pPr>
    </w:p>
    <w:p w:rsidR="00C2682D" w:rsidRPr="00436D74" w:rsidRDefault="00357D31" w:rsidP="00B1078C">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CB5DC5">
        <w:rPr>
          <w:rFonts w:ascii="Palatino Linotype" w:eastAsia="Palatino Linotype" w:hAnsi="Palatino Linotype" w:cs="Palatino Linotype"/>
          <w:bCs/>
          <w:color w:val="000000" w:themeColor="text1"/>
          <w:sz w:val="24"/>
        </w:rPr>
        <w:t xml:space="preserve">A la respuesta se adjuntó el archivo denominado </w:t>
      </w:r>
      <w:hyperlink r:id="rId9" w:tgtFrame="_blank" w:history="1">
        <w:r w:rsidR="00C2682D" w:rsidRPr="00CB5DC5">
          <w:rPr>
            <w:rStyle w:val="Hipervnculo"/>
            <w:rFonts w:ascii="Palatino Linotype" w:eastAsia="Palatino Linotype" w:hAnsi="Palatino Linotype" w:cs="Palatino Linotype"/>
            <w:b/>
            <w:bCs/>
            <w:color w:val="000000" w:themeColor="text1"/>
            <w:sz w:val="24"/>
          </w:rPr>
          <w:t>183.pdf</w:t>
        </w:r>
      </w:hyperlink>
      <w:r w:rsidR="00C2682D" w:rsidRPr="00CB5DC5">
        <w:rPr>
          <w:rFonts w:ascii="Palatino Linotype" w:eastAsia="Palatino Linotype" w:hAnsi="Palatino Linotype" w:cs="Palatino Linotype"/>
          <w:bCs/>
          <w:color w:val="000000" w:themeColor="text1"/>
          <w:sz w:val="24"/>
        </w:rPr>
        <w:t>, en el que se advierte el oficio número MVC/DOP/202/2025 de fecha siete de julio de dos mil veinticinco, suscrito por el Director de Obras Públicas quien señaló que derivado de la búsqueda exhaustiva en los archivo físicos como electrónicos o digitales, no se localizó información relacionada con los solicitado.</w:t>
      </w:r>
    </w:p>
    <w:p w:rsidR="00436D74" w:rsidRPr="00436D74" w:rsidRDefault="00436D74" w:rsidP="00436D74">
      <w:pPr>
        <w:spacing w:line="360" w:lineRule="auto"/>
        <w:jc w:val="both"/>
        <w:rPr>
          <w:rFonts w:ascii="Palatino Linotype" w:eastAsia="Palatino Linotype" w:hAnsi="Palatino Linotype" w:cs="Palatino Linotype"/>
          <w:color w:val="000000" w:themeColor="text1"/>
        </w:rPr>
      </w:pPr>
    </w:p>
    <w:p w:rsidR="00357D31" w:rsidRPr="00CB5DC5" w:rsidRDefault="00357D31" w:rsidP="002B3735">
      <w:pPr>
        <w:numPr>
          <w:ilvl w:val="0"/>
          <w:numId w:val="1"/>
        </w:numP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lastRenderedPageBreak/>
        <w:t xml:space="preserve">El </w:t>
      </w:r>
      <w:r w:rsidR="00C2682D" w:rsidRPr="00CB5DC5">
        <w:rPr>
          <w:rFonts w:ascii="Palatino Linotype" w:eastAsia="Palatino Linotype" w:hAnsi="Palatino Linotype" w:cs="Palatino Linotype"/>
          <w:b/>
          <w:color w:val="000000" w:themeColor="text1"/>
        </w:rPr>
        <w:t>nueve de julio</w:t>
      </w:r>
      <w:r w:rsidRPr="00CB5DC5">
        <w:rPr>
          <w:rFonts w:ascii="Palatino Linotype" w:eastAsia="Palatino Linotype" w:hAnsi="Palatino Linotype" w:cs="Palatino Linotype"/>
          <w:b/>
          <w:color w:val="000000" w:themeColor="text1"/>
        </w:rPr>
        <w:t xml:space="preserve"> de dos mil veinticinco</w:t>
      </w:r>
      <w:r w:rsidRPr="00CB5DC5">
        <w:rPr>
          <w:rFonts w:ascii="Palatino Linotype" w:eastAsia="Palatino Linotype" w:hAnsi="Palatino Linotype" w:cs="Palatino Linotype"/>
          <w:color w:val="000000" w:themeColor="text1"/>
        </w:rPr>
        <w:t>,</w:t>
      </w:r>
      <w:r w:rsidRPr="00CB5DC5">
        <w:rPr>
          <w:rFonts w:ascii="Palatino Linotype" w:eastAsia="Palatino Linotype" w:hAnsi="Palatino Linotype" w:cs="Palatino Linotype"/>
          <w:b/>
          <w:color w:val="000000" w:themeColor="text1"/>
        </w:rPr>
        <w:t xml:space="preserve"> </w:t>
      </w:r>
      <w:r w:rsidRPr="00CB5DC5">
        <w:rPr>
          <w:rFonts w:ascii="Palatino Linotype" w:eastAsia="Palatino Linotype" w:hAnsi="Palatino Linotype" w:cs="Palatino Linotype"/>
          <w:color w:val="000000" w:themeColor="text1"/>
        </w:rPr>
        <w:t xml:space="preserve">el </w:t>
      </w:r>
      <w:r w:rsidRPr="00CB5DC5">
        <w:rPr>
          <w:rFonts w:ascii="Palatino Linotype" w:eastAsia="Palatino Linotype" w:hAnsi="Palatino Linotype" w:cs="Palatino Linotype"/>
          <w:b/>
          <w:color w:val="000000" w:themeColor="text1"/>
        </w:rPr>
        <w:t>RECURRENTE</w:t>
      </w:r>
      <w:r w:rsidR="00A80C5E" w:rsidRPr="00CB5DC5">
        <w:rPr>
          <w:rFonts w:ascii="Palatino Linotype" w:eastAsia="Palatino Linotype" w:hAnsi="Palatino Linotype" w:cs="Palatino Linotype"/>
          <w:color w:val="000000" w:themeColor="text1"/>
        </w:rPr>
        <w:t xml:space="preserve"> interpuso los</w:t>
      </w:r>
      <w:r w:rsidRPr="00CB5DC5">
        <w:rPr>
          <w:rFonts w:ascii="Palatino Linotype" w:eastAsia="Palatino Linotype" w:hAnsi="Palatino Linotype" w:cs="Palatino Linotype"/>
          <w:color w:val="000000" w:themeColor="text1"/>
        </w:rPr>
        <w:t xml:space="preserve"> recurso</w:t>
      </w:r>
      <w:r w:rsidR="00A80C5E" w:rsidRPr="00CB5DC5">
        <w:rPr>
          <w:rFonts w:ascii="Palatino Linotype" w:eastAsia="Palatino Linotype" w:hAnsi="Palatino Linotype" w:cs="Palatino Linotype"/>
          <w:color w:val="000000" w:themeColor="text1"/>
        </w:rPr>
        <w:t>s</w:t>
      </w:r>
      <w:r w:rsidRPr="00CB5DC5">
        <w:rPr>
          <w:rFonts w:ascii="Palatino Linotype" w:eastAsia="Palatino Linotype" w:hAnsi="Palatino Linotype" w:cs="Palatino Linotype"/>
          <w:color w:val="000000" w:themeColor="text1"/>
        </w:rPr>
        <w:t xml:space="preserve"> de revisión en contra de la respuesta, señalando </w:t>
      </w:r>
      <w:r w:rsidR="00A80C5E" w:rsidRPr="00CB5DC5">
        <w:rPr>
          <w:rFonts w:ascii="Palatino Linotype" w:eastAsia="Palatino Linotype" w:hAnsi="Palatino Linotype" w:cs="Palatino Linotype"/>
          <w:color w:val="000000" w:themeColor="text1"/>
        </w:rPr>
        <w:t>lo siguiente</w:t>
      </w:r>
      <w:r w:rsidRPr="00CB5DC5">
        <w:rPr>
          <w:rFonts w:ascii="Palatino Linotype" w:eastAsia="Palatino Linotype" w:hAnsi="Palatino Linotype" w:cs="Palatino Linotype"/>
          <w:color w:val="000000" w:themeColor="text1"/>
        </w:rPr>
        <w:t>:</w:t>
      </w:r>
    </w:p>
    <w:p w:rsidR="00357D31" w:rsidRPr="00CB5DC5" w:rsidRDefault="00357D31" w:rsidP="002B3735">
      <w:pPr>
        <w:spacing w:line="360" w:lineRule="auto"/>
        <w:jc w:val="both"/>
        <w:rPr>
          <w:rFonts w:ascii="Palatino Linotype" w:hAnsi="Palatino Linotype"/>
          <w:color w:val="000000" w:themeColor="text1"/>
        </w:rPr>
      </w:pPr>
    </w:p>
    <w:p w:rsidR="00357D31" w:rsidRPr="00436D74" w:rsidRDefault="00357D31" w:rsidP="00436D74">
      <w:pPr>
        <w:pStyle w:val="Prrafodelista"/>
        <w:numPr>
          <w:ilvl w:val="0"/>
          <w:numId w:val="2"/>
        </w:numPr>
        <w:spacing w:line="360" w:lineRule="auto"/>
        <w:jc w:val="both"/>
        <w:rPr>
          <w:rFonts w:ascii="Palatino Linotype" w:eastAsia="Palatino Linotype" w:hAnsi="Palatino Linotype" w:cs="Palatino Linotype"/>
          <w:i/>
          <w:color w:val="000000" w:themeColor="text1"/>
          <w:sz w:val="24"/>
        </w:rPr>
      </w:pPr>
      <w:r w:rsidRPr="00436D74">
        <w:rPr>
          <w:rFonts w:ascii="Palatino Linotype" w:eastAsia="Palatino Linotype" w:hAnsi="Palatino Linotype" w:cs="Palatino Linotype"/>
          <w:b/>
          <w:color w:val="000000" w:themeColor="text1"/>
          <w:sz w:val="24"/>
        </w:rPr>
        <w:t>Acto impugnado</w:t>
      </w:r>
      <w:r w:rsidRPr="00436D74">
        <w:rPr>
          <w:rFonts w:ascii="Palatino Linotype" w:eastAsia="Palatino Linotype" w:hAnsi="Palatino Linotype" w:cs="Palatino Linotype"/>
          <w:b/>
          <w:i/>
          <w:color w:val="000000" w:themeColor="text1"/>
          <w:sz w:val="24"/>
        </w:rPr>
        <w:t>:</w:t>
      </w:r>
      <w:r w:rsidRPr="00436D74">
        <w:rPr>
          <w:rFonts w:ascii="Palatino Linotype" w:eastAsia="Palatino Linotype" w:hAnsi="Palatino Linotype" w:cs="Palatino Linotype"/>
          <w:i/>
          <w:color w:val="000000" w:themeColor="text1"/>
          <w:sz w:val="24"/>
        </w:rPr>
        <w:t xml:space="preserve"> “</w:t>
      </w:r>
      <w:r w:rsidR="00A80C5E" w:rsidRPr="00436D74">
        <w:rPr>
          <w:rFonts w:ascii="Palatino Linotype" w:eastAsia="Palatino Linotype" w:hAnsi="Palatino Linotype" w:cs="Palatino Linotype"/>
          <w:i/>
          <w:color w:val="000000" w:themeColor="text1"/>
          <w:sz w:val="24"/>
        </w:rPr>
        <w:t>la negativa a la solicitud de información</w:t>
      </w:r>
      <w:r w:rsidRPr="00436D74">
        <w:rPr>
          <w:rFonts w:ascii="Palatino Linotype" w:eastAsia="Palatino Linotype" w:hAnsi="Palatino Linotype" w:cs="Palatino Linotype"/>
          <w:i/>
          <w:color w:val="000000" w:themeColor="text1"/>
          <w:sz w:val="24"/>
        </w:rPr>
        <w:t>” (Sic)</w:t>
      </w:r>
    </w:p>
    <w:p w:rsidR="00357D31" w:rsidRPr="00436D74" w:rsidRDefault="00357D31" w:rsidP="00436D74">
      <w:pPr>
        <w:pStyle w:val="Prrafodelista"/>
        <w:numPr>
          <w:ilvl w:val="0"/>
          <w:numId w:val="2"/>
        </w:numPr>
        <w:spacing w:line="360" w:lineRule="auto"/>
        <w:jc w:val="both"/>
        <w:rPr>
          <w:rFonts w:ascii="Palatino Linotype" w:eastAsia="Palatino Linotype" w:hAnsi="Palatino Linotype" w:cs="Palatino Linotype"/>
          <w:b/>
          <w:color w:val="000000" w:themeColor="text1"/>
          <w:sz w:val="24"/>
        </w:rPr>
      </w:pPr>
      <w:r w:rsidRPr="00436D74">
        <w:rPr>
          <w:rFonts w:ascii="Palatino Linotype" w:eastAsia="Palatino Linotype" w:hAnsi="Palatino Linotype" w:cs="Palatino Linotype"/>
          <w:b/>
          <w:color w:val="000000" w:themeColor="text1"/>
          <w:sz w:val="24"/>
        </w:rPr>
        <w:t>Razones o Motivos de inconformidad:</w:t>
      </w:r>
      <w:r w:rsidRPr="00436D74">
        <w:rPr>
          <w:rFonts w:ascii="Palatino Linotype" w:eastAsia="Palatino Linotype" w:hAnsi="Palatino Linotype" w:cs="Palatino Linotype"/>
          <w:i/>
          <w:color w:val="000000" w:themeColor="text1"/>
          <w:sz w:val="24"/>
        </w:rPr>
        <w:t xml:space="preserve"> “</w:t>
      </w:r>
      <w:r w:rsidR="00A80C5E" w:rsidRPr="00436D74">
        <w:rPr>
          <w:rFonts w:ascii="Palatino Linotype" w:eastAsia="Palatino Linotype" w:hAnsi="Palatino Linotype" w:cs="Palatino Linotype"/>
          <w:i/>
          <w:color w:val="000000" w:themeColor="text1"/>
          <w:sz w:val="24"/>
        </w:rPr>
        <w:t>El sujeto habilitado (director de obras públicas) me informa que no tiene la información solicitada, es importante mencionar que los trabajos de los que se ha solicitado la información están publicados en las paginas de redes sociales oficiales del Ayuntamiento de Villa del Carbón por lo cual se presume que hay una negativa de entregar la información. En caso que el área de obras públicas no haya sido quien ejecuto los trabajos, es responsabilidad del titular de transparencia turnar la solicitud a las áreas correspondientes para entregar la información. Por ello con fundamento en el articulo 178 de la Ley de Transparencia y Acceso a la Información Pública del Estado de México y Municipios se interpone el presente recurso de revisión.</w:t>
      </w:r>
      <w:r w:rsidRPr="00436D74">
        <w:rPr>
          <w:rFonts w:ascii="Palatino Linotype" w:eastAsia="Palatino Linotype" w:hAnsi="Palatino Linotype" w:cs="Palatino Linotype"/>
          <w:i/>
          <w:color w:val="000000" w:themeColor="text1"/>
          <w:sz w:val="24"/>
        </w:rPr>
        <w:t>” (Sic)</w:t>
      </w:r>
    </w:p>
    <w:p w:rsidR="00357D31" w:rsidRPr="00CB5DC5" w:rsidRDefault="00357D31" w:rsidP="002B3735">
      <w:pPr>
        <w:tabs>
          <w:tab w:val="left" w:pos="6197"/>
        </w:tabs>
        <w:spacing w:line="360" w:lineRule="auto"/>
        <w:jc w:val="both"/>
        <w:rPr>
          <w:rFonts w:ascii="Palatino Linotype" w:eastAsia="Palatino Linotype" w:hAnsi="Palatino Linotype" w:cs="Palatino Linotype"/>
          <w:color w:val="000000" w:themeColor="text1"/>
        </w:rPr>
      </w:pPr>
    </w:p>
    <w:p w:rsidR="00357D31" w:rsidRPr="00CB5DC5" w:rsidRDefault="00357D31" w:rsidP="002B3735">
      <w:pPr>
        <w:numPr>
          <w:ilvl w:val="0"/>
          <w:numId w:val="1"/>
        </w:numP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CB5DC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B5DC5">
        <w:rPr>
          <w:rFonts w:ascii="Palatino Linotype" w:eastAsia="Palatino Linotype" w:hAnsi="Palatino Linotype" w:cs="Palatino Linotype"/>
          <w:color w:val="000000" w:themeColor="text1"/>
        </w:rPr>
        <w:t xml:space="preserve">se turna a la </w:t>
      </w:r>
      <w:r w:rsidRPr="00CB5DC5">
        <w:rPr>
          <w:rFonts w:ascii="Palatino Linotype" w:eastAsia="Palatino Linotype" w:hAnsi="Palatino Linotype" w:cs="Palatino Linotype"/>
          <w:b/>
          <w:color w:val="000000" w:themeColor="text1"/>
        </w:rPr>
        <w:t xml:space="preserve">Comisionada María del Rosario Mejía Ayala, </w:t>
      </w:r>
      <w:r w:rsidRPr="00CB5DC5">
        <w:rPr>
          <w:rFonts w:ascii="Palatino Linotype" w:eastAsia="Palatino Linotype" w:hAnsi="Palatino Linotype" w:cs="Palatino Linotype"/>
          <w:color w:val="000000" w:themeColor="text1"/>
        </w:rPr>
        <w:t xml:space="preserve">para su análisis. </w:t>
      </w: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p>
    <w:p w:rsidR="00A80C5E" w:rsidRPr="00CB5DC5" w:rsidRDefault="00357D31" w:rsidP="002B3735">
      <w:pPr>
        <w:numPr>
          <w:ilvl w:val="0"/>
          <w:numId w:val="1"/>
        </w:numP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A80C5E" w:rsidRPr="00CB5DC5">
        <w:rPr>
          <w:rFonts w:ascii="Palatino Linotype" w:eastAsia="Palatino Linotype" w:hAnsi="Palatino Linotype" w:cs="Palatino Linotype"/>
          <w:b/>
          <w:color w:val="000000" w:themeColor="text1"/>
        </w:rPr>
        <w:t xml:space="preserve">diez y catorce de julio </w:t>
      </w:r>
      <w:r w:rsidRPr="00CB5DC5">
        <w:rPr>
          <w:rFonts w:ascii="Palatino Linotype" w:eastAsia="Palatino Linotype" w:hAnsi="Palatino Linotype" w:cs="Palatino Linotype"/>
          <w:b/>
          <w:color w:val="000000" w:themeColor="text1"/>
        </w:rPr>
        <w:t>de dos mil veinticinco</w:t>
      </w:r>
      <w:r w:rsidRPr="00CB5DC5">
        <w:rPr>
          <w:rFonts w:ascii="Palatino Linotype" w:eastAsia="Palatino Linotype" w:hAnsi="Palatino Linotype" w:cs="Palatino Linotype"/>
          <w:color w:val="000000" w:themeColor="text1"/>
        </w:rPr>
        <w:t xml:space="preserve">, puso a disposición de las partes el expediente electrónico vía </w:t>
      </w:r>
      <w:r w:rsidRPr="00CB5DC5">
        <w:rPr>
          <w:rFonts w:ascii="Palatino Linotype" w:eastAsia="Palatino Linotype" w:hAnsi="Palatino Linotype" w:cs="Palatino Linotype"/>
          <w:b/>
          <w:color w:val="000000" w:themeColor="text1"/>
        </w:rPr>
        <w:t xml:space="preserve">SAIMEX </w:t>
      </w:r>
      <w:r w:rsidRPr="00CB5DC5">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CB5DC5">
        <w:rPr>
          <w:rFonts w:ascii="Palatino Linotype" w:eastAsia="Palatino Linotype" w:hAnsi="Palatino Linotype" w:cs="Palatino Linotype"/>
          <w:b/>
          <w:color w:val="000000" w:themeColor="text1"/>
        </w:rPr>
        <w:t>SUJETO OBLIGADO</w:t>
      </w:r>
      <w:r w:rsidRPr="00CB5DC5">
        <w:rPr>
          <w:rFonts w:ascii="Palatino Linotype" w:eastAsia="Palatino Linotype" w:hAnsi="Palatino Linotype" w:cs="Palatino Linotype"/>
          <w:color w:val="000000" w:themeColor="text1"/>
        </w:rPr>
        <w:t xml:space="preserve"> presentará el informe justificado procedente. </w:t>
      </w:r>
    </w:p>
    <w:p w:rsidR="00A80C5E" w:rsidRPr="00CB5DC5" w:rsidRDefault="00357D31" w:rsidP="002B373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color w:val="000000" w:themeColor="text1"/>
        </w:rPr>
        <w:lastRenderedPageBreak/>
        <w:t xml:space="preserve">De las constancias del expediente electrónico SAIMEX, se advierte que el Recurrente no realizó manifestaciones que a su derecho convengan; por su parte, El Sujeto Obligado </w:t>
      </w:r>
      <w:r w:rsidR="00C856C8" w:rsidRPr="00CB5DC5">
        <w:rPr>
          <w:rFonts w:ascii="Palatino Linotype" w:eastAsia="Palatino Linotype" w:hAnsi="Palatino Linotype" w:cs="Palatino Linotype"/>
          <w:color w:val="000000" w:themeColor="text1"/>
        </w:rPr>
        <w:t>no entregó informe justificado.</w:t>
      </w:r>
    </w:p>
    <w:p w:rsidR="00C856C8" w:rsidRPr="00CB5DC5" w:rsidRDefault="00C856C8" w:rsidP="002B3735">
      <w:pPr>
        <w:spacing w:line="360" w:lineRule="auto"/>
        <w:jc w:val="both"/>
        <w:rPr>
          <w:rFonts w:ascii="Palatino Linotype" w:eastAsia="Palatino Linotype" w:hAnsi="Palatino Linotype" w:cs="Palatino Linotype"/>
          <w:color w:val="000000" w:themeColor="text1"/>
        </w:rPr>
      </w:pPr>
    </w:p>
    <w:p w:rsidR="00A80C5E" w:rsidRPr="00CB5DC5" w:rsidRDefault="00A80C5E" w:rsidP="002B373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color w:val="000000" w:themeColor="text1"/>
        </w:rPr>
        <w:t xml:space="preserve">Asimismo, con fundamento en lo dispuesto por el artículo 185 fracción I de la </w:t>
      </w:r>
      <w:r w:rsidRPr="00CB5DC5">
        <w:rPr>
          <w:rFonts w:ascii="Palatino Linotype" w:eastAsia="Palatino Linotype" w:hAnsi="Palatino Linotype" w:cs="Palatino Linotype"/>
          <w:b/>
          <w:color w:val="000000" w:themeColor="text1"/>
        </w:rPr>
        <w:t>Ley de Transparencia y Acceso a la Información Pública del Estado de México y Municipios,</w:t>
      </w:r>
      <w:r w:rsidRPr="00CB5DC5">
        <w:rPr>
          <w:rFonts w:ascii="Palatino Linotype" w:eastAsia="Palatino Linotype" w:hAnsi="Palatino Linotype" w:cs="Palatino Linotype"/>
          <w:color w:val="000000" w:themeColor="text1"/>
        </w:rPr>
        <w:t xml:space="preserve"> con el objeto de su análisis, el Pleno de este Órgano Autónomo, en la</w:t>
      </w:r>
      <w:r w:rsidRPr="00CB5DC5">
        <w:rPr>
          <w:rFonts w:ascii="Palatino Linotype" w:eastAsia="Palatino Linotype" w:hAnsi="Palatino Linotype" w:cs="Palatino Linotype"/>
          <w:b/>
          <w:color w:val="000000" w:themeColor="text1"/>
        </w:rPr>
        <w:t xml:space="preserve"> </w:t>
      </w:r>
      <w:r w:rsidR="00C856C8" w:rsidRPr="00CB5DC5">
        <w:rPr>
          <w:rFonts w:ascii="Palatino Linotype" w:eastAsia="Palatino Linotype" w:hAnsi="Palatino Linotype" w:cs="Palatino Linotype"/>
          <w:b/>
          <w:color w:val="000000" w:themeColor="text1"/>
        </w:rPr>
        <w:t>Vigésima Sexta</w:t>
      </w:r>
      <w:r w:rsidRPr="00CB5DC5">
        <w:rPr>
          <w:rFonts w:ascii="Palatino Linotype" w:eastAsia="Palatino Linotype" w:hAnsi="Palatino Linotype" w:cs="Palatino Linotype"/>
          <w:b/>
          <w:color w:val="000000" w:themeColor="text1"/>
        </w:rPr>
        <w:t xml:space="preserve"> Sesión Ordinaria</w:t>
      </w:r>
      <w:r w:rsidRPr="00CB5DC5">
        <w:rPr>
          <w:rFonts w:ascii="Palatino Linotype" w:eastAsia="Palatino Linotype" w:hAnsi="Palatino Linotype" w:cs="Palatino Linotype"/>
          <w:color w:val="000000" w:themeColor="text1"/>
        </w:rPr>
        <w:t xml:space="preserve"> del </w:t>
      </w:r>
      <w:r w:rsidR="00C856C8" w:rsidRPr="00CB5DC5">
        <w:rPr>
          <w:rFonts w:ascii="Palatino Linotype" w:eastAsia="Palatino Linotype" w:hAnsi="Palatino Linotype" w:cs="Palatino Linotype"/>
          <w:b/>
          <w:color w:val="000000" w:themeColor="text1"/>
        </w:rPr>
        <w:t>dieciséis de julio</w:t>
      </w:r>
      <w:r w:rsidRPr="00CB5DC5">
        <w:rPr>
          <w:rFonts w:ascii="Palatino Linotype" w:eastAsia="Palatino Linotype" w:hAnsi="Palatino Linotype" w:cs="Palatino Linotype"/>
          <w:b/>
          <w:color w:val="000000" w:themeColor="text1"/>
        </w:rPr>
        <w:t xml:space="preserve"> de dos mil veinticinco</w:t>
      </w:r>
      <w:r w:rsidRPr="00CB5DC5">
        <w:rPr>
          <w:rFonts w:ascii="Palatino Linotype" w:eastAsia="Palatino Linotype" w:hAnsi="Palatino Linotype" w:cs="Palatino Linotype"/>
          <w:color w:val="000000" w:themeColor="text1"/>
        </w:rPr>
        <w:t>, ordenó la acumulación de los recursos de revisión</w:t>
      </w:r>
      <w:r w:rsidRPr="00CB5DC5">
        <w:rPr>
          <w:rFonts w:ascii="Palatino Linotype" w:eastAsia="Palatino Linotype" w:hAnsi="Palatino Linotype" w:cs="Palatino Linotype"/>
          <w:b/>
          <w:color w:val="000000" w:themeColor="text1"/>
        </w:rPr>
        <w:t xml:space="preserve"> </w:t>
      </w:r>
      <w:r w:rsidR="00C856C8" w:rsidRPr="00CB5DC5">
        <w:rPr>
          <w:rFonts w:ascii="Palatino Linotype" w:eastAsia="Palatino Linotype" w:hAnsi="Palatino Linotype" w:cs="Palatino Linotype"/>
          <w:b/>
          <w:color w:val="000000" w:themeColor="text1"/>
        </w:rPr>
        <w:t>08328</w:t>
      </w:r>
      <w:r w:rsidRPr="00CB5DC5">
        <w:rPr>
          <w:rFonts w:ascii="Palatino Linotype" w:eastAsia="Palatino Linotype" w:hAnsi="Palatino Linotype" w:cs="Palatino Linotype"/>
          <w:b/>
          <w:color w:val="000000" w:themeColor="text1"/>
        </w:rPr>
        <w:t>/INFOEM/IP/RR/20245</w:t>
      </w:r>
      <w:r w:rsidR="00C856C8" w:rsidRPr="00CB5DC5">
        <w:rPr>
          <w:rFonts w:ascii="Palatino Linotype" w:eastAsia="Palatino Linotype" w:hAnsi="Palatino Linotype" w:cs="Palatino Linotype"/>
          <w:b/>
          <w:color w:val="000000" w:themeColor="text1"/>
        </w:rPr>
        <w:t>, 08329/INFOEM/IP/RR/2025 y 08330</w:t>
      </w:r>
      <w:r w:rsidRPr="00CB5DC5">
        <w:rPr>
          <w:rFonts w:ascii="Palatino Linotype" w:eastAsia="Palatino Linotype" w:hAnsi="Palatino Linotype" w:cs="Palatino Linotype"/>
          <w:b/>
          <w:color w:val="000000" w:themeColor="text1"/>
        </w:rPr>
        <w:t xml:space="preserve">/INFOEM/IP/RR/2025. </w:t>
      </w: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bookmarkStart w:id="2" w:name="_heading=h.1fob9te" w:colFirst="0" w:colLast="0"/>
      <w:bookmarkEnd w:id="2"/>
    </w:p>
    <w:p w:rsidR="00357D31" w:rsidRPr="00CB5DC5" w:rsidRDefault="00357D31" w:rsidP="002B373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B5DC5">
        <w:rPr>
          <w:rFonts w:ascii="Palatino Linotype" w:eastAsia="Palatino Linotype" w:hAnsi="Palatino Linotype" w:cs="Palatino Linotype"/>
          <w:color w:val="000000" w:themeColor="text1"/>
        </w:rPr>
        <w:t>La Comisionada Ponente decretó el cierre de instrucción mediante el acuerdo del</w:t>
      </w:r>
      <w:r w:rsidRPr="00CB5DC5">
        <w:rPr>
          <w:rFonts w:ascii="Palatino Linotype" w:eastAsia="Palatino Linotype" w:hAnsi="Palatino Linotype" w:cs="Palatino Linotype"/>
          <w:b/>
          <w:color w:val="000000" w:themeColor="text1"/>
        </w:rPr>
        <w:t xml:space="preserve"> trece de </w:t>
      </w:r>
      <w:r w:rsidR="00C856C8" w:rsidRPr="00CB5DC5">
        <w:rPr>
          <w:rFonts w:ascii="Palatino Linotype" w:eastAsia="Palatino Linotype" w:hAnsi="Palatino Linotype" w:cs="Palatino Linotype"/>
          <w:b/>
          <w:color w:val="000000" w:themeColor="text1"/>
        </w:rPr>
        <w:t>agosto</w:t>
      </w:r>
      <w:r w:rsidRPr="00CB5DC5">
        <w:rPr>
          <w:rFonts w:ascii="Palatino Linotype" w:eastAsia="Palatino Linotype" w:hAnsi="Palatino Linotype" w:cs="Palatino Linotype"/>
          <w:b/>
          <w:color w:val="000000" w:themeColor="text1"/>
        </w:rPr>
        <w:t xml:space="preserve"> de dos mil veinticinco</w:t>
      </w:r>
      <w:r w:rsidRPr="00CB5DC5">
        <w:rPr>
          <w:rFonts w:ascii="Palatino Linotype" w:eastAsia="Palatino Linotype" w:hAnsi="Palatino Linotype" w:cs="Palatino Linotype"/>
          <w:color w:val="000000" w:themeColor="text1"/>
        </w:rPr>
        <w:t>.</w:t>
      </w:r>
    </w:p>
    <w:p w:rsidR="00436D74" w:rsidRDefault="00436D74" w:rsidP="002B3735">
      <w:pPr>
        <w:keepNext/>
        <w:keepLines/>
        <w:spacing w:line="360" w:lineRule="auto"/>
        <w:jc w:val="center"/>
        <w:rPr>
          <w:rFonts w:ascii="Palatino Linotype" w:eastAsia="Palatino Linotype" w:hAnsi="Palatino Linotype" w:cs="Palatino Linotype"/>
          <w:b/>
          <w:color w:val="000000" w:themeColor="text1"/>
        </w:rPr>
      </w:pPr>
    </w:p>
    <w:p w:rsidR="00436D74" w:rsidRDefault="00436D74" w:rsidP="002B3735">
      <w:pPr>
        <w:keepNext/>
        <w:keepLines/>
        <w:spacing w:line="360" w:lineRule="auto"/>
        <w:jc w:val="center"/>
        <w:rPr>
          <w:rFonts w:ascii="Palatino Linotype" w:eastAsia="Palatino Linotype" w:hAnsi="Palatino Linotype" w:cs="Palatino Linotype"/>
          <w:b/>
          <w:color w:val="000000" w:themeColor="text1"/>
        </w:rPr>
      </w:pPr>
    </w:p>
    <w:p w:rsidR="00357D31" w:rsidRPr="00CB5DC5" w:rsidRDefault="00357D31" w:rsidP="002B3735">
      <w:pPr>
        <w:keepNext/>
        <w:keepLines/>
        <w:spacing w:line="360" w:lineRule="auto"/>
        <w:jc w:val="center"/>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b/>
          <w:color w:val="000000" w:themeColor="text1"/>
        </w:rPr>
        <w:t xml:space="preserve">C O N S I D E R A N D O </w:t>
      </w:r>
    </w:p>
    <w:p w:rsidR="00357D31" w:rsidRPr="00CB5DC5" w:rsidRDefault="00357D31" w:rsidP="002B3735">
      <w:pPr>
        <w:spacing w:line="360" w:lineRule="auto"/>
        <w:rPr>
          <w:rFonts w:ascii="Palatino Linotype" w:eastAsia="Palatino Linotype" w:hAnsi="Palatino Linotype" w:cs="Palatino Linotype"/>
          <w:color w:val="000000" w:themeColor="text1"/>
        </w:rPr>
      </w:pPr>
    </w:p>
    <w:p w:rsidR="00357D31" w:rsidRPr="00CB5DC5" w:rsidRDefault="00357D31" w:rsidP="002B3735">
      <w:pPr>
        <w:keepNext/>
        <w:keepLines/>
        <w:spacing w:line="360" w:lineRule="auto"/>
        <w:rPr>
          <w:rFonts w:ascii="Palatino Linotype" w:eastAsia="Palatino Linotype" w:hAnsi="Palatino Linotype" w:cs="Palatino Linotype"/>
          <w:b/>
          <w:color w:val="000000" w:themeColor="text1"/>
        </w:rPr>
      </w:pPr>
      <w:bookmarkStart w:id="3" w:name="_heading=h.3znysh7" w:colFirst="0" w:colLast="0"/>
      <w:bookmarkEnd w:id="3"/>
      <w:r w:rsidRPr="00CB5DC5">
        <w:rPr>
          <w:rFonts w:ascii="Palatino Linotype" w:eastAsia="Palatino Linotype" w:hAnsi="Palatino Linotype" w:cs="Palatino Linotype"/>
          <w:b/>
          <w:color w:val="000000" w:themeColor="text1"/>
        </w:rPr>
        <w:t>PRIMERO. De la competencia.</w:t>
      </w:r>
    </w:p>
    <w:p w:rsidR="00357D31" w:rsidRPr="00CB5DC5" w:rsidRDefault="00357D31" w:rsidP="002B3735">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CB5DC5">
        <w:rPr>
          <w:rFonts w:ascii="Palatino Linotype" w:eastAsia="Palatino Linotype" w:hAnsi="Palatino Linotype" w:cs="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B5DC5">
        <w:rPr>
          <w:rFonts w:ascii="Palatino Linotype" w:eastAsia="Palatino Linotype" w:hAnsi="Palatino Linotype" w:cs="Palatino Linotype"/>
          <w:b/>
          <w:color w:val="000000" w:themeColor="text1"/>
          <w:sz w:val="24"/>
        </w:rPr>
        <w:t>Constitución Política de los Estados Unidos Mexicanos</w:t>
      </w:r>
      <w:r w:rsidRPr="00CB5DC5">
        <w:rPr>
          <w:rFonts w:ascii="Palatino Linotype" w:eastAsia="Palatino Linotype" w:hAnsi="Palatino Linotype" w:cs="Palatino Linotype"/>
          <w:color w:val="000000" w:themeColor="text1"/>
          <w:sz w:val="24"/>
        </w:rPr>
        <w:t xml:space="preserve">; 5, párrafos trigésimo séptimo, trigésimo octavo y trigésimo noveno, fracciones IV y V, de la </w:t>
      </w:r>
      <w:r w:rsidRPr="00CB5DC5">
        <w:rPr>
          <w:rFonts w:ascii="Palatino Linotype" w:eastAsia="Palatino Linotype" w:hAnsi="Palatino Linotype" w:cs="Palatino Linotype"/>
          <w:b/>
          <w:color w:val="000000" w:themeColor="text1"/>
          <w:sz w:val="24"/>
        </w:rPr>
        <w:t>Constitución Política del Estado Libre y Soberano de México</w:t>
      </w:r>
      <w:r w:rsidRPr="00CB5DC5">
        <w:rPr>
          <w:rFonts w:ascii="Palatino Linotype" w:eastAsia="Palatino Linotype" w:hAnsi="Palatino Linotype" w:cs="Palatino Linotype"/>
          <w:color w:val="000000" w:themeColor="text1"/>
          <w:sz w:val="24"/>
        </w:rPr>
        <w:t xml:space="preserve">; artículos 1, 2 fracción II, 13, 29, 36 fracciones I y II, 176, 178, 179, 181 párrafo tercero y 185 de la </w:t>
      </w:r>
      <w:r w:rsidRPr="00CB5DC5">
        <w:rPr>
          <w:rFonts w:ascii="Palatino Linotype" w:eastAsia="Palatino Linotype" w:hAnsi="Palatino Linotype" w:cs="Palatino Linotype"/>
          <w:b/>
          <w:color w:val="000000" w:themeColor="text1"/>
          <w:sz w:val="24"/>
        </w:rPr>
        <w:t xml:space="preserve">Ley de Transparencia y Acceso a la Información Pública del Estado de México y </w:t>
      </w:r>
      <w:r w:rsidRPr="00CB5DC5">
        <w:rPr>
          <w:rFonts w:ascii="Palatino Linotype" w:eastAsia="Palatino Linotype" w:hAnsi="Palatino Linotype" w:cs="Palatino Linotype"/>
          <w:b/>
          <w:color w:val="000000" w:themeColor="text1"/>
          <w:sz w:val="24"/>
        </w:rPr>
        <w:lastRenderedPageBreak/>
        <w:t>Municipios</w:t>
      </w:r>
      <w:r w:rsidRPr="00CB5DC5">
        <w:rPr>
          <w:rFonts w:ascii="Palatino Linotype" w:eastAsia="Palatino Linotype" w:hAnsi="Palatino Linotype" w:cs="Palatino Linotype"/>
          <w:color w:val="000000" w:themeColor="text1"/>
          <w:sz w:val="24"/>
        </w:rPr>
        <w:t xml:space="preserve">; y 7, 9 fracciones I y XXIII, y 11 del </w:t>
      </w:r>
      <w:r w:rsidRPr="00CB5DC5">
        <w:rPr>
          <w:rFonts w:ascii="Palatino Linotype" w:eastAsia="Palatino Linotype" w:hAnsi="Palatino Linotype" w:cs="Palatino Linotype"/>
          <w:b/>
          <w:color w:val="000000" w:themeColor="text1"/>
          <w:sz w:val="24"/>
        </w:rPr>
        <w:t>Reglamento Interior del Instituto de Transparencia, Acceso a la Información Pública y Protección de Datos Personales del Estado de México y Municipios.</w:t>
      </w:r>
    </w:p>
    <w:p w:rsidR="00357D31" w:rsidRPr="00CB5DC5" w:rsidRDefault="00357D31" w:rsidP="002B3735">
      <w:pPr>
        <w:spacing w:line="360" w:lineRule="auto"/>
        <w:jc w:val="both"/>
        <w:rPr>
          <w:rFonts w:ascii="Palatino Linotype" w:hAnsi="Palatino Linotype"/>
          <w:color w:val="000000" w:themeColor="text1"/>
        </w:rPr>
      </w:pPr>
    </w:p>
    <w:p w:rsidR="00357D31" w:rsidRPr="00CB5DC5" w:rsidRDefault="00357D31" w:rsidP="002B3735">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CB5DC5">
        <w:rPr>
          <w:rFonts w:ascii="Palatino Linotype" w:eastAsia="Palatino Linotype" w:hAnsi="Palatino Linotype" w:cs="Palatino Linotype"/>
          <w:b/>
          <w:color w:val="000000" w:themeColor="text1"/>
        </w:rPr>
        <w:t>SEGUNDO. De la oportunidad y procedencia.</w:t>
      </w:r>
    </w:p>
    <w:p w:rsidR="00357D31" w:rsidRPr="00CB5DC5" w:rsidRDefault="00357D31" w:rsidP="002B3735">
      <w:pPr>
        <w:pStyle w:val="Prrafodelista"/>
        <w:numPr>
          <w:ilvl w:val="0"/>
          <w:numId w:val="1"/>
        </w:numPr>
        <w:spacing w:line="360" w:lineRule="auto"/>
        <w:ind w:left="0" w:firstLine="0"/>
        <w:jc w:val="both"/>
        <w:rPr>
          <w:rFonts w:ascii="Palatino Linotype" w:hAnsi="Palatino Linotype"/>
          <w:color w:val="000000" w:themeColor="text1"/>
          <w:sz w:val="24"/>
        </w:rPr>
      </w:pPr>
      <w:r w:rsidRPr="00CB5DC5">
        <w:rPr>
          <w:rFonts w:ascii="Palatino Linotype" w:eastAsia="Palatino Linotype" w:hAnsi="Palatino Linotype" w:cs="Palatino Linotype"/>
          <w:color w:val="000000" w:themeColor="text1"/>
          <w:sz w:val="24"/>
        </w:rPr>
        <w:t xml:space="preserve">El medio de impugnación fue presentado a través del </w:t>
      </w:r>
      <w:r w:rsidRPr="00CB5DC5">
        <w:rPr>
          <w:rFonts w:ascii="Palatino Linotype" w:eastAsia="Palatino Linotype" w:hAnsi="Palatino Linotype" w:cs="Palatino Linotype"/>
          <w:b/>
          <w:color w:val="000000" w:themeColor="text1"/>
          <w:sz w:val="24"/>
        </w:rPr>
        <w:t>SAIMEX,</w:t>
      </w:r>
      <w:r w:rsidRPr="00CB5DC5">
        <w:rPr>
          <w:rFonts w:ascii="Palatino Linotype" w:eastAsia="Palatino Linotype" w:hAnsi="Palatino Linotype" w:cs="Palatino Linotype"/>
          <w:color w:val="000000" w:themeColor="text1"/>
          <w:sz w:val="24"/>
        </w:rPr>
        <w:t xml:space="preserve"> en el formato previamente aprobado para tal efecto y dentro del plazo legal de quince días hábiles otorgados; siendo así que el </w:t>
      </w:r>
      <w:r w:rsidRPr="00CB5DC5">
        <w:rPr>
          <w:rFonts w:ascii="Palatino Linotype" w:eastAsia="Palatino Linotype" w:hAnsi="Palatino Linotype" w:cs="Palatino Linotype"/>
          <w:b/>
          <w:color w:val="000000" w:themeColor="text1"/>
          <w:sz w:val="24"/>
        </w:rPr>
        <w:t>SUJETO OBLIGADO</w:t>
      </w:r>
      <w:r w:rsidRPr="00CB5DC5">
        <w:rPr>
          <w:rFonts w:ascii="Palatino Linotype" w:eastAsia="Palatino Linotype" w:hAnsi="Palatino Linotype" w:cs="Palatino Linotype"/>
          <w:color w:val="000000" w:themeColor="text1"/>
          <w:sz w:val="24"/>
        </w:rPr>
        <w:t xml:space="preserve"> entregó respuesta en el recurso de revisión </w:t>
      </w:r>
      <w:r w:rsidRPr="00CB5DC5">
        <w:rPr>
          <w:rFonts w:ascii="Palatino Linotype" w:eastAsia="Palatino Linotype" w:hAnsi="Palatino Linotype" w:cs="Palatino Linotype"/>
          <w:b/>
          <w:color w:val="000000" w:themeColor="text1"/>
          <w:sz w:val="24"/>
        </w:rPr>
        <w:t>03538/INFOEM/IP/RR/2024</w:t>
      </w:r>
      <w:r w:rsidRPr="00CB5DC5">
        <w:rPr>
          <w:rFonts w:ascii="Palatino Linotype" w:eastAsia="Palatino Linotype" w:hAnsi="Palatino Linotype" w:cs="Palatino Linotype"/>
          <w:color w:val="000000" w:themeColor="text1"/>
          <w:sz w:val="24"/>
        </w:rPr>
        <w:t xml:space="preserve"> el </w:t>
      </w:r>
      <w:r w:rsidRPr="00CB5DC5">
        <w:rPr>
          <w:rFonts w:ascii="Palatino Linotype" w:eastAsia="Palatino Linotype" w:hAnsi="Palatino Linotype" w:cs="Palatino Linotype"/>
          <w:b/>
          <w:color w:val="000000" w:themeColor="text1"/>
          <w:sz w:val="24"/>
        </w:rPr>
        <w:t>veintiuno de abril de dos mil veinticinco</w:t>
      </w:r>
      <w:r w:rsidRPr="00CB5DC5">
        <w:rPr>
          <w:rFonts w:ascii="Palatino Linotype" w:eastAsia="Palatino Linotype" w:hAnsi="Palatino Linotype" w:cs="Palatino Linotype"/>
          <w:color w:val="000000" w:themeColor="text1"/>
          <w:sz w:val="24"/>
        </w:rPr>
        <w:t xml:space="preserve">, de tal forma que el plazo para interponer el recurso de revisión transcurrió del </w:t>
      </w:r>
      <w:r w:rsidRPr="00CB5DC5">
        <w:rPr>
          <w:rFonts w:ascii="Palatino Linotype" w:eastAsia="Palatino Linotype" w:hAnsi="Palatino Linotype" w:cs="Palatino Linotype"/>
          <w:b/>
          <w:color w:val="000000" w:themeColor="text1"/>
          <w:sz w:val="24"/>
        </w:rPr>
        <w:t xml:space="preserve">veintidós de abril al catorce de mayo de dos mil veinticinco, </w:t>
      </w:r>
      <w:r w:rsidRPr="00CB5DC5">
        <w:rPr>
          <w:rFonts w:ascii="Palatino Linotype" w:eastAsia="Palatino Linotype" w:hAnsi="Palatino Linotype" w:cs="Palatino Linotype"/>
          <w:color w:val="000000" w:themeColor="text1"/>
          <w:sz w:val="24"/>
        </w:rPr>
        <w:t xml:space="preserve">en consecuencia, presentó su inconformidad el </w:t>
      </w:r>
      <w:r w:rsidRPr="00CB5DC5">
        <w:rPr>
          <w:rFonts w:ascii="Palatino Linotype" w:eastAsia="Palatino Linotype" w:hAnsi="Palatino Linotype" w:cs="Palatino Linotype"/>
          <w:b/>
          <w:color w:val="000000" w:themeColor="text1"/>
          <w:sz w:val="24"/>
        </w:rPr>
        <w:t>veintitrés de abril de dos mil veinticinco</w:t>
      </w:r>
      <w:r w:rsidRPr="00CB5DC5">
        <w:rPr>
          <w:rFonts w:ascii="Palatino Linotype" w:eastAsia="Palatino Linotype" w:hAnsi="Palatino Linotype" w:cs="Palatino Linotype"/>
          <w:color w:val="000000" w:themeColor="text1"/>
          <w:sz w:val="24"/>
        </w:rPr>
        <w:t xml:space="preserve">, por lo que, ambos recurso de revisión se encuentra dentro de los márgenes temporales previstos en el artículo 178 de la </w:t>
      </w:r>
      <w:r w:rsidRPr="00CB5DC5">
        <w:rPr>
          <w:rFonts w:ascii="Palatino Linotype" w:eastAsia="Palatino Linotype" w:hAnsi="Palatino Linotype" w:cs="Palatino Linotype"/>
          <w:b/>
          <w:color w:val="000000" w:themeColor="text1"/>
          <w:sz w:val="24"/>
        </w:rPr>
        <w:t xml:space="preserve">Ley de Transparencia y Acceso a la Información Pública del Estado de México y Municipios </w:t>
      </w:r>
      <w:r w:rsidRPr="00CB5DC5">
        <w:rPr>
          <w:rFonts w:ascii="Palatino Linotype" w:eastAsia="Palatino Linotype" w:hAnsi="Palatino Linotype" w:cs="Palatino Linotype"/>
          <w:color w:val="000000" w:themeColor="text1"/>
          <w:sz w:val="24"/>
        </w:rPr>
        <w:t>vigente.</w:t>
      </w: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p>
    <w:p w:rsidR="00357D31" w:rsidRPr="00CB5DC5" w:rsidRDefault="00357D31" w:rsidP="002B3735">
      <w:pPr>
        <w:numPr>
          <w:ilvl w:val="0"/>
          <w:numId w:val="1"/>
        </w:numPr>
        <w:spacing w:line="360" w:lineRule="auto"/>
        <w:ind w:left="0" w:firstLine="0"/>
        <w:jc w:val="both"/>
        <w:rPr>
          <w:rFonts w:ascii="Palatino Linotype" w:hAnsi="Palatino Linotype"/>
          <w:color w:val="000000" w:themeColor="text1"/>
        </w:rPr>
      </w:pPr>
      <w:bookmarkStart w:id="5" w:name="_heading=h.3dy6vkm" w:colFirst="0" w:colLast="0"/>
      <w:bookmarkEnd w:id="5"/>
      <w:r w:rsidRPr="00CB5DC5">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Pr="00CB5DC5">
        <w:rPr>
          <w:rFonts w:ascii="Palatino Linotype" w:hAnsi="Palatino Linotype"/>
          <w:color w:val="000000" w:themeColor="text1"/>
        </w:rPr>
        <w:t>.</w:t>
      </w:r>
    </w:p>
    <w:p w:rsidR="00357D31" w:rsidRPr="00CB5DC5" w:rsidRDefault="00357D31" w:rsidP="002B3735">
      <w:pPr>
        <w:spacing w:line="360" w:lineRule="auto"/>
        <w:jc w:val="both"/>
        <w:rPr>
          <w:rFonts w:ascii="Palatino Linotype" w:hAnsi="Palatino Linotype"/>
          <w:color w:val="000000" w:themeColor="text1"/>
        </w:rPr>
      </w:pPr>
    </w:p>
    <w:p w:rsidR="00357D31" w:rsidRPr="00CB5DC5" w:rsidRDefault="00357D31" w:rsidP="002B3735">
      <w:pPr>
        <w:spacing w:line="360" w:lineRule="auto"/>
        <w:jc w:val="both"/>
        <w:rPr>
          <w:rFonts w:ascii="Palatino Linotype" w:eastAsia="Palatino Linotype" w:hAnsi="Palatino Linotype" w:cs="Palatino Linotype"/>
          <w:b/>
          <w:color w:val="000000" w:themeColor="text1"/>
        </w:rPr>
      </w:pPr>
      <w:r w:rsidRPr="00CB5DC5">
        <w:rPr>
          <w:rFonts w:ascii="Palatino Linotype" w:eastAsia="Palatino Linotype" w:hAnsi="Palatino Linotype" w:cs="Palatino Linotype"/>
          <w:b/>
          <w:color w:val="000000" w:themeColor="text1"/>
        </w:rPr>
        <w:t>TERCERO. Planteamiento de la Litis.</w:t>
      </w:r>
    </w:p>
    <w:p w:rsidR="00357D31" w:rsidRPr="00CB5DC5" w:rsidRDefault="00357D31" w:rsidP="002B3735">
      <w:pPr>
        <w:numPr>
          <w:ilvl w:val="0"/>
          <w:numId w:val="1"/>
        </w:numP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El</w:t>
      </w:r>
      <w:r w:rsidRPr="00CB5DC5">
        <w:rPr>
          <w:rFonts w:ascii="Palatino Linotype" w:eastAsia="Palatino Linotype" w:hAnsi="Palatino Linotype" w:cs="Palatino Linotype"/>
          <w:b/>
          <w:color w:val="000000" w:themeColor="text1"/>
        </w:rPr>
        <w:t xml:space="preserve"> Recurrente</w:t>
      </w:r>
      <w:r w:rsidR="00C856C8" w:rsidRPr="00CB5DC5">
        <w:rPr>
          <w:rFonts w:ascii="Palatino Linotype" w:eastAsia="Palatino Linotype" w:hAnsi="Palatino Linotype" w:cs="Palatino Linotype"/>
          <w:color w:val="000000" w:themeColor="text1"/>
        </w:rPr>
        <w:t xml:space="preserve"> solicitó </w:t>
      </w:r>
      <w:r w:rsidR="00F233D2" w:rsidRPr="00CB5DC5">
        <w:rPr>
          <w:rFonts w:ascii="Palatino Linotype" w:eastAsia="Palatino Linotype" w:hAnsi="Palatino Linotype" w:cs="Palatino Linotype"/>
          <w:color w:val="000000" w:themeColor="text1"/>
        </w:rPr>
        <w:t>el presupuesto y monto ejecutado para el rastreo de la comunidad</w:t>
      </w:r>
      <w:r w:rsidR="00DA187D" w:rsidRPr="00CB5DC5">
        <w:rPr>
          <w:rFonts w:ascii="Palatino Linotype" w:eastAsia="Palatino Linotype" w:hAnsi="Palatino Linotype" w:cs="Palatino Linotype"/>
          <w:color w:val="000000" w:themeColor="text1"/>
        </w:rPr>
        <w:t xml:space="preserve"> Piequexhimo, San Luis Anahuac y San Luis Taxhimay, como lo informo el Ayuntamiento en su página oficial de Facebook. </w:t>
      </w:r>
    </w:p>
    <w:p w:rsidR="00357D31" w:rsidRPr="00CB5DC5" w:rsidRDefault="00357D31" w:rsidP="002B3735">
      <w:pPr>
        <w:spacing w:line="360" w:lineRule="auto"/>
        <w:jc w:val="both"/>
        <w:rPr>
          <w:rFonts w:ascii="Palatino Linotype" w:hAnsi="Palatino Linotype"/>
          <w:color w:val="000000" w:themeColor="text1"/>
        </w:rPr>
      </w:pPr>
    </w:p>
    <w:p w:rsidR="00357D31" w:rsidRPr="00CB5DC5" w:rsidRDefault="00357D31" w:rsidP="002B3735">
      <w:pPr>
        <w:numPr>
          <w:ilvl w:val="0"/>
          <w:numId w:val="1"/>
        </w:numP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lastRenderedPageBreak/>
        <w:t xml:space="preserve">Mediante respuesta, el Sujeto Obligado </w:t>
      </w:r>
      <w:r w:rsidR="00DA187D" w:rsidRPr="00CB5DC5">
        <w:rPr>
          <w:rFonts w:ascii="Palatino Linotype" w:eastAsia="Palatino Linotype" w:hAnsi="Palatino Linotype" w:cs="Palatino Linotype"/>
          <w:color w:val="000000" w:themeColor="text1"/>
        </w:rPr>
        <w:t xml:space="preserve">a través </w:t>
      </w:r>
      <w:r w:rsidR="00E202AA" w:rsidRPr="00CB5DC5">
        <w:rPr>
          <w:rFonts w:ascii="Palatino Linotype" w:eastAsia="Palatino Linotype" w:hAnsi="Palatino Linotype" w:cs="Palatino Linotype"/>
          <w:color w:val="000000" w:themeColor="text1"/>
        </w:rPr>
        <w:t xml:space="preserve">la Dirección de Obras Públicas señaló que derivado de la búsqueda exhaustiva no se localizó la información solicitada, derivado de ello, el Recurrente se inconformó, de forma medular, por la negativa de la información. </w:t>
      </w:r>
    </w:p>
    <w:p w:rsidR="00357D31" w:rsidRPr="00CB5DC5" w:rsidRDefault="00357D31" w:rsidP="002B3735">
      <w:pPr>
        <w:spacing w:line="360" w:lineRule="auto"/>
        <w:jc w:val="both"/>
        <w:rPr>
          <w:rFonts w:ascii="Palatino Linotype" w:hAnsi="Palatino Linotype"/>
          <w:color w:val="000000" w:themeColor="text1"/>
        </w:rPr>
      </w:pPr>
    </w:p>
    <w:p w:rsidR="00357D31" w:rsidRPr="00CB5DC5" w:rsidRDefault="00357D31" w:rsidP="002B3735">
      <w:pPr>
        <w:numPr>
          <w:ilvl w:val="0"/>
          <w:numId w:val="1"/>
        </w:numP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En dichas condiciones, la controversia a resolver en el presente proveído, corresponde a determinar si se actualiza la causal de procedencia prevista en la fracción I del artículo 179 de la Ley de Transparencia y Acceso a la Información Pública del</w:t>
      </w:r>
      <w:r w:rsidR="00E202AA" w:rsidRPr="00CB5DC5">
        <w:rPr>
          <w:rFonts w:ascii="Palatino Linotype" w:eastAsia="Palatino Linotype" w:hAnsi="Palatino Linotype" w:cs="Palatino Linotype"/>
          <w:color w:val="000000" w:themeColor="text1"/>
        </w:rPr>
        <w:t xml:space="preserve"> Estado de México y Municipios, que establece la negativa de la información. </w:t>
      </w:r>
    </w:p>
    <w:p w:rsidR="00357D31" w:rsidRPr="00CB5DC5" w:rsidRDefault="00357D31" w:rsidP="002B3735">
      <w:pPr>
        <w:spacing w:line="360" w:lineRule="auto"/>
        <w:jc w:val="both"/>
        <w:rPr>
          <w:rFonts w:ascii="Palatino Linotype" w:hAnsi="Palatino Linotype"/>
          <w:color w:val="000000" w:themeColor="text1"/>
        </w:rPr>
      </w:pPr>
      <w:bookmarkStart w:id="6" w:name="_heading=h.tyjcwt" w:colFirst="0" w:colLast="0"/>
      <w:bookmarkEnd w:id="6"/>
    </w:p>
    <w:p w:rsidR="00357D31" w:rsidRPr="00CB5DC5" w:rsidRDefault="00357D31" w:rsidP="002B3735">
      <w:pPr>
        <w:keepNext/>
        <w:keepLines/>
        <w:spacing w:line="360" w:lineRule="auto"/>
        <w:rPr>
          <w:rFonts w:ascii="Palatino Linotype" w:eastAsia="Palatino Linotype" w:hAnsi="Palatino Linotype" w:cs="Palatino Linotype"/>
          <w:b/>
          <w:color w:val="000000" w:themeColor="text1"/>
        </w:rPr>
      </w:pPr>
      <w:r w:rsidRPr="00CB5DC5">
        <w:rPr>
          <w:rFonts w:ascii="Palatino Linotype" w:eastAsia="Palatino Linotype" w:hAnsi="Palatino Linotype" w:cs="Palatino Linotype"/>
          <w:b/>
          <w:color w:val="000000" w:themeColor="text1"/>
        </w:rPr>
        <w:t>CUARTO. Del estudio y resolución del recurso de revisión.</w:t>
      </w:r>
    </w:p>
    <w:p w:rsidR="00357D31" w:rsidRPr="00CB5DC5" w:rsidRDefault="00357D31" w:rsidP="002B3735">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CB5DC5">
        <w:rPr>
          <w:rFonts w:ascii="Palatino Linotype" w:eastAsia="Palatino Linotype" w:hAnsi="Palatino Linotype" w:cs="Palatino Linotype"/>
          <w:color w:val="000000" w:themeColor="text1"/>
          <w:sz w:val="24"/>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p>
    <w:p w:rsidR="00E202AA" w:rsidRPr="00CB5DC5" w:rsidRDefault="00357D31" w:rsidP="002B373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1t3h5sf" w:colFirst="0" w:colLast="0"/>
      <w:bookmarkEnd w:id="7"/>
      <w:r w:rsidRPr="00CB5DC5">
        <w:rPr>
          <w:rFonts w:ascii="Palatino Linotype" w:eastAsia="Palatino Linotype" w:hAnsi="Palatino Linotype" w:cs="Palatino Linotype"/>
          <w:color w:val="000000" w:themeColor="text1"/>
        </w:rPr>
        <w:t xml:space="preserve">En este caso, el particular solicitó </w:t>
      </w:r>
      <w:r w:rsidR="00E202AA" w:rsidRPr="00CB5DC5">
        <w:rPr>
          <w:rFonts w:ascii="Palatino Linotype" w:eastAsia="Palatino Linotype" w:hAnsi="Palatino Linotype" w:cs="Palatino Linotype"/>
          <w:color w:val="000000" w:themeColor="text1"/>
        </w:rPr>
        <w:t>el presupuesto y monto ejecutado para el rastreo de la comunidad Piequexhimo, San Luis Anahuac y San Luis Taxhimay, como lo informo el Ayuntamiento en su página oficial de Facebook.</w:t>
      </w:r>
    </w:p>
    <w:p w:rsidR="00357D31" w:rsidRPr="00CB5DC5" w:rsidRDefault="00357D31" w:rsidP="002B3735">
      <w:pPr>
        <w:pBdr>
          <w:top w:val="nil"/>
          <w:left w:val="nil"/>
          <w:bottom w:val="nil"/>
          <w:right w:val="nil"/>
          <w:between w:val="nil"/>
        </w:pBdr>
        <w:spacing w:line="360" w:lineRule="auto"/>
        <w:jc w:val="both"/>
        <w:rPr>
          <w:rFonts w:ascii="Palatino Linotype" w:hAnsi="Palatino Linotype"/>
          <w:color w:val="000000" w:themeColor="text1"/>
        </w:rPr>
      </w:pPr>
    </w:p>
    <w:p w:rsidR="00E90B25" w:rsidRPr="00CB5DC5" w:rsidRDefault="00E90B25" w:rsidP="002B3735">
      <w:pPr>
        <w:pStyle w:val="Prrafodelista"/>
        <w:numPr>
          <w:ilvl w:val="0"/>
          <w:numId w:val="1"/>
        </w:numPr>
        <w:spacing w:line="360" w:lineRule="auto"/>
        <w:ind w:left="0" w:firstLine="0"/>
        <w:jc w:val="both"/>
        <w:rPr>
          <w:rFonts w:ascii="Palatino Linotype" w:hAnsi="Palatino Linotype"/>
          <w:color w:val="000000" w:themeColor="text1"/>
          <w:sz w:val="24"/>
        </w:rPr>
      </w:pPr>
      <w:r w:rsidRPr="00CB5DC5">
        <w:rPr>
          <w:rFonts w:ascii="Palatino Linotype" w:hAnsi="Palatino Linotype"/>
          <w:color w:val="000000" w:themeColor="text1"/>
          <w:sz w:val="24"/>
        </w:rPr>
        <w:t xml:space="preserve">Al respecto,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w:t>
      </w:r>
    </w:p>
    <w:p w:rsidR="00E90B25" w:rsidRPr="00CB5DC5" w:rsidRDefault="00E90B25" w:rsidP="002B3735">
      <w:pPr>
        <w:pStyle w:val="Prrafodelista"/>
        <w:numPr>
          <w:ilvl w:val="0"/>
          <w:numId w:val="1"/>
        </w:numPr>
        <w:spacing w:line="360" w:lineRule="auto"/>
        <w:ind w:left="0" w:firstLine="0"/>
        <w:jc w:val="both"/>
        <w:rPr>
          <w:rFonts w:ascii="Palatino Linotype" w:hAnsi="Palatino Linotype"/>
          <w:color w:val="000000" w:themeColor="text1"/>
          <w:sz w:val="24"/>
        </w:rPr>
      </w:pPr>
      <w:r w:rsidRPr="00CB5DC5">
        <w:rPr>
          <w:rFonts w:ascii="Palatino Linotype" w:hAnsi="Palatino Linotype"/>
          <w:color w:val="000000" w:themeColor="text1"/>
          <w:sz w:val="24"/>
        </w:rPr>
        <w:lastRenderedPageBreak/>
        <w:t>Ahora bien, es necesario traer a colación el párrafo tercero del artículo 285, del Código Financiero del Estado de México y Municipios, que precisa que el Ayuntamiento es el encargado de aprobar el Presupuesto de Egresos del Municipio. En el mismo sentido, el artículo 31, fracción XIX, de la Ley Orgánica Municipal del Estado de México, establece que los Ayuntamientos serán los encargados de aprobar anualmente, el Presupuesto de Egresos, en base a los ingresos presupuestados para el ejercicio de corresponda.</w:t>
      </w:r>
      <w:r w:rsidR="0090052A" w:rsidRPr="00CB5DC5">
        <w:rPr>
          <w:rFonts w:ascii="Palatino Linotype" w:hAnsi="Palatino Linotype"/>
          <w:color w:val="000000" w:themeColor="text1"/>
          <w:sz w:val="24"/>
        </w:rPr>
        <w:t xml:space="preserve"> </w:t>
      </w:r>
      <w:r w:rsidRPr="00CB5DC5">
        <w:rPr>
          <w:rFonts w:ascii="Palatino Linotype" w:hAnsi="Palatino Linotype"/>
          <w:color w:val="000000" w:themeColor="text1"/>
          <w:sz w:val="24"/>
        </w:rPr>
        <w:t>Además, los diversos 100 y 101, fracción II, de dicho ordenamiento jurídico, prevén que el Presupuesto de Egresos, deberá contener las previsiones de gasto público y se conformará, entre otras cosas, por los programas en que se señalen objetivos, metas y unidades responsables para su ejecución, así como la valuación estimada del programa.</w:t>
      </w:r>
    </w:p>
    <w:p w:rsidR="00E90B25" w:rsidRPr="00CB5DC5" w:rsidRDefault="00E90B25" w:rsidP="002B3735">
      <w:pPr>
        <w:pStyle w:val="Prrafodelista"/>
        <w:spacing w:line="360" w:lineRule="auto"/>
        <w:ind w:left="0"/>
        <w:jc w:val="both"/>
        <w:rPr>
          <w:rFonts w:ascii="Palatino Linotype" w:hAnsi="Palatino Linotype"/>
          <w:color w:val="000000" w:themeColor="text1"/>
          <w:sz w:val="24"/>
        </w:rPr>
      </w:pPr>
    </w:p>
    <w:p w:rsidR="00E90B25" w:rsidRPr="00CB5DC5" w:rsidRDefault="0090052A" w:rsidP="002B3735">
      <w:pPr>
        <w:pStyle w:val="Prrafodelista"/>
        <w:numPr>
          <w:ilvl w:val="0"/>
          <w:numId w:val="1"/>
        </w:numPr>
        <w:spacing w:line="360" w:lineRule="auto"/>
        <w:ind w:left="0" w:firstLine="0"/>
        <w:jc w:val="both"/>
        <w:rPr>
          <w:rFonts w:ascii="Palatino Linotype" w:hAnsi="Palatino Linotype"/>
          <w:color w:val="000000" w:themeColor="text1"/>
          <w:sz w:val="24"/>
        </w:rPr>
      </w:pPr>
      <w:r w:rsidRPr="00CB5DC5">
        <w:rPr>
          <w:rFonts w:ascii="Palatino Linotype" w:hAnsi="Palatino Linotype"/>
          <w:color w:val="000000" w:themeColor="text1"/>
          <w:sz w:val="24"/>
        </w:rPr>
        <w:t>E</w:t>
      </w:r>
      <w:r w:rsidR="00E90B25" w:rsidRPr="00CB5DC5">
        <w:rPr>
          <w:rFonts w:ascii="Palatino Linotype" w:hAnsi="Palatino Linotype"/>
          <w:color w:val="000000" w:themeColor="text1"/>
          <w:sz w:val="24"/>
        </w:rPr>
        <w:t>n el Marco Conceptual, en el apartado “Definición del Presupuesto”, del Manual para la Planeación, Programación y Presupuesto de Egresos Municip</w:t>
      </w:r>
      <w:r w:rsidRPr="00CB5DC5">
        <w:rPr>
          <w:rFonts w:ascii="Palatino Linotype" w:hAnsi="Palatino Linotype"/>
          <w:color w:val="000000" w:themeColor="text1"/>
          <w:sz w:val="24"/>
        </w:rPr>
        <w:t>al para el Ejercicio Fiscal 2025</w:t>
      </w:r>
      <w:r w:rsidR="00E90B25" w:rsidRPr="00CB5DC5">
        <w:rPr>
          <w:rFonts w:ascii="Palatino Linotype" w:hAnsi="Palatino Linotype"/>
          <w:color w:val="000000" w:themeColor="text1"/>
          <w:sz w:val="24"/>
        </w:rPr>
        <w:t>,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rsidR="00E90B25" w:rsidRPr="00CB5DC5" w:rsidRDefault="00E90B25" w:rsidP="002B3735">
      <w:pPr>
        <w:pStyle w:val="Prrafodelista"/>
        <w:spacing w:line="360" w:lineRule="auto"/>
        <w:ind w:left="0"/>
        <w:jc w:val="both"/>
        <w:rPr>
          <w:rFonts w:ascii="Palatino Linotype" w:hAnsi="Palatino Linotype"/>
          <w:color w:val="000000" w:themeColor="text1"/>
          <w:sz w:val="24"/>
        </w:rPr>
      </w:pPr>
    </w:p>
    <w:p w:rsidR="00E90B25" w:rsidRPr="00CB5DC5" w:rsidRDefault="00E90B25" w:rsidP="002B3735">
      <w:pPr>
        <w:pStyle w:val="Prrafodelista"/>
        <w:numPr>
          <w:ilvl w:val="0"/>
          <w:numId w:val="1"/>
        </w:numPr>
        <w:spacing w:line="360" w:lineRule="auto"/>
        <w:ind w:left="0" w:firstLine="0"/>
        <w:jc w:val="both"/>
        <w:rPr>
          <w:rFonts w:ascii="Palatino Linotype" w:hAnsi="Palatino Linotype"/>
          <w:color w:val="000000" w:themeColor="text1"/>
          <w:sz w:val="24"/>
        </w:rPr>
      </w:pPr>
      <w:r w:rsidRPr="00CB5DC5">
        <w:rPr>
          <w:rFonts w:ascii="Palatino Linotype" w:hAnsi="Palatino Linotype"/>
          <w:color w:val="000000" w:themeColor="text1"/>
          <w:sz w:val="24"/>
        </w:rPr>
        <w:t>Por otra parte, en los Lineamientos generales, del apartado del Presupuesto de Egresos Municipal (Tercera etapa), de dicho ordenamiento, establece los Formatos que integran el Proyecto de Presupuesto de Egresos, entre los cuales, se encuentra el Prog</w:t>
      </w:r>
      <w:r w:rsidR="0090052A" w:rsidRPr="00CB5DC5">
        <w:rPr>
          <w:rFonts w:ascii="Palatino Linotype" w:hAnsi="Palatino Linotype"/>
          <w:color w:val="000000" w:themeColor="text1"/>
          <w:sz w:val="24"/>
        </w:rPr>
        <w:t xml:space="preserve">rama Anual de Obra (PbRM E-07a), en el que se puede localizar la información que solicitó el Recurrente. </w:t>
      </w:r>
    </w:p>
    <w:p w:rsidR="00357D31" w:rsidRPr="00CB5DC5" w:rsidRDefault="00357D31" w:rsidP="002B37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0052A" w:rsidRPr="00CB5DC5" w:rsidRDefault="0090052A" w:rsidP="00436D74">
      <w:pPr>
        <w:pStyle w:val="Prrafodelista"/>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sz w:val="24"/>
        </w:rPr>
      </w:pPr>
      <w:r w:rsidRPr="00CB5DC5">
        <w:rPr>
          <w:rFonts w:ascii="Palatino Linotype" w:eastAsia="Palatino Linotype" w:hAnsi="Palatino Linotype" w:cs="Palatino Linotype"/>
          <w:b/>
          <w:color w:val="000000" w:themeColor="text1"/>
          <w:sz w:val="24"/>
        </w:rPr>
        <w:t>De la búsqueda exhaustiva.</w:t>
      </w:r>
    </w:p>
    <w:p w:rsidR="00357D31" w:rsidRPr="00CB5DC5" w:rsidRDefault="00357D31" w:rsidP="002B3735">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sz w:val="24"/>
        </w:rPr>
      </w:pPr>
      <w:r w:rsidRPr="00CB5DC5">
        <w:rPr>
          <w:rFonts w:ascii="Palatino Linotype" w:eastAsia="Palatino Linotype" w:hAnsi="Palatino Linotype" w:cs="Palatino Linotype"/>
          <w:color w:val="000000" w:themeColor="text1"/>
          <w:sz w:val="24"/>
        </w:rPr>
        <w:t xml:space="preserve">Por otro lado, es necesario mencionar que el acceso a la información es un derecho humano constitucional y convencionalmente reconocido y para tal efecto el párrafo tercero del </w:t>
      </w:r>
      <w:r w:rsidRPr="00CB5DC5">
        <w:rPr>
          <w:rFonts w:ascii="Palatino Linotype" w:eastAsia="Palatino Linotype" w:hAnsi="Palatino Linotype" w:cs="Palatino Linotype"/>
          <w:color w:val="000000" w:themeColor="text1"/>
          <w:sz w:val="24"/>
        </w:rPr>
        <w:lastRenderedPageBreak/>
        <w:t xml:space="preserve">artículo primero de la Constitución Política de los Estados Unidos Mexicanos establece que el deber de todas las autoridades, </w:t>
      </w:r>
      <w:r w:rsidRPr="00CB5DC5">
        <w:rPr>
          <w:rFonts w:ascii="Palatino Linotype" w:eastAsia="Palatino Linotype" w:hAnsi="Palatino Linotype" w:cs="Palatino Linotype"/>
          <w:i/>
          <w:color w:val="000000" w:themeColor="text1"/>
          <w:sz w:val="24"/>
        </w:rPr>
        <w:t xml:space="preserve">en el ámbito de sus atribuciones, de promover, respetar, proteger y </w:t>
      </w:r>
      <w:r w:rsidRPr="00CB5DC5">
        <w:rPr>
          <w:rFonts w:ascii="Palatino Linotype" w:eastAsia="Palatino Linotype" w:hAnsi="Palatino Linotype" w:cs="Palatino Linotype"/>
          <w:b/>
          <w:i/>
          <w:color w:val="000000" w:themeColor="text1"/>
          <w:sz w:val="24"/>
        </w:rPr>
        <w:t>garantizar</w:t>
      </w:r>
      <w:r w:rsidRPr="00CB5DC5">
        <w:rPr>
          <w:rFonts w:ascii="Palatino Linotype" w:eastAsia="Palatino Linotype" w:hAnsi="Palatino Linotype" w:cs="Palatino Linotype"/>
          <w:i/>
          <w:color w:val="000000" w:themeColor="text1"/>
          <w:sz w:val="24"/>
        </w:rPr>
        <w:t xml:space="preserve"> los derechos humanos. </w:t>
      </w:r>
      <w:r w:rsidRPr="00CB5DC5">
        <w:rPr>
          <w:rFonts w:ascii="Palatino Linotype" w:eastAsia="Palatino Linotype" w:hAnsi="Palatino Linotype" w:cs="Palatino Linotype"/>
          <w:b/>
          <w:i/>
          <w:color w:val="000000" w:themeColor="text1"/>
          <w:sz w:val="24"/>
        </w:rPr>
        <w:t>En cuanto al derecho de acceso a la información, la Ley de Transparencia y Acceso a la Información Pública del Estado de México y Municipios prevé establece que e</w:t>
      </w:r>
      <w:r w:rsidRPr="00CB5DC5">
        <w:rPr>
          <w:rFonts w:ascii="Palatino Linotype" w:eastAsia="Palatino Linotype" w:hAnsi="Palatino Linotype" w:cs="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CB5DC5">
        <w:rPr>
          <w:rFonts w:ascii="Palatino Linotype" w:eastAsia="Century Gothic" w:hAnsi="Palatino Linotype" w:cs="Century Gothic"/>
          <w:i/>
          <w:color w:val="000000" w:themeColor="text1"/>
          <w:sz w:val="24"/>
          <w:vertAlign w:val="superscript"/>
        </w:rPr>
        <w:footnoteReference w:id="1"/>
      </w:r>
      <w:r w:rsidRPr="00CB5DC5">
        <w:rPr>
          <w:rFonts w:ascii="Palatino Linotype" w:eastAsia="Palatino Linotype" w:hAnsi="Palatino Linotype" w:cs="Palatino Linotype"/>
          <w:i/>
          <w:color w:val="000000" w:themeColor="text1"/>
          <w:sz w:val="24"/>
        </w:rPr>
        <w:t xml:space="preserve">, </w:t>
      </w:r>
      <w:r w:rsidRPr="00CB5DC5">
        <w:rPr>
          <w:rFonts w:ascii="Palatino Linotype" w:eastAsia="Palatino Linotype" w:hAnsi="Palatino Linotype" w:cs="Palatino Linotype"/>
          <w:color w:val="000000" w:themeColor="text1"/>
          <w:sz w:val="24"/>
        </w:rPr>
        <w:t>asimismo establece</w:t>
      </w:r>
      <w:r w:rsidRPr="00CB5DC5">
        <w:rPr>
          <w:rFonts w:ascii="Palatino Linotype" w:eastAsia="Palatino Linotype" w:hAnsi="Palatino Linotype" w:cs="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357D31" w:rsidRPr="00CB5DC5" w:rsidRDefault="00357D31" w:rsidP="002B3735">
      <w:pPr>
        <w:pBdr>
          <w:top w:val="nil"/>
          <w:left w:val="nil"/>
          <w:bottom w:val="nil"/>
          <w:right w:val="nil"/>
          <w:between w:val="nil"/>
        </w:pBdr>
        <w:rPr>
          <w:rFonts w:ascii="Palatino Linotype" w:eastAsia="Palatino Linotype" w:hAnsi="Palatino Linotype" w:cs="Palatino Linotype"/>
          <w:color w:val="000000" w:themeColor="text1"/>
        </w:rPr>
      </w:pPr>
    </w:p>
    <w:p w:rsidR="00357D31" w:rsidRPr="00CB5DC5" w:rsidRDefault="00357D31" w:rsidP="002B373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administran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7D31" w:rsidRPr="00CB5DC5" w:rsidRDefault="00357D31" w:rsidP="002B373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 xml:space="preserve">Las funciones que realizan las Unidades de Transparencia de los Sujetos Obligados es fundamental para el correcto cumplimiento del derecho de acceso a la información, pues son el </w:t>
      </w:r>
      <w:r w:rsidRPr="00CB5DC5">
        <w:rPr>
          <w:rFonts w:ascii="Palatino Linotype" w:eastAsia="Palatino Linotype" w:hAnsi="Palatino Linotype" w:cs="Palatino Linotype"/>
          <w:color w:val="000000" w:themeColor="text1"/>
        </w:rPr>
        <w:lastRenderedPageBreak/>
        <w:t xml:space="preserve">vínculo entre los particulares y la información que requieren, además, su obligación es: </w:t>
      </w:r>
      <w:r w:rsidRPr="00CB5DC5">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CB5DC5">
        <w:rPr>
          <w:rFonts w:ascii="Palatino Linotype" w:eastAsia="Century Gothic" w:hAnsi="Palatino Linotype" w:cs="Century Gothic"/>
          <w:color w:val="000000" w:themeColor="text1"/>
          <w:vertAlign w:val="superscript"/>
        </w:rPr>
        <w:footnoteReference w:id="2"/>
      </w:r>
      <w:r w:rsidRPr="00CB5DC5">
        <w:rPr>
          <w:rFonts w:ascii="Palatino Linotype" w:eastAsia="Palatino Linotype" w:hAnsi="Palatino Linotype" w:cs="Palatino Linotype"/>
          <w:color w:val="000000" w:themeColor="text1"/>
        </w:rPr>
        <w:t>, es decir, deben otorgar respuestas concisas, contundentes y certeras, además de estar en estricto apego a lo que la normatividad en la materia establece.</w:t>
      </w:r>
    </w:p>
    <w:p w:rsidR="00357D31" w:rsidRPr="00CB5DC5" w:rsidRDefault="00357D31" w:rsidP="002B3735">
      <w:pPr>
        <w:pBdr>
          <w:top w:val="nil"/>
          <w:left w:val="nil"/>
          <w:bottom w:val="nil"/>
          <w:right w:val="nil"/>
          <w:between w:val="nil"/>
        </w:pBdr>
        <w:rPr>
          <w:rFonts w:ascii="Palatino Linotype" w:eastAsia="Palatino Linotype" w:hAnsi="Palatino Linotype" w:cs="Palatino Linotype"/>
          <w:color w:val="000000" w:themeColor="text1"/>
        </w:rPr>
      </w:pPr>
    </w:p>
    <w:p w:rsidR="00357D31" w:rsidRPr="00CB5DC5" w:rsidRDefault="00357D31" w:rsidP="002B373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 xml:space="preserve">Debiendo cumplir con lo dispuesto en la Ley de Transparencia y Acceso a la Información Pública del Estado de México y Municipios, en el artículo 162, mismo del que se inserta su contenido: </w:t>
      </w:r>
    </w:p>
    <w:p w:rsidR="00357D31" w:rsidRPr="00CB5DC5" w:rsidRDefault="00357D31" w:rsidP="002B3735">
      <w:pP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b/>
          <w:i/>
          <w:color w:val="000000" w:themeColor="text1"/>
        </w:rPr>
        <w:t xml:space="preserve">Artículo 162. </w:t>
      </w:r>
      <w:r w:rsidRPr="00CB5DC5">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color w:val="000000" w:themeColor="text1"/>
        </w:rPr>
        <w:t xml:space="preserve"> </w:t>
      </w:r>
    </w:p>
    <w:p w:rsidR="00357D31" w:rsidRPr="00CB5DC5" w:rsidRDefault="00357D31" w:rsidP="002B373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7D31" w:rsidRPr="00CB5DC5" w:rsidRDefault="00357D31" w:rsidP="002B373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r w:rsidR="0090052A" w:rsidRPr="00CB5DC5">
        <w:rPr>
          <w:rFonts w:ascii="Palatino Linotype" w:hAnsi="Palatino Linotype"/>
          <w:color w:val="000000" w:themeColor="text1"/>
        </w:rPr>
        <w:t xml:space="preserve"> </w:t>
      </w:r>
      <w:r w:rsidRPr="00CB5DC5">
        <w:rPr>
          <w:rFonts w:ascii="Palatino Linotype" w:eastAsia="Palatino Linotype" w:hAnsi="Palatino Linotype" w:cs="Palatino Linotype"/>
          <w:color w:val="000000" w:themeColor="text1"/>
        </w:rPr>
        <w:t xml:space="preserve">La falta de carteo o turno de las Unidades de Transparencia </w:t>
      </w:r>
      <w:r w:rsidRPr="00CB5DC5">
        <w:rPr>
          <w:rFonts w:ascii="Palatino Linotype" w:eastAsia="Palatino Linotype" w:hAnsi="Palatino Linotype" w:cs="Palatino Linotype"/>
          <w:color w:val="000000" w:themeColor="text1"/>
        </w:rPr>
        <w:lastRenderedPageBreak/>
        <w:t>a las diferentes áreas que integran la estructura orgánica de los Sujetos Obligados, podrían causar una afectación o restricción al derecho ejercido por los particulares.</w:t>
      </w:r>
    </w:p>
    <w:p w:rsidR="00357D31" w:rsidRPr="00CB5DC5" w:rsidRDefault="00357D31" w:rsidP="002B3735">
      <w:pPr>
        <w:pBdr>
          <w:top w:val="nil"/>
          <w:left w:val="nil"/>
          <w:bottom w:val="nil"/>
          <w:right w:val="nil"/>
          <w:between w:val="nil"/>
        </w:pBdr>
        <w:rPr>
          <w:rFonts w:ascii="Palatino Linotype" w:eastAsia="Palatino Linotype" w:hAnsi="Palatino Linotype" w:cs="Palatino Linotype"/>
          <w:color w:val="000000" w:themeColor="text1"/>
        </w:rPr>
      </w:pPr>
    </w:p>
    <w:p w:rsidR="00357D31" w:rsidRPr="00CB5DC5" w:rsidRDefault="00357D31" w:rsidP="002B373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rsidR="00357D31" w:rsidRPr="00CB5DC5" w:rsidRDefault="00357D31" w:rsidP="002B3735">
      <w:pPr>
        <w:pBdr>
          <w:top w:val="nil"/>
          <w:left w:val="nil"/>
          <w:bottom w:val="nil"/>
          <w:right w:val="nil"/>
          <w:between w:val="nil"/>
        </w:pBdr>
        <w:rPr>
          <w:rFonts w:ascii="Palatino Linotype" w:eastAsia="Palatino Linotype" w:hAnsi="Palatino Linotype" w:cs="Palatino Linotype"/>
          <w:color w:val="000000" w:themeColor="text1"/>
        </w:rPr>
      </w:pPr>
    </w:p>
    <w:p w:rsidR="00357D31" w:rsidRPr="00CB5DC5" w:rsidRDefault="00357D31" w:rsidP="002B373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Es así que, los Titulares de las Unidades de Transparencia, al recibir una solicitud deben recibir, tramitar y dar respuesta a las solicitudes de acceso a la información, tal y como lo dispone la fracción II y IV del artículo 53 de la Ley de Transparencia y Acceso a la Información Pública del Estado de México y Municipios:</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t xml:space="preserve">Artículo 53. Las Unidades de Transparencia tendrán las siguientes funciones: </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t>I. …</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t>II. Recibir, tramitar y dar respuesta a las solicitudes de acceso a la información;</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t>…</w:t>
      </w:r>
    </w:p>
    <w:p w:rsidR="00357D31" w:rsidRPr="00CB5DC5" w:rsidRDefault="00357D31" w:rsidP="002B373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t>IV. Realizar, con efectividad, los trámites internos necesarios para la atención de las solicitudes de acceso a la información;</w:t>
      </w:r>
    </w:p>
    <w:p w:rsidR="00357D31" w:rsidRPr="00CB5DC5" w:rsidRDefault="00357D31" w:rsidP="002B3735">
      <w:pPr>
        <w:rPr>
          <w:rFonts w:ascii="Palatino Linotype" w:eastAsia="Palatino Linotype" w:hAnsi="Palatino Linotype" w:cs="Palatino Linotype"/>
          <w:color w:val="000000" w:themeColor="text1"/>
        </w:rPr>
      </w:pPr>
    </w:p>
    <w:p w:rsidR="00E90B25" w:rsidRPr="00CB5DC5" w:rsidRDefault="00357D31" w:rsidP="002B373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Es así que, en el presente caso la respuesta fue emitida por</w:t>
      </w:r>
      <w:r w:rsidR="0090052A" w:rsidRPr="00CB5DC5">
        <w:rPr>
          <w:rFonts w:ascii="Palatino Linotype" w:eastAsia="Palatino Linotype" w:hAnsi="Palatino Linotype" w:cs="Palatino Linotype"/>
          <w:color w:val="000000" w:themeColor="text1"/>
        </w:rPr>
        <w:t xml:space="preserve"> el Director de Obras Públicas, quien  de acuerdo al artículo </w:t>
      </w:r>
      <w:r w:rsidR="00D547D6" w:rsidRPr="00CB5DC5">
        <w:rPr>
          <w:rFonts w:ascii="Palatino Linotype" w:eastAsia="Palatino Linotype" w:hAnsi="Palatino Linotype" w:cs="Palatino Linotype"/>
          <w:color w:val="000000" w:themeColor="text1"/>
        </w:rPr>
        <w:t>96 Bis de la Ley Orgánica Municipal, tiene atribución de realizar la programación de las obras públicas y servicios relacionados, así como planear, coordinar, proyectar y ejecutar todas las obras que realice el Municipio, incluyendo la conservación y mantenimiento de edificios, monumentos, calles, parques y jardines</w:t>
      </w:r>
      <w:r w:rsidR="00E14843" w:rsidRPr="00CB5DC5">
        <w:rPr>
          <w:rFonts w:ascii="Palatino Linotype" w:eastAsia="Palatino Linotype" w:hAnsi="Palatino Linotype" w:cs="Palatino Linotype"/>
          <w:color w:val="000000" w:themeColor="text1"/>
        </w:rPr>
        <w:t xml:space="preserve">, en ese sentido, se puede concluir que la respuesta fue entregada por el servidor público habilitado con facultades para </w:t>
      </w:r>
      <w:r w:rsidR="00E14843" w:rsidRPr="00CB5DC5">
        <w:rPr>
          <w:rFonts w:ascii="Palatino Linotype" w:eastAsia="Palatino Linotype" w:hAnsi="Palatino Linotype" w:cs="Palatino Linotype"/>
          <w:color w:val="000000" w:themeColor="text1"/>
        </w:rPr>
        <w:lastRenderedPageBreak/>
        <w:t xml:space="preserve">generar, poseer y administrar la información solicitada, es decir, que el Sujeto Obligado dio cumplimiento al proceso de búsqueda establecido en la Ley.  </w:t>
      </w:r>
    </w:p>
    <w:p w:rsidR="00E90B25" w:rsidRPr="00CB5DC5" w:rsidRDefault="00E90B25" w:rsidP="002B37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E5BCD" w:rsidRPr="00CB5DC5" w:rsidRDefault="006E5BCD" w:rsidP="002B3735">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CB5DC5">
        <w:rPr>
          <w:rFonts w:ascii="Palatino Linotype" w:eastAsia="Arial Unicode MS" w:hAnsi="Palatino Linotype" w:cs="Arial"/>
          <w:color w:val="000000" w:themeColor="text1"/>
          <w:lang w:eastAsia="en-US"/>
        </w:rPr>
        <w:t>Ahora bien, recordemos que en el presente caso, el Director de Obras Públicas señaló que derivado de la búsqueda exhaustiva en los archivos físicos y electrónicos, no se localizó la información solicitada, en tal contexto, este Órgano Garante se dio a la tarea de realizar una búsqueda en las ligas electrónicas que proporcionó el Recurrente en su solicitudes, de las que derivo la siguiente información publicada en la</w:t>
      </w:r>
      <w:r w:rsidR="00D512B4" w:rsidRPr="00CB5DC5">
        <w:rPr>
          <w:rFonts w:ascii="Palatino Linotype" w:eastAsia="Arial Unicode MS" w:hAnsi="Palatino Linotype" w:cs="Arial"/>
          <w:color w:val="000000" w:themeColor="text1"/>
          <w:lang w:eastAsia="en-US"/>
        </w:rPr>
        <w:t xml:space="preserve"> página oficial de Facebook:</w:t>
      </w:r>
    </w:p>
    <w:p w:rsidR="00D512B4" w:rsidRPr="00CB5DC5" w:rsidRDefault="00D512B4" w:rsidP="002B37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E32A4" w:rsidRPr="00CB5DC5" w:rsidRDefault="00BC65C5" w:rsidP="00436D74">
      <w:pPr>
        <w:pStyle w:val="Prrafodelista"/>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rPr>
      </w:pPr>
      <w:hyperlink r:id="rId10" w:history="1">
        <w:r w:rsidR="00436D74" w:rsidRPr="00A156B8">
          <w:rPr>
            <w:rStyle w:val="Hipervnculo"/>
            <w:rFonts w:ascii="Palatino Linotype" w:eastAsia="Palatino Linotype" w:hAnsi="Palatino Linotype" w:cs="Palatino Linotype"/>
            <w:sz w:val="24"/>
          </w:rPr>
          <w:t>https://www.facebook.com/share/p/15Nr8eau87/</w:t>
        </w:r>
      </w:hyperlink>
      <w:r w:rsidR="00CE32A4" w:rsidRPr="00CB5DC5">
        <w:rPr>
          <w:rFonts w:ascii="Palatino Linotype" w:eastAsia="Palatino Linotype" w:hAnsi="Palatino Linotype" w:cs="Palatino Linotype"/>
          <w:color w:val="000000" w:themeColor="text1"/>
          <w:sz w:val="24"/>
        </w:rPr>
        <w:t>:</w:t>
      </w:r>
    </w:p>
    <w:p w:rsidR="00CE32A4" w:rsidRPr="00CB5DC5" w:rsidRDefault="00CE32A4" w:rsidP="002B3735">
      <w:pPr>
        <w:pStyle w:val="Prrafodelista"/>
        <w:pBdr>
          <w:top w:val="nil"/>
          <w:left w:val="nil"/>
          <w:bottom w:val="nil"/>
          <w:right w:val="nil"/>
          <w:between w:val="nil"/>
        </w:pBdr>
        <w:tabs>
          <w:tab w:val="left" w:pos="426"/>
        </w:tabs>
        <w:spacing w:line="360" w:lineRule="auto"/>
        <w:ind w:left="0"/>
        <w:jc w:val="both"/>
        <w:rPr>
          <w:rFonts w:ascii="Palatino Linotype" w:eastAsia="Palatino Linotype" w:hAnsi="Palatino Linotype" w:cs="Palatino Linotype"/>
          <w:color w:val="000000" w:themeColor="text1"/>
          <w:sz w:val="24"/>
        </w:rPr>
      </w:pPr>
    </w:p>
    <w:p w:rsidR="00CE32A4" w:rsidRPr="00CB5DC5" w:rsidRDefault="00CE32A4" w:rsidP="002B3735">
      <w:pPr>
        <w:pStyle w:val="Prrafodelista"/>
        <w:pBdr>
          <w:top w:val="nil"/>
          <w:left w:val="nil"/>
          <w:bottom w:val="nil"/>
          <w:right w:val="nil"/>
          <w:between w:val="nil"/>
        </w:pBdr>
        <w:tabs>
          <w:tab w:val="left" w:pos="426"/>
        </w:tabs>
        <w:spacing w:line="360" w:lineRule="auto"/>
        <w:ind w:left="0"/>
        <w:jc w:val="both"/>
        <w:rPr>
          <w:rFonts w:ascii="Palatino Linotype" w:eastAsia="Palatino Linotype" w:hAnsi="Palatino Linotype" w:cs="Palatino Linotype"/>
          <w:color w:val="000000" w:themeColor="text1"/>
          <w:sz w:val="24"/>
        </w:rPr>
      </w:pPr>
      <w:r w:rsidRPr="00CB5DC5">
        <w:rPr>
          <w:rFonts w:ascii="Palatino Linotype" w:eastAsia="Palatino Linotype" w:hAnsi="Palatino Linotype" w:cs="Palatino Linotype"/>
          <w:noProof/>
          <w:color w:val="000000" w:themeColor="text1"/>
          <w:sz w:val="24"/>
        </w:rPr>
        <w:drawing>
          <wp:inline distT="0" distB="0" distL="0" distR="0" wp14:anchorId="665BBFEB" wp14:editId="4ED9DD3F">
            <wp:extent cx="4531613" cy="1378424"/>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9387" cy="1392956"/>
                    </a:xfrm>
                    <a:prstGeom prst="rect">
                      <a:avLst/>
                    </a:prstGeom>
                  </pic:spPr>
                </pic:pic>
              </a:graphicData>
            </a:graphic>
          </wp:inline>
        </w:drawing>
      </w:r>
    </w:p>
    <w:p w:rsidR="00CE32A4" w:rsidRPr="00CB5DC5" w:rsidRDefault="00CE32A4" w:rsidP="002B3735">
      <w:pPr>
        <w:pStyle w:val="Prrafodelista"/>
        <w:pBdr>
          <w:top w:val="nil"/>
          <w:left w:val="nil"/>
          <w:bottom w:val="nil"/>
          <w:right w:val="nil"/>
          <w:between w:val="nil"/>
        </w:pBdr>
        <w:tabs>
          <w:tab w:val="left" w:pos="426"/>
        </w:tabs>
        <w:spacing w:line="360" w:lineRule="auto"/>
        <w:ind w:left="0"/>
        <w:jc w:val="both"/>
        <w:rPr>
          <w:rFonts w:ascii="Palatino Linotype" w:eastAsia="Palatino Linotype" w:hAnsi="Palatino Linotype" w:cs="Palatino Linotype"/>
          <w:color w:val="000000" w:themeColor="text1"/>
          <w:sz w:val="24"/>
        </w:rPr>
      </w:pPr>
    </w:p>
    <w:p w:rsidR="00CE32A4" w:rsidRPr="00CB5DC5" w:rsidRDefault="00BC65C5" w:rsidP="00436D74">
      <w:pPr>
        <w:pStyle w:val="Prrafodelista"/>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rPr>
      </w:pPr>
      <w:hyperlink r:id="rId12" w:history="1">
        <w:r w:rsidR="00436D74" w:rsidRPr="00A156B8">
          <w:rPr>
            <w:rStyle w:val="Hipervnculo"/>
            <w:rFonts w:ascii="Palatino Linotype" w:eastAsia="Palatino Linotype" w:hAnsi="Palatino Linotype" w:cs="Palatino Linotype"/>
            <w:sz w:val="24"/>
          </w:rPr>
          <w:t>https://www.facebook.com/share/p/1FTyZNSs69/</w:t>
        </w:r>
      </w:hyperlink>
      <w:r w:rsidR="00CE32A4" w:rsidRPr="00CB5DC5">
        <w:rPr>
          <w:rFonts w:ascii="Palatino Linotype" w:eastAsia="Palatino Linotype" w:hAnsi="Palatino Linotype" w:cs="Palatino Linotype"/>
          <w:color w:val="000000" w:themeColor="text1"/>
          <w:sz w:val="24"/>
        </w:rPr>
        <w:t>:</w:t>
      </w:r>
    </w:p>
    <w:p w:rsidR="00CE32A4" w:rsidRPr="00CB5DC5" w:rsidRDefault="00CE32A4" w:rsidP="002B37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E32A4" w:rsidRPr="00CB5DC5" w:rsidRDefault="00CE32A4" w:rsidP="002B37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noProof/>
          <w:color w:val="000000" w:themeColor="text1"/>
        </w:rPr>
        <w:drawing>
          <wp:inline distT="0" distB="0" distL="0" distR="0" wp14:anchorId="32AE9DFF" wp14:editId="3A962AC3">
            <wp:extent cx="4538696" cy="1678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7743" cy="1704213"/>
                    </a:xfrm>
                    <a:prstGeom prst="rect">
                      <a:avLst/>
                    </a:prstGeom>
                  </pic:spPr>
                </pic:pic>
              </a:graphicData>
            </a:graphic>
          </wp:inline>
        </w:drawing>
      </w:r>
    </w:p>
    <w:p w:rsidR="00CE32A4" w:rsidRPr="00CB5DC5" w:rsidRDefault="00BC65C5" w:rsidP="00436D74">
      <w:pPr>
        <w:pStyle w:val="Prrafodelista"/>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rPr>
      </w:pPr>
      <w:hyperlink r:id="rId14" w:history="1">
        <w:r w:rsidR="00CE32A4" w:rsidRPr="00CB5DC5">
          <w:rPr>
            <w:rStyle w:val="Hipervnculo"/>
            <w:rFonts w:ascii="Palatino Linotype" w:eastAsia="Palatino Linotype" w:hAnsi="Palatino Linotype" w:cs="Palatino Linotype"/>
            <w:color w:val="000000" w:themeColor="text1"/>
            <w:sz w:val="24"/>
          </w:rPr>
          <w:t>https://www.facebook.com/share/p/1FTyZNSs69/</w:t>
        </w:r>
      </w:hyperlink>
      <w:r w:rsidR="00CE32A4" w:rsidRPr="00CB5DC5">
        <w:rPr>
          <w:rFonts w:ascii="Palatino Linotype" w:eastAsia="Palatino Linotype" w:hAnsi="Palatino Linotype" w:cs="Palatino Linotype"/>
          <w:color w:val="000000" w:themeColor="text1"/>
          <w:sz w:val="24"/>
        </w:rPr>
        <w:t xml:space="preserve">: </w:t>
      </w:r>
    </w:p>
    <w:p w:rsidR="00CE32A4" w:rsidRPr="00CB5DC5" w:rsidRDefault="00CE32A4" w:rsidP="002B37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E32A4" w:rsidRPr="00CB5DC5" w:rsidRDefault="00CE32A4" w:rsidP="002B37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noProof/>
          <w:color w:val="000000" w:themeColor="text1"/>
        </w:rPr>
        <w:drawing>
          <wp:inline distT="0" distB="0" distL="0" distR="0" wp14:anchorId="13BE2158" wp14:editId="7C563F73">
            <wp:extent cx="4543449" cy="171961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87912" cy="1736446"/>
                    </a:xfrm>
                    <a:prstGeom prst="rect">
                      <a:avLst/>
                    </a:prstGeom>
                  </pic:spPr>
                </pic:pic>
              </a:graphicData>
            </a:graphic>
          </wp:inline>
        </w:drawing>
      </w:r>
    </w:p>
    <w:p w:rsidR="006E5BCD" w:rsidRPr="00CB5DC5" w:rsidRDefault="006E5BCD" w:rsidP="002B3735">
      <w:pPr>
        <w:pBdr>
          <w:top w:val="nil"/>
          <w:left w:val="nil"/>
          <w:bottom w:val="nil"/>
          <w:right w:val="nil"/>
          <w:between w:val="nil"/>
        </w:pBdr>
        <w:spacing w:line="360" w:lineRule="auto"/>
        <w:jc w:val="both"/>
        <w:rPr>
          <w:rFonts w:ascii="Palatino Linotype" w:hAnsi="Palatino Linotype"/>
          <w:color w:val="000000" w:themeColor="text1"/>
        </w:rPr>
      </w:pPr>
    </w:p>
    <w:p w:rsidR="006E5BCD" w:rsidRPr="00CB5DC5" w:rsidRDefault="006E5BCD" w:rsidP="002B373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Como se observa</w:t>
      </w:r>
      <w:r w:rsidR="00CE32A4" w:rsidRPr="00CB5DC5">
        <w:rPr>
          <w:rFonts w:ascii="Palatino Linotype" w:eastAsia="Palatino Linotype" w:hAnsi="Palatino Linotype" w:cs="Palatino Linotype"/>
          <w:color w:val="000000" w:themeColor="text1"/>
        </w:rPr>
        <w:t>,</w:t>
      </w:r>
      <w:r w:rsidRPr="00CB5DC5">
        <w:rPr>
          <w:rFonts w:ascii="Palatino Linotype" w:eastAsia="Palatino Linotype" w:hAnsi="Palatino Linotype" w:cs="Palatino Linotype"/>
          <w:color w:val="000000" w:themeColor="text1"/>
        </w:rPr>
        <w:t xml:space="preserve"> </w:t>
      </w:r>
      <w:r w:rsidR="00CE32A4" w:rsidRPr="00CB5DC5">
        <w:rPr>
          <w:rFonts w:ascii="Palatino Linotype" w:eastAsia="Palatino Linotype" w:hAnsi="Palatino Linotype" w:cs="Palatino Linotype"/>
          <w:color w:val="000000" w:themeColor="text1"/>
        </w:rPr>
        <w:t xml:space="preserve">el Sujeto Obligado publicó la información de las obras de </w:t>
      </w:r>
      <w:r w:rsidR="001A4C53" w:rsidRPr="00CB5DC5">
        <w:rPr>
          <w:rFonts w:ascii="Palatino Linotype" w:eastAsia="Palatino Linotype" w:hAnsi="Palatino Linotype" w:cs="Palatino Linotype"/>
          <w:color w:val="000000" w:themeColor="text1"/>
        </w:rPr>
        <w:t>rastreo</w:t>
      </w:r>
      <w:r w:rsidR="00CE32A4" w:rsidRPr="00CB5DC5">
        <w:rPr>
          <w:rFonts w:ascii="Palatino Linotype" w:eastAsia="Palatino Linotype" w:hAnsi="Palatino Linotype" w:cs="Palatino Linotype"/>
          <w:color w:val="000000" w:themeColor="text1"/>
        </w:rPr>
        <w:t xml:space="preserve"> que solicitó el Recurrente</w:t>
      </w:r>
      <w:r w:rsidRPr="00CB5DC5">
        <w:rPr>
          <w:rFonts w:ascii="Palatino Linotype" w:eastAsia="Palatino Linotype" w:hAnsi="Palatino Linotype" w:cs="Palatino Linotype"/>
          <w:color w:val="000000" w:themeColor="text1"/>
        </w:rPr>
        <w:t>; al</w:t>
      </w:r>
      <w:r w:rsidR="001A4C53" w:rsidRPr="00CB5DC5">
        <w:rPr>
          <w:rFonts w:ascii="Palatino Linotype" w:eastAsia="Palatino Linotype" w:hAnsi="Palatino Linotype" w:cs="Palatino Linotype"/>
          <w:color w:val="000000" w:themeColor="text1"/>
        </w:rPr>
        <w:t xml:space="preserve"> respecto, s</w:t>
      </w:r>
      <w:r w:rsidRPr="00CB5DC5">
        <w:rPr>
          <w:rFonts w:ascii="Palatino Linotype" w:eastAsia="Palatino Linotype" w:hAnsi="Palatino Linotype" w:cs="Palatino Linotype"/>
          <w:color w:val="000000" w:themeColor="text1"/>
        </w:rPr>
        <w:t>irve de apoyo a lo anterior, la</w:t>
      </w:r>
      <w:r w:rsidR="001A4C53" w:rsidRPr="00CB5DC5">
        <w:rPr>
          <w:rFonts w:ascii="Palatino Linotype" w:eastAsia="Palatino Linotype" w:hAnsi="Palatino Linotype" w:cs="Palatino Linotype"/>
          <w:color w:val="000000" w:themeColor="text1"/>
        </w:rPr>
        <w:t>s</w:t>
      </w:r>
      <w:r w:rsidRPr="00CB5DC5">
        <w:rPr>
          <w:rFonts w:ascii="Palatino Linotype" w:eastAsia="Palatino Linotype" w:hAnsi="Palatino Linotype" w:cs="Palatino Linotype"/>
          <w:color w:val="000000" w:themeColor="text1"/>
        </w:rPr>
        <w:t xml:space="preserve"> </w:t>
      </w:r>
      <w:r w:rsidR="001A4C53" w:rsidRPr="00CB5DC5">
        <w:rPr>
          <w:rFonts w:ascii="Palatino Linotype" w:eastAsia="Palatino Linotype" w:hAnsi="Palatino Linotype" w:cs="Palatino Linotype"/>
          <w:color w:val="000000" w:themeColor="text1"/>
        </w:rPr>
        <w:t>Tesis Aisladas</w:t>
      </w:r>
      <w:r w:rsidRPr="00CB5DC5">
        <w:rPr>
          <w:rFonts w:ascii="Palatino Linotype" w:eastAsia="Palatino Linotype" w:hAnsi="Palatino Linotype" w:cs="Palatino Linotype"/>
          <w:color w:val="000000" w:themeColor="text1"/>
        </w:rPr>
        <w:t xml:space="preserve"> que enseguida se reproducen: </w:t>
      </w:r>
    </w:p>
    <w:p w:rsidR="006E5BCD" w:rsidRPr="00CB5DC5" w:rsidRDefault="006E5BCD" w:rsidP="002B3735">
      <w:pP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b/>
          <w:i/>
          <w:color w:val="000000" w:themeColor="text1"/>
        </w:rPr>
        <w:t xml:space="preserve">INDICIO. CONCEPTO DE. </w:t>
      </w:r>
      <w:r w:rsidRPr="00CB5DC5">
        <w:rPr>
          <w:rFonts w:ascii="Palatino Linotype" w:eastAsia="Palatino Linotype" w:hAnsi="Palatino Linotype" w:cs="Palatino Linotype"/>
          <w:i/>
          <w:color w:val="000000" w:themeColor="text1"/>
        </w:rPr>
        <w:t xml:space="preserve">El "indicio" es una circunstancia cierta de la que se puede sacar, por inducción lógica, una conclusión acerca de la existencia (o inexistencia) de un hecho a probar; por tanto, la convicción indiciaria se basa en un silogismo en el que la premisa mayor (abstracta y problemática), se funda en la experiencia o en el sentido común, la premisa menor (concreta y cierta) se apoya o constituye la comprobación del hecho, y la conclusión, sacada de la referencia de la premisa menor a la premisa mayor, el indicio, por consiguiente, se diferencia de la presunción en que el dato genérico y probable agrega el dato específico y cierto, a lo abstracto une lo concreto; de lo que antecede ya se desprende sin dificultad que requisito primordial de la prueba indiciaria es la certeza de la circunstancia indiciante, o sea, que el indicio presupone necesariamente la demostración de circunstancias indispensables por las que se arguye indirecta pero lógicamente el hecho que hay que probar mediante un proceso deductivo, con la misma certeza que da la prueba directa. </w:t>
      </w:r>
    </w:p>
    <w:p w:rsidR="006E5BCD" w:rsidRPr="00CB5DC5" w:rsidRDefault="006E5BCD" w:rsidP="002B3735">
      <w:pPr>
        <w:spacing w:line="360" w:lineRule="auto"/>
        <w:jc w:val="both"/>
        <w:rPr>
          <w:rFonts w:ascii="Palatino Linotype" w:eastAsia="Palatino Linotype" w:hAnsi="Palatino Linotype" w:cs="Palatino Linotype"/>
          <w:i/>
          <w:color w:val="000000" w:themeColor="text1"/>
        </w:rPr>
      </w:pPr>
    </w:p>
    <w:p w:rsidR="006E5BCD" w:rsidRPr="00CB5DC5" w:rsidRDefault="006E5BCD" w:rsidP="002B3735">
      <w:pP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t xml:space="preserve">SEGUNDO TRIBUNAL COLEGIADO DEL SEXTO CIRCUITO. </w:t>
      </w:r>
    </w:p>
    <w:p w:rsidR="006E5BCD" w:rsidRPr="00CB5DC5" w:rsidRDefault="006E5BCD" w:rsidP="002B3735">
      <w:pP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lastRenderedPageBreak/>
        <w:t>Amparo directo 317/87. Juan Antonio Ibarra Chaire y coags. 12 de julio de 1988. Unanimidad de votos. Ponente: José Galván Rojas. Secretario: Vicente Martínez Sánchez.</w:t>
      </w:r>
    </w:p>
    <w:p w:rsidR="006E5BCD" w:rsidRPr="00CB5DC5" w:rsidRDefault="006E5BCD" w:rsidP="002B3735">
      <w:pPr>
        <w:spacing w:line="360" w:lineRule="auto"/>
        <w:jc w:val="both"/>
        <w:rPr>
          <w:rFonts w:ascii="Palatino Linotype" w:eastAsia="Palatino Linotype" w:hAnsi="Palatino Linotype" w:cs="Palatino Linotype"/>
          <w:i/>
          <w:color w:val="000000" w:themeColor="text1"/>
        </w:rPr>
      </w:pPr>
    </w:p>
    <w:p w:rsidR="006E5BCD" w:rsidRPr="00CB5DC5" w:rsidRDefault="006E5BCD" w:rsidP="002B3735">
      <w:pP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b/>
          <w:i/>
          <w:color w:val="000000" w:themeColor="text1"/>
        </w:rPr>
        <w:t xml:space="preserve">INDICIOS. REQUISITOS PARA QUE GENEREN PRESUNCIÓN DE CERTEZA. </w:t>
      </w:r>
      <w:r w:rsidRPr="00CB5DC5">
        <w:rPr>
          <w:rFonts w:ascii="Palatino Linotype" w:eastAsia="Palatino Linotype" w:hAnsi="Palatino Linotype" w:cs="Palatino Linotype"/>
          <w:i/>
          <w:color w:val="000000" w:themeColor="text1"/>
        </w:rPr>
        <w:t xml:space="preserve">Nada impide que para acreditar la veracidad de un hecho, el juzgador se valga de una presunción que se derive de varios indicios. En esta hipótesis deben cumplirse los principios de la lógica inferencial de probabilidad, a saber: la fiabilidad de los hechos o datos conocidos, esto es, que no exista duda alguna acerca de su veracidad; la pluralidad de indicios, que se refiere a la necesidad de que existan varios datos que permitan conocer o inferir la existencia de otro no percibido y que conduzcan siempre a una misma conclusión; la pertinencia, que significa que haya relación entre la pluralidad de los datos conocidos; y la coherencia, o sea, que debe existir armonía o concordancia entre los datos mencionados; principios que a su vez encuentran respaldo en el artículo 402 de la ley adjetiva civil para el Distrito Federal que previene que los medios de prueba aportados y admitidos serán valorados en su conjunto por el juzgador, atendiendo a las reglas de la lógica y la experiencia, pues los principios enunciados forman parte tanto de la lógica de probabilidades, como de la experiencia misma, razón por la cual, cuando concurren esas exigencias, y se da un muy alto grado de probabilidad de que los hechos acaecieron en la forma narrada por una de las partes, son aptos para generar la presunción de certeza. </w:t>
      </w:r>
    </w:p>
    <w:p w:rsidR="006E5BCD" w:rsidRPr="00CB5DC5" w:rsidRDefault="006E5BCD" w:rsidP="002B3735">
      <w:pPr>
        <w:spacing w:line="360" w:lineRule="auto"/>
        <w:jc w:val="both"/>
        <w:rPr>
          <w:rFonts w:ascii="Palatino Linotype" w:hAnsi="Palatino Linotype"/>
          <w:color w:val="000000" w:themeColor="text1"/>
        </w:rPr>
      </w:pPr>
    </w:p>
    <w:p w:rsidR="006E5BCD" w:rsidRPr="00CB5DC5" w:rsidRDefault="006E5BCD" w:rsidP="002B373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 xml:space="preserve">De lo anterior, se presume la existencia de documentación relacionada con la información requerida, toda vez que el SUJETO OBLIGADO se encuentra constreñido a documentar todo acto de autoridad que éste realice derivado de sus funciones, atribuciones y competencias. </w:t>
      </w:r>
    </w:p>
    <w:p w:rsidR="006E5BCD" w:rsidRPr="00CB5DC5" w:rsidRDefault="006E5BCD" w:rsidP="002B37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E5BCD" w:rsidRPr="00CB5DC5" w:rsidRDefault="006E5BCD" w:rsidP="002B373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 xml:space="preserve">En ese tenor, si bien es cierto que las páginas de internet no son un medio oficial, también lo es que se trata de indicios que demuestran las tareas o labores que llegan a realizar en este caso los servidores públicos en ejercicio de sus facultades, competencias y/o funciones. </w:t>
      </w:r>
    </w:p>
    <w:p w:rsidR="006E5BCD" w:rsidRPr="00CB5DC5" w:rsidRDefault="006E5BCD" w:rsidP="002B3735">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lastRenderedPageBreak/>
        <w:t xml:space="preserve">En tal virtud, al obrar indicios de la información en páginas de internet, como lo son las publicaciones del mismo Sujeto Obligado en sus páginas oficiales, como fue el caso, demuestran que cuenta con la información en alguna de sus áreas administrativas, este tipo de información es susceptible de considerarse como un hecho notorio el cual puede ser valorado, por formar parte del conocimiento público, lo cual se robustece con la siguiente tesis aislada emitida por los Tribunales Colegiados de Circuito y publicada en el Semanario Judicial de la Federación: </w:t>
      </w:r>
    </w:p>
    <w:p w:rsidR="006E5BCD" w:rsidRPr="00CB5DC5" w:rsidRDefault="006E5BCD" w:rsidP="002B3735">
      <w:pP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b/>
          <w:i/>
          <w:color w:val="000000" w:themeColor="text1"/>
        </w:rPr>
        <w:t xml:space="preserve">“PÁGINAS WEB O ELECTRÓNICAS. SU CONTENIDO ES UN HECHO NOTORIO Y SUSCEPTIBLE DE SER VALORADO EN UNA DECISIÓN JUDICIAL. </w:t>
      </w:r>
      <w:r w:rsidRPr="00CB5DC5">
        <w:rPr>
          <w:rFonts w:ascii="Palatino Linotype" w:eastAsia="Palatino Linotype" w:hAnsi="Palatino Linotype" w:cs="Palatino Linotype"/>
          <w:i/>
          <w:color w:val="000000" w:themeColor="text1"/>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1 2004949. I.3o.C.35 K (10a.). Tribunales Colegiados de Circuito. Décima Época. Semanario Judicial de la Federación y su Gaceta. Libro XXVI, Noviembre de 2013, Pág. 1373. Recurso de Revisión: 03023/INFOEM/IP/RR/2021 Sujeto Obligado: Ayuntamiento de Coacalco de Berriozábal Comisionado por returno: Luis Gustavo Parra Noriega Página 21 de 28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w:t>
      </w:r>
      <w:r w:rsidRPr="00CB5DC5">
        <w:rPr>
          <w:rFonts w:ascii="Palatino Linotype" w:eastAsia="Palatino Linotype" w:hAnsi="Palatino Linotype" w:cs="Palatino Linotype"/>
          <w:i/>
          <w:color w:val="000000" w:themeColor="text1"/>
        </w:rPr>
        <w:lastRenderedPageBreak/>
        <w:t>plena, a menos que haya una en contrario que no fue creada por orden del interesado, ya que se le reputará autor y podrá perjudicarle lo que ofrezca en sus términos.</w:t>
      </w:r>
    </w:p>
    <w:p w:rsidR="006E5BCD" w:rsidRPr="00CB5DC5" w:rsidRDefault="006E5BCD" w:rsidP="002B3735">
      <w:pP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t xml:space="preserve"> TERCER TRIBUNAL COLEGIADO EN MATERIA CIVIL DEL PRIMER CIRCUITO. </w:t>
      </w:r>
    </w:p>
    <w:p w:rsidR="006E5BCD" w:rsidRPr="00CB5DC5" w:rsidRDefault="006E5BCD" w:rsidP="002B3735">
      <w:pP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t xml:space="preserve">Amparo en revisión 365/2012. Mardygras, S.A. de C.V. 7 de diciembre de 2012. Unanimidad de votos. Ponente: Neófito López Ramos. Secretaria: Ana Lilia Osorno Arroyo.” </w:t>
      </w:r>
    </w:p>
    <w:p w:rsidR="006E5BCD" w:rsidRPr="00CB5DC5" w:rsidRDefault="006E5BCD" w:rsidP="002B3735">
      <w:pPr>
        <w:spacing w:line="360" w:lineRule="auto"/>
        <w:jc w:val="both"/>
        <w:rPr>
          <w:rFonts w:ascii="Palatino Linotype" w:eastAsia="Palatino Linotype" w:hAnsi="Palatino Linotype" w:cs="Palatino Linotype"/>
          <w:i/>
          <w:color w:val="000000" w:themeColor="text1"/>
        </w:rPr>
      </w:pPr>
      <w:r w:rsidRPr="00CB5DC5">
        <w:rPr>
          <w:rFonts w:ascii="Palatino Linotype" w:eastAsia="Palatino Linotype" w:hAnsi="Palatino Linotype" w:cs="Palatino Linotype"/>
          <w:i/>
          <w:color w:val="000000" w:themeColor="text1"/>
        </w:rPr>
        <w:t xml:space="preserve">(Énfasis añadido) </w:t>
      </w:r>
    </w:p>
    <w:p w:rsidR="006E5BCD" w:rsidRPr="00CB5DC5" w:rsidRDefault="006E5BCD" w:rsidP="002B3735">
      <w:pPr>
        <w:spacing w:line="360" w:lineRule="auto"/>
        <w:jc w:val="both"/>
        <w:rPr>
          <w:rFonts w:ascii="Palatino Linotype" w:eastAsia="Palatino Linotype" w:hAnsi="Palatino Linotype" w:cs="Palatino Linotype"/>
          <w:i/>
          <w:color w:val="000000" w:themeColor="text1"/>
        </w:rPr>
      </w:pPr>
    </w:p>
    <w:p w:rsidR="006E5BCD" w:rsidRPr="00CB5DC5" w:rsidRDefault="006E5BCD" w:rsidP="002B3735">
      <w:pPr>
        <w:numPr>
          <w:ilvl w:val="0"/>
          <w:numId w:val="1"/>
        </w:numP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 xml:space="preserve">Es así que, cuando la información proviene de una publicación en la página oficial del Sujeto Obligado, muestra elementos que permiten presumir la existencia del hecho, razón por la </w:t>
      </w:r>
      <w:r w:rsidR="001A4C53" w:rsidRPr="00CB5DC5">
        <w:rPr>
          <w:rFonts w:ascii="Palatino Linotype" w:eastAsia="Palatino Linotype" w:hAnsi="Palatino Linotype" w:cs="Palatino Linotype"/>
          <w:color w:val="000000" w:themeColor="text1"/>
        </w:rPr>
        <w:t>que resulta procedente ordenar</w:t>
      </w:r>
      <w:r w:rsidRPr="00CB5DC5">
        <w:rPr>
          <w:rFonts w:ascii="Palatino Linotype" w:eastAsia="Palatino Linotype" w:hAnsi="Palatino Linotype" w:cs="Palatino Linotype"/>
          <w:color w:val="000000" w:themeColor="text1"/>
        </w:rPr>
        <w:t xml:space="preserve"> la entrega de la información.</w:t>
      </w:r>
    </w:p>
    <w:p w:rsidR="00E90B25" w:rsidRPr="00CB5DC5" w:rsidRDefault="00E90B25" w:rsidP="002B37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57D31" w:rsidRPr="00CB5DC5" w:rsidRDefault="00357D31" w:rsidP="002B3735">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CB5DC5">
        <w:rPr>
          <w:rFonts w:ascii="Palatino Linotype" w:eastAsia="Palatino Linotype" w:hAnsi="Palatino Linotype" w:cs="Palatino Linotype"/>
          <w:b/>
          <w:color w:val="000000" w:themeColor="text1"/>
        </w:rPr>
        <w:t>RECURRENTE</w:t>
      </w:r>
      <w:r w:rsidRPr="00CB5DC5">
        <w:rPr>
          <w:rFonts w:ascii="Palatino Linotype" w:eastAsia="Palatino Linotype" w:hAnsi="Palatino Linotype" w:cs="Palatino Linotype"/>
          <w:color w:val="000000" w:themeColor="text1"/>
        </w:rPr>
        <w:t xml:space="preserve"> dentro de</w:t>
      </w:r>
      <w:r w:rsidR="001A4C53" w:rsidRPr="00CB5DC5">
        <w:rPr>
          <w:rFonts w:ascii="Palatino Linotype" w:eastAsia="Palatino Linotype" w:hAnsi="Palatino Linotype" w:cs="Palatino Linotype"/>
          <w:color w:val="000000" w:themeColor="text1"/>
        </w:rPr>
        <w:t xml:space="preserve"> </w:t>
      </w:r>
      <w:r w:rsidRPr="00CB5DC5">
        <w:rPr>
          <w:rFonts w:ascii="Palatino Linotype" w:eastAsia="Palatino Linotype" w:hAnsi="Palatino Linotype" w:cs="Palatino Linotype"/>
          <w:color w:val="000000" w:themeColor="text1"/>
        </w:rPr>
        <w:t>l</w:t>
      </w:r>
      <w:r w:rsidR="001A4C53" w:rsidRPr="00CB5DC5">
        <w:rPr>
          <w:rFonts w:ascii="Palatino Linotype" w:eastAsia="Palatino Linotype" w:hAnsi="Palatino Linotype" w:cs="Palatino Linotype"/>
          <w:color w:val="000000" w:themeColor="text1"/>
        </w:rPr>
        <w:t>os</w:t>
      </w:r>
      <w:r w:rsidRPr="00CB5DC5">
        <w:rPr>
          <w:rFonts w:ascii="Palatino Linotype" w:eastAsia="Palatino Linotype" w:hAnsi="Palatino Linotype" w:cs="Palatino Linotype"/>
          <w:color w:val="000000" w:themeColor="text1"/>
        </w:rPr>
        <w:t xml:space="preserve"> recurso</w:t>
      </w:r>
      <w:r w:rsidR="001A4C53" w:rsidRPr="00CB5DC5">
        <w:rPr>
          <w:rFonts w:ascii="Palatino Linotype" w:eastAsia="Palatino Linotype" w:hAnsi="Palatino Linotype" w:cs="Palatino Linotype"/>
          <w:color w:val="000000" w:themeColor="text1"/>
        </w:rPr>
        <w:t>s</w:t>
      </w:r>
      <w:r w:rsidRPr="00CB5DC5">
        <w:rPr>
          <w:rFonts w:ascii="Palatino Linotype" w:eastAsia="Palatino Linotype" w:hAnsi="Palatino Linotype" w:cs="Palatino Linotype"/>
          <w:color w:val="000000" w:themeColor="text1"/>
        </w:rPr>
        <w:t xml:space="preserve"> de revisión </w:t>
      </w:r>
      <w:r w:rsidR="001A4C53" w:rsidRPr="00CB5DC5">
        <w:rPr>
          <w:rFonts w:ascii="Palatino Linotype" w:eastAsia="Palatino Linotype" w:hAnsi="Palatino Linotype" w:cs="Palatino Linotype"/>
          <w:b/>
          <w:color w:val="000000" w:themeColor="text1"/>
        </w:rPr>
        <w:t>08328</w:t>
      </w:r>
      <w:r w:rsidRPr="00CB5DC5">
        <w:rPr>
          <w:rFonts w:ascii="Palatino Linotype" w:eastAsia="Palatino Linotype" w:hAnsi="Palatino Linotype" w:cs="Palatino Linotype"/>
          <w:b/>
          <w:color w:val="000000" w:themeColor="text1"/>
        </w:rPr>
        <w:t xml:space="preserve">/INFOEM/IP/RR/2025, </w:t>
      </w:r>
      <w:r w:rsidR="001A4C53" w:rsidRPr="00CB5DC5">
        <w:rPr>
          <w:rFonts w:ascii="Palatino Linotype" w:eastAsia="Palatino Linotype" w:hAnsi="Palatino Linotype" w:cs="Palatino Linotype"/>
          <w:b/>
          <w:color w:val="000000" w:themeColor="text1"/>
        </w:rPr>
        <w:t>08329/INFOEM/IP/RR/2025 y 08330</w:t>
      </w:r>
      <w:r w:rsidRPr="00CB5DC5">
        <w:rPr>
          <w:rFonts w:ascii="Palatino Linotype" w:eastAsia="Palatino Linotype" w:hAnsi="Palatino Linotype" w:cs="Palatino Linotype"/>
          <w:b/>
          <w:color w:val="000000" w:themeColor="text1"/>
        </w:rPr>
        <w:t>/INFOEM/IP/RR/2025</w:t>
      </w:r>
      <w:r w:rsidRPr="00CB5DC5">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CB5DC5">
        <w:rPr>
          <w:rFonts w:ascii="Palatino Linotype" w:eastAsia="Palatino Linotype" w:hAnsi="Palatino Linotype" w:cs="Palatino Linotype"/>
          <w:b/>
          <w:color w:val="000000" w:themeColor="text1"/>
        </w:rPr>
        <w:t>REVOCAN</w:t>
      </w:r>
      <w:r w:rsidRPr="00CB5DC5">
        <w:rPr>
          <w:rFonts w:ascii="Palatino Linotype" w:eastAsia="Palatino Linotype" w:hAnsi="Palatino Linotype" w:cs="Palatino Linotype"/>
          <w:color w:val="000000" w:themeColor="text1"/>
        </w:rPr>
        <w:t xml:space="preserve"> las respuestas a las solicitudes de información número </w:t>
      </w:r>
      <w:bookmarkStart w:id="8" w:name="_heading=h.2s8eyo1" w:colFirst="0" w:colLast="0"/>
      <w:bookmarkEnd w:id="8"/>
      <w:r w:rsidR="001A4C53" w:rsidRPr="00CB5DC5">
        <w:rPr>
          <w:rFonts w:ascii="Palatino Linotype" w:eastAsia="Palatino Linotype" w:hAnsi="Palatino Linotype" w:cs="Palatino Linotype"/>
          <w:b/>
          <w:bCs/>
          <w:color w:val="000000" w:themeColor="text1"/>
        </w:rPr>
        <w:fldChar w:fldCharType="begin"/>
      </w:r>
      <w:r w:rsidR="001A4C53" w:rsidRPr="00CB5DC5">
        <w:rPr>
          <w:rFonts w:ascii="Palatino Linotype" w:eastAsia="Palatino Linotype" w:hAnsi="Palatino Linotype" w:cs="Palatino Linotype"/>
          <w:b/>
          <w:bCs/>
          <w:color w:val="000000" w:themeColor="text1"/>
        </w:rPr>
        <w:instrText xml:space="preserve"> HYPERLINK "javascript:abrirAcuse(682212);" </w:instrText>
      </w:r>
      <w:r w:rsidR="001A4C53" w:rsidRPr="00CB5DC5">
        <w:rPr>
          <w:rFonts w:ascii="Palatino Linotype" w:eastAsia="Palatino Linotype" w:hAnsi="Palatino Linotype" w:cs="Palatino Linotype"/>
          <w:b/>
          <w:bCs/>
          <w:color w:val="000000" w:themeColor="text1"/>
        </w:rPr>
        <w:fldChar w:fldCharType="separate"/>
      </w:r>
      <w:r w:rsidR="001A4C53" w:rsidRPr="00CB5DC5">
        <w:rPr>
          <w:rStyle w:val="Hipervnculo"/>
          <w:rFonts w:ascii="Palatino Linotype" w:eastAsia="Palatino Linotype" w:hAnsi="Palatino Linotype" w:cs="Palatino Linotype"/>
          <w:b/>
          <w:bCs/>
          <w:color w:val="000000" w:themeColor="text1"/>
          <w:u w:val="none"/>
        </w:rPr>
        <w:t>00181/VICARBO/IP/2025</w:t>
      </w:r>
      <w:r w:rsidR="001A4C53" w:rsidRPr="00CB5DC5">
        <w:rPr>
          <w:rFonts w:ascii="Palatino Linotype" w:eastAsia="Palatino Linotype" w:hAnsi="Palatino Linotype" w:cs="Palatino Linotype"/>
          <w:b/>
          <w:bCs/>
          <w:color w:val="000000" w:themeColor="text1"/>
        </w:rPr>
        <w:fldChar w:fldCharType="end"/>
      </w:r>
      <w:r w:rsidRPr="00CB5DC5">
        <w:rPr>
          <w:rFonts w:ascii="Palatino Linotype" w:eastAsia="Palatino Linotype" w:hAnsi="Palatino Linotype" w:cs="Palatino Linotype"/>
          <w:b/>
          <w:bCs/>
          <w:color w:val="000000" w:themeColor="text1"/>
        </w:rPr>
        <w:t xml:space="preserve">, </w:t>
      </w:r>
      <w:hyperlink r:id="rId16" w:history="1">
        <w:r w:rsidR="001A4C53" w:rsidRPr="00CB5DC5">
          <w:rPr>
            <w:rStyle w:val="Hipervnculo"/>
            <w:rFonts w:ascii="Palatino Linotype" w:eastAsia="Palatino Linotype" w:hAnsi="Palatino Linotype" w:cs="Palatino Linotype"/>
            <w:b/>
            <w:bCs/>
            <w:color w:val="000000" w:themeColor="text1"/>
            <w:u w:val="none"/>
          </w:rPr>
          <w:t>00182/VICARBO/IP/2025</w:t>
        </w:r>
      </w:hyperlink>
      <w:r w:rsidR="001A4C53" w:rsidRPr="00CB5DC5">
        <w:rPr>
          <w:rFonts w:ascii="Palatino Linotype" w:eastAsia="Palatino Linotype" w:hAnsi="Palatino Linotype" w:cs="Palatino Linotype"/>
          <w:b/>
          <w:bCs/>
          <w:color w:val="000000" w:themeColor="text1"/>
        </w:rPr>
        <w:t xml:space="preserve"> </w:t>
      </w:r>
      <w:r w:rsidRPr="00CB5DC5">
        <w:rPr>
          <w:rFonts w:ascii="Palatino Linotype" w:eastAsia="Palatino Linotype" w:hAnsi="Palatino Linotype" w:cs="Palatino Linotype"/>
          <w:b/>
          <w:bCs/>
          <w:color w:val="000000" w:themeColor="text1"/>
        </w:rPr>
        <w:t xml:space="preserve">y </w:t>
      </w:r>
      <w:hyperlink r:id="rId17" w:history="1">
        <w:r w:rsidR="001A4C53" w:rsidRPr="00CB5DC5">
          <w:rPr>
            <w:rStyle w:val="Hipervnculo"/>
            <w:rFonts w:ascii="Palatino Linotype" w:eastAsia="Palatino Linotype" w:hAnsi="Palatino Linotype" w:cs="Palatino Linotype"/>
            <w:b/>
            <w:bCs/>
            <w:color w:val="000000" w:themeColor="text1"/>
            <w:u w:val="none"/>
          </w:rPr>
          <w:t>00183/VICARBO/IP/2025</w:t>
        </w:r>
      </w:hyperlink>
      <w:r w:rsidRPr="00CB5DC5">
        <w:rPr>
          <w:rFonts w:ascii="Palatino Linotype" w:eastAsia="Palatino Linotype" w:hAnsi="Palatino Linotype" w:cs="Palatino Linotype"/>
          <w:b/>
          <w:bCs/>
          <w:color w:val="000000" w:themeColor="text1"/>
        </w:rPr>
        <w:t>.</w:t>
      </w:r>
    </w:p>
    <w:p w:rsidR="00357D31" w:rsidRDefault="00357D31" w:rsidP="002B3735">
      <w:pPr>
        <w:pStyle w:val="Prrafodelista"/>
        <w:ind w:left="0"/>
        <w:rPr>
          <w:rFonts w:ascii="Palatino Linotype" w:eastAsia="Palatino Linotype" w:hAnsi="Palatino Linotype" w:cs="Palatino Linotype"/>
          <w:color w:val="000000" w:themeColor="text1"/>
          <w:sz w:val="24"/>
        </w:rPr>
      </w:pPr>
    </w:p>
    <w:p w:rsidR="00436D74" w:rsidRPr="00CB5DC5" w:rsidRDefault="00436D74" w:rsidP="002B3735">
      <w:pPr>
        <w:pStyle w:val="Prrafodelista"/>
        <w:ind w:left="0"/>
        <w:rPr>
          <w:rFonts w:ascii="Palatino Linotype" w:eastAsia="Palatino Linotype" w:hAnsi="Palatino Linotype" w:cs="Palatino Linotype"/>
          <w:color w:val="000000" w:themeColor="text1"/>
          <w:sz w:val="24"/>
        </w:rPr>
      </w:pPr>
    </w:p>
    <w:p w:rsidR="00357D31" w:rsidRPr="00CB5DC5" w:rsidRDefault="00357D31" w:rsidP="002B3735">
      <w:pPr>
        <w:pStyle w:val="Prrafodelista"/>
        <w:tabs>
          <w:tab w:val="left" w:pos="426"/>
        </w:tabs>
        <w:spacing w:line="360" w:lineRule="auto"/>
        <w:ind w:left="0"/>
        <w:jc w:val="both"/>
        <w:outlineLvl w:val="1"/>
        <w:rPr>
          <w:rFonts w:ascii="Palatino Linotype" w:hAnsi="Palatino Linotype"/>
          <w:b/>
          <w:bCs/>
          <w:color w:val="000000" w:themeColor="text1"/>
          <w:sz w:val="24"/>
        </w:rPr>
      </w:pPr>
      <w:bookmarkStart w:id="9" w:name="_Toc89350464"/>
      <w:bookmarkStart w:id="10" w:name="_Toc94119619"/>
      <w:r w:rsidRPr="00CB5DC5">
        <w:rPr>
          <w:rFonts w:ascii="Palatino Linotype" w:hAnsi="Palatino Linotype"/>
          <w:b/>
          <w:bCs/>
          <w:color w:val="000000" w:themeColor="text1"/>
          <w:sz w:val="24"/>
        </w:rPr>
        <w:t>QUINTO. De la versión pública.</w:t>
      </w:r>
      <w:bookmarkEnd w:id="9"/>
      <w:bookmarkEnd w:id="10"/>
    </w:p>
    <w:p w:rsidR="00357D31" w:rsidRPr="00CB5DC5" w:rsidRDefault="00357D31" w:rsidP="002B3735">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CB5DC5">
        <w:rPr>
          <w:rFonts w:ascii="Palatino Linotype" w:hAnsi="Palatino Linotype"/>
          <w:color w:val="000000" w:themeColor="text1"/>
          <w:sz w:val="24"/>
        </w:rPr>
        <w:t>Debe destacarse que, debido a la naturaleza de la información solicitada</w:t>
      </w:r>
      <w:r w:rsidRPr="00CB5DC5">
        <w:rPr>
          <w:rFonts w:ascii="Palatino Linotype" w:hAnsi="Palatino Linotype"/>
          <w:b/>
          <w:color w:val="000000" w:themeColor="text1"/>
          <w:sz w:val="24"/>
        </w:rPr>
        <w:t xml:space="preserve"> </w:t>
      </w:r>
      <w:r w:rsidRPr="00CB5DC5">
        <w:rPr>
          <w:rFonts w:ascii="Palatino Linotype" w:hAnsi="Palatino Linotype"/>
          <w:color w:val="000000" w:themeColor="text1"/>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w:t>
      </w:r>
      <w:r w:rsidRPr="00CB5DC5">
        <w:rPr>
          <w:rFonts w:ascii="Palatino Linotype" w:hAnsi="Palatino Linotype"/>
          <w:color w:val="000000" w:themeColor="text1"/>
          <w:sz w:val="24"/>
        </w:rPr>
        <w:lastRenderedPageBreak/>
        <w:t>servidores públicos y en su caso generar la versión pública de los documentos por las consideraciones que se estimen pertinentes.</w:t>
      </w:r>
    </w:p>
    <w:p w:rsidR="00357D31" w:rsidRPr="00CB5DC5" w:rsidRDefault="00357D31" w:rsidP="002B3735">
      <w:pPr>
        <w:pStyle w:val="Prrafodelista"/>
        <w:tabs>
          <w:tab w:val="left" w:pos="426"/>
        </w:tabs>
        <w:spacing w:line="360" w:lineRule="auto"/>
        <w:ind w:left="0"/>
        <w:jc w:val="both"/>
        <w:rPr>
          <w:rFonts w:ascii="Palatino Linotype" w:hAnsi="Palatino Linotype"/>
          <w:color w:val="000000" w:themeColor="text1"/>
          <w:sz w:val="24"/>
        </w:rPr>
      </w:pPr>
    </w:p>
    <w:p w:rsidR="00357D31" w:rsidRPr="00CB5DC5" w:rsidRDefault="00357D31" w:rsidP="002B3735">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CB5DC5">
        <w:rPr>
          <w:rFonts w:ascii="Palatino Linotype" w:hAnsi="Palatino Linotype"/>
          <w:color w:val="000000" w:themeColor="text1"/>
          <w:sz w:val="24"/>
        </w:rPr>
        <w:t xml:space="preserve">La </w:t>
      </w:r>
      <w:r w:rsidRPr="00CB5DC5">
        <w:rPr>
          <w:rFonts w:ascii="Palatino Linotype" w:eastAsia="MS Mincho" w:hAnsi="Palatino Linotype"/>
          <w:color w:val="000000" w:themeColor="text1"/>
          <w:sz w:val="24"/>
        </w:rPr>
        <w:t>clasificación total o parcial de la información requerida, mediante solicitud de acceso a la información pública, constituye una restricción al derecho humano de acceso a la información</w:t>
      </w:r>
      <w:r w:rsidRPr="00CB5DC5">
        <w:rPr>
          <w:rFonts w:ascii="Palatino Linotype" w:hAnsi="Palatino Linotype" w:cs="Arial"/>
          <w:color w:val="000000" w:themeColor="text1"/>
          <w:sz w:val="24"/>
        </w:rPr>
        <w:t>, por lo que es menester reiterar los mismos:</w:t>
      </w:r>
    </w:p>
    <w:p w:rsidR="00357D31" w:rsidRPr="00CB5DC5" w:rsidRDefault="00357D31" w:rsidP="002B3735">
      <w:pPr>
        <w:pStyle w:val="Prrafodelista"/>
        <w:tabs>
          <w:tab w:val="left" w:pos="426"/>
        </w:tabs>
        <w:spacing w:line="360" w:lineRule="auto"/>
        <w:ind w:left="0"/>
        <w:jc w:val="both"/>
        <w:rPr>
          <w:rFonts w:ascii="Palatino Linotype" w:hAnsi="Palatino Linotype"/>
          <w:color w:val="000000" w:themeColor="text1"/>
          <w:sz w:val="24"/>
        </w:rPr>
      </w:pPr>
    </w:p>
    <w:tbl>
      <w:tblPr>
        <w:tblStyle w:val="Tabladecuadrcula6concolores"/>
        <w:tblW w:w="10060" w:type="dxa"/>
        <w:tblLook w:val="04A0" w:firstRow="1" w:lastRow="0" w:firstColumn="1" w:lastColumn="0" w:noHBand="0" w:noVBand="1"/>
      </w:tblPr>
      <w:tblGrid>
        <w:gridCol w:w="2689"/>
        <w:gridCol w:w="7371"/>
      </w:tblGrid>
      <w:tr w:rsidR="002B3735" w:rsidRPr="00CB5DC5" w:rsidTr="00F06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357D31" w:rsidRPr="00CB5DC5" w:rsidRDefault="00357D31" w:rsidP="002B3735">
            <w:pPr>
              <w:spacing w:line="360" w:lineRule="auto"/>
              <w:rPr>
                <w:rFonts w:ascii="Palatino Linotype" w:hAnsi="Palatino Linotype"/>
              </w:rPr>
            </w:pPr>
            <w:r w:rsidRPr="00CB5DC5">
              <w:rPr>
                <w:rFonts w:ascii="Palatino Linotype" w:hAnsi="Palatino Linotype" w:cstheme="majorBidi"/>
                <w:b w:val="0"/>
              </w:rPr>
              <w:t>a) Requisitos previos.</w:t>
            </w:r>
          </w:p>
        </w:tc>
        <w:tc>
          <w:tcPr>
            <w:tcW w:w="7371" w:type="dxa"/>
          </w:tcPr>
          <w:p w:rsidR="00357D31" w:rsidRPr="00CB5DC5" w:rsidRDefault="00357D31" w:rsidP="002B373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CB5DC5">
              <w:rPr>
                <w:rFonts w:ascii="Palatino Linotype" w:hAnsi="Palatino Linotype" w:cs="Arial"/>
              </w:rPr>
              <w:t xml:space="preserve">Los artículos 100 y 122 de la Ley Estatal y de la Ley General, respectivamente, señalan que si los </w:t>
            </w:r>
            <w:r w:rsidRPr="00CB5DC5">
              <w:rPr>
                <w:rFonts w:ascii="Palatino Linotype" w:hAnsi="Palatino Linotype" w:cs="Arial"/>
                <w:b w:val="0"/>
              </w:rPr>
              <w:t>Sujetos Obligados</w:t>
            </w:r>
            <w:r w:rsidRPr="00CB5DC5">
              <w:rPr>
                <w:rFonts w:ascii="Palatino Linotype" w:hAnsi="Palatino Linotype" w:cs="Arial"/>
              </w:rPr>
              <w:t xml:space="preserve"> determinan que la información actualiza alguno de los supuestos de clasificación, es deber de los titulares de las áreas proponer su clasificación y no del Comité de Transparencia. </w:t>
            </w:r>
          </w:p>
          <w:p w:rsidR="00357D31" w:rsidRPr="00CB5DC5" w:rsidRDefault="00357D31" w:rsidP="002B373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CB5DC5">
              <w:rPr>
                <w:rFonts w:ascii="Palatino Linotype" w:hAnsi="Palatino Linotype" w:cs="Arial"/>
              </w:rPr>
              <w:t>Al hacerlo tienen que precisar de qué información se trata, señalando el supuesto de clasificación (confidencialidad o reserva).</w:t>
            </w:r>
          </w:p>
          <w:p w:rsidR="00357D31" w:rsidRPr="00CB5DC5" w:rsidRDefault="00357D31" w:rsidP="002B373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CB5DC5">
              <w:rPr>
                <w:rFonts w:ascii="Palatino Linotype" w:hAnsi="Palatino Linotype" w:cs="Arial"/>
              </w:rPr>
              <w:t>Además, se debe señalar el procedimiento, de los tres que establecen los artículos 132 y 106 de la Ley Estatal y General, respectivamente.</w:t>
            </w:r>
          </w:p>
          <w:p w:rsidR="00357D31" w:rsidRPr="00CB5DC5" w:rsidRDefault="00357D31" w:rsidP="002B373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CB5DC5">
              <w:rPr>
                <w:rFonts w:ascii="Palatino Linotype" w:hAnsi="Palatino Linotype" w:cs="Arial"/>
              </w:rPr>
              <w:t xml:space="preserve">El último de estos requisitos previos consiste en que no se pueden emitir acuerdos de carácter general ni particular, esto es, </w:t>
            </w:r>
            <w:r w:rsidRPr="00CB5DC5">
              <w:rPr>
                <w:rFonts w:ascii="Palatino Linotype" w:hAnsi="Palatino Linotype" w:cs="Arial"/>
                <w:b w:val="0"/>
                <w:u w:val="single"/>
              </w:rPr>
              <w:t xml:space="preserve">no se puede hacer un acuerdo para clasificar de manera general todos los documentos de un expediente o área,  </w:t>
            </w:r>
            <w:r w:rsidRPr="00CB5DC5">
              <w:rPr>
                <w:rFonts w:ascii="Palatino Linotype" w:hAnsi="Palatino Linotype" w:cs="Arial"/>
              </w:rPr>
              <w:t xml:space="preserve">sin individualizar su análisis y tampoco se puede hacer un acuerdo por cada dato que se vaya a </w:t>
            </w:r>
            <w:r w:rsidRPr="00CB5DC5">
              <w:rPr>
                <w:rFonts w:ascii="Palatino Linotype" w:hAnsi="Palatino Linotype" w:cs="Arial"/>
              </w:rPr>
              <w:lastRenderedPageBreak/>
              <w:t>clasificar dentro de un documento con diez datos, por ejemplo, susceptibles de ser clasificados.</w:t>
            </w:r>
          </w:p>
        </w:tc>
      </w:tr>
      <w:tr w:rsidR="002B3735" w:rsidRPr="00CB5DC5" w:rsidTr="00F06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357D31" w:rsidRPr="00CB5DC5" w:rsidRDefault="00357D31" w:rsidP="002B3735">
            <w:pPr>
              <w:spacing w:line="360" w:lineRule="auto"/>
              <w:rPr>
                <w:rFonts w:ascii="Palatino Linotype" w:hAnsi="Palatino Linotype"/>
              </w:rPr>
            </w:pPr>
            <w:r w:rsidRPr="00CB5DC5">
              <w:rPr>
                <w:rFonts w:ascii="Palatino Linotype" w:hAnsi="Palatino Linotype" w:cstheme="majorBidi"/>
                <w:b w:val="0"/>
              </w:rPr>
              <w:lastRenderedPageBreak/>
              <w:t>b) Supuestos de clasificación.</w:t>
            </w:r>
          </w:p>
        </w:tc>
        <w:tc>
          <w:tcPr>
            <w:tcW w:w="7371" w:type="dxa"/>
          </w:tcPr>
          <w:p w:rsidR="00357D31" w:rsidRPr="00CB5DC5" w:rsidRDefault="00357D31" w:rsidP="002B373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5DC5">
              <w:rPr>
                <w:rFonts w:ascii="Palatino Linotype" w:hAnsi="Palatino Linotype" w:cs="Arial"/>
              </w:rPr>
              <w:t>Las disposiciones constitucionales y legales en la materia establecen los dos supuestos generales para clasificar la información: por reserva y por confidencialidad.</w:t>
            </w:r>
          </w:p>
          <w:p w:rsidR="00357D31" w:rsidRPr="00CB5DC5" w:rsidRDefault="00357D31" w:rsidP="002B373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5DC5">
              <w:rPr>
                <w:rFonts w:ascii="Palatino Linotype" w:hAnsi="Palatino Linotype" w:cs="Arial"/>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57D31" w:rsidRPr="00CB5DC5" w:rsidRDefault="00357D31" w:rsidP="002B373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B5DC5">
              <w:rPr>
                <w:rFonts w:ascii="Palatino Linotype" w:hAnsi="Palatino Linotype" w:cs="Arial"/>
              </w:rPr>
              <w:t xml:space="preserve">El </w:t>
            </w:r>
            <w:r w:rsidRPr="00CB5DC5">
              <w:rPr>
                <w:rFonts w:ascii="Palatino Linotype" w:hAnsi="Palatino Linotype" w:cs="Arial"/>
                <w:b/>
              </w:rPr>
              <w:t>SUJETO OBLIGADO</w:t>
            </w:r>
            <w:r w:rsidRPr="00CB5DC5">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B3735" w:rsidRPr="00CB5DC5" w:rsidTr="00F06D24">
        <w:tc>
          <w:tcPr>
            <w:cnfStyle w:val="001000000000" w:firstRow="0" w:lastRow="0" w:firstColumn="1" w:lastColumn="0" w:oddVBand="0" w:evenVBand="0" w:oddHBand="0" w:evenHBand="0" w:firstRowFirstColumn="0" w:firstRowLastColumn="0" w:lastRowFirstColumn="0" w:lastRowLastColumn="0"/>
            <w:tcW w:w="2689" w:type="dxa"/>
          </w:tcPr>
          <w:p w:rsidR="00357D31" w:rsidRPr="00CB5DC5" w:rsidRDefault="00357D31" w:rsidP="002B3735">
            <w:pPr>
              <w:spacing w:line="360" w:lineRule="auto"/>
              <w:rPr>
                <w:rFonts w:ascii="Palatino Linotype" w:hAnsi="Palatino Linotype"/>
              </w:rPr>
            </w:pPr>
            <w:r w:rsidRPr="00CB5DC5">
              <w:rPr>
                <w:rFonts w:ascii="Palatino Linotype" w:hAnsi="Palatino Linotype" w:cstheme="majorBidi"/>
                <w:b w:val="0"/>
              </w:rPr>
              <w:t>c) Formalidades para emitir el acuerdo de clasificación.</w:t>
            </w:r>
          </w:p>
        </w:tc>
        <w:tc>
          <w:tcPr>
            <w:tcW w:w="7371" w:type="dxa"/>
          </w:tcPr>
          <w:p w:rsidR="00357D31" w:rsidRPr="00CB5DC5" w:rsidRDefault="00357D31" w:rsidP="002B373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B5DC5">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rsidR="00357D31" w:rsidRPr="00CB5DC5" w:rsidRDefault="00357D31" w:rsidP="002B373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B5DC5">
              <w:rPr>
                <w:rFonts w:ascii="Palatino Linotype" w:hAnsi="Palatino Linotype" w:cs="Arial"/>
              </w:rPr>
              <w:t xml:space="preserve">Es necesario que </w:t>
            </w:r>
            <w:r w:rsidRPr="00CB5DC5">
              <w:rPr>
                <w:rFonts w:ascii="Palatino Linotype" w:hAnsi="Palatino Linotype" w:cs="Arial"/>
                <w:b/>
                <w:u w:val="single"/>
              </w:rPr>
              <w:t>el acto reúna con los requisitos elementales</w:t>
            </w:r>
            <w:r w:rsidRPr="00CB5DC5">
              <w:rPr>
                <w:rFonts w:ascii="Palatino Linotype" w:hAnsi="Palatino Linotype" w:cs="Arial"/>
              </w:rPr>
              <w:t>, entre ellos, que la autoridad que va a emitir el acto de autoridad sea la legalmente facultada para ello.</w:t>
            </w:r>
          </w:p>
          <w:p w:rsidR="00357D31" w:rsidRPr="00CB5DC5" w:rsidRDefault="00357D31" w:rsidP="002B373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B5DC5">
              <w:rPr>
                <w:rFonts w:ascii="Palatino Linotype" w:hAnsi="Palatino Linotype" w:cs="Arial"/>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B3735" w:rsidRPr="00CB5DC5" w:rsidTr="00F06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357D31" w:rsidRPr="00CB5DC5" w:rsidRDefault="00357D31" w:rsidP="002B3735">
            <w:pPr>
              <w:spacing w:line="360" w:lineRule="auto"/>
              <w:rPr>
                <w:rFonts w:ascii="Palatino Linotype" w:hAnsi="Palatino Linotype"/>
                <w:b w:val="0"/>
              </w:rPr>
            </w:pPr>
          </w:p>
          <w:p w:rsidR="00357D31" w:rsidRPr="00CB5DC5" w:rsidRDefault="00357D31" w:rsidP="002B3735">
            <w:pPr>
              <w:spacing w:line="360" w:lineRule="auto"/>
              <w:jc w:val="both"/>
              <w:rPr>
                <w:rFonts w:ascii="Palatino Linotype" w:hAnsi="Palatino Linotype"/>
                <w:b w:val="0"/>
              </w:rPr>
            </w:pPr>
            <w:r w:rsidRPr="00CB5DC5">
              <w:rPr>
                <w:rFonts w:ascii="Palatino Linotype" w:hAnsi="Palatino Linotype" w:cs="Arial"/>
                <w:b w:val="0"/>
              </w:rPr>
              <w:t xml:space="preserve">d) Requisitos de fondo del acuerdo de clasificación. </w:t>
            </w:r>
          </w:p>
        </w:tc>
        <w:tc>
          <w:tcPr>
            <w:tcW w:w="7371" w:type="dxa"/>
          </w:tcPr>
          <w:p w:rsidR="00357D31" w:rsidRPr="00CB5DC5" w:rsidRDefault="00357D31" w:rsidP="002B373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5DC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B5DC5">
              <w:rPr>
                <w:rFonts w:ascii="Palatino Linotype" w:hAnsi="Palatino Linotype" w:cs="Arial"/>
                <w:b/>
              </w:rPr>
              <w:t>Sujetos Obligados</w:t>
            </w:r>
            <w:r w:rsidRPr="00CB5DC5">
              <w:rPr>
                <w:rFonts w:ascii="Palatino Linotype" w:hAnsi="Palatino Linotype" w:cs="Arial"/>
              </w:rPr>
              <w:t xml:space="preserve">, por lo que deberán fundar y motivar debidamente la clasificación. </w:t>
            </w:r>
          </w:p>
          <w:p w:rsidR="00357D31" w:rsidRPr="00CB5DC5" w:rsidRDefault="00357D31" w:rsidP="002B373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5DC5">
              <w:rPr>
                <w:rFonts w:ascii="Palatino Linotype" w:hAnsi="Palatino Linotype" w:cs="Arial"/>
              </w:rPr>
              <w:t xml:space="preserve">De lo anterior, se desprende que para una correcta </w:t>
            </w:r>
            <w:r w:rsidRPr="00CB5DC5">
              <w:rPr>
                <w:rFonts w:ascii="Palatino Linotype" w:hAnsi="Palatino Linotype" w:cs="Arial"/>
                <w:b/>
              </w:rPr>
              <w:t>clasificación total o parcial</w:t>
            </w:r>
            <w:r w:rsidRPr="00CB5DC5">
              <w:rPr>
                <w:rFonts w:ascii="Palatino Linotype" w:hAnsi="Palatino Linotype" w:cs="Aria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57D31" w:rsidRPr="00CB5DC5" w:rsidRDefault="00357D31" w:rsidP="002B373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5DC5">
              <w:rPr>
                <w:rFonts w:ascii="Palatino Linotype" w:hAnsi="Palatino Linotype" w:cs="Arial"/>
              </w:rPr>
              <w:t xml:space="preserve">Así, en un acto de autoridad se cumple con la debida fundamentación cuando se cita el precepto legal aplicable al caso </w:t>
            </w:r>
            <w:r w:rsidRPr="00CB5DC5">
              <w:rPr>
                <w:rFonts w:ascii="Palatino Linotype" w:hAnsi="Palatino Linotype" w:cs="Arial"/>
              </w:rPr>
              <w:lastRenderedPageBreak/>
              <w:t>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57D31" w:rsidRPr="00CB5DC5" w:rsidRDefault="00357D31" w:rsidP="002B373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5DC5">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rsidR="00357D31" w:rsidRPr="00CB5DC5" w:rsidRDefault="00357D31" w:rsidP="002B373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B5DC5">
              <w:rPr>
                <w:rFonts w:ascii="Palatino Linotype" w:hAnsi="Palatino Linotype" w:cs="Arial"/>
              </w:rPr>
              <w:t xml:space="preserve">Ahora bien, </w:t>
            </w:r>
            <w:r w:rsidRPr="00CB5DC5">
              <w:rPr>
                <w:rFonts w:ascii="Palatino Linotype" w:hAnsi="Palatino Linotype" w:cs="Arial"/>
                <w:b/>
                <w:u w:val="single"/>
              </w:rPr>
              <w:t>para cada caso además de fundar y motivar</w:t>
            </w:r>
            <w:r w:rsidRPr="00CB5DC5">
              <w:rPr>
                <w:rFonts w:ascii="Palatino Linotype" w:hAnsi="Palatino Linotype" w:cs="Arial"/>
              </w:rPr>
              <w:t xml:space="preserve">, se debe identificar con claridad que datos contenidos en las documentales que son susceptibles de suprimirse, por ejemplo; </w:t>
            </w:r>
            <w:r w:rsidRPr="00CB5DC5">
              <w:rPr>
                <w:rFonts w:ascii="Palatino Linotype" w:hAnsi="Palatino Linotype" w:cs="Arial"/>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B3735" w:rsidRPr="00CB5DC5" w:rsidTr="00F06D24">
        <w:tc>
          <w:tcPr>
            <w:cnfStyle w:val="001000000000" w:firstRow="0" w:lastRow="0" w:firstColumn="1" w:lastColumn="0" w:oddVBand="0" w:evenVBand="0" w:oddHBand="0" w:evenHBand="0" w:firstRowFirstColumn="0" w:firstRowLastColumn="0" w:lastRowFirstColumn="0" w:lastRowLastColumn="0"/>
            <w:tcW w:w="2689" w:type="dxa"/>
          </w:tcPr>
          <w:p w:rsidR="00357D31" w:rsidRPr="00CB5DC5" w:rsidRDefault="00357D31" w:rsidP="002B3735">
            <w:pPr>
              <w:spacing w:line="360" w:lineRule="auto"/>
              <w:jc w:val="both"/>
              <w:rPr>
                <w:rFonts w:ascii="Palatino Linotype" w:hAnsi="Palatino Linotype" w:cs="Arial"/>
              </w:rPr>
            </w:pPr>
            <w:r w:rsidRPr="00CB5DC5">
              <w:rPr>
                <w:rFonts w:ascii="Palatino Linotype" w:eastAsia="MS Gothic" w:hAnsi="Palatino Linotype"/>
                <w:b w:val="0"/>
              </w:rPr>
              <w:lastRenderedPageBreak/>
              <w:t xml:space="preserve">e) Condiciones especiales de la clasificación de la información como confidencial. </w:t>
            </w:r>
          </w:p>
          <w:p w:rsidR="00357D31" w:rsidRPr="00CB5DC5" w:rsidRDefault="00357D31" w:rsidP="002B3735">
            <w:pPr>
              <w:spacing w:line="360" w:lineRule="auto"/>
              <w:rPr>
                <w:rFonts w:ascii="Palatino Linotype" w:hAnsi="Palatino Linotype"/>
              </w:rPr>
            </w:pPr>
          </w:p>
        </w:tc>
        <w:tc>
          <w:tcPr>
            <w:tcW w:w="7371" w:type="dxa"/>
          </w:tcPr>
          <w:p w:rsidR="00357D31" w:rsidRPr="00CB5DC5" w:rsidRDefault="00357D31" w:rsidP="002B373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B5DC5">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rsidR="00357D31" w:rsidRPr="00CB5DC5" w:rsidRDefault="00357D31" w:rsidP="002B373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B5DC5">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57D31" w:rsidRPr="00CB5DC5" w:rsidRDefault="00357D31" w:rsidP="002B373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B5DC5">
              <w:rPr>
                <w:rFonts w:ascii="Palatino Linotype" w:hAnsi="Palatino Linotype" w:cs="Arial"/>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57D31" w:rsidRPr="00CB5DC5" w:rsidRDefault="00357D31" w:rsidP="002B3735">
      <w:pPr>
        <w:spacing w:line="360" w:lineRule="auto"/>
        <w:jc w:val="both"/>
        <w:rPr>
          <w:rFonts w:ascii="Palatino Linotype" w:hAnsi="Palatino Linotype"/>
          <w:color w:val="000000" w:themeColor="text1"/>
        </w:rPr>
      </w:pPr>
    </w:p>
    <w:p w:rsidR="00357D31" w:rsidRPr="00CB5DC5" w:rsidRDefault="00357D31" w:rsidP="002B3735">
      <w:pPr>
        <w:spacing w:line="360" w:lineRule="auto"/>
        <w:jc w:val="both"/>
        <w:rPr>
          <w:rFonts w:ascii="Palatino Linotype" w:hAnsi="Palatino Linotype"/>
          <w:color w:val="000000" w:themeColor="text1"/>
        </w:rPr>
      </w:pPr>
    </w:p>
    <w:p w:rsidR="00357D31" w:rsidRPr="00CB5DC5" w:rsidRDefault="00357D31" w:rsidP="002B3735">
      <w:pPr>
        <w:numPr>
          <w:ilvl w:val="0"/>
          <w:numId w:val="1"/>
        </w:numPr>
        <w:spacing w:line="360" w:lineRule="auto"/>
        <w:ind w:left="0" w:firstLine="0"/>
        <w:jc w:val="both"/>
        <w:rPr>
          <w:rFonts w:ascii="Palatino Linotype" w:hAnsi="Palatino Linotype"/>
          <w:color w:val="000000" w:themeColor="text1"/>
        </w:rPr>
      </w:pPr>
      <w:r w:rsidRPr="00CB5DC5">
        <w:rPr>
          <w:rFonts w:ascii="Palatino Linotype" w:eastAsia="Palatino Linotype" w:hAnsi="Palatino Linotype" w:cs="Palatino Linotype"/>
          <w:color w:val="000000" w:themeColor="text1"/>
        </w:rPr>
        <w:t xml:space="preserve">Por lo anteriormente expuesto y fundado, este </w:t>
      </w:r>
      <w:r w:rsidRPr="00CB5DC5">
        <w:rPr>
          <w:rFonts w:ascii="Palatino Linotype" w:eastAsia="Palatino Linotype" w:hAnsi="Palatino Linotype" w:cs="Palatino Linotype"/>
          <w:b/>
          <w:color w:val="000000" w:themeColor="text1"/>
        </w:rPr>
        <w:t>ÓRGANO GARANTE</w:t>
      </w:r>
      <w:r w:rsidRPr="00CB5DC5">
        <w:rPr>
          <w:rFonts w:ascii="Palatino Linotype" w:eastAsia="Palatino Linotype" w:hAnsi="Palatino Linotype" w:cs="Palatino Linotype"/>
          <w:color w:val="000000" w:themeColor="text1"/>
        </w:rPr>
        <w:t xml:space="preserve"> emite los siguientes:</w:t>
      </w: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p>
    <w:p w:rsidR="00357D31" w:rsidRDefault="00357D31" w:rsidP="002B3735">
      <w:pPr>
        <w:keepNext/>
        <w:keepLines/>
        <w:spacing w:line="360" w:lineRule="auto"/>
        <w:jc w:val="center"/>
        <w:rPr>
          <w:rFonts w:ascii="Palatino Linotype" w:eastAsia="Palatino Linotype" w:hAnsi="Palatino Linotype" w:cs="Palatino Linotype"/>
          <w:b/>
          <w:color w:val="000000" w:themeColor="text1"/>
        </w:rPr>
      </w:pPr>
      <w:r w:rsidRPr="00CB5DC5">
        <w:rPr>
          <w:rFonts w:ascii="Palatino Linotype" w:eastAsia="Palatino Linotype" w:hAnsi="Palatino Linotype" w:cs="Palatino Linotype"/>
          <w:b/>
          <w:color w:val="000000" w:themeColor="text1"/>
        </w:rPr>
        <w:t>R E S O L U T I V O S</w:t>
      </w:r>
    </w:p>
    <w:p w:rsidR="00F06D24" w:rsidRPr="00CB5DC5" w:rsidRDefault="00F06D24" w:rsidP="002B3735">
      <w:pPr>
        <w:keepNext/>
        <w:keepLines/>
        <w:spacing w:line="360" w:lineRule="auto"/>
        <w:jc w:val="center"/>
        <w:rPr>
          <w:rFonts w:ascii="Palatino Linotype" w:eastAsia="Palatino Linotype" w:hAnsi="Palatino Linotype" w:cs="Palatino Linotype"/>
          <w:b/>
          <w:color w:val="000000" w:themeColor="text1"/>
        </w:rPr>
      </w:pP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b/>
          <w:color w:val="000000" w:themeColor="text1"/>
        </w:rPr>
        <w:t>PRIMERO</w:t>
      </w:r>
      <w:r w:rsidRPr="00CB5DC5">
        <w:rPr>
          <w:rFonts w:ascii="Palatino Linotype" w:eastAsia="Palatino Linotype" w:hAnsi="Palatino Linotype" w:cs="Palatino Linotype"/>
          <w:color w:val="000000" w:themeColor="text1"/>
        </w:rPr>
        <w:t xml:space="preserve">. Resultan fundadas las razones o motivos de inconformidad hechos valer en los Recursos de Revisión </w:t>
      </w:r>
      <w:r w:rsidR="001A4C53" w:rsidRPr="00CB5DC5">
        <w:rPr>
          <w:rFonts w:ascii="Palatino Linotype" w:eastAsia="Palatino Linotype" w:hAnsi="Palatino Linotype" w:cs="Palatino Linotype"/>
          <w:b/>
          <w:color w:val="000000" w:themeColor="text1"/>
        </w:rPr>
        <w:t>08328</w:t>
      </w:r>
      <w:r w:rsidRPr="00CB5DC5">
        <w:rPr>
          <w:rFonts w:ascii="Palatino Linotype" w:eastAsia="Palatino Linotype" w:hAnsi="Palatino Linotype" w:cs="Palatino Linotype"/>
          <w:b/>
          <w:color w:val="000000" w:themeColor="text1"/>
        </w:rPr>
        <w:t>/INFOEM/IP/RR/2025</w:t>
      </w:r>
      <w:r w:rsidRPr="00CB5DC5">
        <w:rPr>
          <w:rFonts w:ascii="Palatino Linotype" w:eastAsia="Palatino Linotype" w:hAnsi="Palatino Linotype" w:cs="Palatino Linotype"/>
          <w:color w:val="000000" w:themeColor="text1"/>
        </w:rPr>
        <w:t xml:space="preserve">, </w:t>
      </w:r>
      <w:r w:rsidR="001A4C53" w:rsidRPr="00CB5DC5">
        <w:rPr>
          <w:rFonts w:ascii="Palatino Linotype" w:eastAsia="Palatino Linotype" w:hAnsi="Palatino Linotype" w:cs="Palatino Linotype"/>
          <w:b/>
          <w:color w:val="000000" w:themeColor="text1"/>
        </w:rPr>
        <w:t>08329/INFOEM/IP/RR/2025 y 08330</w:t>
      </w:r>
      <w:r w:rsidRPr="00CB5DC5">
        <w:rPr>
          <w:rFonts w:ascii="Palatino Linotype" w:eastAsia="Palatino Linotype" w:hAnsi="Palatino Linotype" w:cs="Palatino Linotype"/>
          <w:b/>
          <w:color w:val="000000" w:themeColor="text1"/>
        </w:rPr>
        <w:t xml:space="preserve">/INFOEM/IP/RR/2025 </w:t>
      </w:r>
      <w:r w:rsidRPr="00CB5DC5">
        <w:rPr>
          <w:rFonts w:ascii="Palatino Linotype" w:eastAsia="Palatino Linotype" w:hAnsi="Palatino Linotype" w:cs="Palatino Linotype"/>
          <w:color w:val="000000" w:themeColor="text1"/>
        </w:rPr>
        <w:t>en términos de los Considerandos</w:t>
      </w:r>
      <w:r w:rsidRPr="00CB5DC5">
        <w:rPr>
          <w:rFonts w:ascii="Palatino Linotype" w:eastAsia="Palatino Linotype" w:hAnsi="Palatino Linotype" w:cs="Palatino Linotype"/>
          <w:b/>
          <w:color w:val="000000" w:themeColor="text1"/>
        </w:rPr>
        <w:t xml:space="preserve"> Cuarto y Quinto </w:t>
      </w:r>
      <w:r w:rsidRPr="00CB5DC5">
        <w:rPr>
          <w:rFonts w:ascii="Palatino Linotype" w:eastAsia="Palatino Linotype" w:hAnsi="Palatino Linotype" w:cs="Palatino Linotype"/>
          <w:color w:val="000000" w:themeColor="text1"/>
        </w:rPr>
        <w:t xml:space="preserve">de la presente resolución. </w:t>
      </w: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b/>
          <w:color w:val="000000" w:themeColor="text1"/>
        </w:rPr>
        <w:t xml:space="preserve">SEGUNDO. </w:t>
      </w:r>
      <w:r w:rsidRPr="00CB5DC5">
        <w:rPr>
          <w:rFonts w:ascii="Palatino Linotype" w:eastAsia="Palatino Linotype" w:hAnsi="Palatino Linotype" w:cs="Palatino Linotype"/>
          <w:color w:val="000000" w:themeColor="text1"/>
        </w:rPr>
        <w:t xml:space="preserve">Se </w:t>
      </w:r>
      <w:r w:rsidRPr="00CB5DC5">
        <w:rPr>
          <w:rFonts w:ascii="Palatino Linotype" w:eastAsia="Palatino Linotype" w:hAnsi="Palatino Linotype" w:cs="Palatino Linotype"/>
          <w:b/>
          <w:color w:val="000000" w:themeColor="text1"/>
        </w:rPr>
        <w:t xml:space="preserve">REVOCAN </w:t>
      </w:r>
      <w:r w:rsidRPr="00CB5DC5">
        <w:rPr>
          <w:rFonts w:ascii="Palatino Linotype" w:eastAsia="Palatino Linotype" w:hAnsi="Palatino Linotype" w:cs="Palatino Linotype"/>
          <w:color w:val="000000" w:themeColor="text1"/>
        </w:rPr>
        <w:t xml:space="preserve">las respuestas emitidas por el </w:t>
      </w:r>
      <w:r w:rsidRPr="00CB5DC5">
        <w:rPr>
          <w:rFonts w:ascii="Palatino Linotype" w:eastAsia="Palatino Linotype" w:hAnsi="Palatino Linotype" w:cs="Palatino Linotype"/>
          <w:b/>
          <w:color w:val="000000" w:themeColor="text1"/>
        </w:rPr>
        <w:t xml:space="preserve">Ayuntamiento de </w:t>
      </w:r>
      <w:r w:rsidR="001A4C53" w:rsidRPr="00CB5DC5">
        <w:rPr>
          <w:rFonts w:ascii="Palatino Linotype" w:eastAsia="Palatino Linotype" w:hAnsi="Palatino Linotype" w:cs="Palatino Linotype"/>
          <w:b/>
          <w:color w:val="000000" w:themeColor="text1"/>
        </w:rPr>
        <w:t>Villa del Carbón</w:t>
      </w:r>
      <w:r w:rsidRPr="00CB5DC5">
        <w:rPr>
          <w:rFonts w:ascii="Palatino Linotype" w:eastAsia="Palatino Linotype" w:hAnsi="Palatino Linotype" w:cs="Palatino Linotype"/>
          <w:b/>
          <w:color w:val="000000" w:themeColor="text1"/>
        </w:rPr>
        <w:t xml:space="preserve"> </w:t>
      </w:r>
      <w:r w:rsidRPr="00CB5DC5">
        <w:rPr>
          <w:rFonts w:ascii="Palatino Linotype" w:eastAsia="Palatino Linotype" w:hAnsi="Palatino Linotype" w:cs="Palatino Linotype"/>
          <w:color w:val="000000" w:themeColor="text1"/>
        </w:rPr>
        <w:t xml:space="preserve">y se </w:t>
      </w:r>
      <w:r w:rsidRPr="00CB5DC5">
        <w:rPr>
          <w:rFonts w:ascii="Palatino Linotype" w:eastAsia="Palatino Linotype" w:hAnsi="Palatino Linotype" w:cs="Palatino Linotype"/>
          <w:b/>
          <w:color w:val="000000" w:themeColor="text1"/>
        </w:rPr>
        <w:t>ORDENA</w:t>
      </w:r>
      <w:r w:rsidRPr="00CB5DC5">
        <w:rPr>
          <w:rFonts w:ascii="Palatino Linotype" w:eastAsia="Palatino Linotype" w:hAnsi="Palatino Linotype" w:cs="Palatino Linotype"/>
          <w:color w:val="000000" w:themeColor="text1"/>
        </w:rPr>
        <w:t xml:space="preserve"> entregar vía Sistema de Acceso a la Información Mexiquense </w:t>
      </w:r>
      <w:r w:rsidRPr="00CB5DC5">
        <w:rPr>
          <w:rFonts w:ascii="Palatino Linotype" w:eastAsia="Palatino Linotype" w:hAnsi="Palatino Linotype" w:cs="Palatino Linotype"/>
          <w:b/>
          <w:color w:val="000000" w:themeColor="text1"/>
        </w:rPr>
        <w:t xml:space="preserve">(SAIMEX), </w:t>
      </w:r>
      <w:r w:rsidRPr="00CB5DC5">
        <w:rPr>
          <w:rFonts w:ascii="Palatino Linotype" w:eastAsia="Palatino Linotype" w:hAnsi="Palatino Linotype" w:cs="Palatino Linotype"/>
          <w:color w:val="000000" w:themeColor="text1"/>
        </w:rPr>
        <w:t>previa búsqueda exhaustiva y razonable</w:t>
      </w:r>
      <w:r w:rsidRPr="00CB5DC5">
        <w:rPr>
          <w:rFonts w:ascii="Palatino Linotype" w:eastAsia="Palatino Linotype" w:hAnsi="Palatino Linotype" w:cs="Palatino Linotype"/>
          <w:b/>
          <w:color w:val="000000" w:themeColor="text1"/>
        </w:rPr>
        <w:t xml:space="preserve">, </w:t>
      </w:r>
      <w:r w:rsidRPr="00CB5DC5">
        <w:rPr>
          <w:rFonts w:ascii="Palatino Linotype" w:eastAsia="Palatino Linotype" w:hAnsi="Palatino Linotype" w:cs="Palatino Linotype"/>
          <w:color w:val="000000" w:themeColor="text1"/>
        </w:rPr>
        <w:t>de ser procedente en versión pública</w:t>
      </w:r>
      <w:r w:rsidRPr="00CB5DC5">
        <w:rPr>
          <w:rFonts w:ascii="Palatino Linotype" w:eastAsia="Palatino Linotype" w:hAnsi="Palatino Linotype" w:cs="Palatino Linotype"/>
          <w:b/>
          <w:color w:val="000000" w:themeColor="text1"/>
        </w:rPr>
        <w:t xml:space="preserve">, </w:t>
      </w:r>
      <w:r w:rsidRPr="00CB5DC5">
        <w:rPr>
          <w:rFonts w:ascii="Palatino Linotype" w:eastAsia="Palatino Linotype" w:hAnsi="Palatino Linotype" w:cs="Palatino Linotype"/>
          <w:color w:val="000000" w:themeColor="text1"/>
        </w:rPr>
        <w:t>la siguiente información:</w:t>
      </w:r>
    </w:p>
    <w:p w:rsidR="00357D31" w:rsidRPr="00CB5DC5" w:rsidRDefault="00357D31" w:rsidP="002B3735">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color w:val="000000" w:themeColor="text1"/>
        </w:rPr>
      </w:pPr>
    </w:p>
    <w:p w:rsidR="001A4C53" w:rsidRPr="00CB5DC5" w:rsidRDefault="001A4C53" w:rsidP="002B3735">
      <w:pPr>
        <w:pStyle w:val="Prrafodelista"/>
        <w:numPr>
          <w:ilvl w:val="7"/>
          <w:numId w:val="1"/>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sz w:val="24"/>
        </w:rPr>
      </w:pPr>
      <w:r w:rsidRPr="00CB5DC5">
        <w:rPr>
          <w:rFonts w:ascii="Palatino Linotype" w:hAnsi="Palatino Linotype"/>
          <w:b/>
          <w:color w:val="000000" w:themeColor="text1"/>
          <w:sz w:val="24"/>
        </w:rPr>
        <w:t>Soporte documental donde conste el presupuesto y monto ejercido para el rastreo de las obras en la comunidad Piequexhimo, San Luis Anahuac y San Luis Taxhimay</w:t>
      </w:r>
      <w:r w:rsidR="0083355D" w:rsidRPr="00CB5DC5">
        <w:rPr>
          <w:rFonts w:ascii="Palatino Linotype" w:hAnsi="Palatino Linotype"/>
          <w:b/>
          <w:color w:val="000000" w:themeColor="text1"/>
          <w:sz w:val="24"/>
        </w:rPr>
        <w:t xml:space="preserve"> referidas en las solicitudes de información</w:t>
      </w:r>
      <w:r w:rsidRPr="00CB5DC5">
        <w:rPr>
          <w:rFonts w:ascii="Palatino Linotype" w:hAnsi="Palatino Linotype"/>
          <w:b/>
          <w:color w:val="000000" w:themeColor="text1"/>
          <w:sz w:val="24"/>
        </w:rPr>
        <w:t xml:space="preserve">, al diecisiete de junio de dos mil veinticinco. </w:t>
      </w:r>
    </w:p>
    <w:p w:rsidR="00357D31" w:rsidRPr="00CB5DC5" w:rsidRDefault="00357D31" w:rsidP="002B3735">
      <w:pPr>
        <w:tabs>
          <w:tab w:val="left" w:pos="8080"/>
        </w:tabs>
        <w:spacing w:line="360" w:lineRule="auto"/>
        <w:contextualSpacing/>
        <w:jc w:val="both"/>
        <w:rPr>
          <w:rFonts w:ascii="Palatino Linotype" w:hAnsi="Palatino Linotype"/>
          <w:b/>
          <w:color w:val="000000" w:themeColor="text1"/>
        </w:rPr>
      </w:pPr>
      <w:r w:rsidRPr="00CB5DC5">
        <w:rPr>
          <w:rFonts w:ascii="Palatino Linotype" w:hAnsi="Palatino Linotype"/>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CB5DC5">
        <w:rPr>
          <w:rFonts w:ascii="Palatino Linotype" w:hAnsi="Palatino Linotype"/>
          <w:b/>
          <w:color w:val="000000" w:themeColor="text1"/>
        </w:rPr>
        <w:t>EL RECURRENTE.</w:t>
      </w:r>
    </w:p>
    <w:p w:rsidR="00357D31" w:rsidRPr="00CB5DC5" w:rsidRDefault="00357D31" w:rsidP="002B3735">
      <w:pPr>
        <w:spacing w:line="360" w:lineRule="auto"/>
        <w:jc w:val="both"/>
        <w:rPr>
          <w:rFonts w:ascii="Palatino Linotype" w:eastAsia="Palatino Linotype" w:hAnsi="Palatino Linotype" w:cs="Palatino Linotype"/>
          <w:b/>
          <w:color w:val="000000" w:themeColor="text1"/>
        </w:rPr>
      </w:pPr>
    </w:p>
    <w:p w:rsidR="00357D31" w:rsidRPr="00CB5DC5" w:rsidRDefault="00357D31" w:rsidP="002B3735">
      <w:pPr>
        <w:tabs>
          <w:tab w:val="left" w:pos="8080"/>
        </w:tabs>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b/>
          <w:color w:val="000000" w:themeColor="text1"/>
        </w:rPr>
        <w:t xml:space="preserve">TERCERO. Notifíquese </w:t>
      </w:r>
      <w:r w:rsidRPr="00CB5DC5">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CB5DC5">
        <w:rPr>
          <w:rFonts w:ascii="Palatino Linotype" w:eastAsia="Palatino Linotype" w:hAnsi="Palatino Linotype" w:cs="Palatino Linotype"/>
          <w:b/>
          <w:color w:val="000000" w:themeColor="text1"/>
        </w:rPr>
        <w:t>dé cumplimiento a lo ordenado dentro del</w:t>
      </w:r>
      <w:r w:rsidRPr="00CB5DC5">
        <w:rPr>
          <w:rFonts w:ascii="Palatino Linotype" w:eastAsia="Palatino Linotype" w:hAnsi="Palatino Linotype" w:cs="Palatino Linotype"/>
          <w:color w:val="000000" w:themeColor="text1"/>
        </w:rPr>
        <w:t xml:space="preserve"> </w:t>
      </w:r>
      <w:r w:rsidRPr="00CB5DC5">
        <w:rPr>
          <w:rFonts w:ascii="Palatino Linotype" w:eastAsia="Palatino Linotype" w:hAnsi="Palatino Linotype" w:cs="Palatino Linotype"/>
          <w:b/>
          <w:color w:val="000000" w:themeColor="text1"/>
        </w:rPr>
        <w:t>plazo de diez días hábiles</w:t>
      </w:r>
      <w:r w:rsidRPr="00CB5DC5">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57D31" w:rsidRPr="00CB5DC5" w:rsidRDefault="00357D31" w:rsidP="002B3735">
      <w:pPr>
        <w:tabs>
          <w:tab w:val="left" w:pos="8080"/>
        </w:tabs>
        <w:spacing w:line="360" w:lineRule="auto"/>
        <w:jc w:val="both"/>
        <w:rPr>
          <w:rFonts w:ascii="Palatino Linotype" w:eastAsia="Palatino Linotype" w:hAnsi="Palatino Linotype" w:cs="Palatino Linotype"/>
          <w:color w:val="000000" w:themeColor="text1"/>
        </w:rPr>
      </w:pPr>
    </w:p>
    <w:p w:rsidR="00357D31" w:rsidRPr="00CB5DC5" w:rsidRDefault="00357D31" w:rsidP="002B3735">
      <w:pPr>
        <w:shd w:val="clear" w:color="auto" w:fill="FFFFFF"/>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b/>
          <w:color w:val="000000" w:themeColor="text1"/>
        </w:rPr>
        <w:t>CUARTO. Notifíquese al RECURRENTE</w:t>
      </w:r>
      <w:r w:rsidRPr="00CB5DC5">
        <w:rPr>
          <w:rFonts w:ascii="Palatino Linotype" w:eastAsia="Palatino Linotype" w:hAnsi="Palatino Linotype" w:cs="Palatino Linotype"/>
          <w:color w:val="000000" w:themeColor="text1"/>
        </w:rPr>
        <w:t xml:space="preserve"> la presente resolución vía SAIMEX.</w:t>
      </w:r>
    </w:p>
    <w:p w:rsidR="00357D31" w:rsidRPr="00CB5DC5" w:rsidRDefault="00357D31" w:rsidP="002B3735">
      <w:pPr>
        <w:shd w:val="clear" w:color="auto" w:fill="FFFFFF"/>
        <w:spacing w:line="360" w:lineRule="auto"/>
        <w:jc w:val="both"/>
        <w:rPr>
          <w:rFonts w:ascii="Palatino Linotype" w:eastAsia="Palatino Linotype" w:hAnsi="Palatino Linotype" w:cs="Palatino Linotype"/>
          <w:b/>
          <w:color w:val="000000" w:themeColor="text1"/>
        </w:rPr>
      </w:pP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b/>
          <w:color w:val="000000" w:themeColor="text1"/>
        </w:rPr>
        <w:t>QUINTO.</w:t>
      </w:r>
      <w:r w:rsidRPr="00CB5DC5">
        <w:rPr>
          <w:rFonts w:ascii="Palatino Linotype" w:eastAsia="Palatino Linotype" w:hAnsi="Palatino Linotype" w:cs="Palatino Linotype"/>
          <w:color w:val="000000" w:themeColor="text1"/>
        </w:rPr>
        <w:t xml:space="preserve"> Se hace del conocimiento del </w:t>
      </w:r>
      <w:r w:rsidRPr="00CB5DC5">
        <w:rPr>
          <w:rFonts w:ascii="Palatino Linotype" w:eastAsia="Palatino Linotype" w:hAnsi="Palatino Linotype" w:cs="Palatino Linotype"/>
          <w:b/>
          <w:color w:val="000000" w:themeColor="text1"/>
        </w:rPr>
        <w:t>RECURRENTE</w:t>
      </w:r>
      <w:r w:rsidRPr="00CB5DC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p>
    <w:p w:rsidR="00357D31" w:rsidRPr="00CB5DC5" w:rsidRDefault="00357D31" w:rsidP="002B3735">
      <w:pPr>
        <w:spacing w:line="360" w:lineRule="auto"/>
        <w:jc w:val="both"/>
        <w:rPr>
          <w:rFonts w:ascii="Palatino Linotype" w:eastAsia="Palatino Linotype" w:hAnsi="Palatino Linotype" w:cs="Palatino Linotype"/>
          <w:color w:val="000000" w:themeColor="text1"/>
        </w:rPr>
      </w:pPr>
      <w:r w:rsidRPr="00CB5DC5">
        <w:rPr>
          <w:rFonts w:ascii="Palatino Linotype" w:eastAsia="Palatino Linotype" w:hAnsi="Palatino Linotype" w:cs="Palatino Linotype"/>
          <w:b/>
          <w:color w:val="000000" w:themeColor="text1"/>
        </w:rPr>
        <w:t xml:space="preserve">SEXTO. </w:t>
      </w:r>
      <w:r w:rsidRPr="00CB5DC5">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Sujeto </w:t>
      </w:r>
      <w:r w:rsidRPr="00CB5DC5">
        <w:rPr>
          <w:rFonts w:ascii="Palatino Linotype" w:eastAsia="Palatino Linotype" w:hAnsi="Palatino Linotype" w:cs="Palatino Linotype"/>
          <w:color w:val="000000" w:themeColor="text1"/>
        </w:rPr>
        <w:lastRenderedPageBreak/>
        <w:t>Obligado de manera fundada y motivada, podrá solicitar una ampliación de plazo para el cumplimiento de la presente resolución.</w:t>
      </w:r>
    </w:p>
    <w:p w:rsidR="00357D31" w:rsidRPr="001B1229" w:rsidRDefault="00CB5DC5" w:rsidP="001B1229">
      <w:pPr>
        <w:spacing w:line="360" w:lineRule="auto"/>
        <w:ind w:right="49"/>
        <w:jc w:val="both"/>
        <w:rPr>
          <w:rFonts w:ascii="Palatino Linotype" w:eastAsia="Palatino Linotype" w:hAnsi="Palatino Linotype" w:cs="Palatino Linotype"/>
        </w:rPr>
      </w:pPr>
      <w:r w:rsidRPr="00CB5DC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1B1229" w:rsidRPr="00CB5DC5">
        <w:rPr>
          <w:rFonts w:ascii="Palatino Linotype" w:eastAsia="Palatino Linotype" w:hAnsi="Palatino Linotype" w:cs="Palatino Linotype"/>
        </w:rPr>
        <w:t>.</w:t>
      </w:r>
    </w:p>
    <w:p w:rsidR="00357D31" w:rsidRPr="002B3735" w:rsidRDefault="00357D31" w:rsidP="002B3735">
      <w:pPr>
        <w:spacing w:line="360" w:lineRule="auto"/>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jc w:val="both"/>
        <w:rPr>
          <w:rFonts w:ascii="Palatino Linotype" w:eastAsia="Palatino Linotype" w:hAnsi="Palatino Linotype" w:cs="Palatino Linotype"/>
          <w:color w:val="000000" w:themeColor="text1"/>
        </w:rPr>
      </w:pPr>
    </w:p>
    <w:p w:rsidR="00357D31" w:rsidRPr="002B3735" w:rsidRDefault="00357D31" w:rsidP="002B3735">
      <w:pPr>
        <w:spacing w:line="360" w:lineRule="auto"/>
        <w:rPr>
          <w:rFonts w:ascii="Palatino Linotype" w:eastAsia="Palatino Linotype" w:hAnsi="Palatino Linotype" w:cs="Palatino Linotype"/>
          <w:color w:val="000000" w:themeColor="text1"/>
        </w:rPr>
      </w:pPr>
    </w:p>
    <w:p w:rsidR="00357D31" w:rsidRPr="002B3735" w:rsidRDefault="00357D31" w:rsidP="002B3735">
      <w:pPr>
        <w:spacing w:line="360" w:lineRule="auto"/>
        <w:rPr>
          <w:rFonts w:ascii="Palatino Linotype" w:eastAsia="Palatino Linotype" w:hAnsi="Palatino Linotype" w:cs="Palatino Linotype"/>
          <w:color w:val="000000" w:themeColor="text1"/>
        </w:rPr>
      </w:pPr>
    </w:p>
    <w:p w:rsidR="00357D31" w:rsidRPr="002B3735" w:rsidRDefault="00357D31" w:rsidP="002B3735">
      <w:pPr>
        <w:spacing w:line="360" w:lineRule="auto"/>
        <w:rPr>
          <w:rFonts w:ascii="Palatino Linotype" w:eastAsia="Palatino Linotype" w:hAnsi="Palatino Linotype" w:cs="Palatino Linotype"/>
          <w:color w:val="000000" w:themeColor="text1"/>
        </w:rPr>
      </w:pPr>
    </w:p>
    <w:p w:rsidR="00357D31" w:rsidRPr="002B3735" w:rsidRDefault="00357D31" w:rsidP="002B3735">
      <w:pPr>
        <w:spacing w:line="360" w:lineRule="auto"/>
        <w:rPr>
          <w:rFonts w:ascii="Palatino Linotype" w:eastAsia="Palatino Linotype" w:hAnsi="Palatino Linotype" w:cs="Palatino Linotype"/>
          <w:color w:val="000000" w:themeColor="text1"/>
        </w:rPr>
      </w:pPr>
    </w:p>
    <w:p w:rsidR="00357D31" w:rsidRPr="002B3735" w:rsidRDefault="00357D31" w:rsidP="002B3735">
      <w:pPr>
        <w:spacing w:line="360" w:lineRule="auto"/>
        <w:rPr>
          <w:rFonts w:ascii="Palatino Linotype" w:eastAsia="Palatino Linotype" w:hAnsi="Palatino Linotype" w:cs="Palatino Linotype"/>
          <w:color w:val="000000" w:themeColor="text1"/>
        </w:rPr>
      </w:pPr>
    </w:p>
    <w:p w:rsidR="00357D31" w:rsidRPr="002B3735" w:rsidRDefault="00357D31" w:rsidP="002B3735">
      <w:pPr>
        <w:spacing w:line="360" w:lineRule="auto"/>
        <w:rPr>
          <w:rFonts w:ascii="Palatino Linotype" w:eastAsia="Palatino Linotype" w:hAnsi="Palatino Linotype" w:cs="Palatino Linotype"/>
          <w:color w:val="000000" w:themeColor="text1"/>
        </w:rPr>
      </w:pPr>
    </w:p>
    <w:p w:rsidR="00357D31" w:rsidRPr="002B3735" w:rsidRDefault="00357D31" w:rsidP="002B3735">
      <w:pPr>
        <w:spacing w:line="360" w:lineRule="auto"/>
        <w:rPr>
          <w:rFonts w:ascii="Palatino Linotype" w:eastAsia="Palatino Linotype" w:hAnsi="Palatino Linotype" w:cs="Palatino Linotype"/>
          <w:color w:val="000000" w:themeColor="text1"/>
        </w:rPr>
      </w:pPr>
    </w:p>
    <w:p w:rsidR="00357D31" w:rsidRPr="002B3735" w:rsidRDefault="00357D31" w:rsidP="002B3735">
      <w:pPr>
        <w:rPr>
          <w:rFonts w:ascii="Palatino Linotype" w:hAnsi="Palatino Linotype"/>
          <w:color w:val="000000" w:themeColor="text1"/>
        </w:rPr>
      </w:pPr>
    </w:p>
    <w:p w:rsidR="00357D31" w:rsidRPr="002B3735" w:rsidRDefault="00357D31" w:rsidP="002B3735">
      <w:pPr>
        <w:rPr>
          <w:rFonts w:ascii="Palatino Linotype" w:hAnsi="Palatino Linotype"/>
          <w:color w:val="000000" w:themeColor="text1"/>
        </w:rPr>
      </w:pPr>
    </w:p>
    <w:p w:rsidR="00286364" w:rsidRPr="002B3735" w:rsidRDefault="00286364" w:rsidP="002B3735">
      <w:pPr>
        <w:rPr>
          <w:rFonts w:ascii="Palatino Linotype" w:hAnsi="Palatino Linotype"/>
          <w:color w:val="000000" w:themeColor="text1"/>
        </w:rPr>
      </w:pPr>
    </w:p>
    <w:sectPr w:rsidR="00286364" w:rsidRPr="002B3735" w:rsidSect="00436D74">
      <w:headerReference w:type="even" r:id="rId18"/>
      <w:headerReference w:type="default" r:id="rId19"/>
      <w:footerReference w:type="default" r:id="rId20"/>
      <w:headerReference w:type="first" r:id="rId21"/>
      <w:footerReference w:type="first" r:id="rId22"/>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5C5" w:rsidRDefault="00BC65C5" w:rsidP="00357D31">
      <w:r>
        <w:separator/>
      </w:r>
    </w:p>
  </w:endnote>
  <w:endnote w:type="continuationSeparator" w:id="0">
    <w:p w:rsidR="00BC65C5" w:rsidRDefault="00BC65C5" w:rsidP="0035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BCD" w:rsidRDefault="006E5BC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06D24">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06D24">
      <w:rPr>
        <w:b/>
        <w:noProof/>
        <w:color w:val="000000"/>
      </w:rPr>
      <w:t>26</w:t>
    </w:r>
    <w:r>
      <w:rPr>
        <w:b/>
        <w:color w:val="000000"/>
      </w:rPr>
      <w:fldChar w:fldCharType="end"/>
    </w:r>
  </w:p>
  <w:p w:rsidR="006E5BCD" w:rsidRDefault="006E5BC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BCD" w:rsidRDefault="006E5BC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06D2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06D24">
      <w:rPr>
        <w:b/>
        <w:noProof/>
        <w:color w:val="000000"/>
      </w:rPr>
      <w:t>26</w:t>
    </w:r>
    <w:r>
      <w:rPr>
        <w:b/>
        <w:color w:val="000000"/>
      </w:rPr>
      <w:fldChar w:fldCharType="end"/>
    </w:r>
  </w:p>
  <w:p w:rsidR="006E5BCD" w:rsidRDefault="006E5BC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5C5" w:rsidRDefault="00BC65C5" w:rsidP="00357D31">
      <w:r>
        <w:separator/>
      </w:r>
    </w:p>
  </w:footnote>
  <w:footnote w:type="continuationSeparator" w:id="0">
    <w:p w:rsidR="00BC65C5" w:rsidRDefault="00BC65C5" w:rsidP="00357D31">
      <w:r>
        <w:continuationSeparator/>
      </w:r>
    </w:p>
  </w:footnote>
  <w:footnote w:id="1">
    <w:p w:rsidR="006E5BCD" w:rsidRDefault="006E5BCD" w:rsidP="00357D31">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Artículo 150. Ley de Transparencia y Acceso a la Información Pública del Estado de México y Municipios.</w:t>
      </w:r>
    </w:p>
    <w:p w:rsidR="006E5BCD" w:rsidRDefault="006E5BCD" w:rsidP="00357D31">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Artículo 151. Ibídem.</w:t>
      </w:r>
    </w:p>
  </w:footnote>
  <w:footnote w:id="2">
    <w:p w:rsidR="006E5BCD" w:rsidRDefault="006E5BCD" w:rsidP="00357D31">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BCD" w:rsidRDefault="00BC65C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00" w:firstRow="0" w:lastRow="0" w:firstColumn="0" w:lastColumn="0" w:noHBand="0" w:noVBand="1"/>
    </w:tblPr>
    <w:tblGrid>
      <w:gridCol w:w="2268"/>
      <w:gridCol w:w="8364"/>
    </w:tblGrid>
    <w:tr w:rsidR="006E5BCD" w:rsidTr="002B3735">
      <w:trPr>
        <w:trHeight w:val="1435"/>
      </w:trPr>
      <w:tc>
        <w:tcPr>
          <w:tcW w:w="2268" w:type="dxa"/>
          <w:shd w:val="clear" w:color="auto" w:fill="auto"/>
        </w:tcPr>
        <w:p w:rsidR="006E5BCD" w:rsidRDefault="006E5BCD">
          <w:pPr>
            <w:tabs>
              <w:tab w:val="right" w:pos="4273"/>
            </w:tabs>
            <w:rPr>
              <w:rFonts w:ascii="Garamond" w:eastAsia="Garamond" w:hAnsi="Garamond" w:cs="Garamond"/>
              <w:sz w:val="16"/>
              <w:szCs w:val="16"/>
            </w:rPr>
          </w:pPr>
        </w:p>
      </w:tc>
      <w:tc>
        <w:tcPr>
          <w:tcW w:w="8364" w:type="dxa"/>
          <w:shd w:val="clear" w:color="auto" w:fill="auto"/>
        </w:tcPr>
        <w:tbl>
          <w:tblPr>
            <w:tblW w:w="7932" w:type="dxa"/>
            <w:tblInd w:w="459" w:type="dxa"/>
            <w:tblLayout w:type="fixed"/>
            <w:tblLook w:val="0400" w:firstRow="0" w:lastRow="0" w:firstColumn="0" w:lastColumn="0" w:noHBand="0" w:noVBand="1"/>
          </w:tblPr>
          <w:tblGrid>
            <w:gridCol w:w="2687"/>
            <w:gridCol w:w="5245"/>
          </w:tblGrid>
          <w:tr w:rsidR="006E5BCD" w:rsidTr="00436D74">
            <w:trPr>
              <w:trHeight w:val="150"/>
            </w:trPr>
            <w:tc>
              <w:tcPr>
                <w:tcW w:w="2687" w:type="dxa"/>
                <w:shd w:val="clear" w:color="auto" w:fill="auto"/>
              </w:tcPr>
              <w:p w:rsidR="006E5BCD" w:rsidRPr="002B3735" w:rsidRDefault="006E5BCD" w:rsidP="002B3735">
                <w:pPr>
                  <w:tabs>
                    <w:tab w:val="right" w:pos="8838"/>
                  </w:tabs>
                  <w:ind w:right="-105"/>
                  <w:rPr>
                    <w:rFonts w:ascii="Palatino Linotype" w:eastAsia="Palatino Linotype" w:hAnsi="Palatino Linotype" w:cs="Palatino Linotype"/>
                    <w:b/>
                  </w:rPr>
                </w:pPr>
                <w:r w:rsidRPr="002B3735">
                  <w:rPr>
                    <w:rFonts w:ascii="Palatino Linotype" w:eastAsia="Palatino Linotype" w:hAnsi="Palatino Linotype" w:cs="Palatino Linotype"/>
                    <w:b/>
                  </w:rPr>
                  <w:t>Recurso de Revisión:</w:t>
                </w:r>
              </w:p>
            </w:tc>
            <w:tc>
              <w:tcPr>
                <w:tcW w:w="5245" w:type="dxa"/>
                <w:shd w:val="clear" w:color="auto" w:fill="auto"/>
              </w:tcPr>
              <w:p w:rsidR="006E5BCD" w:rsidRPr="002B3735" w:rsidRDefault="006E5BCD" w:rsidP="002B3735">
                <w:pPr>
                  <w:tabs>
                    <w:tab w:val="right" w:pos="8838"/>
                  </w:tabs>
                  <w:jc w:val="both"/>
                  <w:rPr>
                    <w:rFonts w:ascii="Palatino Linotype" w:eastAsia="Palatino Linotype" w:hAnsi="Palatino Linotype" w:cs="Palatino Linotype"/>
                  </w:rPr>
                </w:pPr>
                <w:r w:rsidRPr="002B3735">
                  <w:rPr>
                    <w:rFonts w:ascii="Palatino Linotype" w:eastAsia="Palatino Linotype" w:hAnsi="Palatino Linotype" w:cs="Palatino Linotype"/>
                  </w:rPr>
                  <w:t>08328/INFOEM/IP/RR/2025 y Acumulados</w:t>
                </w:r>
              </w:p>
            </w:tc>
          </w:tr>
          <w:tr w:rsidR="006E5BCD" w:rsidRPr="0003185F" w:rsidTr="00436D74">
            <w:trPr>
              <w:trHeight w:val="295"/>
            </w:trPr>
            <w:tc>
              <w:tcPr>
                <w:tcW w:w="2687" w:type="dxa"/>
                <w:shd w:val="clear" w:color="auto" w:fill="auto"/>
              </w:tcPr>
              <w:p w:rsidR="006E5BCD" w:rsidRPr="002B3735" w:rsidRDefault="006E5BCD" w:rsidP="002B3735">
                <w:pPr>
                  <w:tabs>
                    <w:tab w:val="right" w:pos="8838"/>
                  </w:tabs>
                  <w:ind w:right="-105"/>
                  <w:rPr>
                    <w:rFonts w:ascii="Palatino Linotype" w:eastAsia="Palatino Linotype" w:hAnsi="Palatino Linotype" w:cs="Palatino Linotype"/>
                    <w:b/>
                  </w:rPr>
                </w:pPr>
                <w:r w:rsidRPr="002B3735">
                  <w:rPr>
                    <w:rFonts w:ascii="Palatino Linotype" w:eastAsia="Palatino Linotype" w:hAnsi="Palatino Linotype" w:cs="Palatino Linotype"/>
                    <w:b/>
                  </w:rPr>
                  <w:t>Sujeto Obligado:</w:t>
                </w:r>
              </w:p>
            </w:tc>
            <w:tc>
              <w:tcPr>
                <w:tcW w:w="5245" w:type="dxa"/>
                <w:shd w:val="clear" w:color="auto" w:fill="auto"/>
              </w:tcPr>
              <w:p w:rsidR="006E5BCD" w:rsidRPr="002B3735" w:rsidRDefault="006E5BCD" w:rsidP="002B3735">
                <w:pPr>
                  <w:tabs>
                    <w:tab w:val="left" w:pos="2834"/>
                    <w:tab w:val="right" w:pos="8838"/>
                  </w:tabs>
                  <w:jc w:val="both"/>
                  <w:rPr>
                    <w:rFonts w:ascii="Palatino Linotype" w:eastAsia="Palatino Linotype" w:hAnsi="Palatino Linotype" w:cs="Palatino Linotype"/>
                    <w:b/>
                  </w:rPr>
                </w:pPr>
                <w:r w:rsidRPr="002B3735">
                  <w:rPr>
                    <w:rFonts w:ascii="Palatino Linotype" w:eastAsia="Palatino Linotype" w:hAnsi="Palatino Linotype" w:cs="Palatino Linotype"/>
                  </w:rPr>
                  <w:t xml:space="preserve">Ayuntamiento de </w:t>
                </w:r>
                <w:r w:rsidRPr="002B3735">
                  <w:rPr>
                    <w:rFonts w:ascii="Palatino Linotype" w:eastAsia="Palatino Linotype" w:hAnsi="Palatino Linotype" w:cs="Palatino Linotype"/>
                    <w:bCs/>
                  </w:rPr>
                  <w:t>Villa del Carbón</w:t>
                </w:r>
              </w:p>
            </w:tc>
          </w:tr>
          <w:tr w:rsidR="006E5BCD" w:rsidTr="00436D74">
            <w:trPr>
              <w:trHeight w:val="295"/>
            </w:trPr>
            <w:tc>
              <w:tcPr>
                <w:tcW w:w="2687" w:type="dxa"/>
                <w:shd w:val="clear" w:color="auto" w:fill="auto"/>
              </w:tcPr>
              <w:p w:rsidR="006E5BCD" w:rsidRPr="002B3735" w:rsidRDefault="006E5BCD" w:rsidP="002B3735">
                <w:pPr>
                  <w:tabs>
                    <w:tab w:val="right" w:pos="8838"/>
                  </w:tabs>
                  <w:ind w:right="-105"/>
                  <w:rPr>
                    <w:rFonts w:ascii="Palatino Linotype" w:eastAsia="Palatino Linotype" w:hAnsi="Palatino Linotype" w:cs="Palatino Linotype"/>
                    <w:b/>
                  </w:rPr>
                </w:pPr>
                <w:r w:rsidRPr="002B3735">
                  <w:rPr>
                    <w:rFonts w:ascii="Palatino Linotype" w:eastAsia="Palatino Linotype" w:hAnsi="Palatino Linotype" w:cs="Palatino Linotype"/>
                    <w:b/>
                  </w:rPr>
                  <w:t>Comisionada ponente:</w:t>
                </w:r>
              </w:p>
            </w:tc>
            <w:tc>
              <w:tcPr>
                <w:tcW w:w="5245" w:type="dxa"/>
                <w:shd w:val="clear" w:color="auto" w:fill="auto"/>
              </w:tcPr>
              <w:p w:rsidR="006E5BCD" w:rsidRPr="002B3735" w:rsidRDefault="006E5BCD" w:rsidP="002B3735">
                <w:pPr>
                  <w:tabs>
                    <w:tab w:val="right" w:pos="8838"/>
                  </w:tabs>
                  <w:jc w:val="both"/>
                  <w:rPr>
                    <w:rFonts w:ascii="Palatino Linotype" w:eastAsia="Palatino Linotype" w:hAnsi="Palatino Linotype" w:cs="Palatino Linotype"/>
                  </w:rPr>
                </w:pPr>
                <w:r w:rsidRPr="002B3735">
                  <w:rPr>
                    <w:rFonts w:ascii="Palatino Linotype" w:eastAsia="Palatino Linotype" w:hAnsi="Palatino Linotype" w:cs="Palatino Linotype"/>
                  </w:rPr>
                  <w:t>María del Rosario Mejía Ayala</w:t>
                </w:r>
              </w:p>
              <w:p w:rsidR="006E5BCD" w:rsidRPr="002B3735" w:rsidRDefault="006E5BCD" w:rsidP="002B3735">
                <w:pPr>
                  <w:tabs>
                    <w:tab w:val="right" w:pos="8838"/>
                  </w:tabs>
                  <w:jc w:val="both"/>
                  <w:rPr>
                    <w:rFonts w:ascii="Palatino Linotype" w:eastAsia="Palatino Linotype" w:hAnsi="Palatino Linotype" w:cs="Palatino Linotype"/>
                    <w:b/>
                  </w:rPr>
                </w:pPr>
              </w:p>
            </w:tc>
          </w:tr>
        </w:tbl>
        <w:p w:rsidR="006E5BCD" w:rsidRDefault="006E5BCD">
          <w:pPr>
            <w:tabs>
              <w:tab w:val="right" w:pos="8838"/>
            </w:tabs>
            <w:ind w:left="-28"/>
            <w:jc w:val="both"/>
            <w:rPr>
              <w:rFonts w:ascii="Arial" w:eastAsia="Arial" w:hAnsi="Arial" w:cs="Arial"/>
              <w:b/>
              <w:sz w:val="22"/>
              <w:szCs w:val="22"/>
            </w:rPr>
          </w:pPr>
        </w:p>
      </w:tc>
    </w:tr>
  </w:tbl>
  <w:p w:rsidR="006E5BCD" w:rsidRDefault="00BC65C5">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5" w:type="dxa"/>
      <w:tblLayout w:type="fixed"/>
      <w:tblLook w:val="0400" w:firstRow="0" w:lastRow="0" w:firstColumn="0" w:lastColumn="0" w:noHBand="0" w:noVBand="1"/>
    </w:tblPr>
    <w:tblGrid>
      <w:gridCol w:w="2265"/>
      <w:gridCol w:w="8160"/>
    </w:tblGrid>
    <w:tr w:rsidR="006E5BCD">
      <w:trPr>
        <w:trHeight w:val="1435"/>
      </w:trPr>
      <w:tc>
        <w:tcPr>
          <w:tcW w:w="2265" w:type="dxa"/>
          <w:shd w:val="clear" w:color="auto" w:fill="auto"/>
        </w:tcPr>
        <w:p w:rsidR="006E5BCD" w:rsidRDefault="006E5BCD">
          <w:pPr>
            <w:tabs>
              <w:tab w:val="right" w:pos="4273"/>
            </w:tabs>
            <w:rPr>
              <w:rFonts w:ascii="Garamond" w:eastAsia="Garamond" w:hAnsi="Garamond" w:cs="Garamond"/>
              <w:sz w:val="22"/>
              <w:szCs w:val="22"/>
            </w:rPr>
          </w:pPr>
        </w:p>
      </w:tc>
      <w:tc>
        <w:tcPr>
          <w:tcW w:w="8160" w:type="dxa"/>
          <w:shd w:val="clear" w:color="auto" w:fill="auto"/>
        </w:tcPr>
        <w:tbl>
          <w:tblPr>
            <w:tblW w:w="8077" w:type="dxa"/>
            <w:tblInd w:w="462" w:type="dxa"/>
            <w:tblLayout w:type="fixed"/>
            <w:tblLook w:val="0400" w:firstRow="0" w:lastRow="0" w:firstColumn="0" w:lastColumn="0" w:noHBand="0" w:noVBand="1"/>
          </w:tblPr>
          <w:tblGrid>
            <w:gridCol w:w="2690"/>
            <w:gridCol w:w="5387"/>
          </w:tblGrid>
          <w:tr w:rsidR="006E5BCD" w:rsidTr="00436D74">
            <w:trPr>
              <w:trHeight w:val="144"/>
            </w:trPr>
            <w:tc>
              <w:tcPr>
                <w:tcW w:w="2690" w:type="dxa"/>
                <w:shd w:val="clear" w:color="auto" w:fill="auto"/>
              </w:tcPr>
              <w:p w:rsidR="006E5BCD" w:rsidRPr="002B3735" w:rsidRDefault="006E5BCD" w:rsidP="002B3735">
                <w:pPr>
                  <w:tabs>
                    <w:tab w:val="right" w:pos="7787"/>
                  </w:tabs>
                  <w:ind w:left="31" w:right="-274"/>
                  <w:rPr>
                    <w:rFonts w:ascii="Palatino Linotype" w:eastAsia="Palatino Linotype" w:hAnsi="Palatino Linotype" w:cs="Palatino Linotype"/>
                    <w:b/>
                    <w:color w:val="000000" w:themeColor="text1"/>
                  </w:rPr>
                </w:pPr>
                <w:r w:rsidRPr="002B3735">
                  <w:rPr>
                    <w:rFonts w:ascii="Palatino Linotype" w:eastAsia="Palatino Linotype" w:hAnsi="Palatino Linotype" w:cs="Palatino Linotype"/>
                    <w:b/>
                    <w:color w:val="000000" w:themeColor="text1"/>
                  </w:rPr>
                  <w:t>Recurso de Revisión:</w:t>
                </w:r>
              </w:p>
            </w:tc>
            <w:tc>
              <w:tcPr>
                <w:tcW w:w="5387" w:type="dxa"/>
                <w:shd w:val="clear" w:color="auto" w:fill="auto"/>
              </w:tcPr>
              <w:p w:rsidR="006E5BCD" w:rsidRPr="002B3735" w:rsidRDefault="006E5BCD" w:rsidP="002B3735">
                <w:pPr>
                  <w:tabs>
                    <w:tab w:val="right" w:pos="7787"/>
                  </w:tabs>
                  <w:ind w:right="-9"/>
                  <w:jc w:val="both"/>
                  <w:rPr>
                    <w:rFonts w:ascii="Palatino Linotype" w:eastAsia="Palatino Linotype" w:hAnsi="Palatino Linotype" w:cs="Palatino Linotype"/>
                    <w:color w:val="000000" w:themeColor="text1"/>
                  </w:rPr>
                </w:pPr>
                <w:r w:rsidRPr="002B3735">
                  <w:rPr>
                    <w:rFonts w:ascii="Palatino Linotype" w:eastAsia="Palatino Linotype" w:hAnsi="Palatino Linotype" w:cs="Palatino Linotype"/>
                    <w:color w:val="000000" w:themeColor="text1"/>
                  </w:rPr>
                  <w:t>08328/INFOEM/IP/RR/2025 y Acumulados</w:t>
                </w:r>
              </w:p>
            </w:tc>
          </w:tr>
          <w:tr w:rsidR="006E5BCD" w:rsidTr="00436D74">
            <w:trPr>
              <w:trHeight w:val="144"/>
            </w:trPr>
            <w:tc>
              <w:tcPr>
                <w:tcW w:w="2690" w:type="dxa"/>
                <w:shd w:val="clear" w:color="auto" w:fill="auto"/>
              </w:tcPr>
              <w:p w:rsidR="006E5BCD" w:rsidRPr="002B3735" w:rsidRDefault="006E5BCD" w:rsidP="002B3735">
                <w:pPr>
                  <w:tabs>
                    <w:tab w:val="right" w:pos="7787"/>
                  </w:tabs>
                  <w:ind w:left="31" w:right="-274"/>
                  <w:rPr>
                    <w:rFonts w:ascii="Palatino Linotype" w:eastAsia="Palatino Linotype" w:hAnsi="Palatino Linotype" w:cs="Palatino Linotype"/>
                    <w:b/>
                    <w:color w:val="000000" w:themeColor="text1"/>
                  </w:rPr>
                </w:pPr>
                <w:r w:rsidRPr="002B3735">
                  <w:rPr>
                    <w:rFonts w:ascii="Palatino Linotype" w:eastAsia="Palatino Linotype" w:hAnsi="Palatino Linotype" w:cs="Palatino Linotype"/>
                    <w:b/>
                    <w:color w:val="000000" w:themeColor="text1"/>
                  </w:rPr>
                  <w:t>Recurrente:</w:t>
                </w:r>
              </w:p>
            </w:tc>
            <w:tc>
              <w:tcPr>
                <w:tcW w:w="5387" w:type="dxa"/>
                <w:shd w:val="clear" w:color="auto" w:fill="auto"/>
              </w:tcPr>
              <w:p w:rsidR="006E5BCD" w:rsidRPr="002B3735" w:rsidRDefault="00F06D24" w:rsidP="002B3735">
                <w:pPr>
                  <w:tabs>
                    <w:tab w:val="right" w:pos="7787"/>
                  </w:tabs>
                  <w:ind w:right="-9"/>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p>
            </w:tc>
          </w:tr>
          <w:tr w:rsidR="006E5BCD" w:rsidTr="00436D74">
            <w:trPr>
              <w:trHeight w:val="283"/>
            </w:trPr>
            <w:tc>
              <w:tcPr>
                <w:tcW w:w="2690" w:type="dxa"/>
                <w:shd w:val="clear" w:color="auto" w:fill="auto"/>
              </w:tcPr>
              <w:p w:rsidR="006E5BCD" w:rsidRPr="002B3735" w:rsidRDefault="006E5BCD" w:rsidP="002B3735">
                <w:pPr>
                  <w:tabs>
                    <w:tab w:val="right" w:pos="7787"/>
                  </w:tabs>
                  <w:ind w:left="31" w:right="-274"/>
                  <w:rPr>
                    <w:rFonts w:ascii="Palatino Linotype" w:eastAsia="Palatino Linotype" w:hAnsi="Palatino Linotype" w:cs="Palatino Linotype"/>
                    <w:b/>
                    <w:color w:val="000000" w:themeColor="text1"/>
                  </w:rPr>
                </w:pPr>
                <w:r w:rsidRPr="002B3735">
                  <w:rPr>
                    <w:rFonts w:ascii="Palatino Linotype" w:eastAsia="Palatino Linotype" w:hAnsi="Palatino Linotype" w:cs="Palatino Linotype"/>
                    <w:b/>
                    <w:color w:val="000000" w:themeColor="text1"/>
                  </w:rPr>
                  <w:t>Sujeto Obligado:</w:t>
                </w:r>
              </w:p>
            </w:tc>
            <w:tc>
              <w:tcPr>
                <w:tcW w:w="5387" w:type="dxa"/>
                <w:shd w:val="clear" w:color="auto" w:fill="auto"/>
              </w:tcPr>
              <w:p w:rsidR="006E5BCD" w:rsidRPr="002B3735" w:rsidRDefault="00F06D24" w:rsidP="002B3735">
                <w:pPr>
                  <w:tabs>
                    <w:tab w:val="left" w:pos="2834"/>
                    <w:tab w:val="right" w:pos="7787"/>
                  </w:tabs>
                  <w:ind w:right="-9"/>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Ayuntamiento Villa del Carbón</w:t>
                </w:r>
              </w:p>
            </w:tc>
          </w:tr>
          <w:tr w:rsidR="006E5BCD" w:rsidTr="00436D74">
            <w:trPr>
              <w:trHeight w:val="283"/>
            </w:trPr>
            <w:tc>
              <w:tcPr>
                <w:tcW w:w="2690" w:type="dxa"/>
                <w:shd w:val="clear" w:color="auto" w:fill="auto"/>
              </w:tcPr>
              <w:p w:rsidR="006E5BCD" w:rsidRPr="002B3735" w:rsidRDefault="006E5BCD" w:rsidP="002B3735">
                <w:pPr>
                  <w:tabs>
                    <w:tab w:val="right" w:pos="7787"/>
                  </w:tabs>
                  <w:ind w:left="31" w:right="-274"/>
                  <w:rPr>
                    <w:rFonts w:ascii="Palatino Linotype" w:eastAsia="Palatino Linotype" w:hAnsi="Palatino Linotype" w:cs="Palatino Linotype"/>
                    <w:b/>
                    <w:color w:val="000000" w:themeColor="text1"/>
                  </w:rPr>
                </w:pPr>
                <w:r w:rsidRPr="002B3735">
                  <w:rPr>
                    <w:rFonts w:ascii="Palatino Linotype" w:eastAsia="Palatino Linotype" w:hAnsi="Palatino Linotype" w:cs="Palatino Linotype"/>
                    <w:b/>
                    <w:color w:val="000000" w:themeColor="text1"/>
                  </w:rPr>
                  <w:t>Comisionada ponente:</w:t>
                </w:r>
              </w:p>
            </w:tc>
            <w:tc>
              <w:tcPr>
                <w:tcW w:w="5387" w:type="dxa"/>
                <w:shd w:val="clear" w:color="auto" w:fill="auto"/>
              </w:tcPr>
              <w:p w:rsidR="006E5BCD" w:rsidRPr="002B3735" w:rsidRDefault="006E5BCD" w:rsidP="002B3735">
                <w:pPr>
                  <w:tabs>
                    <w:tab w:val="right" w:pos="7787"/>
                  </w:tabs>
                  <w:ind w:right="-9"/>
                  <w:jc w:val="both"/>
                  <w:rPr>
                    <w:rFonts w:ascii="Palatino Linotype" w:eastAsia="Palatino Linotype" w:hAnsi="Palatino Linotype" w:cs="Palatino Linotype"/>
                    <w:color w:val="000000" w:themeColor="text1"/>
                  </w:rPr>
                </w:pPr>
                <w:r w:rsidRPr="002B3735">
                  <w:rPr>
                    <w:rFonts w:ascii="Palatino Linotype" w:eastAsia="Palatino Linotype" w:hAnsi="Palatino Linotype" w:cs="Palatino Linotype"/>
                    <w:color w:val="000000" w:themeColor="text1"/>
                  </w:rPr>
                  <w:t>María del Rosario Mejía Ayala</w:t>
                </w:r>
              </w:p>
              <w:p w:rsidR="006E5BCD" w:rsidRPr="002B3735" w:rsidRDefault="006E5BCD" w:rsidP="002B3735">
                <w:pPr>
                  <w:tabs>
                    <w:tab w:val="right" w:pos="7787"/>
                  </w:tabs>
                  <w:ind w:right="-9"/>
                  <w:jc w:val="both"/>
                  <w:rPr>
                    <w:rFonts w:ascii="Palatino Linotype" w:eastAsia="Palatino Linotype" w:hAnsi="Palatino Linotype" w:cs="Palatino Linotype"/>
                    <w:b/>
                    <w:color w:val="000000" w:themeColor="text1"/>
                  </w:rPr>
                </w:pPr>
              </w:p>
            </w:tc>
          </w:tr>
        </w:tbl>
        <w:p w:rsidR="006E5BCD" w:rsidRDefault="006E5BCD">
          <w:pPr>
            <w:tabs>
              <w:tab w:val="right" w:pos="8838"/>
            </w:tabs>
            <w:ind w:left="-28"/>
            <w:jc w:val="both"/>
            <w:rPr>
              <w:rFonts w:ascii="Arial" w:eastAsia="Arial" w:hAnsi="Arial" w:cs="Arial"/>
              <w:b/>
              <w:sz w:val="22"/>
              <w:szCs w:val="22"/>
            </w:rPr>
          </w:pPr>
        </w:p>
      </w:tc>
    </w:tr>
  </w:tbl>
  <w:p w:rsidR="006E5BCD" w:rsidRDefault="00BC65C5">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F4174"/>
    <w:multiLevelType w:val="multilevel"/>
    <w:tmpl w:val="8CA4FD1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907D70"/>
    <w:multiLevelType w:val="hybridMultilevel"/>
    <w:tmpl w:val="05CE0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0D1D37"/>
    <w:multiLevelType w:val="hybridMultilevel"/>
    <w:tmpl w:val="4CE8C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24345E5"/>
    <w:multiLevelType w:val="hybridMultilevel"/>
    <w:tmpl w:val="7ED07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5A6BCD"/>
    <w:multiLevelType w:val="multilevel"/>
    <w:tmpl w:val="B0F072C6"/>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31"/>
    <w:rsid w:val="00123340"/>
    <w:rsid w:val="001A4C53"/>
    <w:rsid w:val="001B1229"/>
    <w:rsid w:val="00251102"/>
    <w:rsid w:val="00286364"/>
    <w:rsid w:val="002B3735"/>
    <w:rsid w:val="002D006B"/>
    <w:rsid w:val="00357D31"/>
    <w:rsid w:val="00436D74"/>
    <w:rsid w:val="006120D5"/>
    <w:rsid w:val="006C4626"/>
    <w:rsid w:val="006E5BCD"/>
    <w:rsid w:val="0083355D"/>
    <w:rsid w:val="0089747E"/>
    <w:rsid w:val="0090052A"/>
    <w:rsid w:val="00922E64"/>
    <w:rsid w:val="00A80C5E"/>
    <w:rsid w:val="00B1078C"/>
    <w:rsid w:val="00B61531"/>
    <w:rsid w:val="00BC65C5"/>
    <w:rsid w:val="00BF7766"/>
    <w:rsid w:val="00C2682D"/>
    <w:rsid w:val="00C856C8"/>
    <w:rsid w:val="00CB5DC5"/>
    <w:rsid w:val="00CE32A4"/>
    <w:rsid w:val="00D512B4"/>
    <w:rsid w:val="00D547D6"/>
    <w:rsid w:val="00DA187D"/>
    <w:rsid w:val="00E0113D"/>
    <w:rsid w:val="00E14843"/>
    <w:rsid w:val="00E202AA"/>
    <w:rsid w:val="00E90B25"/>
    <w:rsid w:val="00F06D24"/>
    <w:rsid w:val="00F233D2"/>
    <w:rsid w:val="00F94968"/>
    <w:rsid w:val="00FC5A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48E8BED-1707-42FE-A980-651B06D3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31"/>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57D3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57D3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357D31"/>
    <w:rPr>
      <w:color w:val="0563C1" w:themeColor="hyperlink"/>
      <w:u w:val="single"/>
    </w:rPr>
  </w:style>
  <w:style w:type="table" w:styleId="Tabladecuadrcula6concolores">
    <w:name w:val="Grid Table 6 Colorful"/>
    <w:basedOn w:val="Tablanormal"/>
    <w:uiPriority w:val="51"/>
    <w:rsid w:val="00357D3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aliases w:val="Francesa"/>
    <w:link w:val="SinespaciadoCar"/>
    <w:uiPriority w:val="1"/>
    <w:qFormat/>
    <w:rsid w:val="00357D3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57D3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57D31"/>
    <w:pPr>
      <w:tabs>
        <w:tab w:val="center" w:pos="4419"/>
        <w:tab w:val="right" w:pos="8838"/>
      </w:tabs>
    </w:pPr>
  </w:style>
  <w:style w:type="character" w:customStyle="1" w:styleId="PiedepginaCar">
    <w:name w:val="Pie de página Car"/>
    <w:basedOn w:val="Fuentedeprrafopredeter"/>
    <w:link w:val="Piedepgina"/>
    <w:uiPriority w:val="99"/>
    <w:rsid w:val="00357D31"/>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CE3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45599">
      <w:bodyDiv w:val="1"/>
      <w:marLeft w:val="0"/>
      <w:marRight w:val="0"/>
      <w:marTop w:val="0"/>
      <w:marBottom w:val="0"/>
      <w:divBdr>
        <w:top w:val="none" w:sz="0" w:space="0" w:color="auto"/>
        <w:left w:val="none" w:sz="0" w:space="0" w:color="auto"/>
        <w:bottom w:val="none" w:sz="0" w:space="0" w:color="auto"/>
        <w:right w:val="none" w:sz="0" w:space="0" w:color="auto"/>
      </w:divBdr>
    </w:div>
    <w:div w:id="877085974">
      <w:bodyDiv w:val="1"/>
      <w:marLeft w:val="0"/>
      <w:marRight w:val="0"/>
      <w:marTop w:val="0"/>
      <w:marBottom w:val="0"/>
      <w:divBdr>
        <w:top w:val="none" w:sz="0" w:space="0" w:color="auto"/>
        <w:left w:val="none" w:sz="0" w:space="0" w:color="auto"/>
        <w:bottom w:val="none" w:sz="0" w:space="0" w:color="auto"/>
        <w:right w:val="none" w:sz="0" w:space="0" w:color="auto"/>
      </w:divBdr>
    </w:div>
    <w:div w:id="19706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01903.page"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saimex.org.mx/saimex/solicitud/downloadAttach/2501902.page" TargetMode="External"/><Relationship Id="rId12" Type="http://schemas.openxmlformats.org/officeDocument/2006/relationships/hyperlink" Target="https://www.facebook.com/share/p/1FTyZNSs69/" TargetMode="External"/><Relationship Id="rId17" Type="http://schemas.openxmlformats.org/officeDocument/2006/relationships/hyperlink" Target="javascript:abrirAcuse(682214);" TargetMode="External"/><Relationship Id="rId2" Type="http://schemas.openxmlformats.org/officeDocument/2006/relationships/styles" Target="styles.xml"/><Relationship Id="rId16" Type="http://schemas.openxmlformats.org/officeDocument/2006/relationships/hyperlink" Target="javascript:abrirAcuse(68221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www.facebook.com/share/p/15Nr8eau87/"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aimex.org.mx/saimex/solicitud/downloadAttach/2501903.page" TargetMode="External"/><Relationship Id="rId14" Type="http://schemas.openxmlformats.org/officeDocument/2006/relationships/hyperlink" Target="https://www.facebook.com/share/p/1FTyZNSs69/"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26</Pages>
  <Words>5913</Words>
  <Characters>32526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12</cp:revision>
  <cp:lastPrinted>2025-08-22T17:14:00Z</cp:lastPrinted>
  <dcterms:created xsi:type="dcterms:W3CDTF">2025-08-13T19:43:00Z</dcterms:created>
  <dcterms:modified xsi:type="dcterms:W3CDTF">2025-10-08T16:58:00Z</dcterms:modified>
</cp:coreProperties>
</file>