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5C056FC"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2D269F">
        <w:rPr>
          <w:rFonts w:eastAsia="Palatino Linotype" w:cs="Palatino Linotype"/>
          <w:color w:val="000000"/>
          <w:szCs w:val="24"/>
        </w:rPr>
        <w:t>México, a</w:t>
      </w:r>
      <w:r w:rsidR="00890F7F" w:rsidRPr="002D269F">
        <w:rPr>
          <w:rFonts w:eastAsia="Palatino Linotype" w:cs="Palatino Linotype"/>
          <w:color w:val="000000"/>
          <w:szCs w:val="24"/>
        </w:rPr>
        <w:t xml:space="preserve"> </w:t>
      </w:r>
      <w:r w:rsidR="00EF55B5" w:rsidRPr="002D269F">
        <w:rPr>
          <w:rFonts w:eastAsia="Palatino Linotype" w:cs="Palatino Linotype"/>
          <w:color w:val="000000"/>
          <w:szCs w:val="24"/>
        </w:rPr>
        <w:t>cinco de noviembre</w:t>
      </w:r>
      <w:r w:rsidR="00AD384E" w:rsidRPr="002D269F">
        <w:rPr>
          <w:rFonts w:eastAsia="Palatino Linotype" w:cs="Palatino Linotype"/>
          <w:color w:val="000000"/>
          <w:szCs w:val="24"/>
        </w:rPr>
        <w:t xml:space="preserve"> de dos mil veinticinco</w:t>
      </w:r>
      <w:r w:rsidR="00890F7F" w:rsidRPr="002D269F">
        <w:rPr>
          <w:rFonts w:eastAsia="Palatino Linotype" w:cs="Palatino Linotype"/>
          <w:color w:val="000000"/>
          <w:szCs w:val="24"/>
        </w:rPr>
        <w:t>.</w:t>
      </w:r>
    </w:p>
    <w:p w14:paraId="3F7062DB" w14:textId="77777777" w:rsidR="00DA7D12" w:rsidRPr="002D269F" w:rsidRDefault="00DA7D12" w:rsidP="006922F5">
      <w:pPr>
        <w:pBdr>
          <w:top w:val="nil"/>
          <w:left w:val="nil"/>
          <w:bottom w:val="nil"/>
          <w:right w:val="nil"/>
          <w:between w:val="nil"/>
        </w:pBdr>
        <w:contextualSpacing/>
        <w:rPr>
          <w:rFonts w:eastAsia="Palatino Linotype" w:cs="Palatino Linotype"/>
          <w:color w:val="000000"/>
          <w:szCs w:val="24"/>
        </w:rPr>
      </w:pPr>
    </w:p>
    <w:p w14:paraId="1D0D9BD7" w14:textId="4F2B496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b/>
          <w:color w:val="000000"/>
          <w:szCs w:val="24"/>
        </w:rPr>
        <w:t>VISTO</w:t>
      </w:r>
      <w:r w:rsidRPr="002D269F">
        <w:rPr>
          <w:rFonts w:eastAsia="Palatino Linotype" w:cs="Palatino Linotype"/>
          <w:color w:val="000000"/>
          <w:szCs w:val="24"/>
        </w:rPr>
        <w:t xml:space="preserve"> el expediente electrónico formado con motivo del recurso de revisión número </w:t>
      </w:r>
      <w:r w:rsidR="00B67F46" w:rsidRPr="002D269F">
        <w:rPr>
          <w:rFonts w:eastAsia="Palatino Linotype" w:cs="Palatino Linotype"/>
          <w:b/>
          <w:color w:val="000000"/>
          <w:szCs w:val="24"/>
        </w:rPr>
        <w:t>07800/INFOEM/IP/RR/2025</w:t>
      </w:r>
      <w:r w:rsidR="00B54BC7" w:rsidRPr="002D269F">
        <w:rPr>
          <w:rFonts w:eastAsia="Palatino Linotype" w:cs="Palatino Linotype"/>
          <w:color w:val="000000"/>
          <w:szCs w:val="24"/>
        </w:rPr>
        <w:t>, interpuesto po</w:t>
      </w:r>
      <w:r w:rsidR="00430C63" w:rsidRPr="002D269F">
        <w:rPr>
          <w:rFonts w:eastAsia="Palatino Linotype" w:cs="Palatino Linotype"/>
          <w:color w:val="000000"/>
          <w:szCs w:val="24"/>
        </w:rPr>
        <w:t>r</w:t>
      </w:r>
      <w:r w:rsidR="00100663" w:rsidRPr="002D269F">
        <w:rPr>
          <w:rFonts w:eastAsia="Palatino Linotype" w:cs="Palatino Linotype"/>
          <w:color w:val="000000"/>
          <w:szCs w:val="24"/>
        </w:rPr>
        <w:t xml:space="preserve"> </w:t>
      </w:r>
      <w:r w:rsidR="00350032">
        <w:rPr>
          <w:rFonts w:eastAsia="Palatino Linotype" w:cs="Palatino Linotype"/>
          <w:b/>
          <w:color w:val="000000"/>
          <w:szCs w:val="24"/>
        </w:rPr>
        <w:t>XXXXXXXXXXXXXXXXXXXXXXX</w:t>
      </w:r>
      <w:r w:rsidR="00B54BC7" w:rsidRPr="002D269F">
        <w:rPr>
          <w:rFonts w:eastAsia="Palatino Linotype" w:cs="Palatino Linotype"/>
          <w:color w:val="000000"/>
          <w:szCs w:val="24"/>
        </w:rPr>
        <w:t xml:space="preserve">, en lo sucesivo </w:t>
      </w:r>
      <w:r w:rsidR="007504A3" w:rsidRPr="002D269F">
        <w:rPr>
          <w:rFonts w:eastAsia="Palatino Linotype" w:cs="Palatino Linotype"/>
          <w:color w:val="000000"/>
          <w:szCs w:val="24"/>
        </w:rPr>
        <w:t>el</w:t>
      </w:r>
      <w:r w:rsidR="00B54BC7" w:rsidRPr="002D269F">
        <w:rPr>
          <w:rFonts w:eastAsia="Palatino Linotype" w:cs="Palatino Linotype"/>
          <w:color w:val="000000"/>
          <w:szCs w:val="24"/>
        </w:rPr>
        <w:t xml:space="preserve"> </w:t>
      </w:r>
      <w:r w:rsidRPr="002D269F">
        <w:rPr>
          <w:rFonts w:eastAsia="Palatino Linotype" w:cs="Palatino Linotype"/>
          <w:b/>
          <w:color w:val="000000"/>
          <w:szCs w:val="24"/>
        </w:rPr>
        <w:t>Recurrente</w:t>
      </w:r>
      <w:r w:rsidRPr="002D269F">
        <w:rPr>
          <w:rFonts w:eastAsia="Palatino Linotype" w:cs="Palatino Linotype"/>
          <w:color w:val="000000"/>
          <w:szCs w:val="24"/>
        </w:rPr>
        <w:t>, en contra de la respuesta de</w:t>
      </w:r>
      <w:r w:rsidR="001D0070" w:rsidRPr="002D269F">
        <w:rPr>
          <w:rFonts w:eastAsia="Palatino Linotype" w:cs="Palatino Linotype"/>
          <w:color w:val="000000"/>
          <w:szCs w:val="24"/>
        </w:rPr>
        <w:t>l</w:t>
      </w:r>
      <w:r w:rsidRPr="002D269F">
        <w:rPr>
          <w:rFonts w:eastAsia="Palatino Linotype" w:cs="Palatino Linotype"/>
          <w:color w:val="000000"/>
          <w:szCs w:val="24"/>
        </w:rPr>
        <w:t xml:space="preserve"> </w:t>
      </w:r>
      <w:r w:rsidR="00B67F46" w:rsidRPr="002D269F">
        <w:rPr>
          <w:rFonts w:eastAsia="Palatino Linotype" w:cs="Palatino Linotype"/>
          <w:b/>
          <w:color w:val="000000"/>
          <w:szCs w:val="24"/>
        </w:rPr>
        <w:t xml:space="preserve">Ayuntamiento de </w:t>
      </w:r>
      <w:proofErr w:type="spellStart"/>
      <w:r w:rsidR="00B67F46" w:rsidRPr="002D269F">
        <w:rPr>
          <w:rFonts w:eastAsia="Palatino Linotype" w:cs="Palatino Linotype"/>
          <w:b/>
          <w:color w:val="000000"/>
          <w:szCs w:val="24"/>
        </w:rPr>
        <w:t>Jocotitlán</w:t>
      </w:r>
      <w:proofErr w:type="spellEnd"/>
      <w:r w:rsidR="0051074E" w:rsidRPr="002D269F">
        <w:rPr>
          <w:rFonts w:eastAsia="Palatino Linotype" w:cs="Palatino Linotype"/>
          <w:color w:val="000000"/>
          <w:szCs w:val="24"/>
        </w:rPr>
        <w:t xml:space="preserve">, </w:t>
      </w:r>
      <w:r w:rsidRPr="002D269F">
        <w:rPr>
          <w:rFonts w:eastAsia="Palatino Linotype" w:cs="Palatino Linotype"/>
          <w:color w:val="000000"/>
          <w:szCs w:val="24"/>
        </w:rPr>
        <w:t>en lo subsecuente</w:t>
      </w:r>
      <w:r w:rsidRPr="002D269F">
        <w:rPr>
          <w:rFonts w:eastAsia="Palatino Linotype" w:cs="Palatino Linotype"/>
          <w:b/>
          <w:color w:val="000000"/>
          <w:szCs w:val="24"/>
        </w:rPr>
        <w:t xml:space="preserve"> </w:t>
      </w:r>
      <w:r w:rsidRPr="002D269F">
        <w:rPr>
          <w:rFonts w:eastAsia="Palatino Linotype" w:cs="Palatino Linotype"/>
          <w:color w:val="000000"/>
          <w:szCs w:val="24"/>
        </w:rPr>
        <w:t>el</w:t>
      </w:r>
      <w:r w:rsidRPr="002D269F">
        <w:rPr>
          <w:rFonts w:eastAsia="Palatino Linotype" w:cs="Palatino Linotype"/>
          <w:b/>
          <w:color w:val="000000"/>
          <w:szCs w:val="24"/>
        </w:rPr>
        <w:t xml:space="preserve"> Sujeto Obligado, </w:t>
      </w:r>
      <w:r w:rsidRPr="002D269F">
        <w:rPr>
          <w:rFonts w:eastAsia="Palatino Linotype" w:cs="Palatino Linotype"/>
          <w:color w:val="000000"/>
          <w:szCs w:val="24"/>
        </w:rPr>
        <w:t>se procede a dictar la presente resolución.</w:t>
      </w:r>
    </w:p>
    <w:p w14:paraId="2E2053C2"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2D269F" w:rsidRDefault="00A970D5" w:rsidP="006922F5">
      <w:pPr>
        <w:pStyle w:val="Ttulo1"/>
        <w:rPr>
          <w:rFonts w:eastAsia="Palatino Linotype"/>
          <w:lang w:val="es-ES_tradnl"/>
        </w:rPr>
      </w:pPr>
      <w:r w:rsidRPr="002D269F">
        <w:rPr>
          <w:rFonts w:eastAsia="Palatino Linotype"/>
          <w:lang w:val="es-ES_tradnl"/>
        </w:rPr>
        <w:t>A N T E C E D E N T E S</w:t>
      </w:r>
    </w:p>
    <w:p w14:paraId="32F88820"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2D269F" w:rsidRDefault="00A970D5" w:rsidP="006922F5">
      <w:pPr>
        <w:pStyle w:val="Ttulo2"/>
        <w:rPr>
          <w:rFonts w:eastAsia="Palatino Linotype"/>
          <w:sz w:val="24"/>
          <w:szCs w:val="24"/>
        </w:rPr>
      </w:pPr>
      <w:r w:rsidRPr="002D269F">
        <w:rPr>
          <w:rFonts w:eastAsia="Palatino Linotype"/>
          <w:sz w:val="24"/>
          <w:szCs w:val="24"/>
        </w:rPr>
        <w:t>PRIMERO. De la Solicitud de Información.</w:t>
      </w:r>
    </w:p>
    <w:p w14:paraId="0870C154" w14:textId="049500FD" w:rsidR="00A970D5" w:rsidRPr="002D269F" w:rsidRDefault="00B36B86" w:rsidP="00B67F46">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Con fecha </w:t>
      </w:r>
      <w:r w:rsidR="00D144BC" w:rsidRPr="002D269F">
        <w:rPr>
          <w:rFonts w:eastAsia="Palatino Linotype" w:cs="Palatino Linotype"/>
          <w:color w:val="000000"/>
          <w:szCs w:val="24"/>
        </w:rPr>
        <w:t xml:space="preserve">cuatro de </w:t>
      </w:r>
      <w:r w:rsidR="00B67F46" w:rsidRPr="002D269F">
        <w:rPr>
          <w:rFonts w:eastAsia="Palatino Linotype" w:cs="Palatino Linotype"/>
          <w:color w:val="000000"/>
          <w:szCs w:val="24"/>
        </w:rPr>
        <w:t>junio</w:t>
      </w:r>
      <w:r w:rsidR="00D144BC" w:rsidRPr="002D269F">
        <w:rPr>
          <w:rFonts w:eastAsia="Palatino Linotype" w:cs="Palatino Linotype"/>
          <w:color w:val="000000"/>
          <w:szCs w:val="24"/>
        </w:rPr>
        <w:t xml:space="preserve"> de dos mil </w:t>
      </w:r>
      <w:r w:rsidR="00AD384E" w:rsidRPr="002D269F">
        <w:rPr>
          <w:rFonts w:eastAsia="Palatino Linotype" w:cs="Palatino Linotype"/>
          <w:color w:val="000000"/>
          <w:szCs w:val="24"/>
        </w:rPr>
        <w:t>veinticinco</w:t>
      </w:r>
      <w:r w:rsidR="00D144BC" w:rsidRPr="002D269F">
        <w:rPr>
          <w:rFonts w:eastAsia="Palatino Linotype" w:cs="Palatino Linotype"/>
          <w:color w:val="000000"/>
          <w:szCs w:val="24"/>
        </w:rPr>
        <w:t xml:space="preserve">, </w:t>
      </w:r>
      <w:r w:rsidR="007504A3" w:rsidRPr="002D269F">
        <w:rPr>
          <w:rFonts w:eastAsia="Palatino Linotype" w:cs="Palatino Linotype"/>
          <w:color w:val="000000"/>
          <w:szCs w:val="24"/>
        </w:rPr>
        <w:t>el</w:t>
      </w:r>
      <w:r w:rsidR="00A970D5" w:rsidRPr="002D269F">
        <w:rPr>
          <w:rFonts w:eastAsia="Palatino Linotype" w:cs="Palatino Linotype"/>
          <w:color w:val="000000"/>
          <w:szCs w:val="24"/>
        </w:rPr>
        <w:t xml:space="preserve"> </w:t>
      </w:r>
      <w:r w:rsidR="00A970D5" w:rsidRPr="002D269F">
        <w:rPr>
          <w:rFonts w:eastAsia="Palatino Linotype" w:cs="Palatino Linotype"/>
          <w:b/>
          <w:bCs/>
          <w:color w:val="000000"/>
          <w:szCs w:val="24"/>
        </w:rPr>
        <w:t>Recurrente</w:t>
      </w:r>
      <w:r w:rsidR="00A970D5" w:rsidRPr="002D269F">
        <w:rPr>
          <w:rFonts w:eastAsia="Palatino Linotype" w:cs="Palatino Linotype"/>
          <w:color w:val="000000"/>
          <w:szCs w:val="24"/>
        </w:rPr>
        <w:t xml:space="preserve"> presentó </w:t>
      </w:r>
      <w:r w:rsidR="00F04C02" w:rsidRPr="002D269F">
        <w:rPr>
          <w:rFonts w:eastAsia="Palatino Linotype" w:cs="Palatino Linotype"/>
          <w:color w:val="000000"/>
          <w:szCs w:val="24"/>
        </w:rPr>
        <w:t xml:space="preserve">solicitud de información pública que fue registrada en </w:t>
      </w:r>
      <w:r w:rsidR="00A970D5" w:rsidRPr="002D269F">
        <w:rPr>
          <w:rFonts w:eastAsia="Palatino Linotype" w:cs="Palatino Linotype"/>
          <w:color w:val="000000"/>
          <w:szCs w:val="24"/>
        </w:rPr>
        <w:t>el Sistema de Acceso a la Información Mexiquense (SAIMEX), con el número de expediente</w:t>
      </w:r>
      <w:r w:rsidR="007504A3" w:rsidRPr="002D269F">
        <w:rPr>
          <w:rFonts w:eastAsia="Palatino Linotype" w:cs="Palatino Linotype"/>
          <w:b/>
          <w:bCs/>
          <w:color w:val="000000"/>
          <w:szCs w:val="24"/>
        </w:rPr>
        <w:t xml:space="preserve"> </w:t>
      </w:r>
      <w:r w:rsidR="00B67F46" w:rsidRPr="002D269F">
        <w:rPr>
          <w:rFonts w:eastAsia="Palatino Linotype" w:cs="Palatino Linotype"/>
          <w:b/>
          <w:bCs/>
          <w:color w:val="000000"/>
          <w:szCs w:val="24"/>
        </w:rPr>
        <w:t>00148/JOCOTIT/IP/2025</w:t>
      </w:r>
      <w:r w:rsidR="00A970D5" w:rsidRPr="002D269F">
        <w:rPr>
          <w:rFonts w:eastAsia="Palatino Linotype" w:cs="Palatino Linotype"/>
          <w:color w:val="000000"/>
          <w:szCs w:val="24"/>
        </w:rPr>
        <w:t>,</w:t>
      </w:r>
      <w:r w:rsidR="00A970D5" w:rsidRPr="002D269F">
        <w:rPr>
          <w:rFonts w:eastAsia="Palatino Linotype" w:cs="Palatino Linotype"/>
          <w:b/>
          <w:color w:val="000000"/>
          <w:szCs w:val="24"/>
        </w:rPr>
        <w:t xml:space="preserve"> </w:t>
      </w:r>
      <w:r w:rsidR="00A970D5" w:rsidRPr="002D269F">
        <w:rPr>
          <w:rFonts w:eastAsia="Palatino Linotype" w:cs="Palatino Linotype"/>
          <w:color w:val="000000"/>
          <w:szCs w:val="24"/>
        </w:rPr>
        <w:t>mediante la cual solicitó información en el tenor siguiente:</w:t>
      </w:r>
    </w:p>
    <w:p w14:paraId="68B56D82" w14:textId="77777777" w:rsidR="00A970D5" w:rsidRPr="002D269F" w:rsidRDefault="00A970D5" w:rsidP="00B67F46">
      <w:pPr>
        <w:pBdr>
          <w:top w:val="nil"/>
          <w:left w:val="nil"/>
          <w:bottom w:val="nil"/>
          <w:right w:val="nil"/>
          <w:between w:val="nil"/>
        </w:pBdr>
        <w:contextualSpacing/>
        <w:rPr>
          <w:rFonts w:eastAsia="Palatino Linotype" w:cs="Palatino Linotype"/>
          <w:color w:val="000000"/>
          <w:szCs w:val="24"/>
        </w:rPr>
      </w:pPr>
    </w:p>
    <w:p w14:paraId="133704B2" w14:textId="41613F0E" w:rsidR="00A970D5" w:rsidRPr="002D269F" w:rsidRDefault="00053421" w:rsidP="00AF7A71">
      <w:pPr>
        <w:pStyle w:val="Fundamentos"/>
      </w:pPr>
      <w:r w:rsidRPr="002D269F">
        <w:t>“</w:t>
      </w:r>
      <w:r w:rsidR="00B67F46" w:rsidRPr="002D269F">
        <w:t xml:space="preserve">Solicito se </w:t>
      </w:r>
      <w:proofErr w:type="spellStart"/>
      <w:r w:rsidR="00B67F46" w:rsidRPr="002D269F">
        <w:t>envien</w:t>
      </w:r>
      <w:proofErr w:type="spellEnd"/>
      <w:r w:rsidR="00B67F46" w:rsidRPr="002D269F">
        <w:t xml:space="preserve"> los contratos de la renta de las antenas de </w:t>
      </w:r>
      <w:proofErr w:type="spellStart"/>
      <w:r w:rsidR="00B67F46" w:rsidRPr="002D269F">
        <w:t>comunicacion</w:t>
      </w:r>
      <w:proofErr w:type="spellEnd"/>
      <w:r w:rsidR="00B67F46" w:rsidRPr="002D269F">
        <w:t xml:space="preserve"> que le </w:t>
      </w:r>
      <w:proofErr w:type="spellStart"/>
      <w:r w:rsidR="00B67F46" w:rsidRPr="002D269F">
        <w:t>entrean</w:t>
      </w:r>
      <w:proofErr w:type="spellEnd"/>
      <w:r w:rsidR="00B67F46" w:rsidRPr="002D269F">
        <w:t xml:space="preserve"> al </w:t>
      </w:r>
      <w:proofErr w:type="gramStart"/>
      <w:r w:rsidR="00B67F46" w:rsidRPr="002D269F">
        <w:t>municipio</w:t>
      </w:r>
      <w:proofErr w:type="gramEnd"/>
      <w:r w:rsidR="00B67F46" w:rsidRPr="002D269F">
        <w:t xml:space="preserve"> de </w:t>
      </w:r>
      <w:proofErr w:type="spellStart"/>
      <w:r w:rsidR="00B67F46" w:rsidRPr="002D269F">
        <w:t>jocotitlan</w:t>
      </w:r>
      <w:proofErr w:type="spellEnd"/>
      <w:r w:rsidR="00B67F46" w:rsidRPr="002D269F">
        <w:t xml:space="preserve"> con periodos y montos, contratos con las cadenas de </w:t>
      </w:r>
      <w:proofErr w:type="spellStart"/>
      <w:r w:rsidR="00B67F46" w:rsidRPr="002D269F">
        <w:t>comunicacion</w:t>
      </w:r>
      <w:proofErr w:type="spellEnd"/>
      <w:r w:rsidR="00B67F46" w:rsidRPr="002D269F">
        <w:t xml:space="preserve"> de la renta en el año 2025, 2024, 2023, 2022, 2021 y 2020.</w:t>
      </w:r>
      <w:r w:rsidRPr="002D269F">
        <w:t>”</w:t>
      </w:r>
      <w:r w:rsidR="723045DB" w:rsidRPr="002D269F">
        <w:t xml:space="preserve"> (Sic)</w:t>
      </w:r>
    </w:p>
    <w:p w14:paraId="40BBECCB"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F3F80A7" w:rsidR="00A970D5" w:rsidRPr="002D269F" w:rsidRDefault="00A970D5" w:rsidP="006922F5">
      <w:pPr>
        <w:pBdr>
          <w:top w:val="nil"/>
          <w:left w:val="nil"/>
          <w:bottom w:val="nil"/>
          <w:right w:val="nil"/>
          <w:between w:val="nil"/>
        </w:pBdr>
        <w:contextualSpacing/>
        <w:rPr>
          <w:rFonts w:eastAsia="Palatino Linotype" w:cs="Palatino Linotype"/>
          <w:b/>
          <w:color w:val="000000"/>
          <w:szCs w:val="24"/>
        </w:rPr>
      </w:pPr>
      <w:r w:rsidRPr="002D269F">
        <w:rPr>
          <w:rFonts w:eastAsia="Palatino Linotype" w:cs="Palatino Linotype"/>
          <w:color w:val="000000"/>
          <w:szCs w:val="24"/>
        </w:rPr>
        <w:t xml:space="preserve">Modalidad de entrega: </w:t>
      </w:r>
      <w:r w:rsidR="00D144BC" w:rsidRPr="002D269F">
        <w:rPr>
          <w:rFonts w:eastAsia="Palatino Linotype" w:cs="Palatino Linotype"/>
          <w:b/>
          <w:color w:val="000000"/>
          <w:szCs w:val="24"/>
        </w:rPr>
        <w:t>A través del SAIMEX</w:t>
      </w:r>
    </w:p>
    <w:p w14:paraId="474DB373" w14:textId="77777777" w:rsidR="00430C63" w:rsidRPr="002D269F"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360D0777" w:rsidR="00A970D5" w:rsidRPr="002D269F" w:rsidRDefault="00AF7A71" w:rsidP="006922F5">
      <w:pPr>
        <w:pStyle w:val="Ttulo2"/>
        <w:rPr>
          <w:rFonts w:eastAsia="Palatino Linotype"/>
        </w:rPr>
      </w:pPr>
      <w:r w:rsidRPr="002D269F">
        <w:rPr>
          <w:rFonts w:eastAsia="Palatino Linotype"/>
        </w:rPr>
        <w:lastRenderedPageBreak/>
        <w:t>SEGUNDO</w:t>
      </w:r>
      <w:r w:rsidR="00A970D5" w:rsidRPr="002D269F">
        <w:rPr>
          <w:rFonts w:eastAsia="Palatino Linotype"/>
        </w:rPr>
        <w:t>. De la respuesta del Sujeto Obligado.</w:t>
      </w:r>
    </w:p>
    <w:p w14:paraId="2EE6F294" w14:textId="23B33C09"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De las constancias que obran en el expediente electrónico, se observa qu</w:t>
      </w:r>
      <w:r w:rsidR="008B2951" w:rsidRPr="002D269F">
        <w:rPr>
          <w:rFonts w:eastAsia="Palatino Linotype" w:cs="Palatino Linotype"/>
          <w:color w:val="000000"/>
          <w:szCs w:val="24"/>
        </w:rPr>
        <w:t>e el día</w:t>
      </w:r>
      <w:r w:rsidR="00D144BC" w:rsidRPr="002D269F">
        <w:rPr>
          <w:rFonts w:eastAsia="Palatino Linotype" w:cs="Palatino Linotype"/>
          <w:color w:val="000000"/>
          <w:szCs w:val="24"/>
        </w:rPr>
        <w:t xml:space="preserve"> </w:t>
      </w:r>
      <w:r w:rsidR="00B67F46" w:rsidRPr="002D269F">
        <w:rPr>
          <w:rFonts w:eastAsia="Palatino Linotype" w:cs="Palatino Linotype"/>
          <w:color w:val="000000"/>
          <w:szCs w:val="24"/>
        </w:rPr>
        <w:t>veinticinco de junio</w:t>
      </w:r>
      <w:r w:rsidR="00AD384E" w:rsidRPr="002D269F">
        <w:rPr>
          <w:rFonts w:eastAsia="Palatino Linotype" w:cs="Palatino Linotype"/>
          <w:color w:val="000000"/>
          <w:szCs w:val="24"/>
        </w:rPr>
        <w:t xml:space="preserve"> de dos mil veinticinco</w:t>
      </w:r>
      <w:r w:rsidRPr="002D269F">
        <w:rPr>
          <w:rFonts w:eastAsia="Palatino Linotype" w:cs="Palatino Linotype"/>
          <w:color w:val="000000"/>
          <w:szCs w:val="24"/>
        </w:rPr>
        <w:t xml:space="preserve">, el </w:t>
      </w:r>
      <w:r w:rsidRPr="002D269F">
        <w:rPr>
          <w:rFonts w:eastAsia="Palatino Linotype" w:cs="Palatino Linotype"/>
          <w:b/>
          <w:bCs/>
          <w:color w:val="000000"/>
          <w:szCs w:val="24"/>
        </w:rPr>
        <w:t>Sujeto Obligado</w:t>
      </w:r>
      <w:r w:rsidRPr="002D269F">
        <w:rPr>
          <w:rFonts w:eastAsia="Palatino Linotype" w:cs="Palatino Linotype"/>
          <w:color w:val="000000"/>
          <w:szCs w:val="24"/>
        </w:rPr>
        <w:t xml:space="preserve"> dio respuest</w:t>
      </w:r>
      <w:r w:rsidR="009F4FF4" w:rsidRPr="002D269F">
        <w:rPr>
          <w:rFonts w:eastAsia="Palatino Linotype" w:cs="Palatino Linotype"/>
          <w:color w:val="000000"/>
          <w:szCs w:val="24"/>
        </w:rPr>
        <w:t>a a la solicitud de información</w:t>
      </w:r>
      <w:r w:rsidRPr="002D269F">
        <w:rPr>
          <w:rFonts w:eastAsia="Palatino Linotype" w:cs="Palatino Linotype"/>
          <w:color w:val="000000"/>
          <w:szCs w:val="24"/>
        </w:rPr>
        <w:t xml:space="preserve"> manifestando lo siguiente:</w:t>
      </w:r>
    </w:p>
    <w:p w14:paraId="6CF4EC0F"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0BD6E83A" w14:textId="77777777" w:rsidR="00B67F46" w:rsidRPr="002D269F" w:rsidRDefault="00053421" w:rsidP="00B67F46">
      <w:pPr>
        <w:pStyle w:val="Fundamentos"/>
        <w:jc w:val="right"/>
      </w:pPr>
      <w:r w:rsidRPr="002D269F">
        <w:t>“</w:t>
      </w:r>
      <w:r w:rsidR="00B67F46" w:rsidRPr="002D269F">
        <w:t xml:space="preserve">Folio de la solicitud: </w:t>
      </w:r>
      <w:r w:rsidR="00B67F46" w:rsidRPr="002D269F">
        <w:rPr>
          <w:b/>
          <w:bCs/>
          <w:u w:val="single"/>
        </w:rPr>
        <w:t>00148/JOCOTIT/IP/2025</w:t>
      </w:r>
    </w:p>
    <w:p w14:paraId="525D3C64" w14:textId="77777777" w:rsidR="00B67F46" w:rsidRPr="002D269F" w:rsidRDefault="00B67F46" w:rsidP="00B67F46">
      <w:pPr>
        <w:pStyle w:val="Fundamentos"/>
      </w:pPr>
    </w:p>
    <w:p w14:paraId="4E97B7EF" w14:textId="37946115" w:rsidR="00B67F46" w:rsidRPr="002D269F" w:rsidRDefault="00B67F46" w:rsidP="00B67F46">
      <w:pPr>
        <w:pStyle w:val="Fundamentos"/>
      </w:pPr>
      <w:r w:rsidRPr="002D269F">
        <w:t>En respuesta a la solicitud recibida, nos permitimos hacer de su conocimiento que con fundamento en el artículo 53, Fracciones: II, V y VI de la Ley de Transparencia y Acceso a la Información Pública del Estado de México y Municipios, le contestamos que:</w:t>
      </w:r>
    </w:p>
    <w:p w14:paraId="5DEF3533" w14:textId="77777777" w:rsidR="00B67F46" w:rsidRPr="002D269F" w:rsidRDefault="00B67F46" w:rsidP="00B67F46">
      <w:pPr>
        <w:pStyle w:val="Fundamentos"/>
      </w:pPr>
    </w:p>
    <w:p w14:paraId="2D7834E0" w14:textId="77777777" w:rsidR="00B67F46" w:rsidRPr="002D269F" w:rsidRDefault="00B67F46" w:rsidP="00B67F46">
      <w:pPr>
        <w:pStyle w:val="Fundamentos"/>
      </w:pPr>
      <w:r w:rsidRPr="002D269F">
        <w:t xml:space="preserve">En atención a su solicitud con número de folio 00148/JOCOTIT/IP/2025 donde solicita: Solicito se </w:t>
      </w:r>
      <w:proofErr w:type="spellStart"/>
      <w:r w:rsidRPr="002D269F">
        <w:t>envien</w:t>
      </w:r>
      <w:proofErr w:type="spellEnd"/>
      <w:r w:rsidRPr="002D269F">
        <w:t xml:space="preserve"> los contratos de la renta de las antenas de </w:t>
      </w:r>
      <w:proofErr w:type="spellStart"/>
      <w:r w:rsidRPr="002D269F">
        <w:t>comunicacion</w:t>
      </w:r>
      <w:proofErr w:type="spellEnd"/>
      <w:r w:rsidRPr="002D269F">
        <w:t xml:space="preserve"> que le </w:t>
      </w:r>
      <w:proofErr w:type="spellStart"/>
      <w:r w:rsidRPr="002D269F">
        <w:t>entrean</w:t>
      </w:r>
      <w:proofErr w:type="spellEnd"/>
      <w:r w:rsidRPr="002D269F">
        <w:t xml:space="preserve"> al municipio de </w:t>
      </w:r>
      <w:proofErr w:type="spellStart"/>
      <w:r w:rsidRPr="002D269F">
        <w:t>jocotitlan</w:t>
      </w:r>
      <w:proofErr w:type="spellEnd"/>
      <w:r w:rsidRPr="002D269F">
        <w:t xml:space="preserve"> con periodos y montos, contratos con las cadenas de </w:t>
      </w:r>
      <w:proofErr w:type="spellStart"/>
      <w:r w:rsidRPr="002D269F">
        <w:t>comunicacion</w:t>
      </w:r>
      <w:proofErr w:type="spellEnd"/>
      <w:r w:rsidRPr="002D269F">
        <w:t xml:space="preserve"> de la renta en el año 2025, 2024, 2023, 2022, 2021 y 2020. Me permito adjuntar la información solicitada</w:t>
      </w:r>
    </w:p>
    <w:p w14:paraId="66261D4C" w14:textId="77777777" w:rsidR="00B67F46" w:rsidRPr="002D269F" w:rsidRDefault="00B67F46" w:rsidP="00B67F46">
      <w:pPr>
        <w:pStyle w:val="Fundamentos"/>
      </w:pPr>
    </w:p>
    <w:p w14:paraId="7791422C" w14:textId="3CD8D9BE" w:rsidR="00B67F46" w:rsidRPr="002D269F" w:rsidRDefault="00B67F46" w:rsidP="00B67F46">
      <w:pPr>
        <w:pStyle w:val="Fundamentos"/>
      </w:pPr>
      <w:r w:rsidRPr="002D269F">
        <w:t>ATENTAMENTE</w:t>
      </w:r>
    </w:p>
    <w:p w14:paraId="3FE4A9EF" w14:textId="1AA49928" w:rsidR="00A970D5" w:rsidRPr="002D269F" w:rsidRDefault="00B67F46" w:rsidP="00B67F46">
      <w:pPr>
        <w:pStyle w:val="Fundamentos"/>
        <w:rPr>
          <w:lang w:val="es-MX"/>
        </w:rPr>
      </w:pPr>
      <w:r w:rsidRPr="002D269F">
        <w:t>L.A. LIZETH LÓPEZ CARDENAS</w:t>
      </w:r>
      <w:r w:rsidR="00053421" w:rsidRPr="002D269F">
        <w:t>”</w:t>
      </w:r>
      <w:r w:rsidR="00A970D5" w:rsidRPr="002D269F">
        <w:rPr>
          <w:lang w:val="es-MX"/>
        </w:rPr>
        <w:t xml:space="preserve"> (Sic)</w:t>
      </w:r>
    </w:p>
    <w:p w14:paraId="2EAB8352" w14:textId="3B77EF6C" w:rsidR="001107C4" w:rsidRPr="002D269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916255C" w:rsidR="0037112D" w:rsidRPr="002D269F" w:rsidRDefault="0037112D" w:rsidP="006922F5">
      <w:pPr>
        <w:pBdr>
          <w:top w:val="nil"/>
          <w:left w:val="nil"/>
          <w:bottom w:val="nil"/>
          <w:right w:val="nil"/>
          <w:between w:val="nil"/>
        </w:pBdr>
        <w:contextualSpacing/>
        <w:rPr>
          <w:rFonts w:eastAsia="Palatino Linotype" w:cs="Palatino Linotype"/>
          <w:b/>
          <w:bCs/>
          <w:color w:val="000000"/>
          <w:szCs w:val="24"/>
        </w:rPr>
      </w:pPr>
      <w:r w:rsidRPr="002D269F">
        <w:rPr>
          <w:rFonts w:eastAsia="Palatino Linotype" w:cs="Palatino Linotype"/>
          <w:color w:val="000000"/>
          <w:szCs w:val="24"/>
        </w:rPr>
        <w:t xml:space="preserve">El Sujeto Obligado </w:t>
      </w:r>
      <w:r w:rsidR="00AD34A5" w:rsidRPr="002D269F">
        <w:rPr>
          <w:rFonts w:eastAsia="Palatino Linotype" w:cs="Palatino Linotype"/>
          <w:color w:val="000000"/>
          <w:szCs w:val="24"/>
        </w:rPr>
        <w:t>adjunt</w:t>
      </w:r>
      <w:r w:rsidR="00464EEC" w:rsidRPr="002D269F">
        <w:rPr>
          <w:rFonts w:eastAsia="Palatino Linotype" w:cs="Palatino Linotype"/>
          <w:color w:val="000000"/>
          <w:szCs w:val="24"/>
        </w:rPr>
        <w:t xml:space="preserve">ó a su respuesta </w:t>
      </w:r>
      <w:r w:rsidR="00AD384E" w:rsidRPr="002D269F">
        <w:rPr>
          <w:rFonts w:eastAsia="Palatino Linotype" w:cs="Palatino Linotype"/>
          <w:color w:val="000000"/>
          <w:szCs w:val="24"/>
        </w:rPr>
        <w:t>el archivo electrónico denominado</w:t>
      </w:r>
      <w:r w:rsidR="00100663" w:rsidRPr="002D269F">
        <w:rPr>
          <w:rFonts w:eastAsia="Palatino Linotype" w:cs="Palatino Linotype"/>
          <w:color w:val="000000"/>
          <w:szCs w:val="24"/>
        </w:rPr>
        <w:t xml:space="preserve"> </w:t>
      </w:r>
      <w:r w:rsidR="00053421" w:rsidRPr="002D269F">
        <w:rPr>
          <w:rFonts w:eastAsia="Palatino Linotype" w:cs="Palatino Linotype"/>
          <w:b/>
          <w:color w:val="000000"/>
          <w:szCs w:val="24"/>
        </w:rPr>
        <w:t>“</w:t>
      </w:r>
      <w:r w:rsidR="00B67F46" w:rsidRPr="002D269F">
        <w:rPr>
          <w:rFonts w:eastAsia="Palatino Linotype" w:cs="Palatino Linotype"/>
          <w:b/>
          <w:color w:val="000000"/>
          <w:szCs w:val="24"/>
        </w:rPr>
        <w:t>00148JOCOTITIP2025 JURÍDICO.pdf</w:t>
      </w:r>
      <w:r w:rsidR="00053421" w:rsidRPr="002D269F">
        <w:rPr>
          <w:rFonts w:eastAsia="Palatino Linotype" w:cs="Palatino Linotype"/>
          <w:b/>
          <w:color w:val="000000"/>
          <w:szCs w:val="24"/>
        </w:rPr>
        <w:t>”</w:t>
      </w:r>
      <w:r w:rsidRPr="002D269F">
        <w:rPr>
          <w:rFonts w:eastAsia="Palatino Linotype" w:cs="Palatino Linotype"/>
          <w:color w:val="000000"/>
          <w:szCs w:val="24"/>
        </w:rPr>
        <w:t xml:space="preserve">, </w:t>
      </w:r>
      <w:r w:rsidR="009B321A" w:rsidRPr="002D269F">
        <w:rPr>
          <w:rFonts w:eastAsia="Palatino Linotype" w:cs="Palatino Linotype"/>
          <w:color w:val="000000"/>
          <w:szCs w:val="24"/>
        </w:rPr>
        <w:t>cuyo contenido será motivo de análisis en el estudio correspondiente.</w:t>
      </w:r>
    </w:p>
    <w:p w14:paraId="2011BBDD" w14:textId="77777777" w:rsidR="0037112D" w:rsidRPr="002D269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A389A59" w:rsidR="00A970D5" w:rsidRPr="002D269F" w:rsidRDefault="00AF7A71" w:rsidP="006922F5">
      <w:pPr>
        <w:pStyle w:val="Ttulo2"/>
        <w:rPr>
          <w:rFonts w:eastAsia="Palatino Linotype"/>
        </w:rPr>
      </w:pPr>
      <w:r w:rsidRPr="002D269F">
        <w:rPr>
          <w:rFonts w:eastAsia="Palatino Linotype"/>
        </w:rPr>
        <w:t>TERCERO</w:t>
      </w:r>
      <w:r w:rsidR="00A970D5" w:rsidRPr="002D269F">
        <w:rPr>
          <w:rFonts w:eastAsia="Palatino Linotype"/>
        </w:rPr>
        <w:t>. Del recurso de revisión.</w:t>
      </w:r>
    </w:p>
    <w:p w14:paraId="0C8C3A2F" w14:textId="4B2D24DE"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Inconforme con la respuesta em</w:t>
      </w:r>
      <w:r w:rsidR="00D144BC" w:rsidRPr="002D269F">
        <w:rPr>
          <w:rFonts w:eastAsia="Palatino Linotype" w:cs="Palatino Linotype"/>
          <w:color w:val="000000"/>
          <w:szCs w:val="24"/>
        </w:rPr>
        <w:t>itida</w:t>
      </w:r>
      <w:r w:rsidR="00A06896" w:rsidRPr="002D269F">
        <w:rPr>
          <w:rFonts w:eastAsia="Palatino Linotype" w:cs="Palatino Linotype"/>
          <w:color w:val="000000"/>
          <w:szCs w:val="24"/>
        </w:rPr>
        <w:t xml:space="preserve">, </w:t>
      </w:r>
      <w:r w:rsidR="00464EEC" w:rsidRPr="002D269F">
        <w:rPr>
          <w:rFonts w:eastAsia="Palatino Linotype" w:cs="Palatino Linotype"/>
          <w:color w:val="000000"/>
          <w:szCs w:val="24"/>
        </w:rPr>
        <w:t>el</w:t>
      </w:r>
      <w:r w:rsidRPr="002D269F">
        <w:rPr>
          <w:rFonts w:eastAsia="Palatino Linotype" w:cs="Palatino Linotype"/>
          <w:color w:val="000000"/>
          <w:szCs w:val="24"/>
        </w:rPr>
        <w:t xml:space="preserve"> </w:t>
      </w:r>
      <w:r w:rsidRPr="002D269F">
        <w:rPr>
          <w:rFonts w:eastAsia="Palatino Linotype" w:cs="Palatino Linotype"/>
          <w:b/>
          <w:bCs/>
          <w:color w:val="000000"/>
          <w:szCs w:val="24"/>
        </w:rPr>
        <w:t>Recurrente</w:t>
      </w:r>
      <w:r w:rsidRPr="002D269F">
        <w:rPr>
          <w:rFonts w:eastAsia="Palatino Linotype" w:cs="Palatino Linotype"/>
          <w:color w:val="000000"/>
          <w:szCs w:val="24"/>
        </w:rPr>
        <w:t xml:space="preserve"> interpuso el presente recurso de revisión e</w:t>
      </w:r>
      <w:r w:rsidR="008B2951" w:rsidRPr="002D269F">
        <w:rPr>
          <w:rFonts w:eastAsia="Palatino Linotype" w:cs="Palatino Linotype"/>
          <w:color w:val="000000"/>
          <w:szCs w:val="24"/>
        </w:rPr>
        <w:t>l día</w:t>
      </w:r>
      <w:r w:rsidR="00D144BC" w:rsidRPr="002D269F">
        <w:rPr>
          <w:rFonts w:eastAsia="Palatino Linotype" w:cs="Palatino Linotype"/>
          <w:color w:val="000000"/>
          <w:szCs w:val="24"/>
        </w:rPr>
        <w:t xml:space="preserve"> </w:t>
      </w:r>
      <w:r w:rsidR="00B67F46" w:rsidRPr="002D269F">
        <w:rPr>
          <w:rFonts w:eastAsia="Palatino Linotype" w:cs="Palatino Linotype"/>
          <w:color w:val="000000"/>
          <w:szCs w:val="24"/>
        </w:rPr>
        <w:t>veintiséis de junio</w:t>
      </w:r>
      <w:r w:rsidR="00AD384E" w:rsidRPr="002D269F">
        <w:rPr>
          <w:rFonts w:eastAsia="Palatino Linotype" w:cs="Palatino Linotype"/>
          <w:color w:val="000000"/>
          <w:szCs w:val="24"/>
        </w:rPr>
        <w:t xml:space="preserve"> de dos mil veinticinco</w:t>
      </w:r>
      <w:r w:rsidRPr="002D269F">
        <w:rPr>
          <w:rFonts w:eastAsia="Palatino Linotype" w:cs="Palatino Linotype"/>
          <w:color w:val="000000"/>
          <w:szCs w:val="24"/>
        </w:rPr>
        <w:t xml:space="preserve">, el cual se registró con el expediente número </w:t>
      </w:r>
      <w:r w:rsidR="00B67F46" w:rsidRPr="002D269F">
        <w:rPr>
          <w:rFonts w:eastAsia="Palatino Linotype" w:cs="Palatino Linotype"/>
          <w:b/>
          <w:color w:val="000000"/>
          <w:szCs w:val="24"/>
        </w:rPr>
        <w:t>07800/INFOEM/IP/RR/2025</w:t>
      </w:r>
      <w:r w:rsidR="00A06896" w:rsidRPr="002D269F">
        <w:rPr>
          <w:rFonts w:eastAsia="Palatino Linotype" w:cs="Palatino Linotype"/>
          <w:color w:val="000000"/>
          <w:szCs w:val="24"/>
        </w:rPr>
        <w:t xml:space="preserve">, </w:t>
      </w:r>
      <w:r w:rsidR="00A24265" w:rsidRPr="002D269F">
        <w:rPr>
          <w:rFonts w:eastAsia="Palatino Linotype" w:cs="Palatino Linotype"/>
          <w:color w:val="000000"/>
          <w:szCs w:val="24"/>
        </w:rPr>
        <w:t>manifestando</w:t>
      </w:r>
      <w:r w:rsidRPr="002D269F">
        <w:rPr>
          <w:rFonts w:eastAsia="Palatino Linotype" w:cs="Palatino Linotype"/>
          <w:color w:val="000000"/>
          <w:szCs w:val="24"/>
        </w:rPr>
        <w:t xml:space="preserve"> lo siguiente:</w:t>
      </w:r>
    </w:p>
    <w:p w14:paraId="7AA0C9F4" w14:textId="046134A0" w:rsidR="00A970D5" w:rsidRPr="002D269F" w:rsidRDefault="00A970D5" w:rsidP="006922F5">
      <w:pPr>
        <w:pBdr>
          <w:top w:val="nil"/>
          <w:left w:val="nil"/>
          <w:bottom w:val="nil"/>
          <w:right w:val="nil"/>
          <w:between w:val="nil"/>
        </w:pBdr>
        <w:contextualSpacing/>
        <w:rPr>
          <w:rFonts w:eastAsia="Palatino Linotype" w:cs="Palatino Linotype"/>
          <w:color w:val="000000"/>
          <w:sz w:val="22"/>
          <w:szCs w:val="24"/>
        </w:rPr>
      </w:pPr>
    </w:p>
    <w:p w14:paraId="3A1919EA" w14:textId="77777777" w:rsidR="00004014" w:rsidRPr="002D269F" w:rsidRDefault="00A970D5" w:rsidP="006922F5">
      <w:pPr>
        <w:contextualSpacing/>
        <w:rPr>
          <w:rFonts w:eastAsia="Palatino Linotype" w:cs="Palatino Linotype"/>
          <w:b/>
        </w:rPr>
      </w:pPr>
      <w:r w:rsidRPr="002D269F">
        <w:rPr>
          <w:rFonts w:eastAsia="Palatino Linotype" w:cs="Palatino Linotype"/>
          <w:b/>
        </w:rPr>
        <w:lastRenderedPageBreak/>
        <w:t>Acto Impugnado:</w:t>
      </w:r>
      <w:r w:rsidR="00655007" w:rsidRPr="002D269F">
        <w:rPr>
          <w:rFonts w:eastAsia="Palatino Linotype" w:cs="Palatino Linotype"/>
          <w:b/>
        </w:rPr>
        <w:t xml:space="preserve"> </w:t>
      </w:r>
    </w:p>
    <w:p w14:paraId="4A0EFE5A" w14:textId="453935A2" w:rsidR="00A970D5" w:rsidRPr="002D269F" w:rsidRDefault="00053421" w:rsidP="006922F5">
      <w:pPr>
        <w:pStyle w:val="Fundamentos"/>
        <w:rPr>
          <w:b/>
        </w:rPr>
      </w:pPr>
      <w:r w:rsidRPr="002D269F">
        <w:t>“</w:t>
      </w:r>
      <w:r w:rsidR="00B67F46" w:rsidRPr="002D269F">
        <w:t xml:space="preserve">Solicito se someta a recurso de revisión ya que la información no fue entregada,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Los recursos recaudados por la renta de las antenas de </w:t>
      </w:r>
      <w:proofErr w:type="spellStart"/>
      <w:r w:rsidR="00B67F46" w:rsidRPr="002D269F">
        <w:t>comunicacion</w:t>
      </w:r>
      <w:proofErr w:type="spellEnd"/>
      <w:r w:rsidR="00B67F46" w:rsidRPr="002D269F">
        <w:t xml:space="preserve"> en </w:t>
      </w:r>
      <w:proofErr w:type="spellStart"/>
      <w:r w:rsidR="00B67F46" w:rsidRPr="002D269F">
        <w:t>Jocotitlan</w:t>
      </w:r>
      <w:proofErr w:type="spellEnd"/>
      <w:r w:rsidR="00B67F46" w:rsidRPr="002D269F">
        <w:t xml:space="preserve"> son recursos que pertenecen al municipio de </w:t>
      </w:r>
      <w:proofErr w:type="spellStart"/>
      <w:r w:rsidR="00B67F46" w:rsidRPr="002D269F">
        <w:t>jocotitlàn</w:t>
      </w:r>
      <w:proofErr w:type="spellEnd"/>
      <w:r w:rsidR="00B67F46" w:rsidRPr="002D269F">
        <w:t xml:space="preserve"> por consecuente son </w:t>
      </w:r>
      <w:proofErr w:type="spellStart"/>
      <w:r w:rsidR="00B67F46" w:rsidRPr="002D269F">
        <w:t>publicos</w:t>
      </w:r>
      <w:proofErr w:type="spellEnd"/>
      <w:r w:rsidR="00B67F46" w:rsidRPr="002D269F">
        <w:t xml:space="preserve"> y la ley de transparencia </w:t>
      </w:r>
      <w:proofErr w:type="spellStart"/>
      <w:r w:rsidR="00B67F46" w:rsidRPr="002D269F">
        <w:t>enunucia</w:t>
      </w:r>
      <w:proofErr w:type="spellEnd"/>
      <w:r w:rsidR="00B67F46" w:rsidRPr="002D269F">
        <w:t xml:space="preserve">: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El coordinador de la </w:t>
      </w:r>
      <w:proofErr w:type="spellStart"/>
      <w:r w:rsidR="00B67F46" w:rsidRPr="002D269F">
        <w:t>consejeria</w:t>
      </w:r>
      <w:proofErr w:type="spellEnd"/>
      <w:r w:rsidR="00B67F46" w:rsidRPr="002D269F">
        <w:t xml:space="preserve"> </w:t>
      </w:r>
      <w:proofErr w:type="spellStart"/>
      <w:r w:rsidR="00B67F46" w:rsidRPr="002D269F">
        <w:t>juridica</w:t>
      </w:r>
      <w:proofErr w:type="spellEnd"/>
      <w:r w:rsidR="00B67F46" w:rsidRPr="002D269F">
        <w:t xml:space="preserve"> y consulta no es el sujeto obligado que tiene </w:t>
      </w:r>
      <w:proofErr w:type="spellStart"/>
      <w:r w:rsidR="00B67F46" w:rsidRPr="002D269F">
        <w:t>posesion</w:t>
      </w:r>
      <w:proofErr w:type="spellEnd"/>
      <w:r w:rsidR="00B67F46" w:rsidRPr="002D269F">
        <w:t xml:space="preserve"> de la </w:t>
      </w:r>
      <w:proofErr w:type="spellStart"/>
      <w:r w:rsidR="00B67F46" w:rsidRPr="002D269F">
        <w:t>informacion</w:t>
      </w:r>
      <w:proofErr w:type="spellEnd"/>
      <w:r w:rsidR="00B67F46" w:rsidRPr="002D269F">
        <w:t xml:space="preserve"> solicitada en el siguiente articulo le especifica su </w:t>
      </w:r>
      <w:proofErr w:type="spellStart"/>
      <w:r w:rsidR="00B67F46" w:rsidRPr="002D269F">
        <w:t>funcion</w:t>
      </w:r>
      <w:proofErr w:type="spellEnd"/>
      <w:r w:rsidR="00B67F46" w:rsidRPr="002D269F">
        <w:t xml:space="preserve">: </w:t>
      </w:r>
      <w:proofErr w:type="spellStart"/>
      <w:r w:rsidR="00B67F46" w:rsidRPr="002D269F">
        <w:t>XXIII.Ordenar</w:t>
      </w:r>
      <w:proofErr w:type="spellEnd"/>
      <w:r w:rsidR="00B67F46" w:rsidRPr="002D269F">
        <w:t xml:space="preserve">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deberán poner a disposición del público y mantener actualizada y accesible, en lo que resulte aplicable a cada contrato Argumento que la </w:t>
      </w:r>
      <w:proofErr w:type="spellStart"/>
      <w:r w:rsidR="00B67F46" w:rsidRPr="002D269F">
        <w:t>informacion</w:t>
      </w:r>
      <w:proofErr w:type="spellEnd"/>
      <w:r w:rsidR="00B67F46" w:rsidRPr="002D269F">
        <w:t xml:space="preserve"> brindada se encuentra sin fundamento legal para que sea </w:t>
      </w:r>
      <w:proofErr w:type="spellStart"/>
      <w:r w:rsidR="00B67F46" w:rsidRPr="002D269F">
        <w:t>informacion</w:t>
      </w:r>
      <w:proofErr w:type="spellEnd"/>
      <w:r w:rsidR="00B67F46" w:rsidRPr="002D269F">
        <w:t xml:space="preserve"> reservada y protegida ya que no existe prueba de daño como lo enuncia el Artículo 129. En la aplicación de la prueba de daño, el sujeto obligado deberá precisar las razones. </w:t>
      </w:r>
      <w:proofErr w:type="gramStart"/>
      <w:r w:rsidR="00B67F46" w:rsidRPr="002D269F">
        <w:t>objetivas</w:t>
      </w:r>
      <w:proofErr w:type="gramEnd"/>
      <w:r w:rsidR="00B67F46" w:rsidRPr="002D269F">
        <w:t xml:space="preserve"> por las que la apertura de la información generaría una afectación,</w:t>
      </w:r>
      <w:r w:rsidRPr="002D269F">
        <w:t>”</w:t>
      </w:r>
      <w:r w:rsidR="002806D1" w:rsidRPr="002D269F">
        <w:t xml:space="preserve"> </w:t>
      </w:r>
      <w:r w:rsidR="00F04C02" w:rsidRPr="002D269F">
        <w:t>(</w:t>
      </w:r>
      <w:r w:rsidR="00A970D5" w:rsidRPr="002D269F">
        <w:t>Sic)</w:t>
      </w:r>
    </w:p>
    <w:p w14:paraId="3C40A441" w14:textId="77777777" w:rsidR="00A970D5" w:rsidRPr="002D269F" w:rsidRDefault="00A970D5" w:rsidP="006922F5">
      <w:pPr>
        <w:contextualSpacing/>
        <w:rPr>
          <w:rFonts w:eastAsia="Palatino Linotype" w:cs="Palatino Linotype"/>
          <w:iCs/>
          <w:sz w:val="22"/>
          <w:szCs w:val="24"/>
        </w:rPr>
      </w:pPr>
    </w:p>
    <w:p w14:paraId="08EABC9A" w14:textId="5E7B605B" w:rsidR="00542DFA" w:rsidRPr="002D269F" w:rsidRDefault="005873CB" w:rsidP="00542DFA">
      <w:pPr>
        <w:contextualSpacing/>
        <w:rPr>
          <w:rFonts w:eastAsia="Palatino Linotype" w:cs="Palatino Linotype"/>
          <w:b/>
        </w:rPr>
      </w:pPr>
      <w:r w:rsidRPr="002D269F">
        <w:rPr>
          <w:rFonts w:eastAsia="Palatino Linotype" w:cs="Palatino Linotype"/>
          <w:b/>
        </w:rPr>
        <w:lastRenderedPageBreak/>
        <w:t>Razones o Motivos de Inconformidad</w:t>
      </w:r>
      <w:r w:rsidR="00542DFA" w:rsidRPr="002D269F">
        <w:rPr>
          <w:rFonts w:eastAsia="Palatino Linotype" w:cs="Palatino Linotype"/>
          <w:b/>
        </w:rPr>
        <w:t xml:space="preserve">: </w:t>
      </w:r>
    </w:p>
    <w:p w14:paraId="3052263B" w14:textId="33F0EB86" w:rsidR="00542DFA" w:rsidRPr="002D269F" w:rsidRDefault="00053421" w:rsidP="75E1F584">
      <w:pPr>
        <w:pStyle w:val="Fundamentos"/>
        <w:rPr>
          <w:b/>
          <w:bCs/>
          <w:lang w:val="es-ES"/>
        </w:rPr>
      </w:pPr>
      <w:r w:rsidRPr="002D269F">
        <w:rPr>
          <w:lang w:val="es-ES"/>
        </w:rPr>
        <w:t>“</w:t>
      </w:r>
      <w:r w:rsidR="00B67F46" w:rsidRPr="002D269F">
        <w:rPr>
          <w:lang w:val="es-ES"/>
        </w:rPr>
        <w:t xml:space="preserve">Solicito se someta a recurso de revisión ya que la información no fue entregada,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Los recursos recaudados por la renta de las antenas de </w:t>
      </w:r>
      <w:proofErr w:type="spellStart"/>
      <w:r w:rsidR="00B67F46" w:rsidRPr="002D269F">
        <w:rPr>
          <w:lang w:val="es-ES"/>
        </w:rPr>
        <w:t>comunicacion</w:t>
      </w:r>
      <w:proofErr w:type="spellEnd"/>
      <w:r w:rsidR="00B67F46" w:rsidRPr="002D269F">
        <w:rPr>
          <w:lang w:val="es-ES"/>
        </w:rPr>
        <w:t xml:space="preserve"> en </w:t>
      </w:r>
      <w:proofErr w:type="spellStart"/>
      <w:r w:rsidR="00B67F46" w:rsidRPr="002D269F">
        <w:rPr>
          <w:lang w:val="es-ES"/>
        </w:rPr>
        <w:t>Jocotitlan</w:t>
      </w:r>
      <w:proofErr w:type="spellEnd"/>
      <w:r w:rsidR="00B67F46" w:rsidRPr="002D269F">
        <w:rPr>
          <w:lang w:val="es-ES"/>
        </w:rPr>
        <w:t xml:space="preserve"> son recursos que pertenecen al municipio de </w:t>
      </w:r>
      <w:proofErr w:type="spellStart"/>
      <w:r w:rsidR="00B67F46" w:rsidRPr="002D269F">
        <w:rPr>
          <w:lang w:val="es-ES"/>
        </w:rPr>
        <w:t>jocotitlàn</w:t>
      </w:r>
      <w:proofErr w:type="spellEnd"/>
      <w:r w:rsidR="00B67F46" w:rsidRPr="002D269F">
        <w:rPr>
          <w:lang w:val="es-ES"/>
        </w:rPr>
        <w:t xml:space="preserve"> por consecuente son </w:t>
      </w:r>
      <w:proofErr w:type="spellStart"/>
      <w:r w:rsidR="00B67F46" w:rsidRPr="002D269F">
        <w:rPr>
          <w:lang w:val="es-ES"/>
        </w:rPr>
        <w:t>publicos</w:t>
      </w:r>
      <w:proofErr w:type="spellEnd"/>
      <w:r w:rsidR="00B67F46" w:rsidRPr="002D269F">
        <w:rPr>
          <w:lang w:val="es-ES"/>
        </w:rPr>
        <w:t xml:space="preserve"> y la ley de transparencia </w:t>
      </w:r>
      <w:proofErr w:type="spellStart"/>
      <w:r w:rsidR="00B67F46" w:rsidRPr="002D269F">
        <w:rPr>
          <w:lang w:val="es-ES"/>
        </w:rPr>
        <w:t>enunucia</w:t>
      </w:r>
      <w:proofErr w:type="spellEnd"/>
      <w:r w:rsidR="00B67F46" w:rsidRPr="002D269F">
        <w:rPr>
          <w:lang w:val="es-ES"/>
        </w:rPr>
        <w:t xml:space="preserve">: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El coordinador de la </w:t>
      </w:r>
      <w:proofErr w:type="spellStart"/>
      <w:r w:rsidR="00B67F46" w:rsidRPr="002D269F">
        <w:rPr>
          <w:lang w:val="es-ES"/>
        </w:rPr>
        <w:t>consejeria</w:t>
      </w:r>
      <w:proofErr w:type="spellEnd"/>
      <w:r w:rsidR="00B67F46" w:rsidRPr="002D269F">
        <w:rPr>
          <w:lang w:val="es-ES"/>
        </w:rPr>
        <w:t xml:space="preserve"> </w:t>
      </w:r>
      <w:proofErr w:type="spellStart"/>
      <w:r w:rsidR="00B67F46" w:rsidRPr="002D269F">
        <w:rPr>
          <w:lang w:val="es-ES"/>
        </w:rPr>
        <w:t>juridica</w:t>
      </w:r>
      <w:proofErr w:type="spellEnd"/>
      <w:r w:rsidR="00B67F46" w:rsidRPr="002D269F">
        <w:rPr>
          <w:lang w:val="es-ES"/>
        </w:rPr>
        <w:t xml:space="preserve"> y consulta no es el sujeto obligado que tiene </w:t>
      </w:r>
      <w:proofErr w:type="spellStart"/>
      <w:r w:rsidR="00B67F46" w:rsidRPr="002D269F">
        <w:rPr>
          <w:lang w:val="es-ES"/>
        </w:rPr>
        <w:t>posesion</w:t>
      </w:r>
      <w:proofErr w:type="spellEnd"/>
      <w:r w:rsidR="00B67F46" w:rsidRPr="002D269F">
        <w:rPr>
          <w:lang w:val="es-ES"/>
        </w:rPr>
        <w:t xml:space="preserve"> de la </w:t>
      </w:r>
      <w:proofErr w:type="spellStart"/>
      <w:r w:rsidR="00B67F46" w:rsidRPr="002D269F">
        <w:rPr>
          <w:lang w:val="es-ES"/>
        </w:rPr>
        <w:t>informacion</w:t>
      </w:r>
      <w:proofErr w:type="spellEnd"/>
      <w:r w:rsidR="00B67F46" w:rsidRPr="002D269F">
        <w:rPr>
          <w:lang w:val="es-ES"/>
        </w:rPr>
        <w:t xml:space="preserve"> solicitada en el siguiente articulo le especifica su </w:t>
      </w:r>
      <w:proofErr w:type="spellStart"/>
      <w:r w:rsidR="00B67F46" w:rsidRPr="002D269F">
        <w:rPr>
          <w:lang w:val="es-ES"/>
        </w:rPr>
        <w:t>funcion</w:t>
      </w:r>
      <w:proofErr w:type="spellEnd"/>
      <w:r w:rsidR="00B67F46" w:rsidRPr="002D269F">
        <w:rPr>
          <w:lang w:val="es-ES"/>
        </w:rPr>
        <w:t xml:space="preserve">: </w:t>
      </w:r>
      <w:proofErr w:type="spellStart"/>
      <w:r w:rsidR="00B67F46" w:rsidRPr="002D269F">
        <w:rPr>
          <w:lang w:val="es-ES"/>
        </w:rPr>
        <w:t>XXIII.Ordenar</w:t>
      </w:r>
      <w:proofErr w:type="spellEnd"/>
      <w:r w:rsidR="00B67F46" w:rsidRPr="002D269F">
        <w:rPr>
          <w:lang w:val="es-ES"/>
        </w:rPr>
        <w:t xml:space="preserve">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deberán poner a disposición del público y mantener actualizada y accesible, en lo que resulte aplicable a cada contrato Argumento que la </w:t>
      </w:r>
      <w:proofErr w:type="spellStart"/>
      <w:r w:rsidR="00B67F46" w:rsidRPr="002D269F">
        <w:rPr>
          <w:lang w:val="es-ES"/>
        </w:rPr>
        <w:t>informacion</w:t>
      </w:r>
      <w:proofErr w:type="spellEnd"/>
      <w:r w:rsidR="00B67F46" w:rsidRPr="002D269F">
        <w:rPr>
          <w:lang w:val="es-ES"/>
        </w:rPr>
        <w:t xml:space="preserve"> brindada se encuentra sin fundamento legal para que sea </w:t>
      </w:r>
      <w:proofErr w:type="spellStart"/>
      <w:r w:rsidR="00B67F46" w:rsidRPr="002D269F">
        <w:rPr>
          <w:lang w:val="es-ES"/>
        </w:rPr>
        <w:t>informacion</w:t>
      </w:r>
      <w:proofErr w:type="spellEnd"/>
      <w:r w:rsidR="00B67F46" w:rsidRPr="002D269F">
        <w:rPr>
          <w:lang w:val="es-ES"/>
        </w:rPr>
        <w:t xml:space="preserve"> reservada y protegida ya que no existe prueba de daño como lo enuncia el Artículo 129. En la aplicación de la prueba de daño, el sujeto obligado deberá precisar las razones.</w:t>
      </w:r>
      <w:r w:rsidRPr="002D269F">
        <w:rPr>
          <w:lang w:val="es-ES"/>
        </w:rPr>
        <w:t>”</w:t>
      </w:r>
      <w:r w:rsidR="75E1F584" w:rsidRPr="002D269F">
        <w:rPr>
          <w:lang w:val="es-ES"/>
        </w:rPr>
        <w:t xml:space="preserve"> (Sic)</w:t>
      </w:r>
    </w:p>
    <w:p w14:paraId="657BA6DB" w14:textId="77777777" w:rsidR="00D144BC" w:rsidRPr="002D269F" w:rsidRDefault="00D144BC" w:rsidP="006922F5">
      <w:pPr>
        <w:pBdr>
          <w:top w:val="nil"/>
          <w:left w:val="nil"/>
          <w:bottom w:val="nil"/>
          <w:right w:val="nil"/>
          <w:between w:val="nil"/>
        </w:pBdr>
        <w:contextualSpacing/>
        <w:rPr>
          <w:rFonts w:eastAsia="Palatino Linotype" w:cs="Palatino Linotype"/>
          <w:color w:val="000000"/>
          <w:szCs w:val="24"/>
        </w:rPr>
      </w:pPr>
    </w:p>
    <w:p w14:paraId="11D7F189" w14:textId="4F4C6776" w:rsidR="00A970D5" w:rsidRPr="002D269F" w:rsidRDefault="00AF7A71" w:rsidP="006922F5">
      <w:pPr>
        <w:pStyle w:val="Ttulo2"/>
        <w:rPr>
          <w:rFonts w:eastAsia="Palatino Linotype"/>
        </w:rPr>
      </w:pPr>
      <w:r w:rsidRPr="002D269F">
        <w:rPr>
          <w:rFonts w:eastAsia="Palatino Linotype"/>
        </w:rPr>
        <w:lastRenderedPageBreak/>
        <w:t>CUAR</w:t>
      </w:r>
      <w:r w:rsidR="00EB47A3" w:rsidRPr="002D269F">
        <w:rPr>
          <w:rFonts w:eastAsia="Palatino Linotype"/>
        </w:rPr>
        <w:t>TO</w:t>
      </w:r>
      <w:r w:rsidR="00A970D5" w:rsidRPr="002D269F">
        <w:rPr>
          <w:rFonts w:eastAsia="Palatino Linotype"/>
        </w:rPr>
        <w:t>. Del turno y admisión del recurso de revisión.</w:t>
      </w:r>
    </w:p>
    <w:p w14:paraId="2459DEBA" w14:textId="5A74EADA" w:rsidR="00A970D5" w:rsidRPr="002D269F" w:rsidRDefault="75E1F584" w:rsidP="75E1F584">
      <w:pPr>
        <w:pBdr>
          <w:top w:val="nil"/>
          <w:left w:val="nil"/>
          <w:bottom w:val="nil"/>
          <w:right w:val="nil"/>
          <w:between w:val="nil"/>
        </w:pBdr>
        <w:contextualSpacing/>
        <w:rPr>
          <w:rFonts w:eastAsia="Palatino Linotype" w:cs="Palatino Linotype"/>
          <w:color w:val="000000"/>
          <w:lang w:val="es-ES"/>
        </w:rPr>
      </w:pPr>
      <w:r w:rsidRPr="002D269F">
        <w:rPr>
          <w:rFonts w:eastAsia="Palatino Linotype" w:cs="Palatino Linotype"/>
          <w:color w:val="000000" w:themeColor="text1"/>
          <w:lang w:val="es-ES"/>
        </w:rPr>
        <w:t xml:space="preserve">Medio de impugnación que le fue turnado al </w:t>
      </w:r>
      <w:r w:rsidRPr="002D269F">
        <w:rPr>
          <w:rFonts w:eastAsia="Palatino Linotype" w:cs="Palatino Linotype"/>
          <w:b/>
          <w:bCs/>
          <w:color w:val="000000" w:themeColor="text1"/>
          <w:lang w:val="es-ES"/>
        </w:rPr>
        <w:t>Comisionado Presidente José Martínez Vilchis</w:t>
      </w:r>
      <w:r w:rsidRPr="002D269F">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 admisión de fecha</w:t>
      </w:r>
      <w:r w:rsidR="00143CF0" w:rsidRPr="002D269F">
        <w:rPr>
          <w:rFonts w:eastAsia="Palatino Linotype" w:cs="Palatino Linotype"/>
          <w:color w:val="000000" w:themeColor="text1"/>
          <w:lang w:val="es-ES"/>
        </w:rPr>
        <w:t xml:space="preserve"> </w:t>
      </w:r>
      <w:r w:rsidR="00B67F46" w:rsidRPr="002D269F">
        <w:rPr>
          <w:rFonts w:eastAsia="Palatino Linotype" w:cs="Palatino Linotype"/>
          <w:color w:val="000000" w:themeColor="text1"/>
          <w:lang w:val="es-ES"/>
        </w:rPr>
        <w:t>primero de julio</w:t>
      </w:r>
      <w:r w:rsidR="0054426B" w:rsidRPr="002D269F">
        <w:rPr>
          <w:rFonts w:eastAsia="Palatino Linotype" w:cs="Palatino Linotype"/>
          <w:color w:val="000000" w:themeColor="text1"/>
          <w:lang w:val="es-ES"/>
        </w:rPr>
        <w:t xml:space="preserve"> de dos mil veinticinco</w:t>
      </w:r>
      <w:r w:rsidRPr="002D269F">
        <w:rPr>
          <w:rFonts w:eastAsia="Palatino Linotype" w:cs="Palatino Linotype"/>
          <w:color w:val="000000" w:themeColor="text1"/>
          <w:lang w:val="es-ES"/>
        </w:rPr>
        <w:t xml:space="preserve">, </w:t>
      </w:r>
      <w:r w:rsidRPr="002D269F">
        <w:rPr>
          <w:rFonts w:eastAsia="Palatino Linotype" w:cs="Palatino Linotype"/>
          <w:lang w:val="es-ES"/>
        </w:rPr>
        <w:t>otorgándose</w:t>
      </w:r>
      <w:r w:rsidRPr="002D269F">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04BE92AB" w:rsidR="00A970D5" w:rsidRPr="002D269F" w:rsidRDefault="00AF7A71" w:rsidP="006922F5">
      <w:pPr>
        <w:pStyle w:val="Ttulo2"/>
        <w:rPr>
          <w:rFonts w:eastAsia="Palatino Linotype"/>
        </w:rPr>
      </w:pPr>
      <w:r w:rsidRPr="002D269F">
        <w:rPr>
          <w:rFonts w:eastAsia="Palatino Linotype"/>
        </w:rPr>
        <w:t>QUIN</w:t>
      </w:r>
      <w:r w:rsidR="00F36B72" w:rsidRPr="002D269F">
        <w:rPr>
          <w:rFonts w:eastAsia="Palatino Linotype"/>
        </w:rPr>
        <w:t>TO</w:t>
      </w:r>
      <w:r w:rsidR="00A970D5" w:rsidRPr="002D269F">
        <w:rPr>
          <w:rFonts w:eastAsia="Palatino Linotype"/>
        </w:rPr>
        <w:t>. De la etapa de instrucción.</w:t>
      </w:r>
    </w:p>
    <w:p w14:paraId="3DDB9728" w14:textId="0E5B3EE5" w:rsidR="003A5E66" w:rsidRPr="002D269F" w:rsidRDefault="003A5E66" w:rsidP="003A5E66">
      <w:pPr>
        <w:rPr>
          <w:rFonts w:cs="Arial"/>
        </w:rPr>
      </w:pPr>
      <w:r w:rsidRPr="002D269F">
        <w:rPr>
          <w:rFonts w:cs="Arial"/>
        </w:rPr>
        <w:t xml:space="preserve">Así, una vez transcurrido el término legal referido, </w:t>
      </w:r>
      <w:r w:rsidRPr="002D269F">
        <w:rPr>
          <w:rFonts w:cs="Arial"/>
          <w:b/>
        </w:rPr>
        <w:t xml:space="preserve">El Sujeto Obligado </w:t>
      </w:r>
      <w:r w:rsidRPr="002D269F">
        <w:rPr>
          <w:rFonts w:cs="Arial"/>
        </w:rPr>
        <w:t xml:space="preserve">fue omiso en remitir su informe justificado; por otra parte, el </w:t>
      </w:r>
      <w:r w:rsidRPr="002D269F">
        <w:rPr>
          <w:rFonts w:cs="Arial"/>
          <w:b/>
        </w:rPr>
        <w:t>Recurrente</w:t>
      </w:r>
      <w:r w:rsidRPr="002D269F">
        <w:rPr>
          <w:rFonts w:cs="Arial"/>
        </w:rPr>
        <w:t>, tampoco remitió alegatos, pruebas o manifestaciones, de conformidad con la siguiente captura de pantalla:</w:t>
      </w:r>
    </w:p>
    <w:p w14:paraId="28845A36" w14:textId="77777777" w:rsidR="00B67F46" w:rsidRPr="002D269F" w:rsidRDefault="00B67F46" w:rsidP="003A5E66">
      <w:pPr>
        <w:rPr>
          <w:rFonts w:cs="Arial"/>
        </w:rPr>
      </w:pPr>
    </w:p>
    <w:p w14:paraId="2C42B70B" w14:textId="4BB366C6" w:rsidR="003A5E66" w:rsidRPr="002D269F" w:rsidRDefault="00B67F46" w:rsidP="003A5E66">
      <w:pPr>
        <w:rPr>
          <w:rFonts w:cs="Arial"/>
        </w:rPr>
      </w:pPr>
      <w:r w:rsidRPr="002D269F">
        <w:rPr>
          <w:rFonts w:cs="Arial"/>
          <w:noProof/>
          <w:lang w:val="es-MX"/>
        </w:rPr>
        <w:drawing>
          <wp:inline distT="0" distB="0" distL="0" distR="0" wp14:anchorId="55803227" wp14:editId="24BBBBC9">
            <wp:extent cx="5495925" cy="1663240"/>
            <wp:effectExtent l="190500" t="190500" r="180975" b="184785"/>
            <wp:docPr id="1599743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3441" name=""/>
                    <pic:cNvPicPr/>
                  </pic:nvPicPr>
                  <pic:blipFill>
                    <a:blip r:embed="rId8"/>
                    <a:stretch>
                      <a:fillRect/>
                    </a:stretch>
                  </pic:blipFill>
                  <pic:spPr>
                    <a:xfrm>
                      <a:off x="0" y="0"/>
                      <a:ext cx="5504795" cy="1665924"/>
                    </a:xfrm>
                    <a:prstGeom prst="rect">
                      <a:avLst/>
                    </a:prstGeom>
                    <a:ln>
                      <a:noFill/>
                    </a:ln>
                    <a:effectLst>
                      <a:outerShdw blurRad="190500" algn="tl" rotWithShape="0">
                        <a:srgbClr val="000000">
                          <a:alpha val="70000"/>
                        </a:srgbClr>
                      </a:outerShdw>
                    </a:effectLst>
                  </pic:spPr>
                </pic:pic>
              </a:graphicData>
            </a:graphic>
          </wp:inline>
        </w:drawing>
      </w:r>
    </w:p>
    <w:p w14:paraId="5B536618" w14:textId="7ED50870" w:rsidR="00C02596" w:rsidRPr="002D269F" w:rsidRDefault="00C02596" w:rsidP="006922F5">
      <w:pPr>
        <w:pBdr>
          <w:top w:val="nil"/>
          <w:left w:val="nil"/>
          <w:bottom w:val="nil"/>
          <w:right w:val="nil"/>
          <w:between w:val="nil"/>
        </w:pBdr>
        <w:contextualSpacing/>
        <w:rPr>
          <w:rFonts w:eastAsia="Palatino Linotype" w:cs="Palatino Linotype"/>
          <w:color w:val="000000"/>
          <w:szCs w:val="24"/>
        </w:rPr>
      </w:pPr>
    </w:p>
    <w:p w14:paraId="47FAB0BA" w14:textId="77777777" w:rsidR="003A5E66" w:rsidRPr="002D269F" w:rsidRDefault="003A5E66" w:rsidP="003A5E66">
      <w:pPr>
        <w:tabs>
          <w:tab w:val="left" w:pos="3206"/>
        </w:tabs>
        <w:rPr>
          <w:rFonts w:eastAsiaTheme="minorHAnsi" w:cs="Arial"/>
          <w:b/>
          <w:sz w:val="26"/>
          <w:szCs w:val="26"/>
          <w:lang w:val="es-MX" w:eastAsia="en-US"/>
        </w:rPr>
      </w:pPr>
      <w:r w:rsidRPr="002D269F">
        <w:rPr>
          <w:b/>
          <w:sz w:val="26"/>
          <w:szCs w:val="26"/>
        </w:rPr>
        <w:t>SEXTO</w:t>
      </w:r>
      <w:r w:rsidRPr="002D269F">
        <w:rPr>
          <w:rFonts w:eastAsiaTheme="minorHAnsi" w:cs="Arial"/>
          <w:b/>
          <w:sz w:val="26"/>
          <w:szCs w:val="26"/>
          <w:lang w:val="es-MX" w:eastAsia="en-US"/>
        </w:rPr>
        <w:t>. Del cierre de instrucción.</w:t>
      </w:r>
      <w:r w:rsidRPr="002D269F">
        <w:rPr>
          <w:rFonts w:eastAsiaTheme="minorHAnsi" w:cs="Arial"/>
          <w:b/>
          <w:sz w:val="26"/>
          <w:szCs w:val="26"/>
          <w:lang w:val="es-MX" w:eastAsia="en-US"/>
        </w:rPr>
        <w:tab/>
      </w:r>
    </w:p>
    <w:p w14:paraId="775AABCE" w14:textId="544F706F" w:rsidR="003A5E66" w:rsidRPr="002D269F" w:rsidRDefault="003A5E66" w:rsidP="003A5E66">
      <w:pPr>
        <w:rPr>
          <w:rFonts w:eastAsiaTheme="minorHAnsi" w:cs="Arial"/>
          <w:lang w:val="es-MX" w:eastAsia="en-US"/>
        </w:rPr>
      </w:pPr>
      <w:r w:rsidRPr="002D269F">
        <w:rPr>
          <w:rFonts w:eastAsiaTheme="minorHAnsi" w:cs="Arial"/>
          <w:lang w:val="es-MX" w:eastAsia="en-US"/>
        </w:rPr>
        <w:t xml:space="preserve">Así, una vez transcurrido el término legal, permitió decretarse el cierre de instrucción en fecha </w:t>
      </w:r>
      <w:r w:rsidR="00B67F46" w:rsidRPr="002D269F">
        <w:rPr>
          <w:rFonts w:eastAsiaTheme="minorHAnsi" w:cs="Arial"/>
          <w:lang w:val="es-MX" w:eastAsia="en-US"/>
        </w:rPr>
        <w:t>diecisiete de octubre</w:t>
      </w:r>
      <w:r w:rsidRPr="002D269F">
        <w:rPr>
          <w:rFonts w:eastAsiaTheme="minorHAnsi" w:cs="Arial"/>
          <w:lang w:val="es-MX" w:eastAsia="en-US"/>
        </w:rPr>
        <w:t xml:space="preserve"> del año en curso, en términos del artículo 185, Fracción VI, de </w:t>
      </w:r>
      <w:r w:rsidRPr="002D269F">
        <w:rPr>
          <w:rFonts w:eastAsiaTheme="minorHAnsi" w:cs="Arial"/>
          <w:lang w:val="es-MX" w:eastAsia="en-US"/>
        </w:rPr>
        <w:lastRenderedPageBreak/>
        <w:t>la Ley de Transparencia y Acceso a la Información Pública del Estado de México y Municipios, iniciando el término legal para dictar resolución definitiva del asunto.</w:t>
      </w:r>
    </w:p>
    <w:p w14:paraId="6C7DEEAD" w14:textId="77777777" w:rsidR="003A5E66" w:rsidRPr="002D269F" w:rsidRDefault="003A5E66" w:rsidP="003A5E66">
      <w:pPr>
        <w:rPr>
          <w:rFonts w:eastAsiaTheme="minorHAnsi" w:cs="Arial"/>
          <w:lang w:val="es-MX" w:eastAsia="en-US"/>
        </w:rPr>
      </w:pPr>
    </w:p>
    <w:p w14:paraId="363A51F8" w14:textId="77777777" w:rsidR="003A5E66" w:rsidRPr="002D269F" w:rsidRDefault="003A5E66" w:rsidP="003A5E66">
      <w:pPr>
        <w:pBdr>
          <w:top w:val="nil"/>
          <w:left w:val="nil"/>
          <w:bottom w:val="nil"/>
          <w:right w:val="nil"/>
          <w:between w:val="nil"/>
        </w:pBdr>
        <w:contextualSpacing/>
        <w:rPr>
          <w:b/>
          <w:sz w:val="26"/>
          <w:szCs w:val="26"/>
        </w:rPr>
      </w:pPr>
      <w:r w:rsidRPr="002D269F">
        <w:rPr>
          <w:b/>
          <w:sz w:val="26"/>
          <w:szCs w:val="26"/>
        </w:rPr>
        <w:t>SÉPTIMO. De la ampliación del término para resolver.</w:t>
      </w:r>
    </w:p>
    <w:p w14:paraId="766758F4" w14:textId="7586D642" w:rsidR="003A5E66" w:rsidRPr="002D269F" w:rsidRDefault="003A5E66" w:rsidP="003A5E66">
      <w:pPr>
        <w:rPr>
          <w:rFonts w:eastAsiaTheme="minorHAnsi" w:cs="Arial"/>
          <w:lang w:val="es-MX" w:eastAsia="en-US"/>
        </w:rPr>
      </w:pPr>
      <w:r w:rsidRPr="002D269F">
        <w:t xml:space="preserve">En fecha </w:t>
      </w:r>
      <w:r w:rsidR="00B67F46" w:rsidRPr="002D269F">
        <w:t>diecisiete de octubre</w:t>
      </w:r>
      <w:r w:rsidRPr="002D269F">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14C9DF9B" w14:textId="77777777" w:rsidR="006967F6" w:rsidRPr="002D269F" w:rsidRDefault="006967F6" w:rsidP="006922F5">
      <w:pPr>
        <w:pBdr>
          <w:top w:val="nil"/>
          <w:left w:val="nil"/>
          <w:bottom w:val="nil"/>
          <w:right w:val="nil"/>
          <w:between w:val="nil"/>
        </w:pBdr>
        <w:contextualSpacing/>
        <w:rPr>
          <w:rFonts w:eastAsiaTheme="minorHAnsi" w:cstheme="minorBidi"/>
          <w:szCs w:val="24"/>
          <w:lang w:eastAsia="en-US"/>
        </w:rPr>
      </w:pPr>
    </w:p>
    <w:p w14:paraId="6AAD64F6" w14:textId="77777777" w:rsidR="003A5E66" w:rsidRPr="002D269F" w:rsidRDefault="003A5E6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D269F" w:rsidRDefault="00A970D5" w:rsidP="006922F5">
      <w:pPr>
        <w:pStyle w:val="Ttulo1"/>
        <w:rPr>
          <w:rFonts w:eastAsia="Palatino Linotype"/>
          <w:lang w:val="es-ES_tradnl"/>
        </w:rPr>
      </w:pPr>
      <w:r w:rsidRPr="002D269F">
        <w:rPr>
          <w:rFonts w:eastAsia="Palatino Linotype"/>
          <w:lang w:val="es-ES_tradnl"/>
        </w:rPr>
        <w:t>C O N S I D E R A N D O</w:t>
      </w:r>
    </w:p>
    <w:p w14:paraId="32546275"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D269F" w:rsidRDefault="00A970D5" w:rsidP="006922F5">
      <w:pPr>
        <w:pStyle w:val="Ttulo2"/>
        <w:rPr>
          <w:rFonts w:eastAsia="Palatino Linotype"/>
        </w:rPr>
      </w:pPr>
      <w:r w:rsidRPr="002D269F">
        <w:rPr>
          <w:rFonts w:eastAsia="Palatino Linotype"/>
        </w:rPr>
        <w:t>PRIMERO. De la competencia.</w:t>
      </w:r>
    </w:p>
    <w:p w14:paraId="5FA40324" w14:textId="0B3911C5" w:rsidR="00A970D5" w:rsidRPr="002D269F" w:rsidRDefault="00B67F46"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196461" w14:textId="77777777" w:rsidR="00A970D5" w:rsidRPr="002D269F" w:rsidRDefault="00A970D5" w:rsidP="006922F5">
      <w:pPr>
        <w:pStyle w:val="Ttulo2"/>
        <w:rPr>
          <w:rFonts w:eastAsia="Palatino Linotype"/>
        </w:rPr>
      </w:pPr>
      <w:r w:rsidRPr="002D269F">
        <w:rPr>
          <w:rFonts w:eastAsia="Palatino Linotype"/>
        </w:rPr>
        <w:lastRenderedPageBreak/>
        <w:t xml:space="preserve">SEGUNDO. Sobre los alcances del recurso de revisión. </w:t>
      </w:r>
    </w:p>
    <w:p w14:paraId="132CB116" w14:textId="77777777" w:rsidR="00A970D5" w:rsidRPr="002D269F" w:rsidRDefault="00A970D5" w:rsidP="006922F5">
      <w:r w:rsidRPr="002D269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2D269F" w:rsidRDefault="0031280C" w:rsidP="006922F5">
      <w:pPr>
        <w:pBdr>
          <w:top w:val="nil"/>
          <w:left w:val="nil"/>
          <w:bottom w:val="nil"/>
          <w:right w:val="nil"/>
          <w:between w:val="nil"/>
        </w:pBdr>
        <w:contextualSpacing/>
        <w:rPr>
          <w:rFonts w:eastAsia="Palatino Linotype" w:cs="Palatino Linotype"/>
          <w:color w:val="000000"/>
          <w:szCs w:val="24"/>
        </w:rPr>
      </w:pPr>
    </w:p>
    <w:p w14:paraId="30DD9F9C" w14:textId="77777777" w:rsidR="00134C9B" w:rsidRPr="002D269F" w:rsidRDefault="00134C9B" w:rsidP="00134C9B">
      <w:pPr>
        <w:keepNext/>
        <w:keepLines/>
        <w:outlineLvl w:val="1"/>
        <w:rPr>
          <w:rFonts w:eastAsia="Palatino Linotype" w:cstheme="majorBidi"/>
          <w:b/>
          <w:color w:val="000000" w:themeColor="text1"/>
          <w:sz w:val="26"/>
          <w:szCs w:val="26"/>
        </w:rPr>
      </w:pPr>
      <w:r w:rsidRPr="002D269F">
        <w:rPr>
          <w:rFonts w:eastAsia="Palatino Linotype" w:cstheme="majorBidi"/>
          <w:b/>
          <w:color w:val="000000" w:themeColor="text1"/>
          <w:sz w:val="26"/>
          <w:szCs w:val="26"/>
        </w:rPr>
        <w:t>TERCERO. Cuestiones de previo y especial pronunciamiento.</w:t>
      </w:r>
    </w:p>
    <w:p w14:paraId="4140F139" w14:textId="77777777" w:rsidR="00134C9B" w:rsidRPr="002D269F" w:rsidRDefault="00134C9B" w:rsidP="00134C9B">
      <w:pPr>
        <w:contextualSpacing/>
        <w:rPr>
          <w:rFonts w:eastAsia="Palatino Linotype" w:cs="Palatino Linotype"/>
          <w:szCs w:val="24"/>
        </w:rPr>
      </w:pPr>
      <w:r w:rsidRPr="002D269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372F178" w14:textId="77777777" w:rsidR="00134C9B" w:rsidRPr="002D269F" w:rsidRDefault="00134C9B" w:rsidP="00134C9B">
      <w:pPr>
        <w:contextualSpacing/>
        <w:rPr>
          <w:rFonts w:eastAsia="Palatino Linotype" w:cs="Palatino Linotype"/>
          <w:szCs w:val="24"/>
        </w:rPr>
      </w:pPr>
    </w:p>
    <w:p w14:paraId="1BA679AA"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b/>
          <w:i/>
          <w:sz w:val="22"/>
        </w:rPr>
        <w:t xml:space="preserve">Artículo 180. </w:t>
      </w:r>
      <w:r w:rsidRPr="002D269F">
        <w:rPr>
          <w:rFonts w:eastAsia="Palatino Linotype" w:cs="Palatino Linotype"/>
          <w:i/>
          <w:sz w:val="22"/>
        </w:rPr>
        <w:t>El recurso de revisión contendrá:</w:t>
      </w:r>
    </w:p>
    <w:p w14:paraId="5C9625FB" w14:textId="77777777" w:rsidR="00134C9B" w:rsidRPr="002D269F" w:rsidRDefault="00134C9B" w:rsidP="00134C9B">
      <w:pPr>
        <w:spacing w:line="240" w:lineRule="auto"/>
        <w:ind w:left="567" w:right="567"/>
        <w:contextualSpacing/>
        <w:rPr>
          <w:rFonts w:eastAsia="Palatino Linotype" w:cs="Palatino Linotype"/>
          <w:i/>
          <w:sz w:val="22"/>
        </w:rPr>
      </w:pPr>
    </w:p>
    <w:p w14:paraId="073BE302"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I. El sujeto obligado ante la cual se presentó la solicitud;</w:t>
      </w:r>
    </w:p>
    <w:p w14:paraId="1F806885"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b/>
          <w:i/>
          <w:sz w:val="22"/>
        </w:rPr>
        <w:t>II. El nombre del solicitante que recurre</w:t>
      </w:r>
      <w:r w:rsidRPr="002D269F">
        <w:rPr>
          <w:rFonts w:eastAsia="Palatino Linotype" w:cs="Palatino Linotype"/>
          <w:i/>
          <w:sz w:val="22"/>
        </w:rPr>
        <w:t xml:space="preserve"> o de su representante y, en su caso, del tercero interesado, así como la dirección o medio que señale para recibir notificaciones;</w:t>
      </w:r>
    </w:p>
    <w:p w14:paraId="1C3670EA"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III. El número de folio de respuesta de la solicitud de acceso;</w:t>
      </w:r>
    </w:p>
    <w:p w14:paraId="6F967621"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IV. La fecha en que fue notificada la respuesta al solicitante o tuvo conocimiento del acto reclamado, o de presentación de la solicitud, en caso de falta de respuesta;</w:t>
      </w:r>
    </w:p>
    <w:p w14:paraId="7A3EC7DF"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V. El acto que se recurre;</w:t>
      </w:r>
    </w:p>
    <w:p w14:paraId="5586A7D4"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VI. Las razones o motivos de inconformidad;</w:t>
      </w:r>
    </w:p>
    <w:p w14:paraId="29E1468F"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VII. La copia de la respuesta que se impugna y, en su caso, de la notificación correspondiente, en el caso de respuesta de la solicitud; y</w:t>
      </w:r>
    </w:p>
    <w:p w14:paraId="425CADEC"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VIII. Firma del recurrente, en su caso, cuando se presente por escrito, requisito sin el cual se dará trámite al recurso.</w:t>
      </w:r>
    </w:p>
    <w:p w14:paraId="788905A1" w14:textId="77777777" w:rsidR="00134C9B" w:rsidRPr="002D269F" w:rsidRDefault="00134C9B" w:rsidP="00134C9B">
      <w:pPr>
        <w:spacing w:line="240" w:lineRule="auto"/>
        <w:ind w:left="567" w:right="567"/>
        <w:contextualSpacing/>
        <w:rPr>
          <w:rFonts w:eastAsia="Palatino Linotype" w:cs="Palatino Linotype"/>
          <w:i/>
          <w:sz w:val="22"/>
        </w:rPr>
      </w:pPr>
    </w:p>
    <w:p w14:paraId="3BA9FBF5"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lastRenderedPageBreak/>
        <w:t>Adicionalmente, se podrán anexar las pruebas y demás elementos que considere procedentes someter a juicio del Instituto.</w:t>
      </w:r>
    </w:p>
    <w:p w14:paraId="0333B342" w14:textId="77777777" w:rsidR="00134C9B" w:rsidRPr="002D269F" w:rsidRDefault="00134C9B" w:rsidP="00134C9B">
      <w:pPr>
        <w:spacing w:line="240" w:lineRule="auto"/>
        <w:ind w:left="567" w:right="567"/>
        <w:contextualSpacing/>
        <w:rPr>
          <w:rFonts w:eastAsia="Palatino Linotype" w:cs="Palatino Linotype"/>
          <w:i/>
          <w:sz w:val="22"/>
        </w:rPr>
      </w:pPr>
    </w:p>
    <w:p w14:paraId="7170A8DD" w14:textId="77777777" w:rsidR="00134C9B" w:rsidRPr="002D269F" w:rsidRDefault="00134C9B" w:rsidP="00134C9B">
      <w:pPr>
        <w:spacing w:line="240" w:lineRule="auto"/>
        <w:ind w:left="567" w:right="567"/>
        <w:contextualSpacing/>
        <w:rPr>
          <w:rFonts w:eastAsia="Palatino Linotype" w:cs="Palatino Linotype"/>
          <w:i/>
          <w:sz w:val="22"/>
        </w:rPr>
      </w:pPr>
      <w:r w:rsidRPr="002D269F">
        <w:rPr>
          <w:rFonts w:eastAsia="Palatino Linotype" w:cs="Palatino Linotype"/>
          <w:i/>
          <w:sz w:val="22"/>
        </w:rPr>
        <w:t>En ningún caso será necesario que el particular ratifique el recurso de revisión interpuesto.</w:t>
      </w:r>
    </w:p>
    <w:p w14:paraId="0A0B27D8" w14:textId="77777777" w:rsidR="00134C9B" w:rsidRPr="002D269F" w:rsidRDefault="00134C9B" w:rsidP="00134C9B">
      <w:pPr>
        <w:spacing w:line="240" w:lineRule="auto"/>
        <w:ind w:left="567" w:right="567"/>
        <w:contextualSpacing/>
        <w:rPr>
          <w:rFonts w:eastAsia="Palatino Linotype" w:cs="Palatino Linotype"/>
          <w:i/>
          <w:sz w:val="22"/>
        </w:rPr>
      </w:pPr>
    </w:p>
    <w:p w14:paraId="69042FC1" w14:textId="77777777" w:rsidR="00134C9B" w:rsidRPr="002D269F" w:rsidRDefault="00134C9B" w:rsidP="00134C9B">
      <w:pPr>
        <w:spacing w:line="240" w:lineRule="auto"/>
        <w:ind w:left="567" w:right="567"/>
        <w:contextualSpacing/>
        <w:rPr>
          <w:rFonts w:eastAsia="Palatino Linotype" w:cs="Palatino Linotype"/>
          <w:i/>
          <w:iCs/>
          <w:sz w:val="22"/>
          <w:lang w:val="es-ES"/>
        </w:rPr>
      </w:pPr>
      <w:r w:rsidRPr="002D269F">
        <w:rPr>
          <w:rFonts w:eastAsia="Palatino Linotype" w:cs="Palatino Linotype"/>
          <w:b/>
          <w:bCs/>
          <w:i/>
          <w:iCs/>
          <w:sz w:val="22"/>
          <w:lang w:val="es-ES"/>
        </w:rPr>
        <w:t>En caso de que el recurso se interponga de manera electrónica no será indispensable que contengan los requisitos establecidos en las fracciones II</w:t>
      </w:r>
      <w:r w:rsidRPr="002D269F">
        <w:rPr>
          <w:rFonts w:eastAsia="Palatino Linotype" w:cs="Palatino Linotype"/>
          <w:i/>
          <w:iCs/>
          <w:sz w:val="22"/>
          <w:lang w:val="es-ES"/>
        </w:rPr>
        <w:t>, IV, VII y VIII.</w:t>
      </w:r>
    </w:p>
    <w:p w14:paraId="60A8F858" w14:textId="77777777" w:rsidR="00134C9B" w:rsidRPr="002D269F" w:rsidRDefault="00134C9B" w:rsidP="00134C9B">
      <w:pPr>
        <w:contextualSpacing/>
        <w:rPr>
          <w:rFonts w:eastAsia="Palatino Linotype" w:cs="Palatino Linotype"/>
          <w:bCs/>
          <w:iCs/>
          <w:szCs w:val="24"/>
        </w:rPr>
      </w:pPr>
    </w:p>
    <w:p w14:paraId="66DCF0E6" w14:textId="08B2C4A4" w:rsidR="003A5E66" w:rsidRPr="002D269F" w:rsidRDefault="00134C9B" w:rsidP="003A5E66">
      <w:pPr>
        <w:contextualSpacing/>
        <w:rPr>
          <w:rFonts w:eastAsia="Palatino Linotype" w:cs="Palatino Linotype"/>
          <w:szCs w:val="24"/>
        </w:rPr>
      </w:pPr>
      <w:r w:rsidRPr="002D269F">
        <w:rPr>
          <w:rFonts w:eastAsia="Palatino Linotype" w:cs="Palatino Linotype"/>
          <w:szCs w:val="24"/>
        </w:rPr>
        <w:t xml:space="preserve">Cabe señalar que el hoy Recurrente se identificó como </w:t>
      </w:r>
      <w:r w:rsidR="00E54355" w:rsidRPr="002D269F">
        <w:rPr>
          <w:rFonts w:eastAsia="Palatino Linotype" w:cs="Palatino Linotype"/>
          <w:b/>
          <w:bCs/>
          <w:szCs w:val="24"/>
        </w:rPr>
        <w:t>“</w:t>
      </w:r>
      <w:r w:rsidR="00350032">
        <w:rPr>
          <w:rFonts w:eastAsia="Palatino Linotype" w:cs="Palatino Linotype"/>
          <w:b/>
          <w:bCs/>
          <w:szCs w:val="24"/>
        </w:rPr>
        <w:t>XXXXXXXXXXXX</w:t>
      </w:r>
      <w:r w:rsidR="008E5EA8" w:rsidRPr="002D269F">
        <w:rPr>
          <w:rFonts w:eastAsia="Palatino Linotype" w:cs="Palatino Linotype"/>
          <w:b/>
          <w:bCs/>
          <w:szCs w:val="24"/>
        </w:rPr>
        <w:t xml:space="preserve"> </w:t>
      </w:r>
      <w:r w:rsidR="00350032">
        <w:rPr>
          <w:rFonts w:eastAsia="Palatino Linotype" w:cs="Palatino Linotype"/>
          <w:b/>
          <w:bCs/>
          <w:szCs w:val="24"/>
        </w:rPr>
        <w:t>XXXXXXXXXX</w:t>
      </w:r>
      <w:bookmarkStart w:id="0" w:name="_GoBack"/>
      <w:bookmarkEnd w:id="0"/>
      <w:r w:rsidR="00E54355" w:rsidRPr="002D269F">
        <w:rPr>
          <w:rFonts w:eastAsia="Palatino Linotype" w:cs="Palatino Linotype"/>
          <w:b/>
          <w:bCs/>
          <w:szCs w:val="24"/>
        </w:rPr>
        <w:t>”</w:t>
      </w:r>
      <w:r w:rsidRPr="002D269F">
        <w:rPr>
          <w:rFonts w:eastAsia="Palatino Linotype" w:cs="Palatino Linotype"/>
          <w:szCs w:val="24"/>
        </w:rPr>
        <w:t xml:space="preserve">; no obstante, </w:t>
      </w:r>
      <w:r w:rsidR="003A5E66" w:rsidRPr="002D269F">
        <w:rPr>
          <w:rFonts w:eastAsia="Times New Roman" w:cs="Palatino Linotype"/>
          <w:szCs w:val="24"/>
        </w:rPr>
        <w:t>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512A37C"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Artículo 155.</w:t>
      </w:r>
      <w:r w:rsidRPr="002D269F">
        <w:rPr>
          <w:rFonts w:eastAsia="Times New Roman" w:cs="Palatino Linotype"/>
          <w:i/>
        </w:rPr>
        <w:t xml:space="preserve"> […]</w:t>
      </w:r>
    </w:p>
    <w:p w14:paraId="7716B684" w14:textId="77777777" w:rsidR="003A5E66" w:rsidRPr="002D269F" w:rsidRDefault="003A5E66" w:rsidP="003A5E66">
      <w:pPr>
        <w:spacing w:line="240" w:lineRule="auto"/>
        <w:ind w:left="567" w:right="567"/>
        <w:contextualSpacing/>
        <w:rPr>
          <w:rFonts w:eastAsia="Times New Roman" w:cs="Palatino Linotype"/>
          <w:i/>
        </w:rPr>
      </w:pPr>
    </w:p>
    <w:p w14:paraId="3D64EA6D"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Las solicitudes anónimas</w:t>
      </w:r>
      <w:r w:rsidRPr="002D269F">
        <w:rPr>
          <w:rFonts w:eastAsia="Times New Roman" w:cs="Palatino Linotype"/>
          <w:i/>
        </w:rPr>
        <w:t xml:space="preserve">, con nombre incompleto o seudónimo </w:t>
      </w:r>
      <w:r w:rsidRPr="002D269F">
        <w:rPr>
          <w:rFonts w:eastAsia="Times New Roman" w:cs="Palatino Linotype"/>
          <w:b/>
          <w:i/>
        </w:rPr>
        <w:t>serán procedentes para su trámite</w:t>
      </w:r>
      <w:r w:rsidRPr="002D269F">
        <w:rPr>
          <w:rFonts w:eastAsia="Times New Roman" w:cs="Palatino Linotype"/>
          <w:i/>
        </w:rPr>
        <w:t xml:space="preserve"> por parte del sujeto obligado ante quien se presente. No podrá requerirse información adicional con motivo del nombre proporcionado por el solicitante.</w:t>
      </w:r>
    </w:p>
    <w:p w14:paraId="638236D4" w14:textId="77777777" w:rsidR="003A5E66" w:rsidRPr="002D269F" w:rsidRDefault="003A5E66" w:rsidP="003A5E66">
      <w:pPr>
        <w:contextualSpacing/>
        <w:rPr>
          <w:rFonts w:eastAsia="Times New Roman" w:cs="Palatino Linotype"/>
          <w:szCs w:val="24"/>
        </w:rPr>
      </w:pPr>
    </w:p>
    <w:p w14:paraId="157E5E0D" w14:textId="77777777" w:rsidR="003A5E66" w:rsidRPr="002D269F" w:rsidRDefault="003A5E66" w:rsidP="003A5E66">
      <w:pPr>
        <w:contextualSpacing/>
        <w:rPr>
          <w:rFonts w:eastAsia="Times New Roman" w:cs="Palatino Linotype"/>
          <w:szCs w:val="24"/>
        </w:rPr>
      </w:pPr>
      <w:r w:rsidRPr="002D269F">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BEAD5F1" w14:textId="77777777" w:rsidR="003A5E66" w:rsidRPr="002D269F" w:rsidRDefault="003A5E66" w:rsidP="003A5E66">
      <w:pPr>
        <w:contextualSpacing/>
        <w:rPr>
          <w:rFonts w:eastAsia="Times New Roman" w:cs="Palatino Linotype"/>
          <w:szCs w:val="24"/>
        </w:rPr>
      </w:pPr>
    </w:p>
    <w:p w14:paraId="6B1E4162" w14:textId="77777777" w:rsidR="003A5E66" w:rsidRPr="002D269F" w:rsidRDefault="003A5E66" w:rsidP="003A5E66">
      <w:pPr>
        <w:spacing w:line="240" w:lineRule="auto"/>
        <w:ind w:left="567" w:right="567"/>
        <w:contextualSpacing/>
        <w:jc w:val="center"/>
        <w:rPr>
          <w:rFonts w:eastAsia="Times New Roman" w:cs="Palatino Linotype"/>
          <w:b/>
          <w:i/>
          <w:u w:val="single"/>
        </w:rPr>
      </w:pPr>
      <w:r w:rsidRPr="002D269F">
        <w:rPr>
          <w:rFonts w:eastAsia="Times New Roman" w:cs="Palatino Linotype"/>
          <w:b/>
          <w:i/>
          <w:u w:val="single"/>
        </w:rPr>
        <w:t>Constitución Política de los Estados Unidos Mexicanos</w:t>
      </w:r>
    </w:p>
    <w:p w14:paraId="02BF4DB5"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b/>
          <w:bCs/>
          <w:i/>
          <w:iCs/>
        </w:rPr>
        <w:t>Artículo 6</w:t>
      </w:r>
      <w:r w:rsidRPr="002D269F">
        <w:rPr>
          <w:rFonts w:eastAsia="Times New Roman" w:cs="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2D269F">
        <w:rPr>
          <w:rFonts w:eastAsia="Times New Roman" w:cs="Palatino Linotype"/>
          <w:i/>
          <w:iCs/>
        </w:rPr>
        <w:lastRenderedPageBreak/>
        <w:t>réplica será ejercido en los términos dispuestos por la ley. El derecho a la información será garantizado por el Estado.</w:t>
      </w:r>
    </w:p>
    <w:p w14:paraId="0014CB09"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38BDC72E"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 xml:space="preserve">Para efectos de lo dispuesto en el presente artículo se observará lo siguiente: </w:t>
      </w:r>
    </w:p>
    <w:p w14:paraId="638EEEF1" w14:textId="77777777" w:rsidR="003A5E66" w:rsidRPr="002D269F" w:rsidRDefault="003A5E66" w:rsidP="003A5E66">
      <w:pPr>
        <w:spacing w:line="240" w:lineRule="auto"/>
        <w:ind w:left="567" w:right="567"/>
        <w:contextualSpacing/>
        <w:rPr>
          <w:rFonts w:eastAsia="Times New Roman" w:cs="Palatino Linotype"/>
          <w:i/>
        </w:rPr>
      </w:pPr>
    </w:p>
    <w:p w14:paraId="7D718E81"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0874EDD7"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08D51811"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7208F82C"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5D25B26F" w14:textId="77777777" w:rsidR="003A5E66" w:rsidRPr="002D269F" w:rsidRDefault="003A5E66" w:rsidP="003A5E66">
      <w:pPr>
        <w:spacing w:line="240" w:lineRule="auto"/>
        <w:ind w:left="567" w:right="567"/>
        <w:contextualSpacing/>
        <w:rPr>
          <w:rFonts w:eastAsia="Times New Roman" w:cs="Palatino Linotype"/>
          <w:i/>
        </w:rPr>
      </w:pPr>
    </w:p>
    <w:p w14:paraId="0A3B2F4F" w14:textId="77777777" w:rsidR="003A5E66" w:rsidRPr="002D269F" w:rsidRDefault="003A5E66" w:rsidP="003A5E66">
      <w:pPr>
        <w:spacing w:line="240" w:lineRule="auto"/>
        <w:ind w:left="567" w:right="567"/>
        <w:contextualSpacing/>
        <w:jc w:val="center"/>
        <w:rPr>
          <w:rFonts w:eastAsia="Times New Roman" w:cs="Palatino Linotype"/>
          <w:b/>
          <w:i/>
          <w:u w:val="single"/>
        </w:rPr>
      </w:pPr>
      <w:r w:rsidRPr="002D269F">
        <w:rPr>
          <w:rFonts w:eastAsia="Times New Roman" w:cs="Palatino Linotype"/>
          <w:b/>
          <w:i/>
          <w:u w:val="single"/>
        </w:rPr>
        <w:t>Constitución Política del Estado Libre y Soberano de México</w:t>
      </w:r>
    </w:p>
    <w:p w14:paraId="1B929B28"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Artículo 5</w:t>
      </w:r>
      <w:r w:rsidRPr="002D269F">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56FC82"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3E220329"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39E00001"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616D0479"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2E517531" w14:textId="77777777" w:rsidR="003A5E66" w:rsidRPr="002D269F" w:rsidRDefault="003A5E66" w:rsidP="003A5E66">
      <w:pPr>
        <w:spacing w:line="240" w:lineRule="auto"/>
        <w:ind w:left="567" w:right="567"/>
        <w:contextualSpacing/>
        <w:rPr>
          <w:rFonts w:eastAsia="Times New Roman" w:cs="Palatino Linotype"/>
          <w:i/>
        </w:rPr>
      </w:pPr>
    </w:p>
    <w:p w14:paraId="0609AD79"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i/>
          <w:iCs/>
        </w:rPr>
        <w:t xml:space="preserve">Para garantizar el ejercicio del derecho de transparencia, acceso a la información pública y protección de datos personales, los poderes públicos y los organismos </w:t>
      </w:r>
      <w:r w:rsidRPr="002D269F">
        <w:rPr>
          <w:rFonts w:eastAsia="Times New Roman" w:cs="Palatino Linotype"/>
          <w:i/>
          <w:iCs/>
        </w:rPr>
        <w:lastRenderedPageBreak/>
        <w:t xml:space="preserve">autónomos, transparentarán sus acciones, en términos de las disposiciones aplicables, la información será oportuna, clara, veraz y de fácil acceso. </w:t>
      </w:r>
    </w:p>
    <w:p w14:paraId="3C50B82D" w14:textId="77777777" w:rsidR="003A5E66" w:rsidRPr="002D269F" w:rsidRDefault="003A5E66" w:rsidP="003A5E66">
      <w:pPr>
        <w:spacing w:line="240" w:lineRule="auto"/>
        <w:ind w:left="567" w:right="567"/>
        <w:contextualSpacing/>
        <w:rPr>
          <w:rFonts w:eastAsia="Times New Roman" w:cs="Palatino Linotype"/>
          <w:i/>
        </w:rPr>
      </w:pPr>
    </w:p>
    <w:p w14:paraId="7FB6592E"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Este derecho se regirá por los principios y bases siguientes:</w:t>
      </w:r>
    </w:p>
    <w:p w14:paraId="11883AD1"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32451634"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III.</w:t>
      </w:r>
      <w:r w:rsidRPr="002D269F">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1F719E29"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IV.</w:t>
      </w:r>
      <w:r w:rsidRPr="002D269F">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64CD597E"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i/>
        </w:rPr>
        <w:t>[…]</w:t>
      </w:r>
    </w:p>
    <w:p w14:paraId="34EF255E"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VIII.</w:t>
      </w:r>
      <w:r w:rsidRPr="002D269F">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57964E2" w14:textId="77777777" w:rsidR="003A5E66" w:rsidRPr="002D269F" w:rsidRDefault="003A5E66" w:rsidP="003A5E66">
      <w:pPr>
        <w:ind w:right="49"/>
        <w:contextualSpacing/>
        <w:rPr>
          <w:rFonts w:eastAsia="Times New Roman" w:cs="Palatino Linotype"/>
          <w:szCs w:val="24"/>
        </w:rPr>
      </w:pPr>
      <w:r w:rsidRPr="002D269F">
        <w:rPr>
          <w:rFonts w:eastAsia="Times New Roman" w:cs="Palatino Linotype"/>
          <w:szCs w:val="24"/>
        </w:rPr>
        <w:t>Por otra parte, del contenido del artículo 1 de la Constitución Política de los Estados Unidos Mexicanos, se destaca lo siguiente:</w:t>
      </w:r>
    </w:p>
    <w:p w14:paraId="2D2014DC" w14:textId="77777777" w:rsidR="003A5E66" w:rsidRPr="002D269F" w:rsidRDefault="003A5E66" w:rsidP="003A5E66">
      <w:pPr>
        <w:ind w:right="49"/>
        <w:contextualSpacing/>
        <w:rPr>
          <w:rFonts w:eastAsia="Times New Roman" w:cs="Palatino Linotype"/>
          <w:szCs w:val="24"/>
        </w:rPr>
      </w:pPr>
    </w:p>
    <w:p w14:paraId="42CCFED5" w14:textId="77777777" w:rsidR="003A5E66" w:rsidRPr="002D269F" w:rsidRDefault="003A5E66" w:rsidP="003A5E66">
      <w:pPr>
        <w:spacing w:line="240" w:lineRule="auto"/>
        <w:ind w:left="567" w:right="567"/>
        <w:contextualSpacing/>
        <w:rPr>
          <w:rFonts w:eastAsia="Times New Roman" w:cs="Palatino Linotype"/>
          <w:i/>
        </w:rPr>
      </w:pPr>
      <w:r w:rsidRPr="002D269F">
        <w:rPr>
          <w:rFonts w:eastAsia="Times New Roman" w:cs="Palatino Linotype"/>
          <w:b/>
          <w:i/>
        </w:rPr>
        <w:t>Artículo 1o</w:t>
      </w:r>
      <w:r w:rsidRPr="002D269F">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591316" w14:textId="77777777" w:rsidR="003A5E66" w:rsidRPr="002D269F" w:rsidRDefault="003A5E66" w:rsidP="003A5E66">
      <w:pPr>
        <w:spacing w:line="240" w:lineRule="auto"/>
        <w:ind w:left="567" w:right="567"/>
        <w:contextualSpacing/>
        <w:rPr>
          <w:rFonts w:eastAsia="Times New Roman" w:cs="Palatino Linotype"/>
          <w:i/>
        </w:rPr>
      </w:pPr>
    </w:p>
    <w:p w14:paraId="6D3E076F"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7FB0225C" w14:textId="77777777" w:rsidR="003A5E66" w:rsidRPr="002D269F" w:rsidRDefault="003A5E66" w:rsidP="003A5E66">
      <w:pPr>
        <w:spacing w:line="240" w:lineRule="auto"/>
        <w:ind w:left="567" w:right="567"/>
        <w:contextualSpacing/>
        <w:rPr>
          <w:rFonts w:eastAsia="Times New Roman" w:cs="Palatino Linotype"/>
          <w:i/>
        </w:rPr>
      </w:pPr>
    </w:p>
    <w:p w14:paraId="23231923" w14:textId="77777777" w:rsidR="003A5E66" w:rsidRPr="002D269F" w:rsidRDefault="003A5E66" w:rsidP="003A5E66">
      <w:pPr>
        <w:spacing w:line="240" w:lineRule="auto"/>
        <w:ind w:left="567" w:right="567"/>
        <w:contextualSpacing/>
        <w:rPr>
          <w:rFonts w:eastAsia="Times New Roman" w:cs="Palatino Linotype"/>
          <w:i/>
          <w:iCs/>
        </w:rPr>
      </w:pPr>
      <w:r w:rsidRPr="002D269F">
        <w:rPr>
          <w:rFonts w:eastAsia="Times New Roman" w:cs="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2D269F">
        <w:rPr>
          <w:rFonts w:eastAsia="Times New Roman" w:cs="Palatino Linotype"/>
          <w:i/>
          <w:iCs/>
        </w:rPr>
        <w:lastRenderedPageBreak/>
        <w:t>consecuencia, el Estado deberá prevenir, investigar, sancionar y reparar las violaciones a los derechos humanos, en los términos que establezca la ley.</w:t>
      </w:r>
    </w:p>
    <w:p w14:paraId="148814FB" w14:textId="77777777" w:rsidR="003A5E66" w:rsidRPr="002D269F" w:rsidRDefault="003A5E66" w:rsidP="003A5E66">
      <w:pPr>
        <w:rPr>
          <w:rFonts w:eastAsia="Times New Roman"/>
        </w:rPr>
      </w:pPr>
    </w:p>
    <w:p w14:paraId="43999CAD" w14:textId="77777777" w:rsidR="003A5E66" w:rsidRPr="002D269F" w:rsidRDefault="003A5E66" w:rsidP="003A5E66">
      <w:pPr>
        <w:rPr>
          <w:rFonts w:eastAsia="Times New Roman" w:cs="Palatino Linotype"/>
          <w:szCs w:val="24"/>
        </w:rPr>
      </w:pPr>
      <w:r w:rsidRPr="002D269F">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71C7B3A" w14:textId="77777777" w:rsidR="003A5E66" w:rsidRPr="002D269F" w:rsidRDefault="003A5E66" w:rsidP="003A5E66">
      <w:pPr>
        <w:rPr>
          <w:rFonts w:eastAsia="Times New Roman" w:cs="Palatino Linotype"/>
          <w:szCs w:val="24"/>
        </w:rPr>
      </w:pPr>
    </w:p>
    <w:p w14:paraId="1AB04CDE" w14:textId="77777777" w:rsidR="003A5E66" w:rsidRPr="002D269F" w:rsidRDefault="003A5E66" w:rsidP="003A5E66">
      <w:pPr>
        <w:pStyle w:val="Prrafodelista"/>
        <w:autoSpaceDE w:val="0"/>
        <w:autoSpaceDN w:val="0"/>
        <w:adjustRightInd w:val="0"/>
        <w:ind w:left="0"/>
        <w:rPr>
          <w:rFonts w:cs="Arial"/>
        </w:rPr>
      </w:pPr>
      <w:r w:rsidRPr="002D269F">
        <w:rPr>
          <w:rFonts w:cs="Palatino Linotype"/>
          <w:color w:val="000000"/>
          <w:lang w:val="es-ES_tradnl" w:eastAsia="es-MX"/>
        </w:rPr>
        <w:t xml:space="preserve">En conclusión, se cubrieron los requisitos de procedencia y </w:t>
      </w:r>
      <w:proofErr w:type="spellStart"/>
      <w:r w:rsidRPr="002D269F">
        <w:rPr>
          <w:rFonts w:cs="Palatino Linotype"/>
          <w:color w:val="000000"/>
          <w:lang w:val="es-ES_tradnl" w:eastAsia="es-MX"/>
        </w:rPr>
        <w:t>procedibilidad</w:t>
      </w:r>
      <w:proofErr w:type="spellEnd"/>
      <w:r w:rsidRPr="002D269F">
        <w:rPr>
          <w:rFonts w:cs="Palatino Linotype"/>
          <w:color w:val="000000"/>
          <w:lang w:val="es-ES_tradnl" w:eastAsia="es-MX"/>
        </w:rPr>
        <w:t xml:space="preserve"> y conforme a las constancias que obran en el expediente.</w:t>
      </w:r>
    </w:p>
    <w:p w14:paraId="5D88BE06" w14:textId="77777777" w:rsidR="001421BE" w:rsidRPr="002D269F" w:rsidRDefault="001421BE" w:rsidP="006922F5">
      <w:pPr>
        <w:pBdr>
          <w:top w:val="nil"/>
          <w:left w:val="nil"/>
          <w:bottom w:val="nil"/>
          <w:right w:val="nil"/>
          <w:between w:val="nil"/>
        </w:pBdr>
        <w:contextualSpacing/>
        <w:rPr>
          <w:rFonts w:eastAsia="Palatino Linotype" w:cs="Palatino Linotype"/>
          <w:color w:val="000000"/>
          <w:szCs w:val="24"/>
        </w:rPr>
      </w:pPr>
    </w:p>
    <w:p w14:paraId="13B28D16" w14:textId="423173E1" w:rsidR="006967F6" w:rsidRPr="002D269F" w:rsidRDefault="00DF5666" w:rsidP="006967F6">
      <w:pPr>
        <w:pStyle w:val="Ttulo2"/>
        <w:rPr>
          <w:rFonts w:eastAsia="Palatino Linotype"/>
        </w:rPr>
      </w:pPr>
      <w:r w:rsidRPr="002D269F">
        <w:rPr>
          <w:rFonts w:eastAsia="Palatino Linotype"/>
        </w:rPr>
        <w:t>CUARTO</w:t>
      </w:r>
      <w:r w:rsidR="00A970D5" w:rsidRPr="002D269F">
        <w:rPr>
          <w:rFonts w:eastAsia="Palatino Linotype"/>
        </w:rPr>
        <w:t>. De las causas de improcedencia.</w:t>
      </w:r>
    </w:p>
    <w:p w14:paraId="555D16DA" w14:textId="77777777" w:rsidR="00B728EA" w:rsidRPr="002D269F" w:rsidRDefault="00B728EA" w:rsidP="00B728EA">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2D269F">
        <w:rPr>
          <w:rFonts w:eastAsia="Palatino Linotype" w:cs="Palatino Linotype"/>
          <w:color w:val="000000"/>
          <w:szCs w:val="24"/>
        </w:rPr>
        <w:t>procedibilidad</w:t>
      </w:r>
      <w:proofErr w:type="spellEnd"/>
      <w:r w:rsidRPr="002D269F">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2D269F"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2D269F" w:rsidRDefault="00B728EA" w:rsidP="75E1F584">
      <w:pPr>
        <w:pBdr>
          <w:top w:val="nil"/>
          <w:left w:val="nil"/>
          <w:bottom w:val="nil"/>
          <w:right w:val="nil"/>
          <w:between w:val="nil"/>
        </w:pBdr>
        <w:contextualSpacing/>
        <w:rPr>
          <w:rFonts w:eastAsia="Palatino Linotype" w:cs="Palatino Linotype"/>
          <w:color w:val="000000"/>
          <w:lang w:val="es-ES"/>
        </w:rPr>
      </w:pPr>
      <w:r w:rsidRPr="002D269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2D269F">
        <w:rPr>
          <w:rFonts w:eastAsia="Palatino Linotype" w:cs="Palatino Linotype"/>
          <w:color w:val="000000"/>
          <w:lang w:val="es-ES"/>
        </w:rPr>
        <w:t>Resolutor</w:t>
      </w:r>
      <w:proofErr w:type="spellEnd"/>
      <w:r w:rsidRPr="002D269F">
        <w:rPr>
          <w:rFonts w:eastAsia="Palatino Linotype" w:cs="Palatino Linotype"/>
          <w:color w:val="000000"/>
          <w:lang w:val="es-ES"/>
        </w:rPr>
        <w:t xml:space="preserve"> y por ende objeto </w:t>
      </w:r>
      <w:r w:rsidRPr="002D269F">
        <w:rPr>
          <w:rFonts w:eastAsia="Palatino Linotype" w:cs="Palatino Linotype"/>
          <w:color w:val="000000"/>
          <w:lang w:val="es-ES"/>
        </w:rPr>
        <w:lastRenderedPageBreak/>
        <w:t>de análisis previo al estudio de fondo del asunto; presupuestos procesales de inicio o trámite de un proceso que dotan de seguridad jurídica las resoluciones, máxime que es una figura procesal adoptada en la ley de la materia</w:t>
      </w:r>
      <w:r w:rsidRPr="002D269F">
        <w:rPr>
          <w:rFonts w:eastAsia="Palatino Linotype" w:cs="Palatino Linotype"/>
          <w:color w:val="000000"/>
          <w:vertAlign w:val="superscript"/>
          <w:lang w:val="es-ES"/>
        </w:rPr>
        <w:footnoteReference w:id="2"/>
      </w:r>
      <w:r w:rsidRPr="002D269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2D269F"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2D269F" w:rsidRDefault="00B728EA" w:rsidP="00B728EA">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2D269F">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395F72AE" w14:textId="77777777" w:rsidR="00B728EA" w:rsidRPr="002D269F"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110521F3" w:rsidR="00A970D5" w:rsidRPr="002D269F" w:rsidRDefault="00DF5666" w:rsidP="006922F5">
      <w:pPr>
        <w:pStyle w:val="Ttulo2"/>
        <w:rPr>
          <w:rFonts w:eastAsia="Palatino Linotype"/>
        </w:rPr>
      </w:pPr>
      <w:r w:rsidRPr="002D269F">
        <w:rPr>
          <w:rFonts w:eastAsia="Palatino Linotype"/>
        </w:rPr>
        <w:t>QUINTO</w:t>
      </w:r>
      <w:r w:rsidR="00A970D5" w:rsidRPr="002D269F">
        <w:rPr>
          <w:rFonts w:eastAsia="Palatino Linotype"/>
        </w:rPr>
        <w:t>. Estudio y resolución del asunto.</w:t>
      </w:r>
    </w:p>
    <w:p w14:paraId="102DA030" w14:textId="77777777" w:rsidR="00B728EA" w:rsidRPr="002D269F" w:rsidRDefault="00B728EA" w:rsidP="00B728EA">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2D269F" w:rsidRDefault="00A970D5" w:rsidP="006922F5">
      <w:pPr>
        <w:pBdr>
          <w:top w:val="nil"/>
          <w:left w:val="nil"/>
          <w:bottom w:val="nil"/>
          <w:right w:val="nil"/>
          <w:between w:val="nil"/>
        </w:pBdr>
        <w:contextualSpacing/>
        <w:rPr>
          <w:rFonts w:eastAsia="Palatino Linotype" w:cs="Palatino Linotype"/>
          <w:color w:val="000000"/>
          <w:szCs w:val="24"/>
        </w:rPr>
      </w:pPr>
    </w:p>
    <w:p w14:paraId="4E3D0AA5" w14:textId="3C42489F" w:rsidR="00E54355" w:rsidRPr="002D269F" w:rsidRDefault="00A970D5" w:rsidP="00E54355">
      <w:pPr>
        <w:pBdr>
          <w:top w:val="nil"/>
          <w:left w:val="nil"/>
          <w:bottom w:val="nil"/>
          <w:right w:val="nil"/>
          <w:between w:val="nil"/>
        </w:pBdr>
        <w:contextualSpacing/>
        <w:rPr>
          <w:rFonts w:eastAsia="Palatino Linotype" w:cs="Palatino Linotype"/>
          <w:color w:val="000000"/>
          <w:szCs w:val="24"/>
          <w:lang w:val="es-MX"/>
        </w:rPr>
      </w:pPr>
      <w:r w:rsidRPr="002D269F">
        <w:rPr>
          <w:rFonts w:eastAsia="Palatino Linotype" w:cs="Palatino Linotype"/>
          <w:color w:val="000000"/>
          <w:szCs w:val="24"/>
        </w:rPr>
        <w:t>Por tanto</w:t>
      </w:r>
      <w:r w:rsidR="007F3F9F" w:rsidRPr="002D269F">
        <w:rPr>
          <w:rFonts w:eastAsia="Palatino Linotype" w:cs="Palatino Linotype"/>
          <w:color w:val="000000"/>
          <w:szCs w:val="24"/>
        </w:rPr>
        <w:t xml:space="preserve">, es conveniente recordar que </w:t>
      </w:r>
      <w:r w:rsidR="006D438A" w:rsidRPr="002D269F">
        <w:rPr>
          <w:rFonts w:eastAsia="Palatino Linotype" w:cs="Palatino Linotype"/>
          <w:color w:val="000000"/>
          <w:szCs w:val="24"/>
        </w:rPr>
        <w:t>el</w:t>
      </w:r>
      <w:r w:rsidRPr="002D269F">
        <w:rPr>
          <w:rFonts w:eastAsia="Palatino Linotype" w:cs="Palatino Linotype"/>
          <w:color w:val="000000"/>
          <w:szCs w:val="24"/>
        </w:rPr>
        <w:t xml:space="preserve"> </w:t>
      </w:r>
      <w:r w:rsidRPr="002D269F">
        <w:rPr>
          <w:rFonts w:eastAsia="Palatino Linotype" w:cs="Palatino Linotype"/>
          <w:b/>
          <w:bCs/>
          <w:color w:val="000000"/>
          <w:szCs w:val="24"/>
        </w:rPr>
        <w:t>hoy Recurrente</w:t>
      </w:r>
      <w:r w:rsidRPr="002D269F">
        <w:rPr>
          <w:rFonts w:eastAsia="Palatino Linotype" w:cs="Palatino Linotype"/>
          <w:color w:val="000000"/>
          <w:szCs w:val="24"/>
        </w:rPr>
        <w:t xml:space="preserve"> </w:t>
      </w:r>
      <w:r w:rsidR="00AE3BE0" w:rsidRPr="002D269F">
        <w:rPr>
          <w:rFonts w:eastAsia="Palatino Linotype" w:cs="Palatino Linotype"/>
          <w:color w:val="000000"/>
          <w:szCs w:val="24"/>
        </w:rPr>
        <w:t>requirió</w:t>
      </w:r>
      <w:r w:rsidR="00CF6592" w:rsidRPr="002D269F">
        <w:rPr>
          <w:rFonts w:eastAsia="Palatino Linotype" w:cs="Palatino Linotype"/>
          <w:color w:val="000000"/>
          <w:szCs w:val="24"/>
        </w:rPr>
        <w:t xml:space="preserve"> </w:t>
      </w:r>
      <w:r w:rsidR="00BC4869" w:rsidRPr="002D269F">
        <w:rPr>
          <w:rFonts w:eastAsia="Palatino Linotype" w:cs="Palatino Linotype"/>
          <w:color w:val="000000"/>
          <w:szCs w:val="24"/>
        </w:rPr>
        <w:t>que</w:t>
      </w:r>
      <w:r w:rsidR="00653F75" w:rsidRPr="002D269F">
        <w:rPr>
          <w:rFonts w:eastAsia="Palatino Linotype" w:cs="Palatino Linotype"/>
          <w:color w:val="000000"/>
          <w:szCs w:val="24"/>
        </w:rPr>
        <w:t xml:space="preserve"> se entregara</w:t>
      </w:r>
      <w:r w:rsidR="001376DD" w:rsidRPr="002D269F">
        <w:rPr>
          <w:rFonts w:eastAsia="Palatino Linotype" w:cs="Palatino Linotype"/>
          <w:color w:val="000000"/>
          <w:szCs w:val="24"/>
        </w:rPr>
        <w:t xml:space="preserve"> </w:t>
      </w:r>
      <w:r w:rsidR="001376DD" w:rsidRPr="002D269F">
        <w:rPr>
          <w:rFonts w:eastAsia="Palatino Linotype" w:cs="Palatino Linotype"/>
          <w:color w:val="000000"/>
          <w:szCs w:val="24"/>
          <w:lang w:val="es-MX"/>
        </w:rPr>
        <w:t>lo siguiente</w:t>
      </w:r>
      <w:r w:rsidR="00E54355" w:rsidRPr="002D269F">
        <w:rPr>
          <w:rFonts w:eastAsia="Palatino Linotype" w:cs="Palatino Linotype"/>
          <w:color w:val="000000"/>
          <w:szCs w:val="24"/>
          <w:lang w:val="es-MX"/>
        </w:rPr>
        <w:t xml:space="preserve">:  </w:t>
      </w:r>
    </w:p>
    <w:p w14:paraId="5659201A" w14:textId="77777777" w:rsidR="00E54355" w:rsidRPr="002D269F" w:rsidRDefault="00E54355" w:rsidP="00E54355">
      <w:pPr>
        <w:pBdr>
          <w:top w:val="nil"/>
          <w:left w:val="nil"/>
          <w:bottom w:val="nil"/>
          <w:right w:val="nil"/>
          <w:between w:val="nil"/>
        </w:pBdr>
        <w:contextualSpacing/>
        <w:rPr>
          <w:rFonts w:eastAsia="Palatino Linotype" w:cs="Palatino Linotype"/>
          <w:b/>
          <w:color w:val="000000"/>
          <w:szCs w:val="24"/>
          <w:lang w:val="es-MX"/>
        </w:rPr>
      </w:pPr>
    </w:p>
    <w:p w14:paraId="16CE2DB1" w14:textId="14D5980A" w:rsidR="00E54355" w:rsidRPr="002D269F" w:rsidRDefault="003A5E66" w:rsidP="00EB2549">
      <w:pPr>
        <w:numPr>
          <w:ilvl w:val="0"/>
          <w:numId w:val="20"/>
        </w:numPr>
        <w:pBdr>
          <w:top w:val="nil"/>
          <w:left w:val="nil"/>
          <w:bottom w:val="nil"/>
          <w:right w:val="nil"/>
          <w:between w:val="nil"/>
        </w:pBdr>
        <w:contextualSpacing/>
        <w:rPr>
          <w:rFonts w:eastAsia="Palatino Linotype" w:cs="Palatino Linotype"/>
          <w:i/>
          <w:iCs/>
          <w:color w:val="000000"/>
          <w:szCs w:val="24"/>
          <w:lang w:val="es-MX"/>
        </w:rPr>
      </w:pPr>
      <w:r w:rsidRPr="002D269F">
        <w:rPr>
          <w:rFonts w:eastAsia="Palatino Linotype" w:cs="Palatino Linotype"/>
          <w:i/>
          <w:iCs/>
          <w:color w:val="000000"/>
          <w:szCs w:val="24"/>
          <w:lang w:val="es-MX"/>
        </w:rPr>
        <w:t>Contratos de arrendamiento</w:t>
      </w:r>
      <w:r w:rsidR="008E5EA8" w:rsidRPr="002D269F">
        <w:rPr>
          <w:rFonts w:eastAsia="Palatino Linotype" w:cs="Palatino Linotype"/>
          <w:i/>
          <w:iCs/>
          <w:color w:val="000000"/>
          <w:szCs w:val="24"/>
          <w:lang w:val="es-MX"/>
        </w:rPr>
        <w:t xml:space="preserve"> de antenas de comunicación</w:t>
      </w:r>
      <w:r w:rsidRPr="002D269F">
        <w:rPr>
          <w:rFonts w:eastAsia="Palatino Linotype" w:cs="Palatino Linotype"/>
          <w:i/>
          <w:iCs/>
          <w:color w:val="000000"/>
          <w:szCs w:val="24"/>
          <w:lang w:val="es-MX"/>
        </w:rPr>
        <w:t xml:space="preserve"> </w:t>
      </w:r>
      <w:r w:rsidR="008E5EA8" w:rsidRPr="002D269F">
        <w:rPr>
          <w:rFonts w:eastAsia="Palatino Linotype" w:cs="Palatino Linotype"/>
          <w:i/>
          <w:iCs/>
          <w:color w:val="000000"/>
          <w:szCs w:val="24"/>
          <w:lang w:val="es-MX"/>
        </w:rPr>
        <w:t xml:space="preserve">del Municipio de Ayuntamiento de </w:t>
      </w:r>
      <w:proofErr w:type="spellStart"/>
      <w:r w:rsidR="008E5EA8" w:rsidRPr="002D269F">
        <w:rPr>
          <w:rFonts w:eastAsia="Palatino Linotype" w:cs="Palatino Linotype"/>
          <w:i/>
          <w:iCs/>
          <w:color w:val="000000"/>
          <w:szCs w:val="24"/>
          <w:lang w:val="es-MX"/>
        </w:rPr>
        <w:t>Jocotitlán</w:t>
      </w:r>
      <w:proofErr w:type="spellEnd"/>
      <w:r w:rsidR="008E5EA8" w:rsidRPr="002D269F">
        <w:rPr>
          <w:rFonts w:eastAsia="Palatino Linotype" w:cs="Palatino Linotype"/>
          <w:i/>
          <w:iCs/>
          <w:color w:val="000000"/>
          <w:szCs w:val="24"/>
          <w:lang w:val="es-MX"/>
        </w:rPr>
        <w:t xml:space="preserve"> </w:t>
      </w:r>
      <w:r w:rsidRPr="002D269F">
        <w:rPr>
          <w:rFonts w:eastAsia="Palatino Linotype" w:cs="Palatino Linotype"/>
          <w:i/>
          <w:iCs/>
          <w:color w:val="000000"/>
          <w:szCs w:val="24"/>
          <w:lang w:val="es-MX"/>
        </w:rPr>
        <w:t>celebrados en el periodo que comprende del 01 de enero de 202</w:t>
      </w:r>
      <w:r w:rsidR="008E5EA8" w:rsidRPr="002D269F">
        <w:rPr>
          <w:rFonts w:eastAsia="Palatino Linotype" w:cs="Palatino Linotype"/>
          <w:i/>
          <w:iCs/>
          <w:color w:val="000000"/>
          <w:szCs w:val="24"/>
          <w:lang w:val="es-MX"/>
        </w:rPr>
        <w:t>0</w:t>
      </w:r>
      <w:r w:rsidRPr="002D269F">
        <w:rPr>
          <w:rFonts w:eastAsia="Palatino Linotype" w:cs="Palatino Linotype"/>
          <w:i/>
          <w:iCs/>
          <w:color w:val="000000"/>
          <w:szCs w:val="24"/>
          <w:lang w:val="es-MX"/>
        </w:rPr>
        <w:t xml:space="preserve"> al </w:t>
      </w:r>
      <w:r w:rsidR="008E5EA8" w:rsidRPr="002D269F">
        <w:rPr>
          <w:rFonts w:eastAsia="Palatino Linotype" w:cs="Palatino Linotype"/>
          <w:i/>
          <w:iCs/>
          <w:color w:val="000000"/>
          <w:szCs w:val="24"/>
          <w:lang w:val="es-MX"/>
        </w:rPr>
        <w:t>04</w:t>
      </w:r>
      <w:r w:rsidRPr="002D269F">
        <w:rPr>
          <w:rFonts w:eastAsia="Palatino Linotype" w:cs="Palatino Linotype"/>
          <w:i/>
          <w:iCs/>
          <w:color w:val="000000"/>
          <w:szCs w:val="24"/>
          <w:lang w:val="es-MX"/>
        </w:rPr>
        <w:t xml:space="preserve"> de </w:t>
      </w:r>
      <w:r w:rsidR="008E5EA8" w:rsidRPr="002D269F">
        <w:rPr>
          <w:rFonts w:eastAsia="Palatino Linotype" w:cs="Palatino Linotype"/>
          <w:i/>
          <w:iCs/>
          <w:color w:val="000000"/>
          <w:szCs w:val="24"/>
          <w:lang w:val="es-MX"/>
        </w:rPr>
        <w:t>junio</w:t>
      </w:r>
      <w:r w:rsidRPr="002D269F">
        <w:rPr>
          <w:rFonts w:eastAsia="Palatino Linotype" w:cs="Palatino Linotype"/>
          <w:i/>
          <w:iCs/>
          <w:color w:val="000000"/>
          <w:szCs w:val="24"/>
          <w:lang w:val="es-MX"/>
        </w:rPr>
        <w:t xml:space="preserve"> de 2025</w:t>
      </w:r>
      <w:r w:rsidR="001376DD" w:rsidRPr="002D269F">
        <w:rPr>
          <w:rFonts w:eastAsia="Palatino Linotype" w:cs="Palatino Linotype"/>
          <w:i/>
          <w:iCs/>
          <w:color w:val="000000"/>
          <w:szCs w:val="24"/>
          <w:lang w:val="es-MX"/>
        </w:rPr>
        <w:t xml:space="preserve">. </w:t>
      </w:r>
    </w:p>
    <w:p w14:paraId="1A6ACA09" w14:textId="77777777" w:rsidR="001376DD" w:rsidRPr="002D269F" w:rsidRDefault="001376DD" w:rsidP="00B62DEC">
      <w:pPr>
        <w:pBdr>
          <w:top w:val="nil"/>
          <w:left w:val="nil"/>
          <w:bottom w:val="nil"/>
          <w:right w:val="nil"/>
          <w:between w:val="nil"/>
        </w:pBdr>
        <w:contextualSpacing/>
        <w:rPr>
          <w:rFonts w:eastAsia="Palatino Linotype" w:cs="Palatino Linotype"/>
          <w:i/>
          <w:iCs/>
          <w:color w:val="000000"/>
          <w:szCs w:val="24"/>
          <w:lang w:val="es-MX"/>
        </w:rPr>
      </w:pPr>
    </w:p>
    <w:p w14:paraId="46A58DB1" w14:textId="5B21967D" w:rsidR="009308DA" w:rsidRPr="002D269F" w:rsidRDefault="00A970D5" w:rsidP="00B62DEC">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A dicha solicitud, el </w:t>
      </w:r>
      <w:r w:rsidRPr="002D269F">
        <w:rPr>
          <w:rFonts w:eastAsia="Palatino Linotype" w:cs="Palatino Linotype"/>
          <w:b/>
          <w:bCs/>
          <w:color w:val="000000"/>
          <w:szCs w:val="24"/>
        </w:rPr>
        <w:t>Sujeto Obligado</w:t>
      </w:r>
      <w:r w:rsidRPr="002D269F">
        <w:rPr>
          <w:rFonts w:eastAsia="Palatino Linotype" w:cs="Palatino Linotype"/>
          <w:color w:val="000000"/>
          <w:szCs w:val="24"/>
        </w:rPr>
        <w:t xml:space="preserve"> </w:t>
      </w:r>
      <w:r w:rsidR="004B631A" w:rsidRPr="002D269F">
        <w:rPr>
          <w:rFonts w:eastAsia="Palatino Linotype" w:cs="Palatino Linotype"/>
          <w:color w:val="000000"/>
          <w:szCs w:val="24"/>
        </w:rPr>
        <w:t>respondió mediante la entrega</w:t>
      </w:r>
      <w:r w:rsidR="0090022E" w:rsidRPr="002D269F">
        <w:rPr>
          <w:rFonts w:eastAsia="Palatino Linotype" w:cs="Palatino Linotype"/>
          <w:color w:val="000000"/>
          <w:szCs w:val="24"/>
        </w:rPr>
        <w:t xml:space="preserve"> del documento electrónico que se describe a continuación: </w:t>
      </w:r>
    </w:p>
    <w:p w14:paraId="34CF62B0" w14:textId="1309BD00" w:rsidR="00A978AF" w:rsidRPr="002D269F" w:rsidRDefault="00A978AF" w:rsidP="00B62DEC">
      <w:pPr>
        <w:pBdr>
          <w:top w:val="nil"/>
          <w:left w:val="nil"/>
          <w:bottom w:val="nil"/>
          <w:right w:val="nil"/>
          <w:between w:val="nil"/>
        </w:pBdr>
        <w:contextualSpacing/>
        <w:rPr>
          <w:rFonts w:eastAsia="Palatino Linotype" w:cs="Palatino Linotype"/>
          <w:color w:val="000000"/>
          <w:szCs w:val="24"/>
        </w:rPr>
      </w:pPr>
    </w:p>
    <w:p w14:paraId="1F739C81" w14:textId="752E1B2B" w:rsidR="008E5EA8" w:rsidRPr="002D269F" w:rsidRDefault="008E5EA8" w:rsidP="00EB2549">
      <w:pPr>
        <w:pStyle w:val="Prrafodelista"/>
        <w:numPr>
          <w:ilvl w:val="0"/>
          <w:numId w:val="15"/>
        </w:numPr>
      </w:pPr>
      <w:r w:rsidRPr="002D269F">
        <w:rPr>
          <w:b/>
        </w:rPr>
        <w:lastRenderedPageBreak/>
        <w:t>00148JOCOTITIP2025 JURÍDICO.pdf</w:t>
      </w:r>
      <w:r w:rsidR="0090022E" w:rsidRPr="002D269F">
        <w:rPr>
          <w:bCs/>
        </w:rPr>
        <w:t>:</w:t>
      </w:r>
      <w:r w:rsidR="0027275D" w:rsidRPr="002D269F">
        <w:rPr>
          <w:bCs/>
        </w:rPr>
        <w:t xml:space="preserve"> </w:t>
      </w:r>
      <w:r w:rsidR="00703CE9" w:rsidRPr="002D269F">
        <w:rPr>
          <w:bCs/>
        </w:rPr>
        <w:t xml:space="preserve">Oficio número </w:t>
      </w:r>
      <w:r w:rsidRPr="002D269F">
        <w:rPr>
          <w:bCs/>
        </w:rPr>
        <w:t xml:space="preserve">CCJC/JOC/INT/0081/2025 </w:t>
      </w:r>
      <w:r w:rsidR="00703CE9" w:rsidRPr="002D269F">
        <w:rPr>
          <w:bCs/>
        </w:rPr>
        <w:t xml:space="preserve">signado por </w:t>
      </w:r>
      <w:r w:rsidRPr="002D269F">
        <w:rPr>
          <w:bCs/>
        </w:rPr>
        <w:t>el Coordinador de la Consejería Jurídica y Consultiva</w:t>
      </w:r>
      <w:r w:rsidR="007E6FFC" w:rsidRPr="002D269F">
        <w:rPr>
          <w:bCs/>
        </w:rPr>
        <w:t xml:space="preserve">, mediante el cual </w:t>
      </w:r>
      <w:r w:rsidR="0090022E" w:rsidRPr="002D269F">
        <w:rPr>
          <w:bCs/>
        </w:rPr>
        <w:t>informó</w:t>
      </w:r>
      <w:r w:rsidR="007E6FFC" w:rsidRPr="002D269F">
        <w:rPr>
          <w:bCs/>
        </w:rPr>
        <w:t xml:space="preserve"> al </w:t>
      </w:r>
      <w:r w:rsidRPr="002D269F">
        <w:rPr>
          <w:bCs/>
        </w:rPr>
        <w:t>Coordinador de</w:t>
      </w:r>
      <w:r w:rsidR="007E6FFC" w:rsidRPr="002D269F">
        <w:rPr>
          <w:bCs/>
        </w:rPr>
        <w:t xml:space="preserve"> Transparencia</w:t>
      </w:r>
      <w:r w:rsidR="0090022E" w:rsidRPr="002D269F">
        <w:rPr>
          <w:bCs/>
        </w:rPr>
        <w:t xml:space="preserve"> que, </w:t>
      </w:r>
      <w:r w:rsidRPr="002D269F">
        <w:rPr>
          <w:bCs/>
        </w:rPr>
        <w:t xml:space="preserve">los contratos solicitados contienen clausulas especiales de confidencialidad, suscritas de manera expresa por las partes </w:t>
      </w:r>
      <w:r w:rsidRPr="002D269F">
        <w:rPr>
          <w:bCs/>
          <w:u w:val="single"/>
          <w:lang w:val="es-ES_tradnl"/>
        </w:rPr>
        <w:t xml:space="preserve">las partes involucradas, situación que impide la divulgación total o parcial de la información contenida en dichos documentos, incluyendo montos, términos y datos específicos de los contratos celebrados, por lo que se determina la improcedencia de la entrega de los documentos requeridos, por tratarse de </w:t>
      </w:r>
      <w:r w:rsidRPr="002D269F">
        <w:rPr>
          <w:b/>
          <w:u w:val="single"/>
          <w:lang w:val="es-ES_tradnl"/>
        </w:rPr>
        <w:t>información considerada como reservada</w:t>
      </w:r>
      <w:r w:rsidRPr="002D269F">
        <w:rPr>
          <w:bCs/>
          <w:u w:val="single"/>
          <w:lang w:val="es-ES_tradnl"/>
        </w:rPr>
        <w:t xml:space="preserve"> y protegida conforme a lo establecido en la legislación vigente.</w:t>
      </w:r>
    </w:p>
    <w:p w14:paraId="39D43853" w14:textId="77777777" w:rsidR="0090022E" w:rsidRPr="002D269F" w:rsidRDefault="0090022E" w:rsidP="006922F5">
      <w:pPr>
        <w:pBdr>
          <w:top w:val="nil"/>
          <w:left w:val="nil"/>
          <w:bottom w:val="nil"/>
          <w:right w:val="nil"/>
          <w:between w:val="nil"/>
        </w:pBdr>
        <w:contextualSpacing/>
        <w:rPr>
          <w:rFonts w:eastAsia="Palatino Linotype" w:cs="Palatino Linotype"/>
          <w:color w:val="000000"/>
          <w:szCs w:val="24"/>
        </w:rPr>
      </w:pPr>
    </w:p>
    <w:p w14:paraId="32B4EE52" w14:textId="57FE4B9F" w:rsidR="002437A2" w:rsidRPr="002D269F" w:rsidRDefault="007E0B5E" w:rsidP="006922F5">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Ante la</w:t>
      </w:r>
      <w:r w:rsidR="00A970D5" w:rsidRPr="002D269F">
        <w:rPr>
          <w:rFonts w:eastAsia="Palatino Linotype" w:cs="Palatino Linotype"/>
          <w:color w:val="000000"/>
          <w:szCs w:val="24"/>
        </w:rPr>
        <w:t xml:space="preserve"> respuesta</w:t>
      </w:r>
      <w:r w:rsidRPr="002D269F">
        <w:rPr>
          <w:rFonts w:eastAsia="Palatino Linotype" w:cs="Palatino Linotype"/>
          <w:color w:val="000000"/>
          <w:szCs w:val="24"/>
        </w:rPr>
        <w:t xml:space="preserve"> emitida</w:t>
      </w:r>
      <w:r w:rsidR="00E41D06" w:rsidRPr="002D269F">
        <w:rPr>
          <w:rFonts w:eastAsia="Palatino Linotype" w:cs="Palatino Linotype"/>
          <w:color w:val="000000"/>
          <w:szCs w:val="24"/>
        </w:rPr>
        <w:t xml:space="preserve"> </w:t>
      </w:r>
      <w:r w:rsidR="00B32535" w:rsidRPr="002D269F">
        <w:rPr>
          <w:rFonts w:eastAsia="Palatino Linotype" w:cs="Palatino Linotype"/>
          <w:color w:val="000000"/>
          <w:szCs w:val="24"/>
        </w:rPr>
        <w:t xml:space="preserve">por el </w:t>
      </w:r>
      <w:r w:rsidR="00B32535" w:rsidRPr="002D269F">
        <w:rPr>
          <w:rFonts w:eastAsia="Palatino Linotype" w:cs="Palatino Linotype"/>
          <w:b/>
          <w:bCs/>
          <w:color w:val="000000"/>
          <w:szCs w:val="24"/>
        </w:rPr>
        <w:t>Sujeto Obligado</w:t>
      </w:r>
      <w:r w:rsidR="00B32535" w:rsidRPr="002D269F">
        <w:rPr>
          <w:rFonts w:eastAsia="Palatino Linotype" w:cs="Palatino Linotype"/>
          <w:color w:val="000000"/>
          <w:szCs w:val="24"/>
        </w:rPr>
        <w:t>,</w:t>
      </w:r>
      <w:r w:rsidRPr="002D269F">
        <w:rPr>
          <w:rFonts w:eastAsia="Palatino Linotype" w:cs="Palatino Linotype"/>
          <w:color w:val="000000"/>
          <w:szCs w:val="24"/>
        </w:rPr>
        <w:t xml:space="preserve"> </w:t>
      </w:r>
      <w:r w:rsidR="007502BD" w:rsidRPr="002D269F">
        <w:rPr>
          <w:rFonts w:eastAsia="Palatino Linotype" w:cs="Palatino Linotype"/>
          <w:color w:val="000000"/>
          <w:szCs w:val="24"/>
        </w:rPr>
        <w:t>el</w:t>
      </w:r>
      <w:r w:rsidR="00A970D5" w:rsidRPr="002D269F">
        <w:rPr>
          <w:rFonts w:eastAsia="Palatino Linotype" w:cs="Palatino Linotype"/>
          <w:color w:val="000000"/>
          <w:szCs w:val="24"/>
        </w:rPr>
        <w:t xml:space="preserve"> </w:t>
      </w:r>
      <w:r w:rsidR="00A970D5" w:rsidRPr="002D269F">
        <w:rPr>
          <w:rFonts w:eastAsia="Palatino Linotype" w:cs="Palatino Linotype"/>
          <w:b/>
          <w:bCs/>
          <w:color w:val="000000"/>
          <w:szCs w:val="24"/>
        </w:rPr>
        <w:t>Recurr</w:t>
      </w:r>
      <w:r w:rsidR="00640056" w:rsidRPr="002D269F">
        <w:rPr>
          <w:rFonts w:eastAsia="Palatino Linotype" w:cs="Palatino Linotype"/>
          <w:b/>
          <w:bCs/>
          <w:color w:val="000000"/>
          <w:szCs w:val="24"/>
        </w:rPr>
        <w:t>e</w:t>
      </w:r>
      <w:r w:rsidR="00A970D5" w:rsidRPr="002D269F">
        <w:rPr>
          <w:rFonts w:eastAsia="Palatino Linotype" w:cs="Palatino Linotype"/>
          <w:b/>
          <w:bCs/>
          <w:color w:val="000000"/>
          <w:szCs w:val="24"/>
        </w:rPr>
        <w:t>nte</w:t>
      </w:r>
      <w:r w:rsidR="00A970D5" w:rsidRPr="002D269F">
        <w:rPr>
          <w:rFonts w:eastAsia="Palatino Linotype" w:cs="Palatino Linotype"/>
          <w:color w:val="000000"/>
          <w:szCs w:val="24"/>
        </w:rPr>
        <w:t xml:space="preserve"> consideró que </w:t>
      </w:r>
      <w:r w:rsidR="00626796" w:rsidRPr="002D269F">
        <w:rPr>
          <w:rFonts w:eastAsia="Palatino Linotype" w:cs="Palatino Linotype"/>
          <w:color w:val="000000"/>
          <w:szCs w:val="24"/>
        </w:rPr>
        <w:t xml:space="preserve">se trasgredió </w:t>
      </w:r>
      <w:r w:rsidR="00A970D5" w:rsidRPr="002D269F">
        <w:rPr>
          <w:rFonts w:eastAsia="Palatino Linotype" w:cs="Palatino Linotype"/>
          <w:color w:val="000000"/>
          <w:szCs w:val="24"/>
        </w:rPr>
        <w:t>su derecho a la información pública, por lo que interpuso el recurso de revisión al rubro citado, señalando como acto impugnado</w:t>
      </w:r>
      <w:r w:rsidR="007F4512" w:rsidRPr="002D269F">
        <w:rPr>
          <w:rFonts w:eastAsia="Palatino Linotype" w:cs="Palatino Linotype"/>
          <w:color w:val="000000"/>
          <w:szCs w:val="24"/>
        </w:rPr>
        <w:t xml:space="preserve"> </w:t>
      </w:r>
      <w:r w:rsidR="00623DD9" w:rsidRPr="002D269F">
        <w:rPr>
          <w:rFonts w:eastAsia="Palatino Linotype" w:cs="Palatino Linotype"/>
          <w:color w:val="000000"/>
          <w:szCs w:val="24"/>
        </w:rPr>
        <w:t xml:space="preserve">y </w:t>
      </w:r>
      <w:r w:rsidR="00F13BAD" w:rsidRPr="002D269F">
        <w:rPr>
          <w:rFonts w:eastAsia="Palatino Linotype" w:cs="Palatino Linotype"/>
          <w:color w:val="000000"/>
          <w:szCs w:val="24"/>
        </w:rPr>
        <w:t>como</w:t>
      </w:r>
      <w:r w:rsidR="005873CB" w:rsidRPr="002D269F">
        <w:rPr>
          <w:rFonts w:eastAsia="Palatino Linotype" w:cs="Palatino Linotype"/>
          <w:color w:val="000000"/>
          <w:szCs w:val="24"/>
        </w:rPr>
        <w:t xml:space="preserve"> razones o motivos de inconformidad</w:t>
      </w:r>
      <w:r w:rsidR="00851647" w:rsidRPr="002D269F">
        <w:rPr>
          <w:rFonts w:eastAsia="Palatino Linotype" w:cs="Palatino Linotype"/>
          <w:color w:val="000000"/>
          <w:szCs w:val="24"/>
        </w:rPr>
        <w:t xml:space="preserve"> </w:t>
      </w:r>
      <w:r w:rsidR="007F4512" w:rsidRPr="002D269F">
        <w:rPr>
          <w:rFonts w:eastAsia="Palatino Linotype" w:cs="Palatino Linotype"/>
          <w:color w:val="000000"/>
          <w:szCs w:val="24"/>
        </w:rPr>
        <w:t xml:space="preserve">lo siguiente: </w:t>
      </w:r>
    </w:p>
    <w:p w14:paraId="054D5B39" w14:textId="77777777" w:rsidR="007F4512" w:rsidRPr="002D269F" w:rsidRDefault="007F4512" w:rsidP="006922F5">
      <w:pPr>
        <w:pBdr>
          <w:top w:val="nil"/>
          <w:left w:val="nil"/>
          <w:bottom w:val="nil"/>
          <w:right w:val="nil"/>
          <w:between w:val="nil"/>
        </w:pBdr>
        <w:contextualSpacing/>
        <w:rPr>
          <w:rFonts w:eastAsia="Palatino Linotype" w:cs="Palatino Linotype"/>
          <w:color w:val="000000"/>
          <w:szCs w:val="24"/>
        </w:rPr>
      </w:pPr>
    </w:p>
    <w:p w14:paraId="1E900E84" w14:textId="77777777" w:rsidR="007F4512" w:rsidRPr="002D269F" w:rsidRDefault="007F4512" w:rsidP="007F4512">
      <w:pPr>
        <w:pStyle w:val="Fundamentos"/>
        <w:rPr>
          <w:b/>
          <w:bCs/>
          <w:lang w:val="es-ES"/>
        </w:rPr>
      </w:pPr>
      <w:r w:rsidRPr="002D269F">
        <w:rPr>
          <w:lang w:val="es-ES"/>
        </w:rPr>
        <w:t>“</w:t>
      </w:r>
      <w:r w:rsidRPr="002D269F">
        <w:rPr>
          <w:u w:val="single"/>
          <w:lang w:val="es-ES"/>
        </w:rPr>
        <w:t>Solicito se someta a recurso de revisión ya que la información no fue entregada</w:t>
      </w:r>
      <w:r w:rsidRPr="002D269F">
        <w:rPr>
          <w:lang w:val="es-ES"/>
        </w:rPr>
        <w:t xml:space="preserve">,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Los recursos recaudados por la renta de las antenas de </w:t>
      </w:r>
      <w:proofErr w:type="spellStart"/>
      <w:r w:rsidRPr="002D269F">
        <w:rPr>
          <w:lang w:val="es-ES"/>
        </w:rPr>
        <w:t>comunicacion</w:t>
      </w:r>
      <w:proofErr w:type="spellEnd"/>
      <w:r w:rsidRPr="002D269F">
        <w:rPr>
          <w:lang w:val="es-ES"/>
        </w:rPr>
        <w:t xml:space="preserve"> en </w:t>
      </w:r>
      <w:proofErr w:type="spellStart"/>
      <w:r w:rsidRPr="002D269F">
        <w:rPr>
          <w:lang w:val="es-ES"/>
        </w:rPr>
        <w:t>Jocotitlan</w:t>
      </w:r>
      <w:proofErr w:type="spellEnd"/>
      <w:r w:rsidRPr="002D269F">
        <w:rPr>
          <w:lang w:val="es-ES"/>
        </w:rPr>
        <w:t xml:space="preserve"> son recursos que pertenecen al municipio de </w:t>
      </w:r>
      <w:proofErr w:type="spellStart"/>
      <w:r w:rsidRPr="002D269F">
        <w:rPr>
          <w:lang w:val="es-ES"/>
        </w:rPr>
        <w:t>jocotitlàn</w:t>
      </w:r>
      <w:proofErr w:type="spellEnd"/>
      <w:r w:rsidRPr="002D269F">
        <w:rPr>
          <w:lang w:val="es-ES"/>
        </w:rPr>
        <w:t xml:space="preserve"> por consecuente son </w:t>
      </w:r>
      <w:proofErr w:type="spellStart"/>
      <w:r w:rsidRPr="002D269F">
        <w:rPr>
          <w:lang w:val="es-ES"/>
        </w:rPr>
        <w:t>publicos</w:t>
      </w:r>
      <w:proofErr w:type="spellEnd"/>
      <w:r w:rsidRPr="002D269F">
        <w:rPr>
          <w:lang w:val="es-ES"/>
        </w:rPr>
        <w:t xml:space="preserve"> y la ley de transparencia </w:t>
      </w:r>
      <w:proofErr w:type="spellStart"/>
      <w:r w:rsidRPr="002D269F">
        <w:rPr>
          <w:lang w:val="es-ES"/>
        </w:rPr>
        <w:t>enunucia</w:t>
      </w:r>
      <w:proofErr w:type="spellEnd"/>
      <w:r w:rsidRPr="002D269F">
        <w:rPr>
          <w:lang w:val="es-ES"/>
        </w:rPr>
        <w:t xml:space="preserve">: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w:t>
      </w:r>
      <w:r w:rsidRPr="002D269F">
        <w:rPr>
          <w:lang w:val="es-ES"/>
        </w:rPr>
        <w:lastRenderedPageBreak/>
        <w:t xml:space="preserve">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El coordinador de la </w:t>
      </w:r>
      <w:proofErr w:type="spellStart"/>
      <w:r w:rsidRPr="002D269F">
        <w:rPr>
          <w:lang w:val="es-ES"/>
        </w:rPr>
        <w:t>consejeria</w:t>
      </w:r>
      <w:proofErr w:type="spellEnd"/>
      <w:r w:rsidRPr="002D269F">
        <w:rPr>
          <w:lang w:val="es-ES"/>
        </w:rPr>
        <w:t xml:space="preserve"> </w:t>
      </w:r>
      <w:proofErr w:type="spellStart"/>
      <w:r w:rsidRPr="002D269F">
        <w:rPr>
          <w:lang w:val="es-ES"/>
        </w:rPr>
        <w:t>juridica</w:t>
      </w:r>
      <w:proofErr w:type="spellEnd"/>
      <w:r w:rsidRPr="002D269F">
        <w:rPr>
          <w:lang w:val="es-ES"/>
        </w:rPr>
        <w:t xml:space="preserve"> y consulta no es el sujeto obligado que tiene </w:t>
      </w:r>
      <w:proofErr w:type="spellStart"/>
      <w:r w:rsidRPr="002D269F">
        <w:rPr>
          <w:lang w:val="es-ES"/>
        </w:rPr>
        <w:t>posesion</w:t>
      </w:r>
      <w:proofErr w:type="spellEnd"/>
      <w:r w:rsidRPr="002D269F">
        <w:rPr>
          <w:lang w:val="es-ES"/>
        </w:rPr>
        <w:t xml:space="preserve"> de la </w:t>
      </w:r>
      <w:proofErr w:type="spellStart"/>
      <w:r w:rsidRPr="002D269F">
        <w:rPr>
          <w:lang w:val="es-ES"/>
        </w:rPr>
        <w:t>informacion</w:t>
      </w:r>
      <w:proofErr w:type="spellEnd"/>
      <w:r w:rsidRPr="002D269F">
        <w:rPr>
          <w:lang w:val="es-ES"/>
        </w:rPr>
        <w:t xml:space="preserve"> solicitada en el siguiente articulo le especifica su </w:t>
      </w:r>
      <w:proofErr w:type="spellStart"/>
      <w:r w:rsidRPr="002D269F">
        <w:rPr>
          <w:lang w:val="es-ES"/>
        </w:rPr>
        <w:t>funcion</w:t>
      </w:r>
      <w:proofErr w:type="spellEnd"/>
      <w:r w:rsidRPr="002D269F">
        <w:rPr>
          <w:lang w:val="es-ES"/>
        </w:rPr>
        <w:t xml:space="preserve">: </w:t>
      </w:r>
      <w:proofErr w:type="spellStart"/>
      <w:r w:rsidRPr="002D269F">
        <w:rPr>
          <w:lang w:val="es-ES"/>
        </w:rPr>
        <w:t>XXIII.Ordenar</w:t>
      </w:r>
      <w:proofErr w:type="spellEnd"/>
      <w:r w:rsidRPr="002D269F">
        <w:rPr>
          <w:lang w:val="es-ES"/>
        </w:rPr>
        <w:t xml:space="preserve">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deberán poner a disposición del público y mantener actualizada y accesible, </w:t>
      </w:r>
      <w:r w:rsidRPr="002D269F">
        <w:rPr>
          <w:b/>
          <w:bCs/>
          <w:u w:val="single"/>
          <w:lang w:val="es-ES"/>
        </w:rPr>
        <w:t xml:space="preserve">en lo que resulte aplicable a cada contrato Argumento que la </w:t>
      </w:r>
      <w:proofErr w:type="spellStart"/>
      <w:r w:rsidRPr="002D269F">
        <w:rPr>
          <w:b/>
          <w:bCs/>
          <w:u w:val="single"/>
          <w:lang w:val="es-ES"/>
        </w:rPr>
        <w:t>informacion</w:t>
      </w:r>
      <w:proofErr w:type="spellEnd"/>
      <w:r w:rsidRPr="002D269F">
        <w:rPr>
          <w:b/>
          <w:bCs/>
          <w:u w:val="single"/>
          <w:lang w:val="es-ES"/>
        </w:rPr>
        <w:t xml:space="preserve"> brindada se encuentra sin fundamento legal para que sea </w:t>
      </w:r>
      <w:proofErr w:type="spellStart"/>
      <w:r w:rsidRPr="002D269F">
        <w:rPr>
          <w:b/>
          <w:bCs/>
          <w:u w:val="single"/>
          <w:lang w:val="es-ES"/>
        </w:rPr>
        <w:t>informacion</w:t>
      </w:r>
      <w:proofErr w:type="spellEnd"/>
      <w:r w:rsidRPr="002D269F">
        <w:rPr>
          <w:b/>
          <w:bCs/>
          <w:u w:val="single"/>
          <w:lang w:val="es-ES"/>
        </w:rPr>
        <w:t xml:space="preserve"> reservada y protegida ya que no existe prueba de daño como lo enuncia el Artículo 129. En la aplicación de la prueba de daño, el sujeto obligado deberá precisar las razones.</w:t>
      </w:r>
      <w:r w:rsidRPr="002D269F">
        <w:rPr>
          <w:lang w:val="es-ES"/>
        </w:rPr>
        <w:t>” (Sic)</w:t>
      </w:r>
    </w:p>
    <w:p w14:paraId="447D8625" w14:textId="77777777" w:rsidR="007F4512" w:rsidRPr="002D269F" w:rsidRDefault="007F4512" w:rsidP="006922F5">
      <w:pPr>
        <w:pBdr>
          <w:top w:val="nil"/>
          <w:left w:val="nil"/>
          <w:bottom w:val="nil"/>
          <w:right w:val="nil"/>
          <w:between w:val="nil"/>
        </w:pBdr>
        <w:contextualSpacing/>
        <w:rPr>
          <w:rFonts w:eastAsia="Palatino Linotype" w:cs="Palatino Linotype"/>
          <w:color w:val="000000"/>
          <w:szCs w:val="24"/>
        </w:rPr>
      </w:pPr>
    </w:p>
    <w:p w14:paraId="2468A539" w14:textId="77777777" w:rsidR="002437A2" w:rsidRPr="002D269F" w:rsidRDefault="002437A2"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p>
    <w:p w14:paraId="5C8885A3" w14:textId="77777777" w:rsidR="001D4EFC" w:rsidRPr="002D269F" w:rsidRDefault="001D4EFC" w:rsidP="001D4EFC">
      <w:pPr>
        <w:pStyle w:val="Fundamentos"/>
      </w:pPr>
      <w:r w:rsidRPr="002D269F">
        <w:rPr>
          <w:b/>
        </w:rPr>
        <w:t>Artículo 6o.</w:t>
      </w:r>
      <w:r w:rsidRPr="002D269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2D269F">
        <w:lastRenderedPageBreak/>
        <w:t xml:space="preserve">en los términos dispuestos por la ley. </w:t>
      </w:r>
      <w:r w:rsidRPr="002D269F">
        <w:rPr>
          <w:b/>
        </w:rPr>
        <w:t>El derecho a la información será garantizado por el Estado.</w:t>
      </w:r>
      <w:r w:rsidRPr="002D269F">
        <w:t xml:space="preserve"> </w:t>
      </w:r>
    </w:p>
    <w:p w14:paraId="7C7BA96F" w14:textId="77777777" w:rsidR="001D4EFC" w:rsidRPr="002D269F" w:rsidRDefault="001D4EFC" w:rsidP="001D4EFC">
      <w:pPr>
        <w:pStyle w:val="Fundamentos"/>
      </w:pPr>
    </w:p>
    <w:p w14:paraId="2F2004C1" w14:textId="77777777" w:rsidR="001D4EFC" w:rsidRPr="002D269F" w:rsidRDefault="001D4EFC" w:rsidP="001D4EFC">
      <w:pPr>
        <w:pStyle w:val="Fundamentos"/>
      </w:pPr>
      <w:r w:rsidRPr="002D269F">
        <w:t>Toda persona tiene derecho al libre acceso a información plural y oportuna, así como a buscar, recibir y difundir información e ideas de toda índole por cualquier medio de expresión.</w:t>
      </w:r>
    </w:p>
    <w:p w14:paraId="7A633CA5" w14:textId="77777777" w:rsidR="001D4EFC" w:rsidRPr="002D269F" w:rsidRDefault="001D4EFC" w:rsidP="001D4EFC">
      <w:pPr>
        <w:pStyle w:val="Fundamentos"/>
      </w:pPr>
    </w:p>
    <w:p w14:paraId="4C1A92A8" w14:textId="77777777" w:rsidR="001D4EFC" w:rsidRPr="002D269F" w:rsidRDefault="001D4EFC" w:rsidP="001D4EFC">
      <w:pPr>
        <w:pStyle w:val="Fundamentos"/>
      </w:pPr>
      <w:r w:rsidRPr="002D269F">
        <w:t>Para efectos de lo dispuesto en el presente artículo se observará lo siguiente:</w:t>
      </w:r>
    </w:p>
    <w:p w14:paraId="327915AB" w14:textId="77777777" w:rsidR="001D4EFC" w:rsidRPr="002D269F" w:rsidRDefault="001D4EFC" w:rsidP="001D4EFC">
      <w:pPr>
        <w:pStyle w:val="Fundamentos"/>
      </w:pPr>
    </w:p>
    <w:p w14:paraId="6A410468" w14:textId="77777777" w:rsidR="001D4EFC" w:rsidRPr="002D269F" w:rsidRDefault="001D4EFC" w:rsidP="001D4EFC">
      <w:pPr>
        <w:pStyle w:val="Fundamentos"/>
      </w:pPr>
      <w:r w:rsidRPr="002D269F">
        <w:t>A. Para el ejercicio del derecho de acceso a la información, la Federación, los Estados y el Distrito Federal, en el ámbito de sus respectivas competencias, se regirán por los siguientes principios y bases:</w:t>
      </w:r>
    </w:p>
    <w:p w14:paraId="5B52E7F7" w14:textId="77777777" w:rsidR="001D4EFC" w:rsidRPr="002D269F" w:rsidRDefault="001D4EFC" w:rsidP="001D4EFC">
      <w:pPr>
        <w:pStyle w:val="Fundamentos"/>
      </w:pPr>
    </w:p>
    <w:p w14:paraId="1699D4EF" w14:textId="77777777" w:rsidR="001D4EFC" w:rsidRPr="002D269F" w:rsidRDefault="001D4EFC" w:rsidP="001D4EFC">
      <w:pPr>
        <w:pStyle w:val="Fundamentos"/>
      </w:pPr>
      <w:r w:rsidRPr="002D269F">
        <w:rPr>
          <w:b/>
        </w:rPr>
        <w:t>I. Toda la información en posesión de</w:t>
      </w:r>
      <w:r w:rsidRPr="002D269F">
        <w:t xml:space="preserve"> </w:t>
      </w:r>
      <w:r w:rsidRPr="002D269F">
        <w:rPr>
          <w:b/>
        </w:rPr>
        <w:t>cualquier autoridad</w:t>
      </w:r>
      <w:r w:rsidRPr="002D269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D269F">
        <w:rPr>
          <w:b/>
        </w:rPr>
        <w:t>en el ámbito federal, estatal y municipal, es pública</w:t>
      </w:r>
      <w:r w:rsidRPr="002D269F">
        <w:t xml:space="preserve"> y sólo podrá ser reservada temporalmente por razones de interés público y seguridad nacional, en los términos que fijen las leyes. En la interpretación de este derecho deberá prevalecer el principio de máxima publicidad. </w:t>
      </w:r>
      <w:r w:rsidRPr="002D269F">
        <w:rPr>
          <w:b/>
        </w:rPr>
        <w:t>Los sujetos obligados deberán documentar todo acto que derive del ejercicio de sus facultades, competencias o funciones</w:t>
      </w:r>
      <w:r w:rsidRPr="002D269F">
        <w:t>, la ley determinará los supuestos específicos bajo los cuales procederá la declaración de inexistencia de la información.</w:t>
      </w:r>
    </w:p>
    <w:p w14:paraId="268AA560" w14:textId="77777777" w:rsidR="001D4EFC" w:rsidRPr="002D269F" w:rsidRDefault="001D4EFC" w:rsidP="001D4EFC">
      <w:pPr>
        <w:pStyle w:val="Fundamentos"/>
      </w:pPr>
      <w:r w:rsidRPr="002D269F">
        <w:t>II. La información que se refiere a la vida privada y los datos personales será protegida en los términos y con las excepciones que fijen las leyes.</w:t>
      </w:r>
    </w:p>
    <w:p w14:paraId="2FF71178" w14:textId="77777777" w:rsidR="001D4EFC" w:rsidRPr="002D269F" w:rsidRDefault="001D4EFC" w:rsidP="001D4EFC">
      <w:pPr>
        <w:pStyle w:val="Fundamentos"/>
      </w:pPr>
      <w:r w:rsidRPr="002D269F">
        <w:t>III. Toda persona, sin necesidad de acreditar interés alguno o justificar su utilización, tendrá acceso gratuito a la información pública, a sus datos personales o a la rectificación de éstos.</w:t>
      </w:r>
    </w:p>
    <w:p w14:paraId="3465E7E9" w14:textId="77777777" w:rsidR="001D4EFC" w:rsidRPr="002D269F" w:rsidRDefault="001D4EFC" w:rsidP="001D4EFC">
      <w:pPr>
        <w:pStyle w:val="Fundamentos"/>
      </w:pPr>
      <w:r w:rsidRPr="002D269F">
        <w:t>IV.   Se establecerán mecanismos de acceso a la información y procedimientos de revisión expeditos que se sustanciarán ante los organismos autónomos especializados e imparciales que establece esta Constitución.</w:t>
      </w:r>
    </w:p>
    <w:p w14:paraId="447E9BC7" w14:textId="77777777" w:rsidR="001D4EFC" w:rsidRPr="002D269F" w:rsidRDefault="001D4EFC" w:rsidP="001D4EFC">
      <w:pPr>
        <w:pStyle w:val="Fundamentos"/>
      </w:pPr>
      <w:r w:rsidRPr="002D269F">
        <w:rPr>
          <w:b/>
        </w:rPr>
        <w:t>V. Los sujetos obligados deberán preservar sus documentos en archivos administrativos actualizados y publicarán, a través de los medios electrónicos disponibles</w:t>
      </w:r>
      <w:r w:rsidRPr="002D269F">
        <w:t xml:space="preserve">, </w:t>
      </w:r>
      <w:r w:rsidRPr="002D269F">
        <w:rPr>
          <w:b/>
        </w:rPr>
        <w:t xml:space="preserve">la información completa y actualizada sobre el ejercicio de los recursos públicos </w:t>
      </w:r>
      <w:r w:rsidRPr="002D269F">
        <w:t>y los indicadores que permitan rendir cuenta del cumplimiento de sus objetivos y de los resultados obtenidos.</w:t>
      </w:r>
    </w:p>
    <w:p w14:paraId="482AFBBB" w14:textId="77777777" w:rsidR="001D4EFC" w:rsidRPr="002D269F" w:rsidRDefault="001D4EFC" w:rsidP="001D4EFC">
      <w:pPr>
        <w:pStyle w:val="Fundamentos"/>
      </w:pPr>
      <w:r w:rsidRPr="002D269F">
        <w:t>VI. Las leyes determinarán la manera en que los sujetos obligados deberán hacer pública la información relativa a los recursos públicos que entreguen a personas físicas o morales.</w:t>
      </w:r>
    </w:p>
    <w:p w14:paraId="340817FD" w14:textId="77777777" w:rsidR="001D4EFC" w:rsidRPr="002D269F" w:rsidRDefault="001D4EFC" w:rsidP="001D4EFC">
      <w:pPr>
        <w:pStyle w:val="Fundamentos"/>
      </w:pPr>
      <w:r w:rsidRPr="002D269F">
        <w:t>VII. La inobservancia a las disposiciones en materia de acceso a la información pública será sancionada en los términos que dispongan las leyes.</w:t>
      </w:r>
    </w:p>
    <w:p w14:paraId="358D23B2" w14:textId="77777777" w:rsidR="001D4EFC" w:rsidRPr="002D269F" w:rsidRDefault="001D4EFC" w:rsidP="001D4EFC">
      <w:pPr>
        <w:pStyle w:val="Fundamentos"/>
      </w:pPr>
      <w:r w:rsidRPr="002D269F">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9F34E4" w14:textId="77777777" w:rsidR="001D4EFC" w:rsidRPr="002D269F" w:rsidRDefault="001D4EFC" w:rsidP="001D4EFC">
      <w:pPr>
        <w:pStyle w:val="Fundamentos"/>
      </w:pPr>
      <w:r w:rsidRPr="002D269F">
        <w:t>…</w:t>
      </w:r>
    </w:p>
    <w:p w14:paraId="30BCBE69" w14:textId="77777777" w:rsidR="001D4EFC" w:rsidRPr="002D269F" w:rsidRDefault="001D4EFC" w:rsidP="001D4EFC">
      <w:pPr>
        <w:pStyle w:val="Fundamentos"/>
      </w:pPr>
      <w:r w:rsidRPr="002D269F">
        <w:t>La ley establecerá aquella información que se considere reservada o confidencial.</w:t>
      </w:r>
    </w:p>
    <w:p w14:paraId="179F226A" w14:textId="77777777" w:rsidR="001D4EFC" w:rsidRPr="002D269F" w:rsidRDefault="001D4EFC" w:rsidP="00286AA3">
      <w:pPr>
        <w:pBdr>
          <w:top w:val="nil"/>
          <w:left w:val="nil"/>
          <w:bottom w:val="nil"/>
          <w:right w:val="nil"/>
          <w:between w:val="nil"/>
        </w:pBdr>
        <w:contextualSpacing/>
        <w:rPr>
          <w:rFonts w:eastAsia="Palatino Linotype" w:cs="Palatino Linotype"/>
          <w:color w:val="000000"/>
          <w:szCs w:val="24"/>
        </w:rPr>
      </w:pPr>
    </w:p>
    <w:p w14:paraId="1F3F7FFB" w14:textId="1505B93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33F30B02" w:rsidR="00286AA3" w:rsidRPr="002D269F"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D269F">
        <w:rPr>
          <w:rFonts w:eastAsia="Palatino Linotype" w:cs="Palatino Linotype"/>
          <w:b/>
          <w:bCs/>
          <w:i/>
          <w:iCs/>
          <w:color w:val="000000" w:themeColor="text1"/>
          <w:sz w:val="22"/>
          <w:lang w:val="es-ES"/>
        </w:rPr>
        <w:t>Artículo 5</w:t>
      </w:r>
      <w:r w:rsidR="00FC281A" w:rsidRPr="002D269F">
        <w:rPr>
          <w:rFonts w:eastAsia="Palatino Linotype" w:cs="Palatino Linotype"/>
          <w:i/>
          <w:iCs/>
          <w:color w:val="000000" w:themeColor="text1"/>
          <w:sz w:val="22"/>
          <w:lang w:val="es-ES"/>
        </w:rPr>
        <w:t>. […]</w:t>
      </w:r>
    </w:p>
    <w:p w14:paraId="7CAEB356" w14:textId="77777777" w:rsidR="001D4EFC" w:rsidRPr="002D269F" w:rsidRDefault="001D4EFC" w:rsidP="001D4EFC">
      <w:pPr>
        <w:pStyle w:val="Fundamentos"/>
      </w:pPr>
      <w:r w:rsidRPr="002D269F">
        <w:rPr>
          <w:b/>
          <w:bCs/>
        </w:rPr>
        <w:t>Artículo 5.</w:t>
      </w:r>
      <w:r w:rsidRPr="002D269F">
        <w:t xml:space="preserve"> (…) </w:t>
      </w:r>
    </w:p>
    <w:p w14:paraId="5522F515" w14:textId="77777777" w:rsidR="001D4EFC" w:rsidRPr="002D269F" w:rsidRDefault="001D4EFC" w:rsidP="001D4EFC">
      <w:pPr>
        <w:pStyle w:val="Fundamentos"/>
      </w:pPr>
      <w:r w:rsidRPr="002D269F">
        <w:t xml:space="preserve">El derecho a la información será garantizado por el Estado. La ley establecerá las previsiones que permitan asegurar la protección, el respeto y la difusión de este derecho. </w:t>
      </w:r>
    </w:p>
    <w:p w14:paraId="392116CC" w14:textId="77777777" w:rsidR="001D4EFC" w:rsidRPr="002D269F" w:rsidRDefault="001D4EFC" w:rsidP="001D4EFC">
      <w:pPr>
        <w:pStyle w:val="Fundamentos"/>
      </w:pPr>
    </w:p>
    <w:p w14:paraId="457466BA" w14:textId="77777777" w:rsidR="001D4EFC" w:rsidRPr="002D269F" w:rsidRDefault="001D4EFC" w:rsidP="001D4EFC">
      <w:pPr>
        <w:pStyle w:val="Fundamentos"/>
      </w:pPr>
      <w:r w:rsidRPr="002D269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95C683" w14:textId="77777777" w:rsidR="001D4EFC" w:rsidRPr="002D269F" w:rsidRDefault="001D4EFC" w:rsidP="001D4EFC">
      <w:pPr>
        <w:pStyle w:val="Fundamentos"/>
      </w:pPr>
    </w:p>
    <w:p w14:paraId="15ED5A5F" w14:textId="77777777" w:rsidR="001D4EFC" w:rsidRPr="002D269F" w:rsidRDefault="001D4EFC" w:rsidP="001D4EFC">
      <w:pPr>
        <w:pStyle w:val="Fundamentos"/>
      </w:pPr>
      <w:r w:rsidRPr="002D269F">
        <w:t>Este derecho se regirá por los principios y bases siguientes:</w:t>
      </w:r>
    </w:p>
    <w:p w14:paraId="4DB0ACA0" w14:textId="77777777" w:rsidR="001D4EFC" w:rsidRPr="002D269F" w:rsidRDefault="001D4EFC" w:rsidP="001D4EFC">
      <w:pPr>
        <w:pStyle w:val="Fundamentos"/>
      </w:pPr>
    </w:p>
    <w:p w14:paraId="0DDB6639" w14:textId="77777777" w:rsidR="001D4EFC" w:rsidRPr="002D269F" w:rsidRDefault="001D4EFC" w:rsidP="001D4EFC">
      <w:pPr>
        <w:pStyle w:val="Fundamentos"/>
      </w:pPr>
      <w:r w:rsidRPr="002D269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ED41FE" w14:textId="77777777" w:rsidR="001D4EFC" w:rsidRPr="002D269F" w:rsidRDefault="001D4EFC" w:rsidP="001D4EFC">
      <w:pPr>
        <w:pStyle w:val="Fundamentos"/>
      </w:pPr>
      <w:r w:rsidRPr="002D269F">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D098A56" w14:textId="77777777" w:rsidR="001D4EFC" w:rsidRPr="002D269F" w:rsidRDefault="001D4EFC" w:rsidP="001D4EFC">
      <w:pPr>
        <w:pStyle w:val="Fundamentos"/>
      </w:pPr>
      <w:r w:rsidRPr="002D269F">
        <w:t>III. Toda persona, sin necesidad de acreditar interés alguno o justificar su utilización, tendrá acceso gratuito a la información pública, a sus datos personales o a la rectificación de éstos.</w:t>
      </w:r>
    </w:p>
    <w:p w14:paraId="420CCFA5" w14:textId="77777777" w:rsidR="001D4EFC" w:rsidRPr="002D269F" w:rsidRDefault="001D4EFC" w:rsidP="001D4EFC">
      <w:pPr>
        <w:pStyle w:val="Fundamentos"/>
      </w:pPr>
      <w:r w:rsidRPr="002D269F">
        <w:t>IV. Se establecerán mecanismos de acceso a la información y procedimientos de revisión expeditos que se sustanciarán ante el organismo autónomo especializado e imparcial que establece esta Constitución.</w:t>
      </w:r>
    </w:p>
    <w:p w14:paraId="0086D4F2" w14:textId="77777777" w:rsidR="001D4EFC" w:rsidRPr="002D269F" w:rsidRDefault="001D4EFC" w:rsidP="001D4EFC">
      <w:pPr>
        <w:pStyle w:val="Fundamentos"/>
      </w:pPr>
      <w:r w:rsidRPr="002D269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FA3FFE3" w14:textId="77777777" w:rsidR="001D4EFC" w:rsidRPr="002D269F" w:rsidRDefault="001D4EFC" w:rsidP="001D4EFC">
      <w:pPr>
        <w:pStyle w:val="Fundamentos"/>
      </w:pPr>
      <w:r w:rsidRPr="002D269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19C753D" w14:textId="77777777" w:rsidR="001D4EFC" w:rsidRPr="002D269F" w:rsidRDefault="001D4EFC" w:rsidP="001D4EFC">
      <w:pPr>
        <w:pStyle w:val="Fundamentos"/>
      </w:pPr>
      <w:r w:rsidRPr="002D269F">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2D269F" w:rsidRDefault="00286AA3" w:rsidP="00286AA3">
      <w:pPr>
        <w:rPr>
          <w:rFonts w:eastAsia="Palatino Linotype" w:cs="Palatino Linotype"/>
          <w:szCs w:val="24"/>
        </w:rPr>
      </w:pPr>
      <w:r w:rsidRPr="002D269F">
        <w:rPr>
          <w:rFonts w:eastAsia="Palatino Linotype" w:cs="Palatino Linotype"/>
          <w:szCs w:val="24"/>
        </w:rPr>
        <w:t>En ese orden de ideas, la Ley de Transparencia y Acceso a la Información Pública del Estado de México y Municipios, prevé en su artículo 23 fracción I</w:t>
      </w:r>
      <w:r w:rsidR="008240F4" w:rsidRPr="002D269F">
        <w:rPr>
          <w:rFonts w:eastAsia="Palatino Linotype" w:cs="Palatino Linotype"/>
          <w:szCs w:val="24"/>
        </w:rPr>
        <w:t>V</w:t>
      </w:r>
      <w:r w:rsidRPr="002D269F">
        <w:rPr>
          <w:rFonts w:eastAsia="Palatino Linotype" w:cs="Palatino Linotype"/>
          <w:szCs w:val="24"/>
        </w:rPr>
        <w:t>, lo siguiente:</w:t>
      </w:r>
    </w:p>
    <w:p w14:paraId="68B0F04D" w14:textId="77777777" w:rsidR="00286AA3" w:rsidRPr="002D269F" w:rsidRDefault="00286AA3" w:rsidP="00286AA3">
      <w:pPr>
        <w:rPr>
          <w:rFonts w:eastAsia="Palatino Linotype" w:cs="Palatino Linotype"/>
          <w:szCs w:val="24"/>
        </w:rPr>
      </w:pPr>
    </w:p>
    <w:p w14:paraId="66FFABC9" w14:textId="77777777" w:rsidR="00286AA3" w:rsidRPr="002D269F" w:rsidRDefault="00286AA3" w:rsidP="00286AA3">
      <w:pPr>
        <w:spacing w:line="240" w:lineRule="auto"/>
        <w:ind w:left="567" w:right="567"/>
        <w:rPr>
          <w:rFonts w:eastAsia="Palatino Linotype" w:cs="Palatino Linotype"/>
          <w:i/>
          <w:iCs/>
          <w:sz w:val="22"/>
          <w:lang w:val="es-ES"/>
        </w:rPr>
      </w:pPr>
      <w:r w:rsidRPr="002D269F">
        <w:rPr>
          <w:rFonts w:eastAsia="Palatino Linotype" w:cs="Palatino Linotype"/>
          <w:b/>
          <w:bCs/>
          <w:i/>
          <w:iCs/>
          <w:sz w:val="22"/>
          <w:lang w:val="es-ES"/>
        </w:rPr>
        <w:t>Artículo 23.</w:t>
      </w:r>
      <w:r w:rsidRPr="002D269F">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0F3530EC" w:rsidR="00286AA3" w:rsidRPr="002D269F" w:rsidRDefault="00FC281A" w:rsidP="00286AA3">
      <w:pPr>
        <w:spacing w:line="240" w:lineRule="auto"/>
        <w:ind w:left="567" w:right="567"/>
        <w:rPr>
          <w:rFonts w:eastAsia="Palatino Linotype" w:cs="Palatino Linotype"/>
          <w:i/>
          <w:iCs/>
          <w:sz w:val="22"/>
          <w:lang w:val="es-ES"/>
        </w:rPr>
      </w:pPr>
      <w:r w:rsidRPr="002D269F">
        <w:rPr>
          <w:rFonts w:eastAsia="Palatino Linotype" w:cs="Palatino Linotype"/>
          <w:i/>
          <w:iCs/>
          <w:sz w:val="22"/>
          <w:lang w:val="es-ES"/>
        </w:rPr>
        <w:t>[…]</w:t>
      </w:r>
    </w:p>
    <w:p w14:paraId="14D48834" w14:textId="1BC45548" w:rsidR="00286AA3" w:rsidRPr="002D269F" w:rsidRDefault="00286AA3" w:rsidP="00286AA3">
      <w:pPr>
        <w:spacing w:line="240" w:lineRule="auto"/>
        <w:ind w:left="567" w:right="567"/>
        <w:rPr>
          <w:rFonts w:eastAsia="Palatino Linotype" w:cs="Palatino Linotype"/>
          <w:i/>
          <w:iCs/>
          <w:sz w:val="22"/>
          <w:lang w:val="es-ES"/>
        </w:rPr>
      </w:pPr>
      <w:r w:rsidRPr="002D269F">
        <w:rPr>
          <w:rFonts w:eastAsia="Palatino Linotype" w:cs="Palatino Linotype"/>
          <w:b/>
          <w:bCs/>
          <w:i/>
          <w:iCs/>
          <w:sz w:val="22"/>
          <w:lang w:val="es-ES"/>
        </w:rPr>
        <w:t>I</w:t>
      </w:r>
      <w:r w:rsidR="008240F4" w:rsidRPr="002D269F">
        <w:rPr>
          <w:rFonts w:eastAsia="Palatino Linotype" w:cs="Palatino Linotype"/>
          <w:b/>
          <w:bCs/>
          <w:i/>
          <w:iCs/>
          <w:sz w:val="22"/>
          <w:lang w:val="es-ES"/>
        </w:rPr>
        <w:t>V</w:t>
      </w:r>
      <w:r w:rsidRPr="002D269F">
        <w:rPr>
          <w:rFonts w:eastAsia="Palatino Linotype" w:cs="Palatino Linotype"/>
          <w:b/>
          <w:bCs/>
          <w:i/>
          <w:iCs/>
          <w:sz w:val="22"/>
          <w:lang w:val="es-ES"/>
        </w:rPr>
        <w:t>.</w:t>
      </w:r>
      <w:r w:rsidR="008240F4" w:rsidRPr="002D269F">
        <w:rPr>
          <w:rFonts w:eastAsia="Palatino Linotype" w:cs="Palatino Linotype"/>
          <w:i/>
          <w:iCs/>
          <w:sz w:val="22"/>
          <w:lang w:val="es-ES"/>
        </w:rPr>
        <w:t xml:space="preserve"> Los</w:t>
      </w:r>
      <w:r w:rsidRPr="002D269F">
        <w:rPr>
          <w:rFonts w:eastAsia="Palatino Linotype" w:cs="Palatino Linotype"/>
          <w:i/>
          <w:iCs/>
          <w:sz w:val="22"/>
          <w:lang w:val="es-ES"/>
        </w:rPr>
        <w:t xml:space="preserve"> </w:t>
      </w:r>
      <w:r w:rsidR="008240F4" w:rsidRPr="002D269F">
        <w:rPr>
          <w:rFonts w:eastAsia="Palatino Linotype" w:cs="Palatino Linotype"/>
          <w:i/>
          <w:iCs/>
          <w:sz w:val="22"/>
          <w:lang w:val="es-ES"/>
        </w:rPr>
        <w:t>ayuntamientos y las dependencias, organismos, órganos y entidades de la administración municipal</w:t>
      </w:r>
      <w:r w:rsidRPr="002D269F">
        <w:rPr>
          <w:rFonts w:eastAsia="Palatino Linotype" w:cs="Palatino Linotype"/>
          <w:i/>
          <w:iCs/>
          <w:sz w:val="22"/>
          <w:lang w:val="es-ES"/>
        </w:rPr>
        <w:t>;</w:t>
      </w:r>
    </w:p>
    <w:p w14:paraId="3879DFA0" w14:textId="11F5DACB" w:rsidR="00286AA3" w:rsidRPr="002D269F" w:rsidRDefault="00FC281A" w:rsidP="00286AA3">
      <w:pPr>
        <w:spacing w:line="240" w:lineRule="auto"/>
        <w:ind w:left="567" w:right="567"/>
        <w:rPr>
          <w:rFonts w:eastAsia="Palatino Linotype" w:cs="Palatino Linotype"/>
          <w:i/>
          <w:iCs/>
          <w:sz w:val="22"/>
          <w:lang w:val="es-ES"/>
        </w:rPr>
      </w:pPr>
      <w:r w:rsidRPr="002D269F">
        <w:rPr>
          <w:rFonts w:eastAsia="Palatino Linotype" w:cs="Palatino Linotype"/>
          <w:i/>
          <w:iCs/>
          <w:sz w:val="22"/>
          <w:lang w:val="es-ES"/>
        </w:rPr>
        <w:t>[…]</w:t>
      </w:r>
    </w:p>
    <w:p w14:paraId="3684C176"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457D441B"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r w:rsidRPr="002D269F">
        <w:rPr>
          <w:rFonts w:eastAsia="Palatino Linotype" w:cs="Palatino Linotype"/>
          <w:color w:val="000000"/>
          <w:szCs w:val="24"/>
        </w:rPr>
        <w:t xml:space="preserve">Es así como, conforme a los preceptos legales citados, se desprende que el derecho de acceso a la información pública es un derecho individual que puede ser ejercido ante </w:t>
      </w:r>
      <w:r w:rsidRPr="002D269F">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r w:rsidR="000C03A4" w:rsidRPr="002D269F">
        <w:rPr>
          <w:rFonts w:eastAsia="Palatino Linotype" w:cs="Palatino Linotype"/>
          <w:color w:val="000000"/>
          <w:szCs w:val="24"/>
        </w:rPr>
        <w:t xml:space="preserve"> </w:t>
      </w:r>
    </w:p>
    <w:p w14:paraId="4B2DF930" w14:textId="77777777" w:rsidR="00286AA3" w:rsidRPr="002D269F" w:rsidRDefault="00286AA3" w:rsidP="00286AA3">
      <w:pPr>
        <w:pBdr>
          <w:top w:val="nil"/>
          <w:left w:val="nil"/>
          <w:bottom w:val="nil"/>
          <w:right w:val="nil"/>
          <w:between w:val="nil"/>
        </w:pBdr>
        <w:contextualSpacing/>
        <w:rPr>
          <w:rFonts w:eastAsia="Palatino Linotype" w:cs="Palatino Linotype"/>
          <w:color w:val="000000"/>
          <w:szCs w:val="24"/>
        </w:rPr>
      </w:pPr>
    </w:p>
    <w:p w14:paraId="27410D83" w14:textId="31178833" w:rsidR="00C90F14" w:rsidRPr="002D269F" w:rsidRDefault="00286AA3" w:rsidP="00C90F14">
      <w:pPr>
        <w:rPr>
          <w:rFonts w:eastAsia="Palatino Linotype" w:cs="Palatino Linotype"/>
          <w:bCs/>
          <w:szCs w:val="24"/>
          <w:lang w:val="es-MX"/>
        </w:rPr>
      </w:pPr>
      <w:r w:rsidRPr="002D269F">
        <w:t>En segundo término</w:t>
      </w:r>
      <w:r w:rsidR="00B97B0E" w:rsidRPr="002D269F">
        <w:t xml:space="preserve">, </w:t>
      </w:r>
      <w:r w:rsidR="00C90F14" w:rsidRPr="002D269F">
        <w:rPr>
          <w:rFonts w:eastAsia="Palatino Linotype" w:cs="Palatino Linotype"/>
          <w:szCs w:val="24"/>
        </w:rPr>
        <w:t xml:space="preserve">se tiene que el </w:t>
      </w:r>
      <w:r w:rsidR="00C90F14" w:rsidRPr="002D269F">
        <w:rPr>
          <w:rFonts w:eastAsia="Palatino Linotype" w:cs="Palatino Linotype"/>
          <w:b/>
          <w:bCs/>
          <w:szCs w:val="24"/>
        </w:rPr>
        <w:t>Sujeto Obligado</w:t>
      </w:r>
      <w:r w:rsidR="001D4EFC" w:rsidRPr="002D269F">
        <w:rPr>
          <w:rFonts w:eastAsia="Palatino Linotype" w:cs="Palatino Linotype"/>
          <w:szCs w:val="24"/>
        </w:rPr>
        <w:t xml:space="preserve"> pretendió clasificar la información requerida a través de</w:t>
      </w:r>
      <w:r w:rsidR="007F4512" w:rsidRPr="002D269F">
        <w:rPr>
          <w:rFonts w:eastAsia="Palatino Linotype" w:cs="Palatino Linotype"/>
          <w:szCs w:val="24"/>
        </w:rPr>
        <w:t>l</w:t>
      </w:r>
      <w:r w:rsidR="001D4EFC" w:rsidRPr="002D269F">
        <w:rPr>
          <w:rFonts w:eastAsia="Palatino Linotype" w:cs="Palatino Linotype"/>
          <w:szCs w:val="24"/>
        </w:rPr>
        <w:t xml:space="preserve"> </w:t>
      </w:r>
      <w:r w:rsidR="007F4512" w:rsidRPr="002D269F">
        <w:rPr>
          <w:rFonts w:eastAsia="Palatino Linotype" w:cs="Palatino Linotype"/>
          <w:szCs w:val="24"/>
        </w:rPr>
        <w:t>Coordinador de la Consejería Jurídica y Consultiva</w:t>
      </w:r>
      <w:r w:rsidR="001D4EFC" w:rsidRPr="002D269F">
        <w:rPr>
          <w:rFonts w:eastAsia="Palatino Linotype" w:cs="Palatino Linotype"/>
          <w:szCs w:val="24"/>
        </w:rPr>
        <w:t>, argumentando que</w:t>
      </w:r>
      <w:r w:rsidR="001D4EFC" w:rsidRPr="002D269F">
        <w:t xml:space="preserve"> </w:t>
      </w:r>
      <w:r w:rsidR="001D4EFC" w:rsidRPr="002D269F">
        <w:rPr>
          <w:rFonts w:eastAsia="Palatino Linotype" w:cs="Palatino Linotype"/>
          <w:szCs w:val="24"/>
        </w:rPr>
        <w:t>se encuentran imposibilitados para otorgar la información</w:t>
      </w:r>
      <w:r w:rsidR="007F4512" w:rsidRPr="002D269F">
        <w:rPr>
          <w:rFonts w:eastAsia="Palatino Linotype" w:cs="Palatino Linotype"/>
          <w:szCs w:val="24"/>
        </w:rPr>
        <w:t xml:space="preserve"> al contener </w:t>
      </w:r>
      <w:r w:rsidR="007F4512" w:rsidRPr="002D269F">
        <w:rPr>
          <w:rFonts w:eastAsia="Palatino Linotype" w:cs="Palatino Linotype"/>
          <w:szCs w:val="24"/>
          <w:u w:val="single"/>
        </w:rPr>
        <w:t>clausulas especiales de confidencialidad, suscritas de manera expresa por las partes involucradas</w:t>
      </w:r>
      <w:r w:rsidR="001D4EFC" w:rsidRPr="002D269F">
        <w:rPr>
          <w:rFonts w:eastAsia="Palatino Linotype" w:cs="Palatino Linotype"/>
          <w:szCs w:val="24"/>
        </w:rPr>
        <w:t xml:space="preserve">. </w:t>
      </w:r>
    </w:p>
    <w:p w14:paraId="11DACF3B" w14:textId="77777777" w:rsidR="00CB651C" w:rsidRPr="002D269F" w:rsidRDefault="00CB651C" w:rsidP="00C90F14">
      <w:pPr>
        <w:contextualSpacing/>
        <w:rPr>
          <w:rFonts w:eastAsia="Palatino Linotype" w:cs="Palatino Linotype"/>
          <w:bCs/>
          <w:szCs w:val="24"/>
          <w:lang w:val="es-MX"/>
        </w:rPr>
      </w:pPr>
    </w:p>
    <w:p w14:paraId="55964348" w14:textId="04F38287" w:rsidR="008E40A8" w:rsidRPr="002D269F" w:rsidRDefault="00CB651C" w:rsidP="008E40A8">
      <w:pPr>
        <w:contextualSpacing/>
        <w:rPr>
          <w:rFonts w:eastAsia="Palatino Linotype" w:cs="Palatino Linotype"/>
          <w:bCs/>
          <w:szCs w:val="24"/>
          <w:lang w:val="es-MX"/>
        </w:rPr>
      </w:pPr>
      <w:r w:rsidRPr="002D269F">
        <w:rPr>
          <w:rFonts w:eastAsia="Palatino Linotype" w:cs="Palatino Linotype"/>
          <w:bCs/>
          <w:szCs w:val="24"/>
          <w:lang w:val="es-MX"/>
        </w:rPr>
        <w:t xml:space="preserve">En ese sentido, se tiene que </w:t>
      </w:r>
      <w:r w:rsidRPr="002D269F">
        <w:rPr>
          <w:rFonts w:eastAsia="Palatino Linotype" w:cs="Palatino Linotype"/>
          <w:b/>
          <w:szCs w:val="24"/>
          <w:lang w:val="es-MX"/>
        </w:rPr>
        <w:t>el Sujeto Obligado asumió la existencia de la información</w:t>
      </w:r>
      <w:r w:rsidRPr="002D269F">
        <w:rPr>
          <w:rFonts w:eastAsia="Palatino Linotype" w:cs="Palatino Linotype"/>
          <w:bCs/>
          <w:szCs w:val="24"/>
          <w:lang w:val="es-MX"/>
        </w:rPr>
        <w:t xml:space="preserve">; </w:t>
      </w:r>
      <w:r w:rsidR="008E40A8" w:rsidRPr="002D269F">
        <w:rPr>
          <w:rFonts w:eastAsia="Palatino Linotype" w:cs="Palatino Linotype"/>
          <w:bCs/>
          <w:szCs w:val="24"/>
          <w:lang w:val="es-MX"/>
        </w:rPr>
        <w:t xml:space="preserve">por tanto, se debe entender que el </w:t>
      </w:r>
      <w:r w:rsidR="008E40A8" w:rsidRPr="002D269F">
        <w:rPr>
          <w:rFonts w:eastAsia="Palatino Linotype" w:cs="Palatino Linotype"/>
          <w:b/>
          <w:szCs w:val="24"/>
          <w:lang w:val="es-MX"/>
        </w:rPr>
        <w:t>Sujeto Obligado</w:t>
      </w:r>
      <w:r w:rsidR="008E40A8" w:rsidRPr="002D269F">
        <w:rPr>
          <w:rFonts w:eastAsia="Palatino Linotype" w:cs="Palatino Linotype"/>
          <w:bCs/>
          <w:szCs w:val="24"/>
          <w:lang w:val="es-MX"/>
        </w:rPr>
        <w:t xml:space="preserve">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00A0173F" w14:textId="77777777" w:rsidR="008E40A8" w:rsidRPr="002D269F" w:rsidRDefault="008E40A8" w:rsidP="008E40A8">
      <w:pPr>
        <w:contextualSpacing/>
        <w:rPr>
          <w:rFonts w:eastAsia="Palatino Linotype" w:cs="Palatino Linotype"/>
          <w:bCs/>
          <w:szCs w:val="24"/>
          <w:lang w:val="es-MX"/>
        </w:rPr>
      </w:pPr>
      <w:r w:rsidRPr="002D269F">
        <w:rPr>
          <w:rFonts w:eastAsia="Palatino Linotype" w:cs="Palatino Linotype"/>
          <w:bCs/>
          <w:szCs w:val="24"/>
          <w:lang w:val="es-MX"/>
        </w:rPr>
        <w:t xml:space="preserve"> </w:t>
      </w:r>
    </w:p>
    <w:p w14:paraId="162B8F02" w14:textId="18A8898E" w:rsidR="008E40A8" w:rsidRPr="002D269F" w:rsidRDefault="008E40A8" w:rsidP="008E40A8">
      <w:pPr>
        <w:contextualSpacing/>
        <w:rPr>
          <w:rFonts w:eastAsia="Palatino Linotype" w:cs="Palatino Linotype"/>
          <w:bCs/>
          <w:szCs w:val="24"/>
          <w:lang w:val="es-MX"/>
        </w:rPr>
      </w:pPr>
      <w:r w:rsidRPr="002D269F">
        <w:rPr>
          <w:rFonts w:eastAsia="Palatino Linotype" w:cs="Palatino Linotype"/>
          <w:bCs/>
          <w:szCs w:val="24"/>
          <w:lang w:val="es-MX"/>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1D381337" w14:textId="77777777" w:rsidR="008E40A8" w:rsidRPr="002D269F" w:rsidRDefault="008E40A8" w:rsidP="00C90F14">
      <w:pPr>
        <w:contextualSpacing/>
        <w:rPr>
          <w:rFonts w:eastAsia="Palatino Linotype" w:cs="Palatino Linotype"/>
          <w:bCs/>
          <w:szCs w:val="24"/>
          <w:lang w:val="es-MX"/>
        </w:rPr>
      </w:pPr>
    </w:p>
    <w:p w14:paraId="124CC0FC" w14:textId="098E6DF8" w:rsidR="00CB651C" w:rsidRPr="002D269F" w:rsidRDefault="008E40A8" w:rsidP="00C90F14">
      <w:pPr>
        <w:contextualSpacing/>
        <w:rPr>
          <w:rFonts w:eastAsia="Palatino Linotype" w:cs="Palatino Linotype"/>
          <w:bCs/>
          <w:szCs w:val="24"/>
          <w:lang w:val="es-MX"/>
        </w:rPr>
      </w:pPr>
      <w:r w:rsidRPr="002D269F">
        <w:rPr>
          <w:rFonts w:eastAsia="Palatino Linotype" w:cs="Palatino Linotype"/>
          <w:bCs/>
          <w:szCs w:val="24"/>
          <w:lang w:val="es-MX"/>
        </w:rPr>
        <w:t>S</w:t>
      </w:r>
      <w:r w:rsidR="00CB651C" w:rsidRPr="002D269F">
        <w:rPr>
          <w:rFonts w:eastAsia="Palatino Linotype" w:cs="Palatino Linotype"/>
          <w:bCs/>
          <w:szCs w:val="24"/>
          <w:lang w:val="es-MX"/>
        </w:rPr>
        <w:t xml:space="preserve">in embargo, </w:t>
      </w:r>
      <w:r w:rsidR="00B71489" w:rsidRPr="002D269F">
        <w:rPr>
          <w:rFonts w:eastAsia="Palatino Linotype" w:cs="Palatino Linotype"/>
          <w:bCs/>
          <w:szCs w:val="24"/>
          <w:lang w:val="es-MX"/>
        </w:rPr>
        <w:t xml:space="preserve">de las constancias que obran en el expediente electrónico del </w:t>
      </w:r>
      <w:r w:rsidR="00B71489" w:rsidRPr="002D269F">
        <w:rPr>
          <w:rFonts w:eastAsia="Palatino Linotype" w:cs="Palatino Linotype"/>
          <w:b/>
          <w:szCs w:val="24"/>
          <w:lang w:val="es-MX"/>
        </w:rPr>
        <w:t>SAIMEX</w:t>
      </w:r>
      <w:r w:rsidR="00B71489" w:rsidRPr="002D269F">
        <w:rPr>
          <w:rFonts w:eastAsia="Palatino Linotype" w:cs="Palatino Linotype"/>
          <w:bCs/>
          <w:szCs w:val="24"/>
          <w:lang w:val="es-MX"/>
        </w:rPr>
        <w:t xml:space="preserve">, se advierte que el </w:t>
      </w:r>
      <w:r w:rsidR="00B71489" w:rsidRPr="002D269F">
        <w:rPr>
          <w:rFonts w:eastAsia="Palatino Linotype" w:cs="Palatino Linotype"/>
          <w:b/>
          <w:szCs w:val="24"/>
          <w:lang w:val="es-MX"/>
        </w:rPr>
        <w:t>Sujeto Obligado</w:t>
      </w:r>
      <w:r w:rsidR="00B71489" w:rsidRPr="002D269F">
        <w:rPr>
          <w:rFonts w:eastAsia="Palatino Linotype" w:cs="Palatino Linotype"/>
          <w:bCs/>
          <w:szCs w:val="24"/>
          <w:lang w:val="es-MX"/>
        </w:rPr>
        <w:t xml:space="preserve"> </w:t>
      </w:r>
      <w:r w:rsidR="00B71489" w:rsidRPr="002D269F">
        <w:rPr>
          <w:rFonts w:eastAsia="Palatino Linotype" w:cs="Palatino Linotype"/>
          <w:b/>
          <w:szCs w:val="24"/>
          <w:lang w:val="es-MX"/>
        </w:rPr>
        <w:t>pretendió clasificar la información solicitada</w:t>
      </w:r>
      <w:r w:rsidR="00153366" w:rsidRPr="002D269F">
        <w:rPr>
          <w:rFonts w:eastAsia="Palatino Linotype" w:cs="Palatino Linotype"/>
          <w:bCs/>
          <w:szCs w:val="24"/>
          <w:lang w:val="es-MX"/>
        </w:rPr>
        <w:t>.</w:t>
      </w:r>
      <w:r w:rsidRPr="002D269F">
        <w:rPr>
          <w:rFonts w:eastAsia="Palatino Linotype" w:cs="Palatino Linotype"/>
          <w:bCs/>
          <w:szCs w:val="24"/>
          <w:lang w:val="es-MX"/>
        </w:rPr>
        <w:t xml:space="preserve"> Lo </w:t>
      </w:r>
      <w:r w:rsidRPr="002D269F">
        <w:rPr>
          <w:rFonts w:eastAsia="Palatino Linotype" w:cs="Palatino Linotype"/>
          <w:bCs/>
          <w:szCs w:val="24"/>
          <w:lang w:val="es-MX"/>
        </w:rPr>
        <w:lastRenderedPageBreak/>
        <w:t xml:space="preserve">anterior ratifica la existencia de la información </w:t>
      </w:r>
      <w:r w:rsidR="00B71489" w:rsidRPr="002D269F">
        <w:rPr>
          <w:rFonts w:eastAsia="Palatino Linotype" w:cs="Palatino Linotype"/>
          <w:bCs/>
          <w:szCs w:val="24"/>
          <w:lang w:val="es-MX"/>
        </w:rPr>
        <w:t>requerida por el particular</w:t>
      </w:r>
      <w:r w:rsidRPr="002D269F">
        <w:rPr>
          <w:rFonts w:eastAsia="Palatino Linotype" w:cs="Palatino Linotype"/>
          <w:bCs/>
          <w:szCs w:val="24"/>
          <w:lang w:val="es-MX"/>
        </w:rPr>
        <w:t xml:space="preserve"> debido que la clasificación de la información y la inexistencia de esta son conceptos incompatibles, como se establece en el criterio con clave de control SO/012/2023 emitido por el Instituto Nacional de Transparencia, Acceso a la Información y Protección de Datos Personales, que a la letra estipula lo siguiente:</w:t>
      </w:r>
    </w:p>
    <w:p w14:paraId="1E93D8E1" w14:textId="77777777" w:rsidR="008E40A8" w:rsidRPr="002D269F" w:rsidRDefault="008E40A8" w:rsidP="00C90F14">
      <w:pPr>
        <w:contextualSpacing/>
        <w:rPr>
          <w:rFonts w:eastAsia="Palatino Linotype" w:cs="Palatino Linotype"/>
          <w:bCs/>
          <w:szCs w:val="24"/>
          <w:lang w:val="es-MX"/>
        </w:rPr>
      </w:pPr>
    </w:p>
    <w:p w14:paraId="72D33E1B" w14:textId="77777777" w:rsidR="001A286B" w:rsidRPr="002D269F" w:rsidRDefault="001A286B" w:rsidP="001A286B">
      <w:pPr>
        <w:pStyle w:val="Fundamentos"/>
        <w:rPr>
          <w:lang w:val="es-MX"/>
        </w:rPr>
      </w:pPr>
      <w:r w:rsidRPr="002D269F">
        <w:rPr>
          <w:b/>
          <w:lang w:val="es-MX"/>
        </w:rPr>
        <w:t>Respuesta a solicitud de acceso. La clasificación y la inexistencia de información son conceptos que no pueden coexistir.</w:t>
      </w:r>
      <w:r w:rsidRPr="002D269F">
        <w:rPr>
          <w:lang w:val="es-MX"/>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2D269F">
        <w:rPr>
          <w:lang w:val="es-MX"/>
        </w:rPr>
        <w:t>actualiza</w:t>
      </w:r>
      <w:proofErr w:type="spellEnd"/>
      <w:r w:rsidRPr="002D269F">
        <w:rPr>
          <w:lang w:val="es-MX"/>
        </w:rPr>
        <w:t xml:space="preserve">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8F3FC18" w14:textId="77777777" w:rsidR="008E40A8" w:rsidRPr="002D269F" w:rsidRDefault="008E40A8" w:rsidP="00C90F14">
      <w:pPr>
        <w:contextualSpacing/>
        <w:rPr>
          <w:rFonts w:eastAsia="Palatino Linotype" w:cs="Palatino Linotype"/>
          <w:bCs/>
          <w:szCs w:val="24"/>
          <w:lang w:val="es-MX"/>
        </w:rPr>
      </w:pPr>
    </w:p>
    <w:p w14:paraId="5EE7B186" w14:textId="0D8D4B35" w:rsidR="00D47640" w:rsidRPr="002D269F" w:rsidRDefault="00CB651C" w:rsidP="001A6797">
      <w:r w:rsidRPr="002D269F">
        <w:t xml:space="preserve">Conforme a lo anterior, se considera que, si bien el </w:t>
      </w:r>
      <w:r w:rsidRPr="002D269F">
        <w:rPr>
          <w:b/>
          <w:bCs/>
        </w:rPr>
        <w:t>Sujeto Obligado</w:t>
      </w:r>
      <w:r w:rsidRPr="002D269F">
        <w:t xml:space="preserve"> se pronunció respecto de la información relacionada con lo solicitado, también lo es que su respuesta no atiende el presente requerimiento, por lo cual, para colmar la pretensión del particular, el </w:t>
      </w:r>
      <w:r w:rsidRPr="002D269F">
        <w:rPr>
          <w:b/>
          <w:bCs/>
        </w:rPr>
        <w:t>Sujeto Obligado</w:t>
      </w:r>
      <w:r w:rsidRPr="002D269F">
        <w:t xml:space="preserve"> debería proporcionar</w:t>
      </w:r>
      <w:r w:rsidR="00D47640" w:rsidRPr="002D269F">
        <w:t xml:space="preserve"> los documentos en donde conste</w:t>
      </w:r>
      <w:r w:rsidR="00B71489" w:rsidRPr="002D269F">
        <w:t>n</w:t>
      </w:r>
      <w:r w:rsidR="00D47640" w:rsidRPr="002D269F">
        <w:t xml:space="preserve"> </w:t>
      </w:r>
      <w:r w:rsidR="007F4512" w:rsidRPr="002D269F">
        <w:t xml:space="preserve">los contratos de arrendamiento de antenas de comunicación del Municipio de Ayuntamiento de </w:t>
      </w:r>
      <w:proofErr w:type="spellStart"/>
      <w:r w:rsidR="007F4512" w:rsidRPr="002D269F">
        <w:t>Jocotitlán</w:t>
      </w:r>
      <w:proofErr w:type="spellEnd"/>
      <w:r w:rsidR="007F4512" w:rsidRPr="002D269F">
        <w:t xml:space="preserve"> celebrados en el periodo que comprende del 01 de enero de 2020 al 04 de junio de 2025</w:t>
      </w:r>
      <w:r w:rsidR="00AA2CE8" w:rsidRPr="002D269F">
        <w:t xml:space="preserve">. </w:t>
      </w:r>
    </w:p>
    <w:p w14:paraId="1E794469" w14:textId="77777777" w:rsidR="00DC5A04" w:rsidRPr="002D269F" w:rsidRDefault="00DC5A04" w:rsidP="001A6797"/>
    <w:p w14:paraId="1D8D577A" w14:textId="0A2FF4F6" w:rsidR="00D66172" w:rsidRPr="002D269F" w:rsidRDefault="00904244" w:rsidP="00D66172">
      <w:r w:rsidRPr="002D269F">
        <w:lastRenderedPageBreak/>
        <w:t>En ese orden</w:t>
      </w:r>
      <w:r w:rsidR="00D66172" w:rsidRPr="002D269F">
        <w:t xml:space="preserve"> de ideas, se debe resaltar que, por regla general, toda la información generada, obtenida, adquirida, transformada, administrada o en posesión de los sujetos obligados es pública; empero, existen limitantes al derecho de acceso a la información como excepción a la regla, es decir, el derecho al acceso a la información se restringe cuando se trata de información clasificada como confidencial o reservada. En este caso, se restringirá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52619585" w14:textId="77777777" w:rsidR="00D66172" w:rsidRPr="002D269F" w:rsidRDefault="00D66172" w:rsidP="00D66172"/>
    <w:p w14:paraId="04B203FC" w14:textId="0B84DF68" w:rsidR="00D66172" w:rsidRPr="002D269F" w:rsidRDefault="00D66172" w:rsidP="00EB2549">
      <w:pPr>
        <w:pStyle w:val="Prrafodelista"/>
        <w:numPr>
          <w:ilvl w:val="0"/>
          <w:numId w:val="17"/>
        </w:numPr>
      </w:pPr>
      <w:r w:rsidRPr="002D269F">
        <w:rPr>
          <w:b/>
        </w:rPr>
        <w:t>Información confidencial</w:t>
      </w:r>
      <w:r w:rsidRPr="002D269F">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F73A23" w14:textId="77798233" w:rsidR="00D66172" w:rsidRPr="002D269F" w:rsidRDefault="00D66172" w:rsidP="00EB2549">
      <w:pPr>
        <w:pStyle w:val="Prrafodelista"/>
        <w:numPr>
          <w:ilvl w:val="0"/>
          <w:numId w:val="17"/>
        </w:numPr>
      </w:pPr>
      <w:r w:rsidRPr="002D269F">
        <w:rPr>
          <w:b/>
        </w:rPr>
        <w:t>Información privada</w:t>
      </w:r>
      <w:r w:rsidRPr="002D269F">
        <w:t>: La contenida en documentos públicos o privados que refiera a la vida privada y/o los datos personales, que no son de acceso público.</w:t>
      </w:r>
    </w:p>
    <w:p w14:paraId="484FEE74" w14:textId="17677829" w:rsidR="00D66172" w:rsidRPr="002D269F" w:rsidRDefault="00D66172" w:rsidP="00EB2549">
      <w:pPr>
        <w:pStyle w:val="Prrafodelista"/>
        <w:numPr>
          <w:ilvl w:val="0"/>
          <w:numId w:val="17"/>
        </w:numPr>
      </w:pPr>
      <w:r w:rsidRPr="002D269F">
        <w:rPr>
          <w:b/>
        </w:rPr>
        <w:t>Información reservada</w:t>
      </w:r>
      <w:r w:rsidRPr="002D269F">
        <w:t>: La clasificada con este carácter de manera temporal por las disposiciones de esta Ley, cuya divulgación puede causar daño en términos de lo establecido por esta Ley.</w:t>
      </w:r>
    </w:p>
    <w:p w14:paraId="3D7BBF8B" w14:textId="77777777" w:rsidR="00D66172" w:rsidRPr="002D269F" w:rsidRDefault="00D66172" w:rsidP="00D66172"/>
    <w:p w14:paraId="2D4231B5" w14:textId="18274A88" w:rsidR="00DC5A04" w:rsidRPr="002D269F" w:rsidRDefault="12647DF1" w:rsidP="00D66172">
      <w:r w:rsidRPr="002D269F">
        <w:rPr>
          <w:lang w:val="es-ES"/>
        </w:rPr>
        <w:t xml:space="preserve">En resumen, se tiene que, excepcionalmente, la información pública podrá ser clasificada como reservada temporalmente por razones de interés público, en los términos de las causas legítimas y estrictamente necesarias previstas por la Ley de Transparencia; así </w:t>
      </w:r>
      <w:r w:rsidRPr="002D269F">
        <w:rPr>
          <w:lang w:val="es-ES"/>
        </w:rPr>
        <w:lastRenderedPageBreak/>
        <w:t>como confidencial, tratándose principalmente de aquella que refiera a la información privada y datos personales concernientes a una persona física.</w:t>
      </w:r>
    </w:p>
    <w:p w14:paraId="5F79C41E" w14:textId="77777777" w:rsidR="00DC5A04" w:rsidRPr="002D269F" w:rsidRDefault="00DC5A04" w:rsidP="001A6797"/>
    <w:p w14:paraId="0D8BC25D" w14:textId="77777777" w:rsidR="008D02B0" w:rsidRPr="002D269F" w:rsidRDefault="12647DF1" w:rsidP="008D02B0">
      <w:r w:rsidRPr="002D269F">
        <w:rPr>
          <w:lang w:val="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45AC14A5" w14:textId="77777777" w:rsidR="008D02B0" w:rsidRPr="002D269F" w:rsidRDefault="008D02B0" w:rsidP="008D02B0"/>
    <w:p w14:paraId="1C1B20C1" w14:textId="2FEA1B3F" w:rsidR="00B71489" w:rsidRPr="002D269F" w:rsidRDefault="008D02B0" w:rsidP="00B71489">
      <w:r w:rsidRPr="002D269F">
        <w:t>De tal manera, se tiene que en el caso particular</w:t>
      </w:r>
      <w:r w:rsidR="00B71489" w:rsidRPr="002D269F">
        <w:t xml:space="preserve">, ante la pretensión del </w:t>
      </w:r>
      <w:r w:rsidR="00B71489" w:rsidRPr="002D269F">
        <w:rPr>
          <w:b/>
          <w:bCs/>
        </w:rPr>
        <w:t>Sujeto Obligado</w:t>
      </w:r>
      <w:r w:rsidR="00B71489" w:rsidRPr="002D269F">
        <w:t xml:space="preserve"> de clasificar la información</w:t>
      </w:r>
      <w:r w:rsidRPr="002D269F">
        <w:t>, es conveniente mencionar que</w:t>
      </w:r>
      <w:r w:rsidR="00B71489" w:rsidRPr="002D269F">
        <w:t>, al tratarse de información relacionada</w:t>
      </w:r>
      <w:r w:rsidR="007F4512" w:rsidRPr="002D269F">
        <w:t xml:space="preserve"> con antenas de comunicación en el Municipio de </w:t>
      </w:r>
      <w:proofErr w:type="spellStart"/>
      <w:r w:rsidR="007F4512" w:rsidRPr="002D269F">
        <w:t>Jocotitlán</w:t>
      </w:r>
      <w:proofErr w:type="spellEnd"/>
      <w:r w:rsidR="007F4512" w:rsidRPr="002D269F">
        <w:t xml:space="preserve">, resulta necesario aclarar que dichas antenas pudieran corresponder a las </w:t>
      </w:r>
      <w:r w:rsidR="007F4512" w:rsidRPr="002D269F">
        <w:rPr>
          <w:u w:val="single"/>
        </w:rPr>
        <w:t>r</w:t>
      </w:r>
      <w:r w:rsidR="007F4512" w:rsidRPr="002D269F">
        <w:rPr>
          <w:b/>
          <w:bCs/>
          <w:u w:val="single"/>
        </w:rPr>
        <w:t>epetidoras de señal de radio  C5 contratadas por las Instituciones de Seguridad Pública</w:t>
      </w:r>
      <w:r w:rsidR="007F4512" w:rsidRPr="002D269F">
        <w:t>, por lo que</w:t>
      </w:r>
      <w:r w:rsidRPr="002D269F">
        <w:t xml:space="preserve"> lo procedente sería clasificar</w:t>
      </w:r>
      <w:r w:rsidR="00B71489" w:rsidRPr="002D269F">
        <w:t xml:space="preserve"> </w:t>
      </w:r>
      <w:r w:rsidR="00B71489" w:rsidRPr="002D269F">
        <w:rPr>
          <w:b/>
          <w:bCs/>
        </w:rPr>
        <w:t>parcialmente</w:t>
      </w:r>
      <w:r w:rsidRPr="002D269F">
        <w:t xml:space="preserve"> la información como reservada</w:t>
      </w:r>
      <w:r w:rsidR="00B53139" w:rsidRPr="002D269F">
        <w:t>, ya que</w:t>
      </w:r>
      <w:r w:rsidRPr="002D269F">
        <w:t xml:space="preserve"> </w:t>
      </w:r>
      <w:r w:rsidR="00B71489" w:rsidRPr="002D269F">
        <w:rPr>
          <w:rFonts w:eastAsia="Times New Roman" w:cs="Tahoma"/>
          <w:b/>
          <w:bCs/>
          <w:szCs w:val="24"/>
          <w:lang w:val="es-MX" w:eastAsia="en-US"/>
        </w:rPr>
        <w:t xml:space="preserve">podría dar cuenta de las tecnologías, equipos y sistemas con los que cuenta la Dirección de Seguridad Pública </w:t>
      </w:r>
      <w:r w:rsidR="00B71489" w:rsidRPr="002D269F">
        <w:rPr>
          <w:rFonts w:eastAsia="Times New Roman" w:cs="Tahoma"/>
          <w:bCs/>
          <w:szCs w:val="24"/>
          <w:lang w:val="es-MX" w:eastAsia="en-US"/>
        </w:rPr>
        <w:t>y por lo tanto, acredita la causal de clasificación prevista en el artículo 140, fracción I de la Ley de Transparencia y Acceso a la Información Pública del Estado de México</w:t>
      </w:r>
      <w:r w:rsidR="00B71489" w:rsidRPr="002D269F">
        <w:rPr>
          <w:rFonts w:eastAsia="Times New Roman" w:cs="Tahoma"/>
          <w:b/>
          <w:bCs/>
          <w:szCs w:val="24"/>
          <w:lang w:val="es-MX" w:eastAsia="en-US"/>
        </w:rPr>
        <w:t>.</w:t>
      </w:r>
    </w:p>
    <w:p w14:paraId="392685E1" w14:textId="77777777" w:rsidR="00DC5A04" w:rsidRPr="002D269F" w:rsidRDefault="00DC5A04" w:rsidP="001A6797"/>
    <w:p w14:paraId="7F6781E0" w14:textId="662CED38" w:rsidR="008D02B0" w:rsidRPr="002D269F" w:rsidRDefault="008D02B0" w:rsidP="008D02B0">
      <w:pPr>
        <w:rPr>
          <w:lang w:val="es-ES"/>
        </w:rPr>
      </w:pPr>
      <w:r w:rsidRPr="002D269F">
        <w:rPr>
          <w:lang w:val="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 con registro 2002944</w:t>
      </w:r>
      <w:r w:rsidRPr="002D269F">
        <w:rPr>
          <w:vertAlign w:val="superscript"/>
          <w:lang w:val="es-ES"/>
        </w:rPr>
        <w:footnoteReference w:id="3"/>
      </w:r>
      <w:r w:rsidRPr="002D269F">
        <w:rPr>
          <w:lang w:val="es-ES"/>
        </w:rPr>
        <w:t>:</w:t>
      </w:r>
    </w:p>
    <w:p w14:paraId="08B509E2" w14:textId="77777777" w:rsidR="008D02B0" w:rsidRPr="002D269F" w:rsidRDefault="008D02B0" w:rsidP="008D02B0">
      <w:pPr>
        <w:rPr>
          <w:lang w:val="es-ES"/>
        </w:rPr>
      </w:pPr>
    </w:p>
    <w:p w14:paraId="5501B373" w14:textId="77777777" w:rsidR="008D02B0" w:rsidRPr="002D269F" w:rsidRDefault="008D02B0" w:rsidP="008D02B0">
      <w:pPr>
        <w:pStyle w:val="Fundamentos"/>
        <w:rPr>
          <w:lang w:val="es-ES"/>
        </w:rPr>
      </w:pPr>
      <w:r w:rsidRPr="002D269F">
        <w:rPr>
          <w:b/>
          <w:lang w:val="es-ES"/>
        </w:rPr>
        <w:t>ACCESO A LA INFORMACIÓN. IMPLICACIÓN DEL PRINCIPIO DE MÁXIMA PUBLICIDAD EN EL DERECHO FUNDAMENTAL RELATIVO</w:t>
      </w:r>
      <w:r w:rsidRPr="002D269F">
        <w:rPr>
          <w:lang w:val="es-ES"/>
        </w:rPr>
        <w:t xml:space="preserve">. </w:t>
      </w:r>
    </w:p>
    <w:p w14:paraId="2448EB7C" w14:textId="3D4E3425" w:rsidR="008D02B0" w:rsidRPr="002D269F" w:rsidRDefault="008D02B0" w:rsidP="008D02B0">
      <w:pPr>
        <w:pStyle w:val="Fundamentos"/>
        <w:rPr>
          <w:lang w:val="es-ES"/>
        </w:rPr>
      </w:pPr>
      <w:r w:rsidRPr="002D269F">
        <w:rPr>
          <w:lang w:val="es-ES"/>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5EAD59E" w14:textId="77777777" w:rsidR="00DC5A04" w:rsidRPr="002D269F" w:rsidRDefault="00DC5A04" w:rsidP="001A6797"/>
    <w:p w14:paraId="6DB7AF63" w14:textId="7A6DAC2B" w:rsidR="008D02B0" w:rsidRPr="002D269F" w:rsidRDefault="12647DF1" w:rsidP="008D02B0">
      <w:pPr>
        <w:rPr>
          <w:lang w:val="es-ES"/>
        </w:rPr>
      </w:pPr>
      <w:r w:rsidRPr="002D269F">
        <w:rPr>
          <w:lang w:val="es-ES"/>
        </w:rPr>
        <w:t>Conforme a lo anterior, se puede corroborar que</w:t>
      </w:r>
      <w:r w:rsidR="0091358E" w:rsidRPr="002D269F">
        <w:rPr>
          <w:lang w:val="es-ES"/>
        </w:rPr>
        <w:t>,</w:t>
      </w:r>
      <w:r w:rsidRPr="002D269F">
        <w:rPr>
          <w:lang w:val="es-ES"/>
        </w:rPr>
        <w:t xml:space="preserve"> </w:t>
      </w:r>
      <w:r w:rsidR="0091358E" w:rsidRPr="002D269F">
        <w:rPr>
          <w:lang w:val="es-ES"/>
        </w:rPr>
        <w:t>proporcionar la información de forma íntegra podría comprometer la seguridad pública, al poner en peligro las funciones a cargo del Municipio, tendientes a preservar y resguardar la vida, la salud, la integridad y el ejercicio de los derechos de las personas, así como para el mantenimiento del orden público.</w:t>
      </w:r>
    </w:p>
    <w:p w14:paraId="61EF0A85" w14:textId="77777777" w:rsidR="008D02B0" w:rsidRPr="002D269F" w:rsidRDefault="008D02B0" w:rsidP="008D02B0"/>
    <w:p w14:paraId="2A736A9B" w14:textId="6CF69EBE" w:rsidR="008D02B0" w:rsidRPr="002D269F" w:rsidRDefault="12647DF1" w:rsidP="12647DF1">
      <w:pPr>
        <w:rPr>
          <w:lang w:val="es-ES"/>
        </w:rPr>
      </w:pPr>
      <w:r w:rsidRPr="002D269F">
        <w:rPr>
          <w:lang w:val="es-ES"/>
        </w:rPr>
        <w:t xml:space="preserve">Ahora bien, al reservar la información, en esencia, implica el reconocimiento por parte de la autoridad de que lo solicitado sí tiene el carácter de público y sí es susceptible de </w:t>
      </w:r>
      <w:r w:rsidRPr="002D269F">
        <w:rPr>
          <w:lang w:val="es-ES"/>
        </w:rPr>
        <w:lastRenderedPageBreak/>
        <w:t>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4C34CF44" w14:textId="77777777" w:rsidR="008D02B0" w:rsidRPr="002D269F" w:rsidRDefault="008D02B0" w:rsidP="008D02B0"/>
    <w:p w14:paraId="21004171" w14:textId="72A1BC6A" w:rsidR="008D02B0" w:rsidRPr="002D269F" w:rsidRDefault="008D02B0" w:rsidP="008D02B0">
      <w:r w:rsidRPr="002D269F">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28CD916E" w14:textId="77777777" w:rsidR="008D02B0" w:rsidRPr="002D269F" w:rsidRDefault="008D02B0" w:rsidP="008D02B0"/>
    <w:p w14:paraId="09703F13" w14:textId="4F8608C1" w:rsidR="0091358E" w:rsidRPr="002D269F" w:rsidRDefault="00A86CF8" w:rsidP="00A86CF8">
      <w:r w:rsidRPr="002D269F">
        <w:t xml:space="preserve">No obstante, se observa que </w:t>
      </w:r>
      <w:r w:rsidR="0091358E" w:rsidRPr="002D269F">
        <w:t xml:space="preserve">de la respuesta emitida por el </w:t>
      </w:r>
      <w:r w:rsidR="0091358E" w:rsidRPr="002D269F">
        <w:rPr>
          <w:b/>
          <w:bCs/>
        </w:rPr>
        <w:t>Sujeto Obligado</w:t>
      </w:r>
      <w:r w:rsidR="0091358E" w:rsidRPr="002D269F">
        <w:t>, no se advierten los</w:t>
      </w:r>
      <w:r w:rsidRPr="002D269F">
        <w:t xml:space="preserve"> razonamientos lógico-jurídicos vertidos por parte de la </w:t>
      </w:r>
      <w:r w:rsidR="00B53139" w:rsidRPr="002D269F">
        <w:t xml:space="preserve">de la </w:t>
      </w:r>
      <w:r w:rsidR="00B53139" w:rsidRPr="002D269F">
        <w:rPr>
          <w:b/>
          <w:bCs/>
        </w:rPr>
        <w:t>Coordinación de la Consejería Jurídica y Consultiva</w:t>
      </w:r>
      <w:r w:rsidR="0091358E" w:rsidRPr="002D269F">
        <w:t>, ni la aprobación de dicha clasificación por el Comité de Transparencia de manera fundada y motivada</w:t>
      </w:r>
      <w:r w:rsidRPr="002D269F">
        <w:t xml:space="preserve">; 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w:t>
      </w:r>
      <w:r w:rsidRPr="002D269F">
        <w:lastRenderedPageBreak/>
        <w:t>proporcionalidad y representa el medio menos restrictivo disponible para evitar el perjuicio.</w:t>
      </w:r>
    </w:p>
    <w:p w14:paraId="09BD2FEF" w14:textId="77777777" w:rsidR="00B53139" w:rsidRPr="002D269F" w:rsidRDefault="00B53139" w:rsidP="00A86CF8"/>
    <w:p w14:paraId="57895F6E" w14:textId="6074C704" w:rsidR="00A86CF8" w:rsidRPr="002D269F" w:rsidRDefault="00A86CF8" w:rsidP="00A86CF8">
      <w:r w:rsidRPr="002D269F">
        <w:t>Por lo que, resulta indispensable precisar que los sujetos obligados deben distinguir claramente la información que</w:t>
      </w:r>
      <w:r w:rsidR="0091358E" w:rsidRPr="002D269F">
        <w:t xml:space="preserve"> podría comprometer la seguridad pública, al poner en peligro las funciones a cargo del Municipio, tendientes a preservar y resguardar la vida, la salud, la integridad y el ejercicio de los derechos de las personas, así como para el mantenimiento del orden público, toda vez que </w:t>
      </w:r>
      <w:r w:rsidR="0091358E" w:rsidRPr="002D269F">
        <w:rPr>
          <w:u w:val="single"/>
        </w:rPr>
        <w:t>podría dar cuenta de las tecnologías, equipos y sistemas con los que cuenta la Dirección de Seguridad Pública</w:t>
      </w:r>
      <w:r w:rsidRPr="002D269F">
        <w:t>.</w:t>
      </w:r>
    </w:p>
    <w:p w14:paraId="60BBE16D" w14:textId="77777777" w:rsidR="00A86CF8" w:rsidRPr="002D269F" w:rsidRDefault="00A86CF8" w:rsidP="00A86CF8">
      <w:pPr>
        <w:rPr>
          <w:rFonts w:cs="Tahoma"/>
          <w:lang w:val="es-MX"/>
        </w:rPr>
      </w:pPr>
    </w:p>
    <w:p w14:paraId="09290253" w14:textId="7A156AFA" w:rsidR="00A86CF8" w:rsidRPr="002D269F" w:rsidRDefault="00A86CF8" w:rsidP="00A86CF8">
      <w:pPr>
        <w:rPr>
          <w:rFonts w:cs="Tahoma"/>
          <w:lang w:val="es-MX"/>
        </w:rPr>
      </w:pPr>
      <w:r w:rsidRPr="002D269F">
        <w:rPr>
          <w:rFonts w:cs="Tahoma"/>
          <w:lang w:val="es-MX"/>
        </w:rPr>
        <w:t xml:space="preserve">Además, </w:t>
      </w:r>
      <w:r w:rsidR="0091358E" w:rsidRPr="002D269F">
        <w:rPr>
          <w:rFonts w:cs="Tahoma"/>
          <w:lang w:val="es-MX"/>
        </w:rPr>
        <w:t>t</w:t>
      </w:r>
      <w:r w:rsidRPr="002D269F">
        <w:rPr>
          <w:rFonts w:cs="Tahoma"/>
          <w:lang w:val="es-MX"/>
        </w:rPr>
        <w:t xml:space="preserve">oma relevancia la fracción VII del artículo 2 de la Ley de Transparencia y Acceso a la Información Pública y de la Ley de Transparencia y Acceso a la Información Pública del Estado de México y Municipios, </w:t>
      </w:r>
      <w:r w:rsidR="0091358E" w:rsidRPr="002D269F">
        <w:rPr>
          <w:rFonts w:cs="Tahoma"/>
          <w:lang w:val="es-MX"/>
        </w:rPr>
        <w:t xml:space="preserve">que </w:t>
      </w:r>
      <w:r w:rsidRPr="002D269F">
        <w:rPr>
          <w:rFonts w:cs="Tahoma"/>
          <w:lang w:val="es-MX"/>
        </w:rPr>
        <w:t xml:space="preserve">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054AD9F6" w14:textId="77777777" w:rsidR="00A86CF8" w:rsidRPr="002D269F" w:rsidRDefault="00A86CF8" w:rsidP="00A86CF8">
      <w:pPr>
        <w:rPr>
          <w:rFonts w:cs="Tahoma"/>
          <w:lang w:val="es-MX"/>
        </w:rPr>
      </w:pPr>
    </w:p>
    <w:p w14:paraId="22C3FF52" w14:textId="0106A5D2" w:rsidR="00A86CF8" w:rsidRPr="002D269F" w:rsidRDefault="00A86CF8" w:rsidP="00A86CF8">
      <w:pPr>
        <w:rPr>
          <w:rFonts w:cs="Tahoma"/>
          <w:lang w:val="es-MX"/>
        </w:rPr>
      </w:pPr>
      <w:r w:rsidRPr="002D269F">
        <w:rPr>
          <w:rFonts w:cs="Tahoma"/>
          <w:lang w:val="es-MX"/>
        </w:rPr>
        <w:t xml:space="preserve">Conforme a lo anterior, en el presente caso, la información solicitada, rinde cuentas del ejercicio del presupuesto con relación a la adquisición de </w:t>
      </w:r>
      <w:r w:rsidR="0091358E" w:rsidRPr="002D269F">
        <w:rPr>
          <w:rFonts w:cs="Tahoma"/>
          <w:lang w:val="es-MX"/>
        </w:rPr>
        <w:t>servicios</w:t>
      </w:r>
      <w:r w:rsidRPr="002D269F">
        <w:rPr>
          <w:rFonts w:cs="Tahoma"/>
          <w:lang w:val="es-MX"/>
        </w:rPr>
        <w:t xml:space="preserve"> por parte del Sujeto Obligado en un determinado periodo, en concreto</w:t>
      </w:r>
      <w:r w:rsidR="0092076E" w:rsidRPr="002D269F">
        <w:rPr>
          <w:rFonts w:cs="Tahoma"/>
          <w:lang w:val="es-MX"/>
        </w:rPr>
        <w:t xml:space="preserve"> durante </w:t>
      </w:r>
      <w:r w:rsidR="0091358E" w:rsidRPr="002D269F">
        <w:rPr>
          <w:rFonts w:cs="Tahoma"/>
          <w:lang w:val="es-MX"/>
        </w:rPr>
        <w:t>los</w:t>
      </w:r>
      <w:r w:rsidR="0092076E" w:rsidRPr="002D269F">
        <w:rPr>
          <w:rFonts w:cs="Tahoma"/>
          <w:lang w:val="es-MX"/>
        </w:rPr>
        <w:t xml:space="preserve"> ejercicio</w:t>
      </w:r>
      <w:r w:rsidR="0091358E" w:rsidRPr="002D269F">
        <w:rPr>
          <w:rFonts w:cs="Tahoma"/>
          <w:lang w:val="es-MX"/>
        </w:rPr>
        <w:t>s</w:t>
      </w:r>
      <w:r w:rsidR="0092076E" w:rsidRPr="002D269F">
        <w:rPr>
          <w:rFonts w:cs="Tahoma"/>
          <w:lang w:val="es-MX"/>
        </w:rPr>
        <w:t xml:space="preserve"> fiscal</w:t>
      </w:r>
      <w:r w:rsidR="0091358E" w:rsidRPr="002D269F">
        <w:rPr>
          <w:rFonts w:cs="Tahoma"/>
          <w:lang w:val="es-MX"/>
        </w:rPr>
        <w:t>es</w:t>
      </w:r>
      <w:r w:rsidR="0092076E" w:rsidRPr="002D269F">
        <w:rPr>
          <w:rFonts w:cs="Tahoma"/>
          <w:lang w:val="es-MX"/>
        </w:rPr>
        <w:t xml:space="preserve"> 20</w:t>
      </w:r>
      <w:r w:rsidR="00B53139" w:rsidRPr="002D269F">
        <w:rPr>
          <w:rFonts w:cs="Tahoma"/>
          <w:lang w:val="es-MX"/>
        </w:rPr>
        <w:t>20, 2021, 2022, 2023, 2024</w:t>
      </w:r>
      <w:r w:rsidR="0091358E" w:rsidRPr="002D269F">
        <w:rPr>
          <w:rFonts w:cs="Tahoma"/>
          <w:lang w:val="es-MX"/>
        </w:rPr>
        <w:t xml:space="preserve"> y 2025</w:t>
      </w:r>
      <w:r w:rsidR="0092076E" w:rsidRPr="002D269F">
        <w:rPr>
          <w:rFonts w:cs="Tahoma"/>
          <w:lang w:val="es-MX"/>
        </w:rPr>
        <w:t>.</w:t>
      </w:r>
    </w:p>
    <w:p w14:paraId="5F5E27FE" w14:textId="77777777" w:rsidR="00DC5A04" w:rsidRPr="002D269F" w:rsidRDefault="00DC5A04" w:rsidP="001A6797"/>
    <w:p w14:paraId="157DB030" w14:textId="3BCB7D20" w:rsidR="00CE27CA" w:rsidRPr="002D269F" w:rsidRDefault="00D47BE3" w:rsidP="00CE27CA">
      <w:r w:rsidRPr="002D269F">
        <w:lastRenderedPageBreak/>
        <w:t>Sin embargo, cabe señalar que la información requerida por el Recurrente es relativa a</w:t>
      </w:r>
      <w:r w:rsidR="00B53139" w:rsidRPr="002D269F">
        <w:t xml:space="preserve"> contratos de arrendamiento de antenas de comunicación del Municipio de Ayuntamiento de </w:t>
      </w:r>
      <w:proofErr w:type="spellStart"/>
      <w:r w:rsidR="00B53139" w:rsidRPr="002D269F">
        <w:t>Jocotitlán</w:t>
      </w:r>
      <w:proofErr w:type="spellEnd"/>
      <w:r w:rsidR="00B53139" w:rsidRPr="002D269F">
        <w:t xml:space="preserve"> celebrados en el periodo que comprende del 01 de enero de 2020 al 04 de junio de 2025</w:t>
      </w:r>
      <w:r w:rsidRPr="002D269F">
        <w:t xml:space="preserve">, </w:t>
      </w:r>
      <w:r w:rsidR="003D608B" w:rsidRPr="002D269F">
        <w:t xml:space="preserve">por lo que </w:t>
      </w:r>
      <w:r w:rsidRPr="002D269F">
        <w:t xml:space="preserve">se estima que consiste en </w:t>
      </w:r>
      <w:r w:rsidR="00CE27CA" w:rsidRPr="002D269F">
        <w:rPr>
          <w:rFonts w:eastAsiaTheme="minorHAnsi" w:cs="Arial"/>
          <w:lang w:val="es-MX" w:eastAsia="en-US"/>
        </w:rPr>
        <w:t xml:space="preserve">información considerada pública de oficio, y que debe poseer el </w:t>
      </w:r>
      <w:r w:rsidR="00CE27CA" w:rsidRPr="002D269F">
        <w:rPr>
          <w:rFonts w:eastAsiaTheme="minorHAnsi" w:cs="Arial"/>
          <w:b/>
          <w:lang w:val="es-MX" w:eastAsia="en-US"/>
        </w:rPr>
        <w:t>Sujeto Obligado</w:t>
      </w:r>
      <w:r w:rsidR="00CE27CA" w:rsidRPr="002D269F">
        <w:rPr>
          <w:rFonts w:eastAsiaTheme="minorHAnsi" w:cs="Arial"/>
          <w:lang w:val="es-MX" w:eastAsia="en-US"/>
        </w:rPr>
        <w:t> en el ejercicio de sus atribuciones, pero que además debería estar publicada en su portal o página electrónica,  lo que contribuye a trasparentar y mejorar la gestión pública y promueve la rendición de cuentas, al privilegiarse y garantizarse el principio de máxima publicidad constituido en nuestra Carta Magna.</w:t>
      </w:r>
    </w:p>
    <w:p w14:paraId="11DCD2D2" w14:textId="77777777" w:rsidR="00CE27CA" w:rsidRPr="002D269F" w:rsidRDefault="00CE27CA" w:rsidP="00CE27CA">
      <w:pPr>
        <w:rPr>
          <w:rFonts w:eastAsiaTheme="minorHAnsi" w:cs="Arial"/>
          <w:lang w:val="es-MX" w:eastAsia="en-US"/>
        </w:rPr>
      </w:pPr>
    </w:p>
    <w:p w14:paraId="652340E2" w14:textId="532EB418" w:rsidR="009C0CF3" w:rsidRPr="002D269F" w:rsidRDefault="009C0CF3" w:rsidP="009C0CF3">
      <w:pPr>
        <w:rPr>
          <w:rFonts w:eastAsia="Times New Roman" w:cs="Arial"/>
          <w:lang w:val="es-MX" w:eastAsia="en-US"/>
        </w:rPr>
      </w:pPr>
      <w:r w:rsidRPr="002D269F">
        <w:rPr>
          <w:rFonts w:eastAsia="Times New Roman" w:cs="Times New Roman"/>
          <w:lang w:val="es-ES" w:eastAsia="en-US"/>
        </w:rPr>
        <w:t xml:space="preserve">En este sentido, </w:t>
      </w:r>
      <w:r w:rsidRPr="002D269F">
        <w:rPr>
          <w:rFonts w:eastAsia="Times New Roman" w:cs="Arial"/>
          <w:lang w:val="es-ES" w:eastAsia="en-US"/>
        </w:rPr>
        <w:t xml:space="preserve">debe dejarse claro que los </w:t>
      </w:r>
      <w:r w:rsidRPr="002D269F">
        <w:rPr>
          <w:rFonts w:eastAsia="Times New Roman" w:cs="Arial"/>
          <w:b/>
          <w:bCs/>
          <w:u w:val="single"/>
          <w:lang w:val="es-ES" w:eastAsia="en-US"/>
        </w:rPr>
        <w:t>expedientes de las adquisiciones, arrendamientos, enajenaciones y servicios</w:t>
      </w:r>
      <w:r w:rsidRPr="002D269F">
        <w:rPr>
          <w:rFonts w:eastAsia="Times New Roman" w:cs="Arial"/>
          <w:lang w:val="es-ES" w:eastAsia="en-US"/>
        </w:rPr>
        <w:t xml:space="preserve">, </w:t>
      </w:r>
      <w:r w:rsidRPr="002D269F">
        <w:rPr>
          <w:rFonts w:eastAsia="Times New Roman" w:cs="Arial"/>
          <w:lang w:val="es-MX" w:eastAsia="en-US"/>
        </w:rPr>
        <w:t>se encuentra considerada como una de las obligaciones de transparencias comunes que l</w:t>
      </w:r>
      <w:r w:rsidRPr="002D269F">
        <w:rPr>
          <w:rFonts w:eastAsia="Times New Roman" w:cs="Times New Roman"/>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D269F">
        <w:rPr>
          <w:rFonts w:eastAsia="Times New Roman" w:cs="Arial"/>
          <w:color w:val="000000"/>
          <w:lang w:val="es-MX" w:eastAsia="en-US"/>
        </w:rPr>
        <w:t xml:space="preserve">el </w:t>
      </w:r>
      <w:r w:rsidRPr="002D269F">
        <w:rPr>
          <w:rFonts w:eastAsia="Times New Roman" w:cs="Arial"/>
          <w:lang w:val="es-MX" w:eastAsia="en-US"/>
        </w:rPr>
        <w:t>artículo 92 de la de la Ley de Transparencia y Acceso a la Información Pública del Estado de México y Municipios, en su fracción XXIX, dispone lo siguiente:</w:t>
      </w:r>
    </w:p>
    <w:p w14:paraId="147D10E5" w14:textId="77777777" w:rsidR="009C0CF3" w:rsidRPr="002D269F" w:rsidRDefault="009C0CF3" w:rsidP="009C0CF3">
      <w:pPr>
        <w:spacing w:line="259" w:lineRule="auto"/>
        <w:rPr>
          <w:rFonts w:eastAsia="Times New Roman" w:cs="Arial"/>
          <w:sz w:val="22"/>
          <w:lang w:val="es-MX" w:eastAsia="en-US"/>
        </w:rPr>
      </w:pPr>
    </w:p>
    <w:p w14:paraId="1CFDDF29"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“Artículo 92. </w:t>
      </w:r>
      <w:r w:rsidRPr="002D269F">
        <w:rPr>
          <w:rFonts w:eastAsia="Times New Roman" w:cs="Arial"/>
          <w:i/>
          <w:iCs/>
          <w:sz w:val="22"/>
          <w:lang w:val="es-ES"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66E3B0"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i/>
          <w:iCs/>
          <w:sz w:val="22"/>
          <w:lang w:val="es-ES" w:eastAsia="en-US"/>
        </w:rPr>
        <w:t>(…)</w:t>
      </w:r>
    </w:p>
    <w:p w14:paraId="5039AED4" w14:textId="77777777" w:rsidR="009C0CF3" w:rsidRPr="002D269F" w:rsidRDefault="009C0CF3" w:rsidP="009C0CF3">
      <w:pPr>
        <w:spacing w:line="240" w:lineRule="auto"/>
        <w:ind w:left="851" w:right="851"/>
        <w:rPr>
          <w:rFonts w:eastAsia="Times New Roman" w:cs="Arial"/>
          <w:b/>
          <w:bCs/>
          <w:i/>
          <w:iCs/>
          <w:sz w:val="22"/>
          <w:lang w:val="es-ES" w:eastAsia="en-US"/>
        </w:rPr>
      </w:pPr>
    </w:p>
    <w:p w14:paraId="4FF4D754" w14:textId="77777777" w:rsidR="009C0CF3" w:rsidRPr="002D269F" w:rsidRDefault="009C0CF3" w:rsidP="009C0CF3">
      <w:pPr>
        <w:spacing w:line="240" w:lineRule="auto"/>
        <w:ind w:left="851" w:right="851"/>
        <w:rPr>
          <w:rFonts w:eastAsia="Times New Roman" w:cs="Arial"/>
          <w:i/>
          <w:iCs/>
          <w:sz w:val="22"/>
          <w:lang w:val="es-ES" w:eastAsia="en-US"/>
        </w:rPr>
      </w:pPr>
      <w:r w:rsidRPr="002D269F">
        <w:rPr>
          <w:rFonts w:eastAsia="Times New Roman" w:cs="Arial"/>
          <w:b/>
          <w:bCs/>
          <w:i/>
          <w:iCs/>
          <w:sz w:val="22"/>
          <w:lang w:val="es-ES" w:eastAsia="en-US"/>
        </w:rPr>
        <w:lastRenderedPageBreak/>
        <w:t>XXIX. </w:t>
      </w:r>
      <w:r w:rsidRPr="002D269F">
        <w:rPr>
          <w:rFonts w:eastAsia="Times New Roman" w:cs="Arial"/>
          <w:i/>
          <w:iCs/>
          <w:sz w:val="22"/>
          <w:lang w:val="es-ES" w:eastAsia="en-US"/>
        </w:rPr>
        <w:t xml:space="preserve">La información sobre los procesos y resultados sobre </w:t>
      </w:r>
      <w:r w:rsidRPr="002D269F">
        <w:rPr>
          <w:rFonts w:eastAsia="Times New Roman" w:cs="Arial"/>
          <w:b/>
          <w:i/>
          <w:iCs/>
          <w:sz w:val="22"/>
          <w:lang w:val="es-ES" w:eastAsia="en-US"/>
        </w:rPr>
        <w:t>procedimientos de adjudicación directa</w:t>
      </w:r>
      <w:r w:rsidRPr="002D269F">
        <w:rPr>
          <w:rFonts w:eastAsia="Times New Roman" w:cs="Arial"/>
          <w:i/>
          <w:iCs/>
          <w:sz w:val="22"/>
          <w:lang w:val="es-ES" w:eastAsia="en-US"/>
        </w:rPr>
        <w:t xml:space="preserve">, invitación restringida y </w:t>
      </w:r>
      <w:r w:rsidRPr="002D269F">
        <w:rPr>
          <w:rFonts w:eastAsia="Times New Roman" w:cs="Arial"/>
          <w:b/>
          <w:i/>
          <w:iCs/>
          <w:sz w:val="22"/>
          <w:lang w:val="es-ES" w:eastAsia="en-US"/>
        </w:rPr>
        <w:t>licitación de cualquier naturaleza,</w:t>
      </w:r>
      <w:r w:rsidRPr="002D269F">
        <w:rPr>
          <w:rFonts w:eastAsia="Times New Roman" w:cs="Arial"/>
          <w:i/>
          <w:iCs/>
          <w:sz w:val="22"/>
          <w:lang w:val="es-ES" w:eastAsia="en-US"/>
        </w:rPr>
        <w:t> </w:t>
      </w:r>
      <w:r w:rsidRPr="002D269F">
        <w:rPr>
          <w:rFonts w:eastAsia="Times New Roman" w:cs="Arial"/>
          <w:b/>
          <w:bCs/>
          <w:i/>
          <w:iCs/>
          <w:sz w:val="22"/>
          <w:lang w:val="es-ES" w:eastAsia="en-US"/>
        </w:rPr>
        <w:t>incluyendo la versión pública del expediente respectivo y de los contratos</w:t>
      </w:r>
      <w:r w:rsidRPr="002D269F">
        <w:rPr>
          <w:rFonts w:eastAsia="Times New Roman" w:cs="Arial"/>
          <w:b/>
          <w:i/>
          <w:iCs/>
          <w:sz w:val="22"/>
          <w:lang w:val="es-ES" w:eastAsia="en-US"/>
        </w:rPr>
        <w:t> celebrados</w:t>
      </w:r>
      <w:r w:rsidRPr="002D269F">
        <w:rPr>
          <w:rFonts w:eastAsia="Times New Roman" w:cs="Arial"/>
          <w:i/>
          <w:iCs/>
          <w:sz w:val="22"/>
          <w:lang w:val="es-ES" w:eastAsia="en-US"/>
        </w:rPr>
        <w:t>, que deberán contener, por los menos, lo siguiente:</w:t>
      </w:r>
    </w:p>
    <w:p w14:paraId="63B8EDF4" w14:textId="77777777" w:rsidR="009C0CF3" w:rsidRPr="002D269F" w:rsidRDefault="009C0CF3" w:rsidP="009C0CF3">
      <w:pPr>
        <w:spacing w:line="240" w:lineRule="auto"/>
        <w:ind w:left="851" w:right="851"/>
        <w:rPr>
          <w:rFonts w:eastAsia="Times New Roman" w:cs="Arial"/>
          <w:sz w:val="22"/>
          <w:lang w:val="es-ES" w:eastAsia="en-US"/>
        </w:rPr>
      </w:pPr>
    </w:p>
    <w:p w14:paraId="7EF582F6"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a) </w:t>
      </w:r>
      <w:r w:rsidRPr="002D269F">
        <w:rPr>
          <w:rFonts w:eastAsia="Times New Roman" w:cs="Arial"/>
          <w:i/>
          <w:iCs/>
          <w:sz w:val="22"/>
          <w:lang w:val="es-ES" w:eastAsia="en-US"/>
        </w:rPr>
        <w:t>De licitaciones públicas o procedimientos de invitación restringida:</w:t>
      </w:r>
    </w:p>
    <w:p w14:paraId="2BAE0237"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1)</w:t>
      </w:r>
      <w:r w:rsidRPr="002D269F">
        <w:rPr>
          <w:rFonts w:eastAsia="Times New Roman" w:cs="Arial"/>
          <w:i/>
          <w:iCs/>
          <w:sz w:val="22"/>
          <w:lang w:val="es-ES" w:eastAsia="en-US"/>
        </w:rPr>
        <w:t> La convocatoria o invitación emitida, así como los fundamentos legales aplicados para llevarla a cabo;</w:t>
      </w:r>
    </w:p>
    <w:p w14:paraId="4D97D2B8"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2) </w:t>
      </w:r>
      <w:r w:rsidRPr="002D269F">
        <w:rPr>
          <w:rFonts w:eastAsia="Times New Roman" w:cs="Arial"/>
          <w:i/>
          <w:iCs/>
          <w:sz w:val="22"/>
          <w:lang w:val="es-ES" w:eastAsia="en-US"/>
        </w:rPr>
        <w:t>Los nombres de los participantes o invitados;</w:t>
      </w:r>
    </w:p>
    <w:p w14:paraId="547BB568"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3)</w:t>
      </w:r>
      <w:r w:rsidRPr="002D269F">
        <w:rPr>
          <w:rFonts w:eastAsia="Times New Roman" w:cs="Arial"/>
          <w:b/>
          <w:i/>
          <w:iCs/>
          <w:sz w:val="22"/>
          <w:lang w:val="es-ES" w:eastAsia="en-US"/>
        </w:rPr>
        <w:t> </w:t>
      </w:r>
      <w:r w:rsidRPr="002D269F">
        <w:rPr>
          <w:rFonts w:eastAsia="Times New Roman" w:cs="Arial"/>
          <w:i/>
          <w:iCs/>
          <w:sz w:val="22"/>
          <w:lang w:val="es-ES" w:eastAsia="en-US"/>
        </w:rPr>
        <w:t>El nombre del ganador y las razones que lo justifican;</w:t>
      </w:r>
    </w:p>
    <w:p w14:paraId="28EB4B72"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4) </w:t>
      </w:r>
      <w:r w:rsidRPr="002D269F">
        <w:rPr>
          <w:rFonts w:eastAsia="Times New Roman" w:cs="Arial"/>
          <w:i/>
          <w:iCs/>
          <w:sz w:val="22"/>
          <w:lang w:val="es-ES" w:eastAsia="en-US"/>
        </w:rPr>
        <w:t>El área solicitante y la responsable de su ejecución;</w:t>
      </w:r>
    </w:p>
    <w:p w14:paraId="65BA2722"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5) </w:t>
      </w:r>
      <w:r w:rsidRPr="002D269F">
        <w:rPr>
          <w:rFonts w:eastAsia="Times New Roman" w:cs="Arial"/>
          <w:i/>
          <w:iCs/>
          <w:sz w:val="22"/>
          <w:lang w:val="es-ES" w:eastAsia="en-US"/>
        </w:rPr>
        <w:t>Las convocatorias e invitaciones emitidas;</w:t>
      </w:r>
    </w:p>
    <w:p w14:paraId="317C3193"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6)</w:t>
      </w:r>
      <w:r w:rsidRPr="002D269F">
        <w:rPr>
          <w:rFonts w:eastAsia="Times New Roman" w:cs="Arial"/>
          <w:i/>
          <w:iCs/>
          <w:sz w:val="22"/>
          <w:lang w:val="es-ES" w:eastAsia="en-US"/>
        </w:rPr>
        <w:t> Los dictámenes y fallo de adjudicación;</w:t>
      </w:r>
    </w:p>
    <w:p w14:paraId="04868F4D" w14:textId="77777777" w:rsidR="009C0CF3" w:rsidRPr="002D269F" w:rsidRDefault="009C0CF3" w:rsidP="009C0CF3">
      <w:pPr>
        <w:spacing w:line="240" w:lineRule="auto"/>
        <w:ind w:left="851" w:right="851"/>
        <w:rPr>
          <w:rFonts w:eastAsia="Times New Roman" w:cs="Arial"/>
          <w:b/>
          <w:sz w:val="22"/>
          <w:u w:val="single"/>
          <w:lang w:val="es-ES" w:eastAsia="en-US"/>
        </w:rPr>
      </w:pPr>
      <w:r w:rsidRPr="002D269F">
        <w:rPr>
          <w:rFonts w:eastAsia="Times New Roman" w:cs="Arial"/>
          <w:bCs/>
          <w:i/>
          <w:iCs/>
          <w:sz w:val="22"/>
          <w:lang w:val="es-ES" w:eastAsia="en-US"/>
        </w:rPr>
        <w:t>7) </w:t>
      </w:r>
      <w:r w:rsidRPr="002D269F">
        <w:rPr>
          <w:rFonts w:eastAsia="Times New Roman" w:cs="Arial"/>
          <w:b/>
          <w:i/>
          <w:iCs/>
          <w:sz w:val="22"/>
          <w:u w:val="single"/>
          <w:lang w:val="es-ES" w:eastAsia="en-US"/>
        </w:rPr>
        <w:t>El contrato y, en su caso, sus anexos;</w:t>
      </w:r>
    </w:p>
    <w:p w14:paraId="3934279C"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8) </w:t>
      </w:r>
      <w:r w:rsidRPr="002D269F">
        <w:rPr>
          <w:rFonts w:eastAsia="Times New Roman" w:cs="Arial"/>
          <w:i/>
          <w:iCs/>
          <w:sz w:val="22"/>
          <w:lang w:val="es-ES" w:eastAsia="en-US"/>
        </w:rPr>
        <w:t>Los mecanismos de vigilancia y supervisión, incluyendo en su caso, los estudios de impacto urbano y ambiental, según corresponda;</w:t>
      </w:r>
    </w:p>
    <w:p w14:paraId="20E04CB6"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9) </w:t>
      </w:r>
      <w:r w:rsidRPr="002D269F">
        <w:rPr>
          <w:rFonts w:eastAsia="Times New Roman" w:cs="Arial"/>
          <w:i/>
          <w:iCs/>
          <w:sz w:val="22"/>
          <w:lang w:val="es-ES" w:eastAsia="en-US"/>
        </w:rPr>
        <w:t>La partida presupuestal, de conformidad con el clasificador por objeto del gasto, en el caso de ser aplicable;</w:t>
      </w:r>
    </w:p>
    <w:p w14:paraId="57EBAF11"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Cs/>
          <w:i/>
          <w:iCs/>
          <w:sz w:val="22"/>
          <w:lang w:val="es-ES" w:eastAsia="en-US"/>
        </w:rPr>
        <w:t>10) Origen de los recursos especificando si son federales, estatales o municipales,</w:t>
      </w:r>
      <w:r w:rsidRPr="002D269F">
        <w:rPr>
          <w:rFonts w:eastAsia="Times New Roman" w:cs="Arial"/>
          <w:b/>
          <w:bCs/>
          <w:i/>
          <w:iCs/>
          <w:sz w:val="22"/>
          <w:lang w:val="es-ES" w:eastAsia="en-US"/>
        </w:rPr>
        <w:t xml:space="preserve"> </w:t>
      </w:r>
      <w:r w:rsidRPr="002D269F">
        <w:rPr>
          <w:rFonts w:eastAsia="Times New Roman" w:cs="Arial"/>
          <w:i/>
          <w:iCs/>
          <w:sz w:val="22"/>
          <w:lang w:val="es-ES" w:eastAsia="en-US"/>
        </w:rPr>
        <w:t>así como el tipo de fondo de participación o aportación respectiva;</w:t>
      </w:r>
    </w:p>
    <w:p w14:paraId="07A80DEC"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11) </w:t>
      </w:r>
      <w:r w:rsidRPr="002D269F">
        <w:rPr>
          <w:rFonts w:eastAsia="Times New Roman" w:cs="Arial"/>
          <w:i/>
          <w:iCs/>
          <w:sz w:val="22"/>
          <w:lang w:val="es-ES" w:eastAsia="en-US"/>
        </w:rPr>
        <w:t>Los convenios modificatorios que, en su caso, sean firmados, precisando el objeto y la fecha de celebración;</w:t>
      </w:r>
    </w:p>
    <w:p w14:paraId="552ADC0B"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12) </w:t>
      </w:r>
      <w:r w:rsidRPr="002D269F">
        <w:rPr>
          <w:rFonts w:eastAsia="Times New Roman" w:cs="Arial"/>
          <w:i/>
          <w:iCs/>
          <w:sz w:val="22"/>
          <w:lang w:val="es-ES" w:eastAsia="en-US"/>
        </w:rPr>
        <w:t>Los informes de avance físico y financiero sobre las obras o servicios contratados;</w:t>
      </w:r>
    </w:p>
    <w:p w14:paraId="68486C82"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13) </w:t>
      </w:r>
      <w:r w:rsidRPr="002D269F">
        <w:rPr>
          <w:rFonts w:eastAsia="Times New Roman" w:cs="Arial"/>
          <w:i/>
          <w:iCs/>
          <w:sz w:val="22"/>
          <w:lang w:val="es-ES" w:eastAsia="en-US"/>
        </w:rPr>
        <w:t>El convenio de terminación; y</w:t>
      </w:r>
    </w:p>
    <w:p w14:paraId="3D77A140" w14:textId="77777777" w:rsidR="009C0CF3" w:rsidRPr="002D269F" w:rsidRDefault="009C0CF3" w:rsidP="009C0CF3">
      <w:pPr>
        <w:spacing w:line="240" w:lineRule="auto"/>
        <w:ind w:left="851" w:right="851"/>
        <w:rPr>
          <w:rFonts w:eastAsia="Times New Roman" w:cs="Arial"/>
          <w:i/>
          <w:iCs/>
          <w:sz w:val="22"/>
          <w:lang w:val="es-ES" w:eastAsia="en-US"/>
        </w:rPr>
      </w:pPr>
      <w:r w:rsidRPr="002D269F">
        <w:rPr>
          <w:rFonts w:eastAsia="Times New Roman" w:cs="Arial"/>
          <w:b/>
          <w:bCs/>
          <w:i/>
          <w:iCs/>
          <w:sz w:val="22"/>
          <w:lang w:val="es-ES" w:eastAsia="en-US"/>
        </w:rPr>
        <w:t>14) </w:t>
      </w:r>
      <w:r w:rsidRPr="002D269F">
        <w:rPr>
          <w:rFonts w:eastAsia="Times New Roman" w:cs="Arial"/>
          <w:i/>
          <w:iCs/>
          <w:sz w:val="22"/>
          <w:lang w:val="es-ES" w:eastAsia="en-US"/>
        </w:rPr>
        <w:t>El finiquito.</w:t>
      </w:r>
    </w:p>
    <w:p w14:paraId="7C8BC2B7" w14:textId="77777777" w:rsidR="009C0CF3" w:rsidRPr="002D269F" w:rsidRDefault="009C0CF3" w:rsidP="009C0CF3">
      <w:pPr>
        <w:spacing w:line="240" w:lineRule="auto"/>
        <w:ind w:left="851" w:right="851"/>
        <w:rPr>
          <w:rFonts w:eastAsia="Times New Roman" w:cs="Arial"/>
          <w:sz w:val="22"/>
          <w:lang w:val="es-ES" w:eastAsia="en-US"/>
        </w:rPr>
      </w:pPr>
    </w:p>
    <w:p w14:paraId="3171EEEA"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b) </w:t>
      </w:r>
      <w:r w:rsidRPr="002D269F">
        <w:rPr>
          <w:rFonts w:eastAsia="Times New Roman" w:cs="Arial"/>
          <w:i/>
          <w:iCs/>
          <w:sz w:val="22"/>
          <w:lang w:val="es-ES" w:eastAsia="en-US"/>
        </w:rPr>
        <w:t>De las adjudicaciones directas:</w:t>
      </w:r>
    </w:p>
    <w:p w14:paraId="7AE7589A"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1) </w:t>
      </w:r>
      <w:r w:rsidRPr="002D269F">
        <w:rPr>
          <w:rFonts w:eastAsia="Times New Roman" w:cs="Arial"/>
          <w:i/>
          <w:iCs/>
          <w:sz w:val="22"/>
          <w:lang w:val="es-ES" w:eastAsia="en-US"/>
        </w:rPr>
        <w:t>La propuesta enviada por el participante;</w:t>
      </w:r>
    </w:p>
    <w:p w14:paraId="183F04BC"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2) </w:t>
      </w:r>
      <w:r w:rsidRPr="002D269F">
        <w:rPr>
          <w:rFonts w:eastAsia="Times New Roman" w:cs="Arial"/>
          <w:i/>
          <w:iCs/>
          <w:sz w:val="22"/>
          <w:lang w:val="es-ES" w:eastAsia="en-US"/>
        </w:rPr>
        <w:t>Los motivos y fundamentos legales aplicados para llevarla a cabo;</w:t>
      </w:r>
    </w:p>
    <w:p w14:paraId="44A54C48"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3) </w:t>
      </w:r>
      <w:r w:rsidRPr="002D269F">
        <w:rPr>
          <w:rFonts w:eastAsia="Times New Roman" w:cs="Arial"/>
          <w:i/>
          <w:iCs/>
          <w:sz w:val="22"/>
          <w:lang w:val="es-ES" w:eastAsia="en-US"/>
        </w:rPr>
        <w:t>La autorización del ejercicio de la opción;</w:t>
      </w:r>
    </w:p>
    <w:p w14:paraId="146C3189"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4) </w:t>
      </w:r>
      <w:r w:rsidRPr="002D269F">
        <w:rPr>
          <w:rFonts w:eastAsia="Times New Roman" w:cs="Arial"/>
          <w:bCs/>
          <w:i/>
          <w:iCs/>
          <w:sz w:val="22"/>
          <w:lang w:val="es-ES" w:eastAsia="en-US"/>
        </w:rPr>
        <w:t>En su caso, las cotizaciones consideradas,</w:t>
      </w:r>
      <w:r w:rsidRPr="002D269F">
        <w:rPr>
          <w:rFonts w:eastAsia="Times New Roman" w:cs="Arial"/>
          <w:b/>
          <w:bCs/>
          <w:i/>
          <w:iCs/>
          <w:sz w:val="22"/>
          <w:lang w:val="es-ES" w:eastAsia="en-US"/>
        </w:rPr>
        <w:t xml:space="preserve"> </w:t>
      </w:r>
      <w:r w:rsidRPr="002D269F">
        <w:rPr>
          <w:rFonts w:eastAsia="Times New Roman" w:cs="Arial"/>
          <w:bCs/>
          <w:i/>
          <w:iCs/>
          <w:sz w:val="22"/>
          <w:lang w:val="es-ES" w:eastAsia="en-US"/>
        </w:rPr>
        <w:t>especificando los nombres de los proveedores y sus montos</w:t>
      </w:r>
      <w:r w:rsidRPr="002D269F">
        <w:rPr>
          <w:rFonts w:eastAsia="Times New Roman" w:cs="Arial"/>
          <w:i/>
          <w:iCs/>
          <w:sz w:val="22"/>
          <w:lang w:val="es-ES" w:eastAsia="en-US"/>
        </w:rPr>
        <w:t>;</w:t>
      </w:r>
    </w:p>
    <w:p w14:paraId="15B52445"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5) </w:t>
      </w:r>
      <w:r w:rsidRPr="002D269F">
        <w:rPr>
          <w:rFonts w:eastAsia="Times New Roman" w:cs="Arial"/>
          <w:i/>
          <w:iCs/>
          <w:sz w:val="22"/>
          <w:lang w:val="es-ES" w:eastAsia="en-US"/>
        </w:rPr>
        <w:t>El nombre de la persona física o jurídica colectiva adjudicada;</w:t>
      </w:r>
    </w:p>
    <w:p w14:paraId="613D3A30"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6) </w:t>
      </w:r>
      <w:r w:rsidRPr="002D269F">
        <w:rPr>
          <w:rFonts w:eastAsia="Times New Roman" w:cs="Arial"/>
          <w:i/>
          <w:iCs/>
          <w:sz w:val="22"/>
          <w:lang w:val="es-ES" w:eastAsia="en-US"/>
        </w:rPr>
        <w:t>La unidad administrativa solicitante y la responsable de su ejecución;</w:t>
      </w:r>
    </w:p>
    <w:p w14:paraId="04EE3C73"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7)</w:t>
      </w:r>
      <w:r w:rsidRPr="002D269F">
        <w:rPr>
          <w:rFonts w:eastAsia="Times New Roman" w:cs="Arial"/>
          <w:bCs/>
          <w:i/>
          <w:iCs/>
          <w:sz w:val="22"/>
          <w:lang w:val="es-ES" w:eastAsia="en-US"/>
        </w:rPr>
        <w:t> El número, fecha, el monto del contrato y el plazo de entrega o de ejecución de los servicios u obra;</w:t>
      </w:r>
    </w:p>
    <w:p w14:paraId="4291C8AA"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8) </w:t>
      </w:r>
      <w:r w:rsidRPr="002D269F">
        <w:rPr>
          <w:rFonts w:eastAsia="Times New Roman" w:cs="Arial"/>
          <w:i/>
          <w:iCs/>
          <w:sz w:val="22"/>
          <w:lang w:val="es-ES" w:eastAsia="en-US"/>
        </w:rPr>
        <w:t>Los mecanismos de vigilancia y supervisión, incluyendo, en su caso, los estudios de impacto urbano y ambiental, según corresponda;</w:t>
      </w:r>
    </w:p>
    <w:p w14:paraId="6DCC0722"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t>9) </w:t>
      </w:r>
      <w:r w:rsidRPr="002D269F">
        <w:rPr>
          <w:rFonts w:eastAsia="Times New Roman" w:cs="Arial"/>
          <w:i/>
          <w:iCs/>
          <w:sz w:val="22"/>
          <w:lang w:val="es-ES" w:eastAsia="en-US"/>
        </w:rPr>
        <w:t>Los informes de avance sobre las obras o servicios contratados;</w:t>
      </w:r>
    </w:p>
    <w:p w14:paraId="473A9A56" w14:textId="77777777" w:rsidR="009C0CF3" w:rsidRPr="002D269F" w:rsidRDefault="009C0CF3" w:rsidP="009C0CF3">
      <w:pPr>
        <w:spacing w:line="240" w:lineRule="auto"/>
        <w:ind w:left="851" w:right="851"/>
        <w:rPr>
          <w:rFonts w:eastAsia="Times New Roman" w:cs="Arial"/>
          <w:sz w:val="22"/>
          <w:lang w:val="es-ES" w:eastAsia="en-US"/>
        </w:rPr>
      </w:pPr>
      <w:r w:rsidRPr="002D269F">
        <w:rPr>
          <w:rFonts w:eastAsia="Times New Roman" w:cs="Arial"/>
          <w:b/>
          <w:bCs/>
          <w:i/>
          <w:iCs/>
          <w:sz w:val="22"/>
          <w:lang w:val="es-ES" w:eastAsia="en-US"/>
        </w:rPr>
        <w:lastRenderedPageBreak/>
        <w:t>10) </w:t>
      </w:r>
      <w:r w:rsidRPr="002D269F">
        <w:rPr>
          <w:rFonts w:eastAsia="Times New Roman" w:cs="Arial"/>
          <w:i/>
          <w:iCs/>
          <w:sz w:val="22"/>
          <w:lang w:val="es-ES" w:eastAsia="en-US"/>
        </w:rPr>
        <w:t>El convenio de terminación; y</w:t>
      </w:r>
    </w:p>
    <w:p w14:paraId="2E3FC02B" w14:textId="77777777" w:rsidR="009C0CF3" w:rsidRPr="002D269F" w:rsidRDefault="009C0CF3" w:rsidP="009C0CF3">
      <w:pPr>
        <w:spacing w:line="240" w:lineRule="auto"/>
        <w:ind w:left="851" w:right="851"/>
        <w:rPr>
          <w:rFonts w:eastAsia="Times New Roman" w:cs="Arial"/>
          <w:b/>
          <w:i/>
          <w:iCs/>
          <w:sz w:val="22"/>
          <w:lang w:val="es-ES" w:eastAsia="en-US"/>
        </w:rPr>
      </w:pPr>
      <w:r w:rsidRPr="002D269F">
        <w:rPr>
          <w:rFonts w:eastAsia="Times New Roman" w:cs="Arial"/>
          <w:b/>
          <w:bCs/>
          <w:i/>
          <w:iCs/>
          <w:sz w:val="22"/>
          <w:lang w:val="es-ES" w:eastAsia="en-US"/>
        </w:rPr>
        <w:t>11) </w:t>
      </w:r>
      <w:r w:rsidRPr="002D269F">
        <w:rPr>
          <w:rFonts w:eastAsia="Times New Roman" w:cs="Arial"/>
          <w:i/>
          <w:iCs/>
          <w:sz w:val="22"/>
          <w:lang w:val="es-ES" w:eastAsia="en-US"/>
        </w:rPr>
        <w:t>El finiquito.</w:t>
      </w:r>
      <w:r w:rsidRPr="002D269F">
        <w:rPr>
          <w:rFonts w:eastAsia="Times New Roman" w:cs="Arial"/>
          <w:b/>
          <w:i/>
          <w:iCs/>
          <w:sz w:val="22"/>
          <w:lang w:val="es-ES" w:eastAsia="en-US"/>
        </w:rPr>
        <w:t>”</w:t>
      </w:r>
    </w:p>
    <w:p w14:paraId="5EBBECD0" w14:textId="77777777" w:rsidR="009C0CF3" w:rsidRPr="002D269F" w:rsidRDefault="009C0CF3" w:rsidP="009C0CF3">
      <w:pPr>
        <w:spacing w:line="259" w:lineRule="auto"/>
        <w:ind w:left="851" w:right="850"/>
        <w:rPr>
          <w:rFonts w:eastAsia="Times New Roman" w:cs="Arial"/>
          <w:lang w:val="es-ES" w:eastAsia="en-US"/>
        </w:rPr>
      </w:pPr>
    </w:p>
    <w:p w14:paraId="6A78D46E" w14:textId="281B60CD" w:rsidR="009C0CF3" w:rsidRPr="002D269F" w:rsidRDefault="009C0CF3" w:rsidP="009C0CF3">
      <w:pPr>
        <w:rPr>
          <w:rFonts w:eastAsia="Times New Roman" w:cs="Arial"/>
          <w:lang w:val="es-ES" w:eastAsia="en-US"/>
        </w:rPr>
      </w:pPr>
      <w:r w:rsidRPr="002D269F">
        <w:rPr>
          <w:rFonts w:eastAsia="Times New Roman" w:cs="Arial"/>
          <w:lang w:val="es-ES" w:eastAsia="en-U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387A7D3E" w14:textId="77777777" w:rsidR="009C0CF3" w:rsidRPr="002D269F" w:rsidRDefault="009C0CF3" w:rsidP="009C0CF3">
      <w:pPr>
        <w:rPr>
          <w:rFonts w:eastAsia="Times New Roman" w:cs="Arial"/>
          <w:sz w:val="22"/>
          <w:lang w:val="es-ES" w:eastAsia="en-US"/>
        </w:rPr>
      </w:pPr>
    </w:p>
    <w:p w14:paraId="4E2381F9" w14:textId="77777777" w:rsidR="009C0CF3" w:rsidRPr="002D269F" w:rsidRDefault="009C0CF3" w:rsidP="009C0CF3">
      <w:pPr>
        <w:rPr>
          <w:rFonts w:eastAsia="Times New Roman" w:cs="Arial"/>
          <w:lang w:val="es-ES" w:eastAsia="en-US"/>
        </w:rPr>
      </w:pPr>
      <w:r w:rsidRPr="002D269F">
        <w:rPr>
          <w:rFonts w:eastAsia="Times New Roman" w:cs="Arial"/>
          <w:lang w:val="es-ES" w:eastAsia="en-US"/>
        </w:rPr>
        <w:t>A mayor abundamiento, debe observarse lo establecido en los artículos 1, fracción III, 20, 21, 22, 23, 24, 26, 27 y 39 de la Ley de Contratación Pública del Estado de México y Municipios, los cuales se transcriben a continuación:</w:t>
      </w:r>
    </w:p>
    <w:p w14:paraId="433E0E1D" w14:textId="77777777" w:rsidR="009C0CF3" w:rsidRPr="002D269F" w:rsidRDefault="009C0CF3" w:rsidP="009C0CF3">
      <w:pPr>
        <w:spacing w:line="240" w:lineRule="auto"/>
        <w:ind w:left="851" w:right="851"/>
        <w:rPr>
          <w:rFonts w:eastAsia="Times New Roman" w:cs="Arial"/>
          <w:sz w:val="22"/>
          <w:lang w:val="es-ES" w:eastAsia="en-US"/>
        </w:rPr>
      </w:pPr>
    </w:p>
    <w:p w14:paraId="3EB05483" w14:textId="77777777" w:rsidR="009C0CF3" w:rsidRPr="002D269F" w:rsidRDefault="009C0CF3" w:rsidP="009C0CF3">
      <w:pPr>
        <w:spacing w:line="240" w:lineRule="auto"/>
        <w:ind w:left="851" w:right="851"/>
        <w:rPr>
          <w:rFonts w:eastAsia="Times New Roman" w:cs="Arial"/>
          <w:i/>
          <w:iCs/>
          <w:sz w:val="22"/>
          <w:lang w:val="es-ES" w:eastAsia="en-US"/>
        </w:rPr>
      </w:pPr>
      <w:r w:rsidRPr="002D269F">
        <w:rPr>
          <w:rFonts w:eastAsia="Times New Roman" w:cs="Arial"/>
          <w:b/>
          <w:bCs/>
          <w:i/>
          <w:iCs/>
          <w:sz w:val="22"/>
          <w:lang w:val="es-ES" w:eastAsia="en-US"/>
        </w:rPr>
        <w:t>“Artículo 1</w:t>
      </w:r>
      <w:r w:rsidRPr="002D269F">
        <w:rPr>
          <w:rFonts w:eastAsia="Times New Roman" w:cs="Arial"/>
          <w:i/>
          <w:iCs/>
          <w:sz w:val="22"/>
          <w:lang w:val="es-ES" w:eastAsia="en-US"/>
        </w:rPr>
        <w:t>.- </w:t>
      </w:r>
      <w:r w:rsidRPr="002D269F">
        <w:rPr>
          <w:rFonts w:eastAsia="Times New Roman" w:cs="Arial"/>
          <w:b/>
          <w:bCs/>
          <w:i/>
          <w:iCs/>
          <w:sz w:val="22"/>
          <w:u w:val="single"/>
          <w:lang w:val="es-ES" w:eastAsia="en-US"/>
        </w:rPr>
        <w:t>Esta Ley tiene por objeto regular los actos relativos a</w:t>
      </w:r>
      <w:r w:rsidRPr="002D269F">
        <w:rPr>
          <w:rFonts w:eastAsia="Times New Roman" w:cs="Arial"/>
          <w:i/>
          <w:iCs/>
          <w:sz w:val="22"/>
          <w:lang w:val="es-ES" w:eastAsia="en-US"/>
        </w:rPr>
        <w:t xml:space="preserve"> la planeación, programación, </w:t>
      </w:r>
      <w:proofErr w:type="spellStart"/>
      <w:r w:rsidRPr="002D269F">
        <w:rPr>
          <w:rFonts w:eastAsia="Times New Roman" w:cs="Arial"/>
          <w:i/>
          <w:iCs/>
          <w:sz w:val="22"/>
          <w:lang w:val="es-ES" w:eastAsia="en-US"/>
        </w:rPr>
        <w:t>presupuestación</w:t>
      </w:r>
      <w:proofErr w:type="spellEnd"/>
      <w:r w:rsidRPr="002D269F">
        <w:rPr>
          <w:rFonts w:eastAsia="Times New Roman" w:cs="Arial"/>
          <w:i/>
          <w:iCs/>
          <w:sz w:val="22"/>
          <w:lang w:val="es-ES" w:eastAsia="en-US"/>
        </w:rPr>
        <w:t>, ejecución y control de </w:t>
      </w:r>
      <w:r w:rsidRPr="002D269F">
        <w:rPr>
          <w:rFonts w:eastAsia="Times New Roman" w:cs="Arial"/>
          <w:b/>
          <w:bCs/>
          <w:i/>
          <w:iCs/>
          <w:sz w:val="22"/>
          <w:u w:val="single"/>
          <w:lang w:val="es-ES" w:eastAsia="en-US"/>
        </w:rPr>
        <w:t>la adquisición, enajenación y arrendamiento de bienes, y la contratación de servicios de cualquier naturaleza</w:t>
      </w:r>
      <w:r w:rsidRPr="002D269F">
        <w:rPr>
          <w:rFonts w:eastAsia="Times New Roman" w:cs="Arial"/>
          <w:i/>
          <w:iCs/>
          <w:sz w:val="22"/>
          <w:lang w:val="es-ES" w:eastAsia="en-US"/>
        </w:rPr>
        <w:t>, </w:t>
      </w:r>
      <w:r w:rsidRPr="002D269F">
        <w:rPr>
          <w:rFonts w:eastAsia="Times New Roman" w:cs="Arial"/>
          <w:b/>
          <w:bCs/>
          <w:i/>
          <w:iCs/>
          <w:sz w:val="22"/>
          <w:u w:val="single"/>
          <w:lang w:val="es-ES" w:eastAsia="en-US"/>
        </w:rPr>
        <w:t>que realicen</w:t>
      </w:r>
      <w:r w:rsidRPr="002D269F">
        <w:rPr>
          <w:rFonts w:eastAsia="Times New Roman" w:cs="Arial"/>
          <w:i/>
          <w:iCs/>
          <w:sz w:val="22"/>
          <w:lang w:val="es-ES" w:eastAsia="en-US"/>
        </w:rPr>
        <w:t>:</w:t>
      </w:r>
    </w:p>
    <w:p w14:paraId="0DA70799" w14:textId="77777777" w:rsidR="009C0CF3" w:rsidRPr="002D269F" w:rsidRDefault="009C0CF3" w:rsidP="009C0CF3">
      <w:pPr>
        <w:spacing w:line="240" w:lineRule="auto"/>
        <w:ind w:left="851" w:right="851"/>
        <w:rPr>
          <w:rFonts w:eastAsia="Times New Roman" w:cs="Arial"/>
          <w:sz w:val="19"/>
          <w:szCs w:val="19"/>
          <w:lang w:val="es-ES" w:eastAsia="en-US"/>
        </w:rPr>
      </w:pPr>
    </w:p>
    <w:p w14:paraId="5BDB4289" w14:textId="50BE9A44" w:rsidR="009C0CF3" w:rsidRPr="002D269F" w:rsidRDefault="00C002D5" w:rsidP="009C0CF3">
      <w:pPr>
        <w:spacing w:line="240" w:lineRule="auto"/>
        <w:ind w:left="851" w:right="851"/>
        <w:rPr>
          <w:rFonts w:eastAsia="Times New Roman" w:cs="Arial"/>
          <w:b/>
          <w:bCs/>
          <w:i/>
          <w:iCs/>
          <w:sz w:val="22"/>
          <w:lang w:val="es-ES" w:eastAsia="en-US"/>
        </w:rPr>
      </w:pPr>
      <w:r w:rsidRPr="002D269F">
        <w:rPr>
          <w:rFonts w:eastAsia="Times New Roman" w:cs="Arial"/>
          <w:b/>
          <w:bCs/>
          <w:i/>
          <w:iCs/>
          <w:sz w:val="22"/>
          <w:lang w:eastAsia="en-US"/>
        </w:rPr>
        <w:t>III. Los ayuntamientos de los municipios del Estado</w:t>
      </w:r>
      <w:r w:rsidR="009C0CF3" w:rsidRPr="002D269F">
        <w:rPr>
          <w:rFonts w:eastAsia="Times New Roman" w:cs="Arial"/>
          <w:b/>
          <w:bCs/>
          <w:i/>
          <w:iCs/>
          <w:sz w:val="22"/>
          <w:lang w:val="es-ES" w:eastAsia="en-US"/>
        </w:rPr>
        <w:t>.</w:t>
      </w:r>
    </w:p>
    <w:p w14:paraId="05946654" w14:textId="77777777" w:rsidR="009C0CF3" w:rsidRPr="002D269F" w:rsidRDefault="009C0CF3" w:rsidP="009C0CF3">
      <w:pPr>
        <w:spacing w:line="240" w:lineRule="auto"/>
        <w:ind w:left="851" w:right="851"/>
        <w:rPr>
          <w:rFonts w:eastAsia="Times New Roman" w:cs="Arial"/>
          <w:sz w:val="19"/>
          <w:szCs w:val="19"/>
          <w:lang w:val="es-ES" w:eastAsia="en-US"/>
        </w:rPr>
      </w:pPr>
      <w:r w:rsidRPr="002D269F">
        <w:rPr>
          <w:rFonts w:eastAsia="Times New Roman" w:cs="Arial"/>
          <w:i/>
          <w:iCs/>
          <w:sz w:val="22"/>
          <w:lang w:val="es-ES" w:eastAsia="en-US"/>
        </w:rPr>
        <w:t>…</w:t>
      </w:r>
    </w:p>
    <w:p w14:paraId="29264EDA" w14:textId="77777777" w:rsidR="009C0CF3" w:rsidRPr="002D269F" w:rsidRDefault="009C0CF3" w:rsidP="009C0CF3">
      <w:pPr>
        <w:spacing w:line="240" w:lineRule="auto"/>
        <w:ind w:left="851" w:right="851"/>
        <w:rPr>
          <w:rFonts w:eastAsia="Times New Roman" w:cs="Arial"/>
          <w:b/>
          <w:bCs/>
          <w:i/>
          <w:iCs/>
          <w:sz w:val="22"/>
          <w:lang w:val="es-ES" w:eastAsia="en-US"/>
        </w:rPr>
      </w:pPr>
    </w:p>
    <w:p w14:paraId="3DABCCB9" w14:textId="3E7DEA9B" w:rsidR="009C0CF3" w:rsidRPr="002D269F" w:rsidRDefault="009C0CF3" w:rsidP="009C0CF3">
      <w:pPr>
        <w:spacing w:line="240" w:lineRule="auto"/>
        <w:ind w:left="851" w:right="851"/>
        <w:rPr>
          <w:rFonts w:eastAsia="Times New Roman" w:cs="Arial"/>
          <w:sz w:val="19"/>
          <w:szCs w:val="19"/>
          <w:lang w:val="es-ES" w:eastAsia="en-US"/>
        </w:rPr>
      </w:pPr>
      <w:r w:rsidRPr="002D269F">
        <w:rPr>
          <w:rFonts w:eastAsia="Times New Roman" w:cs="Arial"/>
          <w:b/>
          <w:bCs/>
          <w:i/>
          <w:iCs/>
          <w:sz w:val="22"/>
          <w:lang w:val="es-ES" w:eastAsia="en-US"/>
        </w:rPr>
        <w:t>Artículo 20</w:t>
      </w:r>
      <w:r w:rsidRPr="002D269F">
        <w:rPr>
          <w:rFonts w:eastAsia="Times New Roman" w:cs="Arial"/>
          <w:i/>
          <w:iCs/>
          <w:sz w:val="22"/>
          <w:lang w:val="es-ES" w:eastAsia="en-US"/>
        </w:rPr>
        <w:t xml:space="preserve">.- </w:t>
      </w:r>
      <w:r w:rsidR="00C002D5" w:rsidRPr="002D269F">
        <w:rPr>
          <w:rFonts w:eastAsia="Times New Roman" w:cs="Arial"/>
          <w:bCs/>
          <w:i/>
          <w:iCs/>
          <w:sz w:val="22"/>
          <w:lang w:eastAsia="en-US"/>
        </w:rPr>
        <w:t xml:space="preserve">La Oficialía Mayor y </w:t>
      </w:r>
      <w:r w:rsidR="00C002D5" w:rsidRPr="002D269F">
        <w:rPr>
          <w:rFonts w:eastAsia="Times New Roman" w:cs="Arial"/>
          <w:b/>
          <w:i/>
          <w:iCs/>
          <w:sz w:val="22"/>
          <w:lang w:eastAsia="en-US"/>
        </w:rPr>
        <w:t>los ayuntamientos</w:t>
      </w:r>
      <w:r w:rsidR="00C002D5" w:rsidRPr="002D269F">
        <w:rPr>
          <w:rFonts w:eastAsia="Times New Roman" w:cs="Arial"/>
          <w:bCs/>
          <w:i/>
          <w:iCs/>
          <w:sz w:val="22"/>
          <w:lang w:eastAsia="en-US"/>
        </w:rPr>
        <w:t xml:space="preserve"> establecerán y operarán el catálogo de bienes y servicios, de acuerdo con la reglamentación respectiva. </w:t>
      </w:r>
      <w:r w:rsidR="00C002D5" w:rsidRPr="002D269F">
        <w:rPr>
          <w:rFonts w:eastAsia="Times New Roman" w:cs="Arial"/>
          <w:bCs/>
          <w:i/>
          <w:iCs/>
          <w:sz w:val="22"/>
          <w:u w:val="single"/>
          <w:lang w:eastAsia="en-US"/>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00C002D5" w:rsidRPr="002D269F">
        <w:rPr>
          <w:rFonts w:eastAsia="Times New Roman" w:cs="Arial"/>
          <w:bCs/>
          <w:i/>
          <w:iCs/>
          <w:sz w:val="22"/>
          <w:lang w:eastAsia="en-US"/>
        </w:rPr>
        <w:t>, y en su caso, sus equivalentes. Dicho catálogo deberá publicarse en el COMPRAMEX y en el portal de internet de la Oficialía Mayor y, en su caso, en el de los ayuntamientos.</w:t>
      </w:r>
    </w:p>
    <w:p w14:paraId="02D9B2A6" w14:textId="77777777" w:rsidR="009C0CF3" w:rsidRPr="002D269F" w:rsidRDefault="009C0CF3" w:rsidP="009C0CF3">
      <w:pPr>
        <w:spacing w:line="240" w:lineRule="auto"/>
        <w:ind w:left="851" w:right="851"/>
        <w:rPr>
          <w:rFonts w:eastAsia="Times New Roman" w:cs="Arial"/>
          <w:b/>
          <w:bCs/>
          <w:i/>
          <w:iCs/>
          <w:sz w:val="22"/>
          <w:lang w:val="es-ES" w:eastAsia="en-US"/>
        </w:rPr>
      </w:pPr>
    </w:p>
    <w:p w14:paraId="4C22B40D" w14:textId="72DCAC67" w:rsidR="009C0CF3" w:rsidRPr="002D269F" w:rsidRDefault="009C0CF3" w:rsidP="00C002D5">
      <w:pPr>
        <w:spacing w:line="240" w:lineRule="auto"/>
        <w:ind w:left="851" w:right="851"/>
        <w:rPr>
          <w:rFonts w:eastAsia="Times New Roman" w:cs="Arial"/>
          <w:sz w:val="19"/>
          <w:szCs w:val="19"/>
          <w:lang w:val="es-ES" w:eastAsia="en-US"/>
        </w:rPr>
      </w:pPr>
      <w:r w:rsidRPr="002D269F">
        <w:rPr>
          <w:rFonts w:eastAsia="Times New Roman" w:cs="Arial"/>
          <w:b/>
          <w:bCs/>
          <w:i/>
          <w:iCs/>
          <w:sz w:val="22"/>
          <w:lang w:val="es-ES" w:eastAsia="en-US"/>
        </w:rPr>
        <w:lastRenderedPageBreak/>
        <w:t>Artículo 21.- </w:t>
      </w:r>
      <w:r w:rsidR="00C002D5" w:rsidRPr="002D269F">
        <w:rPr>
          <w:rFonts w:eastAsia="Times New Roman" w:cs="Arial"/>
          <w:b/>
          <w:bCs/>
          <w:i/>
          <w:iCs/>
          <w:sz w:val="22"/>
          <w:u w:val="single"/>
          <w:lang w:eastAsia="en-US"/>
        </w:rPr>
        <w:t xml:space="preserve">A fin de conocer la capacidad administrativa, financiera, legal y técnica de las fuentes de suministro, </w:t>
      </w:r>
      <w:r w:rsidR="00C002D5" w:rsidRPr="002D269F">
        <w:rPr>
          <w:rFonts w:eastAsia="Times New Roman" w:cs="Arial"/>
          <w:i/>
          <w:iCs/>
          <w:sz w:val="22"/>
          <w:u w:val="single"/>
          <w:lang w:eastAsia="en-US"/>
        </w:rPr>
        <w:t>la Oficialía Mayor y</w:t>
      </w:r>
      <w:r w:rsidR="00C002D5" w:rsidRPr="002D269F">
        <w:rPr>
          <w:rFonts w:eastAsia="Times New Roman" w:cs="Arial"/>
          <w:b/>
          <w:bCs/>
          <w:i/>
          <w:iCs/>
          <w:sz w:val="22"/>
          <w:u w:val="single"/>
          <w:lang w:eastAsia="en-US"/>
        </w:rPr>
        <w:t xml:space="preserve"> los ayuntamientos integrarán un catálogo de proveedores y de prestadores de servicios. </w:t>
      </w:r>
      <w:r w:rsidR="00C002D5" w:rsidRPr="002D269F">
        <w:rPr>
          <w:rFonts w:eastAsia="Times New Roman" w:cs="Arial"/>
          <w:i/>
          <w:iCs/>
          <w:sz w:val="22"/>
          <w:lang w:eastAsia="en-US"/>
        </w:rPr>
        <w:t>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2D269F">
        <w:rPr>
          <w:rFonts w:eastAsia="Times New Roman" w:cs="Arial"/>
          <w:i/>
          <w:iCs/>
          <w:sz w:val="22"/>
          <w:lang w:val="es-ES" w:eastAsia="en-US"/>
        </w:rPr>
        <w:t>.</w:t>
      </w:r>
    </w:p>
    <w:p w14:paraId="6A622791" w14:textId="77777777" w:rsidR="009C0CF3" w:rsidRPr="002D269F" w:rsidRDefault="009C0CF3" w:rsidP="009C0CF3">
      <w:pPr>
        <w:spacing w:line="240" w:lineRule="auto"/>
        <w:ind w:left="851" w:right="851"/>
        <w:rPr>
          <w:rFonts w:eastAsia="Times New Roman" w:cs="Arial"/>
          <w:b/>
          <w:bCs/>
          <w:i/>
          <w:iCs/>
          <w:sz w:val="22"/>
          <w:lang w:val="es-ES" w:eastAsia="en-US"/>
        </w:rPr>
      </w:pPr>
    </w:p>
    <w:p w14:paraId="41047720" w14:textId="77777777" w:rsidR="00C002D5" w:rsidRPr="002D269F" w:rsidRDefault="009C0CF3" w:rsidP="009C0CF3">
      <w:pPr>
        <w:spacing w:line="240" w:lineRule="auto"/>
        <w:ind w:left="851" w:right="851"/>
        <w:rPr>
          <w:rFonts w:eastAsia="Times New Roman" w:cs="Arial"/>
          <w:i/>
          <w:iCs/>
          <w:sz w:val="22"/>
          <w:lang w:eastAsia="en-US"/>
        </w:rPr>
      </w:pPr>
      <w:r w:rsidRPr="002D269F">
        <w:rPr>
          <w:rFonts w:eastAsia="Times New Roman" w:cs="Arial"/>
          <w:b/>
          <w:bCs/>
          <w:i/>
          <w:iCs/>
          <w:sz w:val="22"/>
          <w:lang w:val="es-ES" w:eastAsia="en-US"/>
        </w:rPr>
        <w:t>Artículo 22</w:t>
      </w:r>
      <w:r w:rsidRPr="002D269F">
        <w:rPr>
          <w:rFonts w:eastAsia="Times New Roman" w:cs="Arial"/>
          <w:i/>
          <w:iCs/>
          <w:sz w:val="22"/>
          <w:lang w:val="es-ES" w:eastAsia="en-US"/>
        </w:rPr>
        <w:t xml:space="preserve">.- </w:t>
      </w:r>
      <w:r w:rsidR="00C002D5" w:rsidRPr="002D269F">
        <w:rPr>
          <w:rFonts w:eastAsia="Times New Roman" w:cs="Arial"/>
          <w:i/>
          <w:iCs/>
          <w:sz w:val="22"/>
          <w:lang w:eastAsia="en-US"/>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2FBE2E46" w14:textId="77777777" w:rsidR="00C002D5" w:rsidRPr="002D269F" w:rsidRDefault="00C002D5" w:rsidP="009C0CF3">
      <w:pPr>
        <w:spacing w:line="240" w:lineRule="auto"/>
        <w:ind w:left="851" w:right="851"/>
        <w:rPr>
          <w:rFonts w:eastAsia="Times New Roman" w:cs="Arial"/>
          <w:i/>
          <w:iCs/>
          <w:sz w:val="22"/>
          <w:lang w:eastAsia="en-US"/>
        </w:rPr>
      </w:pPr>
    </w:p>
    <w:p w14:paraId="250A0E2A" w14:textId="635ADC31" w:rsidR="00C002D5" w:rsidRPr="002D269F" w:rsidRDefault="00C002D5" w:rsidP="009C0CF3">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En la Oficialía Mayor, en cada entidad, tribunal administrativo y ayuntamiento se constituirá un comité de adquisiciones y servicios. </w:t>
      </w:r>
    </w:p>
    <w:p w14:paraId="3634DF83" w14:textId="77777777" w:rsidR="00C002D5" w:rsidRPr="002D269F" w:rsidRDefault="00C002D5" w:rsidP="009C0CF3">
      <w:pPr>
        <w:spacing w:line="240" w:lineRule="auto"/>
        <w:ind w:left="851" w:right="851"/>
        <w:rPr>
          <w:rFonts w:eastAsia="Times New Roman" w:cs="Arial"/>
          <w:i/>
          <w:iCs/>
          <w:sz w:val="22"/>
          <w:lang w:eastAsia="en-US"/>
        </w:rPr>
      </w:pPr>
    </w:p>
    <w:p w14:paraId="5294E581" w14:textId="0DCE1629" w:rsidR="009C0CF3" w:rsidRPr="002D269F" w:rsidRDefault="00C002D5" w:rsidP="009C0CF3">
      <w:pPr>
        <w:spacing w:line="240" w:lineRule="auto"/>
        <w:ind w:left="851" w:right="851"/>
        <w:rPr>
          <w:rFonts w:eastAsia="Times New Roman" w:cs="Arial"/>
          <w:b/>
          <w:bCs/>
          <w:sz w:val="19"/>
          <w:szCs w:val="19"/>
          <w:u w:val="single"/>
          <w:lang w:val="es-ES" w:eastAsia="en-US"/>
        </w:rPr>
      </w:pPr>
      <w:r w:rsidRPr="002D269F">
        <w:rPr>
          <w:rFonts w:eastAsia="Times New Roman" w:cs="Arial"/>
          <w:i/>
          <w:iCs/>
          <w:sz w:val="22"/>
          <w:lang w:eastAsia="en-US"/>
        </w:rPr>
        <w:t xml:space="preserve">La Oficialía Mayor, las entidades, los tribunales administrativos y </w:t>
      </w:r>
      <w:r w:rsidRPr="002D269F">
        <w:rPr>
          <w:rFonts w:eastAsia="Times New Roman" w:cs="Arial"/>
          <w:b/>
          <w:bCs/>
          <w:i/>
          <w:iCs/>
          <w:sz w:val="22"/>
          <w:u w:val="single"/>
          <w:lang w:eastAsia="en-US"/>
        </w:rPr>
        <w:t>los ayuntamientos se auxiliarán de un comité de arrendamientos, adquisiciones de inmuebles y enajenaciones</w:t>
      </w:r>
    </w:p>
    <w:p w14:paraId="35355B0F" w14:textId="77777777" w:rsidR="009C0CF3" w:rsidRPr="002D269F" w:rsidRDefault="009C0CF3" w:rsidP="009C0CF3">
      <w:pPr>
        <w:spacing w:line="240" w:lineRule="auto"/>
        <w:ind w:left="851" w:right="851"/>
        <w:rPr>
          <w:rFonts w:eastAsia="Times New Roman" w:cs="Arial"/>
          <w:b/>
          <w:bCs/>
          <w:i/>
          <w:iCs/>
          <w:sz w:val="22"/>
          <w:lang w:val="es-ES" w:eastAsia="en-US"/>
        </w:rPr>
      </w:pPr>
    </w:p>
    <w:p w14:paraId="4977DD9F" w14:textId="77777777" w:rsidR="00C002D5" w:rsidRPr="002D269F" w:rsidRDefault="009C0CF3" w:rsidP="00C002D5">
      <w:pPr>
        <w:spacing w:line="240" w:lineRule="auto"/>
        <w:ind w:left="851" w:right="851"/>
        <w:rPr>
          <w:rFonts w:eastAsia="Times New Roman" w:cs="Arial"/>
          <w:i/>
          <w:iCs/>
          <w:sz w:val="22"/>
          <w:lang w:eastAsia="en-US"/>
        </w:rPr>
      </w:pPr>
      <w:r w:rsidRPr="002D269F">
        <w:rPr>
          <w:rFonts w:eastAsia="Times New Roman" w:cs="Arial"/>
          <w:b/>
          <w:bCs/>
          <w:i/>
          <w:iCs/>
          <w:sz w:val="22"/>
          <w:lang w:val="es-ES" w:eastAsia="en-US"/>
        </w:rPr>
        <w:t>Artículo 23</w:t>
      </w:r>
      <w:r w:rsidRPr="002D269F">
        <w:rPr>
          <w:rFonts w:eastAsia="Times New Roman" w:cs="Arial"/>
          <w:i/>
          <w:iCs/>
          <w:sz w:val="22"/>
          <w:lang w:val="es-ES" w:eastAsia="en-US"/>
        </w:rPr>
        <w:t>.- </w:t>
      </w:r>
      <w:r w:rsidR="00C002D5" w:rsidRPr="002D269F">
        <w:rPr>
          <w:rFonts w:eastAsia="Times New Roman" w:cs="Arial"/>
          <w:i/>
          <w:iCs/>
          <w:sz w:val="22"/>
          <w:lang w:eastAsia="en-US"/>
        </w:rPr>
        <w:t xml:space="preserve">Los comités de adquisiciones y de servicios tendrán las funciones siguientes: </w:t>
      </w:r>
    </w:p>
    <w:p w14:paraId="784230EF"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I. Dictaminar sobre la procedencia de los casos de excepción al procedimiento de licitación pública. </w:t>
      </w:r>
    </w:p>
    <w:p w14:paraId="31130315"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1AAB30C6"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III. </w:t>
      </w:r>
      <w:r w:rsidRPr="002D269F">
        <w:rPr>
          <w:rFonts w:eastAsia="Times New Roman" w:cs="Arial"/>
          <w:b/>
          <w:bCs/>
          <w:i/>
          <w:iCs/>
          <w:sz w:val="22"/>
          <w:u w:val="single"/>
          <w:lang w:eastAsia="en-US"/>
        </w:rPr>
        <w:t>Emitir los dictámenes de adjudicación</w:t>
      </w:r>
      <w:r w:rsidRPr="002D269F">
        <w:rPr>
          <w:rFonts w:eastAsia="Times New Roman" w:cs="Arial"/>
          <w:i/>
          <w:iCs/>
          <w:sz w:val="22"/>
          <w:lang w:eastAsia="en-US"/>
        </w:rPr>
        <w:t xml:space="preserve">. </w:t>
      </w:r>
    </w:p>
    <w:p w14:paraId="09A18A73" w14:textId="416A00BD" w:rsidR="009C0CF3" w:rsidRPr="002D269F" w:rsidRDefault="00C002D5" w:rsidP="00C002D5">
      <w:pPr>
        <w:spacing w:line="240" w:lineRule="auto"/>
        <w:ind w:left="851" w:right="851"/>
        <w:rPr>
          <w:rFonts w:eastAsia="Times New Roman" w:cs="Arial"/>
          <w:i/>
          <w:iCs/>
          <w:sz w:val="19"/>
          <w:szCs w:val="19"/>
          <w:lang w:val="es-ES" w:eastAsia="en-US"/>
        </w:rPr>
      </w:pPr>
      <w:r w:rsidRPr="002D269F">
        <w:rPr>
          <w:rFonts w:eastAsia="Times New Roman" w:cs="Arial"/>
          <w:i/>
          <w:iCs/>
          <w:sz w:val="22"/>
          <w:lang w:eastAsia="en-US"/>
        </w:rPr>
        <w:t>IV. Las demás que establezca el reglamento de esta Ley.</w:t>
      </w:r>
      <w:r w:rsidR="009C0CF3" w:rsidRPr="002D269F">
        <w:rPr>
          <w:rFonts w:eastAsia="Times New Roman" w:cs="Arial"/>
          <w:i/>
          <w:iCs/>
          <w:sz w:val="22"/>
          <w:lang w:val="es-ES" w:eastAsia="en-US"/>
        </w:rPr>
        <w:t>”</w:t>
      </w:r>
    </w:p>
    <w:p w14:paraId="15491740" w14:textId="77777777" w:rsidR="009C0CF3" w:rsidRPr="002D269F" w:rsidRDefault="009C0CF3" w:rsidP="009C0CF3">
      <w:pPr>
        <w:spacing w:line="240" w:lineRule="auto"/>
        <w:ind w:left="851" w:right="851"/>
        <w:rPr>
          <w:rFonts w:eastAsia="Times New Roman" w:cs="Arial"/>
          <w:b/>
          <w:bCs/>
          <w:i/>
          <w:iCs/>
          <w:sz w:val="22"/>
          <w:lang w:val="es-ES" w:eastAsia="en-US"/>
        </w:rPr>
      </w:pPr>
    </w:p>
    <w:p w14:paraId="47C24DDF" w14:textId="77777777" w:rsidR="00C002D5" w:rsidRPr="002D269F" w:rsidRDefault="009C0CF3" w:rsidP="00C002D5">
      <w:pPr>
        <w:spacing w:line="240" w:lineRule="auto"/>
        <w:ind w:left="851" w:right="851"/>
        <w:rPr>
          <w:rFonts w:eastAsia="Times New Roman" w:cs="Arial"/>
          <w:b/>
          <w:bCs/>
          <w:i/>
          <w:iCs/>
          <w:sz w:val="22"/>
          <w:u w:val="single"/>
          <w:lang w:eastAsia="en-US"/>
        </w:rPr>
      </w:pPr>
      <w:r w:rsidRPr="002D269F">
        <w:rPr>
          <w:rFonts w:eastAsia="Times New Roman" w:cs="Arial"/>
          <w:b/>
          <w:bCs/>
          <w:i/>
          <w:iCs/>
          <w:sz w:val="22"/>
          <w:lang w:val="es-ES" w:eastAsia="en-US"/>
        </w:rPr>
        <w:t>Artículo 24</w:t>
      </w:r>
      <w:r w:rsidRPr="002D269F">
        <w:rPr>
          <w:rFonts w:eastAsia="Times New Roman" w:cs="Arial"/>
          <w:i/>
          <w:iCs/>
          <w:sz w:val="22"/>
          <w:lang w:val="es-ES" w:eastAsia="en-US"/>
        </w:rPr>
        <w:t>.- </w:t>
      </w:r>
      <w:r w:rsidR="00C002D5" w:rsidRPr="002D269F">
        <w:rPr>
          <w:rFonts w:eastAsia="Times New Roman" w:cs="Arial"/>
          <w:b/>
          <w:bCs/>
          <w:i/>
          <w:iCs/>
          <w:sz w:val="22"/>
          <w:u w:val="single"/>
          <w:lang w:eastAsia="en-US"/>
        </w:rPr>
        <w:t xml:space="preserve">El comité de arrendamientos, adquisiciones de inmuebles y enajenaciones tendrá las funciones siguientes: </w:t>
      </w:r>
    </w:p>
    <w:p w14:paraId="16C0A2C4"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I. Dictaminar sobre la procedencia de los casos de excepción al procedimiento de licitación pública, tratándose de adquisición de inmuebles y arrendamientos. </w:t>
      </w:r>
    </w:p>
    <w:p w14:paraId="657B5066"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lastRenderedPageBreak/>
        <w:t xml:space="preserve">II. Participar en los procedimientos de licitación, invitación restringida y adjudicación directa, hasta dejarlos en estado de dictar el fallo correspondiente, tratándose de adquisición de inmuebles y arrendamientos. </w:t>
      </w:r>
    </w:p>
    <w:p w14:paraId="0EC76E25" w14:textId="77777777" w:rsidR="00C002D5" w:rsidRPr="002D269F" w:rsidRDefault="00C002D5" w:rsidP="00C002D5">
      <w:pPr>
        <w:spacing w:line="240" w:lineRule="auto"/>
        <w:ind w:left="851" w:right="851"/>
        <w:rPr>
          <w:rFonts w:eastAsia="Times New Roman" w:cs="Arial"/>
          <w:b/>
          <w:bCs/>
          <w:i/>
          <w:iCs/>
          <w:sz w:val="22"/>
          <w:u w:val="single"/>
          <w:lang w:eastAsia="en-US"/>
        </w:rPr>
      </w:pPr>
      <w:r w:rsidRPr="002D269F">
        <w:rPr>
          <w:rFonts w:eastAsia="Times New Roman" w:cs="Arial"/>
          <w:b/>
          <w:bCs/>
          <w:i/>
          <w:iCs/>
          <w:sz w:val="22"/>
          <w:u w:val="single"/>
          <w:lang w:eastAsia="en-US"/>
        </w:rPr>
        <w:t xml:space="preserve">III. Emitir los dictámenes de adjudicación, tratándose de adquisiciones de inmuebles y arrendamientos. </w:t>
      </w:r>
    </w:p>
    <w:p w14:paraId="0E2C146B"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IV. Participar en los procedimientos de subasta pública, hasta dejarlos en estado de dictar el fallo de adjudicación. </w:t>
      </w:r>
    </w:p>
    <w:p w14:paraId="507600A2" w14:textId="77777777" w:rsidR="00C002D5" w:rsidRPr="002D269F" w:rsidRDefault="00C002D5" w:rsidP="00C002D5">
      <w:pPr>
        <w:spacing w:line="240" w:lineRule="auto"/>
        <w:ind w:left="851" w:right="851"/>
        <w:rPr>
          <w:rFonts w:eastAsia="Times New Roman" w:cs="Arial"/>
          <w:i/>
          <w:iCs/>
          <w:sz w:val="22"/>
          <w:lang w:eastAsia="en-US"/>
        </w:rPr>
      </w:pPr>
      <w:r w:rsidRPr="002D269F">
        <w:rPr>
          <w:rFonts w:eastAsia="Times New Roman" w:cs="Arial"/>
          <w:i/>
          <w:iCs/>
          <w:sz w:val="22"/>
          <w:lang w:eastAsia="en-US"/>
        </w:rPr>
        <w:t xml:space="preserve">V. Las demás que establezca el reglamento de esta Ley. </w:t>
      </w:r>
    </w:p>
    <w:p w14:paraId="23A7B097" w14:textId="77777777" w:rsidR="009C0CF3" w:rsidRPr="002D269F" w:rsidRDefault="009C0CF3" w:rsidP="009C0CF3">
      <w:pPr>
        <w:spacing w:line="240" w:lineRule="auto"/>
        <w:ind w:left="851" w:right="851"/>
        <w:rPr>
          <w:rFonts w:eastAsia="Times New Roman" w:cs="Arial"/>
          <w:b/>
          <w:i/>
          <w:iCs/>
          <w:sz w:val="22"/>
          <w:lang w:val="es-ES" w:eastAsia="en-US"/>
        </w:rPr>
      </w:pPr>
    </w:p>
    <w:p w14:paraId="732E4620" w14:textId="77777777" w:rsidR="009C0CF3" w:rsidRPr="002D269F" w:rsidRDefault="009C0CF3" w:rsidP="009C0CF3">
      <w:pPr>
        <w:spacing w:line="240" w:lineRule="auto"/>
        <w:ind w:left="851" w:right="851"/>
        <w:rPr>
          <w:rFonts w:eastAsia="Times New Roman" w:cs="Arial"/>
          <w:i/>
          <w:iCs/>
          <w:sz w:val="22"/>
          <w:lang w:val="es-ES" w:eastAsia="en-US"/>
        </w:rPr>
      </w:pPr>
      <w:r w:rsidRPr="002D269F">
        <w:rPr>
          <w:rFonts w:eastAsia="Times New Roman" w:cs="Arial"/>
          <w:b/>
          <w:i/>
          <w:iCs/>
          <w:sz w:val="22"/>
          <w:lang w:val="es-ES" w:eastAsia="en-US"/>
        </w:rPr>
        <w:t>Artículo 26.- </w:t>
      </w:r>
      <w:r w:rsidRPr="002D269F">
        <w:rPr>
          <w:rFonts w:eastAsia="Times New Roman" w:cs="Arial"/>
          <w:i/>
          <w:iCs/>
          <w:sz w:val="22"/>
          <w:lang w:val="es-ES" w:eastAsia="en-US"/>
        </w:rPr>
        <w:t>Las adquisiciones, arrendamientos y servicios se adjudicarán a través de licitaciones públicas, mediante convocatoria pública.</w:t>
      </w:r>
    </w:p>
    <w:p w14:paraId="51453F72" w14:textId="77777777" w:rsidR="009C0CF3" w:rsidRPr="002D269F" w:rsidRDefault="009C0CF3" w:rsidP="009C0CF3">
      <w:pPr>
        <w:spacing w:line="240" w:lineRule="auto"/>
        <w:ind w:left="851" w:right="851"/>
        <w:rPr>
          <w:rFonts w:eastAsia="Times New Roman" w:cs="Arial"/>
          <w:b/>
          <w:i/>
          <w:iCs/>
          <w:sz w:val="22"/>
          <w:lang w:val="es-ES" w:eastAsia="en-US"/>
        </w:rPr>
      </w:pPr>
    </w:p>
    <w:p w14:paraId="689FE223" w14:textId="2BD59D34" w:rsidR="009C0CF3" w:rsidRPr="002D269F" w:rsidRDefault="009C0CF3" w:rsidP="009C0CF3">
      <w:pPr>
        <w:spacing w:line="240" w:lineRule="auto"/>
        <w:ind w:left="851" w:right="851"/>
        <w:rPr>
          <w:rFonts w:eastAsia="Times New Roman" w:cs="Arial"/>
          <w:i/>
          <w:iCs/>
          <w:sz w:val="22"/>
          <w:lang w:val="es-ES" w:eastAsia="en-US"/>
        </w:rPr>
      </w:pPr>
      <w:r w:rsidRPr="002D269F">
        <w:rPr>
          <w:rFonts w:eastAsia="Times New Roman" w:cs="Arial"/>
          <w:b/>
          <w:i/>
          <w:iCs/>
          <w:sz w:val="22"/>
          <w:lang w:val="es-ES" w:eastAsia="en-US"/>
        </w:rPr>
        <w:t>Artículo 27.-</w:t>
      </w:r>
      <w:r w:rsidRPr="002D269F">
        <w:rPr>
          <w:rFonts w:eastAsia="Times New Roman" w:cs="Arial"/>
          <w:i/>
          <w:iCs/>
          <w:sz w:val="22"/>
          <w:lang w:val="es-ES" w:eastAsia="en-US"/>
        </w:rPr>
        <w:t xml:space="preserve"> </w:t>
      </w:r>
      <w:r w:rsidR="00C002D5" w:rsidRPr="002D269F">
        <w:rPr>
          <w:rFonts w:eastAsia="Times New Roman" w:cs="Arial"/>
          <w:i/>
          <w:iCs/>
          <w:sz w:val="22"/>
          <w:lang w:eastAsia="en-US"/>
        </w:rPr>
        <w:t xml:space="preserve">La Oficialía Mayor, las entidades, los tribunales administrativos </w:t>
      </w:r>
      <w:r w:rsidR="00C002D5" w:rsidRPr="002D269F">
        <w:rPr>
          <w:rFonts w:eastAsia="Times New Roman" w:cs="Arial"/>
          <w:b/>
          <w:bCs/>
          <w:i/>
          <w:iCs/>
          <w:sz w:val="22"/>
          <w:u w:val="single"/>
          <w:lang w:eastAsia="en-US"/>
        </w:rPr>
        <w:t>y los ayuntamientos podrán adjudicar adquisiciones, arrendamientos y servicios, mediante las excepciones al procedimiento de licitación que a continuación se señalan</w:t>
      </w:r>
      <w:proofErr w:type="gramStart"/>
      <w:r w:rsidR="00C002D5" w:rsidRPr="002D269F">
        <w:rPr>
          <w:rFonts w:eastAsia="Times New Roman" w:cs="Arial"/>
          <w:i/>
          <w:iCs/>
          <w:sz w:val="22"/>
          <w:lang w:eastAsia="en-US"/>
        </w:rPr>
        <w:t>:</w:t>
      </w:r>
      <w:r w:rsidRPr="002D269F">
        <w:rPr>
          <w:rFonts w:eastAsia="Times New Roman" w:cs="Arial"/>
          <w:i/>
          <w:iCs/>
          <w:sz w:val="22"/>
          <w:lang w:val="es-ES" w:eastAsia="en-US"/>
        </w:rPr>
        <w:t>:</w:t>
      </w:r>
      <w:proofErr w:type="gramEnd"/>
    </w:p>
    <w:p w14:paraId="58B33DDE" w14:textId="77777777" w:rsidR="009C0CF3" w:rsidRPr="002D269F" w:rsidRDefault="009C0CF3" w:rsidP="009C0CF3">
      <w:pPr>
        <w:spacing w:line="240" w:lineRule="auto"/>
        <w:ind w:left="851" w:right="851"/>
        <w:rPr>
          <w:rFonts w:eastAsia="Times New Roman" w:cs="Arial"/>
          <w:b/>
          <w:bCs/>
          <w:i/>
          <w:iCs/>
          <w:sz w:val="22"/>
          <w:lang w:val="es-ES" w:eastAsia="en-US"/>
        </w:rPr>
      </w:pPr>
    </w:p>
    <w:p w14:paraId="6F594FBA" w14:textId="77777777" w:rsidR="009C0CF3" w:rsidRPr="002D269F" w:rsidRDefault="009C0CF3" w:rsidP="009C0CF3">
      <w:pPr>
        <w:spacing w:line="240" w:lineRule="auto"/>
        <w:ind w:left="851" w:right="851"/>
        <w:rPr>
          <w:rFonts w:eastAsia="Times New Roman" w:cs="Arial"/>
          <w:sz w:val="19"/>
          <w:szCs w:val="19"/>
          <w:lang w:val="es-ES" w:eastAsia="en-US"/>
        </w:rPr>
      </w:pPr>
      <w:r w:rsidRPr="002D269F">
        <w:rPr>
          <w:rFonts w:eastAsia="Times New Roman" w:cs="Arial"/>
          <w:b/>
          <w:bCs/>
          <w:i/>
          <w:iCs/>
          <w:sz w:val="22"/>
          <w:lang w:val="es-ES" w:eastAsia="en-US"/>
        </w:rPr>
        <w:t>I. </w:t>
      </w:r>
      <w:r w:rsidRPr="002D269F">
        <w:rPr>
          <w:rFonts w:eastAsia="Times New Roman" w:cs="Arial"/>
          <w:b/>
          <w:bCs/>
          <w:i/>
          <w:iCs/>
          <w:sz w:val="22"/>
          <w:u w:val="single"/>
          <w:lang w:val="es-ES" w:eastAsia="en-US"/>
        </w:rPr>
        <w:t>Invitación restringida</w:t>
      </w:r>
      <w:r w:rsidRPr="002D269F">
        <w:rPr>
          <w:rFonts w:eastAsia="Times New Roman" w:cs="Arial"/>
          <w:b/>
          <w:bCs/>
          <w:i/>
          <w:iCs/>
          <w:sz w:val="22"/>
          <w:lang w:val="es-ES" w:eastAsia="en-US"/>
        </w:rPr>
        <w:t>.</w:t>
      </w:r>
    </w:p>
    <w:p w14:paraId="505489DB" w14:textId="77777777" w:rsidR="009C0CF3" w:rsidRPr="002D269F" w:rsidRDefault="009C0CF3" w:rsidP="009C0CF3">
      <w:pPr>
        <w:spacing w:line="240" w:lineRule="auto"/>
        <w:ind w:left="851" w:right="851"/>
        <w:rPr>
          <w:rFonts w:eastAsia="Times New Roman" w:cs="Arial"/>
          <w:sz w:val="19"/>
          <w:szCs w:val="19"/>
          <w:lang w:val="es-ES" w:eastAsia="en-US"/>
        </w:rPr>
      </w:pPr>
      <w:r w:rsidRPr="002D269F">
        <w:rPr>
          <w:rFonts w:eastAsia="Times New Roman" w:cs="Arial"/>
          <w:b/>
          <w:bCs/>
          <w:i/>
          <w:iCs/>
          <w:sz w:val="22"/>
          <w:lang w:val="es-ES" w:eastAsia="en-US"/>
        </w:rPr>
        <w:t>II. </w:t>
      </w:r>
      <w:r w:rsidRPr="002D269F">
        <w:rPr>
          <w:rFonts w:eastAsia="Times New Roman" w:cs="Arial"/>
          <w:b/>
          <w:bCs/>
          <w:i/>
          <w:iCs/>
          <w:sz w:val="22"/>
          <w:u w:val="single"/>
          <w:lang w:val="es-ES" w:eastAsia="en-US"/>
        </w:rPr>
        <w:t>Adjudicación directa</w:t>
      </w:r>
      <w:r w:rsidRPr="002D269F">
        <w:rPr>
          <w:rFonts w:eastAsia="Times New Roman" w:cs="Arial"/>
          <w:i/>
          <w:iCs/>
          <w:sz w:val="22"/>
          <w:lang w:val="es-ES" w:eastAsia="en-US"/>
        </w:rPr>
        <w:t>.</w:t>
      </w:r>
    </w:p>
    <w:p w14:paraId="563976FE" w14:textId="77777777" w:rsidR="009C0CF3" w:rsidRPr="002D269F" w:rsidRDefault="009C0CF3" w:rsidP="009C0CF3">
      <w:pPr>
        <w:spacing w:line="240" w:lineRule="auto"/>
        <w:ind w:left="851" w:right="851"/>
        <w:rPr>
          <w:rFonts w:eastAsia="Times New Roman" w:cs="Arial"/>
          <w:b/>
          <w:bCs/>
          <w:i/>
          <w:iCs/>
          <w:sz w:val="22"/>
          <w:lang w:val="es-ES" w:eastAsia="en-US"/>
        </w:rPr>
      </w:pPr>
    </w:p>
    <w:p w14:paraId="7596BF58" w14:textId="77777777" w:rsidR="009C0CF3" w:rsidRPr="002D269F" w:rsidRDefault="009C0CF3" w:rsidP="009C0CF3">
      <w:pPr>
        <w:spacing w:line="240" w:lineRule="auto"/>
        <w:ind w:left="851" w:right="851"/>
        <w:rPr>
          <w:rFonts w:eastAsia="Times New Roman" w:cs="Arial"/>
          <w:b/>
          <w:sz w:val="19"/>
          <w:szCs w:val="19"/>
          <w:lang w:val="es-ES" w:eastAsia="en-US"/>
        </w:rPr>
      </w:pPr>
      <w:r w:rsidRPr="002D269F">
        <w:rPr>
          <w:rFonts w:eastAsia="Times New Roman" w:cs="Arial"/>
          <w:b/>
          <w:bCs/>
          <w:i/>
          <w:iCs/>
          <w:sz w:val="22"/>
          <w:lang w:val="es-ES" w:eastAsia="en-US"/>
        </w:rPr>
        <w:t>Artículo 39</w:t>
      </w:r>
      <w:r w:rsidRPr="002D269F">
        <w:rPr>
          <w:rFonts w:eastAsia="Times New Roman" w:cs="Arial"/>
          <w:i/>
          <w:iCs/>
          <w:sz w:val="22"/>
          <w:lang w:val="es-ES" w:eastAsia="en-US"/>
        </w:rPr>
        <w:t>.- </w:t>
      </w:r>
      <w:r w:rsidRPr="002D269F">
        <w:rPr>
          <w:rFonts w:eastAsia="Times New Roman" w:cs="Arial"/>
          <w:b/>
          <w:bCs/>
          <w:i/>
          <w:iCs/>
          <w:sz w:val="22"/>
          <w:u w:val="single"/>
          <w:lang w:val="es-ES" w:eastAsia="en-US"/>
        </w:rPr>
        <w:t>Para cada uno de los actos del procedimiento adquisitivo se levantará el acta respectiva</w:t>
      </w:r>
      <w:r w:rsidRPr="002D269F">
        <w:rPr>
          <w:rFonts w:eastAsia="Times New Roman" w:cs="Arial"/>
          <w:i/>
          <w:iCs/>
          <w:sz w:val="22"/>
          <w:lang w:val="es-ES" w:eastAsia="en-US"/>
        </w:rPr>
        <w:t>, la cual será firmada por los participantes, sin que la falta de firma de alguno de ellos invalide su contenido y efectos.</w:t>
      </w:r>
      <w:r w:rsidRPr="002D269F">
        <w:rPr>
          <w:rFonts w:eastAsia="Times New Roman" w:cs="Arial"/>
          <w:b/>
          <w:i/>
          <w:iCs/>
          <w:sz w:val="22"/>
          <w:lang w:val="es-ES" w:eastAsia="en-US"/>
        </w:rPr>
        <w:t>”</w:t>
      </w:r>
    </w:p>
    <w:p w14:paraId="33378157" w14:textId="77777777" w:rsidR="009C0CF3" w:rsidRPr="002D269F" w:rsidRDefault="009C0CF3" w:rsidP="007064C3">
      <w:pPr>
        <w:spacing w:line="240" w:lineRule="auto"/>
        <w:ind w:left="851" w:right="851"/>
        <w:jc w:val="right"/>
        <w:rPr>
          <w:rFonts w:eastAsia="Times New Roman" w:cs="Arial"/>
          <w:sz w:val="22"/>
          <w:lang w:val="es-ES" w:eastAsia="en-US"/>
        </w:rPr>
      </w:pPr>
      <w:r w:rsidRPr="002D269F">
        <w:rPr>
          <w:rFonts w:eastAsia="Times New Roman" w:cs="Arial"/>
          <w:sz w:val="22"/>
          <w:lang w:val="es-ES" w:eastAsia="en-US"/>
        </w:rPr>
        <w:t>(Énfasis añadido)</w:t>
      </w:r>
    </w:p>
    <w:p w14:paraId="7369AF82" w14:textId="77777777" w:rsidR="009C0CF3" w:rsidRPr="002D269F" w:rsidRDefault="009C0CF3" w:rsidP="009C0CF3">
      <w:pPr>
        <w:tabs>
          <w:tab w:val="left" w:pos="6103"/>
        </w:tabs>
        <w:autoSpaceDE w:val="0"/>
        <w:autoSpaceDN w:val="0"/>
        <w:adjustRightInd w:val="0"/>
        <w:ind w:right="50"/>
        <w:rPr>
          <w:rFonts w:eastAsia="Times New Roman" w:cs="Arial"/>
          <w:lang w:val="es-ES" w:eastAsia="en-US"/>
        </w:rPr>
      </w:pPr>
    </w:p>
    <w:p w14:paraId="387F0450" w14:textId="1CFECD50" w:rsidR="009C0CF3" w:rsidRPr="002D269F" w:rsidRDefault="009C0CF3" w:rsidP="009C0CF3">
      <w:pPr>
        <w:tabs>
          <w:tab w:val="left" w:pos="6103"/>
        </w:tabs>
        <w:autoSpaceDE w:val="0"/>
        <w:autoSpaceDN w:val="0"/>
        <w:adjustRightInd w:val="0"/>
        <w:ind w:right="50"/>
        <w:rPr>
          <w:rFonts w:eastAsia="Times New Roman" w:cs="Times New Roman"/>
          <w:color w:val="000000"/>
          <w:lang w:val="es-MX" w:eastAsia="en-US"/>
        </w:rPr>
      </w:pPr>
      <w:r w:rsidRPr="002D269F">
        <w:rPr>
          <w:rFonts w:eastAsia="Times New Roman" w:cs="Arial"/>
          <w:lang w:val="es-ES" w:eastAsia="en-US"/>
        </w:rPr>
        <w:t>De la interpretación armónica de los preceptos transcritos, se advierte que e</w:t>
      </w:r>
      <w:r w:rsidRPr="002D269F">
        <w:rPr>
          <w:rFonts w:eastAsia="Times New Roman" w:cs="Arial"/>
          <w:bCs/>
          <w:lang w:val="es-ES" w:eastAsia="en-US"/>
        </w:rPr>
        <w:t>l</w:t>
      </w:r>
      <w:r w:rsidRPr="002D269F">
        <w:rPr>
          <w:rFonts w:eastAsia="Times New Roman" w:cs="Arial"/>
          <w:b/>
          <w:lang w:val="es-ES" w:eastAsia="en-US"/>
        </w:rPr>
        <w:t xml:space="preserve"> </w:t>
      </w:r>
      <w:r w:rsidRPr="002D269F">
        <w:rPr>
          <w:rFonts w:eastAsia="Times New Roman" w:cs="Arial"/>
          <w:bCs/>
          <w:lang w:val="es-ES" w:eastAsia="en-US"/>
        </w:rPr>
        <w:t>Sujeto Obligado</w:t>
      </w:r>
      <w:r w:rsidRPr="002D269F">
        <w:rPr>
          <w:rFonts w:eastAsia="Times New Roman" w:cs="Arial"/>
          <w:lang w:val="es-ES" w:eastAsia="en-US"/>
        </w:rPr>
        <w:t xml:space="preserve">, cuenta con la competencia para regular los actos relativos a la planeación, programación, </w:t>
      </w:r>
      <w:proofErr w:type="spellStart"/>
      <w:r w:rsidRPr="002D269F">
        <w:rPr>
          <w:rFonts w:eastAsia="Times New Roman" w:cs="Arial"/>
          <w:lang w:val="es-ES" w:eastAsia="en-US"/>
        </w:rPr>
        <w:t>presupuestación</w:t>
      </w:r>
      <w:proofErr w:type="spellEnd"/>
      <w:r w:rsidRPr="002D269F">
        <w:rPr>
          <w:rFonts w:eastAsia="Times New Roman" w:cs="Arial"/>
          <w:lang w:val="es-ES" w:eastAsia="en-US"/>
        </w:rPr>
        <w:t>, ejecución</w:t>
      </w:r>
      <w:r w:rsidR="00B53139" w:rsidRPr="002D269F">
        <w:rPr>
          <w:rFonts w:eastAsia="Times New Roman" w:cs="Arial"/>
          <w:lang w:val="es-ES" w:eastAsia="en-US"/>
        </w:rPr>
        <w:t xml:space="preserve">, </w:t>
      </w:r>
      <w:r w:rsidRPr="002D269F">
        <w:rPr>
          <w:rFonts w:eastAsia="Times New Roman" w:cs="Arial"/>
          <w:bCs/>
          <w:lang w:val="es-ES" w:eastAsia="en-US"/>
        </w:rPr>
        <w:t>control de la adquisición</w:t>
      </w:r>
      <w:r w:rsidRPr="002D269F">
        <w:rPr>
          <w:rFonts w:eastAsia="Times New Roman" w:cs="Arial"/>
          <w:b/>
          <w:u w:val="single"/>
          <w:lang w:val="es-ES" w:eastAsia="en-US"/>
        </w:rPr>
        <w:t xml:space="preserve"> y arrendamiento de bienes, así como la contratación de servicios de cualquier naturaleza</w:t>
      </w:r>
      <w:r w:rsidRPr="002D269F">
        <w:rPr>
          <w:rFonts w:eastAsia="Times New Roman" w:cs="Arial"/>
          <w:lang w:val="es-ES" w:eastAsia="en-U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422E4000" w14:textId="77777777" w:rsidR="009C0CF3" w:rsidRPr="002D269F" w:rsidRDefault="009C0CF3" w:rsidP="009C0CF3">
      <w:pPr>
        <w:autoSpaceDE w:val="0"/>
        <w:autoSpaceDN w:val="0"/>
        <w:adjustRightInd w:val="0"/>
        <w:rPr>
          <w:rFonts w:eastAsia="Times New Roman" w:cs="Arial"/>
          <w:lang w:val="es-MX" w:eastAsia="en-US"/>
        </w:rPr>
      </w:pPr>
    </w:p>
    <w:p w14:paraId="035A2887" w14:textId="08C27B8C" w:rsidR="009C0CF3" w:rsidRPr="002D269F" w:rsidRDefault="009C0CF3" w:rsidP="009C0CF3">
      <w:pPr>
        <w:autoSpaceDE w:val="0"/>
        <w:autoSpaceDN w:val="0"/>
        <w:adjustRightInd w:val="0"/>
        <w:rPr>
          <w:rFonts w:eastAsia="Times New Roman" w:cs="Times New Roman"/>
          <w:lang w:val="es-MX" w:eastAsia="en-US"/>
        </w:rPr>
      </w:pPr>
      <w:r w:rsidRPr="002D269F">
        <w:rPr>
          <w:rFonts w:eastAsia="Times New Roman" w:cs="Arial"/>
          <w:lang w:val="es-MX" w:eastAsia="en-US"/>
        </w:rPr>
        <w:t xml:space="preserve">De lo anterior, se estima que, si bien el </w:t>
      </w:r>
      <w:r w:rsidRPr="002D269F">
        <w:rPr>
          <w:rFonts w:eastAsia="Times New Roman" w:cs="Arial"/>
          <w:b/>
          <w:bCs/>
          <w:lang w:val="es-MX" w:eastAsia="en-US"/>
        </w:rPr>
        <w:t>Sujeto Obligado</w:t>
      </w:r>
      <w:r w:rsidRPr="002D269F">
        <w:rPr>
          <w:rFonts w:eastAsia="Times New Roman" w:cs="Arial"/>
          <w:lang w:val="es-MX" w:eastAsia="en-US"/>
        </w:rPr>
        <w:t xml:space="preserve"> pretendió clasificar la información solicitada, también lo es que, la información requerida es de carácter público al involucrar recursos públicos. </w:t>
      </w:r>
      <w:r w:rsidRPr="002D269F">
        <w:rPr>
          <w:rFonts w:eastAsia="Times New Roman" w:cs="Times New Roman"/>
          <w:lang w:val="es-MX" w:eastAsia="en-US"/>
        </w:rPr>
        <w:t>En conclusión, es indudable que el Sujeto Obligado posee y genera la información, por lo que deberá entregar al particular la información que resulta de su interés.</w:t>
      </w:r>
    </w:p>
    <w:p w14:paraId="34D1856E" w14:textId="77777777" w:rsidR="009C0CF3" w:rsidRPr="002D269F" w:rsidRDefault="009C0CF3" w:rsidP="009C0CF3">
      <w:pPr>
        <w:rPr>
          <w:rFonts w:eastAsia="Times New Roman" w:cs="Times New Roman"/>
          <w:lang w:val="es-MX" w:eastAsia="en-US"/>
        </w:rPr>
      </w:pPr>
    </w:p>
    <w:p w14:paraId="64F8A440" w14:textId="338F1AE7" w:rsidR="009C0CF3" w:rsidRPr="002D269F" w:rsidRDefault="009C0CF3" w:rsidP="009C0CF3">
      <w:pPr>
        <w:autoSpaceDE w:val="0"/>
        <w:autoSpaceDN w:val="0"/>
        <w:adjustRightInd w:val="0"/>
        <w:rPr>
          <w:rFonts w:eastAsia="Times New Roman" w:cs="Arial"/>
          <w:szCs w:val="24"/>
          <w:lang w:val="es-MX" w:eastAsia="en-US"/>
        </w:rPr>
      </w:pPr>
      <w:r w:rsidRPr="002D269F">
        <w:rPr>
          <w:rFonts w:eastAsia="Times New Roman" w:cs="Tahoma"/>
          <w:bCs/>
          <w:iCs/>
          <w:szCs w:val="24"/>
          <w:lang w:val="es-MX" w:eastAsia="es-ES_tradnl"/>
        </w:rPr>
        <w:t>Una vez dicho lo anterior, cabe hacer referencia que fue solicitado información relacionada con</w:t>
      </w:r>
      <w:r w:rsidRPr="002D269F">
        <w:rPr>
          <w:rFonts w:eastAsia="Times New Roman" w:cs="Tahoma"/>
          <w:b/>
          <w:bCs/>
          <w:iCs/>
          <w:szCs w:val="24"/>
          <w:lang w:val="es-MX" w:eastAsia="es-ES_tradnl"/>
        </w:rPr>
        <w:t xml:space="preserve"> </w:t>
      </w:r>
      <w:r w:rsidR="00B53139" w:rsidRPr="002D269F">
        <w:rPr>
          <w:rFonts w:eastAsia="Times New Roman" w:cs="Tahoma"/>
          <w:b/>
          <w:bCs/>
          <w:iCs/>
          <w:szCs w:val="24"/>
          <w:u w:val="single"/>
          <w:lang w:val="es-MX" w:eastAsia="es-ES_tradnl"/>
        </w:rPr>
        <w:t>el</w:t>
      </w:r>
      <w:r w:rsidRPr="002D269F">
        <w:rPr>
          <w:rFonts w:eastAsia="Times New Roman" w:cs="Tahoma"/>
          <w:b/>
          <w:bCs/>
          <w:iCs/>
          <w:szCs w:val="24"/>
          <w:u w:val="single"/>
          <w:lang w:val="es-MX" w:eastAsia="es-ES_tradnl"/>
        </w:rPr>
        <w:t xml:space="preserve"> arrendamiento </w:t>
      </w:r>
      <w:r w:rsidR="00B53139" w:rsidRPr="002D269F">
        <w:rPr>
          <w:rFonts w:eastAsia="Times New Roman" w:cs="Tahoma"/>
          <w:b/>
          <w:bCs/>
          <w:iCs/>
          <w:szCs w:val="24"/>
          <w:u w:val="single"/>
          <w:lang w:val="es-MX" w:eastAsia="es-ES_tradnl"/>
        </w:rPr>
        <w:t>de antenas de comunicación, entre las cuales pudiera obrar alguna que corresponda al Centro de Control, Comando, Comunicación, Cómputo y Calidad "C5" a cargo de las Instituciones de Seguridad Municipales</w:t>
      </w:r>
      <w:r w:rsidRPr="002D269F">
        <w:rPr>
          <w:rFonts w:eastAsia="Times New Roman" w:cs="Tahoma"/>
          <w:bCs/>
          <w:iCs/>
          <w:szCs w:val="24"/>
          <w:lang w:val="es-MX" w:eastAsia="es-ES_tradnl"/>
        </w:rPr>
        <w:t>, por lo que, es importante traer a contexto que</w:t>
      </w:r>
      <w:r w:rsidRPr="002D269F">
        <w:rPr>
          <w:rFonts w:eastAsia="Times New Roman" w:cs="Arial"/>
          <w:szCs w:val="24"/>
          <w:lang w:val="es-MX" w:eastAsia="en-US"/>
        </w:rPr>
        <w:t xml:space="preserve">, este Órgano Garante no omite mencionar que, </w:t>
      </w:r>
      <w:r w:rsidRPr="002D269F">
        <w:rPr>
          <w:rFonts w:eastAsia="Times New Roman" w:cs="Arial"/>
          <w:b/>
          <w:szCs w:val="24"/>
          <w:lang w:val="es-MX" w:eastAsia="en-US"/>
        </w:rPr>
        <w:t>el Sujeto Obligado</w:t>
      </w:r>
      <w:r w:rsidRPr="002D269F">
        <w:rPr>
          <w:rFonts w:eastAsia="Times New Roman" w:cs="Arial"/>
          <w:szCs w:val="24"/>
          <w:lang w:val="es-MX" w:eastAsia="en-US"/>
        </w:rPr>
        <w:t xml:space="preserve"> debe clasificar como información </w:t>
      </w:r>
      <w:r w:rsidRPr="002D269F">
        <w:rPr>
          <w:rFonts w:eastAsia="Times New Roman" w:cs="Arial"/>
          <w:b/>
          <w:szCs w:val="24"/>
          <w:u w:val="single"/>
          <w:lang w:val="es-MX" w:eastAsia="en-US"/>
        </w:rPr>
        <w:t>reservada</w:t>
      </w:r>
      <w:r w:rsidRPr="002D269F">
        <w:rPr>
          <w:rFonts w:eastAsia="Times New Roman" w:cs="Arial"/>
          <w:szCs w:val="24"/>
          <w:lang w:val="es-MX" w:eastAsia="en-US"/>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2D269F">
        <w:rPr>
          <w:rFonts w:eastAsia="Times New Roman" w:cs="Arial"/>
          <w:b/>
          <w:szCs w:val="24"/>
          <w:u w:val="single"/>
          <w:lang w:val="es-MX" w:eastAsia="en-US"/>
        </w:rPr>
        <w:t>equipamiento y características de</w:t>
      </w:r>
      <w:r w:rsidR="00B53139" w:rsidRPr="002D269F">
        <w:rPr>
          <w:rFonts w:eastAsia="Times New Roman" w:cs="Arial"/>
          <w:b/>
          <w:szCs w:val="24"/>
          <w:u w:val="single"/>
          <w:lang w:val="es-MX" w:eastAsia="en-US"/>
        </w:rPr>
        <w:t xml:space="preserve"> las antenas de telecomunicación citadas. </w:t>
      </w:r>
      <w:r w:rsidRPr="002D269F">
        <w:rPr>
          <w:rFonts w:eastAsia="Times New Roman" w:cs="Arial"/>
          <w:szCs w:val="24"/>
          <w:lang w:val="es-MX" w:eastAsia="en-US"/>
        </w:rPr>
        <w:t xml:space="preserve"> </w:t>
      </w:r>
    </w:p>
    <w:p w14:paraId="31C21C8B" w14:textId="77777777" w:rsidR="009C0CF3" w:rsidRPr="002D269F" w:rsidRDefault="009C0CF3" w:rsidP="009C0CF3">
      <w:pPr>
        <w:rPr>
          <w:rFonts w:eastAsia="Times New Roman" w:cs="Tahoma"/>
          <w:bCs/>
          <w:szCs w:val="24"/>
          <w:lang w:val="es-MX" w:eastAsia="en-US"/>
        </w:rPr>
      </w:pPr>
    </w:p>
    <w:p w14:paraId="7ECDCC8B" w14:textId="77777777" w:rsidR="009C0CF3" w:rsidRPr="002D269F" w:rsidRDefault="009C0CF3" w:rsidP="009C0CF3">
      <w:pPr>
        <w:rPr>
          <w:rFonts w:eastAsia="Times New Roman" w:cs="Tahoma"/>
          <w:b/>
          <w:bCs/>
          <w:szCs w:val="24"/>
          <w:lang w:val="es-MX" w:eastAsia="en-US"/>
        </w:rPr>
      </w:pPr>
      <w:r w:rsidRPr="002D269F">
        <w:rPr>
          <w:rFonts w:eastAsia="Times New Roman" w:cs="Tahoma"/>
          <w:bCs/>
          <w:szCs w:val="24"/>
          <w:lang w:val="es-MX" w:eastAsia="en-US"/>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2D269F">
        <w:rPr>
          <w:rFonts w:eastAsia="Times New Roman" w:cs="Tahoma"/>
          <w:b/>
          <w:bCs/>
          <w:szCs w:val="24"/>
          <w:lang w:val="es-MX" w:eastAsia="en-US"/>
        </w:rPr>
        <w:t xml:space="preserve">que podría dar cuenta de las tecnologías, equipos y sistemas con los que cuenta la Dirección de Seguridad Pública </w:t>
      </w:r>
      <w:r w:rsidRPr="002D269F">
        <w:rPr>
          <w:rFonts w:eastAsia="Times New Roman" w:cs="Tahoma"/>
          <w:bCs/>
          <w:szCs w:val="24"/>
          <w:lang w:val="es-MX" w:eastAsia="en-US"/>
        </w:rPr>
        <w:t xml:space="preserve">y por lo tanto, acredita la causal de </w:t>
      </w:r>
      <w:r w:rsidRPr="002D269F">
        <w:rPr>
          <w:rFonts w:eastAsia="Times New Roman" w:cs="Tahoma"/>
          <w:bCs/>
          <w:szCs w:val="24"/>
          <w:lang w:val="es-MX" w:eastAsia="en-US"/>
        </w:rPr>
        <w:lastRenderedPageBreak/>
        <w:t>clasificación prevista en el artículo 140, fracción I de la Ley de Transparencia y Acceso a la Información Pública del Estado de México</w:t>
      </w:r>
      <w:r w:rsidRPr="002D269F">
        <w:rPr>
          <w:rFonts w:eastAsia="Times New Roman" w:cs="Tahoma"/>
          <w:b/>
          <w:bCs/>
          <w:szCs w:val="24"/>
          <w:lang w:val="es-MX" w:eastAsia="en-US"/>
        </w:rPr>
        <w:t>.</w:t>
      </w:r>
    </w:p>
    <w:p w14:paraId="31345CAB" w14:textId="77777777" w:rsidR="009C0CF3" w:rsidRPr="002D269F" w:rsidRDefault="009C0CF3" w:rsidP="009C0CF3">
      <w:pPr>
        <w:tabs>
          <w:tab w:val="left" w:pos="4962"/>
        </w:tabs>
        <w:rPr>
          <w:rFonts w:eastAsia="Times New Roman" w:cs="Tahoma"/>
          <w:iCs/>
          <w:szCs w:val="24"/>
          <w:lang w:val="es-ES" w:eastAsia="es-ES_tradnl"/>
        </w:rPr>
      </w:pPr>
    </w:p>
    <w:p w14:paraId="40D3C9B6" w14:textId="77777777" w:rsidR="009C0CF3" w:rsidRPr="002D269F" w:rsidRDefault="009C0CF3" w:rsidP="009C0CF3">
      <w:pPr>
        <w:tabs>
          <w:tab w:val="left" w:pos="4962"/>
        </w:tabs>
        <w:rPr>
          <w:rFonts w:eastAsia="Times New Roman" w:cs="Tahoma"/>
          <w:iCs/>
          <w:szCs w:val="24"/>
          <w:lang w:val="es-ES" w:eastAsia="es-ES_tradnl"/>
        </w:rPr>
      </w:pPr>
      <w:r w:rsidRPr="002D269F">
        <w:rPr>
          <w:rFonts w:eastAsia="Times New Roman" w:cs="Tahoma"/>
          <w:iCs/>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7EE30CC" w14:textId="77777777" w:rsidR="009C0CF3" w:rsidRPr="002D269F" w:rsidRDefault="009C0CF3" w:rsidP="009C0CF3">
      <w:pPr>
        <w:tabs>
          <w:tab w:val="left" w:pos="4962"/>
        </w:tabs>
        <w:rPr>
          <w:rFonts w:eastAsia="Times New Roman" w:cs="Tahoma"/>
          <w:iCs/>
          <w:szCs w:val="24"/>
          <w:lang w:val="es-ES" w:eastAsia="es-ES_tradnl"/>
        </w:rPr>
      </w:pPr>
    </w:p>
    <w:p w14:paraId="27D2C83E" w14:textId="77777777" w:rsidR="009C0CF3" w:rsidRPr="002D269F" w:rsidRDefault="009C0CF3" w:rsidP="009C0CF3">
      <w:pPr>
        <w:numPr>
          <w:ilvl w:val="0"/>
          <w:numId w:val="26"/>
        </w:numPr>
        <w:tabs>
          <w:tab w:val="left" w:pos="4962"/>
        </w:tabs>
        <w:rPr>
          <w:rFonts w:eastAsia="Times New Roman" w:cs="Tahoma"/>
          <w:iCs/>
          <w:szCs w:val="24"/>
          <w:lang w:eastAsia="es-ES_tradnl"/>
        </w:rPr>
      </w:pPr>
      <w:r w:rsidRPr="002D269F">
        <w:rPr>
          <w:rFonts w:eastAsia="Times New Roman" w:cs="Tahoma"/>
          <w:iCs/>
          <w:szCs w:val="24"/>
          <w:lang w:eastAsia="es-ES_tradnl"/>
        </w:rPr>
        <w:t>La divulgación de la información representa un riesgo real, demostrable e identificable de perjuicio significativo al interés público o a la seguridad nacional.</w:t>
      </w:r>
    </w:p>
    <w:p w14:paraId="5C58CCF6" w14:textId="77777777" w:rsidR="009C0CF3" w:rsidRPr="002D269F" w:rsidRDefault="009C0CF3" w:rsidP="009C0CF3">
      <w:pPr>
        <w:numPr>
          <w:ilvl w:val="0"/>
          <w:numId w:val="26"/>
        </w:numPr>
        <w:tabs>
          <w:tab w:val="left" w:pos="4962"/>
        </w:tabs>
        <w:rPr>
          <w:rFonts w:eastAsia="Times New Roman" w:cs="Tahoma"/>
          <w:iCs/>
          <w:szCs w:val="24"/>
          <w:lang w:eastAsia="es-ES_tradnl"/>
        </w:rPr>
      </w:pPr>
      <w:r w:rsidRPr="002D269F">
        <w:rPr>
          <w:rFonts w:eastAsia="Times New Roman" w:cs="Tahoma"/>
          <w:iCs/>
          <w:szCs w:val="24"/>
          <w:lang w:eastAsia="es-ES_tradnl"/>
        </w:rPr>
        <w:t>El riesgo de perjuicio supera el interés público general de que se difunda.</w:t>
      </w:r>
    </w:p>
    <w:p w14:paraId="55BBDC6C" w14:textId="77777777" w:rsidR="009C0CF3" w:rsidRPr="002D269F" w:rsidRDefault="009C0CF3" w:rsidP="009C0CF3">
      <w:pPr>
        <w:numPr>
          <w:ilvl w:val="0"/>
          <w:numId w:val="26"/>
        </w:numPr>
        <w:tabs>
          <w:tab w:val="left" w:pos="4962"/>
        </w:tabs>
        <w:rPr>
          <w:rFonts w:eastAsia="Times New Roman" w:cs="Tahoma"/>
          <w:iCs/>
          <w:szCs w:val="24"/>
          <w:lang w:eastAsia="es-ES_tradnl"/>
        </w:rPr>
      </w:pPr>
      <w:r w:rsidRPr="002D269F">
        <w:rPr>
          <w:rFonts w:eastAsia="Times New Roman" w:cs="Tahoma"/>
          <w:iCs/>
          <w:szCs w:val="24"/>
          <w:lang w:eastAsia="es-ES_tradnl"/>
        </w:rPr>
        <w:t>Que la limitación se adecua al principio de proporcionalidad y representa el medio menos restrictivo disponible para evitar el perjuicio.</w:t>
      </w:r>
    </w:p>
    <w:p w14:paraId="2303FA05" w14:textId="77777777" w:rsidR="009C0CF3" w:rsidRPr="002D269F" w:rsidRDefault="009C0CF3" w:rsidP="009C0CF3">
      <w:pPr>
        <w:tabs>
          <w:tab w:val="left" w:pos="4962"/>
        </w:tabs>
        <w:rPr>
          <w:rFonts w:eastAsia="Times New Roman" w:cs="Tahoma"/>
          <w:iCs/>
          <w:szCs w:val="24"/>
          <w:lang w:val="es-ES" w:eastAsia="es-ES_tradnl"/>
        </w:rPr>
      </w:pPr>
    </w:p>
    <w:p w14:paraId="6A9B6309" w14:textId="77777777" w:rsidR="009C0CF3" w:rsidRPr="002D269F" w:rsidRDefault="009C0CF3" w:rsidP="009C0CF3">
      <w:pPr>
        <w:rPr>
          <w:rFonts w:eastAsia="Times New Roman" w:cs="Tahoma"/>
          <w:iCs/>
          <w:szCs w:val="24"/>
          <w:lang w:val="es-MX" w:eastAsia="es-ES_tradnl"/>
        </w:rPr>
      </w:pPr>
      <w:r w:rsidRPr="002D269F">
        <w:rPr>
          <w:rFonts w:eastAsia="Times New Roman" w:cs="Tahoma"/>
          <w:iCs/>
          <w:szCs w:val="24"/>
          <w:lang w:val="es-MX" w:eastAsia="es-ES_tradnl"/>
        </w:rPr>
        <w:t>Al respecto, este Instituto advierte lo siguiente:</w:t>
      </w:r>
    </w:p>
    <w:p w14:paraId="66334C93" w14:textId="77777777" w:rsidR="009C0CF3" w:rsidRPr="002D269F" w:rsidRDefault="009C0CF3" w:rsidP="009C0CF3">
      <w:pPr>
        <w:rPr>
          <w:rFonts w:eastAsia="Times New Roman" w:cs="Tahoma"/>
          <w:iCs/>
          <w:szCs w:val="24"/>
          <w:lang w:val="es-MX" w:eastAsia="es-ES_tradnl"/>
        </w:rPr>
      </w:pPr>
    </w:p>
    <w:p w14:paraId="590D8A5A" w14:textId="3747222E" w:rsidR="009C0CF3" w:rsidRPr="002D269F" w:rsidRDefault="009C0CF3" w:rsidP="009C0CF3">
      <w:pPr>
        <w:numPr>
          <w:ilvl w:val="0"/>
          <w:numId w:val="23"/>
        </w:numPr>
        <w:contextualSpacing/>
        <w:rPr>
          <w:rFonts w:eastAsia="Times New Roman" w:cs="Tahoma"/>
          <w:bCs/>
          <w:szCs w:val="24"/>
          <w:lang w:val="es-ES" w:eastAsia="en-US"/>
        </w:rPr>
      </w:pPr>
      <w:r w:rsidRPr="002D269F">
        <w:rPr>
          <w:rFonts w:eastAsia="Times New Roman" w:cs="Tahoma"/>
          <w:bCs/>
          <w:szCs w:val="24"/>
          <w:lang w:val="es-ES" w:eastAsia="en-US"/>
        </w:rPr>
        <w:t xml:space="preserve">Que existe un </w:t>
      </w:r>
      <w:r w:rsidRPr="002D269F">
        <w:rPr>
          <w:rFonts w:eastAsia="Times New Roman" w:cs="Tahoma"/>
          <w:b/>
          <w:bCs/>
          <w:szCs w:val="24"/>
          <w:lang w:val="es-ES" w:eastAsia="en-US"/>
        </w:rPr>
        <w:t xml:space="preserve">riesgo real, demostrable e identificable, </w:t>
      </w:r>
      <w:r w:rsidRPr="002D269F">
        <w:rPr>
          <w:rFonts w:eastAsia="Times New Roman" w:cs="Tahoma"/>
          <w:bCs/>
          <w:szCs w:val="24"/>
          <w:lang w:val="es-ES" w:eastAsia="en-US"/>
        </w:rPr>
        <w:t xml:space="preserve">toda vez que dar a conocer información sobre características tecnológicas con las que cuentan </w:t>
      </w:r>
      <w:r w:rsidR="00B53139" w:rsidRPr="002D269F">
        <w:rPr>
          <w:rFonts w:eastAsia="Times New Roman" w:cs="Tahoma"/>
          <w:bCs/>
          <w:szCs w:val="24"/>
          <w:lang w:val="es-ES" w:eastAsia="en-US"/>
        </w:rPr>
        <w:t>las antenas de comunicación</w:t>
      </w:r>
      <w:r w:rsidR="00FB05D9" w:rsidRPr="002D269F">
        <w:rPr>
          <w:rFonts w:eastAsia="Times New Roman" w:cs="Tahoma"/>
          <w:bCs/>
          <w:szCs w:val="24"/>
          <w:lang w:val="es-ES" w:eastAsia="en-US"/>
        </w:rPr>
        <w:t xml:space="preserve"> de comunican el</w:t>
      </w:r>
      <w:r w:rsidR="00FB05D9" w:rsidRPr="002D269F">
        <w:t xml:space="preserve"> </w:t>
      </w:r>
      <w:r w:rsidR="00FB05D9" w:rsidRPr="002D269F">
        <w:rPr>
          <w:rFonts w:eastAsia="Times New Roman" w:cs="Tahoma"/>
          <w:bCs/>
          <w:szCs w:val="24"/>
          <w:lang w:val="es-ES" w:eastAsia="en-US"/>
        </w:rPr>
        <w:t>servicio de radiocomunicación, que s</w:t>
      </w:r>
      <w:r w:rsidR="001E62B8" w:rsidRPr="002D269F">
        <w:rPr>
          <w:rFonts w:eastAsia="Times New Roman" w:cs="Tahoma"/>
          <w:bCs/>
          <w:szCs w:val="24"/>
          <w:lang w:val="es-ES" w:eastAsia="en-US"/>
        </w:rPr>
        <w:t>i</w:t>
      </w:r>
      <w:r w:rsidR="00FB05D9" w:rsidRPr="002D269F">
        <w:rPr>
          <w:rFonts w:eastAsia="Times New Roman" w:cs="Tahoma"/>
          <w:bCs/>
          <w:szCs w:val="24"/>
          <w:lang w:val="es-ES" w:eastAsia="en-US"/>
        </w:rPr>
        <w:t xml:space="preserve">rve para dar el seguimiento de patrullas y ambulancias dentro del territorio municipal y con ello conocer </w:t>
      </w:r>
      <w:r w:rsidRPr="002D269F">
        <w:rPr>
          <w:rFonts w:eastAsia="Times New Roman" w:cs="Tahoma"/>
          <w:b/>
          <w:bCs/>
          <w:szCs w:val="24"/>
          <w:lang w:val="es-ES" w:eastAsia="en-US"/>
        </w:rPr>
        <w:t>las tecnologías, equipos y sistemas de la Dirección de Seguridad Pública</w:t>
      </w:r>
      <w:r w:rsidRPr="002D269F">
        <w:rPr>
          <w:rFonts w:eastAsia="Times New Roman" w:cs="Tahoma"/>
          <w:bCs/>
          <w:szCs w:val="24"/>
          <w:lang w:val="es-ES" w:eastAsia="en-US"/>
        </w:rPr>
        <w:t xml:space="preserve"> para inhibir la inseguridad y evitar la comisión de actos ilícitos, lo que </w:t>
      </w:r>
      <w:r w:rsidRPr="002D269F">
        <w:rPr>
          <w:rFonts w:eastAsia="Times New Roman" w:cs="Tahoma"/>
          <w:bCs/>
          <w:szCs w:val="24"/>
          <w:lang w:val="es-ES" w:eastAsia="en-US"/>
        </w:rPr>
        <w:lastRenderedPageBreak/>
        <w:t>podría ocasionar que los integrantes de organizaciones criminales conozcan la tecnología, especificaciones técnicas, tipo de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77818E8F" w14:textId="77777777" w:rsidR="009C0CF3" w:rsidRPr="002D269F" w:rsidRDefault="009C0CF3" w:rsidP="009C0CF3">
      <w:pPr>
        <w:ind w:left="708"/>
        <w:rPr>
          <w:rFonts w:eastAsia="Times New Roman" w:cs="Tahoma"/>
          <w:bCs/>
          <w:szCs w:val="24"/>
          <w:lang w:val="es-ES" w:eastAsia="en-US"/>
        </w:rPr>
      </w:pPr>
    </w:p>
    <w:p w14:paraId="40470B6B" w14:textId="616E9A50" w:rsidR="009C0CF3" w:rsidRPr="002D269F" w:rsidRDefault="009C0CF3" w:rsidP="009C0CF3">
      <w:pPr>
        <w:numPr>
          <w:ilvl w:val="0"/>
          <w:numId w:val="23"/>
        </w:numPr>
        <w:contextualSpacing/>
        <w:rPr>
          <w:rFonts w:eastAsia="Times New Roman" w:cs="Tahoma"/>
          <w:b/>
          <w:bCs/>
          <w:szCs w:val="24"/>
          <w:lang w:val="es-ES" w:eastAsia="en-US"/>
        </w:rPr>
      </w:pPr>
      <w:r w:rsidRPr="002D269F">
        <w:rPr>
          <w:rFonts w:eastAsia="Times New Roman" w:cs="Tahoma"/>
          <w:b/>
          <w:bCs/>
          <w:szCs w:val="24"/>
          <w:lang w:val="es-ES" w:eastAsia="en-US"/>
        </w:rPr>
        <w:t>Que el riesgo de perjuicio que supone la divulgación de la información supera el interés público general</w:t>
      </w:r>
      <w:r w:rsidRPr="002D269F">
        <w:rPr>
          <w:rFonts w:eastAsia="Times New Roman" w:cs="Tahoma"/>
          <w:bCs/>
          <w:szCs w:val="24"/>
          <w:lang w:val="es-ES" w:eastAsia="en-US"/>
        </w:rPr>
        <w:t xml:space="preserve">, ya que individuos con pretensiones delictivas conocerían de manera detallada el tipo de radio comunicación que ocupan </w:t>
      </w:r>
      <w:r w:rsidR="00FB05D9" w:rsidRPr="002D269F">
        <w:rPr>
          <w:rFonts w:eastAsia="Times New Roman" w:cs="Tahoma"/>
          <w:bCs/>
          <w:szCs w:val="24"/>
          <w:lang w:val="es-ES" w:eastAsia="en-US"/>
        </w:rPr>
        <w:t>los servidores públicos a cargo de la Seguridad Pública</w:t>
      </w:r>
      <w:r w:rsidRPr="002D269F">
        <w:rPr>
          <w:rFonts w:eastAsia="Times New Roman" w:cs="Tahoma"/>
          <w:bCs/>
          <w:szCs w:val="24"/>
          <w:lang w:val="es-ES" w:eastAsia="en-US"/>
        </w:rPr>
        <w:t xml:space="preserve">, lo cual permitiría que se prepararan y buscaran la forma de inhibir las comunicaciones,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2D269F">
        <w:rPr>
          <w:rFonts w:eastAsia="Times New Roman" w:cs="Tahoma"/>
          <w:b/>
          <w:bCs/>
          <w:szCs w:val="24"/>
          <w:lang w:val="es-ES" w:eastAsia="en-US"/>
        </w:rPr>
        <w:t>vulnerando así, el interés general.</w:t>
      </w:r>
    </w:p>
    <w:p w14:paraId="008DF14D" w14:textId="77777777" w:rsidR="009C0CF3" w:rsidRPr="002D269F" w:rsidRDefault="009C0CF3" w:rsidP="009C0CF3">
      <w:pPr>
        <w:ind w:left="708"/>
        <w:rPr>
          <w:rFonts w:eastAsia="Times New Roman" w:cs="Tahoma"/>
          <w:bCs/>
          <w:szCs w:val="24"/>
          <w:lang w:val="es-ES" w:eastAsia="en-US"/>
        </w:rPr>
      </w:pPr>
    </w:p>
    <w:p w14:paraId="12DE2C09" w14:textId="5803C6B2" w:rsidR="009C0CF3" w:rsidRPr="002D269F" w:rsidRDefault="009C0CF3" w:rsidP="009C0CF3">
      <w:pPr>
        <w:numPr>
          <w:ilvl w:val="0"/>
          <w:numId w:val="23"/>
        </w:numPr>
        <w:contextualSpacing/>
        <w:rPr>
          <w:rFonts w:eastAsia="Times New Roman" w:cs="Tahoma"/>
          <w:bCs/>
          <w:szCs w:val="24"/>
          <w:lang w:val="es-ES" w:eastAsia="en-US"/>
        </w:rPr>
      </w:pPr>
      <w:r w:rsidRPr="002D269F">
        <w:rPr>
          <w:rFonts w:eastAsia="Times New Roman" w:cs="Tahoma"/>
          <w:b/>
          <w:bCs/>
          <w:szCs w:val="24"/>
          <w:lang w:val="es-ES" w:eastAsia="en-US"/>
        </w:rPr>
        <w:t xml:space="preserve">Que la reserva no se traduzca en un medio restrictivo al derecho de acceso a la información, </w:t>
      </w:r>
      <w:r w:rsidRPr="002D269F">
        <w:rPr>
          <w:rFonts w:eastAsia="Times New Roman" w:cs="Tahoma"/>
          <w:bCs/>
          <w:szCs w:val="24"/>
          <w:lang w:val="es-ES" w:eastAsia="en-US"/>
        </w:rPr>
        <w:t xml:space="preserve">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w:t>
      </w:r>
      <w:r w:rsidRPr="002D269F">
        <w:rPr>
          <w:rFonts w:eastAsia="Times New Roman" w:cs="Tahoma"/>
          <w:bCs/>
          <w:szCs w:val="24"/>
          <w:lang w:val="es-ES" w:eastAsia="en-US"/>
        </w:rPr>
        <w:lastRenderedPageBreak/>
        <w:t>evasión de reos o la capacidad de disuadir, prevenir disturbios sociales, o bien, la capacidad de reacción, planes, estrategias, tecnologías, información o sistemas de comunicaciones de la Dirección de Seguridad Pública.</w:t>
      </w:r>
    </w:p>
    <w:p w14:paraId="33819510" w14:textId="77777777" w:rsidR="00FB05D9" w:rsidRPr="002D269F" w:rsidRDefault="00FB05D9" w:rsidP="009C0CF3">
      <w:pPr>
        <w:rPr>
          <w:rFonts w:eastAsia="Times New Roman" w:cs="Tahoma"/>
          <w:bCs/>
          <w:szCs w:val="24"/>
          <w:lang w:val="es-MX" w:eastAsia="en-US"/>
        </w:rPr>
      </w:pPr>
    </w:p>
    <w:p w14:paraId="704C09CB" w14:textId="18DD31AF" w:rsidR="009C0CF3" w:rsidRPr="002D269F" w:rsidRDefault="009C0CF3" w:rsidP="009C0CF3">
      <w:pPr>
        <w:rPr>
          <w:rFonts w:eastAsia="Times New Roman" w:cs="Tahoma"/>
          <w:bCs/>
          <w:szCs w:val="24"/>
          <w:lang w:val="es-MX" w:eastAsia="en-US"/>
        </w:rPr>
      </w:pPr>
      <w:r w:rsidRPr="002D269F">
        <w:rPr>
          <w:rFonts w:eastAsia="Times New Roman" w:cs="Tahoma"/>
          <w:bCs/>
          <w:szCs w:val="24"/>
          <w:lang w:val="es-MX" w:eastAsia="en-US"/>
        </w:rPr>
        <w:t xml:space="preserve">Asimismo, se buscó el medio menos restrictivo ya que sólo procede la clasificación de la información relacionada con datos técnicos de equipos de comunicación de las </w:t>
      </w:r>
      <w:r w:rsidR="00FB05D9" w:rsidRPr="002D269F">
        <w:rPr>
          <w:rFonts w:eastAsia="Times New Roman" w:cs="Tahoma"/>
          <w:bCs/>
          <w:szCs w:val="24"/>
          <w:lang w:val="es-MX" w:eastAsia="en-US"/>
        </w:rPr>
        <w:t>antenas encargadas de la comunicación de las Instituciones de Seguridad Pública</w:t>
      </w:r>
      <w:r w:rsidRPr="002D269F">
        <w:rPr>
          <w:rFonts w:eastAsia="Times New Roman" w:cs="Tahoma"/>
          <w:bCs/>
          <w:szCs w:val="24"/>
          <w:lang w:val="es-MX" w:eastAsia="en-US"/>
        </w:rPr>
        <w:t xml:space="preserve"> municipales, resultando procedente la entrega del resto de la información que obre en los documentos solicitados, </w:t>
      </w:r>
      <w:r w:rsidRPr="002D269F">
        <w:rPr>
          <w:rFonts w:eastAsia="Times New Roman" w:cs="Tahoma"/>
          <w:bCs/>
          <w:szCs w:val="24"/>
          <w:u w:val="single"/>
          <w:lang w:val="es-MX" w:eastAsia="en-US"/>
        </w:rPr>
        <w:t>principalmente todo aquello relacionado con el ejercicio de recursos públicos</w:t>
      </w:r>
      <w:r w:rsidRPr="002D269F">
        <w:rPr>
          <w:rFonts w:eastAsia="Times New Roman" w:cs="Tahoma"/>
          <w:bCs/>
          <w:szCs w:val="24"/>
          <w:lang w:val="es-MX" w:eastAsia="en-US"/>
        </w:rPr>
        <w:t>.</w:t>
      </w:r>
    </w:p>
    <w:p w14:paraId="30209740" w14:textId="77777777" w:rsidR="009C0CF3" w:rsidRPr="002D269F" w:rsidRDefault="009C0CF3" w:rsidP="009C0CF3">
      <w:pPr>
        <w:ind w:right="-93"/>
        <w:rPr>
          <w:rFonts w:eastAsia="Times New Roman" w:cs="Tahoma"/>
          <w:szCs w:val="24"/>
          <w:lang w:val="es-ES" w:eastAsia="en-US"/>
        </w:rPr>
      </w:pPr>
    </w:p>
    <w:p w14:paraId="6D57384E" w14:textId="1155E1AA" w:rsidR="009C0CF3" w:rsidRPr="002D269F" w:rsidRDefault="009C0CF3" w:rsidP="009C0CF3">
      <w:pPr>
        <w:rPr>
          <w:rFonts w:eastAsia="Times New Roman" w:cs="Tahoma"/>
          <w:iCs/>
          <w:szCs w:val="24"/>
          <w:lang w:val="es-ES" w:eastAsia="es-ES_tradnl"/>
        </w:rPr>
      </w:pPr>
      <w:r w:rsidRPr="002D269F">
        <w:rPr>
          <w:rFonts w:eastAsia="Times New Roman" w:cs="Tahoma"/>
          <w:bCs/>
          <w:szCs w:val="24"/>
          <w:lang w:val="es-MX" w:eastAsia="en-US"/>
        </w:rPr>
        <w:t xml:space="preserve">Por tales consideraciones, resulta procedente la reserva, en términos del artículo 140, fracción I, de </w:t>
      </w:r>
      <w:r w:rsidRPr="002D269F">
        <w:rPr>
          <w:rFonts w:eastAsia="Times New Roman" w:cs="Tahoma"/>
          <w:iCs/>
          <w:szCs w:val="24"/>
          <w:lang w:val="es-ES" w:eastAsia="es-ES_tradnl"/>
        </w:rPr>
        <w:t xml:space="preserve">de la Ley de Transparencia y Acceso a la Información Pública del Estado de México y Municipios, respecto a las especificaciones técnicas de </w:t>
      </w:r>
      <w:r w:rsidR="001E62B8" w:rsidRPr="002D269F">
        <w:rPr>
          <w:rFonts w:eastAsia="Times New Roman" w:cs="Tahoma"/>
          <w:iCs/>
          <w:szCs w:val="24"/>
          <w:lang w:val="es-ES" w:eastAsia="es-ES_tradnl"/>
        </w:rPr>
        <w:t>las antenas de</w:t>
      </w:r>
      <w:r w:rsidRPr="002D269F">
        <w:rPr>
          <w:rFonts w:eastAsia="Times New Roman" w:cs="Tahoma"/>
          <w:iCs/>
          <w:szCs w:val="24"/>
          <w:lang w:val="es-ES" w:eastAsia="es-ES_tradnl"/>
        </w:rPr>
        <w:t xml:space="preserve"> comunicación con los que cuentan </w:t>
      </w:r>
      <w:r w:rsidR="001E62B8" w:rsidRPr="002D269F">
        <w:rPr>
          <w:rFonts w:eastAsia="Times New Roman" w:cs="Tahoma"/>
          <w:iCs/>
          <w:szCs w:val="24"/>
          <w:lang w:val="es-ES" w:eastAsia="es-ES_tradnl"/>
        </w:rPr>
        <w:t>las Instituciones de Seguridad Pública</w:t>
      </w:r>
      <w:r w:rsidRPr="002D269F">
        <w:rPr>
          <w:rFonts w:eastAsia="Times New Roman" w:cs="Tahoma"/>
          <w:iCs/>
          <w:szCs w:val="24"/>
          <w:lang w:val="es-ES" w:eastAsia="es-ES_tradnl"/>
        </w:rPr>
        <w:t>.</w:t>
      </w:r>
    </w:p>
    <w:p w14:paraId="4618022B" w14:textId="77777777" w:rsidR="009C0CF3" w:rsidRPr="002D269F" w:rsidRDefault="009C0CF3" w:rsidP="009C0CF3">
      <w:pPr>
        <w:rPr>
          <w:rFonts w:eastAsia="Times New Roman" w:cs="Tahoma"/>
          <w:iCs/>
          <w:szCs w:val="24"/>
          <w:lang w:val="es-ES" w:eastAsia="es-ES_tradnl"/>
        </w:rPr>
      </w:pPr>
    </w:p>
    <w:p w14:paraId="221812F3" w14:textId="7AAD84D2" w:rsidR="009C0CF3" w:rsidRPr="002D269F" w:rsidRDefault="009C0CF3" w:rsidP="009C0CF3">
      <w:pPr>
        <w:autoSpaceDE w:val="0"/>
        <w:autoSpaceDN w:val="0"/>
        <w:adjustRightInd w:val="0"/>
        <w:rPr>
          <w:rFonts w:eastAsia="Times New Roman" w:cs="Tahoma"/>
          <w:szCs w:val="24"/>
          <w:lang w:val="es-MX" w:eastAsia="en-US"/>
        </w:rPr>
      </w:pPr>
      <w:r w:rsidRPr="002D269F">
        <w:rPr>
          <w:rFonts w:eastAsia="Times New Roman" w:cs="Tahoma"/>
          <w:szCs w:val="24"/>
          <w:lang w:val="es-ES" w:eastAsia="en-US"/>
        </w:rPr>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2D269F">
        <w:rPr>
          <w:rFonts w:eastAsia="Times New Roman" w:cs="Tahoma"/>
          <w:szCs w:val="24"/>
          <w:lang w:val="es-MX" w:eastAsia="en-US"/>
        </w:rPr>
        <w:t xml:space="preserve">Ley de Transparencia y Acceso a la Información Pública del Estado de México y Municipios, de especificaciones de radio comunicación de las </w:t>
      </w:r>
      <w:r w:rsidR="00FB05D9" w:rsidRPr="002D269F">
        <w:rPr>
          <w:rFonts w:eastAsia="Times New Roman" w:cs="Tahoma"/>
          <w:szCs w:val="24"/>
          <w:lang w:val="es-MX" w:eastAsia="en-US"/>
        </w:rPr>
        <w:t>antenas</w:t>
      </w:r>
      <w:r w:rsidRPr="002D269F">
        <w:rPr>
          <w:rFonts w:eastAsia="Times New Roman" w:cs="Tahoma"/>
          <w:szCs w:val="24"/>
          <w:lang w:val="es-MX" w:eastAsia="en-US"/>
        </w:rPr>
        <w:t xml:space="preserve"> municipales, a través de la versión pública que entregue.</w:t>
      </w:r>
    </w:p>
    <w:p w14:paraId="109BBA43" w14:textId="77777777" w:rsidR="009C0CF3" w:rsidRPr="002D269F" w:rsidRDefault="009C0CF3" w:rsidP="009C0CF3">
      <w:pPr>
        <w:autoSpaceDE w:val="0"/>
        <w:autoSpaceDN w:val="0"/>
        <w:adjustRightInd w:val="0"/>
        <w:rPr>
          <w:rFonts w:eastAsia="Times New Roman" w:cs="Arial"/>
          <w:szCs w:val="24"/>
          <w:lang w:val="es-MX" w:eastAsia="en-US"/>
        </w:rPr>
      </w:pPr>
    </w:p>
    <w:p w14:paraId="414568D8" w14:textId="77777777" w:rsidR="009C0CF3" w:rsidRPr="002D269F" w:rsidRDefault="009C0CF3" w:rsidP="009C0CF3">
      <w:pPr>
        <w:rPr>
          <w:rFonts w:eastAsia="Times New Roman" w:cs="Arial"/>
          <w:szCs w:val="24"/>
          <w:lang w:val="es-MX" w:eastAsia="en-US"/>
        </w:rPr>
      </w:pPr>
      <w:r w:rsidRPr="002D269F">
        <w:rPr>
          <w:rFonts w:eastAsia="Times New Roman" w:cs="Arial"/>
          <w:szCs w:val="24"/>
          <w:lang w:val="es-MX" w:eastAsia="en-US"/>
        </w:rPr>
        <w:t xml:space="preserve">Lo anterior, sin perder de vista que la Constitución Política de los Estados Unidos Mexicanos le otorga a </w:t>
      </w:r>
      <w:r w:rsidRPr="002D269F">
        <w:rPr>
          <w:rFonts w:eastAsia="Times New Roman" w:cs="Arial"/>
          <w:b/>
          <w:szCs w:val="24"/>
          <w:lang w:val="es-MX" w:eastAsia="en-US"/>
        </w:rPr>
        <w:t>todos los documentos</w:t>
      </w:r>
      <w:r w:rsidRPr="002D269F">
        <w:rPr>
          <w:rFonts w:eastAsia="Times New Roman" w:cs="Arial"/>
          <w:szCs w:val="24"/>
          <w:lang w:val="es-MX" w:eastAsia="en-US"/>
        </w:rPr>
        <w:t xml:space="preserve"> en posesión de las autoridades </w:t>
      </w:r>
      <w:r w:rsidRPr="002D269F">
        <w:rPr>
          <w:rFonts w:eastAsia="Times New Roman" w:cs="Arial"/>
          <w:b/>
          <w:szCs w:val="24"/>
          <w:lang w:val="es-MX" w:eastAsia="en-US"/>
        </w:rPr>
        <w:t xml:space="preserve">la calidad </w:t>
      </w:r>
      <w:r w:rsidRPr="002D269F">
        <w:rPr>
          <w:rFonts w:eastAsia="Times New Roman" w:cs="Arial"/>
          <w:b/>
          <w:szCs w:val="24"/>
          <w:lang w:val="es-MX" w:eastAsia="en-US"/>
        </w:rPr>
        <w:lastRenderedPageBreak/>
        <w:t>de públicos</w:t>
      </w:r>
      <w:r w:rsidRPr="002D269F">
        <w:rPr>
          <w:rFonts w:eastAsia="Times New Roman" w:cs="Arial"/>
          <w:szCs w:val="24"/>
          <w:lang w:val="es-MX"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ED3EB68" w14:textId="77777777" w:rsidR="009C0CF3" w:rsidRPr="002D269F" w:rsidRDefault="009C0CF3" w:rsidP="009C0CF3">
      <w:pPr>
        <w:rPr>
          <w:rFonts w:eastAsia="Times New Roman" w:cs="Arial"/>
          <w:szCs w:val="24"/>
          <w:lang w:val="es-MX" w:eastAsia="en-US"/>
        </w:rPr>
      </w:pPr>
    </w:p>
    <w:p w14:paraId="42FAAC74"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t xml:space="preserve">Siendo pertinente aclarar que, la información que se clasifica bajo la premisa de reservada, </w:t>
      </w:r>
      <w:r w:rsidRPr="002D269F">
        <w:rPr>
          <w:rFonts w:eastAsia="Times New Roman" w:cs="Times New Roman"/>
          <w:b/>
          <w:szCs w:val="24"/>
          <w:lang w:val="es-MX" w:eastAsia="en-US"/>
        </w:rPr>
        <w:t>no pierde el carácter de pública</w:t>
      </w:r>
      <w:r w:rsidRPr="002D269F">
        <w:rPr>
          <w:rFonts w:eastAsia="Times New Roman" w:cs="Times New Roman"/>
          <w:szCs w:val="24"/>
          <w:lang w:val="es-MX" w:eastAsia="en-US"/>
        </w:rPr>
        <w:t xml:space="preserve">, sino que </w:t>
      </w:r>
      <w:r w:rsidRPr="002D269F">
        <w:rPr>
          <w:rFonts w:eastAsia="Times New Roman" w:cs="Times New Roman"/>
          <w:b/>
          <w:szCs w:val="24"/>
          <w:lang w:val="es-MX" w:eastAsia="en-US"/>
        </w:rPr>
        <w:t>se reserva temporalmente</w:t>
      </w:r>
      <w:r w:rsidRPr="002D269F">
        <w:rPr>
          <w:rFonts w:eastAsia="Times New Roman" w:cs="Times New Roman"/>
          <w:szCs w:val="24"/>
          <w:lang w:val="es-MX" w:eastAsia="en-US"/>
        </w:rPr>
        <w:t xml:space="preserve"> </w:t>
      </w:r>
      <w:r w:rsidRPr="002D269F">
        <w:rPr>
          <w:rFonts w:eastAsia="Times New Roman" w:cs="Times New Roman"/>
          <w:b/>
          <w:szCs w:val="24"/>
          <w:lang w:val="es-MX" w:eastAsia="en-US"/>
        </w:rPr>
        <w:t>del conocimiento público</w:t>
      </w:r>
      <w:r w:rsidRPr="002D269F">
        <w:rPr>
          <w:rFonts w:eastAsia="Times New Roman" w:cs="Times New Roman"/>
          <w:szCs w:val="24"/>
          <w:lang w:val="es-MX" w:eastAsia="en-US"/>
        </w:rPr>
        <w:t xml:space="preserve">, es decir, que, </w:t>
      </w:r>
      <w:r w:rsidRPr="002D269F">
        <w:rPr>
          <w:rFonts w:eastAsia="Times New Roman" w:cs="Times New Roman"/>
          <w:b/>
          <w:szCs w:val="24"/>
          <w:lang w:val="es-MX" w:eastAsia="en-US"/>
        </w:rPr>
        <w:t>por un tiempo determinado</w:t>
      </w:r>
      <w:r w:rsidRPr="002D269F">
        <w:rPr>
          <w:rFonts w:eastAsia="Times New Roman" w:cs="Times New Roman"/>
          <w:szCs w:val="24"/>
          <w:lang w:val="es-MX" w:eastAsia="en-US"/>
        </w:rPr>
        <w:t>, se conservará y custodiará la información de manera especial, y una vez transcurrido el plazo de reserva, el documento podrá divulgarse.</w:t>
      </w:r>
    </w:p>
    <w:p w14:paraId="25B6B668" w14:textId="77777777" w:rsidR="009C0CF3" w:rsidRPr="002D269F" w:rsidRDefault="009C0CF3" w:rsidP="009C0CF3">
      <w:pPr>
        <w:rPr>
          <w:rFonts w:eastAsia="Times New Roman" w:cs="Times New Roman"/>
          <w:szCs w:val="24"/>
          <w:lang w:val="es-MX" w:eastAsia="en-US"/>
        </w:rPr>
      </w:pPr>
    </w:p>
    <w:p w14:paraId="6D808C92" w14:textId="77777777" w:rsidR="009C0CF3" w:rsidRPr="002D269F" w:rsidRDefault="009C0CF3" w:rsidP="009C0CF3">
      <w:pPr>
        <w:rPr>
          <w:rFonts w:eastAsia="Times New Roman" w:cs="Arial"/>
          <w:bCs/>
          <w:color w:val="000000"/>
          <w:szCs w:val="24"/>
          <w:lang w:val="es-MX" w:eastAsia="en-US"/>
        </w:rPr>
      </w:pPr>
      <w:r w:rsidRPr="002D269F">
        <w:rPr>
          <w:rFonts w:eastAsia="Times New Roman" w:cs="Arial"/>
          <w:szCs w:val="24"/>
          <w:lang w:val="es-MX"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D269F">
        <w:rPr>
          <w:rFonts w:eastAsia="Arial Unicode MS" w:cs="Arial"/>
          <w:color w:val="000000"/>
          <w:szCs w:val="24"/>
          <w:lang w:val="es-MX" w:eastAsia="en-US"/>
        </w:rPr>
        <w:t>,</w:t>
      </w:r>
      <w:r w:rsidRPr="002D269F">
        <w:rPr>
          <w:rFonts w:eastAsia="Times New Roman" w:cs="Arial"/>
          <w:bCs/>
          <w:color w:val="000000"/>
          <w:szCs w:val="24"/>
          <w:lang w:val="es-MX" w:eastAsia="en-US"/>
        </w:rPr>
        <w:t xml:space="preserve"> que literalmente señala:</w:t>
      </w:r>
    </w:p>
    <w:p w14:paraId="779DA03E" w14:textId="77777777" w:rsidR="009C0CF3" w:rsidRPr="002D269F" w:rsidRDefault="009C0CF3" w:rsidP="009C0CF3">
      <w:pPr>
        <w:spacing w:line="259" w:lineRule="auto"/>
        <w:rPr>
          <w:rFonts w:eastAsia="Times New Roman" w:cs="Arial"/>
          <w:bCs/>
          <w:color w:val="000000"/>
          <w:sz w:val="22"/>
          <w:lang w:val="es-MX" w:eastAsia="en-US"/>
        </w:rPr>
      </w:pPr>
    </w:p>
    <w:p w14:paraId="7519573E" w14:textId="77777777" w:rsidR="009C0CF3" w:rsidRPr="002D269F" w:rsidRDefault="009C0CF3" w:rsidP="009C0CF3">
      <w:pPr>
        <w:spacing w:line="259" w:lineRule="auto"/>
        <w:ind w:left="567" w:right="567"/>
        <w:rPr>
          <w:rFonts w:eastAsia="Times New Roman" w:cs="Times New Roman"/>
          <w:i/>
          <w:sz w:val="22"/>
          <w:lang w:val="es-MX" w:eastAsia="en-US"/>
        </w:rPr>
      </w:pPr>
      <w:r w:rsidRPr="002D269F">
        <w:rPr>
          <w:rFonts w:eastAsia="Times New Roman" w:cs="Times New Roman"/>
          <w:i/>
          <w:sz w:val="22"/>
          <w:lang w:val="es-MX" w:eastAsia="en-US"/>
        </w:rPr>
        <w:t>“</w:t>
      </w:r>
      <w:r w:rsidRPr="002D269F">
        <w:rPr>
          <w:rFonts w:eastAsia="Times New Roman" w:cs="Times New Roman"/>
          <w:b/>
          <w:i/>
          <w:sz w:val="22"/>
          <w:lang w:val="es-MX"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2D269F">
        <w:rPr>
          <w:rFonts w:eastAsia="Times New Roman" w:cs="Times New Roman"/>
          <w:i/>
          <w:sz w:val="22"/>
          <w:lang w:val="es-MX" w:eastAsia="en-US"/>
        </w:rPr>
        <w:t xml:space="preserve"> Una adecuada clasificación de la información pública debe tomar en cuenta y </w:t>
      </w:r>
      <w:r w:rsidRPr="002D269F">
        <w:rPr>
          <w:rFonts w:eastAsia="Times New Roman" w:cs="Times New Roman"/>
          <w:i/>
          <w:sz w:val="22"/>
          <w:lang w:val="es-MX" w:eastAsia="en-US"/>
        </w:rPr>
        <w:lastRenderedPageBreak/>
        <w:t xml:space="preserve">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D269F">
        <w:rPr>
          <w:rFonts w:eastAsia="Times New Roman" w:cs="Times New Roman"/>
          <w:i/>
          <w:sz w:val="22"/>
          <w:lang w:val="es-MX" w:eastAsia="en-US"/>
        </w:rPr>
        <w:t>officio</w:t>
      </w:r>
      <w:proofErr w:type="spellEnd"/>
      <w:r w:rsidRPr="002D269F">
        <w:rPr>
          <w:rFonts w:eastAsia="Times New Roman" w:cs="Times New Roman"/>
          <w:i/>
          <w:sz w:val="22"/>
          <w:lang w:val="es-MX" w:eastAsia="en-US"/>
        </w:rPr>
        <w:t>, con el propósito de obtener una versión que sea pública para la parte interesada.” (</w:t>
      </w:r>
      <w:proofErr w:type="gramStart"/>
      <w:r w:rsidRPr="002D269F">
        <w:rPr>
          <w:rFonts w:eastAsia="Times New Roman" w:cs="Times New Roman"/>
          <w:i/>
          <w:sz w:val="22"/>
          <w:lang w:val="es-MX" w:eastAsia="en-US"/>
        </w:rPr>
        <w:t>sic</w:t>
      </w:r>
      <w:proofErr w:type="gramEnd"/>
      <w:r w:rsidRPr="002D269F">
        <w:rPr>
          <w:rFonts w:eastAsia="Times New Roman" w:cs="Times New Roman"/>
          <w:i/>
          <w:sz w:val="22"/>
          <w:lang w:val="es-MX" w:eastAsia="en-US"/>
        </w:rPr>
        <w:t>)</w:t>
      </w:r>
    </w:p>
    <w:p w14:paraId="6834D4F1" w14:textId="77777777" w:rsidR="009C0CF3" w:rsidRPr="002D269F" w:rsidRDefault="009C0CF3" w:rsidP="009C0CF3">
      <w:pPr>
        <w:spacing w:line="259" w:lineRule="auto"/>
        <w:ind w:left="851" w:right="902"/>
        <w:rPr>
          <w:rFonts w:eastAsia="Times New Roman" w:cs="Times New Roman"/>
          <w:i/>
          <w:sz w:val="22"/>
          <w:lang w:val="es-MX" w:eastAsia="en-US"/>
        </w:rPr>
      </w:pPr>
    </w:p>
    <w:p w14:paraId="4DD9FF49" w14:textId="77777777" w:rsidR="009C0CF3" w:rsidRPr="002D269F" w:rsidRDefault="009C0CF3" w:rsidP="009C0CF3">
      <w:pPr>
        <w:rPr>
          <w:rFonts w:eastAsia="Times New Roman" w:cs="Times New Roman"/>
          <w:bCs/>
          <w:szCs w:val="24"/>
          <w:lang w:val="es-MX" w:eastAsia="en-US"/>
        </w:rPr>
      </w:pPr>
    </w:p>
    <w:p w14:paraId="3F237647" w14:textId="631BE4E8" w:rsidR="009C0CF3" w:rsidRPr="002D269F" w:rsidRDefault="009C0CF3" w:rsidP="009C0CF3">
      <w:pPr>
        <w:rPr>
          <w:rFonts w:eastAsia="Times New Roman" w:cs="Times New Roman"/>
          <w:bCs/>
          <w:szCs w:val="24"/>
          <w:lang w:val="es-MX" w:eastAsia="en-US"/>
        </w:rPr>
      </w:pPr>
      <w:r w:rsidRPr="002D269F">
        <w:rPr>
          <w:rFonts w:eastAsia="Times New Roman" w:cs="Times New Roman"/>
          <w:bCs/>
          <w:szCs w:val="24"/>
          <w:lang w:val="es-MX" w:eastAsia="en-US"/>
        </w:rPr>
        <w:t xml:space="preserve">Por todo lo anterior, la reserva de la información implica una clasificación, la cual debe entenderse como el proceso mediante el cual </w:t>
      </w:r>
      <w:r w:rsidRPr="002D269F">
        <w:rPr>
          <w:rFonts w:eastAsia="Times New Roman" w:cs="Times New Roman"/>
          <w:b/>
          <w:bCs/>
          <w:szCs w:val="24"/>
          <w:lang w:val="es-MX" w:eastAsia="en-US"/>
        </w:rPr>
        <w:t>El Sujeto Obligado</w:t>
      </w:r>
      <w:r w:rsidRPr="002D269F">
        <w:rPr>
          <w:rFonts w:eastAsia="Times New Roman" w:cs="Times New Roman"/>
          <w:bCs/>
          <w:szCs w:val="24"/>
          <w:lang w:val="es-MX" w:eastAsia="en-US"/>
        </w:rPr>
        <w:t xml:space="preserve"> determina que la información en su poder </w:t>
      </w:r>
      <w:proofErr w:type="spellStart"/>
      <w:r w:rsidRPr="002D269F">
        <w:rPr>
          <w:rFonts w:eastAsia="Times New Roman" w:cs="Times New Roman"/>
          <w:bCs/>
          <w:szCs w:val="24"/>
          <w:lang w:val="es-MX" w:eastAsia="en-US"/>
        </w:rPr>
        <w:t>actualiza</w:t>
      </w:r>
      <w:proofErr w:type="spellEnd"/>
      <w:r w:rsidRPr="002D269F">
        <w:rPr>
          <w:rFonts w:eastAsia="Times New Roman" w:cs="Times New Roman"/>
          <w:bCs/>
          <w:szCs w:val="24"/>
          <w:lang w:val="es-MX" w:eastAsia="en-US"/>
        </w:rPr>
        <w:t xml:space="preserve"> alguno de los supuestos conforme a las normas aplicables.</w:t>
      </w:r>
    </w:p>
    <w:p w14:paraId="4E7D44B4" w14:textId="77777777" w:rsidR="009C0CF3" w:rsidRPr="002D269F" w:rsidRDefault="009C0CF3" w:rsidP="009C0CF3">
      <w:pPr>
        <w:rPr>
          <w:rFonts w:eastAsia="Times New Roman" w:cs="Times New Roman"/>
          <w:bCs/>
          <w:szCs w:val="24"/>
          <w:lang w:val="es-MX" w:eastAsia="en-US"/>
        </w:rPr>
      </w:pPr>
    </w:p>
    <w:p w14:paraId="36C18F19"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t xml:space="preserve">En tal virtud, conforme al artículo 49, fracción VIII de la </w:t>
      </w:r>
      <w:r w:rsidRPr="002D269F">
        <w:rPr>
          <w:rFonts w:eastAsia="Times New Roman" w:cs="Arial"/>
          <w:szCs w:val="24"/>
          <w:lang w:val="es-MX" w:eastAsia="en-US"/>
        </w:rPr>
        <w:t>Ley de Transparencia y Acceso a la Información Pública del Estado de México y Municipios</w:t>
      </w:r>
      <w:r w:rsidRPr="002D269F">
        <w:rPr>
          <w:rFonts w:eastAsia="Times New Roman" w:cs="Times New Roman"/>
          <w:szCs w:val="24"/>
          <w:lang w:val="es-MX"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w:t>
      </w:r>
      <w:r w:rsidRPr="002D269F">
        <w:rPr>
          <w:rFonts w:eastAsia="Times New Roman" w:cs="Times New Roman"/>
          <w:b/>
          <w:szCs w:val="24"/>
          <w:lang w:val="es-MX" w:eastAsia="en-US"/>
        </w:rPr>
        <w:t xml:space="preserve"> </w:t>
      </w:r>
      <w:r w:rsidRPr="002D269F">
        <w:rPr>
          <w:rFonts w:eastAsia="Times New Roman" w:cs="Times New Roman"/>
          <w:szCs w:val="24"/>
          <w:lang w:val="es-MX" w:eastAsia="en-US"/>
        </w:rPr>
        <w:t>Sujeto Obligado debe, en todo momento, aplicar una prueba de daño.</w:t>
      </w:r>
    </w:p>
    <w:p w14:paraId="3A9B8687" w14:textId="77777777" w:rsidR="009C0CF3" w:rsidRPr="002D269F" w:rsidRDefault="009C0CF3" w:rsidP="009C0CF3">
      <w:pPr>
        <w:rPr>
          <w:rFonts w:eastAsia="Times New Roman" w:cs="Times New Roman"/>
          <w:szCs w:val="24"/>
          <w:lang w:val="es-MX" w:eastAsia="en-US"/>
        </w:rPr>
      </w:pPr>
    </w:p>
    <w:p w14:paraId="7B84B7B7"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4E3CBAC" w14:textId="77777777" w:rsidR="009C0CF3" w:rsidRPr="002D269F" w:rsidRDefault="009C0CF3" w:rsidP="009C0CF3">
      <w:pPr>
        <w:rPr>
          <w:rFonts w:eastAsia="Times New Roman" w:cs="Times New Roman"/>
          <w:szCs w:val="24"/>
          <w:lang w:val="es-MX" w:eastAsia="en-US"/>
        </w:rPr>
      </w:pPr>
    </w:p>
    <w:p w14:paraId="7209671D"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DC5B75F" w14:textId="77777777" w:rsidR="009C0CF3" w:rsidRPr="002D269F" w:rsidRDefault="009C0CF3" w:rsidP="009C0CF3">
      <w:pPr>
        <w:rPr>
          <w:rFonts w:eastAsia="Times New Roman" w:cs="Times New Roman"/>
          <w:sz w:val="22"/>
          <w:lang w:val="es-MX" w:eastAsia="en-US"/>
        </w:rPr>
      </w:pPr>
    </w:p>
    <w:p w14:paraId="5518B0D2" w14:textId="77777777" w:rsidR="009C0CF3" w:rsidRPr="002D269F" w:rsidRDefault="009C0CF3" w:rsidP="009C0CF3">
      <w:pPr>
        <w:numPr>
          <w:ilvl w:val="0"/>
          <w:numId w:val="24"/>
        </w:numPr>
        <w:ind w:left="1276" w:hanging="425"/>
        <w:rPr>
          <w:rFonts w:eastAsia="Times New Roman" w:cs="Times New Roman"/>
          <w:szCs w:val="24"/>
          <w:lang w:val="es-MX" w:eastAsia="en-US"/>
        </w:rPr>
      </w:pPr>
      <w:r w:rsidRPr="002D269F">
        <w:rPr>
          <w:rFonts w:eastAsia="Times New Roman" w:cs="Times New Roman"/>
          <w:szCs w:val="24"/>
          <w:lang w:val="es-MX" w:eastAsia="en-US"/>
        </w:rPr>
        <w:t>Se reciba una solicitud de acceso a la información;</w:t>
      </w:r>
    </w:p>
    <w:p w14:paraId="2F444520" w14:textId="77777777" w:rsidR="009C0CF3" w:rsidRPr="002D269F" w:rsidRDefault="009C0CF3" w:rsidP="009C0CF3">
      <w:pPr>
        <w:numPr>
          <w:ilvl w:val="0"/>
          <w:numId w:val="24"/>
        </w:numPr>
        <w:ind w:left="1276" w:hanging="425"/>
        <w:rPr>
          <w:rFonts w:eastAsia="Times New Roman" w:cs="Times New Roman"/>
          <w:szCs w:val="24"/>
          <w:lang w:val="es-MX" w:eastAsia="en-US"/>
        </w:rPr>
      </w:pPr>
      <w:r w:rsidRPr="002D269F">
        <w:rPr>
          <w:rFonts w:eastAsia="Times New Roman" w:cs="Times New Roman"/>
          <w:szCs w:val="24"/>
          <w:lang w:val="es-MX" w:eastAsia="en-US"/>
        </w:rPr>
        <w:t>Se determine mediante resolución de autoridad competente; y/o</w:t>
      </w:r>
    </w:p>
    <w:p w14:paraId="691CB87C" w14:textId="77777777" w:rsidR="009C0CF3" w:rsidRPr="002D269F" w:rsidRDefault="009C0CF3" w:rsidP="009C0CF3">
      <w:pPr>
        <w:numPr>
          <w:ilvl w:val="0"/>
          <w:numId w:val="24"/>
        </w:numPr>
        <w:ind w:left="1276" w:hanging="425"/>
        <w:rPr>
          <w:rFonts w:eastAsia="Times New Roman" w:cs="Times New Roman"/>
          <w:szCs w:val="24"/>
          <w:lang w:val="es-MX" w:eastAsia="en-US"/>
        </w:rPr>
      </w:pPr>
      <w:r w:rsidRPr="002D269F">
        <w:rPr>
          <w:rFonts w:eastAsia="Times New Roman" w:cs="Times New Roman"/>
          <w:szCs w:val="24"/>
          <w:lang w:val="es-MX" w:eastAsia="en-US"/>
        </w:rPr>
        <w:t>Se generen versiones públicas para dar cumplimiento a las obligaciones de transparencia previstas en la Ley.</w:t>
      </w:r>
    </w:p>
    <w:p w14:paraId="0DDE616A" w14:textId="77777777" w:rsidR="009C0CF3" w:rsidRPr="002D269F" w:rsidRDefault="009C0CF3" w:rsidP="009C0CF3">
      <w:pPr>
        <w:ind w:left="1276"/>
        <w:rPr>
          <w:rFonts w:eastAsia="Times New Roman" w:cs="Times New Roman"/>
          <w:szCs w:val="24"/>
          <w:lang w:val="es-MX" w:eastAsia="en-US"/>
        </w:rPr>
      </w:pPr>
    </w:p>
    <w:p w14:paraId="274BD65B"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t>Situación que se robustece con el artículo 141 de la misma Ley, que señala que las causales de reserva previstas, se deberán fundar y motivar, a través de la aplicación de la prueba de daño.</w:t>
      </w:r>
    </w:p>
    <w:p w14:paraId="236B3967" w14:textId="77777777" w:rsidR="009C0CF3" w:rsidRPr="002D269F" w:rsidRDefault="009C0CF3" w:rsidP="009C0CF3">
      <w:pPr>
        <w:rPr>
          <w:rFonts w:eastAsia="Times New Roman" w:cs="Times New Roman"/>
          <w:szCs w:val="24"/>
          <w:lang w:val="es-MX" w:eastAsia="en-US"/>
        </w:rPr>
      </w:pPr>
    </w:p>
    <w:p w14:paraId="6385DDD0" w14:textId="77777777" w:rsidR="009C0CF3" w:rsidRPr="002D269F" w:rsidRDefault="009C0CF3" w:rsidP="009C0CF3">
      <w:pPr>
        <w:rPr>
          <w:rFonts w:eastAsia="Times New Roman" w:cs="Times New Roman"/>
          <w:szCs w:val="24"/>
          <w:lang w:val="es-MX" w:eastAsia="en-US"/>
        </w:rPr>
      </w:pPr>
      <w:r w:rsidRPr="002D269F">
        <w:rPr>
          <w:rFonts w:eastAsia="Times New Roman" w:cs="Times New Roman"/>
          <w:szCs w:val="24"/>
          <w:lang w:val="es-MX"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9B53A6" w14:textId="77777777" w:rsidR="009C0CF3" w:rsidRPr="002D269F" w:rsidRDefault="009C0CF3" w:rsidP="009C0CF3">
      <w:pPr>
        <w:rPr>
          <w:rFonts w:eastAsia="Times New Roman" w:cs="Times New Roman"/>
          <w:szCs w:val="24"/>
          <w:lang w:val="es-MX" w:eastAsia="en-US"/>
        </w:rPr>
      </w:pPr>
    </w:p>
    <w:p w14:paraId="5EE4CE09" w14:textId="77777777" w:rsidR="009C0CF3" w:rsidRPr="002D269F" w:rsidRDefault="009C0CF3" w:rsidP="009C0CF3">
      <w:pPr>
        <w:numPr>
          <w:ilvl w:val="0"/>
          <w:numId w:val="25"/>
        </w:numPr>
        <w:ind w:left="1134" w:hanging="283"/>
        <w:rPr>
          <w:rFonts w:eastAsia="Times New Roman" w:cs="Times New Roman"/>
          <w:szCs w:val="24"/>
          <w:lang w:val="es-MX" w:eastAsia="en-US"/>
        </w:rPr>
      </w:pPr>
      <w:r w:rsidRPr="002D269F">
        <w:rPr>
          <w:rFonts w:eastAsia="Times New Roman" w:cs="Times New Roman"/>
          <w:szCs w:val="24"/>
          <w:lang w:val="es-MX" w:eastAsia="en-US"/>
        </w:rPr>
        <w:t xml:space="preserve">La divulgación de la información representa un </w:t>
      </w:r>
      <w:r w:rsidRPr="002D269F">
        <w:rPr>
          <w:rFonts w:eastAsia="Times New Roman" w:cs="Times New Roman"/>
          <w:b/>
          <w:szCs w:val="24"/>
          <w:lang w:val="es-MX" w:eastAsia="en-US"/>
        </w:rPr>
        <w:t>riesgo real, demostrable e identificable del perjuicio significativo al interés público o a la seguridad pública</w:t>
      </w:r>
      <w:r w:rsidRPr="002D269F">
        <w:rPr>
          <w:rFonts w:eastAsia="Times New Roman" w:cs="Times New Roman"/>
          <w:szCs w:val="24"/>
          <w:lang w:val="es-MX" w:eastAsia="en-US"/>
        </w:rPr>
        <w:t>;</w:t>
      </w:r>
    </w:p>
    <w:p w14:paraId="0AC11B18" w14:textId="77777777" w:rsidR="009C0CF3" w:rsidRPr="002D269F" w:rsidRDefault="009C0CF3" w:rsidP="009C0CF3">
      <w:pPr>
        <w:numPr>
          <w:ilvl w:val="0"/>
          <w:numId w:val="25"/>
        </w:numPr>
        <w:ind w:left="1134" w:hanging="283"/>
        <w:rPr>
          <w:rFonts w:eastAsia="Times New Roman" w:cs="Times New Roman"/>
          <w:szCs w:val="24"/>
          <w:lang w:val="es-MX" w:eastAsia="en-US"/>
        </w:rPr>
      </w:pPr>
      <w:r w:rsidRPr="002D269F">
        <w:rPr>
          <w:rFonts w:eastAsia="Times New Roman" w:cs="Times New Roman"/>
          <w:szCs w:val="24"/>
          <w:lang w:val="es-MX" w:eastAsia="en-US"/>
        </w:rPr>
        <w:t>El riesgo de perjuicio que supondría la divulgación supera el interés público general de que se difunda; y,</w:t>
      </w:r>
    </w:p>
    <w:p w14:paraId="2D3929CF" w14:textId="77777777" w:rsidR="009C0CF3" w:rsidRPr="002D269F" w:rsidRDefault="009C0CF3" w:rsidP="009C0CF3">
      <w:pPr>
        <w:numPr>
          <w:ilvl w:val="0"/>
          <w:numId w:val="25"/>
        </w:numPr>
        <w:ind w:left="1134" w:hanging="283"/>
        <w:rPr>
          <w:rFonts w:eastAsia="Times New Roman" w:cs="Times New Roman"/>
          <w:szCs w:val="24"/>
          <w:lang w:val="es-MX" w:eastAsia="en-US"/>
        </w:rPr>
      </w:pPr>
      <w:r w:rsidRPr="002D269F">
        <w:rPr>
          <w:rFonts w:eastAsia="Times New Roman" w:cs="Times New Roman"/>
          <w:szCs w:val="24"/>
          <w:lang w:val="es-MX" w:eastAsia="en-US"/>
        </w:rPr>
        <w:t xml:space="preserve">La limitación se adecua al principio de proporcionalidad y representa el medio menos restrictivo disponible para evitar el perjuicio. </w:t>
      </w:r>
    </w:p>
    <w:p w14:paraId="0505A59F" w14:textId="77777777" w:rsidR="009C0CF3" w:rsidRPr="002D269F" w:rsidRDefault="009C0CF3" w:rsidP="009C0CF3">
      <w:pPr>
        <w:ind w:left="1134"/>
        <w:rPr>
          <w:rFonts w:eastAsia="Times New Roman" w:cs="Times New Roman"/>
          <w:szCs w:val="24"/>
          <w:lang w:val="es-MX" w:eastAsia="en-US"/>
        </w:rPr>
      </w:pPr>
    </w:p>
    <w:p w14:paraId="44AF79D0" w14:textId="77777777" w:rsidR="009C0CF3" w:rsidRPr="002D269F" w:rsidRDefault="009C0CF3" w:rsidP="009C0CF3">
      <w:pPr>
        <w:widowControl w:val="0"/>
        <w:tabs>
          <w:tab w:val="left" w:pos="1276"/>
          <w:tab w:val="left" w:pos="1701"/>
          <w:tab w:val="left" w:pos="1843"/>
        </w:tabs>
        <w:autoSpaceDE w:val="0"/>
        <w:autoSpaceDN w:val="0"/>
        <w:adjustRightInd w:val="0"/>
        <w:ind w:right="49"/>
        <w:rPr>
          <w:rFonts w:eastAsia="Times New Roman" w:cs="Arial"/>
          <w:szCs w:val="24"/>
          <w:lang w:val="es-MX" w:eastAsia="en-US"/>
        </w:rPr>
      </w:pPr>
      <w:r w:rsidRPr="002D269F">
        <w:rPr>
          <w:rFonts w:eastAsia="Times New Roman" w:cs="Times New Roman"/>
          <w:bCs/>
          <w:szCs w:val="24"/>
          <w:lang w:val="es-MX" w:eastAsia="en-US"/>
        </w:rPr>
        <w:t xml:space="preserve">Atento a lo anterior, </w:t>
      </w:r>
      <w:r w:rsidRPr="002D269F">
        <w:rPr>
          <w:rFonts w:eastAsia="Times New Roman" w:cs="Arial"/>
          <w:szCs w:val="24"/>
          <w:lang w:val="es-MX"/>
        </w:rPr>
        <w:t xml:space="preserve">es necesario hacer hincapié que para el caso de que existan </w:t>
      </w:r>
      <w:r w:rsidRPr="002D269F">
        <w:rPr>
          <w:rFonts w:eastAsia="Times New Roman" w:cs="Times New Roman"/>
          <w:szCs w:val="24"/>
          <w:lang w:val="es-MX" w:eastAsia="en-US"/>
        </w:rPr>
        <w:t xml:space="preserve">causas presentes que impiden la publicidad de la información durante cierto periodo de tiempo, </w:t>
      </w:r>
      <w:r w:rsidRPr="002D269F">
        <w:rPr>
          <w:rFonts w:eastAsia="Times New Roman" w:cs="Arial"/>
          <w:szCs w:val="24"/>
          <w:lang w:val="es-MX"/>
        </w:rPr>
        <w:t xml:space="preserve">debe clasificar la información </w:t>
      </w:r>
      <w:r w:rsidRPr="002D269F">
        <w:rPr>
          <w:rFonts w:eastAsia="Times New Roman" w:cs="Arial"/>
          <w:szCs w:val="24"/>
          <w:lang w:val="es-MX"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AE0EB1E" w14:textId="77777777" w:rsidR="009C0CF3" w:rsidRPr="002D269F" w:rsidRDefault="009C0CF3" w:rsidP="009C0CF3">
      <w:pPr>
        <w:widowControl w:val="0"/>
        <w:tabs>
          <w:tab w:val="left" w:pos="1276"/>
          <w:tab w:val="left" w:pos="1701"/>
          <w:tab w:val="left" w:pos="1843"/>
        </w:tabs>
        <w:autoSpaceDE w:val="0"/>
        <w:autoSpaceDN w:val="0"/>
        <w:adjustRightInd w:val="0"/>
        <w:ind w:right="49"/>
        <w:rPr>
          <w:rFonts w:eastAsia="Times New Roman" w:cs="Arial"/>
          <w:szCs w:val="24"/>
          <w:lang w:val="es-MX" w:eastAsia="en-US"/>
        </w:rPr>
      </w:pPr>
    </w:p>
    <w:p w14:paraId="41A8AD79" w14:textId="43132676" w:rsidR="009C0CF3" w:rsidRPr="002D269F" w:rsidRDefault="009C0CF3" w:rsidP="009C0CF3">
      <w:pPr>
        <w:rPr>
          <w:rFonts w:eastAsia="Times New Roman" w:cs="Arial"/>
          <w:szCs w:val="24"/>
          <w:lang w:val="es-MX" w:eastAsia="en-US"/>
        </w:rPr>
      </w:pPr>
      <w:r w:rsidRPr="002D269F">
        <w:rPr>
          <w:rFonts w:eastAsia="Times New Roman" w:cs="Arial"/>
          <w:szCs w:val="24"/>
          <w:lang w:val="es-MX" w:eastAsia="en-US"/>
        </w:rPr>
        <w:t xml:space="preserve">Ahora </w:t>
      </w:r>
      <w:r w:rsidR="00FB05D9" w:rsidRPr="002D269F">
        <w:rPr>
          <w:rFonts w:eastAsia="Times New Roman" w:cs="Arial"/>
          <w:szCs w:val="24"/>
          <w:lang w:val="es-MX" w:eastAsia="en-US"/>
        </w:rPr>
        <w:t>bien,</w:t>
      </w:r>
      <w:r w:rsidRPr="002D269F">
        <w:rPr>
          <w:rFonts w:eastAsia="Times New Roman" w:cs="Arial"/>
          <w:szCs w:val="24"/>
          <w:lang w:val="es-MX" w:eastAsia="en-US"/>
        </w:rPr>
        <w:t xml:space="preserve"> respecto a la información que habrá de ser reservada, resulta necesario señalar que de conformidad con el artículo 3, fracciones XXIV de la Ley de Transparencia </w:t>
      </w:r>
      <w:r w:rsidRPr="002D269F">
        <w:rPr>
          <w:rFonts w:eastAsia="Times New Roman" w:cs="Arial"/>
          <w:szCs w:val="24"/>
          <w:lang w:val="es-MX" w:eastAsia="en-US"/>
        </w:rPr>
        <w:lastRenderedPageBreak/>
        <w:t>y Acceso a la Información Pública del Estado de México y Municipios, se define de la siguiente manera:</w:t>
      </w:r>
    </w:p>
    <w:p w14:paraId="7F13D10C" w14:textId="77777777" w:rsidR="009C0CF3" w:rsidRPr="002D269F" w:rsidRDefault="009C0CF3" w:rsidP="009C0CF3">
      <w:pPr>
        <w:rPr>
          <w:rFonts w:eastAsia="Times New Roman" w:cs="Arial"/>
          <w:sz w:val="14"/>
          <w:lang w:val="es-MX" w:eastAsia="en-US"/>
        </w:rPr>
      </w:pPr>
    </w:p>
    <w:p w14:paraId="3647AE40" w14:textId="77777777" w:rsidR="009C0CF3" w:rsidRPr="002D269F" w:rsidRDefault="009C0CF3" w:rsidP="009C0CF3">
      <w:pPr>
        <w:spacing w:line="259" w:lineRule="auto"/>
        <w:ind w:left="567" w:right="567"/>
        <w:rPr>
          <w:rFonts w:eastAsia="Times New Roman" w:cs="Arial"/>
          <w:i/>
          <w:sz w:val="22"/>
          <w:lang w:val="es-MX" w:eastAsia="en-US"/>
        </w:rPr>
      </w:pPr>
      <w:r w:rsidRPr="002D269F">
        <w:rPr>
          <w:rFonts w:eastAsia="Times New Roman" w:cs="Arial"/>
          <w:b/>
          <w:i/>
          <w:sz w:val="22"/>
          <w:lang w:val="es-MX" w:eastAsia="en-US"/>
        </w:rPr>
        <w:t>“…XXIV. Información reservada:</w:t>
      </w:r>
      <w:r w:rsidRPr="002D269F">
        <w:rPr>
          <w:rFonts w:eastAsia="Times New Roman" w:cs="Arial"/>
          <w:i/>
          <w:sz w:val="22"/>
          <w:lang w:val="es-MX" w:eastAsia="en-US"/>
        </w:rPr>
        <w:t xml:space="preserve"> La clasificada con este carácter de manera temporal por las disposiciones de esta Ley, cuya divulgación puede causar daño en términos de lo establecido por esta Ley…”</w:t>
      </w:r>
    </w:p>
    <w:p w14:paraId="76F48E82" w14:textId="77777777" w:rsidR="009C0CF3" w:rsidRPr="002D269F" w:rsidRDefault="009C0CF3" w:rsidP="009C0CF3">
      <w:pPr>
        <w:rPr>
          <w:rFonts w:eastAsia="Times New Roman" w:cs="Arial"/>
          <w:sz w:val="22"/>
          <w:lang w:val="es-MX" w:eastAsia="en-US"/>
        </w:rPr>
      </w:pPr>
    </w:p>
    <w:p w14:paraId="1F0C1973" w14:textId="737DEF86" w:rsidR="009C0CF3" w:rsidRPr="002D269F" w:rsidRDefault="009C0CF3" w:rsidP="009C0CF3">
      <w:pPr>
        <w:rPr>
          <w:rFonts w:eastAsia="Times New Roman" w:cs="Arial"/>
          <w:szCs w:val="24"/>
          <w:lang w:val="es-MX" w:eastAsia="en-US"/>
        </w:rPr>
      </w:pPr>
      <w:r w:rsidRPr="002D269F">
        <w:rPr>
          <w:rFonts w:eastAsia="Times New Roman" w:cs="Arial"/>
          <w:szCs w:val="24"/>
          <w:lang w:val="es-MX" w:eastAsia="en-US"/>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2D269F">
        <w:rPr>
          <w:rFonts w:eastAsia="Times New Roman" w:cs="Arial"/>
          <w:b/>
          <w:szCs w:val="24"/>
          <w:lang w:val="es-MX" w:eastAsia="en-US"/>
        </w:rPr>
        <w:t>la obligación de proteger los datos personales contenidos en la información en su poder</w:t>
      </w:r>
      <w:r w:rsidRPr="002D269F">
        <w:rPr>
          <w:rFonts w:eastAsia="Times New Roman" w:cs="Arial"/>
          <w:szCs w:val="24"/>
          <w:lang w:val="es-MX" w:eastAsia="en-US"/>
        </w:rPr>
        <w:t>, así como aquella que recaiga en alguna causal de reserva que señale la Ley De tal manera, que para el presente asunto, es dable señalar que la información respecto</w:t>
      </w:r>
      <w:r w:rsidR="00FB05D9" w:rsidRPr="002D269F">
        <w:rPr>
          <w:rFonts w:eastAsia="Times New Roman" w:cs="Arial"/>
          <w:szCs w:val="24"/>
          <w:lang w:val="es-MX" w:eastAsia="en-US"/>
        </w:rPr>
        <w:t xml:space="preserve"> a </w:t>
      </w:r>
      <w:r w:rsidR="00FB05D9" w:rsidRPr="002D269F">
        <w:rPr>
          <w:rFonts w:eastAsia="Times New Roman" w:cs="Arial"/>
          <w:szCs w:val="24"/>
          <w:u w:val="single"/>
          <w:lang w:val="es-MX" w:eastAsia="en-US"/>
        </w:rPr>
        <w:t>la infraestructura tecnológica a cargo del</w:t>
      </w:r>
      <w:r w:rsidR="00FB05D9" w:rsidRPr="002D269F">
        <w:rPr>
          <w:rFonts w:ascii="robotoregular" w:eastAsia="Times New Roman" w:hAnsi="robotoregular" w:cs="Times New Roman"/>
          <w:b/>
          <w:color w:val="8A2036"/>
          <w:sz w:val="44"/>
          <w:szCs w:val="44"/>
          <w:u w:val="single"/>
          <w:lang w:val="es-MX"/>
        </w:rPr>
        <w:t xml:space="preserve"> </w:t>
      </w:r>
      <w:r w:rsidR="00FB05D9" w:rsidRPr="002D269F">
        <w:rPr>
          <w:rFonts w:eastAsia="Times New Roman" w:cs="Arial"/>
          <w:szCs w:val="24"/>
          <w:u w:val="single"/>
          <w:lang w:val="es-MX" w:eastAsia="en-US"/>
        </w:rPr>
        <w:t xml:space="preserve">Centro de Control, Comando, Comunicación, Cómputo y Calidad “C5” o que corresponda </w:t>
      </w:r>
      <w:r w:rsidR="001E62B8" w:rsidRPr="002D269F">
        <w:rPr>
          <w:rFonts w:eastAsia="Times New Roman" w:cs="Arial"/>
          <w:szCs w:val="24"/>
          <w:u w:val="single"/>
          <w:lang w:val="es-MX" w:eastAsia="en-US"/>
        </w:rPr>
        <w:t>a sistemas integrales de dispositivos que captan y transmiten comunicaciones de seguridad pública e infraestructura forma parte del esquema de prevención y reacción en materia de Seguridad Pública</w:t>
      </w:r>
      <w:r w:rsidR="001E62B8" w:rsidRPr="002D269F">
        <w:rPr>
          <w:rFonts w:eastAsia="Times New Roman" w:cs="Arial"/>
          <w:szCs w:val="24"/>
          <w:lang w:val="es-MX" w:eastAsia="en-US"/>
        </w:rPr>
        <w:t xml:space="preserve"> </w:t>
      </w:r>
      <w:r w:rsidRPr="002D269F">
        <w:rPr>
          <w:rFonts w:eastAsia="Times New Roman" w:cs="Arial"/>
          <w:szCs w:val="24"/>
          <w:lang w:val="es-MX" w:eastAsia="en-US"/>
        </w:rPr>
        <w:t>pueda obrar en los Contratos celebrados</w:t>
      </w:r>
      <w:r w:rsidR="001E62B8" w:rsidRPr="002D269F">
        <w:rPr>
          <w:rFonts w:eastAsia="Times New Roman" w:cs="Arial"/>
          <w:szCs w:val="24"/>
          <w:lang w:val="es-MX" w:eastAsia="en-US"/>
        </w:rPr>
        <w:t xml:space="preserve"> con motivo de arrendamiento de antenas de comunicación del Municipio de Ayuntamiento de </w:t>
      </w:r>
      <w:proofErr w:type="spellStart"/>
      <w:r w:rsidR="001E62B8" w:rsidRPr="002D269F">
        <w:rPr>
          <w:rFonts w:eastAsia="Times New Roman" w:cs="Arial"/>
          <w:szCs w:val="24"/>
          <w:lang w:val="es-MX" w:eastAsia="en-US"/>
        </w:rPr>
        <w:t>Jocotitlán</w:t>
      </w:r>
      <w:proofErr w:type="spellEnd"/>
      <w:r w:rsidRPr="002D269F">
        <w:rPr>
          <w:rFonts w:eastAsia="Times New Roman" w:cs="Arial"/>
          <w:szCs w:val="24"/>
          <w:lang w:val="es-MX" w:eastAsia="en-US"/>
        </w:rPr>
        <w:t>, sin embargo no debe escapar de la óptica lo referido en líneas previas, pues deberá reservarse las características técnicas que contengan los aparatos de telecomunicación</w:t>
      </w:r>
      <w:r w:rsidR="001E62B8" w:rsidRPr="002D269F">
        <w:rPr>
          <w:rFonts w:eastAsia="Times New Roman" w:cs="Arial"/>
          <w:szCs w:val="24"/>
          <w:lang w:val="es-MX" w:eastAsia="en-US"/>
        </w:rPr>
        <w:t xml:space="preserve"> antes referidos </w:t>
      </w:r>
      <w:r w:rsidRPr="002D269F">
        <w:rPr>
          <w:rFonts w:eastAsia="Times New Roman" w:cs="Arial"/>
          <w:szCs w:val="24"/>
          <w:lang w:val="es-MX" w:eastAsia="en-US"/>
        </w:rPr>
        <w:t>.</w:t>
      </w:r>
    </w:p>
    <w:p w14:paraId="36D1EE9E" w14:textId="77777777" w:rsidR="00D47BE3" w:rsidRPr="002D269F" w:rsidRDefault="00D47BE3" w:rsidP="001A6797">
      <w:pPr>
        <w:rPr>
          <w:rFonts w:eastAsiaTheme="minorHAnsi" w:cs="Arial"/>
          <w:lang w:val="es-MX" w:eastAsia="en-US"/>
        </w:rPr>
      </w:pPr>
    </w:p>
    <w:p w14:paraId="0C8990F6" w14:textId="77777777" w:rsidR="009C0CF3" w:rsidRPr="002D269F" w:rsidRDefault="009C0CF3" w:rsidP="001A6797"/>
    <w:p w14:paraId="13BC738C" w14:textId="77777777" w:rsidR="00E368CE" w:rsidRPr="002D269F" w:rsidRDefault="00E368CE" w:rsidP="00E368CE">
      <w:pPr>
        <w:pStyle w:val="Ttulo3"/>
        <w:rPr>
          <w:rFonts w:eastAsia="Palatino Linotype"/>
        </w:rPr>
      </w:pPr>
      <w:r w:rsidRPr="002D269F">
        <w:rPr>
          <w:rFonts w:eastAsia="Palatino Linotype"/>
        </w:rPr>
        <w:lastRenderedPageBreak/>
        <w:t>DE LA VERSIÓN PÚBLICA</w:t>
      </w:r>
    </w:p>
    <w:p w14:paraId="1A4068CF" w14:textId="675F8BA0" w:rsidR="00612D3B" w:rsidRPr="002D269F" w:rsidRDefault="00612D3B" w:rsidP="00612D3B">
      <w:pPr>
        <w:rPr>
          <w:rFonts w:cs="Arial"/>
          <w:szCs w:val="24"/>
          <w:lang w:eastAsia="es-CO"/>
        </w:rPr>
      </w:pPr>
      <w:r w:rsidRPr="002D269F">
        <w:rPr>
          <w:rFonts w:cs="Arial"/>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34019F19" w14:textId="77777777" w:rsidR="00612D3B" w:rsidRPr="002D269F" w:rsidRDefault="00612D3B" w:rsidP="00612D3B">
      <w:pPr>
        <w:rPr>
          <w:rFonts w:cs="Arial"/>
          <w:bCs/>
          <w:szCs w:val="24"/>
        </w:rPr>
      </w:pPr>
      <w:r w:rsidRPr="002D269F">
        <w:rPr>
          <w:szCs w:val="24"/>
        </w:rPr>
        <w:t xml:space="preserve">Considerando que se ordena la entrega de la información </w:t>
      </w:r>
      <w:r w:rsidRPr="002D269F">
        <w:rPr>
          <w:rFonts w:cs="Arial"/>
          <w:szCs w:val="24"/>
        </w:rPr>
        <w:t xml:space="preserve">que puede contener datos personales de las personas físicas que se encuentren insertos en los documentos que en todo caso se entregarán, es preciso mencionar que el </w:t>
      </w:r>
      <w:r w:rsidRPr="002D269F">
        <w:rPr>
          <w:rFonts w:cs="Arial"/>
          <w:bCs/>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3D414A04" w14:textId="77777777" w:rsidR="00612D3B" w:rsidRPr="002D269F" w:rsidRDefault="00612D3B" w:rsidP="00612D3B">
      <w:pPr>
        <w:rPr>
          <w:rFonts w:cs="Arial"/>
          <w:szCs w:val="24"/>
        </w:rPr>
      </w:pPr>
    </w:p>
    <w:p w14:paraId="0CC13D52" w14:textId="77777777" w:rsidR="00612D3B" w:rsidRPr="002D269F" w:rsidRDefault="00612D3B" w:rsidP="00612D3B">
      <w:pPr>
        <w:rPr>
          <w:rFonts w:cs="Arial"/>
          <w:szCs w:val="24"/>
        </w:rPr>
      </w:pPr>
      <w:r w:rsidRPr="002D269F">
        <w:rPr>
          <w:rFonts w:cs="Arial"/>
          <w:szCs w:val="24"/>
        </w:rPr>
        <w:t xml:space="preserve">En cuanto a la CURP en virtud de que éste se integra por datos personales que únicamente le conciernen a un particular como son su fecha de nacimiento, su nombre, </w:t>
      </w:r>
      <w:r w:rsidRPr="002D269F">
        <w:rPr>
          <w:rFonts w:cs="Arial"/>
          <w:szCs w:val="24"/>
        </w:rPr>
        <w:lastRenderedPageBreak/>
        <w:t>sus apellidos y su lugar de nacimiento; información que permite distinguirlo del resto de los habitantes, se considera que es de carácter confidencial.</w:t>
      </w:r>
    </w:p>
    <w:p w14:paraId="6C5A194D" w14:textId="77777777" w:rsidR="00612D3B" w:rsidRPr="002D269F" w:rsidRDefault="00612D3B" w:rsidP="00612D3B">
      <w:pPr>
        <w:rPr>
          <w:rFonts w:cs="Arial"/>
          <w:szCs w:val="24"/>
        </w:rPr>
      </w:pPr>
    </w:p>
    <w:p w14:paraId="578986BF" w14:textId="77777777" w:rsidR="00612D3B" w:rsidRPr="002D269F" w:rsidRDefault="00612D3B" w:rsidP="00612D3B">
      <w:pPr>
        <w:rPr>
          <w:rFonts w:cs="Arial"/>
          <w:szCs w:val="24"/>
        </w:rPr>
      </w:pPr>
      <w:r w:rsidRPr="002D269F">
        <w:rPr>
          <w:rFonts w:cs="Arial"/>
          <w:szCs w:val="24"/>
        </w:rPr>
        <w:t>Argumento que es compartido por el entonces Instituto Nacional de Transparencia, Acceso a la Información y Protección de Datos Personales (INAI)</w:t>
      </w:r>
      <w:r w:rsidRPr="002D269F">
        <w:rPr>
          <w:rFonts w:cs="Arial"/>
          <w:bCs/>
          <w:szCs w:val="24"/>
        </w:rPr>
        <w:t xml:space="preserve">, conforme al </w:t>
      </w:r>
      <w:r w:rsidRPr="002D269F">
        <w:rPr>
          <w:rFonts w:cs="Arial"/>
          <w:szCs w:val="24"/>
        </w:rPr>
        <w:t xml:space="preserve">criterio número 18/17, el cual refiere: </w:t>
      </w:r>
    </w:p>
    <w:p w14:paraId="52033D41" w14:textId="77777777" w:rsidR="00612D3B" w:rsidRPr="002D269F" w:rsidRDefault="00612D3B" w:rsidP="00612D3B">
      <w:pPr>
        <w:rPr>
          <w:rFonts w:cs="Arial"/>
          <w:szCs w:val="24"/>
        </w:rPr>
      </w:pPr>
    </w:p>
    <w:p w14:paraId="6151C7B8" w14:textId="77777777" w:rsidR="00612D3B" w:rsidRPr="002D269F" w:rsidRDefault="00612D3B" w:rsidP="00612D3B">
      <w:pPr>
        <w:pStyle w:val="Default"/>
        <w:ind w:left="851" w:right="851"/>
        <w:jc w:val="both"/>
        <w:rPr>
          <w:rFonts w:ascii="Palatino Linotype" w:hAnsi="Palatino Linotype"/>
          <w:i/>
          <w:color w:val="auto"/>
          <w:sz w:val="22"/>
          <w:szCs w:val="22"/>
          <w:lang w:eastAsia="es-MX"/>
        </w:rPr>
      </w:pPr>
      <w:r w:rsidRPr="002D269F">
        <w:rPr>
          <w:rFonts w:ascii="Palatino Linotype" w:hAnsi="Palatino Linotype"/>
          <w:b/>
          <w:bCs/>
          <w:i/>
          <w:color w:val="auto"/>
          <w:sz w:val="22"/>
          <w:szCs w:val="22"/>
          <w:lang w:eastAsia="es-MX"/>
        </w:rPr>
        <w:t>“</w:t>
      </w:r>
      <w:r w:rsidRPr="002D269F">
        <w:rPr>
          <w:rFonts w:ascii="Palatino Linotype" w:hAnsi="Palatino Linotype"/>
          <w:b/>
          <w:bCs/>
          <w:i/>
          <w:color w:val="auto"/>
          <w:sz w:val="22"/>
          <w:szCs w:val="22"/>
        </w:rPr>
        <w:t xml:space="preserve">Clave Única de Registro de Población (CURP). </w:t>
      </w:r>
      <w:r w:rsidRPr="002D269F">
        <w:rPr>
          <w:rFonts w:ascii="Palatino Linotype" w:hAnsi="Palatino Linotype"/>
          <w:bCs/>
          <w:i/>
          <w:color w:val="auto"/>
          <w:sz w:val="22"/>
          <w:szCs w:val="22"/>
        </w:rPr>
        <w:t xml:space="preserve">La </w:t>
      </w:r>
      <w:r w:rsidRPr="002D269F">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2D269F">
        <w:rPr>
          <w:rFonts w:ascii="Palatino Linotype" w:hAnsi="Palatino Linotype"/>
          <w:i/>
          <w:color w:val="auto"/>
          <w:sz w:val="22"/>
          <w:szCs w:val="22"/>
          <w:lang w:eastAsia="es-MX"/>
        </w:rPr>
        <w:t>” (Sic)</w:t>
      </w:r>
    </w:p>
    <w:p w14:paraId="5A421FFA" w14:textId="77777777" w:rsidR="00612D3B" w:rsidRPr="002D269F" w:rsidRDefault="00612D3B" w:rsidP="00612D3B">
      <w:pPr>
        <w:pStyle w:val="Default"/>
        <w:ind w:left="851" w:right="851"/>
        <w:jc w:val="both"/>
        <w:rPr>
          <w:rFonts w:ascii="Palatino Linotype" w:hAnsi="Palatino Linotype"/>
          <w:i/>
          <w:color w:val="auto"/>
          <w:sz w:val="22"/>
          <w:szCs w:val="22"/>
          <w:lang w:eastAsia="es-MX"/>
        </w:rPr>
      </w:pPr>
    </w:p>
    <w:p w14:paraId="1967C745" w14:textId="77777777" w:rsidR="00612D3B" w:rsidRPr="002D269F" w:rsidRDefault="00612D3B" w:rsidP="00612D3B">
      <w:pPr>
        <w:pStyle w:val="Default"/>
        <w:ind w:left="851" w:right="851"/>
        <w:jc w:val="both"/>
        <w:rPr>
          <w:rFonts w:ascii="Palatino Linotype" w:hAnsi="Palatino Linotype"/>
          <w:b/>
          <w:i/>
          <w:color w:val="auto"/>
          <w:sz w:val="22"/>
          <w:szCs w:val="22"/>
        </w:rPr>
      </w:pPr>
    </w:p>
    <w:p w14:paraId="3D546B59" w14:textId="77777777" w:rsidR="00612D3B" w:rsidRPr="002D269F" w:rsidRDefault="00612D3B" w:rsidP="00612D3B">
      <w:pPr>
        <w:pStyle w:val="Prrafodelista"/>
        <w:numPr>
          <w:ilvl w:val="0"/>
          <w:numId w:val="30"/>
        </w:numPr>
        <w:spacing w:line="240" w:lineRule="auto"/>
        <w:jc w:val="left"/>
        <w:rPr>
          <w:rFonts w:cs="Tahoma"/>
        </w:rPr>
      </w:pPr>
      <w:r w:rsidRPr="002D269F">
        <w:rPr>
          <w:rFonts w:cs="Tahoma"/>
          <w:b/>
        </w:rPr>
        <w:t>Número y folio de credencial de elector del representante legal del proveedor</w:t>
      </w:r>
      <w:r w:rsidRPr="002D269F">
        <w:rPr>
          <w:rFonts w:cs="Tahoma"/>
        </w:rPr>
        <w:t>.</w:t>
      </w:r>
    </w:p>
    <w:p w14:paraId="32861FF8" w14:textId="77777777" w:rsidR="00612D3B" w:rsidRPr="002D269F" w:rsidRDefault="00612D3B" w:rsidP="00612D3B">
      <w:pPr>
        <w:rPr>
          <w:rFonts w:cs="Arial"/>
          <w:szCs w:val="24"/>
        </w:rPr>
      </w:pPr>
    </w:p>
    <w:p w14:paraId="23F2B432" w14:textId="5E565EF7" w:rsidR="00612D3B" w:rsidRPr="002D269F" w:rsidRDefault="00612D3B" w:rsidP="00612D3B">
      <w:pPr>
        <w:rPr>
          <w:rFonts w:cs="Arial"/>
          <w:szCs w:val="24"/>
        </w:rPr>
      </w:pPr>
      <w:r w:rsidRPr="002D269F">
        <w:rPr>
          <w:rFonts w:cs="Arial"/>
          <w:szCs w:val="24"/>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30F7AA52"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w:t>
      </w:r>
      <w:r w:rsidRPr="002D269F">
        <w:rPr>
          <w:rFonts w:cs="Arial"/>
          <w:b/>
          <w:i/>
          <w:sz w:val="22"/>
        </w:rPr>
        <w:t>Artículo 156</w:t>
      </w:r>
      <w:r w:rsidRPr="002D269F">
        <w:rPr>
          <w:rFonts w:cs="Arial"/>
          <w:i/>
          <w:sz w:val="22"/>
        </w:rPr>
        <w:t>.</w:t>
      </w:r>
    </w:p>
    <w:p w14:paraId="284DE28F" w14:textId="77777777" w:rsidR="00612D3B" w:rsidRPr="002D269F" w:rsidRDefault="00612D3B" w:rsidP="00612D3B">
      <w:pPr>
        <w:tabs>
          <w:tab w:val="left" w:pos="8222"/>
        </w:tabs>
        <w:spacing w:line="240" w:lineRule="auto"/>
        <w:ind w:left="851" w:right="902"/>
        <w:rPr>
          <w:rFonts w:cs="Arial"/>
          <w:i/>
          <w:sz w:val="22"/>
        </w:rPr>
      </w:pPr>
      <w:r w:rsidRPr="002D269F">
        <w:rPr>
          <w:rFonts w:cs="Arial"/>
          <w:b/>
          <w:i/>
          <w:sz w:val="22"/>
        </w:rPr>
        <w:t>1.</w:t>
      </w:r>
      <w:r w:rsidRPr="002D269F">
        <w:rPr>
          <w:rFonts w:cs="Arial"/>
          <w:i/>
          <w:sz w:val="22"/>
        </w:rPr>
        <w:t xml:space="preserve"> </w:t>
      </w:r>
      <w:r w:rsidRPr="002D269F">
        <w:rPr>
          <w:rFonts w:cs="Arial"/>
          <w:b/>
          <w:i/>
          <w:sz w:val="22"/>
          <w:u w:val="single"/>
        </w:rPr>
        <w:t>La credencial para votar deberá contener, cuando menos, los siguientes datos del elector</w:t>
      </w:r>
      <w:r w:rsidRPr="002D269F">
        <w:rPr>
          <w:rFonts w:cs="Arial"/>
          <w:i/>
          <w:sz w:val="22"/>
        </w:rPr>
        <w:t>:</w:t>
      </w:r>
    </w:p>
    <w:p w14:paraId="4EF94876"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w:t>
      </w:r>
    </w:p>
    <w:p w14:paraId="4C5DBFC4"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 xml:space="preserve">d) </w:t>
      </w:r>
      <w:r w:rsidRPr="002D269F">
        <w:rPr>
          <w:rFonts w:cs="Arial"/>
          <w:b/>
          <w:i/>
          <w:sz w:val="22"/>
          <w:u w:val="single"/>
        </w:rPr>
        <w:t>Domicilio</w:t>
      </w:r>
      <w:r w:rsidRPr="002D269F">
        <w:rPr>
          <w:rFonts w:cs="Arial"/>
          <w:i/>
          <w:sz w:val="22"/>
        </w:rPr>
        <w:t>;</w:t>
      </w:r>
    </w:p>
    <w:p w14:paraId="4392A76E"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w:t>
      </w:r>
    </w:p>
    <w:p w14:paraId="6C2E1002"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 xml:space="preserve">g) </w:t>
      </w:r>
      <w:r w:rsidRPr="002D269F">
        <w:rPr>
          <w:rFonts w:cs="Arial"/>
          <w:b/>
          <w:i/>
          <w:sz w:val="22"/>
        </w:rPr>
        <w:t>Firma</w:t>
      </w:r>
      <w:r w:rsidRPr="002D269F">
        <w:rPr>
          <w:rFonts w:cs="Arial"/>
          <w:i/>
          <w:sz w:val="22"/>
        </w:rPr>
        <w:t xml:space="preserve">, </w:t>
      </w:r>
      <w:r w:rsidRPr="002D269F">
        <w:rPr>
          <w:rFonts w:cs="Arial"/>
          <w:b/>
          <w:i/>
          <w:sz w:val="22"/>
          <w:u w:val="single"/>
        </w:rPr>
        <w:t>huella digital</w:t>
      </w:r>
      <w:r w:rsidRPr="002D269F">
        <w:rPr>
          <w:rFonts w:cs="Arial"/>
          <w:i/>
          <w:sz w:val="22"/>
        </w:rPr>
        <w:t xml:space="preserve"> y </w:t>
      </w:r>
      <w:r w:rsidRPr="002D269F">
        <w:rPr>
          <w:rFonts w:cs="Arial"/>
          <w:b/>
          <w:i/>
          <w:sz w:val="22"/>
          <w:u w:val="single"/>
        </w:rPr>
        <w:t>fotografía del elector</w:t>
      </w:r>
      <w:r w:rsidRPr="002D269F">
        <w:rPr>
          <w:rFonts w:cs="Arial"/>
          <w:i/>
          <w:sz w:val="22"/>
        </w:rPr>
        <w:t>;</w:t>
      </w:r>
    </w:p>
    <w:p w14:paraId="3E290FE4"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w:t>
      </w:r>
    </w:p>
    <w:p w14:paraId="48537EB6"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lastRenderedPageBreak/>
        <w:t xml:space="preserve">i) </w:t>
      </w:r>
      <w:r w:rsidRPr="002D269F">
        <w:rPr>
          <w:rFonts w:cs="Arial"/>
          <w:b/>
          <w:i/>
          <w:sz w:val="22"/>
          <w:u w:val="single"/>
        </w:rPr>
        <w:t>Clave Única del Registro de Población</w:t>
      </w:r>
      <w:r w:rsidRPr="002D269F">
        <w:rPr>
          <w:rFonts w:cs="Arial"/>
          <w:i/>
          <w:sz w:val="22"/>
        </w:rPr>
        <w:t>. ” (Sic)</w:t>
      </w:r>
    </w:p>
    <w:p w14:paraId="4630E0A3" w14:textId="77777777" w:rsidR="00612D3B" w:rsidRPr="002D269F" w:rsidRDefault="00612D3B" w:rsidP="00612D3B">
      <w:pPr>
        <w:tabs>
          <w:tab w:val="left" w:pos="8222"/>
        </w:tabs>
        <w:spacing w:line="240" w:lineRule="auto"/>
        <w:ind w:left="851" w:right="902"/>
        <w:rPr>
          <w:rFonts w:cs="Arial"/>
          <w:i/>
          <w:sz w:val="22"/>
        </w:rPr>
      </w:pPr>
    </w:p>
    <w:p w14:paraId="5C26A2DB" w14:textId="77777777" w:rsidR="00612D3B" w:rsidRPr="002D269F" w:rsidRDefault="00612D3B" w:rsidP="00612D3B">
      <w:pPr>
        <w:tabs>
          <w:tab w:val="left" w:pos="8222"/>
        </w:tabs>
        <w:spacing w:line="240" w:lineRule="auto"/>
        <w:ind w:left="851" w:right="902"/>
        <w:rPr>
          <w:rFonts w:cs="Arial"/>
          <w:i/>
          <w:sz w:val="22"/>
        </w:rPr>
      </w:pPr>
      <w:r w:rsidRPr="002D269F">
        <w:rPr>
          <w:rFonts w:cs="Arial"/>
          <w:i/>
          <w:sz w:val="22"/>
        </w:rPr>
        <w:t>Énfasis añadido.</w:t>
      </w:r>
    </w:p>
    <w:p w14:paraId="51429D00" w14:textId="77777777" w:rsidR="00612D3B" w:rsidRPr="002D269F" w:rsidRDefault="00612D3B" w:rsidP="00612D3B">
      <w:pPr>
        <w:tabs>
          <w:tab w:val="left" w:pos="8222"/>
        </w:tabs>
        <w:ind w:left="851" w:right="902"/>
        <w:rPr>
          <w:rFonts w:cs="Arial"/>
          <w:i/>
          <w:sz w:val="21"/>
          <w:szCs w:val="21"/>
        </w:rPr>
      </w:pPr>
    </w:p>
    <w:p w14:paraId="038DE2FE" w14:textId="77777777" w:rsidR="00612D3B" w:rsidRPr="002D269F" w:rsidRDefault="00612D3B" w:rsidP="00612D3B">
      <w:pPr>
        <w:rPr>
          <w:rFonts w:cs="Arial"/>
          <w:szCs w:val="24"/>
        </w:rPr>
      </w:pPr>
      <w:r w:rsidRPr="002D269F">
        <w:rPr>
          <w:rFonts w:cs="Arial"/>
          <w:szCs w:val="24"/>
        </w:rPr>
        <w:t>Así, el conocimiento de dichos datos afecta la esfera más íntima de su Titular, en razón de que su utilización indebida pueda dar origen a un riesgo grave para éste.</w:t>
      </w:r>
    </w:p>
    <w:p w14:paraId="7549E384" w14:textId="77777777" w:rsidR="00612D3B" w:rsidRPr="002D269F" w:rsidRDefault="00612D3B" w:rsidP="00612D3B">
      <w:pPr>
        <w:rPr>
          <w:rFonts w:cs="Arial"/>
          <w:szCs w:val="24"/>
        </w:rPr>
      </w:pPr>
    </w:p>
    <w:p w14:paraId="2EAA3677" w14:textId="77777777" w:rsidR="00612D3B" w:rsidRPr="002D269F" w:rsidRDefault="00612D3B" w:rsidP="00612D3B">
      <w:pPr>
        <w:rPr>
          <w:rFonts w:cs="Arial"/>
          <w:szCs w:val="24"/>
        </w:rPr>
      </w:pPr>
      <w:r w:rsidRPr="002D269F">
        <w:rPr>
          <w:rFonts w:cs="Arial"/>
          <w:szCs w:val="24"/>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52F84247" w14:textId="77777777" w:rsidR="00612D3B" w:rsidRPr="002D269F" w:rsidRDefault="00612D3B" w:rsidP="00612D3B">
      <w:pPr>
        <w:rPr>
          <w:rFonts w:cs="Arial"/>
          <w:szCs w:val="24"/>
        </w:rPr>
      </w:pPr>
    </w:p>
    <w:p w14:paraId="19138FD6" w14:textId="137D2032" w:rsidR="00612D3B" w:rsidRPr="002D269F" w:rsidRDefault="00612D3B" w:rsidP="00612D3B">
      <w:pPr>
        <w:rPr>
          <w:rFonts w:cs="Arial"/>
        </w:rPr>
      </w:pPr>
      <w:r w:rsidRPr="002D269F">
        <w:rPr>
          <w:noProof/>
          <w:lang w:val="es-MX"/>
        </w:rPr>
        <mc:AlternateContent>
          <mc:Choice Requires="wps">
            <w:drawing>
              <wp:anchor distT="0" distB="0" distL="114300" distR="114300" simplePos="0" relativeHeight="251665408" behindDoc="0" locked="0" layoutInCell="1" allowOverlap="1" wp14:anchorId="1A6C456B" wp14:editId="73A4C742">
                <wp:simplePos x="0" y="0"/>
                <wp:positionH relativeFrom="column">
                  <wp:posOffset>537210</wp:posOffset>
                </wp:positionH>
                <wp:positionV relativeFrom="paragraph">
                  <wp:posOffset>1712595</wp:posOffset>
                </wp:positionV>
                <wp:extent cx="3385185" cy="13335"/>
                <wp:effectExtent l="0" t="0" r="24765" b="24765"/>
                <wp:wrapNone/>
                <wp:docPr id="434026952"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331B7"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2D269F">
        <w:rPr>
          <w:noProof/>
          <w:lang w:val="es-MX"/>
        </w:rPr>
        <w:drawing>
          <wp:inline distT="0" distB="0" distL="0" distR="0" wp14:anchorId="3493AFE2" wp14:editId="1385E772">
            <wp:extent cx="5680710" cy="2832100"/>
            <wp:effectExtent l="19050" t="19050" r="15240" b="25400"/>
            <wp:docPr id="14998128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9">
                      <a:extLst>
                        <a:ext uri="{28A0092B-C50C-407E-A947-70E740481C1C}">
                          <a14:useLocalDpi xmlns:a14="http://schemas.microsoft.com/office/drawing/2010/main" val="0"/>
                        </a:ext>
                      </a:extLst>
                    </a:blip>
                    <a:srcRect b="2756"/>
                    <a:stretch>
                      <a:fillRect/>
                    </a:stretch>
                  </pic:blipFill>
                  <pic:spPr bwMode="auto">
                    <a:xfrm>
                      <a:off x="0" y="0"/>
                      <a:ext cx="5680710" cy="2832100"/>
                    </a:xfrm>
                    <a:prstGeom prst="rect">
                      <a:avLst/>
                    </a:prstGeom>
                    <a:noFill/>
                    <a:ln w="9525" cmpd="sng">
                      <a:solidFill>
                        <a:srgbClr val="BFBFBF"/>
                      </a:solidFill>
                      <a:miter lim="800000"/>
                      <a:headEnd/>
                      <a:tailEnd/>
                    </a:ln>
                    <a:effectLst/>
                  </pic:spPr>
                </pic:pic>
              </a:graphicData>
            </a:graphic>
          </wp:inline>
        </w:drawing>
      </w:r>
    </w:p>
    <w:p w14:paraId="1E81C9C1" w14:textId="77777777" w:rsidR="00612D3B" w:rsidRPr="002D269F" w:rsidRDefault="00612D3B" w:rsidP="00612D3B">
      <w:pPr>
        <w:ind w:right="49"/>
        <w:jc w:val="center"/>
        <w:rPr>
          <w:rFonts w:cs="Arial"/>
        </w:rPr>
      </w:pPr>
    </w:p>
    <w:p w14:paraId="7425AFC0" w14:textId="77777777" w:rsidR="00612D3B" w:rsidRPr="002D269F" w:rsidRDefault="00612D3B" w:rsidP="00612D3B">
      <w:pPr>
        <w:rPr>
          <w:rFonts w:cs="Arial"/>
          <w:szCs w:val="24"/>
        </w:rPr>
      </w:pPr>
      <w:r w:rsidRPr="002D269F">
        <w:rPr>
          <w:rFonts w:cs="Arial"/>
          <w:szCs w:val="24"/>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64D45341" w14:textId="06B50AB0" w:rsidR="00612D3B" w:rsidRPr="002D269F" w:rsidRDefault="00612D3B" w:rsidP="00612D3B">
      <w:pPr>
        <w:jc w:val="center"/>
        <w:rPr>
          <w:rFonts w:cs="Arial"/>
        </w:rPr>
      </w:pPr>
      <w:r w:rsidRPr="002D269F">
        <w:rPr>
          <w:noProof/>
          <w:lang w:val="es-MX"/>
        </w:rPr>
        <mc:AlternateContent>
          <mc:Choice Requires="wps">
            <w:drawing>
              <wp:anchor distT="0" distB="0" distL="114300" distR="114300" simplePos="0" relativeHeight="251664384" behindDoc="0" locked="0" layoutInCell="1" allowOverlap="1" wp14:anchorId="46AFE45A" wp14:editId="720D63A8">
                <wp:simplePos x="0" y="0"/>
                <wp:positionH relativeFrom="margin">
                  <wp:posOffset>215265</wp:posOffset>
                </wp:positionH>
                <wp:positionV relativeFrom="paragraph">
                  <wp:posOffset>822325</wp:posOffset>
                </wp:positionV>
                <wp:extent cx="764540" cy="525145"/>
                <wp:effectExtent l="0" t="0" r="16510" b="27305"/>
                <wp:wrapNone/>
                <wp:docPr id="132059077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32956" id="Rectángulo 12"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2D269F">
        <w:rPr>
          <w:noProof/>
          <w:lang w:val="es-MX"/>
        </w:rPr>
        <mc:AlternateContent>
          <mc:Choice Requires="wps">
            <w:drawing>
              <wp:anchor distT="0" distB="0" distL="114300" distR="114300" simplePos="0" relativeHeight="251663360" behindDoc="0" locked="0" layoutInCell="1" allowOverlap="1" wp14:anchorId="64D8194D" wp14:editId="01D69D93">
                <wp:simplePos x="0" y="0"/>
                <wp:positionH relativeFrom="margin">
                  <wp:posOffset>1299845</wp:posOffset>
                </wp:positionH>
                <wp:positionV relativeFrom="paragraph">
                  <wp:posOffset>307340</wp:posOffset>
                </wp:positionV>
                <wp:extent cx="2688590" cy="298450"/>
                <wp:effectExtent l="0" t="0" r="16510" b="25400"/>
                <wp:wrapNone/>
                <wp:docPr id="171116075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1BD502" id="Rectángulo 11"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2D269F">
        <w:rPr>
          <w:noProof/>
          <w:lang w:val="es-MX"/>
        </w:rPr>
        <w:drawing>
          <wp:inline distT="0" distB="0" distL="0" distR="0" wp14:anchorId="20CF35BD" wp14:editId="3A47F2B7">
            <wp:extent cx="5915025" cy="1958340"/>
            <wp:effectExtent l="0" t="0" r="9525" b="3810"/>
            <wp:docPr id="8000470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1958340"/>
                    </a:xfrm>
                    <a:prstGeom prst="rect">
                      <a:avLst/>
                    </a:prstGeom>
                    <a:noFill/>
                    <a:ln>
                      <a:noFill/>
                    </a:ln>
                  </pic:spPr>
                </pic:pic>
              </a:graphicData>
            </a:graphic>
          </wp:inline>
        </w:drawing>
      </w:r>
    </w:p>
    <w:p w14:paraId="408AE437" w14:textId="0D749CDE" w:rsidR="00612D3B" w:rsidRPr="002D269F" w:rsidRDefault="00612D3B" w:rsidP="00612D3B">
      <w:pPr>
        <w:widowControl w:val="0"/>
        <w:autoSpaceDE w:val="0"/>
        <w:autoSpaceDN w:val="0"/>
        <w:adjustRightInd w:val="0"/>
        <w:jc w:val="center"/>
        <w:rPr>
          <w:rFonts w:cs="Arial"/>
        </w:rPr>
      </w:pPr>
      <w:r w:rsidRPr="002D269F">
        <w:rPr>
          <w:noProof/>
          <w:lang w:val="es-MX"/>
        </w:rPr>
        <mc:AlternateContent>
          <mc:Choice Requires="wps">
            <w:drawing>
              <wp:anchor distT="0" distB="0" distL="114300" distR="114300" simplePos="0" relativeHeight="251660288" behindDoc="0" locked="0" layoutInCell="1" allowOverlap="1" wp14:anchorId="514F7930" wp14:editId="40B8D29D">
                <wp:simplePos x="0" y="0"/>
                <wp:positionH relativeFrom="margin">
                  <wp:posOffset>1149985</wp:posOffset>
                </wp:positionH>
                <wp:positionV relativeFrom="paragraph">
                  <wp:posOffset>206375</wp:posOffset>
                </wp:positionV>
                <wp:extent cx="2504440" cy="450215"/>
                <wp:effectExtent l="0" t="0" r="10160" b="26035"/>
                <wp:wrapNone/>
                <wp:docPr id="191326785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EEE490" id="Rectángulo 10"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2D269F">
        <w:rPr>
          <w:noProof/>
          <w:lang w:val="es-MX"/>
        </w:rPr>
        <mc:AlternateContent>
          <mc:Choice Requires="wps">
            <w:drawing>
              <wp:anchor distT="0" distB="0" distL="114300" distR="114300" simplePos="0" relativeHeight="251661312" behindDoc="0" locked="0" layoutInCell="1" allowOverlap="1" wp14:anchorId="70E8F496" wp14:editId="1ED20818">
                <wp:simplePos x="0" y="0"/>
                <wp:positionH relativeFrom="margin">
                  <wp:posOffset>1148715</wp:posOffset>
                </wp:positionH>
                <wp:positionV relativeFrom="paragraph">
                  <wp:posOffset>1242060</wp:posOffset>
                </wp:positionV>
                <wp:extent cx="2504440" cy="336550"/>
                <wp:effectExtent l="0" t="0" r="10160" b="25400"/>
                <wp:wrapNone/>
                <wp:docPr id="169869349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0919DD" id="Rectángulo 9"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2D269F">
        <w:rPr>
          <w:noProof/>
          <w:lang w:val="es-MX"/>
        </w:rPr>
        <mc:AlternateContent>
          <mc:Choice Requires="wps">
            <w:drawing>
              <wp:anchor distT="0" distB="0" distL="114300" distR="114300" simplePos="0" relativeHeight="251662336" behindDoc="0" locked="0" layoutInCell="1" allowOverlap="1" wp14:anchorId="33FC09A4" wp14:editId="425D58CB">
                <wp:simplePos x="0" y="0"/>
                <wp:positionH relativeFrom="margin">
                  <wp:posOffset>381000</wp:posOffset>
                </wp:positionH>
                <wp:positionV relativeFrom="paragraph">
                  <wp:posOffset>380365</wp:posOffset>
                </wp:positionV>
                <wp:extent cx="375285" cy="1856105"/>
                <wp:effectExtent l="0" t="0" r="24765" b="10795"/>
                <wp:wrapNone/>
                <wp:docPr id="134876526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12E904" id="Rectángulo 8"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2D269F">
        <w:rPr>
          <w:noProof/>
          <w:lang w:val="es-MX"/>
        </w:rPr>
        <w:drawing>
          <wp:inline distT="0" distB="0" distL="0" distR="0" wp14:anchorId="484D55D2" wp14:editId="2B603B0D">
            <wp:extent cx="5834380" cy="2573020"/>
            <wp:effectExtent l="0" t="0" r="0" b="0"/>
            <wp:docPr id="10116510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4380" cy="2573020"/>
                    </a:xfrm>
                    <a:prstGeom prst="rect">
                      <a:avLst/>
                    </a:prstGeom>
                    <a:noFill/>
                    <a:ln>
                      <a:noFill/>
                    </a:ln>
                  </pic:spPr>
                </pic:pic>
              </a:graphicData>
            </a:graphic>
          </wp:inline>
        </w:drawing>
      </w:r>
    </w:p>
    <w:p w14:paraId="2B61F8A2" w14:textId="77777777" w:rsidR="00612D3B" w:rsidRPr="002D269F" w:rsidRDefault="00612D3B" w:rsidP="00612D3B">
      <w:pPr>
        <w:widowControl w:val="0"/>
        <w:autoSpaceDE w:val="0"/>
        <w:autoSpaceDN w:val="0"/>
        <w:adjustRightInd w:val="0"/>
        <w:jc w:val="center"/>
        <w:rPr>
          <w:rFonts w:cs="Arial"/>
        </w:rPr>
      </w:pPr>
    </w:p>
    <w:p w14:paraId="688C32D8" w14:textId="77777777" w:rsidR="00612D3B" w:rsidRPr="002D269F" w:rsidRDefault="00612D3B" w:rsidP="00612D3B">
      <w:pPr>
        <w:widowControl w:val="0"/>
        <w:autoSpaceDE w:val="0"/>
        <w:autoSpaceDN w:val="0"/>
        <w:adjustRightInd w:val="0"/>
        <w:rPr>
          <w:rFonts w:cs="Arial"/>
          <w:szCs w:val="24"/>
        </w:rPr>
      </w:pPr>
      <w:r w:rsidRPr="002D269F">
        <w:rPr>
          <w:rFonts w:cs="Arial"/>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65877A0F" w14:textId="77777777" w:rsidR="00612D3B" w:rsidRPr="002D269F" w:rsidRDefault="00612D3B" w:rsidP="00612D3B">
      <w:pPr>
        <w:widowControl w:val="0"/>
        <w:autoSpaceDE w:val="0"/>
        <w:autoSpaceDN w:val="0"/>
        <w:adjustRightInd w:val="0"/>
        <w:rPr>
          <w:rFonts w:cs="Arial"/>
          <w:szCs w:val="24"/>
        </w:rPr>
      </w:pPr>
    </w:p>
    <w:p w14:paraId="71D72F3D" w14:textId="22D69847" w:rsidR="00612D3B" w:rsidRPr="002D269F" w:rsidRDefault="00612D3B" w:rsidP="00612D3B">
      <w:pPr>
        <w:widowControl w:val="0"/>
        <w:autoSpaceDE w:val="0"/>
        <w:autoSpaceDN w:val="0"/>
        <w:adjustRightInd w:val="0"/>
        <w:rPr>
          <w:rFonts w:cs="Arial"/>
          <w:szCs w:val="24"/>
        </w:rPr>
      </w:pPr>
      <w:r w:rsidRPr="002D269F">
        <w:rPr>
          <w:rFonts w:cs="Arial"/>
          <w:szCs w:val="24"/>
        </w:rPr>
        <w:t xml:space="preserve">En el caso de la edad, se trata de un dato personal sensible que concierne únicamente a su titular, al corresponder a su esfera más íntima. </w:t>
      </w:r>
    </w:p>
    <w:p w14:paraId="673C2F6B" w14:textId="77777777" w:rsidR="00612D3B" w:rsidRPr="002D269F" w:rsidRDefault="00612D3B" w:rsidP="00612D3B">
      <w:pPr>
        <w:widowControl w:val="0"/>
        <w:autoSpaceDE w:val="0"/>
        <w:autoSpaceDN w:val="0"/>
        <w:adjustRightInd w:val="0"/>
        <w:rPr>
          <w:rFonts w:cs="Arial"/>
          <w:szCs w:val="24"/>
        </w:rPr>
      </w:pPr>
      <w:r w:rsidRPr="002D269F">
        <w:rPr>
          <w:rFonts w:cs="Arial"/>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0AF40A3E" w14:textId="77777777" w:rsidR="00612D3B" w:rsidRPr="002D269F" w:rsidRDefault="00612D3B" w:rsidP="00612D3B">
      <w:pPr>
        <w:widowControl w:val="0"/>
        <w:autoSpaceDE w:val="0"/>
        <w:autoSpaceDN w:val="0"/>
        <w:adjustRightInd w:val="0"/>
        <w:rPr>
          <w:rFonts w:cs="Arial"/>
          <w:szCs w:val="24"/>
        </w:rPr>
      </w:pPr>
    </w:p>
    <w:p w14:paraId="4F39B55A" w14:textId="77777777" w:rsidR="00612D3B" w:rsidRPr="002D269F" w:rsidRDefault="00612D3B" w:rsidP="00612D3B">
      <w:pPr>
        <w:pStyle w:val="Prrafodelista"/>
        <w:numPr>
          <w:ilvl w:val="0"/>
          <w:numId w:val="30"/>
        </w:numPr>
        <w:spacing w:line="240" w:lineRule="auto"/>
        <w:jc w:val="left"/>
        <w:rPr>
          <w:rFonts w:cs="Tahoma"/>
        </w:rPr>
      </w:pPr>
      <w:r w:rsidRPr="002D269F">
        <w:rPr>
          <w:rFonts w:cs="Tahoma"/>
          <w:b/>
          <w:bCs/>
        </w:rPr>
        <w:t>Registro Federal de Contribuyentes (RFC).</w:t>
      </w:r>
    </w:p>
    <w:p w14:paraId="73EF2CD0" w14:textId="77777777" w:rsidR="00612D3B" w:rsidRPr="002D269F" w:rsidRDefault="00612D3B" w:rsidP="00612D3B">
      <w:pPr>
        <w:shd w:val="clear" w:color="auto" w:fill="FFFFFF" w:themeFill="background1"/>
        <w:rPr>
          <w:rFonts w:cs="Tahoma"/>
          <w:b/>
          <w:bCs/>
          <w:szCs w:val="24"/>
        </w:rPr>
      </w:pPr>
    </w:p>
    <w:p w14:paraId="39970FB7" w14:textId="77777777" w:rsidR="00612D3B" w:rsidRPr="002D269F" w:rsidRDefault="00612D3B" w:rsidP="00612D3B">
      <w:pPr>
        <w:shd w:val="clear" w:color="auto" w:fill="FFFFFF" w:themeFill="background1"/>
        <w:rPr>
          <w:rFonts w:cs="Tahoma"/>
          <w:b/>
          <w:bCs/>
          <w:szCs w:val="24"/>
        </w:rPr>
      </w:pPr>
      <w:r w:rsidRPr="002D269F">
        <w:rPr>
          <w:rFonts w:cs="Tahoma"/>
          <w:b/>
          <w:bCs/>
          <w:szCs w:val="24"/>
        </w:rPr>
        <w:t>Persona física proveedora.</w:t>
      </w:r>
    </w:p>
    <w:p w14:paraId="7342A589" w14:textId="77777777" w:rsidR="00612D3B" w:rsidRPr="002D269F" w:rsidRDefault="00612D3B" w:rsidP="00612D3B">
      <w:pPr>
        <w:contextualSpacing/>
        <w:rPr>
          <w:rFonts w:cs="Tahoma"/>
          <w:szCs w:val="24"/>
        </w:rPr>
      </w:pPr>
      <w:r w:rsidRPr="002D269F">
        <w:rPr>
          <w:rFonts w:cs="Tahoma"/>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ED5729A" w14:textId="77777777" w:rsidR="00612D3B" w:rsidRPr="002D269F" w:rsidRDefault="00612D3B" w:rsidP="00612D3B">
      <w:pPr>
        <w:contextualSpacing/>
        <w:rPr>
          <w:rFonts w:cs="Tahoma"/>
          <w:szCs w:val="24"/>
        </w:rPr>
      </w:pPr>
    </w:p>
    <w:p w14:paraId="3D9A6546" w14:textId="77777777" w:rsidR="00612D3B" w:rsidRPr="002D269F" w:rsidRDefault="00612D3B" w:rsidP="00612D3B">
      <w:pPr>
        <w:widowControl w:val="0"/>
        <w:contextualSpacing/>
        <w:rPr>
          <w:rFonts w:cs="Tahoma"/>
          <w:szCs w:val="24"/>
        </w:rPr>
      </w:pPr>
      <w:r w:rsidRPr="002D269F">
        <w:rPr>
          <w:rFonts w:cs="Tahoma"/>
          <w:szCs w:val="24"/>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2D269F">
        <w:rPr>
          <w:rFonts w:cs="Tahoma"/>
          <w:szCs w:val="24"/>
        </w:rPr>
        <w:t>homoclave</w:t>
      </w:r>
      <w:proofErr w:type="spellEnd"/>
      <w:r w:rsidRPr="002D269F">
        <w:rPr>
          <w:rFonts w:cs="Tahoma"/>
          <w:szCs w:val="24"/>
        </w:rPr>
        <w:t xml:space="preserve"> que establece el sistema automático del Servicio de Administración Tributaria.</w:t>
      </w:r>
    </w:p>
    <w:p w14:paraId="672BF469" w14:textId="77777777" w:rsidR="00612D3B" w:rsidRPr="002D269F" w:rsidRDefault="00612D3B" w:rsidP="00612D3B">
      <w:pPr>
        <w:widowControl w:val="0"/>
        <w:contextualSpacing/>
        <w:rPr>
          <w:rFonts w:cs="Tahoma"/>
          <w:szCs w:val="24"/>
        </w:rPr>
      </w:pPr>
    </w:p>
    <w:p w14:paraId="1C4C5303" w14:textId="77777777" w:rsidR="00612D3B" w:rsidRPr="002D269F" w:rsidRDefault="00612D3B" w:rsidP="00612D3B">
      <w:pPr>
        <w:contextualSpacing/>
        <w:rPr>
          <w:rFonts w:cs="Tahoma"/>
          <w:szCs w:val="24"/>
        </w:rPr>
      </w:pPr>
      <w:r w:rsidRPr="002D269F">
        <w:rPr>
          <w:rFonts w:cs="Tahoma"/>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195F06" w14:textId="77777777" w:rsidR="00612D3B" w:rsidRPr="002D269F" w:rsidRDefault="00612D3B" w:rsidP="00612D3B">
      <w:pPr>
        <w:contextualSpacing/>
        <w:rPr>
          <w:rFonts w:cs="Tahoma"/>
          <w:szCs w:val="24"/>
        </w:rPr>
      </w:pPr>
    </w:p>
    <w:p w14:paraId="635F4736" w14:textId="77777777" w:rsidR="00612D3B" w:rsidRPr="002D269F" w:rsidRDefault="00612D3B" w:rsidP="00612D3B">
      <w:pPr>
        <w:contextualSpacing/>
        <w:rPr>
          <w:rFonts w:cs="Tahoma"/>
          <w:szCs w:val="24"/>
        </w:rPr>
      </w:pPr>
      <w:r w:rsidRPr="002D269F">
        <w:rPr>
          <w:rFonts w:cs="Tahoma"/>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2D269F">
        <w:rPr>
          <w:rFonts w:cs="Tahoma"/>
          <w:szCs w:val="24"/>
        </w:rPr>
        <w:t>involucradas</w:t>
      </w:r>
      <w:proofErr w:type="gramEnd"/>
      <w:r w:rsidRPr="002D269F">
        <w:rPr>
          <w:rFonts w:cs="Tahoma"/>
          <w:szCs w:val="24"/>
        </w:rPr>
        <w:t xml:space="preserve">, en el pago de estos, en el presente caso, del pago del Impuesto Sobre el Producto del Trabajo. </w:t>
      </w:r>
    </w:p>
    <w:p w14:paraId="593BE13F" w14:textId="77777777" w:rsidR="00612D3B" w:rsidRPr="002D269F" w:rsidRDefault="00612D3B" w:rsidP="00612D3B">
      <w:pPr>
        <w:contextualSpacing/>
        <w:rPr>
          <w:rFonts w:cs="Tahoma"/>
          <w:szCs w:val="24"/>
        </w:rPr>
      </w:pPr>
    </w:p>
    <w:p w14:paraId="693D06AD" w14:textId="77777777" w:rsidR="00612D3B" w:rsidRPr="002D269F" w:rsidRDefault="00612D3B" w:rsidP="00612D3B">
      <w:pPr>
        <w:rPr>
          <w:rFonts w:cs="Tahoma"/>
          <w:bCs/>
          <w:szCs w:val="24"/>
        </w:rPr>
      </w:pPr>
      <w:r w:rsidRPr="002D269F">
        <w:rPr>
          <w:rFonts w:cs="Tahoma"/>
          <w:bCs/>
          <w:szCs w:val="24"/>
        </w:rPr>
        <w:t>Lo anterior, resulta congruente con el Criterio 19/17 emitido por el Instituto Nacional de Transparencia, Acceso a la Información y Protección de Datos Personales, en el cual se señala lo siguiente:</w:t>
      </w:r>
    </w:p>
    <w:p w14:paraId="1E448CCC" w14:textId="77777777" w:rsidR="00612D3B" w:rsidRPr="002D269F" w:rsidRDefault="00612D3B" w:rsidP="00612D3B">
      <w:pPr>
        <w:rPr>
          <w:rFonts w:cs="Tahoma"/>
          <w:bCs/>
          <w:szCs w:val="24"/>
        </w:rPr>
      </w:pPr>
    </w:p>
    <w:p w14:paraId="6535FE0D" w14:textId="77777777" w:rsidR="00612D3B" w:rsidRPr="002D269F" w:rsidRDefault="00612D3B" w:rsidP="00612D3B">
      <w:pPr>
        <w:spacing w:line="240" w:lineRule="auto"/>
        <w:ind w:left="851" w:right="851"/>
        <w:contextualSpacing/>
        <w:rPr>
          <w:rFonts w:cs="Tahoma"/>
          <w:i/>
        </w:rPr>
      </w:pPr>
      <w:r w:rsidRPr="002D269F">
        <w:rPr>
          <w:rFonts w:cs="Tahoma"/>
          <w:b/>
          <w:i/>
        </w:rPr>
        <w:lastRenderedPageBreak/>
        <w:t>“Registro Federal de Contribuyentes (RFC) de personas físicas.</w:t>
      </w:r>
      <w:r w:rsidRPr="002D269F">
        <w:rPr>
          <w:rFonts w:cs="Tahoma"/>
          <w:i/>
        </w:rPr>
        <w:t xml:space="preserve"> El RFC es una clave de carácter fiscal, única e irrepetible, que permite identificar al titular, su edad y fecha de nacimiento, por lo que es un dato personal de carácter confidencial.”</w:t>
      </w:r>
    </w:p>
    <w:p w14:paraId="63602571" w14:textId="77777777" w:rsidR="00612D3B" w:rsidRPr="002D269F" w:rsidRDefault="00612D3B" w:rsidP="00612D3B">
      <w:pPr>
        <w:ind w:left="567" w:right="567"/>
        <w:contextualSpacing/>
        <w:rPr>
          <w:rFonts w:cs="Tahoma"/>
        </w:rPr>
      </w:pPr>
    </w:p>
    <w:p w14:paraId="7A894F64" w14:textId="77777777" w:rsidR="00612D3B" w:rsidRPr="002D269F" w:rsidRDefault="00612D3B" w:rsidP="00612D3B">
      <w:pPr>
        <w:widowControl w:val="0"/>
        <w:contextualSpacing/>
        <w:rPr>
          <w:rFonts w:cs="Tahoma"/>
          <w:bCs/>
          <w:iCs/>
          <w:szCs w:val="24"/>
        </w:rPr>
      </w:pPr>
      <w:r w:rsidRPr="002D269F">
        <w:rPr>
          <w:rFonts w:cs="Tahoma"/>
          <w:szCs w:val="24"/>
        </w:rPr>
        <w:t>De tal suerte, el Registro Federal de Contribuyentes</w:t>
      </w:r>
      <w:r w:rsidRPr="002D269F">
        <w:rPr>
          <w:rFonts w:cs="Tahoma"/>
          <w:b/>
          <w:bCs/>
          <w:iCs/>
          <w:szCs w:val="24"/>
        </w:rPr>
        <w:t>, es un dato personal</w:t>
      </w:r>
      <w:r w:rsidRPr="002D269F">
        <w:rPr>
          <w:rFonts w:cs="Tahoma"/>
          <w:bCs/>
          <w:iCs/>
          <w:szCs w:val="24"/>
        </w:rPr>
        <w:t xml:space="preserve">, ya que hace a las personas físicas identificables, además de que las relaciona como contribuyentes de las autoridades fiscales. </w:t>
      </w:r>
    </w:p>
    <w:p w14:paraId="00B7AC63" w14:textId="77777777" w:rsidR="00612D3B" w:rsidRPr="002D269F" w:rsidRDefault="00612D3B" w:rsidP="00612D3B">
      <w:pPr>
        <w:widowControl w:val="0"/>
        <w:contextualSpacing/>
        <w:rPr>
          <w:rFonts w:cs="Tahoma"/>
          <w:bCs/>
          <w:iCs/>
          <w:szCs w:val="24"/>
        </w:rPr>
      </w:pPr>
    </w:p>
    <w:p w14:paraId="215D0B96" w14:textId="77777777" w:rsidR="00612D3B" w:rsidRPr="002D269F" w:rsidRDefault="00612D3B" w:rsidP="00612D3B">
      <w:pPr>
        <w:rPr>
          <w:rFonts w:cs="Tahoma"/>
          <w:bCs/>
          <w:szCs w:val="24"/>
        </w:rPr>
      </w:pPr>
      <w:r w:rsidRPr="002D269F">
        <w:rPr>
          <w:rFonts w:cs="Tahoma"/>
          <w:bCs/>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2D269F">
        <w:rPr>
          <w:rFonts w:cs="Tahoma"/>
          <w:b/>
          <w:bCs/>
          <w:szCs w:val="24"/>
        </w:rPr>
        <w:t>la cédula de identificación fiscal (Registro Federal de Contribuyentes);</w:t>
      </w:r>
      <w:r w:rsidRPr="002D269F">
        <w:rPr>
          <w:rFonts w:cs="Tahoma"/>
          <w:bCs/>
          <w:szCs w:val="24"/>
        </w:rPr>
        <w:t xml:space="preserve"> por lo que la entrega de dicho dato permite verificar cumplimiento de esta disposición legal.</w:t>
      </w:r>
    </w:p>
    <w:p w14:paraId="0992471F" w14:textId="77777777" w:rsidR="00612D3B" w:rsidRPr="002D269F" w:rsidRDefault="00612D3B" w:rsidP="00612D3B">
      <w:pPr>
        <w:rPr>
          <w:rFonts w:cs="Tahoma"/>
          <w:bCs/>
          <w:szCs w:val="24"/>
        </w:rPr>
      </w:pPr>
    </w:p>
    <w:p w14:paraId="4BBF3622" w14:textId="77777777" w:rsidR="00612D3B" w:rsidRPr="002D269F" w:rsidRDefault="00612D3B" w:rsidP="00612D3B">
      <w:pPr>
        <w:rPr>
          <w:rFonts w:cs="Tahoma"/>
          <w:b/>
          <w:bCs/>
          <w:szCs w:val="24"/>
        </w:rPr>
      </w:pPr>
      <w:r w:rsidRPr="002D269F">
        <w:rPr>
          <w:rFonts w:cs="Tahoma"/>
          <w:bCs/>
          <w:szCs w:val="24"/>
        </w:rPr>
        <w:t xml:space="preserve">Por lo tanto, </w:t>
      </w:r>
      <w:r w:rsidRPr="002D269F">
        <w:rPr>
          <w:rFonts w:cs="Tahoma"/>
          <w:b/>
          <w:bCs/>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2D269F">
        <w:rPr>
          <w:rFonts w:cs="Tahoma"/>
          <w:bCs/>
          <w:szCs w:val="24"/>
        </w:rPr>
        <w:t xml:space="preserve">, ya que sin este, no se pueden realizar dichas acciones, </w:t>
      </w:r>
      <w:r w:rsidRPr="002D269F">
        <w:rPr>
          <w:rFonts w:cs="Tahoma"/>
          <w:b/>
          <w:bCs/>
          <w:szCs w:val="24"/>
        </w:rPr>
        <w:t>por lo que su entrega es un elemento adicional que respalda la legalidad de los procesos adquisitivos.</w:t>
      </w:r>
    </w:p>
    <w:p w14:paraId="018C8B96" w14:textId="77777777" w:rsidR="00612D3B" w:rsidRPr="002D269F" w:rsidRDefault="00612D3B" w:rsidP="00612D3B">
      <w:pPr>
        <w:rPr>
          <w:rFonts w:cs="Tahoma"/>
          <w:bCs/>
          <w:szCs w:val="24"/>
        </w:rPr>
      </w:pPr>
    </w:p>
    <w:p w14:paraId="07D3B164" w14:textId="77777777" w:rsidR="00612D3B" w:rsidRPr="002D269F" w:rsidRDefault="00612D3B" w:rsidP="00612D3B">
      <w:pPr>
        <w:rPr>
          <w:rFonts w:cs="Tahoma"/>
          <w:bCs/>
          <w:szCs w:val="24"/>
        </w:rPr>
      </w:pPr>
      <w:r w:rsidRPr="002D269F">
        <w:rPr>
          <w:rFonts w:cs="Tahoma"/>
          <w:bCs/>
          <w:szCs w:val="24"/>
        </w:rPr>
        <w:lastRenderedPageBreak/>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F491023" w14:textId="77777777" w:rsidR="00612D3B" w:rsidRPr="002D269F" w:rsidRDefault="00612D3B" w:rsidP="00612D3B">
      <w:pPr>
        <w:rPr>
          <w:rFonts w:cs="Tahoma"/>
          <w:bCs/>
          <w:szCs w:val="24"/>
        </w:rPr>
      </w:pPr>
    </w:p>
    <w:p w14:paraId="10FCE6A5" w14:textId="77777777" w:rsidR="00612D3B" w:rsidRPr="002D269F" w:rsidRDefault="00612D3B" w:rsidP="00612D3B">
      <w:pPr>
        <w:rPr>
          <w:rFonts w:cs="Tahoma"/>
          <w:bCs/>
          <w:szCs w:val="24"/>
        </w:rPr>
      </w:pPr>
      <w:r w:rsidRPr="002D269F">
        <w:rPr>
          <w:rFonts w:cs="Tahoma"/>
          <w:bCs/>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51291484" w14:textId="77777777" w:rsidR="00612D3B" w:rsidRPr="002D269F" w:rsidRDefault="00612D3B" w:rsidP="00612D3B">
      <w:pPr>
        <w:rPr>
          <w:rFonts w:cs="Tahoma"/>
          <w:bCs/>
          <w:szCs w:val="24"/>
        </w:rPr>
      </w:pPr>
    </w:p>
    <w:p w14:paraId="3004FE38" w14:textId="77777777" w:rsidR="00612D3B" w:rsidRPr="002D269F" w:rsidRDefault="00612D3B" w:rsidP="00612D3B">
      <w:pPr>
        <w:rPr>
          <w:rFonts w:cs="Tahoma"/>
          <w:bCs/>
          <w:szCs w:val="24"/>
        </w:rPr>
      </w:pPr>
      <w:r w:rsidRPr="002D269F">
        <w:rPr>
          <w:rFonts w:cs="Tahoma"/>
          <w:bCs/>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4A998442" w14:textId="77777777" w:rsidR="00612D3B" w:rsidRPr="002D269F" w:rsidRDefault="00612D3B" w:rsidP="00612D3B">
      <w:pPr>
        <w:shd w:val="clear" w:color="auto" w:fill="FFFFFF" w:themeFill="background1"/>
        <w:rPr>
          <w:rFonts w:cs="Tahoma"/>
          <w:b/>
          <w:bCs/>
        </w:rPr>
      </w:pPr>
    </w:p>
    <w:p w14:paraId="7E73B09D" w14:textId="77777777" w:rsidR="00612D3B" w:rsidRPr="002D269F" w:rsidRDefault="00612D3B" w:rsidP="00612D3B">
      <w:pPr>
        <w:pStyle w:val="Prrafodelista"/>
        <w:numPr>
          <w:ilvl w:val="0"/>
          <w:numId w:val="15"/>
        </w:numPr>
        <w:shd w:val="clear" w:color="auto" w:fill="FFFFFF" w:themeFill="background1"/>
        <w:rPr>
          <w:rFonts w:cs="Tahoma"/>
          <w:b/>
          <w:bCs/>
        </w:rPr>
      </w:pPr>
      <w:r w:rsidRPr="002D269F">
        <w:rPr>
          <w:rFonts w:cs="Tahoma"/>
          <w:b/>
          <w:bCs/>
        </w:rPr>
        <w:t>Persona Moral.</w:t>
      </w:r>
    </w:p>
    <w:p w14:paraId="647AD8DE" w14:textId="196B46BC" w:rsidR="00612D3B" w:rsidRPr="002D269F" w:rsidRDefault="00612D3B" w:rsidP="00612D3B">
      <w:pPr>
        <w:shd w:val="clear" w:color="auto" w:fill="FFFFFF" w:themeFill="background1"/>
        <w:rPr>
          <w:rFonts w:cs="Tahoma"/>
          <w:b/>
          <w:bCs/>
          <w:szCs w:val="24"/>
        </w:rPr>
      </w:pPr>
      <w:r w:rsidRPr="002D269F">
        <w:rPr>
          <w:rFonts w:cs="Tahoma"/>
          <w:bCs/>
          <w:szCs w:val="24"/>
        </w:rPr>
        <w:t xml:space="preserve">Al respecto, el Registro Federal de Contribuyentes, inicia con un preinscripción por Internet y se concluye en cualquier Administración Desconcentrada de Servicios al </w:t>
      </w:r>
      <w:r w:rsidRPr="002D269F">
        <w:rPr>
          <w:rFonts w:cs="Tahoma"/>
          <w:bCs/>
          <w:szCs w:val="24"/>
        </w:rPr>
        <w:lastRenderedPageBreak/>
        <w:t xml:space="preserve">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2D269F">
        <w:rPr>
          <w:rFonts w:cs="Tahoma"/>
          <w:b/>
          <w:bCs/>
          <w:szCs w:val="24"/>
        </w:rPr>
        <w:t>cédula de identificación fiscal o constancia de registro.</w:t>
      </w:r>
    </w:p>
    <w:p w14:paraId="57DEB92E" w14:textId="77777777" w:rsidR="00612D3B" w:rsidRPr="002D269F" w:rsidRDefault="00612D3B" w:rsidP="00612D3B">
      <w:pPr>
        <w:shd w:val="clear" w:color="auto" w:fill="FFFFFF" w:themeFill="background1"/>
        <w:rPr>
          <w:rFonts w:cs="Tahoma"/>
          <w:bCs/>
          <w:szCs w:val="24"/>
        </w:rPr>
      </w:pPr>
      <w:r w:rsidRPr="002D269F">
        <w:rPr>
          <w:rFonts w:cs="Tahoma"/>
          <w:bCs/>
          <w:szCs w:val="24"/>
        </w:rPr>
        <w:t xml:space="preserve">Por ende, la información correspondiente al Registro Federal de Contribuyentes de una persona moral </w:t>
      </w:r>
      <w:r w:rsidRPr="002D269F">
        <w:rPr>
          <w:rFonts w:cs="Tahoma"/>
          <w:b/>
          <w:bCs/>
          <w:szCs w:val="24"/>
        </w:rPr>
        <w:t>da cuenta del cumplimiento o no en sus obligaciones fiscales</w:t>
      </w:r>
      <w:r w:rsidRPr="002D269F">
        <w:rPr>
          <w:rFonts w:cs="Tahoma"/>
          <w:bCs/>
          <w:szCs w:val="24"/>
        </w:rPr>
        <w:t>; por tanto, se actualiza su clasificación como confidencial.</w:t>
      </w:r>
    </w:p>
    <w:p w14:paraId="1672EF35" w14:textId="77777777" w:rsidR="00612D3B" w:rsidRPr="002D269F" w:rsidRDefault="00612D3B" w:rsidP="00612D3B">
      <w:pPr>
        <w:shd w:val="clear" w:color="auto" w:fill="FFFFFF" w:themeFill="background1"/>
        <w:rPr>
          <w:rFonts w:cs="Tahoma"/>
          <w:bCs/>
          <w:szCs w:val="24"/>
        </w:rPr>
      </w:pPr>
      <w:r w:rsidRPr="002D269F">
        <w:rPr>
          <w:rFonts w:cs="Tahoma"/>
          <w:bCs/>
          <w:szCs w:val="24"/>
        </w:rPr>
        <w:t>Además, resulta aplicable el Criterio 08/19, emitido por el Instituto Nacional de Transparencia, Acceso a la Información y Protección de Datos Personales, que establece lo siguiente:</w:t>
      </w:r>
    </w:p>
    <w:p w14:paraId="524F8165" w14:textId="77777777" w:rsidR="00612D3B" w:rsidRPr="002D269F" w:rsidRDefault="00612D3B" w:rsidP="00612D3B">
      <w:pPr>
        <w:shd w:val="clear" w:color="auto" w:fill="FFFFFF" w:themeFill="background1"/>
        <w:rPr>
          <w:rFonts w:cs="Tahoma"/>
          <w:bCs/>
          <w:szCs w:val="24"/>
        </w:rPr>
      </w:pPr>
    </w:p>
    <w:p w14:paraId="4F23E1EC" w14:textId="77777777" w:rsidR="00612D3B" w:rsidRPr="002D269F" w:rsidRDefault="00612D3B" w:rsidP="00612D3B">
      <w:pPr>
        <w:shd w:val="clear" w:color="auto" w:fill="FFFFFF" w:themeFill="background1"/>
        <w:spacing w:line="240" w:lineRule="auto"/>
        <w:ind w:left="851" w:right="851"/>
        <w:rPr>
          <w:rFonts w:cs="Tahoma"/>
          <w:bCs/>
          <w:i/>
        </w:rPr>
      </w:pPr>
      <w:r w:rsidRPr="002D269F">
        <w:rPr>
          <w:rFonts w:cs="Tahoma"/>
          <w:bCs/>
          <w:i/>
        </w:rPr>
        <w:t>“</w:t>
      </w:r>
      <w:r w:rsidRPr="002D269F">
        <w:rPr>
          <w:rFonts w:cs="Tahoma"/>
          <w:b/>
          <w:bCs/>
          <w:i/>
        </w:rPr>
        <w:t xml:space="preserve">Razón social y RFC de personas morales. </w:t>
      </w:r>
      <w:r w:rsidRPr="002D269F">
        <w:rPr>
          <w:rFonts w:cs="Tahoma"/>
          <w:bCs/>
          <w:i/>
        </w:rPr>
        <w:t xml:space="preserve">La denominación o razón social de personas morales es pública, por encontrarse inscritas en el Registro Público de Comercio; asimismo, su </w:t>
      </w:r>
      <w:r w:rsidRPr="002D269F">
        <w:rPr>
          <w:rFonts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2D269F">
        <w:rPr>
          <w:rFonts w:cs="Tahoma"/>
          <w:bCs/>
          <w:i/>
        </w:rPr>
        <w:t>”</w:t>
      </w:r>
    </w:p>
    <w:p w14:paraId="2E9EF998" w14:textId="77777777" w:rsidR="00612D3B" w:rsidRPr="002D269F" w:rsidRDefault="00612D3B" w:rsidP="00612D3B">
      <w:pPr>
        <w:shd w:val="clear" w:color="auto" w:fill="FFFFFF" w:themeFill="background1"/>
        <w:spacing w:line="240" w:lineRule="auto"/>
        <w:ind w:left="851" w:right="851"/>
        <w:rPr>
          <w:rFonts w:cs="Tahoma"/>
          <w:bCs/>
          <w:i/>
        </w:rPr>
      </w:pPr>
    </w:p>
    <w:p w14:paraId="23DA1469" w14:textId="77777777" w:rsidR="00612D3B" w:rsidRPr="002D269F" w:rsidRDefault="00612D3B" w:rsidP="00612D3B">
      <w:pPr>
        <w:shd w:val="clear" w:color="auto" w:fill="FFFFFF" w:themeFill="background1"/>
        <w:spacing w:line="240" w:lineRule="auto"/>
        <w:ind w:left="851" w:right="851"/>
        <w:rPr>
          <w:rFonts w:cs="Tahoma"/>
          <w:bCs/>
          <w:i/>
        </w:rPr>
      </w:pPr>
      <w:r w:rsidRPr="002D269F">
        <w:rPr>
          <w:rFonts w:cs="Tahoma"/>
          <w:bCs/>
          <w:i/>
        </w:rPr>
        <w:t>Énfasis añadido.</w:t>
      </w:r>
    </w:p>
    <w:p w14:paraId="004DD1F8" w14:textId="77777777" w:rsidR="00612D3B" w:rsidRPr="002D269F" w:rsidRDefault="00612D3B" w:rsidP="00612D3B">
      <w:pPr>
        <w:shd w:val="clear" w:color="auto" w:fill="FFFFFF" w:themeFill="background1"/>
        <w:spacing w:line="240" w:lineRule="auto"/>
        <w:rPr>
          <w:rFonts w:cs="Tahoma"/>
          <w:bCs/>
        </w:rPr>
      </w:pPr>
    </w:p>
    <w:p w14:paraId="447CD80E" w14:textId="77777777" w:rsidR="00612D3B" w:rsidRPr="002D269F" w:rsidRDefault="00612D3B" w:rsidP="00612D3B">
      <w:pPr>
        <w:shd w:val="clear" w:color="auto" w:fill="FFFFFF" w:themeFill="background1"/>
        <w:rPr>
          <w:rFonts w:cs="Tahoma"/>
          <w:bCs/>
          <w:szCs w:val="24"/>
        </w:rPr>
      </w:pPr>
      <w:r w:rsidRPr="002D269F">
        <w:rPr>
          <w:rFonts w:cs="Tahoma"/>
          <w:bCs/>
          <w:szCs w:val="24"/>
        </w:rPr>
        <w:lastRenderedPageBreak/>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04797D70" w14:textId="77777777" w:rsidR="00612D3B" w:rsidRPr="002D269F" w:rsidRDefault="00612D3B" w:rsidP="00612D3B">
      <w:pPr>
        <w:shd w:val="clear" w:color="auto" w:fill="FFFFFF" w:themeFill="background1"/>
        <w:rPr>
          <w:rFonts w:cs="Tahoma"/>
          <w:bCs/>
          <w:szCs w:val="24"/>
        </w:rPr>
      </w:pPr>
    </w:p>
    <w:p w14:paraId="43CDE636" w14:textId="77777777" w:rsidR="00612D3B" w:rsidRPr="002D269F" w:rsidRDefault="00612D3B" w:rsidP="00612D3B">
      <w:pPr>
        <w:shd w:val="clear" w:color="auto" w:fill="FFFFFF" w:themeFill="background1"/>
        <w:rPr>
          <w:rFonts w:cs="Tahoma"/>
          <w:bCs/>
          <w:szCs w:val="24"/>
        </w:rPr>
      </w:pPr>
      <w:r w:rsidRPr="002D269F">
        <w:rPr>
          <w:rFonts w:cs="Tahoma"/>
          <w:bCs/>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D058C1E" w14:textId="77777777" w:rsidR="00612D3B" w:rsidRPr="002D269F" w:rsidRDefault="00612D3B" w:rsidP="00612D3B">
      <w:pPr>
        <w:rPr>
          <w:rFonts w:cs="Tahoma"/>
          <w:lang w:val="es-ES"/>
        </w:rPr>
      </w:pPr>
    </w:p>
    <w:p w14:paraId="68DD4751" w14:textId="77777777" w:rsidR="00612D3B" w:rsidRPr="002D269F" w:rsidRDefault="00612D3B" w:rsidP="00612D3B">
      <w:pPr>
        <w:pStyle w:val="Prrafodelista"/>
        <w:numPr>
          <w:ilvl w:val="0"/>
          <w:numId w:val="28"/>
        </w:numPr>
        <w:shd w:val="clear" w:color="auto" w:fill="FFFFFF" w:themeFill="background1"/>
        <w:contextualSpacing/>
        <w:rPr>
          <w:rFonts w:cs="Tahoma"/>
          <w:b/>
          <w:lang w:eastAsia="es-MX"/>
        </w:rPr>
      </w:pPr>
      <w:r w:rsidRPr="002D269F">
        <w:rPr>
          <w:rFonts w:cs="Tahoma"/>
          <w:b/>
          <w:lang w:eastAsia="es-MX"/>
        </w:rPr>
        <w:t>Domicilio Fiscal o legal para recibir y oír notificaciones (proveedor persona física o moral).</w:t>
      </w:r>
    </w:p>
    <w:p w14:paraId="0C05E843" w14:textId="77777777" w:rsidR="00612D3B" w:rsidRPr="002D269F" w:rsidRDefault="00612D3B" w:rsidP="00612D3B">
      <w:pPr>
        <w:rPr>
          <w:rFonts w:cs="Tahoma"/>
          <w:szCs w:val="24"/>
          <w:lang w:val="es-ES"/>
        </w:rPr>
      </w:pPr>
      <w:r w:rsidRPr="002D269F">
        <w:rPr>
          <w:rFonts w:cs="Tahoma"/>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9AC1327" w14:textId="77777777" w:rsidR="00612D3B" w:rsidRPr="002D269F" w:rsidRDefault="00612D3B" w:rsidP="00612D3B">
      <w:pPr>
        <w:rPr>
          <w:rFonts w:cs="Tahoma"/>
          <w:szCs w:val="24"/>
          <w:lang w:val="es-ES"/>
        </w:rPr>
      </w:pPr>
    </w:p>
    <w:p w14:paraId="39679D94" w14:textId="77777777" w:rsidR="00612D3B" w:rsidRPr="002D269F" w:rsidRDefault="00612D3B" w:rsidP="00612D3B">
      <w:pPr>
        <w:rPr>
          <w:rFonts w:cs="Tahoma"/>
          <w:szCs w:val="24"/>
          <w:lang w:val="es-ES"/>
        </w:rPr>
      </w:pPr>
      <w:r w:rsidRPr="002D269F">
        <w:rPr>
          <w:rFonts w:cs="Tahoma"/>
          <w:szCs w:val="24"/>
          <w:lang w:val="es-ES"/>
        </w:rPr>
        <w:t>De la misma manera, lo establece los diversos 29 y 33 del Código Civil Federal, al precisar que el domicilio de personas físicas</w:t>
      </w:r>
      <w:r w:rsidRPr="002D269F">
        <w:rPr>
          <w:rFonts w:cs="Tahoma"/>
          <w:b/>
          <w:szCs w:val="24"/>
          <w:lang w:val="es-ES"/>
        </w:rPr>
        <w:t xml:space="preserve">, es el lugar donde residen habitualmente, el lugar del centro principal de sus negocios, donde residan o el lugar donde se encuentren; </w:t>
      </w:r>
      <w:r w:rsidRPr="002D269F">
        <w:rPr>
          <w:rFonts w:cs="Tahoma"/>
          <w:szCs w:val="24"/>
          <w:lang w:val="es-ES"/>
        </w:rPr>
        <w:t>mientras que, de las personas morales, aquel donde se halle su administración.</w:t>
      </w:r>
    </w:p>
    <w:p w14:paraId="57150B82" w14:textId="77777777" w:rsidR="00612D3B" w:rsidRPr="002D269F" w:rsidRDefault="00612D3B" w:rsidP="00612D3B">
      <w:pPr>
        <w:rPr>
          <w:rFonts w:cs="Tahoma"/>
          <w:szCs w:val="24"/>
          <w:lang w:val="es-ES"/>
        </w:rPr>
      </w:pPr>
    </w:p>
    <w:p w14:paraId="5D6764C6" w14:textId="77777777" w:rsidR="00612D3B" w:rsidRPr="002D269F" w:rsidRDefault="00612D3B" w:rsidP="00612D3B">
      <w:pPr>
        <w:shd w:val="clear" w:color="auto" w:fill="FFFFFF" w:themeFill="background1"/>
        <w:rPr>
          <w:rFonts w:cs="Tahoma"/>
          <w:bCs/>
          <w:iCs/>
          <w:szCs w:val="24"/>
          <w:lang w:val="es-ES"/>
        </w:rPr>
      </w:pPr>
      <w:r w:rsidRPr="002D269F">
        <w:rPr>
          <w:rFonts w:cs="Tahoma"/>
          <w:bCs/>
          <w:iCs/>
          <w:szCs w:val="24"/>
          <w:lang w:val="es-ES"/>
        </w:rPr>
        <w:lastRenderedPageBreak/>
        <w:t>Además, respecto al domicilio fiscal, resulta necesario traer el artículo 10 del Código Fiscal de la Federación, que establece que, tratándose de personas físicas, corresponderá dicho dato:</w:t>
      </w:r>
    </w:p>
    <w:p w14:paraId="6291E502" w14:textId="77777777" w:rsidR="00612D3B" w:rsidRPr="002D269F" w:rsidRDefault="00612D3B" w:rsidP="00612D3B">
      <w:pPr>
        <w:shd w:val="clear" w:color="auto" w:fill="FFFFFF" w:themeFill="background1"/>
        <w:rPr>
          <w:rFonts w:cs="Tahoma"/>
          <w:bCs/>
          <w:iCs/>
          <w:szCs w:val="24"/>
          <w:lang w:val="es-ES"/>
        </w:rPr>
      </w:pPr>
    </w:p>
    <w:p w14:paraId="120B58D8" w14:textId="77777777" w:rsidR="00612D3B" w:rsidRPr="002D269F" w:rsidRDefault="00612D3B" w:rsidP="00612D3B">
      <w:pPr>
        <w:pStyle w:val="Prrafodelista"/>
        <w:numPr>
          <w:ilvl w:val="0"/>
          <w:numId w:val="27"/>
        </w:numPr>
        <w:shd w:val="clear" w:color="auto" w:fill="FFFFFF" w:themeFill="background1"/>
        <w:contextualSpacing/>
        <w:rPr>
          <w:rFonts w:cs="Tahoma"/>
          <w:bCs/>
          <w:iCs/>
        </w:rPr>
      </w:pPr>
      <w:r w:rsidRPr="002D269F">
        <w:rPr>
          <w:rFonts w:cs="Tahoma"/>
          <w:bCs/>
          <w:iCs/>
        </w:rPr>
        <w:t>El lugar donde realizan actividades empresariales, el local, en que se encuentre el principal asiente de sus negocios, y</w:t>
      </w:r>
    </w:p>
    <w:p w14:paraId="585C0526" w14:textId="77777777" w:rsidR="00612D3B" w:rsidRPr="002D269F" w:rsidRDefault="00612D3B" w:rsidP="00612D3B">
      <w:pPr>
        <w:pStyle w:val="Prrafodelista"/>
        <w:numPr>
          <w:ilvl w:val="0"/>
          <w:numId w:val="27"/>
        </w:numPr>
        <w:shd w:val="clear" w:color="auto" w:fill="FFFFFF" w:themeFill="background1"/>
        <w:contextualSpacing/>
        <w:rPr>
          <w:rFonts w:cs="Tahoma"/>
          <w:bCs/>
          <w:iCs/>
        </w:rPr>
      </w:pPr>
      <w:r w:rsidRPr="002D269F">
        <w:rPr>
          <w:rFonts w:cs="Tahoma"/>
          <w:bCs/>
          <w:iCs/>
        </w:rPr>
        <w:t>La casa habitación, cuando no cuenta con un local o lugar donde realice las acciones previamente señaladas.</w:t>
      </w:r>
    </w:p>
    <w:p w14:paraId="5D3E62DC" w14:textId="77777777" w:rsidR="00612D3B" w:rsidRPr="002D269F" w:rsidRDefault="00612D3B" w:rsidP="00612D3B">
      <w:pPr>
        <w:pStyle w:val="Prrafodelista"/>
        <w:shd w:val="clear" w:color="auto" w:fill="FFFFFF" w:themeFill="background1"/>
        <w:ind w:left="720"/>
        <w:contextualSpacing/>
        <w:rPr>
          <w:rFonts w:cs="Tahoma"/>
          <w:bCs/>
          <w:iCs/>
        </w:rPr>
      </w:pPr>
    </w:p>
    <w:p w14:paraId="3D638CE1" w14:textId="77777777" w:rsidR="00612D3B" w:rsidRPr="002D269F" w:rsidRDefault="00612D3B" w:rsidP="00612D3B">
      <w:pPr>
        <w:shd w:val="clear" w:color="auto" w:fill="FFFFFF" w:themeFill="background1"/>
        <w:rPr>
          <w:rFonts w:cs="Tahoma"/>
          <w:bCs/>
          <w:iCs/>
          <w:szCs w:val="24"/>
          <w:lang w:val="es-ES"/>
        </w:rPr>
      </w:pPr>
      <w:r w:rsidRPr="002D269F">
        <w:rPr>
          <w:rFonts w:cs="Tahoma"/>
          <w:bCs/>
          <w:iCs/>
          <w:szCs w:val="24"/>
          <w:lang w:val="es-ES"/>
        </w:rPr>
        <w:t>Mientras, que, en el caso de personas morales, el domicilio fiscal, corresponderá al local donde se encuentra la administración principal del negocio.</w:t>
      </w:r>
    </w:p>
    <w:p w14:paraId="2F20705A" w14:textId="77777777" w:rsidR="00612D3B" w:rsidRPr="002D269F" w:rsidRDefault="00612D3B" w:rsidP="00612D3B">
      <w:pPr>
        <w:shd w:val="clear" w:color="auto" w:fill="FFFFFF" w:themeFill="background1"/>
        <w:rPr>
          <w:rFonts w:cs="Tahoma"/>
          <w:bCs/>
          <w:iCs/>
          <w:szCs w:val="24"/>
          <w:lang w:val="es-ES"/>
        </w:rPr>
      </w:pPr>
    </w:p>
    <w:p w14:paraId="0A82F3A8" w14:textId="77777777" w:rsidR="00612D3B" w:rsidRPr="002D269F" w:rsidRDefault="00612D3B" w:rsidP="00612D3B">
      <w:pPr>
        <w:shd w:val="clear" w:color="auto" w:fill="FFFFFF" w:themeFill="background1"/>
        <w:rPr>
          <w:rFonts w:cs="Tahoma"/>
          <w:bCs/>
          <w:iCs/>
          <w:szCs w:val="24"/>
          <w:lang w:val="es-ES"/>
        </w:rPr>
      </w:pPr>
      <w:r w:rsidRPr="002D269F">
        <w:rPr>
          <w:rFonts w:cs="Tahoma"/>
          <w:bCs/>
          <w:iCs/>
          <w:szCs w:val="24"/>
          <w:lang w:val="es-ES"/>
        </w:rPr>
        <w:t>Como se logra observar, el domicilio fiscal de los proveedores personas físicas, se encuentra en dos supuestos, por lo que, se procede a su análisis.</w:t>
      </w:r>
    </w:p>
    <w:p w14:paraId="77A3712D" w14:textId="77777777" w:rsidR="00612D3B" w:rsidRPr="002D269F" w:rsidRDefault="00612D3B" w:rsidP="00612D3B">
      <w:pPr>
        <w:rPr>
          <w:rFonts w:cs="Tahoma"/>
          <w:szCs w:val="24"/>
          <w:lang w:val="es-ES"/>
        </w:rPr>
      </w:pPr>
    </w:p>
    <w:p w14:paraId="5439C28F" w14:textId="77777777" w:rsidR="00612D3B" w:rsidRPr="002D269F" w:rsidRDefault="00612D3B" w:rsidP="00612D3B">
      <w:pPr>
        <w:rPr>
          <w:rFonts w:cs="Tahoma"/>
          <w:szCs w:val="24"/>
          <w:lang w:val="es-ES"/>
        </w:rPr>
      </w:pPr>
      <w:r w:rsidRPr="002D269F">
        <w:rPr>
          <w:rFonts w:cs="Tahoma"/>
          <w:szCs w:val="24"/>
          <w:lang w:val="es-ES"/>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w:t>
      </w:r>
      <w:r w:rsidRPr="002D269F">
        <w:rPr>
          <w:rFonts w:cs="Tahoma"/>
          <w:szCs w:val="24"/>
          <w:lang w:val="es-ES"/>
        </w:rPr>
        <w:lastRenderedPageBreak/>
        <w:t>el beneficio de vender sus productos o servicios y recibir por ellos dinero del erario, situación que debe ser transparentada.</w:t>
      </w:r>
    </w:p>
    <w:p w14:paraId="46E9C17D" w14:textId="77777777" w:rsidR="00612D3B" w:rsidRPr="002D269F" w:rsidRDefault="00612D3B" w:rsidP="00612D3B">
      <w:pPr>
        <w:rPr>
          <w:rFonts w:cs="Tahoma"/>
          <w:szCs w:val="24"/>
          <w:lang w:val="es-ES"/>
        </w:rPr>
      </w:pPr>
    </w:p>
    <w:p w14:paraId="10B0B493" w14:textId="77777777" w:rsidR="00612D3B" w:rsidRPr="002D269F" w:rsidRDefault="00612D3B" w:rsidP="00612D3B">
      <w:pPr>
        <w:rPr>
          <w:rFonts w:cs="Tahoma"/>
          <w:bCs/>
          <w:szCs w:val="24"/>
        </w:rPr>
      </w:pPr>
      <w:r w:rsidRPr="002D269F">
        <w:rPr>
          <w:rFonts w:cs="Tahoma"/>
          <w:bCs/>
          <w:iCs/>
          <w:szCs w:val="24"/>
          <w:lang w:val="es-ES"/>
        </w:rPr>
        <w:t xml:space="preserve">Ahora bien, en el caso de que el domicilio corresponda al lugar donde realiza sus actividades empresariales, como es el caso de las personas morales, se considera necesario traer a colación, </w:t>
      </w:r>
      <w:r w:rsidRPr="002D269F">
        <w:rPr>
          <w:rFonts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660C2EE9" w14:textId="42AA8E01" w:rsidR="00612D3B" w:rsidRPr="002D269F" w:rsidRDefault="00612D3B" w:rsidP="00612D3B">
      <w:pPr>
        <w:rPr>
          <w:rFonts w:cs="Tahoma"/>
          <w:bCs/>
          <w:szCs w:val="24"/>
        </w:rPr>
      </w:pPr>
    </w:p>
    <w:p w14:paraId="7C7093BB" w14:textId="77777777" w:rsidR="00612D3B" w:rsidRPr="002D269F" w:rsidRDefault="00612D3B" w:rsidP="00612D3B">
      <w:pPr>
        <w:rPr>
          <w:rFonts w:cs="Tahoma"/>
          <w:bCs/>
          <w:szCs w:val="24"/>
        </w:rPr>
      </w:pPr>
    </w:p>
    <w:p w14:paraId="05E06D24" w14:textId="77777777" w:rsidR="00612D3B" w:rsidRPr="002D269F" w:rsidRDefault="00612D3B" w:rsidP="00612D3B">
      <w:pPr>
        <w:rPr>
          <w:rFonts w:cs="Tahoma"/>
          <w:bCs/>
          <w:szCs w:val="24"/>
        </w:rPr>
      </w:pPr>
    </w:p>
    <w:p w14:paraId="0DC7A977" w14:textId="77777777" w:rsidR="00612D3B" w:rsidRPr="002D269F" w:rsidRDefault="00612D3B" w:rsidP="00612D3B">
      <w:pPr>
        <w:rPr>
          <w:rFonts w:cs="Tahoma"/>
          <w:bCs/>
          <w:szCs w:val="24"/>
        </w:rPr>
      </w:pPr>
    </w:p>
    <w:p w14:paraId="3FBCF43A" w14:textId="02BBB5D8" w:rsidR="00612D3B" w:rsidRPr="002D269F" w:rsidRDefault="00612D3B" w:rsidP="00612D3B">
      <w:pPr>
        <w:shd w:val="clear" w:color="auto" w:fill="FFFFFF" w:themeFill="background1"/>
        <w:jc w:val="center"/>
        <w:rPr>
          <w:rFonts w:cs="Tahoma"/>
          <w:b/>
          <w:bCs/>
          <w:iCs/>
          <w:lang w:val="es-ES"/>
        </w:rPr>
      </w:pPr>
      <w:r w:rsidRPr="002D269F">
        <w:rPr>
          <w:noProof/>
          <w:lang w:val="es-MX"/>
        </w:rPr>
        <w:drawing>
          <wp:inline distT="0" distB="0" distL="0" distR="0" wp14:anchorId="59E2420A" wp14:editId="58BA6B85">
            <wp:extent cx="3592830" cy="469265"/>
            <wp:effectExtent l="0" t="0" r="7620" b="6985"/>
            <wp:docPr id="396187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a:extLst>
                        <a:ext uri="{28A0092B-C50C-407E-A947-70E740481C1C}">
                          <a14:useLocalDpi xmlns:a14="http://schemas.microsoft.com/office/drawing/2010/main" val="0"/>
                        </a:ext>
                      </a:extLst>
                    </a:blip>
                    <a:srcRect b="18367"/>
                    <a:stretch>
                      <a:fillRect/>
                    </a:stretch>
                  </pic:blipFill>
                  <pic:spPr bwMode="auto">
                    <a:xfrm>
                      <a:off x="0" y="0"/>
                      <a:ext cx="3592830" cy="469265"/>
                    </a:xfrm>
                    <a:prstGeom prst="rect">
                      <a:avLst/>
                    </a:prstGeom>
                    <a:noFill/>
                    <a:ln>
                      <a:noFill/>
                    </a:ln>
                  </pic:spPr>
                </pic:pic>
              </a:graphicData>
            </a:graphic>
          </wp:inline>
        </w:drawing>
      </w:r>
    </w:p>
    <w:p w14:paraId="4EF21F2C" w14:textId="5F28EC00" w:rsidR="00612D3B" w:rsidRPr="002D269F" w:rsidRDefault="00612D3B" w:rsidP="00612D3B">
      <w:pPr>
        <w:shd w:val="clear" w:color="auto" w:fill="FFFFFF" w:themeFill="background1"/>
        <w:jc w:val="center"/>
        <w:rPr>
          <w:rFonts w:cs="Tahoma"/>
          <w:b/>
          <w:bCs/>
          <w:iCs/>
          <w:lang w:val="es-ES"/>
        </w:rPr>
      </w:pPr>
      <w:r w:rsidRPr="002D269F">
        <w:rPr>
          <w:noProof/>
          <w:lang w:val="es-MX"/>
        </w:rPr>
        <mc:AlternateContent>
          <mc:Choice Requires="wps">
            <w:drawing>
              <wp:anchor distT="0" distB="0" distL="114300" distR="114300" simplePos="0" relativeHeight="251659264" behindDoc="0" locked="0" layoutInCell="1" allowOverlap="1" wp14:anchorId="1EFB9519" wp14:editId="476A96D3">
                <wp:simplePos x="0" y="0"/>
                <wp:positionH relativeFrom="column">
                  <wp:posOffset>1138555</wp:posOffset>
                </wp:positionH>
                <wp:positionV relativeFrom="paragraph">
                  <wp:posOffset>1215390</wp:posOffset>
                </wp:positionV>
                <wp:extent cx="3529965" cy="914400"/>
                <wp:effectExtent l="19050" t="19050" r="13335" b="19050"/>
                <wp:wrapNone/>
                <wp:docPr id="46963877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48072B" id="Rectángulo 6" o:spid="_x0000_s1026" style="position:absolute;margin-left:89.65pt;margin-top:95.7pt;width:27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2D269F">
        <w:rPr>
          <w:noProof/>
          <w:lang w:val="es-MX"/>
        </w:rPr>
        <w:drawing>
          <wp:inline distT="0" distB="0" distL="0" distR="0" wp14:anchorId="580C50EC" wp14:editId="1B4C9E41">
            <wp:extent cx="3528060" cy="2160270"/>
            <wp:effectExtent l="0" t="0" r="0" b="0"/>
            <wp:docPr id="564676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extLst>
                        <a:ext uri="{28A0092B-C50C-407E-A947-70E740481C1C}">
                          <a14:useLocalDpi xmlns:a14="http://schemas.microsoft.com/office/drawing/2010/main" val="0"/>
                        </a:ext>
                      </a:extLst>
                    </a:blip>
                    <a:srcRect b="-502"/>
                    <a:stretch>
                      <a:fillRect/>
                    </a:stretch>
                  </pic:blipFill>
                  <pic:spPr bwMode="auto">
                    <a:xfrm>
                      <a:off x="0" y="0"/>
                      <a:ext cx="3528060" cy="2160270"/>
                    </a:xfrm>
                    <a:prstGeom prst="rect">
                      <a:avLst/>
                    </a:prstGeom>
                    <a:noFill/>
                    <a:ln>
                      <a:noFill/>
                    </a:ln>
                  </pic:spPr>
                </pic:pic>
              </a:graphicData>
            </a:graphic>
          </wp:inline>
        </w:drawing>
      </w:r>
    </w:p>
    <w:p w14:paraId="39A2CD7A" w14:textId="77777777" w:rsidR="00612D3B" w:rsidRPr="002D269F" w:rsidRDefault="00612D3B" w:rsidP="00612D3B">
      <w:pPr>
        <w:shd w:val="clear" w:color="auto" w:fill="FFFFFF" w:themeFill="background1"/>
        <w:rPr>
          <w:rFonts w:cs="Tahoma"/>
          <w:bCs/>
          <w:iCs/>
          <w:lang w:val="es-ES"/>
        </w:rPr>
      </w:pPr>
    </w:p>
    <w:p w14:paraId="35B189C7" w14:textId="77777777" w:rsidR="00612D3B" w:rsidRPr="002D269F" w:rsidRDefault="00612D3B" w:rsidP="00612D3B">
      <w:pPr>
        <w:shd w:val="clear" w:color="auto" w:fill="FFFFFF" w:themeFill="background1"/>
        <w:rPr>
          <w:rFonts w:cs="Tahoma"/>
          <w:bCs/>
          <w:iCs/>
          <w:szCs w:val="24"/>
          <w:lang w:val="es-ES"/>
        </w:rPr>
      </w:pPr>
      <w:r w:rsidRPr="002D269F">
        <w:rPr>
          <w:rFonts w:cs="Tahoma"/>
          <w:bCs/>
          <w:iCs/>
          <w:szCs w:val="24"/>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76FF6391" w14:textId="77777777" w:rsidR="00612D3B" w:rsidRPr="002D269F" w:rsidRDefault="00612D3B" w:rsidP="00612D3B">
      <w:pPr>
        <w:shd w:val="clear" w:color="auto" w:fill="FFFFFF" w:themeFill="background1"/>
        <w:rPr>
          <w:rFonts w:cs="Tahoma"/>
          <w:bCs/>
          <w:iCs/>
          <w:szCs w:val="24"/>
          <w:lang w:val="es-ES"/>
        </w:rPr>
      </w:pPr>
    </w:p>
    <w:p w14:paraId="3E9BAE6F" w14:textId="77777777" w:rsidR="00612D3B" w:rsidRPr="002D269F" w:rsidRDefault="00612D3B" w:rsidP="00612D3B">
      <w:pPr>
        <w:shd w:val="clear" w:color="auto" w:fill="FFFFFF" w:themeFill="background1"/>
        <w:rPr>
          <w:rFonts w:cs="Tahoma"/>
          <w:bCs/>
          <w:iCs/>
          <w:szCs w:val="24"/>
          <w:lang w:val="es-ES"/>
        </w:rPr>
      </w:pPr>
      <w:r w:rsidRPr="002D269F">
        <w:rPr>
          <w:rFonts w:cs="Tahoma"/>
          <w:bCs/>
          <w:iCs/>
          <w:szCs w:val="24"/>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757F9C6E" w14:textId="77777777" w:rsidR="00612D3B" w:rsidRPr="002D269F" w:rsidRDefault="00612D3B" w:rsidP="00612D3B">
      <w:pPr>
        <w:shd w:val="clear" w:color="auto" w:fill="FFFFFF" w:themeFill="background1"/>
        <w:rPr>
          <w:rFonts w:cs="Tahoma"/>
          <w:bCs/>
          <w:iCs/>
          <w:szCs w:val="24"/>
          <w:lang w:val="es-ES"/>
        </w:rPr>
      </w:pPr>
    </w:p>
    <w:p w14:paraId="0FAD102A" w14:textId="77777777" w:rsidR="00612D3B" w:rsidRPr="002D269F" w:rsidRDefault="00612D3B" w:rsidP="00612D3B">
      <w:pPr>
        <w:shd w:val="clear" w:color="auto" w:fill="FFFFFF" w:themeFill="background1"/>
        <w:rPr>
          <w:rFonts w:cs="Tahoma"/>
          <w:bCs/>
          <w:iCs/>
          <w:szCs w:val="24"/>
          <w:lang w:val="es-ES"/>
        </w:rPr>
      </w:pPr>
    </w:p>
    <w:p w14:paraId="28D3036C" w14:textId="77777777" w:rsidR="00612D3B" w:rsidRPr="002D269F" w:rsidRDefault="00612D3B" w:rsidP="00612D3B">
      <w:pPr>
        <w:shd w:val="clear" w:color="auto" w:fill="FFFFFF" w:themeFill="background1"/>
        <w:rPr>
          <w:rFonts w:cs="Tahoma"/>
          <w:bCs/>
          <w:iCs/>
          <w:szCs w:val="24"/>
          <w:lang w:val="es-ES"/>
        </w:rPr>
      </w:pPr>
    </w:p>
    <w:p w14:paraId="3BA12C6F" w14:textId="77777777" w:rsidR="00612D3B" w:rsidRPr="002D269F" w:rsidRDefault="00612D3B" w:rsidP="00612D3B">
      <w:pPr>
        <w:pStyle w:val="Prrafodelista"/>
        <w:numPr>
          <w:ilvl w:val="0"/>
          <w:numId w:val="29"/>
        </w:numPr>
        <w:ind w:right="-93"/>
        <w:rPr>
          <w:rFonts w:cs="Tahoma"/>
          <w:b/>
          <w:bCs/>
          <w:i/>
        </w:rPr>
      </w:pPr>
      <w:r w:rsidRPr="002D269F">
        <w:rPr>
          <w:rFonts w:cs="Tahoma"/>
          <w:b/>
          <w:bCs/>
          <w:i/>
        </w:rPr>
        <w:t>Número telefónico.</w:t>
      </w:r>
    </w:p>
    <w:p w14:paraId="31327D8F" w14:textId="25C6A190" w:rsidR="00612D3B" w:rsidRPr="002D269F" w:rsidRDefault="00612D3B" w:rsidP="00612D3B">
      <w:pPr>
        <w:ind w:right="-93"/>
        <w:rPr>
          <w:rFonts w:cs="Tahoma"/>
          <w:bCs/>
          <w:szCs w:val="24"/>
        </w:rPr>
      </w:pPr>
      <w:r w:rsidRPr="002D269F">
        <w:rPr>
          <w:rFonts w:cs="Tahoma"/>
          <w:bCs/>
          <w:szCs w:val="24"/>
        </w:rPr>
        <w:t>Un </w:t>
      </w:r>
      <w:r w:rsidRPr="002D269F">
        <w:rPr>
          <w:rFonts w:cs="Tahoma"/>
          <w:b/>
          <w:bCs/>
          <w:szCs w:val="24"/>
        </w:rPr>
        <w:t>número de teléfono</w:t>
      </w:r>
      <w:r w:rsidRPr="002D269F">
        <w:rPr>
          <w:rFonts w:cs="Tahoma"/>
          <w:bCs/>
          <w:szCs w:val="24"/>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w:t>
      </w:r>
      <w:proofErr w:type="gramStart"/>
      <w:r w:rsidRPr="002D269F">
        <w:rPr>
          <w:rFonts w:cs="Tahoma"/>
          <w:bCs/>
          <w:szCs w:val="24"/>
        </w:rPr>
        <w:t>deben</w:t>
      </w:r>
      <w:proofErr w:type="gramEnd"/>
      <w:r w:rsidRPr="002D269F">
        <w:rPr>
          <w:rFonts w:cs="Tahoma"/>
          <w:bCs/>
          <w:szCs w:val="24"/>
        </w:rPr>
        <w:t xml:space="preserve"> de tener un número único en la red para poder realizar una llamada telefónica.</w:t>
      </w:r>
    </w:p>
    <w:p w14:paraId="7907AB9D" w14:textId="77777777" w:rsidR="00612D3B" w:rsidRPr="002D269F" w:rsidRDefault="00612D3B" w:rsidP="00612D3B">
      <w:pPr>
        <w:ind w:right="-93"/>
        <w:rPr>
          <w:rFonts w:cs="Tahoma"/>
          <w:bCs/>
          <w:szCs w:val="24"/>
        </w:rPr>
      </w:pPr>
    </w:p>
    <w:p w14:paraId="364FAFFB" w14:textId="77777777" w:rsidR="00612D3B" w:rsidRPr="002D269F" w:rsidRDefault="00612D3B" w:rsidP="00612D3B">
      <w:pPr>
        <w:ind w:right="-93"/>
        <w:rPr>
          <w:rFonts w:cs="Tahoma"/>
          <w:bCs/>
          <w:szCs w:val="24"/>
        </w:rPr>
      </w:pPr>
      <w:r w:rsidRPr="002D269F">
        <w:rPr>
          <w:rFonts w:cs="Tahoma"/>
          <w:bCs/>
          <w:szCs w:val="24"/>
        </w:rPr>
        <w:t xml:space="preserve">Al respecto debe mencionarse que conforme </w:t>
      </w:r>
      <w:r w:rsidRPr="002D269F">
        <w:rPr>
          <w:rFonts w:cs="Tahoma"/>
          <w:bCs/>
          <w:iCs/>
          <w:szCs w:val="24"/>
          <w:lang w:val="es-ES"/>
        </w:rPr>
        <w:t xml:space="preserve">se considera necesario conforme a lo establecido en el criterio número 16 de </w:t>
      </w:r>
      <w:r w:rsidRPr="002D269F">
        <w:rPr>
          <w:rFonts w:cs="Tahoma"/>
          <w:bCs/>
          <w:szCs w:val="24"/>
        </w:rPr>
        <w:t xml:space="preserve">los formatos de los Lineamientos técnicos generales para la publicación, homologación y estandarización de la información de las obligaciones </w:t>
      </w:r>
      <w:r w:rsidRPr="002D269F">
        <w:rPr>
          <w:rFonts w:cs="Tahoma"/>
          <w:bCs/>
          <w:szCs w:val="24"/>
        </w:rPr>
        <w:lastRenderedPageBreak/>
        <w:t>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2A1EF319" w14:textId="77777777" w:rsidR="00612D3B" w:rsidRPr="002D269F" w:rsidRDefault="00612D3B" w:rsidP="00612D3B">
      <w:pPr>
        <w:ind w:right="-93"/>
        <w:rPr>
          <w:rFonts w:cs="Tahoma"/>
          <w:bCs/>
          <w:szCs w:val="24"/>
        </w:rPr>
      </w:pPr>
    </w:p>
    <w:p w14:paraId="0060C16E" w14:textId="77777777" w:rsidR="00612D3B" w:rsidRPr="002D269F" w:rsidRDefault="00612D3B" w:rsidP="00612D3B">
      <w:pPr>
        <w:ind w:right="-93"/>
        <w:rPr>
          <w:rFonts w:cs="Tahoma"/>
          <w:bCs/>
          <w:szCs w:val="24"/>
        </w:rPr>
      </w:pPr>
      <w:r w:rsidRPr="002D269F">
        <w:rPr>
          <w:rFonts w:cs="Tahoma"/>
          <w:bCs/>
          <w:szCs w:val="24"/>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2D269F">
        <w:rPr>
          <w:i/>
          <w:iCs/>
          <w:szCs w:val="24"/>
        </w:rPr>
        <w:t>número y folio de credencial de elector del representante legal, R.F.C. de la empresa, domicilio legal para oír y recibir notificaciones, número telefónico, así como el número de registro ante el Instituto Mexicano del Seguro Social</w:t>
      </w:r>
      <w:r w:rsidRPr="002D269F">
        <w:rPr>
          <w:rFonts w:cs="Tahoma"/>
          <w:bCs/>
          <w:szCs w:val="24"/>
        </w:rPr>
        <w:t>).</w:t>
      </w:r>
    </w:p>
    <w:p w14:paraId="1AE9470B" w14:textId="77777777" w:rsidR="00612D3B" w:rsidRPr="002D269F" w:rsidRDefault="00612D3B" w:rsidP="00612D3B">
      <w:pPr>
        <w:ind w:right="-93"/>
        <w:rPr>
          <w:rFonts w:cs="Tahoma"/>
          <w:bCs/>
          <w:szCs w:val="24"/>
        </w:rPr>
      </w:pPr>
    </w:p>
    <w:p w14:paraId="02573FAD" w14:textId="77777777" w:rsidR="00612D3B" w:rsidRPr="002D269F" w:rsidRDefault="00612D3B" w:rsidP="00612D3B">
      <w:pPr>
        <w:autoSpaceDE w:val="0"/>
        <w:autoSpaceDN w:val="0"/>
        <w:adjustRightInd w:val="0"/>
        <w:rPr>
          <w:rFonts w:cs="Arial"/>
          <w:szCs w:val="24"/>
        </w:rPr>
      </w:pPr>
      <w:r w:rsidRPr="002D269F">
        <w:rPr>
          <w:rFonts w:cs="Arial"/>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8328711" w14:textId="77777777" w:rsidR="00612D3B" w:rsidRPr="002D269F" w:rsidRDefault="00612D3B" w:rsidP="00612D3B">
      <w:pPr>
        <w:autoSpaceDE w:val="0"/>
        <w:autoSpaceDN w:val="0"/>
        <w:adjustRightInd w:val="0"/>
        <w:rPr>
          <w:rFonts w:cs="Arial"/>
          <w:szCs w:val="24"/>
        </w:rPr>
      </w:pPr>
    </w:p>
    <w:p w14:paraId="7574925B" w14:textId="77777777" w:rsidR="00612D3B" w:rsidRPr="002D269F" w:rsidRDefault="00612D3B" w:rsidP="00612D3B">
      <w:pPr>
        <w:autoSpaceDE w:val="0"/>
        <w:autoSpaceDN w:val="0"/>
        <w:adjustRightInd w:val="0"/>
        <w:ind w:right="50"/>
        <w:rPr>
          <w:rFonts w:cs="Arial"/>
          <w:szCs w:val="24"/>
        </w:rPr>
      </w:pPr>
      <w:r w:rsidRPr="002D269F">
        <w:rPr>
          <w:rFonts w:cs="Arial"/>
          <w:bCs/>
          <w:szCs w:val="24"/>
        </w:rPr>
        <w:lastRenderedPageBreak/>
        <w:t>Al respecto, los</w:t>
      </w:r>
      <w:r w:rsidRPr="002D269F">
        <w:rPr>
          <w:rFonts w:cs="Arial"/>
          <w:szCs w:val="24"/>
        </w:rPr>
        <w:t xml:space="preserve"> artículos 3, fracciones IX, XX, XXI, XXXII, XLV; 6, 49 fracción VIII, 137, 143, fracción I, de la Ley de Transparencia y Acceso a la Información Pública del Estado de México y Municipios vigente establecen:</w:t>
      </w:r>
    </w:p>
    <w:p w14:paraId="141FB595" w14:textId="77777777" w:rsidR="00612D3B" w:rsidRPr="002D269F" w:rsidRDefault="00612D3B" w:rsidP="00612D3B">
      <w:pPr>
        <w:autoSpaceDE w:val="0"/>
        <w:autoSpaceDN w:val="0"/>
        <w:adjustRightInd w:val="0"/>
        <w:ind w:right="50"/>
        <w:rPr>
          <w:rFonts w:cs="Arial"/>
          <w:szCs w:val="24"/>
        </w:rPr>
      </w:pPr>
    </w:p>
    <w:p w14:paraId="1F85C6CF" w14:textId="77777777" w:rsidR="00612D3B" w:rsidRPr="002D269F" w:rsidRDefault="00612D3B" w:rsidP="00612D3B">
      <w:pPr>
        <w:autoSpaceDE w:val="0"/>
        <w:autoSpaceDN w:val="0"/>
        <w:adjustRightInd w:val="0"/>
        <w:spacing w:line="240" w:lineRule="auto"/>
        <w:ind w:left="567" w:right="567"/>
        <w:rPr>
          <w:rFonts w:cs="Arial"/>
          <w:b/>
          <w:i/>
        </w:rPr>
      </w:pPr>
      <w:r w:rsidRPr="002D269F">
        <w:rPr>
          <w:rFonts w:cs="Arial"/>
          <w:b/>
          <w:i/>
        </w:rPr>
        <w:t>Artículo 3. Para los efectos de la presente Ley se entenderá por:</w:t>
      </w:r>
    </w:p>
    <w:p w14:paraId="6A28B715" w14:textId="77777777" w:rsidR="00612D3B" w:rsidRPr="002D269F" w:rsidRDefault="00612D3B" w:rsidP="00612D3B">
      <w:pPr>
        <w:autoSpaceDE w:val="0"/>
        <w:autoSpaceDN w:val="0"/>
        <w:adjustRightInd w:val="0"/>
        <w:spacing w:line="240" w:lineRule="auto"/>
        <w:ind w:left="567" w:right="567"/>
        <w:rPr>
          <w:rFonts w:cs="Arial"/>
          <w:b/>
          <w:i/>
        </w:rPr>
      </w:pPr>
      <w:r w:rsidRPr="002D269F">
        <w:rPr>
          <w:rFonts w:cs="Arial"/>
          <w:b/>
          <w:i/>
        </w:rPr>
        <w:t>…</w:t>
      </w:r>
    </w:p>
    <w:p w14:paraId="37049033"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IX. Datos personales:</w:t>
      </w:r>
      <w:r w:rsidRPr="002D269F">
        <w:rPr>
          <w:rFonts w:cs="Arial"/>
          <w:i/>
        </w:rPr>
        <w:t xml:space="preserve"> La información concerniente a una persona, identificada o identificable según lo dispuesto por la Ley de Protección de Datos Personales del Estado de México;</w:t>
      </w:r>
    </w:p>
    <w:p w14:paraId="451CB9C3"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w:t>
      </w:r>
    </w:p>
    <w:p w14:paraId="7A0F4162"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XX. Información clasificada:</w:t>
      </w:r>
      <w:r w:rsidRPr="002D269F">
        <w:rPr>
          <w:rFonts w:cs="Arial"/>
          <w:i/>
        </w:rPr>
        <w:t xml:space="preserve"> Aquella considerada por la presente Ley como reservada o confidencial;</w:t>
      </w:r>
    </w:p>
    <w:p w14:paraId="364C3ABF"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XXI. Información confidencial:</w:t>
      </w:r>
      <w:r w:rsidRPr="002D269F">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768BD4"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w:t>
      </w:r>
    </w:p>
    <w:p w14:paraId="4FDF00B5" w14:textId="77777777" w:rsidR="00612D3B" w:rsidRPr="002D269F" w:rsidRDefault="00612D3B" w:rsidP="00612D3B">
      <w:pPr>
        <w:autoSpaceDE w:val="0"/>
        <w:autoSpaceDN w:val="0"/>
        <w:adjustRightInd w:val="0"/>
        <w:spacing w:line="240" w:lineRule="auto"/>
        <w:ind w:left="567" w:right="567"/>
        <w:rPr>
          <w:i/>
        </w:rPr>
      </w:pPr>
      <w:r w:rsidRPr="002D269F">
        <w:rPr>
          <w:b/>
          <w:i/>
        </w:rPr>
        <w:t>XXXII. Protección de Datos Personales:</w:t>
      </w:r>
      <w:r w:rsidRPr="002D269F">
        <w:rPr>
          <w:i/>
        </w:rPr>
        <w:t xml:space="preserve"> Derecho humano que tutela la privacidad de datos personales en poder de los sujetos obligados y sujetos particulares;</w:t>
      </w:r>
    </w:p>
    <w:p w14:paraId="392AFE8A"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i/>
        </w:rPr>
        <w:t>…</w:t>
      </w:r>
    </w:p>
    <w:p w14:paraId="4173C55B" w14:textId="77777777" w:rsidR="00612D3B" w:rsidRPr="002D269F" w:rsidRDefault="00612D3B" w:rsidP="00612D3B">
      <w:pPr>
        <w:autoSpaceDE w:val="0"/>
        <w:autoSpaceDN w:val="0"/>
        <w:adjustRightInd w:val="0"/>
        <w:spacing w:line="240" w:lineRule="auto"/>
        <w:ind w:left="567" w:right="567"/>
        <w:rPr>
          <w:rFonts w:cs="Arial"/>
          <w:i/>
        </w:rPr>
      </w:pPr>
      <w:r w:rsidRPr="002D269F">
        <w:rPr>
          <w:rFonts w:cs="Arial"/>
          <w:b/>
          <w:i/>
        </w:rPr>
        <w:t>XLV. Versión pública</w:t>
      </w:r>
      <w:r w:rsidRPr="002D269F">
        <w:rPr>
          <w:rFonts w:cs="Arial"/>
          <w:i/>
        </w:rPr>
        <w:t>: Documento en el que se elimine, suprime o borra la información clasificada como reservada o confidencial para permitir su acceso.</w:t>
      </w:r>
    </w:p>
    <w:p w14:paraId="11670A01" w14:textId="77777777" w:rsidR="00612D3B" w:rsidRPr="002D269F" w:rsidRDefault="00612D3B" w:rsidP="00612D3B">
      <w:pPr>
        <w:spacing w:line="240" w:lineRule="auto"/>
        <w:ind w:left="567" w:right="567"/>
        <w:contextualSpacing/>
        <w:rPr>
          <w:i/>
        </w:rPr>
      </w:pPr>
      <w:r w:rsidRPr="002D269F">
        <w:rPr>
          <w:b/>
          <w:i/>
        </w:rPr>
        <w:t>Artículo 6.</w:t>
      </w:r>
      <w:r w:rsidRPr="002D269F">
        <w:rPr>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8F788F4" w14:textId="77777777" w:rsidR="00612D3B" w:rsidRPr="002D269F" w:rsidRDefault="00612D3B" w:rsidP="00612D3B">
      <w:pPr>
        <w:spacing w:line="240" w:lineRule="auto"/>
        <w:ind w:left="567" w:right="567"/>
        <w:contextualSpacing/>
        <w:rPr>
          <w:rFonts w:cs="Arial"/>
          <w:bCs/>
          <w:i/>
          <w:noProof/>
        </w:rPr>
      </w:pPr>
    </w:p>
    <w:p w14:paraId="0B4DC226" w14:textId="77777777" w:rsidR="00612D3B" w:rsidRPr="002D269F" w:rsidRDefault="00612D3B" w:rsidP="00612D3B">
      <w:pPr>
        <w:spacing w:line="240" w:lineRule="auto"/>
        <w:ind w:left="567" w:right="567"/>
        <w:contextualSpacing/>
        <w:rPr>
          <w:i/>
        </w:rPr>
      </w:pPr>
      <w:r w:rsidRPr="002D269F">
        <w:rPr>
          <w:b/>
          <w:i/>
        </w:rPr>
        <w:t>Artículo 49.</w:t>
      </w:r>
      <w:r w:rsidRPr="002D269F">
        <w:rPr>
          <w:i/>
        </w:rPr>
        <w:t xml:space="preserve"> Los Comités de Transparencia tendrán las siguientes atribuciones:</w:t>
      </w:r>
    </w:p>
    <w:p w14:paraId="411DE68C" w14:textId="77777777" w:rsidR="00612D3B" w:rsidRPr="002D269F" w:rsidRDefault="00612D3B" w:rsidP="00612D3B">
      <w:pPr>
        <w:spacing w:line="240" w:lineRule="auto"/>
        <w:ind w:left="567" w:right="567"/>
        <w:contextualSpacing/>
        <w:rPr>
          <w:i/>
        </w:rPr>
      </w:pPr>
      <w:r w:rsidRPr="002D269F">
        <w:rPr>
          <w:i/>
        </w:rPr>
        <w:t>…</w:t>
      </w:r>
    </w:p>
    <w:p w14:paraId="33227249" w14:textId="77777777" w:rsidR="00612D3B" w:rsidRPr="002D269F" w:rsidRDefault="00612D3B" w:rsidP="00612D3B">
      <w:pPr>
        <w:spacing w:line="240" w:lineRule="auto"/>
        <w:ind w:left="567" w:right="567"/>
        <w:contextualSpacing/>
        <w:rPr>
          <w:i/>
        </w:rPr>
      </w:pPr>
      <w:r w:rsidRPr="002D269F">
        <w:rPr>
          <w:b/>
          <w:i/>
        </w:rPr>
        <w:t>VIII</w:t>
      </w:r>
      <w:r w:rsidRPr="002D269F">
        <w:rPr>
          <w:i/>
        </w:rPr>
        <w:t>. Aprobar, modificar o revocar la clasificación de la información;</w:t>
      </w:r>
    </w:p>
    <w:p w14:paraId="4B8723CD" w14:textId="77777777" w:rsidR="00612D3B" w:rsidRPr="002D269F" w:rsidRDefault="00612D3B" w:rsidP="00612D3B">
      <w:pPr>
        <w:spacing w:line="240" w:lineRule="auto"/>
        <w:ind w:left="567" w:right="567"/>
        <w:contextualSpacing/>
        <w:rPr>
          <w:rFonts w:cs="Arial"/>
          <w:bCs/>
          <w:i/>
          <w:noProof/>
        </w:rPr>
      </w:pPr>
      <w:r w:rsidRPr="002D269F">
        <w:rPr>
          <w:i/>
        </w:rPr>
        <w:lastRenderedPageBreak/>
        <w:t>…</w:t>
      </w:r>
    </w:p>
    <w:p w14:paraId="1A753BAD" w14:textId="77777777" w:rsidR="00612D3B" w:rsidRPr="002D269F" w:rsidRDefault="00612D3B" w:rsidP="00612D3B">
      <w:pPr>
        <w:spacing w:line="240" w:lineRule="auto"/>
        <w:ind w:left="567" w:right="567"/>
        <w:contextualSpacing/>
        <w:rPr>
          <w:i/>
        </w:rPr>
      </w:pPr>
    </w:p>
    <w:p w14:paraId="1E7F2B46" w14:textId="77777777" w:rsidR="00612D3B" w:rsidRPr="002D269F" w:rsidRDefault="00612D3B" w:rsidP="00612D3B">
      <w:pPr>
        <w:spacing w:line="240" w:lineRule="auto"/>
        <w:ind w:left="567" w:right="567"/>
        <w:contextualSpacing/>
        <w:rPr>
          <w:rFonts w:cs="Arial"/>
          <w:b/>
          <w:bCs/>
          <w:i/>
          <w:noProof/>
        </w:rPr>
      </w:pPr>
      <w:r w:rsidRPr="002D269F">
        <w:rPr>
          <w:b/>
          <w:i/>
        </w:rPr>
        <w:t>Artículo 137</w:t>
      </w:r>
      <w:r w:rsidRPr="002D269F">
        <w:rPr>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ABE497" w14:textId="77777777" w:rsidR="00612D3B" w:rsidRPr="002D269F" w:rsidRDefault="00612D3B" w:rsidP="00612D3B">
      <w:pPr>
        <w:spacing w:line="240" w:lineRule="auto"/>
        <w:ind w:left="567" w:right="567"/>
        <w:contextualSpacing/>
        <w:rPr>
          <w:rFonts w:cs="Arial"/>
          <w:b/>
          <w:bCs/>
          <w:i/>
          <w:noProof/>
        </w:rPr>
      </w:pPr>
    </w:p>
    <w:p w14:paraId="506D2542" w14:textId="77777777" w:rsidR="00612D3B" w:rsidRPr="002D269F" w:rsidRDefault="00612D3B" w:rsidP="00612D3B">
      <w:pPr>
        <w:spacing w:line="240" w:lineRule="auto"/>
        <w:ind w:left="567" w:right="567"/>
        <w:contextualSpacing/>
        <w:rPr>
          <w:i/>
        </w:rPr>
      </w:pPr>
      <w:r w:rsidRPr="002D269F">
        <w:rPr>
          <w:b/>
          <w:i/>
        </w:rPr>
        <w:t>Artículo 143</w:t>
      </w:r>
      <w:r w:rsidRPr="002D269F">
        <w:rPr>
          <w:i/>
        </w:rPr>
        <w:t>. Para los efectos de esta Ley se considera información confidencial, la clasificada como tal, de manera permanente, por su naturaleza, cuando:</w:t>
      </w:r>
    </w:p>
    <w:p w14:paraId="063B3BDB" w14:textId="77777777" w:rsidR="00612D3B" w:rsidRPr="002D269F" w:rsidRDefault="00612D3B" w:rsidP="00612D3B">
      <w:pPr>
        <w:spacing w:line="240" w:lineRule="auto"/>
        <w:ind w:left="567" w:right="567"/>
        <w:contextualSpacing/>
        <w:rPr>
          <w:i/>
        </w:rPr>
      </w:pPr>
    </w:p>
    <w:p w14:paraId="29740319" w14:textId="77777777" w:rsidR="00612D3B" w:rsidRPr="002D269F" w:rsidRDefault="00612D3B" w:rsidP="00612D3B">
      <w:pPr>
        <w:spacing w:line="240" w:lineRule="auto"/>
        <w:ind w:left="567" w:right="567"/>
        <w:contextualSpacing/>
        <w:rPr>
          <w:i/>
        </w:rPr>
      </w:pPr>
      <w:r w:rsidRPr="002D269F">
        <w:rPr>
          <w:i/>
        </w:rPr>
        <w:t xml:space="preserve">I. Se refiera a la información privada y los datos personales concernientes a una persona física o </w:t>
      </w:r>
      <w:proofErr w:type="gramStart"/>
      <w:r w:rsidRPr="002D269F">
        <w:rPr>
          <w:i/>
        </w:rPr>
        <w:t>jurídico</w:t>
      </w:r>
      <w:proofErr w:type="gramEnd"/>
      <w:r w:rsidRPr="002D269F">
        <w:rPr>
          <w:i/>
        </w:rPr>
        <w:t xml:space="preserve"> colectiva identificada o identificable</w:t>
      </w:r>
    </w:p>
    <w:p w14:paraId="62A794F2" w14:textId="77777777" w:rsidR="00612D3B" w:rsidRPr="002D269F" w:rsidRDefault="00612D3B" w:rsidP="00612D3B">
      <w:pPr>
        <w:spacing w:line="240" w:lineRule="auto"/>
        <w:ind w:left="567" w:right="567"/>
        <w:contextualSpacing/>
        <w:rPr>
          <w:i/>
        </w:rPr>
      </w:pPr>
      <w:r w:rsidRPr="002D269F">
        <w:rPr>
          <w:i/>
        </w:rPr>
        <w:t>…</w:t>
      </w:r>
    </w:p>
    <w:p w14:paraId="5209F0F6" w14:textId="77777777" w:rsidR="00612D3B" w:rsidRPr="002D269F" w:rsidRDefault="00612D3B" w:rsidP="00612D3B">
      <w:pPr>
        <w:ind w:left="993" w:right="1610"/>
        <w:contextualSpacing/>
        <w:rPr>
          <w:i/>
        </w:rPr>
      </w:pPr>
    </w:p>
    <w:p w14:paraId="626E0088" w14:textId="77777777" w:rsidR="00612D3B" w:rsidRPr="002D269F" w:rsidRDefault="00612D3B" w:rsidP="00612D3B">
      <w:pPr>
        <w:rPr>
          <w:rFonts w:cs="Arial"/>
          <w:szCs w:val="24"/>
        </w:rPr>
      </w:pPr>
      <w:r w:rsidRPr="002D269F">
        <w:rPr>
          <w:rFonts w:cs="Arial"/>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31174237" w14:textId="77777777" w:rsidR="00612D3B" w:rsidRPr="002D269F" w:rsidRDefault="00612D3B" w:rsidP="00612D3B">
      <w:pPr>
        <w:spacing w:line="240" w:lineRule="auto"/>
        <w:rPr>
          <w:rFonts w:cs="Arial"/>
          <w:szCs w:val="24"/>
        </w:rPr>
      </w:pPr>
    </w:p>
    <w:p w14:paraId="64540588" w14:textId="77777777" w:rsidR="00612D3B" w:rsidRPr="002D269F" w:rsidRDefault="00612D3B" w:rsidP="00612D3B">
      <w:pPr>
        <w:tabs>
          <w:tab w:val="left" w:pos="7655"/>
          <w:tab w:val="left" w:pos="7938"/>
        </w:tabs>
        <w:spacing w:line="240" w:lineRule="auto"/>
        <w:ind w:left="851" w:right="902"/>
        <w:rPr>
          <w:rFonts w:eastAsia="Arial Unicode MS" w:cs="Arial"/>
          <w:i/>
        </w:rPr>
      </w:pPr>
      <w:r w:rsidRPr="002D269F">
        <w:rPr>
          <w:rFonts w:eastAsia="Arial Unicode MS" w:cs="Arial"/>
          <w:b/>
          <w:i/>
        </w:rPr>
        <w:t>“Artículo 14.</w:t>
      </w:r>
      <w:r w:rsidRPr="002D269F">
        <w:rPr>
          <w:rFonts w:eastAsia="Arial Unicode MS" w:cs="Arial"/>
          <w:i/>
        </w:rPr>
        <w:t xml:space="preserve"> Todo tratamiento de datos personales que efectúen los sujetos obligados deberá estar justificado en la Ley.</w:t>
      </w:r>
    </w:p>
    <w:p w14:paraId="06650C2D" w14:textId="77777777" w:rsidR="00612D3B" w:rsidRPr="002D269F" w:rsidRDefault="00612D3B" w:rsidP="00612D3B">
      <w:pPr>
        <w:tabs>
          <w:tab w:val="left" w:pos="7655"/>
          <w:tab w:val="left" w:pos="7938"/>
        </w:tabs>
        <w:spacing w:line="240" w:lineRule="auto"/>
        <w:ind w:left="851" w:right="902"/>
        <w:rPr>
          <w:rFonts w:eastAsia="Arial Unicode MS" w:cs="Arial"/>
          <w:b/>
          <w:i/>
        </w:rPr>
      </w:pPr>
      <w:r w:rsidRPr="002D269F">
        <w:rPr>
          <w:rFonts w:eastAsia="Arial Unicode MS" w:cs="Arial"/>
          <w:i/>
        </w:rPr>
        <w:t>No se considerará como una finalidad distinta a aquélla para la que fueron obtenidos, el tratamiento de los datos con fines estadísticos o científicos.</w:t>
      </w:r>
    </w:p>
    <w:p w14:paraId="6D90BEAF" w14:textId="77777777" w:rsidR="00612D3B" w:rsidRPr="002D269F" w:rsidRDefault="00612D3B" w:rsidP="00612D3B">
      <w:pPr>
        <w:tabs>
          <w:tab w:val="left" w:pos="7655"/>
          <w:tab w:val="left" w:pos="7938"/>
        </w:tabs>
        <w:spacing w:line="240" w:lineRule="auto"/>
        <w:ind w:left="851" w:right="902"/>
        <w:rPr>
          <w:rFonts w:eastAsia="Arial Unicode MS" w:cs="Arial"/>
          <w:b/>
          <w:i/>
        </w:rPr>
      </w:pPr>
    </w:p>
    <w:p w14:paraId="64F04372" w14:textId="77777777" w:rsidR="00612D3B" w:rsidRPr="002D269F" w:rsidRDefault="00612D3B" w:rsidP="00612D3B">
      <w:pPr>
        <w:tabs>
          <w:tab w:val="left" w:pos="7655"/>
          <w:tab w:val="left" w:pos="7938"/>
        </w:tabs>
        <w:spacing w:line="240" w:lineRule="auto"/>
        <w:ind w:left="851" w:right="902"/>
        <w:rPr>
          <w:rFonts w:eastAsia="Arial Unicode MS" w:cs="Arial"/>
          <w:i/>
        </w:rPr>
      </w:pPr>
      <w:r w:rsidRPr="002D269F">
        <w:rPr>
          <w:rFonts w:eastAsia="Arial Unicode MS" w:cs="Arial"/>
          <w:b/>
          <w:i/>
        </w:rPr>
        <w:t>Artículo 58.</w:t>
      </w:r>
      <w:r w:rsidRPr="002D269F">
        <w:rPr>
          <w:rFonts w:eastAsia="Arial Unicode MS" w:cs="Arial"/>
          <w:i/>
        </w:rPr>
        <w:t xml:space="preserve"> Los sujetos obligados deberán adoptar, mantener y documentar las medidas de seguridad administrativa, tecnológica, física y técnica necesarias </w:t>
      </w:r>
      <w:r w:rsidRPr="002D269F">
        <w:rPr>
          <w:rFonts w:eastAsia="Arial Unicode MS" w:cs="Arial"/>
          <w:i/>
        </w:rPr>
        <w:lastRenderedPageBreak/>
        <w:t>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705860A0" w14:textId="77777777" w:rsidR="00612D3B" w:rsidRPr="002D269F" w:rsidRDefault="00612D3B" w:rsidP="00612D3B">
      <w:pPr>
        <w:tabs>
          <w:tab w:val="left" w:pos="7655"/>
          <w:tab w:val="left" w:pos="7938"/>
        </w:tabs>
        <w:spacing w:line="240" w:lineRule="auto"/>
        <w:ind w:left="851" w:right="902"/>
        <w:rPr>
          <w:rFonts w:eastAsia="Arial Unicode MS" w:cs="Arial"/>
          <w:i/>
        </w:rPr>
      </w:pPr>
    </w:p>
    <w:p w14:paraId="097FCFC4" w14:textId="77777777" w:rsidR="00612D3B" w:rsidRPr="002D269F" w:rsidRDefault="00612D3B" w:rsidP="00612D3B">
      <w:pPr>
        <w:tabs>
          <w:tab w:val="left" w:pos="7655"/>
          <w:tab w:val="left" w:pos="7938"/>
        </w:tabs>
        <w:autoSpaceDE w:val="0"/>
        <w:autoSpaceDN w:val="0"/>
        <w:adjustRightInd w:val="0"/>
        <w:spacing w:line="240" w:lineRule="auto"/>
        <w:ind w:left="851" w:right="902"/>
        <w:rPr>
          <w:rFonts w:eastAsia="Arial Unicode MS" w:cs="Arial"/>
          <w:i/>
        </w:rPr>
      </w:pPr>
      <w:r w:rsidRPr="002D269F">
        <w:rPr>
          <w:rFonts w:eastAsia="Arial Unicode MS" w:cs="Arial"/>
          <w:i/>
        </w:rPr>
        <w:t>…” (Sic)</w:t>
      </w:r>
    </w:p>
    <w:p w14:paraId="07524C93" w14:textId="77777777" w:rsidR="00612D3B" w:rsidRPr="002D269F" w:rsidRDefault="00612D3B" w:rsidP="00612D3B">
      <w:pPr>
        <w:autoSpaceDE w:val="0"/>
        <w:autoSpaceDN w:val="0"/>
        <w:adjustRightInd w:val="0"/>
        <w:ind w:left="567" w:right="-1"/>
        <w:rPr>
          <w:rFonts w:cs="Arial"/>
          <w:i/>
          <w:szCs w:val="20"/>
        </w:rPr>
      </w:pPr>
    </w:p>
    <w:p w14:paraId="7B5069FB" w14:textId="77777777" w:rsidR="00612D3B" w:rsidRPr="002D269F" w:rsidRDefault="00612D3B" w:rsidP="00612D3B">
      <w:pPr>
        <w:rPr>
          <w:rFonts w:cs="Arial"/>
          <w:szCs w:val="24"/>
        </w:rPr>
      </w:pPr>
      <w:r w:rsidRPr="002D269F">
        <w:rPr>
          <w:rFonts w:cs="Arial"/>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56FEC66E" w14:textId="77777777" w:rsidR="00612D3B" w:rsidRPr="002D269F" w:rsidRDefault="00612D3B" w:rsidP="00612D3B">
      <w:pPr>
        <w:rPr>
          <w:rFonts w:cs="Arial"/>
          <w:szCs w:val="24"/>
        </w:rPr>
      </w:pPr>
    </w:p>
    <w:p w14:paraId="070F5ABB" w14:textId="77777777" w:rsidR="00612D3B" w:rsidRPr="002D269F" w:rsidRDefault="00612D3B" w:rsidP="00612D3B">
      <w:pPr>
        <w:rPr>
          <w:rFonts w:cs="Arial"/>
          <w:szCs w:val="24"/>
          <w:lang w:eastAsia="es-CO"/>
        </w:rPr>
      </w:pPr>
      <w:r w:rsidRPr="002D269F">
        <w:rPr>
          <w:rFonts w:cs="Arial"/>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2D269F">
        <w:rPr>
          <w:rFonts w:cs="Arial"/>
          <w:b/>
          <w:szCs w:val="24"/>
          <w:lang w:eastAsia="es-CO"/>
        </w:rPr>
        <w:t>Sujeto Obligado</w:t>
      </w:r>
      <w:r w:rsidRPr="002D269F">
        <w:rPr>
          <w:rFonts w:cs="Arial"/>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786511" w14:textId="77777777" w:rsidR="00E368CE" w:rsidRPr="002D269F" w:rsidRDefault="00E368CE" w:rsidP="00E368CE">
      <w:pPr>
        <w:rPr>
          <w:rFonts w:eastAsia="Palatino Linotype" w:cs="Palatino Linotype"/>
          <w:szCs w:val="24"/>
        </w:rPr>
      </w:pPr>
    </w:p>
    <w:p w14:paraId="28CA31EA" w14:textId="77777777" w:rsidR="00E368CE" w:rsidRPr="002D269F" w:rsidRDefault="00E368CE" w:rsidP="00E368CE">
      <w:pPr>
        <w:pBdr>
          <w:top w:val="nil"/>
          <w:left w:val="nil"/>
          <w:bottom w:val="nil"/>
          <w:right w:val="nil"/>
          <w:between w:val="nil"/>
        </w:pBdr>
        <w:rPr>
          <w:rFonts w:eastAsia="Palatino Linotype" w:cs="Palatino Linotype"/>
          <w:color w:val="000000"/>
          <w:szCs w:val="24"/>
        </w:rPr>
      </w:pPr>
      <w:r w:rsidRPr="002D269F">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2D269F">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del Recurrente.</w:t>
      </w:r>
    </w:p>
    <w:p w14:paraId="5CA80BA2" w14:textId="77777777" w:rsidR="00E368CE" w:rsidRPr="002D269F" w:rsidRDefault="00E368CE" w:rsidP="008A73A9"/>
    <w:p w14:paraId="0BED678B" w14:textId="173FA12A" w:rsidR="00B97B0E" w:rsidRPr="002D269F" w:rsidRDefault="00B97B0E" w:rsidP="00B97B0E">
      <w:pPr>
        <w:pBdr>
          <w:top w:val="nil"/>
          <w:left w:val="nil"/>
          <w:bottom w:val="nil"/>
          <w:right w:val="nil"/>
          <w:between w:val="nil"/>
        </w:pBdr>
        <w:rPr>
          <w:rFonts w:eastAsia="Palatino Linotype" w:cs="Palatino Linotype"/>
          <w:color w:val="000000"/>
          <w:szCs w:val="24"/>
        </w:rPr>
      </w:pPr>
      <w:r w:rsidRPr="002D269F">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8E40A8" w:rsidRPr="002D269F">
        <w:rPr>
          <w:rFonts w:eastAsia="Palatino Linotype" w:cs="Palatino Linotype"/>
          <w:b/>
          <w:color w:val="000000"/>
          <w:szCs w:val="24"/>
        </w:rPr>
        <w:t>con fundamento en la primera</w:t>
      </w:r>
      <w:r w:rsidRPr="002D269F">
        <w:rPr>
          <w:rFonts w:eastAsia="Palatino Linotype" w:cs="Palatino Linotype"/>
          <w:b/>
          <w:color w:val="000000"/>
          <w:szCs w:val="24"/>
        </w:rPr>
        <w:t xml:space="preserve"> hipótesis de la fracción III del artículo 186 </w:t>
      </w:r>
      <w:r w:rsidRPr="002D269F">
        <w:rPr>
          <w:rFonts w:eastAsia="Palatino Linotype" w:cs="Palatino Linotype"/>
          <w:color w:val="000000"/>
          <w:szCs w:val="24"/>
        </w:rPr>
        <w:t xml:space="preserve">de la Ley de Transparencia y Acceso a la Información Pública del Estado de México y Municipios, se </w:t>
      </w:r>
      <w:r w:rsidR="008E40A8" w:rsidRPr="002D269F">
        <w:rPr>
          <w:rFonts w:eastAsia="Palatino Linotype" w:cs="Palatino Linotype"/>
          <w:b/>
          <w:color w:val="000000"/>
          <w:szCs w:val="24"/>
        </w:rPr>
        <w:t>REVO</w:t>
      </w:r>
      <w:r w:rsidRPr="002D269F">
        <w:rPr>
          <w:rFonts w:eastAsia="Palatino Linotype" w:cs="Palatino Linotype"/>
          <w:b/>
          <w:color w:val="000000"/>
          <w:szCs w:val="24"/>
        </w:rPr>
        <w:t xml:space="preserve">CA </w:t>
      </w:r>
      <w:r w:rsidRPr="002D269F">
        <w:rPr>
          <w:rFonts w:eastAsia="Palatino Linotype" w:cs="Palatino Linotype"/>
          <w:color w:val="000000"/>
          <w:szCs w:val="24"/>
        </w:rPr>
        <w:t>la respuesta a la solicitud de información número</w:t>
      </w:r>
      <w:r w:rsidR="007504A3" w:rsidRPr="002D269F">
        <w:rPr>
          <w:rFonts w:eastAsia="Palatino Linotype" w:cs="Palatino Linotype"/>
          <w:b/>
          <w:bCs/>
          <w:color w:val="000000"/>
          <w:szCs w:val="24"/>
        </w:rPr>
        <w:t xml:space="preserve"> </w:t>
      </w:r>
      <w:r w:rsidR="001E62B8" w:rsidRPr="002D269F">
        <w:rPr>
          <w:rFonts w:eastAsia="Palatino Linotype" w:cs="Palatino Linotype"/>
          <w:b/>
          <w:bCs/>
          <w:color w:val="000000"/>
          <w:szCs w:val="24"/>
        </w:rPr>
        <w:t>00148/JOCOTIT/IP/2025</w:t>
      </w:r>
      <w:r w:rsidRPr="002D269F">
        <w:rPr>
          <w:rFonts w:eastAsia="Palatino Linotype" w:cs="Palatino Linotype"/>
          <w:color w:val="000000"/>
          <w:szCs w:val="24"/>
        </w:rPr>
        <w:t>, que ha sido materia del presente estudio.</w:t>
      </w:r>
    </w:p>
    <w:p w14:paraId="41A90339" w14:textId="0EE9DA60" w:rsidR="00B97B0E" w:rsidRPr="002D269F" w:rsidRDefault="00B97B0E" w:rsidP="00F012D3"/>
    <w:p w14:paraId="53D7684C" w14:textId="417EA7CD" w:rsidR="00B97B0E" w:rsidRPr="002D269F" w:rsidRDefault="00B97B0E" w:rsidP="00B97B0E">
      <w:pPr>
        <w:pBdr>
          <w:top w:val="nil"/>
          <w:left w:val="nil"/>
          <w:bottom w:val="nil"/>
          <w:right w:val="nil"/>
          <w:between w:val="nil"/>
        </w:pBdr>
        <w:rPr>
          <w:rFonts w:eastAsia="Palatino Linotype" w:cs="Palatino Linotype"/>
          <w:color w:val="000000"/>
          <w:szCs w:val="24"/>
        </w:rPr>
      </w:pPr>
      <w:r w:rsidRPr="002D269F">
        <w:rPr>
          <w:rFonts w:eastAsia="Palatino Linotype" w:cs="Palatino Linotype"/>
          <w:color w:val="000000"/>
          <w:szCs w:val="24"/>
        </w:rPr>
        <w:t>Por lo antes expuesto y fundado es de resolverse y,</w:t>
      </w:r>
    </w:p>
    <w:p w14:paraId="70BA7519" w14:textId="77777777" w:rsidR="00B97B0E" w:rsidRPr="002D269F" w:rsidRDefault="00B97B0E" w:rsidP="005C5EB4">
      <w:pPr>
        <w:pStyle w:val="Ttulo1"/>
        <w:rPr>
          <w:rFonts w:eastAsia="Palatino Linotype"/>
        </w:rPr>
      </w:pPr>
      <w:r w:rsidRPr="002D269F">
        <w:rPr>
          <w:rFonts w:eastAsia="Palatino Linotype"/>
        </w:rPr>
        <w:t>S E    R E S U E L V E</w:t>
      </w:r>
    </w:p>
    <w:p w14:paraId="3C2B363F" w14:textId="77777777" w:rsidR="00B97B0E" w:rsidRPr="002D269F" w:rsidRDefault="00B97B0E" w:rsidP="00B97B0E">
      <w:pPr>
        <w:pBdr>
          <w:top w:val="nil"/>
          <w:left w:val="nil"/>
          <w:bottom w:val="nil"/>
          <w:right w:val="nil"/>
          <w:between w:val="nil"/>
        </w:pBdr>
        <w:rPr>
          <w:rFonts w:eastAsia="Palatino Linotype" w:cs="Palatino Linotype"/>
          <w:b/>
          <w:color w:val="000000"/>
          <w:szCs w:val="24"/>
        </w:rPr>
      </w:pPr>
    </w:p>
    <w:p w14:paraId="60CCD398" w14:textId="3F24C04C" w:rsidR="00B97B0E" w:rsidRPr="002D269F" w:rsidRDefault="6011CFBC" w:rsidP="6011CFBC">
      <w:pPr>
        <w:pBdr>
          <w:top w:val="nil"/>
          <w:left w:val="nil"/>
          <w:bottom w:val="nil"/>
          <w:right w:val="nil"/>
          <w:between w:val="nil"/>
        </w:pBdr>
        <w:rPr>
          <w:rFonts w:eastAsia="Palatino Linotype" w:cs="Palatino Linotype"/>
          <w:color w:val="000000"/>
        </w:rPr>
      </w:pPr>
      <w:r w:rsidRPr="002D269F">
        <w:rPr>
          <w:rFonts w:eastAsia="Palatino Linotype" w:cs="Palatino Linotype"/>
          <w:b/>
          <w:bCs/>
          <w:color w:val="000000" w:themeColor="text1"/>
        </w:rPr>
        <w:t>PRIMERO.</w:t>
      </w:r>
      <w:r w:rsidRPr="002D269F">
        <w:rPr>
          <w:rFonts w:eastAsia="Palatino Linotype" w:cs="Palatino Linotype"/>
          <w:color w:val="000000" w:themeColor="text1"/>
        </w:rPr>
        <w:t xml:space="preserve"> Se </w:t>
      </w:r>
      <w:r w:rsidR="008E40A8" w:rsidRPr="002D269F">
        <w:rPr>
          <w:rFonts w:eastAsia="Palatino Linotype" w:cs="Palatino Linotype"/>
          <w:b/>
          <w:bCs/>
          <w:color w:val="000000" w:themeColor="text1"/>
        </w:rPr>
        <w:t>REVO</w:t>
      </w:r>
      <w:r w:rsidRPr="002D269F">
        <w:rPr>
          <w:rFonts w:eastAsia="Palatino Linotype" w:cs="Palatino Linotype"/>
          <w:b/>
          <w:bCs/>
          <w:color w:val="000000" w:themeColor="text1"/>
        </w:rPr>
        <w:t>CA</w:t>
      </w:r>
      <w:r w:rsidRPr="002D269F">
        <w:rPr>
          <w:rFonts w:eastAsia="Palatino Linotype" w:cs="Palatino Linotype"/>
          <w:color w:val="000000" w:themeColor="text1"/>
        </w:rPr>
        <w:t xml:space="preserve"> la respuesta entregada por el </w:t>
      </w:r>
      <w:r w:rsidRPr="002D269F">
        <w:rPr>
          <w:rFonts w:eastAsia="Palatino Linotype" w:cs="Palatino Linotype"/>
          <w:b/>
          <w:bCs/>
          <w:color w:val="000000" w:themeColor="text1"/>
        </w:rPr>
        <w:t xml:space="preserve">Sujeto Obligado </w:t>
      </w:r>
      <w:r w:rsidRPr="002D269F">
        <w:rPr>
          <w:rFonts w:eastAsia="Palatino Linotype" w:cs="Palatino Linotype"/>
          <w:color w:val="000000" w:themeColor="text1"/>
        </w:rPr>
        <w:t>a la solicitud de información número</w:t>
      </w:r>
      <w:r w:rsidR="007504A3" w:rsidRPr="002D269F">
        <w:rPr>
          <w:rFonts w:eastAsia="Palatino Linotype" w:cs="Palatino Linotype"/>
          <w:color w:val="000000" w:themeColor="text1"/>
        </w:rPr>
        <w:t xml:space="preserve"> </w:t>
      </w:r>
      <w:r w:rsidR="001E62B8" w:rsidRPr="002D269F">
        <w:rPr>
          <w:rFonts w:eastAsia="Palatino Linotype" w:cs="Palatino Linotype"/>
          <w:b/>
          <w:bCs/>
          <w:color w:val="000000" w:themeColor="text1"/>
        </w:rPr>
        <w:t>00148/JOCOTIT/IP/2025</w:t>
      </w:r>
      <w:r w:rsidRPr="002D269F">
        <w:rPr>
          <w:rFonts w:eastAsia="Palatino Linotype" w:cs="Palatino Linotype"/>
          <w:color w:val="000000" w:themeColor="text1"/>
        </w:rPr>
        <w:t>, por resultar fundados los motivos de inconformidad argüidos por el Recurrente, en términos del</w:t>
      </w:r>
      <w:r w:rsidR="00FE5DCB" w:rsidRPr="002D269F">
        <w:rPr>
          <w:rFonts w:eastAsia="Palatino Linotype" w:cs="Palatino Linotype"/>
          <w:b/>
          <w:bCs/>
          <w:color w:val="000000" w:themeColor="text1"/>
        </w:rPr>
        <w:t xml:space="preserve"> Considerando </w:t>
      </w:r>
      <w:r w:rsidR="00B64331" w:rsidRPr="002D269F">
        <w:rPr>
          <w:rFonts w:eastAsia="Palatino Linotype" w:cs="Palatino Linotype"/>
          <w:b/>
          <w:bCs/>
          <w:color w:val="000000" w:themeColor="text1"/>
        </w:rPr>
        <w:t>QUIN</w:t>
      </w:r>
      <w:r w:rsidRPr="002D269F">
        <w:rPr>
          <w:rFonts w:eastAsia="Palatino Linotype" w:cs="Palatino Linotype"/>
          <w:b/>
          <w:bCs/>
          <w:color w:val="000000" w:themeColor="text1"/>
        </w:rPr>
        <w:t xml:space="preserve">TO </w:t>
      </w:r>
      <w:r w:rsidRPr="002D269F">
        <w:rPr>
          <w:rFonts w:eastAsia="Palatino Linotype" w:cs="Palatino Linotype"/>
          <w:color w:val="000000" w:themeColor="text1"/>
        </w:rPr>
        <w:t xml:space="preserve">de la presente resolución. </w:t>
      </w:r>
    </w:p>
    <w:p w14:paraId="2CDE5DB7" w14:textId="77777777" w:rsidR="00B97B0E" w:rsidRPr="002D269F" w:rsidRDefault="00B97B0E" w:rsidP="00B97B0E">
      <w:pPr>
        <w:pBdr>
          <w:top w:val="nil"/>
          <w:left w:val="nil"/>
          <w:bottom w:val="nil"/>
          <w:right w:val="nil"/>
          <w:between w:val="nil"/>
        </w:pBdr>
        <w:rPr>
          <w:rFonts w:eastAsia="Palatino Linotype" w:cs="Palatino Linotype"/>
          <w:color w:val="000000"/>
          <w:szCs w:val="24"/>
        </w:rPr>
      </w:pPr>
    </w:p>
    <w:p w14:paraId="1D53289C" w14:textId="464BFD34" w:rsidR="00EB2549" w:rsidRPr="002D269F" w:rsidRDefault="00B97B0E" w:rsidP="00EB2549">
      <w:pPr>
        <w:pBdr>
          <w:top w:val="nil"/>
          <w:left w:val="nil"/>
          <w:bottom w:val="nil"/>
          <w:right w:val="nil"/>
          <w:between w:val="nil"/>
        </w:pBdr>
        <w:contextualSpacing/>
      </w:pPr>
      <w:r w:rsidRPr="002D269F">
        <w:rPr>
          <w:rFonts w:eastAsia="Palatino Linotype" w:cs="Palatino Linotype"/>
          <w:b/>
          <w:color w:val="000000"/>
          <w:szCs w:val="24"/>
        </w:rPr>
        <w:t>SEGUNDO.</w:t>
      </w:r>
      <w:r w:rsidRPr="002D269F">
        <w:rPr>
          <w:rFonts w:eastAsia="Palatino Linotype" w:cs="Palatino Linotype"/>
          <w:color w:val="000000"/>
          <w:szCs w:val="24"/>
        </w:rPr>
        <w:t xml:space="preserve"> Se </w:t>
      </w:r>
      <w:r w:rsidRPr="002D269F">
        <w:rPr>
          <w:rFonts w:eastAsia="Palatino Linotype" w:cs="Palatino Linotype"/>
          <w:b/>
          <w:color w:val="000000"/>
          <w:szCs w:val="24"/>
        </w:rPr>
        <w:t>ORDENA</w:t>
      </w:r>
      <w:r w:rsidRPr="002D269F">
        <w:rPr>
          <w:rFonts w:eastAsia="Palatino Linotype" w:cs="Palatino Linotype"/>
          <w:color w:val="000000"/>
          <w:szCs w:val="24"/>
        </w:rPr>
        <w:t xml:space="preserve"> al </w:t>
      </w:r>
      <w:r w:rsidRPr="002D269F">
        <w:rPr>
          <w:rFonts w:eastAsia="Palatino Linotype" w:cs="Palatino Linotype"/>
          <w:b/>
          <w:bCs/>
          <w:color w:val="000000"/>
          <w:szCs w:val="24"/>
        </w:rPr>
        <w:t>Sujeto Obligado</w:t>
      </w:r>
      <w:r w:rsidRPr="002D269F">
        <w:rPr>
          <w:rFonts w:eastAsia="Palatino Linotype" w:cs="Palatino Linotype"/>
          <w:color w:val="000000"/>
          <w:szCs w:val="24"/>
        </w:rPr>
        <w:t xml:space="preserve"> que haga entrega al </w:t>
      </w:r>
      <w:r w:rsidRPr="002D269F">
        <w:rPr>
          <w:rFonts w:eastAsia="Palatino Linotype" w:cs="Palatino Linotype"/>
          <w:b/>
          <w:bCs/>
          <w:color w:val="000000"/>
          <w:szCs w:val="24"/>
        </w:rPr>
        <w:t>Recurrente</w:t>
      </w:r>
      <w:r w:rsidRPr="002D269F">
        <w:rPr>
          <w:rFonts w:eastAsia="Palatino Linotype" w:cs="Palatino Linotype"/>
          <w:color w:val="000000"/>
          <w:szCs w:val="24"/>
        </w:rPr>
        <w:t xml:space="preserve"> </w:t>
      </w:r>
      <w:r w:rsidR="00B64331" w:rsidRPr="002D269F">
        <w:rPr>
          <w:rFonts w:eastAsia="Palatino Linotype" w:cs="Palatino Linotype"/>
          <w:color w:val="000000"/>
          <w:szCs w:val="24"/>
        </w:rPr>
        <w:t xml:space="preserve">mediante el Sistema de Acceso a la Información </w:t>
      </w:r>
      <w:r w:rsidR="002B5869" w:rsidRPr="002D269F">
        <w:rPr>
          <w:rFonts w:eastAsia="Palatino Linotype" w:cs="Palatino Linotype"/>
          <w:color w:val="000000"/>
          <w:szCs w:val="24"/>
        </w:rPr>
        <w:t xml:space="preserve">Mexiquense (SAIMEX), </w:t>
      </w:r>
      <w:r w:rsidR="00056F4A" w:rsidRPr="002D269F">
        <w:rPr>
          <w:rFonts w:eastAsia="Palatino Linotype" w:cs="Palatino Linotype"/>
          <w:color w:val="000000"/>
          <w:szCs w:val="24"/>
        </w:rPr>
        <w:t>en versión pública</w:t>
      </w:r>
      <w:r w:rsidRPr="002D269F">
        <w:rPr>
          <w:rFonts w:eastAsia="Palatino Linotype" w:cs="Palatino Linotype"/>
          <w:color w:val="000000"/>
          <w:szCs w:val="24"/>
        </w:rPr>
        <w:t xml:space="preserve"> y en términos del </w:t>
      </w:r>
      <w:r w:rsidRPr="002D269F">
        <w:rPr>
          <w:rFonts w:eastAsia="Palatino Linotype" w:cs="Palatino Linotype"/>
          <w:b/>
          <w:color w:val="000000"/>
          <w:szCs w:val="24"/>
        </w:rPr>
        <w:t xml:space="preserve">Considerando </w:t>
      </w:r>
      <w:r w:rsidR="00257FF0" w:rsidRPr="002D269F">
        <w:rPr>
          <w:rFonts w:eastAsia="Palatino Linotype" w:cs="Palatino Linotype"/>
          <w:b/>
          <w:color w:val="000000"/>
          <w:szCs w:val="24"/>
        </w:rPr>
        <w:t>QUIN</w:t>
      </w:r>
      <w:r w:rsidR="00114C24" w:rsidRPr="002D269F">
        <w:rPr>
          <w:rFonts w:eastAsia="Palatino Linotype" w:cs="Palatino Linotype"/>
          <w:b/>
          <w:color w:val="000000"/>
          <w:szCs w:val="24"/>
        </w:rPr>
        <w:t>TO</w:t>
      </w:r>
      <w:r w:rsidR="001F307D" w:rsidRPr="002D269F">
        <w:rPr>
          <w:rFonts w:eastAsia="Palatino Linotype" w:cs="Palatino Linotype"/>
          <w:color w:val="000000"/>
          <w:szCs w:val="24"/>
        </w:rPr>
        <w:t xml:space="preserve">, </w:t>
      </w:r>
      <w:r w:rsidR="00612D3B" w:rsidRPr="002D269F">
        <w:t xml:space="preserve">de </w:t>
      </w:r>
      <w:r w:rsidR="00EB2549" w:rsidRPr="002D269F">
        <w:rPr>
          <w:rFonts w:eastAsia="Palatino Linotype" w:cs="Palatino Linotype"/>
          <w:color w:val="000000"/>
          <w:szCs w:val="24"/>
        </w:rPr>
        <w:t xml:space="preserve">lo siguiente: </w:t>
      </w:r>
    </w:p>
    <w:p w14:paraId="1A49ABF6" w14:textId="77777777" w:rsidR="00EB2549" w:rsidRPr="002D269F" w:rsidRDefault="00EB2549" w:rsidP="00EB2549">
      <w:pPr>
        <w:rPr>
          <w:rFonts w:eastAsia="Palatino Linotype" w:cs="Palatino Linotype"/>
          <w:color w:val="000000"/>
          <w:szCs w:val="24"/>
        </w:rPr>
      </w:pPr>
    </w:p>
    <w:p w14:paraId="1756B431" w14:textId="46A12034" w:rsidR="00EB2549" w:rsidRPr="002D269F" w:rsidRDefault="001E62B8" w:rsidP="00612D3B">
      <w:pPr>
        <w:pStyle w:val="Prrafodelista"/>
        <w:numPr>
          <w:ilvl w:val="0"/>
          <w:numId w:val="22"/>
        </w:numPr>
        <w:pBdr>
          <w:top w:val="nil"/>
          <w:left w:val="nil"/>
          <w:bottom w:val="nil"/>
          <w:right w:val="nil"/>
          <w:between w:val="nil"/>
        </w:pBdr>
        <w:ind w:left="992" w:right="567"/>
        <w:contextualSpacing/>
        <w:rPr>
          <w:rFonts w:eastAsia="Palatino Linotype" w:cs="Palatino Linotype"/>
          <w:i/>
          <w:iCs/>
          <w:color w:val="000000"/>
        </w:rPr>
      </w:pPr>
      <w:r w:rsidRPr="002D269F">
        <w:rPr>
          <w:rFonts w:eastAsia="Palatino Linotype" w:cs="Palatino Linotype"/>
          <w:i/>
          <w:iCs/>
          <w:color w:val="000000"/>
        </w:rPr>
        <w:lastRenderedPageBreak/>
        <w:t xml:space="preserve">Contratos de arrendamiento de antenas de comunicación del Municipio de </w:t>
      </w:r>
      <w:proofErr w:type="spellStart"/>
      <w:r w:rsidRPr="002D269F">
        <w:rPr>
          <w:rFonts w:eastAsia="Palatino Linotype" w:cs="Palatino Linotype"/>
          <w:i/>
          <w:iCs/>
          <w:color w:val="000000"/>
        </w:rPr>
        <w:t>Jocotitlán</w:t>
      </w:r>
      <w:proofErr w:type="spellEnd"/>
      <w:r w:rsidRPr="002D269F">
        <w:rPr>
          <w:rFonts w:eastAsia="Palatino Linotype" w:cs="Palatino Linotype"/>
          <w:i/>
          <w:iCs/>
          <w:color w:val="000000"/>
        </w:rPr>
        <w:t xml:space="preserve"> celebrados en el periodo que comprende del 01 de enero de 2020 al 04 de junio de 2025</w:t>
      </w:r>
      <w:r w:rsidR="00EB2549" w:rsidRPr="002D269F">
        <w:rPr>
          <w:rFonts w:eastAsia="Palatino Linotype" w:cs="Palatino Linotype"/>
          <w:i/>
          <w:iCs/>
          <w:color w:val="000000"/>
        </w:rPr>
        <w:t>.</w:t>
      </w:r>
    </w:p>
    <w:p w14:paraId="0C9CBB44" w14:textId="5CCDC581" w:rsidR="00B97B0E" w:rsidRPr="002D269F" w:rsidRDefault="00B97B0E" w:rsidP="00B97B0E">
      <w:pPr>
        <w:pBdr>
          <w:top w:val="nil"/>
          <w:left w:val="nil"/>
          <w:bottom w:val="nil"/>
          <w:right w:val="nil"/>
          <w:between w:val="nil"/>
        </w:pBdr>
        <w:rPr>
          <w:rFonts w:eastAsia="Palatino Linotype" w:cs="Palatino Linotype"/>
          <w:color w:val="000000"/>
          <w:szCs w:val="24"/>
          <w:lang w:val="es-ES"/>
        </w:rPr>
      </w:pPr>
    </w:p>
    <w:p w14:paraId="52360EA7" w14:textId="59157295" w:rsidR="00612D3B" w:rsidRPr="002D269F" w:rsidRDefault="00612D3B" w:rsidP="00612D3B">
      <w:pPr>
        <w:spacing w:after="240" w:line="240" w:lineRule="auto"/>
        <w:ind w:left="284" w:right="283"/>
        <w:rPr>
          <w:rFonts w:eastAsia="Times New Roman" w:cs="Arial"/>
          <w:i/>
          <w:szCs w:val="24"/>
          <w:lang w:val="es-MX" w:eastAsia="en-US"/>
        </w:rPr>
      </w:pPr>
      <w:r w:rsidRPr="002D269F">
        <w:rPr>
          <w:rFonts w:eastAsia="Times New Roman" w:cs="Arial"/>
          <w:i/>
          <w:szCs w:val="24"/>
          <w:lang w:val="es-MX" w:eastAsia="en-US"/>
        </w:rPr>
        <w:t xml:space="preserve">Para la entrega en versión pública deberá emitir el Acuerdo del Comité de Transparencia en términos de los artículos </w:t>
      </w:r>
      <w:r w:rsidR="00B8657B" w:rsidRPr="002D269F">
        <w:rPr>
          <w:rFonts w:eastAsia="Times New Roman" w:cs="Arial"/>
          <w:i/>
          <w:szCs w:val="24"/>
          <w:lang w:val="es-MX" w:eastAsia="en-US"/>
        </w:rPr>
        <w:t>49 fracción VIII, 129, 132, 140 y 141 de la Ley de Transparencia y Acceso a la Información Pública del Estado de México y Municipios</w:t>
      </w:r>
      <w:r w:rsidRPr="002D269F">
        <w:rPr>
          <w:rFonts w:eastAsia="Times New Roman" w:cs="Arial"/>
          <w:i/>
          <w:szCs w:val="24"/>
          <w:lang w:val="es-MX" w:eastAsia="en-US"/>
        </w:rPr>
        <w:t xml:space="preserve">, en el que funde y motive las razones sobre los datos que se supriman o eliminen y se ponga a disposición del </w:t>
      </w:r>
      <w:r w:rsidRPr="002D269F">
        <w:rPr>
          <w:rFonts w:eastAsia="Times New Roman" w:cs="Arial"/>
          <w:b/>
          <w:i/>
          <w:szCs w:val="24"/>
          <w:lang w:val="es-MX" w:eastAsia="en-US"/>
        </w:rPr>
        <w:t>Recurrente</w:t>
      </w:r>
      <w:r w:rsidRPr="002D269F">
        <w:rPr>
          <w:rFonts w:eastAsia="Times New Roman" w:cs="Arial"/>
          <w:i/>
          <w:szCs w:val="24"/>
          <w:lang w:val="es-MX" w:eastAsia="en-US"/>
        </w:rPr>
        <w:t>.</w:t>
      </w:r>
    </w:p>
    <w:p w14:paraId="2BE56D78" w14:textId="77777777" w:rsidR="001F307D" w:rsidRPr="002D269F" w:rsidRDefault="001F307D" w:rsidP="00B97B0E">
      <w:pPr>
        <w:pBdr>
          <w:top w:val="nil"/>
          <w:left w:val="nil"/>
          <w:bottom w:val="nil"/>
          <w:right w:val="nil"/>
          <w:between w:val="nil"/>
        </w:pBdr>
        <w:rPr>
          <w:rFonts w:eastAsia="Palatino Linotype" w:cs="Palatino Linotype"/>
          <w:color w:val="000000"/>
          <w:szCs w:val="24"/>
        </w:rPr>
      </w:pPr>
    </w:p>
    <w:p w14:paraId="11B92982" w14:textId="46339E03" w:rsidR="00B97B0E" w:rsidRPr="002D269F" w:rsidRDefault="00B97B0E" w:rsidP="00B97B0E">
      <w:pPr>
        <w:pBdr>
          <w:top w:val="nil"/>
          <w:left w:val="nil"/>
          <w:bottom w:val="nil"/>
          <w:right w:val="nil"/>
          <w:between w:val="nil"/>
        </w:pBdr>
        <w:rPr>
          <w:rFonts w:eastAsia="Palatino Linotype" w:cs="Palatino Linotype"/>
          <w:color w:val="000000"/>
          <w:szCs w:val="24"/>
        </w:rPr>
      </w:pPr>
      <w:r w:rsidRPr="002D269F">
        <w:rPr>
          <w:rFonts w:eastAsia="Palatino Linotype" w:cs="Palatino Linotype"/>
          <w:b/>
          <w:color w:val="000000"/>
          <w:szCs w:val="24"/>
        </w:rPr>
        <w:t>TERCERO. Notifíquese</w:t>
      </w:r>
      <w:r w:rsidR="005C5EB4" w:rsidRPr="002D269F">
        <w:rPr>
          <w:rFonts w:eastAsia="Palatino Linotype" w:cs="Palatino Linotype"/>
          <w:color w:val="000000"/>
          <w:szCs w:val="24"/>
        </w:rPr>
        <w:t xml:space="preserve"> la presente resolución al Titular de la Unidad de Transparencia del Sujeto Obligado </w:t>
      </w:r>
      <w:r w:rsidR="001E5253" w:rsidRPr="002D269F">
        <w:rPr>
          <w:rFonts w:eastAsia="Palatino Linotype" w:cs="Palatino Linotype"/>
          <w:color w:val="000000"/>
          <w:szCs w:val="24"/>
        </w:rPr>
        <w:t xml:space="preserve">mediante el Sistema de Acceso a la Información Mexiquense (SAIMEX), </w:t>
      </w:r>
      <w:r w:rsidR="005C5EB4" w:rsidRPr="002D269F">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7A2145" w14:textId="77777777" w:rsidR="00B97B0E" w:rsidRPr="002D269F" w:rsidRDefault="00B97B0E" w:rsidP="00B97B0E">
      <w:pPr>
        <w:pBdr>
          <w:top w:val="nil"/>
          <w:left w:val="nil"/>
          <w:bottom w:val="nil"/>
          <w:right w:val="nil"/>
          <w:between w:val="nil"/>
        </w:pBdr>
        <w:rPr>
          <w:rFonts w:eastAsia="Palatino Linotype" w:cs="Palatino Linotype"/>
          <w:color w:val="000000"/>
          <w:szCs w:val="24"/>
        </w:rPr>
      </w:pPr>
    </w:p>
    <w:p w14:paraId="044EC76A" w14:textId="41E2287D" w:rsidR="00B97B0E" w:rsidRPr="002D269F" w:rsidRDefault="00B97B0E" w:rsidP="00B97B0E">
      <w:pPr>
        <w:pBdr>
          <w:top w:val="nil"/>
          <w:left w:val="nil"/>
          <w:bottom w:val="nil"/>
          <w:right w:val="nil"/>
          <w:between w:val="nil"/>
        </w:pBdr>
        <w:rPr>
          <w:rFonts w:eastAsia="Palatino Linotype" w:cs="Palatino Linotype"/>
          <w:color w:val="000000"/>
          <w:szCs w:val="24"/>
        </w:rPr>
      </w:pPr>
      <w:r w:rsidRPr="002D269F">
        <w:rPr>
          <w:rFonts w:eastAsia="Palatino Linotype" w:cs="Palatino Linotype"/>
          <w:b/>
          <w:color w:val="000000"/>
          <w:szCs w:val="24"/>
        </w:rPr>
        <w:t xml:space="preserve">CUARTO. </w:t>
      </w:r>
      <w:r w:rsidRPr="002D269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44F2F7" w14:textId="77777777" w:rsidR="00B97B0E" w:rsidRPr="002D269F" w:rsidRDefault="00B97B0E" w:rsidP="00B97B0E">
      <w:pPr>
        <w:contextualSpacing/>
        <w:rPr>
          <w:rFonts w:eastAsia="Palatino Linotype" w:cs="Palatino Linotype"/>
          <w:color w:val="000000"/>
          <w:szCs w:val="24"/>
        </w:rPr>
      </w:pPr>
      <w:r w:rsidRPr="002D269F">
        <w:rPr>
          <w:rFonts w:eastAsia="Palatino Linotype" w:cs="Palatino Linotype"/>
          <w:b/>
          <w:color w:val="000000"/>
          <w:szCs w:val="24"/>
        </w:rPr>
        <w:lastRenderedPageBreak/>
        <w:t xml:space="preserve">QUINTO. Notifíquese </w:t>
      </w:r>
      <w:r w:rsidRPr="002D269F">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C6B48A7" w14:textId="77777777" w:rsidR="00B97B0E" w:rsidRPr="002D269F" w:rsidRDefault="00B97B0E" w:rsidP="00F012D3"/>
    <w:p w14:paraId="20573BFF" w14:textId="11CF5DE6" w:rsidR="00A970D5" w:rsidRPr="002D269F" w:rsidRDefault="00B8657B" w:rsidP="00235736">
      <w:pPr>
        <w:pBdr>
          <w:top w:val="nil"/>
          <w:left w:val="nil"/>
          <w:bottom w:val="nil"/>
          <w:right w:val="nil"/>
          <w:between w:val="nil"/>
        </w:pBdr>
        <w:ind w:right="-8"/>
        <w:contextualSpacing/>
        <w:rPr>
          <w:rFonts w:eastAsia="Palatino Linotype" w:cs="Palatino Linotype"/>
          <w:color w:val="000000"/>
          <w:szCs w:val="24"/>
        </w:rPr>
      </w:pPr>
      <w:r w:rsidRPr="002D269F">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F0623" w:rsidRPr="002D269F">
        <w:rPr>
          <w:rFonts w:eastAsia="Palatino Linotype" w:cs="Palatino Linotype"/>
          <w:color w:val="000000"/>
          <w:szCs w:val="24"/>
        </w:rPr>
        <w:t xml:space="preserve"> (AUSENCIA JUSTIFICADA)</w:t>
      </w:r>
      <w:r w:rsidRPr="002D269F">
        <w:rPr>
          <w:rFonts w:eastAsia="Palatino Linotype" w:cs="Palatino Linotype"/>
          <w:color w:val="000000"/>
          <w:szCs w:val="24"/>
        </w:rPr>
        <w:t>, SHARON CRISTINA MORALES MARTÍNEZ, LUIS GUSTAVO PARRA NORIEGA</w:t>
      </w:r>
      <w:r w:rsidR="00A25FB6" w:rsidRPr="002D269F">
        <w:rPr>
          <w:rFonts w:eastAsia="Palatino Linotype" w:cs="Palatino Linotype"/>
          <w:color w:val="000000"/>
          <w:szCs w:val="24"/>
        </w:rPr>
        <w:t xml:space="preserve"> (</w:t>
      </w:r>
      <w:r w:rsidR="008C126E" w:rsidRPr="002D269F">
        <w:rPr>
          <w:rFonts w:eastAsia="Palatino Linotype" w:cs="Palatino Linotype"/>
          <w:color w:val="000000"/>
          <w:szCs w:val="24"/>
        </w:rPr>
        <w:t xml:space="preserve">EMITIENDO </w:t>
      </w:r>
      <w:r w:rsidR="00A25FB6" w:rsidRPr="002D269F">
        <w:rPr>
          <w:rFonts w:eastAsia="Palatino Linotype" w:cs="Palatino Linotype"/>
          <w:color w:val="000000"/>
          <w:szCs w:val="24"/>
        </w:rPr>
        <w:t>VOTO PARTICULAR)</w:t>
      </w:r>
      <w:r w:rsidRPr="002D269F">
        <w:rPr>
          <w:rFonts w:eastAsia="Palatino Linotype" w:cs="Palatino Linotype"/>
          <w:color w:val="000000"/>
          <w:szCs w:val="24"/>
        </w:rPr>
        <w:t xml:space="preserve"> Y GUADALUPE RAMÍREZ PEÑA, EN LA </w:t>
      </w:r>
      <w:r w:rsidR="001E62B8" w:rsidRPr="002D269F">
        <w:rPr>
          <w:rFonts w:eastAsia="Palatino Linotype" w:cs="Palatino Linotype"/>
          <w:color w:val="000000"/>
          <w:szCs w:val="24"/>
        </w:rPr>
        <w:t>TRIGÉSIMA NOVENA</w:t>
      </w:r>
      <w:r w:rsidRPr="002D269F">
        <w:rPr>
          <w:rFonts w:eastAsia="Palatino Linotype" w:cs="Palatino Linotype"/>
          <w:color w:val="000000"/>
          <w:szCs w:val="24"/>
        </w:rPr>
        <w:t xml:space="preserve"> SESIÓN ORDINARIA CELEBRADA EL</w:t>
      </w:r>
      <w:r w:rsidR="00EF55B5" w:rsidRPr="002D269F">
        <w:rPr>
          <w:rFonts w:eastAsia="Palatino Linotype" w:cs="Palatino Linotype"/>
          <w:color w:val="000000"/>
          <w:szCs w:val="24"/>
        </w:rPr>
        <w:t xml:space="preserve"> CINCO DE NOVIEMBRE</w:t>
      </w:r>
      <w:r w:rsidRPr="002D269F">
        <w:rPr>
          <w:rFonts w:eastAsia="Palatino Linotype" w:cs="Palatino Linotype"/>
          <w:color w:val="000000"/>
          <w:szCs w:val="24"/>
        </w:rPr>
        <w:t xml:space="preserve"> DE DOS MIL VEINTICINCO, ANTE EL SECRETARIO TÉCNICO DEL PLENO, ALEXIS TAPIA RAMÍREZ</w:t>
      </w:r>
      <w:r w:rsidR="00A970D5" w:rsidRPr="002D269F">
        <w:rPr>
          <w:rFonts w:eastAsia="Palatino Linotype" w:cs="Palatino Linotype"/>
          <w:color w:val="000000"/>
          <w:szCs w:val="24"/>
        </w:rPr>
        <w:t>.------------------------------------------------------------------</w:t>
      </w:r>
      <w:r w:rsidR="007F15FE" w:rsidRPr="002D269F">
        <w:rPr>
          <w:rFonts w:eastAsia="Palatino Linotype" w:cs="Palatino Linotype"/>
          <w:color w:val="000000"/>
          <w:szCs w:val="24"/>
        </w:rPr>
        <w:t>--------------</w:t>
      </w:r>
      <w:r w:rsidR="006922F5" w:rsidRPr="002D269F">
        <w:rPr>
          <w:rFonts w:eastAsia="Palatino Linotype" w:cs="Palatino Linotype"/>
          <w:color w:val="000000"/>
          <w:szCs w:val="24"/>
        </w:rPr>
        <w:t>---------------------------------------------------------------------------------------------------------------------</w:t>
      </w:r>
      <w:r w:rsidR="00BB2A3A" w:rsidRPr="002D269F">
        <w:rPr>
          <w:rFonts w:eastAsia="Palatino Linotype" w:cs="Palatino Linotype"/>
          <w:color w:val="000000"/>
          <w:szCs w:val="24"/>
        </w:rPr>
        <w:t>---------------------</w:t>
      </w:r>
      <w:r w:rsidR="00235736" w:rsidRPr="002D269F">
        <w:rPr>
          <w:rFonts w:eastAsia="Palatino Linotype" w:cs="Palatino Linotype"/>
          <w:color w:val="000000"/>
          <w:szCs w:val="24"/>
        </w:rPr>
        <w:t>----------------------------------------------------------------------------------------------------------------------</w:t>
      </w:r>
      <w:r w:rsidR="00005B94" w:rsidRPr="002D269F">
        <w:rPr>
          <w:rFonts w:eastAsia="Palatino Linotype" w:cs="Palatino Linotype"/>
          <w:color w:val="000000"/>
          <w:szCs w:val="24"/>
        </w:rPr>
        <w:t>-----------------------------</w:t>
      </w:r>
      <w:r w:rsidR="008F55AF" w:rsidRPr="002D269F">
        <w:rPr>
          <w:rFonts w:eastAsia="Palatino Linotype" w:cs="Palatino Linotype"/>
          <w:color w:val="000000"/>
          <w:szCs w:val="24"/>
        </w:rPr>
        <w:t>---------------------------------------------------------------------------------------------------------------------------------------------------------------------------------------------------</w:t>
      </w:r>
      <w:r w:rsidRPr="002D269F">
        <w:rPr>
          <w:rFonts w:eastAsia="Palatino Linotype" w:cs="Palatino Linotype"/>
          <w:color w:val="000000"/>
          <w:szCs w:val="24"/>
        </w:rPr>
        <w:t>-------------------------------------------------------------------------------------------------------------------------------------------------------------------------------------------------------------------</w:t>
      </w:r>
      <w:r w:rsidR="008C126E" w:rsidRPr="002D269F">
        <w:rPr>
          <w:rFonts w:eastAsia="Palatino Linotype" w:cs="Palatino Linotype"/>
          <w:color w:val="000000"/>
          <w:szCs w:val="24"/>
        </w:rPr>
        <w:t>----------------------------------------------------------------------------</w:t>
      </w:r>
    </w:p>
    <w:p w14:paraId="4DA57669" w14:textId="141D14DD"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2D269F">
        <w:rPr>
          <w:rFonts w:eastAsia="Palatino Linotype" w:cs="Palatino Linotype"/>
          <w:color w:val="000000"/>
          <w:sz w:val="20"/>
          <w:szCs w:val="20"/>
        </w:rPr>
        <w:t>JMV/CCR/</w:t>
      </w:r>
      <w:r w:rsidR="00EB2549" w:rsidRPr="002D269F">
        <w:rPr>
          <w:rFonts w:eastAsia="Palatino Linotype" w:cs="Palatino Linotype"/>
          <w:color w:val="000000"/>
          <w:sz w:val="20"/>
          <w:szCs w:val="20"/>
        </w:rPr>
        <w:t>EJDG</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AF715C">
      <w:headerReference w:type="even" r:id="rId14"/>
      <w:headerReference w:type="default" r:id="rId15"/>
      <w:footerReference w:type="default" r:id="rId16"/>
      <w:headerReference w:type="first" r:id="rId17"/>
      <w:footerReference w:type="first" r:id="rId18"/>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9FC2D" w14:textId="77777777" w:rsidR="00FE3C2E" w:rsidRDefault="00FE3C2E" w:rsidP="00F2498E">
      <w:pPr>
        <w:spacing w:line="240" w:lineRule="auto"/>
      </w:pPr>
      <w:r>
        <w:separator/>
      </w:r>
    </w:p>
  </w:endnote>
  <w:endnote w:type="continuationSeparator" w:id="0">
    <w:p w14:paraId="0B7A5453" w14:textId="77777777" w:rsidR="00FE3C2E" w:rsidRDefault="00FE3C2E" w:rsidP="00F2498E">
      <w:pPr>
        <w:spacing w:line="240" w:lineRule="auto"/>
      </w:pPr>
      <w:r>
        <w:continuationSeparator/>
      </w:r>
    </w:p>
  </w:endnote>
  <w:endnote w:type="continuationNotice" w:id="1">
    <w:p w14:paraId="2E0FB715" w14:textId="77777777" w:rsidR="00FE3C2E" w:rsidRDefault="00FE3C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5398AAA" w:rsidR="008E40A8" w:rsidRPr="00871A91" w:rsidRDefault="008E40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003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0032">
      <w:rPr>
        <w:rFonts w:ascii="Palatino Linotype" w:hAnsi="Palatino Linotype"/>
        <w:b/>
        <w:bCs/>
        <w:noProof/>
        <w:sz w:val="20"/>
      </w:rPr>
      <w:t>60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34488EB" w:rsidR="008E40A8" w:rsidRPr="00871A91" w:rsidRDefault="008E40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003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0032">
      <w:rPr>
        <w:rFonts w:ascii="Palatino Linotype" w:hAnsi="Palatino Linotype"/>
        <w:b/>
        <w:bCs/>
        <w:noProof/>
        <w:sz w:val="20"/>
      </w:rPr>
      <w:t>60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0D41" w14:textId="77777777" w:rsidR="00FE3C2E" w:rsidRDefault="00FE3C2E" w:rsidP="00F2498E">
      <w:pPr>
        <w:spacing w:line="240" w:lineRule="auto"/>
      </w:pPr>
      <w:r>
        <w:separator/>
      </w:r>
    </w:p>
  </w:footnote>
  <w:footnote w:type="continuationSeparator" w:id="0">
    <w:p w14:paraId="584DBF58" w14:textId="77777777" w:rsidR="00FE3C2E" w:rsidRDefault="00FE3C2E" w:rsidP="00F2498E">
      <w:pPr>
        <w:spacing w:line="240" w:lineRule="auto"/>
      </w:pPr>
      <w:r>
        <w:continuationSeparator/>
      </w:r>
    </w:p>
  </w:footnote>
  <w:footnote w:type="continuationNotice" w:id="1">
    <w:p w14:paraId="0E60E33A" w14:textId="77777777" w:rsidR="00FE3C2E" w:rsidRDefault="00FE3C2E">
      <w:pPr>
        <w:spacing w:line="240" w:lineRule="auto"/>
      </w:pPr>
    </w:p>
  </w:footnote>
  <w:footnote w:id="2">
    <w:p w14:paraId="7822D80A" w14:textId="77777777" w:rsidR="008E40A8" w:rsidRPr="0031280C" w:rsidRDefault="008E40A8"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E40A8" w:rsidRPr="0031280C" w:rsidRDefault="008E40A8"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E40A8" w:rsidRPr="0031280C" w:rsidRDefault="008E40A8"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E40A8" w:rsidRPr="0031280C" w:rsidRDefault="008E40A8"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0EE582D" w14:textId="06CA0523" w:rsidR="008E40A8" w:rsidRPr="008D02B0" w:rsidRDefault="008E40A8" w:rsidP="008D02B0">
      <w:pPr>
        <w:pStyle w:val="Textonotapie"/>
      </w:pPr>
      <w:r w:rsidRPr="008D02B0">
        <w:rPr>
          <w:rStyle w:val="Refdenotaalpie"/>
          <w:rFonts w:eastAsiaTheme="majorEastAsia"/>
        </w:rPr>
        <w:footnoteRef/>
      </w:r>
      <w:r w:rsidRPr="008D02B0">
        <w:t xml:space="preserve"> Tesis I.4o.A.40 A (10a.), </w:t>
      </w:r>
      <w:r w:rsidRPr="008D02B0">
        <w:rPr>
          <w:i/>
        </w:rPr>
        <w:t>Semanario Judicial de la Federación y su Gaceta</w:t>
      </w:r>
      <w:r w:rsidRPr="008D02B0">
        <w:t>,</w:t>
      </w:r>
      <w:r>
        <w:t xml:space="preserve"> Décima Época, libro XVIII, tomo 3, marzo de 2013, p</w:t>
      </w:r>
      <w:r w:rsidRPr="008D02B0">
        <w:t>ág. 1899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E40A8" w:rsidRDefault="00FE3C2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0A8" w:rsidRPr="00B17577" w14:paraId="37B9EBDE" w14:textId="77777777" w:rsidTr="003938ED">
      <w:trPr>
        <w:trHeight w:val="227"/>
      </w:trPr>
      <w:tc>
        <w:tcPr>
          <w:tcW w:w="5103" w:type="dxa"/>
          <w:hideMark/>
        </w:tcPr>
        <w:p w14:paraId="4964FBC5" w14:textId="54CDA645" w:rsidR="008E40A8" w:rsidRPr="00096248" w:rsidRDefault="008E40A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D4034EE" w:rsidR="008E40A8" w:rsidRPr="00096248" w:rsidRDefault="00B67F46" w:rsidP="00011C4D">
          <w:pPr>
            <w:spacing w:after="120" w:line="240" w:lineRule="auto"/>
            <w:ind w:right="71"/>
            <w:jc w:val="right"/>
            <w:rPr>
              <w:rFonts w:cs="Arial"/>
              <w:b/>
              <w:szCs w:val="24"/>
            </w:rPr>
          </w:pPr>
          <w:r w:rsidRPr="00B67F46">
            <w:rPr>
              <w:rFonts w:cs="Arial"/>
              <w:b/>
              <w:bCs/>
              <w:szCs w:val="24"/>
            </w:rPr>
            <w:t>07800/INFOEM/IP/RR/2025</w:t>
          </w:r>
        </w:p>
      </w:tc>
    </w:tr>
    <w:tr w:rsidR="008E40A8" w14:paraId="7591D3C9" w14:textId="77777777" w:rsidTr="003938ED">
      <w:trPr>
        <w:trHeight w:val="242"/>
      </w:trPr>
      <w:tc>
        <w:tcPr>
          <w:tcW w:w="5103" w:type="dxa"/>
          <w:hideMark/>
        </w:tcPr>
        <w:p w14:paraId="729A65A8" w14:textId="77777777" w:rsidR="008E40A8" w:rsidRPr="00096248" w:rsidRDefault="008E40A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A9D6364" w:rsidR="008E40A8" w:rsidRPr="00096248" w:rsidRDefault="00B67F46" w:rsidP="00100663">
          <w:pPr>
            <w:spacing w:after="120" w:line="240" w:lineRule="auto"/>
            <w:ind w:left="-81" w:right="71"/>
            <w:jc w:val="right"/>
            <w:rPr>
              <w:rFonts w:cs="Arial"/>
              <w:szCs w:val="24"/>
            </w:rPr>
          </w:pPr>
          <w:r w:rsidRPr="00B67F46">
            <w:rPr>
              <w:rFonts w:cs="Arial"/>
              <w:szCs w:val="24"/>
            </w:rPr>
            <w:t xml:space="preserve">Ayuntamiento de </w:t>
          </w:r>
          <w:proofErr w:type="spellStart"/>
          <w:r w:rsidRPr="00B67F46">
            <w:rPr>
              <w:rFonts w:cs="Arial"/>
              <w:szCs w:val="24"/>
            </w:rPr>
            <w:t>Jocotitlán</w:t>
          </w:r>
          <w:proofErr w:type="spellEnd"/>
        </w:p>
      </w:tc>
    </w:tr>
    <w:tr w:rsidR="008E40A8" w:rsidRPr="00F63239" w14:paraId="037E914D" w14:textId="77777777" w:rsidTr="003938ED">
      <w:trPr>
        <w:trHeight w:val="342"/>
      </w:trPr>
      <w:tc>
        <w:tcPr>
          <w:tcW w:w="5103" w:type="dxa"/>
          <w:hideMark/>
        </w:tcPr>
        <w:p w14:paraId="7676B68F" w14:textId="64D69EAF" w:rsidR="008E40A8" w:rsidRPr="00096248" w:rsidRDefault="008E40A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E40A8" w:rsidRDefault="008E40A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E40A8" w:rsidRPr="00711916" w:rsidRDefault="008E40A8" w:rsidP="00011C4D">
          <w:pPr>
            <w:spacing w:after="120" w:line="240" w:lineRule="auto"/>
            <w:ind w:left="-486" w:right="71" w:firstLine="567"/>
            <w:jc w:val="right"/>
            <w:rPr>
              <w:rFonts w:cs="Arial"/>
              <w:sz w:val="2"/>
              <w:szCs w:val="2"/>
            </w:rPr>
          </w:pPr>
        </w:p>
      </w:tc>
    </w:tr>
  </w:tbl>
  <w:p w14:paraId="2998DBFD" w14:textId="25A9F426" w:rsidR="008E40A8" w:rsidRPr="00871A91" w:rsidRDefault="00FE3C2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25pt;margin-top:-146.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E40A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0A8" w14:paraId="0F9FE9B6" w14:textId="77777777" w:rsidTr="003938ED">
      <w:trPr>
        <w:trHeight w:val="227"/>
      </w:trPr>
      <w:tc>
        <w:tcPr>
          <w:tcW w:w="5103" w:type="dxa"/>
          <w:hideMark/>
        </w:tcPr>
        <w:p w14:paraId="6D1D9D71" w14:textId="11150E5A" w:rsidR="008E40A8" w:rsidRPr="00663A37" w:rsidRDefault="008E40A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7B368A4" w:rsidR="008E40A8" w:rsidRPr="00C81ECD" w:rsidRDefault="00B67F46" w:rsidP="00011C4D">
          <w:pPr>
            <w:spacing w:after="120" w:line="240" w:lineRule="auto"/>
            <w:ind w:left="-486" w:right="68" w:firstLine="558"/>
            <w:jc w:val="right"/>
            <w:rPr>
              <w:rFonts w:cs="Arial"/>
              <w:b/>
              <w:szCs w:val="24"/>
            </w:rPr>
          </w:pPr>
          <w:r w:rsidRPr="00B67F46">
            <w:rPr>
              <w:rFonts w:cs="Arial"/>
              <w:b/>
              <w:bCs/>
              <w:szCs w:val="24"/>
            </w:rPr>
            <w:t>07800/INFOEM/IP/RR/2025</w:t>
          </w:r>
        </w:p>
      </w:tc>
    </w:tr>
    <w:tr w:rsidR="008E40A8" w:rsidRPr="001F57CD" w14:paraId="1377D264" w14:textId="77777777" w:rsidTr="003938ED">
      <w:trPr>
        <w:trHeight w:val="196"/>
      </w:trPr>
      <w:tc>
        <w:tcPr>
          <w:tcW w:w="5103" w:type="dxa"/>
          <w:hideMark/>
        </w:tcPr>
        <w:p w14:paraId="04D597A1" w14:textId="77777777" w:rsidR="008E40A8" w:rsidRPr="00663A37" w:rsidRDefault="008E40A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0D337D8" w:rsidR="008E40A8" w:rsidRPr="00663A37" w:rsidRDefault="00350032" w:rsidP="00011C4D">
          <w:pPr>
            <w:spacing w:after="120" w:line="240" w:lineRule="auto"/>
            <w:ind w:right="68"/>
            <w:jc w:val="right"/>
            <w:rPr>
              <w:rFonts w:cs="Arial"/>
              <w:szCs w:val="24"/>
            </w:rPr>
          </w:pPr>
          <w:r>
            <w:rPr>
              <w:rFonts w:cs="Arial"/>
              <w:szCs w:val="24"/>
            </w:rPr>
            <w:t>XXXXXXXXXXXXXXXXXXXX</w:t>
          </w:r>
        </w:p>
      </w:tc>
    </w:tr>
    <w:tr w:rsidR="008E40A8" w14:paraId="4DC11993" w14:textId="77777777" w:rsidTr="003938ED">
      <w:trPr>
        <w:trHeight w:val="242"/>
      </w:trPr>
      <w:tc>
        <w:tcPr>
          <w:tcW w:w="5103" w:type="dxa"/>
          <w:hideMark/>
        </w:tcPr>
        <w:p w14:paraId="76CEF1B5" w14:textId="77777777" w:rsidR="008E40A8" w:rsidRPr="00663A37" w:rsidRDefault="008E40A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995C675" w:rsidR="008E40A8" w:rsidRPr="00663A37" w:rsidRDefault="00B67F46" w:rsidP="00DE2799">
          <w:pPr>
            <w:spacing w:after="120" w:line="240" w:lineRule="auto"/>
            <w:ind w:left="-70" w:right="68"/>
            <w:jc w:val="right"/>
            <w:rPr>
              <w:rFonts w:cs="Arial"/>
              <w:szCs w:val="24"/>
            </w:rPr>
          </w:pPr>
          <w:r w:rsidRPr="00B67F46">
            <w:rPr>
              <w:rFonts w:cs="Arial"/>
              <w:szCs w:val="24"/>
            </w:rPr>
            <w:t xml:space="preserve">Ayuntamiento de </w:t>
          </w:r>
          <w:proofErr w:type="spellStart"/>
          <w:r w:rsidRPr="00B67F46">
            <w:rPr>
              <w:rFonts w:cs="Arial"/>
              <w:szCs w:val="24"/>
            </w:rPr>
            <w:t>Jocotitlán</w:t>
          </w:r>
          <w:proofErr w:type="spellEnd"/>
        </w:p>
      </w:tc>
    </w:tr>
    <w:tr w:rsidR="008E40A8" w14:paraId="5C2B511D" w14:textId="77777777" w:rsidTr="003938ED">
      <w:trPr>
        <w:trHeight w:val="342"/>
      </w:trPr>
      <w:tc>
        <w:tcPr>
          <w:tcW w:w="5103" w:type="dxa"/>
          <w:hideMark/>
        </w:tcPr>
        <w:p w14:paraId="03FEF68C" w14:textId="45E91CF4" w:rsidR="008E40A8" w:rsidRPr="00663A37" w:rsidRDefault="008E40A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E40A8" w:rsidRPr="00663A37" w:rsidRDefault="008E40A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E40A8" w:rsidRPr="00871A91" w:rsidRDefault="00FE3C2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6.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E40A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B4E1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001D7"/>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214E90"/>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0AB122E"/>
    <w:multiLevelType w:val="multilevel"/>
    <w:tmpl w:val="C7E6574E"/>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FBA3FE7"/>
    <w:multiLevelType w:val="hybridMultilevel"/>
    <w:tmpl w:val="AC76AB64"/>
    <w:lvl w:ilvl="0" w:tplc="1CB6CA4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265FBF"/>
    <w:multiLevelType w:val="hybridMultilevel"/>
    <w:tmpl w:val="FFFFFFFF"/>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B7C2679"/>
    <w:multiLevelType w:val="hybridMultilevel"/>
    <w:tmpl w:val="FFFFFFFF"/>
    <w:lvl w:ilvl="0" w:tplc="6F6ABC3C">
      <w:start w:val="1"/>
      <w:numFmt w:val="upperRoman"/>
      <w:lvlText w:val="%1."/>
      <w:lvlJc w:val="left"/>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C5D49"/>
    <w:multiLevelType w:val="multilevel"/>
    <w:tmpl w:val="86981F7A"/>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B415CA"/>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2"/>
  </w:num>
  <w:num w:numId="3">
    <w:abstractNumId w:val="7"/>
  </w:num>
  <w:num w:numId="4">
    <w:abstractNumId w:val="27"/>
  </w:num>
  <w:num w:numId="5">
    <w:abstractNumId w:val="3"/>
  </w:num>
  <w:num w:numId="6">
    <w:abstractNumId w:val="23"/>
  </w:num>
  <w:num w:numId="7">
    <w:abstractNumId w:val="6"/>
  </w:num>
  <w:num w:numId="8">
    <w:abstractNumId w:val="2"/>
  </w:num>
  <w:num w:numId="9">
    <w:abstractNumId w:val="10"/>
  </w:num>
  <w:num w:numId="10">
    <w:abstractNumId w:val="11"/>
  </w:num>
  <w:num w:numId="11">
    <w:abstractNumId w:val="29"/>
  </w:num>
  <w:num w:numId="12">
    <w:abstractNumId w:val="26"/>
  </w:num>
  <w:num w:numId="13">
    <w:abstractNumId w:val="18"/>
  </w:num>
  <w:num w:numId="14">
    <w:abstractNumId w:val="0"/>
  </w:num>
  <w:num w:numId="15">
    <w:abstractNumId w:val="19"/>
  </w:num>
  <w:num w:numId="16">
    <w:abstractNumId w:val="5"/>
  </w:num>
  <w:num w:numId="17">
    <w:abstractNumId w:val="12"/>
  </w:num>
  <w:num w:numId="18">
    <w:abstractNumId w:val="8"/>
  </w:num>
  <w:num w:numId="19">
    <w:abstractNumId w:val="28"/>
  </w:num>
  <w:num w:numId="20">
    <w:abstractNumId w:val="9"/>
  </w:num>
  <w:num w:numId="21">
    <w:abstractNumId w:val="16"/>
  </w:num>
  <w:num w:numId="22">
    <w:abstractNumId w:val="1"/>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4"/>
  </w:num>
  <w:num w:numId="29">
    <w:abstractNumId w:val="25"/>
  </w:num>
  <w:num w:numId="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5B94"/>
    <w:rsid w:val="0000665B"/>
    <w:rsid w:val="000067CE"/>
    <w:rsid w:val="00007857"/>
    <w:rsid w:val="00007BA4"/>
    <w:rsid w:val="00010293"/>
    <w:rsid w:val="0001029F"/>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1FFB"/>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4570"/>
    <w:rsid w:val="00045F86"/>
    <w:rsid w:val="00046A15"/>
    <w:rsid w:val="000506D4"/>
    <w:rsid w:val="00050D85"/>
    <w:rsid w:val="00050FF1"/>
    <w:rsid w:val="00051732"/>
    <w:rsid w:val="00051F5E"/>
    <w:rsid w:val="00051F7E"/>
    <w:rsid w:val="0005219F"/>
    <w:rsid w:val="0005241C"/>
    <w:rsid w:val="00053421"/>
    <w:rsid w:val="00054689"/>
    <w:rsid w:val="0005480B"/>
    <w:rsid w:val="00054F6A"/>
    <w:rsid w:val="00055891"/>
    <w:rsid w:val="00055C90"/>
    <w:rsid w:val="000564B5"/>
    <w:rsid w:val="000565EE"/>
    <w:rsid w:val="00056F4A"/>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381"/>
    <w:rsid w:val="00087935"/>
    <w:rsid w:val="00087AFB"/>
    <w:rsid w:val="00087F54"/>
    <w:rsid w:val="0009020C"/>
    <w:rsid w:val="00090297"/>
    <w:rsid w:val="00090687"/>
    <w:rsid w:val="00090A37"/>
    <w:rsid w:val="00091848"/>
    <w:rsid w:val="00092003"/>
    <w:rsid w:val="00092681"/>
    <w:rsid w:val="00092D82"/>
    <w:rsid w:val="0009320C"/>
    <w:rsid w:val="0009328A"/>
    <w:rsid w:val="0009397B"/>
    <w:rsid w:val="00094B23"/>
    <w:rsid w:val="00094FD7"/>
    <w:rsid w:val="000951B9"/>
    <w:rsid w:val="000952D2"/>
    <w:rsid w:val="0009609D"/>
    <w:rsid w:val="00096248"/>
    <w:rsid w:val="00097890"/>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3A4"/>
    <w:rsid w:val="000C066A"/>
    <w:rsid w:val="000C0E5D"/>
    <w:rsid w:val="000C2D59"/>
    <w:rsid w:val="000C416A"/>
    <w:rsid w:val="000C51AF"/>
    <w:rsid w:val="000C568A"/>
    <w:rsid w:val="000C661C"/>
    <w:rsid w:val="000C7472"/>
    <w:rsid w:val="000C77AA"/>
    <w:rsid w:val="000C7F8F"/>
    <w:rsid w:val="000D0CD3"/>
    <w:rsid w:val="000D14DA"/>
    <w:rsid w:val="000D2C63"/>
    <w:rsid w:val="000D37D2"/>
    <w:rsid w:val="000D3C8A"/>
    <w:rsid w:val="000D422C"/>
    <w:rsid w:val="000D4739"/>
    <w:rsid w:val="000D5244"/>
    <w:rsid w:val="000D55D2"/>
    <w:rsid w:val="000D5634"/>
    <w:rsid w:val="000D56B9"/>
    <w:rsid w:val="000D5C00"/>
    <w:rsid w:val="000D66A1"/>
    <w:rsid w:val="000D772A"/>
    <w:rsid w:val="000E06A3"/>
    <w:rsid w:val="000E0D32"/>
    <w:rsid w:val="000E1F73"/>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4079"/>
    <w:rsid w:val="000F415C"/>
    <w:rsid w:val="000F54F6"/>
    <w:rsid w:val="000F7D93"/>
    <w:rsid w:val="00100663"/>
    <w:rsid w:val="0010147E"/>
    <w:rsid w:val="0010149D"/>
    <w:rsid w:val="00103C89"/>
    <w:rsid w:val="00103D8C"/>
    <w:rsid w:val="00104611"/>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23E05"/>
    <w:rsid w:val="00127E24"/>
    <w:rsid w:val="00130C18"/>
    <w:rsid w:val="00131262"/>
    <w:rsid w:val="00131C40"/>
    <w:rsid w:val="00131C6C"/>
    <w:rsid w:val="00131F2D"/>
    <w:rsid w:val="001321ED"/>
    <w:rsid w:val="00133F26"/>
    <w:rsid w:val="00134C9B"/>
    <w:rsid w:val="001360B8"/>
    <w:rsid w:val="0013657B"/>
    <w:rsid w:val="00136A94"/>
    <w:rsid w:val="001376DD"/>
    <w:rsid w:val="0014092A"/>
    <w:rsid w:val="001421BE"/>
    <w:rsid w:val="00142D35"/>
    <w:rsid w:val="00143916"/>
    <w:rsid w:val="00143CF0"/>
    <w:rsid w:val="00143E8A"/>
    <w:rsid w:val="00143FC6"/>
    <w:rsid w:val="00144A6E"/>
    <w:rsid w:val="00144ABF"/>
    <w:rsid w:val="00144BA8"/>
    <w:rsid w:val="00145C22"/>
    <w:rsid w:val="001464CD"/>
    <w:rsid w:val="00150293"/>
    <w:rsid w:val="001502AD"/>
    <w:rsid w:val="001509C0"/>
    <w:rsid w:val="00151431"/>
    <w:rsid w:val="00151764"/>
    <w:rsid w:val="00151F61"/>
    <w:rsid w:val="00151FF5"/>
    <w:rsid w:val="00152B40"/>
    <w:rsid w:val="001530E5"/>
    <w:rsid w:val="00153366"/>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3B0"/>
    <w:rsid w:val="00171AAD"/>
    <w:rsid w:val="00171BBC"/>
    <w:rsid w:val="00171F77"/>
    <w:rsid w:val="0017292D"/>
    <w:rsid w:val="00172A77"/>
    <w:rsid w:val="00172A87"/>
    <w:rsid w:val="0017523B"/>
    <w:rsid w:val="00175B42"/>
    <w:rsid w:val="0017633C"/>
    <w:rsid w:val="00176522"/>
    <w:rsid w:val="001809A8"/>
    <w:rsid w:val="0018145C"/>
    <w:rsid w:val="00181A9D"/>
    <w:rsid w:val="001823E3"/>
    <w:rsid w:val="00182FC0"/>
    <w:rsid w:val="00183990"/>
    <w:rsid w:val="00183F45"/>
    <w:rsid w:val="00184AEA"/>
    <w:rsid w:val="0018577B"/>
    <w:rsid w:val="00185C61"/>
    <w:rsid w:val="00187808"/>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22B0"/>
    <w:rsid w:val="001A286B"/>
    <w:rsid w:val="001A316F"/>
    <w:rsid w:val="001A3982"/>
    <w:rsid w:val="001A3C5F"/>
    <w:rsid w:val="001A3F75"/>
    <w:rsid w:val="001A4BDF"/>
    <w:rsid w:val="001A6797"/>
    <w:rsid w:val="001A6849"/>
    <w:rsid w:val="001A773B"/>
    <w:rsid w:val="001B0259"/>
    <w:rsid w:val="001B0262"/>
    <w:rsid w:val="001B0F89"/>
    <w:rsid w:val="001B28D1"/>
    <w:rsid w:val="001B3FD2"/>
    <w:rsid w:val="001B4435"/>
    <w:rsid w:val="001B482D"/>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4EFC"/>
    <w:rsid w:val="001D5A7D"/>
    <w:rsid w:val="001D6CA8"/>
    <w:rsid w:val="001E04CC"/>
    <w:rsid w:val="001E1A95"/>
    <w:rsid w:val="001E2186"/>
    <w:rsid w:val="001E21A0"/>
    <w:rsid w:val="001E2646"/>
    <w:rsid w:val="001E2BA9"/>
    <w:rsid w:val="001E3430"/>
    <w:rsid w:val="001E35AE"/>
    <w:rsid w:val="001E5253"/>
    <w:rsid w:val="001E5286"/>
    <w:rsid w:val="001E5453"/>
    <w:rsid w:val="001E5C3D"/>
    <w:rsid w:val="001E62B8"/>
    <w:rsid w:val="001E678B"/>
    <w:rsid w:val="001F2B26"/>
    <w:rsid w:val="001F2BC9"/>
    <w:rsid w:val="001F307D"/>
    <w:rsid w:val="001F34DD"/>
    <w:rsid w:val="001F408E"/>
    <w:rsid w:val="001F4349"/>
    <w:rsid w:val="001F4860"/>
    <w:rsid w:val="001F4EDD"/>
    <w:rsid w:val="001F57CD"/>
    <w:rsid w:val="001F5B07"/>
    <w:rsid w:val="001F5E58"/>
    <w:rsid w:val="001F6270"/>
    <w:rsid w:val="001F65BE"/>
    <w:rsid w:val="001F7890"/>
    <w:rsid w:val="001F7D9A"/>
    <w:rsid w:val="001F7F88"/>
    <w:rsid w:val="00200FAD"/>
    <w:rsid w:val="00201765"/>
    <w:rsid w:val="0020257F"/>
    <w:rsid w:val="00204AA1"/>
    <w:rsid w:val="00205357"/>
    <w:rsid w:val="00205455"/>
    <w:rsid w:val="002056F7"/>
    <w:rsid w:val="00205FAC"/>
    <w:rsid w:val="00206139"/>
    <w:rsid w:val="00206A67"/>
    <w:rsid w:val="0020763C"/>
    <w:rsid w:val="00207E11"/>
    <w:rsid w:val="0021063D"/>
    <w:rsid w:val="00210714"/>
    <w:rsid w:val="0021327B"/>
    <w:rsid w:val="00214B09"/>
    <w:rsid w:val="002155ED"/>
    <w:rsid w:val="0021627B"/>
    <w:rsid w:val="002166DD"/>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02B5"/>
    <w:rsid w:val="00241201"/>
    <w:rsid w:val="002432E1"/>
    <w:rsid w:val="00243315"/>
    <w:rsid w:val="002437A2"/>
    <w:rsid w:val="00244421"/>
    <w:rsid w:val="00245AC1"/>
    <w:rsid w:val="00246269"/>
    <w:rsid w:val="00252443"/>
    <w:rsid w:val="002530AE"/>
    <w:rsid w:val="0025386E"/>
    <w:rsid w:val="00253E5E"/>
    <w:rsid w:val="002547B2"/>
    <w:rsid w:val="0025565C"/>
    <w:rsid w:val="00255FD1"/>
    <w:rsid w:val="002567B3"/>
    <w:rsid w:val="00256CE0"/>
    <w:rsid w:val="00257FF0"/>
    <w:rsid w:val="00261886"/>
    <w:rsid w:val="0026199A"/>
    <w:rsid w:val="00261A13"/>
    <w:rsid w:val="00261E57"/>
    <w:rsid w:val="00264CA1"/>
    <w:rsid w:val="00264FB2"/>
    <w:rsid w:val="0026506A"/>
    <w:rsid w:val="00266604"/>
    <w:rsid w:val="00267823"/>
    <w:rsid w:val="00267A7B"/>
    <w:rsid w:val="002704DF"/>
    <w:rsid w:val="00270F03"/>
    <w:rsid w:val="002710B5"/>
    <w:rsid w:val="0027116F"/>
    <w:rsid w:val="0027275D"/>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A89"/>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0A0"/>
    <w:rsid w:val="00297212"/>
    <w:rsid w:val="002972E8"/>
    <w:rsid w:val="002A02E8"/>
    <w:rsid w:val="002A1797"/>
    <w:rsid w:val="002A2203"/>
    <w:rsid w:val="002A2628"/>
    <w:rsid w:val="002A51B8"/>
    <w:rsid w:val="002A5ADD"/>
    <w:rsid w:val="002A5FDF"/>
    <w:rsid w:val="002A650A"/>
    <w:rsid w:val="002A6FCE"/>
    <w:rsid w:val="002A7501"/>
    <w:rsid w:val="002A757C"/>
    <w:rsid w:val="002B0EA1"/>
    <w:rsid w:val="002B0EEC"/>
    <w:rsid w:val="002B317E"/>
    <w:rsid w:val="002B3CE2"/>
    <w:rsid w:val="002B40FF"/>
    <w:rsid w:val="002B44C4"/>
    <w:rsid w:val="002B5869"/>
    <w:rsid w:val="002B5F48"/>
    <w:rsid w:val="002B69E1"/>
    <w:rsid w:val="002B7549"/>
    <w:rsid w:val="002B78B9"/>
    <w:rsid w:val="002C0E65"/>
    <w:rsid w:val="002C0E9B"/>
    <w:rsid w:val="002C15CA"/>
    <w:rsid w:val="002C1DAF"/>
    <w:rsid w:val="002C26CD"/>
    <w:rsid w:val="002C2C08"/>
    <w:rsid w:val="002C2D27"/>
    <w:rsid w:val="002C3141"/>
    <w:rsid w:val="002C3E50"/>
    <w:rsid w:val="002C42A2"/>
    <w:rsid w:val="002C4718"/>
    <w:rsid w:val="002C4751"/>
    <w:rsid w:val="002C48A8"/>
    <w:rsid w:val="002C6010"/>
    <w:rsid w:val="002C6B4C"/>
    <w:rsid w:val="002C7329"/>
    <w:rsid w:val="002C7EC4"/>
    <w:rsid w:val="002D15F2"/>
    <w:rsid w:val="002D269F"/>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14E4"/>
    <w:rsid w:val="00312106"/>
    <w:rsid w:val="003126FB"/>
    <w:rsid w:val="0031280C"/>
    <w:rsid w:val="00313170"/>
    <w:rsid w:val="003136B3"/>
    <w:rsid w:val="00314324"/>
    <w:rsid w:val="00315AE3"/>
    <w:rsid w:val="00315CA2"/>
    <w:rsid w:val="0031667E"/>
    <w:rsid w:val="00316A7B"/>
    <w:rsid w:val="00317329"/>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59A2"/>
    <w:rsid w:val="00346373"/>
    <w:rsid w:val="003467CD"/>
    <w:rsid w:val="003471F0"/>
    <w:rsid w:val="00350032"/>
    <w:rsid w:val="003505B2"/>
    <w:rsid w:val="0035063B"/>
    <w:rsid w:val="003519DC"/>
    <w:rsid w:val="0035208A"/>
    <w:rsid w:val="00352677"/>
    <w:rsid w:val="0035393E"/>
    <w:rsid w:val="0035470D"/>
    <w:rsid w:val="00355981"/>
    <w:rsid w:val="00357437"/>
    <w:rsid w:val="00360189"/>
    <w:rsid w:val="0036188D"/>
    <w:rsid w:val="00362013"/>
    <w:rsid w:val="00362136"/>
    <w:rsid w:val="003623F5"/>
    <w:rsid w:val="0036336C"/>
    <w:rsid w:val="003637A1"/>
    <w:rsid w:val="00364169"/>
    <w:rsid w:val="003647C3"/>
    <w:rsid w:val="00364C0A"/>
    <w:rsid w:val="0037112D"/>
    <w:rsid w:val="00371327"/>
    <w:rsid w:val="003713C2"/>
    <w:rsid w:val="0037145D"/>
    <w:rsid w:val="0037172A"/>
    <w:rsid w:val="0037269A"/>
    <w:rsid w:val="0037526D"/>
    <w:rsid w:val="0037545E"/>
    <w:rsid w:val="00376405"/>
    <w:rsid w:val="00377C25"/>
    <w:rsid w:val="0038157C"/>
    <w:rsid w:val="0038209B"/>
    <w:rsid w:val="003839F9"/>
    <w:rsid w:val="00385421"/>
    <w:rsid w:val="00385B88"/>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4917"/>
    <w:rsid w:val="003960C8"/>
    <w:rsid w:val="00397677"/>
    <w:rsid w:val="003A0B24"/>
    <w:rsid w:val="003A0BF2"/>
    <w:rsid w:val="003A0F14"/>
    <w:rsid w:val="003A36BD"/>
    <w:rsid w:val="003A3A32"/>
    <w:rsid w:val="003A4262"/>
    <w:rsid w:val="003A53BF"/>
    <w:rsid w:val="003A59A6"/>
    <w:rsid w:val="003A5E6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5EB7"/>
    <w:rsid w:val="003D0AE2"/>
    <w:rsid w:val="003D17AF"/>
    <w:rsid w:val="003D2681"/>
    <w:rsid w:val="003D3046"/>
    <w:rsid w:val="003D3477"/>
    <w:rsid w:val="003D372B"/>
    <w:rsid w:val="003D5450"/>
    <w:rsid w:val="003D608B"/>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E76EB"/>
    <w:rsid w:val="003F2491"/>
    <w:rsid w:val="003F308A"/>
    <w:rsid w:val="003F4582"/>
    <w:rsid w:val="003F57AB"/>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3414"/>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4EEC"/>
    <w:rsid w:val="00467C83"/>
    <w:rsid w:val="00471E09"/>
    <w:rsid w:val="0047205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1416"/>
    <w:rsid w:val="0049216F"/>
    <w:rsid w:val="004928F5"/>
    <w:rsid w:val="00493099"/>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2933"/>
    <w:rsid w:val="004B3514"/>
    <w:rsid w:val="004B37E3"/>
    <w:rsid w:val="004B3867"/>
    <w:rsid w:val="004B3EDF"/>
    <w:rsid w:val="004B631A"/>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0FB9"/>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5BA"/>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1FC0"/>
    <w:rsid w:val="00512A53"/>
    <w:rsid w:val="00513D8C"/>
    <w:rsid w:val="0051421A"/>
    <w:rsid w:val="005142CE"/>
    <w:rsid w:val="0051495F"/>
    <w:rsid w:val="005149AC"/>
    <w:rsid w:val="00514C55"/>
    <w:rsid w:val="00515083"/>
    <w:rsid w:val="005159EC"/>
    <w:rsid w:val="00515E8C"/>
    <w:rsid w:val="00516890"/>
    <w:rsid w:val="00516A4D"/>
    <w:rsid w:val="00517649"/>
    <w:rsid w:val="00520545"/>
    <w:rsid w:val="005205DF"/>
    <w:rsid w:val="00521628"/>
    <w:rsid w:val="0052214D"/>
    <w:rsid w:val="00524986"/>
    <w:rsid w:val="00525EB8"/>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2DFA"/>
    <w:rsid w:val="00543B6B"/>
    <w:rsid w:val="00543B75"/>
    <w:rsid w:val="00544041"/>
    <w:rsid w:val="0054426B"/>
    <w:rsid w:val="005449D0"/>
    <w:rsid w:val="00550ECE"/>
    <w:rsid w:val="005515F8"/>
    <w:rsid w:val="00553B9B"/>
    <w:rsid w:val="0055407F"/>
    <w:rsid w:val="005543AF"/>
    <w:rsid w:val="00554BD4"/>
    <w:rsid w:val="0055572B"/>
    <w:rsid w:val="00555CE3"/>
    <w:rsid w:val="0055603D"/>
    <w:rsid w:val="00556978"/>
    <w:rsid w:val="005600CD"/>
    <w:rsid w:val="005608E3"/>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3CB"/>
    <w:rsid w:val="00587B1E"/>
    <w:rsid w:val="00587E84"/>
    <w:rsid w:val="005913E6"/>
    <w:rsid w:val="0059209A"/>
    <w:rsid w:val="00593725"/>
    <w:rsid w:val="005944ED"/>
    <w:rsid w:val="00595B34"/>
    <w:rsid w:val="005960F6"/>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98F"/>
    <w:rsid w:val="005C7AFE"/>
    <w:rsid w:val="005D01B4"/>
    <w:rsid w:val="005D10B3"/>
    <w:rsid w:val="005D158D"/>
    <w:rsid w:val="005D1F9B"/>
    <w:rsid w:val="005D22BC"/>
    <w:rsid w:val="005D3A5F"/>
    <w:rsid w:val="005D43B1"/>
    <w:rsid w:val="005D5FFD"/>
    <w:rsid w:val="005D61BC"/>
    <w:rsid w:val="005D647C"/>
    <w:rsid w:val="005D6CE0"/>
    <w:rsid w:val="005E0835"/>
    <w:rsid w:val="005E10A5"/>
    <w:rsid w:val="005E1AEC"/>
    <w:rsid w:val="005E21DE"/>
    <w:rsid w:val="005E24C2"/>
    <w:rsid w:val="005E34E9"/>
    <w:rsid w:val="005E35AB"/>
    <w:rsid w:val="005E3E29"/>
    <w:rsid w:val="005E5356"/>
    <w:rsid w:val="005E7E9F"/>
    <w:rsid w:val="005F1439"/>
    <w:rsid w:val="005F21B0"/>
    <w:rsid w:val="005F30F1"/>
    <w:rsid w:val="005F3103"/>
    <w:rsid w:val="005F4562"/>
    <w:rsid w:val="005F4D3D"/>
    <w:rsid w:val="005F5B10"/>
    <w:rsid w:val="005F5C5E"/>
    <w:rsid w:val="005F6CAB"/>
    <w:rsid w:val="0060129A"/>
    <w:rsid w:val="0060244C"/>
    <w:rsid w:val="006055AB"/>
    <w:rsid w:val="00607C03"/>
    <w:rsid w:val="00610A95"/>
    <w:rsid w:val="0061292C"/>
    <w:rsid w:val="00612D3B"/>
    <w:rsid w:val="00613401"/>
    <w:rsid w:val="0061516D"/>
    <w:rsid w:val="00615B10"/>
    <w:rsid w:val="006168EB"/>
    <w:rsid w:val="00616DEB"/>
    <w:rsid w:val="00620DE2"/>
    <w:rsid w:val="00623DD9"/>
    <w:rsid w:val="00624E9E"/>
    <w:rsid w:val="0062573B"/>
    <w:rsid w:val="006263D3"/>
    <w:rsid w:val="00626796"/>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5FA"/>
    <w:rsid w:val="006538FC"/>
    <w:rsid w:val="00653B0F"/>
    <w:rsid w:val="00653F75"/>
    <w:rsid w:val="00655007"/>
    <w:rsid w:val="0065599C"/>
    <w:rsid w:val="00655B5C"/>
    <w:rsid w:val="00657961"/>
    <w:rsid w:val="00657B69"/>
    <w:rsid w:val="006609B3"/>
    <w:rsid w:val="00660E52"/>
    <w:rsid w:val="0066148E"/>
    <w:rsid w:val="0066182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25C6"/>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2E7"/>
    <w:rsid w:val="006B7E1D"/>
    <w:rsid w:val="006C2214"/>
    <w:rsid w:val="006C2F59"/>
    <w:rsid w:val="006C372D"/>
    <w:rsid w:val="006C410C"/>
    <w:rsid w:val="006C48DE"/>
    <w:rsid w:val="006C52D3"/>
    <w:rsid w:val="006C55C2"/>
    <w:rsid w:val="006C55D7"/>
    <w:rsid w:val="006C6C41"/>
    <w:rsid w:val="006D1947"/>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5AD"/>
    <w:rsid w:val="006F1A99"/>
    <w:rsid w:val="006F22DE"/>
    <w:rsid w:val="006F428B"/>
    <w:rsid w:val="006F676C"/>
    <w:rsid w:val="006F6AB6"/>
    <w:rsid w:val="00700C90"/>
    <w:rsid w:val="00701D18"/>
    <w:rsid w:val="00701F34"/>
    <w:rsid w:val="007031A2"/>
    <w:rsid w:val="00703CE9"/>
    <w:rsid w:val="00704693"/>
    <w:rsid w:val="0070491A"/>
    <w:rsid w:val="00704AB9"/>
    <w:rsid w:val="007054D8"/>
    <w:rsid w:val="007064C3"/>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2350"/>
    <w:rsid w:val="00723C6D"/>
    <w:rsid w:val="00723CAE"/>
    <w:rsid w:val="0072514D"/>
    <w:rsid w:val="00725C5A"/>
    <w:rsid w:val="007263E6"/>
    <w:rsid w:val="007264EA"/>
    <w:rsid w:val="00726D09"/>
    <w:rsid w:val="00726F49"/>
    <w:rsid w:val="0072771D"/>
    <w:rsid w:val="007327E4"/>
    <w:rsid w:val="00732AB3"/>
    <w:rsid w:val="007332CF"/>
    <w:rsid w:val="0073486B"/>
    <w:rsid w:val="00734FB5"/>
    <w:rsid w:val="00735D93"/>
    <w:rsid w:val="00736F47"/>
    <w:rsid w:val="00736F6B"/>
    <w:rsid w:val="00737B79"/>
    <w:rsid w:val="00740ACC"/>
    <w:rsid w:val="00740DFE"/>
    <w:rsid w:val="007410C2"/>
    <w:rsid w:val="007411F0"/>
    <w:rsid w:val="00741432"/>
    <w:rsid w:val="0074208A"/>
    <w:rsid w:val="0074665B"/>
    <w:rsid w:val="00746DD6"/>
    <w:rsid w:val="00746E60"/>
    <w:rsid w:val="00746FA8"/>
    <w:rsid w:val="007479B5"/>
    <w:rsid w:val="007502BD"/>
    <w:rsid w:val="007504A3"/>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2EFF"/>
    <w:rsid w:val="00764010"/>
    <w:rsid w:val="00764368"/>
    <w:rsid w:val="0076491F"/>
    <w:rsid w:val="00764A05"/>
    <w:rsid w:val="00764AFB"/>
    <w:rsid w:val="00764B5B"/>
    <w:rsid w:val="00765287"/>
    <w:rsid w:val="007657CF"/>
    <w:rsid w:val="00765C81"/>
    <w:rsid w:val="00766A73"/>
    <w:rsid w:val="00766F19"/>
    <w:rsid w:val="007712C7"/>
    <w:rsid w:val="00773A7B"/>
    <w:rsid w:val="00774137"/>
    <w:rsid w:val="0077455A"/>
    <w:rsid w:val="007764B7"/>
    <w:rsid w:val="00776581"/>
    <w:rsid w:val="00777372"/>
    <w:rsid w:val="00777417"/>
    <w:rsid w:val="00777527"/>
    <w:rsid w:val="00780E83"/>
    <w:rsid w:val="00781043"/>
    <w:rsid w:val="00781849"/>
    <w:rsid w:val="00781B6F"/>
    <w:rsid w:val="0078246A"/>
    <w:rsid w:val="00782890"/>
    <w:rsid w:val="007833CB"/>
    <w:rsid w:val="00783618"/>
    <w:rsid w:val="007838B1"/>
    <w:rsid w:val="00783B56"/>
    <w:rsid w:val="00785BC4"/>
    <w:rsid w:val="00786CFF"/>
    <w:rsid w:val="007874B4"/>
    <w:rsid w:val="0078754B"/>
    <w:rsid w:val="00787C97"/>
    <w:rsid w:val="00787E62"/>
    <w:rsid w:val="007906EE"/>
    <w:rsid w:val="007912D4"/>
    <w:rsid w:val="00791490"/>
    <w:rsid w:val="00791C7A"/>
    <w:rsid w:val="00791D59"/>
    <w:rsid w:val="00792D4C"/>
    <w:rsid w:val="007938AE"/>
    <w:rsid w:val="00793B7C"/>
    <w:rsid w:val="00794312"/>
    <w:rsid w:val="0079583E"/>
    <w:rsid w:val="00796785"/>
    <w:rsid w:val="007A017C"/>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C7B24"/>
    <w:rsid w:val="007C7BAB"/>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019"/>
    <w:rsid w:val="007E648C"/>
    <w:rsid w:val="007E660F"/>
    <w:rsid w:val="007E6FFC"/>
    <w:rsid w:val="007E781F"/>
    <w:rsid w:val="007E7E50"/>
    <w:rsid w:val="007F0609"/>
    <w:rsid w:val="007F1049"/>
    <w:rsid w:val="007F120F"/>
    <w:rsid w:val="007F1538"/>
    <w:rsid w:val="007F15FE"/>
    <w:rsid w:val="007F3D8B"/>
    <w:rsid w:val="007F3F9F"/>
    <w:rsid w:val="007F44CF"/>
    <w:rsid w:val="007F4512"/>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AF7"/>
    <w:rsid w:val="00830D47"/>
    <w:rsid w:val="00831867"/>
    <w:rsid w:val="00831D6C"/>
    <w:rsid w:val="00832DB6"/>
    <w:rsid w:val="00832F6C"/>
    <w:rsid w:val="008341ED"/>
    <w:rsid w:val="008362CE"/>
    <w:rsid w:val="00837584"/>
    <w:rsid w:val="00841673"/>
    <w:rsid w:val="00841963"/>
    <w:rsid w:val="008441B1"/>
    <w:rsid w:val="00844CD7"/>
    <w:rsid w:val="00845B52"/>
    <w:rsid w:val="008462E3"/>
    <w:rsid w:val="00846D3E"/>
    <w:rsid w:val="00846DE7"/>
    <w:rsid w:val="008477B9"/>
    <w:rsid w:val="00847C27"/>
    <w:rsid w:val="008505FB"/>
    <w:rsid w:val="00851647"/>
    <w:rsid w:val="008523FA"/>
    <w:rsid w:val="008529E6"/>
    <w:rsid w:val="00852CDD"/>
    <w:rsid w:val="00852E38"/>
    <w:rsid w:val="008542A4"/>
    <w:rsid w:val="0085541F"/>
    <w:rsid w:val="00855E11"/>
    <w:rsid w:val="0085719C"/>
    <w:rsid w:val="008575E1"/>
    <w:rsid w:val="0085760A"/>
    <w:rsid w:val="00857BA8"/>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0F7F"/>
    <w:rsid w:val="00891CFC"/>
    <w:rsid w:val="00891E79"/>
    <w:rsid w:val="008921AE"/>
    <w:rsid w:val="00895187"/>
    <w:rsid w:val="00895BD3"/>
    <w:rsid w:val="00896EDC"/>
    <w:rsid w:val="00897CF4"/>
    <w:rsid w:val="008A03D2"/>
    <w:rsid w:val="008A06D7"/>
    <w:rsid w:val="008A0C9F"/>
    <w:rsid w:val="008A14F6"/>
    <w:rsid w:val="008A1645"/>
    <w:rsid w:val="008A3E6F"/>
    <w:rsid w:val="008A56C3"/>
    <w:rsid w:val="008A73A9"/>
    <w:rsid w:val="008A7EF2"/>
    <w:rsid w:val="008B003A"/>
    <w:rsid w:val="008B0DFB"/>
    <w:rsid w:val="008B2951"/>
    <w:rsid w:val="008B2BBB"/>
    <w:rsid w:val="008B389B"/>
    <w:rsid w:val="008B590C"/>
    <w:rsid w:val="008B60D9"/>
    <w:rsid w:val="008B646D"/>
    <w:rsid w:val="008B6842"/>
    <w:rsid w:val="008B6CDF"/>
    <w:rsid w:val="008B70C4"/>
    <w:rsid w:val="008B7348"/>
    <w:rsid w:val="008B7F11"/>
    <w:rsid w:val="008C004B"/>
    <w:rsid w:val="008C04D3"/>
    <w:rsid w:val="008C0CAF"/>
    <w:rsid w:val="008C126E"/>
    <w:rsid w:val="008C18C1"/>
    <w:rsid w:val="008C2BC9"/>
    <w:rsid w:val="008C3DC2"/>
    <w:rsid w:val="008C4229"/>
    <w:rsid w:val="008C442E"/>
    <w:rsid w:val="008C4943"/>
    <w:rsid w:val="008C5658"/>
    <w:rsid w:val="008C5DCA"/>
    <w:rsid w:val="008C6338"/>
    <w:rsid w:val="008D02B0"/>
    <w:rsid w:val="008D0ADE"/>
    <w:rsid w:val="008D0EE2"/>
    <w:rsid w:val="008D29AF"/>
    <w:rsid w:val="008D2D8F"/>
    <w:rsid w:val="008D2EA0"/>
    <w:rsid w:val="008D344B"/>
    <w:rsid w:val="008D346A"/>
    <w:rsid w:val="008D370B"/>
    <w:rsid w:val="008D41FC"/>
    <w:rsid w:val="008D4DD5"/>
    <w:rsid w:val="008D4ED9"/>
    <w:rsid w:val="008D6B04"/>
    <w:rsid w:val="008D72B9"/>
    <w:rsid w:val="008E2254"/>
    <w:rsid w:val="008E2654"/>
    <w:rsid w:val="008E26F2"/>
    <w:rsid w:val="008E40A8"/>
    <w:rsid w:val="008E4552"/>
    <w:rsid w:val="008E4929"/>
    <w:rsid w:val="008E4FF4"/>
    <w:rsid w:val="008E5682"/>
    <w:rsid w:val="008E5EA8"/>
    <w:rsid w:val="008E743A"/>
    <w:rsid w:val="008F1C22"/>
    <w:rsid w:val="008F2554"/>
    <w:rsid w:val="008F47DC"/>
    <w:rsid w:val="008F52B5"/>
    <w:rsid w:val="008F55AF"/>
    <w:rsid w:val="008F635E"/>
    <w:rsid w:val="008F738E"/>
    <w:rsid w:val="0090022E"/>
    <w:rsid w:val="009002CE"/>
    <w:rsid w:val="009025FB"/>
    <w:rsid w:val="009029DB"/>
    <w:rsid w:val="009038A8"/>
    <w:rsid w:val="00904244"/>
    <w:rsid w:val="009042E8"/>
    <w:rsid w:val="00905C6E"/>
    <w:rsid w:val="0090753F"/>
    <w:rsid w:val="009118BA"/>
    <w:rsid w:val="0091358E"/>
    <w:rsid w:val="00913E51"/>
    <w:rsid w:val="00914986"/>
    <w:rsid w:val="00914DFE"/>
    <w:rsid w:val="0091549C"/>
    <w:rsid w:val="0091614B"/>
    <w:rsid w:val="00916CEC"/>
    <w:rsid w:val="0091735D"/>
    <w:rsid w:val="0091759C"/>
    <w:rsid w:val="009202C9"/>
    <w:rsid w:val="0092076E"/>
    <w:rsid w:val="00921287"/>
    <w:rsid w:val="0092131F"/>
    <w:rsid w:val="00921595"/>
    <w:rsid w:val="00921959"/>
    <w:rsid w:val="00925D59"/>
    <w:rsid w:val="00926716"/>
    <w:rsid w:val="00926CB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26A9"/>
    <w:rsid w:val="00953424"/>
    <w:rsid w:val="00953B51"/>
    <w:rsid w:val="00953B7B"/>
    <w:rsid w:val="00954528"/>
    <w:rsid w:val="009558AA"/>
    <w:rsid w:val="00956AC2"/>
    <w:rsid w:val="009603E5"/>
    <w:rsid w:val="0096071A"/>
    <w:rsid w:val="00960A35"/>
    <w:rsid w:val="00960C91"/>
    <w:rsid w:val="00961AEB"/>
    <w:rsid w:val="00961B6D"/>
    <w:rsid w:val="00962A88"/>
    <w:rsid w:val="00963717"/>
    <w:rsid w:val="00963E37"/>
    <w:rsid w:val="00964678"/>
    <w:rsid w:val="00965CC4"/>
    <w:rsid w:val="0096624D"/>
    <w:rsid w:val="009664D7"/>
    <w:rsid w:val="00966A2E"/>
    <w:rsid w:val="009674D4"/>
    <w:rsid w:val="009676E3"/>
    <w:rsid w:val="00970143"/>
    <w:rsid w:val="00970B7F"/>
    <w:rsid w:val="00970C38"/>
    <w:rsid w:val="00971614"/>
    <w:rsid w:val="00972340"/>
    <w:rsid w:val="00972438"/>
    <w:rsid w:val="009742DC"/>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0CE0"/>
    <w:rsid w:val="009C0CF3"/>
    <w:rsid w:val="009C21B4"/>
    <w:rsid w:val="009C3225"/>
    <w:rsid w:val="009C3CB8"/>
    <w:rsid w:val="009C3E2A"/>
    <w:rsid w:val="009C419E"/>
    <w:rsid w:val="009C4284"/>
    <w:rsid w:val="009C4640"/>
    <w:rsid w:val="009C5DC4"/>
    <w:rsid w:val="009C61A3"/>
    <w:rsid w:val="009C66AA"/>
    <w:rsid w:val="009C67A9"/>
    <w:rsid w:val="009C6B84"/>
    <w:rsid w:val="009D0BC2"/>
    <w:rsid w:val="009D1368"/>
    <w:rsid w:val="009D1A7A"/>
    <w:rsid w:val="009D1CEE"/>
    <w:rsid w:val="009D2CDA"/>
    <w:rsid w:val="009D553D"/>
    <w:rsid w:val="009D5A24"/>
    <w:rsid w:val="009D5B2E"/>
    <w:rsid w:val="009D636F"/>
    <w:rsid w:val="009D7457"/>
    <w:rsid w:val="009D758F"/>
    <w:rsid w:val="009D7AC7"/>
    <w:rsid w:val="009D7BF2"/>
    <w:rsid w:val="009D7D83"/>
    <w:rsid w:val="009E0BE8"/>
    <w:rsid w:val="009E172F"/>
    <w:rsid w:val="009E19CB"/>
    <w:rsid w:val="009E1CC4"/>
    <w:rsid w:val="009E2447"/>
    <w:rsid w:val="009E287E"/>
    <w:rsid w:val="009E426E"/>
    <w:rsid w:val="009E439C"/>
    <w:rsid w:val="009E46F2"/>
    <w:rsid w:val="009E620D"/>
    <w:rsid w:val="009E7192"/>
    <w:rsid w:val="009E7F49"/>
    <w:rsid w:val="009F0B98"/>
    <w:rsid w:val="009F1641"/>
    <w:rsid w:val="009F1C46"/>
    <w:rsid w:val="009F1E25"/>
    <w:rsid w:val="009F2079"/>
    <w:rsid w:val="009F2592"/>
    <w:rsid w:val="009F3A59"/>
    <w:rsid w:val="009F4BE1"/>
    <w:rsid w:val="009F4FF4"/>
    <w:rsid w:val="009F5541"/>
    <w:rsid w:val="009F5C19"/>
    <w:rsid w:val="009F6493"/>
    <w:rsid w:val="009F69B5"/>
    <w:rsid w:val="009F6EA2"/>
    <w:rsid w:val="009F79AE"/>
    <w:rsid w:val="009F7F22"/>
    <w:rsid w:val="00A004D3"/>
    <w:rsid w:val="00A00FFB"/>
    <w:rsid w:val="00A04C7E"/>
    <w:rsid w:val="00A05448"/>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5FB6"/>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5714E"/>
    <w:rsid w:val="00A60841"/>
    <w:rsid w:val="00A61A4E"/>
    <w:rsid w:val="00A634B8"/>
    <w:rsid w:val="00A63700"/>
    <w:rsid w:val="00A64575"/>
    <w:rsid w:val="00A64C36"/>
    <w:rsid w:val="00A65A26"/>
    <w:rsid w:val="00A65F77"/>
    <w:rsid w:val="00A67625"/>
    <w:rsid w:val="00A67EF4"/>
    <w:rsid w:val="00A7277A"/>
    <w:rsid w:val="00A73EF9"/>
    <w:rsid w:val="00A75324"/>
    <w:rsid w:val="00A756C6"/>
    <w:rsid w:val="00A76999"/>
    <w:rsid w:val="00A77200"/>
    <w:rsid w:val="00A80BB6"/>
    <w:rsid w:val="00A80C68"/>
    <w:rsid w:val="00A8147A"/>
    <w:rsid w:val="00A821AF"/>
    <w:rsid w:val="00A844B8"/>
    <w:rsid w:val="00A849C8"/>
    <w:rsid w:val="00A855BE"/>
    <w:rsid w:val="00A86406"/>
    <w:rsid w:val="00A86CF8"/>
    <w:rsid w:val="00A87937"/>
    <w:rsid w:val="00A87D62"/>
    <w:rsid w:val="00A9014B"/>
    <w:rsid w:val="00A914F3"/>
    <w:rsid w:val="00A915AB"/>
    <w:rsid w:val="00A9222E"/>
    <w:rsid w:val="00A92C7A"/>
    <w:rsid w:val="00A92DD2"/>
    <w:rsid w:val="00A930F5"/>
    <w:rsid w:val="00A93347"/>
    <w:rsid w:val="00A93911"/>
    <w:rsid w:val="00A93C63"/>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2CE8"/>
    <w:rsid w:val="00AA3CF9"/>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4A5"/>
    <w:rsid w:val="00AD384E"/>
    <w:rsid w:val="00AD3CC4"/>
    <w:rsid w:val="00AD4839"/>
    <w:rsid w:val="00AD4C7C"/>
    <w:rsid w:val="00AD61B0"/>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206"/>
    <w:rsid w:val="00AF434D"/>
    <w:rsid w:val="00AF4EE4"/>
    <w:rsid w:val="00AF5356"/>
    <w:rsid w:val="00AF715C"/>
    <w:rsid w:val="00AF75A2"/>
    <w:rsid w:val="00AF7A71"/>
    <w:rsid w:val="00AF7BFB"/>
    <w:rsid w:val="00B0036F"/>
    <w:rsid w:val="00B00C8E"/>
    <w:rsid w:val="00B02AA5"/>
    <w:rsid w:val="00B04F50"/>
    <w:rsid w:val="00B05CA6"/>
    <w:rsid w:val="00B1073D"/>
    <w:rsid w:val="00B11CD7"/>
    <w:rsid w:val="00B1205D"/>
    <w:rsid w:val="00B128F0"/>
    <w:rsid w:val="00B13307"/>
    <w:rsid w:val="00B1367C"/>
    <w:rsid w:val="00B13B7B"/>
    <w:rsid w:val="00B14F62"/>
    <w:rsid w:val="00B15035"/>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3C3F"/>
    <w:rsid w:val="00B367AA"/>
    <w:rsid w:val="00B36B86"/>
    <w:rsid w:val="00B37176"/>
    <w:rsid w:val="00B373AA"/>
    <w:rsid w:val="00B37787"/>
    <w:rsid w:val="00B40823"/>
    <w:rsid w:val="00B40DF9"/>
    <w:rsid w:val="00B42083"/>
    <w:rsid w:val="00B42270"/>
    <w:rsid w:val="00B427A9"/>
    <w:rsid w:val="00B42ED1"/>
    <w:rsid w:val="00B43455"/>
    <w:rsid w:val="00B435F8"/>
    <w:rsid w:val="00B457A3"/>
    <w:rsid w:val="00B4620E"/>
    <w:rsid w:val="00B46CB0"/>
    <w:rsid w:val="00B4725D"/>
    <w:rsid w:val="00B51AFD"/>
    <w:rsid w:val="00B52A3F"/>
    <w:rsid w:val="00B53139"/>
    <w:rsid w:val="00B539AD"/>
    <w:rsid w:val="00B5462A"/>
    <w:rsid w:val="00B54BC7"/>
    <w:rsid w:val="00B565AE"/>
    <w:rsid w:val="00B56C15"/>
    <w:rsid w:val="00B57348"/>
    <w:rsid w:val="00B61E5E"/>
    <w:rsid w:val="00B625B5"/>
    <w:rsid w:val="00B629EA"/>
    <w:rsid w:val="00B62D2B"/>
    <w:rsid w:val="00B62DEC"/>
    <w:rsid w:val="00B63807"/>
    <w:rsid w:val="00B6426B"/>
    <w:rsid w:val="00B64331"/>
    <w:rsid w:val="00B6581C"/>
    <w:rsid w:val="00B65D4D"/>
    <w:rsid w:val="00B6621C"/>
    <w:rsid w:val="00B66649"/>
    <w:rsid w:val="00B67741"/>
    <w:rsid w:val="00B67D2A"/>
    <w:rsid w:val="00B67DF0"/>
    <w:rsid w:val="00B67F46"/>
    <w:rsid w:val="00B71399"/>
    <w:rsid w:val="00B71489"/>
    <w:rsid w:val="00B720DB"/>
    <w:rsid w:val="00B728EA"/>
    <w:rsid w:val="00B75226"/>
    <w:rsid w:val="00B75683"/>
    <w:rsid w:val="00B75985"/>
    <w:rsid w:val="00B76050"/>
    <w:rsid w:val="00B7667D"/>
    <w:rsid w:val="00B8179C"/>
    <w:rsid w:val="00B822DB"/>
    <w:rsid w:val="00B82D4E"/>
    <w:rsid w:val="00B84A8A"/>
    <w:rsid w:val="00B8657B"/>
    <w:rsid w:val="00B87C64"/>
    <w:rsid w:val="00B87E47"/>
    <w:rsid w:val="00B91A82"/>
    <w:rsid w:val="00B9279C"/>
    <w:rsid w:val="00B930C1"/>
    <w:rsid w:val="00B934BE"/>
    <w:rsid w:val="00B93569"/>
    <w:rsid w:val="00B94B37"/>
    <w:rsid w:val="00B95178"/>
    <w:rsid w:val="00B9576A"/>
    <w:rsid w:val="00B962BB"/>
    <w:rsid w:val="00B97B0E"/>
    <w:rsid w:val="00B97B16"/>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6F65"/>
    <w:rsid w:val="00BB7349"/>
    <w:rsid w:val="00BC0196"/>
    <w:rsid w:val="00BC0367"/>
    <w:rsid w:val="00BC1CAA"/>
    <w:rsid w:val="00BC219A"/>
    <w:rsid w:val="00BC3032"/>
    <w:rsid w:val="00BC4074"/>
    <w:rsid w:val="00BC42A8"/>
    <w:rsid w:val="00BC4869"/>
    <w:rsid w:val="00BC66EE"/>
    <w:rsid w:val="00BC69F2"/>
    <w:rsid w:val="00BC74AB"/>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2D5"/>
    <w:rsid w:val="00C009C1"/>
    <w:rsid w:val="00C01B8A"/>
    <w:rsid w:val="00C01E0C"/>
    <w:rsid w:val="00C01FED"/>
    <w:rsid w:val="00C02596"/>
    <w:rsid w:val="00C027B1"/>
    <w:rsid w:val="00C02CA2"/>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28D9"/>
    <w:rsid w:val="00C134F6"/>
    <w:rsid w:val="00C13C38"/>
    <w:rsid w:val="00C141F0"/>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046"/>
    <w:rsid w:val="00C35A64"/>
    <w:rsid w:val="00C35E7C"/>
    <w:rsid w:val="00C36B0D"/>
    <w:rsid w:val="00C3744C"/>
    <w:rsid w:val="00C37839"/>
    <w:rsid w:val="00C37EA0"/>
    <w:rsid w:val="00C409F6"/>
    <w:rsid w:val="00C410D2"/>
    <w:rsid w:val="00C41479"/>
    <w:rsid w:val="00C43810"/>
    <w:rsid w:val="00C439F1"/>
    <w:rsid w:val="00C4452E"/>
    <w:rsid w:val="00C5042D"/>
    <w:rsid w:val="00C5250E"/>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8C8"/>
    <w:rsid w:val="00C77CBD"/>
    <w:rsid w:val="00C80B05"/>
    <w:rsid w:val="00C81AD2"/>
    <w:rsid w:val="00C81CD7"/>
    <w:rsid w:val="00C81ECD"/>
    <w:rsid w:val="00C82268"/>
    <w:rsid w:val="00C83AEC"/>
    <w:rsid w:val="00C83E44"/>
    <w:rsid w:val="00C84348"/>
    <w:rsid w:val="00C8742E"/>
    <w:rsid w:val="00C90F14"/>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2F1A"/>
    <w:rsid w:val="00CA39B7"/>
    <w:rsid w:val="00CA3F4A"/>
    <w:rsid w:val="00CA43EA"/>
    <w:rsid w:val="00CA45E8"/>
    <w:rsid w:val="00CA5AF6"/>
    <w:rsid w:val="00CA613B"/>
    <w:rsid w:val="00CA6A87"/>
    <w:rsid w:val="00CA760E"/>
    <w:rsid w:val="00CB1E78"/>
    <w:rsid w:val="00CB2149"/>
    <w:rsid w:val="00CB2159"/>
    <w:rsid w:val="00CB252D"/>
    <w:rsid w:val="00CB4BBD"/>
    <w:rsid w:val="00CB4C86"/>
    <w:rsid w:val="00CB508B"/>
    <w:rsid w:val="00CB51F5"/>
    <w:rsid w:val="00CB5B7B"/>
    <w:rsid w:val="00CB5F3F"/>
    <w:rsid w:val="00CB6418"/>
    <w:rsid w:val="00CB651C"/>
    <w:rsid w:val="00CB740B"/>
    <w:rsid w:val="00CC0C48"/>
    <w:rsid w:val="00CC2F81"/>
    <w:rsid w:val="00CC3DCA"/>
    <w:rsid w:val="00CC435D"/>
    <w:rsid w:val="00CC4F1E"/>
    <w:rsid w:val="00CC5FBE"/>
    <w:rsid w:val="00CC6A79"/>
    <w:rsid w:val="00CC6BC0"/>
    <w:rsid w:val="00CC7706"/>
    <w:rsid w:val="00CD0CAF"/>
    <w:rsid w:val="00CD19A8"/>
    <w:rsid w:val="00CD19DB"/>
    <w:rsid w:val="00CD2E3C"/>
    <w:rsid w:val="00CD30FC"/>
    <w:rsid w:val="00CD39A2"/>
    <w:rsid w:val="00CD43F7"/>
    <w:rsid w:val="00CD4B87"/>
    <w:rsid w:val="00CD55DB"/>
    <w:rsid w:val="00CD63AD"/>
    <w:rsid w:val="00CE1045"/>
    <w:rsid w:val="00CE12F6"/>
    <w:rsid w:val="00CE167E"/>
    <w:rsid w:val="00CE1E88"/>
    <w:rsid w:val="00CE26E6"/>
    <w:rsid w:val="00CE27CA"/>
    <w:rsid w:val="00CE31B1"/>
    <w:rsid w:val="00CE4450"/>
    <w:rsid w:val="00CE4772"/>
    <w:rsid w:val="00CE49B6"/>
    <w:rsid w:val="00CE4A28"/>
    <w:rsid w:val="00CE56C5"/>
    <w:rsid w:val="00CE5C3A"/>
    <w:rsid w:val="00CE7E37"/>
    <w:rsid w:val="00CF0972"/>
    <w:rsid w:val="00CF0AE0"/>
    <w:rsid w:val="00CF120B"/>
    <w:rsid w:val="00CF13CB"/>
    <w:rsid w:val="00CF2324"/>
    <w:rsid w:val="00CF31B4"/>
    <w:rsid w:val="00CF4606"/>
    <w:rsid w:val="00CF4CEF"/>
    <w:rsid w:val="00CF6431"/>
    <w:rsid w:val="00CF6592"/>
    <w:rsid w:val="00CF6E52"/>
    <w:rsid w:val="00D00B10"/>
    <w:rsid w:val="00D01DCF"/>
    <w:rsid w:val="00D01F15"/>
    <w:rsid w:val="00D02606"/>
    <w:rsid w:val="00D0415E"/>
    <w:rsid w:val="00D0448D"/>
    <w:rsid w:val="00D04514"/>
    <w:rsid w:val="00D05D6D"/>
    <w:rsid w:val="00D062B1"/>
    <w:rsid w:val="00D067C4"/>
    <w:rsid w:val="00D076D9"/>
    <w:rsid w:val="00D100BF"/>
    <w:rsid w:val="00D11A35"/>
    <w:rsid w:val="00D11E06"/>
    <w:rsid w:val="00D1224D"/>
    <w:rsid w:val="00D1259C"/>
    <w:rsid w:val="00D13846"/>
    <w:rsid w:val="00D144BC"/>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6DE4"/>
    <w:rsid w:val="00D278F0"/>
    <w:rsid w:val="00D32986"/>
    <w:rsid w:val="00D3335D"/>
    <w:rsid w:val="00D338DB"/>
    <w:rsid w:val="00D3511F"/>
    <w:rsid w:val="00D360DF"/>
    <w:rsid w:val="00D36BE0"/>
    <w:rsid w:val="00D36DB6"/>
    <w:rsid w:val="00D3752B"/>
    <w:rsid w:val="00D40470"/>
    <w:rsid w:val="00D41147"/>
    <w:rsid w:val="00D41F48"/>
    <w:rsid w:val="00D44AD8"/>
    <w:rsid w:val="00D4515E"/>
    <w:rsid w:val="00D4521D"/>
    <w:rsid w:val="00D45819"/>
    <w:rsid w:val="00D46397"/>
    <w:rsid w:val="00D464F2"/>
    <w:rsid w:val="00D47640"/>
    <w:rsid w:val="00D47BE3"/>
    <w:rsid w:val="00D50F44"/>
    <w:rsid w:val="00D52868"/>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172"/>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9BB"/>
    <w:rsid w:val="00DA1A7B"/>
    <w:rsid w:val="00DA1F2A"/>
    <w:rsid w:val="00DA2EDA"/>
    <w:rsid w:val="00DA3A11"/>
    <w:rsid w:val="00DA4224"/>
    <w:rsid w:val="00DA432C"/>
    <w:rsid w:val="00DA4677"/>
    <w:rsid w:val="00DA5392"/>
    <w:rsid w:val="00DA7D12"/>
    <w:rsid w:val="00DB0034"/>
    <w:rsid w:val="00DB08A2"/>
    <w:rsid w:val="00DB0D6D"/>
    <w:rsid w:val="00DB1035"/>
    <w:rsid w:val="00DB1F84"/>
    <w:rsid w:val="00DB2F12"/>
    <w:rsid w:val="00DB44A1"/>
    <w:rsid w:val="00DB5CD7"/>
    <w:rsid w:val="00DB6647"/>
    <w:rsid w:val="00DB67DA"/>
    <w:rsid w:val="00DC0C9F"/>
    <w:rsid w:val="00DC124E"/>
    <w:rsid w:val="00DC1727"/>
    <w:rsid w:val="00DC1843"/>
    <w:rsid w:val="00DC33BA"/>
    <w:rsid w:val="00DC4957"/>
    <w:rsid w:val="00DC4AE2"/>
    <w:rsid w:val="00DC5A04"/>
    <w:rsid w:val="00DC63B3"/>
    <w:rsid w:val="00DC6B6C"/>
    <w:rsid w:val="00DD2877"/>
    <w:rsid w:val="00DD2EDE"/>
    <w:rsid w:val="00DD3144"/>
    <w:rsid w:val="00DD38A3"/>
    <w:rsid w:val="00DD63D6"/>
    <w:rsid w:val="00DD67AC"/>
    <w:rsid w:val="00DD7FD2"/>
    <w:rsid w:val="00DE0E0F"/>
    <w:rsid w:val="00DE0F3E"/>
    <w:rsid w:val="00DE1DEE"/>
    <w:rsid w:val="00DE2799"/>
    <w:rsid w:val="00DE2A8A"/>
    <w:rsid w:val="00DE3218"/>
    <w:rsid w:val="00DE33F9"/>
    <w:rsid w:val="00DE5831"/>
    <w:rsid w:val="00DE5C5C"/>
    <w:rsid w:val="00DE6816"/>
    <w:rsid w:val="00DE687B"/>
    <w:rsid w:val="00DE6CD3"/>
    <w:rsid w:val="00DE76D7"/>
    <w:rsid w:val="00DF06C4"/>
    <w:rsid w:val="00DF0BD1"/>
    <w:rsid w:val="00DF1033"/>
    <w:rsid w:val="00DF1156"/>
    <w:rsid w:val="00DF1173"/>
    <w:rsid w:val="00DF2CB0"/>
    <w:rsid w:val="00DF383C"/>
    <w:rsid w:val="00DF4465"/>
    <w:rsid w:val="00DF451B"/>
    <w:rsid w:val="00DF451C"/>
    <w:rsid w:val="00DF5666"/>
    <w:rsid w:val="00DF5D03"/>
    <w:rsid w:val="00DF6006"/>
    <w:rsid w:val="00DF6955"/>
    <w:rsid w:val="00DF7B01"/>
    <w:rsid w:val="00DF7E4B"/>
    <w:rsid w:val="00E00957"/>
    <w:rsid w:val="00E01DDD"/>
    <w:rsid w:val="00E02130"/>
    <w:rsid w:val="00E0349F"/>
    <w:rsid w:val="00E0443E"/>
    <w:rsid w:val="00E0480A"/>
    <w:rsid w:val="00E05FCE"/>
    <w:rsid w:val="00E076EA"/>
    <w:rsid w:val="00E0787C"/>
    <w:rsid w:val="00E120FC"/>
    <w:rsid w:val="00E12D07"/>
    <w:rsid w:val="00E14BA9"/>
    <w:rsid w:val="00E1504E"/>
    <w:rsid w:val="00E1701F"/>
    <w:rsid w:val="00E2168A"/>
    <w:rsid w:val="00E22FD4"/>
    <w:rsid w:val="00E23A0E"/>
    <w:rsid w:val="00E23EE3"/>
    <w:rsid w:val="00E245A1"/>
    <w:rsid w:val="00E24831"/>
    <w:rsid w:val="00E25228"/>
    <w:rsid w:val="00E269B0"/>
    <w:rsid w:val="00E27953"/>
    <w:rsid w:val="00E31001"/>
    <w:rsid w:val="00E314BF"/>
    <w:rsid w:val="00E34A4E"/>
    <w:rsid w:val="00E368CE"/>
    <w:rsid w:val="00E41D06"/>
    <w:rsid w:val="00E41D0D"/>
    <w:rsid w:val="00E41E33"/>
    <w:rsid w:val="00E426BD"/>
    <w:rsid w:val="00E42F57"/>
    <w:rsid w:val="00E43C83"/>
    <w:rsid w:val="00E44669"/>
    <w:rsid w:val="00E45508"/>
    <w:rsid w:val="00E46545"/>
    <w:rsid w:val="00E46685"/>
    <w:rsid w:val="00E507BE"/>
    <w:rsid w:val="00E50A06"/>
    <w:rsid w:val="00E51D63"/>
    <w:rsid w:val="00E5265D"/>
    <w:rsid w:val="00E540BC"/>
    <w:rsid w:val="00E5413A"/>
    <w:rsid w:val="00E54355"/>
    <w:rsid w:val="00E545D0"/>
    <w:rsid w:val="00E546D8"/>
    <w:rsid w:val="00E55480"/>
    <w:rsid w:val="00E55AC7"/>
    <w:rsid w:val="00E55C26"/>
    <w:rsid w:val="00E55EA0"/>
    <w:rsid w:val="00E56C8D"/>
    <w:rsid w:val="00E600CD"/>
    <w:rsid w:val="00E6041B"/>
    <w:rsid w:val="00E61239"/>
    <w:rsid w:val="00E62EF4"/>
    <w:rsid w:val="00E632EA"/>
    <w:rsid w:val="00E654A0"/>
    <w:rsid w:val="00E65521"/>
    <w:rsid w:val="00E65D6D"/>
    <w:rsid w:val="00E66AC1"/>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929"/>
    <w:rsid w:val="00E86A9B"/>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37F"/>
    <w:rsid w:val="00EA7EA7"/>
    <w:rsid w:val="00EB0239"/>
    <w:rsid w:val="00EB0AFA"/>
    <w:rsid w:val="00EB2549"/>
    <w:rsid w:val="00EB2BE8"/>
    <w:rsid w:val="00EB2F9B"/>
    <w:rsid w:val="00EB311C"/>
    <w:rsid w:val="00EB352A"/>
    <w:rsid w:val="00EB3FAF"/>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623"/>
    <w:rsid w:val="00EF0F59"/>
    <w:rsid w:val="00EF1196"/>
    <w:rsid w:val="00EF2B23"/>
    <w:rsid w:val="00EF3A01"/>
    <w:rsid w:val="00EF4D0F"/>
    <w:rsid w:val="00EF4EEF"/>
    <w:rsid w:val="00EF52F1"/>
    <w:rsid w:val="00EF55B5"/>
    <w:rsid w:val="00EF5FF8"/>
    <w:rsid w:val="00EF6F58"/>
    <w:rsid w:val="00EF7935"/>
    <w:rsid w:val="00F012D3"/>
    <w:rsid w:val="00F01526"/>
    <w:rsid w:val="00F020CC"/>
    <w:rsid w:val="00F023A7"/>
    <w:rsid w:val="00F02EDC"/>
    <w:rsid w:val="00F039E2"/>
    <w:rsid w:val="00F04A95"/>
    <w:rsid w:val="00F04C02"/>
    <w:rsid w:val="00F058D3"/>
    <w:rsid w:val="00F10A38"/>
    <w:rsid w:val="00F1176A"/>
    <w:rsid w:val="00F11FF3"/>
    <w:rsid w:val="00F123B3"/>
    <w:rsid w:val="00F12BF1"/>
    <w:rsid w:val="00F12F4D"/>
    <w:rsid w:val="00F12FB0"/>
    <w:rsid w:val="00F12FD5"/>
    <w:rsid w:val="00F13A10"/>
    <w:rsid w:val="00F13BAD"/>
    <w:rsid w:val="00F14381"/>
    <w:rsid w:val="00F16039"/>
    <w:rsid w:val="00F20491"/>
    <w:rsid w:val="00F206DE"/>
    <w:rsid w:val="00F20903"/>
    <w:rsid w:val="00F20DCF"/>
    <w:rsid w:val="00F23331"/>
    <w:rsid w:val="00F23CF2"/>
    <w:rsid w:val="00F2498E"/>
    <w:rsid w:val="00F249C5"/>
    <w:rsid w:val="00F25241"/>
    <w:rsid w:val="00F25865"/>
    <w:rsid w:val="00F270F0"/>
    <w:rsid w:val="00F276A8"/>
    <w:rsid w:val="00F27BDA"/>
    <w:rsid w:val="00F27DB1"/>
    <w:rsid w:val="00F30FCB"/>
    <w:rsid w:val="00F328F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66"/>
    <w:rsid w:val="00F74FB9"/>
    <w:rsid w:val="00F751C2"/>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05D9"/>
    <w:rsid w:val="00FB3596"/>
    <w:rsid w:val="00FB41FD"/>
    <w:rsid w:val="00FB4353"/>
    <w:rsid w:val="00FB4E64"/>
    <w:rsid w:val="00FB6398"/>
    <w:rsid w:val="00FB6F5A"/>
    <w:rsid w:val="00FC16AB"/>
    <w:rsid w:val="00FC281A"/>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3C2E"/>
    <w:rsid w:val="00FE4867"/>
    <w:rsid w:val="00FE599A"/>
    <w:rsid w:val="00FE5DCB"/>
    <w:rsid w:val="00FE663C"/>
    <w:rsid w:val="00FE76FD"/>
    <w:rsid w:val="00FF0847"/>
    <w:rsid w:val="00FF1B91"/>
    <w:rsid w:val="00FF299D"/>
    <w:rsid w:val="00FF32F4"/>
    <w:rsid w:val="00FF47CD"/>
    <w:rsid w:val="00FF5344"/>
    <w:rsid w:val="00FF5532"/>
    <w:rsid w:val="00FF67D7"/>
    <w:rsid w:val="12647DF1"/>
    <w:rsid w:val="14E66B03"/>
    <w:rsid w:val="6011CFBC"/>
    <w:rsid w:val="723045DB"/>
    <w:rsid w:val="75E1F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512"/>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paragraph" w:styleId="Listaconvietas">
    <w:name w:val="List Bullet"/>
    <w:basedOn w:val="Normal"/>
    <w:uiPriority w:val="99"/>
    <w:unhideWhenUsed/>
    <w:rsid w:val="00CD0CAF"/>
    <w:pPr>
      <w:numPr>
        <w:numId w:val="14"/>
      </w:numPr>
      <w:contextualSpacing/>
    </w:pPr>
  </w:style>
  <w:style w:type="character" w:customStyle="1" w:styleId="Mencinsinresolver2">
    <w:name w:val="Mención sin resolver2"/>
    <w:basedOn w:val="Fuentedeprrafopredeter"/>
    <w:uiPriority w:val="99"/>
    <w:semiHidden/>
    <w:unhideWhenUsed/>
    <w:rsid w:val="00172A77"/>
    <w:rPr>
      <w:color w:val="605E5C"/>
      <w:shd w:val="clear" w:color="auto" w:fill="E1DFDD"/>
    </w:rPr>
  </w:style>
  <w:style w:type="paragraph" w:customStyle="1" w:styleId="fundamentos0">
    <w:name w:val="fundamentos"/>
    <w:basedOn w:val="Sinespaciado"/>
    <w:link w:val="fundamentosCar"/>
    <w:rsid w:val="00E368CE"/>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E368CE"/>
    <w:rPr>
      <w:rFonts w:ascii="Times New Roman" w:eastAsia="Palatino Linotype" w:hAnsi="Times New Roman" w:cs="Palatino Linotype"/>
      <w: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295792306">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D69A1-84A3-4AAA-A472-25C6DEF4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60</Pages>
  <Words>15435</Words>
  <Characters>84894</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2025-11-07T18:40:00Z</cp:lastPrinted>
  <dcterms:created xsi:type="dcterms:W3CDTF">2025-10-16T21:26:00Z</dcterms:created>
  <dcterms:modified xsi:type="dcterms:W3CDTF">2025-12-12T16:45:00Z</dcterms:modified>
</cp:coreProperties>
</file>