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315B6" w14:textId="77777777" w:rsidR="003B1CCA" w:rsidRPr="00361B01" w:rsidRDefault="003B1CCA" w:rsidP="0078724B">
      <w:pPr>
        <w:tabs>
          <w:tab w:val="left" w:pos="8931"/>
        </w:tabs>
        <w:spacing w:after="0" w:line="360" w:lineRule="auto"/>
        <w:rPr>
          <w:rFonts w:cs="Tahoma"/>
          <w:bCs/>
          <w:color w:val="FF0000"/>
        </w:rPr>
      </w:pPr>
    </w:p>
    <w:p w14:paraId="05C88D5B" w14:textId="77777777" w:rsidR="003D6CD1" w:rsidRDefault="003D6CD1" w:rsidP="0078724B">
      <w:pPr>
        <w:tabs>
          <w:tab w:val="left" w:pos="8931"/>
        </w:tabs>
        <w:spacing w:after="0" w:line="360" w:lineRule="auto"/>
        <w:rPr>
          <w:rFonts w:cs="Tahoma"/>
          <w:bCs/>
          <w:color w:val="auto"/>
        </w:rPr>
      </w:pPr>
    </w:p>
    <w:sdt>
      <w:sdtPr>
        <w:rPr>
          <w:rFonts w:ascii="Palatino Linotype" w:eastAsia="Palatino Linotype" w:hAnsi="Palatino Linotype" w:cs="Palatino Linotype"/>
          <w:color w:val="000000" w:themeColor="text1"/>
          <w:sz w:val="22"/>
          <w:szCs w:val="22"/>
          <w:lang w:val="es-ES" w:eastAsia="en-US"/>
        </w:rPr>
        <w:id w:val="789625836"/>
        <w:docPartObj>
          <w:docPartGallery w:val="Table of Contents"/>
          <w:docPartUnique/>
        </w:docPartObj>
      </w:sdtPr>
      <w:sdtEndPr>
        <w:rPr>
          <w:rFonts w:eastAsiaTheme="minorHAnsi" w:cstheme="minorBidi"/>
          <w:b/>
          <w:bCs/>
        </w:rPr>
      </w:sdtEndPr>
      <w:sdtContent>
        <w:p w14:paraId="7121BACC" w14:textId="2A32B3C1" w:rsidR="00B3395B" w:rsidRPr="000A74F3" w:rsidRDefault="00B3395B" w:rsidP="0078724B">
          <w:pPr>
            <w:pStyle w:val="TtuloTDC"/>
            <w:spacing w:before="0" w:line="360" w:lineRule="auto"/>
            <w:jc w:val="center"/>
            <w:rPr>
              <w:rFonts w:ascii="Palatino Linotype" w:hAnsi="Palatino Linotype"/>
              <w:color w:val="auto"/>
              <w:sz w:val="22"/>
              <w:szCs w:val="22"/>
            </w:rPr>
          </w:pPr>
          <w:r w:rsidRPr="000A74F3">
            <w:rPr>
              <w:rFonts w:ascii="Palatino Linotype" w:hAnsi="Palatino Linotype"/>
              <w:color w:val="auto"/>
              <w:sz w:val="22"/>
              <w:szCs w:val="22"/>
              <w:lang w:val="es-ES"/>
            </w:rPr>
            <w:t xml:space="preserve">RESOLUCIÓN DEL RECURSO DE REVISIÓN </w:t>
          </w:r>
          <w:r>
            <w:rPr>
              <w:rFonts w:ascii="Palatino Linotype" w:hAnsi="Palatino Linotype"/>
              <w:color w:val="auto"/>
              <w:sz w:val="22"/>
              <w:szCs w:val="22"/>
            </w:rPr>
            <w:t>01171/INFOEM/IP/RR/2025</w:t>
          </w:r>
        </w:p>
        <w:p w14:paraId="360829B5" w14:textId="77777777" w:rsidR="00B3395B" w:rsidRPr="000A74F3" w:rsidRDefault="00B3395B" w:rsidP="0078724B">
          <w:pPr>
            <w:spacing w:after="0" w:line="360" w:lineRule="auto"/>
          </w:pPr>
        </w:p>
        <w:p w14:paraId="3A31720D" w14:textId="1566F752" w:rsidR="00D90FCD" w:rsidRPr="00D90FCD" w:rsidRDefault="00B3395B">
          <w:pPr>
            <w:pStyle w:val="TDC1"/>
            <w:tabs>
              <w:tab w:val="right" w:leader="dot" w:pos="8921"/>
            </w:tabs>
            <w:rPr>
              <w:rFonts w:asciiTheme="minorHAnsi" w:eastAsiaTheme="minorEastAsia" w:hAnsiTheme="minorHAnsi" w:cstheme="minorBidi"/>
              <w:noProof/>
              <w:color w:val="auto"/>
            </w:rPr>
          </w:pPr>
          <w:r w:rsidRPr="002C5B35">
            <w:fldChar w:fldCharType="begin"/>
          </w:r>
          <w:r w:rsidRPr="002C5B35">
            <w:instrText xml:space="preserve"> TOC \o "1-3" \h \z \u </w:instrText>
          </w:r>
          <w:r w:rsidRPr="002C5B35">
            <w:fldChar w:fldCharType="separate"/>
          </w:r>
          <w:hyperlink w:anchor="_Toc192778055" w:history="1">
            <w:r w:rsidR="00D90FCD" w:rsidRPr="00D90FCD">
              <w:rPr>
                <w:rStyle w:val="Hipervnculo"/>
                <w:rFonts w:eastAsia="Calibri" w:cs="Times New Roman"/>
                <w:bCs/>
                <w:noProof/>
                <w:lang w:val="es-ES"/>
              </w:rPr>
              <w:t>A N T E C E D E N T E S</w:t>
            </w:r>
            <w:r w:rsidR="00D90FCD" w:rsidRPr="00D90FCD">
              <w:rPr>
                <w:noProof/>
                <w:webHidden/>
              </w:rPr>
              <w:tab/>
            </w:r>
            <w:r w:rsidR="00D90FCD" w:rsidRPr="00D90FCD">
              <w:rPr>
                <w:noProof/>
                <w:webHidden/>
              </w:rPr>
              <w:fldChar w:fldCharType="begin"/>
            </w:r>
            <w:r w:rsidR="00D90FCD" w:rsidRPr="00D90FCD">
              <w:rPr>
                <w:noProof/>
                <w:webHidden/>
              </w:rPr>
              <w:instrText xml:space="preserve"> PAGEREF _Toc192778055 \h </w:instrText>
            </w:r>
            <w:r w:rsidR="00D90FCD" w:rsidRPr="00D90FCD">
              <w:rPr>
                <w:noProof/>
                <w:webHidden/>
              </w:rPr>
            </w:r>
            <w:r w:rsidR="00D90FCD" w:rsidRPr="00D90FCD">
              <w:rPr>
                <w:noProof/>
                <w:webHidden/>
              </w:rPr>
              <w:fldChar w:fldCharType="separate"/>
            </w:r>
            <w:r w:rsidR="006208A3">
              <w:rPr>
                <w:noProof/>
                <w:webHidden/>
              </w:rPr>
              <w:t>2</w:t>
            </w:r>
            <w:r w:rsidR="00D90FCD" w:rsidRPr="00D90FCD">
              <w:rPr>
                <w:noProof/>
                <w:webHidden/>
              </w:rPr>
              <w:fldChar w:fldCharType="end"/>
            </w:r>
          </w:hyperlink>
        </w:p>
        <w:p w14:paraId="15F12050" w14:textId="42C0E7D3" w:rsidR="00D90FCD" w:rsidRPr="00D90FCD" w:rsidRDefault="00D90FCD">
          <w:pPr>
            <w:pStyle w:val="TDC1"/>
            <w:tabs>
              <w:tab w:val="right" w:leader="dot" w:pos="8921"/>
            </w:tabs>
            <w:rPr>
              <w:rFonts w:asciiTheme="minorHAnsi" w:eastAsiaTheme="minorEastAsia" w:hAnsiTheme="minorHAnsi" w:cstheme="minorBidi"/>
              <w:noProof/>
              <w:color w:val="auto"/>
            </w:rPr>
          </w:pPr>
          <w:hyperlink w:anchor="_Toc192778056" w:history="1">
            <w:r w:rsidRPr="00D90FCD">
              <w:rPr>
                <w:rStyle w:val="Hipervnculo"/>
                <w:rFonts w:eastAsia="Calibri" w:cs="Tahoma"/>
                <w:bCs/>
                <w:noProof/>
                <w:lang w:val="es-ES"/>
              </w:rPr>
              <w:t>I. Presentación de la solicitud de información</w:t>
            </w:r>
            <w:r w:rsidRPr="00D90FCD">
              <w:rPr>
                <w:noProof/>
                <w:webHidden/>
              </w:rPr>
              <w:tab/>
            </w:r>
            <w:r w:rsidRPr="00D90FCD">
              <w:rPr>
                <w:noProof/>
                <w:webHidden/>
              </w:rPr>
              <w:fldChar w:fldCharType="begin"/>
            </w:r>
            <w:r w:rsidRPr="00D90FCD">
              <w:rPr>
                <w:noProof/>
                <w:webHidden/>
              </w:rPr>
              <w:instrText xml:space="preserve"> PAGEREF _Toc192778056 \h </w:instrText>
            </w:r>
            <w:r w:rsidRPr="00D90FCD">
              <w:rPr>
                <w:noProof/>
                <w:webHidden/>
              </w:rPr>
            </w:r>
            <w:r w:rsidRPr="00D90FCD">
              <w:rPr>
                <w:noProof/>
                <w:webHidden/>
              </w:rPr>
              <w:fldChar w:fldCharType="separate"/>
            </w:r>
            <w:r w:rsidR="006208A3">
              <w:rPr>
                <w:noProof/>
                <w:webHidden/>
              </w:rPr>
              <w:t>2</w:t>
            </w:r>
            <w:r w:rsidRPr="00D90FCD">
              <w:rPr>
                <w:noProof/>
                <w:webHidden/>
              </w:rPr>
              <w:fldChar w:fldCharType="end"/>
            </w:r>
          </w:hyperlink>
        </w:p>
        <w:p w14:paraId="5E714A65" w14:textId="42035FD7" w:rsidR="00D90FCD" w:rsidRPr="00D90FCD" w:rsidRDefault="00D90FCD">
          <w:pPr>
            <w:pStyle w:val="TDC1"/>
            <w:tabs>
              <w:tab w:val="right" w:leader="dot" w:pos="8921"/>
            </w:tabs>
            <w:rPr>
              <w:rFonts w:asciiTheme="minorHAnsi" w:eastAsiaTheme="minorEastAsia" w:hAnsiTheme="minorHAnsi" w:cstheme="minorBidi"/>
              <w:noProof/>
              <w:color w:val="auto"/>
            </w:rPr>
          </w:pPr>
          <w:hyperlink w:anchor="_Toc192778057" w:history="1">
            <w:r w:rsidRPr="00D90FCD">
              <w:rPr>
                <w:rStyle w:val="Hipervnculo"/>
                <w:rFonts w:eastAsia="Times New Roman"/>
                <w:bCs/>
                <w:noProof/>
                <w:lang w:eastAsia="es-ES"/>
              </w:rPr>
              <w:t>II. Respuesta del Sujeto Obligado</w:t>
            </w:r>
            <w:r w:rsidRPr="00D90FCD">
              <w:rPr>
                <w:noProof/>
                <w:webHidden/>
              </w:rPr>
              <w:tab/>
            </w:r>
            <w:r w:rsidRPr="00D90FCD">
              <w:rPr>
                <w:noProof/>
                <w:webHidden/>
              </w:rPr>
              <w:fldChar w:fldCharType="begin"/>
            </w:r>
            <w:r w:rsidRPr="00D90FCD">
              <w:rPr>
                <w:noProof/>
                <w:webHidden/>
              </w:rPr>
              <w:instrText xml:space="preserve"> PAGEREF _Toc192778057 \h </w:instrText>
            </w:r>
            <w:r w:rsidRPr="00D90FCD">
              <w:rPr>
                <w:noProof/>
                <w:webHidden/>
              </w:rPr>
            </w:r>
            <w:r w:rsidRPr="00D90FCD">
              <w:rPr>
                <w:noProof/>
                <w:webHidden/>
              </w:rPr>
              <w:fldChar w:fldCharType="separate"/>
            </w:r>
            <w:r w:rsidR="006208A3">
              <w:rPr>
                <w:noProof/>
                <w:webHidden/>
              </w:rPr>
              <w:t>3</w:t>
            </w:r>
            <w:r w:rsidRPr="00D90FCD">
              <w:rPr>
                <w:noProof/>
                <w:webHidden/>
              </w:rPr>
              <w:fldChar w:fldCharType="end"/>
            </w:r>
          </w:hyperlink>
        </w:p>
        <w:p w14:paraId="3B3FDA69" w14:textId="5EE74DB0" w:rsidR="00D90FCD" w:rsidRPr="00D90FCD" w:rsidRDefault="00D90FCD">
          <w:pPr>
            <w:pStyle w:val="TDC1"/>
            <w:tabs>
              <w:tab w:val="right" w:leader="dot" w:pos="8921"/>
            </w:tabs>
            <w:rPr>
              <w:rFonts w:asciiTheme="minorHAnsi" w:eastAsiaTheme="minorEastAsia" w:hAnsiTheme="minorHAnsi" w:cstheme="minorBidi"/>
              <w:noProof/>
              <w:color w:val="auto"/>
            </w:rPr>
          </w:pPr>
          <w:hyperlink w:anchor="_Toc192778058" w:history="1">
            <w:r w:rsidRPr="00D90FCD">
              <w:rPr>
                <w:rStyle w:val="Hipervnculo"/>
                <w:rFonts w:eastAsia="Calibri"/>
                <w:bCs/>
                <w:noProof/>
              </w:rPr>
              <w:t>III. Interposición del Recurso de Revisión</w:t>
            </w:r>
            <w:r w:rsidRPr="00D90FCD">
              <w:rPr>
                <w:noProof/>
                <w:webHidden/>
              </w:rPr>
              <w:tab/>
            </w:r>
            <w:r w:rsidRPr="00D90FCD">
              <w:rPr>
                <w:noProof/>
                <w:webHidden/>
              </w:rPr>
              <w:fldChar w:fldCharType="begin"/>
            </w:r>
            <w:r w:rsidRPr="00D90FCD">
              <w:rPr>
                <w:noProof/>
                <w:webHidden/>
              </w:rPr>
              <w:instrText xml:space="preserve"> PAGEREF _Toc192778058 \h </w:instrText>
            </w:r>
            <w:r w:rsidRPr="00D90FCD">
              <w:rPr>
                <w:noProof/>
                <w:webHidden/>
              </w:rPr>
            </w:r>
            <w:r w:rsidRPr="00D90FCD">
              <w:rPr>
                <w:noProof/>
                <w:webHidden/>
              </w:rPr>
              <w:fldChar w:fldCharType="separate"/>
            </w:r>
            <w:r w:rsidR="006208A3">
              <w:rPr>
                <w:noProof/>
                <w:webHidden/>
              </w:rPr>
              <w:t>3</w:t>
            </w:r>
            <w:r w:rsidRPr="00D90FCD">
              <w:rPr>
                <w:noProof/>
                <w:webHidden/>
              </w:rPr>
              <w:fldChar w:fldCharType="end"/>
            </w:r>
          </w:hyperlink>
        </w:p>
        <w:p w14:paraId="1BAAC032" w14:textId="05F006FC" w:rsidR="00D90FCD" w:rsidRPr="00D90FCD" w:rsidRDefault="00D90FCD">
          <w:pPr>
            <w:pStyle w:val="TDC1"/>
            <w:tabs>
              <w:tab w:val="right" w:leader="dot" w:pos="8921"/>
            </w:tabs>
            <w:rPr>
              <w:rFonts w:asciiTheme="minorHAnsi" w:eastAsiaTheme="minorEastAsia" w:hAnsiTheme="minorHAnsi" w:cstheme="minorBidi"/>
              <w:noProof/>
              <w:color w:val="auto"/>
            </w:rPr>
          </w:pPr>
          <w:hyperlink w:anchor="_Toc192778059" w:history="1">
            <w:r w:rsidRPr="00D90FCD">
              <w:rPr>
                <w:rStyle w:val="Hipervnculo"/>
                <w:rFonts w:eastAsia="Calibri"/>
                <w:bCs/>
                <w:noProof/>
              </w:rPr>
              <w:t xml:space="preserve">IV. </w:t>
            </w:r>
            <w:r w:rsidRPr="00D90FCD">
              <w:rPr>
                <w:rStyle w:val="Hipervnculo"/>
                <w:rFonts w:eastAsia="Batang"/>
                <w:bCs/>
                <w:noProof/>
              </w:rPr>
              <w:t>Trámite del Recurso de Revisión</w:t>
            </w:r>
            <w:r w:rsidRPr="00D90FCD">
              <w:rPr>
                <w:rStyle w:val="Hipervnculo"/>
                <w:rFonts w:eastAsia="Calibri"/>
                <w:bCs/>
                <w:noProof/>
              </w:rPr>
              <w:t xml:space="preserve"> </w:t>
            </w:r>
            <w:r w:rsidRPr="00D90FCD">
              <w:rPr>
                <w:rStyle w:val="Hipervnculo"/>
                <w:rFonts w:eastAsia="Batang"/>
                <w:bCs/>
                <w:noProof/>
              </w:rPr>
              <w:t>ante este Instituto</w:t>
            </w:r>
            <w:r w:rsidRPr="00D90FCD">
              <w:rPr>
                <w:noProof/>
                <w:webHidden/>
              </w:rPr>
              <w:tab/>
            </w:r>
            <w:r w:rsidRPr="00D90FCD">
              <w:rPr>
                <w:noProof/>
                <w:webHidden/>
              </w:rPr>
              <w:fldChar w:fldCharType="begin"/>
            </w:r>
            <w:r w:rsidRPr="00D90FCD">
              <w:rPr>
                <w:noProof/>
                <w:webHidden/>
              </w:rPr>
              <w:instrText xml:space="preserve"> PAGEREF _Toc192778059 \h </w:instrText>
            </w:r>
            <w:r w:rsidRPr="00D90FCD">
              <w:rPr>
                <w:noProof/>
                <w:webHidden/>
              </w:rPr>
            </w:r>
            <w:r w:rsidRPr="00D90FCD">
              <w:rPr>
                <w:noProof/>
                <w:webHidden/>
              </w:rPr>
              <w:fldChar w:fldCharType="separate"/>
            </w:r>
            <w:r w:rsidR="006208A3">
              <w:rPr>
                <w:noProof/>
                <w:webHidden/>
              </w:rPr>
              <w:t>4</w:t>
            </w:r>
            <w:r w:rsidRPr="00D90FCD">
              <w:rPr>
                <w:noProof/>
                <w:webHidden/>
              </w:rPr>
              <w:fldChar w:fldCharType="end"/>
            </w:r>
          </w:hyperlink>
        </w:p>
        <w:p w14:paraId="009BEDAC" w14:textId="53039C6F" w:rsidR="00D90FCD" w:rsidRPr="00D90FCD" w:rsidRDefault="00D90FCD">
          <w:pPr>
            <w:pStyle w:val="TDC2"/>
            <w:tabs>
              <w:tab w:val="right" w:leader="dot" w:pos="8921"/>
            </w:tabs>
            <w:rPr>
              <w:rFonts w:asciiTheme="minorHAnsi" w:eastAsiaTheme="minorEastAsia" w:hAnsiTheme="minorHAnsi" w:cstheme="minorBidi"/>
              <w:noProof/>
              <w:color w:val="auto"/>
            </w:rPr>
          </w:pPr>
          <w:hyperlink w:anchor="_Toc192778060" w:history="1">
            <w:r w:rsidRPr="00D90FCD">
              <w:rPr>
                <w:rStyle w:val="Hipervnculo"/>
                <w:bCs/>
                <w:noProof/>
              </w:rPr>
              <w:t>a) Turno del Medio de Impugnación</w:t>
            </w:r>
            <w:r w:rsidRPr="00D90FCD">
              <w:rPr>
                <w:noProof/>
                <w:webHidden/>
              </w:rPr>
              <w:tab/>
            </w:r>
            <w:r w:rsidRPr="00D90FCD">
              <w:rPr>
                <w:noProof/>
                <w:webHidden/>
              </w:rPr>
              <w:fldChar w:fldCharType="begin"/>
            </w:r>
            <w:r w:rsidRPr="00D90FCD">
              <w:rPr>
                <w:noProof/>
                <w:webHidden/>
              </w:rPr>
              <w:instrText xml:space="preserve"> PAGEREF _Toc192778060 \h </w:instrText>
            </w:r>
            <w:r w:rsidRPr="00D90FCD">
              <w:rPr>
                <w:noProof/>
                <w:webHidden/>
              </w:rPr>
            </w:r>
            <w:r w:rsidRPr="00D90FCD">
              <w:rPr>
                <w:noProof/>
                <w:webHidden/>
              </w:rPr>
              <w:fldChar w:fldCharType="separate"/>
            </w:r>
            <w:r w:rsidR="006208A3">
              <w:rPr>
                <w:noProof/>
                <w:webHidden/>
              </w:rPr>
              <w:t>4</w:t>
            </w:r>
            <w:r w:rsidRPr="00D90FCD">
              <w:rPr>
                <w:noProof/>
                <w:webHidden/>
              </w:rPr>
              <w:fldChar w:fldCharType="end"/>
            </w:r>
          </w:hyperlink>
        </w:p>
        <w:p w14:paraId="78F9991A" w14:textId="15153830" w:rsidR="00D90FCD" w:rsidRPr="00D90FCD" w:rsidRDefault="00D90FCD">
          <w:pPr>
            <w:pStyle w:val="TDC2"/>
            <w:tabs>
              <w:tab w:val="right" w:leader="dot" w:pos="8921"/>
            </w:tabs>
            <w:rPr>
              <w:rFonts w:asciiTheme="minorHAnsi" w:eastAsiaTheme="minorEastAsia" w:hAnsiTheme="minorHAnsi" w:cstheme="minorBidi"/>
              <w:noProof/>
              <w:color w:val="auto"/>
            </w:rPr>
          </w:pPr>
          <w:hyperlink w:anchor="_Toc192778061" w:history="1">
            <w:r w:rsidRPr="00D90FCD">
              <w:rPr>
                <w:rStyle w:val="Hipervnculo"/>
                <w:bCs/>
                <w:noProof/>
              </w:rPr>
              <w:t>b) Admisión del Recurso de Revisión.</w:t>
            </w:r>
            <w:r w:rsidRPr="00D90FCD">
              <w:rPr>
                <w:noProof/>
                <w:webHidden/>
              </w:rPr>
              <w:tab/>
            </w:r>
            <w:r w:rsidRPr="00D90FCD">
              <w:rPr>
                <w:noProof/>
                <w:webHidden/>
              </w:rPr>
              <w:fldChar w:fldCharType="begin"/>
            </w:r>
            <w:r w:rsidRPr="00D90FCD">
              <w:rPr>
                <w:noProof/>
                <w:webHidden/>
              </w:rPr>
              <w:instrText xml:space="preserve"> PAGEREF _Toc192778061 \h </w:instrText>
            </w:r>
            <w:r w:rsidRPr="00D90FCD">
              <w:rPr>
                <w:noProof/>
                <w:webHidden/>
              </w:rPr>
            </w:r>
            <w:r w:rsidRPr="00D90FCD">
              <w:rPr>
                <w:noProof/>
                <w:webHidden/>
              </w:rPr>
              <w:fldChar w:fldCharType="separate"/>
            </w:r>
            <w:r w:rsidR="006208A3">
              <w:rPr>
                <w:noProof/>
                <w:webHidden/>
              </w:rPr>
              <w:t>4</w:t>
            </w:r>
            <w:r w:rsidRPr="00D90FCD">
              <w:rPr>
                <w:noProof/>
                <w:webHidden/>
              </w:rPr>
              <w:fldChar w:fldCharType="end"/>
            </w:r>
          </w:hyperlink>
        </w:p>
        <w:p w14:paraId="1A736E70" w14:textId="643A3A93" w:rsidR="00D90FCD" w:rsidRPr="00D90FCD" w:rsidRDefault="00D90FCD">
          <w:pPr>
            <w:pStyle w:val="TDC2"/>
            <w:tabs>
              <w:tab w:val="right" w:leader="dot" w:pos="8921"/>
            </w:tabs>
            <w:rPr>
              <w:rFonts w:asciiTheme="minorHAnsi" w:eastAsiaTheme="minorEastAsia" w:hAnsiTheme="minorHAnsi" w:cstheme="minorBidi"/>
              <w:noProof/>
              <w:color w:val="auto"/>
            </w:rPr>
          </w:pPr>
          <w:hyperlink w:anchor="_Toc192778062" w:history="1">
            <w:r w:rsidRPr="00D90FCD">
              <w:rPr>
                <w:rStyle w:val="Hipervnculo"/>
                <w:bCs/>
                <w:noProof/>
              </w:rPr>
              <w:t>c) Informe Justificado.</w:t>
            </w:r>
            <w:r w:rsidRPr="00D90FCD">
              <w:rPr>
                <w:noProof/>
                <w:webHidden/>
              </w:rPr>
              <w:tab/>
            </w:r>
            <w:r w:rsidRPr="00D90FCD">
              <w:rPr>
                <w:noProof/>
                <w:webHidden/>
              </w:rPr>
              <w:fldChar w:fldCharType="begin"/>
            </w:r>
            <w:r w:rsidRPr="00D90FCD">
              <w:rPr>
                <w:noProof/>
                <w:webHidden/>
              </w:rPr>
              <w:instrText xml:space="preserve"> PAGEREF _Toc192778062 \h </w:instrText>
            </w:r>
            <w:r w:rsidRPr="00D90FCD">
              <w:rPr>
                <w:noProof/>
                <w:webHidden/>
              </w:rPr>
            </w:r>
            <w:r w:rsidRPr="00D90FCD">
              <w:rPr>
                <w:noProof/>
                <w:webHidden/>
              </w:rPr>
              <w:fldChar w:fldCharType="separate"/>
            </w:r>
            <w:r w:rsidR="006208A3">
              <w:rPr>
                <w:noProof/>
                <w:webHidden/>
              </w:rPr>
              <w:t>4</w:t>
            </w:r>
            <w:r w:rsidRPr="00D90FCD">
              <w:rPr>
                <w:noProof/>
                <w:webHidden/>
              </w:rPr>
              <w:fldChar w:fldCharType="end"/>
            </w:r>
          </w:hyperlink>
        </w:p>
        <w:p w14:paraId="59608498" w14:textId="1DB36985" w:rsidR="00D90FCD" w:rsidRPr="00D90FCD" w:rsidRDefault="00D90FCD">
          <w:pPr>
            <w:pStyle w:val="TDC2"/>
            <w:tabs>
              <w:tab w:val="right" w:leader="dot" w:pos="8921"/>
            </w:tabs>
            <w:rPr>
              <w:rFonts w:asciiTheme="minorHAnsi" w:eastAsiaTheme="minorEastAsia" w:hAnsiTheme="minorHAnsi" w:cstheme="minorBidi"/>
              <w:noProof/>
              <w:color w:val="auto"/>
            </w:rPr>
          </w:pPr>
          <w:hyperlink w:anchor="_Toc192778063" w:history="1">
            <w:r w:rsidRPr="00D90FCD">
              <w:rPr>
                <w:rStyle w:val="Hipervnculo"/>
                <w:noProof/>
              </w:rPr>
              <w:t>ii) Cuarenta recibos de nómina.</w:t>
            </w:r>
            <w:r w:rsidRPr="00D90FCD">
              <w:rPr>
                <w:noProof/>
                <w:webHidden/>
              </w:rPr>
              <w:tab/>
            </w:r>
            <w:r w:rsidRPr="00D90FCD">
              <w:rPr>
                <w:noProof/>
                <w:webHidden/>
              </w:rPr>
              <w:fldChar w:fldCharType="begin"/>
            </w:r>
            <w:r w:rsidRPr="00D90FCD">
              <w:rPr>
                <w:noProof/>
                <w:webHidden/>
              </w:rPr>
              <w:instrText xml:space="preserve"> PAGEREF _Toc192778063 \h </w:instrText>
            </w:r>
            <w:r w:rsidRPr="00D90FCD">
              <w:rPr>
                <w:noProof/>
                <w:webHidden/>
              </w:rPr>
            </w:r>
            <w:r w:rsidRPr="00D90FCD">
              <w:rPr>
                <w:noProof/>
                <w:webHidden/>
              </w:rPr>
              <w:fldChar w:fldCharType="separate"/>
            </w:r>
            <w:r w:rsidR="006208A3">
              <w:rPr>
                <w:noProof/>
                <w:webHidden/>
              </w:rPr>
              <w:t>5</w:t>
            </w:r>
            <w:r w:rsidRPr="00D90FCD">
              <w:rPr>
                <w:noProof/>
                <w:webHidden/>
              </w:rPr>
              <w:fldChar w:fldCharType="end"/>
            </w:r>
          </w:hyperlink>
        </w:p>
        <w:p w14:paraId="66CBA71D" w14:textId="6BC1263E" w:rsidR="00D90FCD" w:rsidRPr="00D90FCD" w:rsidRDefault="00D90FCD">
          <w:pPr>
            <w:pStyle w:val="TDC2"/>
            <w:tabs>
              <w:tab w:val="right" w:leader="dot" w:pos="8921"/>
            </w:tabs>
            <w:rPr>
              <w:rFonts w:asciiTheme="minorHAnsi" w:eastAsiaTheme="minorEastAsia" w:hAnsiTheme="minorHAnsi" w:cstheme="minorBidi"/>
              <w:noProof/>
              <w:color w:val="auto"/>
            </w:rPr>
          </w:pPr>
          <w:hyperlink w:anchor="_Toc192778064" w:history="1">
            <w:r w:rsidRPr="00D90FCD">
              <w:rPr>
                <w:rStyle w:val="Hipervnculo"/>
                <w:bCs/>
                <w:noProof/>
              </w:rPr>
              <w:t>d) Vista del Informe Justificado.</w:t>
            </w:r>
            <w:r w:rsidRPr="00D90FCD">
              <w:rPr>
                <w:noProof/>
                <w:webHidden/>
              </w:rPr>
              <w:tab/>
            </w:r>
            <w:r w:rsidRPr="00D90FCD">
              <w:rPr>
                <w:noProof/>
                <w:webHidden/>
              </w:rPr>
              <w:fldChar w:fldCharType="begin"/>
            </w:r>
            <w:r w:rsidRPr="00D90FCD">
              <w:rPr>
                <w:noProof/>
                <w:webHidden/>
              </w:rPr>
              <w:instrText xml:space="preserve"> PAGEREF _Toc192778064 \h </w:instrText>
            </w:r>
            <w:r w:rsidRPr="00D90FCD">
              <w:rPr>
                <w:noProof/>
                <w:webHidden/>
              </w:rPr>
            </w:r>
            <w:r w:rsidRPr="00D90FCD">
              <w:rPr>
                <w:noProof/>
                <w:webHidden/>
              </w:rPr>
              <w:fldChar w:fldCharType="separate"/>
            </w:r>
            <w:r w:rsidR="006208A3">
              <w:rPr>
                <w:noProof/>
                <w:webHidden/>
              </w:rPr>
              <w:t>5</w:t>
            </w:r>
            <w:r w:rsidRPr="00D90FCD">
              <w:rPr>
                <w:noProof/>
                <w:webHidden/>
              </w:rPr>
              <w:fldChar w:fldCharType="end"/>
            </w:r>
          </w:hyperlink>
        </w:p>
        <w:p w14:paraId="2DD6F2F4" w14:textId="4D2C3DC0" w:rsidR="00D90FCD" w:rsidRPr="00D90FCD" w:rsidRDefault="00D90FCD">
          <w:pPr>
            <w:pStyle w:val="TDC2"/>
            <w:tabs>
              <w:tab w:val="right" w:leader="dot" w:pos="8921"/>
            </w:tabs>
            <w:rPr>
              <w:rFonts w:asciiTheme="minorHAnsi" w:eastAsiaTheme="minorEastAsia" w:hAnsiTheme="minorHAnsi" w:cstheme="minorBidi"/>
              <w:noProof/>
              <w:color w:val="auto"/>
            </w:rPr>
          </w:pPr>
          <w:hyperlink w:anchor="_Toc192778065" w:history="1">
            <w:r w:rsidRPr="00D90FCD">
              <w:rPr>
                <w:rStyle w:val="Hipervnculo"/>
                <w:bCs/>
                <w:noProof/>
              </w:rPr>
              <w:t>e) Cierre de instrucción.</w:t>
            </w:r>
            <w:r w:rsidRPr="00D90FCD">
              <w:rPr>
                <w:noProof/>
                <w:webHidden/>
              </w:rPr>
              <w:tab/>
            </w:r>
            <w:r w:rsidRPr="00D90FCD">
              <w:rPr>
                <w:noProof/>
                <w:webHidden/>
              </w:rPr>
              <w:fldChar w:fldCharType="begin"/>
            </w:r>
            <w:r w:rsidRPr="00D90FCD">
              <w:rPr>
                <w:noProof/>
                <w:webHidden/>
              </w:rPr>
              <w:instrText xml:space="preserve"> PAGEREF _Toc192778065 \h </w:instrText>
            </w:r>
            <w:r w:rsidRPr="00D90FCD">
              <w:rPr>
                <w:noProof/>
                <w:webHidden/>
              </w:rPr>
            </w:r>
            <w:r w:rsidRPr="00D90FCD">
              <w:rPr>
                <w:noProof/>
                <w:webHidden/>
              </w:rPr>
              <w:fldChar w:fldCharType="separate"/>
            </w:r>
            <w:r w:rsidR="006208A3">
              <w:rPr>
                <w:noProof/>
                <w:webHidden/>
              </w:rPr>
              <w:t>6</w:t>
            </w:r>
            <w:r w:rsidRPr="00D90FCD">
              <w:rPr>
                <w:noProof/>
                <w:webHidden/>
              </w:rPr>
              <w:fldChar w:fldCharType="end"/>
            </w:r>
          </w:hyperlink>
        </w:p>
        <w:p w14:paraId="2A33584D" w14:textId="6B75D0F4" w:rsidR="00D90FCD" w:rsidRPr="00D90FCD" w:rsidRDefault="00D90FCD">
          <w:pPr>
            <w:pStyle w:val="TDC1"/>
            <w:tabs>
              <w:tab w:val="right" w:leader="dot" w:pos="8921"/>
            </w:tabs>
            <w:rPr>
              <w:rFonts w:asciiTheme="minorHAnsi" w:eastAsiaTheme="minorEastAsia" w:hAnsiTheme="minorHAnsi" w:cstheme="minorBidi"/>
              <w:noProof/>
              <w:color w:val="auto"/>
            </w:rPr>
          </w:pPr>
          <w:hyperlink w:anchor="_Toc192778066" w:history="1">
            <w:r w:rsidRPr="00D90FCD">
              <w:rPr>
                <w:rStyle w:val="Hipervnculo"/>
                <w:rFonts w:eastAsia="Times New Roman"/>
                <w:bCs/>
                <w:noProof/>
                <w:lang w:val="es-ES" w:eastAsia="es-ES"/>
              </w:rPr>
              <w:t>C O N S I D E R A N D O S</w:t>
            </w:r>
            <w:r w:rsidRPr="00D90FCD">
              <w:rPr>
                <w:noProof/>
                <w:webHidden/>
              </w:rPr>
              <w:tab/>
            </w:r>
            <w:r w:rsidRPr="00D90FCD">
              <w:rPr>
                <w:noProof/>
                <w:webHidden/>
              </w:rPr>
              <w:fldChar w:fldCharType="begin"/>
            </w:r>
            <w:r w:rsidRPr="00D90FCD">
              <w:rPr>
                <w:noProof/>
                <w:webHidden/>
              </w:rPr>
              <w:instrText xml:space="preserve"> PAGEREF _Toc192778066 \h </w:instrText>
            </w:r>
            <w:r w:rsidRPr="00D90FCD">
              <w:rPr>
                <w:noProof/>
                <w:webHidden/>
              </w:rPr>
            </w:r>
            <w:r w:rsidRPr="00D90FCD">
              <w:rPr>
                <w:noProof/>
                <w:webHidden/>
              </w:rPr>
              <w:fldChar w:fldCharType="separate"/>
            </w:r>
            <w:r w:rsidR="006208A3">
              <w:rPr>
                <w:noProof/>
                <w:webHidden/>
              </w:rPr>
              <w:t>6</w:t>
            </w:r>
            <w:r w:rsidRPr="00D90FCD">
              <w:rPr>
                <w:noProof/>
                <w:webHidden/>
              </w:rPr>
              <w:fldChar w:fldCharType="end"/>
            </w:r>
          </w:hyperlink>
        </w:p>
        <w:p w14:paraId="0ECF5DC3" w14:textId="61D84DA1" w:rsidR="00D90FCD" w:rsidRPr="00D90FCD" w:rsidRDefault="00D90FCD">
          <w:pPr>
            <w:pStyle w:val="TDC1"/>
            <w:tabs>
              <w:tab w:val="right" w:leader="dot" w:pos="8921"/>
            </w:tabs>
            <w:rPr>
              <w:rFonts w:asciiTheme="minorHAnsi" w:eastAsiaTheme="minorEastAsia" w:hAnsiTheme="minorHAnsi" w:cstheme="minorBidi"/>
              <w:noProof/>
              <w:color w:val="auto"/>
            </w:rPr>
          </w:pPr>
          <w:hyperlink w:anchor="_Toc192778067" w:history="1">
            <w:r w:rsidRPr="00D90FCD">
              <w:rPr>
                <w:rStyle w:val="Hipervnculo"/>
                <w:rFonts w:eastAsia="Calibri"/>
                <w:bCs/>
                <w:noProof/>
                <w:lang w:val="es-ES"/>
              </w:rPr>
              <w:t xml:space="preserve">PRIMERO. </w:t>
            </w:r>
            <w:r w:rsidRPr="00D90FCD">
              <w:rPr>
                <w:rStyle w:val="Hipervnculo"/>
                <w:rFonts w:eastAsia="Times New Roman"/>
                <w:bCs/>
                <w:noProof/>
                <w:lang w:val="es-ES" w:eastAsia="es-ES"/>
              </w:rPr>
              <w:t>Competencia</w:t>
            </w:r>
            <w:r w:rsidRPr="00D90FCD">
              <w:rPr>
                <w:noProof/>
                <w:webHidden/>
              </w:rPr>
              <w:tab/>
            </w:r>
            <w:r w:rsidRPr="00D90FCD">
              <w:rPr>
                <w:noProof/>
                <w:webHidden/>
              </w:rPr>
              <w:fldChar w:fldCharType="begin"/>
            </w:r>
            <w:r w:rsidRPr="00D90FCD">
              <w:rPr>
                <w:noProof/>
                <w:webHidden/>
              </w:rPr>
              <w:instrText xml:space="preserve"> PAGEREF _Toc192778067 \h </w:instrText>
            </w:r>
            <w:r w:rsidRPr="00D90FCD">
              <w:rPr>
                <w:noProof/>
                <w:webHidden/>
              </w:rPr>
            </w:r>
            <w:r w:rsidRPr="00D90FCD">
              <w:rPr>
                <w:noProof/>
                <w:webHidden/>
              </w:rPr>
              <w:fldChar w:fldCharType="separate"/>
            </w:r>
            <w:r w:rsidR="006208A3">
              <w:rPr>
                <w:noProof/>
                <w:webHidden/>
              </w:rPr>
              <w:t>6</w:t>
            </w:r>
            <w:r w:rsidRPr="00D90FCD">
              <w:rPr>
                <w:noProof/>
                <w:webHidden/>
              </w:rPr>
              <w:fldChar w:fldCharType="end"/>
            </w:r>
          </w:hyperlink>
        </w:p>
        <w:p w14:paraId="444CC8DF" w14:textId="6B714DC3" w:rsidR="00D90FCD" w:rsidRPr="00D90FCD" w:rsidRDefault="00D90FCD">
          <w:pPr>
            <w:pStyle w:val="TDC1"/>
            <w:tabs>
              <w:tab w:val="right" w:leader="dot" w:pos="8921"/>
            </w:tabs>
            <w:rPr>
              <w:rFonts w:asciiTheme="minorHAnsi" w:eastAsiaTheme="minorEastAsia" w:hAnsiTheme="minorHAnsi" w:cstheme="minorBidi"/>
              <w:noProof/>
              <w:color w:val="auto"/>
            </w:rPr>
          </w:pPr>
          <w:hyperlink w:anchor="_Toc192778068" w:history="1">
            <w:r w:rsidRPr="00D90FCD">
              <w:rPr>
                <w:rStyle w:val="Hipervnculo"/>
                <w:rFonts w:eastAsia="Calibri"/>
                <w:bCs/>
                <w:noProof/>
                <w:lang w:val="es-ES"/>
              </w:rPr>
              <w:t xml:space="preserve">SEGUNDO. </w:t>
            </w:r>
            <w:r w:rsidRPr="00D90FCD">
              <w:rPr>
                <w:rStyle w:val="Hipervnculo"/>
                <w:rFonts w:eastAsia="Times New Roman"/>
                <w:bCs/>
                <w:noProof/>
                <w:lang w:val="es-ES" w:eastAsia="es-ES"/>
              </w:rPr>
              <w:t>Causales de improcedencia y sobreseimiento</w:t>
            </w:r>
            <w:r w:rsidRPr="00D90FCD">
              <w:rPr>
                <w:noProof/>
                <w:webHidden/>
              </w:rPr>
              <w:tab/>
            </w:r>
            <w:r w:rsidRPr="00D90FCD">
              <w:rPr>
                <w:noProof/>
                <w:webHidden/>
              </w:rPr>
              <w:fldChar w:fldCharType="begin"/>
            </w:r>
            <w:r w:rsidRPr="00D90FCD">
              <w:rPr>
                <w:noProof/>
                <w:webHidden/>
              </w:rPr>
              <w:instrText xml:space="preserve"> PAGEREF _Toc192778068 \h </w:instrText>
            </w:r>
            <w:r w:rsidRPr="00D90FCD">
              <w:rPr>
                <w:noProof/>
                <w:webHidden/>
              </w:rPr>
            </w:r>
            <w:r w:rsidRPr="00D90FCD">
              <w:rPr>
                <w:noProof/>
                <w:webHidden/>
              </w:rPr>
              <w:fldChar w:fldCharType="separate"/>
            </w:r>
            <w:r w:rsidR="006208A3">
              <w:rPr>
                <w:noProof/>
                <w:webHidden/>
              </w:rPr>
              <w:t>7</w:t>
            </w:r>
            <w:r w:rsidRPr="00D90FCD">
              <w:rPr>
                <w:noProof/>
                <w:webHidden/>
              </w:rPr>
              <w:fldChar w:fldCharType="end"/>
            </w:r>
          </w:hyperlink>
        </w:p>
        <w:p w14:paraId="50C2F458" w14:textId="318D0E79" w:rsidR="00D90FCD" w:rsidRPr="00D90FCD" w:rsidRDefault="00D90FCD">
          <w:pPr>
            <w:pStyle w:val="TDC1"/>
            <w:tabs>
              <w:tab w:val="right" w:leader="dot" w:pos="8921"/>
            </w:tabs>
            <w:rPr>
              <w:rFonts w:asciiTheme="minorHAnsi" w:eastAsiaTheme="minorEastAsia" w:hAnsiTheme="minorHAnsi" w:cstheme="minorBidi"/>
              <w:noProof/>
              <w:color w:val="auto"/>
            </w:rPr>
          </w:pPr>
          <w:hyperlink w:anchor="_Toc192778069" w:history="1">
            <w:r w:rsidRPr="00D90FCD">
              <w:rPr>
                <w:rStyle w:val="Hipervnculo"/>
                <w:rFonts w:eastAsia="Times New Roman"/>
                <w:bCs/>
                <w:noProof/>
                <w:lang w:val="es-ES" w:eastAsia="es-ES"/>
              </w:rPr>
              <w:t>TERCERO. Determinación de la Controversia</w:t>
            </w:r>
            <w:r w:rsidRPr="00D90FCD">
              <w:rPr>
                <w:noProof/>
                <w:webHidden/>
              </w:rPr>
              <w:tab/>
            </w:r>
            <w:r w:rsidRPr="00D90FCD">
              <w:rPr>
                <w:noProof/>
                <w:webHidden/>
              </w:rPr>
              <w:fldChar w:fldCharType="begin"/>
            </w:r>
            <w:r w:rsidRPr="00D90FCD">
              <w:rPr>
                <w:noProof/>
                <w:webHidden/>
              </w:rPr>
              <w:instrText xml:space="preserve"> PAGEREF _Toc192778069 \h </w:instrText>
            </w:r>
            <w:r w:rsidRPr="00D90FCD">
              <w:rPr>
                <w:noProof/>
                <w:webHidden/>
              </w:rPr>
            </w:r>
            <w:r w:rsidRPr="00D90FCD">
              <w:rPr>
                <w:noProof/>
                <w:webHidden/>
              </w:rPr>
              <w:fldChar w:fldCharType="separate"/>
            </w:r>
            <w:r w:rsidR="006208A3">
              <w:rPr>
                <w:noProof/>
                <w:webHidden/>
              </w:rPr>
              <w:t>9</w:t>
            </w:r>
            <w:r w:rsidRPr="00D90FCD">
              <w:rPr>
                <w:noProof/>
                <w:webHidden/>
              </w:rPr>
              <w:fldChar w:fldCharType="end"/>
            </w:r>
          </w:hyperlink>
        </w:p>
        <w:p w14:paraId="6224ABEF" w14:textId="099CA99E" w:rsidR="00D90FCD" w:rsidRPr="00D90FCD" w:rsidRDefault="00D90FCD">
          <w:pPr>
            <w:pStyle w:val="TDC1"/>
            <w:tabs>
              <w:tab w:val="right" w:leader="dot" w:pos="8921"/>
            </w:tabs>
            <w:rPr>
              <w:rFonts w:asciiTheme="minorHAnsi" w:eastAsiaTheme="minorEastAsia" w:hAnsiTheme="minorHAnsi" w:cstheme="minorBidi"/>
              <w:noProof/>
              <w:color w:val="auto"/>
            </w:rPr>
          </w:pPr>
          <w:hyperlink w:anchor="_Toc192778070" w:history="1">
            <w:r w:rsidRPr="00D90FCD">
              <w:rPr>
                <w:rStyle w:val="Hipervnculo"/>
                <w:rFonts w:eastAsia="Times New Roman"/>
                <w:bCs/>
                <w:noProof/>
                <w:lang w:val="es-ES" w:eastAsia="es-ES"/>
              </w:rPr>
              <w:t xml:space="preserve">CUARTO. </w:t>
            </w:r>
            <w:r w:rsidRPr="00D90FCD">
              <w:rPr>
                <w:rStyle w:val="Hipervnculo"/>
                <w:rFonts w:eastAsia="Times New Roman"/>
                <w:bCs/>
                <w:noProof/>
                <w:lang w:eastAsia="es-ES"/>
              </w:rPr>
              <w:t>Marco normativo aplicable en materia de transparencia y acceso a la información pública</w:t>
            </w:r>
            <w:r w:rsidRPr="00D90FCD">
              <w:rPr>
                <w:noProof/>
                <w:webHidden/>
              </w:rPr>
              <w:tab/>
            </w:r>
            <w:r w:rsidRPr="00D90FCD">
              <w:rPr>
                <w:noProof/>
                <w:webHidden/>
              </w:rPr>
              <w:fldChar w:fldCharType="begin"/>
            </w:r>
            <w:r w:rsidRPr="00D90FCD">
              <w:rPr>
                <w:noProof/>
                <w:webHidden/>
              </w:rPr>
              <w:instrText xml:space="preserve"> PAGEREF _Toc192778070 \h </w:instrText>
            </w:r>
            <w:r w:rsidRPr="00D90FCD">
              <w:rPr>
                <w:noProof/>
                <w:webHidden/>
              </w:rPr>
            </w:r>
            <w:r w:rsidRPr="00D90FCD">
              <w:rPr>
                <w:noProof/>
                <w:webHidden/>
              </w:rPr>
              <w:fldChar w:fldCharType="separate"/>
            </w:r>
            <w:r w:rsidR="006208A3">
              <w:rPr>
                <w:noProof/>
                <w:webHidden/>
              </w:rPr>
              <w:t>10</w:t>
            </w:r>
            <w:r w:rsidRPr="00D90FCD">
              <w:rPr>
                <w:noProof/>
                <w:webHidden/>
              </w:rPr>
              <w:fldChar w:fldCharType="end"/>
            </w:r>
          </w:hyperlink>
        </w:p>
        <w:p w14:paraId="33E4D31B" w14:textId="2731CDA8" w:rsidR="00D90FCD" w:rsidRPr="00D90FCD" w:rsidRDefault="00D90FCD">
          <w:pPr>
            <w:pStyle w:val="TDC1"/>
            <w:tabs>
              <w:tab w:val="right" w:leader="dot" w:pos="8921"/>
            </w:tabs>
            <w:rPr>
              <w:rFonts w:asciiTheme="minorHAnsi" w:eastAsiaTheme="minorEastAsia" w:hAnsiTheme="minorHAnsi" w:cstheme="minorBidi"/>
              <w:noProof/>
              <w:color w:val="auto"/>
            </w:rPr>
          </w:pPr>
          <w:hyperlink w:anchor="_Toc192778071" w:history="1">
            <w:r w:rsidRPr="00D90FCD">
              <w:rPr>
                <w:rStyle w:val="Hipervnculo"/>
                <w:rFonts w:eastAsia="Times New Roman"/>
                <w:bCs/>
                <w:noProof/>
                <w:lang w:val="es-ES" w:eastAsia="es-ES"/>
              </w:rPr>
              <w:t>QUINTO. Estudio de Fondo</w:t>
            </w:r>
            <w:r w:rsidRPr="00D90FCD">
              <w:rPr>
                <w:noProof/>
                <w:webHidden/>
              </w:rPr>
              <w:tab/>
            </w:r>
            <w:r w:rsidRPr="00D90FCD">
              <w:rPr>
                <w:noProof/>
                <w:webHidden/>
              </w:rPr>
              <w:fldChar w:fldCharType="begin"/>
            </w:r>
            <w:r w:rsidRPr="00D90FCD">
              <w:rPr>
                <w:noProof/>
                <w:webHidden/>
              </w:rPr>
              <w:instrText xml:space="preserve"> PAGEREF _Toc192778071 \h </w:instrText>
            </w:r>
            <w:r w:rsidRPr="00D90FCD">
              <w:rPr>
                <w:noProof/>
                <w:webHidden/>
              </w:rPr>
            </w:r>
            <w:r w:rsidRPr="00D90FCD">
              <w:rPr>
                <w:noProof/>
                <w:webHidden/>
              </w:rPr>
              <w:fldChar w:fldCharType="separate"/>
            </w:r>
            <w:r w:rsidR="006208A3">
              <w:rPr>
                <w:noProof/>
                <w:webHidden/>
              </w:rPr>
              <w:t>11</w:t>
            </w:r>
            <w:r w:rsidRPr="00D90FCD">
              <w:rPr>
                <w:noProof/>
                <w:webHidden/>
              </w:rPr>
              <w:fldChar w:fldCharType="end"/>
            </w:r>
          </w:hyperlink>
        </w:p>
        <w:p w14:paraId="6C838022" w14:textId="161110D5" w:rsidR="00D90FCD" w:rsidRPr="00D90FCD" w:rsidRDefault="00D90FCD">
          <w:pPr>
            <w:pStyle w:val="TDC1"/>
            <w:tabs>
              <w:tab w:val="right" w:leader="dot" w:pos="8921"/>
            </w:tabs>
            <w:rPr>
              <w:rFonts w:asciiTheme="minorHAnsi" w:eastAsiaTheme="minorEastAsia" w:hAnsiTheme="minorHAnsi" w:cstheme="minorBidi"/>
              <w:noProof/>
              <w:color w:val="auto"/>
            </w:rPr>
          </w:pPr>
          <w:hyperlink w:anchor="_Toc192778072" w:history="1">
            <w:r w:rsidRPr="00D90FCD">
              <w:rPr>
                <w:rStyle w:val="Hipervnculo"/>
                <w:rFonts w:eastAsia="Calibri" w:cs="Tahoma"/>
                <w:bCs/>
                <w:noProof/>
              </w:rPr>
              <w:t>SEXTO. Decisión</w:t>
            </w:r>
            <w:r w:rsidRPr="00D90FCD">
              <w:rPr>
                <w:noProof/>
                <w:webHidden/>
              </w:rPr>
              <w:tab/>
            </w:r>
            <w:r w:rsidRPr="00D90FCD">
              <w:rPr>
                <w:noProof/>
                <w:webHidden/>
              </w:rPr>
              <w:fldChar w:fldCharType="begin"/>
            </w:r>
            <w:r w:rsidRPr="00D90FCD">
              <w:rPr>
                <w:noProof/>
                <w:webHidden/>
              </w:rPr>
              <w:instrText xml:space="preserve"> PAGEREF _Toc192778072 \h </w:instrText>
            </w:r>
            <w:r w:rsidRPr="00D90FCD">
              <w:rPr>
                <w:noProof/>
                <w:webHidden/>
              </w:rPr>
            </w:r>
            <w:r w:rsidRPr="00D90FCD">
              <w:rPr>
                <w:noProof/>
                <w:webHidden/>
              </w:rPr>
              <w:fldChar w:fldCharType="separate"/>
            </w:r>
            <w:r w:rsidR="006208A3">
              <w:rPr>
                <w:noProof/>
                <w:webHidden/>
              </w:rPr>
              <w:t>37</w:t>
            </w:r>
            <w:r w:rsidRPr="00D90FCD">
              <w:rPr>
                <w:noProof/>
                <w:webHidden/>
              </w:rPr>
              <w:fldChar w:fldCharType="end"/>
            </w:r>
          </w:hyperlink>
        </w:p>
        <w:p w14:paraId="0BD78394" w14:textId="74F2E5E7" w:rsidR="00D90FCD" w:rsidRPr="00D90FCD" w:rsidRDefault="00D90FCD">
          <w:pPr>
            <w:pStyle w:val="TDC1"/>
            <w:tabs>
              <w:tab w:val="right" w:leader="dot" w:pos="8921"/>
            </w:tabs>
            <w:rPr>
              <w:rFonts w:asciiTheme="minorHAnsi" w:eastAsiaTheme="minorEastAsia" w:hAnsiTheme="minorHAnsi" w:cstheme="minorBidi"/>
              <w:noProof/>
              <w:color w:val="auto"/>
            </w:rPr>
          </w:pPr>
          <w:hyperlink w:anchor="_Toc192778073" w:history="1">
            <w:r w:rsidRPr="00D90FCD">
              <w:rPr>
                <w:rStyle w:val="Hipervnculo"/>
                <w:rFonts w:eastAsia="Times New Roman"/>
                <w:bCs/>
                <w:noProof/>
                <w:lang w:eastAsia="es-ES"/>
              </w:rPr>
              <w:t>SÉPTIMO. Vista a la Secretaría Técnica del Pleno</w:t>
            </w:r>
            <w:r w:rsidRPr="00D90FCD">
              <w:rPr>
                <w:noProof/>
                <w:webHidden/>
              </w:rPr>
              <w:tab/>
            </w:r>
            <w:r w:rsidRPr="00D90FCD">
              <w:rPr>
                <w:noProof/>
                <w:webHidden/>
              </w:rPr>
              <w:fldChar w:fldCharType="begin"/>
            </w:r>
            <w:r w:rsidRPr="00D90FCD">
              <w:rPr>
                <w:noProof/>
                <w:webHidden/>
              </w:rPr>
              <w:instrText xml:space="preserve"> PAGEREF _Toc192778073 \h </w:instrText>
            </w:r>
            <w:r w:rsidRPr="00D90FCD">
              <w:rPr>
                <w:noProof/>
                <w:webHidden/>
              </w:rPr>
            </w:r>
            <w:r w:rsidRPr="00D90FCD">
              <w:rPr>
                <w:noProof/>
                <w:webHidden/>
              </w:rPr>
              <w:fldChar w:fldCharType="separate"/>
            </w:r>
            <w:r w:rsidR="006208A3">
              <w:rPr>
                <w:noProof/>
                <w:webHidden/>
              </w:rPr>
              <w:t>37</w:t>
            </w:r>
            <w:r w:rsidRPr="00D90FCD">
              <w:rPr>
                <w:noProof/>
                <w:webHidden/>
              </w:rPr>
              <w:fldChar w:fldCharType="end"/>
            </w:r>
          </w:hyperlink>
        </w:p>
        <w:p w14:paraId="65DF758B" w14:textId="0ACFCA16" w:rsidR="00D90FCD" w:rsidRPr="00D90FCD" w:rsidRDefault="00D90FCD">
          <w:pPr>
            <w:pStyle w:val="TDC1"/>
            <w:tabs>
              <w:tab w:val="right" w:leader="dot" w:pos="8921"/>
            </w:tabs>
            <w:rPr>
              <w:rFonts w:asciiTheme="minorHAnsi" w:eastAsiaTheme="minorEastAsia" w:hAnsiTheme="minorHAnsi" w:cstheme="minorBidi"/>
              <w:noProof/>
              <w:color w:val="auto"/>
            </w:rPr>
          </w:pPr>
          <w:hyperlink w:anchor="_Toc192778074" w:history="1">
            <w:r w:rsidRPr="00D90FCD">
              <w:rPr>
                <w:rStyle w:val="Hipervnculo"/>
                <w:rFonts w:eastAsia="Times New Roman"/>
                <w:bCs/>
                <w:noProof/>
                <w:lang w:eastAsia="es-ES"/>
              </w:rPr>
              <w:t>R E S U E L V E</w:t>
            </w:r>
            <w:r w:rsidRPr="00D90FCD">
              <w:rPr>
                <w:noProof/>
                <w:webHidden/>
              </w:rPr>
              <w:tab/>
            </w:r>
            <w:r w:rsidRPr="00D90FCD">
              <w:rPr>
                <w:noProof/>
                <w:webHidden/>
              </w:rPr>
              <w:fldChar w:fldCharType="begin"/>
            </w:r>
            <w:r w:rsidRPr="00D90FCD">
              <w:rPr>
                <w:noProof/>
                <w:webHidden/>
              </w:rPr>
              <w:instrText xml:space="preserve"> PAGEREF _Toc192778074 \h </w:instrText>
            </w:r>
            <w:r w:rsidRPr="00D90FCD">
              <w:rPr>
                <w:noProof/>
                <w:webHidden/>
              </w:rPr>
            </w:r>
            <w:r w:rsidRPr="00D90FCD">
              <w:rPr>
                <w:noProof/>
                <w:webHidden/>
              </w:rPr>
              <w:fldChar w:fldCharType="separate"/>
            </w:r>
            <w:r w:rsidR="006208A3">
              <w:rPr>
                <w:noProof/>
                <w:webHidden/>
              </w:rPr>
              <w:t>39</w:t>
            </w:r>
            <w:r w:rsidRPr="00D90FCD">
              <w:rPr>
                <w:noProof/>
                <w:webHidden/>
              </w:rPr>
              <w:fldChar w:fldCharType="end"/>
            </w:r>
          </w:hyperlink>
        </w:p>
        <w:p w14:paraId="703C92A2" w14:textId="280C281B" w:rsidR="002C5B35" w:rsidRPr="002C5B35" w:rsidRDefault="00B3395B" w:rsidP="0078724B">
          <w:pPr>
            <w:spacing w:after="0" w:line="360" w:lineRule="auto"/>
            <w:rPr>
              <w:b/>
              <w:bCs/>
              <w:lang w:val="es-ES"/>
            </w:rPr>
          </w:pPr>
          <w:r w:rsidRPr="002C5B35">
            <w:rPr>
              <w:lang w:val="es-ES"/>
            </w:rPr>
            <w:fldChar w:fldCharType="end"/>
          </w:r>
        </w:p>
      </w:sdtContent>
    </w:sdt>
    <w:p w14:paraId="5F6FE23B" w14:textId="1B257CF3" w:rsidR="00051642" w:rsidRPr="00361B01" w:rsidRDefault="00051642" w:rsidP="0078724B">
      <w:pPr>
        <w:tabs>
          <w:tab w:val="left" w:pos="8931"/>
        </w:tabs>
        <w:spacing w:after="0" w:line="360" w:lineRule="auto"/>
        <w:rPr>
          <w:rFonts w:eastAsia="Calibri" w:cs="Tahoma"/>
          <w:color w:val="auto"/>
          <w:lang w:val="es-ES"/>
        </w:rPr>
      </w:pPr>
      <w:r w:rsidRPr="00361B01">
        <w:rPr>
          <w:rFonts w:cs="Tahoma"/>
          <w:bCs/>
          <w:color w:val="auto"/>
        </w:rPr>
        <w:lastRenderedPageBreak/>
        <w:t xml:space="preserve">Resolución del Pleno del Instituto de Transparencia, Acceso a la Información Pública y Protección de Datos Personales del Estado de México y Municipios, con domicilio en Metepec, </w:t>
      </w:r>
      <w:r w:rsidRPr="00361B01">
        <w:rPr>
          <w:rFonts w:eastAsia="Calibri" w:cs="Tahoma"/>
          <w:color w:val="auto"/>
          <w:lang w:val="es-ES"/>
        </w:rPr>
        <w:t>Estado de México, de fecha</w:t>
      </w:r>
      <w:r w:rsidR="004B1895" w:rsidRPr="00361B01">
        <w:rPr>
          <w:rFonts w:eastAsia="Calibri" w:cs="Tahoma"/>
          <w:color w:val="auto"/>
          <w:lang w:val="es-ES"/>
        </w:rPr>
        <w:t xml:space="preserve"> </w:t>
      </w:r>
      <w:r w:rsidR="00361B01" w:rsidRPr="00361B01">
        <w:rPr>
          <w:rFonts w:eastAsia="Calibri" w:cs="Tahoma"/>
          <w:color w:val="auto"/>
          <w:lang w:val="es-ES"/>
        </w:rPr>
        <w:t>doce de marzo de dos mil veinticinco.</w:t>
      </w:r>
    </w:p>
    <w:p w14:paraId="6246E0DA" w14:textId="77777777" w:rsidR="00051642" w:rsidRPr="00361B01" w:rsidRDefault="00051642" w:rsidP="0078724B">
      <w:pPr>
        <w:spacing w:after="0" w:line="360" w:lineRule="auto"/>
        <w:rPr>
          <w:rFonts w:eastAsia="Calibri" w:cs="Tahoma"/>
          <w:b/>
          <w:bCs/>
          <w:color w:val="FF0000"/>
          <w:lang w:val="es-ES"/>
        </w:rPr>
      </w:pPr>
    </w:p>
    <w:p w14:paraId="542CE8DB" w14:textId="0B733493" w:rsidR="00051642" w:rsidRPr="00361B01" w:rsidRDefault="00051642" w:rsidP="0078724B">
      <w:pPr>
        <w:spacing w:after="0" w:line="360" w:lineRule="auto"/>
        <w:rPr>
          <w:rFonts w:cs="Tahoma"/>
          <w:color w:val="auto"/>
        </w:rPr>
      </w:pPr>
      <w:r w:rsidRPr="00361B01">
        <w:rPr>
          <w:rFonts w:eastAsia="Calibri" w:cs="Tahoma"/>
          <w:b/>
          <w:bCs/>
          <w:color w:val="auto"/>
          <w:lang w:val="es-ES"/>
        </w:rPr>
        <w:t xml:space="preserve">VISTO </w:t>
      </w:r>
      <w:r w:rsidRPr="00361B01">
        <w:rPr>
          <w:rFonts w:eastAsia="Calibri" w:cs="Tahoma"/>
          <w:color w:val="auto"/>
          <w:lang w:val="es-ES"/>
        </w:rPr>
        <w:t xml:space="preserve">el expediente conformado con motivo </w:t>
      </w:r>
      <w:r w:rsidR="00FB3575" w:rsidRPr="00361B01">
        <w:rPr>
          <w:rFonts w:eastAsia="Calibri" w:cs="Tahoma"/>
          <w:color w:val="auto"/>
          <w:lang w:val="es-ES"/>
        </w:rPr>
        <w:t>del</w:t>
      </w:r>
      <w:r w:rsidRPr="00361B01">
        <w:rPr>
          <w:rFonts w:eastAsia="Calibri" w:cs="Tahoma"/>
          <w:color w:val="auto"/>
          <w:lang w:val="es-ES"/>
        </w:rPr>
        <w:t xml:space="preserve"> Recurso de Revisión </w:t>
      </w:r>
      <w:r w:rsidR="00361B01" w:rsidRPr="00DF5B69">
        <w:rPr>
          <w:rFonts w:eastAsia="Calibri" w:cs="Tahoma"/>
          <w:b/>
          <w:bCs/>
          <w:color w:val="auto"/>
        </w:rPr>
        <w:t>01171</w:t>
      </w:r>
      <w:r w:rsidR="00034982" w:rsidRPr="00DF5B69">
        <w:rPr>
          <w:rFonts w:eastAsia="Calibri" w:cs="Tahoma"/>
          <w:b/>
          <w:bCs/>
          <w:color w:val="auto"/>
        </w:rPr>
        <w:t>/INFOEM/IP/RR/202</w:t>
      </w:r>
      <w:r w:rsidR="00361B01" w:rsidRPr="00DF5B69">
        <w:rPr>
          <w:rFonts w:eastAsia="Calibri" w:cs="Tahoma"/>
          <w:b/>
          <w:bCs/>
          <w:color w:val="auto"/>
        </w:rPr>
        <w:t>5</w:t>
      </w:r>
      <w:r w:rsidRPr="00361B01">
        <w:rPr>
          <w:rFonts w:eastAsia="Calibri" w:cs="Tahoma"/>
          <w:color w:val="auto"/>
        </w:rPr>
        <w:t xml:space="preserve">, interpuesto </w:t>
      </w:r>
      <w:r w:rsidR="008626CE" w:rsidRPr="00361B01">
        <w:rPr>
          <w:rFonts w:eastAsia="Calibri" w:cs="Tahoma"/>
          <w:color w:val="auto"/>
        </w:rPr>
        <w:t xml:space="preserve">por </w:t>
      </w:r>
      <w:r w:rsidR="00D679B6" w:rsidRPr="00361B01">
        <w:rPr>
          <w:rFonts w:eastAsia="Calibri" w:cs="Tahoma"/>
          <w:color w:val="auto"/>
        </w:rPr>
        <w:t xml:space="preserve">el </w:t>
      </w:r>
      <w:r w:rsidRPr="00361B01">
        <w:rPr>
          <w:rFonts w:cs="Tahoma"/>
          <w:color w:val="auto"/>
        </w:rPr>
        <w:t xml:space="preserve">Recurrente o Particular, en contra de la falta de respuesta del Sujeto Obligado, </w:t>
      </w:r>
      <w:r w:rsidR="00361B01" w:rsidRPr="00DF5B69">
        <w:rPr>
          <w:rFonts w:cs="Tahoma"/>
          <w:b/>
          <w:bCs/>
          <w:color w:val="auto"/>
        </w:rPr>
        <w:t>Sistema Municipal para el Desarrollo Integral de la Familia de Villa del Carbón</w:t>
      </w:r>
      <w:r w:rsidRPr="00DF5B69">
        <w:rPr>
          <w:rFonts w:cs="Tahoma"/>
          <w:b/>
          <w:bCs/>
          <w:color w:val="auto"/>
        </w:rPr>
        <w:t>,</w:t>
      </w:r>
      <w:r w:rsidRPr="00361B01">
        <w:rPr>
          <w:rFonts w:cs="Tahoma"/>
          <w:color w:val="auto"/>
        </w:rPr>
        <w:t xml:space="preserve"> a la solicitud de acceso a la información pública </w:t>
      </w:r>
      <w:r w:rsidR="00361B01" w:rsidRPr="00361B01">
        <w:rPr>
          <w:rFonts w:cs="Tahoma"/>
          <w:bCs/>
          <w:color w:val="auto"/>
        </w:rPr>
        <w:t>00002/DIFVCARBON/IP/2025</w:t>
      </w:r>
      <w:r w:rsidRPr="00361B01">
        <w:rPr>
          <w:rFonts w:cs="Tahoma"/>
          <w:bCs/>
          <w:iCs/>
          <w:color w:val="auto"/>
        </w:rPr>
        <w:t>,</w:t>
      </w:r>
      <w:r w:rsidRPr="00361B01">
        <w:rPr>
          <w:rFonts w:cs="Tahoma"/>
          <w:color w:val="auto"/>
        </w:rPr>
        <w:t xml:space="preserve"> se emite</w:t>
      </w:r>
      <w:r w:rsidRPr="00361B01">
        <w:rPr>
          <w:rFonts w:cs="Tahoma"/>
          <w:bCs/>
          <w:color w:val="auto"/>
        </w:rPr>
        <w:t xml:space="preserve"> la presente Resolución, con base en los Antecedentes y Considerandos que se exponen a continuación:</w:t>
      </w:r>
    </w:p>
    <w:p w14:paraId="5A1C6FC2" w14:textId="77777777" w:rsidR="005369D0" w:rsidRPr="00361B01" w:rsidRDefault="005369D0" w:rsidP="0078724B">
      <w:pPr>
        <w:spacing w:after="0" w:line="360" w:lineRule="auto"/>
        <w:rPr>
          <w:rFonts w:cs="Tahoma"/>
          <w:color w:val="auto"/>
        </w:rPr>
      </w:pPr>
    </w:p>
    <w:p w14:paraId="18EA1E5E" w14:textId="6484AEC0" w:rsidR="00051642" w:rsidRPr="00093717" w:rsidRDefault="00051642" w:rsidP="0078724B">
      <w:pPr>
        <w:pStyle w:val="Ttulo1"/>
        <w:spacing w:before="0" w:line="360" w:lineRule="auto"/>
        <w:jc w:val="center"/>
        <w:rPr>
          <w:rFonts w:ascii="Palatino Linotype" w:eastAsia="Calibri" w:hAnsi="Palatino Linotype" w:cs="Times New Roman"/>
          <w:b/>
          <w:bCs/>
          <w:color w:val="auto"/>
          <w:sz w:val="22"/>
          <w:szCs w:val="22"/>
          <w:lang w:val="es-ES"/>
        </w:rPr>
      </w:pPr>
      <w:bookmarkStart w:id="0" w:name="_Toc192778055"/>
      <w:r w:rsidRPr="00093717">
        <w:rPr>
          <w:rFonts w:ascii="Palatino Linotype" w:eastAsia="Calibri" w:hAnsi="Palatino Linotype" w:cs="Times New Roman"/>
          <w:b/>
          <w:bCs/>
          <w:color w:val="auto"/>
          <w:sz w:val="22"/>
          <w:szCs w:val="22"/>
          <w:lang w:val="es-ES"/>
        </w:rPr>
        <w:t>A N T E C E D E N T E S</w:t>
      </w:r>
      <w:bookmarkEnd w:id="0"/>
    </w:p>
    <w:p w14:paraId="689BB71D" w14:textId="77777777" w:rsidR="00051642" w:rsidRPr="00093717" w:rsidRDefault="00051642" w:rsidP="0078724B">
      <w:pPr>
        <w:pStyle w:val="Ttulo1"/>
        <w:spacing w:before="0" w:line="360" w:lineRule="auto"/>
        <w:rPr>
          <w:rFonts w:ascii="Palatino Linotype" w:hAnsi="Palatino Linotype"/>
          <w:color w:val="auto"/>
          <w:sz w:val="22"/>
          <w:szCs w:val="22"/>
          <w:lang w:val="es-ES"/>
        </w:rPr>
      </w:pPr>
    </w:p>
    <w:p w14:paraId="38CCD1DD" w14:textId="505AD181" w:rsidR="00051642" w:rsidRPr="00093717" w:rsidRDefault="00051642" w:rsidP="0078724B">
      <w:pPr>
        <w:pStyle w:val="Ttulo1"/>
        <w:spacing w:before="0" w:line="360" w:lineRule="auto"/>
        <w:rPr>
          <w:rFonts w:ascii="Palatino Linotype" w:eastAsia="Calibri" w:hAnsi="Palatino Linotype" w:cs="Tahoma"/>
          <w:b/>
          <w:bCs/>
          <w:color w:val="auto"/>
          <w:sz w:val="22"/>
          <w:szCs w:val="22"/>
          <w:lang w:val="es-ES"/>
        </w:rPr>
      </w:pPr>
      <w:bookmarkStart w:id="1" w:name="_Toc192778056"/>
      <w:r w:rsidRPr="00093717">
        <w:rPr>
          <w:rFonts w:ascii="Palatino Linotype" w:eastAsia="Calibri" w:hAnsi="Palatino Linotype" w:cs="Tahoma"/>
          <w:b/>
          <w:bCs/>
          <w:color w:val="auto"/>
          <w:sz w:val="22"/>
          <w:szCs w:val="22"/>
          <w:lang w:val="es-ES"/>
        </w:rPr>
        <w:t xml:space="preserve">I. Presentación </w:t>
      </w:r>
      <w:r w:rsidR="00EC6C06" w:rsidRPr="00093717">
        <w:rPr>
          <w:rFonts w:ascii="Palatino Linotype" w:eastAsia="Calibri" w:hAnsi="Palatino Linotype" w:cs="Tahoma"/>
          <w:b/>
          <w:bCs/>
          <w:color w:val="auto"/>
          <w:sz w:val="22"/>
          <w:szCs w:val="22"/>
          <w:lang w:val="es-ES"/>
        </w:rPr>
        <w:t>de la solicitud de información</w:t>
      </w:r>
      <w:bookmarkEnd w:id="1"/>
    </w:p>
    <w:p w14:paraId="249BEE91" w14:textId="77777777" w:rsidR="00051642" w:rsidRPr="00361B01" w:rsidRDefault="00051642" w:rsidP="0078724B">
      <w:pPr>
        <w:spacing w:after="0" w:line="360" w:lineRule="auto"/>
        <w:rPr>
          <w:rFonts w:eastAsia="Calibri" w:cs="Tahoma"/>
          <w:b/>
          <w:bCs/>
          <w:color w:val="auto"/>
          <w:lang w:val="es-ES"/>
        </w:rPr>
      </w:pPr>
    </w:p>
    <w:p w14:paraId="6DD77042" w14:textId="3125926F" w:rsidR="005369D0" w:rsidRPr="00361B01" w:rsidRDefault="005369D0" w:rsidP="0078724B">
      <w:pPr>
        <w:autoSpaceDE w:val="0"/>
        <w:autoSpaceDN w:val="0"/>
        <w:adjustRightInd w:val="0"/>
        <w:spacing w:after="0" w:line="360" w:lineRule="auto"/>
        <w:rPr>
          <w:rFonts w:cs="Tahoma"/>
          <w:color w:val="auto"/>
        </w:rPr>
      </w:pPr>
      <w:r w:rsidRPr="00361B01">
        <w:rPr>
          <w:rFonts w:cs="Tahoma"/>
          <w:color w:val="auto"/>
        </w:rPr>
        <w:t xml:space="preserve">Con fecha </w:t>
      </w:r>
      <w:r w:rsidR="00361B01" w:rsidRPr="00361B01">
        <w:rPr>
          <w:rFonts w:cs="Tahoma"/>
          <w:color w:val="auto"/>
        </w:rPr>
        <w:t>veinte de enero de dos mil veinticinco</w:t>
      </w:r>
      <w:r w:rsidRPr="00361B01">
        <w:rPr>
          <w:rFonts w:cs="Tahoma"/>
          <w:color w:val="auto"/>
        </w:rPr>
        <w:t xml:space="preserve">, el Particular presentó </w:t>
      </w:r>
      <w:r w:rsidR="003B58AA" w:rsidRPr="00361B01">
        <w:rPr>
          <w:rFonts w:cs="Tahoma"/>
          <w:color w:val="auto"/>
        </w:rPr>
        <w:t xml:space="preserve">una </w:t>
      </w:r>
      <w:r w:rsidR="008567E8" w:rsidRPr="00361B01">
        <w:rPr>
          <w:rFonts w:cs="Tahoma"/>
          <w:color w:val="auto"/>
        </w:rPr>
        <w:t>solicitu</w:t>
      </w:r>
      <w:r w:rsidR="003B58AA" w:rsidRPr="00361B01">
        <w:rPr>
          <w:rFonts w:cs="Tahoma"/>
          <w:color w:val="auto"/>
        </w:rPr>
        <w:t>d</w:t>
      </w:r>
      <w:r w:rsidRPr="00361B01">
        <w:rPr>
          <w:rFonts w:cs="Tahoma"/>
          <w:color w:val="auto"/>
        </w:rPr>
        <w:t xml:space="preserve"> de acceso a la información pública, a través del Sistema de Acceso a la Información Mexiquense (SAIMEX), ante </w:t>
      </w:r>
      <w:r w:rsidR="00D679B6" w:rsidRPr="00361B01">
        <w:rPr>
          <w:rFonts w:cs="Tahoma"/>
          <w:color w:val="auto"/>
        </w:rPr>
        <w:t>el</w:t>
      </w:r>
      <w:r w:rsidR="00361B01" w:rsidRPr="00361B01">
        <w:rPr>
          <w:rFonts w:cs="Tahoma"/>
          <w:color w:val="auto"/>
        </w:rPr>
        <w:t xml:space="preserve"> Sistema Municipal para el Desarrollo Integral de la Familia de Villa del Carbón</w:t>
      </w:r>
      <w:r w:rsidRPr="00361B01">
        <w:rPr>
          <w:rFonts w:cs="Tahoma"/>
          <w:bCs/>
          <w:color w:val="auto"/>
        </w:rPr>
        <w:t>, en los siguientes términos:</w:t>
      </w:r>
    </w:p>
    <w:p w14:paraId="7E3755BC" w14:textId="77777777" w:rsidR="003B58AA" w:rsidRPr="00361B01" w:rsidRDefault="003B58AA" w:rsidP="0078724B">
      <w:pPr>
        <w:autoSpaceDE w:val="0"/>
        <w:autoSpaceDN w:val="0"/>
        <w:adjustRightInd w:val="0"/>
        <w:spacing w:after="0" w:line="360" w:lineRule="auto"/>
        <w:rPr>
          <w:rFonts w:cs="Tahoma"/>
          <w:bCs/>
          <w:color w:val="FF0000"/>
        </w:rPr>
      </w:pPr>
    </w:p>
    <w:p w14:paraId="553643A9" w14:textId="0C4E7079" w:rsidR="002A2C08" w:rsidRPr="00361B01" w:rsidRDefault="001D70CD" w:rsidP="0078724B">
      <w:pPr>
        <w:tabs>
          <w:tab w:val="left" w:pos="4667"/>
        </w:tabs>
        <w:spacing w:after="0" w:line="360" w:lineRule="auto"/>
        <w:ind w:left="567" w:right="567"/>
        <w:rPr>
          <w:rFonts w:cs="Tahoma"/>
          <w:b/>
          <w:bCs/>
          <w:i/>
          <w:color w:val="auto"/>
          <w:sz w:val="20"/>
          <w:szCs w:val="20"/>
        </w:rPr>
      </w:pPr>
      <w:r w:rsidRPr="00361B01">
        <w:rPr>
          <w:rFonts w:cs="Tahoma"/>
          <w:b/>
          <w:bCs/>
          <w:i/>
          <w:color w:val="auto"/>
          <w:sz w:val="20"/>
          <w:szCs w:val="20"/>
        </w:rPr>
        <w:t>“</w:t>
      </w:r>
      <w:r w:rsidR="002A2C08" w:rsidRPr="00361B01">
        <w:rPr>
          <w:rFonts w:cs="Tahoma"/>
          <w:b/>
          <w:bCs/>
          <w:i/>
          <w:color w:val="auto"/>
          <w:sz w:val="20"/>
          <w:szCs w:val="20"/>
        </w:rPr>
        <w:t>DESCRIPCIÓN CLARA Y PRECISA DE LA INFORMACIÓN SOLICITADA</w:t>
      </w:r>
    </w:p>
    <w:p w14:paraId="1DCE85F6" w14:textId="645835FD" w:rsidR="002A2C08" w:rsidRPr="00361B01" w:rsidRDefault="00361B01" w:rsidP="0078724B">
      <w:pPr>
        <w:tabs>
          <w:tab w:val="left" w:pos="4667"/>
        </w:tabs>
        <w:spacing w:after="0" w:line="360" w:lineRule="auto"/>
        <w:ind w:left="567" w:right="567"/>
        <w:rPr>
          <w:rFonts w:cs="Tahoma"/>
          <w:bCs/>
          <w:i/>
          <w:color w:val="auto"/>
          <w:sz w:val="20"/>
          <w:szCs w:val="20"/>
        </w:rPr>
      </w:pPr>
      <w:r w:rsidRPr="00361B01">
        <w:rPr>
          <w:rFonts w:cs="Tahoma"/>
          <w:bCs/>
          <w:i/>
          <w:color w:val="auto"/>
          <w:sz w:val="20"/>
          <w:szCs w:val="20"/>
        </w:rPr>
        <w:t xml:space="preserve">Se solicita una copia del primer recibo de </w:t>
      </w:r>
      <w:proofErr w:type="spellStart"/>
      <w:r w:rsidRPr="00361B01">
        <w:rPr>
          <w:rFonts w:cs="Tahoma"/>
          <w:bCs/>
          <w:i/>
          <w:color w:val="auto"/>
          <w:sz w:val="20"/>
          <w:szCs w:val="20"/>
        </w:rPr>
        <w:t>nomina</w:t>
      </w:r>
      <w:proofErr w:type="spellEnd"/>
      <w:r w:rsidRPr="00361B01">
        <w:rPr>
          <w:rFonts w:cs="Tahoma"/>
          <w:bCs/>
          <w:i/>
          <w:color w:val="auto"/>
          <w:sz w:val="20"/>
          <w:szCs w:val="20"/>
        </w:rPr>
        <w:t xml:space="preserve"> de la </w:t>
      </w:r>
      <w:proofErr w:type="gramStart"/>
      <w:r w:rsidRPr="00361B01">
        <w:rPr>
          <w:rFonts w:cs="Tahoma"/>
          <w:bCs/>
          <w:i/>
          <w:color w:val="auto"/>
          <w:sz w:val="20"/>
          <w:szCs w:val="20"/>
        </w:rPr>
        <w:t>primer quincena</w:t>
      </w:r>
      <w:proofErr w:type="gramEnd"/>
      <w:r w:rsidRPr="00361B01">
        <w:rPr>
          <w:rFonts w:cs="Tahoma"/>
          <w:bCs/>
          <w:i/>
          <w:color w:val="auto"/>
          <w:sz w:val="20"/>
          <w:szCs w:val="20"/>
        </w:rPr>
        <w:t xml:space="preserve"> de enero de 2025 de todos los servidores públicos que trabajan dentro del sistema municipal </w:t>
      </w:r>
      <w:proofErr w:type="spellStart"/>
      <w:r w:rsidRPr="00361B01">
        <w:rPr>
          <w:rFonts w:cs="Tahoma"/>
          <w:bCs/>
          <w:i/>
          <w:color w:val="auto"/>
          <w:sz w:val="20"/>
          <w:szCs w:val="20"/>
        </w:rPr>
        <w:t>dif</w:t>
      </w:r>
      <w:proofErr w:type="spellEnd"/>
      <w:r w:rsidR="00256C60" w:rsidRPr="00361B01">
        <w:rPr>
          <w:rFonts w:cs="Tahoma"/>
          <w:bCs/>
          <w:i/>
          <w:color w:val="auto"/>
          <w:sz w:val="20"/>
          <w:szCs w:val="20"/>
        </w:rPr>
        <w:t>.</w:t>
      </w:r>
      <w:r w:rsidR="001D70CD" w:rsidRPr="00361B01">
        <w:rPr>
          <w:rFonts w:cs="Tahoma"/>
          <w:bCs/>
          <w:i/>
          <w:color w:val="auto"/>
          <w:sz w:val="20"/>
          <w:szCs w:val="20"/>
        </w:rPr>
        <w:t>”</w:t>
      </w:r>
      <w:r w:rsidR="003B58AA" w:rsidRPr="00361B01">
        <w:rPr>
          <w:rFonts w:cs="Tahoma"/>
          <w:bCs/>
          <w:i/>
          <w:color w:val="auto"/>
          <w:sz w:val="20"/>
          <w:szCs w:val="20"/>
        </w:rPr>
        <w:t xml:space="preserve"> </w:t>
      </w:r>
      <w:r w:rsidR="002A2C08" w:rsidRPr="00361B01">
        <w:rPr>
          <w:rFonts w:cs="Tahoma"/>
          <w:bCs/>
          <w:i/>
          <w:color w:val="auto"/>
          <w:sz w:val="20"/>
          <w:szCs w:val="20"/>
        </w:rPr>
        <w:t>(Sic.)</w:t>
      </w:r>
    </w:p>
    <w:p w14:paraId="33E76877" w14:textId="77777777" w:rsidR="00034982" w:rsidRPr="00361B01" w:rsidRDefault="00034982" w:rsidP="0078724B">
      <w:pPr>
        <w:spacing w:after="0" w:line="360" w:lineRule="auto"/>
        <w:ind w:right="567"/>
        <w:rPr>
          <w:rFonts w:cs="Tahoma"/>
          <w:b/>
          <w:bCs/>
          <w:color w:val="auto"/>
        </w:rPr>
      </w:pPr>
    </w:p>
    <w:p w14:paraId="38245033" w14:textId="6C679B37" w:rsidR="002A2C08" w:rsidRPr="00361B01" w:rsidRDefault="001D70CD" w:rsidP="0078724B">
      <w:pPr>
        <w:tabs>
          <w:tab w:val="left" w:pos="4667"/>
        </w:tabs>
        <w:spacing w:after="0" w:line="360" w:lineRule="auto"/>
        <w:ind w:left="567" w:right="567"/>
        <w:rPr>
          <w:rFonts w:eastAsia="Times New Roman" w:cs="Tahoma"/>
          <w:b/>
          <w:bCs/>
          <w:i/>
          <w:iCs/>
          <w:color w:val="auto"/>
          <w:sz w:val="20"/>
          <w:lang w:eastAsia="es-ES"/>
        </w:rPr>
      </w:pPr>
      <w:r w:rsidRPr="00361B01">
        <w:rPr>
          <w:rFonts w:eastAsia="Times New Roman" w:cs="Tahoma"/>
          <w:b/>
          <w:bCs/>
          <w:i/>
          <w:iCs/>
          <w:color w:val="auto"/>
          <w:sz w:val="20"/>
          <w:lang w:eastAsia="es-ES"/>
        </w:rPr>
        <w:t>“</w:t>
      </w:r>
      <w:r w:rsidR="002A2C08" w:rsidRPr="00361B01">
        <w:rPr>
          <w:rFonts w:eastAsia="Times New Roman" w:cs="Tahoma"/>
          <w:b/>
          <w:bCs/>
          <w:i/>
          <w:iCs/>
          <w:color w:val="auto"/>
          <w:sz w:val="20"/>
          <w:lang w:eastAsia="es-ES"/>
        </w:rPr>
        <w:t>MODALIDAD DE ENTREGA</w:t>
      </w:r>
    </w:p>
    <w:p w14:paraId="526BA7E5" w14:textId="442060EE" w:rsidR="002A2C08" w:rsidRPr="00361B01" w:rsidRDefault="002A2C08" w:rsidP="0078724B">
      <w:pPr>
        <w:spacing w:after="0" w:line="360" w:lineRule="auto"/>
        <w:ind w:left="567" w:right="567"/>
        <w:rPr>
          <w:rFonts w:eastAsia="Times New Roman" w:cs="Arial"/>
          <w:bCs/>
          <w:i/>
          <w:iCs/>
          <w:color w:val="auto"/>
          <w:sz w:val="20"/>
          <w:lang w:eastAsia="es-ES"/>
        </w:rPr>
      </w:pPr>
      <w:r w:rsidRPr="00361B01">
        <w:rPr>
          <w:rFonts w:eastAsia="Times New Roman" w:cs="Arial"/>
          <w:bCs/>
          <w:i/>
          <w:iCs/>
          <w:color w:val="auto"/>
          <w:sz w:val="20"/>
          <w:lang w:eastAsia="es-ES"/>
        </w:rPr>
        <w:t>A través del SAIMEX</w:t>
      </w:r>
      <w:r w:rsidR="001D70CD" w:rsidRPr="00361B01">
        <w:rPr>
          <w:rFonts w:eastAsia="Times New Roman" w:cs="Arial"/>
          <w:bCs/>
          <w:i/>
          <w:iCs/>
          <w:color w:val="auto"/>
          <w:sz w:val="20"/>
          <w:lang w:eastAsia="es-ES"/>
        </w:rPr>
        <w:t>”</w:t>
      </w:r>
      <w:r w:rsidRPr="00361B01">
        <w:rPr>
          <w:rFonts w:eastAsia="Times New Roman" w:cs="Arial"/>
          <w:bCs/>
          <w:i/>
          <w:iCs/>
          <w:color w:val="auto"/>
          <w:sz w:val="20"/>
          <w:lang w:eastAsia="es-ES"/>
        </w:rPr>
        <w:t xml:space="preserve"> (Sic)</w:t>
      </w:r>
    </w:p>
    <w:p w14:paraId="18F8D61D" w14:textId="77777777" w:rsidR="00F90DE8" w:rsidRPr="00361B01" w:rsidRDefault="00F90DE8" w:rsidP="0078724B">
      <w:pPr>
        <w:spacing w:after="0" w:line="360" w:lineRule="auto"/>
        <w:rPr>
          <w:rFonts w:eastAsia="Calibri" w:cs="Tahoma"/>
          <w:b/>
          <w:bCs/>
          <w:color w:val="FF0000"/>
        </w:rPr>
      </w:pPr>
    </w:p>
    <w:p w14:paraId="3B1DF5B3" w14:textId="72C4E924" w:rsidR="007A16A9" w:rsidRPr="00093717" w:rsidRDefault="007A16A9" w:rsidP="0078724B">
      <w:pPr>
        <w:pStyle w:val="Ttulo1"/>
        <w:spacing w:before="0" w:line="360" w:lineRule="auto"/>
        <w:rPr>
          <w:rFonts w:ascii="Palatino Linotype" w:eastAsia="Times New Roman" w:hAnsi="Palatino Linotype"/>
          <w:b/>
          <w:bCs/>
          <w:color w:val="auto"/>
          <w:sz w:val="22"/>
          <w:szCs w:val="22"/>
          <w:lang w:eastAsia="es-ES"/>
        </w:rPr>
      </w:pPr>
      <w:bookmarkStart w:id="2" w:name="_Toc192778057"/>
      <w:r w:rsidRPr="00093717">
        <w:rPr>
          <w:rFonts w:ascii="Palatino Linotype" w:eastAsia="Times New Roman" w:hAnsi="Palatino Linotype"/>
          <w:b/>
          <w:bCs/>
          <w:color w:val="auto"/>
          <w:sz w:val="22"/>
          <w:szCs w:val="22"/>
          <w:lang w:eastAsia="es-ES"/>
        </w:rPr>
        <w:t>I</w:t>
      </w:r>
      <w:r w:rsidR="00ED70AD" w:rsidRPr="00093717">
        <w:rPr>
          <w:rFonts w:ascii="Palatino Linotype" w:eastAsia="Times New Roman" w:hAnsi="Palatino Linotype"/>
          <w:b/>
          <w:bCs/>
          <w:color w:val="auto"/>
          <w:sz w:val="22"/>
          <w:szCs w:val="22"/>
          <w:lang w:eastAsia="es-ES"/>
        </w:rPr>
        <w:t>I</w:t>
      </w:r>
      <w:r w:rsidRPr="00093717">
        <w:rPr>
          <w:rFonts w:ascii="Palatino Linotype" w:eastAsia="Times New Roman" w:hAnsi="Palatino Linotype"/>
          <w:b/>
          <w:bCs/>
          <w:color w:val="auto"/>
          <w:sz w:val="22"/>
          <w:szCs w:val="22"/>
          <w:lang w:eastAsia="es-ES"/>
        </w:rPr>
        <w:t>. Respuesta</w:t>
      </w:r>
      <w:r w:rsidR="00EC6C06" w:rsidRPr="00093717">
        <w:rPr>
          <w:rFonts w:ascii="Palatino Linotype" w:eastAsia="Times New Roman" w:hAnsi="Palatino Linotype"/>
          <w:b/>
          <w:bCs/>
          <w:color w:val="auto"/>
          <w:sz w:val="22"/>
          <w:szCs w:val="22"/>
          <w:lang w:eastAsia="es-ES"/>
        </w:rPr>
        <w:t xml:space="preserve"> del Sujeto Obligado</w:t>
      </w:r>
      <w:bookmarkEnd w:id="2"/>
    </w:p>
    <w:p w14:paraId="07679F90" w14:textId="77777777" w:rsidR="007A16A9" w:rsidRPr="00361B01" w:rsidRDefault="007A16A9" w:rsidP="0078724B">
      <w:pPr>
        <w:spacing w:after="0" w:line="360" w:lineRule="auto"/>
        <w:contextualSpacing/>
        <w:rPr>
          <w:rFonts w:eastAsia="Calibri" w:cs="Tahoma"/>
          <w:b/>
          <w:bCs/>
          <w:color w:val="auto"/>
        </w:rPr>
      </w:pPr>
    </w:p>
    <w:p w14:paraId="2D60FF07" w14:textId="583BABAD" w:rsidR="007A16A9" w:rsidRPr="00361B01" w:rsidRDefault="007A16A9" w:rsidP="0078724B">
      <w:pPr>
        <w:autoSpaceDE w:val="0"/>
        <w:autoSpaceDN w:val="0"/>
        <w:adjustRightInd w:val="0"/>
        <w:spacing w:after="0" w:line="360" w:lineRule="auto"/>
        <w:contextualSpacing/>
        <w:rPr>
          <w:rFonts w:eastAsia="Calibri" w:cs="Tahoma"/>
          <w:color w:val="auto"/>
          <w:lang w:val="es-ES"/>
        </w:rPr>
      </w:pPr>
      <w:r w:rsidRPr="00361B01">
        <w:rPr>
          <w:rFonts w:eastAsia="Calibri" w:cs="Tahoma"/>
          <w:color w:val="auto"/>
        </w:rPr>
        <w:t xml:space="preserve">De conformidad con el artículo 163, párrafo primero de la Ley de Transparencia y Acceso a la Información Pública del Estado de México y Municipios, el Sujeto Obligado debió dar contestación a la solicitud de acceso a la información; sin embargo, de las constancias que obran en el expediente electrónico del </w:t>
      </w:r>
      <w:r w:rsidRPr="00361B01">
        <w:rPr>
          <w:rFonts w:eastAsia="Calibri" w:cs="Tahoma"/>
          <w:color w:val="auto"/>
          <w:lang w:val="es-ES"/>
        </w:rPr>
        <w:t xml:space="preserve">Sistema de Acceso a la Información Mexiquense (SAIMEX), se advierte que el </w:t>
      </w:r>
      <w:r w:rsidR="00361B01" w:rsidRPr="00361B01">
        <w:rPr>
          <w:rFonts w:cs="Tahoma"/>
          <w:b/>
          <w:bCs/>
          <w:color w:val="auto"/>
        </w:rPr>
        <w:t>Sistema Municipal para el Desarrollo Integral de la Familia de Villa del Carbón</w:t>
      </w:r>
      <w:r w:rsidRPr="00361B01">
        <w:rPr>
          <w:rFonts w:eastAsia="Calibri" w:cs="Tahoma"/>
          <w:color w:val="auto"/>
        </w:rPr>
        <w:t>,</w:t>
      </w:r>
      <w:r w:rsidRPr="00361B01">
        <w:rPr>
          <w:rFonts w:eastAsia="Calibri" w:cs="Tahoma"/>
          <w:bCs/>
          <w:color w:val="auto"/>
        </w:rPr>
        <w:t xml:space="preserve"> omitió dar respuesta a la solicitud de información, por lo que </w:t>
      </w:r>
      <w:r w:rsidRPr="00361B01">
        <w:rPr>
          <w:rFonts w:eastAsia="Calibri" w:cs="Tahoma"/>
          <w:b/>
          <w:color w:val="auto"/>
        </w:rPr>
        <w:t xml:space="preserve">se configura la </w:t>
      </w:r>
      <w:r w:rsidRPr="00361B01">
        <w:rPr>
          <w:rFonts w:eastAsia="Calibri" w:cs="Tahoma"/>
          <w:b/>
          <w:color w:val="auto"/>
          <w:lang w:val="es-ES"/>
        </w:rPr>
        <w:t>negativa ficta</w:t>
      </w:r>
      <w:r w:rsidRPr="00361B01">
        <w:rPr>
          <w:rFonts w:eastAsia="Calibri" w:cs="Tahoma"/>
          <w:color w:val="auto"/>
          <w:lang w:val="es-ES"/>
        </w:rPr>
        <w:t xml:space="preserve"> a entregar información, prevista en los artículos 166, párrafo cuarto y 178, párrafo segundo, de la Ley de Transparencia y Acceso a la Información Pública del Estado de México y Municipios.</w:t>
      </w:r>
    </w:p>
    <w:p w14:paraId="7D246D5B" w14:textId="77777777" w:rsidR="007A16A9" w:rsidRPr="00361B01" w:rsidRDefault="007A16A9" w:rsidP="0078724B">
      <w:pPr>
        <w:autoSpaceDE w:val="0"/>
        <w:autoSpaceDN w:val="0"/>
        <w:adjustRightInd w:val="0"/>
        <w:spacing w:after="0" w:line="360" w:lineRule="auto"/>
        <w:contextualSpacing/>
        <w:rPr>
          <w:rFonts w:eastAsia="Calibri" w:cs="Tahoma"/>
          <w:color w:val="FF0000"/>
          <w:lang w:val="es-ES"/>
        </w:rPr>
      </w:pPr>
    </w:p>
    <w:p w14:paraId="798436A3" w14:textId="3F9BA4EF" w:rsidR="007A16A9" w:rsidRPr="00D3015D" w:rsidRDefault="00ED70AD" w:rsidP="0078724B">
      <w:pPr>
        <w:pStyle w:val="Ttulo1"/>
        <w:spacing w:before="0" w:line="360" w:lineRule="auto"/>
        <w:rPr>
          <w:rFonts w:ascii="Palatino Linotype" w:eastAsia="Calibri" w:hAnsi="Palatino Linotype"/>
          <w:b/>
          <w:bCs/>
          <w:color w:val="auto"/>
          <w:sz w:val="22"/>
          <w:szCs w:val="22"/>
        </w:rPr>
      </w:pPr>
      <w:bookmarkStart w:id="3" w:name="_Toc192778058"/>
      <w:r w:rsidRPr="00D3015D">
        <w:rPr>
          <w:rFonts w:ascii="Palatino Linotype" w:eastAsia="Calibri" w:hAnsi="Palatino Linotype"/>
          <w:b/>
          <w:bCs/>
          <w:color w:val="auto"/>
          <w:sz w:val="22"/>
          <w:szCs w:val="22"/>
        </w:rPr>
        <w:t>I</w:t>
      </w:r>
      <w:r w:rsidR="00F92A25" w:rsidRPr="00D3015D">
        <w:rPr>
          <w:rFonts w:ascii="Palatino Linotype" w:eastAsia="Calibri" w:hAnsi="Palatino Linotype"/>
          <w:b/>
          <w:bCs/>
          <w:color w:val="auto"/>
          <w:sz w:val="22"/>
          <w:szCs w:val="22"/>
        </w:rPr>
        <w:t>II</w:t>
      </w:r>
      <w:r w:rsidR="007A16A9" w:rsidRPr="00D3015D">
        <w:rPr>
          <w:rFonts w:ascii="Palatino Linotype" w:eastAsia="Calibri" w:hAnsi="Palatino Linotype"/>
          <w:b/>
          <w:bCs/>
          <w:color w:val="auto"/>
          <w:sz w:val="22"/>
          <w:szCs w:val="22"/>
        </w:rPr>
        <w:t>. Interpo</w:t>
      </w:r>
      <w:r w:rsidR="00EC6C06" w:rsidRPr="00D3015D">
        <w:rPr>
          <w:rFonts w:ascii="Palatino Linotype" w:eastAsia="Calibri" w:hAnsi="Palatino Linotype"/>
          <w:b/>
          <w:bCs/>
          <w:color w:val="auto"/>
          <w:sz w:val="22"/>
          <w:szCs w:val="22"/>
        </w:rPr>
        <w:t>sición del Recurso de Revisión</w:t>
      </w:r>
      <w:bookmarkEnd w:id="3"/>
    </w:p>
    <w:p w14:paraId="33AFFBED" w14:textId="77777777" w:rsidR="00E7170C" w:rsidRPr="00361B01" w:rsidRDefault="00E7170C" w:rsidP="0078724B">
      <w:pPr>
        <w:autoSpaceDE w:val="0"/>
        <w:autoSpaceDN w:val="0"/>
        <w:adjustRightInd w:val="0"/>
        <w:spacing w:after="0" w:line="360" w:lineRule="auto"/>
        <w:rPr>
          <w:rFonts w:eastAsia="Calibri" w:cs="Tahoma"/>
          <w:color w:val="FF0000"/>
          <w:lang w:val="es-ES"/>
        </w:rPr>
      </w:pPr>
    </w:p>
    <w:p w14:paraId="33C458E5" w14:textId="14DFD2EE" w:rsidR="00051642" w:rsidRPr="00361B01" w:rsidRDefault="00051642" w:rsidP="0078724B">
      <w:pPr>
        <w:spacing w:after="0" w:line="360" w:lineRule="auto"/>
        <w:rPr>
          <w:rFonts w:eastAsia="Times New Roman" w:cs="Tahoma"/>
          <w:bCs/>
          <w:color w:val="FF0000"/>
          <w:lang w:val="es-ES" w:eastAsia="es-ES"/>
        </w:rPr>
      </w:pPr>
      <w:r w:rsidRPr="007F2BD5">
        <w:rPr>
          <w:rFonts w:eastAsia="Times New Roman" w:cs="Tahoma"/>
          <w:bCs/>
          <w:color w:val="auto"/>
          <w:lang w:val="es-ES" w:eastAsia="es-ES"/>
        </w:rPr>
        <w:t xml:space="preserve">Con fecha </w:t>
      </w:r>
      <w:r w:rsidR="007F2BD5" w:rsidRPr="007F2BD5">
        <w:rPr>
          <w:rFonts w:eastAsia="Times New Roman" w:cs="Tahoma"/>
          <w:bCs/>
          <w:color w:val="auto"/>
          <w:lang w:val="es-ES" w:eastAsia="es-ES"/>
        </w:rPr>
        <w:t xml:space="preserve">doce de febrero de dos mil veinticinco, </w:t>
      </w:r>
      <w:r w:rsidRPr="007F2BD5">
        <w:rPr>
          <w:rFonts w:eastAsia="Times New Roman" w:cs="Tahoma"/>
          <w:bCs/>
          <w:color w:val="auto"/>
          <w:lang w:eastAsia="es-ES"/>
        </w:rPr>
        <w:t xml:space="preserve">se recibió en este Instituto, a través del </w:t>
      </w:r>
      <w:r w:rsidRPr="007F2BD5">
        <w:rPr>
          <w:rFonts w:eastAsia="Times New Roman" w:cs="Tahoma"/>
          <w:bCs/>
          <w:color w:val="auto"/>
          <w:lang w:val="es-ES" w:eastAsia="es-ES"/>
        </w:rPr>
        <w:t>Sistema de Acceso a la Información Mexiquense (SAIMEX)</w:t>
      </w:r>
      <w:r w:rsidRPr="007F2BD5">
        <w:rPr>
          <w:rFonts w:eastAsia="Times New Roman" w:cs="Tahoma"/>
          <w:bCs/>
          <w:color w:val="auto"/>
          <w:lang w:eastAsia="es-ES"/>
        </w:rPr>
        <w:t xml:space="preserve">, </w:t>
      </w:r>
      <w:r w:rsidR="001D70CD" w:rsidRPr="007F2BD5">
        <w:rPr>
          <w:rFonts w:eastAsia="Times New Roman" w:cs="Tahoma"/>
          <w:bCs/>
          <w:color w:val="auto"/>
          <w:lang w:eastAsia="es-ES"/>
        </w:rPr>
        <w:t>R</w:t>
      </w:r>
      <w:r w:rsidRPr="007F2BD5">
        <w:rPr>
          <w:rFonts w:eastAsia="Times New Roman" w:cs="Tahoma"/>
          <w:bCs/>
          <w:color w:val="auto"/>
          <w:lang w:eastAsia="es-ES"/>
        </w:rPr>
        <w:t>ecurso de Revisión interpuesto por la parte Recurrente</w:t>
      </w:r>
      <w:r w:rsidR="005369D0" w:rsidRPr="007F2BD5">
        <w:rPr>
          <w:rFonts w:eastAsia="Times New Roman" w:cs="Tahoma"/>
          <w:bCs/>
          <w:color w:val="auto"/>
          <w:lang w:eastAsia="es-ES"/>
        </w:rPr>
        <w:t>,</w:t>
      </w:r>
      <w:r w:rsidRPr="007F2BD5">
        <w:rPr>
          <w:rFonts w:eastAsia="Times New Roman" w:cs="Tahoma"/>
          <w:bCs/>
          <w:color w:val="auto"/>
          <w:lang w:eastAsia="es-ES"/>
        </w:rPr>
        <w:t xml:space="preserve"> en contra de la falta de respuesta del Sujeto Obligad</w:t>
      </w:r>
      <w:r w:rsidR="00BC7AC2" w:rsidRPr="007F2BD5">
        <w:rPr>
          <w:rFonts w:eastAsia="Times New Roman" w:cs="Tahoma"/>
          <w:bCs/>
          <w:color w:val="auto"/>
          <w:lang w:eastAsia="es-ES"/>
        </w:rPr>
        <w:t>o</w:t>
      </w:r>
      <w:r w:rsidR="00CF746C" w:rsidRPr="007F2BD5">
        <w:rPr>
          <w:rFonts w:eastAsia="Times New Roman" w:cs="Tahoma"/>
          <w:bCs/>
          <w:color w:val="auto"/>
          <w:lang w:eastAsia="es-ES"/>
        </w:rPr>
        <w:t xml:space="preserve">, </w:t>
      </w:r>
      <w:r w:rsidRPr="007F2BD5">
        <w:rPr>
          <w:rFonts w:eastAsia="Times New Roman" w:cs="Tahoma"/>
          <w:bCs/>
          <w:color w:val="auto"/>
          <w:lang w:eastAsia="es-ES"/>
        </w:rPr>
        <w:t>en los siguientes términos:</w:t>
      </w:r>
    </w:p>
    <w:p w14:paraId="352FDC81" w14:textId="77777777" w:rsidR="00715AF1" w:rsidRPr="00361B01" w:rsidRDefault="00715AF1" w:rsidP="0078724B">
      <w:pPr>
        <w:spacing w:after="0" w:line="360" w:lineRule="auto"/>
        <w:rPr>
          <w:rFonts w:eastAsia="Times New Roman" w:cs="Tahoma"/>
          <w:bCs/>
          <w:color w:val="FF0000"/>
          <w:lang w:eastAsia="es-ES"/>
        </w:rPr>
      </w:pPr>
    </w:p>
    <w:p w14:paraId="14508806" w14:textId="7FFA1F8B" w:rsidR="002A2C08" w:rsidRPr="007F2BD5" w:rsidRDefault="007A16A9" w:rsidP="0078724B">
      <w:pPr>
        <w:spacing w:after="0" w:line="360" w:lineRule="auto"/>
        <w:ind w:left="567" w:right="567"/>
        <w:rPr>
          <w:rFonts w:eastAsia="Times New Roman" w:cs="Tahoma"/>
          <w:b/>
          <w:bCs/>
          <w:i/>
          <w:color w:val="auto"/>
          <w:sz w:val="20"/>
          <w:szCs w:val="20"/>
          <w:lang w:eastAsia="es-ES"/>
        </w:rPr>
      </w:pPr>
      <w:r w:rsidRPr="007F2BD5">
        <w:rPr>
          <w:rFonts w:eastAsia="Times New Roman" w:cs="Tahoma"/>
          <w:b/>
          <w:bCs/>
          <w:i/>
          <w:color w:val="auto"/>
          <w:sz w:val="20"/>
          <w:szCs w:val="20"/>
          <w:lang w:eastAsia="es-ES"/>
        </w:rPr>
        <w:t>“</w:t>
      </w:r>
      <w:r w:rsidR="002A2C08" w:rsidRPr="007F2BD5">
        <w:rPr>
          <w:rFonts w:eastAsia="Times New Roman" w:cs="Tahoma"/>
          <w:b/>
          <w:bCs/>
          <w:i/>
          <w:color w:val="auto"/>
          <w:sz w:val="20"/>
          <w:szCs w:val="20"/>
          <w:lang w:eastAsia="es-ES"/>
        </w:rPr>
        <w:t>ACTO IMPUGNADO</w:t>
      </w:r>
    </w:p>
    <w:p w14:paraId="531EDF53" w14:textId="38381118" w:rsidR="002A2C08" w:rsidRPr="007F2BD5" w:rsidRDefault="007F2BD5" w:rsidP="0078724B">
      <w:pPr>
        <w:spacing w:after="0" w:line="360" w:lineRule="auto"/>
        <w:ind w:left="567" w:right="567"/>
        <w:rPr>
          <w:rFonts w:eastAsia="Times New Roman" w:cs="Tahoma"/>
          <w:bCs/>
          <w:i/>
          <w:color w:val="auto"/>
          <w:sz w:val="20"/>
          <w:szCs w:val="20"/>
          <w:lang w:eastAsia="es-ES"/>
        </w:rPr>
      </w:pPr>
      <w:r w:rsidRPr="007F2BD5">
        <w:rPr>
          <w:rFonts w:eastAsia="Times New Roman" w:cs="Tahoma"/>
          <w:bCs/>
          <w:i/>
          <w:color w:val="auto"/>
          <w:sz w:val="20"/>
          <w:szCs w:val="20"/>
          <w:lang w:eastAsia="es-ES"/>
        </w:rPr>
        <w:t>EL SUJETO OBLIGADO NO HACE ENTREGA DE LA INFORMACION SOLICITADA</w:t>
      </w:r>
      <w:r w:rsidR="007A16A9" w:rsidRPr="007F2BD5">
        <w:rPr>
          <w:rFonts w:eastAsia="Times New Roman" w:cs="Tahoma"/>
          <w:bCs/>
          <w:i/>
          <w:color w:val="auto"/>
          <w:sz w:val="20"/>
          <w:szCs w:val="20"/>
          <w:lang w:eastAsia="es-ES"/>
        </w:rPr>
        <w:t xml:space="preserve">” </w:t>
      </w:r>
      <w:r w:rsidR="002A2C08" w:rsidRPr="007F2BD5">
        <w:rPr>
          <w:rFonts w:eastAsia="Times New Roman" w:cs="Tahoma"/>
          <w:bCs/>
          <w:i/>
          <w:color w:val="auto"/>
          <w:sz w:val="20"/>
          <w:szCs w:val="20"/>
          <w:lang w:eastAsia="es-ES"/>
        </w:rPr>
        <w:t>(Sic.)</w:t>
      </w:r>
    </w:p>
    <w:p w14:paraId="414B7BE3" w14:textId="77777777" w:rsidR="001D70CD" w:rsidRPr="00361B01" w:rsidRDefault="001D70CD" w:rsidP="0078724B">
      <w:pPr>
        <w:spacing w:after="0" w:line="360" w:lineRule="auto"/>
        <w:ind w:left="567" w:right="567"/>
        <w:rPr>
          <w:rFonts w:eastAsia="Times New Roman" w:cs="Tahoma"/>
          <w:bCs/>
          <w:i/>
          <w:color w:val="FF0000"/>
          <w:sz w:val="20"/>
          <w:szCs w:val="20"/>
          <w:lang w:eastAsia="es-ES"/>
        </w:rPr>
      </w:pPr>
    </w:p>
    <w:p w14:paraId="626A4CFD" w14:textId="42D8F513" w:rsidR="002A2C08" w:rsidRPr="007F2BD5" w:rsidRDefault="007A16A9" w:rsidP="0078724B">
      <w:pPr>
        <w:spacing w:after="0" w:line="360" w:lineRule="auto"/>
        <w:ind w:left="567" w:right="567"/>
        <w:rPr>
          <w:rFonts w:eastAsia="Times New Roman" w:cs="Tahoma"/>
          <w:b/>
          <w:bCs/>
          <w:i/>
          <w:color w:val="auto"/>
          <w:sz w:val="20"/>
          <w:szCs w:val="20"/>
          <w:lang w:eastAsia="es-ES"/>
        </w:rPr>
      </w:pPr>
      <w:r w:rsidRPr="007F2BD5">
        <w:rPr>
          <w:rFonts w:eastAsia="Times New Roman" w:cs="Tahoma"/>
          <w:b/>
          <w:bCs/>
          <w:i/>
          <w:color w:val="auto"/>
          <w:sz w:val="20"/>
          <w:szCs w:val="20"/>
          <w:lang w:eastAsia="es-ES"/>
        </w:rPr>
        <w:t>“</w:t>
      </w:r>
      <w:r w:rsidR="002A2C08" w:rsidRPr="007F2BD5">
        <w:rPr>
          <w:rFonts w:eastAsia="Times New Roman" w:cs="Tahoma"/>
          <w:b/>
          <w:bCs/>
          <w:i/>
          <w:color w:val="auto"/>
          <w:sz w:val="20"/>
          <w:szCs w:val="20"/>
          <w:lang w:eastAsia="es-ES"/>
        </w:rPr>
        <w:t>RAZONES O MOTIVOS DE LA INCONFORMIDAD</w:t>
      </w:r>
    </w:p>
    <w:p w14:paraId="23187DF3" w14:textId="676DD6EE" w:rsidR="002A2C08" w:rsidRPr="007F2BD5" w:rsidRDefault="007F2BD5" w:rsidP="0078724B">
      <w:pPr>
        <w:spacing w:after="0" w:line="360" w:lineRule="auto"/>
        <w:ind w:left="567" w:right="567"/>
        <w:rPr>
          <w:rFonts w:eastAsia="Times New Roman" w:cs="Tahoma"/>
          <w:bCs/>
          <w:i/>
          <w:color w:val="auto"/>
          <w:sz w:val="20"/>
          <w:szCs w:val="20"/>
          <w:lang w:eastAsia="es-ES"/>
        </w:rPr>
      </w:pPr>
      <w:r w:rsidRPr="007F2BD5">
        <w:rPr>
          <w:rFonts w:eastAsia="Times New Roman" w:cs="Tahoma"/>
          <w:bCs/>
          <w:i/>
          <w:color w:val="auto"/>
          <w:sz w:val="20"/>
          <w:szCs w:val="20"/>
          <w:lang w:eastAsia="es-ES"/>
        </w:rPr>
        <w:t>LA INFOMACION NO SE ENCUENTRA A LA VISTA</w:t>
      </w:r>
      <w:r w:rsidR="007A16A9" w:rsidRPr="007F2BD5">
        <w:rPr>
          <w:rFonts w:eastAsia="Times New Roman" w:cs="Tahoma"/>
          <w:bCs/>
          <w:i/>
          <w:color w:val="auto"/>
          <w:sz w:val="20"/>
          <w:szCs w:val="20"/>
          <w:lang w:eastAsia="es-ES"/>
        </w:rPr>
        <w:t>”</w:t>
      </w:r>
      <w:r w:rsidR="00040084" w:rsidRPr="007F2BD5">
        <w:rPr>
          <w:rFonts w:eastAsia="Times New Roman" w:cs="Tahoma"/>
          <w:bCs/>
          <w:i/>
          <w:color w:val="auto"/>
          <w:sz w:val="20"/>
          <w:szCs w:val="20"/>
          <w:lang w:eastAsia="es-ES"/>
        </w:rPr>
        <w:t xml:space="preserve"> </w:t>
      </w:r>
      <w:r w:rsidR="002A2C08" w:rsidRPr="007F2BD5">
        <w:rPr>
          <w:rFonts w:eastAsia="Times New Roman" w:cs="Tahoma"/>
          <w:bCs/>
          <w:i/>
          <w:color w:val="auto"/>
          <w:sz w:val="20"/>
          <w:szCs w:val="20"/>
          <w:lang w:eastAsia="es-ES"/>
        </w:rPr>
        <w:t>(Sic)</w:t>
      </w:r>
    </w:p>
    <w:p w14:paraId="64AA6C07" w14:textId="77777777" w:rsidR="00D55C2B" w:rsidRPr="00361B01" w:rsidRDefault="00D55C2B" w:rsidP="0078724B">
      <w:pPr>
        <w:spacing w:after="0" w:line="360" w:lineRule="auto"/>
        <w:rPr>
          <w:rFonts w:eastAsia="Calibri" w:cs="Tahoma"/>
          <w:b/>
          <w:color w:val="FF0000"/>
        </w:rPr>
      </w:pPr>
    </w:p>
    <w:p w14:paraId="35300BB0" w14:textId="6C11099B" w:rsidR="00051642" w:rsidRPr="0030792C" w:rsidRDefault="00F92A25" w:rsidP="0078724B">
      <w:pPr>
        <w:pStyle w:val="Ttulo1"/>
        <w:spacing w:before="0" w:line="360" w:lineRule="auto"/>
        <w:rPr>
          <w:rFonts w:ascii="Palatino Linotype" w:eastAsia="Batang" w:hAnsi="Palatino Linotype"/>
          <w:b/>
          <w:bCs/>
          <w:color w:val="auto"/>
          <w:sz w:val="22"/>
          <w:szCs w:val="22"/>
        </w:rPr>
      </w:pPr>
      <w:bookmarkStart w:id="4" w:name="_Toc192778059"/>
      <w:r w:rsidRPr="0030792C">
        <w:rPr>
          <w:rFonts w:ascii="Palatino Linotype" w:eastAsia="Calibri" w:hAnsi="Palatino Linotype"/>
          <w:b/>
          <w:bCs/>
          <w:color w:val="auto"/>
          <w:sz w:val="22"/>
          <w:szCs w:val="22"/>
        </w:rPr>
        <w:t>I</w:t>
      </w:r>
      <w:r w:rsidR="007A16A9" w:rsidRPr="0030792C">
        <w:rPr>
          <w:rFonts w:ascii="Palatino Linotype" w:eastAsia="Calibri" w:hAnsi="Palatino Linotype"/>
          <w:b/>
          <w:bCs/>
          <w:color w:val="auto"/>
          <w:sz w:val="22"/>
          <w:szCs w:val="22"/>
        </w:rPr>
        <w:t>V</w:t>
      </w:r>
      <w:r w:rsidR="00051642" w:rsidRPr="0030792C">
        <w:rPr>
          <w:rFonts w:ascii="Palatino Linotype" w:eastAsia="Calibri" w:hAnsi="Palatino Linotype"/>
          <w:b/>
          <w:bCs/>
          <w:color w:val="auto"/>
          <w:sz w:val="22"/>
          <w:szCs w:val="22"/>
        </w:rPr>
        <w:t xml:space="preserve">. </w:t>
      </w:r>
      <w:r w:rsidR="00051642" w:rsidRPr="0030792C">
        <w:rPr>
          <w:rFonts w:ascii="Palatino Linotype" w:eastAsia="Batang" w:hAnsi="Palatino Linotype"/>
          <w:b/>
          <w:bCs/>
          <w:color w:val="auto"/>
          <w:sz w:val="22"/>
          <w:szCs w:val="22"/>
        </w:rPr>
        <w:t>Trámite del Recurso de Revisión</w:t>
      </w:r>
      <w:r w:rsidR="00051642" w:rsidRPr="0030792C">
        <w:rPr>
          <w:rFonts w:ascii="Palatino Linotype" w:eastAsia="Calibri" w:hAnsi="Palatino Linotype"/>
          <w:b/>
          <w:bCs/>
          <w:color w:val="auto"/>
          <w:sz w:val="22"/>
          <w:szCs w:val="22"/>
        </w:rPr>
        <w:t xml:space="preserve"> </w:t>
      </w:r>
      <w:r w:rsidR="00EC6C06" w:rsidRPr="0030792C">
        <w:rPr>
          <w:rFonts w:ascii="Palatino Linotype" w:eastAsia="Batang" w:hAnsi="Palatino Linotype"/>
          <w:b/>
          <w:bCs/>
          <w:color w:val="auto"/>
          <w:sz w:val="22"/>
          <w:szCs w:val="22"/>
        </w:rPr>
        <w:t>ante este Instituto</w:t>
      </w:r>
      <w:bookmarkEnd w:id="4"/>
    </w:p>
    <w:p w14:paraId="0F3D3E8D" w14:textId="77777777" w:rsidR="00051642" w:rsidRPr="003D4A21" w:rsidRDefault="00051642" w:rsidP="0078724B">
      <w:pPr>
        <w:spacing w:after="0" w:line="360" w:lineRule="auto"/>
        <w:rPr>
          <w:rFonts w:eastAsia="Batang" w:cs="Tahoma"/>
          <w:bCs/>
          <w:color w:val="auto"/>
        </w:rPr>
      </w:pPr>
    </w:p>
    <w:p w14:paraId="3B955202" w14:textId="7D360BD9" w:rsidR="00051642" w:rsidRPr="003D4A21" w:rsidRDefault="00051642" w:rsidP="0078724B">
      <w:pPr>
        <w:spacing w:after="0" w:line="360" w:lineRule="auto"/>
        <w:rPr>
          <w:rFonts w:eastAsia="Batang" w:cs="Tahoma"/>
          <w:bCs/>
          <w:color w:val="auto"/>
        </w:rPr>
      </w:pPr>
      <w:bookmarkStart w:id="5" w:name="_Toc192778060"/>
      <w:r w:rsidRPr="0030792C">
        <w:rPr>
          <w:rStyle w:val="Ttulo2Car"/>
          <w:rFonts w:ascii="Palatino Linotype" w:hAnsi="Palatino Linotype"/>
          <w:b/>
          <w:bCs/>
          <w:color w:val="auto"/>
          <w:sz w:val="22"/>
          <w:szCs w:val="22"/>
        </w:rPr>
        <w:t>a) Turno del Medio de Impugnación</w:t>
      </w:r>
      <w:bookmarkEnd w:id="5"/>
      <w:r w:rsidRPr="003D4A21">
        <w:rPr>
          <w:rFonts w:eastAsia="Batang" w:cs="Tahoma"/>
          <w:b/>
          <w:bCs/>
          <w:color w:val="auto"/>
        </w:rPr>
        <w:t xml:space="preserve">. </w:t>
      </w:r>
      <w:r w:rsidRPr="003D4A21">
        <w:rPr>
          <w:rFonts w:eastAsia="Batang" w:cs="Tahoma"/>
          <w:bCs/>
          <w:color w:val="auto"/>
        </w:rPr>
        <w:t xml:space="preserve">El </w:t>
      </w:r>
      <w:r w:rsidR="003D4A21" w:rsidRPr="003D4A21">
        <w:rPr>
          <w:rFonts w:eastAsia="Times New Roman" w:cs="Tahoma"/>
          <w:bCs/>
          <w:color w:val="auto"/>
          <w:lang w:val="es-ES" w:eastAsia="es-ES"/>
        </w:rPr>
        <w:t>doce de febrero de dos mil veinticinco</w:t>
      </w:r>
      <w:r w:rsidRPr="003D4A21">
        <w:rPr>
          <w:rFonts w:eastAsia="Batang" w:cs="Tahoma"/>
          <w:bCs/>
          <w:color w:val="auto"/>
        </w:rPr>
        <w:t xml:space="preserve">, el </w:t>
      </w:r>
      <w:r w:rsidRPr="003D4A21">
        <w:rPr>
          <w:rFonts w:eastAsia="Calibri" w:cs="Tahoma"/>
          <w:color w:val="auto"/>
          <w:lang w:val="es-ES"/>
        </w:rPr>
        <w:t>Sistema de Acceso a la Información Mexiquense (SAIMEX),</w:t>
      </w:r>
      <w:r w:rsidRPr="003D4A21">
        <w:rPr>
          <w:rFonts w:eastAsia="Batang" w:cs="Tahoma"/>
          <w:bCs/>
          <w:color w:val="auto"/>
        </w:rPr>
        <w:t xml:space="preserve"> asignó el número de expediente </w:t>
      </w:r>
      <w:r w:rsidR="003D4A21" w:rsidRPr="003D4A21">
        <w:rPr>
          <w:rFonts w:eastAsia="Batang" w:cs="Tahoma"/>
          <w:b/>
          <w:bCs/>
          <w:color w:val="auto"/>
        </w:rPr>
        <w:t>01171</w:t>
      </w:r>
      <w:r w:rsidR="00034982" w:rsidRPr="003D4A21">
        <w:rPr>
          <w:rFonts w:eastAsia="Batang" w:cs="Tahoma"/>
          <w:b/>
          <w:bCs/>
          <w:color w:val="auto"/>
        </w:rPr>
        <w:t>/INFOEM/IP/RR/202</w:t>
      </w:r>
      <w:r w:rsidR="003D4A21" w:rsidRPr="003D4A21">
        <w:rPr>
          <w:rFonts w:eastAsia="Batang" w:cs="Tahoma"/>
          <w:b/>
          <w:bCs/>
          <w:color w:val="auto"/>
        </w:rPr>
        <w:t>5</w:t>
      </w:r>
      <w:r w:rsidRPr="003D4A21">
        <w:rPr>
          <w:rFonts w:eastAsia="Batang" w:cs="Tahoma"/>
          <w:bCs/>
          <w:color w:val="auto"/>
        </w:rPr>
        <w:t>, a</w:t>
      </w:r>
      <w:r w:rsidR="008510F1" w:rsidRPr="003D4A21">
        <w:rPr>
          <w:rFonts w:eastAsia="Batang" w:cs="Tahoma"/>
          <w:bCs/>
          <w:color w:val="auto"/>
        </w:rPr>
        <w:t>l</w:t>
      </w:r>
      <w:r w:rsidR="00DB5D3F" w:rsidRPr="003D4A21">
        <w:rPr>
          <w:rFonts w:eastAsia="Batang" w:cs="Tahoma"/>
          <w:bCs/>
          <w:color w:val="auto"/>
        </w:rPr>
        <w:t xml:space="preserve"> M</w:t>
      </w:r>
      <w:r w:rsidRPr="003D4A21">
        <w:rPr>
          <w:rFonts w:eastAsia="Batang" w:cs="Tahoma"/>
          <w:bCs/>
          <w:color w:val="auto"/>
        </w:rPr>
        <w:t xml:space="preserve">edio de </w:t>
      </w:r>
      <w:r w:rsidR="00DB5D3F" w:rsidRPr="003D4A21">
        <w:rPr>
          <w:rFonts w:eastAsia="Batang" w:cs="Tahoma"/>
          <w:bCs/>
          <w:color w:val="auto"/>
        </w:rPr>
        <w:t>I</w:t>
      </w:r>
      <w:r w:rsidRPr="003D4A21">
        <w:rPr>
          <w:rFonts w:eastAsia="Batang" w:cs="Tahoma"/>
          <w:bCs/>
          <w:color w:val="auto"/>
        </w:rPr>
        <w:t xml:space="preserve">mpugnación que nos ocupa, con base en el sistema aprobado por el Pleno de este Órgano Garante y lo turnó </w:t>
      </w:r>
      <w:r w:rsidR="00382A3B" w:rsidRPr="003D4A21">
        <w:rPr>
          <w:rFonts w:eastAsia="Batang" w:cs="Tahoma"/>
          <w:bCs/>
          <w:color w:val="auto"/>
        </w:rPr>
        <w:t>a</w:t>
      </w:r>
      <w:r w:rsidR="008510F1" w:rsidRPr="003D4A21">
        <w:rPr>
          <w:rFonts w:eastAsia="Batang" w:cs="Tahoma"/>
          <w:bCs/>
          <w:color w:val="auto"/>
        </w:rPr>
        <w:t>l</w:t>
      </w:r>
      <w:r w:rsidR="00382A3B" w:rsidRPr="003D4A21">
        <w:rPr>
          <w:rFonts w:eastAsia="Batang" w:cs="Tahoma"/>
          <w:bCs/>
          <w:color w:val="auto"/>
        </w:rPr>
        <w:t xml:space="preserve"> Comisionado Luis Gustavo Parra Noriega</w:t>
      </w:r>
      <w:r w:rsidRPr="003D4A21">
        <w:rPr>
          <w:rFonts w:eastAsia="Batang" w:cs="Tahoma"/>
          <w:bCs/>
          <w:color w:val="auto"/>
        </w:rPr>
        <w:t>, para los efectos del artículo 185, fracción I de la Ley de Transparencia y Acceso a la Información Pública del Estado de México y Municipios.</w:t>
      </w:r>
    </w:p>
    <w:p w14:paraId="6A77E5B3" w14:textId="77777777" w:rsidR="00051642" w:rsidRPr="00361B01" w:rsidRDefault="00051642" w:rsidP="0078724B">
      <w:pPr>
        <w:spacing w:after="0" w:line="360" w:lineRule="auto"/>
        <w:rPr>
          <w:rFonts w:eastAsia="Batang" w:cs="Tahoma"/>
          <w:bCs/>
          <w:color w:val="FF0000"/>
        </w:rPr>
      </w:pPr>
    </w:p>
    <w:p w14:paraId="14B3EF1A" w14:textId="513A4AEF" w:rsidR="00051642" w:rsidRPr="00462BF4" w:rsidRDefault="00051642" w:rsidP="0078724B">
      <w:pPr>
        <w:spacing w:after="0" w:line="360" w:lineRule="auto"/>
        <w:rPr>
          <w:rFonts w:eastAsia="Batang" w:cs="Tahoma"/>
          <w:bCs/>
          <w:color w:val="auto"/>
        </w:rPr>
      </w:pPr>
      <w:bookmarkStart w:id="6" w:name="_Toc192778061"/>
      <w:r w:rsidRPr="00F76E40">
        <w:rPr>
          <w:rStyle w:val="Ttulo2Car"/>
          <w:rFonts w:ascii="Palatino Linotype" w:hAnsi="Palatino Linotype"/>
          <w:b/>
          <w:bCs/>
          <w:color w:val="auto"/>
          <w:sz w:val="22"/>
          <w:szCs w:val="22"/>
        </w:rPr>
        <w:t xml:space="preserve">b) Admisión </w:t>
      </w:r>
      <w:r w:rsidR="001D70CD" w:rsidRPr="00F76E40">
        <w:rPr>
          <w:rStyle w:val="Ttulo2Car"/>
          <w:rFonts w:ascii="Palatino Linotype" w:hAnsi="Palatino Linotype"/>
          <w:b/>
          <w:bCs/>
          <w:color w:val="auto"/>
          <w:sz w:val="22"/>
          <w:szCs w:val="22"/>
        </w:rPr>
        <w:t>del</w:t>
      </w:r>
      <w:r w:rsidRPr="00F76E40">
        <w:rPr>
          <w:rStyle w:val="Ttulo2Car"/>
          <w:rFonts w:ascii="Palatino Linotype" w:hAnsi="Palatino Linotype"/>
          <w:b/>
          <w:bCs/>
          <w:color w:val="auto"/>
          <w:sz w:val="22"/>
          <w:szCs w:val="22"/>
        </w:rPr>
        <w:t xml:space="preserve"> Recurso de Revisión.</w:t>
      </w:r>
      <w:bookmarkEnd w:id="6"/>
      <w:r w:rsidRPr="00F76E40">
        <w:rPr>
          <w:rFonts w:eastAsia="Times New Roman" w:cs="Tahoma"/>
          <w:b/>
          <w:bCs/>
          <w:color w:val="auto"/>
          <w:lang w:val="es-ES_tradnl" w:eastAsia="es-ES"/>
        </w:rPr>
        <w:t xml:space="preserve"> </w:t>
      </w:r>
      <w:r w:rsidRPr="00462BF4">
        <w:rPr>
          <w:rFonts w:eastAsia="Batang" w:cs="Tahoma"/>
          <w:bCs/>
          <w:color w:val="auto"/>
        </w:rPr>
        <w:t>El</w:t>
      </w:r>
      <w:r w:rsidR="00462BF4" w:rsidRPr="00462BF4">
        <w:rPr>
          <w:rFonts w:eastAsia="Batang" w:cs="Tahoma"/>
          <w:bCs/>
          <w:color w:val="auto"/>
        </w:rPr>
        <w:t xml:space="preserve"> diecisiete de febrero de dos mil veinticinco, </w:t>
      </w:r>
      <w:r w:rsidRPr="00462BF4">
        <w:rPr>
          <w:rFonts w:eastAsia="Times New Roman" w:cs="Tahoma"/>
          <w:bCs/>
          <w:color w:val="auto"/>
          <w:lang w:val="es-ES_tradnl" w:eastAsia="es-ES"/>
        </w:rPr>
        <w:t>se acordó</w:t>
      </w:r>
      <w:r w:rsidR="00DB5D3F" w:rsidRPr="00462BF4">
        <w:rPr>
          <w:rFonts w:eastAsia="Times New Roman" w:cs="Tahoma"/>
          <w:bCs/>
          <w:color w:val="auto"/>
          <w:lang w:val="es-ES_tradnl" w:eastAsia="es-ES"/>
        </w:rPr>
        <w:t xml:space="preserve"> </w:t>
      </w:r>
      <w:r w:rsidRPr="00462BF4">
        <w:rPr>
          <w:rFonts w:eastAsia="Times New Roman" w:cs="Tahoma"/>
          <w:bCs/>
          <w:color w:val="auto"/>
          <w:lang w:val="es-ES_tradnl" w:eastAsia="es-ES"/>
        </w:rPr>
        <w:t>la admisión de</w:t>
      </w:r>
      <w:r w:rsidR="00EE321E" w:rsidRPr="00462BF4">
        <w:rPr>
          <w:rFonts w:eastAsia="Times New Roman" w:cs="Tahoma"/>
          <w:bCs/>
          <w:color w:val="auto"/>
          <w:lang w:val="es-ES_tradnl" w:eastAsia="es-ES"/>
        </w:rPr>
        <w:t>l</w:t>
      </w:r>
      <w:r w:rsidRPr="00462BF4">
        <w:rPr>
          <w:rFonts w:eastAsia="Times New Roman" w:cs="Tahoma"/>
          <w:bCs/>
          <w:color w:val="auto"/>
          <w:lang w:val="es-ES_tradnl" w:eastAsia="es-ES"/>
        </w:rPr>
        <w:t xml:space="preserve"> Recurso de Revisión interpuesto por el Recurrente en contra del Sujeto Obligado, en términos del artículo 185, fracciones I y II de la Ley de Transparencia y Acceso a la Información Pública del Estado de México y Municipios, el cual fue notificado a las partes, </w:t>
      </w:r>
      <w:r w:rsidR="00462BF4" w:rsidRPr="00462BF4">
        <w:rPr>
          <w:rFonts w:eastAsia="Times New Roman" w:cs="Tahoma"/>
          <w:bCs/>
          <w:color w:val="auto"/>
          <w:lang w:val="es-ES_tradnl" w:eastAsia="es-ES"/>
        </w:rPr>
        <w:t>el mismo día</w:t>
      </w:r>
      <w:r w:rsidR="00DB5D3F" w:rsidRPr="00462BF4">
        <w:rPr>
          <w:rFonts w:eastAsia="Times New Roman" w:cs="Tahoma"/>
          <w:bCs/>
          <w:color w:val="auto"/>
          <w:lang w:val="es-ES_tradnl" w:eastAsia="es-ES"/>
        </w:rPr>
        <w:t xml:space="preserve">, </w:t>
      </w:r>
      <w:r w:rsidRPr="00462BF4">
        <w:rPr>
          <w:rFonts w:eastAsia="Times New Roman" w:cs="Tahoma"/>
          <w:bCs/>
          <w:color w:val="auto"/>
          <w:lang w:val="es-ES_tradnl" w:eastAsia="es-ES"/>
        </w:rPr>
        <w:t xml:space="preserve">a través del Sistema de Acceso a la Información Mexiquense (SAIMEX), en el que se les otorgó un plazo de siete días hábiles posteriores a la misma, para que manifestaran lo que a su derecho conviniera y formularan alegatos. </w:t>
      </w:r>
    </w:p>
    <w:p w14:paraId="55E88193" w14:textId="77777777" w:rsidR="00051642" w:rsidRPr="00361B01" w:rsidRDefault="00051642" w:rsidP="0078724B">
      <w:pPr>
        <w:spacing w:after="0" w:line="360" w:lineRule="auto"/>
        <w:rPr>
          <w:rFonts w:cs="Tahoma"/>
          <w:color w:val="FF0000"/>
        </w:rPr>
      </w:pPr>
    </w:p>
    <w:p w14:paraId="6762B383" w14:textId="77777777" w:rsidR="0078724B" w:rsidRDefault="00051642" w:rsidP="0078724B">
      <w:pPr>
        <w:spacing w:after="0" w:line="360" w:lineRule="auto"/>
        <w:rPr>
          <w:rFonts w:cs="Tahoma"/>
          <w:color w:val="auto"/>
          <w:lang w:val="es-ES_tradnl"/>
        </w:rPr>
      </w:pPr>
      <w:bookmarkStart w:id="7" w:name="_Toc192778062"/>
      <w:r w:rsidRPr="0015698B">
        <w:rPr>
          <w:rStyle w:val="Ttulo2Car"/>
          <w:rFonts w:ascii="Palatino Linotype" w:hAnsi="Palatino Linotype"/>
          <w:b/>
          <w:bCs/>
          <w:color w:val="auto"/>
          <w:sz w:val="22"/>
          <w:szCs w:val="22"/>
        </w:rPr>
        <w:t>c) Informe Justificado.</w:t>
      </w:r>
      <w:bookmarkEnd w:id="7"/>
      <w:r w:rsidRPr="0015698B">
        <w:rPr>
          <w:rFonts w:cs="Tahoma"/>
          <w:b/>
          <w:color w:val="auto"/>
          <w:lang w:val="es-ES_tradnl"/>
        </w:rPr>
        <w:t xml:space="preserve"> </w:t>
      </w:r>
      <w:r w:rsidR="007552CE" w:rsidRPr="002B61F7">
        <w:rPr>
          <w:rFonts w:cs="Tahoma"/>
          <w:color w:val="auto"/>
          <w:lang w:val="es-ES_tradnl"/>
        </w:rPr>
        <w:t xml:space="preserve">El </w:t>
      </w:r>
      <w:r w:rsidR="002B61F7" w:rsidRPr="002B61F7">
        <w:rPr>
          <w:rFonts w:cs="Tahoma"/>
          <w:color w:val="auto"/>
          <w:lang w:val="es-ES_tradnl"/>
        </w:rPr>
        <w:t xml:space="preserve">veintiséis de febrero de dos mil veinticinco, </w:t>
      </w:r>
      <w:r w:rsidR="007552CE" w:rsidRPr="002B61F7">
        <w:rPr>
          <w:rFonts w:cs="Tahoma"/>
          <w:color w:val="auto"/>
          <w:lang w:val="es-ES_tradnl"/>
        </w:rPr>
        <w:t>se recibió, a través de</w:t>
      </w:r>
      <w:r w:rsidR="008F73EF" w:rsidRPr="002B61F7">
        <w:rPr>
          <w:rFonts w:cs="Tahoma"/>
          <w:color w:val="auto"/>
          <w:lang w:val="es-ES_tradnl"/>
        </w:rPr>
        <w:t>l</w:t>
      </w:r>
      <w:r w:rsidR="007552CE" w:rsidRPr="002B61F7">
        <w:rPr>
          <w:rFonts w:cs="Tahoma"/>
          <w:color w:val="auto"/>
          <w:lang w:val="es-ES_tradnl"/>
        </w:rPr>
        <w:t xml:space="preserve"> Sistema de Acceso a la Información Mexiquense (SAIMEX), el Informe Justificado del Sujeto Obligado, </w:t>
      </w:r>
      <w:r w:rsidR="00B96198" w:rsidRPr="002B61F7">
        <w:rPr>
          <w:rFonts w:cs="Tahoma"/>
          <w:color w:val="auto"/>
          <w:lang w:val="es-ES_tradnl"/>
        </w:rPr>
        <w:t>por medio de</w:t>
      </w:r>
      <w:r w:rsidR="0078724B">
        <w:rPr>
          <w:rFonts w:cs="Tahoma"/>
          <w:color w:val="auto"/>
          <w:lang w:val="es-ES_tradnl"/>
        </w:rPr>
        <w:t xml:space="preserve"> la digitalización de los siguientes documentos:</w:t>
      </w:r>
    </w:p>
    <w:p w14:paraId="60196466" w14:textId="77777777" w:rsidR="0078724B" w:rsidRDefault="0078724B" w:rsidP="0078724B">
      <w:pPr>
        <w:spacing w:after="0" w:line="360" w:lineRule="auto"/>
        <w:rPr>
          <w:rFonts w:cs="Tahoma"/>
          <w:color w:val="auto"/>
          <w:lang w:val="es-ES_tradnl"/>
        </w:rPr>
      </w:pPr>
    </w:p>
    <w:p w14:paraId="741AFA91" w14:textId="73CAE8D9" w:rsidR="00F16ED4" w:rsidRDefault="0078724B" w:rsidP="0078724B">
      <w:pPr>
        <w:spacing w:after="0" w:line="360" w:lineRule="auto"/>
        <w:rPr>
          <w:rFonts w:cs="Tahoma"/>
          <w:color w:val="auto"/>
          <w:lang w:val="es-ES_tradnl"/>
        </w:rPr>
      </w:pPr>
      <w:r>
        <w:rPr>
          <w:rFonts w:cs="Tahoma"/>
          <w:color w:val="auto"/>
          <w:lang w:val="es-ES_tradnl"/>
        </w:rPr>
        <w:t xml:space="preserve">i) </w:t>
      </w:r>
      <w:r w:rsidR="002B61F7" w:rsidRPr="002B61F7">
        <w:rPr>
          <w:rFonts w:cs="Tahoma"/>
          <w:color w:val="auto"/>
          <w:lang w:val="es-ES_tradnl"/>
        </w:rPr>
        <w:t>Escrito suscrito por el Titular de la Unidad de Transparencia, dirigido al Comisionado Ponente, por medio del cual se menciona lo siguiente:</w:t>
      </w:r>
    </w:p>
    <w:p w14:paraId="3665E439" w14:textId="77777777" w:rsidR="002B61F7" w:rsidRPr="002B61F7" w:rsidRDefault="002B61F7" w:rsidP="0078724B">
      <w:pPr>
        <w:spacing w:after="0" w:line="360" w:lineRule="auto"/>
        <w:rPr>
          <w:rFonts w:cs="Tahoma"/>
          <w:color w:val="auto"/>
          <w:lang w:val="es-ES_tradnl"/>
        </w:rPr>
      </w:pPr>
    </w:p>
    <w:p w14:paraId="35AB3880" w14:textId="2C0232C4" w:rsidR="002B61F7" w:rsidRDefault="002B61F7" w:rsidP="0078724B">
      <w:pPr>
        <w:spacing w:after="0" w:line="360" w:lineRule="auto"/>
        <w:ind w:left="567" w:right="567"/>
        <w:rPr>
          <w:rFonts w:eastAsia="Times New Roman" w:cs="Tahoma"/>
          <w:bCs/>
          <w:i/>
          <w:color w:val="auto"/>
          <w:sz w:val="20"/>
          <w:szCs w:val="20"/>
          <w:lang w:eastAsia="es-ES"/>
        </w:rPr>
      </w:pPr>
      <w:r w:rsidRPr="002B61F7">
        <w:rPr>
          <w:rFonts w:eastAsia="Times New Roman" w:cs="Tahoma"/>
          <w:bCs/>
          <w:i/>
          <w:color w:val="auto"/>
          <w:sz w:val="20"/>
          <w:szCs w:val="20"/>
          <w:lang w:eastAsia="es-ES"/>
        </w:rPr>
        <w:lastRenderedPageBreak/>
        <w:t>“…</w:t>
      </w:r>
      <w:r>
        <w:rPr>
          <w:rFonts w:eastAsia="Times New Roman" w:cs="Tahoma"/>
          <w:bCs/>
          <w:i/>
          <w:color w:val="auto"/>
          <w:sz w:val="20"/>
          <w:szCs w:val="20"/>
          <w:lang w:eastAsia="es-ES"/>
        </w:rPr>
        <w:t xml:space="preserve">Toda vez que la solicitud del recurrente es </w:t>
      </w:r>
      <w:proofErr w:type="spellStart"/>
      <w:r>
        <w:rPr>
          <w:rFonts w:eastAsia="Times New Roman" w:cs="Tahoma"/>
          <w:bCs/>
          <w:i/>
          <w:color w:val="auto"/>
          <w:sz w:val="20"/>
          <w:szCs w:val="20"/>
          <w:lang w:eastAsia="es-ES"/>
        </w:rPr>
        <w:t>legitimo</w:t>
      </w:r>
      <w:proofErr w:type="spellEnd"/>
      <w:r>
        <w:rPr>
          <w:rFonts w:eastAsia="Times New Roman" w:cs="Tahoma"/>
          <w:bCs/>
          <w:i/>
          <w:color w:val="auto"/>
          <w:sz w:val="20"/>
          <w:szCs w:val="20"/>
          <w:lang w:eastAsia="es-ES"/>
        </w:rPr>
        <w:t xml:space="preserve"> de acuerdo con los preceptos constitucionales y también con lo contemplado en la Ley de transparencia y acceso a la información pública del Estado de México y municipios y demás leyes de referencia, hacemos entrega de la información solicitada, en virtud de ya contar con ella, en el entendido de que no fue proporcionada, por su inexistencia, pues toda vez que no había sido generada por el sujeto obligado, por cuestiones presupuestales, al momento de la solicitud.</w:t>
      </w:r>
    </w:p>
    <w:p w14:paraId="33A78669" w14:textId="77777777" w:rsidR="002B61F7" w:rsidRDefault="002B61F7" w:rsidP="0078724B">
      <w:pPr>
        <w:spacing w:after="0" w:line="360" w:lineRule="auto"/>
        <w:ind w:left="567" w:right="567"/>
        <w:rPr>
          <w:rFonts w:eastAsia="Times New Roman" w:cs="Tahoma"/>
          <w:bCs/>
          <w:i/>
          <w:color w:val="auto"/>
          <w:sz w:val="20"/>
          <w:szCs w:val="20"/>
          <w:lang w:eastAsia="es-ES"/>
        </w:rPr>
      </w:pPr>
    </w:p>
    <w:p w14:paraId="65129B4B" w14:textId="03DABC24" w:rsidR="002B61F7" w:rsidRDefault="002B61F7" w:rsidP="0078724B">
      <w:pPr>
        <w:spacing w:after="0" w:line="360" w:lineRule="auto"/>
        <w:ind w:left="567" w:right="567"/>
        <w:rPr>
          <w:rFonts w:eastAsia="Times New Roman" w:cs="Tahoma"/>
          <w:bCs/>
          <w:i/>
          <w:color w:val="auto"/>
          <w:sz w:val="20"/>
          <w:szCs w:val="20"/>
          <w:lang w:eastAsia="es-ES"/>
        </w:rPr>
      </w:pPr>
      <w:r>
        <w:rPr>
          <w:rFonts w:eastAsia="Times New Roman" w:cs="Tahoma"/>
          <w:bCs/>
          <w:i/>
          <w:color w:val="auto"/>
          <w:sz w:val="20"/>
          <w:szCs w:val="20"/>
          <w:lang w:eastAsia="es-ES"/>
        </w:rPr>
        <w:t xml:space="preserve">Por consiguiente, se entrega la información solicitada, dando con esto cuenta del recurso de revisión No. 01171/INFOEM/IP/RR/2025, en archivo </w:t>
      </w:r>
      <w:proofErr w:type="spellStart"/>
      <w:r>
        <w:rPr>
          <w:rFonts w:eastAsia="Times New Roman" w:cs="Tahoma"/>
          <w:bCs/>
          <w:i/>
          <w:color w:val="auto"/>
          <w:sz w:val="20"/>
          <w:szCs w:val="20"/>
          <w:lang w:eastAsia="es-ES"/>
        </w:rPr>
        <w:t>pdf</w:t>
      </w:r>
      <w:proofErr w:type="spellEnd"/>
      <w:r>
        <w:rPr>
          <w:rFonts w:eastAsia="Times New Roman" w:cs="Tahoma"/>
          <w:bCs/>
          <w:i/>
          <w:color w:val="auto"/>
          <w:sz w:val="20"/>
          <w:szCs w:val="20"/>
          <w:lang w:eastAsia="es-ES"/>
        </w:rPr>
        <w:t xml:space="preserve"> adjunto.</w:t>
      </w:r>
    </w:p>
    <w:p w14:paraId="69669AE4" w14:textId="77777777" w:rsidR="002B61F7" w:rsidRDefault="002B61F7" w:rsidP="0078724B">
      <w:pPr>
        <w:spacing w:after="0" w:line="360" w:lineRule="auto"/>
        <w:ind w:left="567" w:right="567"/>
        <w:rPr>
          <w:rFonts w:eastAsia="Times New Roman" w:cs="Tahoma"/>
          <w:bCs/>
          <w:i/>
          <w:color w:val="auto"/>
          <w:sz w:val="20"/>
          <w:szCs w:val="20"/>
          <w:lang w:eastAsia="es-ES"/>
        </w:rPr>
      </w:pPr>
    </w:p>
    <w:p w14:paraId="4C0896B4" w14:textId="6DC20D9D" w:rsidR="00B4232F" w:rsidRDefault="00500CDF" w:rsidP="0078724B">
      <w:pPr>
        <w:spacing w:after="0" w:line="360" w:lineRule="auto"/>
        <w:ind w:left="567" w:right="567"/>
        <w:jc w:val="center"/>
        <w:rPr>
          <w:rFonts w:eastAsia="Times New Roman" w:cs="Tahoma"/>
          <w:bCs/>
          <w:i/>
          <w:color w:val="auto"/>
          <w:sz w:val="20"/>
          <w:szCs w:val="20"/>
          <w:lang w:eastAsia="es-ES"/>
        </w:rPr>
      </w:pPr>
      <w:r>
        <w:rPr>
          <w:rFonts w:eastAsia="Times New Roman" w:cs="Tahoma"/>
          <w:bCs/>
          <w:i/>
          <w:color w:val="auto"/>
          <w:sz w:val="20"/>
          <w:szCs w:val="20"/>
          <w:lang w:eastAsia="es-ES"/>
        </w:rPr>
        <w:t>A C U E R D A</w:t>
      </w:r>
    </w:p>
    <w:p w14:paraId="3605B3D7" w14:textId="77777777" w:rsidR="0078724B" w:rsidRDefault="0078724B" w:rsidP="0078724B">
      <w:pPr>
        <w:spacing w:after="0" w:line="360" w:lineRule="auto"/>
        <w:ind w:left="567" w:right="567"/>
        <w:jc w:val="center"/>
        <w:rPr>
          <w:rFonts w:eastAsia="Times New Roman" w:cs="Tahoma"/>
          <w:bCs/>
          <w:i/>
          <w:color w:val="auto"/>
          <w:sz w:val="20"/>
          <w:szCs w:val="20"/>
          <w:lang w:eastAsia="es-ES"/>
        </w:rPr>
      </w:pPr>
    </w:p>
    <w:p w14:paraId="05A8295D" w14:textId="4EC38734" w:rsidR="00500CDF" w:rsidRDefault="00500CDF" w:rsidP="0078724B">
      <w:pPr>
        <w:spacing w:after="0" w:line="360" w:lineRule="auto"/>
        <w:ind w:left="567" w:right="567"/>
        <w:rPr>
          <w:rFonts w:eastAsia="Times New Roman" w:cs="Tahoma"/>
          <w:bCs/>
          <w:i/>
          <w:color w:val="auto"/>
          <w:sz w:val="20"/>
          <w:szCs w:val="20"/>
          <w:lang w:eastAsia="es-ES"/>
        </w:rPr>
      </w:pPr>
      <w:r>
        <w:rPr>
          <w:rFonts w:eastAsia="Times New Roman" w:cs="Tahoma"/>
          <w:b/>
          <w:i/>
          <w:color w:val="auto"/>
          <w:sz w:val="20"/>
          <w:szCs w:val="20"/>
          <w:lang w:eastAsia="es-ES"/>
        </w:rPr>
        <w:t xml:space="preserve">PRIMERO. – </w:t>
      </w:r>
      <w:r>
        <w:rPr>
          <w:rFonts w:eastAsia="Times New Roman" w:cs="Tahoma"/>
          <w:bCs/>
          <w:i/>
          <w:color w:val="auto"/>
          <w:sz w:val="20"/>
          <w:szCs w:val="20"/>
          <w:lang w:eastAsia="es-ES"/>
        </w:rPr>
        <w:t xml:space="preserve">Se da atención a su solicitud </w:t>
      </w:r>
      <w:r w:rsidRPr="00500CDF">
        <w:rPr>
          <w:rFonts w:eastAsia="Times New Roman" w:cs="Tahoma"/>
          <w:bCs/>
          <w:i/>
          <w:color w:val="auto"/>
          <w:sz w:val="20"/>
          <w:szCs w:val="20"/>
          <w:lang w:eastAsia="es-ES"/>
        </w:rPr>
        <w:t>00002/DIFVCARBON/IP/2025</w:t>
      </w:r>
      <w:r>
        <w:rPr>
          <w:rFonts w:eastAsia="Times New Roman" w:cs="Tahoma"/>
          <w:bCs/>
          <w:i/>
          <w:color w:val="auto"/>
          <w:sz w:val="20"/>
          <w:szCs w:val="20"/>
          <w:lang w:eastAsia="es-ES"/>
        </w:rPr>
        <w:t xml:space="preserve">, de fecha 20 de enero de 2025 ingresada mediante Sistema de Acceso a la Información Mexiquense (SAIMEX) y en consecuencia se tiene por atendido en tiempo y forma el recurso de revisión: </w:t>
      </w:r>
      <w:r w:rsidRPr="00500CDF">
        <w:rPr>
          <w:rFonts w:eastAsia="Times New Roman" w:cs="Tahoma"/>
          <w:bCs/>
          <w:i/>
          <w:color w:val="auto"/>
          <w:sz w:val="20"/>
          <w:szCs w:val="20"/>
          <w:lang w:eastAsia="es-ES"/>
        </w:rPr>
        <w:t>01171/INFOEM/IP/RR/2025</w:t>
      </w:r>
      <w:r>
        <w:rPr>
          <w:rFonts w:eastAsia="Times New Roman" w:cs="Tahoma"/>
          <w:bCs/>
          <w:i/>
          <w:color w:val="auto"/>
          <w:sz w:val="20"/>
          <w:szCs w:val="20"/>
          <w:lang w:eastAsia="es-ES"/>
        </w:rPr>
        <w:t>, donde el recurrente manifiesta que: “EL SUJETO OBLIGADO NO HACE ENTREGA DE LA INFORMACIÓN SOLICITADA”, con fecha de admisión 17 de enero de 2025.</w:t>
      </w:r>
    </w:p>
    <w:p w14:paraId="6D52E90D" w14:textId="77777777" w:rsidR="00500CDF" w:rsidRDefault="00500CDF" w:rsidP="0078724B">
      <w:pPr>
        <w:spacing w:after="0" w:line="360" w:lineRule="auto"/>
        <w:ind w:left="567" w:right="567"/>
        <w:rPr>
          <w:rFonts w:eastAsia="Times New Roman" w:cs="Tahoma"/>
          <w:bCs/>
          <w:i/>
          <w:color w:val="auto"/>
          <w:sz w:val="20"/>
          <w:szCs w:val="20"/>
          <w:lang w:eastAsia="es-ES"/>
        </w:rPr>
      </w:pPr>
    </w:p>
    <w:p w14:paraId="08ED84C4" w14:textId="1CFB0562" w:rsidR="00500CDF" w:rsidRDefault="00500CDF" w:rsidP="0078724B">
      <w:pPr>
        <w:spacing w:after="0" w:line="360" w:lineRule="auto"/>
        <w:ind w:left="567" w:right="567"/>
        <w:rPr>
          <w:rFonts w:eastAsia="Times New Roman" w:cs="Tahoma"/>
          <w:bCs/>
          <w:i/>
          <w:color w:val="auto"/>
          <w:sz w:val="20"/>
          <w:szCs w:val="20"/>
          <w:lang w:eastAsia="es-ES"/>
        </w:rPr>
      </w:pPr>
      <w:r>
        <w:rPr>
          <w:rFonts w:eastAsia="Times New Roman" w:cs="Tahoma"/>
          <w:b/>
          <w:i/>
          <w:color w:val="auto"/>
          <w:sz w:val="20"/>
          <w:szCs w:val="20"/>
          <w:lang w:eastAsia="es-ES"/>
        </w:rPr>
        <w:t xml:space="preserve">SEGUNDO. – </w:t>
      </w:r>
      <w:r>
        <w:rPr>
          <w:rFonts w:eastAsia="Times New Roman" w:cs="Tahoma"/>
          <w:bCs/>
          <w:i/>
          <w:color w:val="auto"/>
          <w:sz w:val="20"/>
          <w:szCs w:val="20"/>
          <w:lang w:eastAsia="es-ES"/>
        </w:rPr>
        <w:t xml:space="preserve">Para corroborar lo anteriormente señalado, en cumplimiento con la Ley de transparencia y acceso a la información pública del Estado de México y municipios, se adjunta al presente, </w:t>
      </w:r>
      <w:r w:rsidR="00A352D5">
        <w:rPr>
          <w:rFonts w:eastAsia="Times New Roman" w:cs="Tahoma"/>
          <w:bCs/>
          <w:i/>
          <w:color w:val="auto"/>
          <w:sz w:val="20"/>
          <w:szCs w:val="20"/>
          <w:lang w:eastAsia="es-ES"/>
        </w:rPr>
        <w:t xml:space="preserve">un archivo en formato </w:t>
      </w:r>
      <w:proofErr w:type="spellStart"/>
      <w:r w:rsidR="00A352D5">
        <w:rPr>
          <w:rFonts w:eastAsia="Times New Roman" w:cs="Tahoma"/>
          <w:bCs/>
          <w:i/>
          <w:color w:val="auto"/>
          <w:sz w:val="20"/>
          <w:szCs w:val="20"/>
          <w:lang w:eastAsia="es-ES"/>
        </w:rPr>
        <w:t>pdf</w:t>
      </w:r>
      <w:proofErr w:type="spellEnd"/>
      <w:r w:rsidR="00A352D5">
        <w:rPr>
          <w:rFonts w:eastAsia="Times New Roman" w:cs="Tahoma"/>
          <w:bCs/>
          <w:i/>
          <w:color w:val="auto"/>
          <w:sz w:val="20"/>
          <w:szCs w:val="20"/>
          <w:lang w:eastAsia="es-ES"/>
        </w:rPr>
        <w:t>, haciendo un total de 81 fojas útiles.</w:t>
      </w:r>
    </w:p>
    <w:p w14:paraId="54D2C58C" w14:textId="53C03651" w:rsidR="00A352D5" w:rsidRDefault="00A352D5" w:rsidP="0078724B">
      <w:pPr>
        <w:spacing w:after="0" w:line="360" w:lineRule="auto"/>
        <w:ind w:left="567" w:right="567"/>
        <w:rPr>
          <w:rFonts w:eastAsia="Times New Roman" w:cs="Tahoma"/>
          <w:bCs/>
          <w:i/>
          <w:color w:val="auto"/>
          <w:sz w:val="20"/>
          <w:szCs w:val="20"/>
          <w:lang w:eastAsia="es-ES"/>
        </w:rPr>
      </w:pPr>
      <w:r>
        <w:rPr>
          <w:rFonts w:eastAsia="Times New Roman" w:cs="Tahoma"/>
          <w:b/>
          <w:i/>
          <w:color w:val="auto"/>
          <w:sz w:val="20"/>
          <w:szCs w:val="20"/>
          <w:lang w:eastAsia="es-ES"/>
        </w:rPr>
        <w:t>…</w:t>
      </w:r>
      <w:r>
        <w:rPr>
          <w:rFonts w:eastAsia="Times New Roman" w:cs="Tahoma"/>
          <w:bCs/>
          <w:i/>
          <w:color w:val="auto"/>
          <w:sz w:val="20"/>
          <w:szCs w:val="20"/>
          <w:lang w:eastAsia="es-ES"/>
        </w:rPr>
        <w:t>” (Sic)</w:t>
      </w:r>
    </w:p>
    <w:p w14:paraId="2A760208" w14:textId="77777777" w:rsidR="00461DE1" w:rsidRPr="00500CDF" w:rsidRDefault="00461DE1" w:rsidP="0078724B">
      <w:pPr>
        <w:spacing w:after="0" w:line="360" w:lineRule="auto"/>
        <w:ind w:left="567" w:right="567"/>
        <w:rPr>
          <w:rFonts w:eastAsia="Times New Roman" w:cs="Tahoma"/>
          <w:bCs/>
          <w:i/>
          <w:color w:val="auto"/>
          <w:sz w:val="20"/>
          <w:szCs w:val="20"/>
          <w:lang w:eastAsia="es-ES"/>
        </w:rPr>
      </w:pPr>
    </w:p>
    <w:p w14:paraId="52ABB689" w14:textId="6788EAAF" w:rsidR="0078724B" w:rsidRPr="0078724B" w:rsidRDefault="0078724B" w:rsidP="0078724B">
      <w:pPr>
        <w:widowControl w:val="0"/>
        <w:spacing w:after="0" w:line="360" w:lineRule="auto"/>
        <w:rPr>
          <w:rStyle w:val="Ttulo2Car"/>
          <w:rFonts w:ascii="Palatino Linotype" w:hAnsi="Palatino Linotype"/>
          <w:color w:val="auto"/>
          <w:sz w:val="22"/>
          <w:szCs w:val="22"/>
        </w:rPr>
      </w:pPr>
      <w:bookmarkStart w:id="8" w:name="_Toc192778063"/>
      <w:proofErr w:type="spellStart"/>
      <w:r w:rsidRPr="0078724B">
        <w:rPr>
          <w:rStyle w:val="Ttulo2Car"/>
          <w:rFonts w:ascii="Palatino Linotype" w:hAnsi="Palatino Linotype"/>
          <w:color w:val="auto"/>
          <w:sz w:val="22"/>
          <w:szCs w:val="22"/>
        </w:rPr>
        <w:t>ii</w:t>
      </w:r>
      <w:proofErr w:type="spellEnd"/>
      <w:r w:rsidRPr="0078724B">
        <w:rPr>
          <w:rStyle w:val="Ttulo2Car"/>
          <w:rFonts w:ascii="Palatino Linotype" w:hAnsi="Palatino Linotype"/>
          <w:color w:val="auto"/>
          <w:sz w:val="22"/>
          <w:szCs w:val="22"/>
        </w:rPr>
        <w:t>)</w:t>
      </w:r>
      <w:r>
        <w:rPr>
          <w:rStyle w:val="Ttulo2Car"/>
          <w:rFonts w:ascii="Palatino Linotype" w:hAnsi="Palatino Linotype"/>
          <w:color w:val="auto"/>
          <w:sz w:val="22"/>
          <w:szCs w:val="22"/>
        </w:rPr>
        <w:t xml:space="preserve"> Cuarenta recibos de nómina.</w:t>
      </w:r>
      <w:bookmarkEnd w:id="8"/>
    </w:p>
    <w:p w14:paraId="62059EE9" w14:textId="77777777" w:rsidR="0078724B" w:rsidRDefault="0078724B" w:rsidP="0078724B">
      <w:pPr>
        <w:widowControl w:val="0"/>
        <w:spacing w:after="0" w:line="360" w:lineRule="auto"/>
        <w:rPr>
          <w:rStyle w:val="Ttulo2Car"/>
          <w:rFonts w:ascii="Palatino Linotype" w:hAnsi="Palatino Linotype"/>
          <w:b/>
          <w:bCs/>
          <w:color w:val="auto"/>
          <w:sz w:val="22"/>
          <w:szCs w:val="22"/>
        </w:rPr>
      </w:pPr>
    </w:p>
    <w:p w14:paraId="7F900F92" w14:textId="20867A11" w:rsidR="00051642" w:rsidRPr="00461DE1" w:rsidRDefault="00646DBE" w:rsidP="0078724B">
      <w:pPr>
        <w:widowControl w:val="0"/>
        <w:spacing w:after="0" w:line="360" w:lineRule="auto"/>
        <w:rPr>
          <w:bCs/>
          <w:color w:val="auto"/>
          <w:lang w:val="es-ES_tradnl"/>
        </w:rPr>
      </w:pPr>
      <w:bookmarkStart w:id="9" w:name="_Toc192778064"/>
      <w:r w:rsidRPr="00551166">
        <w:rPr>
          <w:rStyle w:val="Ttulo2Car"/>
          <w:rFonts w:ascii="Palatino Linotype" w:hAnsi="Palatino Linotype"/>
          <w:b/>
          <w:bCs/>
          <w:color w:val="auto"/>
          <w:sz w:val="22"/>
          <w:szCs w:val="22"/>
        </w:rPr>
        <w:t>d</w:t>
      </w:r>
      <w:r w:rsidR="00C14B22" w:rsidRPr="00551166">
        <w:rPr>
          <w:rStyle w:val="Ttulo2Car"/>
          <w:rFonts w:ascii="Palatino Linotype" w:hAnsi="Palatino Linotype"/>
          <w:b/>
          <w:bCs/>
          <w:color w:val="auto"/>
          <w:sz w:val="22"/>
          <w:szCs w:val="22"/>
        </w:rPr>
        <w:t>) Vista del Informe Justificado</w:t>
      </w:r>
      <w:r w:rsidR="00482688" w:rsidRPr="00551166">
        <w:rPr>
          <w:rStyle w:val="Ttulo2Car"/>
          <w:rFonts w:ascii="Palatino Linotype" w:hAnsi="Palatino Linotype"/>
          <w:b/>
          <w:bCs/>
          <w:color w:val="auto"/>
          <w:sz w:val="22"/>
          <w:szCs w:val="22"/>
        </w:rPr>
        <w:t>.</w:t>
      </w:r>
      <w:bookmarkEnd w:id="9"/>
      <w:r w:rsidR="00482688" w:rsidRPr="00551166">
        <w:rPr>
          <w:bCs/>
          <w:color w:val="auto"/>
          <w:lang w:val="es-ES_tradnl"/>
        </w:rPr>
        <w:t xml:space="preserve"> </w:t>
      </w:r>
      <w:r w:rsidR="00482688" w:rsidRPr="00461DE1">
        <w:rPr>
          <w:bCs/>
          <w:color w:val="auto"/>
          <w:lang w:val="es-ES_tradnl"/>
        </w:rPr>
        <w:t>El</w:t>
      </w:r>
      <w:r w:rsidR="00461DE1" w:rsidRPr="00461DE1">
        <w:rPr>
          <w:bCs/>
          <w:color w:val="auto"/>
          <w:lang w:val="es-ES_tradnl"/>
        </w:rPr>
        <w:t xml:space="preserve"> cinco de marzo de dos mil veinticinco</w:t>
      </w:r>
      <w:r w:rsidR="00482688" w:rsidRPr="00461DE1">
        <w:rPr>
          <w:bCs/>
          <w:color w:val="auto"/>
          <w:lang w:val="es-ES_tradnl"/>
        </w:rPr>
        <w:t xml:space="preserve">, se dictó acuerdo mediante el cual se puso a la vista del Particular el Informe Justificado, entregado por el </w:t>
      </w:r>
      <w:r w:rsidR="00482688" w:rsidRPr="00461DE1">
        <w:rPr>
          <w:bCs/>
          <w:color w:val="auto"/>
          <w:lang w:val="es-ES_tradnl"/>
        </w:rPr>
        <w:lastRenderedPageBreak/>
        <w:t>Sujeto Obligado, así como el documento adjunto, el cual fue notificado a las partes,</w:t>
      </w:r>
      <w:r w:rsidR="00461DE1">
        <w:rPr>
          <w:bCs/>
          <w:color w:val="auto"/>
          <w:lang w:val="es-ES_tradnl"/>
        </w:rPr>
        <w:t xml:space="preserve"> el mismo </w:t>
      </w:r>
      <w:r w:rsidR="0078724B">
        <w:rPr>
          <w:bCs/>
          <w:color w:val="auto"/>
          <w:lang w:val="es-ES_tradnl"/>
        </w:rPr>
        <w:t xml:space="preserve">día, </w:t>
      </w:r>
      <w:r w:rsidR="0078724B" w:rsidRPr="00461DE1">
        <w:rPr>
          <w:bCs/>
          <w:color w:val="auto"/>
          <w:lang w:val="es-ES_tradnl"/>
        </w:rPr>
        <w:t>a</w:t>
      </w:r>
      <w:r w:rsidR="00482688" w:rsidRPr="00461DE1">
        <w:rPr>
          <w:bCs/>
          <w:color w:val="auto"/>
          <w:lang w:val="es-ES_tradnl"/>
        </w:rPr>
        <w:t xml:space="preserve"> través del Sistema de Acceso a la </w:t>
      </w:r>
      <w:r w:rsidR="00686942" w:rsidRPr="00461DE1">
        <w:rPr>
          <w:bCs/>
          <w:color w:val="auto"/>
          <w:lang w:val="es-ES_tradnl"/>
        </w:rPr>
        <w:t>Información Mexiquense (SAIMEX</w:t>
      </w:r>
      <w:r w:rsidRPr="00461DE1">
        <w:rPr>
          <w:bCs/>
          <w:color w:val="auto"/>
          <w:lang w:val="es-ES_tradnl"/>
        </w:rPr>
        <w:t>.</w:t>
      </w:r>
      <w:r w:rsidR="00482688" w:rsidRPr="00461DE1">
        <w:rPr>
          <w:bCs/>
          <w:color w:val="auto"/>
          <w:lang w:val="es-ES_tradnl"/>
        </w:rPr>
        <w:t xml:space="preserve"> </w:t>
      </w:r>
      <w:r w:rsidR="00482688" w:rsidRPr="00461DE1">
        <w:rPr>
          <w:b/>
          <w:color w:val="auto"/>
          <w:lang w:val="es-ES_tradnl"/>
        </w:rPr>
        <w:t>Cabe señalar que el Recurrente fue omiso en realizar alguna manifestación que a su derecho conviniera y asistiera.</w:t>
      </w:r>
    </w:p>
    <w:p w14:paraId="6925541B" w14:textId="77777777" w:rsidR="00482688" w:rsidRPr="00361B01" w:rsidRDefault="00482688" w:rsidP="0078724B">
      <w:pPr>
        <w:widowControl w:val="0"/>
        <w:spacing w:after="0" w:line="360" w:lineRule="auto"/>
        <w:rPr>
          <w:rFonts w:eastAsia="Times New Roman" w:cs="Tahoma"/>
          <w:b/>
          <w:color w:val="FF0000"/>
          <w:szCs w:val="24"/>
          <w:lang w:eastAsia="es-ES"/>
        </w:rPr>
      </w:pPr>
    </w:p>
    <w:p w14:paraId="54B241CF" w14:textId="7F6E1953" w:rsidR="00051642" w:rsidRPr="00461DE1" w:rsidRDefault="00646DBE" w:rsidP="0078724B">
      <w:pPr>
        <w:spacing w:after="0" w:line="360" w:lineRule="auto"/>
        <w:rPr>
          <w:rFonts w:eastAsia="Times New Roman" w:cs="Tahoma"/>
          <w:color w:val="auto"/>
          <w:szCs w:val="24"/>
          <w:lang w:eastAsia="es-ES"/>
        </w:rPr>
      </w:pPr>
      <w:bookmarkStart w:id="10" w:name="_Toc192778065"/>
      <w:r w:rsidRPr="009C7E78">
        <w:rPr>
          <w:rStyle w:val="Ttulo2Car"/>
          <w:rFonts w:ascii="Palatino Linotype" w:hAnsi="Palatino Linotype"/>
          <w:b/>
          <w:bCs/>
          <w:color w:val="auto"/>
          <w:sz w:val="22"/>
          <w:szCs w:val="22"/>
        </w:rPr>
        <w:t>e</w:t>
      </w:r>
      <w:r w:rsidR="00051642" w:rsidRPr="009C7E78">
        <w:rPr>
          <w:rStyle w:val="Ttulo2Car"/>
          <w:rFonts w:ascii="Palatino Linotype" w:hAnsi="Palatino Linotype"/>
          <w:b/>
          <w:bCs/>
          <w:color w:val="auto"/>
          <w:sz w:val="22"/>
          <w:szCs w:val="22"/>
        </w:rPr>
        <w:t>) Cierre de instrucción.</w:t>
      </w:r>
      <w:bookmarkEnd w:id="10"/>
      <w:r w:rsidR="00051642" w:rsidRPr="009C7E78">
        <w:rPr>
          <w:rFonts w:eastAsia="Times New Roman" w:cs="Tahoma"/>
          <w:color w:val="auto"/>
          <w:szCs w:val="24"/>
          <w:lang w:eastAsia="es-ES"/>
        </w:rPr>
        <w:t xml:space="preserve"> </w:t>
      </w:r>
      <w:r w:rsidR="00051642" w:rsidRPr="00461DE1">
        <w:rPr>
          <w:rFonts w:eastAsia="Times New Roman" w:cs="Tahoma"/>
          <w:color w:val="auto"/>
          <w:szCs w:val="24"/>
          <w:lang w:eastAsia="es-ES"/>
        </w:rPr>
        <w:t>El</w:t>
      </w:r>
      <w:r w:rsidR="00461DE1" w:rsidRPr="00461DE1">
        <w:rPr>
          <w:rFonts w:eastAsia="Times New Roman" w:cs="Tahoma"/>
          <w:color w:val="auto"/>
          <w:szCs w:val="24"/>
          <w:lang w:val="es-ES" w:eastAsia="es-ES"/>
        </w:rPr>
        <w:t xml:space="preserve"> once de marzo de dos mil veinticinco</w:t>
      </w:r>
      <w:r w:rsidR="00051642" w:rsidRPr="00461DE1">
        <w:rPr>
          <w:rFonts w:eastAsia="Times New Roman" w:cs="Tahoma"/>
          <w:color w:val="auto"/>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w:t>
      </w:r>
      <w:r w:rsidR="00A54AEC" w:rsidRPr="00461DE1">
        <w:rPr>
          <w:rFonts w:eastAsia="Times New Roman" w:cs="Tahoma"/>
          <w:color w:val="auto"/>
          <w:szCs w:val="24"/>
          <w:lang w:eastAsia="es-ES"/>
        </w:rPr>
        <w:t>mismo día</w:t>
      </w:r>
      <w:r w:rsidR="00051642" w:rsidRPr="00461DE1">
        <w:rPr>
          <w:rFonts w:eastAsia="Times New Roman" w:cs="Tahoma"/>
          <w:color w:val="auto"/>
          <w:szCs w:val="24"/>
          <w:lang w:eastAsia="es-ES"/>
        </w:rPr>
        <w:t xml:space="preserve">, a través del </w:t>
      </w:r>
      <w:r w:rsidR="00051642" w:rsidRPr="00461DE1">
        <w:rPr>
          <w:rFonts w:eastAsia="Times New Roman" w:cs="Tahoma"/>
          <w:color w:val="auto"/>
          <w:szCs w:val="20"/>
          <w:lang w:val="es-ES" w:eastAsia="es-ES"/>
        </w:rPr>
        <w:t>Sistema de Acceso a la Información Mexiquense (SAIMEX)</w:t>
      </w:r>
      <w:r w:rsidR="00051642" w:rsidRPr="00461DE1">
        <w:rPr>
          <w:rFonts w:eastAsia="Times New Roman" w:cs="Tahoma"/>
          <w:color w:val="auto"/>
          <w:szCs w:val="24"/>
          <w:lang w:eastAsia="es-ES"/>
        </w:rPr>
        <w:t>.</w:t>
      </w:r>
      <w:r w:rsidR="00183086" w:rsidRPr="00461DE1">
        <w:rPr>
          <w:rFonts w:eastAsia="Times New Roman" w:cs="Tahoma"/>
          <w:color w:val="auto"/>
          <w:szCs w:val="24"/>
          <w:lang w:eastAsia="es-ES"/>
        </w:rPr>
        <w:t xml:space="preserve"> </w:t>
      </w:r>
    </w:p>
    <w:p w14:paraId="352419B9" w14:textId="77777777" w:rsidR="00461DE1" w:rsidRDefault="00461DE1" w:rsidP="0078724B">
      <w:pPr>
        <w:spacing w:after="0" w:line="360" w:lineRule="auto"/>
        <w:rPr>
          <w:rFonts w:eastAsia="Palatino Linotype" w:cs="Palatino Linotype"/>
          <w:color w:val="FF0000"/>
        </w:rPr>
      </w:pPr>
    </w:p>
    <w:p w14:paraId="16A59653" w14:textId="3DCE79D1" w:rsidR="00051642" w:rsidRPr="00461DE1" w:rsidRDefault="00051642" w:rsidP="0078724B">
      <w:pPr>
        <w:spacing w:after="0" w:line="360" w:lineRule="auto"/>
        <w:rPr>
          <w:rFonts w:eastAsia="Times New Roman" w:cs="Tahoma"/>
          <w:color w:val="auto"/>
          <w:szCs w:val="24"/>
          <w:lang w:eastAsia="es-ES"/>
        </w:rPr>
      </w:pPr>
      <w:proofErr w:type="gramStart"/>
      <w:r w:rsidRPr="00461DE1">
        <w:rPr>
          <w:rFonts w:eastAsia="Times New Roman" w:cs="Tahoma"/>
          <w:color w:val="auto"/>
          <w:szCs w:val="24"/>
          <w:lang w:eastAsia="es-ES"/>
        </w:rPr>
        <w:t>En razón de</w:t>
      </w:r>
      <w:proofErr w:type="gramEnd"/>
      <w:r w:rsidRPr="00461DE1">
        <w:rPr>
          <w:rFonts w:eastAsia="Times New Roman" w:cs="Tahoma"/>
          <w:color w:val="auto"/>
          <w:szCs w:val="24"/>
          <w:lang w:eastAsia="es-ES"/>
        </w:rPr>
        <w:t xml:space="preserve"> que fue debidamente sustanciado e integrado el expediente electrónico y no existe diligencia pendiente de desahogo, se emite la resolución que conforme a Derecho proceda, de acuerdo a los siguientes:</w:t>
      </w:r>
    </w:p>
    <w:p w14:paraId="6984A8D2" w14:textId="77777777" w:rsidR="00051642" w:rsidRPr="00461DE1" w:rsidRDefault="00051642" w:rsidP="0078724B">
      <w:pPr>
        <w:spacing w:after="0" w:line="360" w:lineRule="auto"/>
        <w:rPr>
          <w:rFonts w:eastAsia="Times New Roman" w:cs="Tahoma"/>
          <w:bCs/>
          <w:iCs/>
          <w:color w:val="auto"/>
          <w:lang w:val="es-ES" w:eastAsia="es-ES"/>
        </w:rPr>
      </w:pPr>
    </w:p>
    <w:p w14:paraId="52BDDA28" w14:textId="44FB9D08" w:rsidR="00D903F5" w:rsidRPr="00250408" w:rsidRDefault="00051642" w:rsidP="0078724B">
      <w:pPr>
        <w:pStyle w:val="Ttulo1"/>
        <w:spacing w:before="0" w:line="360" w:lineRule="auto"/>
        <w:jc w:val="center"/>
        <w:rPr>
          <w:rFonts w:ascii="Palatino Linotype" w:eastAsia="Times New Roman" w:hAnsi="Palatino Linotype"/>
          <w:b/>
          <w:bCs/>
          <w:color w:val="auto"/>
          <w:sz w:val="22"/>
          <w:szCs w:val="22"/>
          <w:lang w:val="es-ES" w:eastAsia="es-ES"/>
        </w:rPr>
      </w:pPr>
      <w:bookmarkStart w:id="11" w:name="_Toc192778066"/>
      <w:r w:rsidRPr="00250408">
        <w:rPr>
          <w:rFonts w:ascii="Palatino Linotype" w:eastAsia="Times New Roman" w:hAnsi="Palatino Linotype"/>
          <w:b/>
          <w:bCs/>
          <w:color w:val="auto"/>
          <w:sz w:val="22"/>
          <w:szCs w:val="22"/>
          <w:lang w:val="es-ES" w:eastAsia="es-ES"/>
        </w:rPr>
        <w:t>C O N S I D E R A N D O S</w:t>
      </w:r>
      <w:bookmarkEnd w:id="11"/>
    </w:p>
    <w:p w14:paraId="37876CBA" w14:textId="1FC9A2D5" w:rsidR="00F16ED4" w:rsidRPr="00461DE1" w:rsidRDefault="00F16ED4" w:rsidP="0078724B">
      <w:pPr>
        <w:autoSpaceDE w:val="0"/>
        <w:autoSpaceDN w:val="0"/>
        <w:adjustRightInd w:val="0"/>
        <w:spacing w:after="0" w:line="360" w:lineRule="auto"/>
        <w:rPr>
          <w:rFonts w:eastAsia="Calibri" w:cs="Tahoma"/>
          <w:b/>
          <w:color w:val="auto"/>
          <w:szCs w:val="24"/>
          <w:lang w:val="es-ES" w:eastAsia="es-MX"/>
        </w:rPr>
      </w:pPr>
    </w:p>
    <w:p w14:paraId="045B3F37" w14:textId="24B31DAE" w:rsidR="00051642" w:rsidRPr="00D47632" w:rsidRDefault="00051642" w:rsidP="0078724B">
      <w:pPr>
        <w:pStyle w:val="Ttulo1"/>
        <w:spacing w:before="0" w:line="360" w:lineRule="auto"/>
        <w:rPr>
          <w:rFonts w:ascii="Palatino Linotype" w:eastAsia="Times New Roman" w:hAnsi="Palatino Linotype"/>
          <w:b/>
          <w:bCs/>
          <w:color w:val="auto"/>
          <w:sz w:val="22"/>
          <w:szCs w:val="22"/>
          <w:lang w:val="es-ES" w:eastAsia="es-ES"/>
        </w:rPr>
      </w:pPr>
      <w:bookmarkStart w:id="12" w:name="_Toc192778067"/>
      <w:r w:rsidRPr="00D47632">
        <w:rPr>
          <w:rFonts w:ascii="Palatino Linotype" w:eastAsia="Calibri" w:hAnsi="Palatino Linotype"/>
          <w:b/>
          <w:bCs/>
          <w:color w:val="auto"/>
          <w:sz w:val="22"/>
          <w:szCs w:val="22"/>
          <w:lang w:val="es-ES" w:eastAsia="es-MX"/>
        </w:rPr>
        <w:t xml:space="preserve">PRIMERO. </w:t>
      </w:r>
      <w:r w:rsidR="00EC6C06" w:rsidRPr="00D47632">
        <w:rPr>
          <w:rFonts w:ascii="Palatino Linotype" w:eastAsia="Times New Roman" w:hAnsi="Palatino Linotype"/>
          <w:b/>
          <w:bCs/>
          <w:color w:val="auto"/>
          <w:sz w:val="22"/>
          <w:szCs w:val="22"/>
          <w:lang w:val="es-ES" w:eastAsia="es-ES"/>
        </w:rPr>
        <w:t>Competencia</w:t>
      </w:r>
      <w:bookmarkEnd w:id="12"/>
    </w:p>
    <w:p w14:paraId="3B94CD90" w14:textId="77777777" w:rsidR="00051642" w:rsidRPr="00461DE1" w:rsidRDefault="00051642" w:rsidP="0078724B">
      <w:pPr>
        <w:autoSpaceDE w:val="0"/>
        <w:autoSpaceDN w:val="0"/>
        <w:adjustRightInd w:val="0"/>
        <w:spacing w:after="0" w:line="360" w:lineRule="auto"/>
        <w:rPr>
          <w:rFonts w:eastAsia="Times New Roman" w:cs="Tahoma"/>
          <w:b/>
          <w:color w:val="auto"/>
          <w:szCs w:val="24"/>
          <w:lang w:val="es-ES" w:eastAsia="es-ES"/>
        </w:rPr>
      </w:pPr>
    </w:p>
    <w:p w14:paraId="569EEA13" w14:textId="3B2EECDE" w:rsidR="00051642" w:rsidRPr="00461DE1" w:rsidRDefault="00051642" w:rsidP="0078724B">
      <w:pPr>
        <w:spacing w:after="0" w:line="360" w:lineRule="auto"/>
        <w:rPr>
          <w:rFonts w:eastAsia="Times New Roman" w:cs="Tahoma"/>
          <w:bCs/>
          <w:color w:val="auto"/>
          <w:lang w:eastAsia="es-ES"/>
        </w:rPr>
      </w:pPr>
      <w:bookmarkStart w:id="13" w:name="_Hlk63334754"/>
      <w:r w:rsidRPr="00461DE1">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w:t>
      </w:r>
      <w:r w:rsidR="00646DBE" w:rsidRPr="00461DE1">
        <w:rPr>
          <w:rFonts w:eastAsia="Times New Roman" w:cs="Tahoma"/>
          <w:bCs/>
          <w:color w:val="auto"/>
          <w:lang w:eastAsia="es-ES"/>
        </w:rPr>
        <w:t xml:space="preserve"> trigésimo segundo, trigésimo tercero y trigésimo cuarto</w:t>
      </w:r>
      <w:r w:rsidRPr="00461DE1">
        <w:rPr>
          <w:rFonts w:eastAsia="Times New Roman" w:cs="Tahoma"/>
          <w:bCs/>
          <w:color w:val="auto"/>
          <w:lang w:eastAsia="es-ES"/>
        </w:rPr>
        <w:t xml:space="preserve">, </w:t>
      </w:r>
      <w:bookmarkEnd w:id="13"/>
      <w:r w:rsidR="001D70CD" w:rsidRPr="00461DE1">
        <w:rPr>
          <w:rFonts w:eastAsia="Times New Roman" w:cs="Tahoma"/>
          <w:bCs/>
          <w:color w:val="auto"/>
          <w:lang w:eastAsia="es-ES"/>
        </w:rPr>
        <w:t xml:space="preserve">fracciones I, II, III, IV y V de la Constitución Política del Estado Libre y Soberano de México; 1°, 8°, 9°, 10, 37 y 42, fracciones I, II y III, de la Ley General de Transparencia y Acceso a la Información </w:t>
      </w:r>
      <w:r w:rsidR="001D70CD" w:rsidRPr="00461DE1">
        <w:rPr>
          <w:rFonts w:eastAsia="Times New Roman" w:cs="Tahoma"/>
          <w:bCs/>
          <w:color w:val="auto"/>
          <w:lang w:eastAsia="es-ES"/>
        </w:rPr>
        <w:lastRenderedPageBreak/>
        <w:t>Pública; 1°, 2°, fracciones II y IV; 13,  29, 36, fracciones I y II; 176, 178, 179, 181 párrafo tercero, 185, 188 y 189 de la Ley Transparencia y Acceso a la Información Pública del Estado de México y Municipios; 7°, 9°, fracciones I y XXI</w:t>
      </w:r>
      <w:r w:rsidR="00FB3575" w:rsidRPr="00461DE1">
        <w:rPr>
          <w:rFonts w:eastAsia="Times New Roman" w:cs="Tahoma"/>
          <w:bCs/>
          <w:color w:val="auto"/>
          <w:lang w:eastAsia="es-ES"/>
        </w:rPr>
        <w:t>II</w:t>
      </w:r>
      <w:r w:rsidR="001D70CD" w:rsidRPr="00461DE1">
        <w:rPr>
          <w:rFonts w:eastAsia="Times New Roman" w:cs="Tahoma"/>
          <w:bCs/>
          <w:color w:val="auto"/>
          <w:lang w:eastAsia="es-ES"/>
        </w:rPr>
        <w:t xml:space="preserve"> y 11 del Reglamento Interior del Instituto de Transparencia, Acceso a la Información Pública y Protección de Datos Personales del Estado de México y Municipios.</w:t>
      </w:r>
    </w:p>
    <w:p w14:paraId="2986AFCC" w14:textId="77777777" w:rsidR="00051642" w:rsidRPr="00461DE1" w:rsidRDefault="00051642" w:rsidP="0078724B">
      <w:pPr>
        <w:spacing w:after="0" w:line="360" w:lineRule="auto"/>
        <w:rPr>
          <w:color w:val="auto"/>
        </w:rPr>
      </w:pPr>
    </w:p>
    <w:p w14:paraId="2F12F73B" w14:textId="29328DFB" w:rsidR="00051642" w:rsidRPr="00D47632" w:rsidRDefault="00051642" w:rsidP="0078724B">
      <w:pPr>
        <w:pStyle w:val="Ttulo1"/>
        <w:spacing w:before="0" w:line="360" w:lineRule="auto"/>
        <w:rPr>
          <w:rFonts w:ascii="Palatino Linotype" w:eastAsia="Times New Roman" w:hAnsi="Palatino Linotype"/>
          <w:b/>
          <w:bCs/>
          <w:color w:val="auto"/>
          <w:sz w:val="22"/>
          <w:szCs w:val="22"/>
          <w:lang w:val="es-ES" w:eastAsia="es-ES"/>
        </w:rPr>
      </w:pPr>
      <w:bookmarkStart w:id="14" w:name="_Toc192778068"/>
      <w:r w:rsidRPr="00D47632">
        <w:rPr>
          <w:rFonts w:ascii="Palatino Linotype" w:eastAsia="Calibri" w:hAnsi="Palatino Linotype"/>
          <w:b/>
          <w:bCs/>
          <w:color w:val="auto"/>
          <w:sz w:val="22"/>
          <w:szCs w:val="22"/>
          <w:lang w:val="es-ES" w:eastAsia="es-MX"/>
        </w:rPr>
        <w:t xml:space="preserve">SEGUNDO. </w:t>
      </w:r>
      <w:r w:rsidRPr="00D47632">
        <w:rPr>
          <w:rFonts w:ascii="Palatino Linotype" w:eastAsia="Times New Roman" w:hAnsi="Palatino Linotype"/>
          <w:b/>
          <w:bCs/>
          <w:color w:val="auto"/>
          <w:sz w:val="22"/>
          <w:szCs w:val="22"/>
          <w:lang w:val="es-ES" w:eastAsia="es-ES"/>
        </w:rPr>
        <w:t>Causales de</w:t>
      </w:r>
      <w:r w:rsidR="00EC6C06" w:rsidRPr="00D47632">
        <w:rPr>
          <w:rFonts w:ascii="Palatino Linotype" w:eastAsia="Times New Roman" w:hAnsi="Palatino Linotype"/>
          <w:b/>
          <w:bCs/>
          <w:color w:val="auto"/>
          <w:sz w:val="22"/>
          <w:szCs w:val="22"/>
          <w:lang w:val="es-ES" w:eastAsia="es-ES"/>
        </w:rPr>
        <w:t xml:space="preserve"> improcedencia y sobreseimiento</w:t>
      </w:r>
      <w:bookmarkEnd w:id="14"/>
    </w:p>
    <w:p w14:paraId="05A36F46" w14:textId="77777777" w:rsidR="00051642" w:rsidRPr="00361B01" w:rsidRDefault="00051642" w:rsidP="0078724B">
      <w:pPr>
        <w:autoSpaceDE w:val="0"/>
        <w:autoSpaceDN w:val="0"/>
        <w:adjustRightInd w:val="0"/>
        <w:spacing w:after="0" w:line="360" w:lineRule="auto"/>
        <w:rPr>
          <w:rFonts w:eastAsia="Times New Roman" w:cs="Tahoma"/>
          <w:color w:val="FF0000"/>
          <w:szCs w:val="24"/>
          <w:lang w:val="es-ES" w:eastAsia="es-ES"/>
        </w:rPr>
      </w:pPr>
    </w:p>
    <w:p w14:paraId="69F085ED" w14:textId="77777777" w:rsidR="00051642" w:rsidRPr="00461DE1" w:rsidRDefault="00051642" w:rsidP="0078724B">
      <w:pPr>
        <w:autoSpaceDE w:val="0"/>
        <w:autoSpaceDN w:val="0"/>
        <w:adjustRightInd w:val="0"/>
        <w:spacing w:after="0" w:line="360" w:lineRule="auto"/>
        <w:rPr>
          <w:rFonts w:eastAsia="Times New Roman" w:cs="Tahoma"/>
          <w:color w:val="auto"/>
          <w:szCs w:val="24"/>
          <w:lang w:val="es-ES" w:eastAsia="es-ES"/>
        </w:rPr>
      </w:pPr>
      <w:r w:rsidRPr="00461DE1">
        <w:rPr>
          <w:rFonts w:eastAsia="Times New Roman" w:cs="Tahoma"/>
          <w:color w:val="auto"/>
          <w:szCs w:val="24"/>
          <w:lang w:val="es-ES" w:eastAsia="es-ES"/>
        </w:rPr>
        <w:t xml:space="preserve">De las constancias que forma parte del Recurso de Revisión que se analiza, se advierte que previo al estudio del fondo de la </w:t>
      </w:r>
      <w:r w:rsidRPr="00461DE1">
        <w:rPr>
          <w:rFonts w:eastAsia="Times New Roman" w:cs="Tahoma"/>
          <w:i/>
          <w:color w:val="auto"/>
          <w:szCs w:val="24"/>
          <w:lang w:val="es-ES" w:eastAsia="es-ES"/>
        </w:rPr>
        <w:t>litis</w:t>
      </w:r>
      <w:r w:rsidRPr="00461DE1">
        <w:rPr>
          <w:rFonts w:eastAsia="Times New Roman" w:cs="Tahoma"/>
          <w:color w:val="auto"/>
          <w:szCs w:val="24"/>
          <w:lang w:val="es-ES" w:eastAsia="es-ES"/>
        </w:rPr>
        <w:t>, es necesario estudiar las causales de improcedencia y sobreseimiento que se adviertan, para determinar lo que en Derecho proceda.</w:t>
      </w:r>
    </w:p>
    <w:p w14:paraId="6459339D" w14:textId="77777777" w:rsidR="00034982" w:rsidRPr="00461DE1" w:rsidRDefault="00034982" w:rsidP="0078724B">
      <w:pPr>
        <w:spacing w:after="0" w:line="360" w:lineRule="auto"/>
        <w:rPr>
          <w:b/>
          <w:color w:val="auto"/>
          <w:lang w:val="es-ES"/>
        </w:rPr>
      </w:pPr>
    </w:p>
    <w:p w14:paraId="28939114" w14:textId="77777777" w:rsidR="00051642" w:rsidRPr="00461DE1" w:rsidRDefault="00051642" w:rsidP="0078724B">
      <w:pPr>
        <w:spacing w:after="0" w:line="360" w:lineRule="auto"/>
        <w:rPr>
          <w:b/>
          <w:color w:val="auto"/>
          <w:lang w:val="es-ES"/>
        </w:rPr>
      </w:pPr>
      <w:r w:rsidRPr="00461DE1">
        <w:rPr>
          <w:b/>
          <w:color w:val="auto"/>
          <w:lang w:val="es-ES"/>
        </w:rPr>
        <w:t>Causales de improcedencia</w:t>
      </w:r>
    </w:p>
    <w:p w14:paraId="4031849B" w14:textId="77777777" w:rsidR="00051642" w:rsidRPr="00361B01" w:rsidRDefault="00051642" w:rsidP="0078724B">
      <w:pPr>
        <w:spacing w:after="0" w:line="360" w:lineRule="auto"/>
        <w:rPr>
          <w:color w:val="FF0000"/>
        </w:rPr>
      </w:pPr>
    </w:p>
    <w:p w14:paraId="46B90E11" w14:textId="77777777" w:rsidR="00051642" w:rsidRPr="00461DE1" w:rsidRDefault="00051642" w:rsidP="0078724B">
      <w:pPr>
        <w:spacing w:after="0" w:line="360" w:lineRule="auto"/>
        <w:rPr>
          <w:rFonts w:eastAsia="Times New Roman" w:cs="Tahoma"/>
          <w:color w:val="auto"/>
          <w:lang w:eastAsia="es-ES"/>
        </w:rPr>
      </w:pPr>
      <w:r w:rsidRPr="00461DE1">
        <w:rPr>
          <w:rFonts w:eastAsia="Times New Roman" w:cs="Tahoma"/>
          <w:color w:val="auto"/>
          <w:lang w:eastAsia="es-ES"/>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445D8143" w14:textId="77777777" w:rsidR="00051642" w:rsidRPr="00461DE1" w:rsidRDefault="00051642" w:rsidP="0078724B">
      <w:pPr>
        <w:spacing w:after="0" w:line="360" w:lineRule="auto"/>
        <w:rPr>
          <w:rFonts w:eastAsia="Times New Roman" w:cs="Tahoma"/>
          <w:color w:val="auto"/>
          <w:lang w:eastAsia="es-ES"/>
        </w:rPr>
      </w:pPr>
    </w:p>
    <w:p w14:paraId="5234AE12" w14:textId="77777777" w:rsidR="00051642" w:rsidRPr="00461DE1" w:rsidRDefault="00051642" w:rsidP="0078724B">
      <w:pPr>
        <w:spacing w:after="0" w:line="360" w:lineRule="auto"/>
        <w:rPr>
          <w:rFonts w:eastAsia="Times New Roman" w:cs="Tahoma"/>
          <w:color w:val="auto"/>
          <w:lang w:eastAsia="es-ES"/>
        </w:rPr>
      </w:pPr>
      <w:r w:rsidRPr="00461DE1">
        <w:rPr>
          <w:rFonts w:eastAsia="Times New Roman" w:cs="Tahoma"/>
          <w:color w:val="auto"/>
          <w:lang w:eastAsia="es-ES"/>
        </w:rPr>
        <w:t>En el presente caso, </w:t>
      </w:r>
      <w:r w:rsidRPr="00461DE1">
        <w:rPr>
          <w:rFonts w:eastAsia="Times New Roman" w:cs="Tahoma"/>
          <w:b/>
          <w:bCs/>
          <w:color w:val="auto"/>
          <w:lang w:eastAsia="es-ES"/>
        </w:rPr>
        <w:t>no se actualiza ninguna de las causales de improcedencia</w:t>
      </w:r>
      <w:r w:rsidRPr="00461DE1">
        <w:rPr>
          <w:rFonts w:eastAsia="Times New Roman" w:cs="Tahoma"/>
          <w:color w:val="auto"/>
          <w:lang w:eastAsia="es-ES"/>
        </w:rPr>
        <w:t xml:space="preserve"> establecidas en el ordenamiento jurídico previamente señalado, toda vez que: este Instituto no tiene conocimiento de que se encuentre en trámite algún medio de defensa presentado por la </w:t>
      </w:r>
      <w:r w:rsidRPr="00461DE1">
        <w:rPr>
          <w:rFonts w:eastAsia="Times New Roman" w:cs="Tahoma"/>
          <w:color w:val="auto"/>
          <w:lang w:eastAsia="es-ES"/>
        </w:rPr>
        <w:lastRenderedPageBreak/>
        <w:t>Recurrente ante otra instancia; no existió prevención alguna; la veracidad de la respuesta no formó parte del agravio; ni se realizó una consulta o ampliación a los alcances del requerimiento informativo.</w:t>
      </w:r>
    </w:p>
    <w:p w14:paraId="4A06D45C" w14:textId="77777777" w:rsidR="00051642" w:rsidRPr="00461DE1" w:rsidRDefault="00051642" w:rsidP="0078724B">
      <w:pPr>
        <w:spacing w:after="0" w:line="360" w:lineRule="auto"/>
        <w:rPr>
          <w:rFonts w:eastAsia="Times New Roman" w:cs="Tahoma"/>
          <w:color w:val="auto"/>
          <w:lang w:eastAsia="es-ES"/>
        </w:rPr>
      </w:pPr>
    </w:p>
    <w:p w14:paraId="030DB5E0" w14:textId="3E74638A" w:rsidR="00051642" w:rsidRPr="00461DE1" w:rsidRDefault="00051642" w:rsidP="0078724B">
      <w:pPr>
        <w:spacing w:after="0" w:line="360" w:lineRule="auto"/>
        <w:rPr>
          <w:rFonts w:eastAsia="Times New Roman" w:cs="Tahoma"/>
          <w:color w:val="auto"/>
          <w:lang w:val="es-ES" w:eastAsia="es-ES"/>
        </w:rPr>
      </w:pPr>
      <w:r w:rsidRPr="00461DE1">
        <w:rPr>
          <w:rFonts w:eastAsia="Times New Roman" w:cs="Tahoma"/>
          <w:color w:val="auto"/>
          <w:lang w:val="es-ES" w:eastAsia="es-ES"/>
        </w:rPr>
        <w:t xml:space="preserve">Además, de que el Medio de Impugnación fue presentado en tiempo, toda vez que ante la ausencia de la respuesta del Ente Recurrido, se constituyó la </w:t>
      </w:r>
      <w:r w:rsidRPr="00461DE1">
        <w:rPr>
          <w:rFonts w:eastAsia="Times New Roman" w:cs="Tahoma"/>
          <w:b/>
          <w:color w:val="auto"/>
          <w:lang w:val="es-ES" w:eastAsia="es-ES"/>
        </w:rPr>
        <w:t>negativa ficta</w:t>
      </w:r>
      <w:r w:rsidRPr="00461DE1">
        <w:rPr>
          <w:rFonts w:eastAsia="Times New Roman" w:cs="Tahoma"/>
          <w:color w:val="auto"/>
          <w:lang w:val="es-ES" w:eastAsia="es-ES"/>
        </w:rPr>
        <w:t xml:space="preserve">, que genera la posibilidad de los particulares de interponer un recurso de revisión ante tal omisión, </w:t>
      </w:r>
      <w:r w:rsidRPr="00461DE1">
        <w:rPr>
          <w:rFonts w:eastAsia="Times New Roman" w:cs="Tahoma"/>
          <w:color w:val="auto"/>
          <w:u w:val="single"/>
          <w:lang w:val="es-ES" w:eastAsia="es-ES"/>
        </w:rPr>
        <w:t>en cualquier momento</w:t>
      </w:r>
      <w:r w:rsidRPr="00461DE1">
        <w:rPr>
          <w:rFonts w:eastAsia="Times New Roman" w:cs="Tahoma"/>
          <w:color w:val="auto"/>
          <w:lang w:val="es-ES" w:eastAsia="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40070DCB" w14:textId="77777777" w:rsidR="00051642" w:rsidRPr="00461DE1" w:rsidRDefault="00051642" w:rsidP="0078724B">
      <w:pPr>
        <w:spacing w:after="0" w:line="360" w:lineRule="auto"/>
        <w:rPr>
          <w:rFonts w:eastAsia="Times New Roman" w:cs="Tahoma"/>
          <w:color w:val="auto"/>
          <w:lang w:val="es-ES" w:eastAsia="es-ES"/>
        </w:rPr>
      </w:pPr>
    </w:p>
    <w:p w14:paraId="69A90029" w14:textId="6EBB07C5" w:rsidR="00051642" w:rsidRPr="00461DE1" w:rsidRDefault="00051642" w:rsidP="0078724B">
      <w:pPr>
        <w:spacing w:after="0" w:line="360" w:lineRule="auto"/>
        <w:rPr>
          <w:rFonts w:eastAsia="Times New Roman" w:cs="Tahoma"/>
          <w:bCs/>
          <w:color w:val="auto"/>
          <w:lang w:val="es-ES" w:eastAsia="es-ES"/>
        </w:rPr>
      </w:pPr>
      <w:r w:rsidRPr="00461DE1">
        <w:rPr>
          <w:rFonts w:eastAsia="Times New Roman" w:cs="Tahoma"/>
          <w:color w:val="auto"/>
          <w:lang w:val="es-ES" w:eastAsia="es-ES"/>
        </w:rPr>
        <w:t>Conforme a lo anterior, se actualiza la causal de procedencia señalada en el artículo 179, fracción VII, de la Ley de la materia</w:t>
      </w:r>
      <w:r w:rsidRPr="00461DE1">
        <w:rPr>
          <w:rFonts w:eastAsia="Times New Roman" w:cs="Tahoma"/>
          <w:bCs/>
          <w:color w:val="auto"/>
          <w:lang w:val="es-ES" w:eastAsia="es-ES"/>
        </w:rPr>
        <w:t xml:space="preserve">, toda vez que </w:t>
      </w:r>
      <w:r w:rsidR="00F90DE8" w:rsidRPr="00461DE1">
        <w:rPr>
          <w:rFonts w:eastAsia="Times New Roman" w:cs="Tahoma"/>
          <w:bCs/>
          <w:color w:val="auto"/>
          <w:lang w:val="es-ES" w:eastAsia="es-ES"/>
        </w:rPr>
        <w:t>el</w:t>
      </w:r>
      <w:r w:rsidRPr="00461DE1">
        <w:rPr>
          <w:rFonts w:eastAsia="Times New Roman" w:cs="Tahoma"/>
          <w:bCs/>
          <w:color w:val="auto"/>
          <w:lang w:val="es-ES" w:eastAsia="es-ES"/>
        </w:rPr>
        <w:t xml:space="preserve"> Solicitante se inconformó con la falta de respuesta a s</w:t>
      </w:r>
      <w:r w:rsidR="00686942" w:rsidRPr="00461DE1">
        <w:rPr>
          <w:rFonts w:eastAsia="Times New Roman" w:cs="Tahoma"/>
          <w:bCs/>
          <w:color w:val="auto"/>
          <w:lang w:val="es-ES" w:eastAsia="es-ES"/>
        </w:rPr>
        <w:t>u</w:t>
      </w:r>
      <w:r w:rsidRPr="00461DE1">
        <w:rPr>
          <w:rFonts w:eastAsia="Times New Roman" w:cs="Tahoma"/>
          <w:bCs/>
          <w:color w:val="auto"/>
          <w:lang w:val="es-ES" w:eastAsia="es-ES"/>
        </w:rPr>
        <w:t xml:space="preserve"> solicitud de acceso a información pública.</w:t>
      </w:r>
    </w:p>
    <w:p w14:paraId="13780674" w14:textId="77777777" w:rsidR="00051642" w:rsidRPr="00461DE1" w:rsidRDefault="00051642" w:rsidP="0078724B">
      <w:pPr>
        <w:spacing w:after="0" w:line="360" w:lineRule="auto"/>
        <w:rPr>
          <w:rFonts w:eastAsia="Times New Roman" w:cs="Tahoma"/>
          <w:bCs/>
          <w:color w:val="auto"/>
          <w:lang w:val="es-ES" w:eastAsia="es-ES"/>
        </w:rPr>
      </w:pPr>
    </w:p>
    <w:p w14:paraId="7E9C56A5" w14:textId="5763AD06" w:rsidR="00051642" w:rsidRPr="00461DE1" w:rsidRDefault="00EC6C06" w:rsidP="0078724B">
      <w:pPr>
        <w:spacing w:after="0" w:line="360" w:lineRule="auto"/>
        <w:rPr>
          <w:rFonts w:eastAsia="Times New Roman" w:cs="Tahoma"/>
          <w:b/>
          <w:bCs/>
          <w:color w:val="auto"/>
          <w:lang w:eastAsia="es-ES"/>
        </w:rPr>
      </w:pPr>
      <w:r w:rsidRPr="00461DE1">
        <w:rPr>
          <w:rFonts w:eastAsia="Times New Roman" w:cs="Tahoma"/>
          <w:b/>
          <w:bCs/>
          <w:color w:val="auto"/>
          <w:lang w:eastAsia="es-ES"/>
        </w:rPr>
        <w:t>Causales de sobreseimiento</w:t>
      </w:r>
    </w:p>
    <w:p w14:paraId="3A24E961" w14:textId="77777777" w:rsidR="007A16A9" w:rsidRPr="00361B01" w:rsidRDefault="007A16A9" w:rsidP="0078724B">
      <w:pPr>
        <w:spacing w:after="0" w:line="360" w:lineRule="auto"/>
        <w:rPr>
          <w:rFonts w:eastAsia="Times New Roman" w:cs="Tahoma"/>
          <w:bCs/>
          <w:color w:val="FF0000"/>
          <w:lang w:eastAsia="es-ES"/>
        </w:rPr>
      </w:pPr>
    </w:p>
    <w:p w14:paraId="4CFF9130" w14:textId="6E2E0CED" w:rsidR="00051642" w:rsidRPr="00461DE1" w:rsidRDefault="00051642" w:rsidP="0078724B">
      <w:pPr>
        <w:spacing w:after="0" w:line="360" w:lineRule="auto"/>
        <w:rPr>
          <w:rFonts w:eastAsia="Times New Roman" w:cs="Tahoma"/>
          <w:bCs/>
          <w:color w:val="auto"/>
          <w:lang w:eastAsia="es-ES"/>
        </w:rPr>
      </w:pPr>
      <w:r w:rsidRPr="00461DE1">
        <w:rPr>
          <w:rFonts w:eastAsia="Times New Roman" w:cs="Tahoma"/>
          <w:bCs/>
          <w:color w:val="auto"/>
          <w:lang w:eastAsia="es-ES"/>
        </w:rPr>
        <w:t>Por ser de previo y especial pronunciamiento, este Instituto analiza si se actualiza alguna causal de sobreseimiento.</w:t>
      </w:r>
    </w:p>
    <w:p w14:paraId="77B2D1E9" w14:textId="77777777" w:rsidR="00F16ED4" w:rsidRPr="00461DE1" w:rsidRDefault="00F16ED4" w:rsidP="0078724B">
      <w:pPr>
        <w:spacing w:after="0" w:line="360" w:lineRule="auto"/>
        <w:rPr>
          <w:rFonts w:eastAsia="Times New Roman" w:cs="Tahoma"/>
          <w:bCs/>
          <w:color w:val="auto"/>
          <w:lang w:eastAsia="es-ES"/>
        </w:rPr>
      </w:pPr>
    </w:p>
    <w:p w14:paraId="3E88F884" w14:textId="77777777" w:rsidR="00051642" w:rsidRPr="00461DE1" w:rsidRDefault="00051642" w:rsidP="0078724B">
      <w:pPr>
        <w:spacing w:after="0" w:line="360" w:lineRule="auto"/>
        <w:rPr>
          <w:rFonts w:eastAsia="Times New Roman" w:cs="Tahoma"/>
          <w:color w:val="auto"/>
          <w:szCs w:val="24"/>
          <w:lang w:eastAsia="es-ES"/>
        </w:rPr>
      </w:pPr>
      <w:r w:rsidRPr="00461DE1">
        <w:rPr>
          <w:rFonts w:eastAsia="Times New Roman" w:cs="Tahoma"/>
          <w:color w:val="auto"/>
          <w:szCs w:val="24"/>
          <w:lang w:eastAsia="es-ES"/>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w:t>
      </w:r>
      <w:r w:rsidRPr="00461DE1">
        <w:rPr>
          <w:rFonts w:eastAsia="Times New Roman" w:cs="Tahoma"/>
          <w:color w:val="auto"/>
          <w:szCs w:val="24"/>
          <w:lang w:eastAsia="es-ES"/>
        </w:rPr>
        <w:lastRenderedPageBreak/>
        <w:t>fallecido, sobreviniera alguna causal de improcedencia, que el Sujeto Obligado hubiese modificado o revocado el acto impugnado o bien, haya quedado sin materia.</w:t>
      </w:r>
    </w:p>
    <w:p w14:paraId="27B2A9E9" w14:textId="77777777" w:rsidR="00051642" w:rsidRPr="00461DE1" w:rsidRDefault="00051642" w:rsidP="0078724B">
      <w:pPr>
        <w:spacing w:after="0" w:line="360" w:lineRule="auto"/>
        <w:rPr>
          <w:rFonts w:eastAsia="Times New Roman" w:cs="Tahoma"/>
          <w:color w:val="auto"/>
          <w:szCs w:val="24"/>
          <w:lang w:eastAsia="es-ES"/>
        </w:rPr>
      </w:pPr>
    </w:p>
    <w:p w14:paraId="0C2D0DD7" w14:textId="77777777" w:rsidR="00051642" w:rsidRPr="00461DE1" w:rsidRDefault="00051642" w:rsidP="0078724B">
      <w:pPr>
        <w:spacing w:after="0" w:line="360" w:lineRule="auto"/>
        <w:rPr>
          <w:rFonts w:eastAsia="Times New Roman" w:cs="Tahoma"/>
          <w:bCs/>
          <w:color w:val="auto"/>
          <w:lang w:eastAsia="es-ES"/>
        </w:rPr>
      </w:pPr>
      <w:r w:rsidRPr="00461DE1">
        <w:rPr>
          <w:rFonts w:eastAsia="Times New Roman" w:cs="Tahoma"/>
          <w:bCs/>
          <w:color w:val="auto"/>
          <w:lang w:eastAsia="es-ES"/>
        </w:rPr>
        <w:t xml:space="preserve">Por tales motivos, se considera procedente entrar al fondo del presente asunto. </w:t>
      </w:r>
    </w:p>
    <w:p w14:paraId="37789B71" w14:textId="77777777" w:rsidR="00051642" w:rsidRPr="00461DE1" w:rsidRDefault="00051642" w:rsidP="0078724B">
      <w:pPr>
        <w:autoSpaceDE w:val="0"/>
        <w:autoSpaceDN w:val="0"/>
        <w:adjustRightInd w:val="0"/>
        <w:spacing w:after="0" w:line="360" w:lineRule="auto"/>
        <w:rPr>
          <w:rFonts w:eastAsia="Times New Roman" w:cs="Tahoma"/>
          <w:color w:val="auto"/>
          <w:szCs w:val="24"/>
          <w:lang w:val="es-ES" w:eastAsia="es-ES"/>
        </w:rPr>
      </w:pPr>
    </w:p>
    <w:p w14:paraId="28F00995" w14:textId="422BD39B" w:rsidR="00051642" w:rsidRPr="00D47632" w:rsidRDefault="00051642" w:rsidP="0078724B">
      <w:pPr>
        <w:pStyle w:val="Ttulo1"/>
        <w:spacing w:before="0" w:line="360" w:lineRule="auto"/>
        <w:rPr>
          <w:rFonts w:ascii="Palatino Linotype" w:eastAsia="Times New Roman" w:hAnsi="Palatino Linotype"/>
          <w:b/>
          <w:bCs/>
          <w:color w:val="auto"/>
          <w:sz w:val="22"/>
          <w:szCs w:val="22"/>
          <w:lang w:val="es-ES" w:eastAsia="es-ES"/>
        </w:rPr>
      </w:pPr>
      <w:bookmarkStart w:id="15" w:name="_Toc192778069"/>
      <w:r w:rsidRPr="00D47632">
        <w:rPr>
          <w:rFonts w:ascii="Palatino Linotype" w:eastAsia="Times New Roman" w:hAnsi="Palatino Linotype"/>
          <w:b/>
          <w:bCs/>
          <w:color w:val="auto"/>
          <w:sz w:val="22"/>
          <w:szCs w:val="22"/>
          <w:lang w:val="es-ES" w:eastAsia="es-ES"/>
        </w:rPr>
        <w:t>TERCERO. De</w:t>
      </w:r>
      <w:r w:rsidR="00EC6C06" w:rsidRPr="00D47632">
        <w:rPr>
          <w:rFonts w:ascii="Palatino Linotype" w:eastAsia="Times New Roman" w:hAnsi="Palatino Linotype"/>
          <w:b/>
          <w:bCs/>
          <w:color w:val="auto"/>
          <w:sz w:val="22"/>
          <w:szCs w:val="22"/>
          <w:lang w:val="es-ES" w:eastAsia="es-ES"/>
        </w:rPr>
        <w:t>terminación de la Controversia</w:t>
      </w:r>
      <w:bookmarkEnd w:id="15"/>
    </w:p>
    <w:p w14:paraId="7D9DCBBA" w14:textId="77777777" w:rsidR="00151FB1" w:rsidRPr="007A5378" w:rsidRDefault="00151FB1" w:rsidP="0078724B">
      <w:pPr>
        <w:autoSpaceDE w:val="0"/>
        <w:autoSpaceDN w:val="0"/>
        <w:adjustRightInd w:val="0"/>
        <w:spacing w:after="0" w:line="360" w:lineRule="auto"/>
        <w:rPr>
          <w:rFonts w:eastAsia="Calibri" w:cs="Tahoma"/>
          <w:color w:val="auto"/>
          <w:szCs w:val="24"/>
          <w:lang w:val="es-ES" w:eastAsia="es-MX"/>
        </w:rPr>
      </w:pPr>
    </w:p>
    <w:p w14:paraId="2560171E" w14:textId="7FBEAAF3" w:rsidR="00812CF7" w:rsidRPr="007A5378" w:rsidRDefault="00051642" w:rsidP="0078724B">
      <w:pPr>
        <w:widowControl w:val="0"/>
        <w:autoSpaceDE w:val="0"/>
        <w:autoSpaceDN w:val="0"/>
        <w:adjustRightInd w:val="0"/>
        <w:spacing w:after="0" w:line="360" w:lineRule="auto"/>
        <w:rPr>
          <w:rFonts w:eastAsia="Calibri" w:cs="Tahoma"/>
          <w:color w:val="auto"/>
          <w:szCs w:val="24"/>
          <w:lang w:val="es-ES" w:eastAsia="es-MX"/>
        </w:rPr>
      </w:pPr>
      <w:r w:rsidRPr="007A5378">
        <w:rPr>
          <w:rFonts w:eastAsia="Calibri" w:cs="Tahoma"/>
          <w:color w:val="auto"/>
          <w:szCs w:val="24"/>
          <w:lang w:val="es-ES" w:eastAsia="es-MX"/>
        </w:rPr>
        <w:t>Con el objeto de ilustrar la controversia planteada, resulta conveniente precisar, que una vez realizado el estudio de las constancias que integran el expediente en que se actúa, se desprende que el Particular requirió</w:t>
      </w:r>
      <w:r w:rsidR="009037EA" w:rsidRPr="007A5378">
        <w:rPr>
          <w:rFonts w:eastAsia="Calibri" w:cs="Tahoma"/>
          <w:color w:val="auto"/>
          <w:szCs w:val="24"/>
          <w:lang w:val="es-ES" w:eastAsia="es-MX"/>
        </w:rPr>
        <w:t xml:space="preserve"> </w:t>
      </w:r>
      <w:r w:rsidR="0078724B">
        <w:rPr>
          <w:rFonts w:eastAsia="Calibri" w:cs="Tahoma"/>
          <w:color w:val="auto"/>
          <w:szCs w:val="24"/>
          <w:lang w:val="es-ES" w:eastAsia="es-MX"/>
        </w:rPr>
        <w:t>los</w:t>
      </w:r>
      <w:r w:rsidR="007A5378" w:rsidRPr="007A5378">
        <w:rPr>
          <w:rFonts w:eastAsia="Calibri" w:cs="Tahoma"/>
          <w:color w:val="auto"/>
          <w:szCs w:val="24"/>
          <w:lang w:val="es-ES" w:eastAsia="es-MX"/>
        </w:rPr>
        <w:t xml:space="preserve"> recibo</w:t>
      </w:r>
      <w:r w:rsidR="0078724B">
        <w:rPr>
          <w:rFonts w:eastAsia="Calibri" w:cs="Tahoma"/>
          <w:color w:val="auto"/>
          <w:szCs w:val="24"/>
          <w:lang w:val="es-ES" w:eastAsia="es-MX"/>
        </w:rPr>
        <w:t>s</w:t>
      </w:r>
      <w:r w:rsidR="007A5378" w:rsidRPr="007A5378">
        <w:rPr>
          <w:rFonts w:eastAsia="Calibri" w:cs="Tahoma"/>
          <w:color w:val="auto"/>
          <w:szCs w:val="24"/>
          <w:lang w:val="es-ES" w:eastAsia="es-MX"/>
        </w:rPr>
        <w:t xml:space="preserve"> de n</w:t>
      </w:r>
      <w:r w:rsidR="0078724B">
        <w:rPr>
          <w:rFonts w:eastAsia="Calibri" w:cs="Tahoma"/>
          <w:color w:val="auto"/>
          <w:szCs w:val="24"/>
          <w:lang w:val="es-ES" w:eastAsia="es-MX"/>
        </w:rPr>
        <w:t>ó</w:t>
      </w:r>
      <w:r w:rsidR="007A5378" w:rsidRPr="007A5378">
        <w:rPr>
          <w:rFonts w:eastAsia="Calibri" w:cs="Tahoma"/>
          <w:color w:val="auto"/>
          <w:szCs w:val="24"/>
          <w:lang w:val="es-ES" w:eastAsia="es-MX"/>
        </w:rPr>
        <w:t>mina de la primera quincena de enero de dos mil veinticinco de</w:t>
      </w:r>
      <w:r w:rsidR="0078724B">
        <w:rPr>
          <w:rFonts w:eastAsia="Calibri" w:cs="Tahoma"/>
          <w:color w:val="auto"/>
          <w:szCs w:val="24"/>
          <w:lang w:val="es-ES" w:eastAsia="es-MX"/>
        </w:rPr>
        <w:t xml:space="preserve"> todos</w:t>
      </w:r>
      <w:r w:rsidR="007A5378" w:rsidRPr="007A5378">
        <w:rPr>
          <w:rFonts w:eastAsia="Calibri" w:cs="Tahoma"/>
          <w:color w:val="auto"/>
          <w:szCs w:val="24"/>
          <w:lang w:val="es-ES" w:eastAsia="es-MX"/>
        </w:rPr>
        <w:t xml:space="preserve"> los servidores públicos adscritos al </w:t>
      </w:r>
      <w:r w:rsidR="007A5378" w:rsidRPr="007A5378">
        <w:rPr>
          <w:rFonts w:eastAsia="Calibri" w:cs="Tahoma"/>
          <w:color w:val="auto"/>
        </w:rPr>
        <w:t>Sistema Municipal para el Desarrollo Integral de la Familia de Villa del Carbón</w:t>
      </w:r>
      <w:r w:rsidR="0078724B">
        <w:rPr>
          <w:rFonts w:eastAsia="Calibri" w:cs="Tahoma"/>
          <w:color w:val="auto"/>
        </w:rPr>
        <w:t>, en formato “PDF”</w:t>
      </w:r>
      <w:r w:rsidR="007A5378" w:rsidRPr="007A5378">
        <w:rPr>
          <w:rFonts w:eastAsia="Calibri" w:cs="Tahoma"/>
          <w:color w:val="auto"/>
        </w:rPr>
        <w:t>.</w:t>
      </w:r>
    </w:p>
    <w:p w14:paraId="7E3312E7" w14:textId="77777777" w:rsidR="007A5378" w:rsidRPr="00361B01" w:rsidRDefault="007A5378" w:rsidP="0078724B">
      <w:pPr>
        <w:widowControl w:val="0"/>
        <w:autoSpaceDE w:val="0"/>
        <w:autoSpaceDN w:val="0"/>
        <w:adjustRightInd w:val="0"/>
        <w:spacing w:after="0" w:line="360" w:lineRule="auto"/>
        <w:rPr>
          <w:rFonts w:eastAsia="Calibri" w:cs="Tahoma"/>
          <w:color w:val="FF0000"/>
          <w:szCs w:val="24"/>
          <w:lang w:val="es-ES" w:eastAsia="es-MX"/>
        </w:rPr>
      </w:pPr>
    </w:p>
    <w:p w14:paraId="7E4CAB9F" w14:textId="0D95A87E" w:rsidR="00BE2AA3" w:rsidRDefault="00051642" w:rsidP="0078724B">
      <w:pPr>
        <w:spacing w:after="0" w:line="360" w:lineRule="auto"/>
        <w:rPr>
          <w:rFonts w:eastAsia="Calibri" w:cs="Tahoma"/>
          <w:color w:val="auto"/>
        </w:rPr>
      </w:pPr>
      <w:r w:rsidRPr="007A5378">
        <w:rPr>
          <w:rFonts w:cs="Tahoma"/>
          <w:bCs/>
          <w:iCs/>
          <w:color w:val="auto"/>
          <w:lang w:val="es-ES"/>
        </w:rPr>
        <w:t>Ante la falta de respuesta del Ente Recurrido, el Particular, justamente se inconformó po</w:t>
      </w:r>
      <w:r w:rsidR="00F90DE8" w:rsidRPr="007A5378">
        <w:rPr>
          <w:rFonts w:cs="Tahoma"/>
          <w:bCs/>
          <w:iCs/>
          <w:color w:val="auto"/>
          <w:lang w:val="es-ES"/>
        </w:rPr>
        <w:t xml:space="preserve">rque no </w:t>
      </w:r>
      <w:r w:rsidR="002352A8" w:rsidRPr="007A5378">
        <w:rPr>
          <w:rFonts w:cs="Tahoma"/>
          <w:bCs/>
          <w:iCs/>
          <w:color w:val="auto"/>
          <w:lang w:val="es-ES"/>
        </w:rPr>
        <w:t>ha recibido respuesta</w:t>
      </w:r>
      <w:r w:rsidRPr="007A5378">
        <w:rPr>
          <w:rFonts w:cs="Tahoma"/>
          <w:bCs/>
          <w:iCs/>
          <w:color w:val="auto"/>
          <w:lang w:val="es-ES"/>
        </w:rPr>
        <w:t>, lo cual se actualiza el supuesto previsto</w:t>
      </w:r>
      <w:r w:rsidR="00384DCB" w:rsidRPr="007A5378">
        <w:rPr>
          <w:rFonts w:cs="Tahoma"/>
          <w:bCs/>
          <w:iCs/>
          <w:color w:val="auto"/>
          <w:lang w:val="es-ES"/>
        </w:rPr>
        <w:t xml:space="preserve"> en el artículo 179, fracción VI</w:t>
      </w:r>
      <w:r w:rsidRPr="007A5378">
        <w:rPr>
          <w:rFonts w:cs="Tahoma"/>
          <w:bCs/>
          <w:iCs/>
          <w:color w:val="auto"/>
          <w:lang w:val="es-ES"/>
        </w:rPr>
        <w:t>I, de la Ley de Transparencia y Acceso a la Información Pública del Estado de México y Municipios</w:t>
      </w:r>
      <w:r w:rsidRPr="007A5378">
        <w:rPr>
          <w:rFonts w:cs="Tahoma"/>
          <w:bCs/>
          <w:iCs/>
          <w:color w:val="auto"/>
          <w:shd w:val="clear" w:color="auto" w:fill="FFFFFF"/>
        </w:rPr>
        <w:t xml:space="preserve">. </w:t>
      </w:r>
      <w:r w:rsidRPr="007A5378">
        <w:rPr>
          <w:rFonts w:cs="Tahoma"/>
          <w:color w:val="auto"/>
          <w:lang w:val="es-ES"/>
        </w:rPr>
        <w:t xml:space="preserve">Así las cosas, una vez admitido y notificado </w:t>
      </w:r>
      <w:r w:rsidR="007C5ABD" w:rsidRPr="007A5378">
        <w:rPr>
          <w:rFonts w:cs="Tahoma"/>
          <w:color w:val="auto"/>
          <w:lang w:val="es-ES"/>
        </w:rPr>
        <w:t>el</w:t>
      </w:r>
      <w:r w:rsidR="00382A3B" w:rsidRPr="007A5378">
        <w:rPr>
          <w:rFonts w:cs="Tahoma"/>
          <w:color w:val="auto"/>
          <w:lang w:val="es-ES"/>
        </w:rPr>
        <w:t xml:space="preserve"> Recurso</w:t>
      </w:r>
      <w:r w:rsidRPr="007A5378">
        <w:rPr>
          <w:rFonts w:cs="Tahoma"/>
          <w:color w:val="auto"/>
          <w:lang w:val="es-ES"/>
        </w:rPr>
        <w:t xml:space="preserve"> de Revisión a las partes, </w:t>
      </w:r>
      <w:r w:rsidR="003F3741" w:rsidRPr="007A5378">
        <w:rPr>
          <w:rFonts w:cs="Tahoma"/>
          <w:color w:val="auto"/>
          <w:lang w:val="es-ES"/>
        </w:rPr>
        <w:t xml:space="preserve">el Sujeto </w:t>
      </w:r>
      <w:r w:rsidR="003F3741" w:rsidRPr="00310CBB">
        <w:rPr>
          <w:rFonts w:cs="Tahoma"/>
          <w:color w:val="auto"/>
          <w:lang w:val="es-ES"/>
        </w:rPr>
        <w:t>Obligado</w:t>
      </w:r>
      <w:r w:rsidR="00694BCE" w:rsidRPr="00310CBB">
        <w:rPr>
          <w:rFonts w:cs="Tahoma"/>
          <w:color w:val="auto"/>
          <w:lang w:val="es-ES"/>
        </w:rPr>
        <w:t xml:space="preserve"> </w:t>
      </w:r>
      <w:r w:rsidR="00006113" w:rsidRPr="00310CBB">
        <w:rPr>
          <w:rFonts w:cs="Tahoma"/>
          <w:color w:val="auto"/>
          <w:lang w:val="es-ES"/>
        </w:rPr>
        <w:t>a través de</w:t>
      </w:r>
      <w:r w:rsidR="007A5378" w:rsidRPr="00310CBB">
        <w:rPr>
          <w:rFonts w:cs="Tahoma"/>
          <w:color w:val="auto"/>
          <w:lang w:val="es-ES"/>
        </w:rPr>
        <w:t xml:space="preserve"> la Titular de la Unidad de Transparencia </w:t>
      </w:r>
      <w:r w:rsidR="00310CBB">
        <w:rPr>
          <w:rFonts w:cs="Tahoma"/>
          <w:color w:val="auto"/>
          <w:lang w:val="es-ES"/>
        </w:rPr>
        <w:t xml:space="preserve">refirió que anexaba la información solicitada, adjuntando cuarenta copias de recibos de nómina del personal adscrito al </w:t>
      </w:r>
      <w:r w:rsidR="00310CBB" w:rsidRPr="007A5378">
        <w:rPr>
          <w:rFonts w:eastAsia="Calibri" w:cs="Tahoma"/>
          <w:color w:val="auto"/>
        </w:rPr>
        <w:t>Sistema Municipal para el Desarrollo Integral de la Familia de Villa del Carbón</w:t>
      </w:r>
      <w:r w:rsidR="00310CBB">
        <w:rPr>
          <w:rFonts w:eastAsia="Calibri" w:cs="Tahoma"/>
          <w:color w:val="auto"/>
        </w:rPr>
        <w:t>.</w:t>
      </w:r>
    </w:p>
    <w:p w14:paraId="37B3C00D" w14:textId="77777777" w:rsidR="0078724B" w:rsidRPr="00310CBB" w:rsidRDefault="0078724B" w:rsidP="0078724B">
      <w:pPr>
        <w:spacing w:after="0" w:line="360" w:lineRule="auto"/>
        <w:rPr>
          <w:rFonts w:cs="Tahoma"/>
          <w:color w:val="FF0000"/>
          <w:lang w:val="es-ES"/>
        </w:rPr>
      </w:pPr>
    </w:p>
    <w:p w14:paraId="03A74004" w14:textId="5C7BEE23" w:rsidR="00051642" w:rsidRPr="00310CBB" w:rsidRDefault="00051642" w:rsidP="0078724B">
      <w:pPr>
        <w:tabs>
          <w:tab w:val="left" w:pos="4962"/>
        </w:tabs>
        <w:spacing w:after="0" w:line="360" w:lineRule="auto"/>
        <w:rPr>
          <w:rFonts w:eastAsia="Calibri" w:cs="Tahoma"/>
          <w:bCs/>
          <w:color w:val="auto"/>
          <w:szCs w:val="24"/>
        </w:rPr>
      </w:pPr>
      <w:r w:rsidRPr="00310CBB">
        <w:rPr>
          <w:rFonts w:eastAsia="Calibri" w:cs="Tahoma"/>
          <w:iCs/>
          <w:color w:val="auto"/>
          <w:lang w:val="es-ES" w:eastAsia="es-ES_tradnl"/>
        </w:rPr>
        <w:t xml:space="preserve">Lo anterior, se desprende de las documentales que obran en el expediente de referencia, materia de la presente resolución, consistente en: la </w:t>
      </w:r>
      <w:r w:rsidR="00573BDE" w:rsidRPr="00310CBB">
        <w:rPr>
          <w:rFonts w:eastAsia="Calibri" w:cs="Tahoma"/>
          <w:iCs/>
          <w:color w:val="auto"/>
          <w:lang w:val="es-ES" w:eastAsia="es-ES_tradnl"/>
        </w:rPr>
        <w:t>solicitud</w:t>
      </w:r>
      <w:r w:rsidRPr="00310CBB">
        <w:rPr>
          <w:rFonts w:eastAsia="Calibri" w:cs="Tahoma"/>
          <w:iCs/>
          <w:color w:val="auto"/>
          <w:lang w:val="es-ES" w:eastAsia="es-ES_tradnl"/>
        </w:rPr>
        <w:t xml:space="preserve"> de acceso a la información</w:t>
      </w:r>
      <w:r w:rsidR="00310CBB" w:rsidRPr="00310CBB">
        <w:rPr>
          <w:rFonts w:eastAsia="Calibri" w:cs="Tahoma"/>
          <w:iCs/>
          <w:color w:val="auto"/>
          <w:lang w:val="es-ES" w:eastAsia="es-ES_tradnl"/>
        </w:rPr>
        <w:t xml:space="preserve">, </w:t>
      </w:r>
      <w:r w:rsidR="00573BDE" w:rsidRPr="00310CBB">
        <w:rPr>
          <w:rFonts w:eastAsia="Calibri" w:cs="Tahoma"/>
          <w:iCs/>
          <w:color w:val="auto"/>
          <w:lang w:eastAsia="es-ES_tradnl"/>
        </w:rPr>
        <w:t>el</w:t>
      </w:r>
      <w:r w:rsidRPr="00310CBB">
        <w:rPr>
          <w:rFonts w:eastAsia="Calibri" w:cs="Tahoma"/>
          <w:iCs/>
          <w:color w:val="auto"/>
          <w:lang w:eastAsia="es-ES_tradnl"/>
        </w:rPr>
        <w:t xml:space="preserve"> escrito </w:t>
      </w:r>
      <w:proofErr w:type="spellStart"/>
      <w:r w:rsidRPr="00310CBB">
        <w:rPr>
          <w:rFonts w:eastAsia="Calibri" w:cs="Tahoma"/>
          <w:iCs/>
          <w:color w:val="auto"/>
          <w:lang w:eastAsia="es-ES_tradnl"/>
        </w:rPr>
        <w:t>recursal</w:t>
      </w:r>
      <w:proofErr w:type="spellEnd"/>
      <w:r w:rsidR="00310CBB" w:rsidRPr="00310CBB">
        <w:rPr>
          <w:rFonts w:eastAsia="Calibri" w:cs="Tahoma"/>
          <w:iCs/>
          <w:color w:val="auto"/>
          <w:lang w:eastAsia="es-ES_tradnl"/>
        </w:rPr>
        <w:t xml:space="preserve"> y el informe justificado</w:t>
      </w:r>
      <w:r w:rsidRPr="00310CBB">
        <w:rPr>
          <w:rFonts w:eastAsia="Calibri" w:cs="Tahoma"/>
          <w:iCs/>
          <w:color w:val="auto"/>
          <w:lang w:eastAsia="es-ES_tradnl"/>
        </w:rPr>
        <w:t xml:space="preserve">; </w:t>
      </w:r>
      <w:r w:rsidRPr="00310CBB">
        <w:rPr>
          <w:rFonts w:eastAsia="Calibri" w:cs="Tahoma"/>
          <w:bCs/>
          <w:color w:val="auto"/>
          <w:szCs w:val="24"/>
        </w:rPr>
        <w:t xml:space="preserve">instrumentales que se toman en cuenta a efecto de resolver el presente medio de impugnación, conforme a lo dispuesto por el artículo 185, </w:t>
      </w:r>
      <w:r w:rsidRPr="00310CBB">
        <w:rPr>
          <w:rFonts w:eastAsia="Calibri" w:cs="Tahoma"/>
          <w:bCs/>
          <w:color w:val="auto"/>
          <w:szCs w:val="24"/>
        </w:rPr>
        <w:lastRenderedPageBreak/>
        <w:t>fracción IV, de la Ley de Transparencia y Acceso a la Información Pública del Estado de México y Municipios.</w:t>
      </w:r>
    </w:p>
    <w:p w14:paraId="481B8730" w14:textId="77777777" w:rsidR="004245E3" w:rsidRPr="00361B01" w:rsidRDefault="004245E3" w:rsidP="0078724B">
      <w:pPr>
        <w:tabs>
          <w:tab w:val="left" w:pos="4962"/>
        </w:tabs>
        <w:spacing w:after="0" w:line="360" w:lineRule="auto"/>
        <w:rPr>
          <w:rFonts w:eastAsia="Calibri" w:cs="Tahoma"/>
          <w:bCs/>
          <w:color w:val="FF0000"/>
          <w:szCs w:val="24"/>
        </w:rPr>
      </w:pPr>
    </w:p>
    <w:p w14:paraId="01992FBB" w14:textId="1015DE4E" w:rsidR="00051642" w:rsidRPr="00D47632" w:rsidRDefault="00051642" w:rsidP="0078724B">
      <w:pPr>
        <w:pStyle w:val="Ttulo1"/>
        <w:spacing w:before="0" w:line="360" w:lineRule="auto"/>
        <w:rPr>
          <w:rFonts w:ascii="Palatino Linotype" w:eastAsia="Times New Roman" w:hAnsi="Palatino Linotype"/>
          <w:b/>
          <w:bCs/>
          <w:color w:val="auto"/>
          <w:sz w:val="22"/>
          <w:szCs w:val="22"/>
          <w:lang w:eastAsia="es-ES"/>
        </w:rPr>
      </w:pPr>
      <w:bookmarkStart w:id="16" w:name="_Toc192778070"/>
      <w:r w:rsidRPr="00D47632">
        <w:rPr>
          <w:rFonts w:ascii="Palatino Linotype" w:eastAsia="Times New Roman" w:hAnsi="Palatino Linotype"/>
          <w:b/>
          <w:bCs/>
          <w:color w:val="auto"/>
          <w:sz w:val="22"/>
          <w:szCs w:val="22"/>
          <w:lang w:val="es-ES" w:eastAsia="es-ES"/>
        </w:rPr>
        <w:t xml:space="preserve">CUARTO. </w:t>
      </w:r>
      <w:r w:rsidRPr="00D47632">
        <w:rPr>
          <w:rFonts w:ascii="Palatino Linotype" w:eastAsia="Times New Roman" w:hAnsi="Palatino Linotype"/>
          <w:b/>
          <w:bCs/>
          <w:color w:val="auto"/>
          <w:sz w:val="22"/>
          <w:szCs w:val="22"/>
          <w:lang w:eastAsia="es-ES"/>
        </w:rPr>
        <w:t xml:space="preserve">Marco normativo aplicable en materia de transparencia y </w:t>
      </w:r>
      <w:r w:rsidR="00EC6C06" w:rsidRPr="00D47632">
        <w:rPr>
          <w:rFonts w:ascii="Palatino Linotype" w:eastAsia="Times New Roman" w:hAnsi="Palatino Linotype"/>
          <w:b/>
          <w:bCs/>
          <w:color w:val="auto"/>
          <w:sz w:val="22"/>
          <w:szCs w:val="22"/>
          <w:lang w:eastAsia="es-ES"/>
        </w:rPr>
        <w:t>acceso a la información pública</w:t>
      </w:r>
      <w:bookmarkEnd w:id="16"/>
    </w:p>
    <w:p w14:paraId="6CC8CCA2" w14:textId="77777777" w:rsidR="00051642" w:rsidRPr="00310CBB" w:rsidRDefault="00051642" w:rsidP="0078724B">
      <w:pPr>
        <w:autoSpaceDE w:val="0"/>
        <w:autoSpaceDN w:val="0"/>
        <w:adjustRightInd w:val="0"/>
        <w:spacing w:after="0" w:line="360" w:lineRule="auto"/>
        <w:rPr>
          <w:rFonts w:eastAsia="Times New Roman" w:cs="Tahoma"/>
          <w:bCs/>
          <w:iCs/>
          <w:color w:val="auto"/>
          <w:lang w:val="es-ES" w:eastAsia="es-ES"/>
        </w:rPr>
      </w:pPr>
    </w:p>
    <w:p w14:paraId="6E5F496D" w14:textId="77777777" w:rsidR="00051642" w:rsidRPr="00310CBB" w:rsidRDefault="00051642" w:rsidP="0078724B">
      <w:pPr>
        <w:spacing w:after="0" w:line="360" w:lineRule="auto"/>
        <w:rPr>
          <w:rFonts w:eastAsia="Times New Roman" w:cs="Tahoma"/>
          <w:bCs/>
          <w:iCs/>
          <w:color w:val="auto"/>
          <w:lang w:eastAsia="es-ES"/>
        </w:rPr>
      </w:pPr>
      <w:r w:rsidRPr="00310CBB">
        <w:rPr>
          <w:rFonts w:eastAsia="Times New Roman" w:cs="Tahoma"/>
          <w:bCs/>
          <w:iCs/>
          <w:color w:val="auto"/>
          <w:lang w:eastAsia="es-ES"/>
        </w:rPr>
        <w:t xml:space="preserve">El artículo 6°, Apartado A), fracción I de la Constitución Política de los Estados Unidos Mexicanos, establece que toda la información en posesión de cualquier </w:t>
      </w:r>
      <w:proofErr w:type="gramStart"/>
      <w:r w:rsidRPr="00310CBB">
        <w:rPr>
          <w:rFonts w:eastAsia="Times New Roman" w:cs="Tahoma"/>
          <w:bCs/>
          <w:iCs/>
          <w:color w:val="auto"/>
          <w:lang w:eastAsia="es-ES"/>
        </w:rPr>
        <w:t>autoridad,</w:t>
      </w:r>
      <w:proofErr w:type="gramEnd"/>
      <w:r w:rsidRPr="00310CBB">
        <w:rPr>
          <w:rFonts w:eastAsia="Times New Roman" w:cs="Tahoma"/>
          <w:bCs/>
          <w:iCs/>
          <w:color w:val="auto"/>
          <w:lang w:eastAsia="es-ES"/>
        </w:rPr>
        <w:t xml:space="preserve"> es pública y sólo podrá ser reservada temporalmente por razones de interés público.</w:t>
      </w:r>
    </w:p>
    <w:p w14:paraId="5890D99A" w14:textId="77777777" w:rsidR="00051642" w:rsidRPr="00310CBB" w:rsidRDefault="00051642" w:rsidP="0078724B">
      <w:pPr>
        <w:spacing w:after="0" w:line="360" w:lineRule="auto"/>
        <w:rPr>
          <w:rFonts w:eastAsia="Times New Roman" w:cs="Tahoma"/>
          <w:bCs/>
          <w:iCs/>
          <w:color w:val="auto"/>
          <w:lang w:eastAsia="es-ES"/>
        </w:rPr>
      </w:pPr>
    </w:p>
    <w:p w14:paraId="47F8BE4A" w14:textId="77777777" w:rsidR="00051642" w:rsidRPr="00310CBB" w:rsidRDefault="00051642" w:rsidP="0078724B">
      <w:pPr>
        <w:spacing w:after="0" w:line="360" w:lineRule="auto"/>
        <w:rPr>
          <w:rFonts w:eastAsia="Times New Roman" w:cs="Tahoma"/>
          <w:bCs/>
          <w:iCs/>
          <w:color w:val="auto"/>
          <w:lang w:eastAsia="es-ES"/>
        </w:rPr>
      </w:pPr>
      <w:r w:rsidRPr="00310CBB">
        <w:rPr>
          <w:rFonts w:eastAsia="Times New Roman" w:cs="Tahoma"/>
          <w:bCs/>
          <w:iCs/>
          <w:color w:val="auto"/>
          <w:lang w:eastAsia="es-ES"/>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2CA8F274" w14:textId="77777777" w:rsidR="00051642" w:rsidRPr="00310CBB" w:rsidRDefault="00051642" w:rsidP="0078724B">
      <w:pPr>
        <w:spacing w:after="0" w:line="360" w:lineRule="auto"/>
        <w:rPr>
          <w:rFonts w:eastAsia="Times New Roman" w:cs="Tahoma"/>
          <w:bCs/>
          <w:iCs/>
          <w:color w:val="auto"/>
          <w:lang w:eastAsia="es-ES"/>
        </w:rPr>
      </w:pPr>
    </w:p>
    <w:p w14:paraId="686A1040" w14:textId="77777777" w:rsidR="00051642" w:rsidRPr="00310CBB" w:rsidRDefault="00051642" w:rsidP="0078724B">
      <w:pPr>
        <w:spacing w:after="0" w:line="360" w:lineRule="auto"/>
        <w:rPr>
          <w:rFonts w:eastAsia="Times New Roman" w:cs="Tahoma"/>
          <w:bCs/>
          <w:iCs/>
          <w:color w:val="auto"/>
          <w:lang w:eastAsia="es-ES"/>
        </w:rPr>
      </w:pPr>
      <w:r w:rsidRPr="00310CBB">
        <w:rPr>
          <w:rFonts w:eastAsia="Times New Roman" w:cs="Tahoma"/>
          <w:bCs/>
          <w:iCs/>
          <w:color w:val="auto"/>
          <w:lang w:eastAsia="es-ES"/>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47FE455C" w14:textId="77777777" w:rsidR="00051642" w:rsidRPr="00310CBB" w:rsidRDefault="00051642" w:rsidP="0078724B">
      <w:pPr>
        <w:spacing w:after="0" w:line="360" w:lineRule="auto"/>
        <w:rPr>
          <w:rFonts w:eastAsia="Times New Roman" w:cs="Tahoma"/>
          <w:bCs/>
          <w:iCs/>
          <w:color w:val="auto"/>
          <w:lang w:eastAsia="es-ES"/>
        </w:rPr>
      </w:pPr>
    </w:p>
    <w:p w14:paraId="00B7B9A9" w14:textId="77777777" w:rsidR="00051642" w:rsidRPr="00310CBB" w:rsidRDefault="00051642" w:rsidP="0078724B">
      <w:pPr>
        <w:spacing w:after="0" w:line="360" w:lineRule="auto"/>
        <w:rPr>
          <w:rFonts w:eastAsia="Times New Roman" w:cs="Tahoma"/>
          <w:bCs/>
          <w:iCs/>
          <w:color w:val="auto"/>
          <w:lang w:eastAsia="es-ES"/>
        </w:rPr>
      </w:pPr>
      <w:r w:rsidRPr="00310CBB">
        <w:rPr>
          <w:rFonts w:eastAsia="Times New Roman" w:cs="Tahoma"/>
          <w:bCs/>
          <w:iCs/>
          <w:color w:val="auto"/>
          <w:lang w:eastAsia="es-ES"/>
        </w:rPr>
        <w:t>Por su parte, la Ley de Transparencia y Acceso a la Información Pública del Estado de México y Municipios (Reglamentaria del artículo 5° de la Constitución Local), establece lo siguiente:</w:t>
      </w:r>
    </w:p>
    <w:p w14:paraId="3A42A706" w14:textId="77777777" w:rsidR="00BA51D5" w:rsidRPr="00310CBB" w:rsidRDefault="00BA51D5" w:rsidP="0078724B">
      <w:pPr>
        <w:spacing w:after="0" w:line="360" w:lineRule="auto"/>
        <w:rPr>
          <w:rFonts w:eastAsia="Times New Roman" w:cs="Tahoma"/>
          <w:bCs/>
          <w:iCs/>
          <w:color w:val="auto"/>
          <w:lang w:eastAsia="es-ES"/>
        </w:rPr>
      </w:pPr>
    </w:p>
    <w:p w14:paraId="0347B303" w14:textId="77777777" w:rsidR="00051642" w:rsidRPr="00310CBB" w:rsidRDefault="00051642" w:rsidP="0078724B">
      <w:pPr>
        <w:spacing w:after="0" w:line="360" w:lineRule="auto"/>
        <w:rPr>
          <w:rFonts w:eastAsia="Times New Roman" w:cs="Tahoma"/>
          <w:bCs/>
          <w:iCs/>
          <w:color w:val="auto"/>
          <w:lang w:eastAsia="es-ES"/>
        </w:rPr>
      </w:pPr>
      <w:r w:rsidRPr="00310CBB">
        <w:rPr>
          <w:rFonts w:eastAsia="Times New Roman" w:cs="Tahoma"/>
          <w:bCs/>
          <w:iCs/>
          <w:color w:val="auto"/>
          <w:lang w:eastAsia="es-ES"/>
        </w:rPr>
        <w:t>El artículo 12, que, quienes generen, recopilen, administren, manejen, procesen, archiven o conserven información pública serán responsables de la misma.</w:t>
      </w:r>
    </w:p>
    <w:p w14:paraId="70AB3D13" w14:textId="77777777" w:rsidR="00051642" w:rsidRPr="00310CBB" w:rsidRDefault="00051642" w:rsidP="0078724B">
      <w:pPr>
        <w:spacing w:after="0" w:line="360" w:lineRule="auto"/>
        <w:rPr>
          <w:rFonts w:eastAsia="Times New Roman" w:cs="Tahoma"/>
          <w:bCs/>
          <w:iCs/>
          <w:color w:val="auto"/>
          <w:lang w:eastAsia="es-ES"/>
        </w:rPr>
      </w:pPr>
    </w:p>
    <w:p w14:paraId="7452EA94" w14:textId="77777777" w:rsidR="00051642" w:rsidRPr="00310CBB" w:rsidRDefault="00051642" w:rsidP="0078724B">
      <w:pPr>
        <w:widowControl w:val="0"/>
        <w:spacing w:after="0" w:line="360" w:lineRule="auto"/>
        <w:rPr>
          <w:rFonts w:eastAsia="Times New Roman" w:cs="Tahoma"/>
          <w:bCs/>
          <w:iCs/>
          <w:color w:val="auto"/>
          <w:lang w:eastAsia="es-ES"/>
        </w:rPr>
      </w:pPr>
      <w:r w:rsidRPr="00310CBB">
        <w:rPr>
          <w:rFonts w:eastAsia="Times New Roman" w:cs="Tahoma"/>
          <w:bCs/>
          <w:iCs/>
          <w:color w:val="auto"/>
          <w:lang w:eastAsia="es-ES"/>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66B96C0B" w14:textId="77777777" w:rsidR="006F1B7E" w:rsidRPr="00310CBB" w:rsidRDefault="006F1B7E" w:rsidP="0078724B">
      <w:pPr>
        <w:widowControl w:val="0"/>
        <w:spacing w:after="0" w:line="360" w:lineRule="auto"/>
        <w:rPr>
          <w:rFonts w:eastAsia="Times New Roman" w:cs="Tahoma"/>
          <w:bCs/>
          <w:iCs/>
          <w:color w:val="auto"/>
          <w:lang w:eastAsia="es-ES"/>
        </w:rPr>
      </w:pPr>
    </w:p>
    <w:p w14:paraId="51BEAC7E" w14:textId="28991B26" w:rsidR="003B3509" w:rsidRPr="00310CBB" w:rsidRDefault="00051642" w:rsidP="0078724B">
      <w:pPr>
        <w:spacing w:after="0" w:line="360" w:lineRule="auto"/>
        <w:rPr>
          <w:rFonts w:eastAsia="Times New Roman" w:cs="Tahoma"/>
          <w:bCs/>
          <w:iCs/>
          <w:color w:val="auto"/>
          <w:lang w:eastAsia="es-ES"/>
        </w:rPr>
      </w:pPr>
      <w:r w:rsidRPr="00310CBB">
        <w:rPr>
          <w:rFonts w:eastAsia="Times New Roman" w:cs="Tahoma"/>
          <w:bCs/>
          <w:iCs/>
          <w:color w:val="auto"/>
          <w:lang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ACBD59C" w14:textId="77777777" w:rsidR="006E3925" w:rsidRPr="00310CBB" w:rsidRDefault="006E3925" w:rsidP="0078724B">
      <w:pPr>
        <w:spacing w:after="0" w:line="360" w:lineRule="auto"/>
        <w:rPr>
          <w:rFonts w:eastAsia="Times New Roman" w:cs="Tahoma"/>
          <w:bCs/>
          <w:iCs/>
          <w:color w:val="auto"/>
          <w:lang w:eastAsia="es-ES"/>
        </w:rPr>
      </w:pPr>
    </w:p>
    <w:p w14:paraId="4ADF2933" w14:textId="5B8B5328" w:rsidR="00F90DE8" w:rsidRPr="00D47632" w:rsidRDefault="00310CBB" w:rsidP="0078724B">
      <w:pPr>
        <w:pStyle w:val="Ttulo1"/>
        <w:spacing w:before="0" w:line="360" w:lineRule="auto"/>
        <w:rPr>
          <w:rFonts w:ascii="Palatino Linotype" w:eastAsia="Times New Roman" w:hAnsi="Palatino Linotype"/>
          <w:b/>
          <w:bCs/>
          <w:color w:val="auto"/>
          <w:sz w:val="22"/>
          <w:szCs w:val="22"/>
          <w:lang w:val="es-ES" w:eastAsia="es-ES"/>
        </w:rPr>
      </w:pPr>
      <w:bookmarkStart w:id="17" w:name="_Toc192778071"/>
      <w:r w:rsidRPr="00D47632">
        <w:rPr>
          <w:rFonts w:ascii="Palatino Linotype" w:eastAsia="Times New Roman" w:hAnsi="Palatino Linotype"/>
          <w:b/>
          <w:bCs/>
          <w:color w:val="auto"/>
          <w:sz w:val="22"/>
          <w:szCs w:val="22"/>
          <w:lang w:val="es-ES" w:eastAsia="es-ES"/>
        </w:rPr>
        <w:t>QUINTO</w:t>
      </w:r>
      <w:r w:rsidR="00EC6C06" w:rsidRPr="00D47632">
        <w:rPr>
          <w:rFonts w:ascii="Palatino Linotype" w:eastAsia="Times New Roman" w:hAnsi="Palatino Linotype"/>
          <w:b/>
          <w:bCs/>
          <w:color w:val="auto"/>
          <w:sz w:val="22"/>
          <w:szCs w:val="22"/>
          <w:lang w:val="es-ES" w:eastAsia="es-ES"/>
        </w:rPr>
        <w:t>. Estudio de Fondo</w:t>
      </w:r>
      <w:bookmarkEnd w:id="17"/>
    </w:p>
    <w:p w14:paraId="667B91BB" w14:textId="77777777" w:rsidR="00EC180A" w:rsidRPr="00361B01" w:rsidRDefault="00EC180A" w:rsidP="0078724B">
      <w:pPr>
        <w:spacing w:after="0" w:line="360" w:lineRule="auto"/>
        <w:rPr>
          <w:rFonts w:eastAsia="Times New Roman" w:cs="Tahoma"/>
          <w:b/>
          <w:bCs/>
          <w:iCs/>
          <w:color w:val="FF0000"/>
          <w:lang w:val="es-ES" w:eastAsia="es-ES"/>
        </w:rPr>
      </w:pPr>
    </w:p>
    <w:p w14:paraId="5B29609E" w14:textId="0953AC48" w:rsidR="009037EA" w:rsidRPr="00310CBB" w:rsidRDefault="009037EA" w:rsidP="0078724B">
      <w:pPr>
        <w:widowControl w:val="0"/>
        <w:spacing w:after="0" w:line="360" w:lineRule="auto"/>
        <w:rPr>
          <w:rFonts w:eastAsia="Times New Roman" w:cs="Tahoma"/>
          <w:color w:val="auto"/>
          <w:lang w:eastAsia="es-MX"/>
        </w:rPr>
      </w:pPr>
      <w:r w:rsidRPr="00310CBB">
        <w:rPr>
          <w:rFonts w:eastAsia="Times New Roman" w:cs="Tahoma"/>
          <w:color w:val="auto"/>
          <w:lang w:eastAsia="es-MX"/>
        </w:rPr>
        <w:t xml:space="preserve">Expuestas las posturas de las partes, se procede al análisis del agravio hecho valer por </w:t>
      </w:r>
      <w:r w:rsidR="002C1731" w:rsidRPr="00310CBB">
        <w:rPr>
          <w:rFonts w:eastAsia="Times New Roman" w:cs="Tahoma"/>
          <w:color w:val="auto"/>
          <w:lang w:eastAsia="es-MX"/>
        </w:rPr>
        <w:t>el</w:t>
      </w:r>
      <w:r w:rsidRPr="00310CBB">
        <w:rPr>
          <w:rFonts w:eastAsia="Times New Roman" w:cs="Tahoma"/>
          <w:color w:val="auto"/>
          <w:lang w:eastAsia="es-MX"/>
        </w:rPr>
        <w:t xml:space="preserve"> ahora Recurrente, concerniente a la </w:t>
      </w:r>
      <w:r w:rsidR="002C1731" w:rsidRPr="00310CBB">
        <w:rPr>
          <w:rFonts w:eastAsia="Times New Roman" w:cs="Tahoma"/>
          <w:color w:val="auto"/>
          <w:lang w:eastAsia="es-MX"/>
        </w:rPr>
        <w:t>falta de respuesta</w:t>
      </w:r>
      <w:r w:rsidRPr="00310CBB">
        <w:rPr>
          <w:rFonts w:eastAsia="Times New Roman" w:cs="Tahoma"/>
          <w:color w:val="auto"/>
          <w:lang w:eastAsia="es-MX"/>
        </w:rPr>
        <w:t xml:space="preserve"> del </w:t>
      </w:r>
      <w:r w:rsidR="00310CBB" w:rsidRPr="00310CBB">
        <w:rPr>
          <w:rFonts w:eastAsia="Calibri" w:cs="Tahoma"/>
          <w:color w:val="auto"/>
        </w:rPr>
        <w:t>Sistema Municipal para el Desarrollo Integral de la Familia de Villa del Carbón</w:t>
      </w:r>
      <w:r w:rsidR="00310CBB" w:rsidRPr="00310CBB">
        <w:rPr>
          <w:rFonts w:eastAsia="Times New Roman" w:cs="Tahoma"/>
          <w:color w:val="auto"/>
          <w:lang w:eastAsia="es-MX"/>
        </w:rPr>
        <w:t xml:space="preserve"> </w:t>
      </w:r>
      <w:r w:rsidRPr="00310CBB">
        <w:rPr>
          <w:rFonts w:eastAsia="Times New Roman" w:cs="Tahoma"/>
          <w:color w:val="auto"/>
          <w:lang w:eastAsia="es-MX"/>
        </w:rPr>
        <w:t>a la solicitud de información.</w:t>
      </w:r>
    </w:p>
    <w:p w14:paraId="66EE9A3B" w14:textId="77777777" w:rsidR="00A31D5D" w:rsidRPr="00361B01" w:rsidRDefault="00A31D5D" w:rsidP="0078724B">
      <w:pPr>
        <w:spacing w:after="0" w:line="360" w:lineRule="auto"/>
        <w:rPr>
          <w:rFonts w:eastAsia="Times New Roman" w:cs="Tahoma"/>
          <w:color w:val="FF0000"/>
          <w:lang w:eastAsia="es-MX"/>
        </w:rPr>
      </w:pPr>
    </w:p>
    <w:p w14:paraId="49DEE590" w14:textId="52F39D83" w:rsidR="00051642" w:rsidRPr="00310CBB" w:rsidRDefault="00051642" w:rsidP="0078724B">
      <w:pPr>
        <w:spacing w:after="0" w:line="360" w:lineRule="auto"/>
        <w:rPr>
          <w:rFonts w:eastAsia="Times New Roman" w:cs="Tahoma"/>
          <w:bCs/>
          <w:iCs/>
          <w:color w:val="auto"/>
          <w:lang w:eastAsia="es-ES"/>
        </w:rPr>
      </w:pPr>
      <w:r w:rsidRPr="00310CBB">
        <w:rPr>
          <w:rFonts w:eastAsia="Times New Roman" w:cs="Tahoma"/>
          <w:bCs/>
          <w:iCs/>
          <w:color w:val="auto"/>
          <w:lang w:eastAsia="es-ES"/>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5780A20C" w14:textId="77777777" w:rsidR="00D7156D" w:rsidRPr="00310CBB" w:rsidRDefault="00D7156D" w:rsidP="0078724B">
      <w:pPr>
        <w:spacing w:after="0" w:line="360" w:lineRule="auto"/>
        <w:rPr>
          <w:rFonts w:eastAsia="Times New Roman" w:cs="Tahoma"/>
          <w:bCs/>
          <w:iCs/>
          <w:color w:val="auto"/>
          <w:lang w:eastAsia="es-ES"/>
        </w:rPr>
      </w:pPr>
    </w:p>
    <w:p w14:paraId="0719A826" w14:textId="300A9295" w:rsidR="00051642" w:rsidRPr="00310CBB" w:rsidRDefault="00051642" w:rsidP="0078724B">
      <w:pPr>
        <w:numPr>
          <w:ilvl w:val="0"/>
          <w:numId w:val="1"/>
        </w:numPr>
        <w:spacing w:after="0" w:line="360" w:lineRule="auto"/>
        <w:rPr>
          <w:rFonts w:eastAsia="Times New Roman" w:cs="Tahoma"/>
          <w:bCs/>
          <w:iCs/>
          <w:color w:val="auto"/>
          <w:lang w:eastAsia="es-ES"/>
        </w:rPr>
      </w:pPr>
      <w:r w:rsidRPr="00310CBB">
        <w:rPr>
          <w:rFonts w:eastAsia="Times New Roman" w:cs="Tahoma"/>
          <w:bCs/>
          <w:iCs/>
          <w:color w:val="auto"/>
          <w:lang w:eastAsia="es-ES"/>
        </w:rPr>
        <w:t>Proveer lo necesario para garantizar a toda persona el derecho de acceso a la información pública, a través de procedimientos sencillos, expeditos, oportunos y gratuitos;</w:t>
      </w:r>
    </w:p>
    <w:p w14:paraId="20A61D98" w14:textId="77777777" w:rsidR="0080061B" w:rsidRPr="00310CBB" w:rsidRDefault="0080061B" w:rsidP="0078724B">
      <w:pPr>
        <w:spacing w:after="0" w:line="360" w:lineRule="auto"/>
        <w:ind w:left="720"/>
        <w:rPr>
          <w:rFonts w:eastAsia="Times New Roman" w:cs="Tahoma"/>
          <w:bCs/>
          <w:iCs/>
          <w:color w:val="auto"/>
          <w:lang w:eastAsia="es-ES"/>
        </w:rPr>
      </w:pPr>
    </w:p>
    <w:p w14:paraId="0AEE67C6" w14:textId="1FCA244A" w:rsidR="00051642" w:rsidRPr="00310CBB" w:rsidRDefault="00051642" w:rsidP="0078724B">
      <w:pPr>
        <w:numPr>
          <w:ilvl w:val="0"/>
          <w:numId w:val="1"/>
        </w:numPr>
        <w:spacing w:after="0" w:line="360" w:lineRule="auto"/>
        <w:rPr>
          <w:rFonts w:eastAsia="Times New Roman" w:cs="Tahoma"/>
          <w:bCs/>
          <w:iCs/>
          <w:color w:val="auto"/>
          <w:lang w:eastAsia="es-ES"/>
        </w:rPr>
      </w:pPr>
      <w:r w:rsidRPr="00310CBB">
        <w:rPr>
          <w:rFonts w:eastAsia="Times New Roman" w:cs="Tahoma"/>
          <w:bCs/>
          <w:iCs/>
          <w:color w:val="auto"/>
          <w:lang w:eastAsia="es-ES"/>
        </w:rPr>
        <w:t>Transparentar la gestión pública, mediante la difusión de la información generada por los Sujetos Obligados, y</w:t>
      </w:r>
    </w:p>
    <w:p w14:paraId="0D9FCC13" w14:textId="77777777" w:rsidR="0080061B" w:rsidRPr="00310CBB" w:rsidRDefault="0080061B" w:rsidP="0078724B">
      <w:pPr>
        <w:pStyle w:val="Prrafodelista"/>
        <w:spacing w:after="0" w:line="360" w:lineRule="auto"/>
        <w:rPr>
          <w:rFonts w:eastAsia="Times New Roman" w:cs="Tahoma"/>
          <w:bCs/>
          <w:iCs/>
          <w:color w:val="auto"/>
          <w:lang w:eastAsia="es-ES"/>
        </w:rPr>
      </w:pPr>
    </w:p>
    <w:p w14:paraId="770FC2AF" w14:textId="77777777" w:rsidR="00051642" w:rsidRPr="00310CBB" w:rsidRDefault="00051642" w:rsidP="0078724B">
      <w:pPr>
        <w:numPr>
          <w:ilvl w:val="0"/>
          <w:numId w:val="1"/>
        </w:numPr>
        <w:spacing w:after="0" w:line="360" w:lineRule="auto"/>
        <w:rPr>
          <w:rFonts w:eastAsia="Times New Roman" w:cs="Tahoma"/>
          <w:bCs/>
          <w:iCs/>
          <w:color w:val="auto"/>
          <w:lang w:eastAsia="es-ES"/>
        </w:rPr>
      </w:pPr>
      <w:r w:rsidRPr="00310CBB">
        <w:rPr>
          <w:rFonts w:eastAsia="Times New Roman" w:cs="Tahoma"/>
          <w:bCs/>
          <w:iCs/>
          <w:color w:val="auto"/>
          <w:lang w:eastAsia="es-ES"/>
        </w:rPr>
        <w:t>Promover, fomentar y difundir la cultura de la transparencia en el ejercicio de la función pública, el acceso a la información y la participación ciudadana, así como, la rendición de cuentas.</w:t>
      </w:r>
    </w:p>
    <w:p w14:paraId="6576508E" w14:textId="77777777" w:rsidR="002C1731" w:rsidRPr="00310CBB" w:rsidRDefault="002C1731" w:rsidP="0078724B">
      <w:pPr>
        <w:spacing w:after="0" w:line="360" w:lineRule="auto"/>
        <w:rPr>
          <w:rFonts w:eastAsia="Times New Roman" w:cs="Tahoma"/>
          <w:bCs/>
          <w:iCs/>
          <w:color w:val="auto"/>
          <w:lang w:eastAsia="es-ES"/>
        </w:rPr>
      </w:pPr>
    </w:p>
    <w:p w14:paraId="26ECA5DE" w14:textId="23E640A8" w:rsidR="00051642" w:rsidRPr="00310CBB" w:rsidRDefault="00051642" w:rsidP="0078724B">
      <w:pPr>
        <w:spacing w:after="0" w:line="360" w:lineRule="auto"/>
        <w:rPr>
          <w:rFonts w:eastAsia="Times New Roman" w:cs="Tahoma"/>
          <w:bCs/>
          <w:iCs/>
          <w:color w:val="auto"/>
          <w:lang w:eastAsia="es-ES"/>
        </w:rPr>
      </w:pPr>
      <w:r w:rsidRPr="00310CBB">
        <w:rPr>
          <w:rFonts w:eastAsia="Times New Roman" w:cs="Tahoma"/>
          <w:bCs/>
          <w:iCs/>
          <w:color w:val="auto"/>
          <w:lang w:eastAsia="es-ES"/>
        </w:rPr>
        <w:t xml:space="preserve">Conforme a lo anterior, se deprende que </w:t>
      </w:r>
      <w:r w:rsidRPr="00310CBB">
        <w:rPr>
          <w:rFonts w:eastAsia="Times New Roman" w:cs="Tahoma"/>
          <w:b/>
          <w:bCs/>
          <w:iCs/>
          <w:color w:val="auto"/>
          <w:lang w:eastAsia="es-ES"/>
        </w:rPr>
        <w:t xml:space="preserve">los objetivos de la Ley de la </w:t>
      </w:r>
      <w:proofErr w:type="gramStart"/>
      <w:r w:rsidRPr="00310CBB">
        <w:rPr>
          <w:rFonts w:eastAsia="Times New Roman" w:cs="Tahoma"/>
          <w:b/>
          <w:bCs/>
          <w:iCs/>
          <w:color w:val="auto"/>
          <w:lang w:eastAsia="es-ES"/>
        </w:rPr>
        <w:t>materia,</w:t>
      </w:r>
      <w:proofErr w:type="gramEnd"/>
      <w:r w:rsidRPr="00310CBB">
        <w:rPr>
          <w:rFonts w:eastAsia="Times New Roman" w:cs="Tahoma"/>
          <w:bCs/>
          <w:iCs/>
          <w:color w:val="auto"/>
          <w:lang w:eastAsia="es-ES"/>
        </w:rPr>
        <w:t xml:space="preserve">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534B33B0" w14:textId="77777777" w:rsidR="00D7156D" w:rsidRPr="00310CBB" w:rsidRDefault="00D7156D" w:rsidP="0078724B">
      <w:pPr>
        <w:spacing w:after="0" w:line="360" w:lineRule="auto"/>
        <w:rPr>
          <w:rFonts w:eastAsia="Times New Roman" w:cs="Tahoma"/>
          <w:bCs/>
          <w:iCs/>
          <w:color w:val="auto"/>
          <w:lang w:eastAsia="es-ES"/>
        </w:rPr>
      </w:pPr>
    </w:p>
    <w:p w14:paraId="3338287D" w14:textId="77777777" w:rsidR="00051642" w:rsidRPr="00310CBB" w:rsidRDefault="00051642" w:rsidP="0078724B">
      <w:pPr>
        <w:widowControl w:val="0"/>
        <w:spacing w:after="0" w:line="360" w:lineRule="auto"/>
        <w:rPr>
          <w:rFonts w:eastAsia="Times New Roman" w:cs="Tahoma"/>
          <w:bCs/>
          <w:iCs/>
          <w:color w:val="auto"/>
          <w:lang w:eastAsia="es-ES"/>
        </w:rPr>
      </w:pPr>
      <w:r w:rsidRPr="00310CBB">
        <w:rPr>
          <w:rFonts w:eastAsia="Times New Roman" w:cs="Tahoma"/>
          <w:bCs/>
          <w:iCs/>
          <w:color w:val="auto"/>
          <w:lang w:eastAsia="es-ES"/>
        </w:rPr>
        <w:t xml:space="preserve">En ese orden de ideas, para la atención de las solicitudes de acceso a la información, debe privilegiarse el </w:t>
      </w:r>
      <w:r w:rsidRPr="00310CBB">
        <w:rPr>
          <w:rFonts w:eastAsia="Times New Roman" w:cs="Tahoma"/>
          <w:b/>
          <w:bCs/>
          <w:iCs/>
          <w:color w:val="auto"/>
          <w:lang w:eastAsia="es-ES"/>
        </w:rPr>
        <w:t>principio de máxima publicidad</w:t>
      </w:r>
      <w:r w:rsidRPr="00310CBB">
        <w:rPr>
          <w:rFonts w:eastAsia="Times New Roman" w:cs="Tahoma"/>
          <w:bCs/>
          <w:iCs/>
          <w:color w:val="auto"/>
          <w:lang w:eastAsia="es-ES"/>
        </w:rP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2A21D3DD" w14:textId="509636DC" w:rsidR="00051642" w:rsidRPr="00310CBB" w:rsidRDefault="00051642" w:rsidP="0078724B">
      <w:pPr>
        <w:spacing w:after="0" w:line="360" w:lineRule="auto"/>
        <w:rPr>
          <w:rFonts w:eastAsia="Times New Roman" w:cs="Tahoma"/>
          <w:bCs/>
          <w:iCs/>
          <w:color w:val="auto"/>
          <w:lang w:eastAsia="es-ES"/>
        </w:rPr>
      </w:pPr>
    </w:p>
    <w:p w14:paraId="6EC98FC3" w14:textId="42795330" w:rsidR="00051642" w:rsidRPr="00310CBB" w:rsidRDefault="00051642" w:rsidP="0078724B">
      <w:pPr>
        <w:spacing w:after="0" w:line="360" w:lineRule="auto"/>
        <w:rPr>
          <w:rFonts w:eastAsia="Times New Roman" w:cs="Tahoma"/>
          <w:bCs/>
          <w:iCs/>
          <w:color w:val="auto"/>
          <w:lang w:eastAsia="es-ES"/>
        </w:rPr>
      </w:pPr>
      <w:r w:rsidRPr="00310CBB">
        <w:rPr>
          <w:rFonts w:eastAsia="Times New Roman" w:cs="Tahoma"/>
          <w:bCs/>
          <w:iCs/>
          <w:color w:val="auto"/>
          <w:lang w:eastAsia="es-ES"/>
        </w:rPr>
        <w:t xml:space="preserve">Para lograr lo anterior, los Sujetos Obligados deben seguir el procedimiento para la atención a las solicitudes de acceso a la información, establecido en los artículos 151, </w:t>
      </w:r>
      <w:r w:rsidR="00357735" w:rsidRPr="00310CBB">
        <w:rPr>
          <w:rFonts w:eastAsia="Times New Roman" w:cs="Tahoma"/>
          <w:bCs/>
          <w:iCs/>
          <w:color w:val="auto"/>
          <w:lang w:eastAsia="es-ES"/>
        </w:rPr>
        <w:t xml:space="preserve">159, </w:t>
      </w:r>
      <w:r w:rsidRPr="00310CBB">
        <w:rPr>
          <w:rFonts w:eastAsia="Times New Roman" w:cs="Tahoma"/>
          <w:bCs/>
          <w:iCs/>
          <w:color w:val="auto"/>
          <w:lang w:eastAsia="es-ES"/>
        </w:rPr>
        <w:t>160, 162, 163, 164, 165 y 166, de la Ley de Transparencia y Acceso a la Información Pública del Estado de México y Municipios, el cual es el siguiente:</w:t>
      </w:r>
    </w:p>
    <w:p w14:paraId="459D1ACF" w14:textId="77777777" w:rsidR="00051642" w:rsidRPr="00310CBB" w:rsidRDefault="00051642" w:rsidP="0078724B">
      <w:pPr>
        <w:spacing w:after="0" w:line="360" w:lineRule="auto"/>
        <w:rPr>
          <w:rFonts w:eastAsia="Times New Roman" w:cs="Tahoma"/>
          <w:bCs/>
          <w:iCs/>
          <w:color w:val="auto"/>
          <w:lang w:eastAsia="es-ES"/>
        </w:rPr>
      </w:pPr>
    </w:p>
    <w:p w14:paraId="371A517D" w14:textId="2140A98B" w:rsidR="00051642" w:rsidRPr="00310CBB" w:rsidRDefault="00051642" w:rsidP="0078724B">
      <w:pPr>
        <w:numPr>
          <w:ilvl w:val="0"/>
          <w:numId w:val="2"/>
        </w:numPr>
        <w:spacing w:after="0" w:line="360" w:lineRule="auto"/>
        <w:rPr>
          <w:rFonts w:eastAsia="Times New Roman" w:cs="Tahoma"/>
          <w:bCs/>
          <w:iCs/>
          <w:color w:val="auto"/>
          <w:lang w:eastAsia="es-ES"/>
        </w:rPr>
      </w:pPr>
      <w:r w:rsidRPr="00310CBB">
        <w:rPr>
          <w:rFonts w:eastAsia="Times New Roman" w:cs="Tahoma"/>
          <w:bCs/>
          <w:iCs/>
          <w:color w:val="auto"/>
          <w:lang w:eastAsia="es-ES"/>
        </w:rPr>
        <w:t xml:space="preserve">Las Unidades de Transparencia de los Sujetos Obligados deben garantizar las medidas y condiciones de accesibilidad para que toda persona puede ejercer el derecho de acceso a la información; por lo que, son las responsables de hacer las </w:t>
      </w:r>
      <w:r w:rsidRPr="00310CBB">
        <w:rPr>
          <w:rFonts w:eastAsia="Times New Roman" w:cs="Tahoma"/>
          <w:bCs/>
          <w:iCs/>
          <w:color w:val="auto"/>
          <w:lang w:eastAsia="es-ES"/>
        </w:rPr>
        <w:lastRenderedPageBreak/>
        <w:t>notificaciones correspondientes, además de llevar a cabo de todas las gestiones necesarias para facilitar el acceso de la información;</w:t>
      </w:r>
    </w:p>
    <w:p w14:paraId="48B50DB7" w14:textId="77777777" w:rsidR="002302CE" w:rsidRPr="00310CBB" w:rsidRDefault="002302CE" w:rsidP="0078724B">
      <w:pPr>
        <w:spacing w:after="0" w:line="360" w:lineRule="auto"/>
        <w:ind w:left="720"/>
        <w:rPr>
          <w:rFonts w:eastAsia="Times New Roman" w:cs="Tahoma"/>
          <w:bCs/>
          <w:iCs/>
          <w:color w:val="auto"/>
          <w:lang w:eastAsia="es-ES"/>
        </w:rPr>
      </w:pPr>
    </w:p>
    <w:p w14:paraId="0C358246" w14:textId="54E49355" w:rsidR="00382A3B" w:rsidRPr="00310CBB" w:rsidRDefault="00357735" w:rsidP="0078724B">
      <w:pPr>
        <w:numPr>
          <w:ilvl w:val="0"/>
          <w:numId w:val="2"/>
        </w:numPr>
        <w:spacing w:after="0" w:line="360" w:lineRule="auto"/>
        <w:rPr>
          <w:rFonts w:eastAsia="Times New Roman" w:cs="Tahoma"/>
          <w:bCs/>
          <w:iCs/>
          <w:color w:val="auto"/>
          <w:lang w:eastAsia="es-ES"/>
        </w:rPr>
      </w:pPr>
      <w:r w:rsidRPr="00310CBB">
        <w:rPr>
          <w:rFonts w:eastAsia="Times New Roman" w:cs="Tahoma"/>
          <w:bCs/>
          <w:iCs/>
          <w:color w:val="auto"/>
          <w:lang w:eastAsia="es-ES"/>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7A03A914" w14:textId="77777777" w:rsidR="00382A3B" w:rsidRPr="00310CBB" w:rsidRDefault="00382A3B" w:rsidP="0078724B">
      <w:pPr>
        <w:pStyle w:val="Prrafodelista"/>
        <w:spacing w:after="0" w:line="360" w:lineRule="auto"/>
        <w:rPr>
          <w:rFonts w:eastAsia="Times New Roman" w:cs="Tahoma"/>
          <w:bCs/>
          <w:iCs/>
          <w:color w:val="auto"/>
          <w:lang w:eastAsia="es-ES"/>
        </w:rPr>
      </w:pPr>
    </w:p>
    <w:p w14:paraId="456F0B12" w14:textId="77777777" w:rsidR="00051642" w:rsidRPr="00310CBB" w:rsidRDefault="00051642" w:rsidP="0078724B">
      <w:pPr>
        <w:numPr>
          <w:ilvl w:val="0"/>
          <w:numId w:val="2"/>
        </w:numPr>
        <w:spacing w:after="0" w:line="360" w:lineRule="auto"/>
        <w:rPr>
          <w:rFonts w:eastAsia="Times New Roman" w:cs="Tahoma"/>
          <w:bCs/>
          <w:iCs/>
          <w:color w:val="auto"/>
          <w:lang w:eastAsia="es-ES"/>
        </w:rPr>
      </w:pPr>
      <w:r w:rsidRPr="00310CBB">
        <w:rPr>
          <w:rFonts w:eastAsia="Times New Roman" w:cs="Tahoma"/>
          <w:bCs/>
          <w:iCs/>
          <w:color w:val="auto"/>
          <w:lang w:eastAsia="es-ES"/>
        </w:rPr>
        <w:t xml:space="preserve">Las respuestas a los requerimientos informativos deberán notificarse al interesado en el menor tiempo posible, que no podrá exceder </w:t>
      </w:r>
      <w:r w:rsidRPr="00310CBB">
        <w:rPr>
          <w:rFonts w:eastAsia="Times New Roman" w:cs="Tahoma"/>
          <w:b/>
          <w:bCs/>
          <w:iCs/>
          <w:color w:val="auto"/>
          <w:lang w:eastAsia="es-ES"/>
        </w:rPr>
        <w:t>quince días, contados a partir del día siguiente a la presentación de ésta.</w:t>
      </w:r>
      <w:r w:rsidRPr="00310CBB">
        <w:rPr>
          <w:rFonts w:eastAsia="Times New Roman" w:cs="Tahoma"/>
          <w:bCs/>
          <w:iCs/>
          <w:color w:val="auto"/>
          <w:lang w:eastAsia="es-ES"/>
        </w:rPr>
        <w:t xml:space="preserve"> Excepcionalmente, el plazo referido podrá ampliarse por siete días hábiles más, cuando existan razones fundadas y motivadas, a través del Comité de Transparencia;</w:t>
      </w:r>
    </w:p>
    <w:p w14:paraId="50088203" w14:textId="77777777" w:rsidR="00051642" w:rsidRPr="00310CBB" w:rsidRDefault="00051642" w:rsidP="0078724B">
      <w:pPr>
        <w:spacing w:after="0" w:line="360" w:lineRule="auto"/>
        <w:rPr>
          <w:rFonts w:eastAsia="Times New Roman" w:cs="Tahoma"/>
          <w:bCs/>
          <w:iCs/>
          <w:color w:val="auto"/>
          <w:lang w:eastAsia="es-ES"/>
        </w:rPr>
      </w:pPr>
    </w:p>
    <w:p w14:paraId="71708A13" w14:textId="0B91993D" w:rsidR="00051642" w:rsidRPr="00310CBB" w:rsidRDefault="00051642" w:rsidP="0078724B">
      <w:pPr>
        <w:numPr>
          <w:ilvl w:val="0"/>
          <w:numId w:val="2"/>
        </w:numPr>
        <w:spacing w:after="0" w:line="360" w:lineRule="auto"/>
        <w:rPr>
          <w:rFonts w:eastAsia="Times New Roman" w:cs="Tahoma"/>
          <w:b/>
          <w:bCs/>
          <w:iCs/>
          <w:color w:val="auto"/>
          <w:lang w:eastAsia="es-ES"/>
        </w:rPr>
      </w:pPr>
      <w:r w:rsidRPr="00310CBB">
        <w:rPr>
          <w:rFonts w:eastAsia="Times New Roman" w:cs="Tahoma"/>
          <w:bCs/>
          <w:iCs/>
          <w:color w:val="auto"/>
          <w:lang w:eastAsia="es-ES"/>
        </w:rPr>
        <w:t xml:space="preserve">Las Unidades de Transparencia garantizarán que las solicitudes se turnen a todas las áreas competentes que cuenten con la información o deban tenerla </w:t>
      </w:r>
      <w:proofErr w:type="gramStart"/>
      <w:r w:rsidRPr="00310CBB">
        <w:rPr>
          <w:rFonts w:eastAsia="Times New Roman" w:cs="Tahoma"/>
          <w:bCs/>
          <w:iCs/>
          <w:color w:val="auto"/>
          <w:lang w:eastAsia="es-ES"/>
        </w:rPr>
        <w:t>de acuerdo a</w:t>
      </w:r>
      <w:proofErr w:type="gramEnd"/>
      <w:r w:rsidRPr="00310CBB">
        <w:rPr>
          <w:rFonts w:eastAsia="Times New Roman" w:cs="Tahoma"/>
          <w:bCs/>
          <w:iCs/>
          <w:color w:val="auto"/>
          <w:lang w:eastAsia="es-ES"/>
        </w:rPr>
        <w:t xml:space="preserve"> sus facultades, funciones y atribuciones, para que realicen una búsqueda exhaustiva y razonable de la documentación solicitada, con el fin de que proporcionen las expresiones documentales </w:t>
      </w:r>
      <w:r w:rsidRPr="00310CBB">
        <w:rPr>
          <w:rFonts w:eastAsia="Times New Roman" w:cs="Tahoma"/>
          <w:b/>
          <w:bCs/>
          <w:iCs/>
          <w:color w:val="auto"/>
          <w:lang w:eastAsia="es-ES"/>
        </w:rPr>
        <w:t>que se encuentren en sus archivos o que estén constreñidos a elaborar;</w:t>
      </w:r>
    </w:p>
    <w:p w14:paraId="69D1800F" w14:textId="77777777" w:rsidR="002302CE" w:rsidRPr="00310CBB" w:rsidRDefault="002302CE" w:rsidP="0078724B">
      <w:pPr>
        <w:pStyle w:val="Prrafodelista"/>
        <w:spacing w:after="0" w:line="360" w:lineRule="auto"/>
        <w:rPr>
          <w:rFonts w:eastAsia="Times New Roman" w:cs="Tahoma"/>
          <w:b/>
          <w:bCs/>
          <w:iCs/>
          <w:color w:val="auto"/>
          <w:lang w:eastAsia="es-ES"/>
        </w:rPr>
      </w:pPr>
    </w:p>
    <w:p w14:paraId="63EB9326" w14:textId="252AA461" w:rsidR="00051642" w:rsidRPr="00310CBB" w:rsidRDefault="00051642" w:rsidP="0078724B">
      <w:pPr>
        <w:numPr>
          <w:ilvl w:val="0"/>
          <w:numId w:val="2"/>
        </w:numPr>
        <w:spacing w:after="0" w:line="360" w:lineRule="auto"/>
        <w:rPr>
          <w:rFonts w:eastAsia="Times New Roman" w:cs="Tahoma"/>
          <w:b/>
          <w:bCs/>
          <w:iCs/>
          <w:color w:val="auto"/>
          <w:lang w:eastAsia="es-ES"/>
        </w:rPr>
      </w:pPr>
      <w:r w:rsidRPr="00310CBB">
        <w:rPr>
          <w:rFonts w:eastAsia="Times New Roman" w:cs="Tahoma"/>
          <w:bCs/>
          <w:iCs/>
          <w:color w:val="auto"/>
          <w:lang w:eastAsia="es-ES"/>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085DC1CC" w14:textId="77777777" w:rsidR="002302CE" w:rsidRPr="00310CBB" w:rsidRDefault="002302CE" w:rsidP="0078724B">
      <w:pPr>
        <w:pStyle w:val="Prrafodelista"/>
        <w:spacing w:after="0" w:line="360" w:lineRule="auto"/>
        <w:rPr>
          <w:rFonts w:eastAsia="Times New Roman" w:cs="Tahoma"/>
          <w:b/>
          <w:bCs/>
          <w:iCs/>
          <w:color w:val="auto"/>
          <w:lang w:eastAsia="es-ES"/>
        </w:rPr>
      </w:pPr>
    </w:p>
    <w:p w14:paraId="65567965" w14:textId="643BBEB1" w:rsidR="00382A3B" w:rsidRPr="00310CBB" w:rsidRDefault="00051642" w:rsidP="0078724B">
      <w:pPr>
        <w:numPr>
          <w:ilvl w:val="0"/>
          <w:numId w:val="2"/>
        </w:numPr>
        <w:spacing w:after="0" w:line="360" w:lineRule="auto"/>
        <w:rPr>
          <w:rFonts w:eastAsia="Times New Roman" w:cs="Tahoma"/>
          <w:b/>
          <w:bCs/>
          <w:iCs/>
          <w:color w:val="auto"/>
          <w:lang w:eastAsia="es-ES"/>
        </w:rPr>
      </w:pPr>
      <w:r w:rsidRPr="00310CBB">
        <w:rPr>
          <w:rFonts w:eastAsia="Times New Roman" w:cs="Tahoma"/>
          <w:bCs/>
          <w:iCs/>
          <w:color w:val="auto"/>
          <w:lang w:eastAsia="es-ES"/>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4BCDF5FE" w14:textId="77777777" w:rsidR="00382A3B" w:rsidRPr="00310CBB" w:rsidRDefault="00382A3B" w:rsidP="0078724B">
      <w:pPr>
        <w:spacing w:after="0" w:line="360" w:lineRule="auto"/>
        <w:rPr>
          <w:rFonts w:eastAsia="Times New Roman" w:cs="Tahoma"/>
          <w:b/>
          <w:bCs/>
          <w:iCs/>
          <w:color w:val="auto"/>
          <w:lang w:eastAsia="es-ES"/>
        </w:rPr>
      </w:pPr>
    </w:p>
    <w:p w14:paraId="043AD233" w14:textId="63544133" w:rsidR="00151FB1" w:rsidRPr="00310CBB" w:rsidRDefault="00151FB1" w:rsidP="0078724B">
      <w:pPr>
        <w:spacing w:after="0" w:line="360" w:lineRule="auto"/>
        <w:contextualSpacing/>
        <w:rPr>
          <w:rFonts w:eastAsia="Calibri" w:cs="Tahoma"/>
          <w:bCs/>
          <w:color w:val="auto"/>
        </w:rPr>
      </w:pPr>
      <w:r w:rsidRPr="00310CBB">
        <w:rPr>
          <w:rFonts w:eastAsia="Calibri" w:cs="Tahoma"/>
          <w:color w:val="auto"/>
        </w:rPr>
        <w:t xml:space="preserve">Una vez establecido lo anterior, es de indicar que el agravio del Particular consistió en que, a la fecha de interposición del Recurso de Revisión, </w:t>
      </w:r>
      <w:r w:rsidRPr="00310CBB">
        <w:rPr>
          <w:rFonts w:eastAsia="Calibri" w:cs="Tahoma"/>
          <w:bCs/>
          <w:color w:val="auto"/>
        </w:rPr>
        <w:t xml:space="preserve">el </w:t>
      </w:r>
      <w:r w:rsidR="00310CBB" w:rsidRPr="00361B01">
        <w:rPr>
          <w:rFonts w:eastAsia="Calibri" w:cs="Tahoma"/>
        </w:rPr>
        <w:t xml:space="preserve">Sistema Municipal para el Desarrollo Integral de la Familia de Villa del </w:t>
      </w:r>
      <w:r w:rsidR="00310CBB" w:rsidRPr="00526E05">
        <w:rPr>
          <w:rFonts w:eastAsia="Calibri" w:cs="Tahoma"/>
          <w:color w:val="auto"/>
        </w:rPr>
        <w:t>Carbón</w:t>
      </w:r>
      <w:r w:rsidRPr="00526E05">
        <w:rPr>
          <w:rFonts w:eastAsia="Calibri" w:cs="Tahoma"/>
          <w:bCs/>
          <w:color w:val="auto"/>
        </w:rPr>
        <w:t>, no había registrado respuesta al requerimiento</w:t>
      </w:r>
      <w:r w:rsidRPr="00526E05">
        <w:rPr>
          <w:rFonts w:eastAsia="Calibri" w:cs="Tahoma"/>
          <w:color w:val="auto"/>
        </w:rPr>
        <w:t xml:space="preserve"> de acceso a la información, el cual se presentó, el </w:t>
      </w:r>
      <w:r w:rsidR="00526E05">
        <w:rPr>
          <w:rFonts w:eastAsia="Calibri" w:cs="Tahoma"/>
          <w:color w:val="auto"/>
        </w:rPr>
        <w:t>veinte de enero de dos mil veinticinco.</w:t>
      </w:r>
    </w:p>
    <w:p w14:paraId="1DA4039B" w14:textId="77777777" w:rsidR="00151FB1" w:rsidRPr="00361B01" w:rsidRDefault="00151FB1" w:rsidP="0078724B">
      <w:pPr>
        <w:spacing w:after="0" w:line="360" w:lineRule="auto"/>
        <w:contextualSpacing/>
        <w:rPr>
          <w:rFonts w:eastAsia="Calibri" w:cs="Tahoma"/>
          <w:color w:val="FF0000"/>
        </w:rPr>
      </w:pPr>
    </w:p>
    <w:p w14:paraId="382B0D41" w14:textId="32F6EC1C" w:rsidR="00151FB1" w:rsidRPr="006C65D1" w:rsidRDefault="00151FB1" w:rsidP="0078724B">
      <w:pPr>
        <w:spacing w:after="0" w:line="360" w:lineRule="auto"/>
        <w:contextualSpacing/>
        <w:rPr>
          <w:rFonts w:eastAsia="Calibri" w:cs="Tahoma"/>
          <w:b/>
          <w:bCs/>
          <w:color w:val="auto"/>
        </w:rPr>
      </w:pPr>
      <w:r w:rsidRPr="006C65D1">
        <w:rPr>
          <w:rFonts w:eastAsia="Calibri" w:cs="Tahoma"/>
          <w:bCs/>
          <w:color w:val="auto"/>
        </w:rPr>
        <w:t xml:space="preserve">En ese orden de ideas, el plazo con el que contaba el Sujeto Obligado para emitir contestación al requerimiento informativo, </w:t>
      </w:r>
      <w:r w:rsidRPr="006C65D1">
        <w:rPr>
          <w:rFonts w:eastAsia="Calibri" w:cs="Tahoma"/>
          <w:b/>
          <w:bCs/>
          <w:color w:val="auto"/>
        </w:rPr>
        <w:t xml:space="preserve">comenzó a correr el </w:t>
      </w:r>
      <w:r w:rsidR="006E3925" w:rsidRPr="006C65D1">
        <w:rPr>
          <w:rFonts w:eastAsia="Calibri" w:cs="Tahoma"/>
          <w:b/>
          <w:bCs/>
          <w:color w:val="auto"/>
        </w:rPr>
        <w:t xml:space="preserve">veintiuno de </w:t>
      </w:r>
      <w:r w:rsidR="006C65D1" w:rsidRPr="006C65D1">
        <w:rPr>
          <w:rFonts w:eastAsia="Calibri" w:cs="Tahoma"/>
          <w:b/>
          <w:bCs/>
          <w:color w:val="auto"/>
        </w:rPr>
        <w:t>enero y feneció el once de febrero</w:t>
      </w:r>
      <w:r w:rsidR="0078724B">
        <w:rPr>
          <w:rFonts w:eastAsia="Calibri" w:cs="Tahoma"/>
          <w:b/>
          <w:bCs/>
          <w:color w:val="auto"/>
        </w:rPr>
        <w:t xml:space="preserve">, todos </w:t>
      </w:r>
      <w:r w:rsidR="006C65D1" w:rsidRPr="006C65D1">
        <w:rPr>
          <w:rFonts w:eastAsia="Calibri" w:cs="Tahoma"/>
          <w:b/>
          <w:bCs/>
          <w:color w:val="auto"/>
        </w:rPr>
        <w:t xml:space="preserve">de dos mil veinticinco; </w:t>
      </w:r>
      <w:r w:rsidRPr="006C65D1">
        <w:rPr>
          <w:rFonts w:eastAsia="Calibri" w:cs="Tahoma"/>
          <w:color w:val="auto"/>
        </w:rPr>
        <w:t>lo</w:t>
      </w:r>
      <w:r w:rsidR="004245E3" w:rsidRPr="006C65D1">
        <w:rPr>
          <w:rFonts w:eastAsia="Calibri" w:cs="Tahoma"/>
          <w:color w:val="auto"/>
        </w:rPr>
        <w:t xml:space="preserve"> anterior, sin contar los días</w:t>
      </w:r>
      <w:r w:rsidR="002C1731" w:rsidRPr="006C65D1">
        <w:rPr>
          <w:rFonts w:eastAsia="Calibri" w:cs="Tahoma"/>
          <w:color w:val="auto"/>
        </w:rPr>
        <w:t xml:space="preserve">, </w:t>
      </w:r>
      <w:r w:rsidR="0078724B">
        <w:rPr>
          <w:rFonts w:eastAsia="Calibri" w:cs="Tahoma"/>
          <w:color w:val="auto"/>
        </w:rPr>
        <w:t>veinticinco y veintiséis de enero, así como, uno, dos, tres, ocho y nueve de febrero</w:t>
      </w:r>
      <w:r w:rsidR="00CA3EB2" w:rsidRPr="006C65D1">
        <w:rPr>
          <w:rFonts w:eastAsia="Calibri" w:cs="Tahoma"/>
          <w:color w:val="auto"/>
        </w:rPr>
        <w:t xml:space="preserve">, </w:t>
      </w:r>
      <w:r w:rsidR="0078724B">
        <w:rPr>
          <w:rFonts w:eastAsia="Calibri" w:cs="Tahoma"/>
          <w:color w:val="auto"/>
        </w:rPr>
        <w:t xml:space="preserve">todos </w:t>
      </w:r>
      <w:r w:rsidR="00694BCE" w:rsidRPr="006C65D1">
        <w:rPr>
          <w:rFonts w:eastAsia="Calibri" w:cs="Tahoma"/>
          <w:color w:val="auto"/>
        </w:rPr>
        <w:t>de dicho año</w:t>
      </w:r>
      <w:r w:rsidR="00465F58" w:rsidRPr="006C65D1">
        <w:rPr>
          <w:rFonts w:eastAsia="Calibri" w:cs="Tahoma"/>
          <w:color w:val="auto"/>
        </w:rPr>
        <w:t>,</w:t>
      </w:r>
      <w:r w:rsidR="00D7156D" w:rsidRPr="006C65D1">
        <w:rPr>
          <w:rFonts w:eastAsia="Calibri" w:cs="Tahoma"/>
          <w:color w:val="auto"/>
        </w:rPr>
        <w:t xml:space="preserve"> </w:t>
      </w:r>
      <w:r w:rsidRPr="006C65D1">
        <w:rPr>
          <w:rFonts w:eastAsia="Calibri" w:cs="Tahoma"/>
          <w:color w:val="auto"/>
        </w:rPr>
        <w:t xml:space="preserve">al ser inhábiles, </w:t>
      </w:r>
      <w:r w:rsidRPr="006C65D1">
        <w:rPr>
          <w:rFonts w:eastAsia="Batang" w:cs="Tahoma"/>
          <w:bCs/>
          <w:color w:val="auto"/>
        </w:rPr>
        <w:t xml:space="preserve">de conformidad con los artículos 3°, fracción X, y 159 de la Ley de Transparencia y Acceso a la Información Pública del Estado de México y Municipios y </w:t>
      </w:r>
      <w:bookmarkStart w:id="18" w:name="_Hlk65786947"/>
      <w:r w:rsidRPr="006C65D1">
        <w:rPr>
          <w:rFonts w:eastAsia="Batang" w:cs="Tahoma"/>
          <w:bCs/>
          <w:color w:val="auto"/>
        </w:rPr>
        <w:t xml:space="preserve">el </w:t>
      </w:r>
      <w:r w:rsidRPr="006C65D1">
        <w:rPr>
          <w:rFonts w:eastAsia="Batang" w:cs="Tahoma"/>
          <w:color w:val="auto"/>
          <w:lang w:val="es-ES"/>
        </w:rPr>
        <w:t xml:space="preserve">Calendario Oficial en Materia de Transparencia, Acceso a la Información Pública y Protección de Datos Personales del Estado de México y Municipios, así como de laborales de este Instituto, para el año </w:t>
      </w:r>
      <w:bookmarkEnd w:id="18"/>
      <w:r w:rsidR="0078724B">
        <w:rPr>
          <w:rFonts w:eastAsia="Batang" w:cs="Tahoma"/>
          <w:color w:val="auto"/>
          <w:lang w:val="es-ES"/>
        </w:rPr>
        <w:t>dos mil veinticinco</w:t>
      </w:r>
      <w:r w:rsidRPr="006C65D1">
        <w:rPr>
          <w:rFonts w:eastAsia="Batang" w:cs="Tahoma"/>
          <w:color w:val="auto"/>
          <w:lang w:val="es-ES"/>
        </w:rPr>
        <w:t>.</w:t>
      </w:r>
    </w:p>
    <w:p w14:paraId="21432234" w14:textId="77777777" w:rsidR="009C40E0" w:rsidRPr="00361B01" w:rsidRDefault="009C40E0" w:rsidP="0078724B">
      <w:pPr>
        <w:spacing w:after="0" w:line="360" w:lineRule="auto"/>
        <w:rPr>
          <w:rFonts w:eastAsia="Calibri" w:cs="Tahoma"/>
          <w:color w:val="FF0000"/>
        </w:rPr>
      </w:pPr>
    </w:p>
    <w:p w14:paraId="071A228A" w14:textId="66A2232C" w:rsidR="00D7156D" w:rsidRDefault="00051642" w:rsidP="0078724B">
      <w:pPr>
        <w:spacing w:after="0" w:line="360" w:lineRule="auto"/>
        <w:rPr>
          <w:rFonts w:eastAsia="Calibri" w:cs="Tahoma"/>
          <w:color w:val="auto"/>
          <w:lang w:val="es-ES"/>
        </w:rPr>
      </w:pPr>
      <w:r w:rsidRPr="006C65D1">
        <w:rPr>
          <w:rFonts w:eastAsia="Calibri" w:cs="Tahoma"/>
          <w:bCs/>
          <w:color w:val="auto"/>
        </w:rPr>
        <w:t xml:space="preserve">Así, este Instituto verificó que, en efecto, no se registró respuesta a la solicitud de información del ahora Recurrente, en el </w:t>
      </w:r>
      <w:r w:rsidRPr="006C65D1">
        <w:rPr>
          <w:rFonts w:eastAsia="Calibri" w:cs="Tahoma"/>
          <w:color w:val="auto"/>
          <w:lang w:val="es-ES"/>
        </w:rPr>
        <w:t>Sistema de Acceso a la Información Mexiquense (SAIMEX), tal como se observa a continuación:</w:t>
      </w:r>
    </w:p>
    <w:p w14:paraId="14859F1D" w14:textId="77777777" w:rsidR="006C65D1" w:rsidRDefault="006C65D1" w:rsidP="0078724B">
      <w:pPr>
        <w:spacing w:after="0" w:line="360" w:lineRule="auto"/>
        <w:rPr>
          <w:rFonts w:eastAsia="Calibri" w:cs="Tahoma"/>
          <w:color w:val="auto"/>
          <w:lang w:val="es-ES"/>
        </w:rPr>
      </w:pPr>
    </w:p>
    <w:p w14:paraId="5B7061FA" w14:textId="474DAAA9" w:rsidR="006C65D1" w:rsidRPr="006C65D1" w:rsidRDefault="006C65D1" w:rsidP="0078724B">
      <w:pPr>
        <w:spacing w:after="0" w:line="360" w:lineRule="auto"/>
        <w:jc w:val="center"/>
        <w:rPr>
          <w:rFonts w:eastAsia="Calibri" w:cs="Tahoma"/>
          <w:color w:val="auto"/>
          <w:lang w:val="es-ES"/>
        </w:rPr>
      </w:pPr>
      <w:r w:rsidRPr="006C65D1">
        <w:rPr>
          <w:rFonts w:eastAsia="Calibri" w:cs="Tahoma"/>
          <w:noProof/>
          <w:color w:val="auto"/>
          <w:lang w:eastAsia="es-MX"/>
        </w:rPr>
        <w:drawing>
          <wp:inline distT="0" distB="0" distL="0" distR="0" wp14:anchorId="0998E7AB" wp14:editId="49FC4F88">
            <wp:extent cx="3524742" cy="1962424"/>
            <wp:effectExtent l="0" t="0" r="0" b="0"/>
            <wp:docPr id="1714454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45473" name=""/>
                    <pic:cNvPicPr/>
                  </pic:nvPicPr>
                  <pic:blipFill>
                    <a:blip r:embed="rId8"/>
                    <a:stretch>
                      <a:fillRect/>
                    </a:stretch>
                  </pic:blipFill>
                  <pic:spPr>
                    <a:xfrm>
                      <a:off x="0" y="0"/>
                      <a:ext cx="3524742" cy="1962424"/>
                    </a:xfrm>
                    <a:prstGeom prst="rect">
                      <a:avLst/>
                    </a:prstGeom>
                  </pic:spPr>
                </pic:pic>
              </a:graphicData>
            </a:graphic>
          </wp:inline>
        </w:drawing>
      </w:r>
    </w:p>
    <w:p w14:paraId="0D209F26" w14:textId="45184E00" w:rsidR="00D7156D" w:rsidRPr="00361B01" w:rsidRDefault="00D7156D" w:rsidP="0078724B">
      <w:pPr>
        <w:autoSpaceDE w:val="0"/>
        <w:autoSpaceDN w:val="0"/>
        <w:adjustRightInd w:val="0"/>
        <w:spacing w:after="0" w:line="360" w:lineRule="auto"/>
        <w:rPr>
          <w:rFonts w:eastAsia="Times New Roman" w:cs="Tahoma"/>
          <w:bCs/>
          <w:iCs/>
          <w:color w:val="FF0000"/>
          <w:lang w:val="es-ES" w:eastAsia="es-ES"/>
        </w:rPr>
      </w:pPr>
    </w:p>
    <w:p w14:paraId="7CC2EF2B" w14:textId="5B501633" w:rsidR="00024A00" w:rsidRPr="006C65D1" w:rsidRDefault="00051642" w:rsidP="0078724B">
      <w:pPr>
        <w:tabs>
          <w:tab w:val="left" w:pos="4962"/>
        </w:tabs>
        <w:spacing w:after="0" w:line="360" w:lineRule="auto"/>
        <w:rPr>
          <w:rFonts w:eastAsia="Calibri" w:cs="Tahoma"/>
          <w:color w:val="auto"/>
        </w:rPr>
      </w:pPr>
      <w:r w:rsidRPr="006C65D1">
        <w:rPr>
          <w:rFonts w:eastAsia="Calibri" w:cs="Tahoma"/>
          <w:bCs/>
          <w:color w:val="auto"/>
        </w:rPr>
        <w:t xml:space="preserve">Conforme a lo anterior, se colige que, tal como lo precisó el Recurrente, el </w:t>
      </w:r>
      <w:r w:rsidR="006C65D1" w:rsidRPr="006C65D1">
        <w:rPr>
          <w:rFonts w:eastAsia="Calibri" w:cs="Tahoma"/>
          <w:color w:val="auto"/>
        </w:rPr>
        <w:t>Sistema Municipal para el Desarrollo Integral de la Familia de Villa del Carbón</w:t>
      </w:r>
      <w:r w:rsidRPr="006C65D1">
        <w:rPr>
          <w:rFonts w:eastAsia="Calibri" w:cs="Tahoma"/>
          <w:color w:val="auto"/>
        </w:rPr>
        <w:t>, no</w:t>
      </w:r>
      <w:r w:rsidRPr="006C65D1">
        <w:rPr>
          <w:rFonts w:eastAsia="Calibri" w:cs="Tahoma"/>
          <w:bCs/>
          <w:color w:val="auto"/>
        </w:rPr>
        <w:t xml:space="preserve"> emitió respuesta para dar contestación a la solicitud de acceso a la información pública, dentro de los plazos establecidos en el artículo 163, de la Ley de Transparencia y Acceso a la Información Pública del Estado de México y Municipios, pues </w:t>
      </w:r>
      <w:r w:rsidRPr="006C65D1">
        <w:rPr>
          <w:rFonts w:eastAsia="Calibri" w:cs="Tahoma"/>
          <w:b/>
          <w:color w:val="auto"/>
        </w:rPr>
        <w:t xml:space="preserve">tenía hasta </w:t>
      </w:r>
      <w:r w:rsidR="00AC2906" w:rsidRPr="006C65D1">
        <w:rPr>
          <w:rFonts w:eastAsia="Calibri" w:cs="Tahoma"/>
          <w:b/>
          <w:color w:val="auto"/>
        </w:rPr>
        <w:t xml:space="preserve">el </w:t>
      </w:r>
      <w:r w:rsidR="009246C4" w:rsidRPr="006C65D1">
        <w:rPr>
          <w:rFonts w:eastAsia="Calibri" w:cs="Tahoma"/>
          <w:b/>
          <w:color w:val="auto"/>
        </w:rPr>
        <w:t>once</w:t>
      </w:r>
      <w:r w:rsidR="00694BCE" w:rsidRPr="006C65D1">
        <w:rPr>
          <w:rFonts w:eastAsia="Calibri" w:cs="Tahoma"/>
          <w:b/>
          <w:color w:val="auto"/>
        </w:rPr>
        <w:t xml:space="preserve"> de </w:t>
      </w:r>
      <w:r w:rsidR="006C65D1">
        <w:rPr>
          <w:rFonts w:eastAsia="Calibri" w:cs="Tahoma"/>
          <w:b/>
          <w:color w:val="auto"/>
        </w:rPr>
        <w:t>febrero</w:t>
      </w:r>
      <w:r w:rsidR="00694BCE" w:rsidRPr="006C65D1">
        <w:rPr>
          <w:rFonts w:eastAsia="Calibri" w:cs="Tahoma"/>
          <w:b/>
          <w:color w:val="auto"/>
        </w:rPr>
        <w:t xml:space="preserve"> de</w:t>
      </w:r>
      <w:r w:rsidR="009246C4" w:rsidRPr="006C65D1">
        <w:rPr>
          <w:rFonts w:eastAsia="Calibri" w:cs="Tahoma"/>
          <w:b/>
          <w:color w:val="auto"/>
        </w:rPr>
        <w:t xml:space="preserve"> dos mil veint</w:t>
      </w:r>
      <w:r w:rsidR="006C65D1">
        <w:rPr>
          <w:rFonts w:eastAsia="Calibri" w:cs="Tahoma"/>
          <w:b/>
          <w:color w:val="auto"/>
        </w:rPr>
        <w:t>icinco</w:t>
      </w:r>
      <w:r w:rsidRPr="006C65D1">
        <w:rPr>
          <w:rFonts w:eastAsia="Calibri" w:cs="Tahoma"/>
          <w:bCs/>
          <w:color w:val="auto"/>
        </w:rPr>
        <w:t xml:space="preserve">, para realizar dicha situación, por lo que es evidente que el agravio es </w:t>
      </w:r>
      <w:r w:rsidRPr="006C65D1">
        <w:rPr>
          <w:rFonts w:eastAsia="Calibri" w:cs="Tahoma"/>
          <w:b/>
          <w:color w:val="auto"/>
        </w:rPr>
        <w:t>FUNDADO</w:t>
      </w:r>
      <w:r w:rsidR="00F97E1B" w:rsidRPr="006C65D1">
        <w:rPr>
          <w:rFonts w:eastAsia="Calibri" w:cs="Tahoma"/>
          <w:b/>
          <w:color w:val="auto"/>
        </w:rPr>
        <w:t>.</w:t>
      </w:r>
      <w:r w:rsidRPr="006C65D1">
        <w:rPr>
          <w:rFonts w:eastAsia="Calibri" w:cs="Tahoma"/>
          <w:b/>
          <w:color w:val="auto"/>
        </w:rPr>
        <w:t xml:space="preserve"> </w:t>
      </w:r>
      <w:r w:rsidR="00F16ED4" w:rsidRPr="006C65D1">
        <w:rPr>
          <w:rFonts w:eastAsia="Calibri" w:cs="Tahoma"/>
          <w:color w:val="auto"/>
        </w:rPr>
        <w:t>No obstante, durante la substanciación del Medio de Impugnación, el Ente Recurrido emitió respuesta</w:t>
      </w:r>
      <w:r w:rsidR="00694BCE" w:rsidRPr="006C65D1">
        <w:rPr>
          <w:rFonts w:eastAsia="Calibri" w:cs="Tahoma"/>
          <w:color w:val="auto"/>
        </w:rPr>
        <w:t>, por lo que se procede a su análisis; para realizar lo anterior, en principio es necesario contextualizar la solicitud de información</w:t>
      </w:r>
      <w:r w:rsidR="003D4A93" w:rsidRPr="006C65D1">
        <w:rPr>
          <w:rFonts w:eastAsia="Calibri" w:cs="Tahoma"/>
          <w:color w:val="auto"/>
        </w:rPr>
        <w:t>.</w:t>
      </w:r>
    </w:p>
    <w:p w14:paraId="2F1AF3E6" w14:textId="77777777" w:rsidR="00560047" w:rsidRPr="00361B01" w:rsidRDefault="00560047" w:rsidP="0078724B">
      <w:pPr>
        <w:spacing w:after="0" w:line="360" w:lineRule="auto"/>
        <w:rPr>
          <w:rFonts w:eastAsia="Calibri" w:cs="Tahoma"/>
          <w:color w:val="FF0000"/>
        </w:rPr>
      </w:pPr>
    </w:p>
    <w:p w14:paraId="606A617E" w14:textId="77777777" w:rsidR="003D573F" w:rsidRPr="003D573F" w:rsidRDefault="00C46422" w:rsidP="0078724B">
      <w:pPr>
        <w:spacing w:after="0" w:line="360" w:lineRule="auto"/>
        <w:rPr>
          <w:rFonts w:eastAsia="Palatino Linotype" w:cs="Palatino Linotype"/>
          <w:color w:val="auto"/>
          <w:lang w:eastAsia="es-MX"/>
        </w:rPr>
      </w:pPr>
      <w:r w:rsidRPr="003D573F">
        <w:rPr>
          <w:rFonts w:eastAsia="Calibri" w:cs="Tahoma"/>
          <w:bCs/>
          <w:color w:val="auto"/>
        </w:rPr>
        <w:t xml:space="preserve">Sobre el tema, </w:t>
      </w:r>
      <w:r w:rsidR="003D573F" w:rsidRPr="003D573F">
        <w:rPr>
          <w:rFonts w:eastAsia="Palatino Linotype" w:cs="Palatino Linotype"/>
          <w:color w:val="auto"/>
          <w:lang w:eastAsia="es-MX"/>
        </w:rPr>
        <w:t xml:space="preserve">el artículo 147 de la Constitución Política del Estado Libre y Soberano de México, que establece que los trabajadores al servicio del </w:t>
      </w:r>
      <w:proofErr w:type="gramStart"/>
      <w:r w:rsidR="003D573F" w:rsidRPr="003D573F">
        <w:rPr>
          <w:rFonts w:eastAsia="Palatino Linotype" w:cs="Palatino Linotype"/>
          <w:color w:val="auto"/>
          <w:lang w:eastAsia="es-MX"/>
        </w:rPr>
        <w:t>Estado,</w:t>
      </w:r>
      <w:proofErr w:type="gramEnd"/>
      <w:r w:rsidR="003D573F" w:rsidRPr="003D573F">
        <w:rPr>
          <w:rFonts w:eastAsia="Palatino Linotype" w:cs="Palatino Linotype"/>
          <w:color w:val="auto"/>
          <w:lang w:eastAsia="es-MX"/>
        </w:rPr>
        <w:t xml:space="preserve"> recibirán una remuneración adecuada e irrenunciable por el desempeño de su empleo, cargo o comisión, que será determinada en el presupuesto de egresos que corresponda.</w:t>
      </w:r>
    </w:p>
    <w:p w14:paraId="6C2B0D5D" w14:textId="77777777" w:rsidR="003D573F" w:rsidRPr="003D573F" w:rsidRDefault="003D573F" w:rsidP="0078724B">
      <w:pPr>
        <w:spacing w:after="0" w:line="360" w:lineRule="auto"/>
        <w:rPr>
          <w:rFonts w:eastAsia="Palatino Linotype" w:cs="Palatino Linotype"/>
          <w:color w:val="000000"/>
          <w:lang w:eastAsia="es-MX"/>
        </w:rPr>
      </w:pPr>
    </w:p>
    <w:p w14:paraId="4AACACE2" w14:textId="77777777" w:rsidR="003D573F" w:rsidRPr="003D573F" w:rsidRDefault="003D573F" w:rsidP="0078724B">
      <w:pPr>
        <w:spacing w:after="0" w:line="360" w:lineRule="auto"/>
        <w:rPr>
          <w:rFonts w:eastAsia="Palatino Linotype" w:cs="Palatino Linotype"/>
          <w:color w:val="auto"/>
          <w:lang w:eastAsia="es-MX"/>
        </w:rPr>
      </w:pPr>
      <w:r w:rsidRPr="003D573F">
        <w:rPr>
          <w:rFonts w:eastAsia="Palatino Linotype" w:cs="Palatino Linotype"/>
          <w:color w:val="000000"/>
          <w:lang w:eastAsia="es-MX"/>
        </w:rPr>
        <w:lastRenderedPageBreak/>
        <w:t>En orden de ideas, el artículo 3°, fracción LXVIII,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5D713CEE" w14:textId="77777777" w:rsidR="003D573F" w:rsidRPr="003D573F" w:rsidRDefault="003D573F" w:rsidP="0078724B">
      <w:pPr>
        <w:spacing w:after="0" w:line="360" w:lineRule="auto"/>
        <w:rPr>
          <w:rFonts w:eastAsia="Palatino Linotype" w:cs="Palatino Linotype"/>
          <w:color w:val="000000"/>
          <w:lang w:eastAsia="es-MX"/>
        </w:rPr>
      </w:pPr>
      <w:r w:rsidRPr="003D573F">
        <w:rPr>
          <w:rFonts w:eastAsia="Palatino Linotype" w:cs="Palatino Linotype"/>
          <w:color w:val="000000"/>
          <w:lang w:eastAsia="es-MX"/>
        </w:rPr>
        <w:t>De la misma manera, el Manual para la Planeación, Programación y presupuesto de egresos Municipal para el ejercicio fiscal dos mil veinticuatro, refiere que las remuneraciones consisten en la percepción de un trabajador o retribución monetaria que se da en pago por su servicio o actividad desarrollada.</w:t>
      </w:r>
    </w:p>
    <w:p w14:paraId="4C1D4980" w14:textId="77777777" w:rsidR="003D573F" w:rsidRPr="003D573F" w:rsidRDefault="003D573F" w:rsidP="0078724B">
      <w:pPr>
        <w:spacing w:after="0" w:line="360" w:lineRule="auto"/>
        <w:rPr>
          <w:rFonts w:eastAsia="Calibri" w:cs="Tahoma"/>
          <w:bCs/>
          <w:color w:val="FF0000"/>
        </w:rPr>
      </w:pPr>
    </w:p>
    <w:p w14:paraId="077974DC" w14:textId="77777777" w:rsidR="003D573F" w:rsidRPr="003D573F" w:rsidRDefault="003D573F" w:rsidP="0078724B">
      <w:pPr>
        <w:spacing w:after="0" w:line="360" w:lineRule="auto"/>
        <w:rPr>
          <w:rFonts w:eastAsia="Palatino Linotype" w:cs="Palatino Linotype"/>
          <w:color w:val="000000"/>
          <w:lang w:eastAsia="es-MX"/>
        </w:rPr>
      </w:pPr>
      <w:r w:rsidRPr="003D573F">
        <w:rPr>
          <w:rFonts w:eastAsia="Palatino Linotype" w:cs="Palatino Linotype"/>
          <w:color w:val="000000"/>
          <w:lang w:eastAsia="es-MX"/>
        </w:rPr>
        <w:t>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14:paraId="0EE17F04" w14:textId="77777777" w:rsidR="003D573F" w:rsidRDefault="003D573F" w:rsidP="0078724B">
      <w:pPr>
        <w:spacing w:after="0" w:line="360" w:lineRule="auto"/>
        <w:rPr>
          <w:rFonts w:eastAsia="Calibri" w:cs="Tahoma"/>
          <w:bCs/>
          <w:color w:val="FF0000"/>
        </w:rPr>
      </w:pPr>
    </w:p>
    <w:p w14:paraId="528FF578" w14:textId="6159D095" w:rsidR="003D573F" w:rsidRDefault="003D573F" w:rsidP="0078724B">
      <w:pPr>
        <w:spacing w:after="0" w:line="360" w:lineRule="auto"/>
      </w:pPr>
      <w:r>
        <w:t xml:space="preserve">Ahora bien, respecto al documento solicitado, la Ley del Trabajo de los Servidores Públicos del Estado y Municipios, en su artículo 220 K, fracciones II y IV, establece los documentos que tiene la obligación de conservar el Sujeto Obligado, entre los que se encuentra </w:t>
      </w:r>
      <w:r w:rsidRPr="003D573F">
        <w:rPr>
          <w:b/>
          <w:bCs/>
        </w:rPr>
        <w:t>los recibos de pago de salarios o las constancias documentales del pago de sueldos,</w:t>
      </w:r>
      <w:r>
        <w:t xml:space="preserve"> cuando sea por depósito o mediante información electrónica; así como los recibos o constancias de depósito o del medio de información magnética o electrónica que sean utilizadas para el pago de salarios, prima vacacional, aguinaldo y demás prestaciones.</w:t>
      </w:r>
    </w:p>
    <w:p w14:paraId="5CF1980A" w14:textId="77777777" w:rsidR="003D573F" w:rsidRDefault="003D573F" w:rsidP="0078724B">
      <w:pPr>
        <w:spacing w:after="0" w:line="360" w:lineRule="auto"/>
      </w:pPr>
    </w:p>
    <w:p w14:paraId="340107BE" w14:textId="35F6ED12" w:rsidR="003D573F" w:rsidRDefault="003D573F" w:rsidP="0078724B">
      <w:pPr>
        <w:spacing w:after="0" w:line="360" w:lineRule="auto"/>
      </w:pPr>
      <w:r>
        <w:lastRenderedPageBreak/>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14:paraId="5211627F" w14:textId="77777777" w:rsidR="003D573F" w:rsidRDefault="003D573F" w:rsidP="0078724B">
      <w:pPr>
        <w:spacing w:after="0" w:line="360" w:lineRule="auto"/>
      </w:pPr>
    </w:p>
    <w:p w14:paraId="13F09A36" w14:textId="01933A40" w:rsidR="003D573F" w:rsidRPr="003D573F" w:rsidRDefault="003D573F" w:rsidP="0078724B">
      <w:pPr>
        <w:spacing w:after="0" w:line="360" w:lineRule="auto"/>
        <w:ind w:left="567" w:right="567"/>
        <w:rPr>
          <w:rFonts w:eastAsia="Times New Roman" w:cs="Arial"/>
          <w:bCs/>
          <w:i/>
          <w:iCs/>
          <w:color w:val="auto"/>
          <w:sz w:val="20"/>
          <w:lang w:eastAsia="es-ES"/>
        </w:rPr>
      </w:pPr>
      <w:r w:rsidRPr="003D573F">
        <w:rPr>
          <w:rFonts w:eastAsia="Times New Roman" w:cs="Arial"/>
          <w:b/>
          <w:i/>
          <w:iCs/>
          <w:color w:val="auto"/>
          <w:sz w:val="20"/>
          <w:lang w:eastAsia="es-ES"/>
        </w:rPr>
        <w:t>“RECIBOS DE PAGO 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w:t>
      </w:r>
      <w:r w:rsidRPr="003D573F">
        <w:rPr>
          <w:rFonts w:eastAsia="Times New Roman" w:cs="Arial"/>
          <w:bCs/>
          <w:i/>
          <w:iCs/>
          <w:color w:val="auto"/>
          <w:sz w:val="20"/>
          <w:lang w:eastAsia="es-ES"/>
        </w:rPr>
        <w:t xml:space="preserve"> 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14:paraId="38C54319" w14:textId="77777777" w:rsidR="003D573F" w:rsidRDefault="003D573F" w:rsidP="0078724B">
      <w:pPr>
        <w:spacing w:after="0" w:line="360" w:lineRule="auto"/>
      </w:pPr>
    </w:p>
    <w:p w14:paraId="15FB269F" w14:textId="7D124474" w:rsidR="003D573F" w:rsidRDefault="003D573F" w:rsidP="0078724B">
      <w:pPr>
        <w:spacing w:after="0" w:line="360" w:lineRule="auto"/>
      </w:pPr>
      <w:r>
        <w:t xml:space="preserve">De la tesis transcrita, se desprende que en </w:t>
      </w:r>
      <w:r w:rsidRPr="003D573F">
        <w:rPr>
          <w:b/>
          <w:bCs/>
        </w:rPr>
        <w:t>materia burocrática los recibos de pago acreditan los conceptos y montos que en ellos se insertan,</w:t>
      </w:r>
      <w:r>
        <w:t xml:space="preserve"> y constituyen prueba para demostrar las percepciones y montos que reciben los servidores públicos.</w:t>
      </w:r>
    </w:p>
    <w:p w14:paraId="341DEE4E" w14:textId="77777777" w:rsidR="003D573F" w:rsidRDefault="003D573F" w:rsidP="0078724B">
      <w:pPr>
        <w:spacing w:after="0" w:line="360" w:lineRule="auto"/>
        <w:rPr>
          <w:rFonts w:eastAsia="Calibri" w:cs="Tahoma"/>
          <w:bCs/>
          <w:color w:val="FF0000"/>
        </w:rPr>
      </w:pPr>
    </w:p>
    <w:p w14:paraId="7D717906" w14:textId="77777777" w:rsidR="0078724B" w:rsidRPr="0078724B" w:rsidRDefault="0078724B" w:rsidP="0078724B">
      <w:pPr>
        <w:spacing w:after="0" w:line="360" w:lineRule="auto"/>
        <w:rPr>
          <w:rFonts w:eastAsia="Calibri" w:cs="Tahoma"/>
          <w:bCs/>
          <w:color w:val="auto"/>
          <w:lang w:eastAsia="es-MX"/>
        </w:rPr>
      </w:pPr>
      <w:r w:rsidRPr="0078724B">
        <w:rPr>
          <w:rFonts w:eastAsia="Calibri" w:cs="Tahoma"/>
          <w:bCs/>
          <w:color w:val="auto"/>
          <w:lang w:eastAsia="es-MX"/>
        </w:rPr>
        <w:t xml:space="preserve">Además, la Resolución Miscelánea Fiscal del ejercicio fiscal dos mil veinticinco, y la página oficial del Servicio de Administración Tributaria, precisan que un Comprobante Fiscal Digital por Internet por concepto de nómina y otras retenciones, es también conocido como </w:t>
      </w:r>
      <w:r w:rsidRPr="0078724B">
        <w:rPr>
          <w:rFonts w:eastAsia="Calibri" w:cs="Tahoma"/>
          <w:bCs/>
          <w:color w:val="auto"/>
          <w:lang w:eastAsia="es-MX"/>
        </w:rPr>
        <w:lastRenderedPageBreak/>
        <w:t>Recibo de Nómina, mismo que se podrá expedir antes de la realización de los pagos correspondientes o dentro del plazo señalado en función al número de sus trabajadores, posteriores a la realización efectiva de dichos pagos, conforme a lo siguiente:</w:t>
      </w:r>
    </w:p>
    <w:p w14:paraId="053CC761" w14:textId="77777777" w:rsidR="0078724B" w:rsidRPr="0078724B" w:rsidRDefault="0078724B" w:rsidP="0078724B">
      <w:pPr>
        <w:spacing w:after="0" w:line="360" w:lineRule="auto"/>
        <w:rPr>
          <w:rFonts w:eastAsia="Calibri" w:cs="Tahoma"/>
          <w:bCs/>
          <w:color w:val="auto"/>
          <w:lang w:eastAsia="es-MX"/>
        </w:rPr>
      </w:pPr>
    </w:p>
    <w:p w14:paraId="07B992CF" w14:textId="77777777" w:rsidR="0078724B" w:rsidRPr="0078724B" w:rsidRDefault="0078724B" w:rsidP="0078724B">
      <w:pPr>
        <w:spacing w:after="0" w:line="360" w:lineRule="auto"/>
        <w:jc w:val="center"/>
        <w:rPr>
          <w:rFonts w:eastAsia="Calibri" w:cs="Tahoma"/>
          <w:bCs/>
          <w:color w:val="auto"/>
          <w:lang w:eastAsia="es-MX"/>
        </w:rPr>
      </w:pPr>
      <w:r w:rsidRPr="0078724B">
        <w:rPr>
          <w:rFonts w:eastAsia="Calibri" w:cs="Tahoma"/>
          <w:noProof/>
          <w:color w:val="auto"/>
          <w:lang w:eastAsia="es-MX"/>
        </w:rPr>
        <w:drawing>
          <wp:inline distT="0" distB="0" distL="0" distR="0" wp14:anchorId="74F06E5F" wp14:editId="46C73842">
            <wp:extent cx="4895850" cy="1495425"/>
            <wp:effectExtent l="0" t="0" r="0" b="952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5850" cy="1495425"/>
                    </a:xfrm>
                    <a:prstGeom prst="rect">
                      <a:avLst/>
                    </a:prstGeom>
                    <a:noFill/>
                    <a:ln>
                      <a:noFill/>
                    </a:ln>
                  </pic:spPr>
                </pic:pic>
              </a:graphicData>
            </a:graphic>
          </wp:inline>
        </w:drawing>
      </w:r>
    </w:p>
    <w:p w14:paraId="7541B602" w14:textId="77777777" w:rsidR="0078724B" w:rsidRPr="0078724B" w:rsidRDefault="0078724B" w:rsidP="0078724B">
      <w:pPr>
        <w:spacing w:after="0" w:line="360" w:lineRule="auto"/>
        <w:rPr>
          <w:rFonts w:eastAsia="Calibri" w:cs="Tahoma"/>
          <w:bCs/>
          <w:color w:val="auto"/>
          <w:lang w:eastAsia="es-MX"/>
        </w:rPr>
      </w:pPr>
      <w:r w:rsidRPr="0078724B">
        <w:rPr>
          <w:rFonts w:eastAsia="Calibri" w:cs="Tahoma"/>
          <w:bCs/>
          <w:color w:val="auto"/>
          <w:lang w:eastAsia="es-MX"/>
        </w:rPr>
        <w:t>Asimismo, precisa que se considerará como fecha de expedición y entrega de tales comprobantes fiscales la fecha en que efectivamente se realizó el pago de dichas remuneraciones.</w:t>
      </w:r>
    </w:p>
    <w:p w14:paraId="6EB43F9C" w14:textId="77777777" w:rsidR="0078724B" w:rsidRPr="00361B01" w:rsidRDefault="0078724B" w:rsidP="0078724B">
      <w:pPr>
        <w:spacing w:after="0" w:line="360" w:lineRule="auto"/>
        <w:rPr>
          <w:rFonts w:eastAsia="Calibri" w:cs="Tahoma"/>
          <w:bCs/>
          <w:color w:val="FF0000"/>
        </w:rPr>
      </w:pPr>
    </w:p>
    <w:p w14:paraId="0F81471C" w14:textId="4FCCF62A" w:rsidR="00692A85" w:rsidRDefault="00787558" w:rsidP="0078724B">
      <w:pPr>
        <w:widowControl w:val="0"/>
        <w:autoSpaceDE w:val="0"/>
        <w:autoSpaceDN w:val="0"/>
        <w:adjustRightInd w:val="0"/>
        <w:spacing w:after="0" w:line="360" w:lineRule="auto"/>
        <w:rPr>
          <w:rFonts w:eastAsia="Calibri" w:cs="Tahoma"/>
          <w:color w:val="auto"/>
        </w:rPr>
      </w:pPr>
      <w:r w:rsidRPr="00692A85">
        <w:rPr>
          <w:rFonts w:eastAsia="Times New Roman" w:cs="Tahoma"/>
          <w:iCs/>
          <w:color w:val="auto"/>
          <w:lang w:eastAsia="es-ES"/>
        </w:rPr>
        <w:t>Conforme a lo expuesto, se advierte que la pretensión del hoy Recurrente es obtener</w:t>
      </w:r>
      <w:r w:rsidR="00512B70" w:rsidRPr="00692A85">
        <w:rPr>
          <w:rFonts w:eastAsia="Calibri" w:cs="Tahoma"/>
          <w:color w:val="auto"/>
          <w:szCs w:val="24"/>
          <w:lang w:val="es-ES" w:eastAsia="es-MX"/>
        </w:rPr>
        <w:t xml:space="preserve"> </w:t>
      </w:r>
      <w:r w:rsidR="0078724B">
        <w:rPr>
          <w:rFonts w:eastAsia="Calibri" w:cs="Tahoma"/>
          <w:color w:val="auto"/>
          <w:szCs w:val="24"/>
          <w:lang w:val="es-ES" w:eastAsia="es-MX"/>
        </w:rPr>
        <w:t>los recibos</w:t>
      </w:r>
      <w:r w:rsidR="00692A85" w:rsidRPr="00692A85">
        <w:rPr>
          <w:rFonts w:eastAsia="Calibri" w:cs="Tahoma"/>
          <w:color w:val="auto"/>
          <w:szCs w:val="24"/>
          <w:lang w:val="es-ES" w:eastAsia="es-MX"/>
        </w:rPr>
        <w:t xml:space="preserve"> de nómina </w:t>
      </w:r>
      <w:r w:rsidR="00692A85" w:rsidRPr="007A5378">
        <w:rPr>
          <w:rFonts w:eastAsia="Calibri" w:cs="Tahoma"/>
          <w:color w:val="auto"/>
          <w:szCs w:val="24"/>
          <w:lang w:val="es-ES" w:eastAsia="es-MX"/>
        </w:rPr>
        <w:t xml:space="preserve">la primera quincena de enero de dos mil veinticinco de los servidores públicos adscritos al </w:t>
      </w:r>
      <w:r w:rsidR="00692A85" w:rsidRPr="007A5378">
        <w:rPr>
          <w:rFonts w:eastAsia="Calibri" w:cs="Tahoma"/>
          <w:color w:val="auto"/>
        </w:rPr>
        <w:t>Sistema Municipal para el Desarrollo Integral de la Familia de Villa del Carbón</w:t>
      </w:r>
      <w:r w:rsidR="0078724B">
        <w:rPr>
          <w:rFonts w:eastAsia="Calibri" w:cs="Tahoma"/>
          <w:color w:val="auto"/>
        </w:rPr>
        <w:t>.</w:t>
      </w:r>
    </w:p>
    <w:p w14:paraId="79CE210E" w14:textId="77777777" w:rsidR="00692A85" w:rsidRDefault="00692A85" w:rsidP="0078724B">
      <w:pPr>
        <w:widowControl w:val="0"/>
        <w:autoSpaceDE w:val="0"/>
        <w:autoSpaceDN w:val="0"/>
        <w:adjustRightInd w:val="0"/>
        <w:spacing w:after="0" w:line="360" w:lineRule="auto"/>
        <w:rPr>
          <w:rFonts w:eastAsia="Calibri" w:cs="Tahoma"/>
          <w:color w:val="auto"/>
        </w:rPr>
      </w:pPr>
    </w:p>
    <w:p w14:paraId="2039E30B" w14:textId="77777777" w:rsidR="0078724B" w:rsidRPr="0078724B" w:rsidRDefault="00E95161" w:rsidP="0078724B">
      <w:pPr>
        <w:spacing w:after="0" w:line="360" w:lineRule="auto"/>
        <w:ind w:right="-28"/>
        <w:contextualSpacing/>
        <w:rPr>
          <w:rFonts w:eastAsia="Calibri" w:cs="Times New Roman"/>
          <w:color w:val="auto"/>
        </w:rPr>
      </w:pPr>
      <w:r w:rsidRPr="00B13674">
        <w:rPr>
          <w:bCs/>
          <w:color w:val="auto"/>
        </w:rPr>
        <w:t xml:space="preserve">Ahora bien, </w:t>
      </w:r>
      <w:r w:rsidR="0078724B">
        <w:rPr>
          <w:bCs/>
          <w:color w:val="auto"/>
        </w:rPr>
        <w:t xml:space="preserve">el Sujeto Obligado remitió </w:t>
      </w:r>
      <w:r w:rsidR="00B13674" w:rsidRPr="00B13674">
        <w:rPr>
          <w:bCs/>
          <w:color w:val="auto"/>
        </w:rPr>
        <w:t>los recibos de nómina de cuarenta y un servidores públicos</w:t>
      </w:r>
      <w:r w:rsidR="00B13674">
        <w:rPr>
          <w:rFonts w:eastAsia="Calibri" w:cs="Tahoma"/>
          <w:color w:val="auto"/>
        </w:rPr>
        <w:t xml:space="preserve">, correspondientes a la </w:t>
      </w:r>
      <w:r w:rsidR="00BA0F0B">
        <w:rPr>
          <w:rFonts w:eastAsia="Calibri" w:cs="Tahoma"/>
          <w:color w:val="auto"/>
        </w:rPr>
        <w:t>primera quincena</w:t>
      </w:r>
      <w:r w:rsidR="00B13674">
        <w:rPr>
          <w:rFonts w:eastAsia="Calibri" w:cs="Tahoma"/>
          <w:color w:val="auto"/>
        </w:rPr>
        <w:t xml:space="preserve"> de enero de dos mil veinticinco</w:t>
      </w:r>
      <w:r w:rsidR="0078724B">
        <w:rPr>
          <w:rFonts w:eastAsia="Calibri" w:cs="Tahoma"/>
          <w:color w:val="auto"/>
        </w:rPr>
        <w:t>, de cuyo análisis</w:t>
      </w:r>
      <w:r w:rsidR="005A7B78">
        <w:rPr>
          <w:bCs/>
          <w:color w:val="auto"/>
        </w:rPr>
        <w:t xml:space="preserve">, se logra vislumbrar </w:t>
      </w:r>
      <w:r w:rsidR="0078724B">
        <w:rPr>
          <w:bCs/>
          <w:color w:val="auto"/>
        </w:rPr>
        <w:t xml:space="preserve">que corresponden a la información peticionada, pues son aquellos generados durante el periodo solicitado; </w:t>
      </w:r>
      <w:r w:rsidR="0078724B" w:rsidRPr="0078724B">
        <w:rPr>
          <w:rFonts w:eastAsia="Times New Roman" w:cs="Tahoma"/>
          <w:bCs/>
          <w:color w:val="auto"/>
          <w:lang w:eastAsia="es-ES"/>
        </w:rPr>
        <w:t>d</w:t>
      </w:r>
      <w:r w:rsidR="0078724B" w:rsidRPr="0078724B">
        <w:rPr>
          <w:rFonts w:eastAsia="Calibri" w:cs="Tahoma"/>
          <w:bCs/>
          <w:color w:val="auto"/>
        </w:rPr>
        <w:t>icha</w:t>
      </w:r>
      <w:r w:rsidR="0078724B" w:rsidRPr="0078724B">
        <w:rPr>
          <w:rFonts w:eastAsia="Times New Roman" w:cs="Tahoma"/>
          <w:bCs/>
          <w:iCs/>
          <w:color w:val="auto"/>
          <w:szCs w:val="24"/>
          <w:lang w:val="es-ES" w:eastAsia="es-ES"/>
        </w:rPr>
        <w:t xml:space="preserve"> determinación toma relevancia, pues </w:t>
      </w:r>
      <w:r w:rsidR="0078724B" w:rsidRPr="0078724B">
        <w:rPr>
          <w:rFonts w:eastAsia="Times New Roman" w:cs="Tahoma"/>
          <w:color w:val="auto"/>
          <w:lang w:eastAsia="es-ES"/>
        </w:rPr>
        <w:t xml:space="preserve">conforme al artículo 12 de la Ley de Transparencia y Acceso a la Información Pública del Estado de México y Municipios, los sujetos obligados sólo están constreñidos a proporcionar la información pública que obre en sus archivos, en el estado en que esta se encuentre; por lo </w:t>
      </w:r>
      <w:r w:rsidR="0078724B" w:rsidRPr="0078724B">
        <w:rPr>
          <w:rFonts w:eastAsia="Times New Roman" w:cs="Tahoma"/>
          <w:color w:val="auto"/>
          <w:lang w:eastAsia="es-ES"/>
        </w:rPr>
        <w:lastRenderedPageBreak/>
        <w:t>que, la entrega no comprende el procesamiento de la misma, ni presentarla conforme al interés del Solicitante, además, que tampoco deberá generarla, resumirla, efectuar cálculos o practicar investigaciones.</w:t>
      </w:r>
    </w:p>
    <w:p w14:paraId="67C7E41A" w14:textId="77777777" w:rsidR="0078724B" w:rsidRPr="0078724B" w:rsidRDefault="0078724B" w:rsidP="0078724B">
      <w:pPr>
        <w:tabs>
          <w:tab w:val="left" w:pos="4962"/>
        </w:tabs>
        <w:spacing w:after="0" w:line="360" w:lineRule="auto"/>
        <w:rPr>
          <w:rFonts w:eastAsia="Times New Roman" w:cs="Tahoma"/>
          <w:color w:val="auto"/>
          <w:lang w:eastAsia="es-ES"/>
        </w:rPr>
      </w:pPr>
    </w:p>
    <w:p w14:paraId="7A86A1BE" w14:textId="77777777" w:rsidR="0078724B" w:rsidRPr="0078724B" w:rsidRDefault="0078724B" w:rsidP="0078724B">
      <w:pPr>
        <w:spacing w:after="0" w:line="360" w:lineRule="auto"/>
        <w:rPr>
          <w:rFonts w:eastAsia="Times New Roman" w:cs="Tahoma"/>
          <w:color w:val="auto"/>
          <w:lang w:eastAsia="es-ES"/>
        </w:rPr>
      </w:pPr>
      <w:r w:rsidRPr="0078724B">
        <w:rPr>
          <w:rFonts w:eastAsia="Times New Roman" w:cs="Tahoma"/>
          <w:color w:val="auto"/>
          <w:lang w:eastAsia="es-ES"/>
        </w:rPr>
        <w:t xml:space="preserve">De esta manera, </w:t>
      </w:r>
      <w:r w:rsidRPr="0078724B">
        <w:rPr>
          <w:rFonts w:eastAsia="Times New Roman" w:cs="Tahoma"/>
          <w:color w:val="auto"/>
          <w:szCs w:val="24"/>
          <w:lang w:val="es-ES" w:eastAsia="es-ES"/>
        </w:rPr>
        <w:t xml:space="preserve">el derecho de acceso a la información pública se satisface en aquellos casos en que se entregue el soporte documental en el que conste la información solicitada, sin necesidad de elaborar documentos </w:t>
      </w:r>
      <w:r w:rsidRPr="0078724B">
        <w:rPr>
          <w:rFonts w:eastAsia="Times New Roman" w:cs="Tahoma"/>
          <w:i/>
          <w:color w:val="auto"/>
          <w:lang w:eastAsia="es-ES"/>
        </w:rPr>
        <w:t>ad hoc</w:t>
      </w:r>
      <w:r w:rsidRPr="0078724B">
        <w:rPr>
          <w:rFonts w:eastAsia="Times New Roman" w:cs="Tahoma"/>
          <w:color w:val="auto"/>
          <w:lang w:eastAsia="es-ES"/>
        </w:rPr>
        <w:t>, situación que toma sustento, toma sustento en el artículo 160 de la Ley de Transparencia y Acceso a la Información Pública del Estado de México y Municipios, el cual refiere que los sujetos obligados únicamente deberán entregar la información que obre en sus archivos.</w:t>
      </w:r>
    </w:p>
    <w:p w14:paraId="19F7F03C" w14:textId="77777777" w:rsidR="0078724B" w:rsidRPr="0078724B" w:rsidRDefault="0078724B" w:rsidP="0078724B">
      <w:pPr>
        <w:spacing w:after="0" w:line="360" w:lineRule="auto"/>
        <w:ind w:right="-28"/>
        <w:rPr>
          <w:rFonts w:eastAsia="Times New Roman" w:cs="Tahoma"/>
          <w:iCs/>
          <w:color w:val="auto"/>
          <w:lang w:eastAsia="es-ES"/>
        </w:rPr>
      </w:pPr>
    </w:p>
    <w:p w14:paraId="38BCEE33" w14:textId="5077ACB7" w:rsidR="0078724B" w:rsidRDefault="0078724B" w:rsidP="0078724B">
      <w:pPr>
        <w:spacing w:after="0" w:line="360" w:lineRule="auto"/>
        <w:rPr>
          <w:bCs/>
          <w:color w:val="auto"/>
        </w:rPr>
      </w:pPr>
      <w:r w:rsidRPr="0078724B">
        <w:rPr>
          <w:rFonts w:eastAsia="Times New Roman" w:cs="Tahoma"/>
          <w:color w:val="auto"/>
          <w:szCs w:val="24"/>
          <w:lang w:val="es-ES" w:eastAsia="es-ES"/>
        </w:rPr>
        <w:t>De tales circunstancias, se concluye que los sujetos obligados únicamente se encuentran constreñidos a proporcionar los documentos que den cuenta de la información solicitada, como obren en sus archivos, sin tener que elaborarlos a las necesidades del Recurrente;</w:t>
      </w:r>
      <w:r>
        <w:rPr>
          <w:rFonts w:eastAsia="Times New Roman" w:cs="Tahoma"/>
          <w:color w:val="auto"/>
          <w:szCs w:val="24"/>
          <w:lang w:val="es-ES" w:eastAsia="es-ES"/>
        </w:rPr>
        <w:t xml:space="preserve"> lo cual aconteció pues proporcionó </w:t>
      </w:r>
      <w:r w:rsidR="00631C4E">
        <w:rPr>
          <w:rFonts w:eastAsia="Times New Roman" w:cs="Tahoma"/>
          <w:color w:val="auto"/>
          <w:szCs w:val="24"/>
          <w:lang w:val="es-ES" w:eastAsia="es-ES"/>
        </w:rPr>
        <w:t>los recibos de nómina de la primera quincena de enero de dos mil veinticinco; sin embargo, de su revisión se logra vislumbrar que fueron entregados en versión pública en donde se clasificaron los siguientes datos:</w:t>
      </w:r>
    </w:p>
    <w:p w14:paraId="135C6DB5" w14:textId="77777777" w:rsidR="0078724B" w:rsidRDefault="0078724B" w:rsidP="0078724B">
      <w:pPr>
        <w:spacing w:after="0" w:line="360" w:lineRule="auto"/>
        <w:rPr>
          <w:bCs/>
          <w:color w:val="auto"/>
        </w:rPr>
      </w:pPr>
    </w:p>
    <w:p w14:paraId="366AB170" w14:textId="77777777" w:rsidR="00C369B3" w:rsidRPr="00C369B3" w:rsidRDefault="00C369B3" w:rsidP="0078724B">
      <w:pPr>
        <w:pStyle w:val="Prrafodelista"/>
        <w:numPr>
          <w:ilvl w:val="0"/>
          <w:numId w:val="13"/>
        </w:numPr>
        <w:spacing w:after="0" w:line="360" w:lineRule="auto"/>
        <w:rPr>
          <w:color w:val="auto"/>
        </w:rPr>
      </w:pPr>
      <w:r w:rsidRPr="00C369B3">
        <w:rPr>
          <w:color w:val="auto"/>
        </w:rPr>
        <w:t xml:space="preserve">Clave Única de Registro de Población (CURP); </w:t>
      </w:r>
    </w:p>
    <w:p w14:paraId="25EA96BB" w14:textId="2A422CFD" w:rsidR="00C369B3" w:rsidRPr="00C369B3" w:rsidRDefault="00C369B3" w:rsidP="0078724B">
      <w:pPr>
        <w:pStyle w:val="Prrafodelista"/>
        <w:numPr>
          <w:ilvl w:val="0"/>
          <w:numId w:val="13"/>
        </w:numPr>
        <w:spacing w:after="0" w:line="360" w:lineRule="auto"/>
        <w:rPr>
          <w:color w:val="auto"/>
        </w:rPr>
      </w:pPr>
      <w:r w:rsidRPr="00C369B3">
        <w:rPr>
          <w:color w:val="auto"/>
        </w:rPr>
        <w:t xml:space="preserve">Registro Federal de Contribuyentes del servidor público (RFC); </w:t>
      </w:r>
    </w:p>
    <w:p w14:paraId="77C71D74" w14:textId="5D552147" w:rsidR="00B13674" w:rsidRPr="00C369B3" w:rsidRDefault="00C369B3" w:rsidP="0078724B">
      <w:pPr>
        <w:pStyle w:val="Prrafodelista"/>
        <w:numPr>
          <w:ilvl w:val="0"/>
          <w:numId w:val="13"/>
        </w:numPr>
        <w:spacing w:after="0" w:line="360" w:lineRule="auto"/>
        <w:rPr>
          <w:color w:val="auto"/>
        </w:rPr>
      </w:pPr>
      <w:r w:rsidRPr="00C369B3">
        <w:rPr>
          <w:color w:val="auto"/>
        </w:rPr>
        <w:t>Código bidimensional o QR;</w:t>
      </w:r>
    </w:p>
    <w:p w14:paraId="697B8D11" w14:textId="45273C42" w:rsidR="00C369B3" w:rsidRDefault="00C369B3" w:rsidP="0078724B">
      <w:pPr>
        <w:pStyle w:val="Prrafodelista"/>
        <w:numPr>
          <w:ilvl w:val="0"/>
          <w:numId w:val="13"/>
        </w:numPr>
        <w:spacing w:after="0" w:line="360" w:lineRule="auto"/>
        <w:rPr>
          <w:color w:val="auto"/>
        </w:rPr>
      </w:pPr>
      <w:r w:rsidRPr="00C369B3">
        <w:rPr>
          <w:color w:val="auto"/>
        </w:rPr>
        <w:t>Sellos digitales del emisor y del Servicio de Administración Tributaria y cadena original del complemento de certificación digital del órgano previamente señalado;</w:t>
      </w:r>
    </w:p>
    <w:p w14:paraId="4E8F6191" w14:textId="04C368A2" w:rsidR="00541C77" w:rsidRDefault="00541C77" w:rsidP="0078724B">
      <w:pPr>
        <w:pStyle w:val="Prrafodelista"/>
        <w:numPr>
          <w:ilvl w:val="0"/>
          <w:numId w:val="13"/>
        </w:numPr>
        <w:spacing w:after="0" w:line="360" w:lineRule="auto"/>
        <w:rPr>
          <w:color w:val="auto"/>
        </w:rPr>
      </w:pPr>
      <w:r>
        <w:rPr>
          <w:color w:val="auto"/>
        </w:rPr>
        <w:t>Número de cuenta bancario;</w:t>
      </w:r>
    </w:p>
    <w:p w14:paraId="52CD877F" w14:textId="2933DAEC" w:rsidR="00C369B3" w:rsidRPr="00C369B3" w:rsidRDefault="00631C4E" w:rsidP="0078724B">
      <w:pPr>
        <w:pStyle w:val="Prrafodelista"/>
        <w:numPr>
          <w:ilvl w:val="0"/>
          <w:numId w:val="13"/>
        </w:numPr>
        <w:spacing w:after="0" w:line="360" w:lineRule="auto"/>
        <w:rPr>
          <w:color w:val="auto"/>
        </w:rPr>
      </w:pPr>
      <w:r>
        <w:rPr>
          <w:color w:val="auto"/>
        </w:rPr>
        <w:t>F</w:t>
      </w:r>
      <w:r w:rsidR="00C369B3" w:rsidRPr="00C369B3">
        <w:rPr>
          <w:color w:val="auto"/>
        </w:rPr>
        <w:t>olio fiscal</w:t>
      </w:r>
      <w:r>
        <w:rPr>
          <w:color w:val="auto"/>
        </w:rPr>
        <w:t>, y</w:t>
      </w:r>
    </w:p>
    <w:p w14:paraId="4E51ECBF" w14:textId="62457F2A" w:rsidR="00C369B3" w:rsidRPr="00C369B3" w:rsidRDefault="00C369B3" w:rsidP="0078724B">
      <w:pPr>
        <w:pStyle w:val="Prrafodelista"/>
        <w:numPr>
          <w:ilvl w:val="0"/>
          <w:numId w:val="13"/>
        </w:numPr>
        <w:spacing w:after="0" w:line="360" w:lineRule="auto"/>
        <w:rPr>
          <w:bCs/>
          <w:color w:val="auto"/>
        </w:rPr>
      </w:pPr>
      <w:r w:rsidRPr="00C369B3">
        <w:rPr>
          <w:color w:val="auto"/>
        </w:rPr>
        <w:t>D</w:t>
      </w:r>
      <w:r w:rsidR="003420D9">
        <w:rPr>
          <w:color w:val="auto"/>
        </w:rPr>
        <w:t>omicilio</w:t>
      </w:r>
      <w:r w:rsidRPr="00C369B3">
        <w:rPr>
          <w:color w:val="auto"/>
        </w:rPr>
        <w:t xml:space="preserve"> particular.</w:t>
      </w:r>
    </w:p>
    <w:p w14:paraId="2537EEAF" w14:textId="4E17F972" w:rsidR="00B13674" w:rsidRDefault="00631C4E" w:rsidP="00631C4E">
      <w:pPr>
        <w:spacing w:after="0" w:line="360" w:lineRule="auto"/>
      </w:pPr>
      <w:r>
        <w:lastRenderedPageBreak/>
        <w:t xml:space="preserve">Además, se localizó que dejó visibles </w:t>
      </w:r>
      <w:r w:rsidRPr="00631C4E">
        <w:t xml:space="preserve">el </w:t>
      </w:r>
      <w:r w:rsidR="005B5B0F" w:rsidRPr="00631C4E">
        <w:t>Número de seguridad social del Instituto de Seguridad Social del Estado de México y Municipios</w:t>
      </w:r>
      <w:r w:rsidRPr="00631C4E">
        <w:t>,</w:t>
      </w:r>
      <w:r w:rsidR="00E0232B" w:rsidRPr="00631C4E">
        <w:t xml:space="preserve"> deducciones personales</w:t>
      </w:r>
      <w:r>
        <w:t xml:space="preserve"> e institución bancaria;</w:t>
      </w:r>
      <w:r w:rsidR="00E0232B">
        <w:t xml:space="preserve"> por lo que es </w:t>
      </w:r>
      <w:r w:rsidR="005B5B0F">
        <w:t>procedente analizar si dichos datos son públicos o privados; 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6491358D" w14:textId="77777777" w:rsidR="00E149BC" w:rsidRDefault="00E149BC" w:rsidP="0078724B">
      <w:pPr>
        <w:spacing w:after="0" w:line="360" w:lineRule="auto"/>
      </w:pPr>
    </w:p>
    <w:p w14:paraId="36FB016A" w14:textId="3BE03D1D" w:rsidR="00E149BC" w:rsidRDefault="00F607CF" w:rsidP="0078724B">
      <w:pPr>
        <w:spacing w:after="0" w:line="360" w:lineRule="auto"/>
      </w:pPr>
      <w:r>
        <w:t>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57AF8335" w14:textId="77777777" w:rsidR="00F607CF" w:rsidRDefault="00F607CF" w:rsidP="0078724B">
      <w:pPr>
        <w:spacing w:after="0" w:line="360" w:lineRule="auto"/>
      </w:pPr>
    </w:p>
    <w:p w14:paraId="3253383C" w14:textId="579EBAFF" w:rsidR="00F607CF" w:rsidRDefault="00FF5129" w:rsidP="0078724B">
      <w:pPr>
        <w:spacing w:after="0" w:line="360" w:lineRule="auto"/>
      </w:pPr>
      <w: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3A9785CC" w14:textId="77777777" w:rsidR="00FF5129" w:rsidRDefault="00FF5129" w:rsidP="0078724B">
      <w:pPr>
        <w:spacing w:after="0" w:line="360" w:lineRule="auto"/>
      </w:pPr>
    </w:p>
    <w:p w14:paraId="018F0FA8" w14:textId="3359B726" w:rsidR="00FF5129" w:rsidRDefault="00FF5129" w:rsidP="0078724B">
      <w:pPr>
        <w:spacing w:after="0" w:line="360" w:lineRule="auto"/>
      </w:pPr>
      <w:r>
        <w:t xml:space="preserve">Por su parte, el artículo 24, fracción VI, de la Ley de Transparencia y Acceso a la Información Pública del Estado de México y Municipios, precisa que los Sujetos Obligados serán los </w:t>
      </w:r>
      <w:r>
        <w:lastRenderedPageBreak/>
        <w:t>responsables de proteger y resguardar la información clasificada como reservada o confidencial.</w:t>
      </w:r>
    </w:p>
    <w:p w14:paraId="46D667B6" w14:textId="77777777" w:rsidR="00FF5129" w:rsidRDefault="00FF5129" w:rsidP="0078724B">
      <w:pPr>
        <w:spacing w:after="0" w:line="360" w:lineRule="auto"/>
      </w:pPr>
    </w:p>
    <w:p w14:paraId="2D031EB9" w14:textId="7BD3E7EC" w:rsidR="00FF5129" w:rsidRDefault="00F970AA" w:rsidP="0078724B">
      <w:pPr>
        <w:spacing w:after="0" w:line="360" w:lineRule="auto"/>
      </w:pPr>
      <w:r>
        <w:t>En concordancia con lo previo, el artículo 143, fracción I, de la Ley previamente citada, establece que la información privada y los datos personales, concernientes a una persona física o jurídica colectiva identificada o identificable son confidenciales.</w:t>
      </w:r>
    </w:p>
    <w:p w14:paraId="3649C6D6" w14:textId="77777777" w:rsidR="00F970AA" w:rsidRDefault="00F970AA" w:rsidP="0078724B">
      <w:pPr>
        <w:spacing w:after="0" w:line="360" w:lineRule="auto"/>
      </w:pPr>
    </w:p>
    <w:p w14:paraId="753D68A3" w14:textId="58A132F0" w:rsidR="00F970AA" w:rsidRDefault="007D383A" w:rsidP="0078724B">
      <w:pPr>
        <w:spacing w:after="0" w:line="360" w:lineRule="auto"/>
      </w:pPr>
      <w: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w:t>
      </w:r>
      <w:proofErr w:type="spellStart"/>
      <w:r>
        <w:t>ii</w:t>
      </w:r>
      <w:proofErr w:type="spellEnd"/>
      <w:r>
        <w:t xml:space="preserve">) por ley tenga el carácter de pública, </w:t>
      </w:r>
      <w:proofErr w:type="spellStart"/>
      <w:r>
        <w:t>iii</w:t>
      </w:r>
      <w:proofErr w:type="spellEnd"/>
      <w:r>
        <w:t xml:space="preserve">) exista una orden judicial, </w:t>
      </w:r>
      <w:proofErr w:type="spellStart"/>
      <w:r>
        <w:t>iv</w:t>
      </w:r>
      <w:proofErr w:type="spellEnd"/>
      <w:r>
        <w:t>) por razones de seguridad nacional y salubridad general o v) para proteger los derechos de terceros o cuando se transmita entre sujetos obligados en términos de los tratados y los acuerdos interinstitucionales.</w:t>
      </w:r>
    </w:p>
    <w:p w14:paraId="101799A6" w14:textId="77777777" w:rsidR="007D383A" w:rsidRDefault="007D383A" w:rsidP="0078724B">
      <w:pPr>
        <w:spacing w:after="0" w:line="360" w:lineRule="auto"/>
      </w:pPr>
    </w:p>
    <w:p w14:paraId="308E0F0F" w14:textId="77777777" w:rsidR="00900F92" w:rsidRDefault="00900F92" w:rsidP="0078724B">
      <w:pPr>
        <w:spacing w:after="0" w:line="360" w:lineRule="auto"/>
      </w:pPr>
      <w:r>
        <w:t xml:space="preserve">En términos de lo expuesto, la documentación y aquellos datos que se consideren confidenciales, serán una limitante del derecho de acceso a la información, siempre y cuando: </w:t>
      </w:r>
    </w:p>
    <w:p w14:paraId="1F4BAC2D" w14:textId="77777777" w:rsidR="00900F92" w:rsidRDefault="00900F92" w:rsidP="0078724B">
      <w:pPr>
        <w:spacing w:after="0" w:line="360" w:lineRule="auto"/>
      </w:pPr>
    </w:p>
    <w:p w14:paraId="49A9D6F8" w14:textId="46F75192" w:rsidR="00900F92" w:rsidRDefault="00900F92" w:rsidP="0078724B">
      <w:pPr>
        <w:pStyle w:val="Prrafodelista"/>
        <w:numPr>
          <w:ilvl w:val="0"/>
          <w:numId w:val="14"/>
        </w:numPr>
        <w:spacing w:after="0" w:line="360" w:lineRule="auto"/>
      </w:pPr>
      <w:r>
        <w:t xml:space="preserve">Se trate de datos personales o información privada; esto es, información concerniente a una persona física o jurídico colectiva y que esta sea identificada o identificable. </w:t>
      </w:r>
    </w:p>
    <w:p w14:paraId="4A7872C4" w14:textId="77777777" w:rsidR="00900F92" w:rsidRDefault="00900F92" w:rsidP="0078724B">
      <w:pPr>
        <w:spacing w:after="0" w:line="360" w:lineRule="auto"/>
      </w:pPr>
    </w:p>
    <w:p w14:paraId="4136514B" w14:textId="1B41EB8B" w:rsidR="007D383A" w:rsidRDefault="00900F92" w:rsidP="0078724B">
      <w:pPr>
        <w:pStyle w:val="Prrafodelista"/>
        <w:numPr>
          <w:ilvl w:val="0"/>
          <w:numId w:val="14"/>
        </w:numPr>
        <w:spacing w:after="0" w:line="360" w:lineRule="auto"/>
      </w:pPr>
      <w:r>
        <w:t>Para la difusión de los datos, se requiera el consentimiento del titular.</w:t>
      </w:r>
    </w:p>
    <w:p w14:paraId="71E19A84" w14:textId="77777777" w:rsidR="006E0623" w:rsidRDefault="006E0623" w:rsidP="0078724B">
      <w:pPr>
        <w:pStyle w:val="Prrafodelista"/>
        <w:spacing w:after="0" w:line="360" w:lineRule="auto"/>
      </w:pPr>
    </w:p>
    <w:p w14:paraId="2B784B83" w14:textId="5DF2886B" w:rsidR="00991161" w:rsidRDefault="006E0623" w:rsidP="0078724B">
      <w:pPr>
        <w:spacing w:after="0" w:line="360" w:lineRule="auto"/>
      </w:pPr>
      <w:r>
        <w:t xml:space="preserve">En ese orden de ideas, de conformidad con el artículo 3°, fracción IX, de la Ley de Transparencia y Acceso a la Información Pública del Estado de México y Municipios, con </w:t>
      </w:r>
      <w:r>
        <w:lastRenderedPageBreak/>
        <w:t>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w:t>
      </w:r>
      <w:r w:rsidR="00631C4E">
        <w:t xml:space="preserve"> </w:t>
      </w:r>
      <w:r w:rsidR="00991161">
        <w:t xml:space="preserve">Bajo ese contexto, se analizarán si los datos mencionados de manera </w:t>
      </w:r>
      <w:proofErr w:type="gramStart"/>
      <w:r w:rsidR="00991161">
        <w:t>enunciativa,</w:t>
      </w:r>
      <w:proofErr w:type="gramEnd"/>
      <w:r w:rsidR="00991161">
        <w:t xml:space="preserve"> son confidenciales o públicos.</w:t>
      </w:r>
    </w:p>
    <w:p w14:paraId="3DDF4F1B" w14:textId="77777777" w:rsidR="00541C77" w:rsidRDefault="00541C77" w:rsidP="0078724B">
      <w:pPr>
        <w:spacing w:after="0" w:line="360" w:lineRule="auto"/>
      </w:pPr>
    </w:p>
    <w:p w14:paraId="6F81C8D5" w14:textId="77777777" w:rsidR="00541C77" w:rsidRPr="00541C77" w:rsidRDefault="00541C77" w:rsidP="0078724B">
      <w:pPr>
        <w:numPr>
          <w:ilvl w:val="0"/>
          <w:numId w:val="15"/>
        </w:numPr>
        <w:spacing w:after="0" w:line="360" w:lineRule="auto"/>
        <w:contextualSpacing/>
        <w:rPr>
          <w:rFonts w:eastAsia="Times New Roman" w:cs="Times New Roman"/>
          <w:b/>
          <w:color w:val="000000"/>
          <w:szCs w:val="24"/>
          <w:lang w:eastAsia="es-ES"/>
        </w:rPr>
      </w:pPr>
      <w:r w:rsidRPr="00541C77">
        <w:rPr>
          <w:rFonts w:eastAsia="Times New Roman" w:cs="Times New Roman"/>
          <w:b/>
          <w:color w:val="000000"/>
          <w:szCs w:val="24"/>
          <w:lang w:eastAsia="es-ES"/>
        </w:rPr>
        <w:t>Clave Única de Registro de Población (CURP)</w:t>
      </w:r>
    </w:p>
    <w:p w14:paraId="6102748F" w14:textId="77777777" w:rsidR="00541C77" w:rsidRPr="00541C77" w:rsidRDefault="00541C77" w:rsidP="0078724B">
      <w:pPr>
        <w:spacing w:after="0" w:line="360" w:lineRule="auto"/>
        <w:rPr>
          <w:rFonts w:eastAsia="Palatino Linotype" w:cs="Palatino Linotype"/>
          <w:b/>
          <w:color w:val="000000"/>
          <w:lang w:eastAsia="es-MX"/>
        </w:rPr>
      </w:pPr>
    </w:p>
    <w:p w14:paraId="363E826B" w14:textId="77777777" w:rsidR="00541C77" w:rsidRPr="00541C77" w:rsidRDefault="00541C77" w:rsidP="0078724B">
      <w:pPr>
        <w:spacing w:after="0" w:line="360" w:lineRule="auto"/>
        <w:rPr>
          <w:rFonts w:eastAsia="Palatino Linotype" w:cs="Palatino Linotype"/>
          <w:color w:val="000000"/>
          <w:lang w:eastAsia="es-MX"/>
        </w:rPr>
      </w:pPr>
      <w:r w:rsidRPr="00541C77">
        <w:rPr>
          <w:rFonts w:eastAsia="Palatino Linotype" w:cs="Palatino Linotype"/>
          <w:color w:val="000000"/>
          <w:lang w:eastAsia="es-MX"/>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171E0F00" w14:textId="77777777" w:rsidR="00541C77" w:rsidRPr="00541C77" w:rsidRDefault="00541C77" w:rsidP="0078724B">
      <w:pPr>
        <w:spacing w:after="0" w:line="360" w:lineRule="auto"/>
        <w:rPr>
          <w:rFonts w:eastAsia="Palatino Linotype" w:cs="Palatino Linotype"/>
          <w:color w:val="000000"/>
          <w:lang w:eastAsia="es-MX"/>
        </w:rPr>
      </w:pPr>
    </w:p>
    <w:p w14:paraId="77323B74" w14:textId="77777777" w:rsidR="00541C77" w:rsidRPr="00541C77" w:rsidRDefault="00541C77" w:rsidP="0078724B">
      <w:pPr>
        <w:spacing w:after="0" w:line="360" w:lineRule="auto"/>
        <w:rPr>
          <w:rFonts w:eastAsia="Palatino Linotype" w:cs="Palatino Linotype"/>
          <w:color w:val="000000"/>
          <w:lang w:eastAsia="es-MX"/>
        </w:rPr>
      </w:pPr>
      <w:r w:rsidRPr="00541C77">
        <w:rPr>
          <w:rFonts w:eastAsia="Palatino Linotype" w:cs="Palatino Linotype"/>
          <w:color w:val="000000"/>
          <w:lang w:eastAsia="es-MX"/>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5D1FC3C8" w14:textId="77777777" w:rsidR="00541C77" w:rsidRPr="00541C77" w:rsidRDefault="00541C77" w:rsidP="0078724B">
      <w:pPr>
        <w:spacing w:after="0" w:line="360" w:lineRule="auto"/>
        <w:rPr>
          <w:rFonts w:eastAsia="Palatino Linotype" w:cs="Palatino Linotype"/>
          <w:color w:val="000000"/>
          <w:lang w:eastAsia="es-MX"/>
        </w:rPr>
      </w:pPr>
    </w:p>
    <w:p w14:paraId="26A6A633" w14:textId="1E0885E3" w:rsidR="00541C77" w:rsidRPr="00541C77" w:rsidRDefault="00541C77" w:rsidP="0078724B">
      <w:pPr>
        <w:spacing w:after="0" w:line="360" w:lineRule="auto"/>
        <w:rPr>
          <w:rFonts w:eastAsia="Palatino Linotype" w:cs="Palatino Linotype"/>
          <w:color w:val="000000"/>
          <w:lang w:eastAsia="es-MX"/>
        </w:rPr>
      </w:pPr>
      <w:r w:rsidRPr="00541C77">
        <w:rPr>
          <w:rFonts w:eastAsia="Palatino Linotype" w:cs="Palatino Linotype"/>
          <w:color w:val="000000"/>
          <w:lang w:eastAsia="es-MX"/>
        </w:rPr>
        <w:t xml:space="preserve">En ese orden de ideas, la Secretaría de Gobernación en las direcciones </w:t>
      </w:r>
      <w:hyperlink r:id="rId10" w:history="1">
        <w:r w:rsidRPr="00541C77">
          <w:rPr>
            <w:rFonts w:eastAsia="Palatino Linotype" w:cs="Palatino Linotype"/>
            <w:color w:val="0000FF"/>
            <w:u w:val="single"/>
            <w:lang w:eastAsia="es-MX"/>
          </w:rPr>
          <w:t>https://consultas.curp.gob.mx/CurpSP/html/informacionecurpPS.html</w:t>
        </w:r>
      </w:hyperlink>
      <w:r w:rsidRPr="00541C77">
        <w:rPr>
          <w:rFonts w:eastAsia="Palatino Linotype" w:cs="Palatino Linotype"/>
          <w:color w:val="000000"/>
          <w:lang w:eastAsia="es-MX"/>
        </w:rPr>
        <w:t xml:space="preserve">  y </w:t>
      </w:r>
      <w:hyperlink r:id="rId11" w:history="1">
        <w:r w:rsidRPr="00541C77">
          <w:rPr>
            <w:rFonts w:eastAsia="Palatino Linotype" w:cs="Palatino Linotype"/>
            <w:color w:val="0000FF"/>
            <w:u w:val="single"/>
            <w:lang w:eastAsia="es-MX"/>
          </w:rPr>
          <w:t>https://www.gob.mx/segob/renapo/acciones-y-programas/clave-unica-de-registro-depoblacion-curp-142226</w:t>
        </w:r>
      </w:hyperlink>
      <w:r w:rsidRPr="00541C77">
        <w:rPr>
          <w:rFonts w:eastAsia="Palatino Linotype" w:cs="Palatino Linotype"/>
          <w:color w:val="000000"/>
          <w:lang w:eastAsia="es-MX"/>
        </w:rPr>
        <w:t xml:space="preserve">  (consultadas el </w:t>
      </w:r>
      <w:r>
        <w:rPr>
          <w:rFonts w:eastAsia="Palatino Linotype" w:cs="Palatino Linotype"/>
          <w:color w:val="000000"/>
          <w:lang w:eastAsia="es-MX"/>
        </w:rPr>
        <w:t xml:space="preserve">cinco de marzo </w:t>
      </w:r>
      <w:r w:rsidRPr="00541C77">
        <w:rPr>
          <w:rFonts w:eastAsia="Palatino Linotype" w:cs="Palatino Linotype"/>
          <w:color w:val="000000"/>
          <w:lang w:eastAsia="es-MX"/>
        </w:rPr>
        <w:t xml:space="preserve">de dos mil veinticinco), estableció </w:t>
      </w:r>
      <w:r w:rsidRPr="00541C77">
        <w:rPr>
          <w:rFonts w:eastAsia="Palatino Linotype" w:cs="Palatino Linotype"/>
          <w:color w:val="000000"/>
          <w:lang w:eastAsia="es-MX"/>
        </w:rPr>
        <w:lastRenderedPageBreak/>
        <w:t xml:space="preserve">que la Clave Única del Registro de Población, es un instrumento de registro que se asigna a todas las personas que viven en el territorio nacional, así como a los mexicanos que residen en el extranjero y se compone de dieciocho elementos, representados por letras y números, que se </w:t>
      </w:r>
      <w:r w:rsidRPr="00541C77">
        <w:rPr>
          <w:rFonts w:eastAsia="Palatino Linotype" w:cs="Palatino Linotype"/>
          <w:b/>
          <w:color w:val="000000"/>
          <w:lang w:eastAsia="es-MX"/>
        </w:rPr>
        <w:t xml:space="preserve">generan a partir de los datos contenidos en el documento probatorio de la identidad del interesado </w:t>
      </w:r>
      <w:r w:rsidRPr="00541C77">
        <w:rPr>
          <w:rFonts w:eastAsia="Palatino Linotype" w:cs="Palatino Linotype"/>
          <w:color w:val="000000"/>
          <w:lang w:eastAsia="es-MX"/>
        </w:rPr>
        <w:t>(acta de nacimiento, carta de naturalización o documento migratorio) de la siguiente forma:</w:t>
      </w:r>
    </w:p>
    <w:p w14:paraId="6242C47F" w14:textId="77777777" w:rsidR="00541C77" w:rsidRPr="00541C77" w:rsidRDefault="00541C77" w:rsidP="0078724B">
      <w:pPr>
        <w:spacing w:after="0" w:line="360" w:lineRule="auto"/>
        <w:rPr>
          <w:rFonts w:eastAsia="Palatino Linotype" w:cs="Palatino Linotype"/>
          <w:color w:val="000000"/>
          <w:lang w:eastAsia="es-MX"/>
        </w:rPr>
      </w:pPr>
    </w:p>
    <w:p w14:paraId="36793167" w14:textId="77777777" w:rsidR="00541C77" w:rsidRPr="00541C77" w:rsidRDefault="00541C77" w:rsidP="0078724B">
      <w:pPr>
        <w:numPr>
          <w:ilvl w:val="0"/>
          <w:numId w:val="15"/>
        </w:numPr>
        <w:spacing w:after="0" w:line="360" w:lineRule="auto"/>
        <w:contextualSpacing/>
        <w:rPr>
          <w:rFonts w:eastAsia="Times New Roman" w:cs="Times New Roman"/>
          <w:color w:val="000000"/>
          <w:szCs w:val="24"/>
          <w:lang w:eastAsia="es-ES"/>
        </w:rPr>
      </w:pPr>
      <w:r w:rsidRPr="00541C77">
        <w:rPr>
          <w:rFonts w:eastAsia="Times New Roman" w:cs="Times New Roman"/>
          <w:color w:val="000000"/>
          <w:szCs w:val="24"/>
          <w:lang w:eastAsia="es-ES"/>
        </w:rPr>
        <w:t xml:space="preserve">El primero y segundo apellidos, así como al nombre de pila; </w:t>
      </w:r>
    </w:p>
    <w:p w14:paraId="6268FA28" w14:textId="77777777" w:rsidR="00541C77" w:rsidRPr="00541C77" w:rsidRDefault="00541C77" w:rsidP="0078724B">
      <w:pPr>
        <w:numPr>
          <w:ilvl w:val="0"/>
          <w:numId w:val="15"/>
        </w:numPr>
        <w:spacing w:after="0" w:line="360" w:lineRule="auto"/>
        <w:contextualSpacing/>
        <w:rPr>
          <w:rFonts w:eastAsia="Times New Roman" w:cs="Times New Roman"/>
          <w:color w:val="000000"/>
          <w:szCs w:val="24"/>
          <w:lang w:eastAsia="es-ES"/>
        </w:rPr>
      </w:pPr>
      <w:r w:rsidRPr="00541C77">
        <w:rPr>
          <w:rFonts w:eastAsia="Times New Roman" w:cs="Times New Roman"/>
          <w:color w:val="000000"/>
          <w:szCs w:val="24"/>
          <w:lang w:eastAsia="es-ES"/>
        </w:rPr>
        <w:t xml:space="preserve">La fecha de nacimiento; </w:t>
      </w:r>
    </w:p>
    <w:p w14:paraId="7051C425" w14:textId="77777777" w:rsidR="00541C77" w:rsidRPr="00541C77" w:rsidRDefault="00541C77" w:rsidP="0078724B">
      <w:pPr>
        <w:numPr>
          <w:ilvl w:val="0"/>
          <w:numId w:val="15"/>
        </w:numPr>
        <w:spacing w:after="0" w:line="360" w:lineRule="auto"/>
        <w:contextualSpacing/>
        <w:rPr>
          <w:rFonts w:eastAsia="Times New Roman" w:cs="Times New Roman"/>
          <w:color w:val="000000"/>
          <w:szCs w:val="24"/>
          <w:lang w:eastAsia="es-ES"/>
        </w:rPr>
      </w:pPr>
      <w:r w:rsidRPr="00541C77">
        <w:rPr>
          <w:rFonts w:eastAsia="Times New Roman" w:cs="Times New Roman"/>
          <w:color w:val="000000"/>
          <w:szCs w:val="24"/>
          <w:lang w:eastAsia="es-ES"/>
        </w:rPr>
        <w:t xml:space="preserve">El sexo, y </w:t>
      </w:r>
    </w:p>
    <w:p w14:paraId="0BDEA3B3" w14:textId="77777777" w:rsidR="00541C77" w:rsidRPr="00541C77" w:rsidRDefault="00541C77" w:rsidP="0078724B">
      <w:pPr>
        <w:numPr>
          <w:ilvl w:val="0"/>
          <w:numId w:val="15"/>
        </w:numPr>
        <w:spacing w:after="0" w:line="360" w:lineRule="auto"/>
        <w:contextualSpacing/>
        <w:rPr>
          <w:rFonts w:eastAsia="Times New Roman" w:cs="Times New Roman"/>
          <w:color w:val="000000"/>
          <w:szCs w:val="24"/>
          <w:lang w:eastAsia="es-ES"/>
        </w:rPr>
      </w:pPr>
      <w:r w:rsidRPr="00541C77">
        <w:rPr>
          <w:rFonts w:eastAsia="Times New Roman" w:cs="Times New Roman"/>
          <w:color w:val="000000"/>
          <w:szCs w:val="24"/>
          <w:lang w:eastAsia="es-ES"/>
        </w:rPr>
        <w:t>La entidad federativa de nacimiento.</w:t>
      </w:r>
    </w:p>
    <w:p w14:paraId="773ABF00" w14:textId="77777777" w:rsidR="00541C77" w:rsidRPr="00541C77" w:rsidRDefault="00541C77" w:rsidP="0078724B">
      <w:pPr>
        <w:spacing w:after="0" w:line="360" w:lineRule="auto"/>
        <w:rPr>
          <w:rFonts w:eastAsia="Palatino Linotype" w:cs="Palatino Linotype"/>
          <w:color w:val="000000"/>
          <w:lang w:eastAsia="es-MX"/>
        </w:rPr>
      </w:pPr>
    </w:p>
    <w:p w14:paraId="23BE4CF3" w14:textId="77777777" w:rsidR="00541C77" w:rsidRPr="00541C77" w:rsidRDefault="00541C77" w:rsidP="0078724B">
      <w:pPr>
        <w:spacing w:after="0" w:line="360" w:lineRule="auto"/>
        <w:rPr>
          <w:rFonts w:eastAsia="Palatino Linotype" w:cs="Palatino Linotype"/>
          <w:color w:val="000000"/>
          <w:lang w:eastAsia="es-MX"/>
        </w:rPr>
      </w:pPr>
      <w:r w:rsidRPr="00541C77">
        <w:rPr>
          <w:rFonts w:eastAsia="Palatino Linotype" w:cs="Palatino Linotype"/>
          <w:color w:val="000000"/>
          <w:lang w:eastAsia="es-MX"/>
        </w:rPr>
        <w:t>Los dos últimos elementos de la Clave Única de Registro de Población evitan la duplicidad de la Clave y garantizan su correcta integración.</w:t>
      </w:r>
    </w:p>
    <w:p w14:paraId="569ADA1F" w14:textId="77777777" w:rsidR="00541C77" w:rsidRPr="00541C77" w:rsidRDefault="00541C77" w:rsidP="0078724B">
      <w:pPr>
        <w:spacing w:after="0" w:line="360" w:lineRule="auto"/>
        <w:rPr>
          <w:rFonts w:eastAsia="Palatino Linotype" w:cs="Palatino Linotype"/>
          <w:color w:val="000000"/>
          <w:lang w:eastAsia="es-MX"/>
        </w:rPr>
      </w:pPr>
      <w:r w:rsidRPr="00541C77">
        <w:rPr>
          <w:rFonts w:eastAsia="Palatino Linotype" w:cs="Palatino Linotype"/>
          <w:color w:val="000000"/>
          <w:lang w:eastAsia="es-MX"/>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0DAEBAEB" w14:textId="77777777" w:rsidR="00541C77" w:rsidRPr="00541C77" w:rsidRDefault="00541C77" w:rsidP="0078724B">
      <w:pPr>
        <w:spacing w:after="0" w:line="360" w:lineRule="auto"/>
        <w:rPr>
          <w:rFonts w:eastAsia="Palatino Linotype" w:cs="Palatino Linotype"/>
          <w:color w:val="000000"/>
          <w:lang w:eastAsia="es-MX"/>
        </w:rPr>
      </w:pPr>
    </w:p>
    <w:p w14:paraId="0345932E" w14:textId="77777777" w:rsidR="00541C77" w:rsidRPr="00541C77" w:rsidRDefault="00541C77" w:rsidP="0078724B">
      <w:pPr>
        <w:spacing w:after="0" w:line="360" w:lineRule="auto"/>
        <w:rPr>
          <w:rFonts w:eastAsia="Palatino Linotype" w:cs="Palatino Linotype"/>
          <w:color w:val="000000"/>
          <w:lang w:eastAsia="es-MX"/>
        </w:rPr>
      </w:pPr>
      <w:r w:rsidRPr="00541C77">
        <w:rPr>
          <w:rFonts w:eastAsia="Palatino Linotype" w:cs="Palatino Linotype"/>
          <w:color w:val="000000"/>
          <w:lang w:eastAsia="es-MX"/>
        </w:rPr>
        <w:t>Situación que se robustece, con el Criterio de Interpretación, de la Segunda Época, con número de registro SO/018/2017, emitido por el Instituto Nacional de Transparencia, Acceso a la Información y Protección de Datos Personales, que establece lo siguiente:</w:t>
      </w:r>
    </w:p>
    <w:p w14:paraId="1F2BFBF8" w14:textId="77777777" w:rsidR="00541C77" w:rsidRPr="00541C77" w:rsidRDefault="00541C77" w:rsidP="0078724B">
      <w:pPr>
        <w:spacing w:after="0" w:line="360" w:lineRule="auto"/>
        <w:rPr>
          <w:rFonts w:eastAsia="Palatino Linotype" w:cs="Palatino Linotype"/>
          <w:color w:val="000000"/>
          <w:lang w:eastAsia="es-MX"/>
        </w:rPr>
      </w:pPr>
    </w:p>
    <w:p w14:paraId="756E0BAB" w14:textId="77777777" w:rsidR="00541C77" w:rsidRPr="00541C77" w:rsidRDefault="00541C77" w:rsidP="0078724B">
      <w:pPr>
        <w:tabs>
          <w:tab w:val="left" w:pos="4667"/>
        </w:tabs>
        <w:spacing w:after="0" w:line="360" w:lineRule="auto"/>
        <w:ind w:left="567" w:right="567"/>
        <w:rPr>
          <w:rFonts w:eastAsia="Palatino Linotype" w:cs="Palatino Linotype"/>
          <w:i/>
          <w:iCs/>
          <w:color w:val="000000"/>
          <w:sz w:val="20"/>
          <w:szCs w:val="20"/>
          <w:lang w:eastAsia="es-MX"/>
        </w:rPr>
      </w:pPr>
      <w:r w:rsidRPr="00541C77">
        <w:rPr>
          <w:rFonts w:eastAsia="Palatino Linotype" w:cs="Palatino Linotype"/>
          <w:b/>
          <w:i/>
          <w:iCs/>
          <w:color w:val="000000"/>
          <w:sz w:val="20"/>
          <w:szCs w:val="20"/>
          <w:lang w:eastAsia="es-MX"/>
        </w:rPr>
        <w:lastRenderedPageBreak/>
        <w:t>“Clave Única de Registro de Población (CURP).</w:t>
      </w:r>
      <w:r w:rsidRPr="00541C77">
        <w:rPr>
          <w:rFonts w:eastAsia="Palatino Linotype" w:cs="Palatino Linotype"/>
          <w:i/>
          <w:iCs/>
          <w:color w:val="000000"/>
          <w:sz w:val="20"/>
          <w:szCs w:val="20"/>
          <w:lang w:eastAsia="es-MX"/>
        </w:rPr>
        <w:t xml:space="preserve"> La Clave Única de Registro de Población se integra por datos personales que sólo conciernen al particular titular de </w:t>
      </w:r>
      <w:proofErr w:type="gramStart"/>
      <w:r w:rsidRPr="00541C77">
        <w:rPr>
          <w:rFonts w:eastAsia="Palatino Linotype" w:cs="Palatino Linotype"/>
          <w:i/>
          <w:iCs/>
          <w:color w:val="000000"/>
          <w:sz w:val="20"/>
          <w:szCs w:val="20"/>
          <w:lang w:eastAsia="es-MX"/>
        </w:rPr>
        <w:t>la misma</w:t>
      </w:r>
      <w:proofErr w:type="gramEnd"/>
      <w:r w:rsidRPr="00541C77">
        <w:rPr>
          <w:rFonts w:eastAsia="Palatino Linotype" w:cs="Palatino Linotype"/>
          <w:i/>
          <w:iCs/>
          <w:color w:val="000000"/>
          <w:sz w:val="20"/>
          <w:szCs w:val="20"/>
          <w:lang w:eastAsia="es-MX"/>
        </w:rPr>
        <w:t>,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19C2A745" w14:textId="77777777" w:rsidR="00541C77" w:rsidRPr="00541C77" w:rsidRDefault="00541C77" w:rsidP="0078724B">
      <w:pPr>
        <w:spacing w:after="0" w:line="360" w:lineRule="auto"/>
        <w:rPr>
          <w:rFonts w:eastAsia="Palatino Linotype" w:cs="Palatino Linotype"/>
          <w:color w:val="000000"/>
          <w:lang w:eastAsia="es-MX"/>
        </w:rPr>
      </w:pPr>
    </w:p>
    <w:p w14:paraId="5B97B730" w14:textId="77777777" w:rsidR="00541C77" w:rsidRDefault="00541C77" w:rsidP="0078724B">
      <w:pPr>
        <w:spacing w:after="0" w:line="360" w:lineRule="auto"/>
        <w:rPr>
          <w:rFonts w:eastAsia="Palatino Linotype" w:cs="Palatino Linotype"/>
          <w:color w:val="000000"/>
          <w:lang w:eastAsia="es-MX"/>
        </w:rPr>
      </w:pPr>
      <w:r w:rsidRPr="00541C77">
        <w:rPr>
          <w:rFonts w:eastAsia="Palatino Linotype" w:cs="Palatino Linotype"/>
          <w:color w:val="000000"/>
          <w:lang w:eastAsia="es-MX"/>
        </w:rPr>
        <w:t>De acuerdo con lo anterior, resulta procedente la clasificación de la Clave Única de Registro de Población, por tratarse de un dato personal confidencial, en términos del artículo 143, fracción I, de la Ley de Transparencia y Acceso a la Información Pública del Estado de México y Municipios.</w:t>
      </w:r>
    </w:p>
    <w:p w14:paraId="1469CFB4" w14:textId="77777777" w:rsidR="00541C77" w:rsidRPr="00541C77" w:rsidRDefault="00541C77" w:rsidP="0078724B">
      <w:pPr>
        <w:spacing w:after="0" w:line="360" w:lineRule="auto"/>
        <w:rPr>
          <w:rFonts w:eastAsia="Palatino Linotype" w:cs="Palatino Linotype"/>
          <w:color w:val="000000"/>
          <w:lang w:eastAsia="es-MX"/>
        </w:rPr>
      </w:pPr>
    </w:p>
    <w:p w14:paraId="665BA452" w14:textId="77777777" w:rsidR="00541C77" w:rsidRPr="00541C77" w:rsidRDefault="00541C77" w:rsidP="0078724B">
      <w:pPr>
        <w:numPr>
          <w:ilvl w:val="0"/>
          <w:numId w:val="16"/>
        </w:numPr>
        <w:spacing w:after="0" w:line="360" w:lineRule="auto"/>
        <w:contextualSpacing/>
        <w:rPr>
          <w:rFonts w:eastAsia="Times New Roman" w:cs="Times New Roman"/>
          <w:b/>
          <w:color w:val="000000"/>
          <w:szCs w:val="24"/>
          <w:lang w:eastAsia="es-ES"/>
        </w:rPr>
      </w:pPr>
      <w:r w:rsidRPr="00541C77">
        <w:rPr>
          <w:rFonts w:eastAsia="Times New Roman" w:cs="Times New Roman"/>
          <w:b/>
          <w:color w:val="000000"/>
          <w:szCs w:val="24"/>
          <w:lang w:eastAsia="es-ES"/>
        </w:rPr>
        <w:t>Registro Federal de Contribuyentes (RFC)</w:t>
      </w:r>
    </w:p>
    <w:p w14:paraId="64BBCF9A" w14:textId="77777777" w:rsidR="00541C77" w:rsidRPr="00541C77" w:rsidRDefault="00541C77" w:rsidP="0078724B">
      <w:pPr>
        <w:spacing w:after="0" w:line="360" w:lineRule="auto"/>
        <w:rPr>
          <w:rFonts w:eastAsia="Palatino Linotype" w:cs="Palatino Linotype"/>
          <w:color w:val="000000"/>
          <w:lang w:eastAsia="es-MX"/>
        </w:rPr>
      </w:pPr>
    </w:p>
    <w:p w14:paraId="141843C7" w14:textId="77777777" w:rsidR="00541C77" w:rsidRPr="00541C77" w:rsidRDefault="00541C77" w:rsidP="0078724B">
      <w:pPr>
        <w:spacing w:after="0" w:line="360" w:lineRule="auto"/>
        <w:rPr>
          <w:rFonts w:eastAsia="Palatino Linotype" w:cs="Palatino Linotype"/>
          <w:color w:val="000000"/>
          <w:lang w:eastAsia="es-MX"/>
        </w:rPr>
      </w:pPr>
      <w:r w:rsidRPr="00541C77">
        <w:rPr>
          <w:rFonts w:eastAsia="Palatino Linotype" w:cs="Palatino Linotype"/>
          <w:color w:val="000000"/>
          <w:lang w:eastAsia="es-MX"/>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01ECF44D" w14:textId="77777777" w:rsidR="00541C77" w:rsidRPr="00541C77" w:rsidRDefault="00541C77" w:rsidP="0078724B">
      <w:pPr>
        <w:spacing w:after="0" w:line="360" w:lineRule="auto"/>
        <w:rPr>
          <w:rFonts w:eastAsia="Palatino Linotype" w:cs="Palatino Linotype"/>
          <w:color w:val="000000"/>
          <w:lang w:eastAsia="es-MX"/>
        </w:rPr>
      </w:pPr>
    </w:p>
    <w:p w14:paraId="7A64DAA0" w14:textId="77777777" w:rsidR="00541C77" w:rsidRPr="00541C77" w:rsidRDefault="00541C77" w:rsidP="0078724B">
      <w:pPr>
        <w:spacing w:after="0" w:line="360" w:lineRule="auto"/>
        <w:rPr>
          <w:rFonts w:eastAsia="Palatino Linotype" w:cs="Palatino Linotype"/>
          <w:color w:val="000000"/>
          <w:lang w:eastAsia="es-MX"/>
        </w:rPr>
      </w:pPr>
      <w:proofErr w:type="gramStart"/>
      <w:r w:rsidRPr="00541C77">
        <w:rPr>
          <w:rFonts w:eastAsia="Palatino Linotype" w:cs="Palatino Linotype"/>
          <w:color w:val="000000"/>
          <w:lang w:eastAsia="es-MX"/>
        </w:rPr>
        <w:t>De acuerdo a</w:t>
      </w:r>
      <w:proofErr w:type="gramEnd"/>
      <w:r w:rsidRPr="00541C77">
        <w:rPr>
          <w:rFonts w:eastAsia="Palatino Linotype" w:cs="Palatino Linotype"/>
          <w:color w:val="000000"/>
          <w:lang w:eastAsia="es-MX"/>
        </w:rPr>
        <w:t xml:space="preserve"> lo establecido en el artículo en comento, esta clave se compone de trece caracteres alfanuméricos, con datos obtenidos de los apellidos, nombre(s), fecha de nacimiento del titular, más una </w:t>
      </w:r>
      <w:proofErr w:type="spellStart"/>
      <w:r w:rsidRPr="00541C77">
        <w:rPr>
          <w:rFonts w:eastAsia="Palatino Linotype" w:cs="Palatino Linotype"/>
          <w:color w:val="000000"/>
          <w:lang w:eastAsia="es-MX"/>
        </w:rPr>
        <w:t>homoclave</w:t>
      </w:r>
      <w:proofErr w:type="spellEnd"/>
      <w:r w:rsidRPr="00541C77">
        <w:rPr>
          <w:rFonts w:eastAsia="Palatino Linotype" w:cs="Palatino Linotype"/>
          <w:color w:val="000000"/>
          <w:lang w:eastAsia="es-MX"/>
        </w:rPr>
        <w:t xml:space="preserve"> que establece el sistema automático del Servicio de Administración Tributaria.</w:t>
      </w:r>
    </w:p>
    <w:p w14:paraId="0A243639" w14:textId="77777777" w:rsidR="00541C77" w:rsidRPr="00541C77" w:rsidRDefault="00541C77" w:rsidP="0078724B">
      <w:pPr>
        <w:spacing w:after="0" w:line="360" w:lineRule="auto"/>
        <w:rPr>
          <w:rFonts w:eastAsia="Palatino Linotype" w:cs="Palatino Linotype"/>
          <w:color w:val="000000"/>
          <w:lang w:eastAsia="es-MX"/>
        </w:rPr>
      </w:pPr>
    </w:p>
    <w:p w14:paraId="2A40EA1F" w14:textId="77777777" w:rsidR="00541C77" w:rsidRPr="00541C77" w:rsidRDefault="00541C77" w:rsidP="0078724B">
      <w:pPr>
        <w:spacing w:after="0" w:line="360" w:lineRule="auto"/>
        <w:rPr>
          <w:rFonts w:eastAsia="Palatino Linotype" w:cs="Palatino Linotype"/>
          <w:color w:val="000000"/>
          <w:lang w:eastAsia="es-MX"/>
        </w:rPr>
      </w:pPr>
      <w:r w:rsidRPr="00541C77">
        <w:rPr>
          <w:rFonts w:eastAsia="Palatino Linotype" w:cs="Palatino Linotype"/>
          <w:color w:val="000000"/>
          <w:lang w:eastAsia="es-MX"/>
        </w:rPr>
        <w:lastRenderedPageBreak/>
        <w:t xml:space="preserve">Ahora bien, la clave del Registro Federal de </w:t>
      </w:r>
      <w:proofErr w:type="gramStart"/>
      <w:r w:rsidRPr="00541C77">
        <w:rPr>
          <w:rFonts w:eastAsia="Palatino Linotype" w:cs="Palatino Linotype"/>
          <w:color w:val="000000"/>
          <w:lang w:eastAsia="es-MX"/>
        </w:rPr>
        <w:t>Contribuyentes,</w:t>
      </w:r>
      <w:proofErr w:type="gramEnd"/>
      <w:r w:rsidRPr="00541C77">
        <w:rPr>
          <w:rFonts w:eastAsia="Palatino Linotype" w:cs="Palatino Linotype"/>
          <w:color w:val="000000"/>
          <w:lang w:eastAsia="es-MX"/>
        </w:rPr>
        <w:t xml:space="preserve">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176270B2" w14:textId="77777777" w:rsidR="00541C77" w:rsidRPr="00541C77" w:rsidRDefault="00541C77" w:rsidP="0078724B">
      <w:pPr>
        <w:spacing w:after="0" w:line="360" w:lineRule="auto"/>
        <w:rPr>
          <w:rFonts w:eastAsia="Palatino Linotype" w:cs="Palatino Linotype"/>
          <w:color w:val="000000"/>
          <w:lang w:eastAsia="es-MX"/>
        </w:rPr>
      </w:pPr>
    </w:p>
    <w:p w14:paraId="368A1071" w14:textId="77777777" w:rsidR="00541C77" w:rsidRDefault="00541C77" w:rsidP="0078724B">
      <w:pPr>
        <w:spacing w:after="0" w:line="360" w:lineRule="auto"/>
        <w:rPr>
          <w:rFonts w:eastAsia="Palatino Linotype" w:cs="Palatino Linotype"/>
          <w:color w:val="000000"/>
          <w:lang w:eastAsia="es-MX"/>
        </w:rPr>
      </w:pPr>
      <w:r w:rsidRPr="00541C77">
        <w:rPr>
          <w:rFonts w:eastAsia="Palatino Linotype" w:cs="Palatino Linotype"/>
          <w:color w:val="000000"/>
          <w:lang w:eastAsia="es-MX"/>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0796DED6" w14:textId="77777777" w:rsidR="00631C4E" w:rsidRPr="00541C77" w:rsidRDefault="00631C4E" w:rsidP="0078724B">
      <w:pPr>
        <w:spacing w:after="0" w:line="360" w:lineRule="auto"/>
        <w:rPr>
          <w:rFonts w:eastAsia="Palatino Linotype" w:cs="Palatino Linotype"/>
          <w:color w:val="000000"/>
          <w:lang w:eastAsia="es-MX"/>
        </w:rPr>
      </w:pPr>
    </w:p>
    <w:p w14:paraId="69A5863B" w14:textId="77777777" w:rsidR="00541C77" w:rsidRPr="00541C77" w:rsidRDefault="00541C77" w:rsidP="0078724B">
      <w:pPr>
        <w:spacing w:after="0" w:line="360" w:lineRule="auto"/>
        <w:rPr>
          <w:rFonts w:eastAsia="Palatino Linotype" w:cs="Palatino Linotype"/>
          <w:color w:val="000000"/>
          <w:lang w:eastAsia="es-MX"/>
        </w:rPr>
      </w:pPr>
      <w:r w:rsidRPr="00541C77">
        <w:rPr>
          <w:rFonts w:eastAsia="Palatino Linotype" w:cs="Palatino Linotype"/>
          <w:color w:val="000000"/>
          <w:lang w:eastAsia="es-MX"/>
        </w:rPr>
        <w:t>Lo anterior, resulta congruente con el Criterio de Interpretación, de la Segunda Época, con número de registro SO/019/2017, emitido por el Instituto Nacional de Transparencia, Acceso a la Información y Protección de Datos Personales, en el cual se señala lo siguiente:</w:t>
      </w:r>
    </w:p>
    <w:p w14:paraId="0E1B74B5" w14:textId="77777777" w:rsidR="00541C77" w:rsidRPr="00541C77" w:rsidRDefault="00541C77" w:rsidP="0078724B">
      <w:pPr>
        <w:spacing w:after="0" w:line="360" w:lineRule="auto"/>
        <w:rPr>
          <w:rFonts w:eastAsia="Palatino Linotype" w:cs="Palatino Linotype"/>
          <w:color w:val="000000"/>
          <w:lang w:eastAsia="es-MX"/>
        </w:rPr>
      </w:pPr>
    </w:p>
    <w:p w14:paraId="4E58ED1D" w14:textId="77777777" w:rsidR="00541C77" w:rsidRPr="00541C77" w:rsidRDefault="00541C77" w:rsidP="0078724B">
      <w:pPr>
        <w:spacing w:after="0" w:line="360" w:lineRule="auto"/>
        <w:ind w:left="567" w:right="567"/>
        <w:rPr>
          <w:rFonts w:eastAsia="Palatino Linotype" w:cs="Palatino Linotype"/>
          <w:i/>
          <w:color w:val="000000"/>
          <w:sz w:val="20"/>
          <w:szCs w:val="20"/>
          <w:lang w:eastAsia="es-MX"/>
        </w:rPr>
      </w:pPr>
      <w:r w:rsidRPr="00541C77">
        <w:rPr>
          <w:rFonts w:eastAsia="Palatino Linotype" w:cs="Palatino Linotype"/>
          <w:b/>
          <w:i/>
          <w:color w:val="000000"/>
          <w:sz w:val="20"/>
          <w:szCs w:val="20"/>
          <w:lang w:eastAsia="es-MX"/>
        </w:rPr>
        <w:t>“Registro Federal de Contribuyentes (RFC) de personas físicas.</w:t>
      </w:r>
      <w:r w:rsidRPr="00541C77">
        <w:rPr>
          <w:rFonts w:eastAsia="Palatino Linotype" w:cs="Palatino Linotype"/>
          <w:i/>
          <w:color w:val="000000"/>
          <w:sz w:val="20"/>
          <w:szCs w:val="20"/>
          <w:lang w:eastAsia="es-MX"/>
        </w:rPr>
        <w:t xml:space="preserve"> El RFC es una clave de carácter fiscal, única e irrepetible, que permite identificar al titular, su edad y fecha de nacimiento, por lo que es un dato personal de carácter confidencial.”</w:t>
      </w:r>
    </w:p>
    <w:p w14:paraId="448D5591" w14:textId="77777777" w:rsidR="00541C77" w:rsidRPr="00541C77" w:rsidRDefault="00541C77" w:rsidP="0078724B">
      <w:pPr>
        <w:spacing w:after="0" w:line="360" w:lineRule="auto"/>
        <w:rPr>
          <w:rFonts w:eastAsia="Palatino Linotype" w:cs="Palatino Linotype"/>
          <w:color w:val="000000"/>
          <w:lang w:eastAsia="es-MX"/>
        </w:rPr>
      </w:pPr>
    </w:p>
    <w:p w14:paraId="7D1861F5" w14:textId="13E313D9" w:rsidR="00541C77" w:rsidRPr="00631C4E" w:rsidRDefault="00541C77" w:rsidP="0078724B">
      <w:pPr>
        <w:spacing w:after="0" w:line="360" w:lineRule="auto"/>
        <w:rPr>
          <w:rFonts w:eastAsia="Palatino Linotype" w:cs="Palatino Linotype"/>
          <w:b/>
          <w:bCs/>
          <w:color w:val="000000"/>
          <w:lang w:eastAsia="es-MX"/>
        </w:rPr>
      </w:pPr>
      <w:r w:rsidRPr="00541C77">
        <w:rPr>
          <w:rFonts w:eastAsia="Palatino Linotype" w:cs="Palatino Linotype"/>
          <w:color w:val="000000"/>
          <w:lang w:eastAsia="es-MX"/>
        </w:rPr>
        <w:t xml:space="preserve">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w:t>
      </w:r>
      <w:r w:rsidRPr="00541C77">
        <w:rPr>
          <w:rFonts w:eastAsia="Palatino Linotype" w:cs="Palatino Linotype"/>
          <w:color w:val="000000"/>
          <w:lang w:eastAsia="es-MX"/>
        </w:rPr>
        <w:lastRenderedPageBreak/>
        <w:t>Acceso a la Información Pública del Estado de México y Municipios.</w:t>
      </w:r>
      <w:r w:rsidR="00631C4E">
        <w:rPr>
          <w:rFonts w:eastAsia="Palatino Linotype" w:cs="Palatino Linotype"/>
          <w:color w:val="000000"/>
          <w:lang w:eastAsia="es-MX"/>
        </w:rPr>
        <w:t xml:space="preserve"> </w:t>
      </w:r>
      <w:r w:rsidR="00631C4E">
        <w:rPr>
          <w:rFonts w:eastAsia="Palatino Linotype" w:cs="Palatino Linotype"/>
          <w:b/>
          <w:bCs/>
          <w:color w:val="000000"/>
          <w:lang w:eastAsia="es-MX"/>
        </w:rPr>
        <w:t xml:space="preserve">Cabe señalar que dicho dato se </w:t>
      </w:r>
      <w:proofErr w:type="spellStart"/>
      <w:r w:rsidR="00631C4E">
        <w:rPr>
          <w:rFonts w:eastAsia="Palatino Linotype" w:cs="Palatino Linotype"/>
          <w:b/>
          <w:bCs/>
          <w:color w:val="000000"/>
          <w:lang w:eastAsia="es-MX"/>
        </w:rPr>
        <w:t>dejo</w:t>
      </w:r>
      <w:proofErr w:type="spellEnd"/>
      <w:r w:rsidR="00631C4E">
        <w:rPr>
          <w:rFonts w:eastAsia="Palatino Linotype" w:cs="Palatino Linotype"/>
          <w:b/>
          <w:bCs/>
          <w:color w:val="000000"/>
          <w:lang w:eastAsia="es-MX"/>
        </w:rPr>
        <w:t xml:space="preserve"> visible en algunos recibos.</w:t>
      </w:r>
    </w:p>
    <w:p w14:paraId="2B72DC61" w14:textId="77777777" w:rsidR="00541C77" w:rsidRPr="00541C77" w:rsidRDefault="00541C77" w:rsidP="0078724B">
      <w:pPr>
        <w:spacing w:after="0" w:line="360" w:lineRule="auto"/>
        <w:rPr>
          <w:rFonts w:eastAsia="Palatino Linotype" w:cs="Palatino Linotype"/>
          <w:color w:val="000000"/>
          <w:lang w:eastAsia="es-MX"/>
        </w:rPr>
      </w:pPr>
    </w:p>
    <w:p w14:paraId="707D5020" w14:textId="77777777" w:rsidR="00541C77" w:rsidRPr="00541C77" w:rsidRDefault="00541C77" w:rsidP="0078724B">
      <w:pPr>
        <w:numPr>
          <w:ilvl w:val="0"/>
          <w:numId w:val="16"/>
        </w:numPr>
        <w:spacing w:after="0" w:line="360" w:lineRule="auto"/>
        <w:contextualSpacing/>
        <w:rPr>
          <w:rFonts w:eastAsia="Times New Roman" w:cs="Times New Roman"/>
          <w:color w:val="000000"/>
          <w:szCs w:val="24"/>
          <w:lang w:eastAsia="es-ES"/>
        </w:rPr>
      </w:pPr>
      <w:r w:rsidRPr="00541C77">
        <w:rPr>
          <w:rFonts w:eastAsia="Times New Roman" w:cs="Times New Roman"/>
          <w:b/>
          <w:color w:val="000000"/>
          <w:szCs w:val="24"/>
          <w:lang w:eastAsia="es-ES"/>
        </w:rPr>
        <w:t>Número de seguridad social del Instituto de Seguridad Social del Estado de México y Municipios</w:t>
      </w:r>
    </w:p>
    <w:p w14:paraId="1277C221" w14:textId="77777777" w:rsidR="00541C77" w:rsidRPr="00541C77" w:rsidRDefault="00541C77" w:rsidP="0078724B">
      <w:pPr>
        <w:spacing w:after="0" w:line="360" w:lineRule="auto"/>
        <w:ind w:left="720"/>
        <w:contextualSpacing/>
        <w:rPr>
          <w:rFonts w:eastAsia="Times New Roman" w:cs="Times New Roman"/>
          <w:color w:val="000000"/>
          <w:szCs w:val="24"/>
          <w:lang w:eastAsia="es-ES"/>
        </w:rPr>
      </w:pPr>
    </w:p>
    <w:p w14:paraId="175F320D" w14:textId="77777777" w:rsidR="00541C77" w:rsidRPr="00541C77" w:rsidRDefault="00541C77" w:rsidP="0078724B">
      <w:pPr>
        <w:spacing w:after="0" w:line="360" w:lineRule="auto"/>
        <w:rPr>
          <w:rFonts w:eastAsia="Palatino Linotype" w:cs="Palatino Linotype"/>
          <w:color w:val="000000"/>
          <w:lang w:eastAsia="es-MX"/>
        </w:rPr>
      </w:pPr>
      <w:r w:rsidRPr="00541C77">
        <w:rPr>
          <w:rFonts w:eastAsia="Palatino Linotype" w:cs="Palatino Linotype"/>
          <w:color w:val="000000"/>
          <w:lang w:eastAsia="es-MX"/>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3A0FC9D5" w14:textId="77777777" w:rsidR="00541C77" w:rsidRPr="00541C77" w:rsidRDefault="00541C77" w:rsidP="0078724B">
      <w:pPr>
        <w:spacing w:after="0" w:line="360" w:lineRule="auto"/>
        <w:rPr>
          <w:rFonts w:eastAsia="Palatino Linotype" w:cs="Palatino Linotype"/>
          <w:color w:val="000000"/>
          <w:lang w:eastAsia="es-MX"/>
        </w:rPr>
      </w:pPr>
    </w:p>
    <w:p w14:paraId="0ABEB132" w14:textId="77777777" w:rsidR="00541C77" w:rsidRPr="00541C77" w:rsidRDefault="00541C77" w:rsidP="0078724B">
      <w:pPr>
        <w:spacing w:after="0" w:line="360" w:lineRule="auto"/>
        <w:rPr>
          <w:rFonts w:eastAsia="Palatino Linotype" w:cs="Palatino Linotype"/>
          <w:color w:val="000000"/>
          <w:lang w:eastAsia="es-MX"/>
        </w:rPr>
      </w:pPr>
      <w:r w:rsidRPr="00541C77">
        <w:rPr>
          <w:rFonts w:eastAsia="Palatino Linotype" w:cs="Palatino Linotype"/>
          <w:color w:val="000000"/>
          <w:lang w:eastAsia="es-MX"/>
        </w:rPr>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50A08336" w14:textId="77777777" w:rsidR="00541C77" w:rsidRPr="00541C77" w:rsidRDefault="00541C77" w:rsidP="0078724B">
      <w:pPr>
        <w:spacing w:after="0" w:line="360" w:lineRule="auto"/>
        <w:rPr>
          <w:rFonts w:eastAsia="Palatino Linotype" w:cs="Palatino Linotype"/>
          <w:color w:val="000000"/>
          <w:lang w:eastAsia="es-MX"/>
        </w:rPr>
      </w:pPr>
    </w:p>
    <w:p w14:paraId="38D6835D" w14:textId="77777777" w:rsidR="00541C77" w:rsidRPr="00541C77" w:rsidRDefault="00541C77" w:rsidP="0078724B">
      <w:pPr>
        <w:spacing w:after="0" w:line="360" w:lineRule="auto"/>
        <w:rPr>
          <w:rFonts w:eastAsia="Palatino Linotype" w:cs="Palatino Linotype"/>
          <w:color w:val="000000"/>
          <w:lang w:eastAsia="es-MX"/>
        </w:rPr>
      </w:pPr>
      <w:r w:rsidRPr="00541C77">
        <w:rPr>
          <w:rFonts w:eastAsia="Palatino Linotype" w:cs="Palatino Linotype"/>
          <w:color w:val="000000"/>
          <w:lang w:eastAsia="es-MX"/>
        </w:rPr>
        <w:t xml:space="preserve">Como se advierte, el número del Instituto de Seguridad y Servicios Sociales del Estado de México y Municipios, es un dato personal que permite identificar que una persona que trabajó o trabaja en alguna institución pública del Estado de México, por la que tiene o tuvo </w:t>
      </w:r>
      <w:r w:rsidRPr="00541C77">
        <w:rPr>
          <w:rFonts w:eastAsia="Palatino Linotype" w:cs="Palatino Linotype"/>
          <w:color w:val="000000"/>
          <w:lang w:eastAsia="es-MX"/>
        </w:rPr>
        <w:lastRenderedPageBreak/>
        <w:t>derecho a esta prestación de seguridad social; además, es de destacar que dicho dato no cambia, aunque el trabajador se dé de baja y alta en diversas ocasiones, con motivo de haber trabajado en diferentes instituciones gubernamentales de la Entidad.</w:t>
      </w:r>
    </w:p>
    <w:p w14:paraId="187A4AF9" w14:textId="77777777" w:rsidR="00541C77" w:rsidRPr="00541C77" w:rsidRDefault="00541C77" w:rsidP="0078724B">
      <w:pPr>
        <w:spacing w:after="0" w:line="360" w:lineRule="auto"/>
        <w:rPr>
          <w:rFonts w:eastAsia="Palatino Linotype" w:cs="Palatino Linotype"/>
          <w:color w:val="000000"/>
          <w:lang w:eastAsia="es-MX"/>
        </w:rPr>
      </w:pPr>
    </w:p>
    <w:p w14:paraId="269AF12D" w14:textId="77777777" w:rsidR="00541C77" w:rsidRPr="00541C77" w:rsidRDefault="00541C77" w:rsidP="0078724B">
      <w:pPr>
        <w:spacing w:after="0" w:line="360" w:lineRule="auto"/>
        <w:rPr>
          <w:rFonts w:eastAsia="Palatino Linotype" w:cs="Palatino Linotype"/>
          <w:color w:val="000000"/>
          <w:lang w:eastAsia="es-MX"/>
        </w:rPr>
      </w:pPr>
      <w:r w:rsidRPr="00541C77">
        <w:rPr>
          <w:rFonts w:eastAsia="Palatino Linotype" w:cs="Palatino Linotype"/>
          <w:color w:val="000000"/>
          <w:lang w:eastAsia="es-MX"/>
        </w:rPr>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52A7643B" w14:textId="77777777" w:rsidR="00541C77" w:rsidRDefault="00541C77" w:rsidP="0078724B">
      <w:pPr>
        <w:spacing w:after="0" w:line="360" w:lineRule="auto"/>
      </w:pPr>
    </w:p>
    <w:p w14:paraId="7CA6697D" w14:textId="6904BC8D" w:rsidR="00B64702" w:rsidRDefault="00B64702" w:rsidP="0078724B">
      <w:pPr>
        <w:pStyle w:val="Prrafodelista"/>
        <w:numPr>
          <w:ilvl w:val="0"/>
          <w:numId w:val="16"/>
        </w:numPr>
        <w:spacing w:after="0" w:line="360" w:lineRule="auto"/>
        <w:rPr>
          <w:b/>
          <w:bCs/>
        </w:rPr>
      </w:pPr>
      <w:r w:rsidRPr="00B64702">
        <w:rPr>
          <w:b/>
          <w:bCs/>
        </w:rPr>
        <w:t xml:space="preserve">Código bidimensional o </w:t>
      </w:r>
      <w:proofErr w:type="spellStart"/>
      <w:r w:rsidRPr="00B64702">
        <w:rPr>
          <w:b/>
          <w:bCs/>
        </w:rPr>
        <w:t>Qr</w:t>
      </w:r>
      <w:proofErr w:type="spellEnd"/>
    </w:p>
    <w:p w14:paraId="39781ACF" w14:textId="77777777" w:rsidR="00B64702" w:rsidRDefault="00B64702" w:rsidP="0078724B">
      <w:pPr>
        <w:spacing w:after="0" w:line="360" w:lineRule="auto"/>
        <w:rPr>
          <w:b/>
          <w:bCs/>
        </w:rPr>
      </w:pPr>
    </w:p>
    <w:p w14:paraId="385DB313" w14:textId="6AB8C4C0" w:rsidR="00B64702" w:rsidRDefault="00573FB6" w:rsidP="0078724B">
      <w:pPr>
        <w:spacing w:after="0" w:line="360" w:lineRule="auto"/>
      </w:pPr>
      <w:r>
        <w:t xml:space="preserve">En principio, resulta necesario señalar que los comprobantes fiscales digitales por Internet, deben de incluir un código bidimensional conforme al formato QR </w:t>
      </w:r>
      <w:proofErr w:type="spellStart"/>
      <w:r>
        <w:t>Code</w:t>
      </w:r>
      <w:proofErr w:type="spellEnd"/>
      <w:r>
        <w:t xml:space="preserve"> (Quick Response </w:t>
      </w:r>
      <w:proofErr w:type="spellStart"/>
      <w:r>
        <w:t>Code</w:t>
      </w:r>
      <w:proofErr w:type="spellEnd"/>
      <w:r>
        <w:t>), el cual contiene el Registro Federal de Contribuyentes del receptor, del emisor, o de ambos; lo anterior, conforme al Anexo 20 de la Segunda Resolución de modificación a la Resolución Miscelánea Fiscal para el 2017, localizada en la página electrónica http://dof.gob.mx/nota_detalle.php?codigo=5492254&amp;fecha=28/07/2017. Incluso con la captura de dicho código, a través de la aplicación móvil del Servicio de Administración Tributaria, permite el acceso al Registro Federal de Contribuyentes, como del Sujeto Obligado, como de los servidores públicos.</w:t>
      </w:r>
    </w:p>
    <w:p w14:paraId="3F7BB0C9" w14:textId="77777777" w:rsidR="00573FB6" w:rsidRDefault="00573FB6" w:rsidP="0078724B">
      <w:pPr>
        <w:spacing w:after="0" w:line="360" w:lineRule="auto"/>
      </w:pPr>
    </w:p>
    <w:p w14:paraId="52CC9B6C" w14:textId="1E6666A2" w:rsidR="00573FB6" w:rsidRPr="00631C4E" w:rsidRDefault="00250F14" w:rsidP="0078724B">
      <w:pPr>
        <w:spacing w:after="0" w:line="360" w:lineRule="auto"/>
        <w:rPr>
          <w:b/>
          <w:bCs/>
        </w:rPr>
      </w:pPr>
      <w:r>
        <w:t xml:space="preserve">De tales circunstancias, se considera que dicho dato actualiza la causal de clasificación prevista en el artículo 143, fracción I de la Ley de la materia, toda vez que da acceso al </w:t>
      </w:r>
      <w:r>
        <w:lastRenderedPageBreak/>
        <w:t>Registro Federal de Contribuyentes de los servidores públicos del Sujeto Obligado, datos que tal como se señaló previamente, son clasificados.</w:t>
      </w:r>
      <w:r w:rsidR="00631C4E">
        <w:t xml:space="preserve"> </w:t>
      </w:r>
      <w:r w:rsidR="00631C4E">
        <w:rPr>
          <w:b/>
          <w:bCs/>
        </w:rPr>
        <w:t>Se dejo visible en algunos casos.</w:t>
      </w:r>
    </w:p>
    <w:p w14:paraId="1CB3B565" w14:textId="77777777" w:rsidR="00250F14" w:rsidRDefault="00250F14" w:rsidP="0078724B">
      <w:pPr>
        <w:spacing w:after="0" w:line="360" w:lineRule="auto"/>
      </w:pPr>
    </w:p>
    <w:p w14:paraId="2AF2CACB" w14:textId="39D3FAA2" w:rsidR="00084504" w:rsidRDefault="00084504" w:rsidP="0078724B">
      <w:pPr>
        <w:pStyle w:val="Prrafodelista"/>
        <w:numPr>
          <w:ilvl w:val="0"/>
          <w:numId w:val="16"/>
        </w:numPr>
        <w:spacing w:after="0" w:line="360" w:lineRule="auto"/>
        <w:rPr>
          <w:b/>
          <w:bCs/>
        </w:rPr>
      </w:pPr>
      <w:r w:rsidRPr="00084504">
        <w:rPr>
          <w:b/>
          <w:bCs/>
        </w:rPr>
        <w:t>Cuenta bancaria de servidores públicos</w:t>
      </w:r>
    </w:p>
    <w:p w14:paraId="4BC08150" w14:textId="77777777" w:rsidR="00084504" w:rsidRDefault="00084504" w:rsidP="0078724B">
      <w:pPr>
        <w:spacing w:after="0" w:line="360" w:lineRule="auto"/>
        <w:rPr>
          <w:b/>
          <w:bCs/>
        </w:rPr>
      </w:pPr>
    </w:p>
    <w:p w14:paraId="28C3B2D1" w14:textId="69C40F68" w:rsidR="00084504" w:rsidRDefault="00084504" w:rsidP="0078724B">
      <w:pPr>
        <w:spacing w:after="0" w:line="360" w:lineRule="auto"/>
      </w:pPr>
      <w:r>
        <w:t>Al respecto, se estima que dicho dato se relaciona con hechos y actos de carácter económico, pues los mismos darían cuenta, de la relación que tiene una institución financiero con un servidor público, en su carácter de particular; además, que con dicha información se podría obtener los recursos enviados a las órdenes de cargo, pago de nómina o a las transferencias electrónicas e fondos interbancarios, entre otros movimientos que sean utilizados exclusivamente en la cuenta señalada por el cliente y por lo tanto, los datos bancarios corresponden a información que se encuentra relacionada con el patrimonio de la persona titular de la cuenta.</w:t>
      </w:r>
    </w:p>
    <w:p w14:paraId="2F94E272" w14:textId="77777777" w:rsidR="00084504" w:rsidRDefault="00084504" w:rsidP="0078724B">
      <w:pPr>
        <w:spacing w:after="0" w:line="360" w:lineRule="auto"/>
      </w:pPr>
    </w:p>
    <w:p w14:paraId="4A1EC092" w14:textId="44C8B72E" w:rsidR="00084504" w:rsidRDefault="00B73D10" w:rsidP="0078724B">
      <w:pPr>
        <w:spacing w:after="0" w:line="360" w:lineRule="auto"/>
      </w:pPr>
      <w:r>
        <w:t>A mayor abundamiento, resulta necesario traer a colación el Criterio de Interpretación, de la Segunda Época, con número de registro SO/010/2017, emitido por el Instituto Nacional de Transparencia, Acceso a la Información y Protección de Datos Personales, mismo que establece lo siguiente:</w:t>
      </w:r>
    </w:p>
    <w:p w14:paraId="7FD5AD0E" w14:textId="77777777" w:rsidR="00B73D10" w:rsidRDefault="00B73D10" w:rsidP="0078724B">
      <w:pPr>
        <w:spacing w:after="0" w:line="360" w:lineRule="auto"/>
      </w:pPr>
    </w:p>
    <w:p w14:paraId="5424720C" w14:textId="15382781" w:rsidR="00753AB6" w:rsidRDefault="00B73D10" w:rsidP="0078724B">
      <w:pPr>
        <w:spacing w:after="0" w:line="360" w:lineRule="auto"/>
        <w:ind w:left="567" w:right="567"/>
        <w:rPr>
          <w:rFonts w:eastAsia="Palatino Linotype" w:cs="Palatino Linotype"/>
          <w:i/>
          <w:color w:val="000000"/>
          <w:sz w:val="20"/>
          <w:szCs w:val="20"/>
          <w:lang w:eastAsia="es-MX"/>
        </w:rPr>
      </w:pPr>
      <w:r w:rsidRPr="00B73D10">
        <w:rPr>
          <w:rFonts w:eastAsia="Palatino Linotype" w:cs="Palatino Linotype"/>
          <w:b/>
          <w:bCs/>
          <w:i/>
          <w:color w:val="000000"/>
          <w:sz w:val="20"/>
          <w:szCs w:val="20"/>
          <w:lang w:eastAsia="es-MX"/>
        </w:rPr>
        <w:t>“Cuentas bancarias y/o CLABE interbancaria de personas físicas y morales privadas.</w:t>
      </w:r>
      <w:r w:rsidRPr="00B73D10">
        <w:rPr>
          <w:rFonts w:eastAsia="Palatino Linotype" w:cs="Palatino Linotype"/>
          <w:i/>
          <w:color w:val="000000"/>
          <w:sz w:val="20"/>
          <w:szCs w:val="20"/>
          <w:lang w:eastAsia="es-MX"/>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6F668FE9" w14:textId="77777777" w:rsidR="00753AB6" w:rsidRDefault="00753AB6" w:rsidP="0078724B">
      <w:pPr>
        <w:spacing w:after="0" w:line="360" w:lineRule="auto"/>
        <w:ind w:right="567"/>
        <w:rPr>
          <w:rFonts w:eastAsia="Palatino Linotype" w:cs="Palatino Linotype"/>
          <w:b/>
          <w:bCs/>
          <w:i/>
          <w:color w:val="000000"/>
          <w:sz w:val="20"/>
          <w:szCs w:val="20"/>
          <w:lang w:eastAsia="es-MX"/>
        </w:rPr>
      </w:pPr>
    </w:p>
    <w:p w14:paraId="76E3B12A" w14:textId="728BE83B" w:rsidR="00753AB6" w:rsidRDefault="009E70FA" w:rsidP="0078724B">
      <w:pPr>
        <w:spacing w:after="0" w:line="360" w:lineRule="auto"/>
      </w:pPr>
      <w:r>
        <w:t>Por lo cual, se puede colegir que dichos datos no guardan relación con el servicio público ni con los recursos públicos, pues solo corresponde a información, que le atañe a la institución financiera y al cliente; por lo que este número constituye información confidencial al pertenecer exclusivamente al ámbito de la vida privada del trabajador y procede su eliminación de conformidad con el artículo 143, fracción I, de la Ley de Transparencia y Acceso a la Información Pública del Estado de México y Municipios.</w:t>
      </w:r>
    </w:p>
    <w:p w14:paraId="3BAA85EF" w14:textId="77777777" w:rsidR="009E70FA" w:rsidRDefault="009E70FA" w:rsidP="0078724B">
      <w:pPr>
        <w:spacing w:after="0" w:line="360" w:lineRule="auto"/>
      </w:pPr>
    </w:p>
    <w:p w14:paraId="2D151B14" w14:textId="6EC3B4E6" w:rsidR="009E70FA" w:rsidRDefault="009E70FA" w:rsidP="0078724B">
      <w:pPr>
        <w:pStyle w:val="Prrafodelista"/>
        <w:numPr>
          <w:ilvl w:val="0"/>
          <w:numId w:val="16"/>
        </w:numPr>
        <w:spacing w:after="0" w:line="360" w:lineRule="auto"/>
        <w:rPr>
          <w:b/>
          <w:bCs/>
        </w:rPr>
      </w:pPr>
      <w:r w:rsidRPr="009E70FA">
        <w:rPr>
          <w:b/>
          <w:bCs/>
        </w:rPr>
        <w:t>Sellos digitales del emisor y del Servicio de Administración Tributaria y cadena original del complemento de certificación digital del órgano previamente señalado; así como el folio fiscal</w:t>
      </w:r>
    </w:p>
    <w:p w14:paraId="749C4F5D" w14:textId="77777777" w:rsidR="009E70FA" w:rsidRDefault="009E70FA" w:rsidP="0078724B">
      <w:pPr>
        <w:spacing w:after="0" w:line="360" w:lineRule="auto"/>
        <w:rPr>
          <w:b/>
          <w:bCs/>
        </w:rPr>
      </w:pPr>
    </w:p>
    <w:p w14:paraId="485442D1" w14:textId="752DBD81" w:rsidR="009E70FA" w:rsidRDefault="009E70FA" w:rsidP="0078724B">
      <w:pPr>
        <w:spacing w:after="0" w:line="360" w:lineRule="auto"/>
      </w:pPr>
      <w:r>
        <w:t>Cuando, de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14:paraId="05125F02" w14:textId="77777777" w:rsidR="009E70FA" w:rsidRDefault="009E70FA" w:rsidP="0078724B">
      <w:pPr>
        <w:spacing w:after="0" w:line="360" w:lineRule="auto"/>
      </w:pPr>
    </w:p>
    <w:p w14:paraId="49D8CE00" w14:textId="6F51E47F" w:rsidR="009E70FA" w:rsidRDefault="009E70FA" w:rsidP="0078724B">
      <w:pPr>
        <w:spacing w:after="0" w:line="360" w:lineRule="auto"/>
      </w:pPr>
      <w:r>
        <w:t xml:space="preserve">Las cadenas originales y sellos que se agregan a las </w:t>
      </w:r>
      <w:proofErr w:type="gramStart"/>
      <w:r>
        <w:t>facturas,</w:t>
      </w:r>
      <w:proofErr w:type="gramEnd"/>
      <w:r>
        <w:t xml:space="preserve"> tienen una secuencia de generación, determinados con base en el ANEXO 20 de la Segunda Resolución de </w:t>
      </w:r>
      <w:r>
        <w:lastRenderedPageBreak/>
        <w:t>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2AD57DAC" w14:textId="77777777" w:rsidR="009E70FA" w:rsidRDefault="009E70FA" w:rsidP="0078724B">
      <w:pPr>
        <w:spacing w:after="0" w:line="360" w:lineRule="auto"/>
      </w:pPr>
    </w:p>
    <w:p w14:paraId="31B05608" w14:textId="7179056A" w:rsidR="009E70FA" w:rsidRPr="009E70FA" w:rsidRDefault="009E70FA" w:rsidP="0078724B">
      <w:pPr>
        <w:spacing w:after="0" w:line="360" w:lineRule="auto"/>
        <w:ind w:left="567" w:right="567"/>
        <w:rPr>
          <w:rFonts w:eastAsia="Palatino Linotype" w:cs="Palatino Linotype"/>
          <w:i/>
          <w:color w:val="000000"/>
          <w:sz w:val="20"/>
          <w:szCs w:val="20"/>
          <w:lang w:eastAsia="es-MX"/>
        </w:rPr>
      </w:pPr>
      <w:r w:rsidRPr="009E70FA">
        <w:rPr>
          <w:rFonts w:eastAsia="Palatino Linotype" w:cs="Palatino Linotype"/>
          <w:i/>
          <w:color w:val="000000"/>
          <w:sz w:val="20"/>
          <w:szCs w:val="20"/>
          <w:lang w:eastAsia="es-MX"/>
        </w:rPr>
        <w:t>“… Elementos utilizados en la generación de Sellos Digitales:</w:t>
      </w:r>
    </w:p>
    <w:p w14:paraId="79A55ED4" w14:textId="1945F033" w:rsidR="009E70FA" w:rsidRPr="009E70FA" w:rsidRDefault="009E70FA" w:rsidP="0078724B">
      <w:pPr>
        <w:pStyle w:val="Prrafodelista"/>
        <w:numPr>
          <w:ilvl w:val="0"/>
          <w:numId w:val="16"/>
        </w:numPr>
        <w:spacing w:after="0" w:line="360" w:lineRule="auto"/>
        <w:ind w:right="567"/>
        <w:rPr>
          <w:rFonts w:eastAsia="Palatino Linotype" w:cs="Palatino Linotype"/>
          <w:i/>
          <w:color w:val="000000"/>
          <w:sz w:val="20"/>
          <w:szCs w:val="20"/>
          <w:lang w:eastAsia="es-MX"/>
        </w:rPr>
      </w:pPr>
      <w:r w:rsidRPr="009E70FA">
        <w:rPr>
          <w:rFonts w:eastAsia="Palatino Linotype" w:cs="Palatino Linotype"/>
          <w:i/>
          <w:color w:val="000000"/>
          <w:sz w:val="20"/>
          <w:szCs w:val="20"/>
          <w:lang w:eastAsia="es-MX"/>
        </w:rPr>
        <w:t>Cadena Original, el elemento a sellar, en este caso de un comprobante fiscal digital a través de Internet.</w:t>
      </w:r>
    </w:p>
    <w:p w14:paraId="59BCC1B5" w14:textId="2B2CBCC2" w:rsidR="009E70FA" w:rsidRPr="009E70FA" w:rsidRDefault="009E70FA" w:rsidP="0078724B">
      <w:pPr>
        <w:pStyle w:val="Prrafodelista"/>
        <w:numPr>
          <w:ilvl w:val="0"/>
          <w:numId w:val="16"/>
        </w:numPr>
        <w:spacing w:after="0" w:line="360" w:lineRule="auto"/>
        <w:ind w:right="567"/>
        <w:rPr>
          <w:rFonts w:eastAsia="Palatino Linotype" w:cs="Palatino Linotype"/>
          <w:i/>
          <w:color w:val="000000"/>
          <w:sz w:val="20"/>
          <w:szCs w:val="20"/>
          <w:lang w:eastAsia="es-MX"/>
        </w:rPr>
      </w:pPr>
      <w:r w:rsidRPr="009E70FA">
        <w:rPr>
          <w:rFonts w:eastAsia="Palatino Linotype" w:cs="Palatino Linotype"/>
          <w:i/>
          <w:color w:val="000000"/>
          <w:sz w:val="20"/>
          <w:szCs w:val="20"/>
          <w:lang w:eastAsia="es-MX"/>
        </w:rPr>
        <w:t xml:space="preserve">Certificado de Sello Digital y su correspondiente clave privada. </w:t>
      </w:r>
    </w:p>
    <w:p w14:paraId="02B6C7BA" w14:textId="77777777" w:rsidR="009E70FA" w:rsidRPr="009E70FA" w:rsidRDefault="009E70FA" w:rsidP="0078724B">
      <w:pPr>
        <w:pStyle w:val="Prrafodelista"/>
        <w:numPr>
          <w:ilvl w:val="0"/>
          <w:numId w:val="16"/>
        </w:numPr>
        <w:spacing w:after="0" w:line="360" w:lineRule="auto"/>
        <w:ind w:right="567"/>
        <w:rPr>
          <w:rFonts w:eastAsia="Palatino Linotype" w:cs="Palatino Linotype"/>
          <w:i/>
          <w:color w:val="000000"/>
          <w:sz w:val="20"/>
          <w:szCs w:val="20"/>
          <w:lang w:eastAsia="es-MX"/>
        </w:rPr>
      </w:pPr>
      <w:r w:rsidRPr="009E70FA">
        <w:rPr>
          <w:rFonts w:eastAsia="Palatino Linotype" w:cs="Palatino Linotype"/>
          <w:i/>
          <w:color w:val="000000"/>
          <w:sz w:val="20"/>
          <w:szCs w:val="20"/>
          <w:lang w:eastAsia="es-MX"/>
        </w:rPr>
        <w:t>Algoritmos de criptografía de clave pública para firma electrónica avanzada.</w:t>
      </w:r>
    </w:p>
    <w:p w14:paraId="2AFAC081" w14:textId="4F81A28C" w:rsidR="009E70FA" w:rsidRPr="009E70FA" w:rsidRDefault="009E70FA" w:rsidP="0078724B">
      <w:pPr>
        <w:pStyle w:val="Prrafodelista"/>
        <w:numPr>
          <w:ilvl w:val="0"/>
          <w:numId w:val="16"/>
        </w:numPr>
        <w:spacing w:after="0" w:line="360" w:lineRule="auto"/>
        <w:ind w:right="567"/>
        <w:rPr>
          <w:rFonts w:eastAsia="Palatino Linotype" w:cs="Palatino Linotype"/>
          <w:i/>
          <w:color w:val="000000"/>
          <w:sz w:val="20"/>
          <w:szCs w:val="20"/>
          <w:lang w:eastAsia="es-MX"/>
        </w:rPr>
      </w:pPr>
      <w:r w:rsidRPr="009E70FA">
        <w:rPr>
          <w:rFonts w:eastAsia="Palatino Linotype" w:cs="Palatino Linotype"/>
          <w:i/>
          <w:color w:val="000000"/>
          <w:sz w:val="20"/>
          <w:szCs w:val="20"/>
          <w:lang w:eastAsia="es-MX"/>
        </w:rPr>
        <w:t xml:space="preserve">Especificaciones de conversión de la firma electrónica avanzada a Base 64. </w:t>
      </w:r>
    </w:p>
    <w:p w14:paraId="264BFB35" w14:textId="77777777" w:rsidR="009E70FA" w:rsidRDefault="009E70FA" w:rsidP="0078724B">
      <w:pPr>
        <w:spacing w:after="0" w:line="360" w:lineRule="auto"/>
        <w:ind w:left="567" w:right="567"/>
        <w:rPr>
          <w:rFonts w:eastAsia="Palatino Linotype" w:cs="Palatino Linotype"/>
          <w:i/>
          <w:color w:val="000000"/>
          <w:sz w:val="20"/>
          <w:szCs w:val="20"/>
          <w:lang w:eastAsia="es-MX"/>
        </w:rPr>
      </w:pPr>
    </w:p>
    <w:p w14:paraId="56201CAE" w14:textId="001E5267" w:rsidR="009E70FA" w:rsidRPr="009E70FA" w:rsidRDefault="009E70FA" w:rsidP="0078724B">
      <w:pPr>
        <w:spacing w:after="0" w:line="360" w:lineRule="auto"/>
        <w:ind w:left="567" w:right="567"/>
        <w:rPr>
          <w:rFonts w:eastAsia="Palatino Linotype" w:cs="Palatino Linotype"/>
          <w:i/>
          <w:color w:val="000000"/>
          <w:sz w:val="20"/>
          <w:szCs w:val="20"/>
          <w:lang w:eastAsia="es-MX"/>
        </w:rPr>
      </w:pPr>
      <w:r w:rsidRPr="009E70FA">
        <w:rPr>
          <w:rFonts w:eastAsia="Palatino Linotype" w:cs="Palatino Linotype"/>
          <w:i/>
          <w:color w:val="000000"/>
          <w:sz w:val="20"/>
          <w:szCs w:val="20"/>
          <w:lang w:eastAsia="es-MX"/>
        </w:rPr>
        <w:t xml:space="preserve">Para la generación de sellos digitales se utiliza criptografía de clave pública aplicada a una cadena original. </w:t>
      </w:r>
    </w:p>
    <w:p w14:paraId="7A33F782" w14:textId="77777777" w:rsidR="009E70FA" w:rsidRPr="009E70FA" w:rsidRDefault="009E70FA" w:rsidP="0078724B">
      <w:pPr>
        <w:spacing w:after="0" w:line="360" w:lineRule="auto"/>
        <w:ind w:left="567" w:right="567"/>
        <w:rPr>
          <w:rFonts w:eastAsia="Palatino Linotype" w:cs="Palatino Linotype"/>
          <w:i/>
          <w:color w:val="000000"/>
          <w:sz w:val="20"/>
          <w:szCs w:val="20"/>
          <w:lang w:eastAsia="es-MX"/>
        </w:rPr>
      </w:pPr>
      <w:r w:rsidRPr="009E70FA">
        <w:rPr>
          <w:rFonts w:eastAsia="Palatino Linotype" w:cs="Palatino Linotype"/>
          <w:i/>
          <w:color w:val="000000"/>
          <w:sz w:val="20"/>
          <w:szCs w:val="20"/>
          <w:lang w:eastAsia="es-MX"/>
        </w:rPr>
        <w:t xml:space="preserve">Criptografía de la Clave Pública </w:t>
      </w:r>
    </w:p>
    <w:p w14:paraId="5A9E18F7" w14:textId="28F92CAF" w:rsidR="009E70FA" w:rsidRDefault="009E70FA" w:rsidP="0078724B">
      <w:pPr>
        <w:spacing w:after="0" w:line="360" w:lineRule="auto"/>
        <w:ind w:left="567" w:right="567"/>
        <w:rPr>
          <w:rFonts w:eastAsia="Palatino Linotype" w:cs="Palatino Linotype"/>
          <w:i/>
          <w:color w:val="000000"/>
          <w:sz w:val="20"/>
          <w:szCs w:val="20"/>
          <w:lang w:eastAsia="es-MX"/>
        </w:rPr>
      </w:pPr>
      <w:r w:rsidRPr="009E70FA">
        <w:rPr>
          <w:rFonts w:eastAsia="Palatino Linotype" w:cs="Palatino Linotype"/>
          <w:i/>
          <w:color w:val="000000"/>
          <w:sz w:val="20"/>
          <w:szCs w:val="20"/>
          <w:lang w:eastAsia="es-MX"/>
        </w:rPr>
        <w:t xml:space="preserve">La criptografía de Clave Pública se basa en la generación de una pareja de números muy grandes relacionados íntimamente entre sí, de tal manera que una operación de </w:t>
      </w:r>
      <w:proofErr w:type="spellStart"/>
      <w:r w:rsidRPr="009E70FA">
        <w:rPr>
          <w:rFonts w:eastAsia="Palatino Linotype" w:cs="Palatino Linotype"/>
          <w:i/>
          <w:color w:val="000000"/>
          <w:sz w:val="20"/>
          <w:szCs w:val="20"/>
          <w:lang w:eastAsia="es-MX"/>
        </w:rPr>
        <w:t>encripción</w:t>
      </w:r>
      <w:proofErr w:type="spellEnd"/>
      <w:r w:rsidRPr="009E70FA">
        <w:rPr>
          <w:rFonts w:eastAsia="Palatino Linotype" w:cs="Palatino Linotype"/>
          <w:i/>
          <w:color w:val="000000"/>
          <w:sz w:val="20"/>
          <w:szCs w:val="20"/>
          <w:lang w:eastAsia="es-MX"/>
        </w:rPr>
        <w:t xml:space="preserve"> sobre un mensaje tomando como clave de </w:t>
      </w:r>
      <w:proofErr w:type="spellStart"/>
      <w:r w:rsidRPr="009E70FA">
        <w:rPr>
          <w:rFonts w:eastAsia="Palatino Linotype" w:cs="Palatino Linotype"/>
          <w:i/>
          <w:color w:val="000000"/>
          <w:sz w:val="20"/>
          <w:szCs w:val="20"/>
          <w:lang w:eastAsia="es-MX"/>
        </w:rPr>
        <w:t>encripción</w:t>
      </w:r>
      <w:proofErr w:type="spellEnd"/>
      <w:r w:rsidRPr="009E70FA">
        <w:rPr>
          <w:rFonts w:eastAsia="Palatino Linotype" w:cs="Palatino Linotype"/>
          <w:i/>
          <w:color w:val="000000"/>
          <w:sz w:val="20"/>
          <w:szCs w:val="20"/>
          <w:lang w:eastAsia="es-MX"/>
        </w:rPr>
        <w:t xml:space="preserve"> a uno de los dos números, produce un mensaje alterado en su significado que solo puede ser devuelto a su estado original mediante la operación de </w:t>
      </w:r>
      <w:proofErr w:type="spellStart"/>
      <w:r w:rsidRPr="009E70FA">
        <w:rPr>
          <w:rFonts w:eastAsia="Palatino Linotype" w:cs="Palatino Linotype"/>
          <w:i/>
          <w:color w:val="000000"/>
          <w:sz w:val="20"/>
          <w:szCs w:val="20"/>
          <w:lang w:eastAsia="es-MX"/>
        </w:rPr>
        <w:t>desencripción</w:t>
      </w:r>
      <w:proofErr w:type="spellEnd"/>
      <w:r w:rsidRPr="009E70FA">
        <w:rPr>
          <w:rFonts w:eastAsia="Palatino Linotype" w:cs="Palatino Linotype"/>
          <w:i/>
          <w:color w:val="000000"/>
          <w:sz w:val="20"/>
          <w:szCs w:val="20"/>
          <w:lang w:eastAsia="es-MX"/>
        </w:rPr>
        <w:t xml:space="preserve"> correspondiente tomando como clave de </w:t>
      </w:r>
      <w:proofErr w:type="spellStart"/>
      <w:r w:rsidRPr="009E70FA">
        <w:rPr>
          <w:rFonts w:eastAsia="Palatino Linotype" w:cs="Palatino Linotype"/>
          <w:i/>
          <w:color w:val="000000"/>
          <w:sz w:val="20"/>
          <w:szCs w:val="20"/>
          <w:lang w:eastAsia="es-MX"/>
        </w:rPr>
        <w:t>desencripción</w:t>
      </w:r>
      <w:proofErr w:type="spellEnd"/>
      <w:r w:rsidRPr="009E70FA">
        <w:rPr>
          <w:rFonts w:eastAsia="Palatino Linotype" w:cs="Palatino Linotype"/>
          <w:i/>
          <w:color w:val="000000"/>
          <w:sz w:val="20"/>
          <w:szCs w:val="20"/>
          <w:lang w:eastAsia="es-MX"/>
        </w:rPr>
        <w:t xml:space="preserve"> al otro número de la pareja. …”</w:t>
      </w:r>
    </w:p>
    <w:p w14:paraId="623E31F8" w14:textId="77777777" w:rsidR="00504D05" w:rsidRDefault="00504D05" w:rsidP="0078724B">
      <w:pPr>
        <w:spacing w:after="0" w:line="360" w:lineRule="auto"/>
        <w:ind w:right="567"/>
      </w:pPr>
    </w:p>
    <w:p w14:paraId="2DC960DB" w14:textId="49811F5E" w:rsidR="009E70FA" w:rsidRDefault="00504D05" w:rsidP="0078724B">
      <w:pPr>
        <w:spacing w:after="0" w:line="360" w:lineRule="auto"/>
      </w:pPr>
      <w:r>
        <w:t xml:space="preserve">Es decir, por sí solos las cadenas originales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w:t>
      </w:r>
      <w:r>
        <w:lastRenderedPageBreak/>
        <w:t>guardan el carácter de público</w:t>
      </w:r>
      <w:r w:rsidR="00631C4E">
        <w:t>, lo cual pudo corroborar este Instituto, al dejarse visibles en algunos recibos.</w:t>
      </w:r>
    </w:p>
    <w:p w14:paraId="0512114B" w14:textId="77777777" w:rsidR="00504D05" w:rsidRDefault="00504D05" w:rsidP="0078724B">
      <w:pPr>
        <w:spacing w:after="0" w:line="360" w:lineRule="auto"/>
      </w:pPr>
    </w:p>
    <w:p w14:paraId="0ED41E2D" w14:textId="6B732329" w:rsidR="00504D05" w:rsidRDefault="006C5772" w:rsidP="0078724B">
      <w:pPr>
        <w:spacing w:after="0" w:line="360" w:lineRule="auto"/>
      </w:pPr>
      <w:r>
        <w:t>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40EDFB26" w14:textId="77777777" w:rsidR="00590DF7" w:rsidRDefault="00590DF7" w:rsidP="0078724B">
      <w:pPr>
        <w:spacing w:after="0" w:line="360" w:lineRule="auto"/>
      </w:pPr>
    </w:p>
    <w:p w14:paraId="62FC8375" w14:textId="332E0DE6" w:rsidR="00504D05" w:rsidRDefault="00590DF7" w:rsidP="0078724B">
      <w:pPr>
        <w:spacing w:after="0" w:line="360" w:lineRule="auto"/>
        <w:jc w:val="center"/>
      </w:pPr>
      <w:r w:rsidRPr="00590DF7">
        <w:rPr>
          <w:noProof/>
          <w:lang w:eastAsia="es-MX"/>
        </w:rPr>
        <w:drawing>
          <wp:inline distT="0" distB="0" distL="0" distR="0" wp14:anchorId="08D7F412" wp14:editId="5FBAFCE7">
            <wp:extent cx="5191850" cy="1228896"/>
            <wp:effectExtent l="0" t="0" r="8890" b="9525"/>
            <wp:docPr id="3916275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627566" name=""/>
                    <pic:cNvPicPr/>
                  </pic:nvPicPr>
                  <pic:blipFill>
                    <a:blip r:embed="rId12"/>
                    <a:stretch>
                      <a:fillRect/>
                    </a:stretch>
                  </pic:blipFill>
                  <pic:spPr>
                    <a:xfrm>
                      <a:off x="0" y="0"/>
                      <a:ext cx="5191850" cy="1228896"/>
                    </a:xfrm>
                    <a:prstGeom prst="rect">
                      <a:avLst/>
                    </a:prstGeom>
                  </pic:spPr>
                </pic:pic>
              </a:graphicData>
            </a:graphic>
          </wp:inline>
        </w:drawing>
      </w:r>
    </w:p>
    <w:p w14:paraId="21A823D5" w14:textId="77777777" w:rsidR="00631C4E" w:rsidRDefault="00631C4E" w:rsidP="0078724B">
      <w:pPr>
        <w:spacing w:after="0" w:line="360" w:lineRule="auto"/>
      </w:pPr>
    </w:p>
    <w:p w14:paraId="239BDE64" w14:textId="61D452A2" w:rsidR="00590DF7" w:rsidRDefault="00954E4E" w:rsidP="0078724B">
      <w:pPr>
        <w:spacing w:after="0" w:line="360" w:lineRule="auto"/>
      </w:pPr>
      <w:r>
        <w:t>En ese contexto,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2A33021B" w14:textId="77777777" w:rsidR="00954E4E" w:rsidRDefault="00954E4E" w:rsidP="0078724B">
      <w:pPr>
        <w:spacing w:after="0" w:line="360" w:lineRule="auto"/>
      </w:pPr>
    </w:p>
    <w:p w14:paraId="41484394" w14:textId="77777777" w:rsidR="00D97974" w:rsidRDefault="00D97974" w:rsidP="0078724B">
      <w:pPr>
        <w:spacing w:after="0" w:line="360" w:lineRule="auto"/>
        <w:rPr>
          <w:b/>
          <w:bCs/>
        </w:rPr>
      </w:pPr>
    </w:p>
    <w:p w14:paraId="42910CAE" w14:textId="7F24D93E" w:rsidR="00D97974" w:rsidRDefault="00AE6AF4" w:rsidP="0078724B">
      <w:pPr>
        <w:pStyle w:val="Prrafodelista"/>
        <w:numPr>
          <w:ilvl w:val="0"/>
          <w:numId w:val="17"/>
        </w:numPr>
        <w:spacing w:after="0" w:line="360" w:lineRule="auto"/>
        <w:rPr>
          <w:b/>
          <w:bCs/>
        </w:rPr>
      </w:pPr>
      <w:r w:rsidRPr="00AE6AF4">
        <w:rPr>
          <w:b/>
          <w:bCs/>
        </w:rPr>
        <w:lastRenderedPageBreak/>
        <w:t>Domicilio particular</w:t>
      </w:r>
    </w:p>
    <w:p w14:paraId="715EFEA5" w14:textId="77777777" w:rsidR="00AE6AF4" w:rsidRDefault="00AE6AF4" w:rsidP="0078724B">
      <w:pPr>
        <w:spacing w:after="0" w:line="360" w:lineRule="auto"/>
        <w:rPr>
          <w:b/>
          <w:bCs/>
        </w:rPr>
      </w:pPr>
    </w:p>
    <w:p w14:paraId="2EA6D2D9" w14:textId="20673DF5" w:rsidR="00AE6AF4" w:rsidRDefault="00AE6AF4" w:rsidP="0078724B">
      <w:pPr>
        <w:spacing w:after="0" w:line="360" w:lineRule="auto"/>
      </w:pPr>
      <w:proofErr w:type="gramStart"/>
      <w:r>
        <w:t>De acuerdo a</w:t>
      </w:r>
      <w:proofErr w:type="gramEnd"/>
      <w:r>
        <w:t xml:space="preserve">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w:t>
      </w:r>
    </w:p>
    <w:p w14:paraId="20C5AD9C" w14:textId="77777777" w:rsidR="00AE6AF4" w:rsidRDefault="00AE6AF4" w:rsidP="0078724B">
      <w:pPr>
        <w:spacing w:after="0" w:line="360" w:lineRule="auto"/>
      </w:pPr>
    </w:p>
    <w:p w14:paraId="14639654" w14:textId="2D3BC7AF" w:rsidR="00AE6AF4" w:rsidRPr="00AE6AF4" w:rsidRDefault="00AE6AF4" w:rsidP="0078724B">
      <w:pPr>
        <w:spacing w:after="0" w:line="360" w:lineRule="auto"/>
        <w:rPr>
          <w:b/>
          <w:bCs/>
        </w:rPr>
      </w:pPr>
      <w:r>
        <w:t xml:space="preserve">De la misma manera, lo establece el artículo 29 del Código Civil Federal, al precisar que el domicilio de personas físicas, es </w:t>
      </w:r>
      <w:r w:rsidRPr="00AE6AF4">
        <w:rPr>
          <w:b/>
          <w:bCs/>
        </w:rPr>
        <w:t>el lugar donde residen habitualmente, el lugar del centro principal de sus negocios, donde residan o el lugar donde se encuentren.</w:t>
      </w:r>
    </w:p>
    <w:p w14:paraId="18E261B5" w14:textId="77777777" w:rsidR="00AE6AF4" w:rsidRDefault="00AE6AF4" w:rsidP="0078724B">
      <w:pPr>
        <w:spacing w:after="0" w:line="360" w:lineRule="auto"/>
      </w:pPr>
    </w:p>
    <w:p w14:paraId="05E4C0F0" w14:textId="1F5B9EA8" w:rsidR="00AE6AF4" w:rsidRDefault="00AE6AF4" w:rsidP="0078724B">
      <w:pPr>
        <w:spacing w:after="0" w:line="360" w:lineRule="auto"/>
      </w:pPr>
      <w:r>
        <w:t>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14:paraId="215FBCCB" w14:textId="77777777" w:rsidR="002D3E1B" w:rsidRDefault="002D3E1B" w:rsidP="0078724B">
      <w:pPr>
        <w:spacing w:after="0" w:line="360" w:lineRule="auto"/>
      </w:pPr>
    </w:p>
    <w:p w14:paraId="7B09C28E" w14:textId="2D8FA469" w:rsidR="00E2522F" w:rsidRDefault="00E2522F" w:rsidP="0078724B">
      <w:pPr>
        <w:pStyle w:val="Prrafodelista"/>
        <w:numPr>
          <w:ilvl w:val="0"/>
          <w:numId w:val="17"/>
        </w:numPr>
        <w:spacing w:after="0" w:line="360" w:lineRule="auto"/>
        <w:rPr>
          <w:b/>
          <w:bCs/>
        </w:rPr>
      </w:pPr>
      <w:r w:rsidRPr="00E2522F">
        <w:rPr>
          <w:b/>
          <w:bCs/>
        </w:rPr>
        <w:t>Descuentos personales</w:t>
      </w:r>
    </w:p>
    <w:p w14:paraId="48DBDCCF" w14:textId="77777777" w:rsidR="00E2522F" w:rsidRDefault="00E2522F" w:rsidP="0078724B">
      <w:pPr>
        <w:spacing w:after="0" w:line="360" w:lineRule="auto"/>
        <w:rPr>
          <w:b/>
          <w:bCs/>
        </w:rPr>
      </w:pPr>
    </w:p>
    <w:p w14:paraId="42732D04" w14:textId="77777777" w:rsidR="00E2522F" w:rsidRDefault="00E2522F" w:rsidP="0078724B">
      <w:pPr>
        <w:spacing w:after="0" w:line="360" w:lineRule="auto"/>
      </w:pPr>
      <w:r>
        <w:t xml:space="preserve">Es necesario precisar que existen deducciones que se generan con motivo de una decisión libre y voluntaria de los servidores públicos, como son: créditos personales, cuotas sindicales y fondo de resistencia del Sindicato Único de Trabajadores de los Poderes, Municipios e </w:t>
      </w:r>
      <w:r>
        <w:lastRenderedPageBreak/>
        <w:t xml:space="preserve">Institución Descentralizadas del Estado de México, seguro de vida, accidentes y enfermedades. </w:t>
      </w:r>
    </w:p>
    <w:p w14:paraId="3686017A" w14:textId="77777777" w:rsidR="00E2522F" w:rsidRDefault="00E2522F" w:rsidP="0078724B">
      <w:pPr>
        <w:spacing w:after="0" w:line="360" w:lineRule="auto"/>
      </w:pPr>
    </w:p>
    <w:p w14:paraId="1833BC8B" w14:textId="5792D1C3" w:rsidR="00E2522F" w:rsidRDefault="00E2522F" w:rsidP="0078724B">
      <w:pPr>
        <w:spacing w:after="0" w:line="360" w:lineRule="auto"/>
      </w:pPr>
      <w:r>
        <w:t>Asimismo, hay otras que se generan con motivo de una sentencia judicial, como es la pensión alimenticia que periódicamente se retira de la cuenta de un empleado, a efecto de que sea entregado a un tercero.</w:t>
      </w:r>
    </w:p>
    <w:p w14:paraId="1239AFDF" w14:textId="77777777" w:rsidR="00E2522F" w:rsidRDefault="00E2522F" w:rsidP="0078724B">
      <w:pPr>
        <w:spacing w:after="0" w:line="360" w:lineRule="auto"/>
      </w:pPr>
    </w:p>
    <w:p w14:paraId="496D3E9C" w14:textId="493A487B" w:rsidR="00E2522F" w:rsidRDefault="00E2522F" w:rsidP="0078724B">
      <w:pPr>
        <w:spacing w:after="0" w:line="360" w:lineRule="auto"/>
      </w:pPr>
      <w:r>
        <w:t>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w:t>
      </w:r>
    </w:p>
    <w:p w14:paraId="1CC968CA" w14:textId="77777777" w:rsidR="00E2522F" w:rsidRDefault="00E2522F" w:rsidP="0078724B">
      <w:pPr>
        <w:spacing w:after="0" w:line="360" w:lineRule="auto"/>
      </w:pPr>
    </w:p>
    <w:p w14:paraId="42923AE8" w14:textId="05965549" w:rsidR="00E2522F" w:rsidRDefault="00E2522F" w:rsidP="0078724B">
      <w:pPr>
        <w:spacing w:after="0" w:line="360" w:lineRule="auto"/>
      </w:pPr>
      <w:r>
        <w:t>Así, dichas deducciones reflejan el destino que un servidor público da a su patrimonio y, por lo tanto, resulta procedente clasificar dichos datos, en el caso, que obren, en los documentos que dan cuenta de lo requerido, en términos del artículo 143, fracción I de la Ley de Transparencia y Acceso a la Información Pública del Estado de México y Municipios, por lo que, en el presente caso, deberá clasificar tanto el monto, como el concepto de la deducción personal.</w:t>
      </w:r>
    </w:p>
    <w:p w14:paraId="4ED6A443" w14:textId="77777777" w:rsidR="001D5627" w:rsidRDefault="001D5627" w:rsidP="0078724B">
      <w:pPr>
        <w:spacing w:after="0" w:line="360" w:lineRule="auto"/>
      </w:pPr>
    </w:p>
    <w:p w14:paraId="5EC9A706" w14:textId="77777777" w:rsidR="00631C4E" w:rsidRPr="00631C4E" w:rsidRDefault="00631C4E" w:rsidP="00631C4E">
      <w:pPr>
        <w:numPr>
          <w:ilvl w:val="0"/>
          <w:numId w:val="18"/>
        </w:numPr>
        <w:spacing w:after="0" w:line="360" w:lineRule="auto"/>
        <w:jc w:val="left"/>
        <w:rPr>
          <w:rFonts w:eastAsia="Palatino Linotype" w:cs="Palatino Linotype"/>
          <w:b/>
          <w:lang w:eastAsia="es-MX"/>
        </w:rPr>
      </w:pPr>
      <w:r w:rsidRPr="00631C4E">
        <w:rPr>
          <w:rFonts w:eastAsia="Palatino Linotype" w:cs="Palatino Linotype"/>
          <w:b/>
          <w:lang w:eastAsia="es-MX"/>
        </w:rPr>
        <w:t>Nombre de institución bancaria utilizada por el servidor público</w:t>
      </w:r>
    </w:p>
    <w:p w14:paraId="7919682B" w14:textId="77777777" w:rsidR="00631C4E" w:rsidRPr="00631C4E" w:rsidRDefault="00631C4E" w:rsidP="00631C4E">
      <w:pPr>
        <w:spacing w:after="0" w:line="360" w:lineRule="auto"/>
        <w:rPr>
          <w:rFonts w:eastAsia="Palatino Linotype" w:cs="Palatino Linotype"/>
          <w:b/>
          <w:lang w:eastAsia="es-MX"/>
        </w:rPr>
      </w:pPr>
    </w:p>
    <w:p w14:paraId="5EBE3567" w14:textId="77777777" w:rsidR="00631C4E" w:rsidRPr="00631C4E" w:rsidRDefault="00631C4E" w:rsidP="00631C4E">
      <w:pPr>
        <w:spacing w:after="0" w:line="360" w:lineRule="auto"/>
        <w:rPr>
          <w:rFonts w:eastAsia="Palatino Linotype" w:cs="Palatino Linotype"/>
          <w:lang w:eastAsia="es-MX"/>
        </w:rPr>
      </w:pPr>
      <w:r w:rsidRPr="00631C4E">
        <w:rPr>
          <w:rFonts w:eastAsia="Palatino Linotype" w:cs="Palatino Linotype"/>
          <w:lang w:eastAsia="es-MX"/>
        </w:rPr>
        <w:t xml:space="preserve">En principio, es necesario señalar que conforme al artículo 2°, fracción IV de la Ley de Protección y Defensa al Usuario de Servicios Financieros, establece que una institución financiera, se le denomina a las sociedades controladoras, instituciones de crédito, sociedades </w:t>
      </w:r>
      <w:r w:rsidRPr="00631C4E">
        <w:rPr>
          <w:rFonts w:eastAsia="Palatino Linotype" w:cs="Palatino Linotype"/>
          <w:lang w:eastAsia="es-MX"/>
        </w:rPr>
        <w:lastRenderedPageBreak/>
        <w:t>financieras de objeto múltiple, sociedades de información crediticia, casas de bolsa, especialistas bursátiles, fondos de inversión, almacenes generales de depósito, uniones de crédito, casas de cambio, instituciones de seguros, sociedades mutualistas de seguros, instituciones de fianzas, administradoras de fondos para el retiro, PENSIONISSSTE, empresas operadoras de la base de datos nacional del sistema de ahorro para el retiro, Instituto del Fondo Nacional para el Consumo de los Trabajadores, sociedades cooperativas de ahorro y préstamo, sociedades financieras populares, sociedades financieras comunitarias, y cualquiera otra sociedad que requiera de la autorización de la Secretaría de Hacienda y Crédito Público o de cualesquiera de las Comisiones Nacionales para constituirse y funcionar como tales y ofrecer un producto o servicio financiero a los usuarios. </w:t>
      </w:r>
    </w:p>
    <w:p w14:paraId="42138CF4" w14:textId="77777777" w:rsidR="00631C4E" w:rsidRPr="00631C4E" w:rsidRDefault="00631C4E" w:rsidP="00631C4E">
      <w:pPr>
        <w:spacing w:after="0" w:line="360" w:lineRule="auto"/>
        <w:rPr>
          <w:rFonts w:eastAsia="Palatino Linotype" w:cs="Palatino Linotype"/>
          <w:lang w:eastAsia="es-MX"/>
        </w:rPr>
      </w:pPr>
    </w:p>
    <w:p w14:paraId="031352FF" w14:textId="77777777" w:rsidR="00631C4E" w:rsidRPr="00631C4E" w:rsidRDefault="00631C4E" w:rsidP="00631C4E">
      <w:pPr>
        <w:spacing w:after="0" w:line="360" w:lineRule="auto"/>
        <w:rPr>
          <w:rFonts w:eastAsia="Palatino Linotype" w:cs="Palatino Linotype"/>
          <w:lang w:eastAsia="es-MX"/>
        </w:rPr>
      </w:pPr>
      <w:r w:rsidRPr="00631C4E">
        <w:rPr>
          <w:rFonts w:eastAsia="Palatino Linotype" w:cs="Palatino Linotype"/>
          <w:lang w:eastAsia="es-MX"/>
        </w:rPr>
        <w:t xml:space="preserve">En ese orden de ideas, en el portal de la Comisión Nacional para la Protección y Defensa de los Usuarios de Servicios Financieros (consultado el veintisiete de noviembre de dos mil veinticuatro en </w:t>
      </w:r>
      <w:hyperlink r:id="rId13" w:history="1">
        <w:r w:rsidRPr="00631C4E">
          <w:rPr>
            <w:rFonts w:eastAsia="Palatino Linotype" w:cs="Palatino Linotype"/>
            <w:color w:val="0000FF"/>
            <w:u w:val="single"/>
            <w:lang w:eastAsia="es-MX"/>
          </w:rPr>
          <w:t>https://www.condusef.gob.mx/Revista/index.php/usuario-inteligente/condusef-responde/777-la-condusef-te-puede-ayudar</w:t>
        </w:r>
      </w:hyperlink>
      <w:r w:rsidRPr="00631C4E">
        <w:rPr>
          <w:rFonts w:eastAsia="Palatino Linotype" w:cs="Palatino Linotype"/>
          <w:lang w:eastAsia="es-MX"/>
        </w:rPr>
        <w:t>), se establece que los bancos son instituciones financieras; conforme a lo anterior, se puede advertir que las instituciones bancarias, son personas morales.</w:t>
      </w:r>
    </w:p>
    <w:p w14:paraId="1763B8C3" w14:textId="77777777" w:rsidR="00631C4E" w:rsidRPr="00631C4E" w:rsidRDefault="00631C4E" w:rsidP="00631C4E">
      <w:pPr>
        <w:spacing w:after="0" w:line="360" w:lineRule="auto"/>
        <w:rPr>
          <w:rFonts w:eastAsia="Palatino Linotype" w:cs="Palatino Linotype"/>
          <w:lang w:eastAsia="es-MX"/>
        </w:rPr>
      </w:pPr>
    </w:p>
    <w:p w14:paraId="67B3C630" w14:textId="77777777" w:rsidR="00631C4E" w:rsidRPr="00631C4E" w:rsidRDefault="00631C4E" w:rsidP="00631C4E">
      <w:pPr>
        <w:spacing w:after="0" w:line="360" w:lineRule="auto"/>
        <w:rPr>
          <w:rFonts w:eastAsia="Palatino Linotype" w:cs="Palatino Linotype"/>
          <w:lang w:eastAsia="es-MX"/>
        </w:rPr>
      </w:pPr>
      <w:r w:rsidRPr="00631C4E">
        <w:rPr>
          <w:rFonts w:eastAsia="Palatino Linotype" w:cs="Palatino Linotype"/>
          <w:lang w:eastAsia="es-MX"/>
        </w:rPr>
        <w:t xml:space="preserve">En ese orden de ideas, se considera que la denominación o razón social de una persona moral, es pública, pues dichos datos se encuentran inscritos en el Registro Público del Comercio; lo anterior, se robustece con el hecho de que existe el Sistema de Registro de Prestadores de Servicios Financieros (consultado el veintisiete de noviembre de dos mil veinticuatro, a las trece horas, en la liga https://webapps.condusef.gob.mx/SIPRES/jsp/pub/index.jsp), que es un registro de </w:t>
      </w:r>
      <w:r w:rsidRPr="00631C4E">
        <w:rPr>
          <w:rFonts w:eastAsia="Palatino Linotype" w:cs="Palatino Linotype"/>
          <w:b/>
          <w:lang w:eastAsia="es-MX"/>
        </w:rPr>
        <w:t xml:space="preserve">carácter público, </w:t>
      </w:r>
      <w:r w:rsidRPr="00631C4E">
        <w:rPr>
          <w:rFonts w:eastAsia="Palatino Linotype" w:cs="Palatino Linotype"/>
          <w:lang w:eastAsia="es-MX"/>
        </w:rPr>
        <w:t>cuyo objetivo principal, consiste en proporcionar información corporativa y general de las instituciones financieras</w:t>
      </w:r>
      <w:r w:rsidRPr="00631C4E">
        <w:rPr>
          <w:rFonts w:eastAsia="Palatino Linotype" w:cs="Palatino Linotype"/>
          <w:b/>
          <w:lang w:eastAsia="es-MX"/>
        </w:rPr>
        <w:t xml:space="preserve">; además, que permite </w:t>
      </w:r>
      <w:r w:rsidRPr="00631C4E">
        <w:rPr>
          <w:rFonts w:eastAsia="Palatino Linotype" w:cs="Palatino Linotype"/>
          <w:b/>
          <w:lang w:eastAsia="es-MX"/>
        </w:rPr>
        <w:lastRenderedPageBreak/>
        <w:t xml:space="preserve">conocer al público general, información de dichos entes, </w:t>
      </w:r>
      <w:r w:rsidRPr="00631C4E">
        <w:rPr>
          <w:rFonts w:eastAsia="Palatino Linotype" w:cs="Palatino Linotype"/>
          <w:lang w:eastAsia="es-MX"/>
        </w:rPr>
        <w:t xml:space="preserve">se muestra un ejemplo a continuación: </w:t>
      </w:r>
    </w:p>
    <w:p w14:paraId="76C71CDD" w14:textId="77777777" w:rsidR="00631C4E" w:rsidRPr="00631C4E" w:rsidRDefault="00631C4E" w:rsidP="00631C4E">
      <w:pPr>
        <w:spacing w:after="0" w:line="360" w:lineRule="auto"/>
        <w:rPr>
          <w:rFonts w:eastAsia="Palatino Linotype" w:cs="Palatino Linotype"/>
          <w:lang w:eastAsia="es-MX"/>
        </w:rPr>
      </w:pPr>
    </w:p>
    <w:p w14:paraId="4FAB4D09" w14:textId="77777777" w:rsidR="00631C4E" w:rsidRPr="00631C4E" w:rsidRDefault="00631C4E" w:rsidP="00631C4E">
      <w:pPr>
        <w:spacing w:after="0" w:line="360" w:lineRule="auto"/>
        <w:jc w:val="center"/>
        <w:rPr>
          <w:rFonts w:eastAsia="Palatino Linotype" w:cs="Palatino Linotype"/>
          <w:lang w:eastAsia="es-MX"/>
        </w:rPr>
      </w:pPr>
      <w:r w:rsidRPr="00631C4E">
        <w:rPr>
          <w:rFonts w:eastAsia="Palatino Linotype" w:cs="Palatino Linotype"/>
          <w:noProof/>
          <w:lang w:eastAsia="es-MX"/>
        </w:rPr>
        <w:drawing>
          <wp:inline distT="0" distB="0" distL="0" distR="0" wp14:anchorId="6BCF87EA" wp14:editId="139E1EE9">
            <wp:extent cx="5295900" cy="1295400"/>
            <wp:effectExtent l="0" t="0" r="0" b="0"/>
            <wp:docPr id="4" name="image2.png" descr="Imagen que contiene 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Imagen que contiene Escala de tiemp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t="2" b="52956"/>
                    <a:stretch>
                      <a:fillRect/>
                    </a:stretch>
                  </pic:blipFill>
                  <pic:spPr bwMode="auto">
                    <a:xfrm>
                      <a:off x="0" y="0"/>
                      <a:ext cx="5295900" cy="1295400"/>
                    </a:xfrm>
                    <a:prstGeom prst="rect">
                      <a:avLst/>
                    </a:prstGeom>
                    <a:noFill/>
                    <a:ln>
                      <a:noFill/>
                    </a:ln>
                  </pic:spPr>
                </pic:pic>
              </a:graphicData>
            </a:graphic>
          </wp:inline>
        </w:drawing>
      </w:r>
    </w:p>
    <w:p w14:paraId="79B72AC2" w14:textId="77777777" w:rsidR="00631C4E" w:rsidRPr="00631C4E" w:rsidRDefault="00631C4E" w:rsidP="00631C4E">
      <w:pPr>
        <w:spacing w:after="0" w:line="360" w:lineRule="auto"/>
        <w:rPr>
          <w:rFonts w:eastAsia="Palatino Linotype" w:cs="Palatino Linotype"/>
          <w:lang w:eastAsia="es-MX"/>
        </w:rPr>
      </w:pPr>
    </w:p>
    <w:p w14:paraId="02F0422D" w14:textId="77777777" w:rsidR="00631C4E" w:rsidRPr="00631C4E" w:rsidRDefault="00631C4E" w:rsidP="00631C4E">
      <w:pPr>
        <w:spacing w:after="0" w:line="360" w:lineRule="auto"/>
        <w:rPr>
          <w:rFonts w:eastAsia="Palatino Linotype" w:cs="Palatino Linotype"/>
          <w:lang w:eastAsia="es-MX"/>
        </w:rPr>
      </w:pPr>
      <w:r w:rsidRPr="00631C4E">
        <w:rPr>
          <w:rFonts w:eastAsia="Palatino Linotype" w:cs="Palatino Linotype"/>
          <w:lang w:eastAsia="es-MX"/>
        </w:rPr>
        <w:t>Conforme a lo anterior, se logra vislumbrar que el nombre de las instituciones bancarias es de naturaleza pública; sin embargo, en el presente caso, se relacionada con el hecho de que corresponde al banco en el cual el servidor público decidió recibir el pago de remuneraciones; es decir, daría cuenta de la decisión voluntaria del servidor público de recibir el pago de sus servicios en una determinada institución.</w:t>
      </w:r>
    </w:p>
    <w:p w14:paraId="562768D3" w14:textId="77777777" w:rsidR="00631C4E" w:rsidRPr="00631C4E" w:rsidRDefault="00631C4E" w:rsidP="00631C4E">
      <w:pPr>
        <w:spacing w:after="0" w:line="360" w:lineRule="auto"/>
        <w:rPr>
          <w:rFonts w:eastAsia="Palatino Linotype" w:cs="Palatino Linotype"/>
          <w:lang w:eastAsia="es-MX"/>
        </w:rPr>
      </w:pPr>
    </w:p>
    <w:p w14:paraId="40ED5480" w14:textId="77777777" w:rsidR="00631C4E" w:rsidRPr="00631C4E" w:rsidRDefault="00631C4E" w:rsidP="00631C4E">
      <w:pPr>
        <w:spacing w:after="0" w:line="360" w:lineRule="auto"/>
        <w:rPr>
          <w:rFonts w:eastAsia="Palatino Linotype" w:cs="Palatino Linotype"/>
          <w:lang w:eastAsia="es-MX"/>
        </w:rPr>
      </w:pPr>
      <w:r w:rsidRPr="00631C4E">
        <w:rPr>
          <w:rFonts w:eastAsia="Palatino Linotype" w:cs="Palatino Linotype"/>
          <w:lang w:eastAsia="es-MX"/>
        </w:rPr>
        <w:t xml:space="preserve">Además, revelaría el lugar en donde el trabajador es cliente para ocupar los servicios del banco, lo cual únicamente está relacionado a su vida íntima o privada; por lo que, este Instituto considera que el nombre de la institución </w:t>
      </w:r>
      <w:proofErr w:type="gramStart"/>
      <w:r w:rsidRPr="00631C4E">
        <w:rPr>
          <w:rFonts w:eastAsia="Palatino Linotype" w:cs="Palatino Linotype"/>
          <w:lang w:eastAsia="es-MX"/>
        </w:rPr>
        <w:t>bancaria,</w:t>
      </w:r>
      <w:proofErr w:type="gramEnd"/>
      <w:r w:rsidRPr="00631C4E">
        <w:rPr>
          <w:rFonts w:eastAsia="Palatino Linotype" w:cs="Palatino Linotype"/>
          <w:lang w:eastAsia="es-MX"/>
        </w:rPr>
        <w:t xml:space="preserve"> actualiza la causal de clasificación prevista en el artículo 143, fracción I, de la Ley de Transparencia y Acceso a la Información Pública del Estado de México y Municipios.</w:t>
      </w:r>
    </w:p>
    <w:p w14:paraId="22E8CA25" w14:textId="77777777" w:rsidR="00631C4E" w:rsidRDefault="00631C4E" w:rsidP="0078724B">
      <w:pPr>
        <w:spacing w:after="0" w:line="360" w:lineRule="auto"/>
        <w:rPr>
          <w:b/>
          <w:bCs/>
        </w:rPr>
      </w:pPr>
    </w:p>
    <w:p w14:paraId="28B2D76D" w14:textId="3272FC95" w:rsidR="00302567" w:rsidRPr="00302567" w:rsidRDefault="00DC0A23" w:rsidP="00302567">
      <w:pPr>
        <w:spacing w:after="0" w:line="360" w:lineRule="auto"/>
        <w:ind w:right="-93"/>
        <w:rPr>
          <w:rFonts w:eastAsia="Times New Roman" w:cs="Arial"/>
          <w:bCs/>
          <w:color w:val="auto"/>
          <w:lang w:eastAsia="es-ES"/>
        </w:rPr>
      </w:pPr>
      <w:r>
        <w:t>Conforme a lo anterior, se logra vislumbrar que el Sujeto Obligado testó datos de naturaleza pública</w:t>
      </w:r>
      <w:r w:rsidR="00631C4E">
        <w:t xml:space="preserve"> y dejó parcialmente visibles datos de naturaleza privada</w:t>
      </w:r>
      <w:r w:rsidR="00302567" w:rsidRPr="00302567">
        <w:rPr>
          <w:rFonts w:eastAsia="Times New Roman" w:cs="Arial"/>
          <w:bCs/>
          <w:color w:val="auto"/>
          <w:lang w:eastAsia="es-ES"/>
        </w:rPr>
        <w:t>, situación por la que incluso no fue puesta a la vista de la ahora Recurrente</w:t>
      </w:r>
      <w:r w:rsidR="00302567">
        <w:rPr>
          <w:rFonts w:eastAsia="Times New Roman" w:cs="Arial"/>
          <w:bCs/>
          <w:color w:val="auto"/>
          <w:lang w:eastAsia="es-ES"/>
        </w:rPr>
        <w:t>, los recibos entregados.</w:t>
      </w:r>
    </w:p>
    <w:p w14:paraId="6FFF42CB" w14:textId="77777777" w:rsidR="00302567" w:rsidRPr="00302567" w:rsidRDefault="00302567" w:rsidP="00302567">
      <w:pPr>
        <w:spacing w:line="360" w:lineRule="auto"/>
        <w:contextualSpacing/>
        <w:rPr>
          <w:rFonts w:eastAsia="Times New Roman" w:cs="Arial"/>
          <w:bCs/>
          <w:color w:val="auto"/>
          <w:lang w:eastAsia="es-ES"/>
        </w:rPr>
      </w:pPr>
    </w:p>
    <w:p w14:paraId="2EB2498D" w14:textId="77777777" w:rsidR="00302567" w:rsidRPr="00302567" w:rsidRDefault="00302567" w:rsidP="00302567">
      <w:pPr>
        <w:spacing w:after="0" w:line="360" w:lineRule="auto"/>
        <w:rPr>
          <w:rFonts w:eastAsia="Calibri" w:cs="Tahoma"/>
          <w:bCs/>
        </w:rPr>
      </w:pPr>
      <w:r w:rsidRPr="00302567">
        <w:rPr>
          <w:rFonts w:eastAsia="Calibri" w:cs="Tahoma"/>
          <w:bCs/>
        </w:rPr>
        <w:lastRenderedPageBreak/>
        <w:t>Sobre dicha situación, cabe señalar que, las versiones públicas elaboradas, deben cumplir con los requisitos previstos en los Lineamientos Generales, los cuales establecen lo siguiente:</w:t>
      </w:r>
    </w:p>
    <w:p w14:paraId="08BC7DF8" w14:textId="77777777" w:rsidR="00302567" w:rsidRPr="00302567" w:rsidRDefault="00302567" w:rsidP="00302567">
      <w:pPr>
        <w:spacing w:after="0" w:line="360" w:lineRule="auto"/>
        <w:rPr>
          <w:rFonts w:eastAsia="Calibri" w:cs="Tahoma"/>
          <w:bCs/>
        </w:rPr>
      </w:pPr>
    </w:p>
    <w:p w14:paraId="42393B1B" w14:textId="77777777" w:rsidR="00302567" w:rsidRPr="00302567" w:rsidRDefault="00302567" w:rsidP="00302567">
      <w:pPr>
        <w:numPr>
          <w:ilvl w:val="0"/>
          <w:numId w:val="19"/>
        </w:numPr>
        <w:spacing w:after="0" w:line="360" w:lineRule="auto"/>
        <w:rPr>
          <w:rFonts w:eastAsia="Calibri" w:cs="Tahoma"/>
          <w:b/>
          <w:bCs/>
          <w:iCs/>
        </w:rPr>
      </w:pPr>
      <w:r w:rsidRPr="00302567">
        <w:rPr>
          <w:rFonts w:eastAsia="Calibri" w:cs="Tahoma"/>
          <w:b/>
          <w:bCs/>
          <w:iCs/>
        </w:rPr>
        <w:t xml:space="preserve">(Quincuagésimo octavo): </w:t>
      </w:r>
      <w:r w:rsidRPr="00302567">
        <w:rPr>
          <w:rFonts w:eastAsia="Calibri" w:cs="Tahoma"/>
          <w:bCs/>
          <w:iCs/>
        </w:rPr>
        <w:t>Los sujetos obligados garantizarán que los sistemas o medios empleados para eliminar la información en las versiones públicas</w:t>
      </w:r>
      <w:r w:rsidRPr="00302567">
        <w:rPr>
          <w:rFonts w:eastAsia="Calibri" w:cs="Tahoma"/>
          <w:b/>
          <w:bCs/>
          <w:iCs/>
        </w:rPr>
        <w:t xml:space="preserve"> no permitan la recuperación o visualización de </w:t>
      </w:r>
      <w:proofErr w:type="gramStart"/>
      <w:r w:rsidRPr="00302567">
        <w:rPr>
          <w:rFonts w:eastAsia="Calibri" w:cs="Tahoma"/>
          <w:b/>
          <w:bCs/>
          <w:iCs/>
        </w:rPr>
        <w:t>la misma</w:t>
      </w:r>
      <w:proofErr w:type="gramEnd"/>
      <w:r w:rsidRPr="00302567">
        <w:rPr>
          <w:rFonts w:eastAsia="Calibri" w:cs="Tahoma"/>
          <w:b/>
          <w:bCs/>
          <w:iCs/>
        </w:rPr>
        <w:t>.</w:t>
      </w:r>
    </w:p>
    <w:p w14:paraId="289D5480" w14:textId="77777777" w:rsidR="00302567" w:rsidRPr="00302567" w:rsidRDefault="00302567" w:rsidP="00302567">
      <w:pPr>
        <w:spacing w:after="0" w:line="360" w:lineRule="auto"/>
        <w:rPr>
          <w:rFonts w:eastAsia="Calibri" w:cs="Tahoma"/>
          <w:b/>
          <w:bCs/>
          <w:iCs/>
        </w:rPr>
      </w:pPr>
    </w:p>
    <w:p w14:paraId="36BF763C" w14:textId="77777777" w:rsidR="00302567" w:rsidRPr="00302567" w:rsidRDefault="00302567" w:rsidP="00302567">
      <w:pPr>
        <w:numPr>
          <w:ilvl w:val="0"/>
          <w:numId w:val="19"/>
        </w:numPr>
        <w:spacing w:after="0" w:line="360" w:lineRule="auto"/>
        <w:rPr>
          <w:rFonts w:eastAsia="Calibri" w:cs="Tahoma"/>
          <w:b/>
          <w:bCs/>
          <w:iCs/>
        </w:rPr>
      </w:pPr>
      <w:r w:rsidRPr="00302567">
        <w:rPr>
          <w:rFonts w:eastAsia="Calibri" w:cs="Tahoma"/>
          <w:b/>
          <w:bCs/>
          <w:iCs/>
        </w:rPr>
        <w:t xml:space="preserve">(Sexagésimo): </w:t>
      </w:r>
      <w:r w:rsidRPr="00302567">
        <w:rPr>
          <w:rFonts w:eastAsia="Calibri" w:cs="Tahoma"/>
          <w:bCs/>
          <w:iCs/>
        </w:rPr>
        <w:t>En el caso de que el documento se posea en formato electrónico, deberá crearse un nuevo archivo electrónico para que sobre el mismo se elabore una versión pública, eliminando las partes o secciones clasificadas, de acuerdo con el modelo para testar documentos electrónicos, denominado “Modelo para testar documentos electrónicos”, mismo que se reproduce a continuación:</w:t>
      </w:r>
    </w:p>
    <w:p w14:paraId="6A27BD6D" w14:textId="77777777" w:rsidR="00302567" w:rsidRPr="00302567" w:rsidRDefault="00302567" w:rsidP="00302567">
      <w:pPr>
        <w:spacing w:after="0" w:line="360" w:lineRule="auto"/>
        <w:rPr>
          <w:rFonts w:eastAsia="Calibri" w:cs="Tahoma"/>
          <w:b/>
          <w:bCs/>
        </w:rPr>
      </w:pPr>
    </w:p>
    <w:p w14:paraId="119AF271" w14:textId="77777777" w:rsidR="00302567" w:rsidRPr="00302567" w:rsidRDefault="00302567" w:rsidP="00302567">
      <w:pPr>
        <w:spacing w:after="0" w:line="360" w:lineRule="auto"/>
        <w:jc w:val="center"/>
        <w:rPr>
          <w:rFonts w:eastAsia="Calibri" w:cs="Tahoma"/>
          <w:b/>
          <w:bCs/>
        </w:rPr>
      </w:pPr>
      <w:r w:rsidRPr="00302567">
        <w:rPr>
          <w:rFonts w:eastAsia="Calibri" w:cs="Tahoma"/>
          <w:noProof/>
          <w:lang w:eastAsia="es-MX"/>
        </w:rPr>
        <w:drawing>
          <wp:inline distT="0" distB="0" distL="0" distR="0" wp14:anchorId="038B6D67" wp14:editId="643BF5C6">
            <wp:extent cx="2668681" cy="3390900"/>
            <wp:effectExtent l="0" t="0" r="0" b="0"/>
            <wp:docPr id="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t="7155"/>
                    <a:stretch>
                      <a:fillRect/>
                    </a:stretch>
                  </pic:blipFill>
                  <pic:spPr bwMode="auto">
                    <a:xfrm>
                      <a:off x="0" y="0"/>
                      <a:ext cx="2671865" cy="3394946"/>
                    </a:xfrm>
                    <a:prstGeom prst="rect">
                      <a:avLst/>
                    </a:prstGeom>
                    <a:noFill/>
                    <a:ln>
                      <a:noFill/>
                    </a:ln>
                  </pic:spPr>
                </pic:pic>
              </a:graphicData>
            </a:graphic>
          </wp:inline>
        </w:drawing>
      </w:r>
    </w:p>
    <w:p w14:paraId="1F34B4E0" w14:textId="77777777" w:rsidR="00302567" w:rsidRPr="00302567" w:rsidRDefault="00302567" w:rsidP="00302567">
      <w:pPr>
        <w:numPr>
          <w:ilvl w:val="0"/>
          <w:numId w:val="19"/>
        </w:numPr>
        <w:spacing w:after="0" w:line="360" w:lineRule="auto"/>
        <w:rPr>
          <w:rFonts w:eastAsia="Calibri" w:cs="Tahoma"/>
          <w:b/>
          <w:bCs/>
        </w:rPr>
      </w:pPr>
      <w:r w:rsidRPr="00302567">
        <w:rPr>
          <w:rFonts w:eastAsia="Calibri" w:cs="Tahoma"/>
          <w:b/>
          <w:bCs/>
        </w:rPr>
        <w:lastRenderedPageBreak/>
        <w:t xml:space="preserve">(Sexagésimo primero): </w:t>
      </w:r>
      <w:r w:rsidRPr="00302567">
        <w:rPr>
          <w:rFonts w:eastAsia="Calibri" w:cs="Tahoma"/>
          <w:bCs/>
        </w:rPr>
        <w:t>En la parte del documento donde se hubiese ubicado originalmente el texto eliminado, deberá insertarse un cuadro de texto en color distinto al utilizado en el resto del documento con la palabra "Eliminado", el tipo de dato o información cancelado y señalarse si la omisión es una palabra, reglón o párrafo; así como, e fundamento legal.</w:t>
      </w:r>
    </w:p>
    <w:p w14:paraId="440BAC26" w14:textId="77777777" w:rsidR="00302567" w:rsidRPr="00302567" w:rsidRDefault="00302567" w:rsidP="00302567">
      <w:pPr>
        <w:spacing w:after="0" w:line="360" w:lineRule="auto"/>
        <w:rPr>
          <w:rFonts w:eastAsia="Calibri" w:cs="Tahoma"/>
          <w:bCs/>
        </w:rPr>
      </w:pPr>
    </w:p>
    <w:p w14:paraId="0ED80D91" w14:textId="77777777" w:rsidR="00302567" w:rsidRPr="00302567" w:rsidRDefault="00302567" w:rsidP="00302567">
      <w:pPr>
        <w:spacing w:after="0" w:line="360" w:lineRule="auto"/>
        <w:rPr>
          <w:rFonts w:eastAsia="Calibri" w:cs="Tahoma"/>
          <w:bCs/>
        </w:rPr>
      </w:pPr>
      <w:r w:rsidRPr="00302567">
        <w:rPr>
          <w:rFonts w:eastAsia="Calibri" w:cs="Tahoma"/>
          <w:bCs/>
        </w:rPr>
        <w:t>Como se logra observar, cuando se elabora una versión pública, se debe generar conforme a los requisitos previamente referidos en los Lineamientos Generales; por lo que, en el presente caso, deberá generarla de manera correcta siguiendo los requisitos previamente referidos, para no vulnerar los datos personales.</w:t>
      </w:r>
    </w:p>
    <w:p w14:paraId="118D2C66" w14:textId="77777777" w:rsidR="00302567" w:rsidRPr="00302567" w:rsidRDefault="00302567" w:rsidP="00302567">
      <w:pPr>
        <w:spacing w:after="0" w:line="360" w:lineRule="auto"/>
        <w:rPr>
          <w:rFonts w:eastAsia="Calibri" w:cs="Tahoma"/>
          <w:bCs/>
        </w:rPr>
      </w:pPr>
    </w:p>
    <w:p w14:paraId="6FED0BC9" w14:textId="77777777" w:rsidR="00302567" w:rsidRPr="00302567" w:rsidRDefault="00302567" w:rsidP="00302567">
      <w:pPr>
        <w:spacing w:after="0" w:line="360" w:lineRule="auto"/>
        <w:rPr>
          <w:rFonts w:eastAsia="Calibri" w:cs="Tahoma"/>
          <w:color w:val="000000"/>
          <w:lang w:val="es-ES" w:eastAsia="es-MX"/>
        </w:rPr>
      </w:pPr>
      <w:r w:rsidRPr="00302567">
        <w:rPr>
          <w:rFonts w:eastAsia="Calibri" w:cs="Tahoma"/>
          <w:bCs/>
        </w:rPr>
        <w:t xml:space="preserve">Finalmente, </w:t>
      </w:r>
      <w:r w:rsidRPr="00302567">
        <w:rPr>
          <w:rFonts w:eastAsia="Calibri" w:cs="Tahoma"/>
          <w:color w:val="000000"/>
          <w:lang w:val="es-ES" w:eastAsia="es-MX"/>
        </w:rPr>
        <w:t>el artículo 168 de la Ley de Transparencia y Acceso a la Información Pública del Estado de México y Municipios precisa que el área competente deberá elaborar la versión pública, así como emitir el Acuerdo, por parte del Comité de Transparencia, donde confirme la clasificación de los datos, fundando y motivando la clasificación.</w:t>
      </w:r>
    </w:p>
    <w:p w14:paraId="73EA09D7" w14:textId="77777777" w:rsidR="00302567" w:rsidRPr="00302567" w:rsidRDefault="00302567" w:rsidP="00302567">
      <w:pPr>
        <w:spacing w:after="0" w:line="360" w:lineRule="auto"/>
        <w:rPr>
          <w:rFonts w:eastAsia="Calibri" w:cs="Tahoma"/>
          <w:color w:val="000000"/>
          <w:lang w:val="es-ES" w:eastAsia="es-MX"/>
        </w:rPr>
      </w:pPr>
    </w:p>
    <w:p w14:paraId="0A32C9DA" w14:textId="236AE4AB" w:rsidR="00051642" w:rsidRPr="00B178C7" w:rsidRDefault="00EC6C06" w:rsidP="0078724B">
      <w:pPr>
        <w:pStyle w:val="Ttulo1"/>
        <w:spacing w:before="0" w:line="360" w:lineRule="auto"/>
        <w:rPr>
          <w:rFonts w:ascii="Palatino Linotype" w:eastAsia="Calibri" w:hAnsi="Palatino Linotype" w:cs="Tahoma"/>
          <w:b/>
          <w:bCs/>
          <w:color w:val="auto"/>
          <w:sz w:val="22"/>
          <w:szCs w:val="22"/>
        </w:rPr>
      </w:pPr>
      <w:bookmarkStart w:id="19" w:name="_Toc192778072"/>
      <w:r w:rsidRPr="00B178C7">
        <w:rPr>
          <w:rFonts w:ascii="Palatino Linotype" w:eastAsia="Calibri" w:hAnsi="Palatino Linotype" w:cs="Tahoma"/>
          <w:b/>
          <w:bCs/>
          <w:color w:val="auto"/>
          <w:sz w:val="22"/>
          <w:szCs w:val="22"/>
        </w:rPr>
        <w:t>SEXTO. Decisión</w:t>
      </w:r>
      <w:bookmarkEnd w:id="19"/>
    </w:p>
    <w:p w14:paraId="52909070" w14:textId="77777777" w:rsidR="00990FDD" w:rsidRPr="00361B01" w:rsidRDefault="00990FDD" w:rsidP="0078724B">
      <w:pPr>
        <w:spacing w:after="0" w:line="360" w:lineRule="auto"/>
        <w:contextualSpacing/>
        <w:rPr>
          <w:rFonts w:eastAsia="Calibri" w:cs="Tahoma"/>
          <w:b/>
          <w:color w:val="FF0000"/>
        </w:rPr>
      </w:pPr>
    </w:p>
    <w:p w14:paraId="3764C17D" w14:textId="07DDE6E5" w:rsidR="007C6CE9" w:rsidRPr="00361B01" w:rsidRDefault="00051642" w:rsidP="0078724B">
      <w:pPr>
        <w:tabs>
          <w:tab w:val="left" w:pos="8931"/>
        </w:tabs>
        <w:spacing w:after="0" w:line="360" w:lineRule="auto"/>
        <w:rPr>
          <w:rFonts w:eastAsia="Calibri" w:cs="Tahoma"/>
          <w:bCs/>
          <w:iCs/>
          <w:color w:val="FF0000"/>
          <w:lang w:eastAsia="es-ES_tradnl"/>
        </w:rPr>
      </w:pPr>
      <w:r w:rsidRPr="00AE0E0B">
        <w:rPr>
          <w:rFonts w:eastAsia="Times New Roman" w:cs="Tahoma"/>
          <w:color w:val="auto"/>
          <w:lang w:eastAsia="es-ES"/>
        </w:rPr>
        <w:t xml:space="preserve">Con fundamento en el artículo 186, fracción IV, de la Ley de Transparencia y Acceso a la Información Pública del Estado de México y Municipios, este Instituto considera procedente </w:t>
      </w:r>
      <w:r w:rsidRPr="00AE0E0B">
        <w:rPr>
          <w:rFonts w:eastAsia="Times New Roman" w:cs="Tahoma"/>
          <w:b/>
          <w:bCs/>
          <w:color w:val="auto"/>
          <w:lang w:eastAsia="es-ES"/>
        </w:rPr>
        <w:t>ORDENAR</w:t>
      </w:r>
      <w:r w:rsidRPr="00AE0E0B">
        <w:rPr>
          <w:rFonts w:eastAsia="Times New Roman" w:cs="Tahoma"/>
          <w:color w:val="auto"/>
          <w:lang w:eastAsia="es-ES"/>
        </w:rPr>
        <w:t xml:space="preserve"> al Sujeto Obligado,</w:t>
      </w:r>
      <w:r w:rsidRPr="00AE0E0B">
        <w:rPr>
          <w:rFonts w:eastAsia="Calibri" w:cs="Tahoma"/>
          <w:color w:val="auto"/>
        </w:rPr>
        <w:t xml:space="preserve"> a</w:t>
      </w:r>
      <w:r w:rsidR="00162887" w:rsidRPr="00AE0E0B">
        <w:rPr>
          <w:rFonts w:eastAsia="Calibri" w:cs="Tahoma"/>
          <w:color w:val="auto"/>
        </w:rPr>
        <w:t xml:space="preserve"> efecto de que</w:t>
      </w:r>
      <w:r w:rsidR="00302567">
        <w:rPr>
          <w:rFonts w:eastAsia="Calibri" w:cs="Tahoma"/>
          <w:color w:val="auto"/>
        </w:rPr>
        <w:t xml:space="preserve"> </w:t>
      </w:r>
      <w:r w:rsidR="007D5010" w:rsidRPr="00AE0E0B">
        <w:rPr>
          <w:color w:val="auto"/>
        </w:rPr>
        <w:t>entregue</w:t>
      </w:r>
      <w:r w:rsidR="00AE0E0B" w:rsidRPr="00AE0E0B">
        <w:rPr>
          <w:color w:val="auto"/>
        </w:rPr>
        <w:t xml:space="preserve"> la</w:t>
      </w:r>
      <w:r w:rsidR="001D5E7C" w:rsidRPr="00AE0E0B">
        <w:rPr>
          <w:color w:val="auto"/>
        </w:rPr>
        <w:t xml:space="preserve"> </w:t>
      </w:r>
      <w:r w:rsidR="005548DF" w:rsidRPr="00AE0E0B">
        <w:rPr>
          <w:color w:val="auto"/>
        </w:rPr>
        <w:t>versión pública</w:t>
      </w:r>
      <w:r w:rsidR="00302567">
        <w:rPr>
          <w:color w:val="auto"/>
        </w:rPr>
        <w:t xml:space="preserve"> correcta,</w:t>
      </w:r>
      <w:r w:rsidR="00AE0E0B" w:rsidRPr="00AE0E0B">
        <w:rPr>
          <w:color w:val="auto"/>
        </w:rPr>
        <w:t xml:space="preserve"> de los recibos de nómina remitidos a través del informe justificado.</w:t>
      </w:r>
    </w:p>
    <w:p w14:paraId="67A75D2C" w14:textId="77777777" w:rsidR="000518BD" w:rsidRPr="00AE0E0B" w:rsidRDefault="000518BD" w:rsidP="0078724B">
      <w:pPr>
        <w:widowControl w:val="0"/>
        <w:autoSpaceDE w:val="0"/>
        <w:autoSpaceDN w:val="0"/>
        <w:adjustRightInd w:val="0"/>
        <w:spacing w:after="0" w:line="360" w:lineRule="auto"/>
        <w:rPr>
          <w:color w:val="auto"/>
          <w:lang w:val="es-ES"/>
        </w:rPr>
      </w:pPr>
    </w:p>
    <w:p w14:paraId="1352EB4E" w14:textId="56D326EC" w:rsidR="00051642" w:rsidRPr="00F80332" w:rsidRDefault="00766F45" w:rsidP="0078724B">
      <w:pPr>
        <w:pStyle w:val="Ttulo1"/>
        <w:spacing w:before="0" w:line="360" w:lineRule="auto"/>
        <w:rPr>
          <w:rFonts w:ascii="Palatino Linotype" w:eastAsia="Times New Roman" w:hAnsi="Palatino Linotype"/>
          <w:b/>
          <w:bCs/>
          <w:color w:val="auto"/>
          <w:sz w:val="22"/>
          <w:szCs w:val="22"/>
          <w:lang w:eastAsia="es-ES"/>
        </w:rPr>
      </w:pPr>
      <w:bookmarkStart w:id="20" w:name="_Toc192778073"/>
      <w:r w:rsidRPr="00F80332">
        <w:rPr>
          <w:rFonts w:ascii="Palatino Linotype" w:eastAsia="Times New Roman" w:hAnsi="Palatino Linotype"/>
          <w:b/>
          <w:bCs/>
          <w:color w:val="auto"/>
          <w:sz w:val="22"/>
          <w:szCs w:val="22"/>
          <w:lang w:eastAsia="es-ES"/>
        </w:rPr>
        <w:t xml:space="preserve">SÉPTIMO. Vista </w:t>
      </w:r>
      <w:r w:rsidR="008256BD" w:rsidRPr="00F80332">
        <w:rPr>
          <w:rFonts w:ascii="Palatino Linotype" w:eastAsia="Times New Roman" w:hAnsi="Palatino Linotype"/>
          <w:b/>
          <w:bCs/>
          <w:color w:val="auto"/>
          <w:sz w:val="22"/>
          <w:szCs w:val="22"/>
          <w:lang w:eastAsia="es-ES"/>
        </w:rPr>
        <w:t>a la Secretaría Técnica del Pleno</w:t>
      </w:r>
      <w:bookmarkEnd w:id="20"/>
    </w:p>
    <w:p w14:paraId="2E91A156" w14:textId="77777777" w:rsidR="008256BD" w:rsidRDefault="008256BD" w:rsidP="0078724B">
      <w:pPr>
        <w:spacing w:after="0" w:line="360" w:lineRule="auto"/>
        <w:rPr>
          <w:rFonts w:eastAsia="Times New Roman" w:cs="Tahoma"/>
          <w:bCs/>
          <w:color w:val="FF0000"/>
          <w:lang w:eastAsia="es-ES"/>
        </w:rPr>
      </w:pPr>
    </w:p>
    <w:p w14:paraId="0B0E7221" w14:textId="77777777" w:rsidR="00302567" w:rsidRDefault="00302567" w:rsidP="0078724B">
      <w:pPr>
        <w:spacing w:after="0" w:line="360" w:lineRule="auto"/>
        <w:rPr>
          <w:rFonts w:eastAsia="Times New Roman" w:cs="Tahoma"/>
          <w:bCs/>
          <w:color w:val="FF0000"/>
          <w:lang w:eastAsia="es-ES"/>
        </w:rPr>
      </w:pPr>
    </w:p>
    <w:p w14:paraId="739E6FE3" w14:textId="77777777" w:rsidR="00302567" w:rsidRPr="00361B01" w:rsidRDefault="00302567" w:rsidP="0078724B">
      <w:pPr>
        <w:spacing w:after="0" w:line="360" w:lineRule="auto"/>
        <w:rPr>
          <w:rFonts w:eastAsia="Times New Roman" w:cs="Tahoma"/>
          <w:bCs/>
          <w:color w:val="FF0000"/>
          <w:lang w:eastAsia="es-ES"/>
        </w:rPr>
      </w:pPr>
    </w:p>
    <w:p w14:paraId="01DB3E88" w14:textId="77777777" w:rsidR="00302567" w:rsidRDefault="00051642" w:rsidP="0078724B">
      <w:pPr>
        <w:spacing w:after="0" w:line="360" w:lineRule="auto"/>
        <w:rPr>
          <w:rFonts w:eastAsia="Times New Roman" w:cs="Tahoma"/>
          <w:bCs/>
          <w:color w:val="auto"/>
          <w:lang w:eastAsia="es-ES"/>
        </w:rPr>
      </w:pPr>
      <w:r w:rsidRPr="00AE0E0B">
        <w:rPr>
          <w:rFonts w:eastAsia="Times New Roman" w:cs="Tahoma"/>
          <w:bCs/>
          <w:color w:val="auto"/>
          <w:lang w:eastAsia="es-ES"/>
        </w:rPr>
        <w:t xml:space="preserve">En el caso en estudio, ha quedado acreditado que el </w:t>
      </w:r>
      <w:r w:rsidR="00AE0E0B" w:rsidRPr="00AE0E0B">
        <w:rPr>
          <w:rFonts w:eastAsia="Calibri" w:cs="Tahoma"/>
          <w:color w:val="auto"/>
        </w:rPr>
        <w:t>Sistema Municipal para el Desarrollo Integral de la Familia de Villa del Carbón</w:t>
      </w:r>
      <w:r w:rsidR="00AE0E0B" w:rsidRPr="00AE0E0B">
        <w:rPr>
          <w:rFonts w:eastAsia="Times New Roman" w:cs="Tahoma"/>
          <w:bCs/>
          <w:color w:val="auto"/>
          <w:lang w:eastAsia="es-ES"/>
        </w:rPr>
        <w:t xml:space="preserve"> </w:t>
      </w:r>
      <w:r w:rsidRPr="00AE0E0B">
        <w:rPr>
          <w:rFonts w:eastAsia="Times New Roman" w:cs="Tahoma"/>
          <w:bCs/>
          <w:color w:val="auto"/>
          <w:lang w:eastAsia="es-ES"/>
        </w:rPr>
        <w:t>omitió dar respuesta en el plazo señalado en el artículo 163 de la Ley de Transparencia y Acceso a la Información Pública del Estado de México y Municipios.</w:t>
      </w:r>
      <w:r w:rsidR="002302CE" w:rsidRPr="00AE0E0B">
        <w:rPr>
          <w:rFonts w:eastAsia="Times New Roman" w:cs="Tahoma"/>
          <w:bCs/>
          <w:color w:val="auto"/>
          <w:lang w:eastAsia="es-ES"/>
        </w:rPr>
        <w:t xml:space="preserve"> </w:t>
      </w:r>
    </w:p>
    <w:p w14:paraId="757EA5F8" w14:textId="77777777" w:rsidR="00302567" w:rsidRDefault="00302567" w:rsidP="0078724B">
      <w:pPr>
        <w:spacing w:after="0" w:line="360" w:lineRule="auto"/>
        <w:rPr>
          <w:rFonts w:eastAsia="Times New Roman" w:cs="Tahoma"/>
          <w:bCs/>
          <w:color w:val="auto"/>
          <w:lang w:eastAsia="es-ES"/>
        </w:rPr>
      </w:pPr>
    </w:p>
    <w:p w14:paraId="3A67CD2B" w14:textId="52FAAAFE" w:rsidR="008256BD" w:rsidRPr="00AE0E0B" w:rsidRDefault="008256BD" w:rsidP="0078724B">
      <w:pPr>
        <w:spacing w:after="0" w:line="360" w:lineRule="auto"/>
        <w:rPr>
          <w:rFonts w:eastAsia="Times New Roman" w:cs="Tahoma"/>
          <w:bCs/>
          <w:color w:val="auto"/>
          <w:lang w:eastAsia="es-ES"/>
        </w:rPr>
      </w:pPr>
      <w:r w:rsidRPr="00AE0E0B">
        <w:rPr>
          <w:rFonts w:eastAsia="Times New Roman" w:cs="Tahoma"/>
          <w:color w:val="auto"/>
          <w:lang w:eastAsia="es-ES"/>
        </w:rPr>
        <w:t>Al respecto, el artículo 36, fracción X, del ordenamiento jurídico en cita, establece que es atribución de este Instituto hacer del conocimiento al Área competente de cada Sujeto Obligado las infracciones a esta Ley.</w:t>
      </w:r>
      <w:r w:rsidRPr="00AE0E0B">
        <w:rPr>
          <w:rFonts w:eastAsia="Calibri" w:cs="Tahoma"/>
          <w:bCs/>
          <w:color w:val="auto"/>
        </w:rPr>
        <w:t xml:space="preserve"> </w:t>
      </w:r>
    </w:p>
    <w:p w14:paraId="3B36ACA2" w14:textId="77777777" w:rsidR="008256BD" w:rsidRPr="00361B01" w:rsidRDefault="008256BD" w:rsidP="0078724B">
      <w:pPr>
        <w:spacing w:after="0" w:line="360" w:lineRule="auto"/>
        <w:ind w:right="-93"/>
        <w:rPr>
          <w:rFonts w:eastAsia="Calibri" w:cs="Tahoma"/>
          <w:bCs/>
          <w:color w:val="FF0000"/>
        </w:rPr>
      </w:pPr>
    </w:p>
    <w:p w14:paraId="1F0AA5B2" w14:textId="4474216F" w:rsidR="008256BD" w:rsidRPr="00AE0E0B" w:rsidRDefault="008256BD" w:rsidP="0078724B">
      <w:pPr>
        <w:spacing w:after="0" w:line="360" w:lineRule="auto"/>
        <w:ind w:right="-93"/>
        <w:rPr>
          <w:rFonts w:eastAsia="Calibri" w:cs="Tahoma"/>
          <w:bCs/>
          <w:color w:val="auto"/>
        </w:rPr>
      </w:pPr>
      <w:r w:rsidRPr="00AE0E0B">
        <w:rPr>
          <w:rFonts w:eastAsia="Calibri" w:cs="Tahoma"/>
          <w:bCs/>
          <w:color w:val="auto"/>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768361FF" w14:textId="77777777" w:rsidR="008256BD" w:rsidRPr="00AE0E0B" w:rsidRDefault="008256BD" w:rsidP="0078724B">
      <w:pPr>
        <w:spacing w:after="0" w:line="360" w:lineRule="auto"/>
        <w:ind w:right="-93"/>
        <w:rPr>
          <w:rFonts w:eastAsia="Calibri" w:cs="Tahoma"/>
          <w:bCs/>
          <w:color w:val="auto"/>
        </w:rPr>
      </w:pPr>
    </w:p>
    <w:p w14:paraId="295366A7" w14:textId="77777777" w:rsidR="008256BD" w:rsidRPr="00AE0E0B" w:rsidRDefault="008256BD" w:rsidP="0078724B">
      <w:pPr>
        <w:spacing w:after="0" w:line="360" w:lineRule="auto"/>
        <w:ind w:right="-93"/>
        <w:rPr>
          <w:rFonts w:eastAsia="Calibri" w:cs="Tahoma"/>
          <w:bCs/>
          <w:color w:val="auto"/>
        </w:rPr>
      </w:pPr>
      <w:r w:rsidRPr="00AE0E0B">
        <w:rPr>
          <w:rFonts w:eastAsia="Calibri" w:cs="Tahoma"/>
          <w:bCs/>
          <w:color w:val="auto"/>
        </w:rPr>
        <w:t>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w:t>
      </w:r>
    </w:p>
    <w:p w14:paraId="7F95E79C" w14:textId="77777777" w:rsidR="008256BD" w:rsidRDefault="008256BD" w:rsidP="0078724B">
      <w:pPr>
        <w:spacing w:after="0" w:line="360" w:lineRule="auto"/>
        <w:ind w:right="-93"/>
        <w:rPr>
          <w:rFonts w:eastAsia="Calibri" w:cs="Tahoma"/>
          <w:bCs/>
          <w:color w:val="auto"/>
        </w:rPr>
      </w:pPr>
    </w:p>
    <w:p w14:paraId="34E34ECC" w14:textId="77777777" w:rsidR="008256BD" w:rsidRPr="00AE0E0B" w:rsidRDefault="008256BD" w:rsidP="0078724B">
      <w:pPr>
        <w:spacing w:after="0" w:line="360" w:lineRule="auto"/>
        <w:ind w:right="-93"/>
        <w:rPr>
          <w:rFonts w:eastAsia="Calibri" w:cs="Tahoma"/>
          <w:bCs/>
          <w:color w:val="auto"/>
        </w:rPr>
      </w:pPr>
      <w:r w:rsidRPr="00AE0E0B">
        <w:rPr>
          <w:rFonts w:eastAsia="Calibri" w:cs="Tahoma"/>
          <w:bCs/>
          <w:color w:val="auto"/>
        </w:rPr>
        <w:lastRenderedPageBreak/>
        <w:t xml:space="preserve">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w:t>
      </w:r>
      <w:r w:rsidRPr="00AE0E0B">
        <w:rPr>
          <w:rFonts w:eastAsia="Calibri" w:cs="Tahoma"/>
          <w:bCs/>
          <w:color w:val="auto"/>
          <w:lang w:val="es-ES_tradnl"/>
        </w:rPr>
        <w:t>a la Secretaría Técnica de este Instituto</w:t>
      </w:r>
      <w:r w:rsidRPr="00AE0E0B">
        <w:rPr>
          <w:rFonts w:eastAsia="Calibri" w:cs="Tahoma"/>
          <w:bCs/>
          <w:color w:val="auto"/>
        </w:rPr>
        <w:t>, para que realice lo conducente.</w:t>
      </w:r>
    </w:p>
    <w:p w14:paraId="70F4B641" w14:textId="77777777" w:rsidR="00542301" w:rsidRPr="00AE0E0B" w:rsidRDefault="00542301" w:rsidP="0078724B">
      <w:pPr>
        <w:spacing w:after="0" w:line="360" w:lineRule="auto"/>
        <w:ind w:right="-93"/>
        <w:rPr>
          <w:rFonts w:eastAsia="Calibri" w:cs="Tahoma"/>
          <w:bCs/>
          <w:color w:val="auto"/>
        </w:rPr>
      </w:pPr>
    </w:p>
    <w:p w14:paraId="14224071" w14:textId="0D87DFFD" w:rsidR="008256BD" w:rsidRPr="00AE0E0B" w:rsidRDefault="008256BD" w:rsidP="0078724B">
      <w:pPr>
        <w:autoSpaceDE w:val="0"/>
        <w:autoSpaceDN w:val="0"/>
        <w:adjustRightInd w:val="0"/>
        <w:spacing w:after="0" w:line="360" w:lineRule="auto"/>
        <w:rPr>
          <w:rFonts w:eastAsia="Calibri" w:cs="Tahoma"/>
          <w:b/>
          <w:bCs/>
          <w:iCs/>
          <w:color w:val="auto"/>
          <w:lang w:val="es-ES"/>
        </w:rPr>
      </w:pPr>
      <w:r w:rsidRPr="00AE0E0B">
        <w:rPr>
          <w:rFonts w:eastAsia="Calibri" w:cs="Tahoma"/>
          <w:b/>
          <w:bCs/>
          <w:iCs/>
          <w:color w:val="auto"/>
          <w:lang w:val="es-ES"/>
        </w:rPr>
        <w:t>Términos de la Resolución p</w:t>
      </w:r>
      <w:r w:rsidR="00EC6C06" w:rsidRPr="00AE0E0B">
        <w:rPr>
          <w:rFonts w:eastAsia="Calibri" w:cs="Tahoma"/>
          <w:b/>
          <w:bCs/>
          <w:iCs/>
          <w:color w:val="auto"/>
          <w:lang w:val="es-ES"/>
        </w:rPr>
        <w:t>ara conocimiento del Particular</w:t>
      </w:r>
    </w:p>
    <w:p w14:paraId="010EDA10" w14:textId="77777777" w:rsidR="008256BD" w:rsidRPr="00361B01" w:rsidRDefault="008256BD" w:rsidP="0078724B">
      <w:pPr>
        <w:autoSpaceDE w:val="0"/>
        <w:autoSpaceDN w:val="0"/>
        <w:adjustRightInd w:val="0"/>
        <w:spacing w:after="0" w:line="360" w:lineRule="auto"/>
        <w:rPr>
          <w:rFonts w:eastAsia="Calibri" w:cs="Tahoma"/>
          <w:b/>
          <w:bCs/>
          <w:iCs/>
          <w:color w:val="FF0000"/>
          <w:lang w:val="es-ES"/>
        </w:rPr>
      </w:pPr>
    </w:p>
    <w:p w14:paraId="7B31065C" w14:textId="663E6178" w:rsidR="00BB68C2" w:rsidRPr="00AE0E0B" w:rsidRDefault="00B96DB8" w:rsidP="0078724B">
      <w:pPr>
        <w:autoSpaceDE w:val="0"/>
        <w:autoSpaceDN w:val="0"/>
        <w:adjustRightInd w:val="0"/>
        <w:spacing w:after="0" w:line="360" w:lineRule="auto"/>
        <w:rPr>
          <w:rFonts w:eastAsia="Calibri" w:cs="Tahoma"/>
          <w:bCs/>
          <w:color w:val="auto"/>
        </w:rPr>
      </w:pPr>
      <w:r w:rsidRPr="00AE0E0B">
        <w:rPr>
          <w:rFonts w:eastAsia="Calibri" w:cs="Tahoma"/>
          <w:bCs/>
          <w:iCs/>
          <w:color w:val="auto"/>
          <w:lang w:val="es-ES"/>
        </w:rPr>
        <w:t xml:space="preserve">Se </w:t>
      </w:r>
      <w:r w:rsidRPr="00AE0E0B">
        <w:rPr>
          <w:rFonts w:eastAsia="Calibri" w:cs="Tahoma"/>
          <w:bCs/>
          <w:color w:val="auto"/>
        </w:rPr>
        <w:t xml:space="preserve">le hace del conocimiento al ahora Recurrente, que, en el presente caso, se le concede la razón, pues </w:t>
      </w:r>
      <w:r w:rsidR="00542301" w:rsidRPr="00AE0E0B">
        <w:rPr>
          <w:rFonts w:eastAsia="Calibri" w:cs="Tahoma"/>
          <w:bCs/>
          <w:color w:val="auto"/>
        </w:rPr>
        <w:t xml:space="preserve">si bien </w:t>
      </w:r>
      <w:r w:rsidRPr="00AE0E0B">
        <w:rPr>
          <w:rFonts w:eastAsia="Calibri" w:cs="Tahoma"/>
          <w:bCs/>
          <w:color w:val="auto"/>
        </w:rPr>
        <w:t>el Sujet</w:t>
      </w:r>
      <w:r w:rsidR="00542301" w:rsidRPr="00AE0E0B">
        <w:rPr>
          <w:rFonts w:eastAsia="Calibri" w:cs="Tahoma"/>
          <w:bCs/>
          <w:color w:val="auto"/>
        </w:rPr>
        <w:t>o</w:t>
      </w:r>
      <w:r w:rsidRPr="00AE0E0B">
        <w:rPr>
          <w:rFonts w:eastAsia="Calibri" w:cs="Tahoma"/>
          <w:bCs/>
          <w:color w:val="auto"/>
        </w:rPr>
        <w:t xml:space="preserve"> Obligado</w:t>
      </w:r>
      <w:r w:rsidR="00542301" w:rsidRPr="00AE0E0B">
        <w:rPr>
          <w:rFonts w:eastAsia="Calibri" w:cs="Tahoma"/>
          <w:bCs/>
          <w:color w:val="auto"/>
        </w:rPr>
        <w:t xml:space="preserve"> </w:t>
      </w:r>
      <w:r w:rsidR="006C5527" w:rsidRPr="00AE0E0B">
        <w:rPr>
          <w:rFonts w:eastAsia="Calibri" w:cs="Tahoma"/>
          <w:bCs/>
          <w:iCs/>
          <w:color w:val="auto"/>
          <w:lang w:val="es-ES"/>
        </w:rPr>
        <w:t>no emitió contestación alguna en tiempo y si bien durante la sustanciación emitió contestación, esta resultó improcedente</w:t>
      </w:r>
      <w:r w:rsidR="00271AB1" w:rsidRPr="00AE0E0B">
        <w:rPr>
          <w:rFonts w:eastAsia="Calibri" w:cs="Tahoma"/>
          <w:bCs/>
          <w:color w:val="auto"/>
        </w:rPr>
        <w:t xml:space="preserve">, </w:t>
      </w:r>
      <w:r w:rsidR="00271AB1" w:rsidRPr="00AE0E0B">
        <w:rPr>
          <w:rFonts w:eastAsia="Calibri" w:cs="Tahoma"/>
          <w:bCs/>
          <w:iCs/>
          <w:color w:val="auto"/>
          <w:lang w:val="es-ES"/>
        </w:rPr>
        <w:t>por lo que, en el presente caso, deberá proporcionarle la información solicitada.</w:t>
      </w:r>
      <w:r w:rsidR="00271AB1" w:rsidRPr="00AE0E0B">
        <w:rPr>
          <w:rFonts w:eastAsia="Calibri" w:cs="Tahoma"/>
          <w:bCs/>
          <w:color w:val="auto"/>
        </w:rPr>
        <w:t xml:space="preserve"> </w:t>
      </w:r>
    </w:p>
    <w:p w14:paraId="518D9349" w14:textId="77777777" w:rsidR="00BB68C2" w:rsidRDefault="00BB68C2" w:rsidP="0078724B">
      <w:pPr>
        <w:autoSpaceDE w:val="0"/>
        <w:autoSpaceDN w:val="0"/>
        <w:adjustRightInd w:val="0"/>
        <w:spacing w:after="0" w:line="360" w:lineRule="auto"/>
        <w:rPr>
          <w:rFonts w:eastAsia="Calibri" w:cs="Tahoma"/>
          <w:bCs/>
          <w:iCs/>
          <w:color w:val="FF0000"/>
        </w:rPr>
      </w:pPr>
    </w:p>
    <w:p w14:paraId="178CDBF6" w14:textId="77777777" w:rsidR="00302567" w:rsidRPr="00302567" w:rsidRDefault="00302567" w:rsidP="00302567">
      <w:pPr>
        <w:spacing w:after="0" w:line="360" w:lineRule="auto"/>
        <w:rPr>
          <w:rFonts w:eastAsia="Times New Roman" w:cs="Tahoma"/>
          <w:bCs/>
          <w:iCs/>
          <w:color w:val="auto"/>
          <w:lang w:eastAsia="es-ES"/>
        </w:rPr>
      </w:pPr>
      <w:r w:rsidRPr="00302567">
        <w:rPr>
          <w:rFonts w:eastAsia="Times New Roman" w:cs="Tahoma"/>
          <w:bCs/>
          <w:iCs/>
          <w:color w:val="auto"/>
          <w:lang w:eastAsia="es-ES"/>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5F9C25CC" w14:textId="77777777" w:rsidR="00302567" w:rsidRPr="00361B01" w:rsidRDefault="00302567" w:rsidP="0078724B">
      <w:pPr>
        <w:autoSpaceDE w:val="0"/>
        <w:autoSpaceDN w:val="0"/>
        <w:adjustRightInd w:val="0"/>
        <w:spacing w:after="0" w:line="360" w:lineRule="auto"/>
        <w:rPr>
          <w:rFonts w:eastAsia="Calibri" w:cs="Tahoma"/>
          <w:bCs/>
          <w:iCs/>
          <w:color w:val="FF0000"/>
        </w:rPr>
      </w:pPr>
    </w:p>
    <w:p w14:paraId="75442C6F" w14:textId="77777777" w:rsidR="00BB68C2" w:rsidRPr="00AE0E0B" w:rsidRDefault="00BB68C2" w:rsidP="0078724B">
      <w:pPr>
        <w:autoSpaceDE w:val="0"/>
        <w:autoSpaceDN w:val="0"/>
        <w:adjustRightInd w:val="0"/>
        <w:spacing w:after="0" w:line="360" w:lineRule="auto"/>
        <w:rPr>
          <w:rFonts w:eastAsia="Calibri" w:cs="Tahoma"/>
          <w:bCs/>
          <w:iCs/>
          <w:color w:val="auto"/>
          <w:lang w:val="es-ES_tradnl"/>
        </w:rPr>
      </w:pPr>
      <w:r w:rsidRPr="00AE0E0B">
        <w:rPr>
          <w:rFonts w:eastAsia="Calibri" w:cs="Tahoma"/>
          <w:bCs/>
          <w:iCs/>
          <w:color w:val="auto"/>
          <w:lang w:val="es-ES_tradnl"/>
        </w:rPr>
        <w:t>Finalmente, se le informa que la labor del Instituto de Transparencia, Acceso a la Información Pública y Protección de Datos Personales del Estado de México y Municipios, es apoyar a la población a acceder a la información pública y garantizar la protección de los datos personales.</w:t>
      </w:r>
    </w:p>
    <w:p w14:paraId="15DE81B2" w14:textId="77777777" w:rsidR="008256BD" w:rsidRPr="00AE0E0B" w:rsidRDefault="008256BD" w:rsidP="0078724B">
      <w:pPr>
        <w:spacing w:after="0" w:line="360" w:lineRule="auto"/>
        <w:rPr>
          <w:rFonts w:eastAsia="Times New Roman" w:cs="Tahoma"/>
          <w:bCs/>
          <w:color w:val="auto"/>
          <w:lang w:eastAsia="es-ES"/>
        </w:rPr>
      </w:pPr>
    </w:p>
    <w:p w14:paraId="1770A8E5" w14:textId="11A8A6E3" w:rsidR="00BA51D5" w:rsidRPr="00AE0E0B" w:rsidRDefault="00051642" w:rsidP="0078724B">
      <w:pPr>
        <w:spacing w:after="0" w:line="360" w:lineRule="auto"/>
        <w:rPr>
          <w:rFonts w:eastAsia="Times New Roman" w:cs="Tahoma"/>
          <w:bCs/>
          <w:color w:val="auto"/>
          <w:lang w:eastAsia="es-ES"/>
        </w:rPr>
      </w:pPr>
      <w:r w:rsidRPr="00AE0E0B">
        <w:rPr>
          <w:rFonts w:eastAsia="Times New Roman" w:cs="Tahoma"/>
          <w:bCs/>
          <w:color w:val="auto"/>
          <w:lang w:eastAsia="es-ES"/>
        </w:rPr>
        <w:t>Por lo expuesto y fundado, este Pleno:</w:t>
      </w:r>
    </w:p>
    <w:p w14:paraId="73B597D5" w14:textId="77777777" w:rsidR="00FA5472" w:rsidRPr="00361B01" w:rsidRDefault="00FA5472" w:rsidP="0078724B">
      <w:pPr>
        <w:spacing w:after="0" w:line="360" w:lineRule="auto"/>
        <w:jc w:val="center"/>
        <w:rPr>
          <w:rFonts w:eastAsia="Times New Roman" w:cs="Tahoma"/>
          <w:b/>
          <w:bCs/>
          <w:color w:val="FF0000"/>
          <w:lang w:eastAsia="es-ES"/>
        </w:rPr>
      </w:pPr>
    </w:p>
    <w:p w14:paraId="77BDAE25" w14:textId="4D3FB4F8" w:rsidR="00051642" w:rsidRPr="00F80332" w:rsidRDefault="00051642" w:rsidP="0078724B">
      <w:pPr>
        <w:pStyle w:val="Ttulo1"/>
        <w:spacing w:before="0" w:line="360" w:lineRule="auto"/>
        <w:jc w:val="center"/>
        <w:rPr>
          <w:rFonts w:ascii="Palatino Linotype" w:eastAsia="Times New Roman" w:hAnsi="Palatino Linotype"/>
          <w:b/>
          <w:bCs/>
          <w:color w:val="auto"/>
          <w:sz w:val="22"/>
          <w:szCs w:val="22"/>
          <w:lang w:eastAsia="es-ES"/>
        </w:rPr>
      </w:pPr>
      <w:bookmarkStart w:id="21" w:name="_Toc192778074"/>
      <w:r w:rsidRPr="00F80332">
        <w:rPr>
          <w:rFonts w:ascii="Palatino Linotype" w:eastAsia="Times New Roman" w:hAnsi="Palatino Linotype"/>
          <w:b/>
          <w:bCs/>
          <w:color w:val="auto"/>
          <w:sz w:val="22"/>
          <w:szCs w:val="22"/>
          <w:lang w:eastAsia="es-ES"/>
        </w:rPr>
        <w:t>R E S U</w:t>
      </w:r>
      <w:r w:rsidR="00BD5C86" w:rsidRPr="00F80332">
        <w:rPr>
          <w:rFonts w:ascii="Palatino Linotype" w:eastAsia="Times New Roman" w:hAnsi="Palatino Linotype"/>
          <w:b/>
          <w:bCs/>
          <w:color w:val="auto"/>
          <w:sz w:val="22"/>
          <w:szCs w:val="22"/>
          <w:lang w:eastAsia="es-ES"/>
        </w:rPr>
        <w:t xml:space="preserve"> </w:t>
      </w:r>
      <w:r w:rsidRPr="00F80332">
        <w:rPr>
          <w:rFonts w:ascii="Palatino Linotype" w:eastAsia="Times New Roman" w:hAnsi="Palatino Linotype"/>
          <w:b/>
          <w:bCs/>
          <w:color w:val="auto"/>
          <w:sz w:val="22"/>
          <w:szCs w:val="22"/>
          <w:lang w:eastAsia="es-ES"/>
        </w:rPr>
        <w:t>E L V E</w:t>
      </w:r>
      <w:bookmarkEnd w:id="21"/>
    </w:p>
    <w:p w14:paraId="1AAE5D25" w14:textId="77777777" w:rsidR="000518BD" w:rsidRPr="00361B01" w:rsidRDefault="000518BD" w:rsidP="0078724B">
      <w:pPr>
        <w:spacing w:after="0" w:line="360" w:lineRule="auto"/>
        <w:ind w:right="113"/>
        <w:rPr>
          <w:rFonts w:eastAsia="Times New Roman" w:cs="Arial"/>
          <w:b/>
          <w:color w:val="FF0000"/>
          <w:lang w:eastAsia="es-ES"/>
        </w:rPr>
      </w:pPr>
    </w:p>
    <w:p w14:paraId="0D24B3F1" w14:textId="18211126" w:rsidR="00051642" w:rsidRPr="00AE0E0B" w:rsidRDefault="00051642" w:rsidP="0078724B">
      <w:pPr>
        <w:widowControl w:val="0"/>
        <w:spacing w:after="0" w:line="360" w:lineRule="auto"/>
        <w:rPr>
          <w:rFonts w:eastAsia="Calibri" w:cs="Tahoma"/>
          <w:bCs/>
          <w:color w:val="auto"/>
        </w:rPr>
      </w:pPr>
      <w:r w:rsidRPr="00AE0E0B">
        <w:rPr>
          <w:rFonts w:eastAsia="Times New Roman" w:cs="Tahoma"/>
          <w:b/>
          <w:bCs/>
          <w:color w:val="auto"/>
          <w:lang w:eastAsia="es-ES"/>
        </w:rPr>
        <w:lastRenderedPageBreak/>
        <w:t xml:space="preserve">PRIMERO. </w:t>
      </w:r>
      <w:r w:rsidRPr="00AE0E0B">
        <w:rPr>
          <w:rFonts w:eastAsia="Calibri" w:cs="Tahoma"/>
          <w:bCs/>
          <w:color w:val="auto"/>
        </w:rPr>
        <w:t xml:space="preserve">Resultan </w:t>
      </w:r>
      <w:r w:rsidRPr="00AE0E0B">
        <w:rPr>
          <w:rFonts w:eastAsia="Calibri" w:cs="Tahoma"/>
          <w:b/>
          <w:bCs/>
          <w:color w:val="auto"/>
        </w:rPr>
        <w:t>FUNDADAS</w:t>
      </w:r>
      <w:r w:rsidRPr="00AE0E0B">
        <w:rPr>
          <w:rFonts w:eastAsia="Calibri" w:cs="Tahoma"/>
          <w:bCs/>
          <w:color w:val="auto"/>
        </w:rPr>
        <w:t xml:space="preserve"> las razones o motivos de inconformidad hechos valer por el Particular en </w:t>
      </w:r>
      <w:r w:rsidR="00E65F72" w:rsidRPr="00AE0E0B">
        <w:rPr>
          <w:rFonts w:eastAsia="Calibri" w:cs="Tahoma"/>
          <w:bCs/>
          <w:color w:val="auto"/>
        </w:rPr>
        <w:t>el</w:t>
      </w:r>
      <w:r w:rsidRPr="00AE0E0B">
        <w:rPr>
          <w:rFonts w:eastAsia="Calibri" w:cs="Tahoma"/>
          <w:bCs/>
          <w:color w:val="auto"/>
        </w:rPr>
        <w:t xml:space="preserve"> Recurso de Revisión </w:t>
      </w:r>
      <w:r w:rsidR="00AE0E0B" w:rsidRPr="00AE0E0B">
        <w:rPr>
          <w:rFonts w:eastAsia="Calibri" w:cs="Tahoma"/>
          <w:color w:val="auto"/>
        </w:rPr>
        <w:t>01171/INFOEM/IP/RR/2025</w:t>
      </w:r>
      <w:r w:rsidRPr="00AE0E0B">
        <w:rPr>
          <w:rFonts w:eastAsia="Times New Roman" w:cs="Tahoma"/>
          <w:bCs/>
          <w:color w:val="auto"/>
          <w:lang w:eastAsia="es-ES"/>
        </w:rPr>
        <w:t>,</w:t>
      </w:r>
      <w:r w:rsidRPr="00AE0E0B">
        <w:rPr>
          <w:rFonts w:eastAsia="Times New Roman" w:cs="Tahoma"/>
          <w:b/>
          <w:color w:val="auto"/>
          <w:lang w:eastAsia="es-ES"/>
        </w:rPr>
        <w:t xml:space="preserve"> </w:t>
      </w:r>
      <w:r w:rsidRPr="00AE0E0B">
        <w:rPr>
          <w:rFonts w:eastAsia="Calibri" w:cs="Tahoma"/>
          <w:bCs/>
          <w:color w:val="auto"/>
        </w:rPr>
        <w:t>en términos de</w:t>
      </w:r>
      <w:r w:rsidR="00C02BBD" w:rsidRPr="00AE0E0B">
        <w:rPr>
          <w:rFonts w:eastAsia="Calibri" w:cs="Tahoma"/>
          <w:bCs/>
          <w:color w:val="auto"/>
        </w:rPr>
        <w:t xml:space="preserve"> </w:t>
      </w:r>
      <w:r w:rsidRPr="00AE0E0B">
        <w:rPr>
          <w:rFonts w:eastAsia="Calibri" w:cs="Tahoma"/>
          <w:bCs/>
          <w:color w:val="auto"/>
        </w:rPr>
        <w:t>l</w:t>
      </w:r>
      <w:r w:rsidR="00C02BBD" w:rsidRPr="00AE0E0B">
        <w:rPr>
          <w:rFonts w:eastAsia="Calibri" w:cs="Tahoma"/>
          <w:bCs/>
          <w:color w:val="auto"/>
        </w:rPr>
        <w:t>os</w:t>
      </w:r>
      <w:r w:rsidRPr="00AE0E0B">
        <w:rPr>
          <w:rFonts w:eastAsia="Calibri" w:cs="Tahoma"/>
          <w:bCs/>
          <w:color w:val="auto"/>
        </w:rPr>
        <w:t xml:space="preserve"> considerando</w:t>
      </w:r>
      <w:r w:rsidR="00C02BBD" w:rsidRPr="00AE0E0B">
        <w:rPr>
          <w:rFonts w:eastAsia="Calibri" w:cs="Tahoma"/>
          <w:bCs/>
          <w:color w:val="auto"/>
        </w:rPr>
        <w:t>s</w:t>
      </w:r>
      <w:r w:rsidRPr="00AE0E0B">
        <w:rPr>
          <w:rFonts w:eastAsia="Calibri" w:cs="Tahoma"/>
          <w:bCs/>
          <w:color w:val="auto"/>
        </w:rPr>
        <w:t xml:space="preserve"> QUINTO </w:t>
      </w:r>
      <w:r w:rsidRPr="00AE0E0B">
        <w:rPr>
          <w:rFonts w:eastAsia="Calibri" w:cs="Tahoma"/>
          <w:color w:val="auto"/>
        </w:rPr>
        <w:t>y</w:t>
      </w:r>
      <w:r w:rsidRPr="00AE0E0B">
        <w:rPr>
          <w:rFonts w:eastAsia="Calibri" w:cs="Tahoma"/>
          <w:bCs/>
          <w:color w:val="auto"/>
        </w:rPr>
        <w:t xml:space="preserve"> SEXTO</w:t>
      </w:r>
      <w:r w:rsidRPr="00AE0E0B">
        <w:rPr>
          <w:rFonts w:eastAsia="Calibri" w:cs="Tahoma"/>
          <w:b/>
          <w:bCs/>
          <w:color w:val="auto"/>
        </w:rPr>
        <w:t xml:space="preserve"> </w:t>
      </w:r>
      <w:r w:rsidRPr="00AE0E0B">
        <w:rPr>
          <w:rFonts w:eastAsia="Calibri" w:cs="Tahoma"/>
          <w:bCs/>
          <w:color w:val="auto"/>
        </w:rPr>
        <w:t>de la presente Resolución.</w:t>
      </w:r>
    </w:p>
    <w:p w14:paraId="5417D70D" w14:textId="77777777" w:rsidR="00051642" w:rsidRPr="00361B01" w:rsidRDefault="00051642" w:rsidP="0078724B">
      <w:pPr>
        <w:spacing w:after="0" w:line="360" w:lineRule="auto"/>
        <w:rPr>
          <w:rFonts w:eastAsia="Times New Roman" w:cs="Tahoma"/>
          <w:b/>
          <w:bCs/>
          <w:color w:val="FF0000"/>
          <w:lang w:eastAsia="es-ES"/>
        </w:rPr>
      </w:pPr>
    </w:p>
    <w:p w14:paraId="198775F6" w14:textId="1D94F839" w:rsidR="00BB68C2" w:rsidRPr="00AE0E0B" w:rsidRDefault="00051642" w:rsidP="0078724B">
      <w:pPr>
        <w:tabs>
          <w:tab w:val="left" w:pos="8931"/>
        </w:tabs>
        <w:spacing w:after="0" w:line="360" w:lineRule="auto"/>
        <w:rPr>
          <w:rFonts w:eastAsia="Calibri" w:cs="Tahoma"/>
          <w:color w:val="auto"/>
          <w:szCs w:val="24"/>
          <w:lang w:val="x-none" w:eastAsia="es-MX"/>
        </w:rPr>
      </w:pPr>
      <w:r w:rsidRPr="00AE0E0B">
        <w:rPr>
          <w:rFonts w:eastAsia="Calibri" w:cs="Tahoma"/>
          <w:b/>
          <w:bCs/>
          <w:color w:val="auto"/>
        </w:rPr>
        <w:t>SEGUNDO.</w:t>
      </w:r>
      <w:r w:rsidRPr="00AE0E0B">
        <w:rPr>
          <w:rFonts w:eastAsia="Calibri" w:cs="Tahoma"/>
          <w:color w:val="auto"/>
          <w:lang w:eastAsia="es-MX"/>
        </w:rPr>
        <w:t xml:space="preserve"> </w:t>
      </w:r>
      <w:r w:rsidR="00E65F72" w:rsidRPr="00AE0E0B">
        <w:rPr>
          <w:rFonts w:eastAsia="Calibri" w:cs="Tahoma"/>
          <w:color w:val="auto"/>
          <w:lang w:eastAsia="es-MX"/>
        </w:rPr>
        <w:t xml:space="preserve">Se </w:t>
      </w:r>
      <w:r w:rsidR="00E65F72" w:rsidRPr="00AE0E0B">
        <w:rPr>
          <w:rFonts w:eastAsia="Calibri" w:cs="Tahoma"/>
          <w:b/>
          <w:color w:val="auto"/>
          <w:lang w:eastAsia="es-MX"/>
        </w:rPr>
        <w:t xml:space="preserve">ORDENA </w:t>
      </w:r>
      <w:r w:rsidR="00E65F72" w:rsidRPr="00AE0E0B">
        <w:rPr>
          <w:rFonts w:eastAsia="Calibri" w:cs="Tahoma"/>
          <w:color w:val="auto"/>
          <w:lang w:eastAsia="es-MX"/>
        </w:rPr>
        <w:t xml:space="preserve">al Sujeto Obligado, </w:t>
      </w:r>
      <w:r w:rsidR="00E65F72" w:rsidRPr="00AE0E0B">
        <w:rPr>
          <w:rFonts w:eastAsia="Calibri" w:cs="Tahoma"/>
          <w:bCs/>
          <w:color w:val="auto"/>
        </w:rPr>
        <w:t>a efecto de que</w:t>
      </w:r>
      <w:r w:rsidR="00E65F72" w:rsidRPr="00AE0E0B">
        <w:rPr>
          <w:rFonts w:eastAsia="Times New Roman" w:cs="Tahoma"/>
          <w:color w:val="auto"/>
          <w:szCs w:val="20"/>
          <w:lang w:eastAsia="es-ES"/>
        </w:rPr>
        <w:t xml:space="preserve"> entregue, a través del </w:t>
      </w:r>
      <w:r w:rsidR="00E65F72" w:rsidRPr="00AE0E0B">
        <w:rPr>
          <w:rFonts w:eastAsia="Times New Roman" w:cs="Tahoma"/>
          <w:color w:val="auto"/>
          <w:szCs w:val="20"/>
          <w:lang w:val="es-ES" w:eastAsia="es-ES"/>
        </w:rPr>
        <w:t>Sistema de Acceso a la Información Mexiquense (SAIMEX),</w:t>
      </w:r>
      <w:r w:rsidR="00B63814" w:rsidRPr="00AE0E0B">
        <w:rPr>
          <w:rFonts w:eastAsia="Times New Roman" w:cs="Tahoma"/>
          <w:color w:val="auto"/>
          <w:szCs w:val="20"/>
          <w:lang w:val="es-ES" w:eastAsia="es-ES"/>
        </w:rPr>
        <w:t xml:space="preserve"> </w:t>
      </w:r>
      <w:r w:rsidR="00B46AB7" w:rsidRPr="00302567">
        <w:rPr>
          <w:color w:val="auto"/>
        </w:rPr>
        <w:t>en versión pública</w:t>
      </w:r>
      <w:r w:rsidR="00302567">
        <w:rPr>
          <w:color w:val="auto"/>
        </w:rPr>
        <w:t>, en términos del Considerando QUINTO</w:t>
      </w:r>
      <w:r w:rsidR="00F30C62" w:rsidRPr="00302567">
        <w:rPr>
          <w:color w:val="auto"/>
        </w:rPr>
        <w:t xml:space="preserve">, </w:t>
      </w:r>
      <w:r w:rsidR="00BB68C2" w:rsidRPr="00302567">
        <w:rPr>
          <w:rFonts w:eastAsia="Calibri" w:cs="Tahoma"/>
          <w:color w:val="auto"/>
          <w:szCs w:val="24"/>
          <w:lang w:val="x-none" w:eastAsia="es-MX"/>
        </w:rPr>
        <w:t>lo</w:t>
      </w:r>
      <w:r w:rsidR="00BB68C2" w:rsidRPr="00AE0E0B">
        <w:rPr>
          <w:rFonts w:eastAsia="Calibri" w:cs="Tahoma"/>
          <w:color w:val="auto"/>
          <w:szCs w:val="24"/>
          <w:lang w:val="x-none" w:eastAsia="es-MX"/>
        </w:rPr>
        <w:t xml:space="preserve"> siguiente:</w:t>
      </w:r>
    </w:p>
    <w:p w14:paraId="7CC52758" w14:textId="77777777" w:rsidR="00BB68C2" w:rsidRPr="00AE0E0B" w:rsidRDefault="00BB68C2" w:rsidP="0078724B">
      <w:pPr>
        <w:tabs>
          <w:tab w:val="left" w:pos="8931"/>
        </w:tabs>
        <w:spacing w:after="0" w:line="360" w:lineRule="auto"/>
        <w:rPr>
          <w:rFonts w:eastAsia="Calibri" w:cs="Tahoma"/>
          <w:color w:val="auto"/>
          <w:szCs w:val="24"/>
          <w:lang w:val="x-none" w:eastAsia="es-MX"/>
        </w:rPr>
      </w:pPr>
    </w:p>
    <w:p w14:paraId="2322FC76" w14:textId="0FDB6CD4" w:rsidR="009D4B0D" w:rsidRPr="00AE0E0B" w:rsidRDefault="00AE0E0B" w:rsidP="0078724B">
      <w:pPr>
        <w:pStyle w:val="Prrafodelista"/>
        <w:widowControl w:val="0"/>
        <w:numPr>
          <w:ilvl w:val="0"/>
          <w:numId w:val="8"/>
        </w:numPr>
        <w:autoSpaceDE w:val="0"/>
        <w:autoSpaceDN w:val="0"/>
        <w:adjustRightInd w:val="0"/>
        <w:spacing w:after="0" w:line="360" w:lineRule="auto"/>
        <w:rPr>
          <w:rFonts w:eastAsia="Calibri" w:cs="Tahoma"/>
          <w:color w:val="auto"/>
          <w:szCs w:val="24"/>
          <w:lang w:val="es-ES" w:eastAsia="es-MX"/>
        </w:rPr>
      </w:pPr>
      <w:r w:rsidRPr="00AE0E0B">
        <w:rPr>
          <w:rFonts w:eastAsia="Calibri" w:cs="Tahoma"/>
          <w:color w:val="auto"/>
          <w:szCs w:val="24"/>
          <w:lang w:val="es-ES" w:eastAsia="es-MX"/>
        </w:rPr>
        <w:t xml:space="preserve">Los recibos de nómina remitidos </w:t>
      </w:r>
      <w:r w:rsidR="00302567">
        <w:rPr>
          <w:rFonts w:eastAsia="Calibri" w:cs="Tahoma"/>
          <w:color w:val="auto"/>
          <w:szCs w:val="24"/>
          <w:lang w:val="es-ES" w:eastAsia="es-MX"/>
        </w:rPr>
        <w:t>en</w:t>
      </w:r>
      <w:r w:rsidRPr="00AE0E0B">
        <w:rPr>
          <w:rFonts w:eastAsia="Calibri" w:cs="Tahoma"/>
          <w:color w:val="auto"/>
          <w:szCs w:val="24"/>
          <w:lang w:val="es-ES" w:eastAsia="es-MX"/>
        </w:rPr>
        <w:t xml:space="preserve"> </w:t>
      </w:r>
      <w:r w:rsidR="00302567">
        <w:rPr>
          <w:rFonts w:eastAsia="Calibri" w:cs="Tahoma"/>
          <w:color w:val="auto"/>
          <w:szCs w:val="24"/>
          <w:lang w:val="es-ES" w:eastAsia="es-MX"/>
        </w:rPr>
        <w:t>I</w:t>
      </w:r>
      <w:r w:rsidRPr="00AE0E0B">
        <w:rPr>
          <w:rFonts w:eastAsia="Calibri" w:cs="Tahoma"/>
          <w:color w:val="auto"/>
          <w:szCs w:val="24"/>
          <w:lang w:val="es-ES" w:eastAsia="es-MX"/>
        </w:rPr>
        <w:t xml:space="preserve">nforme </w:t>
      </w:r>
      <w:r w:rsidR="00302567">
        <w:rPr>
          <w:rFonts w:eastAsia="Calibri" w:cs="Tahoma"/>
          <w:color w:val="auto"/>
          <w:szCs w:val="24"/>
          <w:lang w:val="es-ES" w:eastAsia="es-MX"/>
        </w:rPr>
        <w:t>J</w:t>
      </w:r>
      <w:r w:rsidRPr="00AE0E0B">
        <w:rPr>
          <w:rFonts w:eastAsia="Calibri" w:cs="Tahoma"/>
          <w:color w:val="auto"/>
          <w:szCs w:val="24"/>
          <w:lang w:val="es-ES" w:eastAsia="es-MX"/>
        </w:rPr>
        <w:t>ustificado.</w:t>
      </w:r>
    </w:p>
    <w:p w14:paraId="1D52C672" w14:textId="77777777" w:rsidR="00AE0E0B" w:rsidRPr="00AE0E0B" w:rsidRDefault="00AE0E0B" w:rsidP="0078724B">
      <w:pPr>
        <w:pStyle w:val="Prrafodelista"/>
        <w:widowControl w:val="0"/>
        <w:autoSpaceDE w:val="0"/>
        <w:autoSpaceDN w:val="0"/>
        <w:adjustRightInd w:val="0"/>
        <w:spacing w:after="0" w:line="360" w:lineRule="auto"/>
        <w:rPr>
          <w:rFonts w:eastAsia="Calibri" w:cs="Tahoma"/>
          <w:color w:val="auto"/>
          <w:szCs w:val="24"/>
          <w:lang w:val="es-ES" w:eastAsia="es-MX"/>
        </w:rPr>
      </w:pPr>
    </w:p>
    <w:p w14:paraId="6214CF7D" w14:textId="501E694B" w:rsidR="00D245A7" w:rsidRPr="00AE0E0B" w:rsidRDefault="00D245A7" w:rsidP="0078724B">
      <w:pPr>
        <w:spacing w:after="0" w:line="360" w:lineRule="auto"/>
        <w:rPr>
          <w:rFonts w:cs="Tahoma"/>
          <w:bCs/>
          <w:iCs/>
          <w:color w:val="auto"/>
          <w:lang w:eastAsia="es-ES"/>
        </w:rPr>
      </w:pPr>
      <w:r w:rsidRPr="00AE0E0B">
        <w:rPr>
          <w:rFonts w:cs="Tahoma"/>
          <w:bCs/>
          <w:iCs/>
          <w:color w:val="auto"/>
          <w:lang w:eastAsia="es-ES"/>
        </w:rPr>
        <w:t xml:space="preserve">Además, deberá proporcionar el Acuerdo de Clasificación donde el Comité de Transparencia, confirme la eliminación de los datos </w:t>
      </w:r>
      <w:r w:rsidR="00302567">
        <w:rPr>
          <w:rFonts w:cs="Tahoma"/>
          <w:bCs/>
          <w:iCs/>
          <w:color w:val="auto"/>
          <w:lang w:eastAsia="es-ES"/>
        </w:rPr>
        <w:t>conforme a lo establecido en el Considerando QUINTO</w:t>
      </w:r>
      <w:r w:rsidRPr="00AE0E0B">
        <w:rPr>
          <w:rFonts w:cs="Tahoma"/>
          <w:bCs/>
          <w:iCs/>
          <w:color w:val="auto"/>
          <w:lang w:eastAsia="es-ES"/>
        </w:rPr>
        <w:t>, en la versión pública, de conformidad con los artículos 49, fracciones II y VIII y 132, fracción II de la Ley de Transparencia y Acceso a la Información Pública del Estado de México y Municipios.</w:t>
      </w:r>
    </w:p>
    <w:p w14:paraId="0D655CB4" w14:textId="05B6E490" w:rsidR="00A23115" w:rsidRPr="00361B01" w:rsidRDefault="00A23115" w:rsidP="0078724B">
      <w:pPr>
        <w:spacing w:after="0" w:line="360" w:lineRule="auto"/>
        <w:ind w:right="-93"/>
        <w:rPr>
          <w:rFonts w:eastAsia="Calibri" w:cs="Tahoma"/>
          <w:b/>
          <w:bCs/>
          <w:iCs/>
          <w:color w:val="FF0000"/>
          <w:lang w:val="es-ES" w:eastAsia="es-ES"/>
        </w:rPr>
      </w:pPr>
    </w:p>
    <w:p w14:paraId="524ED91A" w14:textId="3C92525E" w:rsidR="00051642" w:rsidRPr="00AE0E0B" w:rsidRDefault="00051642" w:rsidP="0078724B">
      <w:pPr>
        <w:spacing w:after="0" w:line="360" w:lineRule="auto"/>
        <w:rPr>
          <w:rFonts w:eastAsia="Calibri" w:cs="Tahoma"/>
          <w:bCs/>
          <w:iCs/>
          <w:color w:val="auto"/>
          <w:lang w:val="es-ES_tradnl" w:eastAsia="es-ES"/>
        </w:rPr>
      </w:pPr>
      <w:r w:rsidRPr="00AE0E0B">
        <w:rPr>
          <w:rFonts w:eastAsia="Calibri" w:cs="Tahoma"/>
          <w:b/>
          <w:bCs/>
          <w:iCs/>
          <w:color w:val="auto"/>
          <w:lang w:val="es-ES" w:eastAsia="es-ES"/>
        </w:rPr>
        <w:t>TERCERO</w:t>
      </w:r>
      <w:r w:rsidRPr="00AE0E0B">
        <w:rPr>
          <w:rFonts w:eastAsia="Calibri" w:cs="Tahoma"/>
          <w:b/>
          <w:bCs/>
          <w:color w:val="auto"/>
        </w:rPr>
        <w:t xml:space="preserve">. </w:t>
      </w:r>
      <w:r w:rsidRPr="00AE0E0B">
        <w:rPr>
          <w:rFonts w:eastAsia="Calibri" w:cs="Tahoma"/>
          <w:bCs/>
          <w:iCs/>
          <w:color w:val="auto"/>
          <w:lang w:val="es-ES_tradnl" w:eastAsia="es-ES"/>
        </w:rPr>
        <w:t xml:space="preserve">Con fundamento en el artículo 179, párrafo segundo, de la Ley de Transparencia y Acceso a la Información Pública del Estado de México y Municipios, se hace del conocimiento del Recurrente que tiene derecho a interponer nuevamente Recurso de Revisión ante este Instituto, por la respuesta que dé el Sujeto Obligado, en cumplimiento a esta Resolución.  </w:t>
      </w:r>
    </w:p>
    <w:p w14:paraId="546EA71B" w14:textId="77777777" w:rsidR="00A23115" w:rsidRPr="00AE0E0B" w:rsidRDefault="00A23115" w:rsidP="0078724B">
      <w:pPr>
        <w:spacing w:after="0" w:line="360" w:lineRule="auto"/>
        <w:rPr>
          <w:rFonts w:eastAsia="Calibri" w:cs="Tahoma"/>
          <w:bCs/>
          <w:iCs/>
          <w:color w:val="auto"/>
          <w:lang w:eastAsia="es-ES"/>
        </w:rPr>
      </w:pPr>
    </w:p>
    <w:p w14:paraId="64C23565" w14:textId="6CBC63C6" w:rsidR="00104C84" w:rsidRPr="00AE0E0B" w:rsidRDefault="00051642" w:rsidP="0078724B">
      <w:pPr>
        <w:spacing w:after="0" w:line="360" w:lineRule="auto"/>
        <w:rPr>
          <w:rFonts w:eastAsia="Times New Roman" w:cs="Tahoma"/>
          <w:b/>
          <w:color w:val="auto"/>
          <w:lang w:eastAsia="es-ES"/>
        </w:rPr>
      </w:pPr>
      <w:r w:rsidRPr="00AE0E0B">
        <w:rPr>
          <w:rFonts w:eastAsia="Calibri" w:cs="Tahoma"/>
          <w:b/>
          <w:color w:val="auto"/>
          <w:lang w:eastAsia="es-MX"/>
        </w:rPr>
        <w:t>CUARTO</w:t>
      </w:r>
      <w:r w:rsidRPr="00AE0E0B">
        <w:rPr>
          <w:rFonts w:eastAsia="Calibri" w:cs="Tahoma"/>
          <w:b/>
          <w:bCs/>
          <w:color w:val="auto"/>
        </w:rPr>
        <w:t xml:space="preserve">. </w:t>
      </w:r>
      <w:r w:rsidR="00495228" w:rsidRPr="00AE0E0B">
        <w:rPr>
          <w:rFonts w:eastAsia="Times New Roman" w:cs="Tahoma"/>
          <w:b/>
          <w:color w:val="auto"/>
          <w:lang w:eastAsia="es-ES"/>
        </w:rPr>
        <w:t>NOTIFÍQUESE</w:t>
      </w:r>
      <w:r w:rsidR="00AE0E0B">
        <w:rPr>
          <w:rFonts w:eastAsia="Times New Roman" w:cs="Tahoma"/>
          <w:b/>
          <w:color w:val="auto"/>
          <w:lang w:eastAsia="es-ES"/>
        </w:rPr>
        <w:t xml:space="preserve"> POR SAIMEX</w:t>
      </w:r>
      <w:r w:rsidR="00495228" w:rsidRPr="00AE0E0B">
        <w:rPr>
          <w:rFonts w:eastAsia="Times New Roman" w:cs="Tahoma"/>
          <w:b/>
          <w:color w:val="auto"/>
          <w:lang w:eastAsia="es-ES"/>
        </w:rPr>
        <w:t xml:space="preserve"> </w:t>
      </w:r>
      <w:r w:rsidR="00495228" w:rsidRPr="00AE0E0B">
        <w:rPr>
          <w:rFonts w:eastAsia="Times New Roman" w:cs="Tahoma"/>
          <w:color w:val="auto"/>
          <w:lang w:eastAsia="es-ES"/>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w:t>
      </w:r>
      <w:r w:rsidR="00495228" w:rsidRPr="00AE0E0B">
        <w:rPr>
          <w:rFonts w:eastAsia="Times New Roman" w:cs="Tahoma"/>
          <w:color w:val="auto"/>
          <w:lang w:eastAsia="es-ES"/>
        </w:rPr>
        <w:lastRenderedPageBreak/>
        <w:t>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4A5FCF1F" w14:textId="77777777" w:rsidR="00B03C0B" w:rsidRPr="00AE0E0B" w:rsidRDefault="00B03C0B" w:rsidP="0078724B">
      <w:pPr>
        <w:spacing w:after="0" w:line="360" w:lineRule="auto"/>
        <w:rPr>
          <w:rFonts w:eastAsia="Times New Roman" w:cs="Tahoma"/>
          <w:color w:val="auto"/>
          <w:lang w:eastAsia="es-ES"/>
        </w:rPr>
      </w:pPr>
    </w:p>
    <w:p w14:paraId="7A4180B6" w14:textId="3B68AE17" w:rsidR="00B03C0B" w:rsidRPr="00AE0E0B" w:rsidRDefault="00495228" w:rsidP="0078724B">
      <w:pPr>
        <w:spacing w:after="0" w:line="360" w:lineRule="auto"/>
        <w:contextualSpacing/>
        <w:rPr>
          <w:rFonts w:cs="Tahoma"/>
          <w:color w:val="auto"/>
        </w:rPr>
      </w:pPr>
      <w:r w:rsidRPr="00AE0E0B">
        <w:rPr>
          <w:b/>
          <w:bCs/>
          <w:color w:val="auto"/>
        </w:rPr>
        <w:t>QUINT</w:t>
      </w:r>
      <w:r w:rsidR="00051642" w:rsidRPr="00AE0E0B">
        <w:rPr>
          <w:b/>
          <w:bCs/>
          <w:color w:val="auto"/>
        </w:rPr>
        <w:t>O.</w:t>
      </w:r>
      <w:r w:rsidR="00051642" w:rsidRPr="00AE0E0B">
        <w:rPr>
          <w:color w:val="auto"/>
        </w:rPr>
        <w:t xml:space="preserve"> </w:t>
      </w:r>
      <w:r w:rsidR="00B03C0B" w:rsidRPr="00AE0E0B">
        <w:rPr>
          <w:rFonts w:cs="Tahoma"/>
          <w:b/>
          <w:color w:val="auto"/>
        </w:rPr>
        <w:t>NOTIFÍQUESE</w:t>
      </w:r>
      <w:r w:rsidR="00AE0E0B">
        <w:rPr>
          <w:rFonts w:cs="Tahoma"/>
          <w:b/>
          <w:color w:val="auto"/>
        </w:rPr>
        <w:t xml:space="preserve"> POR SAIMEX</w:t>
      </w:r>
      <w:r w:rsidR="00B03C0B" w:rsidRPr="00AE0E0B">
        <w:rPr>
          <w:rFonts w:cs="Tahoma"/>
          <w:color w:val="auto"/>
        </w:rPr>
        <w:t xml:space="preserve"> al Recurrente la presente,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706A9610" w14:textId="77777777" w:rsidR="00051642" w:rsidRPr="00361B01" w:rsidRDefault="00051642" w:rsidP="0078724B">
      <w:pPr>
        <w:spacing w:after="0" w:line="360" w:lineRule="auto"/>
        <w:ind w:right="-93"/>
        <w:rPr>
          <w:rFonts w:eastAsia="Times New Roman" w:cs="Times New Roman"/>
          <w:color w:val="FF0000"/>
          <w:shd w:val="clear" w:color="auto" w:fill="FFFFFF"/>
          <w:lang w:eastAsia="es-ES"/>
        </w:rPr>
      </w:pPr>
    </w:p>
    <w:p w14:paraId="440BC55F" w14:textId="1929CD42" w:rsidR="00051642" w:rsidRPr="00AE0E0B" w:rsidRDefault="00495228" w:rsidP="0078724B">
      <w:pPr>
        <w:spacing w:after="0" w:line="360" w:lineRule="auto"/>
        <w:ind w:right="-93"/>
        <w:rPr>
          <w:rFonts w:eastAsia="Calibri" w:cs="Tahoma"/>
          <w:bCs/>
          <w:color w:val="auto"/>
        </w:rPr>
      </w:pPr>
      <w:r w:rsidRPr="00AE0E0B">
        <w:rPr>
          <w:rFonts w:eastAsia="Times New Roman" w:cs="Tahoma"/>
          <w:b/>
          <w:color w:val="auto"/>
          <w:lang w:eastAsia="es-ES"/>
        </w:rPr>
        <w:t>SEXT</w:t>
      </w:r>
      <w:r w:rsidR="00051642" w:rsidRPr="00AE0E0B">
        <w:rPr>
          <w:rFonts w:eastAsia="Times New Roman" w:cs="Tahoma"/>
          <w:b/>
          <w:color w:val="auto"/>
          <w:lang w:eastAsia="es-ES"/>
        </w:rPr>
        <w:t xml:space="preserve">O. </w:t>
      </w:r>
      <w:r w:rsidRPr="00AE0E0B">
        <w:rPr>
          <w:rFonts w:eastAsia="Calibri" w:cs="Tahoma"/>
          <w:bCs/>
          <w:color w:val="auto"/>
        </w:rPr>
        <w:t>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SÉPTIMO de la presente Resolución.</w:t>
      </w:r>
    </w:p>
    <w:p w14:paraId="273C84B4" w14:textId="57BBAC41" w:rsidR="00104C84" w:rsidRPr="00361B01" w:rsidRDefault="00104C84" w:rsidP="0078724B">
      <w:pPr>
        <w:spacing w:after="0" w:line="360" w:lineRule="auto"/>
        <w:ind w:right="-93"/>
        <w:rPr>
          <w:rFonts w:eastAsia="Calibri" w:cs="Tahoma"/>
          <w:bCs/>
          <w:color w:val="FF0000"/>
        </w:rPr>
      </w:pPr>
    </w:p>
    <w:p w14:paraId="1C2CFDF8" w14:textId="1D8DEEDB" w:rsidR="007525BA" w:rsidRPr="003D6CD1" w:rsidRDefault="007F2C33" w:rsidP="0078724B">
      <w:pPr>
        <w:spacing w:after="0" w:line="360" w:lineRule="auto"/>
        <w:rPr>
          <w:rFonts w:eastAsia="Calibri" w:cs="Tahoma"/>
          <w:color w:val="auto"/>
          <w:lang w:val="es-ES" w:eastAsia="es-ES_tradnl"/>
        </w:rPr>
      </w:pPr>
      <w:r w:rsidRPr="003D6CD1">
        <w:rPr>
          <w:rFonts w:eastAsia="Calibri" w:cs="Tahoma"/>
          <w:color w:val="auto"/>
          <w:lang w:val="es-ES" w:eastAsia="es-ES_tradnl"/>
        </w:rPr>
        <w:t xml:space="preserve">ASÍ LO RESUELVE, POR </w:t>
      </w:r>
      <w:r w:rsidRPr="003D6CD1">
        <w:rPr>
          <w:rFonts w:eastAsia="Calibri" w:cs="Tahoma"/>
          <w:b/>
          <w:color w:val="auto"/>
          <w:lang w:val="es-ES" w:eastAsia="es-ES_tradnl"/>
        </w:rPr>
        <w:t>UNANIMIDAD</w:t>
      </w:r>
      <w:r w:rsidRPr="003D6CD1">
        <w:rPr>
          <w:rFonts w:eastAsia="Calibri" w:cs="Tahoma"/>
          <w:color w:val="auto"/>
          <w:lang w:val="es-ES" w:eastAsia="es-ES_tradnl"/>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w:t>
      </w:r>
      <w:r w:rsidR="00AE0E0B" w:rsidRPr="003D6CD1">
        <w:rPr>
          <w:rFonts w:eastAsia="Calibri" w:cs="Tahoma"/>
          <w:color w:val="auto"/>
          <w:lang w:val="es-ES" w:eastAsia="es-ES_tradnl"/>
        </w:rPr>
        <w:t xml:space="preserve"> NOVENA</w:t>
      </w:r>
      <w:r w:rsidR="00495228" w:rsidRPr="003D6CD1">
        <w:rPr>
          <w:rFonts w:eastAsia="Calibri" w:cs="Tahoma"/>
          <w:color w:val="auto"/>
          <w:lang w:val="es-ES" w:eastAsia="es-ES_tradnl"/>
        </w:rPr>
        <w:t xml:space="preserve"> </w:t>
      </w:r>
      <w:r w:rsidRPr="003D6CD1">
        <w:rPr>
          <w:rFonts w:eastAsia="Calibri" w:cs="Tahoma"/>
          <w:color w:val="auto"/>
          <w:lang w:val="es-ES" w:eastAsia="es-ES_tradnl"/>
        </w:rPr>
        <w:t xml:space="preserve">SESIÓN ORDINARIA, CELEBRADA EL </w:t>
      </w:r>
      <w:r w:rsidR="00AE0E0B" w:rsidRPr="003D6CD1">
        <w:rPr>
          <w:rFonts w:eastAsia="Calibri" w:cs="Tahoma"/>
          <w:color w:val="auto"/>
          <w:lang w:val="es-ES" w:eastAsia="es-ES_tradnl"/>
        </w:rPr>
        <w:t xml:space="preserve">DOCE DE MARZO </w:t>
      </w:r>
      <w:r w:rsidRPr="003D6CD1">
        <w:rPr>
          <w:rFonts w:eastAsia="Calibri" w:cs="Tahoma"/>
          <w:color w:val="auto"/>
          <w:lang w:val="es-ES" w:eastAsia="es-ES_tradnl"/>
        </w:rPr>
        <w:t>DE DOS MIL VEINTI</w:t>
      </w:r>
      <w:r w:rsidR="00AE0E0B" w:rsidRPr="003D6CD1">
        <w:rPr>
          <w:rFonts w:eastAsia="Calibri" w:cs="Tahoma"/>
          <w:color w:val="auto"/>
          <w:lang w:val="es-ES" w:eastAsia="es-ES_tradnl"/>
        </w:rPr>
        <w:t>CINCO</w:t>
      </w:r>
      <w:r w:rsidRPr="003D6CD1">
        <w:rPr>
          <w:rFonts w:eastAsia="Calibri" w:cs="Tahoma"/>
          <w:color w:val="auto"/>
          <w:lang w:val="es-ES" w:eastAsia="es-ES_tradnl"/>
        </w:rPr>
        <w:t>, ANTE EL SECRETARIO TÉCNICO DEL PLENO, ALEXIS TAPIA RAMÍREZ</w:t>
      </w:r>
      <w:r w:rsidR="002D47EC" w:rsidRPr="003D6CD1">
        <w:rPr>
          <w:rFonts w:eastAsia="Calibri" w:cs="Tahoma"/>
          <w:color w:val="auto"/>
          <w:lang w:val="es-ES" w:eastAsia="es-ES_tradnl"/>
        </w:rPr>
        <w:t>.</w:t>
      </w:r>
    </w:p>
    <w:p w14:paraId="4FC7AD14" w14:textId="77777777" w:rsidR="00D245A7" w:rsidRPr="00361B01" w:rsidRDefault="00D245A7" w:rsidP="0078724B">
      <w:pPr>
        <w:spacing w:after="0" w:line="360" w:lineRule="auto"/>
        <w:rPr>
          <w:rFonts w:eastAsia="Calibri" w:cs="Tahoma"/>
          <w:color w:val="FF0000"/>
          <w:lang w:val="es-ES" w:eastAsia="es-ES_tradnl"/>
        </w:rPr>
      </w:pPr>
    </w:p>
    <w:p w14:paraId="3A47AC7C" w14:textId="77777777" w:rsidR="00D245A7" w:rsidRPr="00361B01" w:rsidRDefault="00D245A7" w:rsidP="0078724B">
      <w:pPr>
        <w:spacing w:after="0" w:line="360" w:lineRule="auto"/>
        <w:rPr>
          <w:rFonts w:eastAsia="Calibri" w:cs="Tahoma"/>
          <w:color w:val="FF0000"/>
          <w:lang w:val="es-ES" w:eastAsia="es-ES_tradnl"/>
        </w:rPr>
      </w:pPr>
    </w:p>
    <w:p w14:paraId="1C9AB7E7" w14:textId="77777777" w:rsidR="007E5E35" w:rsidRPr="00361B01" w:rsidRDefault="007E5E35" w:rsidP="0078724B">
      <w:pPr>
        <w:spacing w:after="0" w:line="360" w:lineRule="auto"/>
        <w:rPr>
          <w:rFonts w:eastAsia="Calibri" w:cs="Tahoma"/>
          <w:color w:val="FF0000"/>
          <w:lang w:val="es-ES" w:eastAsia="es-ES_tradnl"/>
        </w:rPr>
      </w:pPr>
    </w:p>
    <w:p w14:paraId="394E8BB5" w14:textId="77777777" w:rsidR="007E5E35" w:rsidRPr="00361B01" w:rsidRDefault="007E5E35" w:rsidP="0078724B">
      <w:pPr>
        <w:spacing w:after="0" w:line="360" w:lineRule="auto"/>
        <w:rPr>
          <w:rFonts w:eastAsia="Calibri" w:cs="Tahoma"/>
          <w:color w:val="FF0000"/>
          <w:lang w:val="es-ES" w:eastAsia="es-ES_tradnl"/>
        </w:rPr>
      </w:pPr>
    </w:p>
    <w:p w14:paraId="6AB0F12D" w14:textId="77777777" w:rsidR="00D245A7" w:rsidRDefault="00D245A7" w:rsidP="0078724B">
      <w:pPr>
        <w:spacing w:after="0" w:line="360" w:lineRule="auto"/>
        <w:rPr>
          <w:rFonts w:eastAsia="Calibri" w:cs="Tahoma"/>
          <w:color w:val="FF0000"/>
          <w:lang w:val="es-ES" w:eastAsia="es-ES_tradnl"/>
        </w:rPr>
      </w:pPr>
    </w:p>
    <w:p w14:paraId="38A7FA50" w14:textId="77777777" w:rsidR="00F80332" w:rsidRDefault="00F80332" w:rsidP="0078724B">
      <w:pPr>
        <w:spacing w:after="0" w:line="360" w:lineRule="auto"/>
        <w:rPr>
          <w:rFonts w:eastAsia="Calibri" w:cs="Tahoma"/>
          <w:color w:val="FF0000"/>
          <w:lang w:val="es-ES" w:eastAsia="es-ES_tradnl"/>
        </w:rPr>
      </w:pPr>
    </w:p>
    <w:p w14:paraId="25D39598" w14:textId="77777777" w:rsidR="00F80332" w:rsidRDefault="00F80332" w:rsidP="0078724B">
      <w:pPr>
        <w:spacing w:after="0" w:line="360" w:lineRule="auto"/>
        <w:rPr>
          <w:rFonts w:eastAsia="Calibri" w:cs="Tahoma"/>
          <w:color w:val="FF0000"/>
          <w:lang w:val="es-ES" w:eastAsia="es-ES_tradnl"/>
        </w:rPr>
      </w:pPr>
    </w:p>
    <w:p w14:paraId="53835112" w14:textId="77777777" w:rsidR="00F80332" w:rsidRDefault="00F80332" w:rsidP="0078724B">
      <w:pPr>
        <w:spacing w:after="0" w:line="360" w:lineRule="auto"/>
        <w:rPr>
          <w:rFonts w:eastAsia="Calibri" w:cs="Tahoma"/>
          <w:color w:val="FF0000"/>
          <w:lang w:val="es-ES" w:eastAsia="es-ES_tradnl"/>
        </w:rPr>
      </w:pPr>
    </w:p>
    <w:p w14:paraId="32095491" w14:textId="77777777" w:rsidR="00F80332" w:rsidRDefault="00F80332" w:rsidP="0078724B">
      <w:pPr>
        <w:spacing w:after="0" w:line="360" w:lineRule="auto"/>
        <w:rPr>
          <w:rFonts w:eastAsia="Calibri" w:cs="Tahoma"/>
          <w:color w:val="FF0000"/>
          <w:lang w:val="es-ES" w:eastAsia="es-ES_tradnl"/>
        </w:rPr>
      </w:pPr>
    </w:p>
    <w:p w14:paraId="70305AEF" w14:textId="77777777" w:rsidR="00F80332" w:rsidRDefault="00F80332" w:rsidP="0078724B">
      <w:pPr>
        <w:spacing w:after="0" w:line="360" w:lineRule="auto"/>
        <w:rPr>
          <w:rFonts w:eastAsia="Calibri" w:cs="Tahoma"/>
          <w:color w:val="FF0000"/>
          <w:lang w:val="es-ES" w:eastAsia="es-ES_tradnl"/>
        </w:rPr>
      </w:pPr>
    </w:p>
    <w:p w14:paraId="27A047A8" w14:textId="77777777" w:rsidR="00F80332" w:rsidRDefault="00F80332" w:rsidP="0078724B">
      <w:pPr>
        <w:spacing w:after="0" w:line="360" w:lineRule="auto"/>
        <w:rPr>
          <w:rFonts w:eastAsia="Calibri" w:cs="Tahoma"/>
          <w:color w:val="FF0000"/>
          <w:lang w:val="es-ES" w:eastAsia="es-ES_tradnl"/>
        </w:rPr>
      </w:pPr>
    </w:p>
    <w:p w14:paraId="03D52FD7" w14:textId="77777777" w:rsidR="00F80332" w:rsidRDefault="00F80332" w:rsidP="0078724B">
      <w:pPr>
        <w:spacing w:after="0" w:line="360" w:lineRule="auto"/>
        <w:rPr>
          <w:rFonts w:eastAsia="Calibri" w:cs="Tahoma"/>
          <w:color w:val="FF0000"/>
          <w:lang w:val="es-ES" w:eastAsia="es-ES_tradnl"/>
        </w:rPr>
      </w:pPr>
    </w:p>
    <w:p w14:paraId="1A912124" w14:textId="77777777" w:rsidR="00F80332" w:rsidRDefault="00F80332" w:rsidP="0078724B">
      <w:pPr>
        <w:spacing w:after="0" w:line="360" w:lineRule="auto"/>
        <w:rPr>
          <w:rFonts w:eastAsia="Calibri" w:cs="Tahoma"/>
          <w:color w:val="FF0000"/>
          <w:lang w:val="es-ES" w:eastAsia="es-ES_tradnl"/>
        </w:rPr>
      </w:pPr>
    </w:p>
    <w:p w14:paraId="44ADEB0E" w14:textId="77777777" w:rsidR="00F80332" w:rsidRDefault="00F80332" w:rsidP="0078724B">
      <w:pPr>
        <w:spacing w:after="0" w:line="360" w:lineRule="auto"/>
        <w:rPr>
          <w:rFonts w:eastAsia="Calibri" w:cs="Tahoma"/>
          <w:color w:val="FF0000"/>
          <w:lang w:val="es-ES" w:eastAsia="es-ES_tradnl"/>
        </w:rPr>
      </w:pPr>
    </w:p>
    <w:p w14:paraId="4E51F162" w14:textId="77777777" w:rsidR="00F80332" w:rsidRPr="00361B01" w:rsidRDefault="00F80332" w:rsidP="0078724B">
      <w:pPr>
        <w:spacing w:after="0" w:line="360" w:lineRule="auto"/>
        <w:rPr>
          <w:rFonts w:eastAsia="Calibri" w:cs="Tahoma"/>
          <w:color w:val="FF0000"/>
          <w:lang w:val="es-ES" w:eastAsia="es-ES_tradnl"/>
        </w:rPr>
      </w:pPr>
    </w:p>
    <w:sectPr w:rsidR="00F80332" w:rsidRPr="00361B01" w:rsidSect="0078724B">
      <w:headerReference w:type="even" r:id="rId16"/>
      <w:headerReference w:type="default" r:id="rId17"/>
      <w:footerReference w:type="even" r:id="rId18"/>
      <w:footerReference w:type="default" r:id="rId19"/>
      <w:headerReference w:type="first" r:id="rId20"/>
      <w:footerReference w:type="first" r:id="rId21"/>
      <w:pgSz w:w="12240" w:h="15840"/>
      <w:pgMar w:top="1418" w:right="1608" w:bottom="1560"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2C240" w14:textId="77777777" w:rsidR="00B8319F" w:rsidRDefault="00B8319F" w:rsidP="00051642">
      <w:pPr>
        <w:spacing w:after="0" w:line="240" w:lineRule="auto"/>
      </w:pPr>
      <w:r>
        <w:separator/>
      </w:r>
    </w:p>
  </w:endnote>
  <w:endnote w:type="continuationSeparator" w:id="0">
    <w:p w14:paraId="514D6D4D" w14:textId="77777777" w:rsidR="00B8319F" w:rsidRDefault="00B8319F" w:rsidP="00051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3399054"/>
      <w:docPartObj>
        <w:docPartGallery w:val="Page Numbers (Bottom of Page)"/>
        <w:docPartUnique/>
      </w:docPartObj>
    </w:sdtPr>
    <w:sdtContent>
      <w:sdt>
        <w:sdtPr>
          <w:id w:val="1261569716"/>
          <w:docPartObj>
            <w:docPartGallery w:val="Page Numbers (Top of Page)"/>
            <w:docPartUnique/>
          </w:docPartObj>
        </w:sdtPr>
        <w:sdtContent>
          <w:p w14:paraId="039F893C" w14:textId="77777777" w:rsidR="0022257E" w:rsidRDefault="0022257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942D1">
              <w:rPr>
                <w:b/>
                <w:bCs/>
                <w:noProof/>
              </w:rPr>
              <w:t>38</w:t>
            </w:r>
            <w:r>
              <w:rPr>
                <w:b/>
                <w:bCs/>
                <w:sz w:val="24"/>
                <w:szCs w:val="24"/>
              </w:rPr>
              <w:fldChar w:fldCharType="end"/>
            </w:r>
          </w:p>
        </w:sdtContent>
      </w:sdt>
    </w:sdtContent>
  </w:sdt>
  <w:p w14:paraId="1A6076E0" w14:textId="77777777" w:rsidR="0022257E" w:rsidRDefault="002225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454459"/>
      <w:docPartObj>
        <w:docPartGallery w:val="Page Numbers (Bottom of Page)"/>
        <w:docPartUnique/>
      </w:docPartObj>
    </w:sdtPr>
    <w:sdtContent>
      <w:sdt>
        <w:sdtPr>
          <w:id w:val="1805889955"/>
          <w:docPartObj>
            <w:docPartGallery w:val="Page Numbers (Top of Page)"/>
            <w:docPartUnique/>
          </w:docPartObj>
        </w:sdtPr>
        <w:sdtContent>
          <w:p w14:paraId="515066F6" w14:textId="77777777" w:rsidR="0022257E" w:rsidRDefault="0022257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90FCD">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90FCD">
              <w:rPr>
                <w:b/>
                <w:bCs/>
                <w:noProof/>
              </w:rPr>
              <w:t>42</w:t>
            </w:r>
            <w:r>
              <w:rPr>
                <w:b/>
                <w:bCs/>
                <w:sz w:val="24"/>
                <w:szCs w:val="24"/>
              </w:rPr>
              <w:fldChar w:fldCharType="end"/>
            </w:r>
          </w:p>
        </w:sdtContent>
      </w:sdt>
    </w:sdtContent>
  </w:sdt>
  <w:p w14:paraId="148ABC98" w14:textId="77777777" w:rsidR="0022257E" w:rsidRDefault="0022257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0841749"/>
      <w:docPartObj>
        <w:docPartGallery w:val="Page Numbers (Bottom of Page)"/>
        <w:docPartUnique/>
      </w:docPartObj>
    </w:sdtPr>
    <w:sdtContent>
      <w:sdt>
        <w:sdtPr>
          <w:id w:val="2049646426"/>
          <w:docPartObj>
            <w:docPartGallery w:val="Page Numbers (Top of Page)"/>
            <w:docPartUnique/>
          </w:docPartObj>
        </w:sdtPr>
        <w:sdtContent>
          <w:p w14:paraId="5DC2416C" w14:textId="77777777" w:rsidR="0022257E" w:rsidRDefault="0022257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90FCD">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90FCD">
              <w:rPr>
                <w:b/>
                <w:bCs/>
                <w:noProof/>
              </w:rPr>
              <w:t>42</w:t>
            </w:r>
            <w:r>
              <w:rPr>
                <w:b/>
                <w:bCs/>
                <w:sz w:val="24"/>
                <w:szCs w:val="24"/>
              </w:rPr>
              <w:fldChar w:fldCharType="end"/>
            </w:r>
          </w:p>
        </w:sdtContent>
      </w:sdt>
    </w:sdtContent>
  </w:sdt>
  <w:p w14:paraId="0054A614" w14:textId="77777777" w:rsidR="0022257E" w:rsidRDefault="002225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A9E22" w14:textId="77777777" w:rsidR="00B8319F" w:rsidRDefault="00B8319F" w:rsidP="00051642">
      <w:pPr>
        <w:spacing w:after="0" w:line="240" w:lineRule="auto"/>
      </w:pPr>
      <w:r>
        <w:separator/>
      </w:r>
    </w:p>
  </w:footnote>
  <w:footnote w:type="continuationSeparator" w:id="0">
    <w:p w14:paraId="2AB4B3A3" w14:textId="77777777" w:rsidR="00B8319F" w:rsidRDefault="00B8319F" w:rsidP="00051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22257E" w:rsidRPr="00E152D8" w14:paraId="7B534606" w14:textId="77777777">
      <w:trPr>
        <w:trHeight w:val="132"/>
      </w:trPr>
      <w:tc>
        <w:tcPr>
          <w:tcW w:w="2691" w:type="dxa"/>
        </w:tcPr>
        <w:p w14:paraId="7A9AA251" w14:textId="77777777" w:rsidR="0022257E" w:rsidRPr="00E152D8" w:rsidRDefault="0022257E">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195209EB" w14:textId="77777777" w:rsidR="0022257E" w:rsidRPr="00EE1572" w:rsidRDefault="0022257E">
          <w:pPr>
            <w:tabs>
              <w:tab w:val="right" w:pos="8838"/>
            </w:tabs>
            <w:ind w:left="-28" w:right="-32"/>
            <w:rPr>
              <w:rFonts w:eastAsia="Calibri" w:cs="Tahoma"/>
            </w:rPr>
          </w:pPr>
          <w:r w:rsidRPr="00EE1572">
            <w:rPr>
              <w:rFonts w:eastAsia="Calibri" w:cs="Tahoma"/>
            </w:rPr>
            <w:t>03846/INFOEM/IP/RR/2020</w:t>
          </w:r>
        </w:p>
      </w:tc>
    </w:tr>
    <w:tr w:rsidR="0022257E" w:rsidRPr="00E152D8" w14:paraId="284C2E9A" w14:textId="77777777">
      <w:trPr>
        <w:trHeight w:val="261"/>
      </w:trPr>
      <w:tc>
        <w:tcPr>
          <w:tcW w:w="2691" w:type="dxa"/>
        </w:tcPr>
        <w:p w14:paraId="44B24339" w14:textId="77777777" w:rsidR="0022257E" w:rsidRPr="00E152D8" w:rsidRDefault="0022257E">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05C9C30B" w14:textId="77777777" w:rsidR="0022257E" w:rsidRPr="00EE1572" w:rsidRDefault="0022257E">
          <w:pPr>
            <w:tabs>
              <w:tab w:val="right" w:pos="8838"/>
            </w:tabs>
            <w:ind w:right="-32"/>
            <w:rPr>
              <w:rFonts w:eastAsia="Calibri" w:cs="Tahoma"/>
              <w:lang w:val="es-MX"/>
            </w:rPr>
          </w:pPr>
          <w:r w:rsidRPr="00EE1572">
            <w:rPr>
              <w:rFonts w:eastAsia="Calibri" w:cs="Tahoma"/>
              <w:lang w:val="es-MX"/>
            </w:rPr>
            <w:t>Ayuntamiento de Temascalcingo</w:t>
          </w:r>
        </w:p>
      </w:tc>
    </w:tr>
    <w:tr w:rsidR="0022257E" w:rsidRPr="00E152D8" w14:paraId="72CFE0E4" w14:textId="77777777">
      <w:trPr>
        <w:trHeight w:val="261"/>
      </w:trPr>
      <w:tc>
        <w:tcPr>
          <w:tcW w:w="2691" w:type="dxa"/>
        </w:tcPr>
        <w:p w14:paraId="0DA486DE" w14:textId="77777777" w:rsidR="0022257E" w:rsidRPr="00E152D8" w:rsidRDefault="0022257E">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7BD6999C" w14:textId="77777777" w:rsidR="0022257E" w:rsidRPr="00E152D8" w:rsidRDefault="0022257E">
          <w:pPr>
            <w:tabs>
              <w:tab w:val="right" w:pos="8838"/>
            </w:tabs>
            <w:ind w:right="-32"/>
            <w:rPr>
              <w:rFonts w:eastAsia="Calibri" w:cs="Tahoma"/>
              <w:b/>
              <w:lang w:val="es-MX"/>
            </w:rPr>
          </w:pPr>
          <w:r w:rsidRPr="00E152D8">
            <w:rPr>
              <w:rFonts w:eastAsia="Calibri" w:cs="Tahoma"/>
              <w:lang w:val="es-MX"/>
            </w:rPr>
            <w:t>Luis Gustavo Parra Noriega</w:t>
          </w:r>
        </w:p>
      </w:tc>
    </w:tr>
  </w:tbl>
  <w:p w14:paraId="2BF38856" w14:textId="77777777" w:rsidR="0022257E" w:rsidRDefault="00000000">
    <w:pPr>
      <w:pStyle w:val="Encabezado"/>
    </w:pPr>
    <w:r>
      <w:rPr>
        <w:noProof/>
      </w:rPr>
      <w:pict w14:anchorId="4A6558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1026"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0E9E6" w14:textId="1E97E28F" w:rsidR="0022257E" w:rsidRDefault="00000000">
    <w:r>
      <w:rPr>
        <w:noProof/>
      </w:rPr>
      <w:pict w14:anchorId="2D068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1025" type="#_x0000_t75" alt="MARCA DE AGUA - HOJA RESOLUCIÓN" style="position:absolute;left:0;text-align:left;margin-left:-84.6pt;margin-top:-124.4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W w:w="5670" w:type="dxa"/>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3260"/>
    </w:tblGrid>
    <w:tr w:rsidR="0022257E" w:rsidRPr="00E152D8" w14:paraId="38C70F26" w14:textId="77777777" w:rsidTr="008626CE">
      <w:trPr>
        <w:trHeight w:val="138"/>
      </w:trPr>
      <w:tc>
        <w:tcPr>
          <w:tcW w:w="2410" w:type="dxa"/>
          <w:vAlign w:val="center"/>
        </w:tcPr>
        <w:p w14:paraId="06C599F7" w14:textId="77777777" w:rsidR="0022257E" w:rsidRPr="00E152D8" w:rsidRDefault="0022257E">
          <w:pPr>
            <w:tabs>
              <w:tab w:val="right" w:pos="8838"/>
            </w:tabs>
            <w:ind w:right="-105"/>
            <w:jc w:val="left"/>
            <w:rPr>
              <w:rFonts w:eastAsia="Calibri" w:cs="Tahoma"/>
              <w:b/>
              <w:lang w:val="es-MX"/>
            </w:rPr>
          </w:pPr>
          <w:r w:rsidRPr="00E152D8">
            <w:rPr>
              <w:rFonts w:eastAsia="Calibri" w:cs="Tahoma"/>
              <w:b/>
              <w:lang w:val="es-MX"/>
            </w:rPr>
            <w:t>Recurso de Revisión:</w:t>
          </w:r>
        </w:p>
      </w:tc>
      <w:tc>
        <w:tcPr>
          <w:tcW w:w="3260" w:type="dxa"/>
        </w:tcPr>
        <w:p w14:paraId="65B05558" w14:textId="037A4BC9" w:rsidR="0022257E" w:rsidRPr="00051642" w:rsidRDefault="00361B01" w:rsidP="00D16E3A">
          <w:pPr>
            <w:rPr>
              <w:rFonts w:eastAsia="Calibri" w:cs="Tahoma"/>
            </w:rPr>
          </w:pPr>
          <w:bookmarkStart w:id="22" w:name="_Hlk192078452"/>
          <w:r w:rsidRPr="00361B01">
            <w:rPr>
              <w:rFonts w:eastAsia="Calibri" w:cs="Tahoma"/>
              <w:lang w:val="es-MX"/>
            </w:rPr>
            <w:t>01171/INFOEM/IP/RR/2025</w:t>
          </w:r>
          <w:bookmarkEnd w:id="22"/>
        </w:p>
      </w:tc>
    </w:tr>
    <w:tr w:rsidR="0022257E" w:rsidRPr="00E152D8" w14:paraId="55B27BFC" w14:textId="77777777" w:rsidTr="008626CE">
      <w:trPr>
        <w:trHeight w:val="273"/>
      </w:trPr>
      <w:tc>
        <w:tcPr>
          <w:tcW w:w="2410" w:type="dxa"/>
        </w:tcPr>
        <w:p w14:paraId="479CFA26" w14:textId="77777777" w:rsidR="0022257E" w:rsidRPr="00E152D8" w:rsidRDefault="0022257E">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260" w:type="dxa"/>
        </w:tcPr>
        <w:p w14:paraId="6C35595F" w14:textId="3B952FB0" w:rsidR="0022257E" w:rsidRPr="00051642" w:rsidRDefault="00361B01">
          <w:pPr>
            <w:tabs>
              <w:tab w:val="right" w:pos="8838"/>
            </w:tabs>
            <w:ind w:left="-28" w:right="-32"/>
            <w:rPr>
              <w:rFonts w:eastAsia="Calibri" w:cs="Tahoma"/>
              <w:lang w:val="es-MX"/>
            </w:rPr>
          </w:pPr>
          <w:bookmarkStart w:id="23" w:name="_Hlk192079096"/>
          <w:r w:rsidRPr="00361B01">
            <w:rPr>
              <w:rFonts w:eastAsia="Calibri" w:cs="Tahoma"/>
              <w:lang w:val="es-MX"/>
            </w:rPr>
            <w:t>Sistema Municipal para el Desarrollo Integral de la Familia de Villa del Carbón</w:t>
          </w:r>
          <w:bookmarkEnd w:id="23"/>
        </w:p>
      </w:tc>
    </w:tr>
    <w:tr w:rsidR="0022257E" w:rsidRPr="00E152D8" w14:paraId="64299B43" w14:textId="77777777" w:rsidTr="008626CE">
      <w:trPr>
        <w:trHeight w:val="273"/>
      </w:trPr>
      <w:tc>
        <w:tcPr>
          <w:tcW w:w="2410" w:type="dxa"/>
        </w:tcPr>
        <w:p w14:paraId="3B4B50BB" w14:textId="77777777" w:rsidR="0022257E" w:rsidRPr="00E152D8" w:rsidRDefault="0022257E">
          <w:pPr>
            <w:tabs>
              <w:tab w:val="right" w:pos="8838"/>
            </w:tabs>
            <w:ind w:right="-105"/>
            <w:rPr>
              <w:rFonts w:eastAsia="Calibri" w:cs="Tahoma"/>
              <w:b/>
              <w:lang w:val="es-MX"/>
            </w:rPr>
          </w:pPr>
          <w:r w:rsidRPr="00E152D8">
            <w:rPr>
              <w:rFonts w:eastAsia="Calibri" w:cs="Tahoma"/>
              <w:b/>
              <w:lang w:val="es-MX"/>
            </w:rPr>
            <w:t>Comisionado Ponente:</w:t>
          </w:r>
        </w:p>
      </w:tc>
      <w:tc>
        <w:tcPr>
          <w:tcW w:w="3260" w:type="dxa"/>
        </w:tcPr>
        <w:p w14:paraId="5364FC23" w14:textId="77777777" w:rsidR="0022257E" w:rsidRPr="00E152D8" w:rsidRDefault="0022257E">
          <w:pPr>
            <w:tabs>
              <w:tab w:val="right" w:pos="8838"/>
            </w:tabs>
            <w:ind w:left="-28" w:right="-32"/>
            <w:rPr>
              <w:rFonts w:eastAsia="Calibri" w:cs="Tahoma"/>
              <w:b/>
              <w:lang w:val="es-MX"/>
            </w:rPr>
          </w:pPr>
          <w:r w:rsidRPr="00E152D8">
            <w:rPr>
              <w:rFonts w:eastAsia="Calibri" w:cs="Tahoma"/>
              <w:lang w:val="es-MX"/>
            </w:rPr>
            <w:t>Luis Gustavo Parra Noriega</w:t>
          </w:r>
        </w:p>
      </w:tc>
    </w:tr>
  </w:tbl>
  <w:p w14:paraId="2B363D4C" w14:textId="14E48A3C" w:rsidR="0022257E" w:rsidRDefault="0022257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954"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263"/>
    </w:tblGrid>
    <w:tr w:rsidR="0022257E" w:rsidRPr="00E152D8" w14:paraId="6E5B10C8" w14:textId="77777777" w:rsidTr="00715AF1">
      <w:trPr>
        <w:trHeight w:val="132"/>
      </w:trPr>
      <w:tc>
        <w:tcPr>
          <w:tcW w:w="2691" w:type="dxa"/>
        </w:tcPr>
        <w:p w14:paraId="0FBD6B5C" w14:textId="54BD1256" w:rsidR="0022257E" w:rsidRPr="00E152D8" w:rsidRDefault="0022257E" w:rsidP="00484A2B">
          <w:pPr>
            <w:tabs>
              <w:tab w:val="right" w:pos="2449"/>
            </w:tabs>
            <w:ind w:right="30"/>
            <w:rPr>
              <w:rFonts w:eastAsia="Calibri" w:cs="Tahoma"/>
              <w:b/>
              <w:lang w:val="es-MX"/>
            </w:rPr>
          </w:pPr>
          <w:r w:rsidRPr="00E152D8">
            <w:rPr>
              <w:rFonts w:eastAsia="Calibri" w:cs="Tahoma"/>
              <w:b/>
              <w:lang w:val="es-MX"/>
            </w:rPr>
            <w:t>Recurso de Revisión:</w:t>
          </w:r>
          <w:r>
            <w:rPr>
              <w:rFonts w:eastAsia="Calibri" w:cs="Tahoma"/>
              <w:b/>
              <w:lang w:val="es-MX"/>
            </w:rPr>
            <w:tab/>
          </w:r>
        </w:p>
      </w:tc>
      <w:tc>
        <w:tcPr>
          <w:tcW w:w="3263" w:type="dxa"/>
        </w:tcPr>
        <w:p w14:paraId="70CC72C0" w14:textId="3C031349" w:rsidR="0022257E" w:rsidRPr="00361B01" w:rsidRDefault="00361B01">
          <w:pPr>
            <w:tabs>
              <w:tab w:val="right" w:pos="8838"/>
            </w:tabs>
            <w:ind w:left="-111" w:right="-32"/>
            <w:rPr>
              <w:rFonts w:eastAsia="Calibri" w:cs="Tahoma"/>
              <w:lang w:val="es-MX"/>
            </w:rPr>
          </w:pPr>
          <w:r w:rsidRPr="00361B01">
            <w:rPr>
              <w:rFonts w:eastAsia="Calibri" w:cs="Tahoma"/>
              <w:lang w:val="es-MX"/>
            </w:rPr>
            <w:t>01171/INFOEM/IP/RR/2025</w:t>
          </w:r>
        </w:p>
      </w:tc>
    </w:tr>
    <w:tr w:rsidR="0022257E" w:rsidRPr="00E152D8" w14:paraId="43CEC0C7" w14:textId="77777777" w:rsidTr="00715AF1">
      <w:trPr>
        <w:trHeight w:val="132"/>
      </w:trPr>
      <w:tc>
        <w:tcPr>
          <w:tcW w:w="2691" w:type="dxa"/>
        </w:tcPr>
        <w:p w14:paraId="369FAB30" w14:textId="77777777" w:rsidR="0022257E" w:rsidRPr="00E152D8" w:rsidRDefault="0022257E">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3263" w:type="dxa"/>
        </w:tcPr>
        <w:p w14:paraId="267724E2" w14:textId="0290093B" w:rsidR="0022257E" w:rsidRPr="00E152D8" w:rsidRDefault="0022257E">
          <w:pPr>
            <w:tabs>
              <w:tab w:val="right" w:pos="8838"/>
            </w:tabs>
            <w:ind w:left="-111" w:right="-109"/>
            <w:rPr>
              <w:rFonts w:eastAsia="Calibri" w:cs="Tahoma"/>
              <w:lang w:val="es-MX"/>
            </w:rPr>
          </w:pPr>
        </w:p>
      </w:tc>
    </w:tr>
    <w:tr w:rsidR="0022257E" w:rsidRPr="00E152D8" w14:paraId="30C3D119" w14:textId="77777777" w:rsidTr="00715AF1">
      <w:trPr>
        <w:trHeight w:val="261"/>
      </w:trPr>
      <w:tc>
        <w:tcPr>
          <w:tcW w:w="2691" w:type="dxa"/>
        </w:tcPr>
        <w:p w14:paraId="6DC6617D" w14:textId="77777777" w:rsidR="0022257E" w:rsidRPr="00E152D8" w:rsidRDefault="0022257E">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263" w:type="dxa"/>
        </w:tcPr>
        <w:p w14:paraId="6E96F863" w14:textId="5DA1590B" w:rsidR="0022257E" w:rsidRPr="00051642" w:rsidRDefault="00361B01">
          <w:pPr>
            <w:tabs>
              <w:tab w:val="right" w:pos="8838"/>
            </w:tabs>
            <w:ind w:left="-111" w:right="-32"/>
            <w:rPr>
              <w:rFonts w:eastAsia="Calibri" w:cs="Tahoma"/>
              <w:lang w:val="es-MX"/>
            </w:rPr>
          </w:pPr>
          <w:r w:rsidRPr="00361B01">
            <w:rPr>
              <w:rFonts w:eastAsia="Calibri" w:cs="Tahoma"/>
              <w:lang w:val="es-MX"/>
            </w:rPr>
            <w:t>Sistema Municipal para el Desarrollo Integral de la Familia de Villa del Carbón</w:t>
          </w:r>
        </w:p>
      </w:tc>
    </w:tr>
    <w:tr w:rsidR="0022257E" w:rsidRPr="00E152D8" w14:paraId="1C2055A9" w14:textId="77777777" w:rsidTr="00715AF1">
      <w:trPr>
        <w:trHeight w:val="261"/>
      </w:trPr>
      <w:tc>
        <w:tcPr>
          <w:tcW w:w="2691" w:type="dxa"/>
        </w:tcPr>
        <w:p w14:paraId="63396B8B" w14:textId="77777777" w:rsidR="0022257E" w:rsidRPr="00E152D8" w:rsidRDefault="0022257E">
          <w:pPr>
            <w:tabs>
              <w:tab w:val="right" w:pos="8838"/>
            </w:tabs>
            <w:ind w:right="-105"/>
            <w:rPr>
              <w:rFonts w:eastAsia="Calibri" w:cs="Tahoma"/>
              <w:b/>
              <w:lang w:val="es-MX"/>
            </w:rPr>
          </w:pPr>
          <w:r w:rsidRPr="00E152D8">
            <w:rPr>
              <w:rFonts w:eastAsia="Calibri" w:cs="Tahoma"/>
              <w:b/>
              <w:lang w:val="es-MX"/>
            </w:rPr>
            <w:t>Comisionado Ponente:</w:t>
          </w:r>
        </w:p>
      </w:tc>
      <w:tc>
        <w:tcPr>
          <w:tcW w:w="3263" w:type="dxa"/>
        </w:tcPr>
        <w:p w14:paraId="2CDFADEE" w14:textId="77777777" w:rsidR="0022257E" w:rsidRPr="00E152D8" w:rsidRDefault="0022257E">
          <w:pPr>
            <w:tabs>
              <w:tab w:val="right" w:pos="8838"/>
            </w:tabs>
            <w:ind w:left="-111" w:right="-32"/>
            <w:rPr>
              <w:rFonts w:eastAsia="Calibri" w:cs="Tahoma"/>
              <w:b/>
              <w:lang w:val="es-MX"/>
            </w:rPr>
          </w:pPr>
          <w:r w:rsidRPr="00E152D8">
            <w:rPr>
              <w:rFonts w:eastAsia="Calibri" w:cs="Tahoma"/>
              <w:lang w:val="es-MX"/>
            </w:rPr>
            <w:t>Luis Gustavo Parra Noriega</w:t>
          </w:r>
        </w:p>
      </w:tc>
    </w:tr>
  </w:tbl>
  <w:p w14:paraId="1F82F1D7" w14:textId="73AEF964" w:rsidR="0022257E" w:rsidRDefault="0022257E">
    <w:pPr>
      <w:pStyle w:val="Encabezado"/>
      <w:tabs>
        <w:tab w:val="left" w:pos="5812"/>
      </w:tabs>
    </w:pPr>
    <w:r>
      <w:rPr>
        <w:noProof/>
        <w:lang w:eastAsia="es-MX"/>
      </w:rPr>
      <w:drawing>
        <wp:anchor distT="0" distB="0" distL="114300" distR="114300" simplePos="0" relativeHeight="251661312" behindDoc="1" locked="0" layoutInCell="0" allowOverlap="1" wp14:anchorId="6D97FB90" wp14:editId="0E0512CD">
          <wp:simplePos x="0" y="0"/>
          <wp:positionH relativeFrom="margin">
            <wp:posOffset>-1074420</wp:posOffset>
          </wp:positionH>
          <wp:positionV relativeFrom="margin">
            <wp:posOffset>-1565275</wp:posOffset>
          </wp:positionV>
          <wp:extent cx="8426450" cy="10972800"/>
          <wp:effectExtent l="0" t="0" r="0" b="0"/>
          <wp:wrapNone/>
          <wp:docPr id="1851538789" name="Imagen 3" descr="MARCA DE AGUA - HOJA RE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CA DE AGUA - HOJA RESOLU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41EE"/>
    <w:multiLevelType w:val="hybridMultilevel"/>
    <w:tmpl w:val="A5342AEA"/>
    <w:lvl w:ilvl="0" w:tplc="FFFFFFFF">
      <w:start w:val="1"/>
      <w:numFmt w:val="decimal"/>
      <w:lvlText w:val="%1."/>
      <w:lvlJc w:val="left"/>
      <w:pPr>
        <w:tabs>
          <w:tab w:val="num" w:pos="720"/>
        </w:tabs>
        <w:ind w:left="720" w:hanging="36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16E57693"/>
    <w:multiLevelType w:val="hybridMultilevel"/>
    <w:tmpl w:val="E0802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4168FE"/>
    <w:multiLevelType w:val="hybridMultilevel"/>
    <w:tmpl w:val="5ABA1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2DC02BD"/>
    <w:multiLevelType w:val="hybridMultilevel"/>
    <w:tmpl w:val="21786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D1824A1"/>
    <w:multiLevelType w:val="hybridMultilevel"/>
    <w:tmpl w:val="CAB86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77526F7"/>
    <w:multiLevelType w:val="hybridMultilevel"/>
    <w:tmpl w:val="34E4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2F0415"/>
    <w:multiLevelType w:val="hybridMultilevel"/>
    <w:tmpl w:val="B106D1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2A6576F"/>
    <w:multiLevelType w:val="hybridMultilevel"/>
    <w:tmpl w:val="FC6C6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9A1686"/>
    <w:multiLevelType w:val="hybridMultilevel"/>
    <w:tmpl w:val="91AC078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83D2EA9"/>
    <w:multiLevelType w:val="hybridMultilevel"/>
    <w:tmpl w:val="A184C16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2"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3" w15:restartNumberingAfterBreak="0">
    <w:nsid w:val="71B3368F"/>
    <w:multiLevelType w:val="hybridMultilevel"/>
    <w:tmpl w:val="6EECB17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74982F1C"/>
    <w:multiLevelType w:val="hybridMultilevel"/>
    <w:tmpl w:val="EC144290"/>
    <w:lvl w:ilvl="0" w:tplc="0A0E19A2">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75422B96"/>
    <w:multiLevelType w:val="hybridMultilevel"/>
    <w:tmpl w:val="B164EB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7A347E13"/>
    <w:multiLevelType w:val="hybridMultilevel"/>
    <w:tmpl w:val="E2C4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172E8E"/>
    <w:multiLevelType w:val="multilevel"/>
    <w:tmpl w:val="951835B4"/>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31273950">
    <w:abstractNumId w:val="5"/>
  </w:num>
  <w:num w:numId="2" w16cid:durableId="1507792131">
    <w:abstractNumId w:val="15"/>
  </w:num>
  <w:num w:numId="3" w16cid:durableId="5172332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4935435">
    <w:abstractNumId w:val="9"/>
  </w:num>
  <w:num w:numId="5" w16cid:durableId="1216429704">
    <w:abstractNumId w:val="2"/>
  </w:num>
  <w:num w:numId="6" w16cid:durableId="1425298271">
    <w:abstractNumId w:val="11"/>
  </w:num>
  <w:num w:numId="7" w16cid:durableId="17377796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0038289">
    <w:abstractNumId w:val="16"/>
  </w:num>
  <w:num w:numId="9" w16cid:durableId="11976207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3237320">
    <w:abstractNumId w:val="7"/>
  </w:num>
  <w:num w:numId="11" w16cid:durableId="1329089904">
    <w:abstractNumId w:val="12"/>
  </w:num>
  <w:num w:numId="12" w16cid:durableId="854423307">
    <w:abstractNumId w:val="0"/>
  </w:num>
  <w:num w:numId="13" w16cid:durableId="461267761">
    <w:abstractNumId w:val="8"/>
  </w:num>
  <w:num w:numId="14" w16cid:durableId="1280643560">
    <w:abstractNumId w:val="10"/>
  </w:num>
  <w:num w:numId="15" w16cid:durableId="1963683302">
    <w:abstractNumId w:val="6"/>
  </w:num>
  <w:num w:numId="16" w16cid:durableId="1065645085">
    <w:abstractNumId w:val="4"/>
  </w:num>
  <w:num w:numId="17" w16cid:durableId="441533620">
    <w:abstractNumId w:val="1"/>
  </w:num>
  <w:num w:numId="18" w16cid:durableId="1361585597">
    <w:abstractNumId w:val="17"/>
  </w:num>
  <w:num w:numId="19" w16cid:durableId="26923885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642"/>
    <w:rsid w:val="00006113"/>
    <w:rsid w:val="00024A00"/>
    <w:rsid w:val="0003084B"/>
    <w:rsid w:val="0003325E"/>
    <w:rsid w:val="00034982"/>
    <w:rsid w:val="00035267"/>
    <w:rsid w:val="00040084"/>
    <w:rsid w:val="000470A0"/>
    <w:rsid w:val="00047CBC"/>
    <w:rsid w:val="00050179"/>
    <w:rsid w:val="00051642"/>
    <w:rsid w:val="000518BD"/>
    <w:rsid w:val="0005650D"/>
    <w:rsid w:val="00084504"/>
    <w:rsid w:val="00093717"/>
    <w:rsid w:val="00095456"/>
    <w:rsid w:val="000A34AE"/>
    <w:rsid w:val="000A57E7"/>
    <w:rsid w:val="000C1A69"/>
    <w:rsid w:val="000E7D68"/>
    <w:rsid w:val="000F6E92"/>
    <w:rsid w:val="00104C84"/>
    <w:rsid w:val="00105647"/>
    <w:rsid w:val="0011666A"/>
    <w:rsid w:val="00123E0D"/>
    <w:rsid w:val="00124E37"/>
    <w:rsid w:val="00126E21"/>
    <w:rsid w:val="00132ED8"/>
    <w:rsid w:val="00140576"/>
    <w:rsid w:val="0014243E"/>
    <w:rsid w:val="001442EA"/>
    <w:rsid w:val="00151FB1"/>
    <w:rsid w:val="00154C55"/>
    <w:rsid w:val="001555C3"/>
    <w:rsid w:val="0015698B"/>
    <w:rsid w:val="00162887"/>
    <w:rsid w:val="0018239B"/>
    <w:rsid w:val="00183086"/>
    <w:rsid w:val="00183FC2"/>
    <w:rsid w:val="00186C81"/>
    <w:rsid w:val="001A10A7"/>
    <w:rsid w:val="001A1794"/>
    <w:rsid w:val="001A54C5"/>
    <w:rsid w:val="001B742E"/>
    <w:rsid w:val="001B7A7E"/>
    <w:rsid w:val="001C3821"/>
    <w:rsid w:val="001C41ED"/>
    <w:rsid w:val="001C4A11"/>
    <w:rsid w:val="001C7154"/>
    <w:rsid w:val="001D03E8"/>
    <w:rsid w:val="001D5627"/>
    <w:rsid w:val="001D5E7C"/>
    <w:rsid w:val="001D70CD"/>
    <w:rsid w:val="001E25C4"/>
    <w:rsid w:val="001F0852"/>
    <w:rsid w:val="001F6E8E"/>
    <w:rsid w:val="00211E2C"/>
    <w:rsid w:val="0022257E"/>
    <w:rsid w:val="002302CE"/>
    <w:rsid w:val="0023114C"/>
    <w:rsid w:val="002341AE"/>
    <w:rsid w:val="002352A8"/>
    <w:rsid w:val="0024666A"/>
    <w:rsid w:val="00250408"/>
    <w:rsid w:val="00250F14"/>
    <w:rsid w:val="00253015"/>
    <w:rsid w:val="00256C60"/>
    <w:rsid w:val="00265D49"/>
    <w:rsid w:val="00271AB1"/>
    <w:rsid w:val="00273D3F"/>
    <w:rsid w:val="00286C93"/>
    <w:rsid w:val="00295233"/>
    <w:rsid w:val="002A2C08"/>
    <w:rsid w:val="002B61F7"/>
    <w:rsid w:val="002C0999"/>
    <w:rsid w:val="002C1731"/>
    <w:rsid w:val="002C29EB"/>
    <w:rsid w:val="002C4FEC"/>
    <w:rsid w:val="002C5B35"/>
    <w:rsid w:val="002D3E1B"/>
    <w:rsid w:val="002D47EC"/>
    <w:rsid w:val="002E0F5F"/>
    <w:rsid w:val="002E3A62"/>
    <w:rsid w:val="002E5B69"/>
    <w:rsid w:val="002F2857"/>
    <w:rsid w:val="002F3441"/>
    <w:rsid w:val="002F3A18"/>
    <w:rsid w:val="00302567"/>
    <w:rsid w:val="0030792C"/>
    <w:rsid w:val="00310CBB"/>
    <w:rsid w:val="00316058"/>
    <w:rsid w:val="0032417C"/>
    <w:rsid w:val="00325FA9"/>
    <w:rsid w:val="003411A8"/>
    <w:rsid w:val="003420D9"/>
    <w:rsid w:val="00344475"/>
    <w:rsid w:val="0035133F"/>
    <w:rsid w:val="00352BCE"/>
    <w:rsid w:val="00357735"/>
    <w:rsid w:val="00361B01"/>
    <w:rsid w:val="0036237A"/>
    <w:rsid w:val="00363286"/>
    <w:rsid w:val="003667C5"/>
    <w:rsid w:val="00373E74"/>
    <w:rsid w:val="00380E10"/>
    <w:rsid w:val="0038215B"/>
    <w:rsid w:val="00382A3B"/>
    <w:rsid w:val="00384DCB"/>
    <w:rsid w:val="003A4382"/>
    <w:rsid w:val="003A5172"/>
    <w:rsid w:val="003A6482"/>
    <w:rsid w:val="003A6503"/>
    <w:rsid w:val="003B1CCA"/>
    <w:rsid w:val="003B3509"/>
    <w:rsid w:val="003B58AA"/>
    <w:rsid w:val="003D0270"/>
    <w:rsid w:val="003D4A21"/>
    <w:rsid w:val="003D4A93"/>
    <w:rsid w:val="003D573F"/>
    <w:rsid w:val="003D6CD1"/>
    <w:rsid w:val="003D7C8B"/>
    <w:rsid w:val="003E0C38"/>
    <w:rsid w:val="003E20B6"/>
    <w:rsid w:val="003F19F7"/>
    <w:rsid w:val="003F3741"/>
    <w:rsid w:val="003F6C20"/>
    <w:rsid w:val="00406A51"/>
    <w:rsid w:val="00413443"/>
    <w:rsid w:val="00415A0C"/>
    <w:rsid w:val="00417C58"/>
    <w:rsid w:val="00423A9A"/>
    <w:rsid w:val="004245E3"/>
    <w:rsid w:val="004270E2"/>
    <w:rsid w:val="0044773B"/>
    <w:rsid w:val="00460B4A"/>
    <w:rsid w:val="00461DE1"/>
    <w:rsid w:val="00462BF4"/>
    <w:rsid w:val="004640F3"/>
    <w:rsid w:val="00465F58"/>
    <w:rsid w:val="00471D6A"/>
    <w:rsid w:val="0047418A"/>
    <w:rsid w:val="0047427B"/>
    <w:rsid w:val="0047786E"/>
    <w:rsid w:val="00482688"/>
    <w:rsid w:val="00484A2B"/>
    <w:rsid w:val="004929D3"/>
    <w:rsid w:val="00495228"/>
    <w:rsid w:val="004A140A"/>
    <w:rsid w:val="004A3DE8"/>
    <w:rsid w:val="004B1895"/>
    <w:rsid w:val="004B5FDF"/>
    <w:rsid w:val="004C6EC6"/>
    <w:rsid w:val="004D0D12"/>
    <w:rsid w:val="004D26A8"/>
    <w:rsid w:val="004E3BB8"/>
    <w:rsid w:val="004E41A5"/>
    <w:rsid w:val="004F2ABF"/>
    <w:rsid w:val="004F2E01"/>
    <w:rsid w:val="00500441"/>
    <w:rsid w:val="00500CDF"/>
    <w:rsid w:val="00504617"/>
    <w:rsid w:val="00504AF0"/>
    <w:rsid w:val="00504D05"/>
    <w:rsid w:val="0051175E"/>
    <w:rsid w:val="00512B70"/>
    <w:rsid w:val="00522263"/>
    <w:rsid w:val="005254F4"/>
    <w:rsid w:val="00526E05"/>
    <w:rsid w:val="00533C3D"/>
    <w:rsid w:val="005369D0"/>
    <w:rsid w:val="00541C77"/>
    <w:rsid w:val="00542301"/>
    <w:rsid w:val="00542345"/>
    <w:rsid w:val="005441C8"/>
    <w:rsid w:val="00545D40"/>
    <w:rsid w:val="005468DD"/>
    <w:rsid w:val="00547EDB"/>
    <w:rsid w:val="00551166"/>
    <w:rsid w:val="005523E9"/>
    <w:rsid w:val="005548DF"/>
    <w:rsid w:val="00560047"/>
    <w:rsid w:val="00573BDE"/>
    <w:rsid w:val="00573FB6"/>
    <w:rsid w:val="005767CF"/>
    <w:rsid w:val="00590DF7"/>
    <w:rsid w:val="005924C4"/>
    <w:rsid w:val="005A3900"/>
    <w:rsid w:val="005A7B78"/>
    <w:rsid w:val="005B4CFC"/>
    <w:rsid w:val="005B5B0F"/>
    <w:rsid w:val="005E6F26"/>
    <w:rsid w:val="00604943"/>
    <w:rsid w:val="006208A3"/>
    <w:rsid w:val="006277C5"/>
    <w:rsid w:val="00630305"/>
    <w:rsid w:val="00631C4E"/>
    <w:rsid w:val="0063260E"/>
    <w:rsid w:val="00635008"/>
    <w:rsid w:val="00641224"/>
    <w:rsid w:val="00646DBE"/>
    <w:rsid w:val="00654859"/>
    <w:rsid w:val="00656F54"/>
    <w:rsid w:val="0066139E"/>
    <w:rsid w:val="00661C1E"/>
    <w:rsid w:val="00663061"/>
    <w:rsid w:val="00666866"/>
    <w:rsid w:val="00676D55"/>
    <w:rsid w:val="006804AD"/>
    <w:rsid w:val="00686942"/>
    <w:rsid w:val="00692A85"/>
    <w:rsid w:val="00694BCE"/>
    <w:rsid w:val="006A1E52"/>
    <w:rsid w:val="006A7476"/>
    <w:rsid w:val="006B1C0E"/>
    <w:rsid w:val="006B4CAC"/>
    <w:rsid w:val="006B542B"/>
    <w:rsid w:val="006C5527"/>
    <w:rsid w:val="006C5772"/>
    <w:rsid w:val="006C6562"/>
    <w:rsid w:val="006C65D1"/>
    <w:rsid w:val="006D48BE"/>
    <w:rsid w:val="006E0623"/>
    <w:rsid w:val="006E3925"/>
    <w:rsid w:val="006F00F9"/>
    <w:rsid w:val="006F1B7E"/>
    <w:rsid w:val="006F2F18"/>
    <w:rsid w:val="006F31CE"/>
    <w:rsid w:val="006F5A52"/>
    <w:rsid w:val="00702582"/>
    <w:rsid w:val="00715106"/>
    <w:rsid w:val="00715AF1"/>
    <w:rsid w:val="00717921"/>
    <w:rsid w:val="00717B41"/>
    <w:rsid w:val="0072261E"/>
    <w:rsid w:val="00730439"/>
    <w:rsid w:val="007525BA"/>
    <w:rsid w:val="00752804"/>
    <w:rsid w:val="00753AB6"/>
    <w:rsid w:val="007552CE"/>
    <w:rsid w:val="00766F45"/>
    <w:rsid w:val="00771A37"/>
    <w:rsid w:val="007728CA"/>
    <w:rsid w:val="0078354E"/>
    <w:rsid w:val="00784055"/>
    <w:rsid w:val="0078600C"/>
    <w:rsid w:val="0078724B"/>
    <w:rsid w:val="00787558"/>
    <w:rsid w:val="00791A15"/>
    <w:rsid w:val="007950BA"/>
    <w:rsid w:val="0079642B"/>
    <w:rsid w:val="007A16A9"/>
    <w:rsid w:val="007A1B3A"/>
    <w:rsid w:val="007A44DC"/>
    <w:rsid w:val="007A5378"/>
    <w:rsid w:val="007B24B3"/>
    <w:rsid w:val="007B274F"/>
    <w:rsid w:val="007C3184"/>
    <w:rsid w:val="007C5ABD"/>
    <w:rsid w:val="007C6CE9"/>
    <w:rsid w:val="007D383A"/>
    <w:rsid w:val="007D5010"/>
    <w:rsid w:val="007E5E35"/>
    <w:rsid w:val="007F139A"/>
    <w:rsid w:val="007F2BD5"/>
    <w:rsid w:val="007F2C33"/>
    <w:rsid w:val="007F4310"/>
    <w:rsid w:val="0080061B"/>
    <w:rsid w:val="00811744"/>
    <w:rsid w:val="00812CF7"/>
    <w:rsid w:val="008137BD"/>
    <w:rsid w:val="00814577"/>
    <w:rsid w:val="008256BD"/>
    <w:rsid w:val="00833D09"/>
    <w:rsid w:val="00847706"/>
    <w:rsid w:val="008510F1"/>
    <w:rsid w:val="008567E8"/>
    <w:rsid w:val="008626CE"/>
    <w:rsid w:val="008710AF"/>
    <w:rsid w:val="00872EE4"/>
    <w:rsid w:val="008866CA"/>
    <w:rsid w:val="00894D31"/>
    <w:rsid w:val="00897341"/>
    <w:rsid w:val="008A0C38"/>
    <w:rsid w:val="008A4755"/>
    <w:rsid w:val="008B0D95"/>
    <w:rsid w:val="008C072A"/>
    <w:rsid w:val="008C1DD2"/>
    <w:rsid w:val="008D18B2"/>
    <w:rsid w:val="008D7FB3"/>
    <w:rsid w:val="008E1A4E"/>
    <w:rsid w:val="008E1A6E"/>
    <w:rsid w:val="008E2DA1"/>
    <w:rsid w:val="008E7413"/>
    <w:rsid w:val="008F6409"/>
    <w:rsid w:val="008F73EF"/>
    <w:rsid w:val="00900F92"/>
    <w:rsid w:val="0090301F"/>
    <w:rsid w:val="009037EA"/>
    <w:rsid w:val="009069B7"/>
    <w:rsid w:val="00916ECA"/>
    <w:rsid w:val="00920CE5"/>
    <w:rsid w:val="009246C4"/>
    <w:rsid w:val="009270EA"/>
    <w:rsid w:val="00927E66"/>
    <w:rsid w:val="009315EE"/>
    <w:rsid w:val="009324D8"/>
    <w:rsid w:val="00933344"/>
    <w:rsid w:val="009357CD"/>
    <w:rsid w:val="009456A4"/>
    <w:rsid w:val="00952E67"/>
    <w:rsid w:val="00954E4E"/>
    <w:rsid w:val="00956002"/>
    <w:rsid w:val="0096386A"/>
    <w:rsid w:val="0096697F"/>
    <w:rsid w:val="00966CA6"/>
    <w:rsid w:val="00971DFA"/>
    <w:rsid w:val="00972F4E"/>
    <w:rsid w:val="00990FDD"/>
    <w:rsid w:val="00991161"/>
    <w:rsid w:val="009A46BA"/>
    <w:rsid w:val="009B7483"/>
    <w:rsid w:val="009C40E0"/>
    <w:rsid w:val="009C7E78"/>
    <w:rsid w:val="009D4B0D"/>
    <w:rsid w:val="009D4F92"/>
    <w:rsid w:val="009E70FA"/>
    <w:rsid w:val="009F54BB"/>
    <w:rsid w:val="00A107F9"/>
    <w:rsid w:val="00A15793"/>
    <w:rsid w:val="00A23115"/>
    <w:rsid w:val="00A2706E"/>
    <w:rsid w:val="00A31D5D"/>
    <w:rsid w:val="00A352D5"/>
    <w:rsid w:val="00A46D25"/>
    <w:rsid w:val="00A54AEC"/>
    <w:rsid w:val="00A60B0D"/>
    <w:rsid w:val="00A74003"/>
    <w:rsid w:val="00A91CFF"/>
    <w:rsid w:val="00A942D1"/>
    <w:rsid w:val="00A9734F"/>
    <w:rsid w:val="00A97A26"/>
    <w:rsid w:val="00AA2348"/>
    <w:rsid w:val="00AA2FD6"/>
    <w:rsid w:val="00AA68EF"/>
    <w:rsid w:val="00AA6F36"/>
    <w:rsid w:val="00AC2582"/>
    <w:rsid w:val="00AC2906"/>
    <w:rsid w:val="00AC54B3"/>
    <w:rsid w:val="00AC6816"/>
    <w:rsid w:val="00AD32D7"/>
    <w:rsid w:val="00AE0E0B"/>
    <w:rsid w:val="00AE6AF4"/>
    <w:rsid w:val="00B0275D"/>
    <w:rsid w:val="00B03C0B"/>
    <w:rsid w:val="00B1165D"/>
    <w:rsid w:val="00B13674"/>
    <w:rsid w:val="00B14077"/>
    <w:rsid w:val="00B15B91"/>
    <w:rsid w:val="00B178C7"/>
    <w:rsid w:val="00B20C96"/>
    <w:rsid w:val="00B31E4D"/>
    <w:rsid w:val="00B3395B"/>
    <w:rsid w:val="00B41885"/>
    <w:rsid w:val="00B4232F"/>
    <w:rsid w:val="00B46AB7"/>
    <w:rsid w:val="00B63814"/>
    <w:rsid w:val="00B64702"/>
    <w:rsid w:val="00B70EAD"/>
    <w:rsid w:val="00B73C30"/>
    <w:rsid w:val="00B73D10"/>
    <w:rsid w:val="00B745B8"/>
    <w:rsid w:val="00B77586"/>
    <w:rsid w:val="00B802B9"/>
    <w:rsid w:val="00B821D5"/>
    <w:rsid w:val="00B8319F"/>
    <w:rsid w:val="00B91B40"/>
    <w:rsid w:val="00B96198"/>
    <w:rsid w:val="00B96DB8"/>
    <w:rsid w:val="00BA0F0B"/>
    <w:rsid w:val="00BA1427"/>
    <w:rsid w:val="00BA24C7"/>
    <w:rsid w:val="00BA3C2E"/>
    <w:rsid w:val="00BA48B3"/>
    <w:rsid w:val="00BA51D5"/>
    <w:rsid w:val="00BA5D2C"/>
    <w:rsid w:val="00BB44C2"/>
    <w:rsid w:val="00BB68C2"/>
    <w:rsid w:val="00BC13A1"/>
    <w:rsid w:val="00BC14B5"/>
    <w:rsid w:val="00BC22FC"/>
    <w:rsid w:val="00BC2BB3"/>
    <w:rsid w:val="00BC7AC2"/>
    <w:rsid w:val="00BD0796"/>
    <w:rsid w:val="00BD5C86"/>
    <w:rsid w:val="00BE01C1"/>
    <w:rsid w:val="00BE2AA3"/>
    <w:rsid w:val="00BE7ACC"/>
    <w:rsid w:val="00BF72B2"/>
    <w:rsid w:val="00BF7CA2"/>
    <w:rsid w:val="00C00EDE"/>
    <w:rsid w:val="00C02416"/>
    <w:rsid w:val="00C02BBD"/>
    <w:rsid w:val="00C1007D"/>
    <w:rsid w:val="00C14B22"/>
    <w:rsid w:val="00C160CB"/>
    <w:rsid w:val="00C369B3"/>
    <w:rsid w:val="00C450FE"/>
    <w:rsid w:val="00C45BAA"/>
    <w:rsid w:val="00C46422"/>
    <w:rsid w:val="00C67E2E"/>
    <w:rsid w:val="00C74529"/>
    <w:rsid w:val="00C76C0F"/>
    <w:rsid w:val="00C92D63"/>
    <w:rsid w:val="00C9434D"/>
    <w:rsid w:val="00C95B2B"/>
    <w:rsid w:val="00C961C4"/>
    <w:rsid w:val="00CA2169"/>
    <w:rsid w:val="00CA35E9"/>
    <w:rsid w:val="00CA3EB2"/>
    <w:rsid w:val="00CA4823"/>
    <w:rsid w:val="00CB0CD0"/>
    <w:rsid w:val="00CB4F73"/>
    <w:rsid w:val="00CB6B06"/>
    <w:rsid w:val="00CC0083"/>
    <w:rsid w:val="00CD750C"/>
    <w:rsid w:val="00CE17F4"/>
    <w:rsid w:val="00CE21D5"/>
    <w:rsid w:val="00CE7D48"/>
    <w:rsid w:val="00CF3E64"/>
    <w:rsid w:val="00CF5537"/>
    <w:rsid w:val="00CF746C"/>
    <w:rsid w:val="00D0050C"/>
    <w:rsid w:val="00D00EAD"/>
    <w:rsid w:val="00D16E3A"/>
    <w:rsid w:val="00D176E4"/>
    <w:rsid w:val="00D20C86"/>
    <w:rsid w:val="00D2444D"/>
    <w:rsid w:val="00D245A7"/>
    <w:rsid w:val="00D3015D"/>
    <w:rsid w:val="00D30175"/>
    <w:rsid w:val="00D34B3B"/>
    <w:rsid w:val="00D4465F"/>
    <w:rsid w:val="00D47632"/>
    <w:rsid w:val="00D4766E"/>
    <w:rsid w:val="00D5174A"/>
    <w:rsid w:val="00D55C2B"/>
    <w:rsid w:val="00D572EA"/>
    <w:rsid w:val="00D579B3"/>
    <w:rsid w:val="00D61137"/>
    <w:rsid w:val="00D67605"/>
    <w:rsid w:val="00D679B6"/>
    <w:rsid w:val="00D7156D"/>
    <w:rsid w:val="00D903F5"/>
    <w:rsid w:val="00D90FCD"/>
    <w:rsid w:val="00D9108B"/>
    <w:rsid w:val="00D93A67"/>
    <w:rsid w:val="00D97974"/>
    <w:rsid w:val="00DA04AE"/>
    <w:rsid w:val="00DA1F63"/>
    <w:rsid w:val="00DB12DB"/>
    <w:rsid w:val="00DB5D3F"/>
    <w:rsid w:val="00DC0A23"/>
    <w:rsid w:val="00DC2AF7"/>
    <w:rsid w:val="00DC77CC"/>
    <w:rsid w:val="00DD3001"/>
    <w:rsid w:val="00DD3B9A"/>
    <w:rsid w:val="00DF0AE0"/>
    <w:rsid w:val="00DF48ED"/>
    <w:rsid w:val="00DF5B69"/>
    <w:rsid w:val="00E0232B"/>
    <w:rsid w:val="00E075B1"/>
    <w:rsid w:val="00E1153F"/>
    <w:rsid w:val="00E1483B"/>
    <w:rsid w:val="00E149BC"/>
    <w:rsid w:val="00E15DEB"/>
    <w:rsid w:val="00E16B0C"/>
    <w:rsid w:val="00E23A53"/>
    <w:rsid w:val="00E2522F"/>
    <w:rsid w:val="00E277F5"/>
    <w:rsid w:val="00E42289"/>
    <w:rsid w:val="00E53D66"/>
    <w:rsid w:val="00E54A7F"/>
    <w:rsid w:val="00E604D4"/>
    <w:rsid w:val="00E6477F"/>
    <w:rsid w:val="00E65F72"/>
    <w:rsid w:val="00E7170C"/>
    <w:rsid w:val="00E7223E"/>
    <w:rsid w:val="00E776C4"/>
    <w:rsid w:val="00E80E30"/>
    <w:rsid w:val="00E843DC"/>
    <w:rsid w:val="00E8623C"/>
    <w:rsid w:val="00E92444"/>
    <w:rsid w:val="00E95161"/>
    <w:rsid w:val="00E96B2F"/>
    <w:rsid w:val="00E9799E"/>
    <w:rsid w:val="00EA0D63"/>
    <w:rsid w:val="00EA3E94"/>
    <w:rsid w:val="00EB68E1"/>
    <w:rsid w:val="00EC180A"/>
    <w:rsid w:val="00EC37F1"/>
    <w:rsid w:val="00EC5C25"/>
    <w:rsid w:val="00EC6C06"/>
    <w:rsid w:val="00EC7361"/>
    <w:rsid w:val="00EC7DAF"/>
    <w:rsid w:val="00ED095C"/>
    <w:rsid w:val="00ED5C61"/>
    <w:rsid w:val="00ED70AD"/>
    <w:rsid w:val="00EE0368"/>
    <w:rsid w:val="00EE2E1F"/>
    <w:rsid w:val="00EE321E"/>
    <w:rsid w:val="00EE3434"/>
    <w:rsid w:val="00EE41C0"/>
    <w:rsid w:val="00EF2D0B"/>
    <w:rsid w:val="00EF4106"/>
    <w:rsid w:val="00EF4F54"/>
    <w:rsid w:val="00EF5DBE"/>
    <w:rsid w:val="00F012B9"/>
    <w:rsid w:val="00F03696"/>
    <w:rsid w:val="00F04912"/>
    <w:rsid w:val="00F16ED4"/>
    <w:rsid w:val="00F30C62"/>
    <w:rsid w:val="00F35B06"/>
    <w:rsid w:val="00F5419D"/>
    <w:rsid w:val="00F57CC9"/>
    <w:rsid w:val="00F607CF"/>
    <w:rsid w:val="00F76E40"/>
    <w:rsid w:val="00F80332"/>
    <w:rsid w:val="00F90DE8"/>
    <w:rsid w:val="00F90EEF"/>
    <w:rsid w:val="00F91706"/>
    <w:rsid w:val="00F92A25"/>
    <w:rsid w:val="00F93E4B"/>
    <w:rsid w:val="00F970AA"/>
    <w:rsid w:val="00F97BDE"/>
    <w:rsid w:val="00F97E1B"/>
    <w:rsid w:val="00FA1130"/>
    <w:rsid w:val="00FA215B"/>
    <w:rsid w:val="00FA5472"/>
    <w:rsid w:val="00FB2ACB"/>
    <w:rsid w:val="00FB2DCC"/>
    <w:rsid w:val="00FB3575"/>
    <w:rsid w:val="00FB49D6"/>
    <w:rsid w:val="00FC228A"/>
    <w:rsid w:val="00FC3309"/>
    <w:rsid w:val="00FC4293"/>
    <w:rsid w:val="00FC63A1"/>
    <w:rsid w:val="00FD1217"/>
    <w:rsid w:val="00FE0C2A"/>
    <w:rsid w:val="00FE29DE"/>
    <w:rsid w:val="00FE66F4"/>
    <w:rsid w:val="00FF0C04"/>
    <w:rsid w:val="00FF115C"/>
    <w:rsid w:val="00FF51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CD58A"/>
  <w15:docId w15:val="{C2F889AE-3C62-4C60-8345-7BC6F630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C62"/>
    <w:pPr>
      <w:jc w:val="both"/>
    </w:pPr>
    <w:rPr>
      <w:rFonts w:ascii="Palatino Linotype" w:hAnsi="Palatino Linotype"/>
      <w:color w:val="000000" w:themeColor="text1"/>
    </w:rPr>
  </w:style>
  <w:style w:type="paragraph" w:styleId="Ttulo1">
    <w:name w:val="heading 1"/>
    <w:basedOn w:val="Normal"/>
    <w:next w:val="Normal"/>
    <w:link w:val="Ttulo1Car"/>
    <w:uiPriority w:val="9"/>
    <w:qFormat/>
    <w:rsid w:val="00B339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079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16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1642"/>
    <w:rPr>
      <w:rFonts w:ascii="Palatino Linotype" w:hAnsi="Palatino Linotype"/>
      <w:color w:val="000000" w:themeColor="text1"/>
    </w:rPr>
  </w:style>
  <w:style w:type="paragraph" w:styleId="Piedepgina">
    <w:name w:val="footer"/>
    <w:basedOn w:val="Normal"/>
    <w:link w:val="PiedepginaCar"/>
    <w:uiPriority w:val="99"/>
    <w:unhideWhenUsed/>
    <w:rsid w:val="000516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1642"/>
    <w:rPr>
      <w:rFonts w:ascii="Palatino Linotype" w:hAnsi="Palatino Linotype"/>
      <w:color w:val="000000" w:themeColor="text1"/>
    </w:rPr>
  </w:style>
  <w:style w:type="table" w:styleId="Tablaconcuadrcula">
    <w:name w:val="Table Grid"/>
    <w:basedOn w:val="Tablanormal"/>
    <w:uiPriority w:val="39"/>
    <w:qFormat/>
    <w:rsid w:val="0005164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1642"/>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A1130"/>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316058"/>
    <w:rPr>
      <w:color w:val="0563C1" w:themeColor="hyperlink"/>
      <w:u w:val="single"/>
    </w:rPr>
  </w:style>
  <w:style w:type="character" w:customStyle="1" w:styleId="normaltextrun">
    <w:name w:val="normaltextrun"/>
    <w:basedOn w:val="Fuentedeprrafopredeter"/>
    <w:rsid w:val="007A16A9"/>
  </w:style>
  <w:style w:type="paragraph" w:customStyle="1" w:styleId="paragraph">
    <w:name w:val="paragraph"/>
    <w:basedOn w:val="Normal"/>
    <w:rsid w:val="007A16A9"/>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7A16A9"/>
  </w:style>
  <w:style w:type="character" w:customStyle="1" w:styleId="Mencinsinresolver1">
    <w:name w:val="Mención sin resolver1"/>
    <w:basedOn w:val="Fuentedeprrafopredeter"/>
    <w:uiPriority w:val="99"/>
    <w:semiHidden/>
    <w:unhideWhenUsed/>
    <w:rsid w:val="008E1A4E"/>
    <w:rPr>
      <w:color w:val="605E5C"/>
      <w:shd w:val="clear" w:color="auto" w:fill="E1DFDD"/>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F91706"/>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F91706"/>
    <w:pPr>
      <w:spacing w:after="0" w:line="240" w:lineRule="auto"/>
      <w:jc w:val="left"/>
    </w:pPr>
    <w:rPr>
      <w:rFonts w:ascii="Calibri" w:eastAsia="Calibri" w:hAnsi="Calibri" w:cs="Times New Roman"/>
      <w:color w:val="auto"/>
      <w:sz w:val="20"/>
      <w:szCs w:val="20"/>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F91706"/>
    <w:rPr>
      <w:rFonts w:ascii="Calibri" w:eastAsia="Calibri" w:hAnsi="Calibri" w:cs="Times New Roman"/>
      <w:sz w:val="20"/>
      <w:szCs w:val="20"/>
    </w:rPr>
  </w:style>
  <w:style w:type="table" w:customStyle="1" w:styleId="Tablaconcuadrcula1">
    <w:name w:val="Tabla con cuadrícula1"/>
    <w:basedOn w:val="Tablanormal"/>
    <w:next w:val="Tablaconcuadrcula"/>
    <w:uiPriority w:val="39"/>
    <w:qFormat/>
    <w:rsid w:val="0003498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46AB7"/>
    <w:rPr>
      <w:rFonts w:ascii="Palatino Linotype" w:hAnsi="Palatino Linotype"/>
      <w:color w:val="000000" w:themeColor="text1"/>
    </w:rPr>
  </w:style>
  <w:style w:type="character" w:customStyle="1" w:styleId="Mencinsinresolver2">
    <w:name w:val="Mención sin resolver2"/>
    <w:basedOn w:val="Fuentedeprrafopredeter"/>
    <w:uiPriority w:val="99"/>
    <w:semiHidden/>
    <w:unhideWhenUsed/>
    <w:rsid w:val="00B41885"/>
    <w:rPr>
      <w:color w:val="605E5C"/>
      <w:shd w:val="clear" w:color="auto" w:fill="E1DFDD"/>
    </w:rPr>
  </w:style>
  <w:style w:type="character" w:customStyle="1" w:styleId="Mencinsinresolver3">
    <w:name w:val="Mención sin resolver3"/>
    <w:basedOn w:val="Fuentedeprrafopredeter"/>
    <w:uiPriority w:val="99"/>
    <w:semiHidden/>
    <w:unhideWhenUsed/>
    <w:rsid w:val="00504D05"/>
    <w:rPr>
      <w:color w:val="605E5C"/>
      <w:shd w:val="clear" w:color="auto" w:fill="E1DFDD"/>
    </w:rPr>
  </w:style>
  <w:style w:type="character" w:customStyle="1" w:styleId="Ttulo1Car">
    <w:name w:val="Título 1 Car"/>
    <w:basedOn w:val="Fuentedeprrafopredeter"/>
    <w:link w:val="Ttulo1"/>
    <w:uiPriority w:val="9"/>
    <w:rsid w:val="00B3395B"/>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B3395B"/>
    <w:pPr>
      <w:jc w:val="left"/>
      <w:outlineLvl w:val="9"/>
    </w:pPr>
    <w:rPr>
      <w:lang w:eastAsia="es-MX"/>
    </w:rPr>
  </w:style>
  <w:style w:type="paragraph" w:styleId="TDC1">
    <w:name w:val="toc 1"/>
    <w:basedOn w:val="Normal"/>
    <w:next w:val="Normal"/>
    <w:autoRedefine/>
    <w:uiPriority w:val="39"/>
    <w:unhideWhenUsed/>
    <w:rsid w:val="00B3395B"/>
    <w:pPr>
      <w:spacing w:after="100" w:line="254" w:lineRule="auto"/>
    </w:pPr>
    <w:rPr>
      <w:rFonts w:eastAsia="Palatino Linotype" w:cs="Palatino Linotype"/>
      <w:lang w:eastAsia="es-MX"/>
    </w:rPr>
  </w:style>
  <w:style w:type="paragraph" w:styleId="TDC2">
    <w:name w:val="toc 2"/>
    <w:basedOn w:val="Normal"/>
    <w:next w:val="Normal"/>
    <w:autoRedefine/>
    <w:uiPriority w:val="39"/>
    <w:unhideWhenUsed/>
    <w:rsid w:val="00B3395B"/>
    <w:pPr>
      <w:spacing w:after="100" w:line="254" w:lineRule="auto"/>
      <w:ind w:left="220"/>
    </w:pPr>
    <w:rPr>
      <w:rFonts w:eastAsia="Palatino Linotype" w:cs="Palatino Linotype"/>
      <w:lang w:eastAsia="es-MX"/>
    </w:rPr>
  </w:style>
  <w:style w:type="character" w:customStyle="1" w:styleId="Ttulo2Car">
    <w:name w:val="Título 2 Car"/>
    <w:basedOn w:val="Fuentedeprrafopredeter"/>
    <w:link w:val="Ttulo2"/>
    <w:uiPriority w:val="9"/>
    <w:rsid w:val="0030792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04402">
      <w:bodyDiv w:val="1"/>
      <w:marLeft w:val="0"/>
      <w:marRight w:val="0"/>
      <w:marTop w:val="0"/>
      <w:marBottom w:val="0"/>
      <w:divBdr>
        <w:top w:val="none" w:sz="0" w:space="0" w:color="auto"/>
        <w:left w:val="none" w:sz="0" w:space="0" w:color="auto"/>
        <w:bottom w:val="none" w:sz="0" w:space="0" w:color="auto"/>
        <w:right w:val="none" w:sz="0" w:space="0" w:color="auto"/>
      </w:divBdr>
    </w:div>
    <w:div w:id="132262198">
      <w:bodyDiv w:val="1"/>
      <w:marLeft w:val="0"/>
      <w:marRight w:val="0"/>
      <w:marTop w:val="0"/>
      <w:marBottom w:val="0"/>
      <w:divBdr>
        <w:top w:val="none" w:sz="0" w:space="0" w:color="auto"/>
        <w:left w:val="none" w:sz="0" w:space="0" w:color="auto"/>
        <w:bottom w:val="none" w:sz="0" w:space="0" w:color="auto"/>
        <w:right w:val="none" w:sz="0" w:space="0" w:color="auto"/>
      </w:divBdr>
    </w:div>
    <w:div w:id="142283215">
      <w:bodyDiv w:val="1"/>
      <w:marLeft w:val="0"/>
      <w:marRight w:val="0"/>
      <w:marTop w:val="0"/>
      <w:marBottom w:val="0"/>
      <w:divBdr>
        <w:top w:val="none" w:sz="0" w:space="0" w:color="auto"/>
        <w:left w:val="none" w:sz="0" w:space="0" w:color="auto"/>
        <w:bottom w:val="none" w:sz="0" w:space="0" w:color="auto"/>
        <w:right w:val="none" w:sz="0" w:space="0" w:color="auto"/>
      </w:divBdr>
    </w:div>
    <w:div w:id="173610851">
      <w:bodyDiv w:val="1"/>
      <w:marLeft w:val="0"/>
      <w:marRight w:val="0"/>
      <w:marTop w:val="0"/>
      <w:marBottom w:val="0"/>
      <w:divBdr>
        <w:top w:val="none" w:sz="0" w:space="0" w:color="auto"/>
        <w:left w:val="none" w:sz="0" w:space="0" w:color="auto"/>
        <w:bottom w:val="none" w:sz="0" w:space="0" w:color="auto"/>
        <w:right w:val="none" w:sz="0" w:space="0" w:color="auto"/>
      </w:divBdr>
    </w:div>
    <w:div w:id="191110448">
      <w:bodyDiv w:val="1"/>
      <w:marLeft w:val="0"/>
      <w:marRight w:val="0"/>
      <w:marTop w:val="0"/>
      <w:marBottom w:val="0"/>
      <w:divBdr>
        <w:top w:val="none" w:sz="0" w:space="0" w:color="auto"/>
        <w:left w:val="none" w:sz="0" w:space="0" w:color="auto"/>
        <w:bottom w:val="none" w:sz="0" w:space="0" w:color="auto"/>
        <w:right w:val="none" w:sz="0" w:space="0" w:color="auto"/>
      </w:divBdr>
    </w:div>
    <w:div w:id="213200267">
      <w:bodyDiv w:val="1"/>
      <w:marLeft w:val="0"/>
      <w:marRight w:val="0"/>
      <w:marTop w:val="0"/>
      <w:marBottom w:val="0"/>
      <w:divBdr>
        <w:top w:val="none" w:sz="0" w:space="0" w:color="auto"/>
        <w:left w:val="none" w:sz="0" w:space="0" w:color="auto"/>
        <w:bottom w:val="none" w:sz="0" w:space="0" w:color="auto"/>
        <w:right w:val="none" w:sz="0" w:space="0" w:color="auto"/>
      </w:divBdr>
    </w:div>
    <w:div w:id="234365209">
      <w:bodyDiv w:val="1"/>
      <w:marLeft w:val="0"/>
      <w:marRight w:val="0"/>
      <w:marTop w:val="0"/>
      <w:marBottom w:val="0"/>
      <w:divBdr>
        <w:top w:val="none" w:sz="0" w:space="0" w:color="auto"/>
        <w:left w:val="none" w:sz="0" w:space="0" w:color="auto"/>
        <w:bottom w:val="none" w:sz="0" w:space="0" w:color="auto"/>
        <w:right w:val="none" w:sz="0" w:space="0" w:color="auto"/>
      </w:divBdr>
    </w:div>
    <w:div w:id="358508053">
      <w:bodyDiv w:val="1"/>
      <w:marLeft w:val="0"/>
      <w:marRight w:val="0"/>
      <w:marTop w:val="0"/>
      <w:marBottom w:val="0"/>
      <w:divBdr>
        <w:top w:val="none" w:sz="0" w:space="0" w:color="auto"/>
        <w:left w:val="none" w:sz="0" w:space="0" w:color="auto"/>
        <w:bottom w:val="none" w:sz="0" w:space="0" w:color="auto"/>
        <w:right w:val="none" w:sz="0" w:space="0" w:color="auto"/>
      </w:divBdr>
    </w:div>
    <w:div w:id="360008982">
      <w:bodyDiv w:val="1"/>
      <w:marLeft w:val="0"/>
      <w:marRight w:val="0"/>
      <w:marTop w:val="0"/>
      <w:marBottom w:val="0"/>
      <w:divBdr>
        <w:top w:val="none" w:sz="0" w:space="0" w:color="auto"/>
        <w:left w:val="none" w:sz="0" w:space="0" w:color="auto"/>
        <w:bottom w:val="none" w:sz="0" w:space="0" w:color="auto"/>
        <w:right w:val="none" w:sz="0" w:space="0" w:color="auto"/>
      </w:divBdr>
    </w:div>
    <w:div w:id="366875169">
      <w:bodyDiv w:val="1"/>
      <w:marLeft w:val="0"/>
      <w:marRight w:val="0"/>
      <w:marTop w:val="0"/>
      <w:marBottom w:val="0"/>
      <w:divBdr>
        <w:top w:val="none" w:sz="0" w:space="0" w:color="auto"/>
        <w:left w:val="none" w:sz="0" w:space="0" w:color="auto"/>
        <w:bottom w:val="none" w:sz="0" w:space="0" w:color="auto"/>
        <w:right w:val="none" w:sz="0" w:space="0" w:color="auto"/>
      </w:divBdr>
    </w:div>
    <w:div w:id="435684276">
      <w:bodyDiv w:val="1"/>
      <w:marLeft w:val="0"/>
      <w:marRight w:val="0"/>
      <w:marTop w:val="0"/>
      <w:marBottom w:val="0"/>
      <w:divBdr>
        <w:top w:val="none" w:sz="0" w:space="0" w:color="auto"/>
        <w:left w:val="none" w:sz="0" w:space="0" w:color="auto"/>
        <w:bottom w:val="none" w:sz="0" w:space="0" w:color="auto"/>
        <w:right w:val="none" w:sz="0" w:space="0" w:color="auto"/>
      </w:divBdr>
    </w:div>
    <w:div w:id="570191861">
      <w:bodyDiv w:val="1"/>
      <w:marLeft w:val="0"/>
      <w:marRight w:val="0"/>
      <w:marTop w:val="0"/>
      <w:marBottom w:val="0"/>
      <w:divBdr>
        <w:top w:val="none" w:sz="0" w:space="0" w:color="auto"/>
        <w:left w:val="none" w:sz="0" w:space="0" w:color="auto"/>
        <w:bottom w:val="none" w:sz="0" w:space="0" w:color="auto"/>
        <w:right w:val="none" w:sz="0" w:space="0" w:color="auto"/>
      </w:divBdr>
    </w:div>
    <w:div w:id="722867016">
      <w:bodyDiv w:val="1"/>
      <w:marLeft w:val="0"/>
      <w:marRight w:val="0"/>
      <w:marTop w:val="0"/>
      <w:marBottom w:val="0"/>
      <w:divBdr>
        <w:top w:val="none" w:sz="0" w:space="0" w:color="auto"/>
        <w:left w:val="none" w:sz="0" w:space="0" w:color="auto"/>
        <w:bottom w:val="none" w:sz="0" w:space="0" w:color="auto"/>
        <w:right w:val="none" w:sz="0" w:space="0" w:color="auto"/>
      </w:divBdr>
    </w:div>
    <w:div w:id="739715864">
      <w:bodyDiv w:val="1"/>
      <w:marLeft w:val="0"/>
      <w:marRight w:val="0"/>
      <w:marTop w:val="0"/>
      <w:marBottom w:val="0"/>
      <w:divBdr>
        <w:top w:val="none" w:sz="0" w:space="0" w:color="auto"/>
        <w:left w:val="none" w:sz="0" w:space="0" w:color="auto"/>
        <w:bottom w:val="none" w:sz="0" w:space="0" w:color="auto"/>
        <w:right w:val="none" w:sz="0" w:space="0" w:color="auto"/>
      </w:divBdr>
    </w:div>
    <w:div w:id="783379618">
      <w:bodyDiv w:val="1"/>
      <w:marLeft w:val="0"/>
      <w:marRight w:val="0"/>
      <w:marTop w:val="0"/>
      <w:marBottom w:val="0"/>
      <w:divBdr>
        <w:top w:val="none" w:sz="0" w:space="0" w:color="auto"/>
        <w:left w:val="none" w:sz="0" w:space="0" w:color="auto"/>
        <w:bottom w:val="none" w:sz="0" w:space="0" w:color="auto"/>
        <w:right w:val="none" w:sz="0" w:space="0" w:color="auto"/>
      </w:divBdr>
    </w:div>
    <w:div w:id="809593254">
      <w:bodyDiv w:val="1"/>
      <w:marLeft w:val="0"/>
      <w:marRight w:val="0"/>
      <w:marTop w:val="0"/>
      <w:marBottom w:val="0"/>
      <w:divBdr>
        <w:top w:val="none" w:sz="0" w:space="0" w:color="auto"/>
        <w:left w:val="none" w:sz="0" w:space="0" w:color="auto"/>
        <w:bottom w:val="none" w:sz="0" w:space="0" w:color="auto"/>
        <w:right w:val="none" w:sz="0" w:space="0" w:color="auto"/>
      </w:divBdr>
    </w:div>
    <w:div w:id="847520475">
      <w:bodyDiv w:val="1"/>
      <w:marLeft w:val="0"/>
      <w:marRight w:val="0"/>
      <w:marTop w:val="0"/>
      <w:marBottom w:val="0"/>
      <w:divBdr>
        <w:top w:val="none" w:sz="0" w:space="0" w:color="auto"/>
        <w:left w:val="none" w:sz="0" w:space="0" w:color="auto"/>
        <w:bottom w:val="none" w:sz="0" w:space="0" w:color="auto"/>
        <w:right w:val="none" w:sz="0" w:space="0" w:color="auto"/>
      </w:divBdr>
    </w:div>
    <w:div w:id="884608984">
      <w:bodyDiv w:val="1"/>
      <w:marLeft w:val="0"/>
      <w:marRight w:val="0"/>
      <w:marTop w:val="0"/>
      <w:marBottom w:val="0"/>
      <w:divBdr>
        <w:top w:val="none" w:sz="0" w:space="0" w:color="auto"/>
        <w:left w:val="none" w:sz="0" w:space="0" w:color="auto"/>
        <w:bottom w:val="none" w:sz="0" w:space="0" w:color="auto"/>
        <w:right w:val="none" w:sz="0" w:space="0" w:color="auto"/>
      </w:divBdr>
    </w:div>
    <w:div w:id="907112894">
      <w:bodyDiv w:val="1"/>
      <w:marLeft w:val="0"/>
      <w:marRight w:val="0"/>
      <w:marTop w:val="0"/>
      <w:marBottom w:val="0"/>
      <w:divBdr>
        <w:top w:val="none" w:sz="0" w:space="0" w:color="auto"/>
        <w:left w:val="none" w:sz="0" w:space="0" w:color="auto"/>
        <w:bottom w:val="none" w:sz="0" w:space="0" w:color="auto"/>
        <w:right w:val="none" w:sz="0" w:space="0" w:color="auto"/>
      </w:divBdr>
    </w:div>
    <w:div w:id="908461056">
      <w:bodyDiv w:val="1"/>
      <w:marLeft w:val="0"/>
      <w:marRight w:val="0"/>
      <w:marTop w:val="0"/>
      <w:marBottom w:val="0"/>
      <w:divBdr>
        <w:top w:val="none" w:sz="0" w:space="0" w:color="auto"/>
        <w:left w:val="none" w:sz="0" w:space="0" w:color="auto"/>
        <w:bottom w:val="none" w:sz="0" w:space="0" w:color="auto"/>
        <w:right w:val="none" w:sz="0" w:space="0" w:color="auto"/>
      </w:divBdr>
    </w:div>
    <w:div w:id="924220362">
      <w:bodyDiv w:val="1"/>
      <w:marLeft w:val="0"/>
      <w:marRight w:val="0"/>
      <w:marTop w:val="0"/>
      <w:marBottom w:val="0"/>
      <w:divBdr>
        <w:top w:val="none" w:sz="0" w:space="0" w:color="auto"/>
        <w:left w:val="none" w:sz="0" w:space="0" w:color="auto"/>
        <w:bottom w:val="none" w:sz="0" w:space="0" w:color="auto"/>
        <w:right w:val="none" w:sz="0" w:space="0" w:color="auto"/>
      </w:divBdr>
    </w:div>
    <w:div w:id="945961161">
      <w:bodyDiv w:val="1"/>
      <w:marLeft w:val="0"/>
      <w:marRight w:val="0"/>
      <w:marTop w:val="0"/>
      <w:marBottom w:val="0"/>
      <w:divBdr>
        <w:top w:val="none" w:sz="0" w:space="0" w:color="auto"/>
        <w:left w:val="none" w:sz="0" w:space="0" w:color="auto"/>
        <w:bottom w:val="none" w:sz="0" w:space="0" w:color="auto"/>
        <w:right w:val="none" w:sz="0" w:space="0" w:color="auto"/>
      </w:divBdr>
    </w:div>
    <w:div w:id="970473678">
      <w:bodyDiv w:val="1"/>
      <w:marLeft w:val="0"/>
      <w:marRight w:val="0"/>
      <w:marTop w:val="0"/>
      <w:marBottom w:val="0"/>
      <w:divBdr>
        <w:top w:val="none" w:sz="0" w:space="0" w:color="auto"/>
        <w:left w:val="none" w:sz="0" w:space="0" w:color="auto"/>
        <w:bottom w:val="none" w:sz="0" w:space="0" w:color="auto"/>
        <w:right w:val="none" w:sz="0" w:space="0" w:color="auto"/>
      </w:divBdr>
    </w:div>
    <w:div w:id="1014067574">
      <w:bodyDiv w:val="1"/>
      <w:marLeft w:val="0"/>
      <w:marRight w:val="0"/>
      <w:marTop w:val="0"/>
      <w:marBottom w:val="0"/>
      <w:divBdr>
        <w:top w:val="none" w:sz="0" w:space="0" w:color="auto"/>
        <w:left w:val="none" w:sz="0" w:space="0" w:color="auto"/>
        <w:bottom w:val="none" w:sz="0" w:space="0" w:color="auto"/>
        <w:right w:val="none" w:sz="0" w:space="0" w:color="auto"/>
      </w:divBdr>
    </w:div>
    <w:div w:id="1040058621">
      <w:bodyDiv w:val="1"/>
      <w:marLeft w:val="0"/>
      <w:marRight w:val="0"/>
      <w:marTop w:val="0"/>
      <w:marBottom w:val="0"/>
      <w:divBdr>
        <w:top w:val="none" w:sz="0" w:space="0" w:color="auto"/>
        <w:left w:val="none" w:sz="0" w:space="0" w:color="auto"/>
        <w:bottom w:val="none" w:sz="0" w:space="0" w:color="auto"/>
        <w:right w:val="none" w:sz="0" w:space="0" w:color="auto"/>
      </w:divBdr>
    </w:div>
    <w:div w:id="1042678430">
      <w:bodyDiv w:val="1"/>
      <w:marLeft w:val="0"/>
      <w:marRight w:val="0"/>
      <w:marTop w:val="0"/>
      <w:marBottom w:val="0"/>
      <w:divBdr>
        <w:top w:val="none" w:sz="0" w:space="0" w:color="auto"/>
        <w:left w:val="none" w:sz="0" w:space="0" w:color="auto"/>
        <w:bottom w:val="none" w:sz="0" w:space="0" w:color="auto"/>
        <w:right w:val="none" w:sz="0" w:space="0" w:color="auto"/>
      </w:divBdr>
    </w:div>
    <w:div w:id="1096369200">
      <w:bodyDiv w:val="1"/>
      <w:marLeft w:val="0"/>
      <w:marRight w:val="0"/>
      <w:marTop w:val="0"/>
      <w:marBottom w:val="0"/>
      <w:divBdr>
        <w:top w:val="none" w:sz="0" w:space="0" w:color="auto"/>
        <w:left w:val="none" w:sz="0" w:space="0" w:color="auto"/>
        <w:bottom w:val="none" w:sz="0" w:space="0" w:color="auto"/>
        <w:right w:val="none" w:sz="0" w:space="0" w:color="auto"/>
      </w:divBdr>
    </w:div>
    <w:div w:id="1120224399">
      <w:bodyDiv w:val="1"/>
      <w:marLeft w:val="0"/>
      <w:marRight w:val="0"/>
      <w:marTop w:val="0"/>
      <w:marBottom w:val="0"/>
      <w:divBdr>
        <w:top w:val="none" w:sz="0" w:space="0" w:color="auto"/>
        <w:left w:val="none" w:sz="0" w:space="0" w:color="auto"/>
        <w:bottom w:val="none" w:sz="0" w:space="0" w:color="auto"/>
        <w:right w:val="none" w:sz="0" w:space="0" w:color="auto"/>
      </w:divBdr>
    </w:div>
    <w:div w:id="1122115264">
      <w:bodyDiv w:val="1"/>
      <w:marLeft w:val="0"/>
      <w:marRight w:val="0"/>
      <w:marTop w:val="0"/>
      <w:marBottom w:val="0"/>
      <w:divBdr>
        <w:top w:val="none" w:sz="0" w:space="0" w:color="auto"/>
        <w:left w:val="none" w:sz="0" w:space="0" w:color="auto"/>
        <w:bottom w:val="none" w:sz="0" w:space="0" w:color="auto"/>
        <w:right w:val="none" w:sz="0" w:space="0" w:color="auto"/>
      </w:divBdr>
    </w:div>
    <w:div w:id="1189416324">
      <w:bodyDiv w:val="1"/>
      <w:marLeft w:val="0"/>
      <w:marRight w:val="0"/>
      <w:marTop w:val="0"/>
      <w:marBottom w:val="0"/>
      <w:divBdr>
        <w:top w:val="none" w:sz="0" w:space="0" w:color="auto"/>
        <w:left w:val="none" w:sz="0" w:space="0" w:color="auto"/>
        <w:bottom w:val="none" w:sz="0" w:space="0" w:color="auto"/>
        <w:right w:val="none" w:sz="0" w:space="0" w:color="auto"/>
      </w:divBdr>
    </w:div>
    <w:div w:id="1238202197">
      <w:bodyDiv w:val="1"/>
      <w:marLeft w:val="0"/>
      <w:marRight w:val="0"/>
      <w:marTop w:val="0"/>
      <w:marBottom w:val="0"/>
      <w:divBdr>
        <w:top w:val="none" w:sz="0" w:space="0" w:color="auto"/>
        <w:left w:val="none" w:sz="0" w:space="0" w:color="auto"/>
        <w:bottom w:val="none" w:sz="0" w:space="0" w:color="auto"/>
        <w:right w:val="none" w:sz="0" w:space="0" w:color="auto"/>
      </w:divBdr>
    </w:div>
    <w:div w:id="1365600081">
      <w:bodyDiv w:val="1"/>
      <w:marLeft w:val="0"/>
      <w:marRight w:val="0"/>
      <w:marTop w:val="0"/>
      <w:marBottom w:val="0"/>
      <w:divBdr>
        <w:top w:val="none" w:sz="0" w:space="0" w:color="auto"/>
        <w:left w:val="none" w:sz="0" w:space="0" w:color="auto"/>
        <w:bottom w:val="none" w:sz="0" w:space="0" w:color="auto"/>
        <w:right w:val="none" w:sz="0" w:space="0" w:color="auto"/>
      </w:divBdr>
    </w:div>
    <w:div w:id="1465847605">
      <w:bodyDiv w:val="1"/>
      <w:marLeft w:val="0"/>
      <w:marRight w:val="0"/>
      <w:marTop w:val="0"/>
      <w:marBottom w:val="0"/>
      <w:divBdr>
        <w:top w:val="none" w:sz="0" w:space="0" w:color="auto"/>
        <w:left w:val="none" w:sz="0" w:space="0" w:color="auto"/>
        <w:bottom w:val="none" w:sz="0" w:space="0" w:color="auto"/>
        <w:right w:val="none" w:sz="0" w:space="0" w:color="auto"/>
      </w:divBdr>
    </w:div>
    <w:div w:id="1488133354">
      <w:bodyDiv w:val="1"/>
      <w:marLeft w:val="0"/>
      <w:marRight w:val="0"/>
      <w:marTop w:val="0"/>
      <w:marBottom w:val="0"/>
      <w:divBdr>
        <w:top w:val="none" w:sz="0" w:space="0" w:color="auto"/>
        <w:left w:val="none" w:sz="0" w:space="0" w:color="auto"/>
        <w:bottom w:val="none" w:sz="0" w:space="0" w:color="auto"/>
        <w:right w:val="none" w:sz="0" w:space="0" w:color="auto"/>
      </w:divBdr>
    </w:div>
    <w:div w:id="1507671979">
      <w:bodyDiv w:val="1"/>
      <w:marLeft w:val="0"/>
      <w:marRight w:val="0"/>
      <w:marTop w:val="0"/>
      <w:marBottom w:val="0"/>
      <w:divBdr>
        <w:top w:val="none" w:sz="0" w:space="0" w:color="auto"/>
        <w:left w:val="none" w:sz="0" w:space="0" w:color="auto"/>
        <w:bottom w:val="none" w:sz="0" w:space="0" w:color="auto"/>
        <w:right w:val="none" w:sz="0" w:space="0" w:color="auto"/>
      </w:divBdr>
    </w:div>
    <w:div w:id="1586497489">
      <w:bodyDiv w:val="1"/>
      <w:marLeft w:val="0"/>
      <w:marRight w:val="0"/>
      <w:marTop w:val="0"/>
      <w:marBottom w:val="0"/>
      <w:divBdr>
        <w:top w:val="none" w:sz="0" w:space="0" w:color="auto"/>
        <w:left w:val="none" w:sz="0" w:space="0" w:color="auto"/>
        <w:bottom w:val="none" w:sz="0" w:space="0" w:color="auto"/>
        <w:right w:val="none" w:sz="0" w:space="0" w:color="auto"/>
      </w:divBdr>
    </w:div>
    <w:div w:id="1621303085">
      <w:bodyDiv w:val="1"/>
      <w:marLeft w:val="0"/>
      <w:marRight w:val="0"/>
      <w:marTop w:val="0"/>
      <w:marBottom w:val="0"/>
      <w:divBdr>
        <w:top w:val="none" w:sz="0" w:space="0" w:color="auto"/>
        <w:left w:val="none" w:sz="0" w:space="0" w:color="auto"/>
        <w:bottom w:val="none" w:sz="0" w:space="0" w:color="auto"/>
        <w:right w:val="none" w:sz="0" w:space="0" w:color="auto"/>
      </w:divBdr>
    </w:div>
    <w:div w:id="1677804560">
      <w:bodyDiv w:val="1"/>
      <w:marLeft w:val="0"/>
      <w:marRight w:val="0"/>
      <w:marTop w:val="0"/>
      <w:marBottom w:val="0"/>
      <w:divBdr>
        <w:top w:val="none" w:sz="0" w:space="0" w:color="auto"/>
        <w:left w:val="none" w:sz="0" w:space="0" w:color="auto"/>
        <w:bottom w:val="none" w:sz="0" w:space="0" w:color="auto"/>
        <w:right w:val="none" w:sz="0" w:space="0" w:color="auto"/>
      </w:divBdr>
    </w:div>
    <w:div w:id="1747916354">
      <w:bodyDiv w:val="1"/>
      <w:marLeft w:val="0"/>
      <w:marRight w:val="0"/>
      <w:marTop w:val="0"/>
      <w:marBottom w:val="0"/>
      <w:divBdr>
        <w:top w:val="none" w:sz="0" w:space="0" w:color="auto"/>
        <w:left w:val="none" w:sz="0" w:space="0" w:color="auto"/>
        <w:bottom w:val="none" w:sz="0" w:space="0" w:color="auto"/>
        <w:right w:val="none" w:sz="0" w:space="0" w:color="auto"/>
      </w:divBdr>
    </w:div>
    <w:div w:id="1845507755">
      <w:bodyDiv w:val="1"/>
      <w:marLeft w:val="0"/>
      <w:marRight w:val="0"/>
      <w:marTop w:val="0"/>
      <w:marBottom w:val="0"/>
      <w:divBdr>
        <w:top w:val="none" w:sz="0" w:space="0" w:color="auto"/>
        <w:left w:val="none" w:sz="0" w:space="0" w:color="auto"/>
        <w:bottom w:val="none" w:sz="0" w:space="0" w:color="auto"/>
        <w:right w:val="none" w:sz="0" w:space="0" w:color="auto"/>
      </w:divBdr>
    </w:div>
    <w:div w:id="1893734889">
      <w:bodyDiv w:val="1"/>
      <w:marLeft w:val="0"/>
      <w:marRight w:val="0"/>
      <w:marTop w:val="0"/>
      <w:marBottom w:val="0"/>
      <w:divBdr>
        <w:top w:val="none" w:sz="0" w:space="0" w:color="auto"/>
        <w:left w:val="none" w:sz="0" w:space="0" w:color="auto"/>
        <w:bottom w:val="none" w:sz="0" w:space="0" w:color="auto"/>
        <w:right w:val="none" w:sz="0" w:space="0" w:color="auto"/>
      </w:divBdr>
    </w:div>
    <w:div w:id="1945919925">
      <w:bodyDiv w:val="1"/>
      <w:marLeft w:val="0"/>
      <w:marRight w:val="0"/>
      <w:marTop w:val="0"/>
      <w:marBottom w:val="0"/>
      <w:divBdr>
        <w:top w:val="none" w:sz="0" w:space="0" w:color="auto"/>
        <w:left w:val="none" w:sz="0" w:space="0" w:color="auto"/>
        <w:bottom w:val="none" w:sz="0" w:space="0" w:color="auto"/>
        <w:right w:val="none" w:sz="0" w:space="0" w:color="auto"/>
      </w:divBdr>
    </w:div>
    <w:div w:id="1961763206">
      <w:bodyDiv w:val="1"/>
      <w:marLeft w:val="0"/>
      <w:marRight w:val="0"/>
      <w:marTop w:val="0"/>
      <w:marBottom w:val="0"/>
      <w:divBdr>
        <w:top w:val="none" w:sz="0" w:space="0" w:color="auto"/>
        <w:left w:val="none" w:sz="0" w:space="0" w:color="auto"/>
        <w:bottom w:val="none" w:sz="0" w:space="0" w:color="auto"/>
        <w:right w:val="none" w:sz="0" w:space="0" w:color="auto"/>
      </w:divBdr>
    </w:div>
    <w:div w:id="1984504916">
      <w:bodyDiv w:val="1"/>
      <w:marLeft w:val="0"/>
      <w:marRight w:val="0"/>
      <w:marTop w:val="0"/>
      <w:marBottom w:val="0"/>
      <w:divBdr>
        <w:top w:val="none" w:sz="0" w:space="0" w:color="auto"/>
        <w:left w:val="none" w:sz="0" w:space="0" w:color="auto"/>
        <w:bottom w:val="none" w:sz="0" w:space="0" w:color="auto"/>
        <w:right w:val="none" w:sz="0" w:space="0" w:color="auto"/>
      </w:divBdr>
    </w:div>
    <w:div w:id="2002804605">
      <w:bodyDiv w:val="1"/>
      <w:marLeft w:val="0"/>
      <w:marRight w:val="0"/>
      <w:marTop w:val="0"/>
      <w:marBottom w:val="0"/>
      <w:divBdr>
        <w:top w:val="none" w:sz="0" w:space="0" w:color="auto"/>
        <w:left w:val="none" w:sz="0" w:space="0" w:color="auto"/>
        <w:bottom w:val="none" w:sz="0" w:space="0" w:color="auto"/>
        <w:right w:val="none" w:sz="0" w:space="0" w:color="auto"/>
      </w:divBdr>
    </w:div>
    <w:div w:id="2033144149">
      <w:bodyDiv w:val="1"/>
      <w:marLeft w:val="0"/>
      <w:marRight w:val="0"/>
      <w:marTop w:val="0"/>
      <w:marBottom w:val="0"/>
      <w:divBdr>
        <w:top w:val="none" w:sz="0" w:space="0" w:color="auto"/>
        <w:left w:val="none" w:sz="0" w:space="0" w:color="auto"/>
        <w:bottom w:val="none" w:sz="0" w:space="0" w:color="auto"/>
        <w:right w:val="none" w:sz="0" w:space="0" w:color="auto"/>
      </w:divBdr>
    </w:div>
    <w:div w:id="2063362094">
      <w:bodyDiv w:val="1"/>
      <w:marLeft w:val="0"/>
      <w:marRight w:val="0"/>
      <w:marTop w:val="0"/>
      <w:marBottom w:val="0"/>
      <w:divBdr>
        <w:top w:val="none" w:sz="0" w:space="0" w:color="auto"/>
        <w:left w:val="none" w:sz="0" w:space="0" w:color="auto"/>
        <w:bottom w:val="none" w:sz="0" w:space="0" w:color="auto"/>
        <w:right w:val="none" w:sz="0" w:space="0" w:color="auto"/>
      </w:divBdr>
    </w:div>
    <w:div w:id="2133136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dusef.gob.mx/Revista/index.php/usuario-inteligente/condusef-responde/777-la-condusef-te-puede-ayuda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b.mx/segob/renapo/acciones-y-programas/clave-unica-de-registro-depoblacion-curp-142226"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consultas.curp.gob.mx/CurpSP/html/informacionecurpPS.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95178-DC35-46C3-AA33-5B5A2D18B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10188</Words>
  <Characters>56037</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oswaldo</dc:creator>
  <cp:keywords/>
  <dc:description/>
  <cp:lastModifiedBy>Office</cp:lastModifiedBy>
  <cp:revision>3</cp:revision>
  <cp:lastPrinted>2025-03-14T05:26:00Z</cp:lastPrinted>
  <dcterms:created xsi:type="dcterms:W3CDTF">2025-03-14T05:25:00Z</dcterms:created>
  <dcterms:modified xsi:type="dcterms:W3CDTF">2025-03-14T05:26:00Z</dcterms:modified>
</cp:coreProperties>
</file>