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8C" w:rsidRPr="00023AC6" w:rsidRDefault="00480B8C" w:rsidP="00480B8C">
      <w:pPr>
        <w:spacing w:line="360" w:lineRule="auto"/>
        <w:jc w:val="both"/>
        <w:rPr>
          <w:rFonts w:ascii="Palatino Linotype" w:eastAsiaTheme="minorEastAsia" w:hAnsi="Palatino Linotype"/>
          <w:sz w:val="22"/>
          <w:szCs w:val="22"/>
          <w:lang w:val="es-ES_tradnl" w:eastAsia="es-ES"/>
        </w:rPr>
      </w:pPr>
      <w:r w:rsidRPr="00023AC6">
        <w:rPr>
          <w:rFonts w:ascii="Palatino Linotype" w:eastAsiaTheme="minorEastAsia" w:hAnsi="Palatino Linotype"/>
          <w:sz w:val="22"/>
          <w:szCs w:val="22"/>
          <w:lang w:val="es-ES_tradnl" w:eastAsia="es-ES"/>
        </w:rPr>
        <w:t xml:space="preserve">Resolución del Pleno del Instituto de Transparencia, Acceso a la Información Pública y Protección de Datos Personales del Estado de México y Municipios, con domicilio en Metepec, Estado de México; del quince (15) </w:t>
      </w:r>
      <w:r w:rsidR="00B66EAE" w:rsidRPr="00023AC6">
        <w:rPr>
          <w:rFonts w:ascii="Palatino Linotype" w:eastAsiaTheme="minorEastAsia" w:hAnsi="Palatino Linotype"/>
          <w:sz w:val="22"/>
          <w:szCs w:val="22"/>
          <w:lang w:val="es-ES_tradnl" w:eastAsia="es-ES"/>
        </w:rPr>
        <w:t>de enero de dos mil veinticinco</w:t>
      </w:r>
      <w:r w:rsidRPr="00023AC6">
        <w:rPr>
          <w:rFonts w:ascii="Palatino Linotype" w:eastAsiaTheme="minorEastAsia" w:hAnsi="Palatino Linotype"/>
          <w:sz w:val="22"/>
          <w:szCs w:val="22"/>
          <w:lang w:val="es-ES_tradnl" w:eastAsia="es-ES"/>
        </w:rPr>
        <w:t xml:space="preserve">. </w:t>
      </w:r>
    </w:p>
    <w:p w:rsidR="00480B8C" w:rsidRPr="00023AC6" w:rsidRDefault="00480B8C" w:rsidP="00480B8C">
      <w:pPr>
        <w:spacing w:line="360" w:lineRule="auto"/>
        <w:jc w:val="both"/>
        <w:rPr>
          <w:rFonts w:ascii="Palatino Linotype" w:eastAsiaTheme="minorEastAsia" w:hAnsi="Palatino Linotype"/>
          <w:sz w:val="22"/>
          <w:szCs w:val="22"/>
          <w:lang w:val="es-ES_tradnl" w:eastAsia="es-ES"/>
        </w:rPr>
      </w:pPr>
    </w:p>
    <w:p w:rsidR="00480B8C" w:rsidRPr="00023AC6" w:rsidRDefault="00480B8C" w:rsidP="00480B8C">
      <w:pPr>
        <w:spacing w:line="360" w:lineRule="auto"/>
        <w:jc w:val="both"/>
        <w:rPr>
          <w:rFonts w:ascii="Palatino Linotype" w:hAnsi="Palatino Linotype"/>
          <w:sz w:val="22"/>
          <w:szCs w:val="22"/>
        </w:rPr>
      </w:pPr>
      <w:r w:rsidRPr="00023AC6">
        <w:rPr>
          <w:rFonts w:ascii="Palatino Linotype" w:hAnsi="Palatino Linotype"/>
          <w:b/>
          <w:sz w:val="22"/>
          <w:szCs w:val="22"/>
        </w:rPr>
        <w:t>VISTO</w:t>
      </w:r>
      <w:r w:rsidRPr="00023AC6">
        <w:rPr>
          <w:rFonts w:ascii="Palatino Linotype" w:hAnsi="Palatino Linotype"/>
          <w:sz w:val="22"/>
          <w:szCs w:val="22"/>
        </w:rPr>
        <w:t xml:space="preserve"> el expediente electrónico formado con motivo del recurso de revisión </w:t>
      </w:r>
      <w:r w:rsidRPr="00023AC6">
        <w:rPr>
          <w:rFonts w:ascii="Palatino Linotype" w:hAnsi="Palatino Linotype"/>
          <w:b/>
          <w:sz w:val="22"/>
          <w:szCs w:val="22"/>
        </w:rPr>
        <w:t>07458/INFOEM/IP/RR/2024,</w:t>
      </w:r>
      <w:r w:rsidRPr="00023AC6">
        <w:rPr>
          <w:rFonts w:ascii="Palatino Linotype" w:hAnsi="Palatino Linotype" w:cs="Arial"/>
          <w:b/>
          <w:bCs/>
          <w:sz w:val="22"/>
          <w:szCs w:val="22"/>
        </w:rPr>
        <w:t xml:space="preserve"> </w:t>
      </w:r>
      <w:r w:rsidRPr="00023AC6">
        <w:rPr>
          <w:rFonts w:ascii="Palatino Linotype" w:eastAsiaTheme="minorEastAsia" w:hAnsi="Palatino Linotype"/>
          <w:sz w:val="22"/>
          <w:szCs w:val="22"/>
          <w:lang w:val="es-ES_tradnl" w:eastAsia="es-ES"/>
        </w:rPr>
        <w:t>promovido</w:t>
      </w:r>
      <w:r w:rsidR="00B66EAE" w:rsidRPr="00023AC6">
        <w:rPr>
          <w:rFonts w:ascii="Palatino Linotype" w:eastAsiaTheme="minorEastAsia" w:hAnsi="Palatino Linotype"/>
          <w:sz w:val="22"/>
          <w:szCs w:val="22"/>
          <w:lang w:val="es-ES_tradnl" w:eastAsia="es-ES"/>
        </w:rPr>
        <w:t xml:space="preserve"> por</w:t>
      </w:r>
      <w:r w:rsidRPr="00023AC6">
        <w:rPr>
          <w:rFonts w:ascii="Palatino Linotype" w:eastAsiaTheme="minorEastAsia" w:hAnsi="Palatino Linotype"/>
          <w:sz w:val="22"/>
          <w:szCs w:val="22"/>
          <w:lang w:val="es-ES_tradnl" w:eastAsia="es-ES"/>
        </w:rPr>
        <w:t xml:space="preserve"> </w:t>
      </w:r>
      <w:r w:rsidR="00023AC6" w:rsidRPr="00023AC6">
        <w:rPr>
          <w:rFonts w:ascii="Palatino Linotype" w:eastAsiaTheme="minorEastAsia" w:hAnsi="Palatino Linotype"/>
          <w:b/>
          <w:bCs/>
          <w:sz w:val="22"/>
          <w:szCs w:val="22"/>
          <w:lang w:eastAsia="es-ES"/>
        </w:rPr>
        <w:t>XXXXXXX</w:t>
      </w:r>
      <w:r w:rsidRPr="00023AC6">
        <w:rPr>
          <w:rFonts w:ascii="Palatino Linotype" w:eastAsiaTheme="minorEastAsia" w:hAnsi="Palatino Linotype"/>
          <w:b/>
          <w:sz w:val="22"/>
          <w:szCs w:val="22"/>
          <w:lang w:val="es-ES_tradnl" w:eastAsia="es-ES"/>
        </w:rPr>
        <w:t>,</w:t>
      </w:r>
      <w:r w:rsidRPr="00023AC6">
        <w:rPr>
          <w:rFonts w:ascii="Palatino Linotype" w:hAnsi="Palatino Linotype"/>
          <w:sz w:val="22"/>
          <w:szCs w:val="22"/>
        </w:rPr>
        <w:t xml:space="preserve"> quien en lo sucesivo se identificará como </w:t>
      </w:r>
      <w:r w:rsidRPr="00023AC6">
        <w:rPr>
          <w:rFonts w:ascii="Palatino Linotype" w:hAnsi="Palatino Linotype"/>
          <w:b/>
          <w:sz w:val="22"/>
          <w:szCs w:val="22"/>
        </w:rPr>
        <w:t xml:space="preserve">EL </w:t>
      </w:r>
      <w:r w:rsidRPr="00023AC6">
        <w:rPr>
          <w:rFonts w:ascii="Palatino Linotype" w:hAnsi="Palatino Linotype" w:cs="Arial"/>
          <w:b/>
          <w:sz w:val="22"/>
          <w:szCs w:val="22"/>
        </w:rPr>
        <w:t>RECURRENTE</w:t>
      </w:r>
      <w:r w:rsidRPr="00023AC6">
        <w:rPr>
          <w:rFonts w:ascii="Palatino Linotype" w:hAnsi="Palatino Linotype" w:cs="Arial"/>
          <w:sz w:val="22"/>
          <w:szCs w:val="22"/>
        </w:rPr>
        <w:t>, en contra de la respuesta de</w:t>
      </w:r>
      <w:r w:rsidR="00B66EAE" w:rsidRPr="00023AC6">
        <w:rPr>
          <w:rFonts w:ascii="Palatino Linotype" w:hAnsi="Palatino Linotype" w:cs="Arial"/>
          <w:sz w:val="22"/>
          <w:szCs w:val="22"/>
        </w:rPr>
        <w:t xml:space="preserve"> </w:t>
      </w:r>
      <w:r w:rsidRPr="00023AC6">
        <w:rPr>
          <w:rFonts w:ascii="Palatino Linotype" w:hAnsi="Palatino Linotype" w:cs="Arial"/>
          <w:sz w:val="22"/>
          <w:szCs w:val="22"/>
        </w:rPr>
        <w:t>l</w:t>
      </w:r>
      <w:r w:rsidR="00B66EAE" w:rsidRPr="00023AC6">
        <w:rPr>
          <w:rFonts w:ascii="Palatino Linotype" w:hAnsi="Palatino Linotype" w:cs="Arial"/>
          <w:sz w:val="22"/>
          <w:szCs w:val="22"/>
        </w:rPr>
        <w:t>os</w:t>
      </w:r>
      <w:r w:rsidRPr="00023AC6">
        <w:rPr>
          <w:rFonts w:ascii="Palatino Linotype" w:hAnsi="Palatino Linotype" w:cs="Arial"/>
          <w:sz w:val="22"/>
          <w:szCs w:val="22"/>
        </w:rPr>
        <w:t xml:space="preserve"> </w:t>
      </w:r>
      <w:r w:rsidRPr="00023AC6">
        <w:rPr>
          <w:rFonts w:ascii="Palatino Linotype" w:hAnsi="Palatino Linotype" w:cs="Arial"/>
          <w:b/>
          <w:bCs/>
          <w:sz w:val="22"/>
          <w:szCs w:val="22"/>
        </w:rPr>
        <w:t>Servicios Educativos Integrados al Estado de México</w:t>
      </w:r>
      <w:r w:rsidRPr="00023AC6">
        <w:rPr>
          <w:rFonts w:ascii="Palatino Linotype" w:hAnsi="Palatino Linotype" w:cs="Arial"/>
          <w:b/>
          <w:sz w:val="22"/>
          <w:szCs w:val="22"/>
        </w:rPr>
        <w:t>,</w:t>
      </w:r>
      <w:r w:rsidRPr="00023AC6">
        <w:rPr>
          <w:rFonts w:ascii="Palatino Linotype" w:hAnsi="Palatino Linotype"/>
          <w:b/>
          <w:sz w:val="22"/>
          <w:szCs w:val="22"/>
        </w:rPr>
        <w:t xml:space="preserve"> </w:t>
      </w:r>
      <w:r w:rsidRPr="00023AC6">
        <w:rPr>
          <w:rFonts w:ascii="Palatino Linotype" w:hAnsi="Palatino Linotype"/>
          <w:sz w:val="22"/>
          <w:szCs w:val="22"/>
        </w:rPr>
        <w:t>en lo sucesivo el</w:t>
      </w:r>
      <w:r w:rsidRPr="00023AC6">
        <w:rPr>
          <w:rFonts w:ascii="Palatino Linotype" w:hAnsi="Palatino Linotype"/>
          <w:b/>
          <w:sz w:val="22"/>
          <w:szCs w:val="22"/>
        </w:rPr>
        <w:t xml:space="preserve"> SUJETO OBLIGADO</w:t>
      </w:r>
      <w:r w:rsidRPr="00023AC6">
        <w:rPr>
          <w:rFonts w:ascii="Palatino Linotype" w:hAnsi="Palatino Linotype"/>
          <w:sz w:val="22"/>
          <w:szCs w:val="22"/>
        </w:rPr>
        <w:t>, por lo que se procede a dictar la presente resolución, con base en los siguientes:</w:t>
      </w:r>
    </w:p>
    <w:p w:rsidR="00480B8C" w:rsidRPr="00023AC6" w:rsidRDefault="00480B8C" w:rsidP="00480B8C">
      <w:pPr>
        <w:spacing w:line="360" w:lineRule="auto"/>
        <w:jc w:val="both"/>
        <w:rPr>
          <w:rFonts w:ascii="Palatino Linotype" w:hAnsi="Palatino Linotype"/>
          <w:b/>
          <w:sz w:val="22"/>
          <w:szCs w:val="22"/>
        </w:rPr>
      </w:pPr>
    </w:p>
    <w:p w:rsidR="00480B8C" w:rsidRPr="00023AC6" w:rsidRDefault="00480B8C" w:rsidP="00480B8C">
      <w:pPr>
        <w:keepNext/>
        <w:keepLines/>
        <w:spacing w:line="360" w:lineRule="auto"/>
        <w:jc w:val="center"/>
        <w:outlineLvl w:val="0"/>
        <w:rPr>
          <w:rFonts w:ascii="Palatino Linotype" w:eastAsiaTheme="majorEastAsia" w:hAnsi="Palatino Linotype" w:cstheme="majorBidi"/>
          <w:b/>
          <w:sz w:val="22"/>
          <w:szCs w:val="22"/>
        </w:rPr>
      </w:pPr>
      <w:bookmarkStart w:id="0" w:name="_Toc66992241"/>
      <w:r w:rsidRPr="00023AC6">
        <w:rPr>
          <w:rFonts w:ascii="Palatino Linotype" w:eastAsiaTheme="majorEastAsia" w:hAnsi="Palatino Linotype" w:cstheme="majorBidi"/>
          <w:b/>
          <w:sz w:val="22"/>
          <w:szCs w:val="22"/>
        </w:rPr>
        <w:t>ANTECEDENTES</w:t>
      </w:r>
      <w:bookmarkEnd w:id="0"/>
    </w:p>
    <w:p w:rsidR="00480B8C" w:rsidRPr="00023AC6" w:rsidRDefault="00480B8C" w:rsidP="00480B8C">
      <w:pPr>
        <w:spacing w:line="360" w:lineRule="auto"/>
        <w:rPr>
          <w:rFonts w:ascii="Palatino Linotype" w:eastAsiaTheme="minorEastAsia" w:hAnsi="Palatino Linotype"/>
          <w:sz w:val="22"/>
          <w:szCs w:val="22"/>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eastAsia="Calibri" w:hAnsi="Palatino Linotype" w:cs="Arial"/>
          <w:szCs w:val="22"/>
          <w:lang w:val="es-ES" w:eastAsia="es-ES"/>
        </w:rPr>
        <w:t>El once (11) de noviembre de dos mil veinticuatro,</w:t>
      </w:r>
      <w:r w:rsidRPr="00023AC6">
        <w:rPr>
          <w:rFonts w:ascii="Palatino Linotype" w:eastAsia="Calibri" w:hAnsi="Palatino Linotype"/>
          <w:szCs w:val="22"/>
          <w:lang w:val="es-ES" w:eastAsia="es-ES"/>
        </w:rPr>
        <w:t xml:space="preserve"> </w:t>
      </w:r>
      <w:r w:rsidRPr="00023AC6">
        <w:rPr>
          <w:rFonts w:ascii="Palatino Linotype" w:eastAsia="Calibri" w:hAnsi="Palatino Linotype"/>
          <w:b/>
          <w:szCs w:val="22"/>
          <w:lang w:val="es-ES" w:eastAsia="es-ES"/>
        </w:rPr>
        <w:t>EL RECURRENTE</w:t>
      </w:r>
      <w:r w:rsidRPr="00023AC6">
        <w:rPr>
          <w:rFonts w:ascii="Palatino Linotype" w:eastAsiaTheme="minorEastAsia" w:hAnsi="Palatino Linotype"/>
          <w:b/>
          <w:szCs w:val="22"/>
          <w:lang w:val="es-ES_tradnl" w:eastAsia="es-ES"/>
        </w:rPr>
        <w:t>,</w:t>
      </w:r>
      <w:r w:rsidRPr="00023AC6">
        <w:rPr>
          <w:rFonts w:ascii="Palatino Linotype" w:eastAsia="Calibri" w:hAnsi="Palatino Linotype" w:cs="Arial"/>
          <w:szCs w:val="22"/>
          <w:lang w:val="es-ES" w:eastAsia="es-ES"/>
        </w:rPr>
        <w:t xml:space="preserve"> ante el </w:t>
      </w:r>
      <w:r w:rsidRPr="00023AC6">
        <w:rPr>
          <w:rFonts w:ascii="Palatino Linotype" w:eastAsia="Calibri" w:hAnsi="Palatino Linotype" w:cs="Arial"/>
          <w:b/>
          <w:szCs w:val="22"/>
          <w:lang w:val="es-ES" w:eastAsia="es-ES"/>
        </w:rPr>
        <w:t>SUJETO OBLIGADO</w:t>
      </w:r>
      <w:r w:rsidRPr="00023AC6">
        <w:rPr>
          <w:rFonts w:ascii="Palatino Linotype" w:eastAsia="Calibri" w:hAnsi="Palatino Linotype" w:cs="Arial"/>
          <w:szCs w:val="22"/>
          <w:lang w:val="es-ES_tradnl" w:eastAsia="es-ES"/>
        </w:rPr>
        <w:t xml:space="preserve"> a través del Sistema de Acceso a la Información Mexiquense (SAIMEX)</w:t>
      </w:r>
      <w:r w:rsidRPr="00023AC6">
        <w:rPr>
          <w:rFonts w:ascii="Palatino Linotype" w:eastAsia="Calibri" w:hAnsi="Palatino Linotype" w:cs="Arial"/>
          <w:szCs w:val="22"/>
          <w:lang w:val="es-ES" w:eastAsia="es-ES"/>
        </w:rPr>
        <w:t xml:space="preserve">, presentó una solicitud de información registrada con el número </w:t>
      </w:r>
      <w:r w:rsidRPr="00023AC6">
        <w:rPr>
          <w:rFonts w:ascii="Palatino Linotype" w:hAnsi="Palatino Linotype"/>
          <w:b/>
          <w:bCs/>
          <w:szCs w:val="22"/>
        </w:rPr>
        <w:t>00647/SEIEM/IP/2024</w:t>
      </w:r>
      <w:r w:rsidRPr="00023AC6">
        <w:rPr>
          <w:rFonts w:ascii="Palatino Linotype" w:eastAsiaTheme="minorEastAsia" w:hAnsi="Palatino Linotype"/>
          <w:b/>
          <w:szCs w:val="22"/>
          <w:lang w:val="es-ES_tradnl" w:eastAsia="es-ES"/>
        </w:rPr>
        <w:t xml:space="preserve">, </w:t>
      </w:r>
      <w:r w:rsidRPr="00023AC6">
        <w:rPr>
          <w:rFonts w:ascii="Palatino Linotype" w:eastAsia="Calibri" w:hAnsi="Palatino Linotype" w:cs="Arial"/>
          <w:szCs w:val="22"/>
          <w:lang w:val="es-ES" w:eastAsia="es-ES"/>
        </w:rPr>
        <w:t>mediante la cual solicitó lo siguiente:</w:t>
      </w:r>
    </w:p>
    <w:p w:rsidR="00480B8C" w:rsidRPr="00023AC6" w:rsidRDefault="00480B8C" w:rsidP="00480B8C">
      <w:pPr>
        <w:pStyle w:val="Prrafodelista"/>
        <w:spacing w:line="360" w:lineRule="auto"/>
        <w:ind w:left="0"/>
        <w:jc w:val="both"/>
        <w:rPr>
          <w:rFonts w:ascii="Palatino Linotype" w:hAnsi="Palatino Linotype" w:cs="Arial"/>
          <w:szCs w:val="22"/>
          <w:lang w:val="es-ES" w:eastAsia="es-ES"/>
        </w:rPr>
      </w:pPr>
    </w:p>
    <w:p w:rsidR="00480B8C" w:rsidRPr="00023AC6" w:rsidRDefault="00480B8C" w:rsidP="007E4F03">
      <w:pPr>
        <w:pStyle w:val="Prrafodelista"/>
        <w:spacing w:line="360" w:lineRule="auto"/>
        <w:ind w:right="567"/>
        <w:jc w:val="both"/>
        <w:rPr>
          <w:rFonts w:ascii="Palatino Linotype" w:hAnsi="Palatino Linotype"/>
          <w:i/>
          <w:color w:val="000000"/>
          <w:szCs w:val="22"/>
        </w:rPr>
      </w:pPr>
      <w:r w:rsidRPr="00023AC6">
        <w:rPr>
          <w:rFonts w:ascii="Palatino Linotype" w:hAnsi="Palatino Linotype"/>
          <w:i/>
          <w:color w:val="000000"/>
          <w:szCs w:val="22"/>
        </w:rPr>
        <w:t xml:space="preserve">“Solicito se me informe por favor la fecha exacta de entrega de 4,125 piezas del libro “Saca al escritor que llevas dentro. EJERCICIOS, TRUCOS Y CONSEJOS PARA PONER EN MARCHA TU ESCRITURA” con ISBN 9781482734126 de la escritora </w:t>
      </w:r>
      <w:proofErr w:type="spellStart"/>
      <w:r w:rsidRPr="00023AC6">
        <w:rPr>
          <w:rFonts w:ascii="Palatino Linotype" w:hAnsi="Palatino Linotype"/>
          <w:i/>
          <w:color w:val="000000"/>
          <w:szCs w:val="22"/>
        </w:rPr>
        <w:t>Iria</w:t>
      </w:r>
      <w:proofErr w:type="spellEnd"/>
      <w:r w:rsidRPr="00023AC6">
        <w:rPr>
          <w:rFonts w:ascii="Palatino Linotype" w:hAnsi="Palatino Linotype"/>
          <w:i/>
          <w:color w:val="000000"/>
          <w:szCs w:val="22"/>
        </w:rPr>
        <w:t xml:space="preserve"> López </w:t>
      </w:r>
      <w:proofErr w:type="spellStart"/>
      <w:r w:rsidRPr="00023AC6">
        <w:rPr>
          <w:rFonts w:ascii="Palatino Linotype" w:hAnsi="Palatino Linotype"/>
          <w:i/>
          <w:color w:val="000000"/>
          <w:szCs w:val="22"/>
        </w:rPr>
        <w:t>Teijeiro</w:t>
      </w:r>
      <w:proofErr w:type="spellEnd"/>
      <w:r w:rsidRPr="00023AC6">
        <w:rPr>
          <w:rFonts w:ascii="Palatino Linotype" w:hAnsi="Palatino Linotype"/>
          <w:i/>
          <w:color w:val="000000"/>
          <w:szCs w:val="22"/>
        </w:rPr>
        <w:t xml:space="preserve"> derivado del contrato SEIEM/DA/ADQ.090/2024 derivado del fallo de la Licitación Pública Nacional Presencial No. 44074001-005-2024 para la Adquisición consolidada de materiales y suministros para la PARTIDA 1 (SUBPARTIDA 1.2 -Material Didáctico para la Dirección de Educación Secundaria y Servicios de Apoyo) adjudicado a </w:t>
      </w:r>
      <w:proofErr w:type="spellStart"/>
      <w:r w:rsidRPr="00023AC6">
        <w:rPr>
          <w:rFonts w:ascii="Palatino Linotype" w:hAnsi="Palatino Linotype"/>
          <w:i/>
          <w:color w:val="000000"/>
          <w:szCs w:val="22"/>
        </w:rPr>
        <w:t>Najal</w:t>
      </w:r>
      <w:proofErr w:type="spellEnd"/>
      <w:r w:rsidRPr="00023AC6">
        <w:rPr>
          <w:rFonts w:ascii="Palatino Linotype" w:hAnsi="Palatino Linotype"/>
          <w:i/>
          <w:color w:val="000000"/>
          <w:szCs w:val="22"/>
        </w:rPr>
        <w:t xml:space="preserve"> Productos Mexiquenses, S.A. de C.V.” (Sic) </w:t>
      </w:r>
    </w:p>
    <w:p w:rsidR="00E8689F" w:rsidRPr="00023AC6" w:rsidRDefault="00E8689F" w:rsidP="007E4F03">
      <w:pPr>
        <w:pStyle w:val="Prrafodelista"/>
        <w:spacing w:line="360" w:lineRule="auto"/>
        <w:ind w:right="567"/>
        <w:jc w:val="both"/>
        <w:rPr>
          <w:rFonts w:ascii="Palatino Linotype" w:hAnsi="Palatino Linotype"/>
          <w:i/>
          <w:color w:val="000000"/>
          <w:szCs w:val="22"/>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hAnsi="Palatino Linotype" w:cs="Arial"/>
          <w:szCs w:val="22"/>
          <w:lang w:val="es-ES" w:eastAsia="es-ES"/>
        </w:rPr>
        <w:lastRenderedPageBreak/>
        <w:t>Se señaló como modalida</w:t>
      </w:r>
      <w:r w:rsidR="007E4F03" w:rsidRPr="00023AC6">
        <w:rPr>
          <w:rFonts w:ascii="Palatino Linotype" w:hAnsi="Palatino Linotype" w:cs="Arial"/>
          <w:szCs w:val="22"/>
          <w:lang w:val="es-ES" w:eastAsia="es-ES"/>
        </w:rPr>
        <w:t xml:space="preserve">d de entrega a través correo electrónico y copias certificadas. </w:t>
      </w:r>
    </w:p>
    <w:p w:rsidR="00480B8C" w:rsidRPr="00023AC6" w:rsidRDefault="00480B8C" w:rsidP="00480B8C">
      <w:pPr>
        <w:pStyle w:val="Prrafodelista"/>
        <w:spacing w:line="360" w:lineRule="auto"/>
        <w:ind w:left="0"/>
        <w:jc w:val="both"/>
        <w:rPr>
          <w:rFonts w:ascii="Palatino Linotype" w:hAnsi="Palatino Linotype" w:cs="Arial"/>
          <w:szCs w:val="22"/>
          <w:lang w:val="es-ES" w:eastAsia="es-ES"/>
        </w:rPr>
      </w:pPr>
    </w:p>
    <w:p w:rsidR="00480B8C" w:rsidRPr="00023AC6" w:rsidRDefault="007E4F03"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hAnsi="Palatino Linotype" w:cs="Arial"/>
          <w:szCs w:val="22"/>
          <w:lang w:val="es-ES" w:eastAsia="es-ES"/>
        </w:rPr>
        <w:t>El doce (12) de noviembre</w:t>
      </w:r>
      <w:r w:rsidR="00480B8C" w:rsidRPr="00023AC6">
        <w:rPr>
          <w:rFonts w:ascii="Palatino Linotype" w:hAnsi="Palatino Linotype" w:cs="Arial"/>
          <w:szCs w:val="22"/>
          <w:lang w:val="es-ES" w:eastAsia="es-ES"/>
        </w:rPr>
        <w:t xml:space="preserve"> de dos mil veinticuatro, se realizó un requerimiento al servidor público habilitado. </w:t>
      </w:r>
    </w:p>
    <w:p w:rsidR="00480B8C" w:rsidRPr="00023AC6" w:rsidRDefault="00480B8C" w:rsidP="00480B8C">
      <w:pPr>
        <w:pStyle w:val="Prrafodelista"/>
        <w:spacing w:line="360" w:lineRule="auto"/>
        <w:ind w:left="0"/>
        <w:jc w:val="both"/>
        <w:rPr>
          <w:rFonts w:ascii="Palatino Linotype" w:hAnsi="Palatino Linotype" w:cs="Arial"/>
          <w:szCs w:val="22"/>
          <w:lang w:val="es-ES" w:eastAsia="es-ES"/>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hAnsi="Palatino Linotype" w:cs="Arial"/>
          <w:szCs w:val="22"/>
          <w:lang w:val="es-ES" w:eastAsia="es-ES"/>
        </w:rPr>
        <w:t xml:space="preserve">El </w:t>
      </w:r>
      <w:r w:rsidR="007E4F03" w:rsidRPr="00023AC6">
        <w:rPr>
          <w:rFonts w:ascii="Palatino Linotype" w:hAnsi="Palatino Linotype" w:cs="Arial"/>
          <w:szCs w:val="22"/>
          <w:lang w:val="es-ES" w:eastAsia="es-ES"/>
        </w:rPr>
        <w:t>tres (03) de diciembre</w:t>
      </w:r>
      <w:r w:rsidRPr="00023AC6">
        <w:rPr>
          <w:rFonts w:ascii="Palatino Linotype" w:hAnsi="Palatino Linotype" w:cs="Arial"/>
          <w:szCs w:val="22"/>
          <w:lang w:val="es-ES" w:eastAsia="es-ES"/>
        </w:rPr>
        <w:t xml:space="preserve"> de dos mil veinticuatro, El Sujeto Obligado dio respuesta a la solicitud de información en los siguientes términos:</w:t>
      </w:r>
    </w:p>
    <w:p w:rsidR="00480B8C" w:rsidRPr="00023AC6" w:rsidRDefault="00480B8C" w:rsidP="00480B8C">
      <w:pPr>
        <w:pStyle w:val="Prrafodelista"/>
        <w:spacing w:line="360" w:lineRule="auto"/>
        <w:ind w:left="0"/>
        <w:jc w:val="both"/>
        <w:rPr>
          <w:rFonts w:ascii="Palatino Linotype" w:hAnsi="Palatino Linotype" w:cs="Arial"/>
          <w:szCs w:val="22"/>
          <w:lang w:val="es-ES" w:eastAsia="es-ES"/>
        </w:rPr>
      </w:pP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7E4F03" w:rsidRPr="00023AC6" w:rsidTr="007E4F03">
        <w:trPr>
          <w:trHeight w:val="308"/>
          <w:tblCellSpacing w:w="0" w:type="dxa"/>
          <w:jc w:val="center"/>
        </w:trPr>
        <w:tc>
          <w:tcPr>
            <w:tcW w:w="0" w:type="auto"/>
            <w:vAlign w:val="center"/>
            <w:hideMark/>
          </w:tcPr>
          <w:p w:rsidR="007E4F03" w:rsidRPr="00023AC6" w:rsidRDefault="007E4F03" w:rsidP="007E4F03">
            <w:pPr>
              <w:jc w:val="right"/>
              <w:rPr>
                <w:rFonts w:ascii="Palatino Linotype" w:hAnsi="Palatino Linotype"/>
                <w:i/>
                <w:sz w:val="22"/>
                <w:szCs w:val="22"/>
              </w:rPr>
            </w:pPr>
            <w:r w:rsidRPr="00023AC6">
              <w:rPr>
                <w:rFonts w:ascii="Palatino Linotype" w:hAnsi="Palatino Linotype"/>
                <w:i/>
                <w:sz w:val="22"/>
                <w:szCs w:val="22"/>
              </w:rPr>
              <w:t>“Metepec, México a 03 de Diciembre de 2024</w:t>
            </w:r>
          </w:p>
        </w:tc>
      </w:tr>
      <w:tr w:rsidR="007E4F03" w:rsidRPr="00023AC6" w:rsidTr="007E4F03">
        <w:trPr>
          <w:trHeight w:val="308"/>
          <w:tblCellSpacing w:w="0" w:type="dxa"/>
          <w:jc w:val="center"/>
        </w:trPr>
        <w:tc>
          <w:tcPr>
            <w:tcW w:w="0" w:type="auto"/>
            <w:vAlign w:val="center"/>
            <w:hideMark/>
          </w:tcPr>
          <w:p w:rsidR="007E4F03" w:rsidRPr="00023AC6" w:rsidRDefault="007E4F03" w:rsidP="007E4F03">
            <w:pPr>
              <w:jc w:val="right"/>
              <w:rPr>
                <w:rFonts w:ascii="Palatino Linotype" w:hAnsi="Palatino Linotype"/>
                <w:i/>
                <w:sz w:val="22"/>
                <w:szCs w:val="22"/>
              </w:rPr>
            </w:pPr>
            <w:r w:rsidRPr="00023AC6">
              <w:rPr>
                <w:rFonts w:ascii="Palatino Linotype" w:hAnsi="Palatino Linotype"/>
                <w:i/>
                <w:sz w:val="22"/>
                <w:szCs w:val="22"/>
              </w:rPr>
              <w:t>Nombre del solicitante:</w:t>
            </w:r>
          </w:p>
        </w:tc>
      </w:tr>
      <w:tr w:rsidR="007E4F03" w:rsidRPr="00023AC6" w:rsidTr="007E4F03">
        <w:trPr>
          <w:trHeight w:val="308"/>
          <w:tblCellSpacing w:w="0" w:type="dxa"/>
          <w:jc w:val="center"/>
        </w:trPr>
        <w:tc>
          <w:tcPr>
            <w:tcW w:w="0" w:type="auto"/>
            <w:vAlign w:val="center"/>
            <w:hideMark/>
          </w:tcPr>
          <w:p w:rsidR="007E4F03" w:rsidRPr="00023AC6" w:rsidRDefault="007E4F03" w:rsidP="007E4F03">
            <w:pPr>
              <w:jc w:val="right"/>
              <w:rPr>
                <w:rFonts w:ascii="Palatino Linotype" w:hAnsi="Palatino Linotype"/>
                <w:i/>
                <w:sz w:val="22"/>
                <w:szCs w:val="22"/>
              </w:rPr>
            </w:pPr>
            <w:r w:rsidRPr="00023AC6">
              <w:rPr>
                <w:rFonts w:ascii="Palatino Linotype" w:hAnsi="Palatino Linotype"/>
                <w:i/>
                <w:sz w:val="22"/>
                <w:szCs w:val="22"/>
              </w:rPr>
              <w:t>Folio de la solicitud: 00647/SEIEM/IP/2024</w:t>
            </w:r>
          </w:p>
        </w:tc>
      </w:tr>
      <w:tr w:rsidR="007E4F03" w:rsidRPr="00023AC6" w:rsidTr="007E4F03">
        <w:trPr>
          <w:trHeight w:val="462"/>
          <w:tblCellSpacing w:w="0" w:type="dxa"/>
          <w:jc w:val="center"/>
        </w:trPr>
        <w:tc>
          <w:tcPr>
            <w:tcW w:w="0" w:type="auto"/>
            <w:vAlign w:val="center"/>
            <w:hideMark/>
          </w:tcPr>
          <w:p w:rsidR="007E4F03" w:rsidRPr="00023AC6" w:rsidRDefault="007E4F03" w:rsidP="007E4F03">
            <w:pPr>
              <w:jc w:val="right"/>
              <w:rPr>
                <w:rFonts w:ascii="Palatino Linotype" w:hAnsi="Palatino Linotype"/>
                <w:i/>
                <w:sz w:val="22"/>
                <w:szCs w:val="22"/>
              </w:rPr>
            </w:pPr>
          </w:p>
        </w:tc>
      </w:tr>
      <w:tr w:rsidR="007E4F03" w:rsidRPr="00023AC6" w:rsidTr="007E4F03">
        <w:trPr>
          <w:trHeight w:val="154"/>
          <w:tblCellSpacing w:w="0" w:type="dxa"/>
          <w:jc w:val="center"/>
        </w:trPr>
        <w:tc>
          <w:tcPr>
            <w:tcW w:w="0" w:type="auto"/>
            <w:vAlign w:val="center"/>
            <w:hideMark/>
          </w:tcPr>
          <w:p w:rsidR="007E4F03" w:rsidRPr="00023AC6" w:rsidRDefault="007E4F03" w:rsidP="007E4F03">
            <w:pPr>
              <w:rPr>
                <w:rFonts w:ascii="Palatino Linotype" w:hAnsi="Palatino Linotype"/>
                <w:i/>
                <w:sz w:val="22"/>
                <w:szCs w:val="22"/>
              </w:rPr>
            </w:pPr>
            <w:r w:rsidRPr="00023AC6">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7E4F03" w:rsidRPr="00023AC6" w:rsidTr="007E4F03">
        <w:trPr>
          <w:trHeight w:val="385"/>
          <w:tblCellSpacing w:w="0" w:type="dxa"/>
          <w:jc w:val="center"/>
        </w:trPr>
        <w:tc>
          <w:tcPr>
            <w:tcW w:w="0" w:type="auto"/>
            <w:vAlign w:val="center"/>
            <w:hideMark/>
          </w:tcPr>
          <w:p w:rsidR="007E4F03" w:rsidRPr="00023AC6" w:rsidRDefault="007E4F03" w:rsidP="007E4F03">
            <w:pPr>
              <w:rPr>
                <w:rFonts w:ascii="Palatino Linotype" w:hAnsi="Palatino Linotype"/>
                <w:i/>
                <w:sz w:val="22"/>
                <w:szCs w:val="22"/>
              </w:rPr>
            </w:pPr>
          </w:p>
        </w:tc>
      </w:tr>
      <w:tr w:rsidR="007E4F03" w:rsidRPr="00023AC6" w:rsidTr="007E4F03">
        <w:trPr>
          <w:trHeight w:val="154"/>
          <w:tblCellSpacing w:w="0" w:type="dxa"/>
          <w:jc w:val="center"/>
        </w:trPr>
        <w:tc>
          <w:tcPr>
            <w:tcW w:w="0" w:type="auto"/>
            <w:vAlign w:val="center"/>
            <w:hideMark/>
          </w:tcPr>
          <w:p w:rsidR="007E4F03" w:rsidRPr="00023AC6" w:rsidRDefault="007E4F03" w:rsidP="007E4F03">
            <w:pPr>
              <w:rPr>
                <w:rFonts w:ascii="Palatino Linotype" w:hAnsi="Palatino Linotype"/>
                <w:i/>
                <w:sz w:val="22"/>
                <w:szCs w:val="22"/>
              </w:rPr>
            </w:pPr>
            <w:r w:rsidRPr="00023AC6">
              <w:rPr>
                <w:rFonts w:ascii="Palatino Linotype" w:hAnsi="Palatino Linotype"/>
                <w:i/>
                <w:sz w:val="22"/>
                <w:szCs w:val="22"/>
              </w:rPr>
              <w:t>SE REMITE RESPUESTA A SU SOLICITUD</w:t>
            </w:r>
          </w:p>
        </w:tc>
      </w:tr>
      <w:tr w:rsidR="007E4F03" w:rsidRPr="00023AC6" w:rsidTr="007E4F03">
        <w:trPr>
          <w:trHeight w:val="385"/>
          <w:tblCellSpacing w:w="0" w:type="dxa"/>
          <w:jc w:val="center"/>
        </w:trPr>
        <w:tc>
          <w:tcPr>
            <w:tcW w:w="0" w:type="auto"/>
            <w:vAlign w:val="center"/>
            <w:hideMark/>
          </w:tcPr>
          <w:p w:rsidR="007E4F03" w:rsidRPr="00023AC6" w:rsidRDefault="007E4F03" w:rsidP="007E4F03">
            <w:pPr>
              <w:rPr>
                <w:rFonts w:ascii="Palatino Linotype" w:hAnsi="Palatino Linotype"/>
                <w:i/>
                <w:sz w:val="22"/>
                <w:szCs w:val="22"/>
              </w:rPr>
            </w:pPr>
          </w:p>
        </w:tc>
      </w:tr>
      <w:tr w:rsidR="007E4F03" w:rsidRPr="00023AC6" w:rsidTr="007E4F03">
        <w:trPr>
          <w:trHeight w:val="154"/>
          <w:tblCellSpacing w:w="0" w:type="dxa"/>
          <w:jc w:val="center"/>
        </w:trPr>
        <w:tc>
          <w:tcPr>
            <w:tcW w:w="0" w:type="auto"/>
            <w:vAlign w:val="center"/>
            <w:hideMark/>
          </w:tcPr>
          <w:p w:rsidR="007E4F03" w:rsidRPr="00023AC6" w:rsidRDefault="007E4F03" w:rsidP="007E4F03">
            <w:pPr>
              <w:jc w:val="center"/>
              <w:rPr>
                <w:rFonts w:ascii="Palatino Linotype" w:hAnsi="Palatino Linotype"/>
                <w:i/>
                <w:sz w:val="22"/>
                <w:szCs w:val="22"/>
              </w:rPr>
            </w:pPr>
          </w:p>
        </w:tc>
      </w:tr>
      <w:tr w:rsidR="007E4F03" w:rsidRPr="00023AC6" w:rsidTr="007E4F03">
        <w:trPr>
          <w:trHeight w:val="154"/>
          <w:tblCellSpacing w:w="0" w:type="dxa"/>
          <w:jc w:val="center"/>
        </w:trPr>
        <w:tc>
          <w:tcPr>
            <w:tcW w:w="0" w:type="auto"/>
            <w:vAlign w:val="center"/>
            <w:hideMark/>
          </w:tcPr>
          <w:p w:rsidR="007E4F03" w:rsidRPr="00023AC6" w:rsidRDefault="007E4F03" w:rsidP="007E4F03">
            <w:pPr>
              <w:rPr>
                <w:rFonts w:ascii="Palatino Linotype" w:hAnsi="Palatino Linotype"/>
                <w:i/>
                <w:sz w:val="22"/>
                <w:szCs w:val="22"/>
              </w:rPr>
            </w:pPr>
          </w:p>
        </w:tc>
      </w:tr>
      <w:tr w:rsidR="007E4F03" w:rsidRPr="00023AC6" w:rsidTr="007E4F03">
        <w:trPr>
          <w:trHeight w:val="154"/>
          <w:tblCellSpacing w:w="0" w:type="dxa"/>
          <w:jc w:val="center"/>
        </w:trPr>
        <w:tc>
          <w:tcPr>
            <w:tcW w:w="0" w:type="auto"/>
            <w:vAlign w:val="center"/>
            <w:hideMark/>
          </w:tcPr>
          <w:p w:rsidR="007E4F03" w:rsidRPr="00023AC6" w:rsidRDefault="007E4F03" w:rsidP="007E4F03">
            <w:pPr>
              <w:rPr>
                <w:rFonts w:ascii="Palatino Linotype" w:hAnsi="Palatino Linotype"/>
                <w:i/>
                <w:sz w:val="22"/>
                <w:szCs w:val="22"/>
              </w:rPr>
            </w:pPr>
            <w:r w:rsidRPr="00023AC6">
              <w:rPr>
                <w:rFonts w:ascii="Palatino Linotype" w:hAnsi="Palatino Linotype"/>
                <w:i/>
                <w:sz w:val="22"/>
                <w:szCs w:val="22"/>
              </w:rPr>
              <w:t>ATENTAMENTE</w:t>
            </w:r>
          </w:p>
        </w:tc>
      </w:tr>
      <w:tr w:rsidR="007E4F03" w:rsidRPr="00023AC6" w:rsidTr="007E4F03">
        <w:trPr>
          <w:trHeight w:val="231"/>
          <w:tblCellSpacing w:w="0" w:type="dxa"/>
          <w:jc w:val="center"/>
        </w:trPr>
        <w:tc>
          <w:tcPr>
            <w:tcW w:w="0" w:type="auto"/>
            <w:vAlign w:val="center"/>
            <w:hideMark/>
          </w:tcPr>
          <w:p w:rsidR="007E4F03" w:rsidRPr="00023AC6" w:rsidRDefault="007E4F03" w:rsidP="007E4F03">
            <w:pPr>
              <w:rPr>
                <w:rFonts w:ascii="Palatino Linotype" w:hAnsi="Palatino Linotype"/>
                <w:i/>
                <w:sz w:val="22"/>
                <w:szCs w:val="22"/>
              </w:rPr>
            </w:pPr>
          </w:p>
        </w:tc>
      </w:tr>
      <w:tr w:rsidR="007E4F03" w:rsidRPr="00023AC6" w:rsidTr="007E4F03">
        <w:trPr>
          <w:trHeight w:val="154"/>
          <w:tblCellSpacing w:w="0" w:type="dxa"/>
          <w:jc w:val="center"/>
        </w:trPr>
        <w:tc>
          <w:tcPr>
            <w:tcW w:w="0" w:type="auto"/>
            <w:vAlign w:val="center"/>
            <w:hideMark/>
          </w:tcPr>
          <w:p w:rsidR="007E4F03" w:rsidRPr="00023AC6" w:rsidRDefault="007E4F03" w:rsidP="007E4F03">
            <w:pPr>
              <w:rPr>
                <w:rFonts w:ascii="Palatino Linotype" w:hAnsi="Palatino Linotype"/>
                <w:i/>
                <w:sz w:val="22"/>
                <w:szCs w:val="22"/>
              </w:rPr>
            </w:pPr>
            <w:r w:rsidRPr="00023AC6">
              <w:rPr>
                <w:rFonts w:ascii="Palatino Linotype" w:hAnsi="Palatino Linotype"/>
                <w:i/>
                <w:sz w:val="22"/>
                <w:szCs w:val="22"/>
              </w:rPr>
              <w:t>Lic. Joaquín Raúl Benítez Vera (SUPLENTE)”</w:t>
            </w:r>
          </w:p>
        </w:tc>
      </w:tr>
    </w:tbl>
    <w:p w:rsidR="00480B8C" w:rsidRPr="00023AC6" w:rsidRDefault="00480B8C" w:rsidP="00480B8C">
      <w:pPr>
        <w:spacing w:line="360" w:lineRule="auto"/>
        <w:jc w:val="both"/>
        <w:rPr>
          <w:rFonts w:ascii="Palatino Linotype" w:hAnsi="Palatino Linotype" w:cs="Arial"/>
          <w:sz w:val="22"/>
          <w:szCs w:val="22"/>
          <w:lang w:val="es-ES" w:eastAsia="es-ES"/>
        </w:rPr>
      </w:pPr>
    </w:p>
    <w:p w:rsidR="00480B8C" w:rsidRPr="00023AC6" w:rsidRDefault="00480B8C" w:rsidP="00480B8C">
      <w:pPr>
        <w:pStyle w:val="Prrafodelista"/>
        <w:numPr>
          <w:ilvl w:val="0"/>
          <w:numId w:val="4"/>
        </w:numPr>
        <w:spacing w:line="360" w:lineRule="auto"/>
        <w:ind w:right="822"/>
        <w:jc w:val="both"/>
        <w:rPr>
          <w:rFonts w:ascii="Palatino Linotype" w:hAnsi="Palatino Linotype" w:cs="Arial"/>
          <w:b/>
          <w:szCs w:val="22"/>
          <w:lang w:val="es-ES" w:eastAsia="es-ES"/>
        </w:rPr>
      </w:pPr>
      <w:r w:rsidRPr="00023AC6">
        <w:rPr>
          <w:rFonts w:ascii="Palatino Linotype" w:hAnsi="Palatino Linotype" w:cs="Arial"/>
          <w:szCs w:val="22"/>
          <w:lang w:val="es-ES" w:eastAsia="es-ES"/>
        </w:rPr>
        <w:t xml:space="preserve">A la </w:t>
      </w:r>
      <w:r w:rsidR="007E4F03" w:rsidRPr="00023AC6">
        <w:rPr>
          <w:rFonts w:ascii="Palatino Linotype" w:hAnsi="Palatino Linotype" w:cs="Arial"/>
          <w:szCs w:val="22"/>
          <w:lang w:val="es-ES" w:eastAsia="es-ES"/>
        </w:rPr>
        <w:t>respuesta se adjuntaron los archivos que se describen enseguida:</w:t>
      </w:r>
    </w:p>
    <w:p w:rsidR="007E4F03" w:rsidRPr="00023AC6" w:rsidRDefault="007E4F03" w:rsidP="007E4F03">
      <w:pPr>
        <w:pStyle w:val="Prrafodelista"/>
        <w:spacing w:line="360" w:lineRule="auto"/>
        <w:ind w:right="822"/>
        <w:jc w:val="both"/>
        <w:rPr>
          <w:rFonts w:ascii="Palatino Linotype" w:hAnsi="Palatino Linotype" w:cs="Arial"/>
          <w:b/>
          <w:szCs w:val="22"/>
          <w:lang w:val="es-ES" w:eastAsia="es-ES"/>
        </w:rPr>
      </w:pPr>
    </w:p>
    <w:p w:rsidR="00641EFD" w:rsidRPr="00023AC6" w:rsidRDefault="002602B3" w:rsidP="006042CA">
      <w:pPr>
        <w:pStyle w:val="Prrafodelista"/>
        <w:numPr>
          <w:ilvl w:val="0"/>
          <w:numId w:val="5"/>
        </w:numPr>
        <w:spacing w:line="360" w:lineRule="auto"/>
        <w:ind w:right="822"/>
        <w:jc w:val="both"/>
        <w:rPr>
          <w:rFonts w:ascii="Palatino Linotype" w:hAnsi="Palatino Linotype" w:cs="Arial"/>
          <w:b/>
          <w:szCs w:val="22"/>
          <w:lang w:val="es-ES" w:eastAsia="es-ES"/>
        </w:rPr>
      </w:pPr>
      <w:hyperlink r:id="rId7" w:tgtFrame="_blank" w:history="1">
        <w:r w:rsidR="007E4F03" w:rsidRPr="00023AC6">
          <w:rPr>
            <w:rStyle w:val="Hipervnculo"/>
            <w:rFonts w:ascii="Palatino Linotype" w:eastAsiaTheme="majorEastAsia" w:hAnsi="Palatino Linotype" w:cs="Arial"/>
            <w:b/>
            <w:bCs/>
            <w:color w:val="auto"/>
            <w:szCs w:val="22"/>
          </w:rPr>
          <w:t>RESP. CIUD. 647-240001.pdf</w:t>
        </w:r>
      </w:hyperlink>
      <w:r w:rsidR="007E4F03" w:rsidRPr="00023AC6">
        <w:rPr>
          <w:rFonts w:ascii="Palatino Linotype" w:hAnsi="Palatino Linotype"/>
          <w:szCs w:val="22"/>
        </w:rPr>
        <w:t>: oficio número</w:t>
      </w:r>
      <w:r w:rsidR="00641EFD" w:rsidRPr="00023AC6">
        <w:rPr>
          <w:rFonts w:ascii="Palatino Linotype" w:hAnsi="Palatino Linotype"/>
          <w:szCs w:val="22"/>
        </w:rPr>
        <w:t xml:space="preserve"> </w:t>
      </w:r>
      <w:r w:rsidR="007E4F03" w:rsidRPr="00023AC6">
        <w:rPr>
          <w:rFonts w:ascii="Palatino Linotype" w:hAnsi="Palatino Linotype"/>
          <w:szCs w:val="22"/>
        </w:rPr>
        <w:t>228C0101030002S/UT/2063/2024</w:t>
      </w:r>
      <w:r w:rsidR="00641EFD" w:rsidRPr="00023AC6">
        <w:rPr>
          <w:rFonts w:ascii="Palatino Linotype" w:hAnsi="Palatino Linotype"/>
          <w:szCs w:val="22"/>
        </w:rPr>
        <w:t xml:space="preserve"> suscrito por el suplente del Titular de la Unidad de Transparencia en el que señaló que se remite respuesta del Servidor Público Habilitado.</w:t>
      </w:r>
    </w:p>
    <w:p w:rsidR="007E4F03" w:rsidRPr="00023AC6" w:rsidRDefault="002602B3" w:rsidP="00641EFD">
      <w:pPr>
        <w:pStyle w:val="Prrafodelista"/>
        <w:numPr>
          <w:ilvl w:val="0"/>
          <w:numId w:val="5"/>
        </w:numPr>
        <w:spacing w:line="360" w:lineRule="auto"/>
        <w:ind w:right="822"/>
        <w:jc w:val="both"/>
        <w:rPr>
          <w:rFonts w:ascii="Palatino Linotype" w:hAnsi="Palatino Linotype" w:cs="Arial"/>
          <w:b/>
          <w:szCs w:val="22"/>
          <w:lang w:val="es-ES" w:eastAsia="es-ES"/>
        </w:rPr>
      </w:pPr>
      <w:hyperlink r:id="rId8" w:tgtFrame="_blank" w:history="1">
        <w:r w:rsidR="007E4F03" w:rsidRPr="00023AC6">
          <w:rPr>
            <w:rStyle w:val="Hipervnculo"/>
            <w:rFonts w:ascii="Palatino Linotype" w:eastAsiaTheme="majorEastAsia" w:hAnsi="Palatino Linotype" w:cs="Arial"/>
            <w:b/>
            <w:bCs/>
            <w:color w:val="auto"/>
            <w:szCs w:val="22"/>
          </w:rPr>
          <w:t>ANEXO (D.R.M.F.)0001.pdf</w:t>
        </w:r>
      </w:hyperlink>
      <w:r w:rsidR="007E4F03" w:rsidRPr="00023AC6">
        <w:rPr>
          <w:rFonts w:ascii="Palatino Linotype" w:hAnsi="Palatino Linotype"/>
          <w:szCs w:val="22"/>
        </w:rPr>
        <w:t>:</w:t>
      </w:r>
      <w:r w:rsidR="006042CA" w:rsidRPr="00023AC6">
        <w:rPr>
          <w:rFonts w:ascii="Palatino Linotype" w:hAnsi="Palatino Linotype"/>
          <w:szCs w:val="22"/>
        </w:rPr>
        <w:t xml:space="preserve"> oficio número 228CO101240100L/0695/2024 de fecha diecinueve de noviembre de dos mil veinticuatro, suscrito por el Encargado de Despacho de la Subdirección de Recursos Materiales y Servidor Público Habilitado Suplente, en el que señaló:</w:t>
      </w:r>
    </w:p>
    <w:p w:rsidR="006042CA" w:rsidRPr="00023AC6" w:rsidRDefault="006042CA" w:rsidP="006042CA">
      <w:pPr>
        <w:pStyle w:val="Prrafodelista"/>
        <w:spacing w:line="360" w:lineRule="auto"/>
        <w:ind w:left="1440" w:right="822"/>
        <w:jc w:val="both"/>
        <w:rPr>
          <w:rFonts w:ascii="Palatino Linotype" w:hAnsi="Palatino Linotype"/>
          <w:i/>
          <w:szCs w:val="22"/>
        </w:rPr>
      </w:pPr>
      <w:r w:rsidRPr="00023AC6">
        <w:rPr>
          <w:rFonts w:ascii="Palatino Linotype" w:hAnsi="Palatino Linotype"/>
          <w:i/>
          <w:szCs w:val="22"/>
        </w:rPr>
        <w:t xml:space="preserve">“De acuerdo con el punto 2.1.2 “Plazo de entrega de los bienes”, publicado en el fallo de adjudicación de la Licitación Pública Nacional Presencial No. 44074001-005-2024, el día veintinueve de agosto de dos mil veinticuatro, los bienes descritos en el ANEXO UNO-REQUERIMIENTOS, PARTIDA 1 (SUBPARTIDA 1.1 Y 1.2), deberán entregarse a partir del día siguiente de la notificación del fallo de adjudicación y hasta dentro de los siguientes 45 días hábiles, es decir, el 5 de noviembre del presente. </w:t>
      </w:r>
    </w:p>
    <w:p w:rsidR="006042CA" w:rsidRPr="00023AC6" w:rsidRDefault="006042CA" w:rsidP="006042CA">
      <w:pPr>
        <w:pStyle w:val="Prrafodelista"/>
        <w:spacing w:line="360" w:lineRule="auto"/>
        <w:ind w:left="1440" w:right="822"/>
        <w:jc w:val="both"/>
        <w:rPr>
          <w:rFonts w:ascii="Palatino Linotype" w:hAnsi="Palatino Linotype"/>
          <w:i/>
          <w:szCs w:val="22"/>
        </w:rPr>
      </w:pPr>
      <w:r w:rsidRPr="00023AC6">
        <w:rPr>
          <w:rFonts w:ascii="Palatino Linotype" w:hAnsi="Palatino Linotype"/>
          <w:i/>
          <w:szCs w:val="22"/>
        </w:rPr>
        <w:t>Lo anterior, y con el fin de coadyuvar con la solicitud de información de mérito, se estima importante mencionar que dicha información se puede corroborar con el XOMPRAMEX, en la siguiente liga (se anexan las capturas de pantalla para mayor referencia):</w:t>
      </w:r>
    </w:p>
    <w:p w:rsidR="006042CA" w:rsidRPr="00023AC6" w:rsidRDefault="006042CA" w:rsidP="006042CA">
      <w:pPr>
        <w:pStyle w:val="Prrafodelista"/>
        <w:spacing w:line="360" w:lineRule="auto"/>
        <w:ind w:left="1440" w:right="822"/>
        <w:jc w:val="both"/>
        <w:rPr>
          <w:rFonts w:ascii="Palatino Linotype" w:hAnsi="Palatino Linotype" w:cs="Arial"/>
          <w:b/>
          <w:i/>
          <w:szCs w:val="22"/>
          <w:lang w:val="es-ES" w:eastAsia="es-ES"/>
        </w:rPr>
      </w:pPr>
    </w:p>
    <w:p w:rsidR="006042CA" w:rsidRPr="00023AC6" w:rsidRDefault="002602B3" w:rsidP="006042CA">
      <w:pPr>
        <w:pStyle w:val="Prrafodelista"/>
        <w:spacing w:line="360" w:lineRule="auto"/>
        <w:ind w:left="1440" w:right="822"/>
        <w:jc w:val="both"/>
        <w:rPr>
          <w:rFonts w:ascii="Palatino Linotype" w:hAnsi="Palatino Linotype" w:cs="Arial"/>
          <w:i/>
          <w:szCs w:val="22"/>
          <w:lang w:val="es-ES" w:eastAsia="es-ES"/>
        </w:rPr>
      </w:pPr>
      <w:hyperlink r:id="rId9" w:history="1">
        <w:r w:rsidR="006042CA" w:rsidRPr="00023AC6">
          <w:rPr>
            <w:rStyle w:val="Hipervnculo"/>
            <w:rFonts w:ascii="Palatino Linotype" w:hAnsi="Palatino Linotype" w:cs="Arial"/>
            <w:i/>
            <w:szCs w:val="22"/>
            <w:lang w:val="es-ES" w:eastAsia="es-ES"/>
          </w:rPr>
          <w:t>https://compramex.edomex.gob.mx/compramex/public/home.xhtml</w:t>
        </w:r>
      </w:hyperlink>
      <w:r w:rsidR="006042CA" w:rsidRPr="00023AC6">
        <w:rPr>
          <w:rFonts w:ascii="Palatino Linotype" w:hAnsi="Palatino Linotype" w:cs="Arial"/>
          <w:i/>
          <w:szCs w:val="22"/>
          <w:lang w:val="es-ES" w:eastAsia="es-ES"/>
        </w:rPr>
        <w:t xml:space="preserve"> </w:t>
      </w:r>
    </w:p>
    <w:p w:rsidR="006042CA" w:rsidRPr="00023AC6" w:rsidRDefault="006042CA" w:rsidP="006042CA">
      <w:pPr>
        <w:pStyle w:val="Prrafodelista"/>
        <w:spacing w:line="360" w:lineRule="auto"/>
        <w:ind w:left="1440" w:right="822"/>
        <w:jc w:val="both"/>
        <w:rPr>
          <w:rFonts w:ascii="Palatino Linotype" w:hAnsi="Palatino Linotype" w:cs="Arial"/>
          <w:i/>
          <w:szCs w:val="22"/>
          <w:lang w:val="es-ES" w:eastAsia="es-ES"/>
        </w:rPr>
      </w:pPr>
    </w:p>
    <w:p w:rsidR="006042CA" w:rsidRPr="00023AC6" w:rsidRDefault="006042CA" w:rsidP="006042CA">
      <w:pPr>
        <w:pStyle w:val="Prrafodelista"/>
        <w:spacing w:line="360" w:lineRule="auto"/>
        <w:ind w:left="1440" w:right="822"/>
        <w:jc w:val="both"/>
        <w:rPr>
          <w:rFonts w:ascii="Palatino Linotype" w:hAnsi="Palatino Linotype" w:cs="Arial"/>
          <w:i/>
          <w:szCs w:val="22"/>
          <w:lang w:val="es-ES" w:eastAsia="es-ES"/>
        </w:rPr>
      </w:pPr>
      <w:r w:rsidRPr="00023AC6">
        <w:rPr>
          <w:rFonts w:ascii="Palatino Linotype" w:hAnsi="Palatino Linotype" w:cs="Arial"/>
          <w:i/>
          <w:szCs w:val="22"/>
          <w:lang w:val="es-ES" w:eastAsia="es-ES"/>
        </w:rPr>
        <w:t xml:space="preserve">Ubicar la pestaña de Procedimientos Adquisitivos, la cual solicitará </w:t>
      </w:r>
      <w:r w:rsidR="00DE7564" w:rsidRPr="00023AC6">
        <w:rPr>
          <w:rFonts w:ascii="Palatino Linotype" w:hAnsi="Palatino Linotype" w:cs="Arial"/>
          <w:i/>
          <w:szCs w:val="22"/>
          <w:lang w:val="es-ES" w:eastAsia="es-ES"/>
        </w:rPr>
        <w:t>seleccionar el año y el Estatus</w:t>
      </w:r>
    </w:p>
    <w:p w:rsidR="00DE7564" w:rsidRPr="00023AC6" w:rsidRDefault="00DE7564" w:rsidP="006042CA">
      <w:pPr>
        <w:pStyle w:val="Prrafodelista"/>
        <w:spacing w:line="360" w:lineRule="auto"/>
        <w:ind w:left="1440" w:right="822"/>
        <w:jc w:val="both"/>
        <w:rPr>
          <w:rFonts w:ascii="Palatino Linotype" w:hAnsi="Palatino Linotype" w:cs="Arial"/>
          <w:i/>
          <w:szCs w:val="22"/>
          <w:lang w:val="es-ES" w:eastAsia="es-ES"/>
        </w:rPr>
      </w:pPr>
      <w:r w:rsidRPr="00023AC6">
        <w:rPr>
          <w:rFonts w:ascii="Palatino Linotype" w:hAnsi="Palatino Linotype" w:cs="Arial"/>
          <w:i/>
          <w:szCs w:val="22"/>
          <w:lang w:val="es-ES" w:eastAsia="es-ES"/>
        </w:rPr>
        <w:t>…”</w:t>
      </w:r>
    </w:p>
    <w:p w:rsidR="00480B8C" w:rsidRPr="00023AC6" w:rsidRDefault="00480B8C" w:rsidP="00480B8C">
      <w:pPr>
        <w:pStyle w:val="Prrafodelista"/>
        <w:spacing w:line="360" w:lineRule="auto"/>
        <w:jc w:val="both"/>
        <w:rPr>
          <w:rFonts w:ascii="Palatino Linotype" w:hAnsi="Palatino Linotype" w:cs="Arial"/>
          <w:b/>
          <w:i/>
          <w:szCs w:val="22"/>
          <w:lang w:val="es-ES" w:eastAsia="es-ES"/>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eastAsia="Calibri" w:hAnsi="Palatino Linotype" w:cs="Arial"/>
          <w:szCs w:val="22"/>
          <w:lang w:val="es-AR" w:eastAsia="es-ES"/>
        </w:rPr>
        <w:t xml:space="preserve">El </w:t>
      </w:r>
      <w:r w:rsidR="00DE7564" w:rsidRPr="00023AC6">
        <w:rPr>
          <w:rFonts w:ascii="Palatino Linotype" w:eastAsia="Calibri" w:hAnsi="Palatino Linotype" w:cs="Arial"/>
          <w:szCs w:val="22"/>
          <w:lang w:val="es-AR" w:eastAsia="es-ES"/>
        </w:rPr>
        <w:t xml:space="preserve">tres (03) de diciembre </w:t>
      </w:r>
      <w:r w:rsidRPr="00023AC6">
        <w:rPr>
          <w:rFonts w:ascii="Palatino Linotype" w:eastAsia="Calibri" w:hAnsi="Palatino Linotype" w:cs="Arial"/>
          <w:szCs w:val="22"/>
          <w:lang w:val="es-AR" w:eastAsia="es-ES"/>
        </w:rPr>
        <w:t>de dos mil veinticuatro</w:t>
      </w:r>
      <w:r w:rsidRPr="00023AC6">
        <w:rPr>
          <w:rFonts w:ascii="Palatino Linotype" w:hAnsi="Palatino Linotype" w:cs="Arial"/>
          <w:szCs w:val="22"/>
          <w:lang w:val="es-ES" w:eastAsia="es-ES"/>
        </w:rPr>
        <w:t xml:space="preserve">, </w:t>
      </w:r>
      <w:r w:rsidRPr="00023AC6">
        <w:rPr>
          <w:rFonts w:ascii="Palatino Linotype" w:eastAsiaTheme="minorEastAsia" w:hAnsi="Palatino Linotype"/>
          <w:b/>
          <w:szCs w:val="22"/>
          <w:lang w:val="es-ES_tradnl" w:eastAsia="es-ES"/>
        </w:rPr>
        <w:t>EL RECURRENTE</w:t>
      </w:r>
      <w:r w:rsidRPr="00023AC6">
        <w:rPr>
          <w:rFonts w:ascii="Palatino Linotype" w:hAnsi="Palatino Linotype" w:cs="Arial"/>
          <w:szCs w:val="22"/>
          <w:lang w:val="es-ES" w:eastAsia="es-ES"/>
        </w:rPr>
        <w:t xml:space="preserve"> interpuso el recurso de revisión, en contra de la respuesta, señalando como:</w:t>
      </w:r>
    </w:p>
    <w:p w:rsidR="00480B8C" w:rsidRPr="00023AC6" w:rsidRDefault="00480B8C" w:rsidP="00480B8C">
      <w:pPr>
        <w:pStyle w:val="Prrafodelista"/>
        <w:spacing w:line="360" w:lineRule="auto"/>
        <w:ind w:left="0"/>
        <w:jc w:val="both"/>
        <w:rPr>
          <w:rFonts w:ascii="Palatino Linotype" w:hAnsi="Palatino Linotype" w:cs="Arial"/>
          <w:szCs w:val="22"/>
          <w:lang w:val="es-ES" w:eastAsia="es-ES"/>
        </w:rPr>
      </w:pPr>
    </w:p>
    <w:p w:rsidR="00480B8C" w:rsidRPr="00023AC6" w:rsidRDefault="00480B8C" w:rsidP="00480B8C">
      <w:pPr>
        <w:spacing w:line="360" w:lineRule="auto"/>
        <w:ind w:left="567" w:right="567"/>
        <w:contextualSpacing/>
        <w:jc w:val="both"/>
        <w:rPr>
          <w:rFonts w:ascii="Palatino Linotype" w:eastAsia="Calibri" w:hAnsi="Palatino Linotype" w:cs="Arial"/>
          <w:i/>
          <w:sz w:val="22"/>
          <w:szCs w:val="22"/>
          <w:lang w:val="es-ES" w:eastAsia="es-ES"/>
        </w:rPr>
      </w:pPr>
      <w:r w:rsidRPr="00023AC6">
        <w:rPr>
          <w:rFonts w:ascii="Palatino Linotype" w:eastAsiaTheme="minorEastAsia" w:hAnsi="Palatino Linotype"/>
          <w:b/>
          <w:sz w:val="22"/>
          <w:szCs w:val="22"/>
          <w:lang w:val="es-ES_tradnl" w:eastAsia="es-ES"/>
        </w:rPr>
        <w:lastRenderedPageBreak/>
        <w:t>Acto impugnado</w:t>
      </w:r>
      <w:r w:rsidRPr="00023AC6">
        <w:rPr>
          <w:rFonts w:ascii="Palatino Linotype" w:eastAsiaTheme="minorEastAsia" w:hAnsi="Palatino Linotype"/>
          <w:b/>
          <w:i/>
          <w:sz w:val="22"/>
          <w:szCs w:val="22"/>
          <w:lang w:val="es-ES_tradnl" w:eastAsia="es-ES"/>
        </w:rPr>
        <w:t>:</w:t>
      </w:r>
      <w:r w:rsidRPr="00023AC6">
        <w:rPr>
          <w:rFonts w:ascii="Palatino Linotype" w:hAnsi="Palatino Linotype"/>
          <w:i/>
          <w:color w:val="000000"/>
          <w:sz w:val="22"/>
          <w:szCs w:val="22"/>
        </w:rPr>
        <w:t xml:space="preserve"> “</w:t>
      </w:r>
      <w:r w:rsidR="00DE7564" w:rsidRPr="00023AC6">
        <w:rPr>
          <w:rFonts w:ascii="Palatino Linotype" w:hAnsi="Palatino Linotype"/>
          <w:i/>
          <w:color w:val="000000"/>
          <w:sz w:val="22"/>
          <w:szCs w:val="22"/>
        </w:rPr>
        <w:t xml:space="preserve">La respuesta se encuentra incompleta, efectivamente en el portal de COMPRAMEX que se menciona en la respuesta se encuentra el fallo y el contrato, sin embargo, la solicitud de información que se pide es que se por parte de SEIEM se informe la fecha exacta con la que se recibió en el almacén general de SEIEM la entrega de los 4,125 piezas del libro “Saca al escritor que llevas dentro. EJERCICIOS, TRUCOS Y CONSEJOS PARA PONER EN MARCHA TU ESCRITURA” con ISBN 9781482734126 de la escritora </w:t>
      </w:r>
      <w:proofErr w:type="spellStart"/>
      <w:r w:rsidR="00DE7564" w:rsidRPr="00023AC6">
        <w:rPr>
          <w:rFonts w:ascii="Palatino Linotype" w:hAnsi="Palatino Linotype"/>
          <w:i/>
          <w:color w:val="000000"/>
          <w:sz w:val="22"/>
          <w:szCs w:val="22"/>
        </w:rPr>
        <w:t>Iria</w:t>
      </w:r>
      <w:proofErr w:type="spellEnd"/>
      <w:r w:rsidR="00DE7564" w:rsidRPr="00023AC6">
        <w:rPr>
          <w:rFonts w:ascii="Palatino Linotype" w:hAnsi="Palatino Linotype"/>
          <w:i/>
          <w:color w:val="000000"/>
          <w:sz w:val="22"/>
          <w:szCs w:val="22"/>
        </w:rPr>
        <w:t xml:space="preserve"> López </w:t>
      </w:r>
      <w:proofErr w:type="spellStart"/>
      <w:r w:rsidR="00DE7564" w:rsidRPr="00023AC6">
        <w:rPr>
          <w:rFonts w:ascii="Palatino Linotype" w:hAnsi="Palatino Linotype"/>
          <w:i/>
          <w:color w:val="000000"/>
          <w:sz w:val="22"/>
          <w:szCs w:val="22"/>
        </w:rPr>
        <w:t>Teijeiro</w:t>
      </w:r>
      <w:proofErr w:type="spellEnd"/>
      <w:r w:rsidR="00DE7564" w:rsidRPr="00023AC6">
        <w:rPr>
          <w:rFonts w:ascii="Palatino Linotype" w:hAnsi="Palatino Linotype"/>
          <w:i/>
          <w:color w:val="000000"/>
          <w:sz w:val="22"/>
          <w:szCs w:val="22"/>
        </w:rPr>
        <w:t xml:space="preserve"> derivado del contrato SEIEM/DA/ADQ.090/2024 derivado del fallo de la Licitación Pública Nacional Presencial No. 44074001-005-2024 para la Adquisición consolidada de materiales y suministros para la PARTIDA 1 (SUBPARTIDA 1.2 -Material Didáctico para la Dirección de Educación Secundaria y Servicios de Apoyo) adjudicado a </w:t>
      </w:r>
      <w:proofErr w:type="spellStart"/>
      <w:r w:rsidR="00DE7564" w:rsidRPr="00023AC6">
        <w:rPr>
          <w:rFonts w:ascii="Palatino Linotype" w:hAnsi="Palatino Linotype"/>
          <w:i/>
          <w:color w:val="000000"/>
          <w:sz w:val="22"/>
          <w:szCs w:val="22"/>
        </w:rPr>
        <w:t>Najal</w:t>
      </w:r>
      <w:proofErr w:type="spellEnd"/>
      <w:r w:rsidR="00DE7564" w:rsidRPr="00023AC6">
        <w:rPr>
          <w:rFonts w:ascii="Palatino Linotype" w:hAnsi="Palatino Linotype"/>
          <w:i/>
          <w:color w:val="000000"/>
          <w:sz w:val="22"/>
          <w:szCs w:val="22"/>
        </w:rPr>
        <w:t xml:space="preserve"> Productos Mexiquenses, S.A. de C.V.</w:t>
      </w:r>
      <w:r w:rsidRPr="00023AC6">
        <w:rPr>
          <w:rFonts w:ascii="Palatino Linotype" w:hAnsi="Palatino Linotype"/>
          <w:i/>
          <w:color w:val="000000"/>
          <w:sz w:val="22"/>
          <w:szCs w:val="22"/>
        </w:rPr>
        <w:t>" (Sic)</w:t>
      </w:r>
    </w:p>
    <w:p w:rsidR="00480B8C" w:rsidRPr="00023AC6" w:rsidRDefault="00480B8C" w:rsidP="00480B8C">
      <w:pPr>
        <w:spacing w:line="360" w:lineRule="auto"/>
        <w:ind w:left="567" w:right="567"/>
        <w:contextualSpacing/>
        <w:jc w:val="both"/>
        <w:rPr>
          <w:rFonts w:ascii="Palatino Linotype" w:eastAsia="Calibri" w:hAnsi="Palatino Linotype" w:cs="Arial"/>
          <w:sz w:val="22"/>
          <w:szCs w:val="22"/>
          <w:lang w:val="es-ES" w:eastAsia="es-ES"/>
        </w:rPr>
      </w:pPr>
    </w:p>
    <w:p w:rsidR="00480B8C" w:rsidRPr="00023AC6" w:rsidRDefault="00480B8C" w:rsidP="00480B8C">
      <w:pPr>
        <w:spacing w:line="360" w:lineRule="auto"/>
        <w:ind w:left="567" w:right="567"/>
        <w:contextualSpacing/>
        <w:jc w:val="both"/>
        <w:rPr>
          <w:rFonts w:ascii="Palatino Linotype" w:eastAsiaTheme="minorEastAsia" w:hAnsi="Palatino Linotype"/>
          <w:b/>
          <w:sz w:val="22"/>
          <w:szCs w:val="22"/>
          <w:lang w:val="es-ES_tradnl" w:eastAsia="es-ES"/>
        </w:rPr>
      </w:pPr>
      <w:r w:rsidRPr="00023AC6">
        <w:rPr>
          <w:rFonts w:ascii="Palatino Linotype" w:eastAsiaTheme="minorEastAsia" w:hAnsi="Palatino Linotype"/>
          <w:b/>
          <w:sz w:val="22"/>
          <w:szCs w:val="22"/>
          <w:lang w:val="es-ES_tradnl" w:eastAsia="es-ES"/>
        </w:rPr>
        <w:t xml:space="preserve">Razones o Motivos de inconformidad: </w:t>
      </w:r>
      <w:r w:rsidRPr="00023AC6">
        <w:rPr>
          <w:rFonts w:ascii="Palatino Linotype" w:eastAsiaTheme="minorEastAsia" w:hAnsi="Palatino Linotype"/>
          <w:i/>
          <w:sz w:val="22"/>
          <w:szCs w:val="22"/>
          <w:lang w:eastAsia="es-ES"/>
        </w:rPr>
        <w:t>"</w:t>
      </w:r>
      <w:r w:rsidR="00DE7564" w:rsidRPr="00023AC6">
        <w:rPr>
          <w:rFonts w:ascii="Verdana" w:hAnsi="Verdana"/>
          <w:color w:val="000000"/>
          <w:sz w:val="22"/>
          <w:szCs w:val="22"/>
        </w:rPr>
        <w:t xml:space="preserve"> </w:t>
      </w:r>
      <w:r w:rsidR="00DE7564" w:rsidRPr="00023AC6">
        <w:rPr>
          <w:rFonts w:ascii="Palatino Linotype" w:eastAsiaTheme="minorEastAsia" w:hAnsi="Palatino Linotype"/>
          <w:i/>
          <w:sz w:val="22"/>
          <w:szCs w:val="22"/>
          <w:lang w:eastAsia="es-ES"/>
        </w:rPr>
        <w:t xml:space="preserve">la información requerida </w:t>
      </w:r>
      <w:proofErr w:type="spellStart"/>
      <w:r w:rsidR="00DE7564" w:rsidRPr="00023AC6">
        <w:rPr>
          <w:rFonts w:ascii="Palatino Linotype" w:eastAsiaTheme="minorEastAsia" w:hAnsi="Palatino Linotype"/>
          <w:i/>
          <w:sz w:val="22"/>
          <w:szCs w:val="22"/>
          <w:lang w:eastAsia="es-ES"/>
        </w:rPr>
        <w:t>esta</w:t>
      </w:r>
      <w:proofErr w:type="spellEnd"/>
      <w:r w:rsidR="00DE7564" w:rsidRPr="00023AC6">
        <w:rPr>
          <w:rFonts w:ascii="Palatino Linotype" w:eastAsiaTheme="minorEastAsia" w:hAnsi="Palatino Linotype"/>
          <w:i/>
          <w:sz w:val="22"/>
          <w:szCs w:val="22"/>
          <w:lang w:eastAsia="es-ES"/>
        </w:rPr>
        <w:t xml:space="preserve"> incompleta, se requiere la fecha exacta con la que se </w:t>
      </w:r>
      <w:proofErr w:type="spellStart"/>
      <w:r w:rsidR="00DE7564" w:rsidRPr="00023AC6">
        <w:rPr>
          <w:rFonts w:ascii="Palatino Linotype" w:eastAsiaTheme="minorEastAsia" w:hAnsi="Palatino Linotype"/>
          <w:i/>
          <w:sz w:val="22"/>
          <w:szCs w:val="22"/>
          <w:lang w:eastAsia="es-ES"/>
        </w:rPr>
        <w:t>recibio</w:t>
      </w:r>
      <w:proofErr w:type="spellEnd"/>
      <w:r w:rsidR="00DE7564" w:rsidRPr="00023AC6">
        <w:rPr>
          <w:rFonts w:ascii="Palatino Linotype" w:eastAsiaTheme="minorEastAsia" w:hAnsi="Palatino Linotype"/>
          <w:i/>
          <w:sz w:val="22"/>
          <w:szCs w:val="22"/>
          <w:lang w:eastAsia="es-ES"/>
        </w:rPr>
        <w:t xml:space="preserve"> en </w:t>
      </w:r>
      <w:proofErr w:type="spellStart"/>
      <w:r w:rsidR="00DE7564" w:rsidRPr="00023AC6">
        <w:rPr>
          <w:rFonts w:ascii="Palatino Linotype" w:eastAsiaTheme="minorEastAsia" w:hAnsi="Palatino Linotype"/>
          <w:i/>
          <w:sz w:val="22"/>
          <w:szCs w:val="22"/>
          <w:lang w:eastAsia="es-ES"/>
        </w:rPr>
        <w:t>almacen</w:t>
      </w:r>
      <w:proofErr w:type="spellEnd"/>
      <w:r w:rsidR="00DE7564" w:rsidRPr="00023AC6">
        <w:rPr>
          <w:rFonts w:ascii="Palatino Linotype" w:eastAsiaTheme="minorEastAsia" w:hAnsi="Palatino Linotype"/>
          <w:i/>
          <w:sz w:val="22"/>
          <w:szCs w:val="22"/>
          <w:lang w:eastAsia="es-ES"/>
        </w:rPr>
        <w:t xml:space="preserve">, es decir, la fecha que </w:t>
      </w:r>
      <w:proofErr w:type="spellStart"/>
      <w:r w:rsidR="00DE7564" w:rsidRPr="00023AC6">
        <w:rPr>
          <w:rFonts w:ascii="Palatino Linotype" w:eastAsiaTheme="minorEastAsia" w:hAnsi="Palatino Linotype"/>
          <w:i/>
          <w:sz w:val="22"/>
          <w:szCs w:val="22"/>
          <w:lang w:eastAsia="es-ES"/>
        </w:rPr>
        <w:t>esta</w:t>
      </w:r>
      <w:proofErr w:type="spellEnd"/>
      <w:r w:rsidR="00DE7564" w:rsidRPr="00023AC6">
        <w:rPr>
          <w:rFonts w:ascii="Palatino Linotype" w:eastAsiaTheme="minorEastAsia" w:hAnsi="Palatino Linotype"/>
          <w:i/>
          <w:sz w:val="22"/>
          <w:szCs w:val="22"/>
          <w:lang w:eastAsia="es-ES"/>
        </w:rPr>
        <w:t xml:space="preserve"> en el sello del almacén general de la SEIEM de la entrega de los 4,125 piezas del libro “Saca al escritor que llevas dentro. EJERCICIOS, TRUCOS Y CONSEJOS PARA PONER EN MARCHA TU ESCRITURA” con ISBN 9781482734126 y testigo que lo documente.</w:t>
      </w:r>
      <w:r w:rsidRPr="00023AC6">
        <w:rPr>
          <w:rFonts w:ascii="Palatino Linotype" w:eastAsiaTheme="minorEastAsia" w:hAnsi="Palatino Linotype"/>
          <w:i/>
          <w:sz w:val="22"/>
          <w:szCs w:val="22"/>
          <w:lang w:eastAsia="es-ES"/>
        </w:rPr>
        <w:t>" (Sic)</w:t>
      </w:r>
    </w:p>
    <w:p w:rsidR="00480B8C" w:rsidRPr="00023AC6" w:rsidRDefault="00480B8C" w:rsidP="00480B8C">
      <w:pPr>
        <w:spacing w:line="360" w:lineRule="auto"/>
        <w:ind w:right="567"/>
        <w:contextualSpacing/>
        <w:jc w:val="both"/>
        <w:rPr>
          <w:rFonts w:ascii="Palatino Linotype" w:hAnsi="Palatino Linotype" w:cs="Arial"/>
          <w:sz w:val="22"/>
          <w:szCs w:val="22"/>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hAnsi="Palatino Linotype" w:cs="Arial"/>
          <w:szCs w:val="22"/>
          <w:lang w:val="es-ES" w:eastAsia="es-ES"/>
        </w:rPr>
        <w:t xml:space="preserve">Se registró el recurso de revisión bajo el número de expediente </w:t>
      </w:r>
      <w:r w:rsidRPr="00023AC6">
        <w:rPr>
          <w:rFonts w:ascii="Palatino Linotype" w:eastAsiaTheme="minorEastAsia" w:hAnsi="Palatino Linotype" w:cs="Arial"/>
          <w:bCs/>
          <w:szCs w:val="22"/>
          <w:lang w:val="es-ES_tradnl" w:eastAsia="es-ES"/>
        </w:rPr>
        <w:t xml:space="preserve">al rubro indicado, asimismo con fundamento en lo dispuesto por el </w:t>
      </w:r>
      <w:r w:rsidRPr="00023AC6">
        <w:rPr>
          <w:rFonts w:ascii="Palatino Linotype" w:eastAsia="Calibri" w:hAnsi="Palatino Linotype" w:cs="Arial"/>
          <w:szCs w:val="22"/>
          <w:lang w:val="es-ES" w:eastAsia="es-ES"/>
        </w:rPr>
        <w:t xml:space="preserve">artículo 185 fracción I de la </w:t>
      </w:r>
      <w:r w:rsidRPr="00023AC6">
        <w:rPr>
          <w:rFonts w:ascii="Palatino Linotype" w:eastAsia="Calibri" w:hAnsi="Palatino Linotype" w:cs="Arial"/>
          <w:b/>
          <w:szCs w:val="22"/>
          <w:lang w:val="es-ES" w:eastAsia="es-ES"/>
        </w:rPr>
        <w:t xml:space="preserve">Ley de Transparencia y Acceso a la Información Pública del Estado de México y Municipios </w:t>
      </w:r>
      <w:r w:rsidRPr="00023AC6">
        <w:rPr>
          <w:rFonts w:ascii="Palatino Linotype" w:hAnsi="Palatino Linotype" w:cs="Arial"/>
          <w:szCs w:val="22"/>
          <w:lang w:val="es-ES" w:eastAsia="es-ES"/>
        </w:rPr>
        <w:t xml:space="preserve">se turnó a la </w:t>
      </w:r>
      <w:r w:rsidRPr="00023AC6">
        <w:rPr>
          <w:rFonts w:ascii="Palatino Linotype" w:hAnsi="Palatino Linotype" w:cs="Arial"/>
          <w:b/>
          <w:szCs w:val="22"/>
          <w:lang w:val="es-ES" w:eastAsia="es-ES"/>
        </w:rPr>
        <w:t xml:space="preserve">Comisionada María del Rosario Mejía Ayala, </w:t>
      </w:r>
      <w:r w:rsidRPr="00023AC6">
        <w:rPr>
          <w:rFonts w:ascii="Palatino Linotype" w:hAnsi="Palatino Linotype" w:cs="Arial"/>
          <w:szCs w:val="22"/>
          <w:lang w:val="es-ES" w:eastAsia="es-ES"/>
        </w:rPr>
        <w:t xml:space="preserve">con el objeto de </w:t>
      </w:r>
      <w:r w:rsidRPr="00023AC6">
        <w:rPr>
          <w:rFonts w:ascii="Palatino Linotype" w:hAnsi="Palatino Linotype" w:cs="Arial"/>
          <w:szCs w:val="22"/>
          <w:lang w:eastAsia="es-ES"/>
        </w:rPr>
        <w:t xml:space="preserve">su análisis. </w:t>
      </w:r>
    </w:p>
    <w:p w:rsidR="00480B8C" w:rsidRPr="00023AC6" w:rsidRDefault="00480B8C" w:rsidP="00480B8C">
      <w:pPr>
        <w:pStyle w:val="Prrafodelista"/>
        <w:spacing w:line="360" w:lineRule="auto"/>
        <w:ind w:left="0"/>
        <w:jc w:val="both"/>
        <w:rPr>
          <w:rFonts w:ascii="Palatino Linotype" w:hAnsi="Palatino Linotype" w:cs="Arial"/>
          <w:szCs w:val="22"/>
          <w:lang w:val="es-ES" w:eastAsia="es-ES"/>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eastAsia="Calibri" w:hAnsi="Palatino Linotype" w:cs="Arial"/>
          <w:szCs w:val="22"/>
          <w:lang w:val="es-ES" w:eastAsia="es-ES"/>
        </w:rPr>
        <w:t xml:space="preserve">El Comisionado Ponente con fundamento en lo dispuesto por el artículo 185 fracción II de la ley de la materia, a través del acuerdo de admisión del </w:t>
      </w:r>
      <w:r w:rsidR="00DE7564" w:rsidRPr="00023AC6">
        <w:rPr>
          <w:rFonts w:ascii="Palatino Linotype" w:eastAsia="Calibri" w:hAnsi="Palatino Linotype" w:cs="Arial"/>
          <w:szCs w:val="22"/>
          <w:lang w:val="es-ES" w:eastAsia="es-ES"/>
        </w:rPr>
        <w:t>cinco (05) de diciembre</w:t>
      </w:r>
      <w:r w:rsidRPr="00023AC6">
        <w:rPr>
          <w:rFonts w:ascii="Palatino Linotype" w:eastAsia="Calibri" w:hAnsi="Palatino Linotype" w:cs="Arial"/>
          <w:szCs w:val="22"/>
          <w:lang w:val="es-ES" w:eastAsia="es-ES"/>
        </w:rPr>
        <w:t xml:space="preserve"> de dos </w:t>
      </w:r>
      <w:r w:rsidRPr="00023AC6">
        <w:rPr>
          <w:rFonts w:ascii="Palatino Linotype" w:eastAsia="Calibri" w:hAnsi="Palatino Linotype" w:cs="Arial"/>
          <w:szCs w:val="22"/>
          <w:lang w:val="es-ES" w:eastAsia="es-ES"/>
        </w:rPr>
        <w:lastRenderedPageBreak/>
        <w:t xml:space="preserve">mil veinticuatro, puso a disposición de las partes el expediente electrónico </w:t>
      </w:r>
      <w:r w:rsidRPr="00023AC6">
        <w:rPr>
          <w:rFonts w:ascii="Palatino Linotype" w:eastAsia="Calibri" w:hAnsi="Palatino Linotype" w:cs="Arial"/>
          <w:szCs w:val="22"/>
          <w:lang w:val="es-ES_tradnl" w:eastAsia="es-ES"/>
        </w:rPr>
        <w:t xml:space="preserve">vía </w:t>
      </w:r>
      <w:r w:rsidRPr="00023AC6">
        <w:rPr>
          <w:rFonts w:ascii="Palatino Linotype" w:eastAsia="Calibri" w:hAnsi="Palatino Linotype" w:cs="Arial"/>
          <w:b/>
          <w:szCs w:val="22"/>
          <w:lang w:val="es-ES" w:eastAsia="es-ES"/>
        </w:rPr>
        <w:t xml:space="preserve">SAIMEX </w:t>
      </w:r>
      <w:r w:rsidRPr="00023AC6">
        <w:rPr>
          <w:rFonts w:ascii="Palatino Linotype" w:eastAsia="Calibri" w:hAnsi="Palatino Linotype" w:cs="Arial"/>
          <w:szCs w:val="22"/>
          <w:lang w:val="es-ES" w:eastAsia="es-ES"/>
        </w:rPr>
        <w:t xml:space="preserve">a efecto de que en un plazo máximo de siete días manifestaran lo que a derecho convinieran, ofrecieran pruebas y alegatos según corresponda al caso concreto, de esta forma para que el </w:t>
      </w:r>
      <w:r w:rsidRPr="00023AC6">
        <w:rPr>
          <w:rFonts w:ascii="Palatino Linotype" w:eastAsia="Calibri" w:hAnsi="Palatino Linotype" w:cs="Arial"/>
          <w:b/>
          <w:szCs w:val="22"/>
          <w:lang w:val="es-ES" w:eastAsia="es-ES"/>
        </w:rPr>
        <w:t>SUJETO OBLIGADO</w:t>
      </w:r>
      <w:r w:rsidRPr="00023AC6">
        <w:rPr>
          <w:rFonts w:ascii="Palatino Linotype" w:eastAsia="Calibri" w:hAnsi="Palatino Linotype" w:cs="Arial"/>
          <w:szCs w:val="22"/>
          <w:lang w:val="es-ES" w:eastAsia="es-ES"/>
        </w:rPr>
        <w:t xml:space="preserve"> presentara el informe justificado procedente. </w:t>
      </w:r>
    </w:p>
    <w:p w:rsidR="00480B8C" w:rsidRPr="00023AC6" w:rsidRDefault="00480B8C" w:rsidP="00480B8C">
      <w:pPr>
        <w:pStyle w:val="Prrafodelista"/>
        <w:rPr>
          <w:rFonts w:ascii="Palatino Linotype" w:eastAsia="Calibri" w:hAnsi="Palatino Linotype" w:cs="Arial"/>
          <w:szCs w:val="22"/>
          <w:lang w:val="es-ES" w:eastAsia="es-ES"/>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eastAsia="Calibri" w:hAnsi="Palatino Linotype" w:cs="Arial"/>
          <w:szCs w:val="22"/>
          <w:lang w:val="es-ES" w:eastAsia="es-ES"/>
        </w:rPr>
        <w:t xml:space="preserve">De las constancias del expediente electrónico SAIMEX se advierte que el Recurrente no realizó manifestaciones; </w:t>
      </w:r>
      <w:r w:rsidRPr="00023AC6">
        <w:rPr>
          <w:rFonts w:ascii="Palatino Linotype" w:hAnsi="Palatino Linotype" w:cs="Arial"/>
          <w:szCs w:val="22"/>
          <w:lang w:val="es-ES" w:eastAsia="es-ES"/>
        </w:rPr>
        <w:t>p</w:t>
      </w:r>
      <w:r w:rsidRPr="00023AC6">
        <w:rPr>
          <w:rFonts w:ascii="Palatino Linotype" w:eastAsia="Calibri" w:hAnsi="Palatino Linotype" w:cs="Arial"/>
          <w:szCs w:val="22"/>
          <w:lang w:val="es-ES" w:eastAsia="es-ES"/>
        </w:rPr>
        <w:t xml:space="preserve">or su parte, el Sujeto Obligado entregó informe justificado el </w:t>
      </w:r>
      <w:r w:rsidR="00DE7564" w:rsidRPr="00023AC6">
        <w:rPr>
          <w:rFonts w:ascii="Palatino Linotype" w:eastAsia="Calibri" w:hAnsi="Palatino Linotype" w:cs="Arial"/>
          <w:szCs w:val="22"/>
          <w:lang w:val="es-ES" w:eastAsia="es-ES"/>
        </w:rPr>
        <w:t xml:space="preserve">doce (12) de diciembre </w:t>
      </w:r>
      <w:r w:rsidRPr="00023AC6">
        <w:rPr>
          <w:rFonts w:ascii="Palatino Linotype" w:eastAsia="Calibri" w:hAnsi="Palatino Linotype" w:cs="Arial"/>
          <w:szCs w:val="22"/>
          <w:lang w:val="es-ES" w:eastAsia="es-ES"/>
        </w:rPr>
        <w:t xml:space="preserve">de dos mil veinticuatro, y que se puso a la vista del Recurrente el </w:t>
      </w:r>
      <w:r w:rsidR="00DE7564" w:rsidRPr="00023AC6">
        <w:rPr>
          <w:rFonts w:ascii="Palatino Linotype" w:eastAsia="Calibri" w:hAnsi="Palatino Linotype" w:cs="Arial"/>
          <w:szCs w:val="22"/>
          <w:lang w:val="es-ES" w:eastAsia="es-ES"/>
        </w:rPr>
        <w:t>diecisiete (17) de diciembre</w:t>
      </w:r>
      <w:r w:rsidRPr="00023AC6">
        <w:rPr>
          <w:rFonts w:ascii="Palatino Linotype" w:eastAsia="Calibri" w:hAnsi="Palatino Linotype" w:cs="Arial"/>
          <w:szCs w:val="22"/>
          <w:lang w:val="es-ES" w:eastAsia="es-ES"/>
        </w:rPr>
        <w:t xml:space="preserve"> del mismo año, a través de los archivos que se describen enseguida:</w:t>
      </w:r>
    </w:p>
    <w:p w:rsidR="00480B8C" w:rsidRPr="00023AC6" w:rsidRDefault="00480B8C" w:rsidP="00480B8C">
      <w:pPr>
        <w:pStyle w:val="Prrafodelista"/>
        <w:rPr>
          <w:rFonts w:ascii="Palatino Linotype" w:hAnsi="Palatino Linotype" w:cs="Arial"/>
          <w:szCs w:val="22"/>
          <w:lang w:val="es-ES" w:eastAsia="es-ES"/>
        </w:rPr>
      </w:pPr>
    </w:p>
    <w:p w:rsidR="00DE7564" w:rsidRPr="00023AC6" w:rsidRDefault="002602B3" w:rsidP="00DE7564">
      <w:pPr>
        <w:pStyle w:val="Prrafodelista"/>
        <w:numPr>
          <w:ilvl w:val="0"/>
          <w:numId w:val="4"/>
        </w:numPr>
        <w:spacing w:line="360" w:lineRule="auto"/>
        <w:ind w:left="851" w:right="822" w:firstLine="0"/>
        <w:jc w:val="both"/>
        <w:rPr>
          <w:rFonts w:ascii="Palatino Linotype" w:hAnsi="Palatino Linotype" w:cs="Arial"/>
          <w:szCs w:val="22"/>
          <w:lang w:val="es-ES" w:eastAsia="es-ES"/>
        </w:rPr>
      </w:pPr>
      <w:hyperlink r:id="rId10" w:history="1">
        <w:r w:rsidR="00DE7564" w:rsidRPr="00023AC6">
          <w:rPr>
            <w:rStyle w:val="Hipervnculo"/>
            <w:rFonts w:ascii="Palatino Linotype" w:eastAsiaTheme="majorEastAsia" w:hAnsi="Palatino Linotype" w:cs="Arial"/>
            <w:b/>
            <w:bCs/>
            <w:szCs w:val="22"/>
          </w:rPr>
          <w:t>ARCHIVO ADJUNTO (D.R.M.F.) REC. REV.0001.pdf</w:t>
        </w:r>
      </w:hyperlink>
      <w:r w:rsidR="00DE7564" w:rsidRPr="00023AC6">
        <w:rPr>
          <w:rFonts w:ascii="Palatino Linotype" w:eastAsiaTheme="majorEastAsia" w:hAnsi="Palatino Linotype" w:cs="Arial"/>
          <w:bCs/>
          <w:szCs w:val="22"/>
        </w:rPr>
        <w:t>:</w:t>
      </w:r>
      <w:r w:rsidR="00A312DA" w:rsidRPr="00023AC6">
        <w:rPr>
          <w:rFonts w:ascii="Palatino Linotype" w:eastAsiaTheme="majorEastAsia" w:hAnsi="Palatino Linotype" w:cs="Arial"/>
          <w:bCs/>
          <w:szCs w:val="22"/>
        </w:rPr>
        <w:t xml:space="preserve"> oficio número 228C0101240100L/0799/2024 de fecha diez de diciembre de dos mil veinticuatro, suscrito por el Encargado del Despacho de la Subdirección de Recursos Materiales y Servicios, en el que señaló:</w:t>
      </w:r>
    </w:p>
    <w:p w:rsidR="00A312DA" w:rsidRPr="00023AC6" w:rsidRDefault="00A312DA" w:rsidP="00A312DA">
      <w:pPr>
        <w:pStyle w:val="Prrafodelista"/>
        <w:spacing w:line="360" w:lineRule="auto"/>
        <w:ind w:left="851" w:right="822"/>
        <w:jc w:val="both"/>
        <w:rPr>
          <w:rFonts w:ascii="Palatino Linotype" w:hAnsi="Palatino Linotype" w:cs="Arial"/>
          <w:szCs w:val="22"/>
          <w:lang w:val="es-ES" w:eastAsia="es-ES"/>
        </w:rPr>
      </w:pPr>
    </w:p>
    <w:p w:rsidR="00A312DA" w:rsidRPr="00023AC6" w:rsidRDefault="00A312DA" w:rsidP="00A312DA">
      <w:pPr>
        <w:pStyle w:val="Prrafodelista"/>
        <w:spacing w:line="360" w:lineRule="auto"/>
        <w:jc w:val="both"/>
        <w:rPr>
          <w:rFonts w:ascii="Palatino Linotype" w:hAnsi="Palatino Linotype"/>
          <w:i/>
          <w:szCs w:val="22"/>
        </w:rPr>
      </w:pPr>
      <w:r w:rsidRPr="00023AC6">
        <w:rPr>
          <w:rFonts w:ascii="Palatino Linotype" w:hAnsi="Palatino Linotype"/>
          <w:i/>
          <w:szCs w:val="22"/>
        </w:rPr>
        <w:t xml:space="preserve">“Sobre el particular, en estricta observancia a la Solicitud de Información Pública 0647/SEIEM/IP/2024, me permito reiterar la respuesta proporcionada mediante el oficio 228C0101240100L/0695/2024, de fecha 19 de noviembre de 2024, en la cual se manifestó la fecha exacta que a la letra dice: </w:t>
      </w:r>
    </w:p>
    <w:p w:rsidR="00A312DA" w:rsidRPr="00023AC6" w:rsidRDefault="00A312DA" w:rsidP="00A312DA">
      <w:pPr>
        <w:pStyle w:val="Prrafodelista"/>
        <w:spacing w:line="360" w:lineRule="auto"/>
        <w:jc w:val="both"/>
        <w:rPr>
          <w:rFonts w:ascii="Palatino Linotype" w:hAnsi="Palatino Linotype"/>
          <w:i/>
          <w:szCs w:val="22"/>
        </w:rPr>
      </w:pPr>
    </w:p>
    <w:p w:rsidR="00A312DA" w:rsidRPr="00023AC6" w:rsidRDefault="00A312DA" w:rsidP="00A312DA">
      <w:pPr>
        <w:pStyle w:val="Prrafodelista"/>
        <w:spacing w:line="360" w:lineRule="auto"/>
        <w:ind w:left="1134" w:right="680"/>
        <w:jc w:val="both"/>
        <w:rPr>
          <w:rFonts w:ascii="Palatino Linotype" w:hAnsi="Palatino Linotype"/>
          <w:i/>
          <w:szCs w:val="22"/>
        </w:rPr>
      </w:pPr>
      <w:r w:rsidRPr="00023AC6">
        <w:rPr>
          <w:rFonts w:ascii="Palatino Linotype" w:hAnsi="Palatino Linotype"/>
          <w:i/>
          <w:szCs w:val="22"/>
        </w:rPr>
        <w:t>"De acuerdo con el punto 2.1.2 "Plazo de entrega de los bienes", publicado en el fallo de adjudicación de la Licitación Pública Nacional Presencial No. 44074001-005-2024, el día veintinueve de agosto de dos mil veinticuatro, los bienes descritos en el ANEXO…</w:t>
      </w:r>
    </w:p>
    <w:p w:rsidR="00A312DA" w:rsidRPr="00023AC6" w:rsidRDefault="00A312DA" w:rsidP="00A312DA">
      <w:pPr>
        <w:pStyle w:val="Prrafodelista"/>
        <w:spacing w:line="360" w:lineRule="auto"/>
        <w:ind w:left="1134" w:right="680"/>
        <w:jc w:val="both"/>
        <w:rPr>
          <w:rFonts w:ascii="Palatino Linotype" w:hAnsi="Palatino Linotype"/>
          <w:i/>
          <w:szCs w:val="22"/>
        </w:rPr>
      </w:pPr>
    </w:p>
    <w:p w:rsidR="00A312DA" w:rsidRPr="00023AC6" w:rsidRDefault="00A312DA" w:rsidP="00A312DA">
      <w:pPr>
        <w:pStyle w:val="Prrafodelista"/>
        <w:spacing w:line="360" w:lineRule="auto"/>
        <w:ind w:left="1134" w:right="680"/>
        <w:jc w:val="both"/>
        <w:rPr>
          <w:rFonts w:ascii="Palatino Linotype" w:hAnsi="Palatino Linotype"/>
          <w:i/>
          <w:szCs w:val="22"/>
        </w:rPr>
      </w:pPr>
      <w:r w:rsidRPr="00023AC6">
        <w:rPr>
          <w:rFonts w:ascii="Palatino Linotype" w:hAnsi="Palatino Linotype"/>
          <w:i/>
          <w:szCs w:val="22"/>
        </w:rPr>
        <w:t xml:space="preserve">UNO - REQUERIMIENTOS, PARTIDA 1 (SUBPARTIDA 1.1 Y 1.2), deberán entregarse a partir del día siguiente de la notificación del fallo de adjudicación y </w:t>
      </w:r>
      <w:r w:rsidRPr="00023AC6">
        <w:rPr>
          <w:rFonts w:ascii="Palatino Linotype" w:hAnsi="Palatino Linotype"/>
          <w:i/>
          <w:szCs w:val="22"/>
        </w:rPr>
        <w:lastRenderedPageBreak/>
        <w:t xml:space="preserve">hasta dentro de los siguientes 45 </w:t>
      </w:r>
      <w:proofErr w:type="spellStart"/>
      <w:r w:rsidRPr="00023AC6">
        <w:rPr>
          <w:rFonts w:ascii="Palatino Linotype" w:hAnsi="Palatino Linotype"/>
          <w:i/>
          <w:szCs w:val="22"/>
        </w:rPr>
        <w:t>dias</w:t>
      </w:r>
      <w:proofErr w:type="spellEnd"/>
      <w:r w:rsidRPr="00023AC6">
        <w:rPr>
          <w:rFonts w:ascii="Palatino Linotype" w:hAnsi="Palatino Linotype"/>
          <w:i/>
          <w:szCs w:val="22"/>
        </w:rPr>
        <w:t xml:space="preserve"> hábiles, es decir el 5 de noviembre del presente". </w:t>
      </w:r>
    </w:p>
    <w:p w:rsidR="00A312DA" w:rsidRPr="00023AC6" w:rsidRDefault="00A312DA" w:rsidP="00A312DA">
      <w:pPr>
        <w:pStyle w:val="Prrafodelista"/>
        <w:spacing w:line="360" w:lineRule="auto"/>
        <w:jc w:val="both"/>
        <w:rPr>
          <w:rFonts w:ascii="Palatino Linotype" w:hAnsi="Palatino Linotype"/>
          <w:i/>
          <w:szCs w:val="22"/>
        </w:rPr>
      </w:pPr>
    </w:p>
    <w:p w:rsidR="00A312DA" w:rsidRPr="00023AC6" w:rsidRDefault="00A312DA" w:rsidP="00A312DA">
      <w:pPr>
        <w:pStyle w:val="Prrafodelista"/>
        <w:spacing w:line="360" w:lineRule="auto"/>
        <w:jc w:val="both"/>
        <w:rPr>
          <w:rFonts w:ascii="Palatino Linotype" w:hAnsi="Palatino Linotype"/>
          <w:i/>
          <w:szCs w:val="22"/>
        </w:rPr>
      </w:pPr>
      <w:r w:rsidRPr="00023AC6">
        <w:rPr>
          <w:rFonts w:ascii="Palatino Linotype" w:hAnsi="Palatino Linotype"/>
          <w:i/>
          <w:szCs w:val="22"/>
        </w:rPr>
        <w:t xml:space="preserve">Derivado de lo anterior y con la finalidad de dar debido cumplimiento al recurso de revisión con número de expediente 07458/INFOEM/P/RR/2024, en la esfera de nuestras atribuciones, me permito hacer de su conocimiento lo siguiente: </w:t>
      </w:r>
    </w:p>
    <w:p w:rsidR="00A312DA" w:rsidRPr="00023AC6" w:rsidRDefault="00A312DA" w:rsidP="00A312DA">
      <w:pPr>
        <w:pStyle w:val="Prrafodelista"/>
        <w:spacing w:line="360" w:lineRule="auto"/>
        <w:jc w:val="both"/>
        <w:rPr>
          <w:rFonts w:ascii="Palatino Linotype" w:hAnsi="Palatino Linotype"/>
          <w:i/>
          <w:szCs w:val="22"/>
        </w:rPr>
      </w:pPr>
    </w:p>
    <w:p w:rsidR="00A312DA" w:rsidRPr="00023AC6" w:rsidRDefault="00A312DA" w:rsidP="00A312DA">
      <w:pPr>
        <w:pStyle w:val="Prrafodelista"/>
        <w:spacing w:line="360" w:lineRule="auto"/>
        <w:jc w:val="both"/>
        <w:rPr>
          <w:rFonts w:ascii="Palatino Linotype" w:hAnsi="Palatino Linotype"/>
          <w:i/>
          <w:szCs w:val="22"/>
        </w:rPr>
      </w:pPr>
      <w:r w:rsidRPr="00023AC6">
        <w:rPr>
          <w:rFonts w:ascii="Palatino Linotype" w:hAnsi="Palatino Linotype"/>
          <w:i/>
          <w:szCs w:val="22"/>
        </w:rPr>
        <w:t xml:space="preserve">En fecha 18 de septiembre del presente año, EL PROVEEDOR presento el cambio del Libro "Taller de Escritura Creativa", autor Berta </w:t>
      </w:r>
      <w:proofErr w:type="spellStart"/>
      <w:r w:rsidRPr="00023AC6">
        <w:rPr>
          <w:rFonts w:ascii="Palatino Linotype" w:hAnsi="Palatino Linotype"/>
          <w:i/>
          <w:szCs w:val="22"/>
        </w:rPr>
        <w:t>Hiriart</w:t>
      </w:r>
      <w:proofErr w:type="spellEnd"/>
      <w:r w:rsidRPr="00023AC6">
        <w:rPr>
          <w:rFonts w:ascii="Palatino Linotype" w:hAnsi="Palatino Linotype"/>
          <w:i/>
          <w:szCs w:val="22"/>
        </w:rPr>
        <w:t xml:space="preserve"> Marcela Guijosa ISBN-10:6078406973, ISBN-13 978-6078406975, EDIT. 256 páginas, idioma Español; Editorial PAIDOS MEXICO, en virtud de que una empresa denominada </w:t>
      </w:r>
      <w:proofErr w:type="spellStart"/>
      <w:r w:rsidRPr="00023AC6">
        <w:rPr>
          <w:rFonts w:ascii="Palatino Linotype" w:hAnsi="Palatino Linotype"/>
          <w:i/>
          <w:szCs w:val="22"/>
        </w:rPr>
        <w:t>Didalibros</w:t>
      </w:r>
      <w:proofErr w:type="spellEnd"/>
      <w:r w:rsidRPr="00023AC6">
        <w:rPr>
          <w:rFonts w:ascii="Palatino Linotype" w:hAnsi="Palatino Linotype"/>
          <w:i/>
          <w:szCs w:val="22"/>
        </w:rPr>
        <w:t>, S.A. de C.V., manifestó ser titular de los Derechos de comercialización y explotación de la obra en SEIEM o cualquier otra institución de la República Mexicana, situación que no se hizo valer durante el desarrollo de la Licitación; motivo por el cual y una vez que la Dirección de Educación Secundaria y Servicios de Apoyo atendiendo la solicitud de cambio, se realizó un convenio modificatorio al Contrato Administrativo de Adquisición de Bienes número SEIEM/DA/ADQ.090/2024, con fundamento en el POBALIN 066 del Acuerdo por el que se Establecen las Políticas, Bases y Lineamientos, en Materia de Adquisiciones, Enajenaciones, Arrendamientos y Servicios de las Dependencias, Organismos Auxiliares y Tribunales Administrativos del Poder Ejecutivo del Estado de México, publicado en Gaceta de Gobierno del Estado de México de fecha 9 de diciembre de 2013, por lo que NO se concretó la compra del libro "Saca al escritor que llevas dentro, EJERCICIOS. TRUCOS Y CONSEJOS PARA PONER EN MARCHA TU ESCRITURA", dado las imposibilidades del proveedor, por lo que no existe recepción en el almacén de SEIEM del libro antes mencionado.</w:t>
      </w:r>
    </w:p>
    <w:p w:rsidR="00DE7564" w:rsidRPr="00023AC6" w:rsidRDefault="00DE7564" w:rsidP="00DE7564">
      <w:pPr>
        <w:spacing w:line="360" w:lineRule="auto"/>
        <w:ind w:left="851" w:right="822"/>
        <w:jc w:val="both"/>
        <w:rPr>
          <w:rFonts w:ascii="Palatino Linotype" w:hAnsi="Palatino Linotype" w:cs="Arial"/>
          <w:sz w:val="22"/>
          <w:szCs w:val="22"/>
          <w:lang w:val="es-ES" w:eastAsia="es-ES"/>
        </w:rPr>
      </w:pPr>
    </w:p>
    <w:p w:rsidR="00DE7564" w:rsidRPr="00023AC6" w:rsidRDefault="002602B3" w:rsidP="00492BF7">
      <w:pPr>
        <w:pStyle w:val="Prrafodelista"/>
        <w:numPr>
          <w:ilvl w:val="0"/>
          <w:numId w:val="4"/>
        </w:numPr>
        <w:spacing w:line="360" w:lineRule="auto"/>
        <w:ind w:left="851" w:right="113" w:firstLine="0"/>
        <w:jc w:val="both"/>
        <w:rPr>
          <w:rFonts w:ascii="Palatino Linotype" w:hAnsi="Palatino Linotype" w:cs="Arial"/>
          <w:szCs w:val="22"/>
          <w:lang w:val="es-ES" w:eastAsia="es-ES"/>
        </w:rPr>
      </w:pPr>
      <w:hyperlink r:id="rId11" w:history="1">
        <w:r w:rsidR="00DE7564" w:rsidRPr="00023AC6">
          <w:rPr>
            <w:rStyle w:val="Hipervnculo"/>
            <w:rFonts w:ascii="Palatino Linotype" w:hAnsi="Palatino Linotype" w:cs="Arial"/>
            <w:b/>
            <w:bCs/>
            <w:szCs w:val="22"/>
            <w:lang w:eastAsia="es-ES"/>
          </w:rPr>
          <w:t>INFORM. JUSTF. 647-240001.pdf</w:t>
        </w:r>
      </w:hyperlink>
      <w:r w:rsidR="00DE7564" w:rsidRPr="00023AC6">
        <w:rPr>
          <w:rFonts w:ascii="Palatino Linotype" w:hAnsi="Palatino Linotype" w:cs="Arial"/>
          <w:szCs w:val="22"/>
          <w:lang w:val="es-ES" w:eastAsia="es-ES"/>
        </w:rPr>
        <w:t xml:space="preserve">: </w:t>
      </w:r>
      <w:r w:rsidR="00A312DA" w:rsidRPr="00023AC6">
        <w:rPr>
          <w:rFonts w:ascii="Palatino Linotype" w:hAnsi="Palatino Linotype" w:cs="Arial"/>
          <w:szCs w:val="22"/>
          <w:lang w:val="es-ES" w:eastAsia="es-ES"/>
        </w:rPr>
        <w:t xml:space="preserve">oficio número 228C0101030002S/UT/2116/2024 de fecha doce de diciembre de dos mil veinticuatro, suscrito por el Suplente del Titular de la Unidad de Transparencia en el que señaló </w:t>
      </w:r>
      <w:r w:rsidR="00492BF7" w:rsidRPr="00023AC6">
        <w:rPr>
          <w:rFonts w:ascii="Palatino Linotype" w:hAnsi="Palatino Linotype" w:cs="Arial"/>
          <w:szCs w:val="22"/>
          <w:lang w:val="es-ES" w:eastAsia="es-ES"/>
        </w:rPr>
        <w:t>que se adjunta la respuesta del Servidor Público Habilitado de la Dirección de Recursos Materiales y Financieros.</w:t>
      </w:r>
    </w:p>
    <w:p w:rsidR="00DE7564" w:rsidRPr="00023AC6" w:rsidRDefault="00DE7564" w:rsidP="00DE7564">
      <w:pPr>
        <w:pStyle w:val="Prrafodelista"/>
        <w:spacing w:line="360" w:lineRule="auto"/>
        <w:ind w:left="851" w:right="822"/>
        <w:jc w:val="both"/>
        <w:rPr>
          <w:rFonts w:ascii="Palatino Linotype" w:hAnsi="Palatino Linotype" w:cs="Arial"/>
          <w:szCs w:val="22"/>
          <w:lang w:val="es-ES" w:eastAsia="es-ES"/>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eastAsiaTheme="minorEastAsia" w:hAnsi="Palatino Linotype"/>
          <w:szCs w:val="22"/>
          <w:lang w:val="es-ES_tradnl" w:eastAsia="es-ES"/>
        </w:rPr>
        <w:t>La Comisionada Ponente decretó el cierre de instrucción</w:t>
      </w:r>
      <w:r w:rsidRPr="00023AC6">
        <w:rPr>
          <w:rFonts w:ascii="Palatino Linotype" w:eastAsiaTheme="minorEastAsia" w:hAnsi="Palatino Linotype" w:cs="Arial"/>
          <w:szCs w:val="22"/>
          <w:lang w:val="es-ES_tradnl" w:eastAsia="es-ES"/>
        </w:rPr>
        <w:t xml:space="preserve"> </w:t>
      </w:r>
      <w:r w:rsidRPr="00023AC6">
        <w:rPr>
          <w:rFonts w:ascii="Palatino Linotype" w:eastAsiaTheme="minorEastAsia" w:hAnsi="Palatino Linotype"/>
          <w:szCs w:val="22"/>
          <w:lang w:val="es-ES_tradnl" w:eastAsia="es-ES"/>
        </w:rPr>
        <w:t xml:space="preserve">mediante el acuerdo del </w:t>
      </w:r>
      <w:r w:rsidR="00492BF7" w:rsidRPr="00023AC6">
        <w:rPr>
          <w:rFonts w:ascii="Palatino Linotype" w:eastAsiaTheme="minorEastAsia" w:hAnsi="Palatino Linotype"/>
          <w:szCs w:val="22"/>
          <w:lang w:val="es-ES_tradnl" w:eastAsia="es-ES"/>
        </w:rPr>
        <w:t>ocho (08) de enero</w:t>
      </w:r>
      <w:r w:rsidRPr="00023AC6">
        <w:rPr>
          <w:rFonts w:ascii="Palatino Linotype" w:eastAsiaTheme="minorEastAsia" w:hAnsi="Palatino Linotype"/>
          <w:szCs w:val="22"/>
          <w:lang w:val="es-ES_tradnl" w:eastAsia="es-ES"/>
        </w:rPr>
        <w:t xml:space="preserve"> de dos mil veinticuatro.</w:t>
      </w:r>
    </w:p>
    <w:p w:rsidR="00480B8C" w:rsidRPr="00023AC6" w:rsidRDefault="00480B8C" w:rsidP="00480B8C">
      <w:pPr>
        <w:spacing w:line="360" w:lineRule="auto"/>
        <w:rPr>
          <w:rFonts w:ascii="Palatino Linotype" w:hAnsi="Palatino Linotype" w:cs="Arial"/>
          <w:sz w:val="22"/>
          <w:szCs w:val="22"/>
          <w:lang w:val="es-ES" w:eastAsia="es-ES"/>
        </w:rPr>
      </w:pPr>
    </w:p>
    <w:p w:rsidR="00480B8C" w:rsidRPr="00023AC6" w:rsidRDefault="00480B8C" w:rsidP="00480B8C">
      <w:pPr>
        <w:spacing w:line="360" w:lineRule="auto"/>
        <w:jc w:val="center"/>
        <w:rPr>
          <w:rFonts w:ascii="Palatino Linotype" w:hAnsi="Palatino Linotype" w:cs="Arial"/>
          <w:sz w:val="22"/>
          <w:szCs w:val="22"/>
          <w:lang w:eastAsia="es-ES"/>
        </w:rPr>
      </w:pPr>
      <w:bookmarkStart w:id="1" w:name="_Toc66992242"/>
      <w:r w:rsidRPr="00023AC6">
        <w:rPr>
          <w:rFonts w:ascii="Palatino Linotype" w:hAnsi="Palatino Linotype" w:cs="Arial"/>
          <w:b/>
          <w:sz w:val="22"/>
          <w:szCs w:val="22"/>
          <w:lang w:eastAsia="es-ES"/>
        </w:rPr>
        <w:t>CONSIDERANDO</w:t>
      </w:r>
      <w:bookmarkEnd w:id="1"/>
    </w:p>
    <w:p w:rsidR="00480B8C" w:rsidRPr="00023AC6" w:rsidRDefault="00480B8C" w:rsidP="00480B8C">
      <w:pPr>
        <w:spacing w:line="360" w:lineRule="auto"/>
        <w:jc w:val="center"/>
        <w:rPr>
          <w:rFonts w:ascii="Palatino Linotype" w:hAnsi="Palatino Linotype" w:cs="Arial"/>
          <w:sz w:val="22"/>
          <w:szCs w:val="22"/>
          <w:lang w:eastAsia="es-ES"/>
        </w:rPr>
      </w:pPr>
    </w:p>
    <w:p w:rsidR="00480B8C" w:rsidRPr="00023AC6" w:rsidRDefault="00480B8C" w:rsidP="00480B8C">
      <w:pPr>
        <w:spacing w:line="360" w:lineRule="auto"/>
        <w:jc w:val="both"/>
        <w:rPr>
          <w:rFonts w:ascii="Palatino Linotype" w:hAnsi="Palatino Linotype" w:cs="Arial"/>
          <w:b/>
          <w:sz w:val="22"/>
          <w:szCs w:val="22"/>
          <w:lang w:eastAsia="es-ES"/>
        </w:rPr>
      </w:pPr>
      <w:bookmarkStart w:id="2" w:name="_Toc66992243"/>
      <w:r w:rsidRPr="00023AC6">
        <w:rPr>
          <w:rFonts w:ascii="Palatino Linotype" w:hAnsi="Palatino Linotype" w:cs="Arial"/>
          <w:b/>
          <w:sz w:val="22"/>
          <w:szCs w:val="22"/>
          <w:lang w:eastAsia="es-ES"/>
        </w:rPr>
        <w:t>PRIMERO. De la competencia</w:t>
      </w:r>
      <w:bookmarkEnd w:id="2"/>
    </w:p>
    <w:p w:rsidR="00480B8C" w:rsidRPr="00023AC6" w:rsidRDefault="00480B8C" w:rsidP="00480B8C">
      <w:pPr>
        <w:pStyle w:val="Prrafodelista"/>
        <w:numPr>
          <w:ilvl w:val="0"/>
          <w:numId w:val="1"/>
        </w:numPr>
        <w:spacing w:before="240" w:after="240" w:line="360" w:lineRule="auto"/>
        <w:ind w:left="0" w:firstLine="0"/>
        <w:jc w:val="both"/>
        <w:rPr>
          <w:rFonts w:ascii="Palatino Linotype" w:hAnsi="Palatino Linotype"/>
          <w:szCs w:val="22"/>
        </w:rPr>
      </w:pPr>
      <w:r w:rsidRPr="00023AC6">
        <w:rPr>
          <w:rFonts w:ascii="Palatino Linotype" w:hAnsi="Palatino Linotype"/>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480B8C" w:rsidRPr="00023AC6" w:rsidRDefault="00480B8C" w:rsidP="00480B8C">
      <w:pPr>
        <w:pStyle w:val="Prrafodelista"/>
        <w:spacing w:line="360" w:lineRule="auto"/>
        <w:ind w:left="0"/>
        <w:jc w:val="both"/>
        <w:rPr>
          <w:rFonts w:ascii="Palatino Linotype" w:hAnsi="Palatino Linotype" w:cs="Arial"/>
          <w:szCs w:val="22"/>
          <w:lang w:val="es-ES" w:eastAsia="es-ES"/>
        </w:rPr>
      </w:pPr>
    </w:p>
    <w:p w:rsidR="00480B8C" w:rsidRPr="00023AC6" w:rsidRDefault="00480B8C" w:rsidP="00480B8C">
      <w:pPr>
        <w:keepNext/>
        <w:keepLines/>
        <w:spacing w:line="360" w:lineRule="auto"/>
        <w:outlineLvl w:val="1"/>
        <w:rPr>
          <w:rFonts w:ascii="Palatino Linotype" w:eastAsiaTheme="majorEastAsia" w:hAnsi="Palatino Linotype" w:cstheme="majorBidi"/>
          <w:b/>
          <w:sz w:val="22"/>
          <w:szCs w:val="22"/>
        </w:rPr>
      </w:pPr>
      <w:bookmarkStart w:id="3" w:name="_Toc66992244"/>
      <w:r w:rsidRPr="00023AC6">
        <w:rPr>
          <w:rFonts w:ascii="Palatino Linotype" w:eastAsiaTheme="majorEastAsia" w:hAnsi="Palatino Linotype" w:cstheme="majorBidi"/>
          <w:b/>
          <w:sz w:val="22"/>
          <w:szCs w:val="22"/>
        </w:rPr>
        <w:t>SEGUNDO. De la oportunidad y procedencia.</w:t>
      </w:r>
      <w:bookmarkEnd w:id="3"/>
    </w:p>
    <w:p w:rsidR="00480B8C" w:rsidRPr="00023AC6" w:rsidRDefault="00480B8C" w:rsidP="00480B8C">
      <w:pPr>
        <w:pStyle w:val="Prrafodelista"/>
        <w:spacing w:line="360" w:lineRule="auto"/>
        <w:ind w:left="0"/>
        <w:jc w:val="both"/>
        <w:rPr>
          <w:rFonts w:ascii="Palatino Linotype" w:hAnsi="Palatino Linotype" w:cs="Arial"/>
          <w:szCs w:val="22"/>
          <w:lang w:val="es-ES" w:eastAsia="es-ES"/>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eastAsia="Calibri" w:hAnsi="Palatino Linotype" w:cs="Arial"/>
          <w:szCs w:val="22"/>
          <w:lang w:val="es-ES_tradnl" w:eastAsia="es-ES"/>
        </w:rPr>
        <w:t xml:space="preserve">El medio de impugnación fue presentado a través del </w:t>
      </w:r>
      <w:r w:rsidRPr="00023AC6">
        <w:rPr>
          <w:rFonts w:ascii="Palatino Linotype" w:eastAsia="Calibri" w:hAnsi="Palatino Linotype" w:cs="Arial"/>
          <w:b/>
          <w:szCs w:val="22"/>
          <w:lang w:val="es-ES_tradnl" w:eastAsia="es-ES"/>
        </w:rPr>
        <w:t>SAIMEX,</w:t>
      </w:r>
      <w:r w:rsidRPr="00023AC6">
        <w:rPr>
          <w:rFonts w:ascii="Palatino Linotype" w:eastAsia="Calibri" w:hAnsi="Palatino Linotype" w:cs="Arial"/>
          <w:szCs w:val="22"/>
          <w:lang w:val="es-ES_tradnl" w:eastAsia="es-ES"/>
        </w:rPr>
        <w:t xml:space="preserve"> en el formato previamente aprobado para tal efecto y dentro del plazo legal de quince días hábiles </w:t>
      </w:r>
      <w:r w:rsidRPr="00023AC6">
        <w:rPr>
          <w:rFonts w:ascii="Palatino Linotype" w:eastAsia="Calibri" w:hAnsi="Palatino Linotype" w:cs="Arial"/>
          <w:szCs w:val="22"/>
          <w:lang w:val="es-ES_tradnl" w:eastAsia="es-ES"/>
        </w:rPr>
        <w:lastRenderedPageBreak/>
        <w:t xml:space="preserve">otorgados; siendo así que el </w:t>
      </w:r>
      <w:r w:rsidRPr="00023AC6">
        <w:rPr>
          <w:rFonts w:ascii="Palatino Linotype" w:eastAsia="Calibri" w:hAnsi="Palatino Linotype" w:cs="Arial"/>
          <w:b/>
          <w:szCs w:val="22"/>
          <w:lang w:val="es-ES_tradnl" w:eastAsia="es-ES"/>
        </w:rPr>
        <w:t>SUJETO OBLIGADO</w:t>
      </w:r>
      <w:r w:rsidRPr="00023AC6">
        <w:rPr>
          <w:rFonts w:ascii="Palatino Linotype" w:eastAsia="Calibri" w:hAnsi="Palatino Linotype" w:cs="Arial"/>
          <w:szCs w:val="22"/>
          <w:lang w:val="es-ES_tradnl" w:eastAsia="es-ES"/>
        </w:rPr>
        <w:t xml:space="preserve"> entregó respuesta a la solicitud el día </w:t>
      </w:r>
      <w:r w:rsidR="00492BF7" w:rsidRPr="00023AC6">
        <w:rPr>
          <w:rFonts w:ascii="Palatino Linotype" w:eastAsia="Calibri" w:hAnsi="Palatino Linotype" w:cs="Arial"/>
          <w:szCs w:val="22"/>
          <w:lang w:val="es-ES_tradnl" w:eastAsia="es-ES"/>
        </w:rPr>
        <w:t>tres (03) de diciembre</w:t>
      </w:r>
      <w:r w:rsidRPr="00023AC6">
        <w:rPr>
          <w:rFonts w:ascii="Palatino Linotype" w:eastAsia="Calibri" w:hAnsi="Palatino Linotype" w:cs="Arial"/>
          <w:szCs w:val="22"/>
          <w:lang w:val="es-ES_tradnl" w:eastAsia="es-ES"/>
        </w:rPr>
        <w:t xml:space="preserve"> de dos mil veinticuatro, </w:t>
      </w:r>
      <w:r w:rsidRPr="00023AC6">
        <w:rPr>
          <w:rFonts w:ascii="Palatino Linotype" w:eastAsiaTheme="minorEastAsia" w:hAnsi="Palatino Linotype" w:cs="Arial"/>
          <w:szCs w:val="22"/>
          <w:lang w:val="es-ES_tradnl" w:eastAsia="es-ES"/>
        </w:rPr>
        <w:t xml:space="preserve">de tal forma que el plazo para interponer el recurso de revisión transcurrió del </w:t>
      </w:r>
      <w:r w:rsidR="00492BF7" w:rsidRPr="00023AC6">
        <w:rPr>
          <w:rFonts w:ascii="Palatino Linotype" w:eastAsiaTheme="minorEastAsia" w:hAnsi="Palatino Linotype" w:cs="Arial"/>
          <w:szCs w:val="22"/>
          <w:lang w:val="es-ES_tradnl" w:eastAsia="es-ES"/>
        </w:rPr>
        <w:t>cuatro (04) de diciembre de dos mil veinticuatro al nueve (09) de enero de dos mil veinticinco</w:t>
      </w:r>
      <w:r w:rsidRPr="00023AC6">
        <w:rPr>
          <w:rFonts w:ascii="Palatino Linotype" w:eastAsiaTheme="minorEastAsia" w:hAnsi="Palatino Linotype" w:cs="Arial"/>
          <w:szCs w:val="22"/>
          <w:lang w:val="es-ES_tradnl" w:eastAsia="es-ES"/>
        </w:rPr>
        <w:t xml:space="preserve">; en consecuencia, presentó su inconformidad el </w:t>
      </w:r>
      <w:r w:rsidR="00492BF7" w:rsidRPr="00023AC6">
        <w:rPr>
          <w:rFonts w:ascii="Palatino Linotype" w:eastAsiaTheme="minorEastAsia" w:hAnsi="Palatino Linotype" w:cs="Arial"/>
          <w:szCs w:val="22"/>
          <w:lang w:val="es-ES_tradnl" w:eastAsia="es-ES"/>
        </w:rPr>
        <w:t>tres (03) de diciembre</w:t>
      </w:r>
      <w:r w:rsidRPr="00023AC6">
        <w:rPr>
          <w:rFonts w:ascii="Palatino Linotype" w:eastAsiaTheme="minorEastAsia" w:hAnsi="Palatino Linotype" w:cs="Arial"/>
          <w:szCs w:val="22"/>
          <w:lang w:val="es-ES_tradnl" w:eastAsia="es-ES"/>
        </w:rPr>
        <w:t xml:space="preserve"> de dos mil veinticuatro, por lo que se encuentra dentro de los márgenes temporales previstos en el artículo 178 de la </w:t>
      </w:r>
      <w:r w:rsidRPr="00023AC6">
        <w:rPr>
          <w:rFonts w:ascii="Palatino Linotype" w:eastAsiaTheme="minorEastAsia" w:hAnsi="Palatino Linotype" w:cs="Arial"/>
          <w:b/>
          <w:szCs w:val="22"/>
          <w:lang w:val="es-ES_tradnl" w:eastAsia="es-ES"/>
        </w:rPr>
        <w:t xml:space="preserve">Ley de Transparencia y Acceso a la Información Pública del Estado de México y Municipios </w:t>
      </w:r>
      <w:r w:rsidR="00492BF7" w:rsidRPr="00023AC6">
        <w:rPr>
          <w:rFonts w:ascii="Palatino Linotype" w:eastAsiaTheme="minorEastAsia" w:hAnsi="Palatino Linotype" w:cs="Arial"/>
          <w:szCs w:val="22"/>
          <w:lang w:val="es-ES_tradnl" w:eastAsia="es-ES"/>
        </w:rPr>
        <w:t>vigente</w:t>
      </w:r>
    </w:p>
    <w:p w:rsidR="00492BF7" w:rsidRPr="00023AC6" w:rsidRDefault="00492BF7" w:rsidP="00492BF7">
      <w:pPr>
        <w:pStyle w:val="Prrafodelista"/>
        <w:spacing w:line="360" w:lineRule="auto"/>
        <w:ind w:left="0"/>
        <w:jc w:val="both"/>
        <w:rPr>
          <w:rFonts w:ascii="Palatino Linotype" w:hAnsi="Palatino Linotype" w:cs="Arial"/>
          <w:szCs w:val="22"/>
          <w:lang w:val="es-ES" w:eastAsia="es-ES"/>
        </w:rPr>
      </w:pPr>
    </w:p>
    <w:p w:rsidR="00492BF7" w:rsidRPr="00023AC6" w:rsidRDefault="00492BF7" w:rsidP="00492BF7">
      <w:pPr>
        <w:pStyle w:val="Prrafodelista"/>
        <w:numPr>
          <w:ilvl w:val="0"/>
          <w:numId w:val="1"/>
        </w:numPr>
        <w:spacing w:before="240" w:after="240" w:line="360" w:lineRule="auto"/>
        <w:ind w:left="0" w:right="49" w:firstLine="0"/>
        <w:jc w:val="both"/>
        <w:rPr>
          <w:rFonts w:ascii="Palatino Linotype" w:hAnsi="Palatino Linotype" w:cs="Arial"/>
          <w:bCs/>
          <w:color w:val="555555"/>
          <w:szCs w:val="22"/>
        </w:rPr>
      </w:pPr>
      <w:r w:rsidRPr="00023AC6">
        <w:rPr>
          <w:rFonts w:ascii="Palatino Linotype" w:hAnsi="Palatino Linotype" w:cs="Arial"/>
          <w:bCs/>
          <w:color w:val="000000"/>
          <w:szCs w:val="22"/>
        </w:rPr>
        <w:t>Cuando el medio de impugnación, se haya interpuesto el mismo día en que se notificó la respuesta impugnada,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rsidR="00492BF7" w:rsidRPr="00023AC6" w:rsidRDefault="00492BF7" w:rsidP="00492BF7">
      <w:pPr>
        <w:pStyle w:val="Prrafodelista"/>
        <w:ind w:left="0"/>
        <w:rPr>
          <w:rFonts w:ascii="Palatino Linotype" w:hAnsi="Palatino Linotype" w:cs="Arial"/>
          <w:szCs w:val="22"/>
        </w:rPr>
      </w:pPr>
    </w:p>
    <w:p w:rsidR="00492BF7" w:rsidRPr="00023AC6" w:rsidRDefault="00492BF7" w:rsidP="00492BF7">
      <w:pPr>
        <w:pStyle w:val="Prrafodelista"/>
        <w:numPr>
          <w:ilvl w:val="0"/>
          <w:numId w:val="1"/>
        </w:numPr>
        <w:spacing w:before="240" w:after="240" w:line="360" w:lineRule="auto"/>
        <w:ind w:left="0" w:firstLine="0"/>
        <w:jc w:val="both"/>
        <w:rPr>
          <w:rFonts w:ascii="Palatino Linotype" w:hAnsi="Palatino Linotype" w:cs="Arial"/>
          <w:szCs w:val="22"/>
        </w:rPr>
      </w:pPr>
      <w:r w:rsidRPr="00023AC6">
        <w:rPr>
          <w:rFonts w:ascii="Palatino Linotype" w:hAnsi="Palatino Linotype" w:cs="Arial"/>
          <w:szCs w:val="22"/>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r w:rsidRPr="00023AC6">
        <w:rPr>
          <w:rFonts w:ascii="Palatino Linotype" w:hAnsi="Palatino Linotype" w:cs="Arial"/>
          <w:i/>
          <w:sz w:val="22"/>
          <w:szCs w:val="22"/>
        </w:rPr>
        <w:t xml:space="preserve">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w:t>
      </w:r>
      <w:r w:rsidRPr="00023AC6">
        <w:rPr>
          <w:rFonts w:ascii="Palatino Linotype" w:hAnsi="Palatino Linotype" w:cs="Arial"/>
          <w:i/>
          <w:sz w:val="22"/>
          <w:szCs w:val="22"/>
        </w:rPr>
        <w:lastRenderedPageBreak/>
        <w:t>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r w:rsidRPr="00023AC6">
        <w:rPr>
          <w:rFonts w:ascii="Palatino Linotype" w:hAnsi="Palatino Linotype" w:cs="Arial"/>
          <w:i/>
          <w:sz w:val="22"/>
          <w:szCs w:val="22"/>
        </w:rPr>
        <w:t xml:space="preserve"> 1a</w:t>
      </w:r>
      <w:proofErr w:type="gramStart"/>
      <w:r w:rsidRPr="00023AC6">
        <w:rPr>
          <w:rFonts w:ascii="Palatino Linotype" w:hAnsi="Palatino Linotype" w:cs="Arial"/>
          <w:i/>
          <w:sz w:val="22"/>
          <w:szCs w:val="22"/>
        </w:rPr>
        <w:t>./</w:t>
      </w:r>
      <w:proofErr w:type="gramEnd"/>
      <w:r w:rsidRPr="00023AC6">
        <w:rPr>
          <w:rFonts w:ascii="Palatino Linotype" w:hAnsi="Palatino Linotype" w:cs="Arial"/>
          <w:i/>
          <w:sz w:val="22"/>
          <w:szCs w:val="22"/>
        </w:rPr>
        <w:t xml:space="preserve">J. 41/2015 (10a.) </w:t>
      </w: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r w:rsidRPr="00023AC6">
        <w:rPr>
          <w:rFonts w:ascii="Palatino Linotype" w:hAnsi="Palatino Linotype" w:cs="Arial"/>
          <w:i/>
          <w:sz w:val="22"/>
          <w:szCs w:val="22"/>
        </w:rPr>
        <w:t xml:space="preserve">Recurso de reclamación 953/2013. 9 de abril de 2014. Cinco votos de los Ministros Arturo Zaldívar Lelo de Larrea, José Ramón Cossío Díaz, Alfredo Gutiérrez Ortiz Mena, Olga Sánchez Cordero de García Villegas y Jorge Mario Pardo Rebolledo. Ponente: Arturo Zaldívar Lelo de Larrea. Secretaria: Carmina Cortés Rodríguez. </w:t>
      </w: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r w:rsidRPr="00023AC6">
        <w:rPr>
          <w:rFonts w:ascii="Palatino Linotype" w:hAnsi="Palatino Linotype" w:cs="Arial"/>
          <w:i/>
          <w:sz w:val="22"/>
          <w:szCs w:val="22"/>
        </w:rPr>
        <w:t xml:space="preserve">Recurso de reclamación 1067/2014. Raúl Rodríguez Cervantes. 28 de enero de 2015. Cinco votos de los Ministros Arturo Zaldívar Lelo de Larrea, José Ramón Cossío Díaz, Jorge Mario Pardo Rebolledo, Olga Sánchez Cordero de García Villegas y Alfredo Gutiérrez Ortiz Mena. Ponente: Alfredo Gutiérrez Ortiz Mena. Secretaria: Cecilia Armengol Alonso. </w:t>
      </w: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r w:rsidRPr="00023AC6">
        <w:rPr>
          <w:rFonts w:ascii="Palatino Linotype" w:hAnsi="Palatino Linotype" w:cs="Arial"/>
          <w:i/>
          <w:sz w:val="22"/>
          <w:szCs w:val="22"/>
        </w:rPr>
        <w:t xml:space="preserve">Recurso de reclamación 895/2014. 18 de febrero de 2015. Cinco votos de los Ministros Arturo Zaldívar Lelo de Larrea, José Ramón Cossío Díaz, Jorge Mario Pardo Rebolledo, Olga Sánchez Cordero de García Villegas y Alfredo Gutiérrez Ortiz Mena. Ponente: José Ramón Cossío Díaz. Secretario: Rodrigo Montes de Oca </w:t>
      </w:r>
      <w:proofErr w:type="spellStart"/>
      <w:r w:rsidRPr="00023AC6">
        <w:rPr>
          <w:rFonts w:ascii="Palatino Linotype" w:hAnsi="Palatino Linotype" w:cs="Arial"/>
          <w:i/>
          <w:sz w:val="22"/>
          <w:szCs w:val="22"/>
        </w:rPr>
        <w:t>Arboleya</w:t>
      </w:r>
      <w:proofErr w:type="spellEnd"/>
      <w:r w:rsidRPr="00023AC6">
        <w:rPr>
          <w:rFonts w:ascii="Palatino Linotype" w:hAnsi="Palatino Linotype" w:cs="Arial"/>
          <w:i/>
          <w:sz w:val="22"/>
          <w:szCs w:val="22"/>
        </w:rPr>
        <w:t xml:space="preserve">. </w:t>
      </w: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r w:rsidRPr="00023AC6">
        <w:rPr>
          <w:rFonts w:ascii="Palatino Linotype" w:hAnsi="Palatino Linotype" w:cs="Arial"/>
          <w:i/>
          <w:sz w:val="22"/>
          <w:szCs w:val="22"/>
        </w:rPr>
        <w:t xml:space="preserve">Recurso de reclamación 1164/2014. Paula Abascal Valdez. 18 de febrero de 2015. Cinco votos de los Ministros Arturo Zaldívar Lelo de Larrea, José Ramón Cossío Díaz, Jorge Mario Pardo Rebolledo, Olga Sánchez Cordero de García Villegas y Alfredo Gutiérrez Ortiz Mena. Ponente: José Ramón Cossío Díaz. Secretaria: Lorena </w:t>
      </w:r>
      <w:proofErr w:type="spellStart"/>
      <w:r w:rsidRPr="00023AC6">
        <w:rPr>
          <w:rFonts w:ascii="Palatino Linotype" w:hAnsi="Palatino Linotype" w:cs="Arial"/>
          <w:i/>
          <w:sz w:val="22"/>
          <w:szCs w:val="22"/>
        </w:rPr>
        <w:t>Goslinga</w:t>
      </w:r>
      <w:proofErr w:type="spellEnd"/>
      <w:r w:rsidRPr="00023AC6">
        <w:rPr>
          <w:rFonts w:ascii="Palatino Linotype" w:hAnsi="Palatino Linotype" w:cs="Arial"/>
          <w:i/>
          <w:sz w:val="22"/>
          <w:szCs w:val="22"/>
        </w:rPr>
        <w:t xml:space="preserve"> </w:t>
      </w:r>
      <w:proofErr w:type="spellStart"/>
      <w:r w:rsidRPr="00023AC6">
        <w:rPr>
          <w:rFonts w:ascii="Palatino Linotype" w:hAnsi="Palatino Linotype" w:cs="Arial"/>
          <w:i/>
          <w:sz w:val="22"/>
          <w:szCs w:val="22"/>
        </w:rPr>
        <w:t>Remírez</w:t>
      </w:r>
      <w:proofErr w:type="spellEnd"/>
      <w:r w:rsidRPr="00023AC6">
        <w:rPr>
          <w:rFonts w:ascii="Palatino Linotype" w:hAnsi="Palatino Linotype" w:cs="Arial"/>
          <w:i/>
          <w:sz w:val="22"/>
          <w:szCs w:val="22"/>
        </w:rPr>
        <w:t xml:space="preserve">. </w:t>
      </w: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r w:rsidRPr="00023AC6">
        <w:rPr>
          <w:rFonts w:ascii="Palatino Linotype" w:hAnsi="Palatino Linotype" w:cs="Arial"/>
          <w:i/>
          <w:sz w:val="22"/>
          <w:szCs w:val="22"/>
        </w:rPr>
        <w:t xml:space="preserve">Recurso de reclamación 1231/2014. 18 de marzo de 2015. Cinco votos de los Ministros Arturo Zaldívar Lelo de Larrea, José Ramón Cossío Díaz, Jorge Mario Pardo Rebolledo, Olga Sánchez Cordero de García Villegas y Alfredo Gutiérrez Ortiz Mena. Ponente: Arturo Zaldívar Lelo de Larrea. Secretario: Saúl Armando Patiño Lara. </w:t>
      </w:r>
    </w:p>
    <w:p w:rsidR="00492BF7" w:rsidRPr="00023AC6" w:rsidRDefault="00492BF7" w:rsidP="00492BF7">
      <w:pPr>
        <w:spacing w:before="240" w:after="240" w:line="360" w:lineRule="auto"/>
        <w:ind w:left="851" w:right="616"/>
        <w:contextualSpacing/>
        <w:jc w:val="both"/>
        <w:rPr>
          <w:rFonts w:ascii="Palatino Linotype" w:hAnsi="Palatino Linotype" w:cs="Arial"/>
          <w:i/>
          <w:sz w:val="22"/>
          <w:szCs w:val="22"/>
        </w:rPr>
      </w:pPr>
    </w:p>
    <w:p w:rsidR="00492BF7" w:rsidRPr="00023AC6" w:rsidRDefault="00492BF7" w:rsidP="00492BF7">
      <w:pPr>
        <w:spacing w:before="240" w:after="240" w:line="360" w:lineRule="auto"/>
        <w:ind w:left="851" w:right="616"/>
        <w:contextualSpacing/>
        <w:jc w:val="both"/>
        <w:rPr>
          <w:rFonts w:ascii="Palatino Linotype" w:hAnsi="Palatino Linotype"/>
          <w:i/>
          <w:sz w:val="22"/>
          <w:szCs w:val="22"/>
        </w:rPr>
      </w:pPr>
      <w:r w:rsidRPr="00023AC6">
        <w:rPr>
          <w:rFonts w:ascii="Palatino Linotype" w:hAnsi="Palatino Linotype" w:cs="Arial"/>
          <w:i/>
          <w:sz w:val="22"/>
          <w:szCs w:val="22"/>
        </w:rPr>
        <w:t>Tesis de jurisprudencia 41/2015 (10a.). Aprobada por la Primera Sala de este Alto Tribunal, en sesión privada de veintisiete de mayo de dos mil quince.</w:t>
      </w:r>
    </w:p>
    <w:p w:rsidR="00492BF7" w:rsidRPr="00023AC6" w:rsidRDefault="00492BF7" w:rsidP="00492BF7">
      <w:pPr>
        <w:pStyle w:val="Prrafodelista"/>
        <w:numPr>
          <w:ilvl w:val="0"/>
          <w:numId w:val="1"/>
        </w:numPr>
        <w:spacing w:before="240" w:after="240" w:line="360" w:lineRule="auto"/>
        <w:ind w:left="0" w:right="49" w:firstLine="0"/>
        <w:jc w:val="both"/>
        <w:rPr>
          <w:rFonts w:ascii="Palatino Linotype" w:hAnsi="Palatino Linotype" w:cs="Arial"/>
          <w:i/>
          <w:szCs w:val="22"/>
        </w:rPr>
      </w:pPr>
      <w:r w:rsidRPr="00023AC6">
        <w:rPr>
          <w:rFonts w:ascii="Palatino Linotype" w:hAnsi="Palatino Linotype"/>
          <w:szCs w:val="22"/>
        </w:rPr>
        <w:t>Esto es así porque en primer lugar es necesario que la recurrente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rsidR="00492BF7" w:rsidRPr="00023AC6" w:rsidRDefault="00492BF7" w:rsidP="00492BF7">
      <w:pPr>
        <w:pStyle w:val="Prrafodelista"/>
        <w:spacing w:before="240" w:after="240" w:line="360" w:lineRule="auto"/>
        <w:ind w:left="0" w:right="49"/>
        <w:jc w:val="both"/>
        <w:rPr>
          <w:rFonts w:ascii="Palatino Linotype" w:hAnsi="Palatino Linotype" w:cs="Arial"/>
          <w:i/>
          <w:szCs w:val="22"/>
        </w:rPr>
      </w:pPr>
    </w:p>
    <w:p w:rsidR="00492BF7" w:rsidRPr="00023AC6" w:rsidRDefault="00492BF7" w:rsidP="00492BF7">
      <w:pPr>
        <w:pStyle w:val="Prrafodelista"/>
        <w:numPr>
          <w:ilvl w:val="0"/>
          <w:numId w:val="1"/>
        </w:numPr>
        <w:spacing w:before="240" w:after="240" w:line="360" w:lineRule="auto"/>
        <w:ind w:left="0" w:right="49" w:firstLine="0"/>
        <w:jc w:val="both"/>
        <w:rPr>
          <w:rFonts w:ascii="Palatino Linotype" w:hAnsi="Palatino Linotype" w:cs="Arial"/>
          <w:i/>
          <w:szCs w:val="22"/>
        </w:rPr>
      </w:pPr>
      <w:r w:rsidRPr="00023AC6">
        <w:rPr>
          <w:rFonts w:ascii="Palatino Linotype" w:hAnsi="Palatino Linotype"/>
          <w:szCs w:val="22"/>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492BF7" w:rsidRPr="00023AC6" w:rsidRDefault="00492BF7" w:rsidP="00492BF7">
      <w:pPr>
        <w:pStyle w:val="Prrafodelista"/>
        <w:ind w:left="0"/>
        <w:rPr>
          <w:rFonts w:ascii="Palatino Linotype" w:hAnsi="Palatino Linotype" w:cs="Arial"/>
          <w:i/>
          <w:szCs w:val="22"/>
        </w:rPr>
      </w:pPr>
    </w:p>
    <w:p w:rsidR="00492BF7" w:rsidRPr="00023AC6" w:rsidRDefault="00492BF7" w:rsidP="00492BF7">
      <w:pPr>
        <w:pStyle w:val="Prrafodelista"/>
        <w:numPr>
          <w:ilvl w:val="0"/>
          <w:numId w:val="1"/>
        </w:numPr>
        <w:spacing w:before="240" w:after="240" w:line="360" w:lineRule="auto"/>
        <w:ind w:left="0" w:right="49" w:firstLine="0"/>
        <w:jc w:val="both"/>
        <w:rPr>
          <w:rFonts w:ascii="Palatino Linotype" w:hAnsi="Palatino Linotype" w:cs="Arial"/>
          <w:i/>
          <w:szCs w:val="22"/>
        </w:rPr>
      </w:pPr>
      <w:r w:rsidRPr="00023AC6">
        <w:rPr>
          <w:rFonts w:ascii="Palatino Linotype" w:hAnsi="Palatino Linotype"/>
          <w:szCs w:val="22"/>
        </w:rPr>
        <w:t xml:space="preserve">Por lo tanto, la interposición del recursos de revisión antes de que inicie el plazo para su presentación no es determinante para declararlo extemporáneo, siempre y cuando ello ocurra de manera posterior a que se ha notificado la respuesta del </w:t>
      </w:r>
      <w:r w:rsidRPr="00023AC6">
        <w:rPr>
          <w:rFonts w:ascii="Palatino Linotype" w:hAnsi="Palatino Linotype"/>
          <w:b/>
          <w:szCs w:val="22"/>
        </w:rPr>
        <w:t>SUJETO OBLIGADO</w:t>
      </w:r>
      <w:r w:rsidRPr="00023AC6">
        <w:rPr>
          <w:rFonts w:ascii="Palatino Linotype" w:hAnsi="Palatino Linotype"/>
          <w:szCs w:val="22"/>
        </w:rPr>
        <w:t>.</w:t>
      </w:r>
    </w:p>
    <w:p w:rsidR="00480B8C" w:rsidRPr="00023AC6" w:rsidRDefault="00480B8C" w:rsidP="00480B8C">
      <w:pPr>
        <w:pStyle w:val="Prrafodelista"/>
        <w:spacing w:before="240" w:after="240" w:line="360" w:lineRule="auto"/>
        <w:ind w:left="0" w:right="49"/>
        <w:jc w:val="both"/>
        <w:rPr>
          <w:rFonts w:ascii="Palatino Linotype" w:hAnsi="Palatino Linotype" w:cs="Arial"/>
          <w:i/>
          <w:szCs w:val="22"/>
        </w:rPr>
      </w:pPr>
    </w:p>
    <w:p w:rsidR="00480B8C" w:rsidRPr="00023AC6" w:rsidRDefault="00480B8C" w:rsidP="00480B8C">
      <w:pPr>
        <w:pStyle w:val="Prrafodelista"/>
        <w:numPr>
          <w:ilvl w:val="0"/>
          <w:numId w:val="1"/>
        </w:numPr>
        <w:spacing w:line="360" w:lineRule="auto"/>
        <w:ind w:left="0" w:firstLine="0"/>
        <w:jc w:val="both"/>
        <w:rPr>
          <w:rFonts w:ascii="Palatino Linotype" w:hAnsi="Palatino Linotype" w:cs="Arial"/>
          <w:szCs w:val="22"/>
          <w:lang w:val="es-ES" w:eastAsia="es-ES"/>
        </w:rPr>
      </w:pPr>
      <w:r w:rsidRPr="00023AC6">
        <w:rPr>
          <w:rFonts w:ascii="Palatino Linotype" w:eastAsia="Calibri" w:hAnsi="Palatino Linotype" w:cs="Arial"/>
          <w:szCs w:val="22"/>
          <w:lang w:val="es-ES_tradnl" w:eastAsia="es-ES"/>
        </w:rPr>
        <w:t xml:space="preserve">Por otro lado, el escrito contiene las formalidades previstas por el artículo 180 último párrafo de la Ley de la materia actual, por lo que es procedente que este Instituto de </w:t>
      </w:r>
      <w:r w:rsidRPr="00023AC6">
        <w:rPr>
          <w:rFonts w:ascii="Palatino Linotype" w:eastAsia="Calibri" w:hAnsi="Palatino Linotype" w:cs="Arial"/>
          <w:szCs w:val="22"/>
          <w:lang w:val="es-ES_tradnl" w:eastAsia="es-ES"/>
        </w:rPr>
        <w:lastRenderedPageBreak/>
        <w:t>Transparencia, Acceso a la Información Pública y Protección de Datos Personales del Estado de México y Municipios, conozca y resuelva el presente recurso.</w:t>
      </w:r>
    </w:p>
    <w:p w:rsidR="00480B8C" w:rsidRPr="00023AC6" w:rsidRDefault="00480B8C" w:rsidP="00480B8C">
      <w:pPr>
        <w:pStyle w:val="Prrafodelista"/>
        <w:rPr>
          <w:rFonts w:ascii="Palatino Linotype" w:hAnsi="Palatino Linotype" w:cs="Arial"/>
          <w:szCs w:val="22"/>
          <w:lang w:val="es-ES" w:eastAsia="es-ES"/>
        </w:rPr>
      </w:pPr>
    </w:p>
    <w:p w:rsidR="00480B8C" w:rsidRPr="00023AC6" w:rsidRDefault="00480B8C" w:rsidP="00480B8C">
      <w:pPr>
        <w:pStyle w:val="Ttulo2"/>
        <w:tabs>
          <w:tab w:val="left" w:pos="0"/>
        </w:tabs>
        <w:spacing w:before="0" w:line="360" w:lineRule="auto"/>
        <w:rPr>
          <w:rFonts w:ascii="Palatino Linotype" w:hAnsi="Palatino Linotype"/>
          <w:b/>
          <w:color w:val="auto"/>
          <w:sz w:val="22"/>
          <w:szCs w:val="22"/>
        </w:rPr>
      </w:pPr>
      <w:r w:rsidRPr="00023AC6">
        <w:rPr>
          <w:rFonts w:ascii="Palatino Linotype" w:hAnsi="Palatino Linotype"/>
          <w:b/>
          <w:color w:val="auto"/>
          <w:sz w:val="22"/>
          <w:szCs w:val="22"/>
        </w:rPr>
        <w:t xml:space="preserve">TERCERO. De las causales de sobreseimiento </w:t>
      </w:r>
    </w:p>
    <w:p w:rsidR="00480B8C" w:rsidRPr="00023AC6" w:rsidRDefault="00480B8C" w:rsidP="00480B8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bookmarkStart w:id="4" w:name="_Toc529263621"/>
      <w:bookmarkStart w:id="5" w:name="_Toc530650937"/>
      <w:bookmarkStart w:id="6" w:name="_Toc535334654"/>
      <w:bookmarkStart w:id="7" w:name="_Toc2248735"/>
    </w:p>
    <w:p w:rsidR="00480B8C" w:rsidRPr="00023AC6" w:rsidRDefault="00480B8C" w:rsidP="00480B8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rPr>
        <w:t xml:space="preserve">El recurso de revisión </w:t>
      </w:r>
      <w:r w:rsidRPr="00023AC6">
        <w:rPr>
          <w:rFonts w:ascii="Palatino Linotype" w:hAnsi="Palatino Linotype" w:cs="Arial"/>
          <w:szCs w:val="22"/>
        </w:rPr>
        <w:t xml:space="preserve">tiene como finalidad reparar cualquier posible afectación al derecho de acceso a la información pública en términos del Título Octavo de la Ley de </w:t>
      </w:r>
      <w:r w:rsidRPr="00023AC6">
        <w:rPr>
          <w:rFonts w:ascii="Palatino Linotype" w:eastAsia="Calibri" w:hAnsi="Palatino Linotype" w:cs="Arial"/>
          <w:szCs w:val="22"/>
        </w:rPr>
        <w:t>Transparencia, Acceso a la Información Pública del Estado de México y Municipios</w:t>
      </w:r>
      <w:r w:rsidRPr="00023AC6">
        <w:rPr>
          <w:rFonts w:ascii="Palatino Linotype" w:hAnsi="Palatino Linotype" w:cs="Arial"/>
          <w:szCs w:val="22"/>
        </w:rPr>
        <w:t xml:space="preserve">, y determinar la confirmación; revocación o modificación; </w:t>
      </w:r>
      <w:proofErr w:type="spellStart"/>
      <w:r w:rsidRPr="00023AC6">
        <w:rPr>
          <w:rFonts w:ascii="Palatino Linotype" w:hAnsi="Palatino Linotype" w:cs="Arial"/>
          <w:szCs w:val="22"/>
        </w:rPr>
        <w:t>desechamiento</w:t>
      </w:r>
      <w:proofErr w:type="spellEnd"/>
      <w:r w:rsidRPr="00023AC6">
        <w:rPr>
          <w:rFonts w:ascii="Palatino Linotype" w:hAnsi="Palatino Linotype" w:cs="Arial"/>
          <w:szCs w:val="22"/>
        </w:rPr>
        <w:t xml:space="preserve"> o </w:t>
      </w:r>
      <w:r w:rsidRPr="00023AC6">
        <w:rPr>
          <w:rFonts w:ascii="Palatino Linotype" w:hAnsi="Palatino Linotype" w:cs="Arial"/>
          <w:b/>
          <w:szCs w:val="22"/>
          <w:u w:val="single"/>
        </w:rPr>
        <w:t>sobreseimiento</w:t>
      </w:r>
      <w:r w:rsidRPr="00023AC6">
        <w:rPr>
          <w:rFonts w:ascii="Palatino Linotype" w:hAnsi="Palatino Linotype" w:cs="Arial"/>
          <w:szCs w:val="22"/>
        </w:rPr>
        <w:t xml:space="preserve">; y en su caso ordenar la entrega de la información con respecto a la respuesta emitida por el </w:t>
      </w:r>
      <w:r w:rsidRPr="00023AC6">
        <w:rPr>
          <w:rFonts w:ascii="Palatino Linotype" w:hAnsi="Palatino Linotype" w:cs="Arial"/>
          <w:b/>
          <w:szCs w:val="22"/>
        </w:rPr>
        <w:t>SUJETO</w:t>
      </w:r>
      <w:r w:rsidRPr="00023AC6">
        <w:rPr>
          <w:rFonts w:ascii="Palatino Linotype" w:hAnsi="Palatino Linotype" w:cs="Arial"/>
          <w:szCs w:val="22"/>
        </w:rPr>
        <w:t xml:space="preserve"> </w:t>
      </w:r>
      <w:r w:rsidRPr="00023AC6">
        <w:rPr>
          <w:rFonts w:ascii="Palatino Linotype" w:hAnsi="Palatino Linotype" w:cs="Arial"/>
          <w:b/>
          <w:szCs w:val="22"/>
        </w:rPr>
        <w:t>OBLIGADO</w:t>
      </w:r>
      <w:r w:rsidRPr="00023AC6">
        <w:rPr>
          <w:rFonts w:ascii="Palatino Linotype" w:hAnsi="Palatino Linotype" w:cs="Arial"/>
          <w:szCs w:val="22"/>
        </w:rPr>
        <w:t>.</w:t>
      </w:r>
    </w:p>
    <w:p w:rsidR="00480B8C" w:rsidRPr="00023AC6" w:rsidRDefault="00480B8C" w:rsidP="00480B8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480B8C" w:rsidRPr="00023AC6" w:rsidRDefault="00480B8C" w:rsidP="00480B8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rPr>
        <w:t xml:space="preserve">De </w:t>
      </w:r>
      <w:r w:rsidRPr="00023AC6">
        <w:rPr>
          <w:rFonts w:ascii="Palatino Linotype" w:eastAsia="Calibri" w:hAnsi="Palatino Linotype"/>
          <w:szCs w:val="22"/>
        </w:rPr>
        <w:t xml:space="preserve">acuerdo al precepto legal contenido en la fracción III del artículo 192 de la </w:t>
      </w:r>
      <w:r w:rsidRPr="00023AC6">
        <w:rPr>
          <w:rFonts w:ascii="Palatino Linotype" w:eastAsia="Calibri" w:hAnsi="Palatino Linotype"/>
          <w:b/>
          <w:szCs w:val="22"/>
        </w:rPr>
        <w:t>Ley de Transparencia y Acceso a la Información Pública del Estado de México y Municipios</w:t>
      </w:r>
      <w:r w:rsidRPr="00023AC6">
        <w:rPr>
          <w:rFonts w:ascii="Palatino Linotype" w:eastAsia="Calibri" w:hAnsi="Palatino Linotype"/>
          <w:szCs w:val="22"/>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480B8C" w:rsidRPr="00023AC6" w:rsidRDefault="00480B8C" w:rsidP="00480B8C">
      <w:pPr>
        <w:pStyle w:val="Prrafodelista"/>
        <w:ind w:left="0"/>
        <w:rPr>
          <w:rFonts w:ascii="Palatino Linotype" w:eastAsia="Calibri" w:hAnsi="Palatino Linotype" w:cs="Arial"/>
          <w:color w:val="000000" w:themeColor="text1"/>
          <w:szCs w:val="22"/>
          <w:lang w:val="es-ES"/>
        </w:rPr>
      </w:pPr>
    </w:p>
    <w:p w:rsidR="00480B8C" w:rsidRPr="00023AC6" w:rsidRDefault="00480B8C" w:rsidP="00480B8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Para </w:t>
      </w:r>
      <w:r w:rsidRPr="00023AC6">
        <w:rPr>
          <w:rFonts w:ascii="Palatino Linotype" w:eastAsia="Calibri" w:hAnsi="Palatino Linotype"/>
          <w:szCs w:val="22"/>
        </w:rPr>
        <w:t xml:space="preserve">los efectos de esta resolución, es oportuno precisar los alcances jurídicos de la fracción III de la disposición legal transcrita. Así, procede el sobreseimiento del recurso de revisión cuando el </w:t>
      </w:r>
      <w:r w:rsidRPr="00023AC6">
        <w:rPr>
          <w:rFonts w:ascii="Palatino Linotype" w:eastAsia="Calibri" w:hAnsi="Palatino Linotype"/>
          <w:b/>
          <w:szCs w:val="22"/>
        </w:rPr>
        <w:t>SUJETO OBLIGADO</w:t>
      </w:r>
      <w:r w:rsidRPr="00023AC6">
        <w:rPr>
          <w:rFonts w:ascii="Palatino Linotype" w:eastAsia="Calibri" w:hAnsi="Palatino Linotype"/>
          <w:szCs w:val="22"/>
        </w:rPr>
        <w:t>:</w:t>
      </w:r>
    </w:p>
    <w:p w:rsidR="00480B8C" w:rsidRPr="00023AC6" w:rsidRDefault="00480B8C" w:rsidP="00480B8C">
      <w:pPr>
        <w:rPr>
          <w:rFonts w:ascii="Palatino Linotype" w:eastAsia="Calibri" w:hAnsi="Palatino Linotype" w:cs="Arial"/>
          <w:color w:val="000000" w:themeColor="text1"/>
          <w:sz w:val="22"/>
          <w:szCs w:val="22"/>
          <w:lang w:val="es-ES"/>
        </w:rPr>
      </w:pPr>
    </w:p>
    <w:p w:rsidR="00480B8C" w:rsidRPr="00023AC6" w:rsidRDefault="00480B8C" w:rsidP="00480B8C">
      <w:pPr>
        <w:numPr>
          <w:ilvl w:val="0"/>
          <w:numId w:val="2"/>
        </w:numPr>
        <w:spacing w:line="360" w:lineRule="auto"/>
        <w:ind w:left="567" w:right="616" w:firstLine="0"/>
        <w:contextualSpacing/>
        <w:jc w:val="both"/>
        <w:rPr>
          <w:rFonts w:ascii="Palatino Linotype" w:hAnsi="Palatino Linotype" w:cs="Arial"/>
          <w:sz w:val="22"/>
          <w:szCs w:val="22"/>
        </w:rPr>
      </w:pPr>
      <w:r w:rsidRPr="00023AC6">
        <w:rPr>
          <w:rFonts w:ascii="Palatino Linotype" w:hAnsi="Palatino Linotype" w:cs="Arial"/>
          <w:b/>
          <w:sz w:val="22"/>
          <w:szCs w:val="22"/>
        </w:rPr>
        <w:t>Modifique el acto impugnado:</w:t>
      </w:r>
      <w:r w:rsidRPr="00023AC6">
        <w:rPr>
          <w:rFonts w:ascii="Palatino Linotype" w:hAnsi="Palatino Linotype" w:cs="Arial"/>
          <w:sz w:val="22"/>
          <w:szCs w:val="22"/>
        </w:rPr>
        <w:t xml:space="preserve"> Se actualiza cuando el </w:t>
      </w:r>
      <w:r w:rsidRPr="00023AC6">
        <w:rPr>
          <w:rFonts w:ascii="Palatino Linotype" w:hAnsi="Palatino Linotype" w:cs="Arial"/>
          <w:b/>
          <w:sz w:val="22"/>
          <w:szCs w:val="22"/>
        </w:rPr>
        <w:t>SUJETO OBLIGADO</w:t>
      </w:r>
      <w:r w:rsidRPr="00023AC6">
        <w:rPr>
          <w:rFonts w:ascii="Palatino Linotype" w:hAnsi="Palatino Linotype" w:cs="Arial"/>
          <w:sz w:val="22"/>
          <w:szCs w:val="22"/>
        </w:rPr>
        <w:t xml:space="preserve"> después de haber otorgado una respuesta y hasta antes de dictada la resolución </w:t>
      </w:r>
      <w:r w:rsidRPr="00023AC6">
        <w:rPr>
          <w:rFonts w:ascii="Palatino Linotype" w:hAnsi="Palatino Linotype" w:cs="Arial"/>
          <w:sz w:val="22"/>
          <w:szCs w:val="22"/>
        </w:rPr>
        <w:lastRenderedPageBreak/>
        <w:t>del recurso de revisión, emite una diversa en la que subsane las deficiencias que hubiera tenido.</w:t>
      </w:r>
    </w:p>
    <w:p w:rsidR="00480B8C" w:rsidRPr="00023AC6" w:rsidRDefault="00480B8C" w:rsidP="00480B8C">
      <w:pPr>
        <w:spacing w:line="360" w:lineRule="auto"/>
        <w:ind w:left="567" w:right="616"/>
        <w:contextualSpacing/>
        <w:jc w:val="both"/>
        <w:rPr>
          <w:rFonts w:ascii="Palatino Linotype" w:hAnsi="Palatino Linotype" w:cs="Arial"/>
          <w:sz w:val="22"/>
          <w:szCs w:val="22"/>
        </w:rPr>
      </w:pPr>
    </w:p>
    <w:p w:rsidR="00480B8C" w:rsidRPr="00023AC6" w:rsidRDefault="00480B8C" w:rsidP="00480B8C">
      <w:pPr>
        <w:numPr>
          <w:ilvl w:val="0"/>
          <w:numId w:val="2"/>
        </w:numPr>
        <w:spacing w:line="360" w:lineRule="auto"/>
        <w:ind w:left="567" w:right="616" w:firstLine="0"/>
        <w:contextualSpacing/>
        <w:jc w:val="both"/>
        <w:rPr>
          <w:rFonts w:ascii="Palatino Linotype" w:hAnsi="Palatino Linotype" w:cs="Arial"/>
          <w:sz w:val="22"/>
          <w:szCs w:val="22"/>
        </w:rPr>
      </w:pPr>
      <w:r w:rsidRPr="00023AC6">
        <w:rPr>
          <w:rFonts w:ascii="Palatino Linotype" w:hAnsi="Palatino Linotype" w:cs="Arial"/>
          <w:b/>
          <w:sz w:val="22"/>
          <w:szCs w:val="22"/>
        </w:rPr>
        <w:t>Revoque el acto impugnado:</w:t>
      </w:r>
      <w:r w:rsidRPr="00023AC6">
        <w:rPr>
          <w:rFonts w:ascii="Palatino Linotype" w:hAnsi="Palatino Linotype" w:cs="Arial"/>
          <w:sz w:val="22"/>
          <w:szCs w:val="22"/>
        </w:rPr>
        <w:t xml:space="preserve"> En este supuesto, el </w:t>
      </w:r>
      <w:r w:rsidRPr="00023AC6">
        <w:rPr>
          <w:rFonts w:ascii="Palatino Linotype" w:hAnsi="Palatino Linotype" w:cs="Arial"/>
          <w:b/>
          <w:sz w:val="22"/>
          <w:szCs w:val="22"/>
        </w:rPr>
        <w:t>SUJETO OBLIGADO</w:t>
      </w:r>
      <w:r w:rsidRPr="00023AC6">
        <w:rPr>
          <w:rFonts w:ascii="Palatino Linotype" w:hAnsi="Palatino Linotype" w:cs="Arial"/>
          <w:sz w:val="22"/>
          <w:szCs w:val="22"/>
        </w:rPr>
        <w:t xml:space="preserve"> deja sin efectos la primera respuesta y en su lugar emite otra que satisfaga lo solicitado por el Particular en un primer momento.</w:t>
      </w:r>
    </w:p>
    <w:p w:rsidR="00480B8C" w:rsidRPr="00023AC6" w:rsidRDefault="00480B8C" w:rsidP="00480B8C">
      <w:pPr>
        <w:spacing w:line="360" w:lineRule="auto"/>
        <w:ind w:right="616"/>
        <w:contextualSpacing/>
        <w:jc w:val="both"/>
        <w:rPr>
          <w:rFonts w:ascii="Palatino Linotype" w:hAnsi="Palatino Linotype" w:cs="Arial"/>
          <w:sz w:val="22"/>
          <w:szCs w:val="22"/>
        </w:rPr>
      </w:pPr>
    </w:p>
    <w:p w:rsidR="00480B8C" w:rsidRPr="00023AC6" w:rsidRDefault="00480B8C" w:rsidP="00480B8C">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Las </w:t>
      </w:r>
      <w:r w:rsidRPr="00023AC6">
        <w:rPr>
          <w:rFonts w:ascii="Palatino Linotype" w:eastAsia="Calibri" w:hAnsi="Palatino Linotype"/>
          <w:szCs w:val="22"/>
        </w:rPr>
        <w:t>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E8689F" w:rsidRPr="00023AC6" w:rsidRDefault="00E8689F" w:rsidP="00E8689F">
      <w:pPr>
        <w:pStyle w:val="Prrafodelista"/>
        <w:tabs>
          <w:tab w:val="left" w:pos="284"/>
          <w:tab w:val="left" w:pos="567"/>
        </w:tabs>
        <w:spacing w:line="360" w:lineRule="auto"/>
        <w:ind w:left="0"/>
        <w:jc w:val="both"/>
        <w:rPr>
          <w:rFonts w:ascii="Palatino Linotype" w:hAnsi="Palatino Linotype"/>
          <w:b/>
          <w:bCs/>
          <w:color w:val="000000"/>
          <w:szCs w:val="22"/>
          <w:lang w:val="es-ES"/>
        </w:rPr>
      </w:pPr>
    </w:p>
    <w:p w:rsidR="0090428E" w:rsidRPr="00023AC6" w:rsidRDefault="00480B8C" w:rsidP="0090428E">
      <w:pPr>
        <w:pStyle w:val="Prrafodelista"/>
        <w:numPr>
          <w:ilvl w:val="0"/>
          <w:numId w:val="1"/>
        </w:numPr>
        <w:tabs>
          <w:tab w:val="left" w:pos="284"/>
          <w:tab w:val="left" w:pos="567"/>
        </w:tabs>
        <w:spacing w:line="360" w:lineRule="auto"/>
        <w:ind w:left="0" w:firstLine="0"/>
        <w:jc w:val="both"/>
        <w:rPr>
          <w:rFonts w:ascii="Palatino Linotype" w:hAnsi="Palatino Linotype"/>
          <w:bCs/>
          <w:color w:val="000000"/>
          <w:szCs w:val="22"/>
          <w:lang w:val="es-ES"/>
        </w:rPr>
      </w:pPr>
      <w:r w:rsidRPr="00023AC6">
        <w:rPr>
          <w:rFonts w:ascii="Palatino Linotype" w:hAnsi="Palatino Linotype"/>
          <w:bCs/>
          <w:color w:val="000000"/>
          <w:szCs w:val="22"/>
          <w:lang w:val="es-ES"/>
        </w:rPr>
        <w:t xml:space="preserve">Primeramente es necesario señalar que el particular solicitó </w:t>
      </w:r>
      <w:r w:rsidR="00E8689F" w:rsidRPr="00023AC6">
        <w:rPr>
          <w:rFonts w:ascii="Palatino Linotype" w:hAnsi="Palatino Linotype"/>
          <w:bCs/>
          <w:color w:val="000000"/>
          <w:szCs w:val="22"/>
          <w:lang w:val="es-ES"/>
        </w:rPr>
        <w:t xml:space="preserve">la fecha exacta de la entrega de 4,125 piezas del libro </w:t>
      </w:r>
      <w:r w:rsidR="00E8689F" w:rsidRPr="00023AC6">
        <w:rPr>
          <w:rFonts w:ascii="Palatino Linotype" w:hAnsi="Palatino Linotype"/>
          <w:bCs/>
          <w:color w:val="000000"/>
          <w:szCs w:val="22"/>
        </w:rPr>
        <w:t xml:space="preserve">“Saca al escritor que llevas dentro. EJERCICIOS, TRUCOS Y CONSEJOS PARA PONER EN MARCHA TU ESCRITURA” con ISBN 9781482734126 de la escritora </w:t>
      </w:r>
      <w:proofErr w:type="spellStart"/>
      <w:r w:rsidR="00E8689F" w:rsidRPr="00023AC6">
        <w:rPr>
          <w:rFonts w:ascii="Palatino Linotype" w:hAnsi="Palatino Linotype"/>
          <w:bCs/>
          <w:color w:val="000000"/>
          <w:szCs w:val="22"/>
        </w:rPr>
        <w:t>Iria</w:t>
      </w:r>
      <w:proofErr w:type="spellEnd"/>
      <w:r w:rsidR="00E8689F" w:rsidRPr="00023AC6">
        <w:rPr>
          <w:rFonts w:ascii="Palatino Linotype" w:hAnsi="Palatino Linotype"/>
          <w:bCs/>
          <w:color w:val="000000"/>
          <w:szCs w:val="22"/>
        </w:rPr>
        <w:t xml:space="preserve"> López </w:t>
      </w:r>
      <w:proofErr w:type="spellStart"/>
      <w:r w:rsidR="00E8689F" w:rsidRPr="00023AC6">
        <w:rPr>
          <w:rFonts w:ascii="Palatino Linotype" w:hAnsi="Palatino Linotype"/>
          <w:bCs/>
          <w:color w:val="000000"/>
          <w:szCs w:val="22"/>
        </w:rPr>
        <w:t>Teijeiro</w:t>
      </w:r>
      <w:proofErr w:type="spellEnd"/>
      <w:r w:rsidR="00E8689F" w:rsidRPr="00023AC6">
        <w:rPr>
          <w:rFonts w:ascii="Palatino Linotype" w:hAnsi="Palatino Linotype"/>
          <w:bCs/>
          <w:color w:val="000000"/>
          <w:szCs w:val="22"/>
        </w:rPr>
        <w:t xml:space="preserve"> derivado del contrato SEIEM/DA/ADQ.090/2024 derivado del fallo de la Licitación Pública Nacional Presencial No. 44074001-005-2024 para la Adquisición </w:t>
      </w:r>
      <w:r w:rsidR="0090428E" w:rsidRPr="00023AC6">
        <w:rPr>
          <w:rFonts w:ascii="Palatino Linotype" w:hAnsi="Palatino Linotype"/>
          <w:bCs/>
          <w:color w:val="000000"/>
          <w:szCs w:val="22"/>
        </w:rPr>
        <w:t xml:space="preserve">de consolidada de materiales y suministros para la PARTIDA 1 (SUBPARTIDA 1.2 -Material Didáctico para la Dirección de Educación Secundaria y Servicios de Apoyo) adjudicado a </w:t>
      </w:r>
      <w:proofErr w:type="spellStart"/>
      <w:r w:rsidR="0090428E" w:rsidRPr="00023AC6">
        <w:rPr>
          <w:rFonts w:ascii="Palatino Linotype" w:hAnsi="Palatino Linotype"/>
          <w:bCs/>
          <w:color w:val="000000"/>
          <w:szCs w:val="22"/>
        </w:rPr>
        <w:t>Najal</w:t>
      </w:r>
      <w:proofErr w:type="spellEnd"/>
      <w:r w:rsidR="0090428E" w:rsidRPr="00023AC6">
        <w:rPr>
          <w:rFonts w:ascii="Palatino Linotype" w:hAnsi="Palatino Linotype"/>
          <w:bCs/>
          <w:color w:val="000000"/>
          <w:szCs w:val="22"/>
        </w:rPr>
        <w:t xml:space="preserve"> Productos Mexiquenses, S.A. de C.V.</w:t>
      </w:r>
    </w:p>
    <w:p w:rsidR="0090428E" w:rsidRPr="00023AC6" w:rsidRDefault="0090428E" w:rsidP="0090428E">
      <w:pPr>
        <w:pStyle w:val="Prrafodelista"/>
        <w:rPr>
          <w:rFonts w:ascii="Palatino Linotype" w:eastAsia="MS Mincho" w:hAnsi="Palatino Linotype"/>
          <w:szCs w:val="22"/>
          <w:lang w:val="es-ES_tradnl" w:eastAsia="es-ES"/>
        </w:rPr>
      </w:pPr>
    </w:p>
    <w:p w:rsidR="0090428E" w:rsidRPr="00023AC6" w:rsidRDefault="0090428E" w:rsidP="0090428E">
      <w:pPr>
        <w:pStyle w:val="Prrafodelista"/>
        <w:numPr>
          <w:ilvl w:val="0"/>
          <w:numId w:val="1"/>
        </w:numPr>
        <w:tabs>
          <w:tab w:val="left" w:pos="284"/>
          <w:tab w:val="left" w:pos="567"/>
        </w:tabs>
        <w:spacing w:line="360" w:lineRule="auto"/>
        <w:ind w:left="0" w:firstLine="0"/>
        <w:jc w:val="both"/>
        <w:rPr>
          <w:rFonts w:ascii="Palatino Linotype" w:hAnsi="Palatino Linotype"/>
          <w:bCs/>
          <w:color w:val="000000"/>
          <w:szCs w:val="22"/>
          <w:lang w:val="es-ES"/>
        </w:rPr>
      </w:pPr>
      <w:r w:rsidRPr="00023AC6">
        <w:rPr>
          <w:rFonts w:ascii="Palatino Linotype" w:eastAsia="MS Mincho" w:hAnsi="Palatino Linotype"/>
          <w:szCs w:val="22"/>
          <w:lang w:val="es-ES_tradnl" w:eastAsia="es-ES"/>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sidRPr="00023AC6">
        <w:rPr>
          <w:rFonts w:ascii="Palatino Linotype" w:eastAsia="MS Mincho" w:hAnsi="Palatino Linotype"/>
          <w:b/>
          <w:szCs w:val="22"/>
          <w:lang w:val="es-ES_tradnl" w:eastAsia="es-ES"/>
        </w:rPr>
        <w:t>sencilla</w:t>
      </w:r>
      <w:r w:rsidRPr="00023AC6">
        <w:rPr>
          <w:rFonts w:ascii="Palatino Linotype" w:eastAsia="MS Mincho" w:hAnsi="Palatino Linotype"/>
          <w:szCs w:val="22"/>
          <w:lang w:val="es-ES_tradnl" w:eastAsia="es-ES"/>
        </w:rPr>
        <w:t xml:space="preserve">, expeditos, </w:t>
      </w:r>
      <w:r w:rsidRPr="00023AC6">
        <w:rPr>
          <w:rFonts w:ascii="Palatino Linotype" w:eastAsia="MS Mincho" w:hAnsi="Palatino Linotype"/>
          <w:b/>
          <w:szCs w:val="22"/>
          <w:lang w:val="es-ES_tradnl" w:eastAsia="es-ES"/>
        </w:rPr>
        <w:t>oportunos</w:t>
      </w:r>
      <w:r w:rsidRPr="00023AC6">
        <w:rPr>
          <w:rFonts w:ascii="Palatino Linotype" w:eastAsia="MS Mincho" w:hAnsi="Palatino Linotype"/>
          <w:szCs w:val="22"/>
          <w:lang w:val="es-ES_tradnl" w:eastAsia="es-ES"/>
        </w:rPr>
        <w:t xml:space="preserve"> y gratuitos, y con ello contribuir a la mejora de procedimientos y mecanismos que </w:t>
      </w:r>
      <w:r w:rsidRPr="00023AC6">
        <w:rPr>
          <w:rFonts w:ascii="Palatino Linotype" w:eastAsia="MS Mincho" w:hAnsi="Palatino Linotype"/>
          <w:szCs w:val="22"/>
          <w:lang w:val="es-ES_tradnl" w:eastAsia="es-ES"/>
        </w:rPr>
        <w:lastRenderedPageBreak/>
        <w:t>permitan trasparentar la gestión pública y mejora la toma decisiones, a través de la difusión de la información que obra en poder de los sujeto obligados.</w:t>
      </w:r>
    </w:p>
    <w:p w:rsidR="0090428E" w:rsidRPr="00023AC6" w:rsidRDefault="0090428E" w:rsidP="0090428E">
      <w:pPr>
        <w:pStyle w:val="Prrafodelista"/>
        <w:rPr>
          <w:rFonts w:ascii="Palatino Linotype" w:hAnsi="Palatino Linotype"/>
          <w:szCs w:val="22"/>
          <w:lang w:val="es-ES"/>
        </w:rPr>
      </w:pPr>
    </w:p>
    <w:p w:rsidR="0090428E" w:rsidRPr="00023AC6" w:rsidRDefault="0090428E" w:rsidP="0090428E">
      <w:pPr>
        <w:pStyle w:val="Prrafodelista"/>
        <w:numPr>
          <w:ilvl w:val="0"/>
          <w:numId w:val="1"/>
        </w:numPr>
        <w:tabs>
          <w:tab w:val="left" w:pos="284"/>
          <w:tab w:val="left" w:pos="567"/>
        </w:tabs>
        <w:spacing w:line="360" w:lineRule="auto"/>
        <w:ind w:left="0" w:firstLine="0"/>
        <w:jc w:val="both"/>
        <w:rPr>
          <w:rFonts w:ascii="Palatino Linotype" w:hAnsi="Palatino Linotype"/>
          <w:bCs/>
          <w:color w:val="000000"/>
          <w:szCs w:val="22"/>
          <w:lang w:val="es-ES"/>
        </w:rPr>
      </w:pPr>
      <w:r w:rsidRPr="00023AC6">
        <w:rPr>
          <w:rFonts w:ascii="Palatino Linotype" w:hAnsi="Palatino Linotype"/>
          <w:szCs w:val="22"/>
          <w:lang w:val="es-ES"/>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023AC6">
        <w:rPr>
          <w:rFonts w:ascii="Palatino Linotype" w:hAnsi="Palatino Linotype"/>
          <w:b/>
          <w:szCs w:val="22"/>
          <w:lang w:val="es-ES"/>
        </w:rPr>
        <w:t xml:space="preserve"> </w:t>
      </w:r>
      <w:r w:rsidRPr="00023AC6">
        <w:rPr>
          <w:rFonts w:ascii="Palatino Linotype" w:hAnsi="Palatino Linotype"/>
          <w:szCs w:val="22"/>
          <w:lang w:val="es-ES"/>
        </w:rPr>
        <w:t>a la Información Pública del Estado de México y Municipios establece dos puntos importantes que impactan sobre la modalidad de entrega de la información.</w:t>
      </w:r>
    </w:p>
    <w:p w:rsidR="0090428E" w:rsidRPr="00023AC6" w:rsidRDefault="0090428E" w:rsidP="0090428E">
      <w:pPr>
        <w:pStyle w:val="Prrafodelista"/>
        <w:rPr>
          <w:rFonts w:ascii="Palatino Linotype" w:hAnsi="Palatino Linotype"/>
          <w:szCs w:val="22"/>
          <w:lang w:val="es-ES"/>
        </w:rPr>
      </w:pPr>
    </w:p>
    <w:p w:rsidR="0090428E" w:rsidRPr="00023AC6" w:rsidRDefault="0090428E" w:rsidP="0090428E">
      <w:pPr>
        <w:pStyle w:val="Prrafodelista"/>
        <w:numPr>
          <w:ilvl w:val="0"/>
          <w:numId w:val="1"/>
        </w:numPr>
        <w:tabs>
          <w:tab w:val="left" w:pos="284"/>
          <w:tab w:val="left" w:pos="567"/>
        </w:tabs>
        <w:spacing w:line="360" w:lineRule="auto"/>
        <w:ind w:left="0" w:firstLine="0"/>
        <w:jc w:val="both"/>
        <w:rPr>
          <w:rFonts w:ascii="Palatino Linotype" w:hAnsi="Palatino Linotype"/>
          <w:bCs/>
          <w:color w:val="000000"/>
          <w:szCs w:val="22"/>
          <w:lang w:val="es-ES"/>
        </w:rPr>
      </w:pPr>
      <w:r w:rsidRPr="00023AC6">
        <w:rPr>
          <w:rFonts w:ascii="Palatino Linotype" w:hAnsi="Palatino Linotype"/>
          <w:szCs w:val="22"/>
          <w:lang w:val="es-ES"/>
        </w:rPr>
        <w:t xml:space="preserve">El primer punto a analizar es que la ley en materia contempla </w:t>
      </w:r>
      <w:r w:rsidRPr="00023AC6">
        <w:rPr>
          <w:rFonts w:ascii="Palatino Linotype" w:hAnsi="Palatino Linotype"/>
          <w:b/>
          <w:szCs w:val="22"/>
          <w:lang w:val="es-ES"/>
        </w:rPr>
        <w:t>información pública de oficio</w:t>
      </w:r>
      <w:r w:rsidRPr="00023AC6">
        <w:rPr>
          <w:rFonts w:ascii="Palatino Linotype" w:hAnsi="Palatino Linotype"/>
          <w:szCs w:val="22"/>
          <w:lang w:val="es-ES"/>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90428E" w:rsidRPr="00023AC6" w:rsidRDefault="0090428E" w:rsidP="0090428E">
      <w:pPr>
        <w:pStyle w:val="Prrafodelista"/>
        <w:rPr>
          <w:rFonts w:ascii="Palatino Linotype" w:hAnsi="Palatino Linotype"/>
          <w:szCs w:val="22"/>
          <w:lang w:val="es-ES"/>
        </w:rPr>
      </w:pPr>
    </w:p>
    <w:p w:rsidR="0090428E" w:rsidRPr="00023AC6" w:rsidRDefault="0090428E" w:rsidP="0090428E">
      <w:pPr>
        <w:pStyle w:val="Prrafodelista"/>
        <w:numPr>
          <w:ilvl w:val="0"/>
          <w:numId w:val="1"/>
        </w:numPr>
        <w:tabs>
          <w:tab w:val="left" w:pos="284"/>
          <w:tab w:val="left" w:pos="567"/>
        </w:tabs>
        <w:spacing w:line="360" w:lineRule="auto"/>
        <w:ind w:left="0" w:firstLine="0"/>
        <w:jc w:val="both"/>
        <w:rPr>
          <w:rFonts w:ascii="Palatino Linotype" w:hAnsi="Palatino Linotype"/>
          <w:bCs/>
          <w:color w:val="000000"/>
          <w:szCs w:val="22"/>
          <w:lang w:val="es-ES"/>
        </w:rPr>
      </w:pPr>
      <w:r w:rsidRPr="00023AC6">
        <w:rPr>
          <w:rFonts w:ascii="Palatino Linotype" w:hAnsi="Palatino Linotype"/>
          <w:szCs w:val="22"/>
          <w:lang w:val="es-ES"/>
        </w:rPr>
        <w:t>El segundo punto a analizar y que guarda estricta relación con el punto anterior, se encuentra en el artículo 161 de la citada Ley de Transparencia Local:</w:t>
      </w:r>
    </w:p>
    <w:p w:rsidR="0090428E" w:rsidRPr="00023AC6" w:rsidRDefault="0090428E" w:rsidP="0090428E">
      <w:pPr>
        <w:pStyle w:val="Prrafodelista"/>
        <w:rPr>
          <w:rFonts w:ascii="Palatino Linotype" w:hAnsi="Palatino Linotype"/>
          <w:szCs w:val="22"/>
          <w:lang w:val="es-ES"/>
        </w:rPr>
      </w:pPr>
    </w:p>
    <w:p w:rsidR="0090428E" w:rsidRPr="00023AC6" w:rsidRDefault="0090428E" w:rsidP="0090428E">
      <w:pPr>
        <w:autoSpaceDE w:val="0"/>
        <w:autoSpaceDN w:val="0"/>
        <w:adjustRightInd w:val="0"/>
        <w:spacing w:line="360" w:lineRule="auto"/>
        <w:ind w:left="851" w:right="822"/>
        <w:jc w:val="both"/>
        <w:rPr>
          <w:rFonts w:ascii="Palatino Linotype" w:hAnsi="Palatino Linotype"/>
          <w:i/>
          <w:sz w:val="22"/>
          <w:szCs w:val="22"/>
          <w:lang w:val="es-ES"/>
        </w:rPr>
      </w:pPr>
      <w:r w:rsidRPr="00023AC6">
        <w:rPr>
          <w:rFonts w:ascii="Palatino Linotype" w:hAnsi="Palatino Linotype" w:cs="Bookman Old Style,Bold"/>
          <w:b/>
          <w:bCs/>
          <w:i/>
          <w:sz w:val="22"/>
          <w:szCs w:val="22"/>
        </w:rPr>
        <w:t xml:space="preserve">Artículo 161. </w:t>
      </w:r>
      <w:r w:rsidRPr="00023AC6">
        <w:rPr>
          <w:rFonts w:ascii="Palatino Linotype" w:hAnsi="Palatino Linotype" w:cs="Bookman Old Style"/>
          <w:b/>
          <w:i/>
          <w:sz w:val="22"/>
          <w:szCs w:val="22"/>
        </w:rPr>
        <w:t>Cuando la información requerida por el solicitante ya esté disponible</w:t>
      </w:r>
      <w:r w:rsidRPr="00023AC6">
        <w:rPr>
          <w:rFonts w:ascii="Palatino Linotype" w:hAnsi="Palatino Linotype" w:cs="Bookman Old Style"/>
          <w:i/>
          <w:sz w:val="22"/>
          <w:szCs w:val="22"/>
        </w:rPr>
        <w:t xml:space="preserve"> al público en medios impresos, tales como libros, compendios, trípticos, registros públicos, </w:t>
      </w:r>
      <w:r w:rsidRPr="00023AC6">
        <w:rPr>
          <w:rFonts w:ascii="Palatino Linotype" w:hAnsi="Palatino Linotype" w:cs="Bookman Old Style"/>
          <w:b/>
          <w:i/>
          <w:sz w:val="22"/>
          <w:szCs w:val="22"/>
        </w:rPr>
        <w:t xml:space="preserve">en formatos electrónicos disponibles en Internet </w:t>
      </w:r>
      <w:r w:rsidRPr="00023AC6">
        <w:rPr>
          <w:rFonts w:ascii="Palatino Linotype" w:hAnsi="Palatino Linotype" w:cs="Bookman Old Style"/>
          <w:i/>
          <w:sz w:val="22"/>
          <w:szCs w:val="22"/>
        </w:rPr>
        <w:t xml:space="preserve">o en cualquier otro medio, se le hará saber por el medio requerido por el solicitante la fuente, el lugar y la forma en que puede consultar, reproducir o adquirir dicha información </w:t>
      </w:r>
      <w:r w:rsidRPr="00023AC6">
        <w:rPr>
          <w:rFonts w:ascii="Palatino Linotype" w:hAnsi="Palatino Linotype" w:cs="Bookman Old Style"/>
          <w:b/>
          <w:i/>
          <w:sz w:val="22"/>
          <w:szCs w:val="22"/>
        </w:rPr>
        <w:t>en un plazo no mayor a cinco días hábiles</w:t>
      </w:r>
      <w:r w:rsidRPr="00023AC6">
        <w:rPr>
          <w:rFonts w:ascii="Palatino Linotype" w:hAnsi="Palatino Linotype" w:cs="Bookman Old Style"/>
          <w:i/>
          <w:sz w:val="22"/>
          <w:szCs w:val="22"/>
        </w:rPr>
        <w:t xml:space="preserve">. </w:t>
      </w:r>
      <w:r w:rsidRPr="00023AC6">
        <w:rPr>
          <w:rFonts w:ascii="Palatino Linotype" w:hAnsi="Palatino Linotype" w:cs="Bookman Old Style"/>
          <w:b/>
          <w:i/>
          <w:sz w:val="22"/>
          <w:szCs w:val="22"/>
        </w:rPr>
        <w:t>La fuente deberá ser precisa y concreta y no debe implicar que el solicitante realice una búsqueda en toda la información que se encuentre disponible</w:t>
      </w:r>
      <w:r w:rsidRPr="00023AC6">
        <w:rPr>
          <w:rFonts w:ascii="Palatino Linotype" w:hAnsi="Palatino Linotype" w:cs="Bookman Old Style"/>
          <w:i/>
          <w:sz w:val="22"/>
          <w:szCs w:val="22"/>
        </w:rPr>
        <w:t>.</w:t>
      </w:r>
    </w:p>
    <w:p w:rsidR="0090428E" w:rsidRPr="00023AC6" w:rsidRDefault="0090428E" w:rsidP="0090428E">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023AC6">
        <w:rPr>
          <w:rFonts w:ascii="Palatino Linotype" w:hAnsi="Palatino Linotype"/>
          <w:szCs w:val="22"/>
          <w:lang w:val="es-ES"/>
        </w:rPr>
        <w:lastRenderedPageBreak/>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90428E" w:rsidRPr="00023AC6" w:rsidRDefault="0090428E" w:rsidP="0090428E">
      <w:pPr>
        <w:pStyle w:val="Prrafodelista"/>
        <w:tabs>
          <w:tab w:val="left" w:pos="851"/>
        </w:tabs>
        <w:spacing w:before="240" w:after="240" w:line="360" w:lineRule="auto"/>
        <w:ind w:left="0" w:right="49"/>
        <w:jc w:val="both"/>
        <w:rPr>
          <w:rFonts w:ascii="Palatino Linotype" w:hAnsi="Palatino Linotype"/>
          <w:i/>
          <w:szCs w:val="22"/>
          <w:lang w:val="es-ES"/>
        </w:rPr>
      </w:pPr>
    </w:p>
    <w:p w:rsidR="0090428E" w:rsidRPr="00023AC6" w:rsidRDefault="0090428E" w:rsidP="0090428E">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023AC6">
        <w:rPr>
          <w:rFonts w:ascii="Palatino Linotype" w:hAnsi="Palatino Linotype"/>
          <w:b/>
          <w:szCs w:val="22"/>
          <w:lang w:val="es-ES"/>
        </w:rPr>
        <w:t>La orientación</w:t>
      </w:r>
      <w:r w:rsidRPr="00023AC6">
        <w:rPr>
          <w:rFonts w:ascii="Palatino Linotype" w:hAnsi="Palatino Linotype"/>
          <w:szCs w:val="22"/>
          <w:lang w:val="es-ES"/>
        </w:rPr>
        <w:t xml:space="preserve"> que realicen los Sujetos Obligados a los sitios electrónicos para la consulta de la información </w:t>
      </w:r>
      <w:r w:rsidRPr="00023AC6">
        <w:rPr>
          <w:rFonts w:ascii="Palatino Linotype" w:hAnsi="Palatino Linotype"/>
          <w:b/>
          <w:szCs w:val="22"/>
          <w:lang w:val="es-ES"/>
        </w:rPr>
        <w:t>debe cumplir con las características de tiempo y forma.</w:t>
      </w:r>
    </w:p>
    <w:p w:rsidR="0090428E" w:rsidRPr="00023AC6" w:rsidRDefault="0090428E" w:rsidP="0090428E">
      <w:pPr>
        <w:pStyle w:val="Prrafodelista"/>
        <w:ind w:left="0"/>
        <w:rPr>
          <w:rFonts w:ascii="Palatino Linotype" w:hAnsi="Palatino Linotype"/>
          <w:szCs w:val="22"/>
          <w:lang w:val="es-ES"/>
        </w:rPr>
      </w:pPr>
    </w:p>
    <w:p w:rsidR="0090428E" w:rsidRPr="00023AC6" w:rsidRDefault="0090428E" w:rsidP="004F1ED8">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023AC6">
        <w:rPr>
          <w:rFonts w:ascii="Palatino Linotype" w:hAnsi="Palatino Linotype"/>
          <w:szCs w:val="22"/>
          <w:lang w:val="es-ES"/>
        </w:rPr>
        <w:t xml:space="preserve">Para que la orientación se encuentre en tiempo, debe realizarse en un plazo no mayor a cinco días hábiles. En este caso, el Recurrente presentó su solicitud en fecha </w:t>
      </w:r>
      <w:r w:rsidR="004F1ED8" w:rsidRPr="00023AC6">
        <w:rPr>
          <w:rFonts w:ascii="Palatino Linotype" w:hAnsi="Palatino Linotype"/>
          <w:szCs w:val="22"/>
          <w:lang w:val="es-ES"/>
        </w:rPr>
        <w:t>once (11) de noviembre de dos mil veinticuatro</w:t>
      </w:r>
      <w:r w:rsidRPr="00023AC6">
        <w:rPr>
          <w:rFonts w:ascii="Palatino Linotype" w:hAnsi="Palatino Linotype"/>
          <w:szCs w:val="22"/>
          <w:lang w:val="es-ES"/>
        </w:rPr>
        <w:t xml:space="preserve">, el Sujeto Obligado dio respuesta el </w:t>
      </w:r>
      <w:r w:rsidR="004F1ED8" w:rsidRPr="00023AC6">
        <w:rPr>
          <w:rFonts w:ascii="Palatino Linotype" w:hAnsi="Palatino Linotype"/>
          <w:szCs w:val="22"/>
          <w:lang w:val="es-ES"/>
        </w:rPr>
        <w:t>tres (03) de diciembre de dos mil veinticuatro, por lo que evidentemente</w:t>
      </w:r>
      <w:r w:rsidRPr="00023AC6">
        <w:rPr>
          <w:rFonts w:ascii="Palatino Linotype" w:hAnsi="Palatino Linotype"/>
          <w:szCs w:val="22"/>
          <w:lang w:val="es-ES"/>
        </w:rPr>
        <w:t xml:space="preserve"> se encuentra fuera del plazo que señala la normatividad en materia, lo que trae como consecuencia que </w:t>
      </w:r>
      <w:r w:rsidRPr="00023AC6">
        <w:rPr>
          <w:rFonts w:ascii="Palatino Linotype" w:hAnsi="Palatino Linotype"/>
          <w:b/>
          <w:szCs w:val="22"/>
          <w:lang w:val="es-ES"/>
        </w:rPr>
        <w:t>la orientación no se encuentre en tiempo</w:t>
      </w:r>
      <w:r w:rsidRPr="00023AC6">
        <w:rPr>
          <w:rFonts w:ascii="Palatino Linotype" w:hAnsi="Palatino Linotype"/>
          <w:szCs w:val="22"/>
          <w:lang w:val="es-ES"/>
        </w:rPr>
        <w:t>.</w:t>
      </w:r>
    </w:p>
    <w:p w:rsidR="0090428E" w:rsidRPr="00023AC6" w:rsidRDefault="0090428E" w:rsidP="0090428E">
      <w:pPr>
        <w:pStyle w:val="Prrafodelista"/>
        <w:ind w:left="0"/>
        <w:rPr>
          <w:rFonts w:ascii="Palatino Linotype" w:hAnsi="Palatino Linotype"/>
          <w:szCs w:val="22"/>
          <w:lang w:val="es-ES"/>
        </w:rPr>
      </w:pPr>
    </w:p>
    <w:p w:rsidR="0090428E" w:rsidRPr="00023AC6" w:rsidRDefault="0090428E" w:rsidP="0090428E">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023AC6">
        <w:rPr>
          <w:rFonts w:ascii="Palatino Linotype" w:hAnsi="Palatino Linotype"/>
          <w:szCs w:val="22"/>
          <w:lang w:val="es-ES"/>
        </w:rPr>
        <w:t>Ahora bien, la normatividad en materia establece que las direcciones electrónicas deben ser precisas, de tal modo que no implique que el Recurrente deba de realizar una búsqueda dentro de</w:t>
      </w:r>
      <w:r w:rsidR="004F1ED8" w:rsidRPr="00023AC6">
        <w:rPr>
          <w:rFonts w:ascii="Palatino Linotype" w:hAnsi="Palatino Linotype"/>
          <w:szCs w:val="22"/>
          <w:lang w:val="es-ES"/>
        </w:rPr>
        <w:t xml:space="preserve"> toda la información disponible, recordemos que el Sujeto Obligado entregó en respuesta una liga electrónica que no se encuentra en datos abiertos, sin embargo, se advierte que el Recurrente si puso acceder a la liga, ya que refirió en el Recurso de Revisión que en la liga se encuentra el contrato y el fallo, pero </w:t>
      </w:r>
      <w:r w:rsidR="003537E4" w:rsidRPr="00023AC6">
        <w:rPr>
          <w:rFonts w:ascii="Palatino Linotype" w:hAnsi="Palatino Linotype"/>
          <w:szCs w:val="22"/>
          <w:lang w:val="es-ES"/>
        </w:rPr>
        <w:t>no la fecha en que se recibieron los libros. Por lo tanto, con la entrega de la liga electrónica no se puede tener por atendido el requerimiento del Recurrente.</w:t>
      </w:r>
      <w:r w:rsidR="004F1ED8" w:rsidRPr="00023AC6">
        <w:rPr>
          <w:rFonts w:ascii="Palatino Linotype" w:hAnsi="Palatino Linotype"/>
          <w:szCs w:val="22"/>
          <w:lang w:val="es-ES"/>
        </w:rPr>
        <w:t xml:space="preserve"> </w:t>
      </w:r>
    </w:p>
    <w:p w:rsidR="00480B8C" w:rsidRPr="00023AC6" w:rsidRDefault="00480B8C" w:rsidP="0090428E">
      <w:pPr>
        <w:pStyle w:val="Prrafodelista"/>
        <w:tabs>
          <w:tab w:val="left" w:pos="284"/>
          <w:tab w:val="left" w:pos="567"/>
        </w:tabs>
        <w:spacing w:line="360" w:lineRule="auto"/>
        <w:ind w:left="0"/>
        <w:jc w:val="both"/>
        <w:rPr>
          <w:rFonts w:ascii="Palatino Linotype" w:hAnsi="Palatino Linotype"/>
          <w:bCs/>
          <w:color w:val="000000"/>
          <w:szCs w:val="22"/>
          <w:lang w:val="es-ES"/>
        </w:rPr>
      </w:pPr>
    </w:p>
    <w:p w:rsidR="0090428E" w:rsidRPr="00023AC6" w:rsidRDefault="003537E4" w:rsidP="00480B8C">
      <w:pPr>
        <w:pStyle w:val="Prrafodelista"/>
        <w:numPr>
          <w:ilvl w:val="0"/>
          <w:numId w:val="1"/>
        </w:numPr>
        <w:spacing w:line="360" w:lineRule="auto"/>
        <w:ind w:left="0" w:firstLine="0"/>
        <w:jc w:val="both"/>
        <w:rPr>
          <w:rFonts w:ascii="Palatino Linotype" w:eastAsia="MS Mincho" w:hAnsi="Palatino Linotype"/>
          <w:szCs w:val="22"/>
        </w:rPr>
      </w:pPr>
      <w:r w:rsidRPr="00023AC6">
        <w:rPr>
          <w:rFonts w:ascii="Palatino Linotype" w:eastAsia="MS Mincho" w:hAnsi="Palatino Linotype"/>
          <w:szCs w:val="22"/>
        </w:rPr>
        <w:t>Consecuentemente, es necesario referir que a través de informe justificado, el Sujeto Obligado manifestó:</w:t>
      </w:r>
    </w:p>
    <w:p w:rsidR="003537E4" w:rsidRPr="00023AC6" w:rsidRDefault="003537E4" w:rsidP="003537E4">
      <w:pPr>
        <w:pStyle w:val="Prrafodelista"/>
        <w:rPr>
          <w:rFonts w:ascii="Palatino Linotype" w:eastAsia="MS Mincho" w:hAnsi="Palatino Linotype"/>
          <w:szCs w:val="22"/>
        </w:rPr>
      </w:pPr>
    </w:p>
    <w:p w:rsidR="003537E4" w:rsidRPr="00023AC6" w:rsidRDefault="003537E4" w:rsidP="00DB0924">
      <w:pPr>
        <w:pStyle w:val="Prrafodelista"/>
        <w:spacing w:line="360" w:lineRule="auto"/>
        <w:jc w:val="both"/>
        <w:rPr>
          <w:rFonts w:ascii="Palatino Linotype" w:hAnsi="Palatino Linotype"/>
          <w:i/>
          <w:szCs w:val="22"/>
        </w:rPr>
      </w:pPr>
      <w:r w:rsidRPr="00023AC6">
        <w:rPr>
          <w:rFonts w:ascii="Palatino Linotype" w:hAnsi="Palatino Linotype"/>
          <w:i/>
          <w:szCs w:val="22"/>
        </w:rPr>
        <w:t xml:space="preserve">“En fecha 18 de septiembre del presente año, EL PROVEEDOR presento el cambio del Libro "Taller de Escritura Creativa", autor Berta </w:t>
      </w:r>
      <w:proofErr w:type="spellStart"/>
      <w:r w:rsidRPr="00023AC6">
        <w:rPr>
          <w:rFonts w:ascii="Palatino Linotype" w:hAnsi="Palatino Linotype"/>
          <w:i/>
          <w:szCs w:val="22"/>
        </w:rPr>
        <w:t>Hiriart</w:t>
      </w:r>
      <w:proofErr w:type="spellEnd"/>
      <w:r w:rsidRPr="00023AC6">
        <w:rPr>
          <w:rFonts w:ascii="Palatino Linotype" w:hAnsi="Palatino Linotype"/>
          <w:i/>
          <w:szCs w:val="22"/>
        </w:rPr>
        <w:t xml:space="preserve"> Marcela Guijosa ISBN-10:6078406973, ISBN-13 978-6078406975, EDIT. 256 páginas, idioma Español; Editorial PAIDOS MEXICO, en virtud de que una empresa denominada </w:t>
      </w:r>
      <w:proofErr w:type="spellStart"/>
      <w:r w:rsidRPr="00023AC6">
        <w:rPr>
          <w:rFonts w:ascii="Palatino Linotype" w:hAnsi="Palatino Linotype"/>
          <w:i/>
          <w:szCs w:val="22"/>
        </w:rPr>
        <w:t>Didalibros</w:t>
      </w:r>
      <w:proofErr w:type="spellEnd"/>
      <w:r w:rsidRPr="00023AC6">
        <w:rPr>
          <w:rFonts w:ascii="Palatino Linotype" w:hAnsi="Palatino Linotype"/>
          <w:i/>
          <w:szCs w:val="22"/>
        </w:rPr>
        <w:t xml:space="preserve">, S.A. de C.V., manifestó ser titular de los Derechos de comercialización y explotación de la obra en SEIEM o cualquier otra institución de la República Mexicana, situación que no se hizo valer durante el desarrollo de la Licitación; motivo por el cual y una vez que la Dirección de Educación Secundaria y Servicios de Apoyo atendiendo la solicitud de cambio, se realizó un convenio modificatorio al Contrato Administrativo de Adquisición de Bienes número SEIEM/DA/ADQ.090/2024, con fundamento en el POBALIN 066 del Acuerdo por el que se Establecen las Políticas, Bases y Lineamientos, en Materia de Adquisiciones, Enajenaciones, Arrendamientos y Servicios de las Dependencias, Organismos Auxiliares y Tribunales Administrativos del Poder Ejecutivo del Estado de México, publicado en Gaceta de Gobierno del Estado de México de fecha 9 de diciembre de 2013, </w:t>
      </w:r>
      <w:r w:rsidRPr="00023AC6">
        <w:rPr>
          <w:rFonts w:ascii="Palatino Linotype" w:hAnsi="Palatino Linotype"/>
          <w:b/>
          <w:i/>
          <w:szCs w:val="22"/>
          <w:u w:val="single"/>
        </w:rPr>
        <w:t>por lo que NO se concretó la compra del libro "Saca al escritor que llevas dentro, EJERCICIOS. TRUCOS Y CONSEJOS PARA PONER EN MARCHA TU ESCRITURA", dado las imposibilidades del proveedor, por lo que no existe recepción en el almacén de SEIEM del libro antes mencionado.”</w:t>
      </w:r>
    </w:p>
    <w:p w:rsidR="0090428E" w:rsidRPr="00023AC6" w:rsidRDefault="0090428E" w:rsidP="00DB0924">
      <w:pPr>
        <w:pStyle w:val="Prrafodelista"/>
        <w:spacing w:line="360" w:lineRule="auto"/>
        <w:ind w:left="0"/>
        <w:jc w:val="both"/>
        <w:rPr>
          <w:rFonts w:ascii="Palatino Linotype" w:eastAsia="MS Mincho" w:hAnsi="Palatino Linotype"/>
          <w:szCs w:val="22"/>
        </w:rPr>
      </w:pPr>
    </w:p>
    <w:p w:rsidR="00480B8C" w:rsidRPr="00023AC6" w:rsidRDefault="00480B8C" w:rsidP="00480B8C">
      <w:pPr>
        <w:pStyle w:val="Prrafodelista"/>
        <w:numPr>
          <w:ilvl w:val="0"/>
          <w:numId w:val="1"/>
        </w:numPr>
        <w:spacing w:line="360" w:lineRule="auto"/>
        <w:ind w:left="0" w:firstLine="0"/>
        <w:jc w:val="both"/>
        <w:rPr>
          <w:rFonts w:ascii="Palatino Linotype" w:eastAsia="MS Mincho" w:hAnsi="Palatino Linotype"/>
          <w:szCs w:val="22"/>
        </w:rPr>
      </w:pPr>
      <w:r w:rsidRPr="00023AC6">
        <w:rPr>
          <w:rFonts w:ascii="Palatino Linotype" w:eastAsia="MS Mincho" w:hAnsi="Palatino Linotype"/>
          <w:szCs w:val="22"/>
        </w:rPr>
        <w:t xml:space="preserve">En ese contexto, debemos mencionar que el acceso a la información es un derecho humano constitucional y convencionalmente reconocido y para tal efecto </w:t>
      </w:r>
      <w:r w:rsidRPr="00023AC6">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023AC6">
        <w:rPr>
          <w:rFonts w:ascii="Palatino Linotype" w:eastAsia="Calibri" w:hAnsi="Palatino Linotype"/>
          <w:i/>
          <w:szCs w:val="22"/>
          <w:lang w:val="es-ES"/>
        </w:rPr>
        <w:t xml:space="preserve">en el ámbito de sus atribuciones, de promover, respetar, </w:t>
      </w:r>
      <w:r w:rsidRPr="00023AC6">
        <w:rPr>
          <w:rFonts w:ascii="Palatino Linotype" w:eastAsia="Calibri" w:hAnsi="Palatino Linotype"/>
          <w:i/>
          <w:szCs w:val="22"/>
          <w:lang w:val="es-ES"/>
        </w:rPr>
        <w:lastRenderedPageBreak/>
        <w:t xml:space="preserve">proteger y </w:t>
      </w:r>
      <w:r w:rsidRPr="00023AC6">
        <w:rPr>
          <w:rFonts w:ascii="Palatino Linotype" w:eastAsia="Calibri" w:hAnsi="Palatino Linotype"/>
          <w:b/>
          <w:i/>
          <w:szCs w:val="22"/>
          <w:lang w:val="es-ES"/>
        </w:rPr>
        <w:t>garantizar</w:t>
      </w:r>
      <w:r w:rsidRPr="00023AC6">
        <w:rPr>
          <w:rFonts w:ascii="Palatino Linotype" w:eastAsia="Calibri" w:hAnsi="Palatino Linotype"/>
          <w:i/>
          <w:szCs w:val="22"/>
          <w:lang w:val="es-ES"/>
        </w:rPr>
        <w:t xml:space="preserve"> los derechos humanos. </w:t>
      </w:r>
      <w:r w:rsidRPr="00023AC6">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023AC6">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023AC6">
        <w:rPr>
          <w:rStyle w:val="Refdenotaalpie"/>
          <w:rFonts w:ascii="Palatino Linotype" w:hAnsi="Palatino Linotype"/>
          <w:i/>
          <w:szCs w:val="22"/>
        </w:rPr>
        <w:footnoteReference w:id="1"/>
      </w:r>
      <w:r w:rsidRPr="00023AC6">
        <w:rPr>
          <w:rFonts w:ascii="Palatino Linotype" w:hAnsi="Palatino Linotype"/>
          <w:i/>
          <w:szCs w:val="22"/>
        </w:rPr>
        <w:t xml:space="preserve">, </w:t>
      </w:r>
      <w:r w:rsidRPr="00023AC6">
        <w:rPr>
          <w:rFonts w:ascii="Palatino Linotype" w:hAnsi="Palatino Linotype"/>
          <w:szCs w:val="22"/>
        </w:rPr>
        <w:t>asimismo establece</w:t>
      </w:r>
      <w:r w:rsidRPr="00023AC6">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480B8C" w:rsidRPr="00023AC6" w:rsidRDefault="00480B8C" w:rsidP="00480B8C">
      <w:pPr>
        <w:pStyle w:val="Prrafodelista"/>
        <w:ind w:left="0"/>
        <w:rPr>
          <w:rFonts w:ascii="Palatino Linotype" w:eastAsia="Calibri" w:hAnsi="Palatino Linotype" w:cs="Arial"/>
          <w:szCs w:val="22"/>
        </w:rPr>
      </w:pPr>
    </w:p>
    <w:p w:rsidR="00480B8C" w:rsidRPr="00023AC6" w:rsidRDefault="00480B8C" w:rsidP="00480B8C">
      <w:pPr>
        <w:pStyle w:val="Prrafodelista"/>
        <w:numPr>
          <w:ilvl w:val="0"/>
          <w:numId w:val="1"/>
        </w:numPr>
        <w:spacing w:line="360" w:lineRule="auto"/>
        <w:ind w:left="0" w:firstLine="0"/>
        <w:jc w:val="both"/>
        <w:rPr>
          <w:rFonts w:ascii="Palatino Linotype" w:eastAsia="Calibri" w:hAnsi="Palatino Linotype" w:cs="Arial"/>
          <w:szCs w:val="22"/>
        </w:rPr>
      </w:pPr>
      <w:r w:rsidRPr="00023AC6">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480B8C" w:rsidRPr="00023AC6" w:rsidRDefault="00480B8C" w:rsidP="00480B8C">
      <w:pPr>
        <w:pStyle w:val="Prrafodelista"/>
        <w:ind w:left="0"/>
        <w:rPr>
          <w:rFonts w:ascii="Palatino Linotype" w:hAnsi="Palatino Linotype"/>
          <w:szCs w:val="22"/>
        </w:rPr>
      </w:pPr>
    </w:p>
    <w:p w:rsidR="00480B8C" w:rsidRPr="00023AC6" w:rsidRDefault="00480B8C" w:rsidP="00480B8C">
      <w:pPr>
        <w:pStyle w:val="Prrafodelista"/>
        <w:numPr>
          <w:ilvl w:val="0"/>
          <w:numId w:val="1"/>
        </w:numPr>
        <w:spacing w:line="360" w:lineRule="auto"/>
        <w:ind w:left="0" w:firstLine="0"/>
        <w:jc w:val="both"/>
        <w:rPr>
          <w:rFonts w:ascii="Palatino Linotype" w:eastAsia="Calibri" w:hAnsi="Palatino Linotype" w:cs="Arial"/>
          <w:szCs w:val="22"/>
        </w:rPr>
      </w:pPr>
      <w:r w:rsidRPr="00023AC6">
        <w:rPr>
          <w:rFonts w:ascii="Palatino Linotype" w:hAnsi="Palatino Linotype"/>
          <w:szCs w:val="22"/>
        </w:rPr>
        <w:t xml:space="preserve">Es así que, su obligación es </w:t>
      </w:r>
      <w:r w:rsidRPr="00023AC6">
        <w:rPr>
          <w:rFonts w:ascii="Palatino Linotype" w:hAnsi="Palatino Linotype"/>
          <w:i/>
          <w:szCs w:val="22"/>
        </w:rPr>
        <w:t>realizar, con efectividad, los trámites internos necesarios para la atención de las solicitudes de información</w:t>
      </w:r>
      <w:r w:rsidRPr="00023AC6">
        <w:rPr>
          <w:rStyle w:val="Refdenotaalpie"/>
          <w:rFonts w:ascii="Palatino Linotype" w:hAnsi="Palatino Linotype"/>
          <w:szCs w:val="22"/>
        </w:rPr>
        <w:footnoteReference w:id="2"/>
      </w:r>
      <w:r w:rsidRPr="00023AC6">
        <w:rPr>
          <w:rFonts w:ascii="Palatino Linotype" w:hAnsi="Palatino Linotype"/>
          <w:szCs w:val="22"/>
        </w:rPr>
        <w:t>, es decir, deben otorgar respuestas concisas, contundentes y sobre todo que den la certeza de los actos que realizan.</w:t>
      </w:r>
    </w:p>
    <w:p w:rsidR="00480B8C" w:rsidRPr="00023AC6" w:rsidRDefault="00480B8C" w:rsidP="00480B8C">
      <w:pPr>
        <w:pStyle w:val="Prrafodelista"/>
        <w:ind w:left="0"/>
        <w:rPr>
          <w:rFonts w:ascii="Palatino Linotype" w:eastAsia="Calibri" w:hAnsi="Palatino Linotype" w:cs="Arial"/>
          <w:szCs w:val="22"/>
        </w:rPr>
      </w:pPr>
    </w:p>
    <w:p w:rsidR="00480B8C" w:rsidRPr="00023AC6" w:rsidRDefault="00480B8C" w:rsidP="00480B8C">
      <w:pPr>
        <w:pStyle w:val="Prrafodelista"/>
        <w:numPr>
          <w:ilvl w:val="0"/>
          <w:numId w:val="1"/>
        </w:numPr>
        <w:spacing w:line="360" w:lineRule="auto"/>
        <w:ind w:left="0" w:firstLine="0"/>
        <w:jc w:val="both"/>
        <w:rPr>
          <w:rFonts w:ascii="Palatino Linotype" w:eastAsia="MS Mincho" w:hAnsi="Palatino Linotype"/>
          <w:szCs w:val="22"/>
        </w:rPr>
      </w:pPr>
      <w:r w:rsidRPr="00023AC6">
        <w:rPr>
          <w:rFonts w:ascii="Palatino Linotype" w:eastAsia="Palatino Linotype" w:hAnsi="Palatino Linotype" w:cs="Palatino Linotype"/>
          <w:szCs w:val="22"/>
        </w:rPr>
        <w:lastRenderedPageBreak/>
        <w:t xml:space="preserve">Al respecto, es menester hacer referencia a lo establecido en los artículos 50, 53 fracciones II, IV y V, 58, 59 fracciones I y II, y 162 </w:t>
      </w:r>
      <w:r w:rsidRPr="00023AC6">
        <w:rPr>
          <w:rFonts w:ascii="Palatino Linotype" w:eastAsia="Arial Unicode MS" w:hAnsi="Palatino Linotype" w:cs="Arial"/>
          <w:szCs w:val="22"/>
          <w:lang w:eastAsia="en-US"/>
        </w:rPr>
        <w:t>de la Ley de Transparencia y Acceso a la Información del Estado de México y Municipios, que a la letra estipulan lo siguiente:</w:t>
      </w:r>
    </w:p>
    <w:p w:rsidR="00480B8C" w:rsidRPr="00023AC6" w:rsidRDefault="00480B8C" w:rsidP="00480B8C">
      <w:pPr>
        <w:spacing w:line="360" w:lineRule="auto"/>
        <w:jc w:val="both"/>
        <w:rPr>
          <w:rFonts w:ascii="Palatino Linotype" w:eastAsia="Arial Unicode MS" w:hAnsi="Palatino Linotype" w:cs="Arial"/>
          <w:sz w:val="22"/>
          <w:szCs w:val="22"/>
          <w:lang w:eastAsia="en-US"/>
        </w:rPr>
      </w:pP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i/>
          <w:iCs/>
          <w:sz w:val="22"/>
          <w:szCs w:val="22"/>
        </w:rPr>
        <w:t xml:space="preserve">Artículo 50. </w:t>
      </w:r>
      <w:r w:rsidRPr="00023AC6">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i/>
          <w:iCs/>
          <w:sz w:val="22"/>
          <w:szCs w:val="22"/>
        </w:rPr>
        <w:t xml:space="preserve">Artículo 53. </w:t>
      </w:r>
      <w:r w:rsidRPr="00023AC6">
        <w:rPr>
          <w:rFonts w:ascii="Palatino Linotype" w:eastAsia="Palatino Linotype" w:hAnsi="Palatino Linotype" w:cs="Palatino Linotype"/>
          <w:i/>
          <w:iCs/>
          <w:sz w:val="22"/>
          <w:szCs w:val="22"/>
        </w:rPr>
        <w:t>Las Unidades de Transparencia tendrán las siguientes funciones:</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i/>
          <w:iCs/>
          <w:sz w:val="22"/>
          <w:szCs w:val="22"/>
        </w:rPr>
        <w:t>(…)</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bCs/>
          <w:i/>
          <w:iCs/>
          <w:sz w:val="22"/>
          <w:szCs w:val="22"/>
        </w:rPr>
        <w:t>II.</w:t>
      </w:r>
      <w:r w:rsidRPr="00023AC6">
        <w:rPr>
          <w:rFonts w:ascii="Palatino Linotype" w:eastAsia="Palatino Linotype" w:hAnsi="Palatino Linotype" w:cs="Palatino Linotype"/>
          <w:i/>
          <w:iCs/>
          <w:sz w:val="22"/>
          <w:szCs w:val="22"/>
        </w:rPr>
        <w:t xml:space="preserve"> Recibir, tramitar y dar respuesta a las solicitudes de acceso a la información;</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i/>
          <w:iCs/>
          <w:sz w:val="22"/>
          <w:szCs w:val="22"/>
        </w:rPr>
        <w:t>(…)</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bCs/>
          <w:i/>
          <w:iCs/>
          <w:sz w:val="22"/>
          <w:szCs w:val="22"/>
        </w:rPr>
        <w:t>IV.</w:t>
      </w:r>
      <w:r w:rsidRPr="00023AC6">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bCs/>
          <w:i/>
          <w:iCs/>
          <w:sz w:val="22"/>
          <w:szCs w:val="22"/>
        </w:rPr>
        <w:t>V.</w:t>
      </w:r>
      <w:r w:rsidRPr="00023AC6">
        <w:rPr>
          <w:rFonts w:ascii="Palatino Linotype" w:eastAsia="Palatino Linotype" w:hAnsi="Palatino Linotype" w:cs="Palatino Linotype"/>
          <w:i/>
          <w:iCs/>
          <w:sz w:val="22"/>
          <w:szCs w:val="22"/>
        </w:rPr>
        <w:t xml:space="preserve"> Entregar, en su caso, a los particulares la información solicitada;</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i/>
          <w:iCs/>
          <w:sz w:val="22"/>
          <w:szCs w:val="22"/>
        </w:rPr>
        <w:t>(…)</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i/>
          <w:iCs/>
          <w:sz w:val="22"/>
          <w:szCs w:val="22"/>
        </w:rPr>
        <w:t xml:space="preserve">Artículo 58. </w:t>
      </w:r>
      <w:r w:rsidRPr="00023AC6">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i/>
          <w:iCs/>
          <w:sz w:val="22"/>
          <w:szCs w:val="22"/>
        </w:rPr>
        <w:t xml:space="preserve">Artículo 59. </w:t>
      </w:r>
      <w:r w:rsidRPr="00023AC6">
        <w:rPr>
          <w:rFonts w:ascii="Palatino Linotype" w:eastAsia="Palatino Linotype" w:hAnsi="Palatino Linotype" w:cs="Palatino Linotype"/>
          <w:i/>
          <w:iCs/>
          <w:sz w:val="22"/>
          <w:szCs w:val="22"/>
        </w:rPr>
        <w:t>Los servidores públicos habilitados tendrán las funciones siguientes:</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bCs/>
          <w:i/>
          <w:iCs/>
          <w:sz w:val="22"/>
          <w:szCs w:val="22"/>
        </w:rPr>
        <w:t>I.</w:t>
      </w:r>
      <w:r w:rsidRPr="00023AC6">
        <w:rPr>
          <w:rFonts w:ascii="Palatino Linotype" w:eastAsia="Palatino Linotype" w:hAnsi="Palatino Linotype" w:cs="Palatino Linotype"/>
          <w:i/>
          <w:iCs/>
          <w:sz w:val="22"/>
          <w:szCs w:val="22"/>
        </w:rPr>
        <w:t xml:space="preserve"> Localizar la información que le solicite la Unidad de Transparencia;</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bCs/>
          <w:i/>
          <w:iCs/>
          <w:sz w:val="22"/>
          <w:szCs w:val="22"/>
        </w:rPr>
        <w:t>II.</w:t>
      </w:r>
      <w:r w:rsidRPr="00023AC6">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i/>
          <w:iCs/>
          <w:sz w:val="22"/>
          <w:szCs w:val="22"/>
        </w:rPr>
        <w:t>(...)</w:t>
      </w: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p>
    <w:p w:rsidR="00480B8C" w:rsidRPr="00023AC6" w:rsidRDefault="00480B8C" w:rsidP="00480B8C">
      <w:pPr>
        <w:spacing w:line="360" w:lineRule="auto"/>
        <w:ind w:left="851" w:right="822"/>
        <w:jc w:val="both"/>
        <w:rPr>
          <w:rFonts w:ascii="Palatino Linotype" w:eastAsia="Palatino Linotype" w:hAnsi="Palatino Linotype" w:cs="Palatino Linotype"/>
          <w:i/>
          <w:iCs/>
          <w:sz w:val="22"/>
          <w:szCs w:val="22"/>
        </w:rPr>
      </w:pPr>
      <w:r w:rsidRPr="00023AC6">
        <w:rPr>
          <w:rFonts w:ascii="Palatino Linotype" w:eastAsia="Palatino Linotype" w:hAnsi="Palatino Linotype" w:cs="Palatino Linotype"/>
          <w:b/>
          <w:i/>
          <w:iCs/>
          <w:sz w:val="22"/>
          <w:szCs w:val="22"/>
        </w:rPr>
        <w:lastRenderedPageBreak/>
        <w:t xml:space="preserve">Artículo 162. </w:t>
      </w:r>
      <w:r w:rsidRPr="00023AC6">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480B8C" w:rsidRPr="00023AC6" w:rsidRDefault="00480B8C" w:rsidP="00480B8C">
      <w:pPr>
        <w:spacing w:line="360" w:lineRule="auto"/>
        <w:jc w:val="both"/>
        <w:rPr>
          <w:rFonts w:ascii="Palatino Linotype" w:eastAsia="Palatino Linotype" w:hAnsi="Palatino Linotype" w:cs="Palatino Linotype"/>
          <w:sz w:val="22"/>
          <w:szCs w:val="22"/>
        </w:rPr>
      </w:pPr>
    </w:p>
    <w:p w:rsidR="00480B8C" w:rsidRPr="00023AC6" w:rsidRDefault="00480B8C" w:rsidP="00480B8C">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023AC6">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023AC6">
        <w:rPr>
          <w:rFonts w:ascii="Palatino Linotype" w:eastAsia="Arial Unicode MS" w:hAnsi="Palatino Linotype" w:cs="Arial"/>
          <w:szCs w:val="22"/>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w:t>
      </w:r>
      <w:proofErr w:type="gramStart"/>
      <w:r w:rsidRPr="00023AC6">
        <w:rPr>
          <w:rFonts w:ascii="Palatino Linotype" w:eastAsia="Arial Unicode MS" w:hAnsi="Palatino Linotype" w:cs="Arial"/>
          <w:szCs w:val="22"/>
          <w:lang w:eastAsia="en-US"/>
        </w:rPr>
        <w:t>la</w:t>
      </w:r>
      <w:proofErr w:type="gramEnd"/>
      <w:r w:rsidRPr="00023AC6">
        <w:rPr>
          <w:rFonts w:ascii="Palatino Linotype" w:eastAsia="Arial Unicode MS" w:hAnsi="Palatino Linotype" w:cs="Arial"/>
          <w:szCs w:val="22"/>
          <w:lang w:eastAsia="en-US"/>
        </w:rPr>
        <w:t xml:space="preserve"> Unidades de Transparencia turnar a todas las áreas que se consideren competentes para que realicen una búsqueda exhaustiva y razonable de la información solicitada a fin de que ésta sea entregada a los solicitantes.</w:t>
      </w:r>
    </w:p>
    <w:p w:rsidR="00480B8C" w:rsidRPr="00023AC6" w:rsidRDefault="00480B8C" w:rsidP="00480B8C">
      <w:pPr>
        <w:pStyle w:val="Prrafodelista"/>
        <w:spacing w:line="360" w:lineRule="auto"/>
        <w:ind w:left="0"/>
        <w:jc w:val="both"/>
        <w:rPr>
          <w:rFonts w:ascii="Palatino Linotype" w:eastAsia="Arial Unicode MS" w:hAnsi="Palatino Linotype" w:cs="Arial"/>
          <w:szCs w:val="22"/>
          <w:lang w:eastAsia="en-US"/>
        </w:rPr>
      </w:pPr>
    </w:p>
    <w:p w:rsidR="00DB0924" w:rsidRPr="00023AC6" w:rsidRDefault="00480B8C" w:rsidP="00DB0924">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023AC6">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r w:rsidR="00DB0924" w:rsidRPr="00023AC6">
        <w:rPr>
          <w:rFonts w:ascii="Palatino Linotype" w:eastAsia="Arial Unicode MS" w:hAnsi="Palatino Linotype" w:cs="Arial"/>
          <w:szCs w:val="22"/>
          <w:lang w:eastAsia="en-US"/>
        </w:rPr>
        <w:t>.</w:t>
      </w:r>
    </w:p>
    <w:p w:rsidR="00DB0924" w:rsidRPr="00023AC6" w:rsidRDefault="00DB0924" w:rsidP="00DB0924">
      <w:pPr>
        <w:pStyle w:val="Prrafodelista"/>
        <w:spacing w:line="360" w:lineRule="auto"/>
        <w:ind w:left="0"/>
        <w:jc w:val="both"/>
        <w:rPr>
          <w:rFonts w:ascii="Palatino Linotype" w:eastAsia="Arial Unicode MS" w:hAnsi="Palatino Linotype" w:cs="Arial"/>
          <w:szCs w:val="22"/>
          <w:lang w:eastAsia="en-US"/>
        </w:rPr>
      </w:pPr>
    </w:p>
    <w:p w:rsidR="00480B8C" w:rsidRPr="00023AC6" w:rsidRDefault="00480B8C" w:rsidP="00480B8C">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023AC6">
        <w:rPr>
          <w:rFonts w:ascii="Palatino Linotype" w:eastAsia="Arial Unicode MS" w:hAnsi="Palatino Linotype" w:cs="Arial"/>
          <w:szCs w:val="22"/>
          <w:lang w:eastAsia="en-US"/>
        </w:rPr>
        <w:t xml:space="preserve">Ahora bien, en ese entendido debemos precisar que el informe justificado fue emitido por el </w:t>
      </w:r>
      <w:r w:rsidR="00DB0924" w:rsidRPr="00023AC6">
        <w:rPr>
          <w:rFonts w:ascii="Palatino Linotype" w:eastAsia="Arial Unicode MS" w:hAnsi="Palatino Linotype" w:cs="Arial"/>
          <w:szCs w:val="22"/>
          <w:lang w:eastAsia="en-US"/>
        </w:rPr>
        <w:t>Encargado del Despacho de la Subdirección de Recursos Materiales y Servicios</w:t>
      </w:r>
      <w:r w:rsidRPr="00023AC6">
        <w:rPr>
          <w:rFonts w:ascii="Palatino Linotype" w:eastAsia="Arial Unicode MS" w:hAnsi="Palatino Linotype" w:cs="Arial"/>
          <w:szCs w:val="22"/>
          <w:lang w:eastAsia="en-US"/>
        </w:rPr>
        <w:t xml:space="preserve">, quien de acuerdo al </w:t>
      </w:r>
      <w:r w:rsidR="00DB0924" w:rsidRPr="00023AC6">
        <w:rPr>
          <w:rFonts w:ascii="Palatino Linotype" w:eastAsia="Arial Unicode MS" w:hAnsi="Palatino Linotype" w:cs="Arial"/>
          <w:szCs w:val="22"/>
          <w:lang w:eastAsia="en-US"/>
        </w:rPr>
        <w:t>Manual General de Organización de Servicios Educativos Integrados al Estado de México,</w:t>
      </w:r>
      <w:r w:rsidRPr="00023AC6">
        <w:rPr>
          <w:rFonts w:ascii="Palatino Linotype" w:eastAsia="Arial Unicode MS" w:hAnsi="Palatino Linotype" w:cs="Arial"/>
          <w:szCs w:val="22"/>
          <w:lang w:eastAsia="en-US"/>
        </w:rPr>
        <w:t xml:space="preserve"> es </w:t>
      </w:r>
      <w:r w:rsidR="00DB0924" w:rsidRPr="00023AC6">
        <w:rPr>
          <w:rFonts w:ascii="Palatino Linotype" w:eastAsia="Arial Unicode MS" w:hAnsi="Palatino Linotype" w:cs="Arial"/>
          <w:szCs w:val="22"/>
          <w:lang w:eastAsia="en-US"/>
        </w:rPr>
        <w:t>el área encargada de</w:t>
      </w:r>
      <w:r w:rsidR="00DB0924" w:rsidRPr="00023AC6">
        <w:rPr>
          <w:rFonts w:ascii="Times New Roman" w:hAnsi="Times New Roman"/>
          <w:sz w:val="24"/>
        </w:rPr>
        <w:t xml:space="preserve"> </w:t>
      </w:r>
      <w:r w:rsidR="00DB0924" w:rsidRPr="00023AC6">
        <w:rPr>
          <w:rFonts w:ascii="Palatino Linotype" w:eastAsia="Arial Unicode MS" w:hAnsi="Palatino Linotype" w:cs="Arial"/>
          <w:szCs w:val="22"/>
          <w:lang w:eastAsia="en-US"/>
        </w:rPr>
        <w:t xml:space="preserve">supervisar, evaluar y controlar los procesos de adquisición, contratación y suministro de bienes y servicios; el almacenamiento e inventario de bienes, así </w:t>
      </w:r>
      <w:r w:rsidR="00DB0924" w:rsidRPr="00023AC6">
        <w:rPr>
          <w:rFonts w:ascii="Palatino Linotype" w:eastAsia="Arial Unicode MS" w:hAnsi="Palatino Linotype" w:cs="Arial"/>
          <w:szCs w:val="22"/>
          <w:lang w:eastAsia="en-US"/>
        </w:rPr>
        <w:lastRenderedPageBreak/>
        <w:t>como la administración de los servicios generales requeridos por las unidades administrativas, de conformidad con las disposiciones jurídicas aplicables ,</w:t>
      </w:r>
      <w:r w:rsidRPr="00023AC6">
        <w:rPr>
          <w:rFonts w:ascii="Palatino Linotype" w:eastAsia="Arial Unicode MS" w:hAnsi="Palatino Linotype" w:cs="Arial"/>
          <w:szCs w:val="22"/>
          <w:lang w:eastAsia="en-US"/>
        </w:rPr>
        <w:t xml:space="preserve"> por lo tanto, es el servidor público habilitado con facultades para generar, poseer o administrar la información solicitada. </w:t>
      </w:r>
    </w:p>
    <w:p w:rsidR="005806BA" w:rsidRPr="00023AC6" w:rsidRDefault="005806BA" w:rsidP="005806BA">
      <w:pPr>
        <w:pStyle w:val="Prrafodelista"/>
        <w:rPr>
          <w:rFonts w:ascii="Palatino Linotype" w:eastAsia="Arial Unicode MS" w:hAnsi="Palatino Linotype" w:cs="Arial"/>
          <w:szCs w:val="22"/>
          <w:lang w:eastAsia="en-US"/>
        </w:rPr>
      </w:pPr>
    </w:p>
    <w:p w:rsidR="005806BA" w:rsidRPr="00023AC6" w:rsidRDefault="005806BA" w:rsidP="005806BA">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023AC6">
        <w:rPr>
          <w:rFonts w:ascii="Palatino Linotype" w:eastAsia="Arial Unicode MS" w:hAnsi="Palatino Linotype" w:cs="Arial"/>
          <w:szCs w:val="22"/>
          <w:lang w:eastAsia="en-US"/>
        </w:rPr>
        <w:t xml:space="preserve">Ahora bien, recordemos que el Sujeto Obligado señaló en su informe que no se concretó la compra del libro referido por el Recurrente, por lo que </w:t>
      </w:r>
      <w:r w:rsidRPr="00023AC6">
        <w:rPr>
          <w:rFonts w:ascii="Palatino Linotype" w:eastAsia="Palatino Linotype" w:hAnsi="Palatino Linotype" w:cs="Palatino Linotype"/>
          <w:color w:val="000000"/>
          <w:sz w:val="24"/>
        </w:rPr>
        <w:t>en ese contexto, al indicar que no se cuenta con esta información, es necesario precisar que estamos en presencia de lo que se conoce como hecho negativo. Lo anterior encuentra sustento con la Jurisprudencia 267,287 y el Criterio 10/2004 emitidos por el Máximo Juzgador del país, Tesis que determinan lo siguiente:</w:t>
      </w:r>
    </w:p>
    <w:p w:rsidR="005806BA" w:rsidRPr="00023AC6" w:rsidRDefault="005806BA" w:rsidP="005806BA">
      <w:pPr>
        <w:pBdr>
          <w:top w:val="nil"/>
          <w:left w:val="nil"/>
          <w:bottom w:val="nil"/>
          <w:right w:val="nil"/>
          <w:between w:val="nil"/>
        </w:pBdr>
        <w:spacing w:line="276" w:lineRule="auto"/>
        <w:ind w:left="720"/>
        <w:rPr>
          <w:rFonts w:ascii="Palatino Linotype" w:eastAsia="Palatino Linotype" w:hAnsi="Palatino Linotype" w:cs="Palatino Linotype"/>
          <w:i/>
          <w:color w:val="000000"/>
        </w:rPr>
      </w:pPr>
    </w:p>
    <w:p w:rsidR="005806BA" w:rsidRPr="00023AC6" w:rsidRDefault="005806BA" w:rsidP="005806B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023AC6">
        <w:rPr>
          <w:rFonts w:ascii="Palatino Linotype" w:eastAsia="Palatino Linotype" w:hAnsi="Palatino Linotype" w:cs="Palatino Linotype"/>
          <w:i/>
          <w:color w:val="000000"/>
          <w:sz w:val="22"/>
        </w:rPr>
        <w:t>“</w:t>
      </w:r>
      <w:r w:rsidRPr="00023AC6">
        <w:rPr>
          <w:rFonts w:ascii="Palatino Linotype" w:eastAsia="Palatino Linotype" w:hAnsi="Palatino Linotype" w:cs="Palatino Linotype"/>
          <w:b/>
          <w:i/>
          <w:color w:val="000000"/>
          <w:sz w:val="22"/>
        </w:rPr>
        <w:t>HECHOS NEGATIVOS, NO SON SUSCEPTIBLES DE DEMOSTRACION.</w:t>
      </w:r>
      <w:r w:rsidRPr="00023AC6">
        <w:rPr>
          <w:rFonts w:ascii="Palatino Linotype" w:eastAsia="Palatino Linotype" w:hAnsi="Palatino Linotype" w:cs="Palatino Linotype"/>
          <w:i/>
          <w:color w:val="000000"/>
          <w:sz w:val="22"/>
        </w:rPr>
        <w:t xml:space="preserve"> </w:t>
      </w:r>
      <w:r w:rsidRPr="00023AC6">
        <w:rPr>
          <w:rFonts w:ascii="Palatino Linotype" w:eastAsia="Palatino Linotype" w:hAnsi="Palatino Linotype" w:cs="Palatino Linotype"/>
          <w:b/>
          <w:i/>
          <w:color w:val="000000"/>
          <w:sz w:val="22"/>
        </w:rPr>
        <w:t xml:space="preserve">Tratándose de un hecho negativo, el Juez no tiene </w:t>
      </w:r>
      <w:proofErr w:type="spellStart"/>
      <w:r w:rsidRPr="00023AC6">
        <w:rPr>
          <w:rFonts w:ascii="Palatino Linotype" w:eastAsia="Palatino Linotype" w:hAnsi="Palatino Linotype" w:cs="Palatino Linotype"/>
          <w:b/>
          <w:i/>
          <w:color w:val="000000"/>
          <w:sz w:val="22"/>
        </w:rPr>
        <w:t>por que</w:t>
      </w:r>
      <w:proofErr w:type="spellEnd"/>
      <w:r w:rsidRPr="00023AC6">
        <w:rPr>
          <w:rFonts w:ascii="Palatino Linotype" w:eastAsia="Palatino Linotype" w:hAnsi="Palatino Linotype" w:cs="Palatino Linotype"/>
          <w:b/>
          <w:i/>
          <w:color w:val="000000"/>
          <w:sz w:val="22"/>
        </w:rPr>
        <w:t xml:space="preserve"> invocar prueba alguna de la que se desprenda</w:t>
      </w:r>
      <w:r w:rsidRPr="00023AC6">
        <w:rPr>
          <w:rFonts w:ascii="Palatino Linotype" w:eastAsia="Palatino Linotype" w:hAnsi="Palatino Linotype" w:cs="Palatino Linotype"/>
          <w:i/>
          <w:color w:val="000000"/>
          <w:sz w:val="22"/>
        </w:rPr>
        <w:t>, ya que es bien sabido que esta clase de hechos no son susceptibles de demostración.”</w:t>
      </w:r>
    </w:p>
    <w:p w:rsidR="005806BA" w:rsidRPr="00023AC6" w:rsidRDefault="005806BA" w:rsidP="005806B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rsidR="005806BA" w:rsidRPr="00023AC6" w:rsidRDefault="005806BA" w:rsidP="005806B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023AC6">
        <w:rPr>
          <w:rFonts w:ascii="Palatino Linotype" w:eastAsia="Palatino Linotype" w:hAnsi="Palatino Linotype" w:cs="Palatino Linotype"/>
          <w:i/>
          <w:color w:val="000000"/>
          <w:sz w:val="22"/>
        </w:rPr>
        <w:t>“</w:t>
      </w:r>
      <w:r w:rsidRPr="00023AC6">
        <w:rPr>
          <w:rFonts w:ascii="Palatino Linotype" w:eastAsia="Palatino Linotype" w:hAnsi="Palatino Linotype" w:cs="Palatino Linotype"/>
          <w:b/>
          <w:i/>
          <w:color w:val="000000"/>
          <w:sz w:val="22"/>
        </w:rPr>
        <w:t>INEXISTENCIA DE LA INFORMACIÓN. EL COMITÉ DE ACCESO A LA INFORMACIÓN PUEDE DECLARARLA ANTE SU EVIDENCIA, SIN NECESIDAD DE DICTAR MEDIDAS PARA SU LOCALIZACIÓN.</w:t>
      </w:r>
      <w:r w:rsidRPr="00023AC6">
        <w:rPr>
          <w:rFonts w:ascii="Palatino Linotype" w:eastAsia="Palatino Linotype" w:hAnsi="Palatino Linotype" w:cs="Palatino Linotype"/>
          <w:i/>
          <w:color w:val="000000"/>
          <w:sz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023AC6">
        <w:rPr>
          <w:rFonts w:ascii="Palatino Linotype" w:eastAsia="Palatino Linotype" w:hAnsi="Palatino Linotype" w:cs="Palatino Linotype"/>
          <w:b/>
          <w:i/>
          <w:color w:val="000000"/>
          <w:sz w:val="22"/>
        </w:rPr>
        <w:t>ndo la referida Unidad señala, o</w:t>
      </w:r>
      <w:r w:rsidRPr="00023AC6">
        <w:rPr>
          <w:rFonts w:ascii="Palatino Linotype" w:eastAsia="Palatino Linotype" w:hAnsi="Palatino Linotype" w:cs="Palatino Linotype"/>
          <w:i/>
          <w:color w:val="000000"/>
          <w:sz w:val="22"/>
        </w:rPr>
        <w:t xml:space="preserve"> el mencionado Comité </w:t>
      </w:r>
      <w:r w:rsidRPr="00023AC6">
        <w:rPr>
          <w:rFonts w:ascii="Palatino Linotype" w:eastAsia="Palatino Linotype" w:hAnsi="Palatino Linotype" w:cs="Palatino Linotype"/>
          <w:b/>
          <w:i/>
          <w:color w:val="000000"/>
          <w:sz w:val="22"/>
        </w:rPr>
        <w:t xml:space="preserve">advierte que el documento solicitado no </w:t>
      </w:r>
      <w:r w:rsidRPr="00023AC6">
        <w:rPr>
          <w:rFonts w:ascii="Palatino Linotype" w:eastAsia="Palatino Linotype" w:hAnsi="Palatino Linotype" w:cs="Palatino Linotype"/>
          <w:b/>
          <w:i/>
          <w:color w:val="000000"/>
          <w:sz w:val="22"/>
        </w:rPr>
        <w:lastRenderedPageBreak/>
        <w:t>existe en virtud de que no tuvo lugar el acto cuya realización supuestamente se reflejó en aquél, resulta innecesario dictar alguna medida para localizar la información respectiva, al evidenciarse su inexistencia.</w:t>
      </w:r>
      <w:r w:rsidRPr="00023AC6">
        <w:rPr>
          <w:rFonts w:ascii="Palatino Linotype" w:eastAsia="Palatino Linotype" w:hAnsi="Palatino Linotype" w:cs="Palatino Linotype"/>
          <w:i/>
          <w:color w:val="000000"/>
          <w:sz w:val="22"/>
        </w:rPr>
        <w:t>”</w:t>
      </w:r>
    </w:p>
    <w:p w:rsidR="005806BA" w:rsidRPr="00023AC6" w:rsidRDefault="005806BA" w:rsidP="005806B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sidRPr="00023AC6">
        <w:rPr>
          <w:rFonts w:ascii="Palatino Linotype" w:eastAsia="Palatino Linotype" w:hAnsi="Palatino Linotype" w:cs="Palatino Linotype"/>
          <w:color w:val="000000"/>
          <w:sz w:val="22"/>
        </w:rPr>
        <w:t>(Énfasis añadido)</w:t>
      </w:r>
    </w:p>
    <w:p w:rsidR="005806BA" w:rsidRPr="00023AC6" w:rsidRDefault="005806BA" w:rsidP="005806BA">
      <w:pPr>
        <w:pBdr>
          <w:top w:val="nil"/>
          <w:left w:val="nil"/>
          <w:bottom w:val="nil"/>
          <w:right w:val="nil"/>
          <w:between w:val="nil"/>
        </w:pBdr>
        <w:tabs>
          <w:tab w:val="left" w:pos="426"/>
        </w:tabs>
        <w:spacing w:line="360" w:lineRule="auto"/>
        <w:ind w:left="567" w:right="567"/>
        <w:jc w:val="both"/>
        <w:rPr>
          <w:rFonts w:ascii="Palatino Linotype" w:eastAsia="Palatino Linotype" w:hAnsi="Palatino Linotype" w:cs="Palatino Linotype"/>
          <w:color w:val="000000"/>
        </w:rPr>
      </w:pPr>
    </w:p>
    <w:p w:rsidR="005806BA" w:rsidRPr="00023AC6" w:rsidRDefault="005806BA" w:rsidP="005806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rPr>
      </w:pPr>
      <w:r w:rsidRPr="00023AC6">
        <w:rPr>
          <w:rFonts w:ascii="Palatino Linotype" w:eastAsia="Palatino Linotype" w:hAnsi="Palatino Linotype" w:cs="Palatino Linotype"/>
          <w:color w:val="000000"/>
          <w:sz w:val="22"/>
        </w:rPr>
        <w:t>En ese sentido, no es procedente ordenar un acuerdo de inexistencia, ya que como lo señaló el Sujeto Obligado, no se cuenta con la información requerida por el particular, y no se trata de información que haya existido y por alguna razón ya no exista, o bien, de información que de manera obligatoria deba generar el Sujeto Obligado, por ello, no es procedente ordenar su entrega.</w:t>
      </w:r>
    </w:p>
    <w:p w:rsidR="00480B8C" w:rsidRPr="00023AC6" w:rsidRDefault="00480B8C" w:rsidP="00480B8C">
      <w:pPr>
        <w:pStyle w:val="Prrafodelista"/>
        <w:rPr>
          <w:rFonts w:ascii="Palatino Linotype" w:eastAsia="Arial Unicode MS" w:hAnsi="Palatino Linotype" w:cs="Arial"/>
          <w:szCs w:val="22"/>
          <w:lang w:eastAsia="en-US"/>
        </w:rPr>
      </w:pPr>
    </w:p>
    <w:p w:rsidR="00480B8C" w:rsidRPr="00023AC6" w:rsidRDefault="00480B8C" w:rsidP="00480B8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Así, </w:t>
      </w:r>
      <w:r w:rsidRPr="00023AC6">
        <w:rPr>
          <w:rFonts w:ascii="Palatino Linotype" w:eastAsia="Calibri" w:hAnsi="Palatino Linotype"/>
          <w:szCs w:val="22"/>
        </w:rPr>
        <w:t xml:space="preserve">este Pleno advierte que el </w:t>
      </w:r>
      <w:r w:rsidRPr="00023AC6">
        <w:rPr>
          <w:rFonts w:ascii="Palatino Linotype" w:eastAsia="Calibri" w:hAnsi="Palatino Linotype"/>
          <w:b/>
          <w:szCs w:val="22"/>
        </w:rPr>
        <w:t>SUJETO OBLIGADO</w:t>
      </w:r>
      <w:r w:rsidRPr="00023AC6">
        <w:rPr>
          <w:rFonts w:ascii="Palatino Linotype" w:eastAsia="Calibri" w:hAnsi="Palatino Linotype"/>
          <w:szCs w:val="22"/>
        </w:rPr>
        <w:t xml:space="preserve"> </w:t>
      </w:r>
      <w:r w:rsidRPr="00023AC6">
        <w:rPr>
          <w:rFonts w:ascii="Palatino Linotype" w:eastAsia="Calibri" w:hAnsi="Palatino Linotype"/>
          <w:b/>
          <w:szCs w:val="22"/>
        </w:rPr>
        <w:t xml:space="preserve">modificó </w:t>
      </w:r>
      <w:r w:rsidRPr="00023AC6">
        <w:rPr>
          <w:rFonts w:ascii="Palatino Linotype" w:eastAsia="Calibri" w:hAnsi="Palatino Linotype"/>
          <w:szCs w:val="22"/>
        </w:rPr>
        <w:t>el acto que le dio origen a los recursos de revisión y que aunado a ello, la información fue remitida por el servidor público habilitado, lo que trae como consecuencia que el mismo quede sin materia, actualizándose de este modo, la hipótesis jurídica contenida en la fracción III del artículo 192 de la Ley de Transparencia Local.</w:t>
      </w:r>
    </w:p>
    <w:p w:rsidR="00480B8C" w:rsidRPr="00023AC6" w:rsidRDefault="00480B8C" w:rsidP="00480B8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480B8C" w:rsidRPr="00023AC6" w:rsidRDefault="00480B8C" w:rsidP="00480B8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Ahora bien, </w:t>
      </w:r>
      <w:r w:rsidRPr="00023AC6">
        <w:rPr>
          <w:rFonts w:ascii="Palatino Linotype" w:eastAsia="Calibri" w:hAnsi="Palatino Linotype"/>
          <w:szCs w:val="22"/>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023AC6">
        <w:rPr>
          <w:rFonts w:ascii="Palatino Linotype" w:eastAsia="Calibri" w:hAnsi="Palatino Linotype"/>
          <w:b/>
          <w:szCs w:val="22"/>
        </w:rPr>
        <w:t>SUJETOS OBLIGADOS</w:t>
      </w:r>
      <w:r w:rsidRPr="00023AC6">
        <w:rPr>
          <w:rFonts w:ascii="Palatino Linotype" w:eastAsia="Calibri" w:hAnsi="Palatino Linotype"/>
          <w:szCs w:val="22"/>
        </w:rPr>
        <w:t xml:space="preserve"> o la negativa de entrega de esta, derivada de la solicitud de información pública.</w:t>
      </w:r>
    </w:p>
    <w:p w:rsidR="00480B8C" w:rsidRPr="00023AC6" w:rsidRDefault="00480B8C" w:rsidP="00480B8C">
      <w:pPr>
        <w:rPr>
          <w:rFonts w:ascii="Palatino Linotype" w:eastAsia="Calibri" w:hAnsi="Palatino Linotype" w:cs="Arial"/>
          <w:color w:val="000000" w:themeColor="text1"/>
          <w:sz w:val="22"/>
          <w:szCs w:val="22"/>
          <w:lang w:val="es-ES"/>
        </w:rPr>
      </w:pPr>
    </w:p>
    <w:p w:rsidR="00480B8C" w:rsidRPr="00023AC6" w:rsidRDefault="00480B8C" w:rsidP="00480B8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De </w:t>
      </w:r>
      <w:r w:rsidRPr="00023AC6">
        <w:rPr>
          <w:rFonts w:ascii="Palatino Linotype" w:eastAsia="Calibri" w:hAnsi="Palatino Linotype"/>
          <w:szCs w:val="22"/>
        </w:rPr>
        <w:t xml:space="preserve">este modo, cuando el </w:t>
      </w:r>
      <w:r w:rsidRPr="00023AC6">
        <w:rPr>
          <w:rFonts w:ascii="Palatino Linotype" w:eastAsia="Calibri" w:hAnsi="Palatino Linotype"/>
          <w:b/>
          <w:szCs w:val="22"/>
        </w:rPr>
        <w:t xml:space="preserve">SUJETO OBLIGADO, </w:t>
      </w:r>
      <w:r w:rsidRPr="00023AC6">
        <w:rPr>
          <w:rFonts w:ascii="Palatino Linotype" w:eastAsia="Calibri" w:hAnsi="Palatino Linotype"/>
          <w:szCs w:val="22"/>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proofErr w:type="spellStart"/>
      <w:r w:rsidRPr="00023AC6">
        <w:rPr>
          <w:rFonts w:ascii="Palatino Linotype" w:eastAsia="Calibri" w:hAnsi="Palatino Linotype"/>
          <w:i/>
          <w:szCs w:val="22"/>
        </w:rPr>
        <w:t>litis</w:t>
      </w:r>
      <w:proofErr w:type="spellEnd"/>
      <w:r w:rsidRPr="00023AC6">
        <w:rPr>
          <w:rFonts w:ascii="Palatino Linotype" w:eastAsia="Calibri" w:hAnsi="Palatino Linotype"/>
          <w:szCs w:val="22"/>
        </w:rPr>
        <w:t xml:space="preserve"> </w:t>
      </w:r>
      <w:r w:rsidRPr="00023AC6">
        <w:rPr>
          <w:rFonts w:ascii="Palatino Linotype" w:eastAsia="Calibri" w:hAnsi="Palatino Linotype"/>
          <w:szCs w:val="22"/>
        </w:rPr>
        <w:lastRenderedPageBreak/>
        <w:t>planteada, debido a que la afectación en su esfera de derechos fue restituida por la propia autoridad que emitió el acto motivo de impugnación.</w:t>
      </w:r>
    </w:p>
    <w:p w:rsidR="00480B8C" w:rsidRPr="00023AC6" w:rsidRDefault="00480B8C" w:rsidP="00480B8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480B8C" w:rsidRPr="00023AC6" w:rsidRDefault="00480B8C" w:rsidP="00480B8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Sirve </w:t>
      </w:r>
      <w:r w:rsidRPr="00023AC6">
        <w:rPr>
          <w:rFonts w:ascii="Palatino Linotype" w:eastAsia="Calibri" w:hAnsi="Palatino Linotype"/>
          <w:szCs w:val="22"/>
        </w:rPr>
        <w:t>de sustento a lo anterior la siguiente jurisprudencia por contradicción, cuyo rubro, texto y datos de identificación son los siguientes:</w:t>
      </w:r>
    </w:p>
    <w:p w:rsidR="00480B8C" w:rsidRPr="00023AC6" w:rsidRDefault="00480B8C" w:rsidP="00480B8C">
      <w:pPr>
        <w:rPr>
          <w:rFonts w:ascii="Palatino Linotype" w:eastAsia="Calibri" w:hAnsi="Palatino Linotype" w:cs="Arial"/>
          <w:color w:val="000000" w:themeColor="text1"/>
          <w:sz w:val="22"/>
          <w:szCs w:val="22"/>
          <w:lang w:val="es-ES"/>
        </w:rPr>
      </w:pPr>
    </w:p>
    <w:p w:rsidR="00480B8C" w:rsidRPr="00023AC6" w:rsidRDefault="00480B8C" w:rsidP="00480B8C">
      <w:pPr>
        <w:pStyle w:val="Prrafodelista"/>
        <w:tabs>
          <w:tab w:val="left" w:pos="709"/>
          <w:tab w:val="left" w:pos="851"/>
        </w:tabs>
        <w:spacing w:line="360" w:lineRule="auto"/>
        <w:ind w:left="851" w:right="822"/>
        <w:jc w:val="both"/>
        <w:rPr>
          <w:rFonts w:ascii="Palatino Linotype" w:eastAsia="Calibri" w:hAnsi="Palatino Linotype" w:cs="Arial"/>
          <w:color w:val="000000" w:themeColor="text1"/>
          <w:szCs w:val="22"/>
          <w:lang w:val="es-ES"/>
        </w:rPr>
      </w:pPr>
      <w:r w:rsidRPr="00023AC6">
        <w:rPr>
          <w:rFonts w:ascii="Palatino Linotype" w:eastAsia="Calibri" w:hAnsi="Palatino Linotype"/>
          <w:b/>
          <w:i/>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023AC6">
        <w:rPr>
          <w:rFonts w:ascii="Palatino Linotype" w:eastAsia="Calibri" w:hAnsi="Palatino Linotype"/>
          <w:i/>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w:t>
      </w:r>
      <w:r w:rsidRPr="00023AC6">
        <w:rPr>
          <w:rFonts w:ascii="Palatino Linotype" w:eastAsia="Calibri" w:hAnsi="Palatino Linotype"/>
          <w:i/>
          <w:szCs w:val="22"/>
        </w:rPr>
        <w:lastRenderedPageBreak/>
        <w:t>de amparo o el medio ordinario de defensa que proceda, toda vez que se trata de un nuevo acto.</w:t>
      </w:r>
    </w:p>
    <w:p w:rsidR="00480B8C" w:rsidRPr="00023AC6" w:rsidRDefault="00480B8C" w:rsidP="00480B8C">
      <w:pPr>
        <w:rPr>
          <w:rFonts w:ascii="Palatino Linotype" w:eastAsia="Calibri" w:hAnsi="Palatino Linotype" w:cs="Arial"/>
          <w:color w:val="000000" w:themeColor="text1"/>
          <w:sz w:val="22"/>
          <w:szCs w:val="22"/>
          <w:lang w:val="es-ES"/>
        </w:rPr>
      </w:pPr>
    </w:p>
    <w:p w:rsidR="00480B8C" w:rsidRPr="00023AC6" w:rsidRDefault="00480B8C" w:rsidP="00480B8C">
      <w:pPr>
        <w:pStyle w:val="Prrafodelista"/>
        <w:numPr>
          <w:ilvl w:val="0"/>
          <w:numId w:val="1"/>
        </w:numPr>
        <w:tabs>
          <w:tab w:val="left" w:pos="284"/>
          <w:tab w:val="left" w:pos="567"/>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La </w:t>
      </w:r>
      <w:r w:rsidRPr="00023AC6">
        <w:rPr>
          <w:rFonts w:ascii="Palatino Linotype" w:eastAsia="Calibri" w:hAnsi="Palatino Linotype"/>
          <w:szCs w:val="22"/>
        </w:rPr>
        <w:t xml:space="preserve">anterior jurisprudencia resulta aplicable al presente asunto, en dos aspectos: </w:t>
      </w:r>
    </w:p>
    <w:p w:rsidR="00480B8C" w:rsidRPr="00023AC6" w:rsidRDefault="00480B8C" w:rsidP="00480B8C">
      <w:pPr>
        <w:pStyle w:val="Prrafodelista"/>
        <w:tabs>
          <w:tab w:val="left" w:pos="426"/>
          <w:tab w:val="left" w:pos="567"/>
        </w:tabs>
        <w:spacing w:line="360" w:lineRule="auto"/>
        <w:ind w:left="0"/>
        <w:jc w:val="both"/>
        <w:rPr>
          <w:rFonts w:ascii="Palatino Linotype" w:eastAsia="Calibri" w:hAnsi="Palatino Linotype"/>
          <w:szCs w:val="22"/>
        </w:rPr>
      </w:pPr>
    </w:p>
    <w:p w:rsidR="00480B8C" w:rsidRPr="00023AC6" w:rsidRDefault="00480B8C" w:rsidP="00480B8C">
      <w:pPr>
        <w:numPr>
          <w:ilvl w:val="0"/>
          <w:numId w:val="3"/>
        </w:numPr>
        <w:spacing w:line="360" w:lineRule="auto"/>
        <w:ind w:left="567" w:right="616" w:firstLine="0"/>
        <w:contextualSpacing/>
        <w:jc w:val="both"/>
        <w:rPr>
          <w:rFonts w:ascii="Palatino Linotype" w:eastAsia="Calibri" w:hAnsi="Palatino Linotype"/>
          <w:sz w:val="22"/>
          <w:szCs w:val="22"/>
        </w:rPr>
      </w:pPr>
      <w:r w:rsidRPr="00023AC6">
        <w:rPr>
          <w:rFonts w:ascii="Palatino Linotype" w:eastAsia="Calibri" w:hAnsi="Palatino Linotype"/>
          <w:b/>
          <w:sz w:val="22"/>
          <w:szCs w:val="22"/>
        </w:rPr>
        <w:t>La cesación de los efectos perniciosos del acto de autoridad:</w:t>
      </w:r>
      <w:r w:rsidRPr="00023AC6">
        <w:rPr>
          <w:rFonts w:ascii="Palatino Linotype" w:eastAsia="Calibri" w:hAnsi="Palatino Linotype"/>
          <w:sz w:val="22"/>
          <w:szCs w:val="22"/>
        </w:rPr>
        <w:t xml:space="preserve"> Al respecto, la Ley de Transparencia contempla la figura jurídica del sobreseimiento cuando el </w:t>
      </w:r>
      <w:r w:rsidRPr="00023AC6">
        <w:rPr>
          <w:rFonts w:ascii="Palatino Linotype" w:eastAsia="Calibri" w:hAnsi="Palatino Linotype"/>
          <w:b/>
          <w:sz w:val="22"/>
          <w:szCs w:val="22"/>
        </w:rPr>
        <w:t>SUJETO OBLIGADO</w:t>
      </w:r>
      <w:r w:rsidRPr="00023AC6">
        <w:rPr>
          <w:rFonts w:ascii="Palatino Linotype" w:eastAsia="Calibri" w:hAnsi="Palatino Linotype"/>
          <w:sz w:val="22"/>
          <w:szCs w:val="22"/>
        </w:rPr>
        <w:t xml:space="preserve"> de </w:t>
      </w:r>
      <w:r w:rsidRPr="00023AC6">
        <w:rPr>
          <w:rFonts w:ascii="Palatino Linotype" w:eastAsia="Calibri" w:hAnsi="Palatino Linotype"/>
          <w:i/>
          <w:sz w:val="22"/>
          <w:szCs w:val="22"/>
        </w:rPr>
        <w:t>motu proprio</w:t>
      </w:r>
      <w:r w:rsidRPr="00023AC6">
        <w:rPr>
          <w:rFonts w:ascii="Palatino Linotype" w:eastAsia="Calibri" w:hAnsi="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480B8C" w:rsidRPr="00023AC6" w:rsidRDefault="00480B8C" w:rsidP="00480B8C">
      <w:pPr>
        <w:spacing w:line="360" w:lineRule="auto"/>
        <w:ind w:left="567" w:right="616"/>
        <w:contextualSpacing/>
        <w:rPr>
          <w:rFonts w:ascii="Palatino Linotype" w:eastAsia="Calibri" w:hAnsi="Palatino Linotype"/>
          <w:sz w:val="22"/>
          <w:szCs w:val="22"/>
        </w:rPr>
      </w:pPr>
    </w:p>
    <w:p w:rsidR="00480B8C" w:rsidRPr="00023AC6" w:rsidRDefault="00480B8C" w:rsidP="00480B8C">
      <w:pPr>
        <w:numPr>
          <w:ilvl w:val="0"/>
          <w:numId w:val="3"/>
        </w:numPr>
        <w:spacing w:line="360" w:lineRule="auto"/>
        <w:ind w:left="567" w:right="616" w:firstLine="0"/>
        <w:contextualSpacing/>
        <w:jc w:val="both"/>
        <w:rPr>
          <w:rFonts w:ascii="Palatino Linotype" w:eastAsia="Calibri" w:hAnsi="Palatino Linotype"/>
          <w:sz w:val="22"/>
          <w:szCs w:val="22"/>
        </w:rPr>
      </w:pPr>
      <w:r w:rsidRPr="00023AC6">
        <w:rPr>
          <w:rFonts w:ascii="Palatino Linotype" w:eastAsia="Calibri" w:hAnsi="Palatino Linotype"/>
          <w:b/>
          <w:sz w:val="22"/>
          <w:szCs w:val="22"/>
        </w:rPr>
        <w:t>El momento procesal para modificar el acto impugnado:</w:t>
      </w:r>
      <w:r w:rsidRPr="00023AC6">
        <w:rPr>
          <w:rFonts w:ascii="Palatino Linotype" w:eastAsia="Calibri" w:hAnsi="Palatino Linotype"/>
          <w:sz w:val="22"/>
          <w:szCs w:val="22"/>
        </w:rPr>
        <w:t xml:space="preserve"> Para que se actualice el sobreseimiento de un recurso de revisión, el </w:t>
      </w:r>
      <w:r w:rsidRPr="00023AC6">
        <w:rPr>
          <w:rFonts w:ascii="Palatino Linotype" w:eastAsia="Calibri" w:hAnsi="Palatino Linotype"/>
          <w:b/>
          <w:sz w:val="22"/>
          <w:szCs w:val="22"/>
        </w:rPr>
        <w:t>SUJETO OBLIGADO</w:t>
      </w:r>
      <w:r w:rsidRPr="00023AC6">
        <w:rPr>
          <w:rFonts w:ascii="Palatino Linotype" w:eastAsia="Calibri" w:hAnsi="Palatino Linotype"/>
          <w:sz w:val="22"/>
          <w:szCs w:val="22"/>
        </w:rPr>
        <w:t xml:space="preserve"> puede entregar o completar la información al momento de rendir su informe de justificación o </w:t>
      </w:r>
      <w:r w:rsidRPr="00023AC6">
        <w:rPr>
          <w:rFonts w:ascii="Palatino Linotype" w:eastAsia="Calibri" w:hAnsi="Palatino Linotype"/>
          <w:b/>
          <w:sz w:val="22"/>
          <w:szCs w:val="22"/>
          <w:u w:val="single"/>
        </w:rPr>
        <w:t>posteriormente</w:t>
      </w:r>
      <w:r w:rsidRPr="00023AC6">
        <w:rPr>
          <w:rFonts w:ascii="Palatino Linotype" w:eastAsia="Calibri" w:hAnsi="Palatino Linotype"/>
          <w:sz w:val="22"/>
          <w:szCs w:val="22"/>
        </w:rPr>
        <w:t xml:space="preserve"> a éste, siempre y cuando el Pleno del Instituto no haya dictado resolución definitiva.</w:t>
      </w:r>
    </w:p>
    <w:p w:rsidR="00480B8C" w:rsidRPr="00023AC6" w:rsidRDefault="00480B8C" w:rsidP="00480B8C">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480B8C" w:rsidRPr="00023AC6" w:rsidRDefault="00480B8C" w:rsidP="00480B8C">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Eduardo Pallares, </w:t>
      </w:r>
      <w:r w:rsidRPr="00023AC6">
        <w:rPr>
          <w:rFonts w:ascii="Palatino Linotype" w:eastAsia="Calibri" w:hAnsi="Palatino Linotype"/>
          <w:szCs w:val="22"/>
        </w:rPr>
        <w:t xml:space="preserve">en su artículo </w:t>
      </w:r>
      <w:r w:rsidRPr="00023AC6">
        <w:rPr>
          <w:rFonts w:ascii="Palatino Linotype" w:eastAsia="Calibri" w:hAnsi="Palatino Linotype"/>
          <w:i/>
          <w:szCs w:val="22"/>
        </w:rPr>
        <w:t>“La caducidad y el sobreseimiento en el amparo”</w:t>
      </w:r>
      <w:r w:rsidRPr="00023AC6">
        <w:rPr>
          <w:rFonts w:ascii="Palatino Linotype" w:eastAsia="Calibri" w:hAnsi="Palatino Linotype"/>
          <w:szCs w:val="22"/>
        </w:rPr>
        <w:t xml:space="preserve">, cita la definición de Aguilera Paz, aduciendo que se </w:t>
      </w:r>
      <w:r w:rsidRPr="00023AC6">
        <w:rPr>
          <w:rFonts w:ascii="Palatino Linotype" w:eastAsia="Calibri" w:hAnsi="Palatino Linotype"/>
          <w:i/>
          <w:szCs w:val="22"/>
        </w:rPr>
        <w:t>“...entiende por sobreseimiento en el tecnicismo forense, el hecho de cesar en el procedimiento o curso de la causa, por no existir méritos bastantes para entrar en un juicio o para entablar la contienda judicial que debe ser objeto del mismo...”</w:t>
      </w:r>
      <w:r w:rsidRPr="00023AC6">
        <w:rPr>
          <w:rFonts w:ascii="Palatino Linotype" w:eastAsia="Calibri" w:hAnsi="Palatino Linotype"/>
          <w:szCs w:val="22"/>
        </w:rPr>
        <w:t>. Asimismo, señala que existe el sobreseimiento provisional y el definitivo</w:t>
      </w:r>
      <w:r w:rsidRPr="00023AC6">
        <w:rPr>
          <w:rFonts w:ascii="Palatino Linotype" w:eastAsia="Calibri" w:hAnsi="Palatino Linotype"/>
          <w:i/>
          <w:szCs w:val="22"/>
        </w:rPr>
        <w:t>: “...el definitivo es una verdadera sentencia que pone fin al juicio, y que una vez dictada, produce cosa juzgada, mientras que el provisorio tiene por efectos suspender la prosecución de la causa...”</w:t>
      </w:r>
    </w:p>
    <w:p w:rsidR="00480B8C" w:rsidRPr="00023AC6" w:rsidRDefault="00480B8C" w:rsidP="00480B8C">
      <w:pPr>
        <w:pStyle w:val="Prrafodelista"/>
        <w:tabs>
          <w:tab w:val="left" w:pos="284"/>
        </w:tabs>
        <w:spacing w:line="360" w:lineRule="auto"/>
        <w:ind w:left="0"/>
        <w:jc w:val="both"/>
        <w:rPr>
          <w:rFonts w:ascii="Palatino Linotype" w:eastAsia="Calibri" w:hAnsi="Palatino Linotype" w:cs="Arial"/>
          <w:color w:val="000000" w:themeColor="text1"/>
          <w:szCs w:val="22"/>
          <w:lang w:val="es-ES"/>
        </w:rPr>
      </w:pPr>
    </w:p>
    <w:p w:rsidR="00480B8C" w:rsidRPr="00023AC6" w:rsidRDefault="00480B8C" w:rsidP="00480B8C">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lastRenderedPageBreak/>
        <w:t xml:space="preserve">Así, </w:t>
      </w:r>
      <w:r w:rsidRPr="00023AC6">
        <w:rPr>
          <w:rFonts w:ascii="Palatino Linotype" w:eastAsia="Calibri" w:hAnsi="Palatino Linotype"/>
          <w:szCs w:val="22"/>
        </w:rPr>
        <w:t xml:space="preserve">para la doctrina el sobreseimiento provoca que un procedimiento se suspenda o se resuelva en definitiva </w:t>
      </w:r>
      <w:r w:rsidRPr="00023AC6">
        <w:rPr>
          <w:rFonts w:ascii="Palatino Linotype" w:eastAsia="Calibri" w:hAnsi="Palatino Linotype"/>
          <w:b/>
          <w:szCs w:val="22"/>
          <w:u w:val="single"/>
        </w:rPr>
        <w:t xml:space="preserve">sin que se entre al estudio de los agravios o motivos de inconformidad. </w:t>
      </w:r>
      <w:r w:rsidRPr="00023AC6">
        <w:rPr>
          <w:rFonts w:ascii="Palatino Linotype" w:eastAsia="Calibri" w:hAnsi="Palatino Linotype"/>
          <w:szCs w:val="22"/>
        </w:rPr>
        <w:t>Este mismo criterio es compartido por el más alto tribunal del país en múltiples jurisprudencias, por lo que a continuación se agrega una de ellas que sirve como orientador en esta resolución:</w:t>
      </w:r>
    </w:p>
    <w:p w:rsidR="00480B8C" w:rsidRPr="00023AC6" w:rsidRDefault="00480B8C" w:rsidP="00480B8C">
      <w:pPr>
        <w:rPr>
          <w:rFonts w:ascii="Palatino Linotype" w:eastAsia="Calibri" w:hAnsi="Palatino Linotype" w:cs="Arial"/>
          <w:color w:val="000000" w:themeColor="text1"/>
          <w:sz w:val="22"/>
          <w:szCs w:val="22"/>
          <w:lang w:val="es-ES"/>
        </w:rPr>
      </w:pPr>
    </w:p>
    <w:p w:rsidR="00480B8C" w:rsidRPr="00023AC6" w:rsidRDefault="00480B8C" w:rsidP="00480B8C">
      <w:pPr>
        <w:spacing w:line="360" w:lineRule="auto"/>
        <w:ind w:left="851" w:right="822"/>
        <w:contextualSpacing/>
        <w:jc w:val="both"/>
        <w:rPr>
          <w:rFonts w:ascii="Palatino Linotype" w:eastAsia="Calibri" w:hAnsi="Palatino Linotype"/>
          <w:i/>
          <w:sz w:val="22"/>
          <w:szCs w:val="22"/>
          <w:lang w:val="es-AR"/>
        </w:rPr>
      </w:pPr>
      <w:r w:rsidRPr="00023AC6">
        <w:rPr>
          <w:rFonts w:ascii="Palatino Linotype" w:eastAsia="Calibri" w:hAnsi="Palatino Linotype"/>
          <w:b/>
          <w:i/>
          <w:sz w:val="22"/>
          <w:szCs w:val="22"/>
          <w:lang w:val="es-AR"/>
        </w:rPr>
        <w:t>SOBRESEIMIENTO EN EL JUICIO DE AMPARO DIRECTO. IMPIDE EL ESTUDIO DE LAS VIOLACIONES PROCESALES PLANTEADAS EN LOS CONCEPTOS DE VIOLACIÓN. El sobreseimiento</w:t>
      </w:r>
      <w:r w:rsidRPr="00023AC6">
        <w:rPr>
          <w:rFonts w:ascii="Palatino Linotype" w:eastAsia="Calibri" w:hAnsi="Palatino Linotype"/>
          <w:i/>
          <w:sz w:val="22"/>
          <w:szCs w:val="22"/>
          <w:lang w:val="es-AR"/>
        </w:rPr>
        <w:t xml:space="preserve"> en el juicio de amparo directo </w:t>
      </w:r>
      <w:r w:rsidRPr="00023AC6">
        <w:rPr>
          <w:rFonts w:ascii="Palatino Linotype" w:eastAsia="Calibri" w:hAnsi="Palatino Linotype"/>
          <w:b/>
          <w:i/>
          <w:sz w:val="22"/>
          <w:szCs w:val="22"/>
          <w:lang w:val="es-AR"/>
        </w:rPr>
        <w:t>provoca la terminación de la controversia planteada</w:t>
      </w:r>
      <w:r w:rsidRPr="00023AC6">
        <w:rPr>
          <w:rFonts w:ascii="Palatino Linotype" w:eastAsia="Calibri" w:hAnsi="Palatino Linotype"/>
          <w:i/>
          <w:sz w:val="22"/>
          <w:szCs w:val="22"/>
          <w:lang w:val="es-AR"/>
        </w:rPr>
        <w:t xml:space="preserve"> por el quejoso en la demanda de amparo</w:t>
      </w:r>
      <w:r w:rsidRPr="00023AC6">
        <w:rPr>
          <w:rFonts w:ascii="Palatino Linotype" w:eastAsia="Calibri" w:hAnsi="Palatino Linotype"/>
          <w:b/>
          <w:i/>
          <w:sz w:val="22"/>
          <w:szCs w:val="22"/>
          <w:lang w:val="es-AR"/>
        </w:rPr>
        <w:t>, sin hacer un pronunciamiento de fondo sobre la legalidad o ilegalidad de la sentencia reclamada</w:t>
      </w:r>
      <w:r w:rsidRPr="00023AC6">
        <w:rPr>
          <w:rFonts w:ascii="Palatino Linotype" w:eastAsia="Calibri" w:hAnsi="Palatino Linotype"/>
          <w:i/>
          <w:sz w:val="22"/>
          <w:szCs w:val="22"/>
          <w:lang w:val="es-AR"/>
        </w:rPr>
        <w:t xml:space="preserve">. </w:t>
      </w:r>
      <w:r w:rsidRPr="00023AC6">
        <w:rPr>
          <w:rFonts w:ascii="Palatino Linotype" w:eastAsia="Calibri" w:hAnsi="Palatino Linotype"/>
          <w:b/>
          <w:i/>
          <w:sz w:val="22"/>
          <w:szCs w:val="22"/>
          <w:lang w:val="es-AR"/>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023AC6">
        <w:rPr>
          <w:rFonts w:ascii="Palatino Linotype" w:eastAsia="Calibri" w:hAnsi="Palatino Linotype"/>
          <w:i/>
          <w:sz w:val="22"/>
          <w:szCs w:val="22"/>
          <w:lang w:val="es-AR"/>
        </w:rPr>
        <w:t>.</w:t>
      </w:r>
    </w:p>
    <w:p w:rsidR="00480B8C" w:rsidRPr="00023AC6" w:rsidRDefault="00480B8C" w:rsidP="00480B8C">
      <w:pPr>
        <w:spacing w:line="360" w:lineRule="auto"/>
        <w:ind w:left="851" w:right="822"/>
        <w:contextualSpacing/>
        <w:jc w:val="both"/>
        <w:rPr>
          <w:rFonts w:ascii="Palatino Linotype" w:eastAsia="Calibri" w:hAnsi="Palatino Linotype"/>
          <w:i/>
          <w:sz w:val="22"/>
          <w:szCs w:val="22"/>
          <w:lang w:val="es-AR"/>
        </w:rPr>
      </w:pPr>
      <w:r w:rsidRPr="00023AC6">
        <w:rPr>
          <w:rFonts w:ascii="Palatino Linotype" w:eastAsia="Calibri" w:hAnsi="Palatino Linotype"/>
          <w:i/>
          <w:sz w:val="22"/>
          <w:szCs w:val="22"/>
          <w:lang w:val="es-AR"/>
        </w:rPr>
        <w:t>SÉPTIMO TRIBUNAL COLEGIADO EN MATERIA CIVIL DEL PRIMER CIRCUITO.</w:t>
      </w:r>
    </w:p>
    <w:p w:rsidR="00480B8C" w:rsidRPr="00023AC6" w:rsidRDefault="00480B8C" w:rsidP="00480B8C">
      <w:pPr>
        <w:spacing w:line="360" w:lineRule="auto"/>
        <w:ind w:left="851" w:right="822"/>
        <w:contextualSpacing/>
        <w:jc w:val="both"/>
        <w:rPr>
          <w:rFonts w:ascii="Palatino Linotype" w:eastAsia="Calibri" w:hAnsi="Palatino Linotype"/>
          <w:b/>
          <w:i/>
          <w:sz w:val="22"/>
          <w:szCs w:val="22"/>
          <w:lang w:val="es-AR"/>
        </w:rPr>
      </w:pPr>
      <w:r w:rsidRPr="00023AC6">
        <w:rPr>
          <w:rFonts w:ascii="Palatino Linotype" w:eastAsia="Calibri" w:hAnsi="Palatino Linotype"/>
          <w:i/>
          <w:sz w:val="22"/>
          <w:szCs w:val="22"/>
          <w:lang w:val="es-AR"/>
        </w:rPr>
        <w:t xml:space="preserve">Amparo directo 699/2008. Mariana Leticia González </w:t>
      </w:r>
      <w:proofErr w:type="spellStart"/>
      <w:r w:rsidRPr="00023AC6">
        <w:rPr>
          <w:rFonts w:ascii="Palatino Linotype" w:eastAsia="Calibri" w:hAnsi="Palatino Linotype"/>
          <w:i/>
          <w:sz w:val="22"/>
          <w:szCs w:val="22"/>
          <w:lang w:val="es-AR"/>
        </w:rPr>
        <w:t>Steele</w:t>
      </w:r>
      <w:proofErr w:type="spellEnd"/>
      <w:r w:rsidRPr="00023AC6">
        <w:rPr>
          <w:rFonts w:ascii="Palatino Linotype" w:eastAsia="Calibri" w:hAnsi="Palatino Linotype"/>
          <w:i/>
          <w:sz w:val="22"/>
          <w:szCs w:val="22"/>
          <w:lang w:val="es-AR"/>
        </w:rPr>
        <w:t>. 13 de noviembre de 2008. Unanimidad de votos. Ponente: Sara Judith Montalvo Trejo. Secretario: Arnulfo Mateos García.</w:t>
      </w:r>
    </w:p>
    <w:p w:rsidR="00480B8C" w:rsidRPr="00023AC6" w:rsidRDefault="00480B8C" w:rsidP="00480B8C">
      <w:pPr>
        <w:spacing w:line="360" w:lineRule="auto"/>
        <w:ind w:right="565"/>
        <w:contextualSpacing/>
        <w:jc w:val="both"/>
        <w:rPr>
          <w:rFonts w:ascii="Palatino Linotype" w:eastAsia="Calibri" w:hAnsi="Palatino Linotype"/>
          <w:b/>
          <w:i/>
          <w:sz w:val="22"/>
          <w:szCs w:val="22"/>
          <w:lang w:val="es-AR"/>
        </w:rPr>
      </w:pPr>
    </w:p>
    <w:p w:rsidR="00480B8C" w:rsidRPr="00023AC6" w:rsidRDefault="00480B8C" w:rsidP="00480B8C">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cs="Arial"/>
          <w:color w:val="000000" w:themeColor="text1"/>
          <w:szCs w:val="22"/>
          <w:lang w:val="es-ES"/>
        </w:rPr>
        <w:t xml:space="preserve">Consecuentemente, </w:t>
      </w:r>
      <w:r w:rsidRPr="00023AC6">
        <w:rPr>
          <w:rFonts w:ascii="Palatino Linotype" w:eastAsia="Calibri" w:hAnsi="Palatino Linotype"/>
          <w:szCs w:val="22"/>
        </w:rPr>
        <w:t xml:space="preserve">por lo que hace a los motivos de inconformidad, los mismos devienen inatendibles por actualizarse la figura del sobreseimiento, misma que impide el </w:t>
      </w:r>
      <w:r w:rsidRPr="00023AC6">
        <w:rPr>
          <w:rFonts w:ascii="Palatino Linotype" w:eastAsia="Calibri" w:hAnsi="Palatino Linotype"/>
          <w:szCs w:val="22"/>
        </w:rPr>
        <w:lastRenderedPageBreak/>
        <w:t>estudio de los agravios planteados, máxime que se ha dado cumplimiento al derecho de acceso a la información.</w:t>
      </w:r>
    </w:p>
    <w:p w:rsidR="00480B8C" w:rsidRPr="00023AC6" w:rsidRDefault="00480B8C" w:rsidP="00480B8C">
      <w:pPr>
        <w:pStyle w:val="Prrafodelista"/>
        <w:tabs>
          <w:tab w:val="left" w:pos="284"/>
        </w:tabs>
        <w:spacing w:line="360" w:lineRule="auto"/>
        <w:ind w:left="0"/>
        <w:jc w:val="both"/>
        <w:rPr>
          <w:rFonts w:ascii="Palatino Linotype" w:eastAsia="Calibri" w:hAnsi="Palatino Linotype" w:cs="Arial"/>
          <w:color w:val="000000" w:themeColor="text1"/>
          <w:szCs w:val="22"/>
          <w:lang w:val="es-ES"/>
        </w:rPr>
      </w:pPr>
    </w:p>
    <w:p w:rsidR="00480B8C" w:rsidRPr="00023AC6" w:rsidRDefault="00480B8C" w:rsidP="00480B8C">
      <w:pPr>
        <w:pStyle w:val="Prrafodelista"/>
        <w:numPr>
          <w:ilvl w:val="0"/>
          <w:numId w:val="1"/>
        </w:numPr>
        <w:tabs>
          <w:tab w:val="left" w:pos="284"/>
        </w:tabs>
        <w:spacing w:line="360" w:lineRule="auto"/>
        <w:ind w:left="0" w:firstLine="0"/>
        <w:jc w:val="both"/>
        <w:rPr>
          <w:rFonts w:ascii="Palatino Linotype" w:eastAsia="Calibri" w:hAnsi="Palatino Linotype" w:cs="Arial"/>
          <w:color w:val="000000" w:themeColor="text1"/>
          <w:szCs w:val="22"/>
          <w:lang w:val="es-ES"/>
        </w:rPr>
      </w:pPr>
      <w:r w:rsidRPr="00023AC6">
        <w:rPr>
          <w:rFonts w:ascii="Palatino Linotype" w:eastAsia="Calibri" w:hAnsi="Palatino Linotype"/>
          <w:szCs w:val="22"/>
        </w:rPr>
        <w:t xml:space="preserve">Bajo </w:t>
      </w:r>
      <w:r w:rsidRPr="00023AC6">
        <w:rPr>
          <w:rFonts w:ascii="Palatino Linotype" w:eastAsia="Calibri" w:hAnsi="Palatino Linotype"/>
          <w:szCs w:val="22"/>
          <w:lang w:val="es-CO"/>
        </w:rPr>
        <w:t xml:space="preserve">ese tenor y en términos del artículo 186 fracción I este Pleno determina el </w:t>
      </w:r>
      <w:r w:rsidRPr="00023AC6">
        <w:rPr>
          <w:rFonts w:ascii="Palatino Linotype" w:eastAsia="Calibri" w:hAnsi="Palatino Linotype"/>
          <w:b/>
          <w:szCs w:val="22"/>
          <w:lang w:val="es-CO"/>
        </w:rPr>
        <w:t xml:space="preserve">SOBRESEIMIENTO </w:t>
      </w:r>
      <w:r w:rsidRPr="00023AC6">
        <w:rPr>
          <w:rFonts w:ascii="Palatino Linotype" w:eastAsia="Calibri" w:hAnsi="Palatino Linotype"/>
          <w:szCs w:val="22"/>
          <w:lang w:val="es-CO"/>
        </w:rPr>
        <w:t xml:space="preserve">del recurso de revisión </w:t>
      </w:r>
      <w:r w:rsidR="005806BA" w:rsidRPr="00023AC6">
        <w:rPr>
          <w:rFonts w:ascii="Palatino Linotype" w:hAnsi="Palatino Linotype" w:cs="Arial"/>
          <w:b/>
          <w:bCs/>
          <w:szCs w:val="22"/>
        </w:rPr>
        <w:t>07458</w:t>
      </w:r>
      <w:r w:rsidRPr="00023AC6">
        <w:rPr>
          <w:rFonts w:ascii="Palatino Linotype" w:hAnsi="Palatino Linotype" w:cs="Arial"/>
          <w:b/>
          <w:bCs/>
          <w:szCs w:val="22"/>
        </w:rPr>
        <w:t>/INFOEM/IP/RR/2024</w:t>
      </w:r>
      <w:r w:rsidRPr="00023AC6">
        <w:rPr>
          <w:rFonts w:ascii="Palatino Linotype" w:eastAsia="Calibri" w:hAnsi="Palatino Linotype"/>
          <w:szCs w:val="22"/>
          <w:lang w:val="es-CO"/>
        </w:rPr>
        <w:t>, toda vez que la afectación al derecho de acceso a la información pública establecido constitucionalmente a favor del Particular ha sido resarcida.</w:t>
      </w:r>
    </w:p>
    <w:p w:rsidR="00480B8C" w:rsidRPr="00023AC6" w:rsidRDefault="00480B8C" w:rsidP="00480B8C">
      <w:pPr>
        <w:pStyle w:val="Prrafodelista"/>
        <w:shd w:val="clear" w:color="auto" w:fill="FFFFFF"/>
        <w:tabs>
          <w:tab w:val="left" w:pos="284"/>
        </w:tabs>
        <w:spacing w:line="360" w:lineRule="auto"/>
        <w:ind w:left="0"/>
        <w:jc w:val="both"/>
        <w:rPr>
          <w:rFonts w:ascii="Palatino Linotype" w:hAnsi="Palatino Linotype" w:cs="Arial"/>
          <w:szCs w:val="22"/>
        </w:rPr>
      </w:pPr>
    </w:p>
    <w:p w:rsidR="00480B8C" w:rsidRPr="00023AC6" w:rsidRDefault="00480B8C" w:rsidP="00480B8C">
      <w:pPr>
        <w:pStyle w:val="Sinespaciado"/>
        <w:numPr>
          <w:ilvl w:val="0"/>
          <w:numId w:val="1"/>
        </w:numPr>
        <w:tabs>
          <w:tab w:val="left" w:pos="284"/>
        </w:tabs>
        <w:spacing w:line="360" w:lineRule="auto"/>
        <w:ind w:left="0" w:firstLine="0"/>
        <w:contextualSpacing/>
        <w:jc w:val="both"/>
        <w:rPr>
          <w:rFonts w:ascii="Palatino Linotype" w:eastAsia="Calibri" w:hAnsi="Palatino Linotype"/>
          <w:sz w:val="22"/>
          <w:szCs w:val="22"/>
        </w:rPr>
      </w:pPr>
      <w:r w:rsidRPr="00023AC6">
        <w:rPr>
          <w:rFonts w:ascii="Palatino Linotype" w:eastAsia="Calibri" w:hAnsi="Palatino Linotype"/>
          <w:sz w:val="22"/>
          <w:szCs w:val="22"/>
        </w:rPr>
        <w:t xml:space="preserve">Por lo anteriormente expuesto y fundado, este </w:t>
      </w:r>
      <w:r w:rsidRPr="00023AC6">
        <w:rPr>
          <w:rFonts w:ascii="Palatino Linotype" w:eastAsia="Calibri" w:hAnsi="Palatino Linotype"/>
          <w:b/>
          <w:bCs/>
          <w:sz w:val="22"/>
          <w:szCs w:val="22"/>
        </w:rPr>
        <w:t>ÓRGANO GARANTE</w:t>
      </w:r>
      <w:r w:rsidRPr="00023AC6">
        <w:rPr>
          <w:rFonts w:ascii="Palatino Linotype" w:eastAsia="Calibri" w:hAnsi="Palatino Linotype"/>
          <w:sz w:val="22"/>
          <w:szCs w:val="22"/>
        </w:rPr>
        <w:t xml:space="preserve"> emite los siguientes:</w:t>
      </w:r>
      <w:bookmarkEnd w:id="4"/>
      <w:bookmarkEnd w:id="5"/>
      <w:bookmarkEnd w:id="6"/>
      <w:bookmarkEnd w:id="7"/>
    </w:p>
    <w:p w:rsidR="00480B8C" w:rsidRPr="00023AC6" w:rsidRDefault="00480B8C" w:rsidP="00480B8C">
      <w:pPr>
        <w:pStyle w:val="Sinespaciado"/>
        <w:tabs>
          <w:tab w:val="left" w:pos="284"/>
        </w:tabs>
        <w:spacing w:line="360" w:lineRule="auto"/>
        <w:contextualSpacing/>
        <w:jc w:val="both"/>
        <w:rPr>
          <w:rFonts w:ascii="Palatino Linotype" w:eastAsia="Calibri" w:hAnsi="Palatino Linotype"/>
          <w:sz w:val="22"/>
          <w:szCs w:val="22"/>
        </w:rPr>
      </w:pPr>
    </w:p>
    <w:p w:rsidR="00480B8C" w:rsidRPr="00023AC6" w:rsidRDefault="00480B8C" w:rsidP="00480B8C">
      <w:pPr>
        <w:spacing w:line="360" w:lineRule="auto"/>
        <w:jc w:val="center"/>
        <w:rPr>
          <w:rFonts w:ascii="Palatino Linotype" w:hAnsi="Palatino Linotype"/>
          <w:b/>
          <w:sz w:val="22"/>
          <w:szCs w:val="22"/>
          <w:lang w:val="es-ES"/>
        </w:rPr>
      </w:pPr>
      <w:r w:rsidRPr="00023AC6">
        <w:rPr>
          <w:rFonts w:ascii="Palatino Linotype" w:hAnsi="Palatino Linotype"/>
          <w:b/>
          <w:sz w:val="22"/>
          <w:szCs w:val="22"/>
          <w:lang w:val="es-ES"/>
        </w:rPr>
        <w:t>R E S O L U T I V O S</w:t>
      </w:r>
    </w:p>
    <w:p w:rsidR="00480B8C" w:rsidRPr="00023AC6" w:rsidRDefault="00480B8C" w:rsidP="00480B8C">
      <w:pPr>
        <w:pStyle w:val="Sinespaciado"/>
        <w:spacing w:line="360" w:lineRule="auto"/>
        <w:jc w:val="both"/>
        <w:rPr>
          <w:rFonts w:ascii="Palatino Linotype" w:hAnsi="Palatino Linotype"/>
          <w:sz w:val="22"/>
          <w:szCs w:val="22"/>
        </w:rPr>
      </w:pPr>
    </w:p>
    <w:p w:rsidR="00480B8C" w:rsidRPr="00023AC6" w:rsidRDefault="00480B8C" w:rsidP="00480B8C">
      <w:pPr>
        <w:spacing w:line="360" w:lineRule="auto"/>
        <w:jc w:val="both"/>
        <w:rPr>
          <w:rFonts w:ascii="Palatino Linotype" w:eastAsiaTheme="minorHAnsi" w:hAnsi="Palatino Linotype" w:cstheme="minorBidi"/>
          <w:sz w:val="22"/>
          <w:szCs w:val="22"/>
          <w:lang w:eastAsia="en-US"/>
        </w:rPr>
      </w:pPr>
      <w:r w:rsidRPr="00023AC6">
        <w:rPr>
          <w:rFonts w:ascii="Palatino Linotype" w:eastAsiaTheme="minorHAnsi" w:hAnsi="Palatino Linotype" w:cstheme="minorBidi"/>
          <w:b/>
          <w:sz w:val="22"/>
          <w:szCs w:val="22"/>
          <w:lang w:eastAsia="en-US"/>
        </w:rPr>
        <w:t xml:space="preserve">PRIMERO. </w:t>
      </w:r>
      <w:r w:rsidRPr="00023AC6">
        <w:rPr>
          <w:rFonts w:ascii="Palatino Linotype" w:eastAsia="MS Mincho" w:hAnsi="Palatino Linotype"/>
          <w:sz w:val="22"/>
          <w:szCs w:val="22"/>
          <w:lang w:val="es-ES_tradnl" w:eastAsia="es-ES"/>
        </w:rPr>
        <w:t xml:space="preserve">Se </w:t>
      </w:r>
      <w:r w:rsidRPr="00023AC6">
        <w:rPr>
          <w:rFonts w:ascii="Palatino Linotype" w:eastAsia="MS Mincho" w:hAnsi="Palatino Linotype"/>
          <w:b/>
          <w:sz w:val="22"/>
          <w:szCs w:val="22"/>
          <w:lang w:val="es-ES_tradnl" w:eastAsia="es-ES"/>
        </w:rPr>
        <w:t>SOBRESEE</w:t>
      </w:r>
      <w:r w:rsidRPr="00023AC6">
        <w:rPr>
          <w:rFonts w:ascii="Palatino Linotype" w:eastAsia="MS Mincho" w:hAnsi="Palatino Linotype"/>
          <w:sz w:val="22"/>
          <w:szCs w:val="22"/>
          <w:lang w:val="es-ES_tradnl" w:eastAsia="es-ES"/>
        </w:rPr>
        <w:t xml:space="preserve"> el recurso de revisión número </w:t>
      </w:r>
      <w:r w:rsidR="005806BA" w:rsidRPr="00023AC6">
        <w:rPr>
          <w:rFonts w:ascii="Palatino Linotype" w:eastAsia="MS Mincho" w:hAnsi="Palatino Linotype"/>
          <w:b/>
          <w:sz w:val="22"/>
          <w:szCs w:val="22"/>
          <w:lang w:val="es-ES_tradnl" w:eastAsia="es-ES"/>
        </w:rPr>
        <w:t>07458</w:t>
      </w:r>
      <w:r w:rsidRPr="00023AC6">
        <w:rPr>
          <w:rFonts w:ascii="Palatino Linotype" w:eastAsia="MS Mincho" w:hAnsi="Palatino Linotype"/>
          <w:b/>
          <w:sz w:val="22"/>
          <w:szCs w:val="22"/>
          <w:lang w:val="es-ES_tradnl" w:eastAsia="es-ES"/>
        </w:rPr>
        <w:t xml:space="preserve">/INFOEM/IP/RR/2024 </w:t>
      </w:r>
      <w:r w:rsidRPr="00023AC6">
        <w:rPr>
          <w:rFonts w:ascii="Palatino Linotype" w:eastAsia="MS Mincho" w:hAnsi="Palatino Linotype"/>
          <w:bCs/>
          <w:sz w:val="22"/>
          <w:szCs w:val="22"/>
          <w:lang w:val="es-ES_tradnl" w:eastAsia="es-ES"/>
        </w:rPr>
        <w:t>conforme al artículo 192</w:t>
      </w:r>
      <w:r w:rsidR="00B66EAE" w:rsidRPr="00023AC6">
        <w:rPr>
          <w:rFonts w:ascii="Palatino Linotype" w:eastAsia="MS Mincho" w:hAnsi="Palatino Linotype"/>
          <w:bCs/>
          <w:sz w:val="22"/>
          <w:szCs w:val="22"/>
          <w:lang w:val="es-ES_tradnl" w:eastAsia="es-ES"/>
        </w:rPr>
        <w:t>,</w:t>
      </w:r>
      <w:r w:rsidRPr="00023AC6">
        <w:rPr>
          <w:rFonts w:ascii="Palatino Linotype" w:eastAsia="MS Mincho" w:hAnsi="Palatino Linotype"/>
          <w:bCs/>
          <w:sz w:val="22"/>
          <w:szCs w:val="22"/>
          <w:lang w:val="es-ES_tradnl" w:eastAsia="es-ES"/>
        </w:rPr>
        <w:t xml:space="preserve"> fracción III</w:t>
      </w:r>
      <w:r w:rsidR="00B66EAE" w:rsidRPr="00023AC6">
        <w:rPr>
          <w:rFonts w:ascii="Palatino Linotype" w:eastAsia="MS Mincho" w:hAnsi="Palatino Linotype"/>
          <w:bCs/>
          <w:sz w:val="22"/>
          <w:szCs w:val="22"/>
          <w:lang w:val="es-ES_tradnl" w:eastAsia="es-ES"/>
        </w:rPr>
        <w:t>,</w:t>
      </w:r>
      <w:r w:rsidRPr="00023AC6">
        <w:rPr>
          <w:rFonts w:ascii="Palatino Linotype" w:eastAsia="MS Mincho" w:hAnsi="Palatino Linotype"/>
          <w:bCs/>
          <w:sz w:val="22"/>
          <w:szCs w:val="22"/>
          <w:lang w:val="es-ES_tradnl" w:eastAsia="es-ES"/>
        </w:rPr>
        <w:t xml:space="preserve"> de la Ley de Transparencia y Acceso a la Información Pública del Estado de México y Municipios,</w:t>
      </w:r>
      <w:r w:rsidRPr="00023AC6">
        <w:rPr>
          <w:rFonts w:ascii="Palatino Linotype" w:eastAsia="MS Mincho" w:hAnsi="Palatino Linotype"/>
          <w:sz w:val="22"/>
          <w:szCs w:val="22"/>
          <w:lang w:val="es-ES_tradnl" w:eastAsia="es-ES"/>
        </w:rPr>
        <w:t xml:space="preserve"> porque al </w:t>
      </w:r>
      <w:r w:rsidRPr="00023AC6">
        <w:rPr>
          <w:rFonts w:ascii="Palatino Linotype" w:eastAsia="MS Mincho" w:hAnsi="Palatino Linotype"/>
          <w:b/>
          <w:bCs/>
          <w:sz w:val="22"/>
          <w:szCs w:val="22"/>
          <w:lang w:val="es-ES_tradnl" w:eastAsia="es-ES"/>
        </w:rPr>
        <w:t>modificar la respuesta a través del informe justificado y atender lo solicitado</w:t>
      </w:r>
      <w:r w:rsidRPr="00023AC6">
        <w:rPr>
          <w:rFonts w:ascii="Palatino Linotype" w:eastAsia="MS Mincho" w:hAnsi="Palatino Linotype"/>
          <w:sz w:val="22"/>
          <w:szCs w:val="22"/>
          <w:lang w:val="es-ES_tradnl" w:eastAsia="es-ES"/>
        </w:rPr>
        <w:t xml:space="preserve">, el recurso de revisión quedó sin materia en términos del Considerando </w:t>
      </w:r>
      <w:r w:rsidRPr="00023AC6">
        <w:rPr>
          <w:rFonts w:ascii="Palatino Linotype" w:eastAsia="MS Mincho" w:hAnsi="Palatino Linotype"/>
          <w:b/>
          <w:sz w:val="22"/>
          <w:szCs w:val="22"/>
          <w:lang w:val="es-ES_tradnl" w:eastAsia="es-ES"/>
        </w:rPr>
        <w:t>TERCERO</w:t>
      </w:r>
      <w:r w:rsidRPr="00023AC6">
        <w:rPr>
          <w:rFonts w:ascii="Palatino Linotype" w:eastAsia="MS Mincho" w:hAnsi="Palatino Linotype"/>
          <w:sz w:val="22"/>
          <w:szCs w:val="22"/>
          <w:lang w:val="es-ES_tradnl" w:eastAsia="es-ES"/>
        </w:rPr>
        <w:t xml:space="preserve"> de la presente resolución.</w:t>
      </w:r>
    </w:p>
    <w:p w:rsidR="00480B8C" w:rsidRPr="00023AC6" w:rsidRDefault="00480B8C" w:rsidP="00480B8C">
      <w:pPr>
        <w:spacing w:line="360" w:lineRule="auto"/>
        <w:jc w:val="both"/>
        <w:rPr>
          <w:rFonts w:ascii="Palatino Linotype" w:eastAsiaTheme="minorHAnsi" w:hAnsi="Palatino Linotype" w:cstheme="minorBidi"/>
          <w:sz w:val="22"/>
          <w:szCs w:val="22"/>
          <w:lang w:eastAsia="en-US"/>
        </w:rPr>
      </w:pPr>
    </w:p>
    <w:p w:rsidR="00480B8C" w:rsidRPr="00023AC6" w:rsidRDefault="00480B8C" w:rsidP="00480B8C">
      <w:pPr>
        <w:spacing w:line="360" w:lineRule="auto"/>
        <w:jc w:val="both"/>
        <w:rPr>
          <w:rFonts w:ascii="Palatino Linotype" w:eastAsia="Calibri" w:hAnsi="Palatino Linotype" w:cs="Arial"/>
          <w:b/>
          <w:bCs/>
          <w:sz w:val="22"/>
          <w:szCs w:val="22"/>
          <w:lang w:val="es-ES" w:eastAsia="en-US"/>
        </w:rPr>
      </w:pPr>
      <w:r w:rsidRPr="00023AC6">
        <w:rPr>
          <w:rFonts w:ascii="Palatino Linotype" w:eastAsia="Calibri" w:hAnsi="Palatino Linotype" w:cs="Arial"/>
          <w:b/>
          <w:bCs/>
          <w:sz w:val="22"/>
          <w:szCs w:val="22"/>
          <w:lang w:val="es-ES" w:eastAsia="en-US"/>
        </w:rPr>
        <w:t xml:space="preserve">SEGUNDO. REMÍTASE </w:t>
      </w:r>
      <w:r w:rsidRPr="00023AC6">
        <w:rPr>
          <w:rFonts w:ascii="Palatino Linotype" w:eastAsia="Calibri" w:hAnsi="Palatino Linotype" w:cs="Arial"/>
          <w:bCs/>
          <w:sz w:val="22"/>
          <w:szCs w:val="22"/>
          <w:lang w:val="es-ES" w:eastAsia="en-US"/>
        </w:rPr>
        <w:t xml:space="preserve">a través del Sistema de Acceso a la Información Mexiquense </w:t>
      </w:r>
      <w:r w:rsidRPr="00023AC6">
        <w:rPr>
          <w:rFonts w:ascii="Palatino Linotype" w:eastAsia="Calibri" w:hAnsi="Palatino Linotype" w:cs="Arial"/>
          <w:b/>
          <w:bCs/>
          <w:sz w:val="22"/>
          <w:szCs w:val="22"/>
          <w:lang w:val="es-ES" w:eastAsia="en-US"/>
        </w:rPr>
        <w:t xml:space="preserve">(SAIMEX) </w:t>
      </w:r>
      <w:r w:rsidRPr="00023AC6">
        <w:rPr>
          <w:rFonts w:ascii="Palatino Linotype" w:eastAsia="Calibri" w:hAnsi="Palatino Linotype" w:cs="Arial"/>
          <w:bCs/>
          <w:sz w:val="22"/>
          <w:szCs w:val="22"/>
          <w:lang w:val="es-ES" w:eastAsia="en-US"/>
        </w:rPr>
        <w:t>la presente resolución al Titular de la Unidad de Transparencia del</w:t>
      </w:r>
      <w:r w:rsidRPr="00023AC6">
        <w:rPr>
          <w:rFonts w:ascii="Palatino Linotype" w:eastAsia="Calibri" w:hAnsi="Palatino Linotype" w:cs="Arial"/>
          <w:b/>
          <w:bCs/>
          <w:sz w:val="22"/>
          <w:szCs w:val="22"/>
          <w:lang w:val="es-ES" w:eastAsia="en-US"/>
        </w:rPr>
        <w:t xml:space="preserve"> SUJETO OBLIGADO. </w:t>
      </w:r>
    </w:p>
    <w:p w:rsidR="00480B8C" w:rsidRPr="00023AC6" w:rsidRDefault="00480B8C" w:rsidP="00480B8C">
      <w:pPr>
        <w:tabs>
          <w:tab w:val="left" w:pos="3263"/>
        </w:tabs>
        <w:spacing w:line="360" w:lineRule="auto"/>
        <w:jc w:val="both"/>
        <w:rPr>
          <w:rFonts w:ascii="Palatino Linotype" w:eastAsia="Palatino Linotype" w:hAnsi="Palatino Linotype" w:cs="Palatino Linotype"/>
          <w:b/>
          <w:sz w:val="22"/>
          <w:szCs w:val="22"/>
          <w:lang w:eastAsia="en-US"/>
        </w:rPr>
      </w:pPr>
      <w:r w:rsidRPr="00023AC6">
        <w:rPr>
          <w:rFonts w:ascii="Palatino Linotype" w:eastAsia="Palatino Linotype" w:hAnsi="Palatino Linotype" w:cs="Palatino Linotype"/>
          <w:b/>
          <w:sz w:val="22"/>
          <w:szCs w:val="22"/>
          <w:lang w:eastAsia="en-US"/>
        </w:rPr>
        <w:tab/>
      </w:r>
    </w:p>
    <w:p w:rsidR="00480B8C" w:rsidRPr="00023AC6" w:rsidRDefault="00480B8C" w:rsidP="00480B8C">
      <w:pPr>
        <w:spacing w:line="360" w:lineRule="auto"/>
        <w:jc w:val="both"/>
        <w:rPr>
          <w:rFonts w:ascii="Palatino Linotype" w:hAnsi="Palatino Linotype"/>
          <w:color w:val="222222"/>
          <w:sz w:val="22"/>
          <w:szCs w:val="22"/>
          <w:lang w:val="es-ES"/>
        </w:rPr>
      </w:pPr>
      <w:r w:rsidRPr="00023AC6">
        <w:rPr>
          <w:rFonts w:ascii="Palatino Linotype" w:hAnsi="Palatino Linotype" w:cs="Arial"/>
          <w:b/>
          <w:sz w:val="22"/>
          <w:szCs w:val="22"/>
          <w:lang w:eastAsia="en-US"/>
        </w:rPr>
        <w:t xml:space="preserve">TERCERO. </w:t>
      </w:r>
      <w:r w:rsidRPr="00023AC6">
        <w:rPr>
          <w:rFonts w:ascii="Palatino Linotype" w:hAnsi="Palatino Linotype"/>
          <w:b/>
          <w:bCs/>
          <w:sz w:val="22"/>
          <w:szCs w:val="22"/>
          <w:lang w:val="es-ES" w:eastAsia="en-US"/>
        </w:rPr>
        <w:t xml:space="preserve">Notifíquese </w:t>
      </w:r>
      <w:r w:rsidRPr="00023AC6">
        <w:rPr>
          <w:rFonts w:ascii="Palatino Linotype" w:hAnsi="Palatino Linotype"/>
          <w:bCs/>
          <w:sz w:val="22"/>
          <w:szCs w:val="22"/>
          <w:lang w:val="es-ES" w:eastAsia="en-US"/>
        </w:rPr>
        <w:t xml:space="preserve">al </w:t>
      </w:r>
      <w:r w:rsidRPr="00023AC6">
        <w:rPr>
          <w:rFonts w:ascii="Palatino Linotype" w:hAnsi="Palatino Linotype"/>
          <w:b/>
          <w:bCs/>
          <w:sz w:val="22"/>
          <w:szCs w:val="22"/>
          <w:lang w:val="es-ES" w:eastAsia="en-US"/>
        </w:rPr>
        <w:t>RECURRENTE</w:t>
      </w:r>
      <w:r w:rsidRPr="00023AC6">
        <w:rPr>
          <w:rFonts w:ascii="Palatino Linotype" w:eastAsiaTheme="minorHAnsi" w:hAnsi="Palatino Linotype" w:cstheme="minorBidi"/>
          <w:sz w:val="22"/>
          <w:szCs w:val="22"/>
          <w:lang w:eastAsia="en-US"/>
        </w:rPr>
        <w:t xml:space="preserve"> </w:t>
      </w:r>
      <w:r w:rsidRPr="00023AC6">
        <w:rPr>
          <w:rFonts w:ascii="Palatino Linotype" w:hAnsi="Palatino Linotype"/>
          <w:sz w:val="22"/>
          <w:szCs w:val="22"/>
          <w:lang w:val="es-ES"/>
        </w:rPr>
        <w:t>la presente resolución vía SAIMEX</w:t>
      </w:r>
      <w:r w:rsidR="00DA099B" w:rsidRPr="00023AC6">
        <w:rPr>
          <w:rFonts w:ascii="Palatino Linotype" w:hAnsi="Palatino Linotype"/>
          <w:sz w:val="22"/>
          <w:szCs w:val="22"/>
          <w:lang w:val="es-ES"/>
        </w:rPr>
        <w:t xml:space="preserve"> y correo electrónico</w:t>
      </w:r>
      <w:r w:rsidRPr="00023AC6">
        <w:rPr>
          <w:rFonts w:ascii="Palatino Linotype" w:hAnsi="Palatino Linotype"/>
          <w:sz w:val="22"/>
          <w:szCs w:val="22"/>
          <w:lang w:val="es-ES"/>
        </w:rPr>
        <w:t>.</w:t>
      </w:r>
    </w:p>
    <w:p w:rsidR="00480B8C" w:rsidRPr="00023AC6" w:rsidRDefault="00480B8C" w:rsidP="00480B8C">
      <w:pPr>
        <w:spacing w:line="360" w:lineRule="auto"/>
        <w:jc w:val="both"/>
        <w:rPr>
          <w:rFonts w:ascii="Palatino Linotype" w:hAnsi="Palatino Linotype"/>
          <w:color w:val="222222"/>
          <w:sz w:val="22"/>
          <w:szCs w:val="22"/>
          <w:lang w:val="es-ES"/>
        </w:rPr>
      </w:pPr>
    </w:p>
    <w:p w:rsidR="00480B8C" w:rsidRPr="00023AC6" w:rsidRDefault="00480B8C" w:rsidP="00480B8C">
      <w:pPr>
        <w:spacing w:line="360" w:lineRule="auto"/>
        <w:jc w:val="both"/>
        <w:rPr>
          <w:rFonts w:ascii="Palatino Linotype" w:eastAsia="MS Mincho" w:hAnsi="Palatino Linotype"/>
          <w:sz w:val="22"/>
          <w:szCs w:val="22"/>
          <w:lang w:val="es-ES" w:eastAsia="es-ES"/>
        </w:rPr>
      </w:pPr>
      <w:r w:rsidRPr="00023AC6">
        <w:rPr>
          <w:rFonts w:ascii="Palatino Linotype" w:eastAsia="MS Mincho" w:hAnsi="Palatino Linotype"/>
          <w:b/>
          <w:sz w:val="22"/>
          <w:szCs w:val="22"/>
          <w:lang w:eastAsia="es-ES"/>
        </w:rPr>
        <w:lastRenderedPageBreak/>
        <w:t>CUARTO.</w:t>
      </w:r>
      <w:r w:rsidRPr="00023AC6">
        <w:rPr>
          <w:rFonts w:ascii="Palatino Linotype" w:eastAsia="MS Mincho" w:hAnsi="Palatino Linotype"/>
          <w:sz w:val="22"/>
          <w:szCs w:val="22"/>
          <w:lang w:eastAsia="es-ES"/>
        </w:rPr>
        <w:t xml:space="preserve"> </w:t>
      </w:r>
      <w:r w:rsidRPr="00023AC6">
        <w:rPr>
          <w:rFonts w:ascii="Palatino Linotype" w:eastAsia="MS Mincho" w:hAnsi="Palatino Linotype"/>
          <w:sz w:val="22"/>
          <w:szCs w:val="22"/>
          <w:lang w:val="es-ES" w:eastAsia="es-ES"/>
        </w:rPr>
        <w:t xml:space="preserve">Se hace del conocimiento del </w:t>
      </w:r>
      <w:r w:rsidRPr="00023AC6">
        <w:rPr>
          <w:rFonts w:ascii="Palatino Linotype" w:hAnsi="Palatino Linotype"/>
          <w:b/>
          <w:bCs/>
          <w:sz w:val="22"/>
          <w:szCs w:val="22"/>
          <w:lang w:val="es-ES" w:eastAsia="es-ES"/>
        </w:rPr>
        <w:t>RECURRENTE</w:t>
      </w:r>
      <w:r w:rsidRPr="00023AC6">
        <w:rPr>
          <w:rFonts w:ascii="Palatino Linotype" w:eastAsiaTheme="minorEastAsia" w:hAnsi="Palatino Linotype" w:cstheme="minorBidi"/>
          <w:sz w:val="22"/>
          <w:szCs w:val="22"/>
          <w:lang w:val="es-ES_tradnl" w:eastAsia="es-ES"/>
        </w:rPr>
        <w:t xml:space="preserve"> que</w:t>
      </w:r>
      <w:r w:rsidRPr="00023AC6">
        <w:rPr>
          <w:rFonts w:ascii="Palatino Linotype" w:eastAsia="MS Mincho" w:hAnsi="Palatino Linotype"/>
          <w:sz w:val="22"/>
          <w:szCs w:val="22"/>
          <w:lang w:val="es-ES" w:eastAsia="es-ES"/>
        </w:rPr>
        <w:t>, de conformidad con lo establecido en el artículo 196 de la Ley de Transparencia y Acceso a la Información Pública del Estado de México y Municipios, en caso de que considere que la resolución le cause algún perjuicio podrá impugnarla </w:t>
      </w:r>
      <w:r w:rsidRPr="00023AC6">
        <w:rPr>
          <w:rFonts w:ascii="Palatino Linotype" w:eastAsia="MS Mincho" w:hAnsi="Palatino Linotype"/>
          <w:bCs/>
          <w:sz w:val="22"/>
          <w:szCs w:val="22"/>
          <w:lang w:val="es-ES" w:eastAsia="es-ES"/>
        </w:rPr>
        <w:t>vía juicio de amparo</w:t>
      </w:r>
      <w:r w:rsidRPr="00023AC6">
        <w:rPr>
          <w:rFonts w:ascii="Palatino Linotype" w:eastAsia="MS Mincho" w:hAnsi="Palatino Linotype"/>
          <w:sz w:val="22"/>
          <w:szCs w:val="22"/>
          <w:lang w:val="es-ES" w:eastAsia="es-ES"/>
        </w:rPr>
        <w:t> en los términos de las leyes aplicables.</w:t>
      </w:r>
    </w:p>
    <w:p w:rsidR="00480B8C" w:rsidRPr="00023AC6" w:rsidRDefault="00480B8C" w:rsidP="00480B8C">
      <w:pPr>
        <w:spacing w:line="360" w:lineRule="auto"/>
        <w:jc w:val="both"/>
        <w:rPr>
          <w:rFonts w:ascii="Palatino Linotype" w:eastAsia="MS Mincho" w:hAnsi="Palatino Linotype"/>
          <w:sz w:val="22"/>
          <w:szCs w:val="22"/>
          <w:lang w:val="es-ES"/>
        </w:rPr>
      </w:pPr>
    </w:p>
    <w:p w:rsidR="00B66EAE" w:rsidRPr="003C7186" w:rsidRDefault="00B66EAE" w:rsidP="00B66EAE">
      <w:pPr>
        <w:spacing w:line="360" w:lineRule="auto"/>
        <w:ind w:left="-142" w:right="-234" w:firstLine="1"/>
        <w:jc w:val="both"/>
        <w:rPr>
          <w:rFonts w:ascii="Palatino Linotype" w:hAnsi="Palatino Linotype"/>
        </w:rPr>
      </w:pPr>
      <w:r w:rsidRPr="00023AC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8" w:name="_GoBack"/>
      <w:bookmarkEnd w:id="8"/>
      <w:r w:rsidRPr="003C7186">
        <w:rPr>
          <w:rFonts w:ascii="Palatino Linotype" w:hAnsi="Palatino Linotype"/>
        </w:rPr>
        <w:t xml:space="preserve"> </w:t>
      </w:r>
    </w:p>
    <w:p w:rsidR="0090428E" w:rsidRPr="0090428E" w:rsidRDefault="0090428E">
      <w:pPr>
        <w:rPr>
          <w:sz w:val="22"/>
          <w:szCs w:val="22"/>
        </w:rPr>
      </w:pPr>
    </w:p>
    <w:sectPr w:rsidR="0090428E" w:rsidRPr="0090428E" w:rsidSect="006042CA">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B3" w:rsidRDefault="002602B3" w:rsidP="00480B8C">
      <w:r>
        <w:separator/>
      </w:r>
    </w:p>
  </w:endnote>
  <w:endnote w:type="continuationSeparator" w:id="0">
    <w:p w:rsidR="002602B3" w:rsidRDefault="002602B3" w:rsidP="0048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9F" w:rsidRDefault="00E8689F">
    <w:pPr>
      <w:pStyle w:val="Piedepgina"/>
      <w:jc w:val="right"/>
    </w:pPr>
    <w:r>
      <w:rPr>
        <w:lang w:val="es-ES"/>
      </w:rPr>
      <w:t xml:space="preserve">Página </w:t>
    </w:r>
    <w:r>
      <w:rPr>
        <w:b/>
        <w:bCs/>
      </w:rPr>
      <w:fldChar w:fldCharType="begin"/>
    </w:r>
    <w:r>
      <w:rPr>
        <w:b/>
        <w:bCs/>
      </w:rPr>
      <w:instrText>PAGE</w:instrText>
    </w:r>
    <w:r>
      <w:rPr>
        <w:b/>
        <w:bCs/>
      </w:rPr>
      <w:fldChar w:fldCharType="separate"/>
    </w:r>
    <w:r w:rsidR="00023AC6">
      <w:rPr>
        <w:b/>
        <w:bCs/>
        <w:noProof/>
      </w:rPr>
      <w:t>24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23AC6">
      <w:rPr>
        <w:b/>
        <w:bCs/>
        <w:noProof/>
      </w:rPr>
      <w:t>25</w:t>
    </w:r>
    <w:r>
      <w:rPr>
        <w:b/>
        <w:bCs/>
      </w:rPr>
      <w:fldChar w:fldCharType="end"/>
    </w:r>
  </w:p>
  <w:p w:rsidR="00E8689F" w:rsidRDefault="00E868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9F" w:rsidRDefault="00E8689F">
    <w:pPr>
      <w:pStyle w:val="Piedepgina"/>
      <w:jc w:val="right"/>
    </w:pPr>
    <w:r>
      <w:rPr>
        <w:lang w:val="es-ES"/>
      </w:rPr>
      <w:t xml:space="preserve">Página </w:t>
    </w:r>
    <w:r>
      <w:rPr>
        <w:b/>
        <w:bCs/>
      </w:rPr>
      <w:fldChar w:fldCharType="begin"/>
    </w:r>
    <w:r>
      <w:rPr>
        <w:b/>
        <w:bCs/>
      </w:rPr>
      <w:instrText>PAGE</w:instrText>
    </w:r>
    <w:r>
      <w:rPr>
        <w:b/>
        <w:bCs/>
      </w:rPr>
      <w:fldChar w:fldCharType="separate"/>
    </w:r>
    <w:r w:rsidR="00023AC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23AC6">
      <w:rPr>
        <w:b/>
        <w:bCs/>
        <w:noProof/>
      </w:rPr>
      <w:t>25</w:t>
    </w:r>
    <w:r>
      <w:rPr>
        <w:b/>
        <w:bCs/>
      </w:rPr>
      <w:fldChar w:fldCharType="end"/>
    </w:r>
  </w:p>
  <w:p w:rsidR="00E8689F" w:rsidRDefault="00E868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B3" w:rsidRDefault="002602B3" w:rsidP="00480B8C">
      <w:r>
        <w:separator/>
      </w:r>
    </w:p>
  </w:footnote>
  <w:footnote w:type="continuationSeparator" w:id="0">
    <w:p w:rsidR="002602B3" w:rsidRDefault="002602B3" w:rsidP="00480B8C">
      <w:r>
        <w:continuationSeparator/>
      </w:r>
    </w:p>
  </w:footnote>
  <w:footnote w:id="1">
    <w:p w:rsidR="00E8689F" w:rsidRDefault="00E8689F" w:rsidP="00480B8C">
      <w:pPr>
        <w:pStyle w:val="Textonotapie"/>
      </w:pPr>
      <w:r>
        <w:rPr>
          <w:rStyle w:val="Refdenotaalpie"/>
        </w:rPr>
        <w:footnoteRef/>
      </w:r>
      <w:r>
        <w:t xml:space="preserve"> Artículo 150. Ley de Transparencia y Acceso a la Información Pública del Estado de México y Municipios.</w:t>
      </w:r>
    </w:p>
    <w:p w:rsidR="00E8689F" w:rsidRDefault="00E8689F" w:rsidP="00480B8C">
      <w:pPr>
        <w:pStyle w:val="Textonotapie"/>
      </w:pPr>
      <w:r>
        <w:t>Artículo 151. Ibídem.</w:t>
      </w:r>
    </w:p>
  </w:footnote>
  <w:footnote w:id="2">
    <w:p w:rsidR="00E8689F" w:rsidRDefault="00E8689F" w:rsidP="00480B8C">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9F" w:rsidRDefault="002602B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721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E8689F" w:rsidRPr="005C106F" w:rsidTr="006042CA">
      <w:trPr>
        <w:trHeight w:val="1435"/>
      </w:trPr>
      <w:tc>
        <w:tcPr>
          <w:tcW w:w="2268" w:type="dxa"/>
          <w:shd w:val="clear" w:color="auto" w:fill="auto"/>
        </w:tcPr>
        <w:p w:rsidR="00E8689F" w:rsidRPr="005C106F" w:rsidRDefault="00E8689F" w:rsidP="006042CA">
          <w:pPr>
            <w:tabs>
              <w:tab w:val="right" w:pos="4273"/>
            </w:tabs>
            <w:rPr>
              <w:rFonts w:ascii="Garamond" w:eastAsia="Calibri" w:hAnsi="Garamond"/>
              <w:sz w:val="16"/>
              <w:szCs w:val="16"/>
              <w:lang w:eastAsia="en-US"/>
            </w:rPr>
          </w:pPr>
        </w:p>
      </w:tc>
      <w:tc>
        <w:tcPr>
          <w:tcW w:w="6946" w:type="dxa"/>
          <w:shd w:val="clear" w:color="auto" w:fill="auto"/>
        </w:tcPr>
        <w:p w:rsidR="00E8689F" w:rsidRDefault="00E8689F" w:rsidP="006042CA"/>
        <w:tbl>
          <w:tblPr>
            <w:tblW w:w="6662" w:type="dxa"/>
            <w:tblInd w:w="40" w:type="dxa"/>
            <w:tblLayout w:type="fixed"/>
            <w:tblLook w:val="0420" w:firstRow="1" w:lastRow="0" w:firstColumn="0" w:lastColumn="0" w:noHBand="0" w:noVBand="1"/>
          </w:tblPr>
          <w:tblGrid>
            <w:gridCol w:w="2551"/>
            <w:gridCol w:w="4111"/>
          </w:tblGrid>
          <w:tr w:rsidR="00E8689F" w:rsidTr="006042CA">
            <w:trPr>
              <w:trHeight w:val="150"/>
            </w:trPr>
            <w:tc>
              <w:tcPr>
                <w:tcW w:w="2551" w:type="dxa"/>
                <w:shd w:val="clear" w:color="auto" w:fill="auto"/>
              </w:tcPr>
              <w:p w:rsidR="00E8689F" w:rsidRPr="00020E73" w:rsidRDefault="00E8689F" w:rsidP="006042C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E8689F" w:rsidRPr="00020E73" w:rsidRDefault="00E8689F" w:rsidP="006042CA">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07458/INFOEM/IP/RR/2024</w:t>
                </w:r>
              </w:p>
            </w:tc>
          </w:tr>
          <w:tr w:rsidR="00E8689F" w:rsidTr="006042CA">
            <w:trPr>
              <w:trHeight w:val="295"/>
            </w:trPr>
            <w:tc>
              <w:tcPr>
                <w:tcW w:w="2551" w:type="dxa"/>
                <w:shd w:val="clear" w:color="auto" w:fill="auto"/>
              </w:tcPr>
              <w:p w:rsidR="00E8689F" w:rsidRPr="00020E73" w:rsidRDefault="00E8689F" w:rsidP="006042CA">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E8689F" w:rsidRPr="00480B8C" w:rsidRDefault="00E8689F" w:rsidP="006042CA">
                <w:pPr>
                  <w:tabs>
                    <w:tab w:val="left" w:pos="2834"/>
                    <w:tab w:val="right" w:pos="8838"/>
                  </w:tabs>
                  <w:ind w:left="-108" w:right="-102"/>
                  <w:jc w:val="both"/>
                  <w:rPr>
                    <w:rFonts w:ascii="Palatino Linotype" w:eastAsia="Calibri" w:hAnsi="Palatino Linotype" w:cs="Tahoma"/>
                    <w:sz w:val="22"/>
                    <w:szCs w:val="22"/>
                    <w:lang w:val="es-ES" w:eastAsia="en-US"/>
                  </w:rPr>
                </w:pPr>
                <w:r w:rsidRPr="00480B8C">
                  <w:rPr>
                    <w:rFonts w:ascii="Palatino Linotype" w:eastAsia="Calibri" w:hAnsi="Palatino Linotype" w:cs="Tahoma"/>
                    <w:bCs/>
                    <w:sz w:val="22"/>
                    <w:szCs w:val="22"/>
                    <w:lang w:eastAsia="en-US"/>
                  </w:rPr>
                  <w:t>Servicios Educativos Integrados al Estado de México</w:t>
                </w:r>
              </w:p>
            </w:tc>
          </w:tr>
          <w:tr w:rsidR="00E8689F" w:rsidTr="006042CA">
            <w:trPr>
              <w:trHeight w:val="295"/>
            </w:trPr>
            <w:tc>
              <w:tcPr>
                <w:tcW w:w="2551" w:type="dxa"/>
                <w:shd w:val="clear" w:color="auto" w:fill="auto"/>
              </w:tcPr>
              <w:p w:rsidR="00E8689F" w:rsidRPr="00020E73" w:rsidRDefault="00E8689F" w:rsidP="006042CA">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E8689F" w:rsidRPr="00020E73" w:rsidRDefault="00E8689F" w:rsidP="006042CA">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E8689F" w:rsidRPr="00020E73" w:rsidRDefault="00E8689F" w:rsidP="006042CA">
                <w:pPr>
                  <w:tabs>
                    <w:tab w:val="right" w:pos="8838"/>
                  </w:tabs>
                  <w:ind w:left="-108" w:right="171"/>
                  <w:jc w:val="both"/>
                  <w:rPr>
                    <w:rFonts w:ascii="Palatino Linotype" w:eastAsia="Calibri" w:hAnsi="Palatino Linotype" w:cs="Tahoma"/>
                    <w:b/>
                    <w:sz w:val="22"/>
                    <w:szCs w:val="22"/>
                    <w:lang w:val="es-ES" w:eastAsia="en-US"/>
                  </w:rPr>
                </w:pPr>
              </w:p>
            </w:tc>
          </w:tr>
        </w:tbl>
        <w:p w:rsidR="00E8689F" w:rsidRPr="005C106F" w:rsidRDefault="00E8689F" w:rsidP="006042CA">
          <w:pPr>
            <w:tabs>
              <w:tab w:val="right" w:pos="8838"/>
            </w:tabs>
            <w:ind w:left="-28"/>
            <w:jc w:val="both"/>
            <w:rPr>
              <w:rFonts w:ascii="Arial" w:eastAsia="Calibri" w:hAnsi="Arial" w:cs="Arial"/>
              <w:b/>
              <w:sz w:val="22"/>
              <w:szCs w:val="22"/>
              <w:lang w:eastAsia="en-US"/>
            </w:rPr>
          </w:pPr>
        </w:p>
      </w:tc>
    </w:tr>
  </w:tbl>
  <w:p w:rsidR="00E8689F" w:rsidRPr="00443C6B" w:rsidRDefault="002602B3" w:rsidP="006042CA">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619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E8689F" w:rsidRPr="00330DA7" w:rsidTr="006042CA">
      <w:trPr>
        <w:trHeight w:val="1435"/>
      </w:trPr>
      <w:tc>
        <w:tcPr>
          <w:tcW w:w="2268" w:type="dxa"/>
          <w:shd w:val="clear" w:color="auto" w:fill="auto"/>
        </w:tcPr>
        <w:p w:rsidR="00E8689F" w:rsidRPr="00330DA7" w:rsidRDefault="00E8689F" w:rsidP="006042CA">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E8689F" w:rsidRPr="00330DA7" w:rsidTr="006042CA">
            <w:trPr>
              <w:trHeight w:val="144"/>
            </w:trPr>
            <w:tc>
              <w:tcPr>
                <w:tcW w:w="2444" w:type="dxa"/>
                <w:shd w:val="clear" w:color="auto" w:fill="auto"/>
              </w:tcPr>
              <w:p w:rsidR="00E8689F" w:rsidRPr="00020E73" w:rsidRDefault="00E8689F" w:rsidP="006042CA">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E8689F" w:rsidRPr="00020E73" w:rsidRDefault="00E8689F" w:rsidP="006042CA">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07458/INFOEM/IP/RR/2024</w:t>
                </w:r>
              </w:p>
            </w:tc>
          </w:tr>
          <w:tr w:rsidR="00E8689F" w:rsidRPr="00330DA7" w:rsidTr="006042CA">
            <w:trPr>
              <w:trHeight w:val="144"/>
            </w:trPr>
            <w:tc>
              <w:tcPr>
                <w:tcW w:w="2444" w:type="dxa"/>
                <w:shd w:val="clear" w:color="auto" w:fill="auto"/>
              </w:tcPr>
              <w:p w:rsidR="00E8689F" w:rsidRPr="00020E73" w:rsidRDefault="00E8689F" w:rsidP="006042CA">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E8689F" w:rsidRPr="00480B8C" w:rsidRDefault="00E8689F" w:rsidP="00023AC6">
                <w:pPr>
                  <w:tabs>
                    <w:tab w:val="left" w:pos="3122"/>
                    <w:tab w:val="right" w:pos="8838"/>
                  </w:tabs>
                  <w:ind w:left="-74" w:right="-105"/>
                  <w:jc w:val="both"/>
                  <w:rPr>
                    <w:rFonts w:ascii="Palatino Linotype" w:eastAsia="Calibri" w:hAnsi="Palatino Linotype" w:cs="Tahoma"/>
                    <w:sz w:val="22"/>
                    <w:szCs w:val="22"/>
                    <w:lang w:val="es-ES" w:eastAsia="en-US"/>
                  </w:rPr>
                </w:pPr>
                <w:r w:rsidRPr="00691A4E">
                  <w:rPr>
                    <w:rFonts w:ascii="Palatino Linotype" w:eastAsia="Calibri" w:hAnsi="Palatino Linotype" w:cs="Tahoma"/>
                    <w:b/>
                    <w:bCs/>
                    <w:sz w:val="22"/>
                    <w:szCs w:val="22"/>
                    <w:lang w:eastAsia="en-US"/>
                  </w:rPr>
                  <w:t> </w:t>
                </w:r>
                <w:r w:rsidR="00023AC6">
                  <w:rPr>
                    <w:rFonts w:ascii="Palatino Linotype" w:eastAsia="Calibri" w:hAnsi="Palatino Linotype" w:cs="Tahoma"/>
                    <w:bCs/>
                    <w:sz w:val="22"/>
                    <w:szCs w:val="22"/>
                    <w:lang w:eastAsia="en-US"/>
                  </w:rPr>
                  <w:t>XXXXXXXXXXX</w:t>
                </w:r>
              </w:p>
            </w:tc>
          </w:tr>
          <w:tr w:rsidR="00E8689F" w:rsidRPr="00330DA7" w:rsidTr="006042CA">
            <w:trPr>
              <w:trHeight w:val="283"/>
            </w:trPr>
            <w:tc>
              <w:tcPr>
                <w:tcW w:w="2444" w:type="dxa"/>
                <w:shd w:val="clear" w:color="auto" w:fill="auto"/>
              </w:tcPr>
              <w:p w:rsidR="00E8689F" w:rsidRPr="00020E73" w:rsidRDefault="00E8689F" w:rsidP="006042CA">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E8689F" w:rsidRPr="00480B8C" w:rsidRDefault="00E8689F" w:rsidP="006042CA">
                <w:pPr>
                  <w:tabs>
                    <w:tab w:val="left" w:pos="2834"/>
                    <w:tab w:val="right" w:pos="8838"/>
                  </w:tabs>
                  <w:ind w:left="-74" w:right="-105"/>
                  <w:jc w:val="both"/>
                  <w:rPr>
                    <w:rFonts w:ascii="Palatino Linotype" w:eastAsia="Calibri" w:hAnsi="Palatino Linotype" w:cs="Tahoma"/>
                    <w:sz w:val="22"/>
                    <w:szCs w:val="22"/>
                    <w:lang w:val="es-ES" w:eastAsia="en-US"/>
                  </w:rPr>
                </w:pPr>
                <w:r w:rsidRPr="00480B8C">
                  <w:rPr>
                    <w:rFonts w:ascii="Palatino Linotype" w:eastAsia="Calibri" w:hAnsi="Palatino Linotype" w:cs="Tahoma"/>
                    <w:bCs/>
                    <w:sz w:val="22"/>
                    <w:szCs w:val="22"/>
                    <w:lang w:eastAsia="en-US"/>
                  </w:rPr>
                  <w:t>Servicios Educativos Integrados al Estado de México</w:t>
                </w:r>
              </w:p>
            </w:tc>
          </w:tr>
          <w:tr w:rsidR="00E8689F" w:rsidRPr="00330DA7" w:rsidTr="006042CA">
            <w:trPr>
              <w:trHeight w:val="283"/>
            </w:trPr>
            <w:tc>
              <w:tcPr>
                <w:tcW w:w="2444" w:type="dxa"/>
                <w:shd w:val="clear" w:color="auto" w:fill="auto"/>
              </w:tcPr>
              <w:p w:rsidR="00E8689F" w:rsidRPr="00020E73" w:rsidRDefault="00E8689F" w:rsidP="006042CA">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E8689F" w:rsidRPr="00020E73" w:rsidRDefault="00E8689F" w:rsidP="006042CA">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E8689F" w:rsidRPr="00020E73" w:rsidRDefault="00E8689F" w:rsidP="006042CA">
                <w:pPr>
                  <w:tabs>
                    <w:tab w:val="right" w:pos="8838"/>
                  </w:tabs>
                  <w:ind w:left="-74" w:right="-105"/>
                  <w:jc w:val="both"/>
                  <w:rPr>
                    <w:rFonts w:ascii="Palatino Linotype" w:eastAsia="Calibri" w:hAnsi="Palatino Linotype" w:cs="Tahoma"/>
                    <w:b/>
                    <w:sz w:val="22"/>
                    <w:szCs w:val="22"/>
                    <w:lang w:val="es-ES" w:eastAsia="en-US"/>
                  </w:rPr>
                </w:pPr>
              </w:p>
            </w:tc>
          </w:tr>
        </w:tbl>
        <w:p w:rsidR="00E8689F" w:rsidRPr="00330DA7" w:rsidRDefault="00E8689F" w:rsidP="006042CA">
          <w:pPr>
            <w:tabs>
              <w:tab w:val="right" w:pos="8838"/>
            </w:tabs>
            <w:ind w:left="-28"/>
            <w:jc w:val="both"/>
            <w:rPr>
              <w:rFonts w:ascii="Arial" w:eastAsia="Calibri" w:hAnsi="Arial" w:cs="Arial"/>
              <w:b/>
              <w:sz w:val="22"/>
              <w:szCs w:val="22"/>
              <w:lang w:eastAsia="en-US"/>
            </w:rPr>
          </w:pPr>
        </w:p>
      </w:tc>
    </w:tr>
  </w:tbl>
  <w:p w:rsidR="00E8689F" w:rsidRPr="00827FA0" w:rsidRDefault="002602B3" w:rsidP="006042CA">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516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1270"/>
    <w:multiLevelType w:val="hybridMultilevel"/>
    <w:tmpl w:val="AFC8FDB4"/>
    <w:lvl w:ilvl="0" w:tplc="F0F2F2C8">
      <w:start w:val="1"/>
      <w:numFmt w:val="decimal"/>
      <w:lvlText w:val="%1."/>
      <w:lvlJc w:val="left"/>
      <w:pPr>
        <w:ind w:left="72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A84A4B"/>
    <w:multiLevelType w:val="hybridMultilevel"/>
    <w:tmpl w:val="AF945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314747"/>
    <w:multiLevelType w:val="hybridMultilevel"/>
    <w:tmpl w:val="8A88F64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BA354C"/>
    <w:multiLevelType w:val="hybridMultilevel"/>
    <w:tmpl w:val="CCEC28A2"/>
    <w:lvl w:ilvl="0" w:tplc="080A0001">
      <w:start w:val="1"/>
      <w:numFmt w:val="bullet"/>
      <w:lvlText w:val=""/>
      <w:lvlJc w:val="left"/>
      <w:pPr>
        <w:ind w:left="2382" w:hanging="360"/>
      </w:pPr>
      <w:rPr>
        <w:rFonts w:ascii="Symbol" w:hAnsi="Symbol" w:hint="default"/>
      </w:rPr>
    </w:lvl>
    <w:lvl w:ilvl="1" w:tplc="080A0003" w:tentative="1">
      <w:start w:val="1"/>
      <w:numFmt w:val="bullet"/>
      <w:lvlText w:val="o"/>
      <w:lvlJc w:val="left"/>
      <w:pPr>
        <w:ind w:left="3102" w:hanging="360"/>
      </w:pPr>
      <w:rPr>
        <w:rFonts w:ascii="Courier New" w:hAnsi="Courier New" w:cs="Courier New" w:hint="default"/>
      </w:rPr>
    </w:lvl>
    <w:lvl w:ilvl="2" w:tplc="080A0005" w:tentative="1">
      <w:start w:val="1"/>
      <w:numFmt w:val="bullet"/>
      <w:lvlText w:val=""/>
      <w:lvlJc w:val="left"/>
      <w:pPr>
        <w:ind w:left="3822" w:hanging="360"/>
      </w:pPr>
      <w:rPr>
        <w:rFonts w:ascii="Wingdings" w:hAnsi="Wingdings" w:hint="default"/>
      </w:rPr>
    </w:lvl>
    <w:lvl w:ilvl="3" w:tplc="080A0001" w:tentative="1">
      <w:start w:val="1"/>
      <w:numFmt w:val="bullet"/>
      <w:lvlText w:val=""/>
      <w:lvlJc w:val="left"/>
      <w:pPr>
        <w:ind w:left="4542" w:hanging="360"/>
      </w:pPr>
      <w:rPr>
        <w:rFonts w:ascii="Symbol" w:hAnsi="Symbol" w:hint="default"/>
      </w:rPr>
    </w:lvl>
    <w:lvl w:ilvl="4" w:tplc="080A0003" w:tentative="1">
      <w:start w:val="1"/>
      <w:numFmt w:val="bullet"/>
      <w:lvlText w:val="o"/>
      <w:lvlJc w:val="left"/>
      <w:pPr>
        <w:ind w:left="5262" w:hanging="360"/>
      </w:pPr>
      <w:rPr>
        <w:rFonts w:ascii="Courier New" w:hAnsi="Courier New" w:cs="Courier New" w:hint="default"/>
      </w:rPr>
    </w:lvl>
    <w:lvl w:ilvl="5" w:tplc="080A0005" w:tentative="1">
      <w:start w:val="1"/>
      <w:numFmt w:val="bullet"/>
      <w:lvlText w:val=""/>
      <w:lvlJc w:val="left"/>
      <w:pPr>
        <w:ind w:left="5982" w:hanging="360"/>
      </w:pPr>
      <w:rPr>
        <w:rFonts w:ascii="Wingdings" w:hAnsi="Wingdings" w:hint="default"/>
      </w:rPr>
    </w:lvl>
    <w:lvl w:ilvl="6" w:tplc="080A0001" w:tentative="1">
      <w:start w:val="1"/>
      <w:numFmt w:val="bullet"/>
      <w:lvlText w:val=""/>
      <w:lvlJc w:val="left"/>
      <w:pPr>
        <w:ind w:left="6702" w:hanging="360"/>
      </w:pPr>
      <w:rPr>
        <w:rFonts w:ascii="Symbol" w:hAnsi="Symbol" w:hint="default"/>
      </w:rPr>
    </w:lvl>
    <w:lvl w:ilvl="7" w:tplc="080A0003" w:tentative="1">
      <w:start w:val="1"/>
      <w:numFmt w:val="bullet"/>
      <w:lvlText w:val="o"/>
      <w:lvlJc w:val="left"/>
      <w:pPr>
        <w:ind w:left="7422" w:hanging="360"/>
      </w:pPr>
      <w:rPr>
        <w:rFonts w:ascii="Courier New" w:hAnsi="Courier New" w:cs="Courier New" w:hint="default"/>
      </w:rPr>
    </w:lvl>
    <w:lvl w:ilvl="8" w:tplc="080A0005" w:tentative="1">
      <w:start w:val="1"/>
      <w:numFmt w:val="bullet"/>
      <w:lvlText w:val=""/>
      <w:lvlJc w:val="left"/>
      <w:pPr>
        <w:ind w:left="8142"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8C"/>
    <w:rsid w:val="00023AC6"/>
    <w:rsid w:val="00084D1E"/>
    <w:rsid w:val="001A4CAC"/>
    <w:rsid w:val="00223CE2"/>
    <w:rsid w:val="002602B3"/>
    <w:rsid w:val="003537E4"/>
    <w:rsid w:val="00480B8C"/>
    <w:rsid w:val="00492BF7"/>
    <w:rsid w:val="004F1ED8"/>
    <w:rsid w:val="005806BA"/>
    <w:rsid w:val="006042CA"/>
    <w:rsid w:val="00641EFD"/>
    <w:rsid w:val="007E4F03"/>
    <w:rsid w:val="008A3B04"/>
    <w:rsid w:val="0090428E"/>
    <w:rsid w:val="00A312DA"/>
    <w:rsid w:val="00B11E21"/>
    <w:rsid w:val="00B66EAE"/>
    <w:rsid w:val="00C74E91"/>
    <w:rsid w:val="00DA099B"/>
    <w:rsid w:val="00DB0924"/>
    <w:rsid w:val="00DE7564"/>
    <w:rsid w:val="00E868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B076162-7B75-4313-94E4-842344BE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8C"/>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semiHidden/>
    <w:unhideWhenUsed/>
    <w:qFormat/>
    <w:rsid w:val="00480B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80B8C"/>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480B8C"/>
    <w:pPr>
      <w:tabs>
        <w:tab w:val="center" w:pos="4419"/>
        <w:tab w:val="right" w:pos="8838"/>
      </w:tabs>
    </w:pPr>
  </w:style>
  <w:style w:type="character" w:customStyle="1" w:styleId="EncabezadoCar">
    <w:name w:val="Encabezado Car"/>
    <w:basedOn w:val="Fuentedeprrafopredeter"/>
    <w:link w:val="Encabezado"/>
    <w:uiPriority w:val="99"/>
    <w:rsid w:val="00480B8C"/>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80B8C"/>
    <w:pPr>
      <w:tabs>
        <w:tab w:val="center" w:pos="4419"/>
        <w:tab w:val="right" w:pos="8838"/>
      </w:tabs>
    </w:pPr>
  </w:style>
  <w:style w:type="character" w:customStyle="1" w:styleId="PiedepginaCar">
    <w:name w:val="Pie de página Car"/>
    <w:basedOn w:val="Fuentedeprrafopredeter"/>
    <w:link w:val="Piedepgina"/>
    <w:uiPriority w:val="99"/>
    <w:rsid w:val="00480B8C"/>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80B8C"/>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480B8C"/>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480B8C"/>
    <w:rPr>
      <w:color w:val="0563C1"/>
      <w:u w:val="single"/>
    </w:rPr>
  </w:style>
  <w:style w:type="paragraph" w:styleId="Sinespaciado">
    <w:name w:val="No Spacing"/>
    <w:aliases w:val="Francesa,INAI"/>
    <w:link w:val="SinespaciadoCar"/>
    <w:uiPriority w:val="1"/>
    <w:qFormat/>
    <w:rsid w:val="00480B8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80B8C"/>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80B8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480B8C"/>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480B8C"/>
    <w:rPr>
      <w:vertAlign w:val="superscript"/>
    </w:rPr>
  </w:style>
  <w:style w:type="character" w:styleId="Hipervnculovisitado">
    <w:name w:val="FollowedHyperlink"/>
    <w:basedOn w:val="Fuentedeprrafopredeter"/>
    <w:uiPriority w:val="99"/>
    <w:semiHidden/>
    <w:unhideWhenUsed/>
    <w:rsid w:val="004F1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32291">
      <w:bodyDiv w:val="1"/>
      <w:marLeft w:val="0"/>
      <w:marRight w:val="0"/>
      <w:marTop w:val="0"/>
      <w:marBottom w:val="0"/>
      <w:divBdr>
        <w:top w:val="none" w:sz="0" w:space="0" w:color="auto"/>
        <w:left w:val="none" w:sz="0" w:space="0" w:color="auto"/>
        <w:bottom w:val="none" w:sz="0" w:space="0" w:color="auto"/>
        <w:right w:val="none" w:sz="0" w:space="0" w:color="auto"/>
      </w:divBdr>
    </w:div>
    <w:div w:id="1246380564">
      <w:bodyDiv w:val="1"/>
      <w:marLeft w:val="0"/>
      <w:marRight w:val="0"/>
      <w:marTop w:val="0"/>
      <w:marBottom w:val="0"/>
      <w:divBdr>
        <w:top w:val="none" w:sz="0" w:space="0" w:color="auto"/>
        <w:left w:val="none" w:sz="0" w:space="0" w:color="auto"/>
        <w:bottom w:val="none" w:sz="0" w:space="0" w:color="auto"/>
        <w:right w:val="none" w:sz="0" w:space="0" w:color="auto"/>
      </w:divBdr>
      <w:divsChild>
        <w:div w:id="1447195913">
          <w:marLeft w:val="0"/>
          <w:marRight w:val="0"/>
          <w:marTop w:val="0"/>
          <w:marBottom w:val="0"/>
          <w:divBdr>
            <w:top w:val="none" w:sz="0" w:space="0" w:color="auto"/>
            <w:left w:val="none" w:sz="0" w:space="0" w:color="auto"/>
            <w:bottom w:val="none" w:sz="0" w:space="0" w:color="auto"/>
            <w:right w:val="none" w:sz="0" w:space="0" w:color="auto"/>
          </w:divBdr>
        </w:div>
        <w:div w:id="1996370105">
          <w:marLeft w:val="0"/>
          <w:marRight w:val="0"/>
          <w:marTop w:val="0"/>
          <w:marBottom w:val="0"/>
          <w:divBdr>
            <w:top w:val="none" w:sz="0" w:space="0" w:color="auto"/>
            <w:left w:val="none" w:sz="0" w:space="0" w:color="auto"/>
            <w:bottom w:val="none" w:sz="0" w:space="0" w:color="auto"/>
            <w:right w:val="none" w:sz="0" w:space="0" w:color="auto"/>
          </w:divBdr>
          <w:divsChild>
            <w:div w:id="2001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01247.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imex.org.mx/saimex/solicitud/downloadAttach/2301246.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310653.pag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mex.org.mx/saimex/solicitud/downloadAttach/2310652.page" TargetMode="External"/><Relationship Id="rId4" Type="http://schemas.openxmlformats.org/officeDocument/2006/relationships/webSettings" Target="webSettings.xml"/><Relationship Id="rId9" Type="http://schemas.openxmlformats.org/officeDocument/2006/relationships/hyperlink" Target="https://compramex.edomex.gob.mx/compramex/public/hom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6338</Words>
  <Characters>34863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4</cp:revision>
  <dcterms:created xsi:type="dcterms:W3CDTF">2025-01-13T18:28:00Z</dcterms:created>
  <dcterms:modified xsi:type="dcterms:W3CDTF">2025-01-24T18:23:00Z</dcterms:modified>
</cp:coreProperties>
</file>