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8441" w14:textId="2D723020" w:rsidR="00403952" w:rsidRPr="008F2AAE" w:rsidRDefault="007C0198">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8F2AA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9A6DBF" w:rsidRPr="008F2AAE">
        <w:rPr>
          <w:rFonts w:ascii="Palatino Linotype" w:eastAsia="Palatino Linotype" w:hAnsi="Palatino Linotype" w:cs="Palatino Linotype"/>
          <w:sz w:val="22"/>
          <w:szCs w:val="22"/>
        </w:rPr>
        <w:t>trece de agosto</w:t>
      </w:r>
      <w:r w:rsidRPr="008F2AAE">
        <w:rPr>
          <w:rFonts w:ascii="Palatino Linotype" w:eastAsia="Palatino Linotype" w:hAnsi="Palatino Linotype" w:cs="Palatino Linotype"/>
          <w:sz w:val="22"/>
          <w:szCs w:val="22"/>
        </w:rPr>
        <w:t xml:space="preserve"> de dos mil veinticinco. </w:t>
      </w:r>
    </w:p>
    <w:p w14:paraId="273E7726" w14:textId="2609D960" w:rsidR="00403952" w:rsidRPr="008F2AAE" w:rsidRDefault="007C0198">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8F2AAE">
        <w:rPr>
          <w:rFonts w:ascii="Palatino Linotype" w:eastAsia="Palatino Linotype" w:hAnsi="Palatino Linotype" w:cs="Palatino Linotype"/>
          <w:b/>
          <w:sz w:val="22"/>
          <w:szCs w:val="22"/>
        </w:rPr>
        <w:t>VISTO</w:t>
      </w:r>
      <w:r w:rsidRPr="008F2AAE">
        <w:rPr>
          <w:rFonts w:ascii="Palatino Linotype" w:eastAsia="Palatino Linotype" w:hAnsi="Palatino Linotype" w:cs="Palatino Linotype"/>
          <w:sz w:val="22"/>
          <w:szCs w:val="22"/>
        </w:rPr>
        <w:t xml:space="preserve"> el expediente formado con motivo del recurso de revisión </w:t>
      </w:r>
      <w:r w:rsidR="009A6DBF" w:rsidRPr="008F2AAE">
        <w:rPr>
          <w:rFonts w:ascii="Palatino Linotype" w:eastAsia="Palatino Linotype" w:hAnsi="Palatino Linotype" w:cs="Palatino Linotype"/>
          <w:b/>
          <w:sz w:val="22"/>
          <w:szCs w:val="22"/>
        </w:rPr>
        <w:t>05</w:t>
      </w:r>
      <w:r w:rsidR="00A413F2" w:rsidRPr="008F2AAE">
        <w:rPr>
          <w:rFonts w:ascii="Palatino Linotype" w:eastAsia="Palatino Linotype" w:hAnsi="Palatino Linotype" w:cs="Palatino Linotype"/>
          <w:b/>
          <w:sz w:val="22"/>
          <w:szCs w:val="22"/>
        </w:rPr>
        <w:t>759</w:t>
      </w:r>
      <w:r w:rsidRPr="008F2AAE">
        <w:rPr>
          <w:rFonts w:ascii="Palatino Linotype" w:eastAsia="Palatino Linotype" w:hAnsi="Palatino Linotype" w:cs="Palatino Linotype"/>
          <w:b/>
          <w:sz w:val="22"/>
          <w:szCs w:val="22"/>
        </w:rPr>
        <w:t>/INFOEM/IP/RR/2025</w:t>
      </w:r>
      <w:r w:rsidRPr="008F2AAE">
        <w:rPr>
          <w:rFonts w:ascii="Palatino Linotype" w:eastAsia="Palatino Linotype" w:hAnsi="Palatino Linotype" w:cs="Palatino Linotype"/>
          <w:sz w:val="22"/>
          <w:szCs w:val="22"/>
        </w:rPr>
        <w:t>, interpuesto por</w:t>
      </w:r>
      <w:r w:rsidRPr="008F2AAE">
        <w:rPr>
          <w:rFonts w:ascii="Palatino Linotype" w:eastAsia="Palatino Linotype" w:hAnsi="Palatino Linotype" w:cs="Palatino Linotype"/>
          <w:b/>
          <w:sz w:val="22"/>
          <w:szCs w:val="22"/>
        </w:rPr>
        <w:t xml:space="preserve"> </w:t>
      </w:r>
      <w:r w:rsidR="00A413F2" w:rsidRPr="008F2AAE">
        <w:rPr>
          <w:rFonts w:ascii="Palatino Linotype" w:eastAsia="Palatino Linotype" w:hAnsi="Palatino Linotype" w:cs="Palatino Linotype"/>
          <w:b/>
          <w:sz w:val="22"/>
          <w:szCs w:val="22"/>
        </w:rPr>
        <w:t>una persona usuaria del Sistema de Acceso a la Información Mexiquense</w:t>
      </w:r>
      <w:r w:rsidRPr="008F2AAE">
        <w:rPr>
          <w:rFonts w:ascii="Palatino Linotype" w:eastAsia="Palatino Linotype" w:hAnsi="Palatino Linotype" w:cs="Palatino Linotype"/>
          <w:b/>
          <w:sz w:val="22"/>
          <w:szCs w:val="22"/>
        </w:rPr>
        <w:t>,</w:t>
      </w:r>
      <w:r w:rsidRPr="008F2AAE">
        <w:rPr>
          <w:rFonts w:ascii="Palatino Linotype" w:eastAsia="Palatino Linotype" w:hAnsi="Palatino Linotype" w:cs="Palatino Linotype"/>
          <w:sz w:val="22"/>
          <w:szCs w:val="22"/>
        </w:rPr>
        <w:t xml:space="preserve"> en lo sucesivo</w:t>
      </w:r>
      <w:r w:rsidRPr="008F2AAE">
        <w:rPr>
          <w:rFonts w:ascii="Palatino Linotype" w:eastAsia="Palatino Linotype" w:hAnsi="Palatino Linotype" w:cs="Palatino Linotype"/>
          <w:b/>
          <w:sz w:val="22"/>
          <w:szCs w:val="22"/>
        </w:rPr>
        <w:t xml:space="preserve"> </w:t>
      </w:r>
      <w:r w:rsidRPr="008F2AAE">
        <w:rPr>
          <w:rFonts w:ascii="Palatino Linotype" w:eastAsia="Palatino Linotype" w:hAnsi="Palatino Linotype" w:cs="Palatino Linotype"/>
          <w:sz w:val="22"/>
          <w:szCs w:val="22"/>
        </w:rPr>
        <w:t xml:space="preserve">la parte </w:t>
      </w:r>
      <w:r w:rsidRPr="008F2AAE">
        <w:rPr>
          <w:rFonts w:ascii="Palatino Linotype" w:eastAsia="Palatino Linotype" w:hAnsi="Palatino Linotype" w:cs="Palatino Linotype"/>
          <w:b/>
          <w:sz w:val="22"/>
          <w:szCs w:val="22"/>
        </w:rPr>
        <w:t>Recurrente,</w:t>
      </w:r>
      <w:r w:rsidRPr="008F2AAE">
        <w:rPr>
          <w:rFonts w:ascii="Palatino Linotype" w:eastAsia="Palatino Linotype" w:hAnsi="Palatino Linotype" w:cs="Palatino Linotype"/>
          <w:sz w:val="22"/>
          <w:szCs w:val="22"/>
        </w:rPr>
        <w:t xml:space="preserve"> en contra de la respuesta a la solicitud de información con número de folio</w:t>
      </w:r>
      <w:r w:rsidRPr="008F2AAE">
        <w:rPr>
          <w:rFonts w:ascii="Palatino Linotype" w:eastAsia="Palatino Linotype" w:hAnsi="Palatino Linotype" w:cs="Palatino Linotype"/>
          <w:b/>
          <w:sz w:val="22"/>
          <w:szCs w:val="22"/>
        </w:rPr>
        <w:t xml:space="preserve"> </w:t>
      </w:r>
      <w:r w:rsidR="009A6DBF" w:rsidRPr="008F2AAE">
        <w:rPr>
          <w:rFonts w:ascii="Palatino Linotype" w:eastAsia="Palatino Linotype" w:hAnsi="Palatino Linotype" w:cs="Palatino Linotype"/>
          <w:b/>
          <w:sz w:val="22"/>
          <w:szCs w:val="22"/>
        </w:rPr>
        <w:t>0</w:t>
      </w:r>
      <w:r w:rsidR="00A413F2" w:rsidRPr="008F2AAE">
        <w:rPr>
          <w:rFonts w:ascii="Palatino Linotype" w:eastAsia="Palatino Linotype" w:hAnsi="Palatino Linotype" w:cs="Palatino Linotype"/>
          <w:b/>
          <w:sz w:val="22"/>
          <w:szCs w:val="22"/>
        </w:rPr>
        <w:t>1909</w:t>
      </w:r>
      <w:r w:rsidR="009A6DBF" w:rsidRPr="008F2AAE">
        <w:rPr>
          <w:rFonts w:ascii="Palatino Linotype" w:eastAsia="Palatino Linotype" w:hAnsi="Palatino Linotype" w:cs="Palatino Linotype"/>
          <w:b/>
          <w:sz w:val="22"/>
          <w:szCs w:val="22"/>
        </w:rPr>
        <w:t>/</w:t>
      </w:r>
      <w:r w:rsidR="00A413F2" w:rsidRPr="008F2AAE">
        <w:rPr>
          <w:rFonts w:ascii="Palatino Linotype" w:eastAsia="Palatino Linotype" w:hAnsi="Palatino Linotype" w:cs="Palatino Linotype"/>
          <w:b/>
          <w:sz w:val="22"/>
          <w:szCs w:val="22"/>
        </w:rPr>
        <w:t>TOLUCA</w:t>
      </w:r>
      <w:r w:rsidR="009A6DBF" w:rsidRPr="008F2AAE">
        <w:rPr>
          <w:rFonts w:ascii="Palatino Linotype" w:eastAsia="Palatino Linotype" w:hAnsi="Palatino Linotype" w:cs="Palatino Linotype"/>
          <w:b/>
          <w:sz w:val="22"/>
          <w:szCs w:val="22"/>
        </w:rPr>
        <w:t>/IP/2025</w:t>
      </w:r>
      <w:r w:rsidRPr="008F2AAE">
        <w:rPr>
          <w:rFonts w:ascii="Palatino Linotype" w:eastAsia="Palatino Linotype" w:hAnsi="Palatino Linotype" w:cs="Palatino Linotype"/>
          <w:b/>
          <w:sz w:val="22"/>
          <w:szCs w:val="22"/>
        </w:rPr>
        <w:t xml:space="preserve">, </w:t>
      </w:r>
      <w:r w:rsidRPr="008F2AAE">
        <w:rPr>
          <w:rFonts w:ascii="Palatino Linotype" w:eastAsia="Palatino Linotype" w:hAnsi="Palatino Linotype" w:cs="Palatino Linotype"/>
          <w:sz w:val="22"/>
          <w:szCs w:val="22"/>
        </w:rPr>
        <w:t xml:space="preserve">por parte del </w:t>
      </w:r>
      <w:r w:rsidR="00A413F2" w:rsidRPr="008F2AAE">
        <w:rPr>
          <w:rFonts w:ascii="Palatino Linotype" w:eastAsia="Palatino Linotype" w:hAnsi="Palatino Linotype" w:cs="Palatino Linotype"/>
          <w:b/>
          <w:sz w:val="22"/>
          <w:szCs w:val="22"/>
        </w:rPr>
        <w:t>Ayuntamiento de Toluca</w:t>
      </w:r>
      <w:r w:rsidRPr="008F2AAE">
        <w:rPr>
          <w:rFonts w:ascii="Palatino Linotype" w:eastAsia="Palatino Linotype" w:hAnsi="Palatino Linotype" w:cs="Palatino Linotype"/>
          <w:b/>
          <w:sz w:val="22"/>
          <w:szCs w:val="22"/>
        </w:rPr>
        <w:t xml:space="preserve">, </w:t>
      </w:r>
      <w:r w:rsidRPr="008F2AAE">
        <w:rPr>
          <w:rFonts w:ascii="Palatino Linotype" w:eastAsia="Palatino Linotype" w:hAnsi="Palatino Linotype" w:cs="Palatino Linotype"/>
          <w:sz w:val="22"/>
          <w:szCs w:val="22"/>
        </w:rPr>
        <w:t xml:space="preserve">en lo sucesivo el </w:t>
      </w:r>
      <w:r w:rsidRPr="008F2AAE">
        <w:rPr>
          <w:rFonts w:ascii="Palatino Linotype" w:eastAsia="Palatino Linotype" w:hAnsi="Palatino Linotype" w:cs="Palatino Linotype"/>
          <w:b/>
          <w:sz w:val="22"/>
          <w:szCs w:val="22"/>
        </w:rPr>
        <w:t xml:space="preserve">Sujeto Obligado, </w:t>
      </w:r>
      <w:r w:rsidRPr="008F2AAE">
        <w:rPr>
          <w:rFonts w:ascii="Palatino Linotype" w:eastAsia="Palatino Linotype" w:hAnsi="Palatino Linotype" w:cs="Palatino Linotype"/>
          <w:sz w:val="22"/>
          <w:szCs w:val="22"/>
        </w:rPr>
        <w:t xml:space="preserve">se procede a dictar la presente resolución con base en los siguientes: </w:t>
      </w:r>
    </w:p>
    <w:p w14:paraId="226DB5DD" w14:textId="77777777" w:rsidR="00403952" w:rsidRPr="008F2AAE" w:rsidRDefault="007C0198">
      <w:pPr>
        <w:spacing w:before="240" w:after="240" w:line="360" w:lineRule="auto"/>
        <w:jc w:val="center"/>
        <w:rPr>
          <w:rFonts w:ascii="Palatino Linotype" w:eastAsia="Palatino Linotype" w:hAnsi="Palatino Linotype" w:cs="Palatino Linotype"/>
          <w:b/>
          <w:sz w:val="22"/>
          <w:szCs w:val="22"/>
        </w:rPr>
      </w:pPr>
      <w:r w:rsidRPr="008F2AAE">
        <w:rPr>
          <w:rFonts w:ascii="Palatino Linotype" w:eastAsia="Palatino Linotype" w:hAnsi="Palatino Linotype" w:cs="Palatino Linotype"/>
          <w:b/>
          <w:sz w:val="22"/>
          <w:szCs w:val="22"/>
        </w:rPr>
        <w:t>I. A N T E C E D E N T E S</w:t>
      </w:r>
    </w:p>
    <w:p w14:paraId="65E69695" w14:textId="51D2EE51" w:rsidR="00403952" w:rsidRPr="008F2AAE" w:rsidRDefault="007C0198">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8F2AAE">
        <w:rPr>
          <w:rFonts w:ascii="Palatino Linotype" w:eastAsia="Palatino Linotype" w:hAnsi="Palatino Linotype" w:cs="Palatino Linotype"/>
          <w:b/>
          <w:sz w:val="22"/>
          <w:szCs w:val="22"/>
        </w:rPr>
        <w:t>1. Solicitud de acceso a la información.</w:t>
      </w:r>
      <w:r w:rsidRPr="008F2AAE">
        <w:rPr>
          <w:rFonts w:ascii="Palatino Linotype" w:eastAsia="Palatino Linotype" w:hAnsi="Palatino Linotype" w:cs="Palatino Linotype"/>
          <w:sz w:val="22"/>
          <w:szCs w:val="22"/>
        </w:rPr>
        <w:t xml:space="preserve"> El </w:t>
      </w:r>
      <w:r w:rsidR="00A413F2" w:rsidRPr="008F2AAE">
        <w:rPr>
          <w:rFonts w:ascii="Palatino Linotype" w:eastAsia="Palatino Linotype" w:hAnsi="Palatino Linotype" w:cs="Palatino Linotype"/>
          <w:b/>
          <w:sz w:val="22"/>
          <w:szCs w:val="22"/>
        </w:rPr>
        <w:t>treinta y uno de marzo</w:t>
      </w:r>
      <w:r w:rsidRPr="008F2AAE">
        <w:rPr>
          <w:rFonts w:ascii="Palatino Linotype" w:eastAsia="Palatino Linotype" w:hAnsi="Palatino Linotype" w:cs="Palatino Linotype"/>
          <w:b/>
          <w:sz w:val="22"/>
          <w:szCs w:val="22"/>
        </w:rPr>
        <w:t xml:space="preserve"> de dos mil veinticinco,</w:t>
      </w:r>
      <w:r w:rsidRPr="008F2AAE">
        <w:rPr>
          <w:rFonts w:ascii="Palatino Linotype" w:eastAsia="Palatino Linotype" w:hAnsi="Palatino Linotype" w:cs="Palatino Linotype"/>
          <w:sz w:val="22"/>
          <w:szCs w:val="22"/>
        </w:rPr>
        <w:t xml:space="preserve"> la parte </w:t>
      </w:r>
      <w:r w:rsidRPr="008F2AAE">
        <w:rPr>
          <w:rFonts w:ascii="Palatino Linotype" w:eastAsia="Palatino Linotype" w:hAnsi="Palatino Linotype" w:cs="Palatino Linotype"/>
          <w:b/>
          <w:sz w:val="22"/>
          <w:szCs w:val="22"/>
        </w:rPr>
        <w:t xml:space="preserve">Recurrente </w:t>
      </w:r>
      <w:r w:rsidRPr="008F2AAE">
        <w:rPr>
          <w:rFonts w:ascii="Palatino Linotype" w:eastAsia="Palatino Linotype" w:hAnsi="Palatino Linotype" w:cs="Palatino Linotype"/>
          <w:sz w:val="22"/>
          <w:szCs w:val="22"/>
        </w:rPr>
        <w:t xml:space="preserve">presentó la solicitud de acceso a la información pública ante el </w:t>
      </w:r>
      <w:r w:rsidRPr="008F2AAE">
        <w:rPr>
          <w:rFonts w:ascii="Palatino Linotype" w:eastAsia="Palatino Linotype" w:hAnsi="Palatino Linotype" w:cs="Palatino Linotype"/>
          <w:b/>
          <w:sz w:val="22"/>
          <w:szCs w:val="22"/>
        </w:rPr>
        <w:t>Sujeto Obligado</w:t>
      </w:r>
      <w:r w:rsidRPr="008F2AAE">
        <w:rPr>
          <w:rFonts w:ascii="Palatino Linotype" w:eastAsia="Palatino Linotype" w:hAnsi="Palatino Linotype" w:cs="Palatino Linotype"/>
          <w:sz w:val="22"/>
          <w:szCs w:val="22"/>
        </w:rPr>
        <w:t xml:space="preserve">, a través del Sistema de Acceso a la Información Mexiquense, en lo subsecuente el </w:t>
      </w:r>
      <w:r w:rsidRPr="008F2AAE">
        <w:rPr>
          <w:rFonts w:ascii="Palatino Linotype" w:eastAsia="Palatino Linotype" w:hAnsi="Palatino Linotype" w:cs="Palatino Linotype"/>
          <w:b/>
          <w:sz w:val="22"/>
          <w:szCs w:val="22"/>
        </w:rPr>
        <w:t>SAIMEX,</w:t>
      </w:r>
      <w:r w:rsidRPr="008F2AAE">
        <w:rPr>
          <w:rFonts w:ascii="Palatino Linotype" w:eastAsia="Palatino Linotype" w:hAnsi="Palatino Linotype" w:cs="Palatino Linotype"/>
          <w:sz w:val="22"/>
          <w:szCs w:val="22"/>
        </w:rPr>
        <w:t xml:space="preserve"> mediante la cual requirió lo siguiente:</w:t>
      </w:r>
    </w:p>
    <w:p w14:paraId="5A2BADEA" w14:textId="1E18C946" w:rsidR="00403952" w:rsidRPr="008F2AAE" w:rsidRDefault="007C0198">
      <w:pPr>
        <w:spacing w:before="120" w:after="120"/>
        <w:ind w:left="851" w:right="902"/>
        <w:jc w:val="both"/>
        <w:rPr>
          <w:rFonts w:ascii="Palatino Linotype" w:eastAsia="Palatino Linotype" w:hAnsi="Palatino Linotype" w:cs="Palatino Linotype"/>
          <w:b/>
          <w:i/>
          <w:sz w:val="22"/>
          <w:szCs w:val="22"/>
        </w:rPr>
      </w:pPr>
      <w:r w:rsidRPr="008F2AAE">
        <w:rPr>
          <w:rFonts w:ascii="Palatino Linotype" w:eastAsia="Palatino Linotype" w:hAnsi="Palatino Linotype" w:cs="Palatino Linotype"/>
          <w:i/>
          <w:sz w:val="22"/>
          <w:szCs w:val="22"/>
        </w:rPr>
        <w:t xml:space="preserve"> “</w:t>
      </w:r>
      <w:r w:rsidR="00A413F2" w:rsidRPr="008F2AAE">
        <w:rPr>
          <w:rFonts w:ascii="Palatino Linotype" w:eastAsia="Palatino Linotype" w:hAnsi="Palatino Linotype" w:cs="Palatino Linotype"/>
          <w:i/>
          <w:sz w:val="22"/>
          <w:szCs w:val="22"/>
        </w:rPr>
        <w:t xml:space="preserve">Se solicita los resultados preliminares de las elecciones de autoridades </w:t>
      </w:r>
      <w:proofErr w:type="spellStart"/>
      <w:r w:rsidR="00A413F2" w:rsidRPr="008F2AAE">
        <w:rPr>
          <w:rFonts w:ascii="Palatino Linotype" w:eastAsia="Palatino Linotype" w:hAnsi="Palatino Linotype" w:cs="Palatino Linotype"/>
          <w:i/>
          <w:sz w:val="22"/>
          <w:szCs w:val="22"/>
        </w:rPr>
        <w:t>auximiales</w:t>
      </w:r>
      <w:proofErr w:type="spellEnd"/>
      <w:r w:rsidR="00EF3FCC" w:rsidRPr="008F2AAE">
        <w:rPr>
          <w:rFonts w:ascii="Palatino Linotype" w:eastAsia="Palatino Linotype" w:hAnsi="Palatino Linotype" w:cs="Palatino Linotype"/>
          <w:i/>
          <w:sz w:val="22"/>
          <w:szCs w:val="22"/>
        </w:rPr>
        <w:t xml:space="preserve"> </w:t>
      </w:r>
      <w:r w:rsidR="00A413F2" w:rsidRPr="008F2AAE">
        <w:rPr>
          <w:rFonts w:ascii="Palatino Linotype" w:eastAsia="Palatino Linotype" w:hAnsi="Palatino Linotype" w:cs="Palatino Linotype"/>
          <w:i/>
          <w:sz w:val="22"/>
          <w:szCs w:val="22"/>
        </w:rPr>
        <w:t>por casilla, sección y delegaciones</w:t>
      </w:r>
      <w:r w:rsidRPr="008F2AAE">
        <w:rPr>
          <w:rFonts w:ascii="Palatino Linotype" w:eastAsia="Palatino Linotype" w:hAnsi="Palatino Linotype" w:cs="Palatino Linotype"/>
          <w:i/>
          <w:sz w:val="22"/>
          <w:szCs w:val="22"/>
        </w:rPr>
        <w:t>.”</w:t>
      </w:r>
    </w:p>
    <w:p w14:paraId="58BBD767"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8F2AAE">
        <w:rPr>
          <w:rFonts w:ascii="Palatino Linotype" w:eastAsia="Palatino Linotype" w:hAnsi="Palatino Linotype" w:cs="Palatino Linotype"/>
          <w:b/>
          <w:sz w:val="22"/>
          <w:szCs w:val="22"/>
        </w:rPr>
        <w:t>Modalidad de Entrega:</w:t>
      </w:r>
      <w:r w:rsidRPr="008F2AAE">
        <w:rPr>
          <w:rFonts w:ascii="Palatino Linotype" w:eastAsia="Palatino Linotype" w:hAnsi="Palatino Linotype" w:cs="Palatino Linotype"/>
          <w:sz w:val="22"/>
          <w:szCs w:val="22"/>
        </w:rPr>
        <w:t xml:space="preserve"> a través del</w:t>
      </w:r>
      <w:r w:rsidRPr="008F2AAE">
        <w:rPr>
          <w:rFonts w:ascii="Palatino Linotype" w:eastAsia="Palatino Linotype" w:hAnsi="Palatino Linotype" w:cs="Palatino Linotype"/>
          <w:b/>
          <w:sz w:val="22"/>
          <w:szCs w:val="22"/>
        </w:rPr>
        <w:t xml:space="preserve"> SAIMEX.</w:t>
      </w:r>
    </w:p>
    <w:p w14:paraId="01C2B6C5" w14:textId="77777777" w:rsidR="00A413F2" w:rsidRPr="008F2AAE" w:rsidRDefault="007C0198" w:rsidP="00A413F2">
      <w:pPr>
        <w:spacing w:before="240" w:after="240" w:line="360" w:lineRule="auto"/>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b/>
          <w:sz w:val="22"/>
          <w:szCs w:val="22"/>
        </w:rPr>
        <w:t xml:space="preserve">2. Respuesta. </w:t>
      </w:r>
      <w:r w:rsidRPr="008F2AAE">
        <w:rPr>
          <w:rFonts w:ascii="Palatino Linotype" w:eastAsia="Palatino Linotype" w:hAnsi="Palatino Linotype" w:cs="Palatino Linotype"/>
          <w:sz w:val="22"/>
          <w:szCs w:val="22"/>
        </w:rPr>
        <w:t xml:space="preserve">El </w:t>
      </w:r>
      <w:r w:rsidR="00A413F2" w:rsidRPr="008F2AAE">
        <w:rPr>
          <w:rFonts w:ascii="Palatino Linotype" w:eastAsia="Palatino Linotype" w:hAnsi="Palatino Linotype" w:cs="Palatino Linotype"/>
          <w:b/>
          <w:sz w:val="22"/>
          <w:szCs w:val="22"/>
        </w:rPr>
        <w:t>veintiocho de abril</w:t>
      </w:r>
      <w:r w:rsidRPr="008F2AAE">
        <w:rPr>
          <w:rFonts w:ascii="Palatino Linotype" w:eastAsia="Palatino Linotype" w:hAnsi="Palatino Linotype" w:cs="Palatino Linotype"/>
          <w:b/>
          <w:sz w:val="22"/>
          <w:szCs w:val="22"/>
        </w:rPr>
        <w:t xml:space="preserve"> de dos mil veinticinco,</w:t>
      </w:r>
      <w:r w:rsidRPr="008F2AAE">
        <w:rPr>
          <w:rFonts w:ascii="Palatino Linotype" w:eastAsia="Palatino Linotype" w:hAnsi="Palatino Linotype" w:cs="Palatino Linotype"/>
          <w:sz w:val="22"/>
          <w:szCs w:val="22"/>
        </w:rPr>
        <w:t xml:space="preserve"> el </w:t>
      </w:r>
      <w:r w:rsidRPr="008F2AAE">
        <w:rPr>
          <w:rFonts w:ascii="Palatino Linotype" w:eastAsia="Palatino Linotype" w:hAnsi="Palatino Linotype" w:cs="Palatino Linotype"/>
          <w:b/>
          <w:sz w:val="22"/>
          <w:szCs w:val="22"/>
        </w:rPr>
        <w:t xml:space="preserve">Sujeto Obligado </w:t>
      </w:r>
      <w:r w:rsidRPr="008F2AAE">
        <w:rPr>
          <w:rFonts w:ascii="Palatino Linotype" w:eastAsia="Palatino Linotype" w:hAnsi="Palatino Linotype" w:cs="Palatino Linotype"/>
          <w:sz w:val="22"/>
          <w:szCs w:val="22"/>
        </w:rPr>
        <w:t>envió su respuesta a la solicitud de acceso a la información a través del SAIMEX,</w:t>
      </w:r>
      <w:r w:rsidR="00A413F2" w:rsidRPr="008F2AAE">
        <w:rPr>
          <w:rFonts w:ascii="Palatino Linotype" w:eastAsia="Palatino Linotype" w:hAnsi="Palatino Linotype" w:cs="Palatino Linotype"/>
          <w:sz w:val="22"/>
          <w:szCs w:val="22"/>
        </w:rPr>
        <w:t xml:space="preserve"> la cual fue previamente del conocimiento de la partes.</w:t>
      </w:r>
    </w:p>
    <w:p w14:paraId="07CD1980" w14:textId="00AB2B5D" w:rsidR="00403952" w:rsidRPr="008F2AAE" w:rsidRDefault="007C0198" w:rsidP="00A413F2">
      <w:pPr>
        <w:spacing w:before="240" w:after="240" w:line="360" w:lineRule="auto"/>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b/>
          <w:sz w:val="22"/>
          <w:szCs w:val="22"/>
        </w:rPr>
        <w:t xml:space="preserve">3. Interposición del recurso de revisión. </w:t>
      </w:r>
      <w:r w:rsidRPr="008F2AAE">
        <w:rPr>
          <w:rFonts w:ascii="Palatino Linotype" w:eastAsia="Palatino Linotype" w:hAnsi="Palatino Linotype" w:cs="Palatino Linotype"/>
          <w:sz w:val="22"/>
          <w:szCs w:val="22"/>
        </w:rPr>
        <w:t xml:space="preserve">Inconforme con los términos de la respuesta emitida por parte del </w:t>
      </w:r>
      <w:r w:rsidRPr="008F2AAE">
        <w:rPr>
          <w:rFonts w:ascii="Palatino Linotype" w:eastAsia="Palatino Linotype" w:hAnsi="Palatino Linotype" w:cs="Palatino Linotype"/>
          <w:b/>
          <w:sz w:val="22"/>
          <w:szCs w:val="22"/>
        </w:rPr>
        <w:t>Sujeto Obligado</w:t>
      </w:r>
      <w:r w:rsidRPr="008F2AAE">
        <w:rPr>
          <w:rFonts w:ascii="Palatino Linotype" w:eastAsia="Palatino Linotype" w:hAnsi="Palatino Linotype" w:cs="Palatino Linotype"/>
          <w:sz w:val="22"/>
          <w:szCs w:val="22"/>
        </w:rPr>
        <w:t xml:space="preserve">, el </w:t>
      </w:r>
      <w:r w:rsidR="00A413F2" w:rsidRPr="008F2AAE">
        <w:rPr>
          <w:rFonts w:ascii="Palatino Linotype" w:eastAsia="Palatino Linotype" w:hAnsi="Palatino Linotype" w:cs="Palatino Linotype"/>
          <w:b/>
          <w:sz w:val="22"/>
          <w:szCs w:val="22"/>
        </w:rPr>
        <w:t>veintiuno</w:t>
      </w:r>
      <w:r w:rsidR="004D6954" w:rsidRPr="008F2AAE">
        <w:rPr>
          <w:rFonts w:ascii="Palatino Linotype" w:eastAsia="Palatino Linotype" w:hAnsi="Palatino Linotype" w:cs="Palatino Linotype"/>
          <w:b/>
          <w:sz w:val="22"/>
          <w:szCs w:val="22"/>
        </w:rPr>
        <w:t xml:space="preserve"> de mayo</w:t>
      </w:r>
      <w:r w:rsidRPr="008F2AAE">
        <w:rPr>
          <w:rFonts w:ascii="Palatino Linotype" w:eastAsia="Palatino Linotype" w:hAnsi="Palatino Linotype" w:cs="Palatino Linotype"/>
          <w:b/>
          <w:sz w:val="22"/>
          <w:szCs w:val="22"/>
        </w:rPr>
        <w:t xml:space="preserve"> de dos mil veinticinco,</w:t>
      </w:r>
      <w:r w:rsidRPr="008F2AAE">
        <w:rPr>
          <w:rFonts w:ascii="Palatino Linotype" w:eastAsia="Palatino Linotype" w:hAnsi="Palatino Linotype" w:cs="Palatino Linotype"/>
          <w:sz w:val="22"/>
          <w:szCs w:val="22"/>
        </w:rPr>
        <w:t xml:space="preserve"> la </w:t>
      </w:r>
      <w:r w:rsidRPr="008F2AAE">
        <w:rPr>
          <w:rFonts w:ascii="Palatino Linotype" w:eastAsia="Palatino Linotype" w:hAnsi="Palatino Linotype" w:cs="Palatino Linotype"/>
          <w:sz w:val="22"/>
          <w:szCs w:val="22"/>
        </w:rPr>
        <w:lastRenderedPageBreak/>
        <w:t xml:space="preserve">parte </w:t>
      </w:r>
      <w:r w:rsidRPr="008F2AAE">
        <w:rPr>
          <w:rFonts w:ascii="Palatino Linotype" w:eastAsia="Palatino Linotype" w:hAnsi="Palatino Linotype" w:cs="Palatino Linotype"/>
          <w:b/>
          <w:sz w:val="22"/>
          <w:szCs w:val="22"/>
        </w:rPr>
        <w:t>Recurrente</w:t>
      </w:r>
      <w:r w:rsidRPr="008F2AAE">
        <w:rPr>
          <w:rFonts w:ascii="Palatino Linotype" w:eastAsia="Palatino Linotype" w:hAnsi="Palatino Linotype" w:cs="Palatino Linotype"/>
          <w:sz w:val="22"/>
          <w:szCs w:val="22"/>
        </w:rPr>
        <w:t xml:space="preserve"> interpuso el recurso de revisión a través de </w:t>
      </w:r>
      <w:r w:rsidRPr="008F2AAE">
        <w:rPr>
          <w:rFonts w:ascii="Palatino Linotype" w:eastAsia="Palatino Linotype" w:hAnsi="Palatino Linotype" w:cs="Palatino Linotype"/>
          <w:b/>
          <w:sz w:val="22"/>
          <w:szCs w:val="22"/>
        </w:rPr>
        <w:t xml:space="preserve">SAIMEX, </w:t>
      </w:r>
      <w:r w:rsidRPr="008F2AAE">
        <w:rPr>
          <w:rFonts w:ascii="Palatino Linotype" w:eastAsia="Palatino Linotype" w:hAnsi="Palatino Linotype" w:cs="Palatino Linotype"/>
          <w:sz w:val="22"/>
          <w:szCs w:val="22"/>
        </w:rPr>
        <w:t>en donde se manifestó de la siguiente manera:</w:t>
      </w:r>
    </w:p>
    <w:p w14:paraId="6257F8D9" w14:textId="77777777" w:rsidR="00403952" w:rsidRPr="008F2AAE" w:rsidRDefault="007C0198">
      <w:pPr>
        <w:spacing w:before="240" w:after="240" w:line="360" w:lineRule="auto"/>
        <w:ind w:right="49"/>
        <w:jc w:val="both"/>
        <w:rPr>
          <w:rFonts w:ascii="Palatino Linotype" w:eastAsia="Palatino Linotype" w:hAnsi="Palatino Linotype" w:cs="Palatino Linotype"/>
          <w:bCs/>
          <w:sz w:val="22"/>
          <w:szCs w:val="22"/>
        </w:rPr>
      </w:pPr>
      <w:r w:rsidRPr="008F2AAE">
        <w:rPr>
          <w:rFonts w:ascii="Palatino Linotype" w:eastAsia="Palatino Linotype" w:hAnsi="Palatino Linotype" w:cs="Palatino Linotype"/>
          <w:b/>
          <w:sz w:val="22"/>
          <w:szCs w:val="22"/>
        </w:rPr>
        <w:t xml:space="preserve">Acto impugnado: </w:t>
      </w:r>
    </w:p>
    <w:p w14:paraId="63F28342" w14:textId="355FF85C" w:rsidR="00403952" w:rsidRPr="008F2AAE" w:rsidRDefault="007C0198">
      <w:pPr>
        <w:tabs>
          <w:tab w:val="left" w:pos="2745"/>
        </w:tabs>
        <w:spacing w:before="240" w:after="240"/>
        <w:ind w:left="851" w:right="900"/>
        <w:jc w:val="both"/>
        <w:rPr>
          <w:rFonts w:ascii="Palatino Linotype" w:eastAsia="Palatino Linotype" w:hAnsi="Palatino Linotype" w:cs="Palatino Linotype"/>
          <w:bCs/>
          <w:i/>
          <w:sz w:val="22"/>
          <w:szCs w:val="22"/>
        </w:rPr>
      </w:pPr>
      <w:r w:rsidRPr="008F2AAE">
        <w:rPr>
          <w:rFonts w:ascii="Palatino Linotype" w:eastAsia="Palatino Linotype" w:hAnsi="Palatino Linotype" w:cs="Palatino Linotype"/>
          <w:bCs/>
          <w:i/>
          <w:sz w:val="22"/>
          <w:szCs w:val="22"/>
        </w:rPr>
        <w:t>“</w:t>
      </w:r>
      <w:r w:rsidR="00A413F2" w:rsidRPr="008F2AAE">
        <w:rPr>
          <w:rFonts w:ascii="Palatino Linotype" w:eastAsia="Palatino Linotype" w:hAnsi="Palatino Linotype" w:cs="Palatino Linotype"/>
          <w:bCs/>
          <w:i/>
          <w:sz w:val="22"/>
          <w:szCs w:val="22"/>
        </w:rPr>
        <w:t>La entrega de la información incompleta</w:t>
      </w:r>
      <w:r w:rsidRPr="008F2AAE">
        <w:rPr>
          <w:rFonts w:ascii="Palatino Linotype" w:eastAsia="Palatino Linotype" w:hAnsi="Palatino Linotype" w:cs="Palatino Linotype"/>
          <w:bCs/>
          <w:i/>
          <w:sz w:val="22"/>
          <w:szCs w:val="22"/>
        </w:rPr>
        <w:t xml:space="preserve">” </w:t>
      </w:r>
    </w:p>
    <w:p w14:paraId="69A2606D" w14:textId="77777777" w:rsidR="00403952" w:rsidRPr="008F2AAE" w:rsidRDefault="007C0198">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8F2AAE">
        <w:rPr>
          <w:rFonts w:ascii="Palatino Linotype" w:eastAsia="Palatino Linotype" w:hAnsi="Palatino Linotype" w:cs="Palatino Linotype"/>
          <w:b/>
          <w:sz w:val="22"/>
          <w:szCs w:val="22"/>
        </w:rPr>
        <w:t>Y, Razones o motivos de inconformidad</w:t>
      </w:r>
      <w:r w:rsidRPr="008F2AAE">
        <w:rPr>
          <w:rFonts w:ascii="Palatino Linotype" w:eastAsia="Palatino Linotype" w:hAnsi="Palatino Linotype" w:cs="Palatino Linotype"/>
          <w:sz w:val="22"/>
          <w:szCs w:val="22"/>
        </w:rPr>
        <w:t>:</w:t>
      </w:r>
    </w:p>
    <w:p w14:paraId="155A338E" w14:textId="559FA61D" w:rsidR="00403952" w:rsidRPr="008F2AAE" w:rsidRDefault="007C0198">
      <w:pPr>
        <w:tabs>
          <w:tab w:val="left" w:pos="2745"/>
        </w:tabs>
        <w:spacing w:before="240" w:after="240"/>
        <w:ind w:left="851" w:right="900"/>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i/>
          <w:sz w:val="22"/>
          <w:szCs w:val="22"/>
        </w:rPr>
        <w:t>“</w:t>
      </w:r>
      <w:r w:rsidR="00A413F2" w:rsidRPr="008F2AAE">
        <w:rPr>
          <w:rFonts w:ascii="Palatino Linotype" w:eastAsia="Palatino Linotype" w:hAnsi="Palatino Linotype" w:cs="Palatino Linotype"/>
          <w:i/>
          <w:sz w:val="22"/>
          <w:szCs w:val="22"/>
        </w:rPr>
        <w:t>La entrega de la información incompleta</w:t>
      </w:r>
      <w:r w:rsidRPr="008F2AAE">
        <w:rPr>
          <w:rFonts w:ascii="Palatino Linotype" w:eastAsia="Palatino Linotype" w:hAnsi="Palatino Linotype" w:cs="Palatino Linotype"/>
          <w:i/>
          <w:sz w:val="22"/>
          <w:szCs w:val="22"/>
        </w:rPr>
        <w:t xml:space="preserve">” </w:t>
      </w:r>
    </w:p>
    <w:p w14:paraId="40788F06" w14:textId="77777777" w:rsidR="00403952" w:rsidRPr="008F2AAE" w:rsidRDefault="007C0198">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b/>
          <w:sz w:val="22"/>
          <w:szCs w:val="22"/>
        </w:rPr>
        <w:t xml:space="preserve">4. Turno. </w:t>
      </w:r>
      <w:r w:rsidRPr="008F2AA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F2AAE">
        <w:rPr>
          <w:rFonts w:ascii="Palatino Linotype" w:eastAsia="Palatino Linotype" w:hAnsi="Palatino Linotype" w:cs="Palatino Linotype"/>
          <w:b/>
          <w:sz w:val="22"/>
          <w:szCs w:val="22"/>
        </w:rPr>
        <w:t xml:space="preserve">Guadalupe Ramírez Peña, </w:t>
      </w:r>
      <w:r w:rsidRPr="008F2AAE">
        <w:rPr>
          <w:rFonts w:ascii="Palatino Linotype" w:eastAsia="Palatino Linotype" w:hAnsi="Palatino Linotype" w:cs="Palatino Linotype"/>
          <w:sz w:val="22"/>
          <w:szCs w:val="22"/>
        </w:rPr>
        <w:t xml:space="preserve">a efecto de que analizara sobre su admisión o su </w:t>
      </w:r>
      <w:proofErr w:type="spellStart"/>
      <w:r w:rsidRPr="008F2AAE">
        <w:rPr>
          <w:rFonts w:ascii="Palatino Linotype" w:eastAsia="Palatino Linotype" w:hAnsi="Palatino Linotype" w:cs="Palatino Linotype"/>
          <w:sz w:val="22"/>
          <w:szCs w:val="22"/>
        </w:rPr>
        <w:t>desechamiento</w:t>
      </w:r>
      <w:proofErr w:type="spellEnd"/>
      <w:r w:rsidRPr="008F2AAE">
        <w:rPr>
          <w:rFonts w:ascii="Palatino Linotype" w:eastAsia="Palatino Linotype" w:hAnsi="Palatino Linotype" w:cs="Palatino Linotype"/>
          <w:sz w:val="22"/>
          <w:szCs w:val="22"/>
        </w:rPr>
        <w:t>.</w:t>
      </w:r>
    </w:p>
    <w:p w14:paraId="6C13BB1C" w14:textId="37344069" w:rsidR="00403952" w:rsidRPr="008F2AAE" w:rsidRDefault="007C0198">
      <w:pPr>
        <w:spacing w:before="240" w:after="240" w:line="360" w:lineRule="auto"/>
        <w:jc w:val="both"/>
        <w:rPr>
          <w:rFonts w:ascii="Palatino Linotype" w:eastAsia="Palatino Linotype" w:hAnsi="Palatino Linotype" w:cs="Palatino Linotype"/>
          <w:b/>
          <w:sz w:val="22"/>
          <w:szCs w:val="22"/>
        </w:rPr>
      </w:pPr>
      <w:r w:rsidRPr="008F2AAE">
        <w:rPr>
          <w:rFonts w:ascii="Palatino Linotype" w:eastAsia="Palatino Linotype" w:hAnsi="Palatino Linotype" w:cs="Palatino Linotype"/>
          <w:b/>
          <w:sz w:val="22"/>
          <w:szCs w:val="22"/>
        </w:rPr>
        <w:t>5. Admisión del Recurso de revisión.</w:t>
      </w:r>
      <w:r w:rsidRPr="008F2AAE">
        <w:rPr>
          <w:rFonts w:ascii="Palatino Linotype" w:eastAsia="Palatino Linotype" w:hAnsi="Palatino Linotype" w:cs="Palatino Linotype"/>
          <w:sz w:val="22"/>
          <w:szCs w:val="22"/>
        </w:rPr>
        <w:t xml:space="preserve"> El</w:t>
      </w:r>
      <w:r w:rsidRPr="008F2AAE">
        <w:rPr>
          <w:rFonts w:ascii="Palatino Linotype" w:eastAsia="Palatino Linotype" w:hAnsi="Palatino Linotype" w:cs="Palatino Linotype"/>
          <w:b/>
          <w:sz w:val="22"/>
          <w:szCs w:val="22"/>
        </w:rPr>
        <w:t xml:space="preserve"> </w:t>
      </w:r>
      <w:r w:rsidR="00A413F2" w:rsidRPr="008F2AAE">
        <w:rPr>
          <w:rFonts w:ascii="Palatino Linotype" w:eastAsia="Palatino Linotype" w:hAnsi="Palatino Linotype" w:cs="Palatino Linotype"/>
          <w:b/>
          <w:sz w:val="22"/>
          <w:szCs w:val="22"/>
        </w:rPr>
        <w:t>veintiséis</w:t>
      </w:r>
      <w:r w:rsidR="004D6954" w:rsidRPr="008F2AAE">
        <w:rPr>
          <w:rFonts w:ascii="Palatino Linotype" w:eastAsia="Palatino Linotype" w:hAnsi="Palatino Linotype" w:cs="Palatino Linotype"/>
          <w:b/>
          <w:sz w:val="22"/>
          <w:szCs w:val="22"/>
        </w:rPr>
        <w:t xml:space="preserve"> de mayo</w:t>
      </w:r>
      <w:r w:rsidRPr="008F2AAE">
        <w:rPr>
          <w:rFonts w:ascii="Palatino Linotype" w:eastAsia="Palatino Linotype" w:hAnsi="Palatino Linotype" w:cs="Palatino Linotype"/>
          <w:b/>
          <w:sz w:val="22"/>
          <w:szCs w:val="22"/>
        </w:rPr>
        <w:t xml:space="preserve"> de dos mil veinticinco, </w:t>
      </w:r>
      <w:r w:rsidRPr="008F2AA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F2AAE">
        <w:rPr>
          <w:rFonts w:ascii="Palatino Linotype" w:eastAsia="Palatino Linotype" w:hAnsi="Palatino Linotype" w:cs="Palatino Linotype"/>
          <w:b/>
          <w:sz w:val="22"/>
          <w:szCs w:val="22"/>
        </w:rPr>
        <w:t xml:space="preserve">Sujeto Obligado </w:t>
      </w:r>
      <w:r w:rsidRPr="008F2AAE">
        <w:rPr>
          <w:rFonts w:ascii="Palatino Linotype" w:eastAsia="Palatino Linotype" w:hAnsi="Palatino Linotype" w:cs="Palatino Linotype"/>
          <w:sz w:val="22"/>
          <w:szCs w:val="22"/>
        </w:rPr>
        <w:t>presentara su informe justificado.</w:t>
      </w:r>
    </w:p>
    <w:p w14:paraId="4BFE0A85" w14:textId="3EDEBCA7" w:rsidR="00403952" w:rsidRPr="008F2AAE" w:rsidRDefault="007C0198">
      <w:pPr>
        <w:spacing w:before="240" w:after="240" w:line="360" w:lineRule="auto"/>
        <w:jc w:val="both"/>
        <w:rPr>
          <w:rFonts w:ascii="Palatino Linotype" w:eastAsia="Palatino Linotype" w:hAnsi="Palatino Linotype" w:cs="Palatino Linotype"/>
          <w:b/>
          <w:bCs/>
          <w:sz w:val="22"/>
          <w:szCs w:val="22"/>
        </w:rPr>
      </w:pPr>
      <w:bookmarkStart w:id="5" w:name="_heading=h.2s8eyo1" w:colFirst="0" w:colLast="0"/>
      <w:bookmarkEnd w:id="5"/>
      <w:r w:rsidRPr="008F2AAE">
        <w:rPr>
          <w:rFonts w:ascii="Palatino Linotype" w:eastAsia="Palatino Linotype" w:hAnsi="Palatino Linotype" w:cs="Palatino Linotype"/>
          <w:b/>
          <w:sz w:val="22"/>
          <w:szCs w:val="22"/>
        </w:rPr>
        <w:t>6. Manifestaciones</w:t>
      </w:r>
      <w:r w:rsidRPr="008F2AAE">
        <w:rPr>
          <w:rFonts w:ascii="Palatino Linotype" w:eastAsia="Palatino Linotype" w:hAnsi="Palatino Linotype" w:cs="Palatino Linotype"/>
          <w:sz w:val="22"/>
          <w:szCs w:val="22"/>
        </w:rPr>
        <w:t xml:space="preserve">. De las constancias que obran en el expediente electrónico </w:t>
      </w:r>
      <w:r w:rsidR="00A413F2" w:rsidRPr="008F2AAE">
        <w:rPr>
          <w:rFonts w:ascii="Palatino Linotype" w:eastAsia="Palatino Linotype" w:hAnsi="Palatino Linotype" w:cs="Palatino Linotype"/>
          <w:sz w:val="22"/>
          <w:szCs w:val="22"/>
        </w:rPr>
        <w:t xml:space="preserve">en fecha </w:t>
      </w:r>
      <w:r w:rsidR="00A413F2" w:rsidRPr="008F2AAE">
        <w:rPr>
          <w:rFonts w:ascii="Palatino Linotype" w:eastAsia="Palatino Linotype" w:hAnsi="Palatino Linotype" w:cs="Palatino Linotype"/>
          <w:b/>
          <w:bCs/>
          <w:sz w:val="22"/>
          <w:szCs w:val="22"/>
        </w:rPr>
        <w:t>cuatro de junio de dos mil veinticinco</w:t>
      </w:r>
      <w:r w:rsidR="00A413F2" w:rsidRPr="008F2AAE">
        <w:rPr>
          <w:rFonts w:ascii="Palatino Linotype" w:eastAsia="Palatino Linotype" w:hAnsi="Palatino Linotype" w:cs="Palatino Linotype"/>
          <w:sz w:val="22"/>
          <w:szCs w:val="22"/>
        </w:rPr>
        <w:t xml:space="preserve">, el </w:t>
      </w:r>
      <w:r w:rsidR="00A413F2" w:rsidRPr="008F2AAE">
        <w:rPr>
          <w:rFonts w:ascii="Palatino Linotype" w:eastAsia="Palatino Linotype" w:hAnsi="Palatino Linotype" w:cs="Palatino Linotype"/>
          <w:b/>
          <w:bCs/>
          <w:sz w:val="22"/>
          <w:szCs w:val="22"/>
        </w:rPr>
        <w:t xml:space="preserve">SUJETO OBLIGADO </w:t>
      </w:r>
      <w:r w:rsidR="00A413F2" w:rsidRPr="008F2AAE">
        <w:rPr>
          <w:rFonts w:ascii="Palatino Linotype" w:eastAsia="Palatino Linotype" w:hAnsi="Palatino Linotype" w:cs="Palatino Linotype"/>
          <w:sz w:val="22"/>
          <w:szCs w:val="22"/>
        </w:rPr>
        <w:t xml:space="preserve">rindió su informe justificado el cual fue del conocimiento de la parte Recurrente el </w:t>
      </w:r>
      <w:r w:rsidR="00EA0C79" w:rsidRPr="008F2AAE">
        <w:rPr>
          <w:rFonts w:ascii="Palatino Linotype" w:eastAsia="Palatino Linotype" w:hAnsi="Palatino Linotype" w:cs="Palatino Linotype"/>
          <w:b/>
          <w:bCs/>
          <w:sz w:val="22"/>
          <w:szCs w:val="22"/>
        </w:rPr>
        <w:t>seis</w:t>
      </w:r>
      <w:r w:rsidR="00A413F2" w:rsidRPr="008F2AAE">
        <w:rPr>
          <w:rFonts w:ascii="Palatino Linotype" w:eastAsia="Palatino Linotype" w:hAnsi="Palatino Linotype" w:cs="Palatino Linotype"/>
          <w:b/>
          <w:bCs/>
          <w:sz w:val="22"/>
          <w:szCs w:val="22"/>
        </w:rPr>
        <w:t xml:space="preserve"> de agosto de dos mil veinticinco. </w:t>
      </w:r>
    </w:p>
    <w:p w14:paraId="6BE67924" w14:textId="4E85C659" w:rsidR="00403952" w:rsidRPr="008F2AAE" w:rsidRDefault="00803F5D">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La parte Recurrente </w:t>
      </w:r>
      <w:r w:rsidR="00A413F2" w:rsidRPr="008F2AAE">
        <w:rPr>
          <w:rFonts w:ascii="Palatino Linotype" w:eastAsia="Palatino Linotype" w:hAnsi="Palatino Linotype" w:cs="Palatino Linotype"/>
          <w:sz w:val="22"/>
          <w:szCs w:val="22"/>
        </w:rPr>
        <w:t xml:space="preserve">fue </w:t>
      </w:r>
      <w:r w:rsidRPr="008F2AAE">
        <w:rPr>
          <w:rFonts w:ascii="Palatino Linotype" w:eastAsia="Palatino Linotype" w:hAnsi="Palatino Linotype" w:cs="Palatino Linotype"/>
          <w:sz w:val="22"/>
          <w:szCs w:val="22"/>
        </w:rPr>
        <w:t xml:space="preserve">omisa en rendir manifestaciones. </w:t>
      </w:r>
    </w:p>
    <w:p w14:paraId="4CF82890" w14:textId="0E2A613F" w:rsidR="00403952" w:rsidRPr="008F2AAE" w:rsidRDefault="004D6954">
      <w:pPr>
        <w:spacing w:before="240" w:after="240" w:line="360" w:lineRule="auto"/>
        <w:jc w:val="both"/>
        <w:rPr>
          <w:rFonts w:ascii="Palatino Linotype" w:eastAsia="Palatino Linotype" w:hAnsi="Palatino Linotype" w:cs="Palatino Linotype"/>
          <w:b/>
          <w:sz w:val="22"/>
          <w:szCs w:val="22"/>
        </w:rPr>
      </w:pPr>
      <w:r w:rsidRPr="008F2AAE">
        <w:rPr>
          <w:rFonts w:ascii="Palatino Linotype" w:eastAsia="Palatino Linotype" w:hAnsi="Palatino Linotype" w:cs="Palatino Linotype"/>
          <w:sz w:val="22"/>
          <w:szCs w:val="22"/>
        </w:rPr>
        <w:lastRenderedPageBreak/>
        <w:t>7</w:t>
      </w:r>
      <w:r w:rsidR="007C0198" w:rsidRPr="008F2AAE">
        <w:rPr>
          <w:rFonts w:ascii="Palatino Linotype" w:eastAsia="Palatino Linotype" w:hAnsi="Palatino Linotype" w:cs="Palatino Linotype"/>
          <w:sz w:val="22"/>
          <w:szCs w:val="22"/>
        </w:rPr>
        <w:t xml:space="preserve">. </w:t>
      </w:r>
      <w:r w:rsidR="007C0198" w:rsidRPr="008F2AAE">
        <w:rPr>
          <w:rFonts w:ascii="Palatino Linotype" w:eastAsia="Palatino Linotype" w:hAnsi="Palatino Linotype" w:cs="Palatino Linotype"/>
          <w:b/>
          <w:sz w:val="22"/>
          <w:szCs w:val="22"/>
        </w:rPr>
        <w:t>Ampliación del término para resolver</w:t>
      </w:r>
      <w:r w:rsidR="007C0198" w:rsidRPr="008F2AAE">
        <w:rPr>
          <w:rFonts w:ascii="Palatino Linotype" w:eastAsia="Palatino Linotype" w:hAnsi="Palatino Linotype" w:cs="Palatino Linotype"/>
          <w:sz w:val="22"/>
          <w:szCs w:val="22"/>
        </w:rPr>
        <w:t xml:space="preserve">. El </w:t>
      </w:r>
      <w:r w:rsidR="00EA0C79" w:rsidRPr="008F2AAE">
        <w:rPr>
          <w:rFonts w:ascii="Palatino Linotype" w:eastAsia="Palatino Linotype" w:hAnsi="Palatino Linotype" w:cs="Palatino Linotype"/>
          <w:b/>
          <w:sz w:val="22"/>
          <w:szCs w:val="22"/>
        </w:rPr>
        <w:t>seis</w:t>
      </w:r>
      <w:r w:rsidR="00A413F2" w:rsidRPr="008F2AAE">
        <w:rPr>
          <w:rFonts w:ascii="Palatino Linotype" w:eastAsia="Palatino Linotype" w:hAnsi="Palatino Linotype" w:cs="Palatino Linotype"/>
          <w:b/>
          <w:sz w:val="22"/>
          <w:szCs w:val="22"/>
        </w:rPr>
        <w:t xml:space="preserve"> de agosto</w:t>
      </w:r>
      <w:r w:rsidRPr="008F2AAE">
        <w:rPr>
          <w:rFonts w:ascii="Palatino Linotype" w:eastAsia="Palatino Linotype" w:hAnsi="Palatino Linotype" w:cs="Palatino Linotype"/>
          <w:b/>
          <w:sz w:val="22"/>
          <w:szCs w:val="22"/>
        </w:rPr>
        <w:t xml:space="preserve"> </w:t>
      </w:r>
      <w:r w:rsidR="007C0198" w:rsidRPr="008F2AAE">
        <w:rPr>
          <w:rFonts w:ascii="Palatino Linotype" w:eastAsia="Palatino Linotype" w:hAnsi="Palatino Linotype" w:cs="Palatino Linotype"/>
          <w:b/>
          <w:sz w:val="22"/>
          <w:szCs w:val="22"/>
        </w:rPr>
        <w:t>de dos mil veinticinco</w:t>
      </w:r>
      <w:r w:rsidR="007C0198" w:rsidRPr="008F2AAE">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6738F6AD"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F5C26F0"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D4E81BA"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D3B3C8"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FA4D91E" w14:textId="77777777" w:rsidR="00403952" w:rsidRPr="008F2AAE" w:rsidRDefault="007C0198">
      <w:pPr>
        <w:spacing w:before="240" w:after="240" w:line="360" w:lineRule="auto"/>
        <w:jc w:val="both"/>
        <w:rPr>
          <w:rFonts w:ascii="Palatino Linotype" w:eastAsia="Palatino Linotype" w:hAnsi="Palatino Linotype" w:cs="Palatino Linotype"/>
          <w:strike/>
          <w:sz w:val="22"/>
          <w:szCs w:val="22"/>
        </w:rPr>
      </w:pPr>
      <w:r w:rsidRPr="008F2AA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22A4F74" w14:textId="77777777" w:rsidR="00403952" w:rsidRPr="008F2AAE" w:rsidRDefault="007C019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lastRenderedPageBreak/>
        <w:t xml:space="preserve">Complejidad del Asunto: La complejidad de la prueba, la pluralidad de sujetos procesales, el tiempo transcurrido, las características y contexto del recurso. </w:t>
      </w:r>
    </w:p>
    <w:p w14:paraId="5C370335" w14:textId="77777777" w:rsidR="00403952" w:rsidRPr="008F2AAE" w:rsidRDefault="007C019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Actividad Procesal del interesado. Acciones u omisiones del interesado.</w:t>
      </w:r>
    </w:p>
    <w:p w14:paraId="45830203" w14:textId="77777777" w:rsidR="00403952" w:rsidRPr="008F2AAE" w:rsidRDefault="007C019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DF10D4C" w14:textId="77777777" w:rsidR="00403952" w:rsidRPr="008F2AAE" w:rsidRDefault="007C0198">
      <w:pPr>
        <w:tabs>
          <w:tab w:val="left" w:pos="567"/>
        </w:tabs>
        <w:spacing w:before="240" w:after="240" w:line="360" w:lineRule="auto"/>
        <w:ind w:left="284"/>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3397FF24"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23DC72" w14:textId="77777777" w:rsidR="00403952" w:rsidRPr="008F2AAE" w:rsidRDefault="007C0198">
      <w:pPr>
        <w:spacing w:before="240" w:after="240" w:line="360" w:lineRule="auto"/>
        <w:jc w:val="both"/>
        <w:rPr>
          <w:rFonts w:ascii="Palatino Linotype" w:eastAsia="Palatino Linotype" w:hAnsi="Palatino Linotype" w:cs="Palatino Linotype"/>
          <w:b/>
          <w:sz w:val="22"/>
          <w:szCs w:val="22"/>
        </w:rPr>
      </w:pPr>
      <w:r w:rsidRPr="008F2AAE">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F2AAE">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F2AAE">
        <w:rPr>
          <w:rFonts w:ascii="Palatino Linotype" w:eastAsia="Palatino Linotype" w:hAnsi="Palatino Linotype" w:cs="Palatino Linotype"/>
          <w:sz w:val="22"/>
          <w:szCs w:val="22"/>
        </w:rPr>
        <w:t>, visible en la Gaceta del Seminario Judicial de la Federación con el registro digital 205635.</w:t>
      </w:r>
    </w:p>
    <w:p w14:paraId="1FCCEF7C"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w:t>
      </w:r>
      <w:r w:rsidRPr="008F2AAE">
        <w:rPr>
          <w:rFonts w:ascii="Palatino Linotype" w:eastAsia="Palatino Linotype" w:hAnsi="Palatino Linotype" w:cs="Palatino Linotype"/>
          <w:sz w:val="22"/>
          <w:szCs w:val="22"/>
        </w:rPr>
        <w:lastRenderedPageBreak/>
        <w:t>y pruebas aportadas y desahogadas por las partes; lo que impide la tramitación de los recursos dentro de los términos legales previamente establecidos por la Ley, por tratarse de causas de fuerza mayor.</w:t>
      </w:r>
    </w:p>
    <w:p w14:paraId="140C3B5F"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44E5E64" w14:textId="77777777" w:rsidR="00403952" w:rsidRPr="008F2AAE" w:rsidRDefault="007C0198">
      <w:pPr>
        <w:spacing w:before="120" w:after="120"/>
        <w:ind w:left="851" w:right="902"/>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 </w:t>
      </w:r>
      <w:r w:rsidRPr="008F2AAE">
        <w:rPr>
          <w:rFonts w:ascii="Palatino Linotype" w:eastAsia="Palatino Linotype" w:hAnsi="Palatino Linotype" w:cs="Palatino Linotype"/>
          <w:i/>
          <w:sz w:val="22"/>
          <w:szCs w:val="22"/>
        </w:rPr>
        <w:t>“</w:t>
      </w:r>
      <w:r w:rsidRPr="008F2AAE">
        <w:rPr>
          <w:rFonts w:ascii="Palatino Linotype" w:eastAsia="Palatino Linotype" w:hAnsi="Palatino Linotype" w:cs="Palatino Linotype"/>
          <w:b/>
          <w:i/>
          <w:sz w:val="22"/>
          <w:szCs w:val="22"/>
        </w:rPr>
        <w:t>PLAZO RAZONABLE PARA RESOLVER. DIMENSIÓN Y EFECTOS DE ESTE CONCEPTO CUANDO SE ADUCE EXCESIVA CARGA DE TRABAJO</w:t>
      </w:r>
      <w:r w:rsidRPr="008F2AAE">
        <w:rPr>
          <w:rFonts w:ascii="Palatino Linotype" w:eastAsia="Palatino Linotype" w:hAnsi="Palatino Linotype" w:cs="Palatino Linotype"/>
          <w:i/>
          <w:sz w:val="22"/>
          <w:szCs w:val="22"/>
        </w:rPr>
        <w:t>.”</w:t>
      </w:r>
      <w:r w:rsidRPr="008F2AAE">
        <w:rPr>
          <w:rFonts w:ascii="Palatino Linotype" w:eastAsia="Palatino Linotype" w:hAnsi="Palatino Linotype" w:cs="Palatino Linotype"/>
          <w:sz w:val="22"/>
          <w:szCs w:val="22"/>
        </w:rPr>
        <w:t xml:space="preserve"> consultable en el Seminario Judicial de la Federación y su gaceta, con el registro digital 2002351.</w:t>
      </w:r>
    </w:p>
    <w:p w14:paraId="3D87E29E" w14:textId="77777777" w:rsidR="00403952" w:rsidRPr="008F2AAE" w:rsidRDefault="007C0198">
      <w:pPr>
        <w:spacing w:before="120" w:after="120"/>
        <w:ind w:left="851" w:right="902"/>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i/>
          <w:sz w:val="22"/>
          <w:szCs w:val="22"/>
        </w:rPr>
        <w:t>“</w:t>
      </w:r>
      <w:r w:rsidRPr="008F2AA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F2AAE">
        <w:rPr>
          <w:rFonts w:ascii="Palatino Linotype" w:eastAsia="Palatino Linotype" w:hAnsi="Palatino Linotype" w:cs="Palatino Linotype"/>
          <w:i/>
          <w:sz w:val="22"/>
          <w:szCs w:val="22"/>
        </w:rPr>
        <w:t>.”</w:t>
      </w:r>
      <w:r w:rsidRPr="008F2AAE">
        <w:rPr>
          <w:rFonts w:ascii="Palatino Linotype" w:eastAsia="Palatino Linotype" w:hAnsi="Palatino Linotype" w:cs="Palatino Linotype"/>
          <w:sz w:val="22"/>
          <w:szCs w:val="22"/>
        </w:rPr>
        <w:t>, visible en el Seminario Judicial de la Federación y su gaceta, con el registro digital 2002350.</w:t>
      </w:r>
    </w:p>
    <w:p w14:paraId="210D9B65"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7DAE3D70" w14:textId="3E345844" w:rsidR="004D6954" w:rsidRPr="008F2AAE" w:rsidRDefault="004D6954" w:rsidP="004D6954">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b/>
          <w:sz w:val="22"/>
          <w:szCs w:val="22"/>
        </w:rPr>
        <w:t xml:space="preserve">7. Cierre de instrucción. </w:t>
      </w:r>
      <w:r w:rsidRPr="008F2AA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EA0C79" w:rsidRPr="008F2AAE">
        <w:rPr>
          <w:rFonts w:ascii="Palatino Linotype" w:eastAsia="Palatino Linotype" w:hAnsi="Palatino Linotype" w:cs="Palatino Linotype"/>
          <w:b/>
          <w:sz w:val="22"/>
          <w:szCs w:val="22"/>
        </w:rPr>
        <w:t>doce</w:t>
      </w:r>
      <w:r w:rsidRPr="008F2AAE">
        <w:rPr>
          <w:rFonts w:ascii="Palatino Linotype" w:eastAsia="Palatino Linotype" w:hAnsi="Palatino Linotype" w:cs="Palatino Linotype"/>
          <w:b/>
          <w:sz w:val="22"/>
          <w:szCs w:val="22"/>
        </w:rPr>
        <w:t xml:space="preserve"> de agosto de dos mil veinticinco</w:t>
      </w:r>
      <w:r w:rsidRPr="008F2AA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20F3CEC"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DA0EB4C" w14:textId="77777777" w:rsidR="00403952" w:rsidRPr="008F2AAE" w:rsidRDefault="007C0198">
      <w:pPr>
        <w:widowControl w:val="0"/>
        <w:spacing w:before="240" w:after="240" w:line="360" w:lineRule="auto"/>
        <w:jc w:val="center"/>
        <w:rPr>
          <w:rFonts w:ascii="Palatino Linotype" w:eastAsia="Palatino Linotype" w:hAnsi="Palatino Linotype" w:cs="Palatino Linotype"/>
          <w:b/>
          <w:sz w:val="22"/>
          <w:szCs w:val="22"/>
        </w:rPr>
      </w:pPr>
      <w:r w:rsidRPr="008F2AAE">
        <w:rPr>
          <w:rFonts w:ascii="Palatino Linotype" w:eastAsia="Palatino Linotype" w:hAnsi="Palatino Linotype" w:cs="Palatino Linotype"/>
          <w:b/>
          <w:sz w:val="22"/>
          <w:szCs w:val="22"/>
        </w:rPr>
        <w:lastRenderedPageBreak/>
        <w:t>II. C O N S I D E R A N D O S</w:t>
      </w:r>
    </w:p>
    <w:p w14:paraId="616F99F9"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b/>
          <w:sz w:val="22"/>
          <w:szCs w:val="22"/>
        </w:rPr>
        <w:t>Primero. Competencia.</w:t>
      </w:r>
      <w:r w:rsidRPr="008F2AA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72DDB8"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8F2AAE">
        <w:rPr>
          <w:rFonts w:ascii="Palatino Linotype" w:eastAsia="Palatino Linotype" w:hAnsi="Palatino Linotype" w:cs="Palatino Linotype"/>
          <w:b/>
          <w:sz w:val="22"/>
          <w:szCs w:val="22"/>
        </w:rPr>
        <w:t>Segundo. Oportunidad y Procedibilidad del Recurso de Revisión</w:t>
      </w:r>
      <w:r w:rsidRPr="008F2AA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07D0575" w14:textId="2A921532" w:rsidR="00A413F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F2AAE">
        <w:rPr>
          <w:rFonts w:ascii="Palatino Linotype" w:eastAsia="Palatino Linotype" w:hAnsi="Palatino Linotype" w:cs="Palatino Linotype"/>
          <w:b/>
          <w:sz w:val="22"/>
          <w:szCs w:val="22"/>
        </w:rPr>
        <w:t xml:space="preserve">Sujeto Obligado </w:t>
      </w:r>
      <w:r w:rsidRPr="008F2AAE">
        <w:rPr>
          <w:rFonts w:ascii="Palatino Linotype" w:eastAsia="Palatino Linotype" w:hAnsi="Palatino Linotype" w:cs="Palatino Linotype"/>
          <w:sz w:val="22"/>
          <w:szCs w:val="22"/>
        </w:rPr>
        <w:t xml:space="preserve">remitió la respuesta a la solicitud de información el día </w:t>
      </w:r>
      <w:r w:rsidR="00A413F2" w:rsidRPr="008F2AAE">
        <w:rPr>
          <w:rFonts w:ascii="Palatino Linotype" w:eastAsia="Palatino Linotype" w:hAnsi="Palatino Linotype" w:cs="Palatino Linotype"/>
          <w:b/>
          <w:sz w:val="22"/>
          <w:szCs w:val="22"/>
        </w:rPr>
        <w:t>veintiocho de abril</w:t>
      </w:r>
      <w:r w:rsidRPr="008F2AAE">
        <w:rPr>
          <w:rFonts w:ascii="Palatino Linotype" w:eastAsia="Palatino Linotype" w:hAnsi="Palatino Linotype" w:cs="Palatino Linotype"/>
          <w:b/>
          <w:sz w:val="22"/>
          <w:szCs w:val="22"/>
        </w:rPr>
        <w:t xml:space="preserve"> de dos mil veinticinco, </w:t>
      </w:r>
      <w:r w:rsidRPr="008F2AAE">
        <w:rPr>
          <w:rFonts w:ascii="Palatino Linotype" w:eastAsia="Palatino Linotype" w:hAnsi="Palatino Linotype" w:cs="Palatino Linotype"/>
          <w:sz w:val="22"/>
          <w:szCs w:val="22"/>
        </w:rPr>
        <w:t xml:space="preserve">mientras que el recurso de revisión interpuesto por la parte </w:t>
      </w:r>
      <w:r w:rsidRPr="008F2AAE">
        <w:rPr>
          <w:rFonts w:ascii="Palatino Linotype" w:eastAsia="Palatino Linotype" w:hAnsi="Palatino Linotype" w:cs="Palatino Linotype"/>
          <w:b/>
          <w:sz w:val="22"/>
          <w:szCs w:val="22"/>
        </w:rPr>
        <w:t xml:space="preserve">Recurrente, </w:t>
      </w:r>
      <w:r w:rsidRPr="008F2AAE">
        <w:rPr>
          <w:rFonts w:ascii="Palatino Linotype" w:eastAsia="Palatino Linotype" w:hAnsi="Palatino Linotype" w:cs="Palatino Linotype"/>
          <w:sz w:val="22"/>
          <w:szCs w:val="22"/>
        </w:rPr>
        <w:t>se tuvo por presentado el día</w:t>
      </w:r>
      <w:r w:rsidRPr="008F2AAE">
        <w:rPr>
          <w:rFonts w:ascii="Palatino Linotype" w:eastAsia="Palatino Linotype" w:hAnsi="Palatino Linotype" w:cs="Palatino Linotype"/>
          <w:b/>
          <w:sz w:val="22"/>
          <w:szCs w:val="22"/>
        </w:rPr>
        <w:t xml:space="preserve"> </w:t>
      </w:r>
      <w:r w:rsidR="00A413F2" w:rsidRPr="008F2AAE">
        <w:rPr>
          <w:rFonts w:ascii="Palatino Linotype" w:eastAsia="Palatino Linotype" w:hAnsi="Palatino Linotype" w:cs="Palatino Linotype"/>
          <w:b/>
          <w:sz w:val="22"/>
          <w:szCs w:val="22"/>
        </w:rPr>
        <w:t>veintiuno</w:t>
      </w:r>
      <w:r w:rsidR="007A6825" w:rsidRPr="008F2AAE">
        <w:rPr>
          <w:rFonts w:ascii="Palatino Linotype" w:eastAsia="Palatino Linotype" w:hAnsi="Palatino Linotype" w:cs="Palatino Linotype"/>
          <w:b/>
          <w:sz w:val="22"/>
          <w:szCs w:val="22"/>
        </w:rPr>
        <w:t xml:space="preserve"> de mayo</w:t>
      </w:r>
      <w:r w:rsidRPr="008F2AAE">
        <w:rPr>
          <w:rFonts w:ascii="Palatino Linotype" w:eastAsia="Palatino Linotype" w:hAnsi="Palatino Linotype" w:cs="Palatino Linotype"/>
          <w:b/>
          <w:sz w:val="22"/>
          <w:szCs w:val="22"/>
        </w:rPr>
        <w:t xml:space="preserve"> de dos mil veinticinco, </w:t>
      </w:r>
      <w:r w:rsidRPr="008F2AAE">
        <w:rPr>
          <w:rFonts w:ascii="Palatino Linotype" w:eastAsia="Palatino Linotype" w:hAnsi="Palatino Linotype" w:cs="Palatino Linotype"/>
          <w:sz w:val="22"/>
          <w:szCs w:val="22"/>
        </w:rPr>
        <w:t xml:space="preserve">esto es, al </w:t>
      </w:r>
      <w:r w:rsidR="00A3275B" w:rsidRPr="008F2AAE">
        <w:rPr>
          <w:rFonts w:ascii="Palatino Linotype" w:eastAsia="Palatino Linotype" w:hAnsi="Palatino Linotype" w:cs="Palatino Linotype"/>
          <w:sz w:val="22"/>
          <w:szCs w:val="22"/>
        </w:rPr>
        <w:t>décimo quinto</w:t>
      </w:r>
      <w:r w:rsidR="007A6825" w:rsidRPr="008F2AAE">
        <w:rPr>
          <w:rFonts w:ascii="Palatino Linotype" w:eastAsia="Palatino Linotype" w:hAnsi="Palatino Linotype" w:cs="Palatino Linotype"/>
          <w:sz w:val="22"/>
          <w:szCs w:val="22"/>
        </w:rPr>
        <w:t xml:space="preserve"> día hábil </w:t>
      </w:r>
      <w:r w:rsidRPr="008F2AAE">
        <w:rPr>
          <w:rFonts w:ascii="Palatino Linotype" w:eastAsia="Palatino Linotype" w:hAnsi="Palatino Linotype" w:cs="Palatino Linotype"/>
          <w:sz w:val="22"/>
          <w:szCs w:val="22"/>
        </w:rPr>
        <w:t xml:space="preserve">siguiente a aquel en el que tuvo conocimiento de la respuesta impugnada. </w:t>
      </w:r>
    </w:p>
    <w:p w14:paraId="7EB0A3C5" w14:textId="77470C8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C927F6E" w14:textId="21DA642F" w:rsidR="00403952" w:rsidRPr="008F2AAE" w:rsidRDefault="007C0198">
      <w:pPr>
        <w:spacing w:before="240" w:after="240" w:line="360" w:lineRule="auto"/>
        <w:jc w:val="both"/>
        <w:rPr>
          <w:rFonts w:ascii="Palatino Linotype" w:eastAsia="Palatino Linotype" w:hAnsi="Palatino Linotype" w:cs="Palatino Linotype"/>
          <w:b/>
          <w:sz w:val="22"/>
          <w:szCs w:val="22"/>
        </w:rPr>
      </w:pPr>
      <w:r w:rsidRPr="008F2AAE">
        <w:rPr>
          <w:rFonts w:ascii="Palatino Linotype" w:eastAsia="Palatino Linotype" w:hAnsi="Palatino Linotype" w:cs="Palatino Linotype"/>
          <w:sz w:val="22"/>
          <w:szCs w:val="22"/>
        </w:rPr>
        <w:lastRenderedPageBreak/>
        <w:t xml:space="preserve">Además, </w:t>
      </w:r>
      <w:r w:rsidR="007A6825" w:rsidRPr="008F2AAE">
        <w:rPr>
          <w:rFonts w:ascii="Palatino Linotype" w:eastAsia="Palatino Linotype" w:hAnsi="Palatino Linotype" w:cs="Palatino Linotype"/>
          <w:sz w:val="22"/>
          <w:szCs w:val="22"/>
        </w:rPr>
        <w:t>d</w:t>
      </w:r>
      <w:r w:rsidRPr="008F2AAE">
        <w:rPr>
          <w:rFonts w:ascii="Palatino Linotype" w:eastAsia="Palatino Linotype" w:hAnsi="Palatino Linotype" w:cs="Palatino Linotype"/>
          <w:sz w:val="22"/>
          <w:szCs w:val="22"/>
        </w:rPr>
        <w:t>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8F2AAE">
        <w:rPr>
          <w:rFonts w:ascii="Palatino Linotype" w:eastAsia="Palatino Linotype" w:hAnsi="Palatino Linotype" w:cs="Palatino Linotype"/>
          <w:b/>
          <w:sz w:val="22"/>
          <w:szCs w:val="22"/>
        </w:rPr>
        <w:t xml:space="preserve"> SAIMEX.</w:t>
      </w:r>
    </w:p>
    <w:p w14:paraId="5B2F6445"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8F2AAE">
        <w:rPr>
          <w:rFonts w:ascii="Palatino Linotype" w:eastAsia="Palatino Linotype" w:hAnsi="Palatino Linotype" w:cs="Palatino Linotype"/>
          <w:b/>
          <w:sz w:val="22"/>
          <w:szCs w:val="22"/>
        </w:rPr>
        <w:t>Recurrente</w:t>
      </w:r>
      <w:r w:rsidRPr="008F2AAE">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44268594" w14:textId="77777777" w:rsidR="00403952" w:rsidRPr="008F2AAE" w:rsidRDefault="007C0198">
      <w:pPr>
        <w:tabs>
          <w:tab w:val="left" w:pos="7938"/>
        </w:tabs>
        <w:spacing w:before="120" w:after="120"/>
        <w:ind w:left="851" w:right="902"/>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i/>
          <w:sz w:val="22"/>
          <w:szCs w:val="22"/>
        </w:rPr>
        <w:t>“</w:t>
      </w:r>
      <w:r w:rsidRPr="008F2AAE">
        <w:rPr>
          <w:rFonts w:ascii="Palatino Linotype" w:eastAsia="Palatino Linotype" w:hAnsi="Palatino Linotype" w:cs="Palatino Linotype"/>
          <w:b/>
          <w:i/>
          <w:sz w:val="22"/>
          <w:szCs w:val="22"/>
        </w:rPr>
        <w:t>Artículo 179.</w:t>
      </w:r>
      <w:r w:rsidRPr="008F2AA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DF68CB" w14:textId="77777777" w:rsidR="00403952" w:rsidRPr="008F2AAE" w:rsidRDefault="007C0198">
      <w:pPr>
        <w:tabs>
          <w:tab w:val="left" w:pos="7938"/>
        </w:tabs>
        <w:spacing w:before="120" w:after="120"/>
        <w:ind w:left="1134" w:right="900"/>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i/>
          <w:sz w:val="22"/>
          <w:szCs w:val="22"/>
        </w:rPr>
        <w:t>...</w:t>
      </w:r>
    </w:p>
    <w:p w14:paraId="59C3E80B" w14:textId="77777777" w:rsidR="00403952" w:rsidRPr="008F2AAE" w:rsidRDefault="007C0198">
      <w:pPr>
        <w:tabs>
          <w:tab w:val="left" w:pos="7938"/>
        </w:tabs>
        <w:spacing w:before="120" w:after="120"/>
        <w:ind w:left="1134" w:right="900"/>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b/>
          <w:i/>
          <w:sz w:val="22"/>
          <w:szCs w:val="22"/>
        </w:rPr>
        <w:t>V.</w:t>
      </w:r>
      <w:r w:rsidRPr="008F2AAE">
        <w:rPr>
          <w:rFonts w:ascii="Palatino Linotype" w:eastAsia="Palatino Linotype" w:hAnsi="Palatino Linotype" w:cs="Palatino Linotype"/>
          <w:i/>
          <w:sz w:val="22"/>
          <w:szCs w:val="22"/>
        </w:rPr>
        <w:t xml:space="preserve"> La entrega de información incompleta;”</w:t>
      </w:r>
    </w:p>
    <w:p w14:paraId="67A60DAE" w14:textId="77777777" w:rsidR="00A3275B" w:rsidRPr="008F2AAE" w:rsidRDefault="00A3275B">
      <w:pPr>
        <w:tabs>
          <w:tab w:val="left" w:pos="7938"/>
        </w:tabs>
        <w:spacing w:before="120" w:after="120"/>
        <w:ind w:left="1134" w:right="900"/>
        <w:jc w:val="both"/>
        <w:rPr>
          <w:rFonts w:ascii="Palatino Linotype" w:eastAsia="Palatino Linotype" w:hAnsi="Palatino Linotype" w:cs="Palatino Linotype"/>
          <w:i/>
          <w:sz w:val="22"/>
          <w:szCs w:val="22"/>
        </w:rPr>
      </w:pPr>
    </w:p>
    <w:p w14:paraId="4D8C638A" w14:textId="27EFADF6" w:rsidR="00A3275B" w:rsidRPr="008F2AAE" w:rsidRDefault="00A3275B" w:rsidP="00A3275B">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b/>
          <w:sz w:val="22"/>
          <w:szCs w:val="22"/>
        </w:rPr>
        <w:t>Tercero. Materia de Revisión</w:t>
      </w:r>
      <w:r w:rsidRPr="008F2AAE">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del artículo 179 de la Ley de Transparencia y Acceso a la Información Pública del Estado de México y Municipios.  </w:t>
      </w:r>
    </w:p>
    <w:p w14:paraId="1DD38D36" w14:textId="77777777" w:rsidR="00A3275B" w:rsidRPr="008F2AAE" w:rsidRDefault="00A3275B" w:rsidP="00A3275B">
      <w:pPr>
        <w:spacing w:line="360" w:lineRule="auto"/>
        <w:jc w:val="both"/>
        <w:rPr>
          <w:rFonts w:ascii="Palatino Linotype" w:eastAsia="Palatino Linotype" w:hAnsi="Palatino Linotype" w:cs="Palatino Linotype"/>
          <w:sz w:val="22"/>
          <w:szCs w:val="22"/>
        </w:rPr>
      </w:pPr>
    </w:p>
    <w:p w14:paraId="56AAAA9A" w14:textId="1BAB13F7" w:rsidR="00A3275B" w:rsidRPr="008F2AAE" w:rsidRDefault="00A3275B" w:rsidP="00A3275B">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b/>
          <w:sz w:val="22"/>
          <w:szCs w:val="22"/>
        </w:rPr>
        <w:t xml:space="preserve">Cuarto. Estudio de fondo del asunto. </w:t>
      </w:r>
      <w:r w:rsidRPr="008F2AAE">
        <w:rPr>
          <w:rFonts w:ascii="Palatino Linotype" w:eastAsia="Palatino Linotype" w:hAnsi="Palatino Linotype" w:cs="Palatino Linotype"/>
          <w:sz w:val="22"/>
          <w:szCs w:val="22"/>
        </w:rPr>
        <w:t>Es conveniente analizar si la respuesta del Sujeto Obligado</w:t>
      </w:r>
      <w:r w:rsidRPr="008F2AAE">
        <w:rPr>
          <w:rFonts w:ascii="Palatino Linotype" w:eastAsia="Palatino Linotype" w:hAnsi="Palatino Linotype" w:cs="Palatino Linotype"/>
          <w:b/>
          <w:sz w:val="22"/>
          <w:szCs w:val="22"/>
        </w:rPr>
        <w:t xml:space="preserve"> </w:t>
      </w:r>
      <w:r w:rsidRPr="008F2AAE">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C5FC4FD" w14:textId="77777777" w:rsidR="00A3275B" w:rsidRPr="008F2AAE" w:rsidRDefault="00A3275B" w:rsidP="00A3275B">
      <w:pPr>
        <w:tabs>
          <w:tab w:val="left" w:pos="851"/>
        </w:tabs>
        <w:spacing w:line="276" w:lineRule="auto"/>
        <w:ind w:left="567" w:right="616"/>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i/>
          <w:sz w:val="22"/>
          <w:szCs w:val="22"/>
        </w:rPr>
        <w:lastRenderedPageBreak/>
        <w:t>“</w:t>
      </w:r>
      <w:r w:rsidRPr="008F2AAE">
        <w:rPr>
          <w:rFonts w:ascii="Palatino Linotype" w:eastAsia="Palatino Linotype" w:hAnsi="Palatino Linotype" w:cs="Palatino Linotype"/>
          <w:b/>
          <w:i/>
          <w:sz w:val="22"/>
          <w:szCs w:val="22"/>
        </w:rPr>
        <w:t>Artículo 4</w:t>
      </w:r>
      <w:r w:rsidRPr="008F2AA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114FF18" w14:textId="77777777" w:rsidR="00A3275B" w:rsidRPr="008F2AAE" w:rsidRDefault="00A3275B" w:rsidP="00A3275B">
      <w:pPr>
        <w:tabs>
          <w:tab w:val="left" w:pos="851"/>
        </w:tabs>
        <w:spacing w:line="276" w:lineRule="auto"/>
        <w:ind w:left="567" w:right="616"/>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F2AA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D8B05D4" w14:textId="77777777" w:rsidR="00A3275B" w:rsidRPr="008F2AAE" w:rsidRDefault="00A3275B" w:rsidP="00A3275B">
      <w:pPr>
        <w:tabs>
          <w:tab w:val="left" w:pos="851"/>
        </w:tabs>
        <w:spacing w:line="276" w:lineRule="auto"/>
        <w:ind w:left="567" w:right="616"/>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F2AAE">
        <w:rPr>
          <w:rFonts w:ascii="Palatino Linotype" w:eastAsia="Palatino Linotype" w:hAnsi="Palatino Linotype" w:cs="Palatino Linotype"/>
          <w:i/>
          <w:sz w:val="22"/>
          <w:szCs w:val="22"/>
        </w:rPr>
        <w:t>.”</w:t>
      </w:r>
    </w:p>
    <w:p w14:paraId="296B3BC8" w14:textId="77777777" w:rsidR="00A3275B" w:rsidRPr="008F2AAE" w:rsidRDefault="00A3275B" w:rsidP="00A3275B">
      <w:pPr>
        <w:spacing w:line="360" w:lineRule="auto"/>
        <w:jc w:val="both"/>
        <w:rPr>
          <w:rFonts w:ascii="Palatino Linotype" w:eastAsia="Palatino Linotype" w:hAnsi="Palatino Linotype" w:cs="Palatino Linotype"/>
          <w:sz w:val="22"/>
          <w:szCs w:val="22"/>
        </w:rPr>
      </w:pPr>
    </w:p>
    <w:p w14:paraId="11E1301D" w14:textId="77777777" w:rsidR="00A3275B" w:rsidRPr="008F2AAE" w:rsidRDefault="00A3275B" w:rsidP="00A3275B">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6FF94D1" w14:textId="77777777" w:rsidR="00A3275B" w:rsidRPr="008F2AAE" w:rsidRDefault="00A3275B" w:rsidP="00A3275B">
      <w:pPr>
        <w:spacing w:line="276" w:lineRule="auto"/>
        <w:ind w:left="567" w:right="616"/>
        <w:jc w:val="both"/>
        <w:rPr>
          <w:rFonts w:ascii="Palatino Linotype" w:eastAsia="Palatino Linotype" w:hAnsi="Palatino Linotype" w:cs="Palatino Linotype"/>
          <w:sz w:val="22"/>
          <w:szCs w:val="22"/>
        </w:rPr>
      </w:pPr>
    </w:p>
    <w:p w14:paraId="15FCC5F5" w14:textId="77777777" w:rsidR="00A3275B" w:rsidRPr="008F2AAE" w:rsidRDefault="00A3275B" w:rsidP="00A3275B">
      <w:pPr>
        <w:spacing w:line="276" w:lineRule="auto"/>
        <w:ind w:left="567" w:right="616"/>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i/>
          <w:sz w:val="22"/>
          <w:szCs w:val="22"/>
        </w:rPr>
        <w:t>“</w:t>
      </w:r>
      <w:r w:rsidRPr="008F2AAE">
        <w:rPr>
          <w:rFonts w:ascii="Palatino Linotype" w:eastAsia="Palatino Linotype" w:hAnsi="Palatino Linotype" w:cs="Palatino Linotype"/>
          <w:b/>
          <w:i/>
          <w:sz w:val="22"/>
          <w:szCs w:val="22"/>
        </w:rPr>
        <w:t>Artículo 12.-</w:t>
      </w:r>
      <w:r w:rsidRPr="008F2AA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D430C0B" w14:textId="77777777" w:rsidR="00A3275B" w:rsidRPr="008F2AAE" w:rsidRDefault="00A3275B" w:rsidP="00A3275B">
      <w:pPr>
        <w:spacing w:line="276" w:lineRule="auto"/>
        <w:ind w:left="567" w:right="616"/>
        <w:jc w:val="both"/>
        <w:rPr>
          <w:rFonts w:ascii="Palatino Linotype" w:eastAsia="Palatino Linotype" w:hAnsi="Palatino Linotype" w:cs="Palatino Linotype"/>
          <w:i/>
          <w:sz w:val="22"/>
          <w:szCs w:val="22"/>
        </w:rPr>
      </w:pPr>
    </w:p>
    <w:p w14:paraId="3031B2C7" w14:textId="77777777" w:rsidR="00A3275B" w:rsidRPr="008F2AAE" w:rsidRDefault="00A3275B" w:rsidP="00A3275B">
      <w:pPr>
        <w:spacing w:line="276" w:lineRule="auto"/>
        <w:ind w:left="567" w:right="616"/>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F2AAE">
        <w:rPr>
          <w:rFonts w:ascii="Palatino Linotype" w:eastAsia="Palatino Linotype" w:hAnsi="Palatino Linotype" w:cs="Palatino Linotype"/>
          <w:i/>
          <w:sz w:val="22"/>
          <w:szCs w:val="22"/>
        </w:rPr>
        <w:t xml:space="preserve">. </w:t>
      </w:r>
      <w:r w:rsidRPr="008F2AA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8F2AAE">
        <w:rPr>
          <w:rFonts w:ascii="Palatino Linotype" w:eastAsia="Palatino Linotype" w:hAnsi="Palatino Linotype" w:cs="Palatino Linotype"/>
          <w:b/>
          <w:i/>
          <w:sz w:val="22"/>
          <w:szCs w:val="22"/>
        </w:rPr>
        <w:lastRenderedPageBreak/>
        <w:t>obligados a generarla, resumirla, efectuar cálculos o practicar investigaciones</w:t>
      </w:r>
      <w:r w:rsidRPr="008F2AAE">
        <w:rPr>
          <w:rFonts w:ascii="Palatino Linotype" w:eastAsia="Palatino Linotype" w:hAnsi="Palatino Linotype" w:cs="Palatino Linotype"/>
          <w:i/>
          <w:sz w:val="22"/>
          <w:szCs w:val="22"/>
        </w:rPr>
        <w:t xml:space="preserve">.” </w:t>
      </w:r>
    </w:p>
    <w:p w14:paraId="7DA43948" w14:textId="77777777" w:rsidR="00A3275B" w:rsidRPr="008F2AAE" w:rsidRDefault="00A3275B" w:rsidP="00A3275B">
      <w:pPr>
        <w:spacing w:line="276" w:lineRule="auto"/>
        <w:ind w:left="567" w:right="616"/>
        <w:jc w:val="both"/>
        <w:rPr>
          <w:rFonts w:ascii="Palatino Linotype" w:eastAsia="Palatino Linotype" w:hAnsi="Palatino Linotype" w:cs="Palatino Linotype"/>
          <w:i/>
          <w:sz w:val="22"/>
          <w:szCs w:val="22"/>
        </w:rPr>
      </w:pPr>
    </w:p>
    <w:p w14:paraId="203679D1" w14:textId="77777777" w:rsidR="00A3275B" w:rsidRPr="008F2AAE" w:rsidRDefault="00A3275B" w:rsidP="00A3275B">
      <w:pPr>
        <w:spacing w:line="360" w:lineRule="auto"/>
        <w:ind w:right="-93"/>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4EC07BD" w14:textId="77777777" w:rsidR="00A3275B" w:rsidRPr="008F2AAE" w:rsidRDefault="00A3275B" w:rsidP="00A3275B">
      <w:pPr>
        <w:spacing w:line="360" w:lineRule="auto"/>
        <w:ind w:right="-93"/>
        <w:jc w:val="both"/>
        <w:rPr>
          <w:rFonts w:ascii="Palatino Linotype" w:eastAsia="Palatino Linotype" w:hAnsi="Palatino Linotype" w:cs="Palatino Linotype"/>
          <w:sz w:val="22"/>
          <w:szCs w:val="22"/>
        </w:rPr>
      </w:pPr>
    </w:p>
    <w:p w14:paraId="4DF1BC12" w14:textId="77777777" w:rsidR="00A3275B" w:rsidRPr="008F2AAE" w:rsidRDefault="00A3275B" w:rsidP="00A3275B">
      <w:pPr>
        <w:spacing w:line="360" w:lineRule="auto"/>
        <w:jc w:val="both"/>
        <w:rPr>
          <w:rFonts w:ascii="Palatino Linotype" w:eastAsia="Palatino Linotype" w:hAnsi="Palatino Linotype" w:cs="Palatino Linotype"/>
          <w:b/>
          <w:sz w:val="22"/>
          <w:szCs w:val="22"/>
        </w:rPr>
      </w:pPr>
      <w:r w:rsidRPr="008F2AAE">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8F2AAE">
        <w:rPr>
          <w:rFonts w:ascii="Palatino Linotype" w:eastAsia="Palatino Linotype" w:hAnsi="Palatino Linotype" w:cs="Palatino Linotype"/>
          <w:b/>
          <w:sz w:val="22"/>
          <w:szCs w:val="22"/>
        </w:rPr>
        <w:t xml:space="preserve"> </w:t>
      </w:r>
    </w:p>
    <w:p w14:paraId="4DC8D348" w14:textId="77777777" w:rsidR="00A3275B" w:rsidRPr="008F2AAE" w:rsidRDefault="00A3275B" w:rsidP="00A3275B">
      <w:pPr>
        <w:spacing w:line="276" w:lineRule="auto"/>
        <w:ind w:left="851" w:right="850"/>
        <w:jc w:val="both"/>
        <w:rPr>
          <w:rFonts w:ascii="Palatino Linotype" w:eastAsia="Palatino Linotype" w:hAnsi="Palatino Linotype" w:cs="Palatino Linotype"/>
          <w:sz w:val="22"/>
          <w:szCs w:val="22"/>
        </w:rPr>
      </w:pPr>
    </w:p>
    <w:p w14:paraId="2C5E5BB5" w14:textId="77777777" w:rsidR="00A3275B" w:rsidRPr="008F2AAE" w:rsidRDefault="00A3275B" w:rsidP="00A3275B">
      <w:pPr>
        <w:spacing w:line="276" w:lineRule="auto"/>
        <w:ind w:left="567" w:right="616"/>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i/>
          <w:sz w:val="22"/>
          <w:szCs w:val="22"/>
        </w:rPr>
        <w:t>“</w:t>
      </w:r>
      <w:r w:rsidRPr="008F2AAE">
        <w:rPr>
          <w:rFonts w:ascii="Palatino Linotype" w:eastAsia="Palatino Linotype" w:hAnsi="Palatino Linotype" w:cs="Palatino Linotype"/>
          <w:b/>
          <w:i/>
          <w:sz w:val="22"/>
          <w:szCs w:val="22"/>
        </w:rPr>
        <w:t>No existe obligación de elaborar documentos ad hoc para atender las solicitudes de acceso a la información.</w:t>
      </w:r>
      <w:r w:rsidRPr="008F2AA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AF0ED78" w14:textId="77777777" w:rsidR="00A3275B" w:rsidRPr="008F2AAE" w:rsidRDefault="00A3275B" w:rsidP="00A3275B">
      <w:pPr>
        <w:spacing w:line="276" w:lineRule="auto"/>
        <w:ind w:left="567" w:right="616"/>
        <w:jc w:val="both"/>
        <w:rPr>
          <w:rFonts w:ascii="Palatino Linotype" w:eastAsia="Palatino Linotype" w:hAnsi="Palatino Linotype" w:cs="Palatino Linotype"/>
          <w:i/>
          <w:sz w:val="22"/>
          <w:szCs w:val="22"/>
        </w:rPr>
      </w:pPr>
    </w:p>
    <w:p w14:paraId="47D2EFB5" w14:textId="77777777" w:rsidR="00A3275B" w:rsidRPr="008F2AAE" w:rsidRDefault="00A3275B" w:rsidP="00A3275B">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8F2AAE">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0242C7CD" w14:textId="77777777" w:rsidR="00A3275B" w:rsidRPr="008F2AAE" w:rsidRDefault="00A3275B" w:rsidP="00A3275B">
      <w:pPr>
        <w:spacing w:line="360" w:lineRule="auto"/>
        <w:jc w:val="both"/>
        <w:rPr>
          <w:rFonts w:ascii="Palatino Linotype" w:eastAsia="Palatino Linotype" w:hAnsi="Palatino Linotype" w:cs="Palatino Linotype"/>
          <w:sz w:val="22"/>
          <w:szCs w:val="22"/>
        </w:rPr>
      </w:pPr>
    </w:p>
    <w:p w14:paraId="56F7BD2B" w14:textId="77777777" w:rsidR="00A3275B" w:rsidRPr="008F2AAE" w:rsidRDefault="00A3275B" w:rsidP="00A3275B">
      <w:pPr>
        <w:spacing w:line="360" w:lineRule="auto"/>
        <w:ind w:right="49"/>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920EF37" w14:textId="77777777" w:rsidR="00A3275B" w:rsidRPr="008F2AAE" w:rsidRDefault="00A3275B" w:rsidP="00A3275B">
      <w:pPr>
        <w:spacing w:line="360" w:lineRule="auto"/>
        <w:ind w:right="49"/>
        <w:jc w:val="both"/>
        <w:rPr>
          <w:rFonts w:ascii="Palatino Linotype" w:eastAsia="Palatino Linotype" w:hAnsi="Palatino Linotype" w:cs="Palatino Linotype"/>
          <w:sz w:val="22"/>
          <w:szCs w:val="22"/>
        </w:rPr>
      </w:pPr>
    </w:p>
    <w:p w14:paraId="7F860497" w14:textId="77777777" w:rsidR="00A3275B" w:rsidRPr="008F2AAE" w:rsidRDefault="00A3275B" w:rsidP="00A3275B">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36B1F8C" w14:textId="77777777" w:rsidR="00A3275B" w:rsidRPr="008F2AAE" w:rsidRDefault="00A3275B" w:rsidP="00A3275B">
      <w:pPr>
        <w:spacing w:line="360" w:lineRule="auto"/>
        <w:jc w:val="both"/>
        <w:rPr>
          <w:rFonts w:ascii="Palatino Linotype" w:eastAsia="Palatino Linotype" w:hAnsi="Palatino Linotype" w:cs="Palatino Linotype"/>
          <w:sz w:val="22"/>
          <w:szCs w:val="22"/>
        </w:rPr>
      </w:pPr>
    </w:p>
    <w:p w14:paraId="4FA62017" w14:textId="77777777" w:rsidR="00A3275B" w:rsidRPr="008F2AAE" w:rsidRDefault="00A3275B" w:rsidP="00A3275B">
      <w:pPr>
        <w:spacing w:line="276" w:lineRule="auto"/>
        <w:ind w:left="567" w:right="616"/>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i/>
          <w:sz w:val="22"/>
          <w:szCs w:val="22"/>
        </w:rPr>
        <w:t>“</w:t>
      </w:r>
      <w:r w:rsidRPr="008F2AAE">
        <w:rPr>
          <w:rFonts w:ascii="Palatino Linotype" w:eastAsia="Palatino Linotype" w:hAnsi="Palatino Linotype" w:cs="Palatino Linotype"/>
          <w:b/>
          <w:i/>
          <w:sz w:val="22"/>
          <w:szCs w:val="22"/>
        </w:rPr>
        <w:t xml:space="preserve">Artículo 3. </w:t>
      </w:r>
      <w:r w:rsidRPr="008F2AAE">
        <w:rPr>
          <w:rFonts w:ascii="Palatino Linotype" w:eastAsia="Palatino Linotype" w:hAnsi="Palatino Linotype" w:cs="Palatino Linotype"/>
          <w:i/>
          <w:sz w:val="22"/>
          <w:szCs w:val="22"/>
        </w:rPr>
        <w:t>Para los efectos de la presente Ley se entenderá por:</w:t>
      </w:r>
    </w:p>
    <w:p w14:paraId="3329F137" w14:textId="77777777" w:rsidR="00A3275B" w:rsidRPr="008F2AAE" w:rsidRDefault="00A3275B" w:rsidP="00A3275B">
      <w:pPr>
        <w:spacing w:line="276" w:lineRule="auto"/>
        <w:ind w:left="567" w:right="616"/>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i/>
          <w:sz w:val="22"/>
          <w:szCs w:val="22"/>
        </w:rPr>
        <w:t>…</w:t>
      </w:r>
    </w:p>
    <w:p w14:paraId="6B17A32B" w14:textId="77777777" w:rsidR="00A3275B" w:rsidRPr="008F2AAE" w:rsidRDefault="00A3275B" w:rsidP="00A3275B">
      <w:pPr>
        <w:spacing w:line="276" w:lineRule="auto"/>
        <w:ind w:left="567" w:right="616"/>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b/>
          <w:i/>
          <w:sz w:val="22"/>
          <w:szCs w:val="22"/>
        </w:rPr>
        <w:t>XI. Documento:</w:t>
      </w:r>
      <w:r w:rsidRPr="008F2AAE">
        <w:rPr>
          <w:rFonts w:ascii="Palatino Linotype" w:eastAsia="Palatino Linotype" w:hAnsi="Palatino Linotype" w:cs="Palatino Linotype"/>
          <w:i/>
          <w:sz w:val="22"/>
          <w:szCs w:val="22"/>
        </w:rPr>
        <w:t xml:space="preserve"> Los expedientes, reportes, estudios, actas</w:t>
      </w:r>
      <w:r w:rsidRPr="008F2AAE">
        <w:rPr>
          <w:rFonts w:ascii="Palatino Linotype" w:eastAsia="Palatino Linotype" w:hAnsi="Palatino Linotype" w:cs="Palatino Linotype"/>
          <w:b/>
          <w:i/>
          <w:sz w:val="22"/>
          <w:szCs w:val="22"/>
        </w:rPr>
        <w:t>,</w:t>
      </w:r>
      <w:r w:rsidRPr="008F2AA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4DBA0CF" w14:textId="77777777" w:rsidR="00A3275B" w:rsidRPr="008F2AAE" w:rsidRDefault="00A3275B" w:rsidP="00A3275B">
      <w:pPr>
        <w:spacing w:line="360" w:lineRule="auto"/>
        <w:ind w:left="851" w:right="899"/>
        <w:jc w:val="both"/>
        <w:rPr>
          <w:rFonts w:ascii="Palatino Linotype" w:eastAsia="Palatino Linotype" w:hAnsi="Palatino Linotype" w:cs="Palatino Linotype"/>
          <w:sz w:val="22"/>
          <w:szCs w:val="22"/>
        </w:rPr>
      </w:pPr>
    </w:p>
    <w:p w14:paraId="78B4E629" w14:textId="77777777" w:rsidR="00A3275B" w:rsidRPr="008F2AAE" w:rsidRDefault="00A3275B" w:rsidP="00A3275B">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EEE9F3E" w14:textId="77777777" w:rsidR="00A3275B" w:rsidRPr="008F2AAE" w:rsidRDefault="00A3275B" w:rsidP="00A3275B">
      <w:pPr>
        <w:spacing w:line="360" w:lineRule="auto"/>
        <w:ind w:left="851" w:right="899"/>
        <w:jc w:val="both"/>
        <w:rPr>
          <w:rFonts w:ascii="Palatino Linotype" w:eastAsia="Palatino Linotype" w:hAnsi="Palatino Linotype" w:cs="Palatino Linotype"/>
          <w:sz w:val="22"/>
          <w:szCs w:val="22"/>
        </w:rPr>
      </w:pPr>
    </w:p>
    <w:p w14:paraId="335FDA07" w14:textId="77777777" w:rsidR="00A3275B" w:rsidRPr="008F2AAE" w:rsidRDefault="00A3275B" w:rsidP="00A3275B">
      <w:pPr>
        <w:tabs>
          <w:tab w:val="left" w:pos="7797"/>
        </w:tabs>
        <w:spacing w:line="276" w:lineRule="auto"/>
        <w:ind w:left="709" w:right="616"/>
        <w:jc w:val="both"/>
        <w:rPr>
          <w:rFonts w:ascii="Palatino Linotype" w:eastAsia="Palatino Linotype" w:hAnsi="Palatino Linotype" w:cs="Palatino Linotype"/>
          <w:b/>
          <w:i/>
          <w:sz w:val="22"/>
          <w:szCs w:val="22"/>
        </w:rPr>
      </w:pPr>
      <w:r w:rsidRPr="008F2AAE">
        <w:rPr>
          <w:rFonts w:ascii="Palatino Linotype" w:eastAsia="Palatino Linotype" w:hAnsi="Palatino Linotype" w:cs="Palatino Linotype"/>
          <w:b/>
          <w:sz w:val="22"/>
          <w:szCs w:val="22"/>
        </w:rPr>
        <w:t>“</w:t>
      </w:r>
      <w:r w:rsidRPr="008F2AA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F2AA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3C0379" w14:textId="77777777" w:rsidR="00A3275B" w:rsidRPr="008F2AAE" w:rsidRDefault="00A3275B" w:rsidP="00A3275B">
      <w:pPr>
        <w:tabs>
          <w:tab w:val="left" w:pos="7797"/>
        </w:tabs>
        <w:spacing w:line="276" w:lineRule="auto"/>
        <w:ind w:left="709" w:right="616"/>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C5E3D5B" w14:textId="77777777" w:rsidR="00A3275B" w:rsidRPr="008F2AAE" w:rsidRDefault="00A3275B" w:rsidP="00A3275B">
      <w:pPr>
        <w:tabs>
          <w:tab w:val="left" w:pos="7797"/>
        </w:tabs>
        <w:spacing w:line="276" w:lineRule="auto"/>
        <w:ind w:left="709" w:right="616"/>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664A467" w14:textId="77777777" w:rsidR="00A3275B" w:rsidRPr="008F2AAE" w:rsidRDefault="00A3275B" w:rsidP="00A3275B">
      <w:pPr>
        <w:tabs>
          <w:tab w:val="left" w:pos="7797"/>
        </w:tabs>
        <w:spacing w:line="276" w:lineRule="auto"/>
        <w:ind w:left="709" w:right="616"/>
        <w:jc w:val="both"/>
        <w:rPr>
          <w:rFonts w:ascii="Palatino Linotype" w:eastAsia="Palatino Linotype" w:hAnsi="Palatino Linotype" w:cs="Palatino Linotype"/>
          <w:b/>
          <w:i/>
          <w:sz w:val="22"/>
          <w:szCs w:val="22"/>
        </w:rPr>
      </w:pPr>
      <w:r w:rsidRPr="008F2AA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E03BCD0" w14:textId="77777777" w:rsidR="00A3275B" w:rsidRPr="008F2AAE" w:rsidRDefault="00A3275B" w:rsidP="00A3275B">
      <w:pPr>
        <w:tabs>
          <w:tab w:val="left" w:pos="7797"/>
        </w:tabs>
        <w:spacing w:line="276" w:lineRule="auto"/>
        <w:ind w:left="709" w:right="616"/>
        <w:jc w:val="both"/>
        <w:rPr>
          <w:rFonts w:ascii="Palatino Linotype" w:eastAsia="Palatino Linotype" w:hAnsi="Palatino Linotype" w:cs="Palatino Linotype"/>
          <w:b/>
          <w:i/>
          <w:sz w:val="22"/>
          <w:szCs w:val="22"/>
        </w:rPr>
      </w:pPr>
      <w:r w:rsidRPr="008F2AAE">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6F56A5" w14:textId="77777777" w:rsidR="00A3275B" w:rsidRPr="008F2AAE" w:rsidRDefault="00A3275B" w:rsidP="00A3275B">
      <w:pPr>
        <w:spacing w:line="360" w:lineRule="auto"/>
        <w:jc w:val="both"/>
        <w:rPr>
          <w:rFonts w:ascii="Palatino Linotype" w:eastAsia="Palatino Linotype" w:hAnsi="Palatino Linotype" w:cs="Palatino Linotype"/>
          <w:sz w:val="22"/>
          <w:szCs w:val="22"/>
        </w:rPr>
      </w:pPr>
    </w:p>
    <w:p w14:paraId="4D42A1DA" w14:textId="2E52370C" w:rsidR="00061442" w:rsidRPr="008F2AAE" w:rsidRDefault="00A3275B" w:rsidP="00061442">
      <w:pPr>
        <w:spacing w:line="360" w:lineRule="auto"/>
        <w:jc w:val="both"/>
        <w:rPr>
          <w:rFonts w:ascii="Palatino Linotype" w:eastAsia="Palatino Linotype" w:hAnsi="Palatino Linotype" w:cs="Palatino Linotype"/>
          <w:b/>
          <w:sz w:val="22"/>
          <w:szCs w:val="22"/>
        </w:rPr>
      </w:pPr>
      <w:r w:rsidRPr="008F2AAE">
        <w:rPr>
          <w:rFonts w:ascii="Palatino Linotype" w:eastAsia="Palatino Linotype" w:hAnsi="Palatino Linotype" w:cs="Palatino Linotype"/>
          <w:sz w:val="22"/>
          <w:szCs w:val="22"/>
        </w:rPr>
        <w:t xml:space="preserve">Dicho lo anterior, es de recordar que la parte Solicitante requirió </w:t>
      </w:r>
      <w:r w:rsidR="00061442" w:rsidRPr="008F2AAE">
        <w:rPr>
          <w:rFonts w:ascii="Palatino Linotype" w:eastAsia="Palatino Linotype" w:hAnsi="Palatino Linotype" w:cs="Palatino Linotype"/>
          <w:sz w:val="22"/>
          <w:szCs w:val="22"/>
        </w:rPr>
        <w:t xml:space="preserve">los </w:t>
      </w:r>
      <w:r w:rsidR="00061442" w:rsidRPr="008F2AAE">
        <w:rPr>
          <w:rFonts w:ascii="Palatino Linotype" w:eastAsia="Palatino Linotype" w:hAnsi="Palatino Linotype" w:cs="Palatino Linotype"/>
          <w:b/>
          <w:sz w:val="22"/>
          <w:szCs w:val="22"/>
        </w:rPr>
        <w:t xml:space="preserve">resultados preliminares de las elecciones de autoridades auxiliares por casilla, sección y delegación. </w:t>
      </w:r>
    </w:p>
    <w:p w14:paraId="3FE7FA39" w14:textId="164920F7" w:rsidR="00061442" w:rsidRPr="008F2AAE" w:rsidRDefault="00061442" w:rsidP="00061442">
      <w:pPr>
        <w:spacing w:line="360" w:lineRule="auto"/>
        <w:jc w:val="both"/>
        <w:rPr>
          <w:rFonts w:ascii="Palatino Linotype" w:eastAsia="Palatino Linotype" w:hAnsi="Palatino Linotype" w:cs="Palatino Linotype"/>
          <w:sz w:val="22"/>
          <w:szCs w:val="22"/>
        </w:rPr>
      </w:pPr>
    </w:p>
    <w:p w14:paraId="3991DB57" w14:textId="69B3EF2C" w:rsidR="00061442" w:rsidRPr="008F2AAE" w:rsidRDefault="00061442" w:rsidP="00061442">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En respuesta, el Secretario Particular de Presidencia informó que, derivado de una búsqueda exhaustiva y razonable en los archivos físicos y digitales no se encontró la información solicitada, </w:t>
      </w:r>
      <w:r w:rsidRPr="008F2AAE">
        <w:rPr>
          <w:rFonts w:ascii="Palatino Linotype" w:eastAsia="Palatino Linotype" w:hAnsi="Palatino Linotype" w:cs="Palatino Linotype"/>
          <w:b/>
          <w:bCs/>
          <w:sz w:val="22"/>
          <w:szCs w:val="22"/>
          <w:u w:val="single"/>
        </w:rPr>
        <w:t xml:space="preserve">por continuar en </w:t>
      </w:r>
      <w:r w:rsidR="00EA0C79" w:rsidRPr="008F2AAE">
        <w:rPr>
          <w:rFonts w:ascii="Palatino Linotype" w:eastAsia="Palatino Linotype" w:hAnsi="Palatino Linotype" w:cs="Palatino Linotype"/>
          <w:b/>
          <w:bCs/>
          <w:sz w:val="22"/>
          <w:szCs w:val="22"/>
          <w:u w:val="single"/>
        </w:rPr>
        <w:t>dictaminación</w:t>
      </w:r>
      <w:r w:rsidRPr="008F2AAE">
        <w:rPr>
          <w:rFonts w:ascii="Palatino Linotype" w:eastAsia="Palatino Linotype" w:hAnsi="Palatino Linotype" w:cs="Palatino Linotype"/>
          <w:b/>
          <w:bCs/>
          <w:sz w:val="22"/>
          <w:szCs w:val="22"/>
          <w:u w:val="single"/>
        </w:rPr>
        <w:t xml:space="preserve"> por parte de la Comisión Edilicia </w:t>
      </w:r>
      <w:r w:rsidRPr="008F2AAE">
        <w:rPr>
          <w:rFonts w:ascii="Palatino Linotype" w:eastAsia="Palatino Linotype" w:hAnsi="Palatino Linotype" w:cs="Palatino Linotype"/>
          <w:b/>
          <w:bCs/>
          <w:sz w:val="22"/>
          <w:szCs w:val="22"/>
          <w:u w:val="single"/>
        </w:rPr>
        <w:lastRenderedPageBreak/>
        <w:t xml:space="preserve">Transitoria </w:t>
      </w:r>
      <w:r w:rsidR="005E5431" w:rsidRPr="008F2AAE">
        <w:rPr>
          <w:rFonts w:ascii="Palatino Linotype" w:eastAsia="Palatino Linotype" w:hAnsi="Palatino Linotype" w:cs="Palatino Linotype"/>
          <w:b/>
          <w:bCs/>
          <w:sz w:val="22"/>
          <w:szCs w:val="22"/>
          <w:u w:val="single"/>
        </w:rPr>
        <w:t xml:space="preserve">de Asuntos Electorales, para renovación de autoridades auxiliares, consejos de participación ciudadana y </w:t>
      </w:r>
      <w:r w:rsidR="00EA0C79" w:rsidRPr="008F2AAE">
        <w:rPr>
          <w:rFonts w:ascii="Palatino Linotype" w:eastAsia="Palatino Linotype" w:hAnsi="Palatino Linotype" w:cs="Palatino Linotype"/>
          <w:b/>
          <w:bCs/>
          <w:sz w:val="22"/>
          <w:szCs w:val="22"/>
          <w:u w:val="single"/>
        </w:rPr>
        <w:t>representante</w:t>
      </w:r>
      <w:r w:rsidR="005E5431" w:rsidRPr="008F2AAE">
        <w:rPr>
          <w:rFonts w:ascii="Palatino Linotype" w:eastAsia="Palatino Linotype" w:hAnsi="Palatino Linotype" w:cs="Palatino Linotype"/>
          <w:b/>
          <w:bCs/>
          <w:sz w:val="22"/>
          <w:szCs w:val="22"/>
          <w:u w:val="single"/>
        </w:rPr>
        <w:t xml:space="preserve"> </w:t>
      </w:r>
      <w:r w:rsidR="00EA0C79" w:rsidRPr="008F2AAE">
        <w:rPr>
          <w:rFonts w:ascii="Palatino Linotype" w:eastAsia="Palatino Linotype" w:hAnsi="Palatino Linotype" w:cs="Palatino Linotype"/>
          <w:b/>
          <w:bCs/>
          <w:sz w:val="22"/>
          <w:szCs w:val="22"/>
          <w:u w:val="single"/>
        </w:rPr>
        <w:t>indígena</w:t>
      </w:r>
      <w:r w:rsidR="005E5431" w:rsidRPr="008F2AAE">
        <w:rPr>
          <w:rFonts w:ascii="Palatino Linotype" w:eastAsia="Palatino Linotype" w:hAnsi="Palatino Linotype" w:cs="Palatino Linotype"/>
          <w:b/>
          <w:bCs/>
          <w:sz w:val="22"/>
          <w:szCs w:val="22"/>
          <w:u w:val="single"/>
        </w:rPr>
        <w:t xml:space="preserve"> ante el Ayuntamiento</w:t>
      </w:r>
      <w:r w:rsidR="005E5431" w:rsidRPr="008F2AAE">
        <w:rPr>
          <w:rFonts w:ascii="Palatino Linotype" w:eastAsia="Palatino Linotype" w:hAnsi="Palatino Linotype" w:cs="Palatino Linotype"/>
          <w:sz w:val="22"/>
          <w:szCs w:val="22"/>
        </w:rPr>
        <w:t xml:space="preserve">. </w:t>
      </w:r>
    </w:p>
    <w:p w14:paraId="67B2938B" w14:textId="77777777" w:rsidR="005E5431" w:rsidRPr="008F2AAE" w:rsidRDefault="005E5431" w:rsidP="00061442">
      <w:pPr>
        <w:spacing w:line="360" w:lineRule="auto"/>
        <w:jc w:val="both"/>
        <w:rPr>
          <w:rFonts w:ascii="Palatino Linotype" w:eastAsia="Palatino Linotype" w:hAnsi="Palatino Linotype" w:cs="Palatino Linotype"/>
          <w:sz w:val="22"/>
          <w:szCs w:val="22"/>
        </w:rPr>
      </w:pPr>
    </w:p>
    <w:p w14:paraId="68A38AD9" w14:textId="4D8032FF" w:rsidR="005E5431" w:rsidRPr="008F2AAE" w:rsidRDefault="005E5431" w:rsidP="00061442">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Derivado de ello, la parte Recurrente se inconformó arguyendo que, se había entregado la información incompleta. </w:t>
      </w:r>
    </w:p>
    <w:p w14:paraId="5F29DA25" w14:textId="77777777" w:rsidR="005E5431" w:rsidRPr="008F2AAE" w:rsidRDefault="005E5431" w:rsidP="00061442">
      <w:pPr>
        <w:spacing w:line="360" w:lineRule="auto"/>
        <w:jc w:val="both"/>
        <w:rPr>
          <w:rFonts w:ascii="Palatino Linotype" w:eastAsia="Palatino Linotype" w:hAnsi="Palatino Linotype" w:cs="Palatino Linotype"/>
          <w:sz w:val="22"/>
          <w:szCs w:val="22"/>
        </w:rPr>
      </w:pPr>
    </w:p>
    <w:p w14:paraId="2FE96020" w14:textId="500904CB" w:rsidR="00A3275B" w:rsidRPr="008F2AAE" w:rsidRDefault="005E5431" w:rsidP="005E5431">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Es así que, en atención a los agravios hechos valer por la parte Recurrente, el Sujeto Obligado, mediante informe justificado puso a disposición del solicitante los resultados de las elecciones para su consulta en los siguientes enlaces: </w:t>
      </w:r>
    </w:p>
    <w:p w14:paraId="69764C4A" w14:textId="35B73BD1" w:rsidR="00A3275B" w:rsidRPr="008F2AAE" w:rsidRDefault="005E5431" w:rsidP="00EA0C79">
      <w:pPr>
        <w:spacing w:before="240" w:after="240" w:line="360" w:lineRule="auto"/>
        <w:jc w:val="center"/>
        <w:rPr>
          <w:rFonts w:ascii="Palatino Linotype" w:eastAsia="Palatino Linotype" w:hAnsi="Palatino Linotype" w:cs="Palatino Linotype"/>
          <w:b/>
          <w:sz w:val="22"/>
          <w:szCs w:val="22"/>
        </w:rPr>
      </w:pPr>
      <w:r w:rsidRPr="008F2AAE">
        <w:rPr>
          <w:rFonts w:ascii="Palatino Linotype" w:eastAsia="Palatino Linotype" w:hAnsi="Palatino Linotype" w:cs="Palatino Linotype"/>
          <w:b/>
          <w:noProof/>
          <w:sz w:val="22"/>
          <w:szCs w:val="22"/>
        </w:rPr>
        <w:drawing>
          <wp:inline distT="0" distB="0" distL="0" distR="0" wp14:anchorId="33413F5C" wp14:editId="3182E4BA">
            <wp:extent cx="4047489" cy="1323975"/>
            <wp:effectExtent l="0" t="0" r="0" b="0"/>
            <wp:docPr id="11109663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66336" name="Imagen 11109663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7292" cy="1327182"/>
                    </a:xfrm>
                    <a:prstGeom prst="rect">
                      <a:avLst/>
                    </a:prstGeom>
                  </pic:spPr>
                </pic:pic>
              </a:graphicData>
            </a:graphic>
          </wp:inline>
        </w:drawing>
      </w:r>
      <w:r w:rsidRPr="008F2AAE">
        <w:rPr>
          <w:rFonts w:ascii="Palatino Linotype" w:eastAsia="Palatino Linotype" w:hAnsi="Palatino Linotype" w:cs="Palatino Linotype"/>
          <w:b/>
          <w:noProof/>
          <w:sz w:val="22"/>
          <w:szCs w:val="22"/>
        </w:rPr>
        <w:drawing>
          <wp:inline distT="0" distB="0" distL="0" distR="0" wp14:anchorId="608D3871" wp14:editId="167C39C8">
            <wp:extent cx="4076700" cy="717274"/>
            <wp:effectExtent l="0" t="0" r="0" b="6985"/>
            <wp:docPr id="11352021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02140" name="Imagen 113520214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05331" cy="722312"/>
                    </a:xfrm>
                    <a:prstGeom prst="rect">
                      <a:avLst/>
                    </a:prstGeom>
                  </pic:spPr>
                </pic:pic>
              </a:graphicData>
            </a:graphic>
          </wp:inline>
        </w:drawing>
      </w:r>
    </w:p>
    <w:p w14:paraId="62C6B18A" w14:textId="76B6C2B9" w:rsidR="00996390" w:rsidRPr="008F2AAE" w:rsidRDefault="00996390" w:rsidP="00EA0C79">
      <w:pPr>
        <w:spacing w:before="240" w:after="240" w:line="360" w:lineRule="auto"/>
        <w:jc w:val="both"/>
        <w:rPr>
          <w:rFonts w:ascii="Palatino Linotype" w:eastAsia="Palatino Linotype" w:hAnsi="Palatino Linotype" w:cs="Palatino Linotype"/>
          <w:bCs/>
          <w:sz w:val="22"/>
          <w:szCs w:val="22"/>
        </w:rPr>
      </w:pPr>
      <w:r w:rsidRPr="008F2AAE">
        <w:rPr>
          <w:rFonts w:ascii="Palatino Linotype" w:eastAsia="Palatino Linotype" w:hAnsi="Palatino Linotype" w:cs="Palatino Linotype"/>
          <w:bCs/>
          <w:sz w:val="22"/>
          <w:szCs w:val="22"/>
        </w:rPr>
        <w:t>Dicho lo anterior, se procede a contextualizar la información solicitada, para ello, es menester traer a colación lo que, establece la Ley Orgánica Municipal del Estado de México</w:t>
      </w:r>
      <w:r w:rsidR="00ED568B" w:rsidRPr="008F2AAE">
        <w:rPr>
          <w:rFonts w:ascii="Palatino Linotype" w:eastAsia="Palatino Linotype" w:hAnsi="Palatino Linotype" w:cs="Palatino Linotype"/>
          <w:bCs/>
          <w:sz w:val="22"/>
          <w:szCs w:val="22"/>
        </w:rPr>
        <w:t>, la cual refiere a partir de su artículo 56, lo siguiente:</w:t>
      </w:r>
    </w:p>
    <w:p w14:paraId="2ED2718A" w14:textId="31771BD4" w:rsidR="00ED568B" w:rsidRPr="008F2AAE" w:rsidRDefault="00EA0C79" w:rsidP="00EA0C79">
      <w:pPr>
        <w:pStyle w:val="p1"/>
        <w:ind w:left="567" w:right="616"/>
        <w:jc w:val="both"/>
        <w:rPr>
          <w:rFonts w:ascii="Palatino Linotype" w:hAnsi="Palatino Linotype"/>
          <w:i/>
          <w:color w:val="auto"/>
          <w:sz w:val="22"/>
        </w:rPr>
      </w:pPr>
      <w:r w:rsidRPr="008F2AAE">
        <w:rPr>
          <w:rFonts w:ascii="Palatino Linotype" w:hAnsi="Palatino Linotype"/>
          <w:b/>
          <w:i/>
          <w:color w:val="auto"/>
          <w:sz w:val="22"/>
        </w:rPr>
        <w:t>Artículo 56.-</w:t>
      </w:r>
      <w:r w:rsidRPr="008F2AAE">
        <w:rPr>
          <w:rFonts w:ascii="Palatino Linotype" w:hAnsi="Palatino Linotype"/>
          <w:i/>
          <w:color w:val="auto"/>
          <w:sz w:val="22"/>
        </w:rPr>
        <w:t xml:space="preserve"> Son autoridades auxiliares municipales,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w:t>
      </w:r>
    </w:p>
    <w:p w14:paraId="7337FF73" w14:textId="77777777" w:rsidR="00EA0C79" w:rsidRPr="008F2AAE" w:rsidRDefault="00EA0C79" w:rsidP="00EA0C79">
      <w:pPr>
        <w:pStyle w:val="p1"/>
        <w:ind w:left="567" w:right="616"/>
        <w:jc w:val="both"/>
        <w:rPr>
          <w:rFonts w:ascii="Palatino Linotype" w:hAnsi="Palatino Linotype"/>
          <w:i/>
          <w:color w:val="auto"/>
          <w:sz w:val="36"/>
          <w:szCs w:val="22"/>
        </w:rPr>
      </w:pPr>
    </w:p>
    <w:p w14:paraId="6642A9E3" w14:textId="77777777" w:rsidR="00EA0C79" w:rsidRPr="008F2AAE" w:rsidRDefault="00EA0C79" w:rsidP="00EA0C79">
      <w:pPr>
        <w:pStyle w:val="p1"/>
        <w:ind w:left="567" w:right="616"/>
        <w:jc w:val="both"/>
        <w:rPr>
          <w:rFonts w:ascii="Palatino Linotype" w:hAnsi="Palatino Linotype"/>
          <w:i/>
          <w:color w:val="auto"/>
          <w:sz w:val="22"/>
        </w:rPr>
      </w:pPr>
      <w:r w:rsidRPr="008F2AAE">
        <w:rPr>
          <w:rFonts w:ascii="Palatino Linotype" w:hAnsi="Palatino Linotype"/>
          <w:b/>
          <w:i/>
          <w:color w:val="auto"/>
          <w:sz w:val="22"/>
        </w:rPr>
        <w:lastRenderedPageBreak/>
        <w:t>Artículo 59.-</w:t>
      </w:r>
      <w:r w:rsidRPr="008F2AAE">
        <w:rPr>
          <w:rFonts w:ascii="Palatino Linotype" w:hAnsi="Palatino Linotype"/>
          <w:i/>
          <w:color w:val="auto"/>
          <w:sz w:val="22"/>
        </w:rPr>
        <w:t xml:space="preserve"> La elección de las personas titulares de las Delegaciones y Subdelegaciones será mediante voto libre, secreto y directo de las personas vecinas de la localidad y se sujetará al procedimiento establecido en la convocatoria que al efecto expida el Ayuntamiento, misma que deberá establecer la obligación de que las candidaturas sean ocupadas paritariamente. Por cada persona titular de Delegación y Subdelegación deberá elegirse un suplente del mismo género o mujer.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 </w:t>
      </w:r>
    </w:p>
    <w:p w14:paraId="0B31365A" w14:textId="77777777" w:rsidR="00EA0C79" w:rsidRPr="008F2AAE" w:rsidRDefault="00EA0C79" w:rsidP="00EA0C79">
      <w:pPr>
        <w:pStyle w:val="p1"/>
        <w:ind w:left="567" w:right="616"/>
        <w:jc w:val="both"/>
        <w:rPr>
          <w:rFonts w:ascii="Palatino Linotype" w:hAnsi="Palatino Linotype"/>
          <w:i/>
          <w:color w:val="auto"/>
          <w:sz w:val="22"/>
        </w:rPr>
      </w:pPr>
    </w:p>
    <w:p w14:paraId="79FED5CF" w14:textId="77777777" w:rsidR="00EA0C79" w:rsidRPr="008F2AAE" w:rsidRDefault="00EA0C79" w:rsidP="00EA0C79">
      <w:pPr>
        <w:pStyle w:val="p1"/>
        <w:ind w:left="567" w:right="616"/>
        <w:jc w:val="both"/>
        <w:rPr>
          <w:rFonts w:ascii="Palatino Linotype" w:hAnsi="Palatino Linotype"/>
          <w:i/>
          <w:color w:val="auto"/>
          <w:sz w:val="22"/>
        </w:rPr>
      </w:pPr>
      <w:r w:rsidRPr="008F2AAE">
        <w:rPr>
          <w:rFonts w:ascii="Palatino Linotype" w:hAnsi="Palatino Linotype"/>
          <w:i/>
          <w:color w:val="auto"/>
          <w:sz w:val="22"/>
        </w:rPr>
        <w:t xml:space="preserve">Los ayuntamientos podrán celebrar convenios con el Instituto Electoral del Estado de México en términos de lo establecido en el artículo 11, párrafo décimo cuarto en la Constitución Política del Estado Libre y Soberano de México con treinta días de anticipación de la expedición la convocatoria. </w:t>
      </w:r>
    </w:p>
    <w:p w14:paraId="5BFD1A44" w14:textId="77777777" w:rsidR="00EA0C79" w:rsidRPr="008F2AAE" w:rsidRDefault="00EA0C79" w:rsidP="00EA0C79">
      <w:pPr>
        <w:pStyle w:val="p1"/>
        <w:ind w:left="567" w:right="616"/>
        <w:jc w:val="both"/>
        <w:rPr>
          <w:rFonts w:ascii="Palatino Linotype" w:hAnsi="Palatino Linotype"/>
          <w:i/>
          <w:color w:val="auto"/>
          <w:sz w:val="22"/>
        </w:rPr>
      </w:pPr>
    </w:p>
    <w:p w14:paraId="17E59725" w14:textId="77777777" w:rsidR="00EA0C79" w:rsidRPr="008F2AAE" w:rsidRDefault="00EA0C79" w:rsidP="00EA0C79">
      <w:pPr>
        <w:pStyle w:val="p1"/>
        <w:ind w:left="567" w:right="616"/>
        <w:jc w:val="both"/>
        <w:rPr>
          <w:rFonts w:ascii="Palatino Linotype" w:hAnsi="Palatino Linotype"/>
          <w:i/>
          <w:color w:val="auto"/>
          <w:sz w:val="22"/>
        </w:rPr>
      </w:pPr>
      <w:r w:rsidRPr="008F2AAE">
        <w:rPr>
          <w:rFonts w:ascii="Palatino Linotype" w:hAnsi="Palatino Linotype"/>
          <w:i/>
          <w:color w:val="auto"/>
          <w:sz w:val="22"/>
        </w:rPr>
        <w:t>La elección de los Delegados y Subdelegados se realizará en la fecha señalada en la convocatoria, entre el segundo domingo de marzo y el 30 de ese mes del primer año de gobierno del Ayuntamiento.</w:t>
      </w:r>
    </w:p>
    <w:p w14:paraId="144FCC33" w14:textId="77777777" w:rsidR="00EA0C79" w:rsidRPr="008F2AAE" w:rsidRDefault="00EA0C79" w:rsidP="00EA0C79">
      <w:pPr>
        <w:pStyle w:val="p1"/>
        <w:ind w:left="567" w:right="616"/>
        <w:jc w:val="both"/>
        <w:rPr>
          <w:rFonts w:ascii="Palatino Linotype" w:hAnsi="Palatino Linotype"/>
          <w:i/>
          <w:color w:val="auto"/>
          <w:sz w:val="22"/>
        </w:rPr>
      </w:pPr>
    </w:p>
    <w:p w14:paraId="195FF10C" w14:textId="5DE42441" w:rsidR="00EA0C79" w:rsidRPr="008F2AAE" w:rsidRDefault="00EA0C79" w:rsidP="00EA0C79">
      <w:pPr>
        <w:pStyle w:val="p1"/>
        <w:ind w:left="567" w:right="616"/>
        <w:jc w:val="both"/>
        <w:rPr>
          <w:rFonts w:ascii="Palatino Linotype" w:hAnsi="Palatino Linotype"/>
          <w:i/>
          <w:color w:val="auto"/>
          <w:sz w:val="52"/>
          <w:szCs w:val="22"/>
        </w:rPr>
      </w:pPr>
      <w:r w:rsidRPr="008F2AAE">
        <w:rPr>
          <w:rFonts w:ascii="Palatino Linotype" w:hAnsi="Palatino Linotype"/>
          <w:i/>
          <w:color w:val="auto"/>
          <w:sz w:val="22"/>
        </w:rPr>
        <w:t xml:space="preserve"> La convocatoria deberá expedirse cuando menos diez días antes de la elección. Sus nombramientos serán firmados por el Presidente Municipal y el Secretario del Ayuntamiento, entregándose a los electos a más tardar el día en que entren en funciones, </w:t>
      </w:r>
      <w:r w:rsidRPr="008F2AAE">
        <w:rPr>
          <w:rFonts w:ascii="Palatino Linotype" w:hAnsi="Palatino Linotype"/>
          <w:b/>
          <w:i/>
          <w:color w:val="auto"/>
          <w:sz w:val="22"/>
          <w:u w:val="single"/>
        </w:rPr>
        <w:t>que será el 15 de abril del mismo año.</w:t>
      </w:r>
    </w:p>
    <w:p w14:paraId="464FD683" w14:textId="77777777" w:rsidR="00EA0C79" w:rsidRPr="008F2AAE" w:rsidRDefault="00EA0C79" w:rsidP="00EA0C79">
      <w:pPr>
        <w:pStyle w:val="p1"/>
        <w:spacing w:line="276" w:lineRule="auto"/>
        <w:ind w:left="567"/>
        <w:jc w:val="both"/>
        <w:rPr>
          <w:rFonts w:ascii="Palatino Linotype" w:hAnsi="Palatino Linotype"/>
          <w:b/>
          <w:bCs/>
          <w:i/>
          <w:color w:val="auto"/>
          <w:sz w:val="36"/>
          <w:szCs w:val="22"/>
        </w:rPr>
      </w:pPr>
    </w:p>
    <w:p w14:paraId="19714DA6" w14:textId="77777777" w:rsidR="00EA0C79" w:rsidRPr="008F2AAE" w:rsidRDefault="00EA0C79" w:rsidP="00EA0C79">
      <w:pPr>
        <w:pStyle w:val="p1"/>
        <w:spacing w:line="276" w:lineRule="auto"/>
        <w:ind w:left="567"/>
        <w:jc w:val="both"/>
        <w:rPr>
          <w:rFonts w:ascii="Palatino Linotype" w:hAnsi="Palatino Linotype"/>
          <w:i/>
          <w:color w:val="auto"/>
          <w:sz w:val="22"/>
        </w:rPr>
      </w:pPr>
      <w:r w:rsidRPr="008F2AAE">
        <w:rPr>
          <w:rFonts w:ascii="Palatino Linotype" w:hAnsi="Palatino Linotype"/>
          <w:b/>
          <w:i/>
          <w:color w:val="auto"/>
          <w:sz w:val="22"/>
        </w:rPr>
        <w:t>Artículo 72.-</w:t>
      </w:r>
      <w:r w:rsidRPr="008F2AAE">
        <w:rPr>
          <w:rFonts w:ascii="Palatino Linotype" w:hAnsi="Palatino Linotype"/>
          <w:i/>
          <w:color w:val="auto"/>
          <w:sz w:val="22"/>
        </w:rPr>
        <w:t xml:space="preserve"> Para la gestión, promoción y ejecución de los planes y programas municipales en las diversas materias, los ayuntamientos podrán auxiliarse de consejos de participación ciudadana municipal. </w:t>
      </w:r>
    </w:p>
    <w:p w14:paraId="1ED08210" w14:textId="77777777" w:rsidR="00EA0C79" w:rsidRPr="008F2AAE" w:rsidRDefault="00EA0C79" w:rsidP="00EA0C79">
      <w:pPr>
        <w:pStyle w:val="p1"/>
        <w:spacing w:line="276" w:lineRule="auto"/>
        <w:ind w:left="567"/>
        <w:jc w:val="both"/>
        <w:rPr>
          <w:rFonts w:ascii="Palatino Linotype" w:hAnsi="Palatino Linotype"/>
          <w:i/>
          <w:color w:val="auto"/>
          <w:sz w:val="22"/>
        </w:rPr>
      </w:pPr>
    </w:p>
    <w:p w14:paraId="401A644C" w14:textId="77777777" w:rsidR="00EA0C79" w:rsidRPr="008F2AAE" w:rsidRDefault="00EA0C79" w:rsidP="00EA0C79">
      <w:pPr>
        <w:pStyle w:val="p1"/>
        <w:spacing w:line="276" w:lineRule="auto"/>
        <w:ind w:left="567"/>
        <w:jc w:val="both"/>
        <w:rPr>
          <w:rFonts w:ascii="Palatino Linotype" w:hAnsi="Palatino Linotype"/>
          <w:i/>
          <w:color w:val="auto"/>
          <w:sz w:val="22"/>
        </w:rPr>
      </w:pPr>
      <w:r w:rsidRPr="008F2AAE">
        <w:rPr>
          <w:rFonts w:ascii="Palatino Linotype" w:hAnsi="Palatino Linotype"/>
          <w:b/>
          <w:i/>
          <w:color w:val="auto"/>
          <w:sz w:val="22"/>
        </w:rPr>
        <w:t>Artículo 73.-</w:t>
      </w:r>
      <w:r w:rsidRPr="008F2AAE">
        <w:rPr>
          <w:rFonts w:ascii="Palatino Linotype" w:hAnsi="Palatino Linotype"/>
          <w:i/>
          <w:color w:val="auto"/>
          <w:sz w:val="22"/>
        </w:rPr>
        <w:t xml:space="preserve"> Cada consejo de participación ciudadana municipal se integrará hasta con cinco personas vecinas del municipio, con sus respectivos suplentes del mismo género o mujer, la integración de estos deberá observar los principios de igualdad, equidad y garantizar la paridad de género. De entre las personas que conformen el consejo una estará a cargo de la presidencia, una de la secretaría y una de la tesorería, en su caso dos vocales, que serán electos en las diversas localidades por habitantes de la comunidad, entre el segundo domingo de marzo y el 30 de ese mes del año inmediato siguiente a la elección del ayuntamiento, en la forma y términos que éste </w:t>
      </w:r>
      <w:r w:rsidRPr="008F2AAE">
        <w:rPr>
          <w:rFonts w:ascii="Palatino Linotype" w:hAnsi="Palatino Linotype"/>
          <w:i/>
          <w:color w:val="auto"/>
          <w:sz w:val="22"/>
        </w:rPr>
        <w:lastRenderedPageBreak/>
        <w:t xml:space="preserve">determine en la convocatoria que deberá aprobar y publicar el ayuntamiento en los lugares más visibles y concurridos de cada comunidad, cuando menos quince días antes de la elección. </w:t>
      </w:r>
    </w:p>
    <w:p w14:paraId="78A37927" w14:textId="77777777" w:rsidR="00EA0C79" w:rsidRPr="008F2AAE" w:rsidRDefault="00EA0C79" w:rsidP="00EA0C79">
      <w:pPr>
        <w:pStyle w:val="p1"/>
        <w:spacing w:line="276" w:lineRule="auto"/>
        <w:ind w:left="567"/>
        <w:jc w:val="both"/>
        <w:rPr>
          <w:rFonts w:ascii="Palatino Linotype" w:hAnsi="Palatino Linotype"/>
          <w:i/>
          <w:color w:val="auto"/>
          <w:sz w:val="22"/>
        </w:rPr>
      </w:pPr>
    </w:p>
    <w:p w14:paraId="494D0D79" w14:textId="77777777" w:rsidR="00EA0C79" w:rsidRPr="008F2AAE" w:rsidRDefault="00EA0C79" w:rsidP="00EA0C79">
      <w:pPr>
        <w:pStyle w:val="p1"/>
        <w:spacing w:line="276" w:lineRule="auto"/>
        <w:ind w:left="567"/>
        <w:jc w:val="both"/>
        <w:rPr>
          <w:rFonts w:ascii="Palatino Linotype" w:hAnsi="Palatino Linotype"/>
          <w:i/>
          <w:color w:val="auto"/>
          <w:sz w:val="22"/>
        </w:rPr>
      </w:pPr>
      <w:r w:rsidRPr="008F2AAE">
        <w:rPr>
          <w:rFonts w:ascii="Palatino Linotype" w:hAnsi="Palatino Linotype"/>
          <w:i/>
          <w:color w:val="auto"/>
          <w:sz w:val="22"/>
        </w:rPr>
        <w:t>El ayuntamiento expedirá los nombramientos respectivos firmados por la persona titular de la presidencia municipal y la persona titular de la secretaría del ayuntamiento, entregándose a las personas electas a más tardar el día en que entren en funciones, que será el día 15 de abril del mismo año.</w:t>
      </w:r>
    </w:p>
    <w:p w14:paraId="34C64541" w14:textId="77777777" w:rsidR="00EA0C79" w:rsidRPr="008F2AAE" w:rsidRDefault="00EA0C79" w:rsidP="00EA0C79">
      <w:pPr>
        <w:pStyle w:val="p1"/>
        <w:spacing w:line="276" w:lineRule="auto"/>
        <w:ind w:left="567"/>
        <w:jc w:val="both"/>
        <w:rPr>
          <w:rFonts w:ascii="Palatino Linotype" w:hAnsi="Palatino Linotype"/>
          <w:i/>
          <w:color w:val="auto"/>
          <w:sz w:val="22"/>
        </w:rPr>
      </w:pPr>
    </w:p>
    <w:p w14:paraId="2D679283" w14:textId="355B8DDB" w:rsidR="00ED568B" w:rsidRPr="008F2AAE" w:rsidRDefault="00EA0C79" w:rsidP="00EA0C79">
      <w:pPr>
        <w:pStyle w:val="p1"/>
        <w:spacing w:line="276" w:lineRule="auto"/>
        <w:ind w:left="567"/>
        <w:jc w:val="both"/>
        <w:rPr>
          <w:rFonts w:ascii="Palatino Linotype" w:hAnsi="Palatino Linotype"/>
          <w:i/>
          <w:color w:val="auto"/>
          <w:sz w:val="22"/>
        </w:rPr>
      </w:pPr>
      <w:r w:rsidRPr="008F2AAE">
        <w:rPr>
          <w:rFonts w:ascii="Palatino Linotype" w:hAnsi="Palatino Linotype"/>
          <w:i/>
          <w:color w:val="auto"/>
          <w:sz w:val="22"/>
        </w:rPr>
        <w:t>Las personas integrantes del consejo de participación ciudadana que hayan participado en la gestión que termina no podrán ser electos a ningún cargo del consejo de participación ciudadana para el periodo inmediato siguiente.</w:t>
      </w:r>
    </w:p>
    <w:p w14:paraId="64F6763D" w14:textId="55868FE2" w:rsidR="00ED568B" w:rsidRPr="008F2AAE" w:rsidRDefault="00ED568B">
      <w:pPr>
        <w:spacing w:before="240" w:after="240" w:line="360" w:lineRule="auto"/>
        <w:jc w:val="both"/>
        <w:rPr>
          <w:rFonts w:ascii="Palatino Linotype" w:eastAsia="Palatino Linotype" w:hAnsi="Palatino Linotype" w:cs="Palatino Linotype"/>
          <w:bCs/>
          <w:sz w:val="22"/>
          <w:szCs w:val="22"/>
        </w:rPr>
      </w:pPr>
      <w:r w:rsidRPr="008F2AAE">
        <w:rPr>
          <w:rFonts w:ascii="Palatino Linotype" w:eastAsia="Palatino Linotype" w:hAnsi="Palatino Linotype" w:cs="Palatino Linotype"/>
          <w:bCs/>
          <w:sz w:val="22"/>
          <w:szCs w:val="22"/>
        </w:rPr>
        <w:t xml:space="preserve">De lo anterior, se concluye que, los delegados y subdelegados son autoridades auxiliares, que deberán designarse mediante voto libre, secreto y directo de las personas vecinas de la localidad y se sujetará al procedimiento establecido en la convocatoria respectiva, por su parte, para la gestión, promoción y ejecución de los planes y programas municipales en las diversas materias, los ayuntamientos podrán auxiliarse de consejos de participación ciudadana municipal, quienes </w:t>
      </w:r>
      <w:r w:rsidRPr="008F2AAE">
        <w:rPr>
          <w:rFonts w:ascii="Palatino Linotype" w:eastAsia="Palatino Linotype" w:hAnsi="Palatino Linotype" w:cs="Palatino Linotype"/>
          <w:b/>
          <w:sz w:val="22"/>
          <w:szCs w:val="22"/>
          <w:u w:val="single"/>
        </w:rPr>
        <w:t>serán electos entre el segundo domingo de marzo y el treinta de ese mes del año inmediato siguiente a la elección del ayuntamiento</w:t>
      </w:r>
      <w:r w:rsidRPr="008F2AAE">
        <w:rPr>
          <w:rFonts w:ascii="Palatino Linotype" w:eastAsia="Palatino Linotype" w:hAnsi="Palatino Linotype" w:cs="Palatino Linotype"/>
          <w:bCs/>
          <w:sz w:val="22"/>
          <w:szCs w:val="22"/>
        </w:rPr>
        <w:t>, en términos de la convocatoria que para tales efectos emita el Ayuntamiento.</w:t>
      </w:r>
    </w:p>
    <w:p w14:paraId="398085E1" w14:textId="4CBA09B4" w:rsidR="00ED568B" w:rsidRPr="008F2AAE" w:rsidRDefault="00ED568B">
      <w:pPr>
        <w:spacing w:before="240" w:after="240" w:line="360" w:lineRule="auto"/>
        <w:jc w:val="both"/>
        <w:rPr>
          <w:rFonts w:ascii="Palatino Linotype" w:eastAsia="Palatino Linotype" w:hAnsi="Palatino Linotype" w:cs="Palatino Linotype"/>
          <w:bCs/>
          <w:sz w:val="22"/>
          <w:szCs w:val="22"/>
        </w:rPr>
      </w:pPr>
      <w:r w:rsidRPr="008F2AAE">
        <w:rPr>
          <w:rFonts w:ascii="Palatino Linotype" w:eastAsia="Palatino Linotype" w:hAnsi="Palatino Linotype" w:cs="Palatino Linotype"/>
          <w:bCs/>
          <w:sz w:val="22"/>
          <w:szCs w:val="22"/>
        </w:rPr>
        <w:t>Ahora bien, la Ley Orgánica Municipal del Estado de México establece que, los nombramientos se deberán entregar a más tardar el quince de abril del mismo año en que se llevó la designación, esto, tanto para Delegados y Subdelegados como, integrantes de</w:t>
      </w:r>
      <w:r w:rsidR="0085355B" w:rsidRPr="008F2AAE">
        <w:rPr>
          <w:rFonts w:ascii="Palatino Linotype" w:eastAsia="Palatino Linotype" w:hAnsi="Palatino Linotype" w:cs="Palatino Linotype"/>
          <w:bCs/>
          <w:sz w:val="22"/>
          <w:szCs w:val="22"/>
        </w:rPr>
        <w:t xml:space="preserve"> los consejos de participación ciudadana. </w:t>
      </w:r>
    </w:p>
    <w:p w14:paraId="403CF65C" w14:textId="77777777" w:rsidR="00D609B2" w:rsidRPr="008F2AAE" w:rsidRDefault="0085355B">
      <w:pPr>
        <w:spacing w:before="240" w:after="240" w:line="360" w:lineRule="auto"/>
        <w:jc w:val="both"/>
        <w:rPr>
          <w:rFonts w:ascii="Palatino Linotype" w:eastAsia="Palatino Linotype" w:hAnsi="Palatino Linotype" w:cs="Palatino Linotype"/>
          <w:bCs/>
          <w:sz w:val="22"/>
          <w:szCs w:val="22"/>
        </w:rPr>
      </w:pPr>
      <w:r w:rsidRPr="008F2AAE">
        <w:rPr>
          <w:rFonts w:ascii="Palatino Linotype" w:eastAsia="Palatino Linotype" w:hAnsi="Palatino Linotype" w:cs="Palatino Linotype"/>
          <w:bCs/>
          <w:sz w:val="22"/>
          <w:szCs w:val="22"/>
        </w:rPr>
        <w:t xml:space="preserve">Dicho esto, de la búsqueda realizada, se encontró la </w:t>
      </w:r>
      <w:r w:rsidRPr="008F2AAE">
        <w:rPr>
          <w:rFonts w:ascii="Palatino Linotype" w:eastAsia="Palatino Linotype" w:hAnsi="Palatino Linotype" w:cs="Palatino Linotype"/>
          <w:b/>
          <w:sz w:val="22"/>
          <w:szCs w:val="22"/>
        </w:rPr>
        <w:t>“Convocatoria para la Elección de los Delegados y Subdelegados 2025-2027”</w:t>
      </w:r>
      <w:r w:rsidR="00D609B2" w:rsidRPr="008F2AAE">
        <w:rPr>
          <w:rFonts w:ascii="Palatino Linotype" w:eastAsia="Palatino Linotype" w:hAnsi="Palatino Linotype" w:cs="Palatino Linotype"/>
          <w:b/>
          <w:sz w:val="22"/>
          <w:szCs w:val="22"/>
        </w:rPr>
        <w:t xml:space="preserve"> y la </w:t>
      </w:r>
      <w:r w:rsidR="00D609B2" w:rsidRPr="008F2AAE">
        <w:rPr>
          <w:rFonts w:ascii="Palatino Linotype" w:eastAsia="Palatino Linotype" w:hAnsi="Palatino Linotype" w:cs="Palatino Linotype"/>
          <w:bCs/>
          <w:sz w:val="22"/>
          <w:szCs w:val="22"/>
        </w:rPr>
        <w:t>“</w:t>
      </w:r>
      <w:r w:rsidR="00D609B2" w:rsidRPr="008F2AAE">
        <w:rPr>
          <w:rFonts w:ascii="Palatino Linotype" w:eastAsia="Palatino Linotype" w:hAnsi="Palatino Linotype" w:cs="Palatino Linotype"/>
          <w:b/>
          <w:sz w:val="22"/>
          <w:szCs w:val="22"/>
        </w:rPr>
        <w:t>Convocatoria para la elección de Consejo de Participación Ciudadana 2025-2027”,</w:t>
      </w:r>
      <w:r w:rsidRPr="008F2AAE">
        <w:rPr>
          <w:rFonts w:ascii="Palatino Linotype" w:eastAsia="Palatino Linotype" w:hAnsi="Palatino Linotype" w:cs="Palatino Linotype"/>
          <w:bCs/>
          <w:sz w:val="22"/>
          <w:szCs w:val="22"/>
        </w:rPr>
        <w:t xml:space="preserve"> la</w:t>
      </w:r>
      <w:r w:rsidR="00D609B2" w:rsidRPr="008F2AAE">
        <w:rPr>
          <w:rFonts w:ascii="Palatino Linotype" w:eastAsia="Palatino Linotype" w:hAnsi="Palatino Linotype" w:cs="Palatino Linotype"/>
          <w:bCs/>
          <w:sz w:val="22"/>
          <w:szCs w:val="22"/>
        </w:rPr>
        <w:t>s</w:t>
      </w:r>
      <w:r w:rsidRPr="008F2AAE">
        <w:rPr>
          <w:rFonts w:ascii="Palatino Linotype" w:eastAsia="Palatino Linotype" w:hAnsi="Palatino Linotype" w:cs="Palatino Linotype"/>
          <w:bCs/>
          <w:sz w:val="22"/>
          <w:szCs w:val="22"/>
        </w:rPr>
        <w:t xml:space="preserve"> cual</w:t>
      </w:r>
      <w:r w:rsidR="00D609B2" w:rsidRPr="008F2AAE">
        <w:rPr>
          <w:rFonts w:ascii="Palatino Linotype" w:eastAsia="Palatino Linotype" w:hAnsi="Palatino Linotype" w:cs="Palatino Linotype"/>
          <w:bCs/>
          <w:sz w:val="22"/>
          <w:szCs w:val="22"/>
        </w:rPr>
        <w:t>es</w:t>
      </w:r>
      <w:r w:rsidRPr="008F2AAE">
        <w:rPr>
          <w:rFonts w:ascii="Palatino Linotype" w:eastAsia="Palatino Linotype" w:hAnsi="Palatino Linotype" w:cs="Palatino Linotype"/>
          <w:bCs/>
          <w:sz w:val="22"/>
          <w:szCs w:val="22"/>
        </w:rPr>
        <w:t xml:space="preserve"> establece</w:t>
      </w:r>
      <w:r w:rsidR="00D609B2" w:rsidRPr="008F2AAE">
        <w:rPr>
          <w:rFonts w:ascii="Palatino Linotype" w:eastAsia="Palatino Linotype" w:hAnsi="Palatino Linotype" w:cs="Palatino Linotype"/>
          <w:bCs/>
          <w:sz w:val="22"/>
          <w:szCs w:val="22"/>
        </w:rPr>
        <w:t>n</w:t>
      </w:r>
      <w:r w:rsidRPr="008F2AAE">
        <w:rPr>
          <w:rFonts w:ascii="Palatino Linotype" w:eastAsia="Palatino Linotype" w:hAnsi="Palatino Linotype" w:cs="Palatino Linotype"/>
          <w:bCs/>
          <w:sz w:val="22"/>
          <w:szCs w:val="22"/>
        </w:rPr>
        <w:t xml:space="preserve"> en su base primera que, el proceso para la renovación de delegados y subdelegados iniciará con la publicación de la </w:t>
      </w:r>
      <w:r w:rsidRPr="008F2AAE">
        <w:rPr>
          <w:rFonts w:ascii="Palatino Linotype" w:eastAsia="Palatino Linotype" w:hAnsi="Palatino Linotype" w:cs="Palatino Linotype"/>
          <w:bCs/>
          <w:sz w:val="22"/>
          <w:szCs w:val="22"/>
        </w:rPr>
        <w:lastRenderedPageBreak/>
        <w:t xml:space="preserve">convocatoria, el veintiséis de febrero de dos mil veinticinco y concluirá con la declaratoria de validez de la elección. </w:t>
      </w:r>
    </w:p>
    <w:p w14:paraId="32FD037A" w14:textId="49189C12" w:rsidR="0085355B" w:rsidRPr="008F2AAE" w:rsidRDefault="0085355B">
      <w:pPr>
        <w:spacing w:before="240" w:after="240" w:line="360" w:lineRule="auto"/>
        <w:jc w:val="both"/>
        <w:rPr>
          <w:rFonts w:ascii="Palatino Linotype" w:eastAsia="Palatino Linotype" w:hAnsi="Palatino Linotype" w:cs="Palatino Linotype"/>
          <w:b/>
          <w:bCs/>
          <w:sz w:val="22"/>
          <w:szCs w:val="22"/>
          <w:u w:val="single"/>
        </w:rPr>
      </w:pPr>
      <w:r w:rsidRPr="008F2AAE">
        <w:rPr>
          <w:rFonts w:ascii="Palatino Linotype" w:eastAsia="Palatino Linotype" w:hAnsi="Palatino Linotype" w:cs="Palatino Linotype"/>
          <w:bCs/>
          <w:sz w:val="22"/>
          <w:szCs w:val="22"/>
        </w:rPr>
        <w:t>Asimismo, dentro de las bases se establece que, la elección de los delegados y subdelegados</w:t>
      </w:r>
      <w:r w:rsidR="00D609B2" w:rsidRPr="008F2AAE">
        <w:rPr>
          <w:rFonts w:ascii="Palatino Linotype" w:eastAsia="Palatino Linotype" w:hAnsi="Palatino Linotype" w:cs="Palatino Linotype"/>
          <w:bCs/>
          <w:sz w:val="22"/>
          <w:szCs w:val="22"/>
        </w:rPr>
        <w:t>, así como de los miembros del consejo de participación ciudadana</w:t>
      </w:r>
      <w:r w:rsidR="00D609B2" w:rsidRPr="008F2AAE">
        <w:rPr>
          <w:rFonts w:ascii="Palatino Linotype" w:eastAsia="Palatino Linotype" w:hAnsi="Palatino Linotype" w:cs="Palatino Linotype"/>
          <w:b/>
          <w:sz w:val="22"/>
          <w:szCs w:val="22"/>
          <w:u w:val="single"/>
        </w:rPr>
        <w:t>,</w:t>
      </w:r>
      <w:r w:rsidRPr="008F2AAE">
        <w:rPr>
          <w:rFonts w:ascii="Palatino Linotype" w:eastAsia="Palatino Linotype" w:hAnsi="Palatino Linotype" w:cs="Palatino Linotype"/>
          <w:b/>
          <w:sz w:val="22"/>
          <w:szCs w:val="22"/>
          <w:u w:val="single"/>
        </w:rPr>
        <w:t xml:space="preserve"> se llevará a cabo el treinta de marzo del dos mil veinticinco</w:t>
      </w:r>
      <w:r w:rsidR="00155233" w:rsidRPr="008F2AAE">
        <w:rPr>
          <w:rFonts w:ascii="Palatino Linotype" w:eastAsia="Palatino Linotype" w:hAnsi="Palatino Linotype" w:cs="Palatino Linotype"/>
          <w:bCs/>
          <w:sz w:val="22"/>
          <w:szCs w:val="22"/>
        </w:rPr>
        <w:t xml:space="preserve"> y </w:t>
      </w:r>
      <w:r w:rsidR="00155233" w:rsidRPr="008F2AAE">
        <w:rPr>
          <w:rFonts w:ascii="Palatino Linotype" w:eastAsia="Palatino Linotype" w:hAnsi="Palatino Linotype" w:cs="Palatino Linotype"/>
          <w:b/>
          <w:bCs/>
          <w:sz w:val="22"/>
          <w:szCs w:val="22"/>
          <w:u w:val="single"/>
        </w:rPr>
        <w:t xml:space="preserve">se emitirá la declaratoria de validez </w:t>
      </w:r>
      <w:r w:rsidR="00155233" w:rsidRPr="008F2AAE">
        <w:rPr>
          <w:rFonts w:ascii="Palatino Linotype" w:eastAsia="Palatino Linotype" w:hAnsi="Palatino Linotype" w:cs="Palatino Linotype"/>
          <w:b/>
          <w:sz w:val="22"/>
          <w:szCs w:val="22"/>
          <w:u w:val="single"/>
        </w:rPr>
        <w:t xml:space="preserve">cinco días </w:t>
      </w:r>
      <w:r w:rsidR="00EA0C79" w:rsidRPr="008F2AAE">
        <w:rPr>
          <w:rFonts w:ascii="Palatino Linotype" w:eastAsia="Palatino Linotype" w:hAnsi="Palatino Linotype" w:cs="Palatino Linotype"/>
          <w:b/>
          <w:sz w:val="22"/>
          <w:szCs w:val="22"/>
          <w:u w:val="single"/>
        </w:rPr>
        <w:t>después</w:t>
      </w:r>
      <w:r w:rsidR="00155233" w:rsidRPr="008F2AAE">
        <w:rPr>
          <w:rFonts w:ascii="Palatino Linotype" w:eastAsia="Palatino Linotype" w:hAnsi="Palatino Linotype" w:cs="Palatino Linotype"/>
          <w:b/>
          <w:sz w:val="22"/>
          <w:szCs w:val="22"/>
          <w:u w:val="single"/>
        </w:rPr>
        <w:t xml:space="preserve"> de la elección. </w:t>
      </w:r>
    </w:p>
    <w:p w14:paraId="4E3C1ED4" w14:textId="77777777" w:rsidR="0096220E" w:rsidRPr="008F2AAE" w:rsidRDefault="00D609B2" w:rsidP="00EA0C79">
      <w:pPr>
        <w:spacing w:before="240" w:after="240" w:line="360" w:lineRule="auto"/>
        <w:jc w:val="both"/>
        <w:rPr>
          <w:rFonts w:ascii="Palatino Linotype" w:eastAsia="Palatino Linotype" w:hAnsi="Palatino Linotype" w:cs="Palatino Linotype"/>
          <w:bCs/>
          <w:sz w:val="22"/>
          <w:szCs w:val="22"/>
        </w:rPr>
      </w:pPr>
      <w:r w:rsidRPr="008F2AAE">
        <w:rPr>
          <w:rFonts w:ascii="Palatino Linotype" w:eastAsia="Palatino Linotype" w:hAnsi="Palatino Linotype" w:cs="Palatino Linotype"/>
          <w:bCs/>
          <w:sz w:val="22"/>
          <w:szCs w:val="22"/>
        </w:rPr>
        <w:t xml:space="preserve">Referido lo anterior, en atención a los agravios hechos valer por la parte Recurrente, se tiene que, la solicitud de información fue realizada un día </w:t>
      </w:r>
      <w:r w:rsidR="00EA0C79" w:rsidRPr="008F2AAE">
        <w:rPr>
          <w:rFonts w:ascii="Palatino Linotype" w:eastAsia="Palatino Linotype" w:hAnsi="Palatino Linotype" w:cs="Palatino Linotype"/>
          <w:bCs/>
          <w:sz w:val="22"/>
          <w:szCs w:val="22"/>
        </w:rPr>
        <w:t>después</w:t>
      </w:r>
      <w:r w:rsidRPr="008F2AAE">
        <w:rPr>
          <w:rFonts w:ascii="Palatino Linotype" w:eastAsia="Palatino Linotype" w:hAnsi="Palatino Linotype" w:cs="Palatino Linotype"/>
          <w:bCs/>
          <w:sz w:val="22"/>
          <w:szCs w:val="22"/>
        </w:rPr>
        <w:t xml:space="preserve"> de la votación de las autoridades auxiliares,</w:t>
      </w:r>
      <w:r w:rsidR="00EA0C79" w:rsidRPr="008F2AAE">
        <w:rPr>
          <w:rFonts w:ascii="Palatino Linotype" w:eastAsia="Palatino Linotype" w:hAnsi="Palatino Linotype" w:cs="Palatino Linotype"/>
          <w:bCs/>
          <w:sz w:val="22"/>
          <w:szCs w:val="22"/>
        </w:rPr>
        <w:t xml:space="preserve"> esto es, el treinta y uno de marzo de dos mil veinticinco,</w:t>
      </w:r>
      <w:r w:rsidRPr="008F2AAE">
        <w:rPr>
          <w:rFonts w:ascii="Palatino Linotype" w:eastAsia="Palatino Linotype" w:hAnsi="Palatino Linotype" w:cs="Palatino Linotype"/>
          <w:bCs/>
          <w:sz w:val="22"/>
          <w:szCs w:val="22"/>
        </w:rPr>
        <w:t xml:space="preserve"> siendo que a esa fecha no se había cumplido el plazo para que la Comisión Edilicia de Asuntos Electorales emitiera la </w:t>
      </w:r>
      <w:r w:rsidR="00EA0C79" w:rsidRPr="008F2AAE">
        <w:rPr>
          <w:rFonts w:ascii="Palatino Linotype" w:eastAsia="Palatino Linotype" w:hAnsi="Palatino Linotype" w:cs="Palatino Linotype"/>
          <w:bCs/>
          <w:sz w:val="22"/>
          <w:szCs w:val="22"/>
        </w:rPr>
        <w:t>declaratoria</w:t>
      </w:r>
      <w:r w:rsidRPr="008F2AAE">
        <w:rPr>
          <w:rFonts w:ascii="Palatino Linotype" w:eastAsia="Palatino Linotype" w:hAnsi="Palatino Linotype" w:cs="Palatino Linotype"/>
          <w:bCs/>
          <w:sz w:val="22"/>
          <w:szCs w:val="22"/>
        </w:rPr>
        <w:t xml:space="preserve"> de validez, por lo que, tal como lo señaló el Secretario Particular de Presidencia, a la fecha de la solicitud de información se continuaba con el desarrollo y dictaminación po</w:t>
      </w:r>
      <w:r w:rsidR="0096220E" w:rsidRPr="008F2AAE">
        <w:rPr>
          <w:rFonts w:ascii="Palatino Linotype" w:eastAsia="Palatino Linotype" w:hAnsi="Palatino Linotype" w:cs="Palatino Linotype"/>
          <w:bCs/>
          <w:sz w:val="22"/>
          <w:szCs w:val="22"/>
        </w:rPr>
        <w:t xml:space="preserve">r parte de esta comisión. </w:t>
      </w:r>
    </w:p>
    <w:p w14:paraId="504F1E8D" w14:textId="6BB4665D" w:rsidR="00D609B2" w:rsidRPr="008F2AAE" w:rsidRDefault="0096220E" w:rsidP="00EA0C79">
      <w:pPr>
        <w:spacing w:before="240" w:after="240" w:line="360" w:lineRule="auto"/>
        <w:jc w:val="both"/>
        <w:rPr>
          <w:rFonts w:ascii="Palatino Linotype" w:eastAsia="Palatino Linotype" w:hAnsi="Palatino Linotype" w:cs="Palatino Linotype"/>
          <w:bCs/>
          <w:sz w:val="22"/>
          <w:szCs w:val="22"/>
        </w:rPr>
      </w:pPr>
      <w:r w:rsidRPr="008F2AAE">
        <w:rPr>
          <w:rFonts w:ascii="Palatino Linotype" w:eastAsia="Palatino Linotype" w:hAnsi="Palatino Linotype" w:cs="Palatino Linotype"/>
          <w:bCs/>
          <w:sz w:val="22"/>
          <w:szCs w:val="22"/>
        </w:rPr>
        <w:t xml:space="preserve">De lo anterior, se considera </w:t>
      </w:r>
      <w:r w:rsidR="00D609B2" w:rsidRPr="008F2AAE">
        <w:rPr>
          <w:rFonts w:ascii="Palatino Linotype" w:eastAsia="Palatino Linotype" w:hAnsi="Palatino Linotype" w:cs="Palatino Linotype"/>
          <w:bCs/>
          <w:sz w:val="22"/>
          <w:szCs w:val="22"/>
        </w:rPr>
        <w:t xml:space="preserve">que, </w:t>
      </w:r>
      <w:r w:rsidR="00D609B2" w:rsidRPr="008F2AAE">
        <w:rPr>
          <w:rFonts w:ascii="Palatino Linotype" w:eastAsia="Palatino Linotype" w:hAnsi="Palatino Linotype" w:cs="Palatino Linotype"/>
          <w:sz w:val="22"/>
          <w:szCs w:val="22"/>
        </w:rPr>
        <w:t xml:space="preserve">nos encontramos ante la presencia de un denominado </w:t>
      </w:r>
      <w:r w:rsidR="00D609B2" w:rsidRPr="008F2AAE">
        <w:rPr>
          <w:rFonts w:ascii="Palatino Linotype" w:eastAsia="Palatino Linotype" w:hAnsi="Palatino Linotype" w:cs="Palatino Linotype"/>
          <w:b/>
          <w:i/>
          <w:sz w:val="22"/>
          <w:szCs w:val="22"/>
        </w:rPr>
        <w:t>hecho negativo.</w:t>
      </w:r>
      <w:r w:rsidR="00D609B2" w:rsidRPr="008F2AAE">
        <w:rPr>
          <w:rFonts w:ascii="Palatino Linotype" w:eastAsia="Palatino Linotype" w:hAnsi="Palatino Linotype" w:cs="Palatino Linotype"/>
          <w:sz w:val="22"/>
          <w:szCs w:val="22"/>
        </w:rPr>
        <w:t xml:space="preserve"> </w:t>
      </w:r>
    </w:p>
    <w:p w14:paraId="0653DAD9" w14:textId="77777777" w:rsidR="00D609B2" w:rsidRPr="008F2AAE" w:rsidRDefault="00D609B2" w:rsidP="00D609B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Esto es que, es obvio que la información no puede fácticamente obrar en los archivos del Sujeto Obligado, ya que no puede probarse por ser lógica y materialmente imposible.</w:t>
      </w:r>
    </w:p>
    <w:p w14:paraId="59FF5F38" w14:textId="77777777" w:rsidR="00D609B2" w:rsidRPr="008F2AAE" w:rsidRDefault="00D609B2" w:rsidP="00D609B2">
      <w:pPr>
        <w:spacing w:line="360" w:lineRule="auto"/>
        <w:jc w:val="both"/>
        <w:rPr>
          <w:rFonts w:ascii="Palatino Linotype" w:eastAsia="Palatino Linotype" w:hAnsi="Palatino Linotype" w:cs="Palatino Linotype"/>
          <w:sz w:val="22"/>
          <w:szCs w:val="22"/>
        </w:rPr>
      </w:pPr>
    </w:p>
    <w:p w14:paraId="34F4BD83" w14:textId="77777777" w:rsidR="00D609B2" w:rsidRPr="008F2AAE" w:rsidRDefault="00D609B2" w:rsidP="00D609B2">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2C172016" w14:textId="77777777" w:rsidR="00D609B2" w:rsidRPr="008F2AAE" w:rsidRDefault="00D609B2" w:rsidP="00D609B2">
      <w:pPr>
        <w:spacing w:line="360" w:lineRule="auto"/>
        <w:jc w:val="both"/>
        <w:rPr>
          <w:rFonts w:ascii="Palatino Linotype" w:eastAsia="Palatino Linotype" w:hAnsi="Palatino Linotype" w:cs="Palatino Linotype"/>
          <w:sz w:val="22"/>
          <w:szCs w:val="22"/>
        </w:rPr>
      </w:pPr>
    </w:p>
    <w:p w14:paraId="0E36A923" w14:textId="77777777" w:rsidR="00D609B2" w:rsidRPr="008F2AAE" w:rsidRDefault="00D609B2" w:rsidP="00D609B2">
      <w:pPr>
        <w:spacing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Encontrándonos ante un hecho negativo, destacando entonces que el Pleno de este Organismo Garante, ha sostenido que ante la presencia de un hecho negativo, resultaría innecesaria una declaratoria de inexistencia en términos de los artículos 19, 169 y 170 de la </w:t>
      </w:r>
      <w:r w:rsidRPr="008F2AAE">
        <w:rPr>
          <w:rFonts w:ascii="Palatino Linotype" w:eastAsia="Palatino Linotype" w:hAnsi="Palatino Linotype" w:cs="Palatino Linotype"/>
          <w:sz w:val="22"/>
          <w:szCs w:val="22"/>
        </w:rPr>
        <w:lastRenderedPageBreak/>
        <w:t xml:space="preserve">Ley de Transparencia y Acceso a la Información Pública del Estado de México y Municipios, y ante una hecho negativo resulta aplicable la siguiente tesis: </w:t>
      </w:r>
      <w:r w:rsidRPr="008F2AAE">
        <w:rPr>
          <w:rFonts w:ascii="Palatino Linotype" w:eastAsia="Palatino Linotype" w:hAnsi="Palatino Linotype" w:cs="Palatino Linotype"/>
          <w:b/>
          <w:i/>
          <w:sz w:val="22"/>
          <w:szCs w:val="22"/>
        </w:rPr>
        <w:t xml:space="preserve">HECHOS NEGATIVOS, NO SON SUSCEPTIBLES DE DEMOSTRACIÓN. </w:t>
      </w:r>
      <w:r w:rsidRPr="008F2AAE">
        <w:rPr>
          <w:rFonts w:ascii="Palatino Linotype" w:eastAsia="Palatino Linotype" w:hAnsi="Palatino Linotype" w:cs="Palatino Linotype"/>
          <w:sz w:val="22"/>
          <w:szCs w:val="22"/>
        </w:rPr>
        <w:t xml:space="preserve"> </w:t>
      </w:r>
      <w:r w:rsidRPr="008F2AAE">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0330831B" w14:textId="77777777" w:rsidR="00D609B2" w:rsidRPr="008F2AAE" w:rsidRDefault="00D609B2" w:rsidP="00D609B2">
      <w:pPr>
        <w:spacing w:line="360" w:lineRule="auto"/>
        <w:ind w:right="49"/>
        <w:jc w:val="both"/>
        <w:rPr>
          <w:rFonts w:ascii="Palatino Linotype" w:eastAsia="Palatino Linotype" w:hAnsi="Palatino Linotype" w:cs="Palatino Linotype"/>
          <w:b/>
          <w:sz w:val="22"/>
          <w:szCs w:val="22"/>
        </w:rPr>
      </w:pPr>
    </w:p>
    <w:p w14:paraId="77224E44" w14:textId="77777777" w:rsidR="00D609B2" w:rsidRPr="008F2AAE" w:rsidRDefault="00D609B2" w:rsidP="00D609B2">
      <w:pPr>
        <w:spacing w:line="360" w:lineRule="auto"/>
        <w:ind w:right="49"/>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Finalmente, de conformidad con el artículo 12 de la Ley de Transparencia y Acceso a la Información Pública del Estado de México y Municipios, los sujetos obligados sólo deberán proporcionar la información que obre en sus archivos, en el estado en que esta se encuentre, asimismo, se precisa que conforme a lo establecido en el Criterio orientador 31/10 emitido por el entonces Instituto Nacional de Transparencia, Acceso a la Información Pública y Protección de Datos Personales INAI (anteriormente IFAI) que se procede a citar a continuación:</w:t>
      </w:r>
    </w:p>
    <w:p w14:paraId="7A216E07" w14:textId="77777777" w:rsidR="00D609B2" w:rsidRPr="008F2AAE" w:rsidRDefault="00D609B2" w:rsidP="00D609B2">
      <w:pPr>
        <w:spacing w:line="360" w:lineRule="auto"/>
        <w:ind w:right="49"/>
        <w:jc w:val="both"/>
        <w:rPr>
          <w:rFonts w:ascii="Palatino Linotype" w:eastAsia="Palatino Linotype" w:hAnsi="Palatino Linotype" w:cs="Palatino Linotype"/>
          <w:sz w:val="22"/>
          <w:szCs w:val="22"/>
        </w:rPr>
      </w:pPr>
    </w:p>
    <w:p w14:paraId="6F8705E4" w14:textId="77777777" w:rsidR="00D609B2" w:rsidRPr="008F2AAE" w:rsidRDefault="00D609B2" w:rsidP="00D609B2">
      <w:pPr>
        <w:tabs>
          <w:tab w:val="left" w:pos="8222"/>
        </w:tabs>
        <w:ind w:left="567" w:right="567"/>
        <w:jc w:val="both"/>
        <w:rPr>
          <w:rFonts w:ascii="Palatino Linotype" w:eastAsia="Palatino Linotype" w:hAnsi="Palatino Linotype" w:cs="Palatino Linotype"/>
          <w:i/>
          <w:sz w:val="22"/>
          <w:szCs w:val="22"/>
        </w:rPr>
      </w:pPr>
      <w:r w:rsidRPr="008F2AAE">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8F2AAE">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F9E5B4" w14:textId="77777777" w:rsidR="00D609B2" w:rsidRPr="008F2AAE" w:rsidRDefault="00D609B2" w:rsidP="00D609B2">
      <w:pPr>
        <w:spacing w:line="360" w:lineRule="auto"/>
        <w:ind w:right="49"/>
        <w:jc w:val="both"/>
        <w:rPr>
          <w:rFonts w:ascii="Palatino Linotype" w:eastAsia="Palatino Linotype" w:hAnsi="Palatino Linotype" w:cs="Palatino Linotype"/>
          <w:sz w:val="22"/>
          <w:szCs w:val="22"/>
        </w:rPr>
      </w:pPr>
    </w:p>
    <w:p w14:paraId="72EDF730" w14:textId="7188D6D0" w:rsidR="00D609B2" w:rsidRPr="008F2AAE" w:rsidRDefault="00D609B2" w:rsidP="00D609B2">
      <w:pPr>
        <w:spacing w:line="360" w:lineRule="auto"/>
        <w:ind w:right="49"/>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Por lo que, este Organismo Garante carece de facultades para dudar de la veracidad de la información que el Sujeto Obligado puso a disposición de la parte Recurrente</w:t>
      </w:r>
      <w:r w:rsidR="008555C3" w:rsidRPr="008F2AAE">
        <w:rPr>
          <w:rFonts w:ascii="Palatino Linotype" w:eastAsia="Palatino Linotype" w:hAnsi="Palatino Linotype" w:cs="Palatino Linotype"/>
          <w:sz w:val="22"/>
          <w:szCs w:val="22"/>
        </w:rPr>
        <w:t>.</w:t>
      </w:r>
    </w:p>
    <w:p w14:paraId="29A5D037" w14:textId="77777777" w:rsidR="008555C3" w:rsidRPr="008F2AAE" w:rsidRDefault="008555C3" w:rsidP="00D609B2">
      <w:pPr>
        <w:spacing w:line="360" w:lineRule="auto"/>
        <w:ind w:right="49"/>
        <w:jc w:val="both"/>
        <w:rPr>
          <w:rFonts w:ascii="Palatino Linotype" w:eastAsia="Palatino Linotype" w:hAnsi="Palatino Linotype" w:cs="Palatino Linotype"/>
          <w:sz w:val="22"/>
          <w:szCs w:val="22"/>
        </w:rPr>
      </w:pPr>
    </w:p>
    <w:p w14:paraId="5931A220" w14:textId="35939FFE" w:rsidR="008555C3" w:rsidRPr="008F2AAE" w:rsidRDefault="008555C3" w:rsidP="00D609B2">
      <w:pPr>
        <w:spacing w:line="360" w:lineRule="auto"/>
        <w:ind w:right="49"/>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lastRenderedPageBreak/>
        <w:t>Por último, no pasa desapercibido mencionar que, mediante informe justificado, el Sujeto Obligado remitió diversas ligas electrónicas refiriendo que, en estas podría encontrar los resultados de las autoridades auxiliares municipales 2025</w:t>
      </w:r>
      <w:r w:rsidR="00941132" w:rsidRPr="008F2AAE">
        <w:rPr>
          <w:rFonts w:ascii="Palatino Linotype" w:eastAsia="Palatino Linotype" w:hAnsi="Palatino Linotype" w:cs="Palatino Linotype"/>
          <w:sz w:val="22"/>
          <w:szCs w:val="22"/>
        </w:rPr>
        <w:t xml:space="preserve"> en un formato cerrado. </w:t>
      </w:r>
    </w:p>
    <w:p w14:paraId="15CADECA" w14:textId="77777777" w:rsidR="008555C3" w:rsidRPr="008F2AAE" w:rsidRDefault="008555C3" w:rsidP="00D609B2">
      <w:pPr>
        <w:spacing w:line="360" w:lineRule="auto"/>
        <w:ind w:right="49"/>
        <w:jc w:val="both"/>
        <w:rPr>
          <w:rFonts w:ascii="Palatino Linotype" w:eastAsia="Palatino Linotype" w:hAnsi="Palatino Linotype" w:cs="Palatino Linotype"/>
          <w:sz w:val="22"/>
          <w:szCs w:val="22"/>
        </w:rPr>
      </w:pPr>
    </w:p>
    <w:p w14:paraId="22D1B8F0" w14:textId="40D86298" w:rsidR="008555C3" w:rsidRPr="008F2AAE" w:rsidRDefault="008555C3" w:rsidP="00D609B2">
      <w:pPr>
        <w:spacing w:line="360" w:lineRule="auto"/>
        <w:ind w:right="49"/>
        <w:jc w:val="both"/>
        <w:rPr>
          <w:rFonts w:ascii="Palatino Linotype" w:eastAsia="Palatino Linotype" w:hAnsi="Palatino Linotype" w:cs="Palatino Linotype"/>
          <w:b/>
          <w:sz w:val="22"/>
          <w:szCs w:val="22"/>
        </w:rPr>
      </w:pPr>
      <w:r w:rsidRPr="008F2AAE">
        <w:rPr>
          <w:rFonts w:ascii="Palatino Linotype" w:eastAsia="Palatino Linotype" w:hAnsi="Palatino Linotype" w:cs="Palatino Linotype"/>
          <w:sz w:val="22"/>
          <w:szCs w:val="22"/>
        </w:rPr>
        <w:t xml:space="preserve">No obstante, si bien, </w:t>
      </w:r>
      <w:r w:rsidR="00941132" w:rsidRPr="008F2AAE">
        <w:rPr>
          <w:rFonts w:ascii="Palatino Linotype" w:eastAsia="Palatino Linotype" w:hAnsi="Palatino Linotype" w:cs="Palatino Linotype"/>
          <w:sz w:val="22"/>
          <w:szCs w:val="22"/>
        </w:rPr>
        <w:t xml:space="preserve">las ligas electrónicas, se encuentran en un formato inaccesible para el solicitante, también lo es que, no procede su análisis, debido a que, la información que se solicitó a la </w:t>
      </w:r>
      <w:r w:rsidR="00941132" w:rsidRPr="008F2AAE">
        <w:rPr>
          <w:rFonts w:ascii="Palatino Linotype" w:eastAsia="Palatino Linotype" w:hAnsi="Palatino Linotype" w:cs="Palatino Linotype"/>
          <w:b/>
          <w:sz w:val="22"/>
          <w:szCs w:val="22"/>
        </w:rPr>
        <w:t>fecha de la solicitud de información</w:t>
      </w:r>
      <w:r w:rsidR="00941132" w:rsidRPr="008F2AAE">
        <w:rPr>
          <w:rFonts w:ascii="Palatino Linotype" w:eastAsia="Palatino Linotype" w:hAnsi="Palatino Linotype" w:cs="Palatino Linotype"/>
          <w:sz w:val="22"/>
          <w:szCs w:val="22"/>
        </w:rPr>
        <w:t xml:space="preserve">, no obraba en los archivos del Sujeto Obligado, por lo que, se considera que el requerimiento se encuentra </w:t>
      </w:r>
      <w:r w:rsidR="00941132" w:rsidRPr="008F2AAE">
        <w:rPr>
          <w:rFonts w:ascii="Palatino Linotype" w:eastAsia="Palatino Linotype" w:hAnsi="Palatino Linotype" w:cs="Palatino Linotype"/>
          <w:b/>
          <w:sz w:val="22"/>
          <w:szCs w:val="22"/>
        </w:rPr>
        <w:t xml:space="preserve">colmado. </w:t>
      </w:r>
    </w:p>
    <w:p w14:paraId="2E30F39C" w14:textId="77777777" w:rsidR="00D609B2" w:rsidRPr="008F2AAE" w:rsidRDefault="00D609B2" w:rsidP="00D609B2">
      <w:pPr>
        <w:spacing w:line="360" w:lineRule="auto"/>
        <w:jc w:val="both"/>
        <w:rPr>
          <w:rFonts w:ascii="Palatino Linotype" w:eastAsia="Palatino Linotype" w:hAnsi="Palatino Linotype" w:cs="Palatino Linotype"/>
          <w:sz w:val="22"/>
          <w:szCs w:val="22"/>
        </w:rPr>
      </w:pPr>
    </w:p>
    <w:p w14:paraId="26FE7539" w14:textId="3F19EB34" w:rsidR="00D609B2" w:rsidRPr="008F2AAE" w:rsidRDefault="00D609B2" w:rsidP="00D609B2">
      <w:pPr>
        <w:spacing w:line="360" w:lineRule="auto"/>
        <w:ind w:right="49"/>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8F2AAE">
        <w:rPr>
          <w:rFonts w:ascii="Palatino Linotype" w:eastAsia="Palatino Linotype" w:hAnsi="Palatino Linotype" w:cs="Palatino Linotype"/>
          <w:b/>
          <w:sz w:val="22"/>
          <w:szCs w:val="22"/>
        </w:rPr>
        <w:t>RECURRENTE</w:t>
      </w:r>
      <w:r w:rsidRPr="008F2AAE">
        <w:rPr>
          <w:rFonts w:ascii="Palatino Linotype" w:eastAsia="Palatino Linotype" w:hAnsi="Palatino Linotype" w:cs="Palatino Linotype"/>
          <w:sz w:val="22"/>
          <w:szCs w:val="22"/>
        </w:rPr>
        <w:t xml:space="preserve"> dentro del recurso de revisión </w:t>
      </w:r>
      <w:r w:rsidRPr="008F2AAE">
        <w:rPr>
          <w:rFonts w:ascii="Palatino Linotype" w:eastAsia="Palatino Linotype" w:hAnsi="Palatino Linotype" w:cs="Palatino Linotype"/>
          <w:b/>
          <w:sz w:val="22"/>
          <w:szCs w:val="22"/>
        </w:rPr>
        <w:t>05759/INFOEM/IP/RR/2025</w:t>
      </w:r>
      <w:r w:rsidRPr="008F2AAE">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se </w:t>
      </w:r>
      <w:r w:rsidRPr="008F2AAE">
        <w:rPr>
          <w:rFonts w:ascii="Palatino Linotype" w:eastAsia="Palatino Linotype" w:hAnsi="Palatino Linotype" w:cs="Palatino Linotype"/>
          <w:b/>
          <w:sz w:val="22"/>
          <w:szCs w:val="22"/>
        </w:rPr>
        <w:t xml:space="preserve">CONFIRMA </w:t>
      </w:r>
      <w:r w:rsidRPr="008F2AAE">
        <w:rPr>
          <w:rFonts w:ascii="Palatino Linotype" w:eastAsia="Palatino Linotype" w:hAnsi="Palatino Linotype" w:cs="Palatino Linotype"/>
          <w:sz w:val="22"/>
          <w:szCs w:val="22"/>
        </w:rPr>
        <w:t xml:space="preserve">la respuesta del </w:t>
      </w:r>
      <w:r w:rsidRPr="008F2AAE">
        <w:rPr>
          <w:rFonts w:ascii="Palatino Linotype" w:eastAsia="Palatino Linotype" w:hAnsi="Palatino Linotype" w:cs="Palatino Linotype"/>
          <w:b/>
          <w:sz w:val="22"/>
          <w:szCs w:val="22"/>
        </w:rPr>
        <w:t xml:space="preserve">SUJETO OBLIGADO </w:t>
      </w:r>
      <w:r w:rsidRPr="008F2AAE">
        <w:rPr>
          <w:rFonts w:ascii="Palatino Linotype" w:eastAsia="Palatino Linotype" w:hAnsi="Palatino Linotype" w:cs="Palatino Linotype"/>
          <w:sz w:val="22"/>
          <w:szCs w:val="22"/>
        </w:rPr>
        <w:t xml:space="preserve">a la solicitud de información </w:t>
      </w:r>
      <w:r w:rsidRPr="008F2AAE">
        <w:rPr>
          <w:rFonts w:ascii="Palatino Linotype" w:eastAsia="Palatino Linotype" w:hAnsi="Palatino Linotype" w:cs="Palatino Linotype"/>
          <w:b/>
          <w:sz w:val="22"/>
          <w:szCs w:val="22"/>
        </w:rPr>
        <w:t>019</w:t>
      </w:r>
      <w:r w:rsidR="00AC53D3" w:rsidRPr="008F2AAE">
        <w:rPr>
          <w:rFonts w:ascii="Palatino Linotype" w:eastAsia="Palatino Linotype" w:hAnsi="Palatino Linotype" w:cs="Palatino Linotype"/>
          <w:b/>
          <w:sz w:val="22"/>
          <w:szCs w:val="22"/>
        </w:rPr>
        <w:t>0</w:t>
      </w:r>
      <w:r w:rsidRPr="008F2AAE">
        <w:rPr>
          <w:rFonts w:ascii="Palatino Linotype" w:eastAsia="Palatino Linotype" w:hAnsi="Palatino Linotype" w:cs="Palatino Linotype"/>
          <w:b/>
          <w:sz w:val="22"/>
          <w:szCs w:val="22"/>
        </w:rPr>
        <w:t>9/</w:t>
      </w:r>
      <w:r w:rsidRPr="008F2AAE">
        <w:rPr>
          <w:rFonts w:ascii="Palatino Linotype" w:eastAsia="Palatino Linotype" w:hAnsi="Palatino Linotype" w:cs="Palatino Linotype"/>
          <w:b/>
          <w:sz w:val="22"/>
          <w:szCs w:val="22"/>
        </w:rPr>
        <w:tab/>
        <w:t>TOLUCA/IP/2025.</w:t>
      </w:r>
      <w:r w:rsidRPr="008F2AAE">
        <w:rPr>
          <w:rFonts w:ascii="Palatino Linotype" w:eastAsia="Palatino Linotype" w:hAnsi="Palatino Linotype" w:cs="Palatino Linotype"/>
          <w:sz w:val="22"/>
          <w:szCs w:val="22"/>
        </w:rPr>
        <w:t xml:space="preserve">  </w:t>
      </w:r>
    </w:p>
    <w:p w14:paraId="760D582C" w14:textId="293BA479" w:rsidR="00403952" w:rsidRPr="008F2AAE" w:rsidRDefault="00403952" w:rsidP="00D609B2">
      <w:pPr>
        <w:spacing w:line="360" w:lineRule="auto"/>
        <w:ind w:right="49"/>
        <w:jc w:val="both"/>
        <w:rPr>
          <w:rFonts w:ascii="Palatino Linotype" w:eastAsia="Palatino Linotype" w:hAnsi="Palatino Linotype" w:cs="Palatino Linotype"/>
          <w:sz w:val="22"/>
          <w:szCs w:val="22"/>
        </w:rPr>
      </w:pPr>
    </w:p>
    <w:p w14:paraId="78FC8CF6" w14:textId="77777777" w:rsidR="00403952" w:rsidRPr="008F2AAE" w:rsidRDefault="007C0198">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8F2AAE">
        <w:rPr>
          <w:rFonts w:ascii="Palatino Linotype" w:eastAsia="Palatino Linotype" w:hAnsi="Palatino Linotype" w:cs="Palatino Linotype"/>
          <w:b/>
          <w:sz w:val="22"/>
          <w:szCs w:val="22"/>
        </w:rPr>
        <w:t>III. R E S U E L V E</w:t>
      </w:r>
    </w:p>
    <w:p w14:paraId="0BB8C436" w14:textId="1AEEB372" w:rsidR="00403952" w:rsidRPr="008F2AAE" w:rsidRDefault="007C0198">
      <w:pPr>
        <w:spacing w:before="240" w:after="240" w:line="360" w:lineRule="auto"/>
        <w:jc w:val="both"/>
        <w:rPr>
          <w:rFonts w:ascii="Palatino Linotype" w:eastAsia="Palatino Linotype" w:hAnsi="Palatino Linotype" w:cs="Palatino Linotype"/>
          <w:sz w:val="22"/>
          <w:szCs w:val="22"/>
        </w:rPr>
      </w:pPr>
      <w:bookmarkStart w:id="7" w:name="_heading=h.1t3h5sf" w:colFirst="0" w:colLast="0"/>
      <w:bookmarkEnd w:id="7"/>
      <w:r w:rsidRPr="008F2AAE">
        <w:rPr>
          <w:rFonts w:ascii="Palatino Linotype" w:eastAsia="Palatino Linotype" w:hAnsi="Palatino Linotype" w:cs="Palatino Linotype"/>
          <w:b/>
          <w:sz w:val="22"/>
          <w:szCs w:val="22"/>
        </w:rPr>
        <w:t xml:space="preserve">Primero. </w:t>
      </w:r>
      <w:r w:rsidRPr="008F2AAE">
        <w:rPr>
          <w:rFonts w:ascii="Palatino Linotype" w:eastAsia="Palatino Linotype" w:hAnsi="Palatino Linotype" w:cs="Palatino Linotype"/>
          <w:sz w:val="22"/>
          <w:szCs w:val="22"/>
        </w:rPr>
        <w:t xml:space="preserve">Son </w:t>
      </w:r>
      <w:r w:rsidRPr="008F2AAE">
        <w:rPr>
          <w:rFonts w:ascii="Palatino Linotype" w:eastAsia="Palatino Linotype" w:hAnsi="Palatino Linotype" w:cs="Palatino Linotype"/>
          <w:b/>
          <w:sz w:val="22"/>
          <w:szCs w:val="22"/>
        </w:rPr>
        <w:t>infundadas</w:t>
      </w:r>
      <w:r w:rsidRPr="008F2AAE">
        <w:rPr>
          <w:rFonts w:ascii="Palatino Linotype" w:eastAsia="Palatino Linotype" w:hAnsi="Palatino Linotype" w:cs="Palatino Linotype"/>
          <w:sz w:val="22"/>
          <w:szCs w:val="22"/>
        </w:rPr>
        <w:t xml:space="preserve"> las razones o motivos de inconformidad hechos valer por la parte </w:t>
      </w:r>
      <w:r w:rsidRPr="008F2AAE">
        <w:rPr>
          <w:rFonts w:ascii="Palatino Linotype" w:eastAsia="Palatino Linotype" w:hAnsi="Palatino Linotype" w:cs="Palatino Linotype"/>
          <w:b/>
          <w:sz w:val="22"/>
          <w:szCs w:val="22"/>
        </w:rPr>
        <w:t>Recurrente</w:t>
      </w:r>
      <w:r w:rsidRPr="008F2AAE">
        <w:rPr>
          <w:rFonts w:ascii="Palatino Linotype" w:eastAsia="Palatino Linotype" w:hAnsi="Palatino Linotype" w:cs="Palatino Linotype"/>
          <w:sz w:val="22"/>
          <w:szCs w:val="22"/>
        </w:rPr>
        <w:t xml:space="preserve"> en el recurso de revisión </w:t>
      </w:r>
      <w:r w:rsidR="00CF29E4" w:rsidRPr="008F2AAE">
        <w:rPr>
          <w:rFonts w:ascii="Palatino Linotype" w:eastAsia="Palatino Linotype" w:hAnsi="Palatino Linotype" w:cs="Palatino Linotype"/>
          <w:b/>
          <w:sz w:val="22"/>
          <w:szCs w:val="22"/>
        </w:rPr>
        <w:t>05</w:t>
      </w:r>
      <w:r w:rsidR="00D609B2" w:rsidRPr="008F2AAE">
        <w:rPr>
          <w:rFonts w:ascii="Palatino Linotype" w:eastAsia="Palatino Linotype" w:hAnsi="Palatino Linotype" w:cs="Palatino Linotype"/>
          <w:b/>
          <w:sz w:val="22"/>
          <w:szCs w:val="22"/>
        </w:rPr>
        <w:t>759</w:t>
      </w:r>
      <w:r w:rsidRPr="008F2AAE">
        <w:rPr>
          <w:rFonts w:ascii="Palatino Linotype" w:eastAsia="Palatino Linotype" w:hAnsi="Palatino Linotype" w:cs="Palatino Linotype"/>
          <w:b/>
          <w:sz w:val="22"/>
          <w:szCs w:val="22"/>
        </w:rPr>
        <w:t>/INFOEM/IP/RR/2025</w:t>
      </w:r>
      <w:r w:rsidRPr="008F2AAE">
        <w:rPr>
          <w:rFonts w:ascii="Palatino Linotype" w:eastAsia="Palatino Linotype" w:hAnsi="Palatino Linotype" w:cs="Palatino Linotype"/>
          <w:sz w:val="22"/>
          <w:szCs w:val="22"/>
        </w:rPr>
        <w:t xml:space="preserve">, por lo que, en términos de los argumentos de derecho señalados en el considerando </w:t>
      </w:r>
      <w:r w:rsidRPr="008F2AAE">
        <w:rPr>
          <w:rFonts w:ascii="Palatino Linotype" w:eastAsia="Palatino Linotype" w:hAnsi="Palatino Linotype" w:cs="Palatino Linotype"/>
          <w:b/>
          <w:sz w:val="22"/>
          <w:szCs w:val="22"/>
        </w:rPr>
        <w:t>Cuarto</w:t>
      </w:r>
      <w:r w:rsidRPr="008F2AAE">
        <w:rPr>
          <w:rFonts w:ascii="Palatino Linotype" w:eastAsia="Palatino Linotype" w:hAnsi="Palatino Linotype" w:cs="Palatino Linotype"/>
          <w:sz w:val="22"/>
          <w:szCs w:val="22"/>
        </w:rPr>
        <w:t>, se</w:t>
      </w:r>
      <w:r w:rsidRPr="008F2AAE">
        <w:rPr>
          <w:rFonts w:ascii="Palatino Linotype" w:eastAsia="Palatino Linotype" w:hAnsi="Palatino Linotype" w:cs="Palatino Linotype"/>
          <w:b/>
          <w:sz w:val="22"/>
          <w:szCs w:val="22"/>
        </w:rPr>
        <w:t xml:space="preserve"> Confirma </w:t>
      </w:r>
      <w:r w:rsidRPr="008F2AAE">
        <w:rPr>
          <w:rFonts w:ascii="Palatino Linotype" w:eastAsia="Palatino Linotype" w:hAnsi="Palatino Linotype" w:cs="Palatino Linotype"/>
          <w:sz w:val="22"/>
          <w:szCs w:val="22"/>
        </w:rPr>
        <w:t xml:space="preserve">la respuesta del </w:t>
      </w:r>
      <w:r w:rsidRPr="008F2AAE">
        <w:rPr>
          <w:rFonts w:ascii="Palatino Linotype" w:eastAsia="Palatino Linotype" w:hAnsi="Palatino Linotype" w:cs="Palatino Linotype"/>
          <w:b/>
          <w:sz w:val="22"/>
          <w:szCs w:val="22"/>
        </w:rPr>
        <w:t>Sujeto Obligado</w:t>
      </w:r>
      <w:r w:rsidRPr="008F2AAE">
        <w:rPr>
          <w:rFonts w:ascii="Palatino Linotype" w:eastAsia="Palatino Linotype" w:hAnsi="Palatino Linotype" w:cs="Palatino Linotype"/>
          <w:sz w:val="22"/>
          <w:szCs w:val="22"/>
        </w:rPr>
        <w:t>.</w:t>
      </w:r>
    </w:p>
    <w:p w14:paraId="4A4C156C"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bookmarkStart w:id="8" w:name="_heading=h.lnxbz9" w:colFirst="0" w:colLast="0"/>
      <w:bookmarkEnd w:id="8"/>
      <w:r w:rsidRPr="008F2AAE">
        <w:rPr>
          <w:rFonts w:ascii="Palatino Linotype" w:eastAsia="Palatino Linotype" w:hAnsi="Palatino Linotype" w:cs="Palatino Linotype"/>
          <w:b/>
          <w:sz w:val="22"/>
          <w:szCs w:val="22"/>
        </w:rPr>
        <w:t xml:space="preserve">Segundo. Notifíquese, </w:t>
      </w:r>
      <w:r w:rsidRPr="008F2AAE">
        <w:rPr>
          <w:rFonts w:ascii="Palatino Linotype" w:eastAsia="Palatino Linotype" w:hAnsi="Palatino Linotype" w:cs="Palatino Linotype"/>
          <w:sz w:val="22"/>
          <w:szCs w:val="22"/>
        </w:rPr>
        <w:t xml:space="preserve">vía </w:t>
      </w:r>
      <w:r w:rsidRPr="008F2AAE">
        <w:rPr>
          <w:rFonts w:ascii="Palatino Linotype" w:eastAsia="Palatino Linotype" w:hAnsi="Palatino Linotype" w:cs="Palatino Linotype"/>
          <w:b/>
          <w:sz w:val="22"/>
          <w:szCs w:val="22"/>
        </w:rPr>
        <w:t xml:space="preserve">SAIMEX, </w:t>
      </w:r>
      <w:r w:rsidRPr="008F2AAE">
        <w:rPr>
          <w:rFonts w:ascii="Palatino Linotype" w:eastAsia="Palatino Linotype" w:hAnsi="Palatino Linotype" w:cs="Palatino Linotype"/>
          <w:sz w:val="22"/>
          <w:szCs w:val="22"/>
        </w:rPr>
        <w:t xml:space="preserve">al Titular de la Unidad de Transparencia del </w:t>
      </w:r>
      <w:r w:rsidRPr="008F2AAE">
        <w:rPr>
          <w:rFonts w:ascii="Palatino Linotype" w:eastAsia="Palatino Linotype" w:hAnsi="Palatino Linotype" w:cs="Palatino Linotype"/>
          <w:b/>
          <w:sz w:val="22"/>
          <w:szCs w:val="22"/>
        </w:rPr>
        <w:t>Sujeto Obligado</w:t>
      </w:r>
      <w:r w:rsidRPr="008F2AAE">
        <w:rPr>
          <w:rFonts w:ascii="Palatino Linotype" w:eastAsia="Palatino Linotype" w:hAnsi="Palatino Linotype" w:cs="Palatino Linotype"/>
          <w:sz w:val="22"/>
          <w:szCs w:val="22"/>
        </w:rPr>
        <w:t xml:space="preserve"> para su conocimiento, la presente resolución.</w:t>
      </w:r>
    </w:p>
    <w:p w14:paraId="63DEA6DA" w14:textId="77777777" w:rsidR="00403952" w:rsidRPr="008F2AAE" w:rsidRDefault="007C0198">
      <w:pPr>
        <w:spacing w:before="240" w:after="240" w:line="360" w:lineRule="auto"/>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b/>
          <w:sz w:val="22"/>
          <w:szCs w:val="22"/>
        </w:rPr>
        <w:t xml:space="preserve">Tercero.  Notifíquese, </w:t>
      </w:r>
      <w:r w:rsidRPr="008F2AAE">
        <w:rPr>
          <w:rFonts w:ascii="Palatino Linotype" w:eastAsia="Palatino Linotype" w:hAnsi="Palatino Linotype" w:cs="Palatino Linotype"/>
          <w:sz w:val="22"/>
          <w:szCs w:val="22"/>
        </w:rPr>
        <w:t xml:space="preserve">vía </w:t>
      </w:r>
      <w:r w:rsidRPr="008F2AAE">
        <w:rPr>
          <w:rFonts w:ascii="Palatino Linotype" w:eastAsia="Palatino Linotype" w:hAnsi="Palatino Linotype" w:cs="Palatino Linotype"/>
          <w:b/>
          <w:sz w:val="22"/>
          <w:szCs w:val="22"/>
        </w:rPr>
        <w:t xml:space="preserve">SAIMEX, </w:t>
      </w:r>
      <w:r w:rsidRPr="008F2AAE">
        <w:rPr>
          <w:rFonts w:ascii="Palatino Linotype" w:eastAsia="Palatino Linotype" w:hAnsi="Palatino Linotype" w:cs="Palatino Linotype"/>
          <w:sz w:val="22"/>
          <w:szCs w:val="22"/>
        </w:rPr>
        <w:t xml:space="preserve">a la parte </w:t>
      </w:r>
      <w:r w:rsidRPr="008F2AAE">
        <w:rPr>
          <w:rFonts w:ascii="Palatino Linotype" w:eastAsia="Palatino Linotype" w:hAnsi="Palatino Linotype" w:cs="Palatino Linotype"/>
          <w:b/>
          <w:sz w:val="22"/>
          <w:szCs w:val="22"/>
        </w:rPr>
        <w:t>Recurrente</w:t>
      </w:r>
      <w:r w:rsidRPr="008F2AAE">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w:t>
      </w:r>
      <w:r w:rsidRPr="008F2AAE">
        <w:rPr>
          <w:rFonts w:ascii="Palatino Linotype" w:eastAsia="Palatino Linotype" w:hAnsi="Palatino Linotype" w:cs="Palatino Linotype"/>
          <w:sz w:val="22"/>
          <w:szCs w:val="22"/>
        </w:rPr>
        <w:lastRenderedPageBreak/>
        <w:t>a la Información Pública del Estado de México y Municipios, en caso de que considere que le causa algún perjuicio podrá impugnarla vía Juicio de Amparo en los términos de las leyes aplicables.</w:t>
      </w:r>
    </w:p>
    <w:p w14:paraId="6FB3D222" w14:textId="70BF7CB8" w:rsidR="00403952" w:rsidRPr="008B04F7" w:rsidRDefault="007C0198">
      <w:pPr>
        <w:tabs>
          <w:tab w:val="left" w:pos="8647"/>
        </w:tabs>
        <w:spacing w:before="240" w:after="240" w:line="360" w:lineRule="auto"/>
        <w:ind w:right="51"/>
        <w:jc w:val="both"/>
        <w:rPr>
          <w:rFonts w:ascii="Palatino Linotype" w:eastAsia="Palatino Linotype" w:hAnsi="Palatino Linotype" w:cs="Palatino Linotype"/>
          <w:sz w:val="22"/>
          <w:szCs w:val="22"/>
        </w:rPr>
      </w:pPr>
      <w:r w:rsidRPr="008F2AA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w:t>
      </w:r>
      <w:r w:rsidR="00205895" w:rsidRPr="008F2AAE">
        <w:rPr>
          <w:rFonts w:ascii="Palatino Linotype" w:eastAsia="Palatino Linotype" w:hAnsi="Palatino Linotype" w:cs="Palatino Linotype"/>
          <w:sz w:val="22"/>
          <w:szCs w:val="22"/>
        </w:rPr>
        <w:t xml:space="preserve">E RAMÍREZ PEÑA, EN LA VIGÉSIMA OCTAVA </w:t>
      </w:r>
      <w:r w:rsidRPr="008F2AAE">
        <w:rPr>
          <w:rFonts w:ascii="Palatino Linotype" w:eastAsia="Palatino Linotype" w:hAnsi="Palatino Linotype" w:cs="Palatino Linotype"/>
          <w:sz w:val="22"/>
          <w:szCs w:val="22"/>
        </w:rPr>
        <w:t xml:space="preserve">SESIÓN ORDINARIA CELEBRADA EL </w:t>
      </w:r>
      <w:r w:rsidR="00205895" w:rsidRPr="008F2AAE">
        <w:rPr>
          <w:rFonts w:ascii="Palatino Linotype" w:eastAsia="Palatino Linotype" w:hAnsi="Palatino Linotype" w:cs="Palatino Linotype"/>
          <w:sz w:val="22"/>
          <w:szCs w:val="22"/>
        </w:rPr>
        <w:t>TRECE DE AGOSTO</w:t>
      </w:r>
      <w:r w:rsidRPr="008F2AAE">
        <w:rPr>
          <w:rFonts w:ascii="Palatino Linotype" w:eastAsia="Palatino Linotype" w:hAnsi="Palatino Linotype" w:cs="Palatino Linotype"/>
          <w:sz w:val="22"/>
          <w:szCs w:val="22"/>
        </w:rPr>
        <w:t xml:space="preserve"> DE DOS MIL VEINTICINCO, ANTE EL SECRETARIO TÉCNICO DEL PLENO ALEXIS TAPIA RAMÍREZ.</w:t>
      </w:r>
    </w:p>
    <w:p w14:paraId="6091537E"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423CED67" w14:textId="77777777" w:rsidR="00403952" w:rsidRPr="008B04F7" w:rsidRDefault="00403952">
      <w:pPr>
        <w:spacing w:line="360" w:lineRule="auto"/>
        <w:jc w:val="center"/>
        <w:rPr>
          <w:rFonts w:ascii="Palatino Linotype" w:eastAsia="Palatino Linotype" w:hAnsi="Palatino Linotype" w:cs="Palatino Linotype"/>
          <w:sz w:val="22"/>
          <w:szCs w:val="22"/>
        </w:rPr>
      </w:pPr>
    </w:p>
    <w:p w14:paraId="366C6016"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76AEF365"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30BC6DDE"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47CFA102"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0360AEE2"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2F21CFD2"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3F2E7C36"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7560040C"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7F8837CB"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27D15544"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24C0E88C"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17A60A58"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57E79062"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699AE534"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7657E16A"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246FA46F"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6A03F2CA" w14:textId="77777777" w:rsidR="00403952" w:rsidRPr="008B04F7" w:rsidRDefault="00403952">
      <w:pPr>
        <w:spacing w:line="360" w:lineRule="auto"/>
        <w:jc w:val="both"/>
        <w:rPr>
          <w:rFonts w:ascii="Palatino Linotype" w:eastAsia="Palatino Linotype" w:hAnsi="Palatino Linotype" w:cs="Palatino Linotype"/>
          <w:sz w:val="22"/>
          <w:szCs w:val="22"/>
        </w:rPr>
      </w:pPr>
    </w:p>
    <w:p w14:paraId="34861FA0" w14:textId="77777777" w:rsidR="00403952" w:rsidRPr="008B04F7" w:rsidRDefault="00403952">
      <w:pPr>
        <w:spacing w:line="360" w:lineRule="auto"/>
        <w:jc w:val="both"/>
        <w:rPr>
          <w:rFonts w:ascii="Palatino Linotype" w:eastAsia="Palatino Linotype" w:hAnsi="Palatino Linotype" w:cs="Palatino Linotype"/>
          <w:sz w:val="22"/>
          <w:szCs w:val="22"/>
        </w:rPr>
      </w:pPr>
    </w:p>
    <w:sectPr w:rsidR="00403952" w:rsidRPr="008B04F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A3EE" w14:textId="77777777" w:rsidR="007D07A0" w:rsidRDefault="007D07A0">
      <w:r>
        <w:separator/>
      </w:r>
    </w:p>
  </w:endnote>
  <w:endnote w:type="continuationSeparator" w:id="0">
    <w:p w14:paraId="4445BEBF" w14:textId="77777777" w:rsidR="007D07A0" w:rsidRDefault="007D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DC03" w14:textId="77777777" w:rsidR="00820B54" w:rsidRDefault="00820B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F2AAE">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F2AAE">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700F504E" w14:textId="77777777" w:rsidR="00820B54" w:rsidRDefault="00820B5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5965" w14:textId="77777777" w:rsidR="00820B54" w:rsidRDefault="00820B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F2AA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F2AAE">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3D9A51E8" w14:textId="77777777" w:rsidR="00820B54" w:rsidRDefault="00820B5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C50F" w14:textId="77777777" w:rsidR="007D07A0" w:rsidRDefault="007D07A0">
      <w:r>
        <w:separator/>
      </w:r>
    </w:p>
  </w:footnote>
  <w:footnote w:type="continuationSeparator" w:id="0">
    <w:p w14:paraId="5563BD3C" w14:textId="77777777" w:rsidR="007D07A0" w:rsidRDefault="007D0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613C" w14:textId="77777777" w:rsidR="00820B54" w:rsidRDefault="00820B54">
    <w:pPr>
      <w:rPr>
        <w:rFonts w:ascii="Cambria" w:eastAsia="Cambria" w:hAnsi="Cambria" w:cs="Cambria"/>
        <w:color w:val="000000"/>
      </w:rPr>
    </w:pPr>
    <w:r>
      <w:rPr>
        <w:noProof/>
      </w:rPr>
      <w:drawing>
        <wp:anchor distT="0" distB="0" distL="0" distR="0" simplePos="0" relativeHeight="251658240" behindDoc="1" locked="0" layoutInCell="1" hidden="0" allowOverlap="1" wp14:anchorId="258DED8B" wp14:editId="50DEBA9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820B54" w14:paraId="6DAE2E10" w14:textId="77777777">
      <w:tc>
        <w:tcPr>
          <w:tcW w:w="2489" w:type="dxa"/>
          <w:shd w:val="clear" w:color="auto" w:fill="auto"/>
        </w:tcPr>
        <w:p w14:paraId="7CB80C51" w14:textId="77777777" w:rsidR="00820B54" w:rsidRDefault="00820B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BBD713E" w14:textId="62C5CD9D" w:rsidR="00820B54" w:rsidRDefault="00820B5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w:t>
          </w:r>
          <w:r w:rsidR="00A413F2">
            <w:rPr>
              <w:rFonts w:ascii="Palatino Linotype" w:eastAsia="Palatino Linotype" w:hAnsi="Palatino Linotype" w:cs="Palatino Linotype"/>
              <w:b/>
              <w:sz w:val="22"/>
              <w:szCs w:val="22"/>
            </w:rPr>
            <w:t>759</w:t>
          </w:r>
          <w:r>
            <w:rPr>
              <w:rFonts w:ascii="Palatino Linotype" w:eastAsia="Palatino Linotype" w:hAnsi="Palatino Linotype" w:cs="Palatino Linotype"/>
              <w:b/>
              <w:sz w:val="22"/>
              <w:szCs w:val="22"/>
            </w:rPr>
            <w:t>/INFOEM/IP/RR/2025</w:t>
          </w:r>
        </w:p>
      </w:tc>
    </w:tr>
    <w:tr w:rsidR="00820B54" w14:paraId="0BB3D13D" w14:textId="77777777">
      <w:trPr>
        <w:trHeight w:val="228"/>
      </w:trPr>
      <w:tc>
        <w:tcPr>
          <w:tcW w:w="2489" w:type="dxa"/>
          <w:shd w:val="clear" w:color="auto" w:fill="auto"/>
          <w:vAlign w:val="center"/>
        </w:tcPr>
        <w:p w14:paraId="4E2A1426" w14:textId="77777777" w:rsidR="00820B54" w:rsidRDefault="00820B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F53C4DB" w14:textId="3481CBA6" w:rsidR="00820B54" w:rsidRDefault="00A413F2" w:rsidP="005227E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820B54" w14:paraId="10F31246" w14:textId="77777777">
      <w:tc>
        <w:tcPr>
          <w:tcW w:w="2489" w:type="dxa"/>
          <w:shd w:val="clear" w:color="auto" w:fill="auto"/>
          <w:vAlign w:val="center"/>
        </w:tcPr>
        <w:p w14:paraId="0C6ED62C" w14:textId="77777777" w:rsidR="00820B54" w:rsidRDefault="00820B5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31B14A1" w14:textId="77777777" w:rsidR="00820B54" w:rsidRDefault="00820B5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10BA3B" w14:textId="77777777" w:rsidR="00820B54" w:rsidRDefault="00820B5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E394" w14:textId="77777777" w:rsidR="00820B54" w:rsidRDefault="00820B54">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0BA955E7" wp14:editId="7A513BFB">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820B54" w14:paraId="2F9523CC" w14:textId="77777777">
      <w:tc>
        <w:tcPr>
          <w:tcW w:w="2489" w:type="dxa"/>
          <w:shd w:val="clear" w:color="auto" w:fill="auto"/>
        </w:tcPr>
        <w:p w14:paraId="72685145" w14:textId="77777777" w:rsidR="00820B54" w:rsidRDefault="00820B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02C039" w14:textId="59E54C00" w:rsidR="00820B54" w:rsidRDefault="00820B5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w:t>
          </w:r>
          <w:r w:rsidR="00A413F2">
            <w:rPr>
              <w:rFonts w:ascii="Palatino Linotype" w:eastAsia="Palatino Linotype" w:hAnsi="Palatino Linotype" w:cs="Palatino Linotype"/>
              <w:b/>
              <w:sz w:val="22"/>
              <w:szCs w:val="22"/>
            </w:rPr>
            <w:t>759</w:t>
          </w:r>
          <w:r>
            <w:rPr>
              <w:rFonts w:ascii="Palatino Linotype" w:eastAsia="Palatino Linotype" w:hAnsi="Palatino Linotype" w:cs="Palatino Linotype"/>
              <w:b/>
              <w:sz w:val="22"/>
              <w:szCs w:val="22"/>
            </w:rPr>
            <w:t>/INFOEM/IP/RR/2025</w:t>
          </w:r>
        </w:p>
      </w:tc>
    </w:tr>
    <w:tr w:rsidR="00820B54" w14:paraId="570D304E" w14:textId="77777777">
      <w:tc>
        <w:tcPr>
          <w:tcW w:w="2489" w:type="dxa"/>
          <w:shd w:val="clear" w:color="auto" w:fill="auto"/>
        </w:tcPr>
        <w:p w14:paraId="078B21D4" w14:textId="77777777" w:rsidR="00820B54" w:rsidRDefault="00820B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7F9D77E3" w14:textId="4CA18F50" w:rsidR="00820B54" w:rsidRDefault="00820B54">
          <w:pPr>
            <w:ind w:right="175"/>
            <w:jc w:val="both"/>
            <w:rPr>
              <w:rFonts w:ascii="Palatino Linotype" w:eastAsia="Palatino Linotype" w:hAnsi="Palatino Linotype" w:cs="Palatino Linotype"/>
              <w:b/>
              <w:sz w:val="22"/>
              <w:szCs w:val="22"/>
            </w:rPr>
          </w:pPr>
        </w:p>
      </w:tc>
    </w:tr>
    <w:tr w:rsidR="00820B54" w14:paraId="198EAC28" w14:textId="77777777">
      <w:trPr>
        <w:trHeight w:val="228"/>
      </w:trPr>
      <w:tc>
        <w:tcPr>
          <w:tcW w:w="2489" w:type="dxa"/>
          <w:shd w:val="clear" w:color="auto" w:fill="auto"/>
          <w:vAlign w:val="center"/>
        </w:tcPr>
        <w:p w14:paraId="30030F75" w14:textId="77777777" w:rsidR="00820B54" w:rsidRDefault="00820B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074BD4C" w14:textId="0703D248" w:rsidR="00820B54" w:rsidRDefault="00A413F2" w:rsidP="009A6DB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r w:rsidR="00820B54">
            <w:rPr>
              <w:rFonts w:ascii="Palatino Linotype" w:eastAsia="Palatino Linotype" w:hAnsi="Palatino Linotype" w:cs="Palatino Linotype"/>
              <w:b/>
              <w:sz w:val="22"/>
              <w:szCs w:val="22"/>
            </w:rPr>
            <w:t xml:space="preserve"> </w:t>
          </w:r>
        </w:p>
      </w:tc>
    </w:tr>
    <w:tr w:rsidR="00820B54" w14:paraId="4A98123E" w14:textId="77777777">
      <w:tc>
        <w:tcPr>
          <w:tcW w:w="2489" w:type="dxa"/>
          <w:shd w:val="clear" w:color="auto" w:fill="auto"/>
          <w:vAlign w:val="center"/>
        </w:tcPr>
        <w:p w14:paraId="116F4012" w14:textId="77777777" w:rsidR="00820B54" w:rsidRDefault="00820B5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3F9A0BB" w14:textId="77777777" w:rsidR="00820B54" w:rsidRDefault="00820B5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00B0C3" w14:textId="77777777" w:rsidR="00820B54" w:rsidRDefault="00820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1FF"/>
    <w:multiLevelType w:val="multilevel"/>
    <w:tmpl w:val="11624DC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B6174D6"/>
    <w:multiLevelType w:val="hybridMultilevel"/>
    <w:tmpl w:val="1090B1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52"/>
    <w:rsid w:val="00026FB3"/>
    <w:rsid w:val="00061442"/>
    <w:rsid w:val="00072845"/>
    <w:rsid w:val="000A49F6"/>
    <w:rsid w:val="000E2A76"/>
    <w:rsid w:val="00155233"/>
    <w:rsid w:val="00171AC2"/>
    <w:rsid w:val="00205895"/>
    <w:rsid w:val="00217853"/>
    <w:rsid w:val="002315EB"/>
    <w:rsid w:val="00403952"/>
    <w:rsid w:val="00421D98"/>
    <w:rsid w:val="004D6954"/>
    <w:rsid w:val="00505151"/>
    <w:rsid w:val="005227EA"/>
    <w:rsid w:val="005E5431"/>
    <w:rsid w:val="005F5513"/>
    <w:rsid w:val="006D5B3C"/>
    <w:rsid w:val="00793565"/>
    <w:rsid w:val="007A6825"/>
    <w:rsid w:val="007C0198"/>
    <w:rsid w:val="007D07A0"/>
    <w:rsid w:val="007E57D4"/>
    <w:rsid w:val="00803F5D"/>
    <w:rsid w:val="00820B54"/>
    <w:rsid w:val="0085355B"/>
    <w:rsid w:val="008555C3"/>
    <w:rsid w:val="008B04F7"/>
    <w:rsid w:val="008F2AAE"/>
    <w:rsid w:val="00941132"/>
    <w:rsid w:val="0096220E"/>
    <w:rsid w:val="00980279"/>
    <w:rsid w:val="00996390"/>
    <w:rsid w:val="009A63E5"/>
    <w:rsid w:val="009A6DBF"/>
    <w:rsid w:val="00A3275B"/>
    <w:rsid w:val="00A413F2"/>
    <w:rsid w:val="00AC53D3"/>
    <w:rsid w:val="00AC6ED5"/>
    <w:rsid w:val="00B36F97"/>
    <w:rsid w:val="00B85570"/>
    <w:rsid w:val="00C938AD"/>
    <w:rsid w:val="00CF29E4"/>
    <w:rsid w:val="00D609B2"/>
    <w:rsid w:val="00DA4CF2"/>
    <w:rsid w:val="00DF6CF7"/>
    <w:rsid w:val="00EA0C79"/>
    <w:rsid w:val="00ED568B"/>
    <w:rsid w:val="00EF3FCC"/>
    <w:rsid w:val="00FF7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DC69E"/>
  <w15:docId w15:val="{463A2984-A014-46EF-B819-56D2E528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paragraph" w:customStyle="1" w:styleId="p1">
    <w:name w:val="p1"/>
    <w:basedOn w:val="Normal"/>
    <w:rsid w:val="00ED568B"/>
    <w:rPr>
      <w:rFonts w:ascii="Bookman Old Style" w:hAnsi="Bookman Old Style"/>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9925">
      <w:bodyDiv w:val="1"/>
      <w:marLeft w:val="0"/>
      <w:marRight w:val="0"/>
      <w:marTop w:val="0"/>
      <w:marBottom w:val="0"/>
      <w:divBdr>
        <w:top w:val="none" w:sz="0" w:space="0" w:color="auto"/>
        <w:left w:val="none" w:sz="0" w:space="0" w:color="auto"/>
        <w:bottom w:val="none" w:sz="0" w:space="0" w:color="auto"/>
        <w:right w:val="none" w:sz="0" w:space="0" w:color="auto"/>
      </w:divBdr>
    </w:div>
    <w:div w:id="428694443">
      <w:bodyDiv w:val="1"/>
      <w:marLeft w:val="0"/>
      <w:marRight w:val="0"/>
      <w:marTop w:val="0"/>
      <w:marBottom w:val="0"/>
      <w:divBdr>
        <w:top w:val="none" w:sz="0" w:space="0" w:color="auto"/>
        <w:left w:val="none" w:sz="0" w:space="0" w:color="auto"/>
        <w:bottom w:val="none" w:sz="0" w:space="0" w:color="auto"/>
        <w:right w:val="none" w:sz="0" w:space="0" w:color="auto"/>
      </w:divBdr>
    </w:div>
    <w:div w:id="943266093">
      <w:bodyDiv w:val="1"/>
      <w:marLeft w:val="0"/>
      <w:marRight w:val="0"/>
      <w:marTop w:val="0"/>
      <w:marBottom w:val="0"/>
      <w:divBdr>
        <w:top w:val="none" w:sz="0" w:space="0" w:color="auto"/>
        <w:left w:val="none" w:sz="0" w:space="0" w:color="auto"/>
        <w:bottom w:val="none" w:sz="0" w:space="0" w:color="auto"/>
        <w:right w:val="none" w:sz="0" w:space="0" w:color="auto"/>
      </w:divBdr>
    </w:div>
    <w:div w:id="1588727041">
      <w:bodyDiv w:val="1"/>
      <w:marLeft w:val="0"/>
      <w:marRight w:val="0"/>
      <w:marTop w:val="0"/>
      <w:marBottom w:val="0"/>
      <w:divBdr>
        <w:top w:val="none" w:sz="0" w:space="0" w:color="auto"/>
        <w:left w:val="none" w:sz="0" w:space="0" w:color="auto"/>
        <w:bottom w:val="none" w:sz="0" w:space="0" w:color="auto"/>
        <w:right w:val="none" w:sz="0" w:space="0" w:color="auto"/>
      </w:divBdr>
    </w:div>
    <w:div w:id="164928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5040</Words>
  <Characters>27725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2025-08-15T20:12:00Z</cp:lastPrinted>
  <dcterms:created xsi:type="dcterms:W3CDTF">2025-09-04T20:34:00Z</dcterms:created>
  <dcterms:modified xsi:type="dcterms:W3CDTF">2025-09-04T20:34:00Z</dcterms:modified>
</cp:coreProperties>
</file>