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F852C" w14:textId="77777777" w:rsidR="00D17763" w:rsidRPr="00933920" w:rsidRDefault="006364C0">
      <w:pP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diecinueve de febrero de dos mil veinticinco. </w:t>
      </w:r>
    </w:p>
    <w:p w14:paraId="4F04C9B7" w14:textId="3068C637" w:rsidR="00D17763" w:rsidRPr="00933920" w:rsidRDefault="006364C0">
      <w:pP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VISTO</w:t>
      </w:r>
      <w:r w:rsidRPr="00933920">
        <w:rPr>
          <w:rFonts w:ascii="Palatino Linotype" w:eastAsia="Palatino Linotype" w:hAnsi="Palatino Linotype" w:cs="Palatino Linotype"/>
          <w:sz w:val="22"/>
          <w:szCs w:val="22"/>
        </w:rPr>
        <w:t xml:space="preserve"> el expediente formado con motivo del recurso de revisión </w:t>
      </w:r>
      <w:r w:rsidRPr="00933920">
        <w:rPr>
          <w:rFonts w:ascii="Palatino Linotype" w:eastAsia="Palatino Linotype" w:hAnsi="Palatino Linotype" w:cs="Palatino Linotype"/>
          <w:b/>
          <w:sz w:val="22"/>
          <w:szCs w:val="22"/>
        </w:rPr>
        <w:t>00284/INFOEM/IP/RR/2025</w:t>
      </w:r>
      <w:r w:rsidRPr="00933920">
        <w:rPr>
          <w:rFonts w:ascii="Palatino Linotype" w:eastAsia="Palatino Linotype" w:hAnsi="Palatino Linotype" w:cs="Palatino Linotype"/>
          <w:sz w:val="22"/>
          <w:szCs w:val="22"/>
        </w:rPr>
        <w:t>, por</w:t>
      </w:r>
      <w:r w:rsidRPr="00933920">
        <w:rPr>
          <w:rFonts w:ascii="Palatino Linotype" w:eastAsia="Palatino Linotype" w:hAnsi="Palatino Linotype" w:cs="Palatino Linotype"/>
          <w:b/>
          <w:sz w:val="22"/>
          <w:szCs w:val="22"/>
        </w:rPr>
        <w:t xml:space="preserve"> </w:t>
      </w:r>
      <w:r w:rsidRPr="00933920">
        <w:rPr>
          <w:rFonts w:ascii="Palatino Linotype" w:eastAsia="Palatino Linotype" w:hAnsi="Palatino Linotype" w:cs="Palatino Linotype"/>
          <w:sz w:val="22"/>
          <w:szCs w:val="22"/>
        </w:rPr>
        <w:t>interpuesto por</w:t>
      </w:r>
      <w:r w:rsidRPr="00933920">
        <w:rPr>
          <w:rFonts w:ascii="Palatino Linotype" w:eastAsia="Palatino Linotype" w:hAnsi="Palatino Linotype" w:cs="Palatino Linotype"/>
          <w:b/>
          <w:sz w:val="22"/>
          <w:szCs w:val="22"/>
        </w:rPr>
        <w:t xml:space="preserve"> </w:t>
      </w:r>
      <w:r w:rsidR="009268BC" w:rsidRPr="009268BC">
        <w:rPr>
          <w:rFonts w:ascii="Palatino Linotype" w:eastAsia="Palatino Linotype" w:hAnsi="Palatino Linotype" w:cs="Palatino Linotype"/>
          <w:b/>
          <w:sz w:val="22"/>
          <w:szCs w:val="22"/>
        </w:rPr>
        <w:t>XXXXXX XXXXXXX XXXXXX</w:t>
      </w:r>
      <w:r w:rsidRPr="00933920">
        <w:rPr>
          <w:rFonts w:ascii="Palatino Linotype" w:eastAsia="Palatino Linotype" w:hAnsi="Palatino Linotype" w:cs="Palatino Linotype"/>
          <w:b/>
          <w:sz w:val="22"/>
          <w:szCs w:val="22"/>
        </w:rPr>
        <w:t>,</w:t>
      </w:r>
      <w:r w:rsidRPr="00933920">
        <w:rPr>
          <w:rFonts w:ascii="Palatino Linotype" w:eastAsia="Palatino Linotype" w:hAnsi="Palatino Linotype" w:cs="Palatino Linotype"/>
          <w:sz w:val="22"/>
          <w:szCs w:val="22"/>
        </w:rPr>
        <w:t xml:space="preserve"> en lo sucesivo la parte </w:t>
      </w:r>
      <w:r w:rsidRPr="00933920">
        <w:rPr>
          <w:rFonts w:ascii="Palatino Linotype" w:eastAsia="Palatino Linotype" w:hAnsi="Palatino Linotype" w:cs="Palatino Linotype"/>
          <w:b/>
          <w:sz w:val="22"/>
          <w:szCs w:val="22"/>
        </w:rPr>
        <w:t>RECURRENTE,</w:t>
      </w:r>
      <w:r w:rsidRPr="00933920">
        <w:rPr>
          <w:rFonts w:ascii="Palatino Linotype" w:eastAsia="Palatino Linotype" w:hAnsi="Palatino Linotype" w:cs="Palatino Linotype"/>
          <w:sz w:val="22"/>
          <w:szCs w:val="22"/>
        </w:rPr>
        <w:t xml:space="preserve"> en contra de la respuesta a su solicitud por parte de la </w:t>
      </w:r>
      <w:r w:rsidRPr="00933920">
        <w:rPr>
          <w:rFonts w:ascii="Palatino Linotype" w:eastAsia="Palatino Linotype" w:hAnsi="Palatino Linotype" w:cs="Palatino Linotype"/>
          <w:b/>
          <w:sz w:val="22"/>
          <w:szCs w:val="22"/>
        </w:rPr>
        <w:t xml:space="preserve">Ayuntamiento de Ixtapaluca, </w:t>
      </w:r>
      <w:r w:rsidRPr="00933920">
        <w:rPr>
          <w:rFonts w:ascii="Palatino Linotype" w:eastAsia="Palatino Linotype" w:hAnsi="Palatino Linotype" w:cs="Palatino Linotype"/>
          <w:sz w:val="22"/>
          <w:szCs w:val="22"/>
        </w:rPr>
        <w:t xml:space="preserve">en lo sucesivo el </w:t>
      </w:r>
      <w:r w:rsidRPr="00933920">
        <w:rPr>
          <w:rFonts w:ascii="Palatino Linotype" w:eastAsia="Palatino Linotype" w:hAnsi="Palatino Linotype" w:cs="Palatino Linotype"/>
          <w:b/>
          <w:sz w:val="22"/>
          <w:szCs w:val="22"/>
        </w:rPr>
        <w:t xml:space="preserve">SUJETO OBLIGADO, </w:t>
      </w:r>
      <w:r w:rsidRPr="00933920">
        <w:rPr>
          <w:rFonts w:ascii="Palatino Linotype" w:eastAsia="Palatino Linotype" w:hAnsi="Palatino Linotype" w:cs="Palatino Linotype"/>
          <w:sz w:val="22"/>
          <w:szCs w:val="22"/>
        </w:rPr>
        <w:t xml:space="preserve">se procede a dictar la presente resolución con base en los siguientes: </w:t>
      </w:r>
    </w:p>
    <w:p w14:paraId="05BB5E6E" w14:textId="77777777" w:rsidR="00D17763" w:rsidRPr="00933920" w:rsidRDefault="006364C0">
      <w:pPr>
        <w:spacing w:before="240" w:after="240" w:line="360" w:lineRule="auto"/>
        <w:jc w:val="center"/>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I. A N T E C E D E N T E S</w:t>
      </w:r>
    </w:p>
    <w:p w14:paraId="0022597D" w14:textId="77777777" w:rsidR="00D17763" w:rsidRPr="00933920" w:rsidRDefault="006364C0">
      <w:pP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1. Solicitud de acceso a la información.</w:t>
      </w:r>
      <w:r w:rsidRPr="00933920">
        <w:rPr>
          <w:rFonts w:ascii="Palatino Linotype" w:eastAsia="Palatino Linotype" w:hAnsi="Palatino Linotype" w:cs="Palatino Linotype"/>
          <w:sz w:val="22"/>
          <w:szCs w:val="22"/>
        </w:rPr>
        <w:t xml:space="preserve"> Con fecha </w:t>
      </w:r>
      <w:r w:rsidRPr="00933920">
        <w:rPr>
          <w:rFonts w:ascii="Palatino Linotype" w:eastAsia="Palatino Linotype" w:hAnsi="Palatino Linotype" w:cs="Palatino Linotype"/>
          <w:b/>
          <w:sz w:val="22"/>
          <w:szCs w:val="22"/>
        </w:rPr>
        <w:t>dieciséis de diciembre de dos mil veinticuatro,</w:t>
      </w:r>
      <w:r w:rsidRPr="00933920">
        <w:rPr>
          <w:rFonts w:ascii="Palatino Linotype" w:eastAsia="Palatino Linotype" w:hAnsi="Palatino Linotype" w:cs="Palatino Linotype"/>
          <w:sz w:val="22"/>
          <w:szCs w:val="22"/>
        </w:rPr>
        <w:t xml:space="preserve"> la parte </w:t>
      </w:r>
      <w:r w:rsidRPr="00933920">
        <w:rPr>
          <w:rFonts w:ascii="Palatino Linotype" w:eastAsia="Palatino Linotype" w:hAnsi="Palatino Linotype" w:cs="Palatino Linotype"/>
          <w:b/>
          <w:sz w:val="22"/>
          <w:szCs w:val="22"/>
        </w:rPr>
        <w:t xml:space="preserve">RECURRENTE </w:t>
      </w:r>
      <w:r w:rsidRPr="00933920">
        <w:rPr>
          <w:rFonts w:ascii="Palatino Linotype" w:eastAsia="Palatino Linotype" w:hAnsi="Palatino Linotype" w:cs="Palatino Linotype"/>
          <w:sz w:val="22"/>
          <w:szCs w:val="22"/>
        </w:rPr>
        <w:t xml:space="preserve">presentó, través del Sistema de Acceso a la Información Mexiquense, en lo subsecuente el </w:t>
      </w:r>
      <w:r w:rsidRPr="00933920">
        <w:rPr>
          <w:rFonts w:ascii="Palatino Linotype" w:eastAsia="Palatino Linotype" w:hAnsi="Palatino Linotype" w:cs="Palatino Linotype"/>
          <w:b/>
          <w:sz w:val="22"/>
          <w:szCs w:val="22"/>
        </w:rPr>
        <w:t>SAIMEX,</w:t>
      </w:r>
      <w:r w:rsidRPr="00933920">
        <w:rPr>
          <w:rFonts w:ascii="Palatino Linotype" w:eastAsia="Palatino Linotype" w:hAnsi="Palatino Linotype" w:cs="Palatino Linotype"/>
          <w:sz w:val="22"/>
          <w:szCs w:val="22"/>
        </w:rPr>
        <w:t xml:space="preserve"> ante el </w:t>
      </w:r>
      <w:r w:rsidRPr="00933920">
        <w:rPr>
          <w:rFonts w:ascii="Palatino Linotype" w:eastAsia="Palatino Linotype" w:hAnsi="Palatino Linotype" w:cs="Palatino Linotype"/>
          <w:b/>
          <w:sz w:val="22"/>
          <w:szCs w:val="22"/>
        </w:rPr>
        <w:t>SUJETO OBLIGADO</w:t>
      </w:r>
      <w:r w:rsidRPr="00933920">
        <w:rPr>
          <w:rFonts w:ascii="Palatino Linotype" w:eastAsia="Palatino Linotype" w:hAnsi="Palatino Linotype" w:cs="Palatino Linotype"/>
          <w:sz w:val="22"/>
          <w:szCs w:val="22"/>
        </w:rPr>
        <w:t>, la solicitud de acceso a la información pública, a la que se le asignó el número</w:t>
      </w:r>
      <w:r w:rsidRPr="00933920">
        <w:rPr>
          <w:rFonts w:ascii="Palatino Linotype" w:eastAsia="Palatino Linotype" w:hAnsi="Palatino Linotype" w:cs="Palatino Linotype"/>
          <w:b/>
          <w:sz w:val="22"/>
          <w:szCs w:val="22"/>
        </w:rPr>
        <w:t xml:space="preserve"> 00555/IXTAPALU/IP/2024, </w:t>
      </w:r>
      <w:r w:rsidRPr="00933920">
        <w:rPr>
          <w:rFonts w:ascii="Palatino Linotype" w:eastAsia="Palatino Linotype" w:hAnsi="Palatino Linotype" w:cs="Palatino Linotype"/>
          <w:sz w:val="22"/>
          <w:szCs w:val="22"/>
        </w:rPr>
        <w:t xml:space="preserve">mediante la cual requirió la información siguiente:  </w:t>
      </w:r>
    </w:p>
    <w:p w14:paraId="40CFB460" w14:textId="77777777" w:rsidR="00D17763" w:rsidRPr="00933920" w:rsidRDefault="006364C0">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933920">
        <w:rPr>
          <w:rFonts w:ascii="Palatino Linotype" w:eastAsia="Palatino Linotype" w:hAnsi="Palatino Linotype" w:cs="Palatino Linotype"/>
          <w:i/>
          <w:sz w:val="22"/>
          <w:szCs w:val="22"/>
        </w:rPr>
        <w:t xml:space="preserve">“Solicito información de la tercer Regiduría del Municipal del Municipio de Ixtapaluca de la administración 2022-2024 durante el tiempo que fue titular el señor Carlos Antonio Martínez Zurita Trejo, solicito información del presupuesto otorgado, así como las gestiones realizadas, en qué se </w:t>
      </w:r>
      <w:proofErr w:type="spellStart"/>
      <w:r w:rsidRPr="00933920">
        <w:rPr>
          <w:rFonts w:ascii="Palatino Linotype" w:eastAsia="Palatino Linotype" w:hAnsi="Palatino Linotype" w:cs="Palatino Linotype"/>
          <w:i/>
          <w:sz w:val="22"/>
          <w:szCs w:val="22"/>
        </w:rPr>
        <w:t>gasto</w:t>
      </w:r>
      <w:proofErr w:type="spellEnd"/>
      <w:r w:rsidRPr="00933920">
        <w:rPr>
          <w:rFonts w:ascii="Palatino Linotype" w:eastAsia="Palatino Linotype" w:hAnsi="Palatino Linotype" w:cs="Palatino Linotype"/>
          <w:i/>
          <w:sz w:val="22"/>
          <w:szCs w:val="22"/>
        </w:rPr>
        <w:t xml:space="preserve"> su presupuesto otorgado, todo esto en versión pública; requiero que la información sea de los años 2022, 2023 y 2024. Así también solicito a la </w:t>
      </w:r>
      <w:proofErr w:type="spellStart"/>
      <w:r w:rsidRPr="00933920">
        <w:rPr>
          <w:rFonts w:ascii="Palatino Linotype" w:eastAsia="Palatino Linotype" w:hAnsi="Palatino Linotype" w:cs="Palatino Linotype"/>
          <w:i/>
          <w:sz w:val="22"/>
          <w:szCs w:val="22"/>
        </w:rPr>
        <w:t>Subdireccion</w:t>
      </w:r>
      <w:proofErr w:type="spellEnd"/>
      <w:r w:rsidRPr="00933920">
        <w:rPr>
          <w:rFonts w:ascii="Palatino Linotype" w:eastAsia="Palatino Linotype" w:hAnsi="Palatino Linotype" w:cs="Palatino Linotype"/>
          <w:i/>
          <w:sz w:val="22"/>
          <w:szCs w:val="22"/>
        </w:rPr>
        <w:t xml:space="preserve"> de Recursos Humanos del Municipio de Ixtapaluca de la administración 2022-20024 y a la misma tercera Regiduría Municipal del Municipio de Ixtapaluca de la administración 2022-2024, la lista de personal adscrito, síntesis curricular con documentos probatorios de cada uno de ellos, así como las actividades asignadas que desempeñan cada uno de los integrantes de la tercera Regiduría del mismo ayuntamiento. Todo esto en versión pública.” (Sic)</w:t>
      </w:r>
    </w:p>
    <w:p w14:paraId="7B47A7E8" w14:textId="77777777" w:rsidR="00D17763" w:rsidRPr="00933920" w:rsidRDefault="00D17763">
      <w:pPr>
        <w:ind w:left="851" w:right="902"/>
        <w:jc w:val="both"/>
        <w:rPr>
          <w:rFonts w:ascii="Palatino Linotype" w:eastAsia="Palatino Linotype" w:hAnsi="Palatino Linotype" w:cs="Palatino Linotype"/>
          <w:i/>
          <w:sz w:val="22"/>
          <w:szCs w:val="22"/>
        </w:rPr>
      </w:pPr>
    </w:p>
    <w:p w14:paraId="07016021"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Modalidad de Entrega:</w:t>
      </w:r>
      <w:r w:rsidRPr="00933920">
        <w:rPr>
          <w:rFonts w:ascii="Palatino Linotype" w:eastAsia="Palatino Linotype" w:hAnsi="Palatino Linotype" w:cs="Palatino Linotype"/>
          <w:sz w:val="22"/>
          <w:szCs w:val="22"/>
        </w:rPr>
        <w:t xml:space="preserve"> A través de SAIMEX.</w:t>
      </w:r>
    </w:p>
    <w:p w14:paraId="5AD17461" w14:textId="77777777" w:rsidR="00D17763" w:rsidRPr="00933920" w:rsidRDefault="00D17763">
      <w:pPr>
        <w:spacing w:line="360" w:lineRule="auto"/>
        <w:jc w:val="both"/>
        <w:rPr>
          <w:rFonts w:ascii="Palatino Linotype" w:eastAsia="Palatino Linotype" w:hAnsi="Palatino Linotype" w:cs="Palatino Linotype"/>
          <w:sz w:val="22"/>
          <w:szCs w:val="22"/>
        </w:rPr>
      </w:pPr>
    </w:p>
    <w:p w14:paraId="306A9564" w14:textId="77777777" w:rsidR="00D17763" w:rsidRPr="00933920" w:rsidRDefault="006364C0">
      <w:pPr>
        <w:spacing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 xml:space="preserve">2. Respuesta. </w:t>
      </w:r>
      <w:r w:rsidRPr="00933920">
        <w:rPr>
          <w:rFonts w:ascii="Palatino Linotype" w:eastAsia="Palatino Linotype" w:hAnsi="Palatino Linotype" w:cs="Palatino Linotype"/>
          <w:sz w:val="22"/>
          <w:szCs w:val="22"/>
        </w:rPr>
        <w:t xml:space="preserve">Con fecha </w:t>
      </w:r>
      <w:r w:rsidRPr="00933920">
        <w:rPr>
          <w:rFonts w:ascii="Palatino Linotype" w:eastAsia="Palatino Linotype" w:hAnsi="Palatino Linotype" w:cs="Palatino Linotype"/>
          <w:b/>
          <w:sz w:val="22"/>
          <w:szCs w:val="22"/>
        </w:rPr>
        <w:t>veinticuatro de enero de dos mil veinticuatro</w:t>
      </w:r>
      <w:r w:rsidRPr="00933920">
        <w:rPr>
          <w:rFonts w:ascii="Palatino Linotype" w:eastAsia="Palatino Linotype" w:hAnsi="Palatino Linotype" w:cs="Palatino Linotype"/>
          <w:sz w:val="22"/>
          <w:szCs w:val="22"/>
        </w:rPr>
        <w:t xml:space="preserve">, el </w:t>
      </w:r>
      <w:r w:rsidRPr="00933920">
        <w:rPr>
          <w:rFonts w:ascii="Palatino Linotype" w:eastAsia="Palatino Linotype" w:hAnsi="Palatino Linotype" w:cs="Palatino Linotype"/>
          <w:b/>
          <w:sz w:val="22"/>
          <w:szCs w:val="22"/>
        </w:rPr>
        <w:t xml:space="preserve">SUJETO OBLIGADO </w:t>
      </w:r>
      <w:r w:rsidRPr="00933920">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03F1E33D" w14:textId="77777777" w:rsidR="00D17763" w:rsidRPr="00933920" w:rsidRDefault="006364C0">
      <w:pPr>
        <w:spacing w:before="240" w:after="240"/>
        <w:ind w:left="567" w:right="758"/>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A760B1" w14:textId="77777777" w:rsidR="00D17763" w:rsidRPr="00933920" w:rsidRDefault="006364C0">
      <w:pPr>
        <w:spacing w:before="240" w:after="240"/>
        <w:ind w:left="567" w:right="758"/>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EN RELACIÓN A LA SOLICITUD CON FOLIO 00555/IXTAPALU/IP/2024 ANEXO RESPUESTA.</w:t>
      </w:r>
    </w:p>
    <w:p w14:paraId="3D3555B8" w14:textId="77777777" w:rsidR="00D17763" w:rsidRPr="00933920" w:rsidRDefault="006364C0">
      <w:pPr>
        <w:spacing w:before="240" w:after="240"/>
        <w:ind w:left="567" w:right="758"/>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ATENTAMENTE</w:t>
      </w:r>
    </w:p>
    <w:p w14:paraId="42265194" w14:textId="77777777" w:rsidR="00D17763" w:rsidRPr="00933920" w:rsidRDefault="006364C0">
      <w:pPr>
        <w:spacing w:before="240" w:after="240"/>
        <w:ind w:left="567" w:right="758"/>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C. Miguel Pérez González” (Sic)</w:t>
      </w:r>
    </w:p>
    <w:p w14:paraId="53147D85" w14:textId="77777777" w:rsidR="00D17763" w:rsidRPr="00933920" w:rsidRDefault="006364C0">
      <w:pPr>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El </w:t>
      </w:r>
      <w:r w:rsidRPr="00933920">
        <w:rPr>
          <w:rFonts w:ascii="Palatino Linotype" w:eastAsia="Palatino Linotype" w:hAnsi="Palatino Linotype" w:cs="Palatino Linotype"/>
          <w:b/>
          <w:sz w:val="22"/>
          <w:szCs w:val="22"/>
        </w:rPr>
        <w:t>SUJETO OBLIGADO</w:t>
      </w:r>
      <w:r w:rsidRPr="00933920">
        <w:rPr>
          <w:rFonts w:ascii="Palatino Linotype" w:eastAsia="Palatino Linotype" w:hAnsi="Palatino Linotype" w:cs="Palatino Linotype"/>
          <w:sz w:val="22"/>
          <w:szCs w:val="22"/>
        </w:rPr>
        <w:t xml:space="preserve"> adjuntó los siguientes archivos electrónicos:</w:t>
      </w:r>
    </w:p>
    <w:p w14:paraId="54204097" w14:textId="77777777" w:rsidR="00D17763" w:rsidRPr="00933920" w:rsidRDefault="006364C0">
      <w:pPr>
        <w:numPr>
          <w:ilvl w:val="0"/>
          <w:numId w:val="9"/>
        </w:num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 xml:space="preserve">RESP S.I. 555-24 3RA REG.pdf: </w:t>
      </w:r>
      <w:r w:rsidRPr="00933920">
        <w:rPr>
          <w:rFonts w:ascii="Palatino Linotype" w:eastAsia="Palatino Linotype" w:hAnsi="Palatino Linotype" w:cs="Palatino Linotype"/>
          <w:sz w:val="22"/>
          <w:szCs w:val="22"/>
        </w:rPr>
        <w:t>Contiene el oficio IXTA/TR/119/2024 suscrito por el Tercer Regidor, en el que proporcionó tres direcciones electrónicas donde se localiza la información requerida por el Particular.</w:t>
      </w:r>
    </w:p>
    <w:p w14:paraId="745AC28F" w14:textId="77777777" w:rsidR="00D17763" w:rsidRPr="00933920" w:rsidRDefault="006364C0">
      <w:pPr>
        <w:numPr>
          <w:ilvl w:val="0"/>
          <w:numId w:val="9"/>
        </w:num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 xml:space="preserve">RESP S.I. 555-24 TESORERIA.pdf: </w:t>
      </w:r>
      <w:r w:rsidRPr="00933920">
        <w:rPr>
          <w:rFonts w:ascii="Palatino Linotype" w:eastAsia="Palatino Linotype" w:hAnsi="Palatino Linotype" w:cs="Palatino Linotype"/>
          <w:sz w:val="22"/>
          <w:szCs w:val="22"/>
        </w:rPr>
        <w:t>Oficio IXTA/TESO/0802/2024 suscrito por el Tesorero Municipal mediante el cual indica que se proporciona el reporte Estado Analítico del Ejercicio del Presupuesto de Egresos Clasificación Administrativa correspondiente al ejercicio fiscal</w:t>
      </w:r>
      <w:r w:rsidRPr="00933920">
        <w:rPr>
          <w:rFonts w:ascii="Palatino Linotype" w:eastAsia="Palatino Linotype" w:hAnsi="Palatino Linotype" w:cs="Palatino Linotype"/>
          <w:b/>
          <w:sz w:val="22"/>
          <w:szCs w:val="22"/>
        </w:rPr>
        <w:t xml:space="preserve"> </w:t>
      </w:r>
      <w:r w:rsidRPr="00933920">
        <w:rPr>
          <w:rFonts w:ascii="Palatino Linotype" w:eastAsia="Palatino Linotype" w:hAnsi="Palatino Linotype" w:cs="Palatino Linotype"/>
          <w:sz w:val="22"/>
          <w:szCs w:val="22"/>
        </w:rPr>
        <w:t>2022, 2023 y septiembre de 2024, donde se refleja el presupuesto aprobado a la Dependencia General solicitada.</w:t>
      </w:r>
    </w:p>
    <w:p w14:paraId="58E6E2C1" w14:textId="77777777" w:rsidR="00D17763" w:rsidRPr="00933920" w:rsidRDefault="006364C0">
      <w:pPr>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 xml:space="preserve">3. Interposición del recurso de revisión. </w:t>
      </w:r>
      <w:r w:rsidRPr="00933920">
        <w:rPr>
          <w:rFonts w:ascii="Palatino Linotype" w:eastAsia="Palatino Linotype" w:hAnsi="Palatino Linotype" w:cs="Palatino Linotype"/>
          <w:sz w:val="22"/>
          <w:szCs w:val="22"/>
        </w:rPr>
        <w:t xml:space="preserve">Inconforme con los términos de la respuesta emitida por parte del </w:t>
      </w:r>
      <w:r w:rsidRPr="00933920">
        <w:rPr>
          <w:rFonts w:ascii="Palatino Linotype" w:eastAsia="Palatino Linotype" w:hAnsi="Palatino Linotype" w:cs="Palatino Linotype"/>
          <w:b/>
          <w:sz w:val="22"/>
          <w:szCs w:val="22"/>
        </w:rPr>
        <w:t>SUJETO OBLIGADO</w:t>
      </w:r>
      <w:r w:rsidRPr="00933920">
        <w:rPr>
          <w:rFonts w:ascii="Palatino Linotype" w:eastAsia="Palatino Linotype" w:hAnsi="Palatino Linotype" w:cs="Palatino Linotype"/>
          <w:sz w:val="22"/>
          <w:szCs w:val="22"/>
        </w:rPr>
        <w:t xml:space="preserve">, el </w:t>
      </w:r>
      <w:r w:rsidRPr="00933920">
        <w:rPr>
          <w:rFonts w:ascii="Palatino Linotype" w:eastAsia="Palatino Linotype" w:hAnsi="Palatino Linotype" w:cs="Palatino Linotype"/>
          <w:b/>
          <w:sz w:val="22"/>
          <w:szCs w:val="22"/>
        </w:rPr>
        <w:t>veintisiete de enero del año dos mil veinticinco,</w:t>
      </w:r>
      <w:r w:rsidRPr="00933920">
        <w:rPr>
          <w:rFonts w:ascii="Palatino Linotype" w:eastAsia="Palatino Linotype" w:hAnsi="Palatino Linotype" w:cs="Palatino Linotype"/>
          <w:sz w:val="22"/>
          <w:szCs w:val="22"/>
        </w:rPr>
        <w:t xml:space="preserve"> la parte </w:t>
      </w:r>
      <w:r w:rsidRPr="00933920">
        <w:rPr>
          <w:rFonts w:ascii="Palatino Linotype" w:eastAsia="Palatino Linotype" w:hAnsi="Palatino Linotype" w:cs="Palatino Linotype"/>
          <w:b/>
          <w:sz w:val="22"/>
          <w:szCs w:val="22"/>
        </w:rPr>
        <w:t>RECURRENTE</w:t>
      </w:r>
      <w:r w:rsidRPr="00933920">
        <w:rPr>
          <w:rFonts w:ascii="Palatino Linotype" w:eastAsia="Palatino Linotype" w:hAnsi="Palatino Linotype" w:cs="Palatino Linotype"/>
          <w:sz w:val="22"/>
          <w:szCs w:val="22"/>
        </w:rPr>
        <w:t xml:space="preserve"> interpuso el recurso de revisión a través de </w:t>
      </w:r>
      <w:r w:rsidRPr="00933920">
        <w:rPr>
          <w:rFonts w:ascii="Palatino Linotype" w:eastAsia="Palatino Linotype" w:hAnsi="Palatino Linotype" w:cs="Palatino Linotype"/>
          <w:b/>
          <w:sz w:val="22"/>
          <w:szCs w:val="22"/>
        </w:rPr>
        <w:t xml:space="preserve">SAIMEX, </w:t>
      </w:r>
      <w:r w:rsidRPr="00933920">
        <w:rPr>
          <w:rFonts w:ascii="Palatino Linotype" w:eastAsia="Palatino Linotype" w:hAnsi="Palatino Linotype" w:cs="Palatino Linotype"/>
          <w:sz w:val="22"/>
          <w:szCs w:val="22"/>
        </w:rPr>
        <w:t>en donde se manifestó de la siguiente manera:</w:t>
      </w:r>
    </w:p>
    <w:p w14:paraId="2C95FB3A" w14:textId="77777777" w:rsidR="00D17763" w:rsidRPr="00933920" w:rsidRDefault="006364C0">
      <w:pPr>
        <w:numPr>
          <w:ilvl w:val="0"/>
          <w:numId w:val="9"/>
        </w:numPr>
        <w:pBdr>
          <w:top w:val="nil"/>
          <w:left w:val="nil"/>
          <w:bottom w:val="nil"/>
          <w:right w:val="nil"/>
          <w:between w:val="nil"/>
        </w:pBdr>
        <w:tabs>
          <w:tab w:val="left" w:pos="2745"/>
        </w:tabs>
        <w:spacing w:before="240" w:line="360" w:lineRule="auto"/>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lastRenderedPageBreak/>
        <w:t xml:space="preserve">Acto impugnado: </w:t>
      </w:r>
    </w:p>
    <w:p w14:paraId="10D3B63E" w14:textId="77777777" w:rsidR="00D17763" w:rsidRPr="00933920" w:rsidRDefault="006364C0">
      <w:pPr>
        <w:pBdr>
          <w:top w:val="nil"/>
          <w:left w:val="nil"/>
          <w:bottom w:val="nil"/>
          <w:right w:val="nil"/>
          <w:between w:val="nil"/>
        </w:pBdr>
        <w:ind w:left="720" w:right="902"/>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“La información entregada por el municipio de </w:t>
      </w:r>
      <w:proofErr w:type="spellStart"/>
      <w:r w:rsidRPr="00933920">
        <w:rPr>
          <w:rFonts w:ascii="Palatino Linotype" w:eastAsia="Palatino Linotype" w:hAnsi="Palatino Linotype" w:cs="Palatino Linotype"/>
          <w:i/>
          <w:sz w:val="22"/>
          <w:szCs w:val="22"/>
        </w:rPr>
        <w:t>ixtapaluca</w:t>
      </w:r>
      <w:proofErr w:type="spellEnd"/>
      <w:r w:rsidRPr="00933920">
        <w:rPr>
          <w:rFonts w:ascii="Palatino Linotype" w:eastAsia="Palatino Linotype" w:hAnsi="Palatino Linotype" w:cs="Palatino Linotype"/>
          <w:i/>
          <w:sz w:val="22"/>
          <w:szCs w:val="22"/>
        </w:rPr>
        <w:t xml:space="preserve"> no cumple con lo solicitado.” (Sic)</w:t>
      </w:r>
    </w:p>
    <w:p w14:paraId="250317A8" w14:textId="77777777" w:rsidR="00D17763" w:rsidRPr="00933920" w:rsidRDefault="00D17763">
      <w:pPr>
        <w:ind w:left="851" w:right="902"/>
        <w:jc w:val="both"/>
        <w:rPr>
          <w:rFonts w:ascii="Palatino Linotype" w:eastAsia="Palatino Linotype" w:hAnsi="Palatino Linotype" w:cs="Palatino Linotype"/>
          <w:i/>
          <w:sz w:val="22"/>
          <w:szCs w:val="22"/>
        </w:rPr>
      </w:pPr>
    </w:p>
    <w:p w14:paraId="02AF452D" w14:textId="77777777" w:rsidR="00D17763" w:rsidRPr="00933920" w:rsidRDefault="006364C0">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Y Razones o motivos de inconformidad</w:t>
      </w:r>
      <w:r w:rsidRPr="00933920">
        <w:rPr>
          <w:rFonts w:ascii="Palatino Linotype" w:eastAsia="Palatino Linotype" w:hAnsi="Palatino Linotype" w:cs="Palatino Linotype"/>
          <w:sz w:val="22"/>
          <w:szCs w:val="22"/>
        </w:rPr>
        <w:t>:</w:t>
      </w:r>
    </w:p>
    <w:p w14:paraId="18FD8B38" w14:textId="77777777" w:rsidR="00D17763" w:rsidRPr="00933920" w:rsidRDefault="006364C0">
      <w:pPr>
        <w:pBdr>
          <w:top w:val="nil"/>
          <w:left w:val="nil"/>
          <w:bottom w:val="nil"/>
          <w:right w:val="nil"/>
          <w:between w:val="nil"/>
        </w:pBdr>
        <w:ind w:left="720" w:right="902"/>
        <w:jc w:val="both"/>
        <w:rPr>
          <w:rFonts w:ascii="Palatino Linotype" w:eastAsia="Palatino Linotype" w:hAnsi="Palatino Linotype" w:cs="Palatino Linotype"/>
          <w:i/>
          <w:sz w:val="22"/>
          <w:szCs w:val="22"/>
        </w:rPr>
      </w:pPr>
      <w:bookmarkStart w:id="1" w:name="_heading=h.30j0zll" w:colFirst="0" w:colLast="0"/>
      <w:bookmarkEnd w:id="1"/>
      <w:r w:rsidRPr="00933920">
        <w:rPr>
          <w:rFonts w:ascii="Palatino Linotype" w:eastAsia="Palatino Linotype" w:hAnsi="Palatino Linotype" w:cs="Palatino Linotype"/>
          <w:i/>
          <w:sz w:val="22"/>
          <w:szCs w:val="22"/>
        </w:rPr>
        <w:t xml:space="preserve">“La tercera </w:t>
      </w:r>
      <w:proofErr w:type="spellStart"/>
      <w:r w:rsidRPr="00933920">
        <w:rPr>
          <w:rFonts w:ascii="Palatino Linotype" w:eastAsia="Palatino Linotype" w:hAnsi="Palatino Linotype" w:cs="Palatino Linotype"/>
          <w:i/>
          <w:sz w:val="22"/>
          <w:szCs w:val="22"/>
        </w:rPr>
        <w:t>regiduria</w:t>
      </w:r>
      <w:proofErr w:type="spellEnd"/>
      <w:r w:rsidRPr="00933920">
        <w:rPr>
          <w:rFonts w:ascii="Palatino Linotype" w:eastAsia="Palatino Linotype" w:hAnsi="Palatino Linotype" w:cs="Palatino Linotype"/>
          <w:i/>
          <w:sz w:val="22"/>
          <w:szCs w:val="22"/>
        </w:rPr>
        <w:t xml:space="preserve"> no entregó la información solicitada.” (Sic)</w:t>
      </w:r>
    </w:p>
    <w:p w14:paraId="51D29BD7" w14:textId="77777777" w:rsidR="00D17763" w:rsidRPr="00933920" w:rsidRDefault="00D17763">
      <w:pPr>
        <w:pBdr>
          <w:top w:val="nil"/>
          <w:left w:val="nil"/>
          <w:bottom w:val="nil"/>
          <w:right w:val="nil"/>
          <w:between w:val="nil"/>
        </w:pBdr>
        <w:ind w:left="720" w:right="902"/>
        <w:jc w:val="both"/>
        <w:rPr>
          <w:rFonts w:ascii="Palatino Linotype" w:eastAsia="Palatino Linotype" w:hAnsi="Palatino Linotype" w:cs="Palatino Linotype"/>
          <w:i/>
          <w:sz w:val="22"/>
          <w:szCs w:val="22"/>
        </w:rPr>
      </w:pPr>
    </w:p>
    <w:p w14:paraId="17B1764D" w14:textId="77777777" w:rsidR="00D17763" w:rsidRPr="00933920" w:rsidRDefault="006364C0">
      <w:pPr>
        <w:numPr>
          <w:ilvl w:val="0"/>
          <w:numId w:val="3"/>
        </w:numPr>
        <w:pBdr>
          <w:top w:val="nil"/>
          <w:left w:val="nil"/>
          <w:bottom w:val="nil"/>
          <w:right w:val="nil"/>
          <w:between w:val="nil"/>
        </w:pBdr>
        <w:spacing w:before="240" w:line="360" w:lineRule="auto"/>
        <w:ind w:left="284" w:right="51"/>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sz w:val="22"/>
          <w:szCs w:val="22"/>
        </w:rPr>
        <w:t>El Recurrente adjuntó los documentos que envió el Sujeto Obligado en su respuesta a la solicitud</w:t>
      </w:r>
      <w:r w:rsidRPr="00933920">
        <w:rPr>
          <w:rFonts w:ascii="Palatino Linotype" w:eastAsia="Palatino Linotype" w:hAnsi="Palatino Linotype" w:cs="Palatino Linotype"/>
          <w:b/>
          <w:sz w:val="22"/>
          <w:szCs w:val="22"/>
        </w:rPr>
        <w:t xml:space="preserve"> RESP S.I. 555-24 TESORERIA.pdf y RESP S.I. 555-24 3RA REG.pdf</w:t>
      </w:r>
    </w:p>
    <w:p w14:paraId="0E1430BB" w14:textId="77777777" w:rsidR="00D17763" w:rsidRPr="00933920" w:rsidRDefault="00D17763">
      <w:pPr>
        <w:pBdr>
          <w:top w:val="nil"/>
          <w:left w:val="nil"/>
          <w:bottom w:val="nil"/>
          <w:right w:val="nil"/>
          <w:between w:val="nil"/>
        </w:pBdr>
        <w:spacing w:line="360" w:lineRule="auto"/>
        <w:ind w:left="284" w:right="51"/>
        <w:jc w:val="both"/>
        <w:rPr>
          <w:rFonts w:ascii="Palatino Linotype" w:eastAsia="Palatino Linotype" w:hAnsi="Palatino Linotype" w:cs="Palatino Linotype"/>
          <w:b/>
          <w:sz w:val="22"/>
          <w:szCs w:val="22"/>
        </w:rPr>
      </w:pPr>
    </w:p>
    <w:p w14:paraId="379E37B9" w14:textId="77777777" w:rsidR="00D17763" w:rsidRPr="00933920" w:rsidRDefault="006364C0">
      <w:pPr>
        <w:spacing w:line="360" w:lineRule="auto"/>
        <w:ind w:right="5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 xml:space="preserve">4. Turno. </w:t>
      </w:r>
      <w:r w:rsidRPr="0093392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33920">
        <w:rPr>
          <w:rFonts w:ascii="Palatino Linotype" w:eastAsia="Palatino Linotype" w:hAnsi="Palatino Linotype" w:cs="Palatino Linotype"/>
          <w:b/>
          <w:sz w:val="22"/>
          <w:szCs w:val="22"/>
        </w:rPr>
        <w:t xml:space="preserve">Guadalupe Ramírez Peña, </w:t>
      </w:r>
      <w:r w:rsidRPr="00933920">
        <w:rPr>
          <w:rFonts w:ascii="Palatino Linotype" w:eastAsia="Palatino Linotype" w:hAnsi="Palatino Linotype" w:cs="Palatino Linotype"/>
          <w:sz w:val="22"/>
          <w:szCs w:val="22"/>
        </w:rPr>
        <w:t xml:space="preserve">a efecto de que analizara sobre su admisión o su </w:t>
      </w:r>
      <w:proofErr w:type="spellStart"/>
      <w:r w:rsidRPr="00933920">
        <w:rPr>
          <w:rFonts w:ascii="Palatino Linotype" w:eastAsia="Palatino Linotype" w:hAnsi="Palatino Linotype" w:cs="Palatino Linotype"/>
          <w:sz w:val="22"/>
          <w:szCs w:val="22"/>
        </w:rPr>
        <w:t>desechamiento</w:t>
      </w:r>
      <w:proofErr w:type="spellEnd"/>
      <w:r w:rsidRPr="00933920">
        <w:rPr>
          <w:rFonts w:ascii="Palatino Linotype" w:eastAsia="Palatino Linotype" w:hAnsi="Palatino Linotype" w:cs="Palatino Linotype"/>
          <w:sz w:val="22"/>
          <w:szCs w:val="22"/>
        </w:rPr>
        <w:t>.</w:t>
      </w:r>
    </w:p>
    <w:p w14:paraId="4BCC7A1D" w14:textId="77777777" w:rsidR="00D17763" w:rsidRPr="00933920" w:rsidRDefault="00D17763">
      <w:pPr>
        <w:spacing w:line="360" w:lineRule="auto"/>
        <w:ind w:right="51"/>
        <w:jc w:val="both"/>
        <w:rPr>
          <w:rFonts w:ascii="Palatino Linotype" w:eastAsia="Palatino Linotype" w:hAnsi="Palatino Linotype" w:cs="Palatino Linotype"/>
          <w:sz w:val="22"/>
          <w:szCs w:val="22"/>
        </w:rPr>
      </w:pPr>
    </w:p>
    <w:p w14:paraId="7E75966E" w14:textId="77777777" w:rsidR="00D17763" w:rsidRPr="00933920" w:rsidRDefault="006364C0">
      <w:pPr>
        <w:spacing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5. Admisión del Recurso de revisión.</w:t>
      </w:r>
      <w:r w:rsidRPr="00933920">
        <w:rPr>
          <w:rFonts w:ascii="Palatino Linotype" w:eastAsia="Palatino Linotype" w:hAnsi="Palatino Linotype" w:cs="Palatino Linotype"/>
          <w:sz w:val="22"/>
          <w:szCs w:val="22"/>
        </w:rPr>
        <w:t xml:space="preserve"> Con fecha</w:t>
      </w:r>
      <w:r w:rsidRPr="00933920">
        <w:rPr>
          <w:rFonts w:ascii="Palatino Linotype" w:eastAsia="Palatino Linotype" w:hAnsi="Palatino Linotype" w:cs="Palatino Linotype"/>
          <w:b/>
          <w:sz w:val="22"/>
          <w:szCs w:val="22"/>
        </w:rPr>
        <w:t xml:space="preserve"> treinta de enero de dos mil veinticinco, </w:t>
      </w:r>
      <w:r w:rsidRPr="00933920">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33920">
        <w:rPr>
          <w:rFonts w:ascii="Palatino Linotype" w:eastAsia="Palatino Linotype" w:hAnsi="Palatino Linotype" w:cs="Palatino Linotype"/>
          <w:b/>
          <w:sz w:val="22"/>
          <w:szCs w:val="22"/>
        </w:rPr>
        <w:t xml:space="preserve">SUJETO OBLIGADO </w:t>
      </w:r>
      <w:r w:rsidRPr="00933920">
        <w:rPr>
          <w:rFonts w:ascii="Palatino Linotype" w:eastAsia="Palatino Linotype" w:hAnsi="Palatino Linotype" w:cs="Palatino Linotype"/>
          <w:sz w:val="22"/>
          <w:szCs w:val="22"/>
        </w:rPr>
        <w:t>presentara su informe justificado.</w:t>
      </w:r>
    </w:p>
    <w:p w14:paraId="0018E962" w14:textId="77777777" w:rsidR="00D17763" w:rsidRPr="00933920" w:rsidRDefault="006364C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bookmarkStart w:id="2" w:name="_heading=h.2s8eyo1" w:colFirst="0" w:colLast="0"/>
      <w:bookmarkEnd w:id="2"/>
      <w:r w:rsidRPr="00933920">
        <w:rPr>
          <w:rFonts w:ascii="Palatino Linotype" w:eastAsia="Palatino Linotype" w:hAnsi="Palatino Linotype" w:cs="Palatino Linotype"/>
          <w:b/>
          <w:sz w:val="22"/>
          <w:szCs w:val="22"/>
        </w:rPr>
        <w:t>6. Manifestaciones</w:t>
      </w:r>
      <w:r w:rsidRPr="00933920">
        <w:rPr>
          <w:rFonts w:ascii="Palatino Linotype" w:eastAsia="Palatino Linotype" w:hAnsi="Palatino Linotype" w:cs="Palatino Linotype"/>
          <w:sz w:val="22"/>
          <w:szCs w:val="22"/>
        </w:rPr>
        <w:t xml:space="preserve">. El treinta y uno de enero de dos mil veinticinco, el Recurrente realizó manifestaciones a través de los documentos electrónicos denominados </w:t>
      </w:r>
      <w:r w:rsidRPr="00933920">
        <w:rPr>
          <w:rFonts w:ascii="Palatino Linotype" w:eastAsia="Palatino Linotype" w:hAnsi="Palatino Linotype" w:cs="Palatino Linotype"/>
          <w:b/>
          <w:sz w:val="22"/>
          <w:szCs w:val="22"/>
        </w:rPr>
        <w:t>RESP S.I. 555-24 3RA REG.pdf y RESP S.I. 555-24 TESORERIA.pdf,</w:t>
      </w:r>
      <w:r w:rsidRPr="00933920">
        <w:rPr>
          <w:rFonts w:ascii="Palatino Linotype" w:eastAsia="Palatino Linotype" w:hAnsi="Palatino Linotype" w:cs="Palatino Linotype"/>
          <w:sz w:val="22"/>
          <w:szCs w:val="22"/>
        </w:rPr>
        <w:t xml:space="preserve"> los cuales corresponden a los oficios remitidos en respuesta a la solicitud. Por su parte, el </w:t>
      </w:r>
      <w:r w:rsidRPr="00933920">
        <w:rPr>
          <w:rFonts w:ascii="Palatino Linotype" w:eastAsia="Palatino Linotype" w:hAnsi="Palatino Linotype" w:cs="Palatino Linotype"/>
          <w:b/>
          <w:sz w:val="22"/>
          <w:szCs w:val="22"/>
        </w:rPr>
        <w:t>diez de febrero de dos mil veinticinco</w:t>
      </w:r>
      <w:r w:rsidRPr="00933920">
        <w:rPr>
          <w:rFonts w:ascii="Palatino Linotype" w:eastAsia="Palatino Linotype" w:hAnsi="Palatino Linotype" w:cs="Palatino Linotype"/>
          <w:sz w:val="22"/>
          <w:szCs w:val="22"/>
        </w:rPr>
        <w:t xml:space="preserve">, el Sujeto Obligado remitió tres documentos electrónicos, los cuales se pusieron a disposición </w:t>
      </w:r>
      <w:r w:rsidRPr="00933920">
        <w:rPr>
          <w:rFonts w:ascii="Palatino Linotype" w:eastAsia="Palatino Linotype" w:hAnsi="Palatino Linotype" w:cs="Palatino Linotype"/>
          <w:sz w:val="22"/>
          <w:szCs w:val="22"/>
        </w:rPr>
        <w:lastRenderedPageBreak/>
        <w:t xml:space="preserve">del Recurrente el </w:t>
      </w:r>
      <w:r w:rsidRPr="00933920">
        <w:rPr>
          <w:rFonts w:ascii="Palatino Linotype" w:eastAsia="Palatino Linotype" w:hAnsi="Palatino Linotype" w:cs="Palatino Linotype"/>
          <w:b/>
          <w:sz w:val="22"/>
          <w:szCs w:val="22"/>
        </w:rPr>
        <w:t>doce de febrero de dos mil veinticinco</w:t>
      </w:r>
      <w:r w:rsidRPr="00933920">
        <w:rPr>
          <w:rFonts w:ascii="Palatino Linotype" w:eastAsia="Palatino Linotype" w:hAnsi="Palatino Linotype" w:cs="Palatino Linotype"/>
          <w:sz w:val="22"/>
          <w:szCs w:val="22"/>
        </w:rPr>
        <w:t>, cuyo contenido medular es el siguiente:</w:t>
      </w:r>
    </w:p>
    <w:p w14:paraId="56BE0BF9" w14:textId="77777777" w:rsidR="00D17763" w:rsidRPr="00933920" w:rsidRDefault="006364C0">
      <w:pPr>
        <w:widowControl w:val="0"/>
        <w:numPr>
          <w:ilvl w:val="0"/>
          <w:numId w:val="7"/>
        </w:numPr>
        <w:pBdr>
          <w:top w:val="nil"/>
          <w:left w:val="nil"/>
          <w:bottom w:val="nil"/>
          <w:right w:val="nil"/>
          <w:between w:val="nil"/>
        </w:pBdr>
        <w:tabs>
          <w:tab w:val="left" w:pos="709"/>
        </w:tabs>
        <w:spacing w:before="120" w:line="360" w:lineRule="auto"/>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 xml:space="preserve">RESP S.I. 555-24 TESORERIA.pdf: </w:t>
      </w:r>
      <w:r w:rsidRPr="00933920">
        <w:rPr>
          <w:rFonts w:ascii="Palatino Linotype" w:eastAsia="Palatino Linotype" w:hAnsi="Palatino Linotype" w:cs="Palatino Linotype"/>
          <w:sz w:val="22"/>
          <w:szCs w:val="22"/>
        </w:rPr>
        <w:t>Documentos emitidos por la Tercera Regiduría mediante los cuales ratifica su respuesta inicial, argumentando que la información se localiza en las direcciones electrónicas proporcionadas en respuesta.</w:t>
      </w:r>
    </w:p>
    <w:p w14:paraId="53DE3237" w14:textId="77777777" w:rsidR="00D17763" w:rsidRPr="00933920" w:rsidRDefault="006364C0">
      <w:pPr>
        <w:widowControl w:val="0"/>
        <w:numPr>
          <w:ilvl w:val="0"/>
          <w:numId w:val="7"/>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 xml:space="preserve">RESP SI 555-24 ADMON.pdf: </w:t>
      </w:r>
      <w:r w:rsidRPr="00933920">
        <w:rPr>
          <w:rFonts w:ascii="Palatino Linotype" w:eastAsia="Palatino Linotype" w:hAnsi="Palatino Linotype" w:cs="Palatino Linotype"/>
          <w:sz w:val="22"/>
          <w:szCs w:val="22"/>
        </w:rPr>
        <w:t>Documento de la Dirección de Administración y Recursos Humanos mediante el cual refiere que la lista de personal y síntesis curricular con documentos comprobatorios no obra en sus archivos, ya que al término de la administración no dejaron documentación las unidades administrativas.</w:t>
      </w:r>
    </w:p>
    <w:p w14:paraId="0E393888" w14:textId="77777777" w:rsidR="00D17763" w:rsidRPr="00933920" w:rsidRDefault="006364C0">
      <w:pPr>
        <w:widowControl w:val="0"/>
        <w:numPr>
          <w:ilvl w:val="0"/>
          <w:numId w:val="7"/>
        </w:numPr>
        <w:pBdr>
          <w:top w:val="nil"/>
          <w:left w:val="nil"/>
          <w:bottom w:val="nil"/>
          <w:right w:val="nil"/>
          <w:between w:val="nil"/>
        </w:pBdr>
        <w:tabs>
          <w:tab w:val="left" w:pos="709"/>
        </w:tabs>
        <w:spacing w:after="240" w:line="360" w:lineRule="auto"/>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 xml:space="preserve">RESP SI 555-24 TESORERÍA.pdf: </w:t>
      </w:r>
      <w:r w:rsidRPr="00933920">
        <w:rPr>
          <w:rFonts w:ascii="Palatino Linotype" w:eastAsia="Palatino Linotype" w:hAnsi="Palatino Linotype" w:cs="Palatino Linotype"/>
          <w:sz w:val="22"/>
          <w:szCs w:val="22"/>
        </w:rPr>
        <w:t>Oficio signado por la Tesorería Municipal, mediante el cual ratifica su respuesta inicial entregando el estado analítico del ejercicio del presupuesto de egresos clasificación administrativa de los años 2022, 2023 y de enero a septiembre de 2024.</w:t>
      </w:r>
    </w:p>
    <w:p w14:paraId="443A76FF" w14:textId="77777777" w:rsidR="00D17763" w:rsidRPr="00933920" w:rsidRDefault="006364C0">
      <w:pP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 xml:space="preserve">7. Cierre de instrucción. </w:t>
      </w:r>
      <w:r w:rsidRPr="00933920">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933920">
        <w:rPr>
          <w:rFonts w:ascii="Palatino Linotype" w:eastAsia="Palatino Linotype" w:hAnsi="Palatino Linotype" w:cs="Palatino Linotype"/>
          <w:b/>
          <w:sz w:val="22"/>
          <w:szCs w:val="22"/>
        </w:rPr>
        <w:t xml:space="preserve">dieciocho de febrero de dos mil veinticinco, </w:t>
      </w:r>
      <w:r w:rsidRPr="00933920">
        <w:rPr>
          <w:rFonts w:ascii="Palatino Linotype" w:eastAsia="Palatino Linotype" w:hAnsi="Palatino Linotype" w:cs="Palatino Linotype"/>
          <w:sz w:val="22"/>
          <w:szCs w:val="22"/>
        </w:rPr>
        <w:t>la Comisionada Ponente determinó el cierre de instrucción en términos de la fracción VI del artículo 185 de la Ley de Transparencia y Acceso a la Información Pública del Estado de México y Municipios.</w:t>
      </w:r>
    </w:p>
    <w:p w14:paraId="11F3FA51" w14:textId="77777777" w:rsidR="00D17763" w:rsidRPr="00933920" w:rsidRDefault="006364C0">
      <w:pP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7D6BB8F" w14:textId="77777777" w:rsidR="00D17763" w:rsidRPr="00933920" w:rsidRDefault="006364C0">
      <w:pPr>
        <w:widowControl w:val="0"/>
        <w:spacing w:line="360" w:lineRule="auto"/>
        <w:jc w:val="center"/>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II. C O N S I D E R A N D O S</w:t>
      </w:r>
    </w:p>
    <w:p w14:paraId="63E63763" w14:textId="77777777" w:rsidR="00D17763" w:rsidRPr="00933920" w:rsidRDefault="00D17763">
      <w:pPr>
        <w:widowControl w:val="0"/>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11E7B406"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lastRenderedPageBreak/>
        <w:t>Primero. Competencia.</w:t>
      </w:r>
      <w:r w:rsidRPr="0093392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0F2029B" w14:textId="77777777" w:rsidR="00D17763" w:rsidRPr="00933920" w:rsidRDefault="006364C0">
      <w:pPr>
        <w:spacing w:before="240" w:after="240" w:line="360" w:lineRule="auto"/>
        <w:jc w:val="both"/>
        <w:rPr>
          <w:rFonts w:ascii="Palatino Linotype" w:eastAsia="Palatino Linotype" w:hAnsi="Palatino Linotype" w:cs="Palatino Linotype"/>
          <w:sz w:val="22"/>
          <w:szCs w:val="22"/>
        </w:rPr>
      </w:pPr>
      <w:bookmarkStart w:id="3" w:name="_heading=h.tyjcwt" w:colFirst="0" w:colLast="0"/>
      <w:bookmarkEnd w:id="3"/>
      <w:r w:rsidRPr="00933920">
        <w:rPr>
          <w:rFonts w:ascii="Palatino Linotype" w:eastAsia="Palatino Linotype" w:hAnsi="Palatino Linotype" w:cs="Palatino Linotype"/>
          <w:b/>
          <w:sz w:val="22"/>
          <w:szCs w:val="22"/>
        </w:rPr>
        <w:t xml:space="preserve">Segundo. Oportunidad y Procedibilidad del Recurso de Revisión. </w:t>
      </w:r>
      <w:r w:rsidRPr="00933920">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F5A9F2A" w14:textId="77777777" w:rsidR="00D17763" w:rsidRPr="00933920" w:rsidRDefault="006364C0">
      <w:pP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32990A91" w14:textId="77777777" w:rsidR="00D17763" w:rsidRPr="00933920" w:rsidRDefault="006364C0">
      <w:pPr>
        <w:ind w:left="851" w:right="900"/>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 xml:space="preserve">“Artículo 178. </w:t>
      </w:r>
      <w:r w:rsidRPr="00933920">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43728BB" w14:textId="77777777" w:rsidR="00D17763" w:rsidRPr="00933920" w:rsidRDefault="006364C0">
      <w:pPr>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933920">
        <w:rPr>
          <w:rFonts w:ascii="Palatino Linotype" w:eastAsia="Palatino Linotype" w:hAnsi="Palatino Linotype" w:cs="Palatino Linotype"/>
          <w:b/>
          <w:sz w:val="22"/>
          <w:szCs w:val="22"/>
        </w:rPr>
        <w:t>SUJETO OBLIGADO</w:t>
      </w:r>
      <w:r w:rsidRPr="00933920">
        <w:rPr>
          <w:rFonts w:ascii="Palatino Linotype" w:eastAsia="Palatino Linotype" w:hAnsi="Palatino Linotype" w:cs="Palatino Linotype"/>
          <w:sz w:val="22"/>
          <w:szCs w:val="22"/>
        </w:rPr>
        <w:t xml:space="preserve"> remitió la respuesta a la solicitud de información el </w:t>
      </w:r>
      <w:r w:rsidRPr="00933920">
        <w:rPr>
          <w:rFonts w:ascii="Palatino Linotype" w:eastAsia="Palatino Linotype" w:hAnsi="Palatino Linotype" w:cs="Palatino Linotype"/>
          <w:b/>
          <w:sz w:val="22"/>
          <w:szCs w:val="22"/>
        </w:rPr>
        <w:t xml:space="preserve">veinticuatro de enero de dos mil veinticinco, </w:t>
      </w:r>
      <w:r w:rsidRPr="00933920">
        <w:rPr>
          <w:rFonts w:ascii="Palatino Linotype" w:eastAsia="Palatino Linotype" w:hAnsi="Palatino Linotype" w:cs="Palatino Linotype"/>
          <w:sz w:val="22"/>
          <w:szCs w:val="22"/>
        </w:rPr>
        <w:lastRenderedPageBreak/>
        <w:t xml:space="preserve">mientras que el recurso de revisión interpuesto por la parte </w:t>
      </w:r>
      <w:r w:rsidRPr="00933920">
        <w:rPr>
          <w:rFonts w:ascii="Palatino Linotype" w:eastAsia="Palatino Linotype" w:hAnsi="Palatino Linotype" w:cs="Palatino Linotype"/>
          <w:b/>
          <w:sz w:val="22"/>
          <w:szCs w:val="22"/>
        </w:rPr>
        <w:t>RECURRENTE</w:t>
      </w:r>
      <w:r w:rsidRPr="00933920">
        <w:rPr>
          <w:rFonts w:ascii="Palatino Linotype" w:eastAsia="Palatino Linotype" w:hAnsi="Palatino Linotype" w:cs="Palatino Linotype"/>
          <w:sz w:val="22"/>
          <w:szCs w:val="22"/>
        </w:rPr>
        <w:t xml:space="preserve">, se tuvo por presentado el día </w:t>
      </w:r>
      <w:r w:rsidRPr="00933920">
        <w:rPr>
          <w:rFonts w:ascii="Palatino Linotype" w:eastAsia="Palatino Linotype" w:hAnsi="Palatino Linotype" w:cs="Palatino Linotype"/>
          <w:b/>
          <w:sz w:val="22"/>
          <w:szCs w:val="22"/>
        </w:rPr>
        <w:t>veintisiete de enero del año dos mil veinticinco</w:t>
      </w:r>
      <w:r w:rsidRPr="00933920">
        <w:rPr>
          <w:rFonts w:ascii="Palatino Linotype" w:eastAsia="Palatino Linotype" w:hAnsi="Palatino Linotype" w:cs="Palatino Linotype"/>
          <w:sz w:val="22"/>
          <w:szCs w:val="22"/>
        </w:rPr>
        <w:t>; esto es, al tercer día hábil siguiente en que tuvo conocimiento de la respuesta.</w:t>
      </w:r>
    </w:p>
    <w:p w14:paraId="43224F6C" w14:textId="77777777" w:rsidR="00D17763" w:rsidRPr="00933920" w:rsidRDefault="006364C0">
      <w:pP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164DB2A3" w14:textId="77777777" w:rsidR="00D17763" w:rsidRPr="00933920" w:rsidRDefault="006364C0">
      <w:pPr>
        <w:ind w:left="851" w:right="104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r w:rsidRPr="00933920">
        <w:rPr>
          <w:rFonts w:ascii="Palatino Linotype" w:eastAsia="Palatino Linotype" w:hAnsi="Palatino Linotype" w:cs="Palatino Linotype"/>
          <w:b/>
          <w:i/>
          <w:sz w:val="22"/>
          <w:szCs w:val="22"/>
        </w:rPr>
        <w:t xml:space="preserve">Artículo 179. </w:t>
      </w:r>
      <w:r w:rsidRPr="00933920">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DCAC6DF" w14:textId="77777777" w:rsidR="00D17763" w:rsidRPr="00933920" w:rsidRDefault="006364C0">
      <w:pPr>
        <w:ind w:left="851" w:right="104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I. La negativa de la información solicitada…” (Sic)</w:t>
      </w:r>
    </w:p>
    <w:p w14:paraId="273C2092" w14:textId="77777777" w:rsidR="00D17763" w:rsidRPr="00933920" w:rsidRDefault="006364C0">
      <w:pPr>
        <w:spacing w:before="280" w:after="28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Tercero. Materia de Revisión</w:t>
      </w:r>
      <w:r w:rsidRPr="00933920">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933920">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933920">
        <w:rPr>
          <w:rFonts w:ascii="Palatino Linotype" w:eastAsia="Palatino Linotype" w:hAnsi="Palatino Linotype" w:cs="Palatino Linotype"/>
          <w:sz w:val="22"/>
          <w:szCs w:val="22"/>
        </w:rPr>
        <w:t xml:space="preserve">del </w:t>
      </w:r>
      <w:r w:rsidRPr="00933920">
        <w:rPr>
          <w:rFonts w:ascii="Palatino Linotype" w:eastAsia="Palatino Linotype" w:hAnsi="Palatino Linotype" w:cs="Palatino Linotype"/>
          <w:b/>
          <w:sz w:val="22"/>
          <w:szCs w:val="22"/>
        </w:rPr>
        <w:t>RECURRENTE</w:t>
      </w:r>
      <w:r w:rsidRPr="00933920">
        <w:rPr>
          <w:rFonts w:ascii="Palatino Linotype" w:eastAsia="Palatino Linotype" w:hAnsi="Palatino Linotype" w:cs="Palatino Linotype"/>
          <w:sz w:val="22"/>
          <w:szCs w:val="22"/>
        </w:rPr>
        <w:t>, o en su defecto, en caso de ser procedente, ordenar la entrega de información.</w:t>
      </w:r>
    </w:p>
    <w:p w14:paraId="48BA466C" w14:textId="77777777" w:rsidR="00D17763" w:rsidRPr="00933920" w:rsidRDefault="006364C0">
      <w:pP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 xml:space="preserve">Cuarto. Estudio de fondo del asunto. </w:t>
      </w:r>
      <w:r w:rsidRPr="00933920">
        <w:rPr>
          <w:rFonts w:ascii="Palatino Linotype" w:eastAsia="Palatino Linotype" w:hAnsi="Palatino Linotype" w:cs="Palatino Linotype"/>
          <w:sz w:val="22"/>
          <w:szCs w:val="22"/>
        </w:rPr>
        <w:t xml:space="preserve">Es conveniente analizar si la respuesta del </w:t>
      </w:r>
      <w:r w:rsidRPr="00933920">
        <w:rPr>
          <w:rFonts w:ascii="Palatino Linotype" w:eastAsia="Palatino Linotype" w:hAnsi="Palatino Linotype" w:cs="Palatino Linotype"/>
          <w:b/>
          <w:sz w:val="22"/>
          <w:szCs w:val="22"/>
        </w:rPr>
        <w:t>SUJETO OBLIGADO</w:t>
      </w:r>
      <w:r w:rsidRPr="00933920">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D2C7EB8" w14:textId="77777777" w:rsidR="00D17763" w:rsidRPr="00933920" w:rsidRDefault="006364C0">
      <w:pPr>
        <w:spacing w:before="240"/>
        <w:ind w:left="709" w:right="760"/>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r w:rsidRPr="00933920">
        <w:rPr>
          <w:rFonts w:ascii="Palatino Linotype" w:eastAsia="Palatino Linotype" w:hAnsi="Palatino Linotype" w:cs="Palatino Linotype"/>
          <w:b/>
          <w:i/>
          <w:sz w:val="22"/>
          <w:szCs w:val="22"/>
        </w:rPr>
        <w:t>Artículo 4</w:t>
      </w:r>
      <w:r w:rsidRPr="0093392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F061863" w14:textId="77777777" w:rsidR="00D17763" w:rsidRPr="00933920" w:rsidRDefault="006364C0">
      <w:pPr>
        <w:ind w:left="709" w:right="760"/>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93392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7E242A4" w14:textId="77777777" w:rsidR="00D17763" w:rsidRPr="00933920" w:rsidRDefault="006364C0">
      <w:pPr>
        <w:ind w:left="709" w:right="760"/>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33920">
        <w:rPr>
          <w:rFonts w:ascii="Palatino Linotype" w:eastAsia="Palatino Linotype" w:hAnsi="Palatino Linotype" w:cs="Palatino Linotype"/>
          <w:i/>
          <w:sz w:val="22"/>
          <w:szCs w:val="22"/>
        </w:rPr>
        <w:t>.”</w:t>
      </w:r>
    </w:p>
    <w:p w14:paraId="4E235BA7" w14:textId="77777777" w:rsidR="00D17763" w:rsidRPr="00933920" w:rsidRDefault="00D17763">
      <w:pPr>
        <w:spacing w:line="360" w:lineRule="auto"/>
        <w:jc w:val="both"/>
        <w:rPr>
          <w:rFonts w:ascii="Palatino Linotype" w:eastAsia="Palatino Linotype" w:hAnsi="Palatino Linotype" w:cs="Palatino Linotype"/>
          <w:sz w:val="22"/>
          <w:szCs w:val="22"/>
        </w:rPr>
      </w:pPr>
    </w:p>
    <w:p w14:paraId="3D7FF9D9"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1A0CE0C" w14:textId="77777777" w:rsidR="00D17763" w:rsidRPr="00933920" w:rsidRDefault="00D17763">
      <w:pPr>
        <w:spacing w:line="360" w:lineRule="auto"/>
        <w:jc w:val="both"/>
        <w:rPr>
          <w:rFonts w:ascii="Palatino Linotype" w:eastAsia="Palatino Linotype" w:hAnsi="Palatino Linotype" w:cs="Palatino Linotype"/>
          <w:sz w:val="22"/>
          <w:szCs w:val="22"/>
        </w:rPr>
      </w:pPr>
    </w:p>
    <w:p w14:paraId="410DA8DB" w14:textId="77777777" w:rsidR="00D17763" w:rsidRPr="00933920" w:rsidRDefault="006364C0">
      <w:pPr>
        <w:ind w:left="567" w:right="758"/>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“Artículo 12.-</w:t>
      </w:r>
      <w:r w:rsidRPr="0093392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413B532" w14:textId="77777777" w:rsidR="00D17763" w:rsidRPr="00933920" w:rsidRDefault="00D17763">
      <w:pPr>
        <w:ind w:left="567" w:right="758"/>
        <w:jc w:val="both"/>
        <w:rPr>
          <w:rFonts w:ascii="Palatino Linotype" w:eastAsia="Palatino Linotype" w:hAnsi="Palatino Linotype" w:cs="Palatino Linotype"/>
          <w:i/>
          <w:sz w:val="22"/>
          <w:szCs w:val="22"/>
        </w:rPr>
      </w:pPr>
    </w:p>
    <w:p w14:paraId="431B1E9F" w14:textId="77777777" w:rsidR="00D17763" w:rsidRPr="00933920" w:rsidRDefault="006364C0">
      <w:pPr>
        <w:ind w:left="567" w:right="758"/>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33920">
        <w:rPr>
          <w:rFonts w:ascii="Palatino Linotype" w:eastAsia="Palatino Linotype" w:hAnsi="Palatino Linotype" w:cs="Palatino Linotype"/>
          <w:i/>
          <w:sz w:val="22"/>
          <w:szCs w:val="22"/>
        </w:rPr>
        <w:t xml:space="preserve">. </w:t>
      </w:r>
      <w:r w:rsidRPr="00933920">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272A357" w14:textId="77777777" w:rsidR="00D17763" w:rsidRPr="00933920" w:rsidRDefault="00D17763">
      <w:pPr>
        <w:ind w:left="567" w:right="758"/>
        <w:jc w:val="both"/>
        <w:rPr>
          <w:rFonts w:ascii="Palatino Linotype" w:eastAsia="Palatino Linotype" w:hAnsi="Palatino Linotype" w:cs="Palatino Linotype"/>
          <w:i/>
          <w:sz w:val="22"/>
          <w:szCs w:val="22"/>
        </w:rPr>
      </w:pPr>
    </w:p>
    <w:p w14:paraId="02F0F176" w14:textId="77777777" w:rsidR="00D17763" w:rsidRPr="00933920" w:rsidRDefault="006364C0">
      <w:pPr>
        <w:spacing w:line="360" w:lineRule="auto"/>
        <w:ind w:right="-93"/>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w:t>
      </w:r>
      <w:r w:rsidRPr="00933920">
        <w:rPr>
          <w:rFonts w:ascii="Palatino Linotype" w:eastAsia="Palatino Linotype" w:hAnsi="Palatino Linotype" w:cs="Palatino Linotype"/>
          <w:sz w:val="22"/>
          <w:szCs w:val="22"/>
        </w:rPr>
        <w:lastRenderedPageBreak/>
        <w:t>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06BFFD4" w14:textId="77777777" w:rsidR="00D17763" w:rsidRPr="00933920" w:rsidRDefault="00D17763">
      <w:pPr>
        <w:spacing w:line="360" w:lineRule="auto"/>
        <w:ind w:right="-93"/>
        <w:jc w:val="both"/>
        <w:rPr>
          <w:rFonts w:ascii="Palatino Linotype" w:eastAsia="Palatino Linotype" w:hAnsi="Palatino Linotype" w:cs="Palatino Linotype"/>
          <w:sz w:val="22"/>
          <w:szCs w:val="22"/>
        </w:rPr>
      </w:pPr>
    </w:p>
    <w:p w14:paraId="7A424F2F" w14:textId="77777777" w:rsidR="00D17763" w:rsidRPr="00933920" w:rsidRDefault="006364C0">
      <w:pPr>
        <w:spacing w:line="360" w:lineRule="auto"/>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933920">
        <w:rPr>
          <w:rFonts w:ascii="Palatino Linotype" w:eastAsia="Palatino Linotype" w:hAnsi="Palatino Linotype" w:cs="Palatino Linotype"/>
          <w:b/>
          <w:sz w:val="22"/>
          <w:szCs w:val="22"/>
        </w:rPr>
        <w:t xml:space="preserve"> </w:t>
      </w:r>
    </w:p>
    <w:p w14:paraId="5CE4BB47" w14:textId="77777777" w:rsidR="00D17763" w:rsidRPr="00933920" w:rsidRDefault="00D17763">
      <w:pPr>
        <w:ind w:left="851" w:right="850"/>
        <w:jc w:val="both"/>
        <w:rPr>
          <w:rFonts w:ascii="Palatino Linotype" w:eastAsia="Palatino Linotype" w:hAnsi="Palatino Linotype" w:cs="Palatino Linotype"/>
          <w:sz w:val="22"/>
          <w:szCs w:val="22"/>
        </w:rPr>
      </w:pPr>
    </w:p>
    <w:p w14:paraId="4DF180B6" w14:textId="77777777" w:rsidR="00D17763" w:rsidRPr="00933920" w:rsidRDefault="006364C0">
      <w:pPr>
        <w:ind w:left="851" w:right="90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r w:rsidRPr="00933920">
        <w:rPr>
          <w:rFonts w:ascii="Palatino Linotype" w:eastAsia="Palatino Linotype" w:hAnsi="Palatino Linotype" w:cs="Palatino Linotype"/>
          <w:b/>
          <w:i/>
          <w:sz w:val="22"/>
          <w:szCs w:val="22"/>
        </w:rPr>
        <w:t>No existe obligación de elaborar documentos ad hoc para atender las solicitudes de acceso a la información.</w:t>
      </w:r>
      <w:r w:rsidRPr="0093392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4E3B1DD" w14:textId="77777777" w:rsidR="00D17763" w:rsidRPr="00933920" w:rsidRDefault="006364C0">
      <w:pPr>
        <w:ind w:left="851" w:right="90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Resoluciones: </w:t>
      </w:r>
    </w:p>
    <w:p w14:paraId="6E2B4CC4" w14:textId="77777777" w:rsidR="00D17763" w:rsidRPr="00933920" w:rsidRDefault="006364C0">
      <w:pPr>
        <w:ind w:left="851" w:right="90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RRA 0050/16. Instituto Nacional para la Evaluación de la Educación. 13 julio de 2016. Por unanimidad. Comisionado Ponente: Francisco Javier Acuña Llamas.</w:t>
      </w:r>
    </w:p>
    <w:p w14:paraId="0E2CE11C" w14:textId="77777777" w:rsidR="00D17763" w:rsidRPr="00933920" w:rsidRDefault="006364C0">
      <w:pPr>
        <w:ind w:left="851" w:right="90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6AC4A3D8" w14:textId="77777777" w:rsidR="00D17763" w:rsidRPr="00933920" w:rsidRDefault="006364C0">
      <w:pPr>
        <w:ind w:left="851" w:right="90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RRA 1889/16. Secretaría de Hacienda y Crédito Público. 05 de octubre de 2016. Por unanimidad. Comisionada Ponente. Ximena Puente de la Mora.”</w:t>
      </w:r>
    </w:p>
    <w:p w14:paraId="14CE89E9" w14:textId="77777777" w:rsidR="00D17763" w:rsidRPr="00933920" w:rsidRDefault="00D17763">
      <w:pPr>
        <w:spacing w:line="360" w:lineRule="auto"/>
        <w:ind w:right="-93"/>
        <w:jc w:val="both"/>
        <w:rPr>
          <w:rFonts w:ascii="Palatino Linotype" w:eastAsia="Palatino Linotype" w:hAnsi="Palatino Linotype" w:cs="Palatino Linotype"/>
          <w:sz w:val="22"/>
          <w:szCs w:val="22"/>
        </w:rPr>
      </w:pPr>
    </w:p>
    <w:p w14:paraId="528D6D76"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6AD1C17" w14:textId="77777777" w:rsidR="00D17763" w:rsidRPr="00933920" w:rsidRDefault="00D17763">
      <w:pPr>
        <w:spacing w:line="360" w:lineRule="auto"/>
        <w:jc w:val="both"/>
        <w:rPr>
          <w:rFonts w:ascii="Palatino Linotype" w:eastAsia="Palatino Linotype" w:hAnsi="Palatino Linotype" w:cs="Palatino Linotype"/>
          <w:sz w:val="22"/>
          <w:szCs w:val="22"/>
        </w:rPr>
      </w:pPr>
    </w:p>
    <w:p w14:paraId="0A1B5821" w14:textId="77777777" w:rsidR="00D17763" w:rsidRPr="00933920" w:rsidRDefault="006364C0">
      <w:pPr>
        <w:spacing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6109F30" w14:textId="77777777" w:rsidR="00D17763" w:rsidRPr="00933920" w:rsidRDefault="00D17763">
      <w:pPr>
        <w:spacing w:line="360" w:lineRule="auto"/>
        <w:ind w:right="49"/>
        <w:jc w:val="both"/>
        <w:rPr>
          <w:rFonts w:ascii="Palatino Linotype" w:eastAsia="Palatino Linotype" w:hAnsi="Palatino Linotype" w:cs="Palatino Linotype"/>
          <w:sz w:val="22"/>
          <w:szCs w:val="22"/>
        </w:rPr>
      </w:pPr>
    </w:p>
    <w:p w14:paraId="56B7CCED"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43D8DCA" w14:textId="77777777" w:rsidR="00D17763" w:rsidRPr="00933920" w:rsidRDefault="00D17763">
      <w:pPr>
        <w:ind w:left="851" w:right="899"/>
        <w:jc w:val="both"/>
        <w:rPr>
          <w:rFonts w:ascii="Palatino Linotype" w:eastAsia="Palatino Linotype" w:hAnsi="Palatino Linotype" w:cs="Palatino Linotype"/>
          <w:i/>
          <w:sz w:val="22"/>
          <w:szCs w:val="22"/>
        </w:rPr>
      </w:pPr>
    </w:p>
    <w:p w14:paraId="28757B97" w14:textId="77777777" w:rsidR="00D17763" w:rsidRPr="00933920" w:rsidRDefault="006364C0">
      <w:pPr>
        <w:ind w:left="851" w:right="899"/>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r w:rsidRPr="00933920">
        <w:rPr>
          <w:rFonts w:ascii="Palatino Linotype" w:eastAsia="Palatino Linotype" w:hAnsi="Palatino Linotype" w:cs="Palatino Linotype"/>
          <w:b/>
          <w:i/>
          <w:sz w:val="22"/>
          <w:szCs w:val="22"/>
        </w:rPr>
        <w:t xml:space="preserve">Artículo 3. </w:t>
      </w:r>
      <w:r w:rsidRPr="00933920">
        <w:rPr>
          <w:rFonts w:ascii="Palatino Linotype" w:eastAsia="Palatino Linotype" w:hAnsi="Palatino Linotype" w:cs="Palatino Linotype"/>
          <w:i/>
          <w:sz w:val="22"/>
          <w:szCs w:val="22"/>
        </w:rPr>
        <w:t>Para los efectos de la presente Ley se entenderá por:</w:t>
      </w:r>
    </w:p>
    <w:p w14:paraId="3E131756" w14:textId="77777777" w:rsidR="00D17763" w:rsidRPr="00933920" w:rsidRDefault="006364C0">
      <w:pPr>
        <w:ind w:left="851" w:right="899"/>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p>
    <w:p w14:paraId="7D732304" w14:textId="77777777" w:rsidR="00D17763" w:rsidRPr="00933920" w:rsidRDefault="006364C0">
      <w:pPr>
        <w:ind w:left="851" w:right="899"/>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XI. Documento:</w:t>
      </w:r>
      <w:r w:rsidRPr="00933920">
        <w:rPr>
          <w:rFonts w:ascii="Palatino Linotype" w:eastAsia="Palatino Linotype" w:hAnsi="Palatino Linotype" w:cs="Palatino Linotype"/>
          <w:i/>
          <w:sz w:val="22"/>
          <w:szCs w:val="22"/>
        </w:rPr>
        <w:t xml:space="preserve"> Los expedientes, reportes, estudios, actas</w:t>
      </w:r>
      <w:r w:rsidRPr="00933920">
        <w:rPr>
          <w:rFonts w:ascii="Palatino Linotype" w:eastAsia="Palatino Linotype" w:hAnsi="Palatino Linotype" w:cs="Palatino Linotype"/>
          <w:b/>
          <w:i/>
          <w:sz w:val="22"/>
          <w:szCs w:val="22"/>
        </w:rPr>
        <w:t>,</w:t>
      </w:r>
      <w:r w:rsidRPr="0093392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5135C6B" w14:textId="77777777" w:rsidR="00D17763" w:rsidRPr="00933920" w:rsidRDefault="00D17763">
      <w:pPr>
        <w:ind w:left="851" w:right="899"/>
        <w:jc w:val="both"/>
        <w:rPr>
          <w:rFonts w:ascii="Palatino Linotype" w:eastAsia="Palatino Linotype" w:hAnsi="Palatino Linotype" w:cs="Palatino Linotype"/>
          <w:sz w:val="22"/>
          <w:szCs w:val="22"/>
        </w:rPr>
      </w:pPr>
    </w:p>
    <w:p w14:paraId="12CD5A67"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w:t>
      </w:r>
      <w:r w:rsidRPr="00933920">
        <w:rPr>
          <w:rFonts w:ascii="Palatino Linotype" w:eastAsia="Palatino Linotype" w:hAnsi="Palatino Linotype" w:cs="Palatino Linotype"/>
          <w:sz w:val="22"/>
          <w:szCs w:val="22"/>
        </w:rPr>
        <w:lastRenderedPageBreak/>
        <w:t>del Estado Libre y Soberano de México “Gaceta del Gobierno”, el diecinueve de octubre de dos mil once, cuyo rubro y texto refieren lo siguiente:</w:t>
      </w:r>
    </w:p>
    <w:p w14:paraId="6B11D99D" w14:textId="77777777" w:rsidR="00D17763" w:rsidRPr="00933920" w:rsidRDefault="00D17763">
      <w:pPr>
        <w:ind w:left="851" w:right="899"/>
        <w:jc w:val="both"/>
        <w:rPr>
          <w:rFonts w:ascii="Palatino Linotype" w:eastAsia="Palatino Linotype" w:hAnsi="Palatino Linotype" w:cs="Palatino Linotype"/>
          <w:sz w:val="22"/>
          <w:szCs w:val="22"/>
        </w:rPr>
      </w:pPr>
    </w:p>
    <w:p w14:paraId="26D63EB8" w14:textId="77777777" w:rsidR="00D17763" w:rsidRPr="00933920" w:rsidRDefault="006364C0">
      <w:pPr>
        <w:ind w:left="851" w:right="899"/>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sz w:val="22"/>
          <w:szCs w:val="22"/>
        </w:rPr>
        <w:t>“</w:t>
      </w:r>
      <w:r w:rsidRPr="00933920">
        <w:rPr>
          <w:rFonts w:ascii="Palatino Linotype" w:eastAsia="Palatino Linotype" w:hAnsi="Palatino Linotype" w:cs="Palatino Linotype"/>
          <w:b/>
          <w:i/>
          <w:sz w:val="22"/>
          <w:szCs w:val="22"/>
        </w:rPr>
        <w:t>CRITERIO 0002-11</w:t>
      </w:r>
    </w:p>
    <w:p w14:paraId="0430D4DE" w14:textId="77777777" w:rsidR="00D17763" w:rsidRPr="00933920" w:rsidRDefault="006364C0">
      <w:pPr>
        <w:ind w:left="851" w:right="899"/>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3392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62E8B7" w14:textId="77777777" w:rsidR="00D17763" w:rsidRPr="00933920" w:rsidRDefault="006364C0">
      <w:pPr>
        <w:ind w:left="851" w:right="899"/>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D86AACB" w14:textId="77777777" w:rsidR="00D17763" w:rsidRPr="00933920" w:rsidRDefault="006364C0">
      <w:pPr>
        <w:ind w:left="851" w:right="899"/>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2530051" w14:textId="77777777" w:rsidR="00D17763" w:rsidRPr="00933920" w:rsidRDefault="006364C0">
      <w:pPr>
        <w:ind w:left="851" w:right="899"/>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54003B6" w14:textId="77777777" w:rsidR="00D17763" w:rsidRPr="00933920" w:rsidRDefault="006364C0">
      <w:pPr>
        <w:ind w:left="851" w:right="899"/>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
    <w:p w14:paraId="03DB2042" w14:textId="77777777" w:rsidR="00D17763" w:rsidRPr="00933920" w:rsidRDefault="00D17763">
      <w:pPr>
        <w:spacing w:line="360" w:lineRule="auto"/>
        <w:jc w:val="both"/>
        <w:rPr>
          <w:rFonts w:ascii="Palatino Linotype" w:eastAsia="Palatino Linotype" w:hAnsi="Palatino Linotype" w:cs="Palatino Linotype"/>
          <w:sz w:val="22"/>
          <w:szCs w:val="22"/>
        </w:rPr>
      </w:pPr>
    </w:p>
    <w:p w14:paraId="08712DDD" w14:textId="77777777" w:rsidR="00D17763" w:rsidRPr="00933920" w:rsidRDefault="006364C0">
      <w:pPr>
        <w:spacing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el particular requirió al </w:t>
      </w:r>
      <w:r w:rsidRPr="00933920">
        <w:rPr>
          <w:rFonts w:ascii="Palatino Linotype" w:eastAsia="Palatino Linotype" w:hAnsi="Palatino Linotype" w:cs="Palatino Linotype"/>
          <w:b/>
          <w:sz w:val="22"/>
          <w:szCs w:val="22"/>
        </w:rPr>
        <w:t>Ayuntamiento de Ixtapaluca</w:t>
      </w:r>
      <w:r w:rsidRPr="00933920">
        <w:rPr>
          <w:rFonts w:ascii="Palatino Linotype" w:eastAsia="Palatino Linotype" w:hAnsi="Palatino Linotype" w:cs="Palatino Linotype"/>
          <w:sz w:val="22"/>
          <w:szCs w:val="22"/>
        </w:rPr>
        <w:t xml:space="preserve"> de la administración 2022-2024, </w:t>
      </w:r>
      <w:r w:rsidRPr="00933920">
        <w:rPr>
          <w:rFonts w:ascii="Palatino Linotype" w:eastAsia="Palatino Linotype" w:hAnsi="Palatino Linotype" w:cs="Palatino Linotype"/>
          <w:b/>
          <w:sz w:val="22"/>
          <w:szCs w:val="22"/>
        </w:rPr>
        <w:t>,</w:t>
      </w:r>
      <w:r w:rsidRPr="00933920">
        <w:rPr>
          <w:rFonts w:ascii="Palatino Linotype" w:eastAsia="Palatino Linotype" w:hAnsi="Palatino Linotype" w:cs="Palatino Linotype"/>
          <w:sz w:val="22"/>
          <w:szCs w:val="22"/>
        </w:rPr>
        <w:t xml:space="preserve"> lo siguiente:</w:t>
      </w:r>
    </w:p>
    <w:p w14:paraId="78F93F5D" w14:textId="77777777" w:rsidR="00D17763" w:rsidRPr="00933920" w:rsidRDefault="006364C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De la Tercera Regiduría, durante el tiempo que fue titular el señor Carlos Antonio Martínez Zurita Trejo:</w:t>
      </w:r>
    </w:p>
    <w:p w14:paraId="0D00C8F3" w14:textId="77777777" w:rsidR="00D17763" w:rsidRPr="00933920" w:rsidRDefault="006364C0">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Presupuesto otorgado;</w:t>
      </w:r>
    </w:p>
    <w:p w14:paraId="7229D6FC" w14:textId="77777777" w:rsidR="00D17763" w:rsidRPr="00933920" w:rsidRDefault="006364C0">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Gestiones realizadas;</w:t>
      </w:r>
    </w:p>
    <w:p w14:paraId="4A29710A" w14:textId="77777777" w:rsidR="00D17763" w:rsidRPr="00933920" w:rsidRDefault="006364C0">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Destino del presupuesto ejercido;</w:t>
      </w:r>
    </w:p>
    <w:p w14:paraId="32E27143" w14:textId="77777777" w:rsidR="00D17763" w:rsidRPr="00933920" w:rsidRDefault="006364C0">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Personal adscrito;</w:t>
      </w:r>
    </w:p>
    <w:p w14:paraId="341FEF02" w14:textId="77777777" w:rsidR="00D17763" w:rsidRPr="00933920" w:rsidRDefault="006364C0">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 xml:space="preserve">Síntesis </w:t>
      </w:r>
      <w:proofErr w:type="spellStart"/>
      <w:r w:rsidRPr="00933920">
        <w:rPr>
          <w:rFonts w:ascii="Palatino Linotype" w:eastAsia="Palatino Linotype" w:hAnsi="Palatino Linotype" w:cs="Palatino Linotype"/>
          <w:b/>
          <w:sz w:val="22"/>
          <w:szCs w:val="22"/>
        </w:rPr>
        <w:t>Currícular</w:t>
      </w:r>
      <w:proofErr w:type="spellEnd"/>
      <w:r w:rsidRPr="00933920">
        <w:rPr>
          <w:rFonts w:ascii="Palatino Linotype" w:eastAsia="Palatino Linotype" w:hAnsi="Palatino Linotype" w:cs="Palatino Linotype"/>
          <w:b/>
          <w:sz w:val="22"/>
          <w:szCs w:val="22"/>
        </w:rPr>
        <w:t xml:space="preserve"> con documentación comprobatoria; y,</w:t>
      </w:r>
    </w:p>
    <w:p w14:paraId="4820E722" w14:textId="77777777" w:rsidR="00D17763" w:rsidRPr="00933920" w:rsidRDefault="006364C0">
      <w:pPr>
        <w:numPr>
          <w:ilvl w:val="0"/>
          <w:numId w:val="4"/>
        </w:numPr>
        <w:pBdr>
          <w:top w:val="nil"/>
          <w:left w:val="nil"/>
          <w:bottom w:val="nil"/>
          <w:right w:val="nil"/>
          <w:between w:val="nil"/>
        </w:pBdr>
        <w:spacing w:after="240" w:line="360" w:lineRule="auto"/>
        <w:ind w:left="993"/>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lastRenderedPageBreak/>
        <w:t>Actividades asignadas.</w:t>
      </w:r>
    </w:p>
    <w:p w14:paraId="314FE12A" w14:textId="77777777" w:rsidR="00D17763" w:rsidRPr="00933920" w:rsidRDefault="006364C0">
      <w:pPr>
        <w:spacing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En respuesta, el Sujeto Obligado, a través del Tercer Regidor, refirió que la información requerida puede ser consultada en el Sistema IPOMEX, para lo cual proporciona una dirección electrónica, en tres ocasiones la misma liga electrónica.</w:t>
      </w:r>
    </w:p>
    <w:p w14:paraId="607DCB9E" w14:textId="77777777" w:rsidR="00D17763" w:rsidRPr="00933920" w:rsidRDefault="006364C0">
      <w:pPr>
        <w:spacing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Mientras que, la Tesorería Municipal entregó el Estado Analítico del Ejercicio del Presupuesto de Egresos Clasificación Administrativa, correspondiente al ejercicio fiscal 2022, 2023 y septiembre 2024, donde se refleja el presupuesto aprobado a la Dependencia.</w:t>
      </w:r>
    </w:p>
    <w:p w14:paraId="54F9518D" w14:textId="77777777" w:rsidR="00D17763" w:rsidRPr="00933920" w:rsidRDefault="006364C0">
      <w:pPr>
        <w:spacing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El Recurrente se inconformó refiriendo que la información que entregó el municipio no cumple con lo solicitado, asimismo, indicó que la tercera regiduría no entregó la información solicitada. </w:t>
      </w:r>
    </w:p>
    <w:p w14:paraId="7BBA704D" w14:textId="77777777" w:rsidR="00D17763" w:rsidRPr="00933920" w:rsidRDefault="006364C0">
      <w:pPr>
        <w:spacing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Mediante informe justificado ratificó la respuesta inicial, respecto de la Tercera Regiduría y la Tesorería Municipal, agregando un pronunciamiento de la Dirección de Administración, en el que refiere que, se realizó una búsqueda exhaustiva y razonable sin que se encontrara información del personal y la síntesis curricular con la documentación comprobatoria, en razón de que al término de la administración no dejaron archivos.</w:t>
      </w:r>
    </w:p>
    <w:p w14:paraId="3A733142" w14:textId="77777777" w:rsidR="00D17763" w:rsidRPr="00933920" w:rsidRDefault="006364C0">
      <w:pPr>
        <w:spacing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Se analizará la totalidad de la respuesta e informe justificado, a efecto de determinar si colma con el derecho accionado por el Recurrente. </w:t>
      </w:r>
    </w:p>
    <w:p w14:paraId="70359168" w14:textId="77777777" w:rsidR="00D17763" w:rsidRPr="00933920" w:rsidRDefault="006364C0">
      <w:pPr>
        <w:spacing w:after="240" w:line="360" w:lineRule="auto"/>
        <w:ind w:right="49"/>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De las direcciones electrónicas.</w:t>
      </w:r>
    </w:p>
    <w:p w14:paraId="52183A37" w14:textId="77777777" w:rsidR="00D17763" w:rsidRPr="00933920" w:rsidRDefault="006364C0">
      <w:pPr>
        <w:spacing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El Tercer Regidor proporcionó la siguiente dirección electrónica:</w:t>
      </w:r>
    </w:p>
    <w:p w14:paraId="067E3E81" w14:textId="77777777" w:rsidR="00D17763" w:rsidRPr="00933920" w:rsidRDefault="006364C0">
      <w:pPr>
        <w:spacing w:after="240" w:line="360" w:lineRule="auto"/>
        <w:ind w:right="49"/>
        <w:jc w:val="center"/>
        <w:rPr>
          <w:rFonts w:ascii="Palatino Linotype" w:eastAsia="Palatino Linotype" w:hAnsi="Palatino Linotype" w:cs="Palatino Linotype"/>
          <w:sz w:val="22"/>
          <w:szCs w:val="22"/>
        </w:rPr>
      </w:pPr>
      <w:r w:rsidRPr="00933920">
        <w:rPr>
          <w:rFonts w:ascii="Palatino Linotype" w:eastAsia="Palatino Linotype" w:hAnsi="Palatino Linotype" w:cs="Palatino Linotype"/>
          <w:noProof/>
          <w:sz w:val="22"/>
          <w:szCs w:val="22"/>
          <w:lang w:val="es-MX"/>
        </w:rPr>
        <w:drawing>
          <wp:inline distT="0" distB="0" distL="0" distR="0" wp14:anchorId="1CC0CF98" wp14:editId="2BE8B1D1">
            <wp:extent cx="4029637" cy="181000"/>
            <wp:effectExtent l="0" t="0" r="0" b="0"/>
            <wp:docPr id="7702015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029637" cy="181000"/>
                    </a:xfrm>
                    <a:prstGeom prst="rect">
                      <a:avLst/>
                    </a:prstGeom>
                    <a:ln/>
                  </pic:spPr>
                </pic:pic>
              </a:graphicData>
            </a:graphic>
          </wp:inline>
        </w:drawing>
      </w:r>
    </w:p>
    <w:p w14:paraId="34308B45" w14:textId="77777777" w:rsidR="00D17763" w:rsidRPr="00933920" w:rsidRDefault="006364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933920">
        <w:rPr>
          <w:rFonts w:ascii="Palatino Linotype" w:eastAsia="Palatino Linotype" w:hAnsi="Palatino Linotype" w:cs="Palatino Linotype"/>
          <w:i/>
          <w:sz w:val="22"/>
          <w:szCs w:val="22"/>
        </w:rPr>
        <w:t xml:space="preserve">la entrega de la información se deberá garantizar que ésta sea </w:t>
      </w:r>
      <w:r w:rsidRPr="00933920">
        <w:rPr>
          <w:rFonts w:ascii="Palatino Linotype" w:eastAsia="Palatino Linotype" w:hAnsi="Palatino Linotype" w:cs="Palatino Linotype"/>
          <w:b/>
          <w:i/>
          <w:sz w:val="22"/>
          <w:szCs w:val="22"/>
        </w:rPr>
        <w:t>accesible</w:t>
      </w:r>
      <w:r w:rsidRPr="00933920">
        <w:rPr>
          <w:rFonts w:ascii="Palatino Linotype" w:eastAsia="Palatino Linotype" w:hAnsi="Palatino Linotype" w:cs="Palatino Linotype"/>
          <w:i/>
          <w:sz w:val="22"/>
          <w:szCs w:val="22"/>
        </w:rPr>
        <w:t xml:space="preserve">, </w:t>
      </w:r>
      <w:r w:rsidRPr="00933920">
        <w:rPr>
          <w:rFonts w:ascii="Palatino Linotype" w:eastAsia="Palatino Linotype" w:hAnsi="Palatino Linotype" w:cs="Palatino Linotype"/>
          <w:b/>
          <w:i/>
          <w:sz w:val="22"/>
          <w:szCs w:val="22"/>
        </w:rPr>
        <w:t>actualizada, completa,</w:t>
      </w:r>
      <w:r w:rsidRPr="00933920">
        <w:rPr>
          <w:rFonts w:ascii="Palatino Linotype" w:eastAsia="Palatino Linotype" w:hAnsi="Palatino Linotype" w:cs="Palatino Linotype"/>
          <w:i/>
          <w:sz w:val="22"/>
          <w:szCs w:val="22"/>
        </w:rPr>
        <w:t xml:space="preserve"> congruente, </w:t>
      </w:r>
      <w:r w:rsidRPr="00933920">
        <w:rPr>
          <w:rFonts w:ascii="Palatino Linotype" w:eastAsia="Palatino Linotype" w:hAnsi="Palatino Linotype" w:cs="Palatino Linotype"/>
          <w:i/>
          <w:sz w:val="22"/>
          <w:szCs w:val="22"/>
        </w:rPr>
        <w:lastRenderedPageBreak/>
        <w:t xml:space="preserve">confiable, </w:t>
      </w:r>
      <w:r w:rsidRPr="00933920">
        <w:rPr>
          <w:rFonts w:ascii="Palatino Linotype" w:eastAsia="Palatino Linotype" w:hAnsi="Palatino Linotype" w:cs="Palatino Linotype"/>
          <w:b/>
          <w:i/>
          <w:sz w:val="22"/>
          <w:szCs w:val="22"/>
        </w:rPr>
        <w:t>verificable</w:t>
      </w:r>
      <w:r w:rsidRPr="00933920">
        <w:rPr>
          <w:rFonts w:ascii="Palatino Linotype" w:eastAsia="Palatino Linotype" w:hAnsi="Palatino Linotype" w:cs="Palatino Linotype"/>
          <w:i/>
          <w:sz w:val="22"/>
          <w:szCs w:val="22"/>
        </w:rPr>
        <w:t xml:space="preserve">, veraz, integral, oportuna y expedita. </w:t>
      </w:r>
      <w:r w:rsidRPr="00933920">
        <w:rPr>
          <w:rFonts w:ascii="Palatino Linotype" w:eastAsia="Palatino Linotype" w:hAnsi="Palatino Linotype" w:cs="Palatino Linotype"/>
          <w:sz w:val="22"/>
          <w:szCs w:val="22"/>
        </w:rPr>
        <w:t>Asimismo, el artículo 161 de la Ley en comento, refiere lo siguiente:</w:t>
      </w:r>
    </w:p>
    <w:p w14:paraId="455B9694" w14:textId="77777777" w:rsidR="00D17763" w:rsidRPr="00933920" w:rsidRDefault="00D17763">
      <w:pPr>
        <w:pBdr>
          <w:top w:val="nil"/>
          <w:left w:val="nil"/>
          <w:bottom w:val="nil"/>
          <w:right w:val="nil"/>
          <w:between w:val="nil"/>
        </w:pBdr>
        <w:ind w:left="708"/>
        <w:jc w:val="both"/>
        <w:rPr>
          <w:rFonts w:ascii="Palatino Linotype" w:eastAsia="Palatino Linotype" w:hAnsi="Palatino Linotype" w:cs="Palatino Linotype"/>
          <w:sz w:val="22"/>
          <w:szCs w:val="22"/>
        </w:rPr>
      </w:pPr>
    </w:p>
    <w:p w14:paraId="65AC94AA" w14:textId="77777777" w:rsidR="00D17763" w:rsidRPr="00933920" w:rsidRDefault="006364C0">
      <w:pPr>
        <w:spacing w:line="360" w:lineRule="auto"/>
        <w:ind w:left="567" w:right="567"/>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 xml:space="preserve">Artículo 161. Cuando la información requerida por el solicitante ya esté disponible al público </w:t>
      </w:r>
      <w:r w:rsidRPr="00933920">
        <w:rPr>
          <w:rFonts w:ascii="Palatino Linotype" w:eastAsia="Palatino Linotype" w:hAnsi="Palatino Linotype" w:cs="Palatino Linotype"/>
          <w:i/>
          <w:sz w:val="22"/>
          <w:szCs w:val="22"/>
        </w:rPr>
        <w:t xml:space="preserve">en medios impresos, tales como libros, compendios, trípticos, registros públicos, </w:t>
      </w:r>
      <w:r w:rsidRPr="00933920">
        <w:rPr>
          <w:rFonts w:ascii="Palatino Linotype" w:eastAsia="Palatino Linotype" w:hAnsi="Palatino Linotype" w:cs="Palatino Linotype"/>
          <w:b/>
          <w:i/>
          <w:sz w:val="22"/>
          <w:szCs w:val="22"/>
        </w:rPr>
        <w:t>en formatos electrónicos</w:t>
      </w:r>
      <w:r w:rsidRPr="00933920">
        <w:rPr>
          <w:rFonts w:ascii="Palatino Linotype" w:eastAsia="Palatino Linotype" w:hAnsi="Palatino Linotype" w:cs="Palatino Linotype"/>
          <w:i/>
          <w:sz w:val="22"/>
          <w:szCs w:val="22"/>
        </w:rPr>
        <w:t xml:space="preserve"> disponibles en Internet o en cualquier otro medio, </w:t>
      </w:r>
      <w:r w:rsidRPr="00933920">
        <w:rPr>
          <w:rFonts w:ascii="Palatino Linotype" w:eastAsia="Palatino Linotype" w:hAnsi="Palatino Linotype" w:cs="Palatino Linotyp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8D022FD" w14:textId="77777777" w:rsidR="00D17763" w:rsidRPr="00933920" w:rsidRDefault="006364C0">
      <w:pPr>
        <w:spacing w:line="360" w:lineRule="auto"/>
        <w:ind w:left="567" w:right="567"/>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(Énfasis añadido)</w:t>
      </w:r>
    </w:p>
    <w:p w14:paraId="53DB0698" w14:textId="77777777" w:rsidR="00D17763" w:rsidRPr="00933920" w:rsidRDefault="00D17763">
      <w:pPr>
        <w:spacing w:line="360" w:lineRule="auto"/>
        <w:ind w:left="567" w:right="567"/>
        <w:jc w:val="both"/>
        <w:rPr>
          <w:rFonts w:ascii="Palatino Linotype" w:eastAsia="Palatino Linotype" w:hAnsi="Palatino Linotype" w:cs="Palatino Linotype"/>
          <w:b/>
          <w:i/>
          <w:sz w:val="22"/>
          <w:szCs w:val="22"/>
        </w:rPr>
      </w:pPr>
    </w:p>
    <w:p w14:paraId="1498E863" w14:textId="77777777" w:rsidR="00D17763" w:rsidRPr="00933920" w:rsidRDefault="006364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933920">
        <w:rPr>
          <w:rFonts w:ascii="Palatino Linotype" w:eastAsia="Palatino Linotype" w:hAnsi="Palatino Linotype" w:cs="Palatino Linotype"/>
          <w:b/>
          <w:sz w:val="22"/>
          <w:szCs w:val="22"/>
        </w:rPr>
        <w:t>Esta dirección electrónica debe ser precisa, de tal modo que no implique realizar una búsqueda en toda la información que ahí se encuentre, debiendo cumplir</w:t>
      </w:r>
      <w:r w:rsidRPr="00933920">
        <w:rPr>
          <w:rFonts w:ascii="Palatino Linotype" w:eastAsia="Palatino Linotype" w:hAnsi="Palatino Linotype" w:cs="Palatino Linotype"/>
          <w:sz w:val="22"/>
          <w:szCs w:val="22"/>
        </w:rPr>
        <w:t xml:space="preserve"> una serie de requisitos, a saber:</w:t>
      </w:r>
    </w:p>
    <w:p w14:paraId="4917D869" w14:textId="77777777" w:rsidR="00D17763" w:rsidRPr="00933920" w:rsidRDefault="00D17763">
      <w:pPr>
        <w:pBdr>
          <w:top w:val="nil"/>
          <w:left w:val="nil"/>
          <w:bottom w:val="nil"/>
          <w:right w:val="nil"/>
          <w:between w:val="nil"/>
        </w:pBdr>
        <w:spacing w:line="360" w:lineRule="auto"/>
        <w:ind w:left="720" w:right="48"/>
        <w:jc w:val="both"/>
        <w:rPr>
          <w:rFonts w:ascii="Palatino Linotype" w:eastAsia="Palatino Linotype" w:hAnsi="Palatino Linotype" w:cs="Palatino Linotype"/>
          <w:b/>
          <w:sz w:val="22"/>
          <w:szCs w:val="22"/>
        </w:rPr>
      </w:pPr>
    </w:p>
    <w:p w14:paraId="32D601B2" w14:textId="77777777" w:rsidR="00D17763" w:rsidRPr="00933920" w:rsidRDefault="006364C0">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La dirección electrónica debe señalarse en un plazo no mayor a cinco días hábiles;</w:t>
      </w:r>
    </w:p>
    <w:p w14:paraId="570BE36D" w14:textId="77777777" w:rsidR="00D17763" w:rsidRPr="00933920" w:rsidRDefault="006364C0">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La dirección electrónica debe ser precisa, de tal modo que no implique realizar una búsqueda en toda la información que ahí se encuentre; y,</w:t>
      </w:r>
    </w:p>
    <w:p w14:paraId="7E20BDA9" w14:textId="77777777" w:rsidR="00D17763" w:rsidRPr="00933920" w:rsidRDefault="006364C0">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La dirección electrónica debe ir acompañada del procedimiento a seguir, en caso de que la información se encuentre en distintos puntos del sitio electrónico referido; y,</w:t>
      </w:r>
    </w:p>
    <w:p w14:paraId="49190045" w14:textId="77777777" w:rsidR="00D17763" w:rsidRPr="00933920" w:rsidRDefault="006364C0">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u w:val="single"/>
        </w:rPr>
        <w:lastRenderedPageBreak/>
        <w:t>La dirección electrónica se debe entregar en formato abierto,</w:t>
      </w:r>
      <w:r w:rsidRPr="00933920">
        <w:rPr>
          <w:rFonts w:ascii="Palatino Linotype" w:eastAsia="Palatino Linotype" w:hAnsi="Palatino Linotype" w:cs="Palatino Linotype"/>
          <w:b/>
          <w:sz w:val="22"/>
          <w:szCs w:val="22"/>
        </w:rPr>
        <w:t xml:space="preserve"> para que el Recurrente pueda copiar y pegar sin la necesidad de transcribir la liga electrónica.</w:t>
      </w:r>
    </w:p>
    <w:p w14:paraId="5F2C24EA" w14:textId="77777777" w:rsidR="00D17763" w:rsidRPr="00933920" w:rsidRDefault="00D1776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B911AA5"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48B80C86" w14:textId="77777777" w:rsidR="00D17763" w:rsidRPr="00933920" w:rsidRDefault="00D17763">
      <w:pPr>
        <w:spacing w:line="360" w:lineRule="auto"/>
        <w:jc w:val="both"/>
        <w:rPr>
          <w:rFonts w:ascii="Palatino Linotype" w:eastAsia="Palatino Linotype" w:hAnsi="Palatino Linotype" w:cs="Palatino Linotype"/>
          <w:sz w:val="22"/>
          <w:szCs w:val="22"/>
        </w:rPr>
      </w:pPr>
    </w:p>
    <w:p w14:paraId="57C54FB0"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478EF911" w14:textId="77777777" w:rsidR="00D17763" w:rsidRPr="00933920" w:rsidRDefault="00D17763">
      <w:pPr>
        <w:spacing w:line="360" w:lineRule="auto"/>
        <w:jc w:val="both"/>
        <w:rPr>
          <w:rFonts w:ascii="Palatino Linotype" w:eastAsia="Palatino Linotype" w:hAnsi="Palatino Linotype" w:cs="Palatino Linotype"/>
          <w:sz w:val="22"/>
          <w:szCs w:val="22"/>
        </w:rPr>
      </w:pPr>
    </w:p>
    <w:p w14:paraId="52F5CAC1"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3A703630" w14:textId="77777777" w:rsidR="00D17763" w:rsidRPr="00933920" w:rsidRDefault="00D17763">
      <w:pPr>
        <w:spacing w:line="360" w:lineRule="auto"/>
        <w:jc w:val="both"/>
        <w:rPr>
          <w:rFonts w:ascii="Palatino Linotype" w:eastAsia="Palatino Linotype" w:hAnsi="Palatino Linotype" w:cs="Palatino Linotype"/>
          <w:sz w:val="22"/>
          <w:szCs w:val="22"/>
        </w:rPr>
      </w:pPr>
    </w:p>
    <w:p w14:paraId="7DDBB4BD" w14:textId="77777777" w:rsidR="00D17763" w:rsidRPr="00933920" w:rsidRDefault="006364C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 xml:space="preserve">Dato abierto: </w:t>
      </w:r>
      <w:r w:rsidRPr="00933920">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0B1A6AD" w14:textId="77777777" w:rsidR="00D17763" w:rsidRPr="00933920" w:rsidRDefault="00D17763">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6A5429F7" w14:textId="77777777" w:rsidR="00D17763" w:rsidRPr="00933920" w:rsidRDefault="006364C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lastRenderedPageBreak/>
        <w:t xml:space="preserve">Formato accesible: </w:t>
      </w:r>
      <w:r w:rsidRPr="00933920">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9DAD0F5" w14:textId="77777777" w:rsidR="00D17763" w:rsidRPr="00933920" w:rsidRDefault="00D17763">
      <w:pPr>
        <w:spacing w:line="360" w:lineRule="auto"/>
        <w:jc w:val="both"/>
        <w:rPr>
          <w:rFonts w:ascii="Palatino Linotype" w:eastAsia="Palatino Linotype" w:hAnsi="Palatino Linotype" w:cs="Palatino Linotype"/>
          <w:sz w:val="22"/>
          <w:szCs w:val="22"/>
        </w:rPr>
      </w:pPr>
    </w:p>
    <w:p w14:paraId="1A8F13E2"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7DFA8683" w14:textId="77777777" w:rsidR="00D17763" w:rsidRPr="00933920" w:rsidRDefault="00D17763">
      <w:pPr>
        <w:pBdr>
          <w:top w:val="nil"/>
          <w:left w:val="nil"/>
          <w:bottom w:val="nil"/>
          <w:right w:val="nil"/>
          <w:between w:val="nil"/>
        </w:pBdr>
        <w:ind w:left="720"/>
        <w:rPr>
          <w:rFonts w:ascii="Palatino Linotype" w:eastAsia="Palatino Linotype" w:hAnsi="Palatino Linotype" w:cs="Palatino Linotype"/>
          <w:b/>
          <w:sz w:val="22"/>
          <w:szCs w:val="22"/>
        </w:rPr>
      </w:pPr>
    </w:p>
    <w:p w14:paraId="0F073F63" w14:textId="77777777" w:rsidR="00D17763" w:rsidRPr="00933920" w:rsidRDefault="006364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En el presente asunto, El Tercer Regidor entregó las direcciones electrónicas en formato cerrado, lo que propicia que el Recurrente deba transcribir cada uno de los caracteres, lo que facilita a errores y con ello la imposibilidad o dificultad para acceder a la información. </w:t>
      </w:r>
    </w:p>
    <w:p w14:paraId="24176CBE" w14:textId="77777777" w:rsidR="00D17763" w:rsidRPr="00933920" w:rsidRDefault="00D1776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1B37C35" w14:textId="77777777" w:rsidR="00D17763" w:rsidRPr="00933920" w:rsidRDefault="006364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Tal y como se aprecia, la dirección electrónica incumple lo que estipula el artículo 161 antes citado, en razón de lo siguiente:</w:t>
      </w:r>
    </w:p>
    <w:p w14:paraId="4DB0C629" w14:textId="77777777" w:rsidR="00D17763" w:rsidRPr="00933920" w:rsidRDefault="00D1776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1AEE29F" w14:textId="77777777" w:rsidR="00D17763" w:rsidRPr="00933920" w:rsidRDefault="006364C0">
      <w:pPr>
        <w:numPr>
          <w:ilvl w:val="0"/>
          <w:numId w:val="11"/>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La dirección electrónica se encuentra en formato cerrado, por lo que no resulta accesible para el Recurrente.</w:t>
      </w:r>
    </w:p>
    <w:p w14:paraId="7D38AB6D" w14:textId="77777777" w:rsidR="00D17763" w:rsidRPr="00933920" w:rsidRDefault="00D17763">
      <w:pPr>
        <w:pBdr>
          <w:top w:val="nil"/>
          <w:left w:val="nil"/>
          <w:bottom w:val="nil"/>
          <w:right w:val="nil"/>
          <w:between w:val="nil"/>
        </w:pBdr>
        <w:spacing w:line="360" w:lineRule="auto"/>
        <w:ind w:left="720" w:right="-150"/>
        <w:jc w:val="both"/>
        <w:rPr>
          <w:rFonts w:ascii="Palatino Linotype" w:eastAsia="Palatino Linotype" w:hAnsi="Palatino Linotype" w:cs="Palatino Linotype"/>
          <w:sz w:val="22"/>
          <w:szCs w:val="22"/>
        </w:rPr>
      </w:pPr>
    </w:p>
    <w:p w14:paraId="0215613F" w14:textId="77777777" w:rsidR="00D17763" w:rsidRPr="00933920" w:rsidRDefault="006364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En conclusión, se determina que la información proporcionada por el Sujeto Obligado no colma el derecho accionado por el Recurrente, ya que la dirección electrónica se proporcionó en formato cerrado, lo que impide que se conozca el contenido de la misma.</w:t>
      </w:r>
    </w:p>
    <w:p w14:paraId="0940700D" w14:textId="77777777" w:rsidR="00D17763" w:rsidRPr="00933920" w:rsidRDefault="00D1776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817651D" w14:textId="77777777" w:rsidR="00D17763" w:rsidRPr="00933920" w:rsidRDefault="006364C0">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Presupuesto asignado a la Tercera Regiduría.</w:t>
      </w:r>
    </w:p>
    <w:p w14:paraId="048ED176" w14:textId="77777777" w:rsidR="00D17763" w:rsidRPr="00933920" w:rsidRDefault="00D1776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6064E78" w14:textId="77777777" w:rsidR="00D17763" w:rsidRPr="00933920" w:rsidRDefault="006364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lastRenderedPageBreak/>
        <w:t xml:space="preserve">Por otra parte, el Tesorero Municipal entregó el Estado Analítico del Ejercicio del Presupuesto de Egresos </w:t>
      </w:r>
      <w:proofErr w:type="spellStart"/>
      <w:r w:rsidRPr="00933920">
        <w:rPr>
          <w:rFonts w:ascii="Palatino Linotype" w:eastAsia="Palatino Linotype" w:hAnsi="Palatino Linotype" w:cs="Palatino Linotype"/>
          <w:sz w:val="22"/>
          <w:szCs w:val="22"/>
        </w:rPr>
        <w:t>Clasifación</w:t>
      </w:r>
      <w:proofErr w:type="spellEnd"/>
      <w:r w:rsidRPr="00933920">
        <w:rPr>
          <w:rFonts w:ascii="Palatino Linotype" w:eastAsia="Palatino Linotype" w:hAnsi="Palatino Linotype" w:cs="Palatino Linotype"/>
          <w:sz w:val="22"/>
          <w:szCs w:val="22"/>
        </w:rPr>
        <w:t xml:space="preserve"> Administrativa, correspondiente al ejercicio fiscal 2022, 2023 y septiembre 2024, donde se refleja el presupuesto aprobado a la Dependencia, como se muestra a continuación: </w:t>
      </w:r>
    </w:p>
    <w:p w14:paraId="6AFD4A24" w14:textId="77777777" w:rsidR="00D17763" w:rsidRPr="00933920" w:rsidRDefault="006364C0">
      <w:pPr>
        <w:spacing w:after="240" w:line="360" w:lineRule="auto"/>
        <w:ind w:right="49"/>
        <w:jc w:val="both"/>
        <w:rPr>
          <w:rFonts w:ascii="Palatino Linotype" w:eastAsia="Palatino Linotype" w:hAnsi="Palatino Linotype" w:cs="Palatino Linotype"/>
          <w:sz w:val="22"/>
          <w:szCs w:val="22"/>
        </w:rPr>
      </w:pPr>
      <w:r w:rsidRPr="00933920">
        <w:rPr>
          <w:sz w:val="22"/>
          <w:szCs w:val="22"/>
        </w:rPr>
        <w:t xml:space="preserve"> </w:t>
      </w:r>
      <w:r w:rsidRPr="00933920">
        <w:rPr>
          <w:rFonts w:ascii="Palatino Linotype" w:eastAsia="Palatino Linotype" w:hAnsi="Palatino Linotype" w:cs="Palatino Linotype"/>
          <w:noProof/>
          <w:sz w:val="22"/>
          <w:szCs w:val="22"/>
          <w:lang w:val="es-MX"/>
        </w:rPr>
        <w:drawing>
          <wp:inline distT="0" distB="0" distL="0" distR="0" wp14:anchorId="18FA703A" wp14:editId="5AB0179E">
            <wp:extent cx="5612130" cy="1701165"/>
            <wp:effectExtent l="0" t="0" r="0" b="0"/>
            <wp:docPr id="7702015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12130" cy="1701165"/>
                    </a:xfrm>
                    <a:prstGeom prst="rect">
                      <a:avLst/>
                    </a:prstGeom>
                    <a:ln/>
                  </pic:spPr>
                </pic:pic>
              </a:graphicData>
            </a:graphic>
          </wp:inline>
        </w:drawing>
      </w:r>
    </w:p>
    <w:p w14:paraId="1212420A" w14:textId="77777777" w:rsidR="00D17763" w:rsidRPr="00933920" w:rsidRDefault="006364C0">
      <w:pPr>
        <w:spacing w:after="240" w:line="360" w:lineRule="auto"/>
        <w:ind w:right="49"/>
        <w:jc w:val="both"/>
        <w:rPr>
          <w:rFonts w:ascii="Palatino Linotype" w:eastAsia="Palatino Linotype" w:hAnsi="Palatino Linotype" w:cs="Palatino Linotype"/>
          <w:sz w:val="22"/>
          <w:szCs w:val="22"/>
        </w:rPr>
      </w:pPr>
      <w:r w:rsidRPr="00933920">
        <w:rPr>
          <w:sz w:val="22"/>
          <w:szCs w:val="22"/>
        </w:rPr>
        <w:t xml:space="preserve"> </w:t>
      </w:r>
      <w:r w:rsidRPr="00933920">
        <w:rPr>
          <w:rFonts w:ascii="Palatino Linotype" w:eastAsia="Palatino Linotype" w:hAnsi="Palatino Linotype" w:cs="Palatino Linotype"/>
          <w:noProof/>
          <w:sz w:val="22"/>
          <w:szCs w:val="22"/>
          <w:lang w:val="es-MX"/>
        </w:rPr>
        <w:drawing>
          <wp:inline distT="0" distB="0" distL="0" distR="0" wp14:anchorId="3086EB3B" wp14:editId="42FB0050">
            <wp:extent cx="5612130" cy="1395095"/>
            <wp:effectExtent l="0" t="0" r="0" b="0"/>
            <wp:docPr id="7702015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1395095"/>
                    </a:xfrm>
                    <a:prstGeom prst="rect">
                      <a:avLst/>
                    </a:prstGeom>
                    <a:ln/>
                  </pic:spPr>
                </pic:pic>
              </a:graphicData>
            </a:graphic>
          </wp:inline>
        </w:drawing>
      </w:r>
      <w:r w:rsidRPr="00933920">
        <w:rPr>
          <w:rFonts w:ascii="Palatino Linotype" w:eastAsia="Palatino Linotype" w:hAnsi="Palatino Linotype" w:cs="Palatino Linotype"/>
          <w:sz w:val="22"/>
          <w:szCs w:val="22"/>
        </w:rPr>
        <w:t xml:space="preserve"> </w:t>
      </w:r>
    </w:p>
    <w:p w14:paraId="617C2FF4" w14:textId="77777777" w:rsidR="00D17763" w:rsidRPr="00933920" w:rsidRDefault="006364C0">
      <w:pPr>
        <w:spacing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noProof/>
          <w:sz w:val="22"/>
          <w:szCs w:val="22"/>
          <w:lang w:val="es-MX"/>
        </w:rPr>
        <w:drawing>
          <wp:inline distT="0" distB="0" distL="0" distR="0" wp14:anchorId="3247DAA6" wp14:editId="099BE721">
            <wp:extent cx="5612130" cy="1704340"/>
            <wp:effectExtent l="0" t="0" r="0" b="0"/>
            <wp:docPr id="7702015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1704340"/>
                    </a:xfrm>
                    <a:prstGeom prst="rect">
                      <a:avLst/>
                    </a:prstGeom>
                    <a:ln/>
                  </pic:spPr>
                </pic:pic>
              </a:graphicData>
            </a:graphic>
          </wp:inline>
        </w:drawing>
      </w:r>
      <w:r w:rsidRPr="00933920">
        <w:rPr>
          <w:rFonts w:ascii="Palatino Linotype" w:eastAsia="Palatino Linotype" w:hAnsi="Palatino Linotype" w:cs="Palatino Linotype"/>
          <w:sz w:val="22"/>
          <w:szCs w:val="22"/>
        </w:rPr>
        <w:t xml:space="preserve"> </w:t>
      </w:r>
    </w:p>
    <w:p w14:paraId="744897ED" w14:textId="77777777" w:rsidR="00D17763" w:rsidRPr="00933920" w:rsidRDefault="00D1776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FF95BB5" w14:textId="77777777" w:rsidR="00D17763" w:rsidRPr="00933920" w:rsidRDefault="006364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lastRenderedPageBreak/>
        <w:t>resulta conveniente indicar que el Titular de la Unidad de Transparencia turnó la solicitud a la Tesorería Municipal, por tal razón, es necesario traer a contexto la Ley Orgánica Municipal del Estado de México y el Bando Municipal del Sujeto Obligado, normatividades que contienen lo siguiente:</w:t>
      </w:r>
    </w:p>
    <w:p w14:paraId="3C3FE4ED" w14:textId="77777777" w:rsidR="00D17763" w:rsidRPr="00933920" w:rsidRDefault="00D1776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A3E3E72" w14:textId="77777777" w:rsidR="00D17763" w:rsidRPr="00933920" w:rsidRDefault="006364C0">
      <w:pPr>
        <w:pBdr>
          <w:top w:val="nil"/>
          <w:left w:val="nil"/>
          <w:bottom w:val="nil"/>
          <w:right w:val="nil"/>
          <w:between w:val="nil"/>
        </w:pBdr>
        <w:spacing w:line="360" w:lineRule="auto"/>
        <w:ind w:left="567" w:right="616"/>
        <w:jc w:val="center"/>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CAPITULO SEGUNDO</w:t>
      </w:r>
    </w:p>
    <w:p w14:paraId="40EEA043" w14:textId="77777777" w:rsidR="00D17763" w:rsidRPr="00933920" w:rsidRDefault="006364C0">
      <w:pPr>
        <w:pBdr>
          <w:top w:val="nil"/>
          <w:left w:val="nil"/>
          <w:bottom w:val="nil"/>
          <w:right w:val="nil"/>
          <w:between w:val="nil"/>
        </w:pBdr>
        <w:spacing w:line="360" w:lineRule="auto"/>
        <w:ind w:left="567" w:right="616"/>
        <w:jc w:val="center"/>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De la Tesorería Municipal</w:t>
      </w:r>
    </w:p>
    <w:p w14:paraId="1D870621" w14:textId="77777777" w:rsidR="00D17763" w:rsidRPr="00933920" w:rsidRDefault="006364C0">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Artículo 93.- La tesorería municipal es el órgano encargado de la recaudación de los ingresos municipales y responsable de realizar las erogaciones que haga el ayuntamiento. </w:t>
      </w:r>
    </w:p>
    <w:p w14:paraId="6002E705" w14:textId="77777777" w:rsidR="00D17763" w:rsidRPr="00933920" w:rsidRDefault="00D17763">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p>
    <w:p w14:paraId="6A658C25" w14:textId="77777777" w:rsidR="00D17763" w:rsidRPr="00933920" w:rsidRDefault="006364C0">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Artículo 94.-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w:t>
      </w:r>
    </w:p>
    <w:p w14:paraId="54BE65C5" w14:textId="77777777" w:rsidR="00D17763" w:rsidRPr="00933920" w:rsidRDefault="00D17763">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p>
    <w:p w14:paraId="275319D9" w14:textId="77777777" w:rsidR="00D17763" w:rsidRPr="00933920" w:rsidRDefault="006364C0">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Artículo 95.- Son atribuciones del tesorero municipal:</w:t>
      </w:r>
    </w:p>
    <w:p w14:paraId="3A136729" w14:textId="77777777" w:rsidR="00D17763" w:rsidRPr="00933920" w:rsidRDefault="006364C0">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I. Administrar la hacienda pública municipal, de conformidad con las disposiciones legales aplicables;</w:t>
      </w:r>
    </w:p>
    <w:p w14:paraId="156954C2" w14:textId="77777777" w:rsidR="00D17763" w:rsidRPr="00933920" w:rsidRDefault="006364C0">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p>
    <w:p w14:paraId="04E5472F" w14:textId="77777777" w:rsidR="00D17763" w:rsidRPr="00933920" w:rsidRDefault="006364C0">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IV. Llevar los registros contables, financieros y administrativos de los ingresos, egresos, e inventarios;</w:t>
      </w:r>
    </w:p>
    <w:p w14:paraId="6AE88C18" w14:textId="77777777" w:rsidR="00D17763" w:rsidRPr="00933920" w:rsidRDefault="006364C0">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p>
    <w:p w14:paraId="7653737F" w14:textId="77777777" w:rsidR="00D17763" w:rsidRPr="00933920" w:rsidRDefault="00D17763">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p>
    <w:p w14:paraId="7A82B5DC" w14:textId="77777777" w:rsidR="00D17763" w:rsidRPr="00933920" w:rsidRDefault="00D17763">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p>
    <w:p w14:paraId="0387BA54" w14:textId="77777777" w:rsidR="00D17763" w:rsidRPr="00933920" w:rsidRDefault="00D17763">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p>
    <w:p w14:paraId="0903D04E" w14:textId="77777777" w:rsidR="00D17763" w:rsidRPr="00933920" w:rsidRDefault="006364C0">
      <w:pPr>
        <w:pBdr>
          <w:top w:val="nil"/>
          <w:left w:val="nil"/>
          <w:bottom w:val="nil"/>
          <w:right w:val="nil"/>
          <w:between w:val="nil"/>
        </w:pBdr>
        <w:spacing w:line="360" w:lineRule="auto"/>
        <w:ind w:left="567" w:right="616"/>
        <w:jc w:val="center"/>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De la Hacienda Pública Municipal</w:t>
      </w:r>
    </w:p>
    <w:p w14:paraId="725B051E" w14:textId="77777777" w:rsidR="00D17763" w:rsidRPr="00933920" w:rsidRDefault="006364C0">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lastRenderedPageBreak/>
        <w:t xml:space="preserve">Artículo 57.- La Tesorería Municipal se encargará de la recaudación de los ingresos municipales y es responsable de realizar las erogaciones que haga el Ayuntamiento. </w:t>
      </w:r>
    </w:p>
    <w:p w14:paraId="28E0465D" w14:textId="77777777" w:rsidR="00D17763" w:rsidRPr="00933920" w:rsidRDefault="00D17763">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p>
    <w:p w14:paraId="3EF81801" w14:textId="77777777" w:rsidR="00D17763" w:rsidRPr="00933920" w:rsidRDefault="006364C0">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Artículo 58.- La Tesorería Municipal aplicará las disposiciones financieras, de disciplina y de contabilidad del gasto público inherentes a su encargo, acorde a la legislación aplicable y vigente. </w:t>
      </w:r>
    </w:p>
    <w:p w14:paraId="4EBDBD5F" w14:textId="77777777" w:rsidR="00D17763" w:rsidRPr="00933920" w:rsidRDefault="00D17763">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p>
    <w:p w14:paraId="6016CBA3" w14:textId="77777777" w:rsidR="00D17763" w:rsidRPr="00933920" w:rsidRDefault="006364C0">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Artículo 59.- La Tesorería Municipal, administra la hacienda pública de acuerdo a las disposiciones normativas aplicables. </w:t>
      </w:r>
    </w:p>
    <w:p w14:paraId="658F1C28" w14:textId="77777777" w:rsidR="00D17763" w:rsidRPr="00933920" w:rsidRDefault="00D17763">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p>
    <w:p w14:paraId="3E38129B" w14:textId="77777777" w:rsidR="00D17763" w:rsidRPr="00933920" w:rsidRDefault="006364C0">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Artículo 60.- Las demás que el Ayuntamiento le encomiende y aquellas que se encuentren contenidas en las leyes y disposiciones normativas.</w:t>
      </w:r>
    </w:p>
    <w:p w14:paraId="082EA99E" w14:textId="77777777" w:rsidR="00D17763" w:rsidRPr="00933920" w:rsidRDefault="00D17763">
      <w:pPr>
        <w:pBdr>
          <w:top w:val="nil"/>
          <w:left w:val="nil"/>
          <w:bottom w:val="nil"/>
          <w:right w:val="nil"/>
          <w:between w:val="nil"/>
        </w:pBdr>
        <w:spacing w:line="360" w:lineRule="auto"/>
        <w:ind w:right="-150"/>
        <w:jc w:val="both"/>
        <w:rPr>
          <w:sz w:val="22"/>
          <w:szCs w:val="22"/>
        </w:rPr>
      </w:pPr>
    </w:p>
    <w:p w14:paraId="012DB5B2" w14:textId="77777777" w:rsidR="00D17763" w:rsidRPr="00933920" w:rsidRDefault="006364C0">
      <w:pP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Siguiendo con ello el procedimiento para la atención a las solicitudes de acceso a la información, establecido en los artículos 151, 160, 162, 163, 164, 165 y 166, de la Ley de Transparencia y Acceso a la Información Pública del Estado de México y Municipios: </w:t>
      </w:r>
    </w:p>
    <w:p w14:paraId="51A00FFB" w14:textId="77777777" w:rsidR="00D17763" w:rsidRPr="00933920" w:rsidRDefault="006364C0">
      <w:pPr>
        <w:spacing w:after="240" w:line="360" w:lineRule="auto"/>
        <w:ind w:left="284"/>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491F15F" w14:textId="77777777" w:rsidR="00D17763" w:rsidRPr="00933920" w:rsidRDefault="006364C0">
      <w:pPr>
        <w:spacing w:after="240" w:line="360" w:lineRule="auto"/>
        <w:ind w:left="284"/>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6DE578A4" w14:textId="77777777" w:rsidR="00D17763" w:rsidRPr="00933920" w:rsidRDefault="006364C0">
      <w:pPr>
        <w:spacing w:after="240" w:line="360" w:lineRule="auto"/>
        <w:ind w:left="284"/>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lastRenderedPageBreak/>
        <w:t xml:space="preserve">Excepcionalmente, el plazo referido podrá ampliarse por siete días hábiles más, cuando existan razones fundadas y motivadas, a través del Comité de Transparencia; </w:t>
      </w:r>
    </w:p>
    <w:p w14:paraId="17520F16" w14:textId="77777777" w:rsidR="00D17763" w:rsidRPr="00933920" w:rsidRDefault="006364C0">
      <w:pPr>
        <w:spacing w:after="240" w:line="360" w:lineRule="auto"/>
        <w:ind w:left="284"/>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2197ADC" w14:textId="77777777" w:rsidR="00D17763" w:rsidRPr="00933920" w:rsidRDefault="006364C0">
      <w:pPr>
        <w:spacing w:after="240" w:line="360" w:lineRule="auto"/>
        <w:ind w:left="284"/>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68B28C7" w14:textId="77777777" w:rsidR="00D17763" w:rsidRPr="00933920" w:rsidRDefault="006364C0">
      <w:pPr>
        <w:spacing w:after="240" w:line="360" w:lineRule="auto"/>
        <w:ind w:left="284"/>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03A858DA" w14:textId="77777777" w:rsidR="00D17763" w:rsidRPr="00933920" w:rsidRDefault="006364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En este orden de ideas, se reitera que la Unidad de Transparencia turnó la solicitud de información a la Tesorería Municipal, la cual cuenta con atribuciones para generar, administrar o poseer la información requerida; conforme a la Ley Orgánica Municipal y el Bando Municipal vigentes, con lo que se acreditó que se realizó una correcta búsqueda exhaustiva y razonable de la información, entonces al haber entregado el documento que contiene el presupuesto asignado a la Tercera Regiduría en los años 2022, 2023 y se enero a septiembre de dos mil veinticuatro. Es necesario hacer el Recurrente desea obtener la información durante el tiempo que fue Tercer Regidor, dicho lo anterior, de acuerdo a la </w:t>
      </w:r>
      <w:r w:rsidRPr="00933920">
        <w:rPr>
          <w:rFonts w:ascii="Palatino Linotype" w:eastAsia="Palatino Linotype" w:hAnsi="Palatino Linotype" w:cs="Palatino Linotype"/>
          <w:sz w:val="22"/>
          <w:szCs w:val="22"/>
        </w:rPr>
        <w:lastRenderedPageBreak/>
        <w:t>información que se encuentra publicada en la página oficial del Ayuntamiento, se tiene que tuvo el cargo referido en la administración 2022-2024, como se muestra en la imagen de referencia:</w:t>
      </w:r>
    </w:p>
    <w:p w14:paraId="6C654EA7" w14:textId="77777777" w:rsidR="00D17763" w:rsidRPr="00933920" w:rsidRDefault="006364C0">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933920">
        <w:rPr>
          <w:rFonts w:ascii="Palatino Linotype" w:eastAsia="Palatino Linotype" w:hAnsi="Palatino Linotype" w:cs="Palatino Linotype"/>
          <w:noProof/>
          <w:sz w:val="22"/>
          <w:szCs w:val="22"/>
          <w:lang w:val="es-MX"/>
        </w:rPr>
        <w:drawing>
          <wp:inline distT="0" distB="0" distL="0" distR="0" wp14:anchorId="3CFE81C7" wp14:editId="0AC59041">
            <wp:extent cx="2697078" cy="5153414"/>
            <wp:effectExtent l="0" t="0" r="0" b="0"/>
            <wp:docPr id="7702015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697078" cy="5153414"/>
                    </a:xfrm>
                    <a:prstGeom prst="rect">
                      <a:avLst/>
                    </a:prstGeom>
                    <a:ln/>
                  </pic:spPr>
                </pic:pic>
              </a:graphicData>
            </a:graphic>
          </wp:inline>
        </w:drawing>
      </w:r>
    </w:p>
    <w:p w14:paraId="058743FF" w14:textId="77777777" w:rsidR="00D17763" w:rsidRPr="00933920" w:rsidRDefault="00D17763">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p>
    <w:p w14:paraId="314853B2" w14:textId="77777777" w:rsidR="00D17763" w:rsidRPr="00933920" w:rsidRDefault="006364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Sin embargo, actualmente ostenta el cargo como Diputado Local en la LXII Legislatura, en el Poder Legislativo, cuya toma de protesta se dio el cuatro de septiembre y se iniciaron funciones al día siguiente, para el periodo 2024-2027; se inserta imagen de referencia:</w:t>
      </w:r>
    </w:p>
    <w:p w14:paraId="3EBFA722" w14:textId="77777777" w:rsidR="00D17763" w:rsidRPr="00933920" w:rsidRDefault="00D1776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97BAA87" w14:textId="77777777" w:rsidR="00D17763" w:rsidRPr="00933920" w:rsidRDefault="006364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noProof/>
          <w:sz w:val="22"/>
          <w:szCs w:val="22"/>
          <w:lang w:val="es-MX"/>
        </w:rPr>
        <w:lastRenderedPageBreak/>
        <w:drawing>
          <wp:inline distT="0" distB="0" distL="0" distR="0" wp14:anchorId="583BC2BC" wp14:editId="07AA9E30">
            <wp:extent cx="5612130" cy="2646045"/>
            <wp:effectExtent l="0" t="0" r="0" b="0"/>
            <wp:docPr id="7702015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2646045"/>
                    </a:xfrm>
                    <a:prstGeom prst="rect">
                      <a:avLst/>
                    </a:prstGeom>
                    <a:ln/>
                  </pic:spPr>
                </pic:pic>
              </a:graphicData>
            </a:graphic>
          </wp:inline>
        </w:drawing>
      </w:r>
    </w:p>
    <w:p w14:paraId="7849DB73" w14:textId="77777777" w:rsidR="00D17763" w:rsidRPr="00933920" w:rsidRDefault="006364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Entonces, al haber entregado la información correspondiente al presupuesto otorgado de 2022, 2023 y de enero a septiembre de 2024, se tiene que se cumplieron los parámetros en los que fungió como Tercer Regidor en el Ayuntamiento, por tal razón se tiene por colmado el requerimiento.</w:t>
      </w:r>
    </w:p>
    <w:p w14:paraId="4474C5E2" w14:textId="77777777" w:rsidR="00D17763" w:rsidRPr="00933920" w:rsidRDefault="00D1776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ED859B9" w14:textId="77777777" w:rsidR="00D17763" w:rsidRPr="00933920" w:rsidRDefault="006364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En consecuencia, al haberse pronunciado el Servidor Público Habilitado Competente, es que no se puede dudar de la veracidad. Sirve de apoyo a lo anterior por analogía </w:t>
      </w:r>
      <w:r w:rsidRPr="00933920">
        <w:rPr>
          <w:rFonts w:ascii="Palatino Linotype" w:eastAsia="Palatino Linotype" w:hAnsi="Palatino Linotype" w:cs="Palatino Linotype"/>
          <w:b/>
          <w:sz w:val="22"/>
          <w:szCs w:val="22"/>
        </w:rPr>
        <w:t xml:space="preserve">el criterio histórico 31-10 </w:t>
      </w:r>
      <w:r w:rsidRPr="00933920">
        <w:rPr>
          <w:rFonts w:ascii="Palatino Linotype" w:eastAsia="Palatino Linotype" w:hAnsi="Palatino Linotype" w:cs="Palatino Linotype"/>
          <w:sz w:val="22"/>
          <w:szCs w:val="22"/>
        </w:rPr>
        <w:t xml:space="preserve">emitido por el entonces Instituto Federal de Acceso a la Información y Protección de Datos, que a la letra dice: </w:t>
      </w:r>
    </w:p>
    <w:p w14:paraId="5CF6FA41" w14:textId="77777777" w:rsidR="00D17763" w:rsidRPr="00933920" w:rsidRDefault="006364C0">
      <w:pPr>
        <w:pBdr>
          <w:top w:val="nil"/>
          <w:left w:val="nil"/>
          <w:bottom w:val="nil"/>
          <w:right w:val="nil"/>
          <w:between w:val="nil"/>
        </w:pBdr>
        <w:tabs>
          <w:tab w:val="left" w:pos="1740"/>
        </w:tabs>
        <w:ind w:left="708"/>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ab/>
      </w:r>
    </w:p>
    <w:p w14:paraId="09EB669C" w14:textId="77777777" w:rsidR="00D17763" w:rsidRPr="00933920" w:rsidRDefault="006364C0">
      <w:pPr>
        <w:ind w:left="567" w:right="567"/>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933920">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933920">
        <w:rPr>
          <w:rFonts w:ascii="Palatino Linotype" w:eastAsia="Palatino Linotype" w:hAnsi="Palatino Linotype" w:cs="Palatino Linotype"/>
          <w:i/>
          <w:sz w:val="22"/>
          <w:szCs w:val="22"/>
        </w:rPr>
        <w:lastRenderedPageBreak/>
        <w:t>Gubernamental no se prevé una causal que permita al Instituto Federal de Acceso a la Información y Protección de Datos conocer, vía recurso revisión, al respecto.”</w:t>
      </w:r>
    </w:p>
    <w:p w14:paraId="26CC1DBB" w14:textId="77777777" w:rsidR="00D17763" w:rsidRPr="00933920" w:rsidRDefault="006364C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Este Órgano Garante carece de facultades para dudar de la veracidad sobre la información proporcionada por el Sujeto Obligado, en consecuencia, debe declararse atendido el presente punto que se analiza, respecto al presupuesto asignado a la Tercera Regiduría.</w:t>
      </w:r>
    </w:p>
    <w:p w14:paraId="7F9D451A" w14:textId="77777777" w:rsidR="00D17763" w:rsidRPr="00933920" w:rsidRDefault="006364C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 xml:space="preserve">De la Tercera Regiduría.  </w:t>
      </w:r>
    </w:p>
    <w:p w14:paraId="4F710329" w14:textId="77777777" w:rsidR="00D17763" w:rsidRPr="00933920" w:rsidRDefault="006364C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Derivado de que la solicitud requiere información meramente de la Tercera Regiduría, es necesario traer a contexto el artículo 55 de la Ley Orgánica Municipal del Estado de México y los artículos 59, 62 del Bando Municipal, se adjunta evidencia:</w:t>
      </w:r>
    </w:p>
    <w:p w14:paraId="3D931A88" w14:textId="77777777" w:rsidR="00D17763" w:rsidRPr="00933920" w:rsidRDefault="00D17763">
      <w:pPr>
        <w:pBdr>
          <w:top w:val="nil"/>
          <w:left w:val="nil"/>
          <w:bottom w:val="nil"/>
          <w:right w:val="nil"/>
          <w:between w:val="nil"/>
        </w:pBdr>
        <w:ind w:left="720"/>
        <w:rPr>
          <w:rFonts w:ascii="Palatino Linotype" w:eastAsia="Palatino Linotype" w:hAnsi="Palatino Linotype" w:cs="Palatino Linotype"/>
          <w:sz w:val="22"/>
          <w:szCs w:val="22"/>
        </w:rPr>
      </w:pPr>
    </w:p>
    <w:p w14:paraId="4F6D96B1" w14:textId="77777777" w:rsidR="00D17763" w:rsidRPr="00933920" w:rsidRDefault="006364C0">
      <w:pPr>
        <w:pBdr>
          <w:top w:val="nil"/>
          <w:left w:val="nil"/>
          <w:bottom w:val="nil"/>
          <w:right w:val="nil"/>
          <w:between w:val="nil"/>
        </w:pBdr>
        <w:spacing w:line="360" w:lineRule="auto"/>
        <w:ind w:left="567" w:right="822"/>
        <w:jc w:val="center"/>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CAPITULO TERCERO</w:t>
      </w:r>
    </w:p>
    <w:p w14:paraId="3A3AE27C" w14:textId="77777777" w:rsidR="00D17763" w:rsidRPr="00933920" w:rsidRDefault="006364C0">
      <w:pPr>
        <w:pBdr>
          <w:top w:val="nil"/>
          <w:left w:val="nil"/>
          <w:bottom w:val="nil"/>
          <w:right w:val="nil"/>
          <w:between w:val="nil"/>
        </w:pBdr>
        <w:spacing w:line="360" w:lineRule="auto"/>
        <w:ind w:left="567" w:right="822"/>
        <w:jc w:val="center"/>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De los Regidores</w:t>
      </w:r>
    </w:p>
    <w:p w14:paraId="000F9541" w14:textId="77777777" w:rsidR="00D17763" w:rsidRPr="00933920" w:rsidRDefault="006364C0">
      <w:pPr>
        <w:pBdr>
          <w:top w:val="nil"/>
          <w:left w:val="nil"/>
          <w:bottom w:val="nil"/>
          <w:right w:val="nil"/>
          <w:between w:val="nil"/>
        </w:pBdr>
        <w:spacing w:line="360" w:lineRule="auto"/>
        <w:ind w:left="567" w:right="822"/>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Artículo 55.- Son atribuciones de los regidores, las siguientes: </w:t>
      </w:r>
    </w:p>
    <w:p w14:paraId="70DD88CC" w14:textId="77777777" w:rsidR="00D17763" w:rsidRPr="00933920" w:rsidRDefault="006364C0">
      <w:pPr>
        <w:pBdr>
          <w:top w:val="nil"/>
          <w:left w:val="nil"/>
          <w:bottom w:val="nil"/>
          <w:right w:val="nil"/>
          <w:between w:val="nil"/>
        </w:pBdr>
        <w:spacing w:line="360" w:lineRule="auto"/>
        <w:ind w:left="567" w:right="822"/>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I. Asistir puntualmente a las sesiones que celebre el ayuntamiento; </w:t>
      </w:r>
    </w:p>
    <w:p w14:paraId="7DD5DE10" w14:textId="77777777" w:rsidR="00D17763" w:rsidRPr="00933920" w:rsidRDefault="006364C0">
      <w:pPr>
        <w:pBdr>
          <w:top w:val="nil"/>
          <w:left w:val="nil"/>
          <w:bottom w:val="nil"/>
          <w:right w:val="nil"/>
          <w:between w:val="nil"/>
        </w:pBdr>
        <w:spacing w:line="360" w:lineRule="auto"/>
        <w:ind w:left="567" w:right="822"/>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II. Suplir al presidente municipal en sus faltas temporales, en los términos establecidos por este ordenamiento;  </w:t>
      </w:r>
    </w:p>
    <w:p w14:paraId="10B4FF48" w14:textId="77777777" w:rsidR="00D17763" w:rsidRPr="00933920" w:rsidRDefault="006364C0">
      <w:pPr>
        <w:pBdr>
          <w:top w:val="nil"/>
          <w:left w:val="nil"/>
          <w:bottom w:val="nil"/>
          <w:right w:val="nil"/>
          <w:between w:val="nil"/>
        </w:pBdr>
        <w:spacing w:line="360" w:lineRule="auto"/>
        <w:ind w:left="567" w:right="822"/>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III. Vigilar y atender el sector de la administración municipal que les sea encomendado por el ayuntamiento; </w:t>
      </w:r>
    </w:p>
    <w:p w14:paraId="0AB21D30" w14:textId="77777777" w:rsidR="00D17763" w:rsidRPr="00933920" w:rsidRDefault="006364C0">
      <w:pPr>
        <w:pBdr>
          <w:top w:val="nil"/>
          <w:left w:val="nil"/>
          <w:bottom w:val="nil"/>
          <w:right w:val="nil"/>
          <w:between w:val="nil"/>
        </w:pBdr>
        <w:spacing w:line="360" w:lineRule="auto"/>
        <w:ind w:left="567" w:right="822"/>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IV. Participar responsablemente en las comisiones conferidas por el ayuntamiento y aquéllas que le designe en forma concreta el presidente municipal;</w:t>
      </w:r>
    </w:p>
    <w:p w14:paraId="6E167E78" w14:textId="77777777" w:rsidR="00D17763" w:rsidRPr="00933920" w:rsidRDefault="006364C0">
      <w:pPr>
        <w:pBdr>
          <w:top w:val="nil"/>
          <w:left w:val="nil"/>
          <w:bottom w:val="nil"/>
          <w:right w:val="nil"/>
          <w:between w:val="nil"/>
        </w:pBdr>
        <w:spacing w:line="360" w:lineRule="auto"/>
        <w:ind w:left="567" w:right="822"/>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V. Proponer al ayuntamiento, alternativas de solución para la debida atención de los diferentes sectores de la administración municipal; </w:t>
      </w:r>
    </w:p>
    <w:p w14:paraId="6FFEBF19" w14:textId="77777777" w:rsidR="00D17763" w:rsidRPr="00933920" w:rsidRDefault="006364C0">
      <w:pPr>
        <w:pBdr>
          <w:top w:val="nil"/>
          <w:left w:val="nil"/>
          <w:bottom w:val="nil"/>
          <w:right w:val="nil"/>
          <w:between w:val="nil"/>
        </w:pBdr>
        <w:spacing w:line="360" w:lineRule="auto"/>
        <w:ind w:left="567" w:right="822"/>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 xml:space="preserve">VI. Promover la participación ciudadana en apoyo a los programas que formule y apruebe el ayuntamiento; </w:t>
      </w:r>
    </w:p>
    <w:p w14:paraId="1AF60584" w14:textId="77777777" w:rsidR="00D17763" w:rsidRPr="00933920" w:rsidRDefault="006364C0">
      <w:pPr>
        <w:pBdr>
          <w:top w:val="nil"/>
          <w:left w:val="nil"/>
          <w:bottom w:val="nil"/>
          <w:right w:val="nil"/>
          <w:between w:val="nil"/>
        </w:pBdr>
        <w:spacing w:line="360" w:lineRule="auto"/>
        <w:ind w:left="567" w:right="822"/>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VII. Firmar las Actas de Cabildo, y </w:t>
      </w:r>
    </w:p>
    <w:p w14:paraId="6B3E4DED" w14:textId="77777777" w:rsidR="00D17763" w:rsidRPr="00933920" w:rsidRDefault="006364C0">
      <w:pPr>
        <w:pBdr>
          <w:top w:val="nil"/>
          <w:left w:val="nil"/>
          <w:bottom w:val="nil"/>
          <w:right w:val="nil"/>
          <w:between w:val="nil"/>
        </w:pBdr>
        <w:spacing w:line="360" w:lineRule="auto"/>
        <w:ind w:left="567" w:right="822"/>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VIII. Las demás que les otorgue esta Ley y otras disposiciones aplicables.</w:t>
      </w:r>
    </w:p>
    <w:p w14:paraId="5040670C" w14:textId="77777777" w:rsidR="00D17763" w:rsidRPr="00933920" w:rsidRDefault="00D17763">
      <w:pPr>
        <w:pBdr>
          <w:top w:val="nil"/>
          <w:left w:val="nil"/>
          <w:bottom w:val="nil"/>
          <w:right w:val="nil"/>
          <w:between w:val="nil"/>
        </w:pBdr>
        <w:ind w:left="720"/>
        <w:rPr>
          <w:rFonts w:ascii="Palatino Linotype" w:eastAsia="Palatino Linotype" w:hAnsi="Palatino Linotype" w:cs="Palatino Linotype"/>
          <w:sz w:val="22"/>
          <w:szCs w:val="22"/>
        </w:rPr>
      </w:pPr>
    </w:p>
    <w:p w14:paraId="51BE0B34" w14:textId="77777777" w:rsidR="00D17763" w:rsidRPr="00933920" w:rsidRDefault="006364C0">
      <w:pPr>
        <w:pBdr>
          <w:top w:val="nil"/>
          <w:left w:val="nil"/>
          <w:bottom w:val="nil"/>
          <w:right w:val="nil"/>
          <w:between w:val="nil"/>
        </w:pBdr>
        <w:tabs>
          <w:tab w:val="left" w:pos="284"/>
        </w:tabs>
        <w:spacing w:before="240" w:after="240" w:line="360" w:lineRule="auto"/>
        <w:ind w:left="567" w:right="616"/>
        <w:jc w:val="center"/>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SECCIÓN PRIMERA</w:t>
      </w:r>
    </w:p>
    <w:p w14:paraId="02C0AD8D" w14:textId="77777777" w:rsidR="00D17763" w:rsidRPr="00933920" w:rsidRDefault="006364C0">
      <w:pPr>
        <w:pBdr>
          <w:top w:val="nil"/>
          <w:left w:val="nil"/>
          <w:bottom w:val="nil"/>
          <w:right w:val="nil"/>
          <w:between w:val="nil"/>
        </w:pBdr>
        <w:tabs>
          <w:tab w:val="left" w:pos="284"/>
        </w:tabs>
        <w:spacing w:before="240" w:after="240" w:line="360" w:lineRule="auto"/>
        <w:ind w:left="567" w:right="616"/>
        <w:jc w:val="center"/>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DE LA INTEGRACIÓN DEL AYUNTAMIENTO</w:t>
      </w:r>
    </w:p>
    <w:p w14:paraId="34CE9DAA" w14:textId="77777777" w:rsidR="00D17763" w:rsidRPr="00933920" w:rsidRDefault="006364C0">
      <w:pPr>
        <w:pBdr>
          <w:top w:val="nil"/>
          <w:left w:val="nil"/>
          <w:bottom w:val="nil"/>
          <w:right w:val="nil"/>
          <w:between w:val="nil"/>
        </w:pBdr>
        <w:tabs>
          <w:tab w:val="left" w:pos="284"/>
        </w:tabs>
        <w:spacing w:before="240" w:after="240"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ARTÍCULO 59.- El Ayuntamiento está compuesto por un Presidente Municipal, un Síndico, </w:t>
      </w:r>
      <w:r w:rsidRPr="00933920">
        <w:rPr>
          <w:rFonts w:ascii="Palatino Linotype" w:eastAsia="Palatino Linotype" w:hAnsi="Palatino Linotype" w:cs="Palatino Linotype"/>
          <w:b/>
          <w:i/>
          <w:sz w:val="22"/>
          <w:szCs w:val="22"/>
        </w:rPr>
        <w:t>siete Regidores y Regidoras</w:t>
      </w:r>
      <w:r w:rsidRPr="00933920">
        <w:rPr>
          <w:rFonts w:ascii="Palatino Linotype" w:eastAsia="Palatino Linotype" w:hAnsi="Palatino Linotype" w:cs="Palatino Linotype"/>
          <w:i/>
          <w:sz w:val="22"/>
          <w:szCs w:val="22"/>
        </w:rPr>
        <w:t xml:space="preserve"> electos por el principio de mayoría relativa; un Síndico y cinco Regidores y Regidoras de representación proporcional, tal como lo establece la Ley Orgánica Municipal y el Código Electoral del Estado de México.</w:t>
      </w:r>
    </w:p>
    <w:p w14:paraId="75835960" w14:textId="77777777" w:rsidR="00D17763" w:rsidRPr="00933920" w:rsidRDefault="006364C0">
      <w:pPr>
        <w:pBdr>
          <w:top w:val="nil"/>
          <w:left w:val="nil"/>
          <w:bottom w:val="nil"/>
          <w:right w:val="nil"/>
          <w:between w:val="nil"/>
        </w:pBdr>
        <w:tabs>
          <w:tab w:val="left" w:pos="284"/>
        </w:tabs>
        <w:spacing w:before="240" w:after="240"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ARTÍCULO 62.- Las Regidoras y los Regidores son los encargados de vigilar la buena marcha de los ramos de la administración pública municipal y la prestación adecuada de los servicios públicos, a través de las Comisiones que sean creadas para tal efecto, sin menoscabo de las obligaciones y atribuciones que señala la Ley Orgánica y demás ordenamientos aplicables.</w:t>
      </w:r>
    </w:p>
    <w:p w14:paraId="4B08A7D1" w14:textId="77777777" w:rsidR="00D17763" w:rsidRPr="00933920" w:rsidRDefault="006364C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Es así que, en cada Ayuntamiento se cuenta con un Presidente Municipal, Síndico y Regidores, áreas que fungen como unidades administrativas, las cuales cuentan con personal administrativo y sus actividades realizadas de acuerdo a sus facultades, atribuciones y competencias. </w:t>
      </w:r>
    </w:p>
    <w:p w14:paraId="261AE527" w14:textId="77777777" w:rsidR="00D17763" w:rsidRPr="00933920" w:rsidRDefault="006364C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Además, al tener entre sus actividades el promover la participación ciudadana en los programas que promueve el Ayuntamiento, así como gestiones de apoyos o programas con dependencias privadas o públicas, buscando la promoción de la participación ciudadana, robustece lo anterior, que el Sujeto Obligado en su respuesta no negó la existencia de la información, si no por el contrario, asumió la existencia de la misma, señalando que se encuentra publicado en un sitio electrónico, para lo cual proporcionó una liga electrónica donde se localizan los documentos donde conste en qué se gastó el presupuesto; gestiones </w:t>
      </w:r>
      <w:r w:rsidRPr="00933920">
        <w:rPr>
          <w:rFonts w:ascii="Palatino Linotype" w:eastAsia="Palatino Linotype" w:hAnsi="Palatino Linotype" w:cs="Palatino Linotype"/>
          <w:sz w:val="22"/>
          <w:szCs w:val="22"/>
        </w:rPr>
        <w:lastRenderedPageBreak/>
        <w:t>y actividades realizadas; lista de personal y síntesis curricular con documentos comprobatorios.</w:t>
      </w:r>
    </w:p>
    <w:p w14:paraId="70D5D60B" w14:textId="77777777" w:rsidR="00D17763" w:rsidRPr="00933920" w:rsidRDefault="006364C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Del requerimiento relativo al destino del presupuesto ejercido, se advierte que los documentos que amparan las erogaciones realizadas por la Tercera Regiduría son los documentos idóneos para atender el requerimiento, tales como comprobantes de gastos, facturas, registros o pólizas contables.</w:t>
      </w:r>
    </w:p>
    <w:p w14:paraId="56814BC5" w14:textId="77777777" w:rsidR="00D17763" w:rsidRPr="00933920" w:rsidRDefault="006364C0">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Primeramente conocer a que nos referimos por “</w:t>
      </w:r>
      <w:r w:rsidRPr="00933920">
        <w:rPr>
          <w:rFonts w:ascii="Palatino Linotype" w:eastAsia="Palatino Linotype" w:hAnsi="Palatino Linotype" w:cs="Palatino Linotype"/>
          <w:i/>
          <w:sz w:val="22"/>
          <w:szCs w:val="22"/>
        </w:rPr>
        <w:t>factura</w:t>
      </w:r>
      <w:r w:rsidRPr="00933920">
        <w:rPr>
          <w:rFonts w:ascii="Palatino Linotype" w:eastAsia="Palatino Linotype" w:hAnsi="Palatino Linotype" w:cs="Palatino Linotype"/>
          <w:sz w:val="22"/>
          <w:szCs w:val="22"/>
        </w:rPr>
        <w:t>”; al respecto, nos referiremos a éste concepto aunque sea sucintamente de acuerdo a lo que dispone el Glosario de Términos Hacendarios que emite el Instituto Hacendario del Estado de México, mismo que expresa lo siguiente:</w:t>
      </w:r>
    </w:p>
    <w:p w14:paraId="3944B46F" w14:textId="77777777" w:rsidR="00D17763" w:rsidRPr="00933920" w:rsidRDefault="00D1776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1BCAE76F" w14:textId="77777777" w:rsidR="00D17763" w:rsidRPr="00933920" w:rsidRDefault="006364C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i/>
          <w:sz w:val="22"/>
          <w:szCs w:val="22"/>
        </w:rPr>
        <w:t>“</w:t>
      </w:r>
      <w:r w:rsidRPr="00933920">
        <w:rPr>
          <w:rFonts w:ascii="Palatino Linotype" w:eastAsia="Palatino Linotype" w:hAnsi="Palatino Linotype" w:cs="Palatino Linotype"/>
          <w:b/>
          <w:i/>
          <w:sz w:val="22"/>
          <w:szCs w:val="22"/>
        </w:rPr>
        <w:t>FACTURA:</w:t>
      </w:r>
    </w:p>
    <w:p w14:paraId="521D5062" w14:textId="77777777" w:rsidR="00D17763" w:rsidRPr="00933920" w:rsidRDefault="006364C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Es el documento fiscal que emite la persona física o moral para comprobar la venta o adquisición de un bien y/o servicio.”</w:t>
      </w:r>
    </w:p>
    <w:p w14:paraId="49A1AF3F" w14:textId="77777777" w:rsidR="00D17763" w:rsidRPr="00933920" w:rsidRDefault="00D1776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5ACCD016" w14:textId="77777777" w:rsidR="00D17763" w:rsidRPr="00933920" w:rsidRDefault="006364C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Una vez precisado lo anterior, se procede a analizar si las facturas solicitadas son de acceso público; por lo que es de señalarse que </w:t>
      </w:r>
      <w:r w:rsidRPr="00933920">
        <w:rPr>
          <w:rFonts w:ascii="Palatino Linotype" w:eastAsia="Palatino Linotype" w:hAnsi="Palatino Linotype" w:cs="Palatino Linotype"/>
          <w:b/>
          <w:sz w:val="22"/>
          <w:szCs w:val="22"/>
        </w:rPr>
        <w:t xml:space="preserve">las facturas </w:t>
      </w:r>
      <w:r w:rsidRPr="00933920">
        <w:rPr>
          <w:rFonts w:ascii="Palatino Linotype" w:eastAsia="Palatino Linotype" w:hAnsi="Palatino Linotype" w:cs="Palatino Linotype"/>
          <w:sz w:val="22"/>
          <w:szCs w:val="22"/>
        </w:rPr>
        <w:t xml:space="preserve">o comprobantes que amparan las erogaciones que se realizan con erario público tienen naturaleza análoga, pues </w:t>
      </w:r>
      <w:r w:rsidRPr="00933920">
        <w:rPr>
          <w:rFonts w:ascii="Palatino Linotype" w:eastAsia="Palatino Linotype" w:hAnsi="Palatino Linotype" w:cs="Palatino Linotype"/>
          <w:b/>
          <w:sz w:val="22"/>
          <w:szCs w:val="22"/>
        </w:rPr>
        <w:t>constituyen los medios idóneos de evidencia del gasto realizado con recursos públicos</w:t>
      </w:r>
      <w:r w:rsidRPr="00933920">
        <w:rPr>
          <w:rFonts w:ascii="Palatino Linotype" w:eastAsia="Palatino Linotype" w:hAnsi="Palatino Linotype" w:cs="Palatino Linotype"/>
          <w:sz w:val="22"/>
          <w:szCs w:val="22"/>
        </w:rPr>
        <w:t>.</w:t>
      </w:r>
    </w:p>
    <w:p w14:paraId="7E57D1C7" w14:textId="77777777" w:rsidR="00D17763" w:rsidRPr="00933920" w:rsidRDefault="00D1776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0A17ADD1" w14:textId="77777777" w:rsidR="00D17763" w:rsidRPr="00933920" w:rsidRDefault="006364C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4973DB67" w14:textId="77777777" w:rsidR="00D17763" w:rsidRPr="00933920" w:rsidRDefault="00D1776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7CB4EC42" w14:textId="77777777" w:rsidR="00D17763" w:rsidRPr="00933920" w:rsidRDefault="006364C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Como se ha dicho anteriormente, es atribución del Tesorero Municipal la de llevar los registros contables, financieros y administrativos de los ingresos, egresos e inventarios. En ese sentido, los artículos 342, 343, 344 y 345 del Código Financiero del Estado de México y Municipios disponen el sistema y las políticas que deben seguirse para llevar el registro contable y presupuestal de las operaciones financieras, en los siguientes términos:</w:t>
      </w:r>
    </w:p>
    <w:p w14:paraId="43D8AB1E" w14:textId="77777777" w:rsidR="00D17763" w:rsidRPr="00933920" w:rsidRDefault="00D1776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6A298393" w14:textId="77777777" w:rsidR="00D17763" w:rsidRPr="00933920" w:rsidRDefault="006364C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r w:rsidRPr="00933920">
        <w:rPr>
          <w:rFonts w:ascii="Palatino Linotype" w:eastAsia="Palatino Linotype" w:hAnsi="Palatino Linotype" w:cs="Palatino Linotype"/>
          <w:b/>
          <w:i/>
          <w:sz w:val="22"/>
          <w:szCs w:val="22"/>
        </w:rPr>
        <w:t>Artículo 342.-</w:t>
      </w:r>
      <w:r w:rsidRPr="00933920">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55A98AE6" w14:textId="77777777" w:rsidR="00D17763" w:rsidRPr="00933920" w:rsidRDefault="006364C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p>
    <w:p w14:paraId="644273FE" w14:textId="77777777" w:rsidR="00D17763" w:rsidRPr="00933920" w:rsidRDefault="00D1776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p>
    <w:p w14:paraId="6468BA54" w14:textId="77777777" w:rsidR="00D17763" w:rsidRPr="00933920" w:rsidRDefault="006364C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“Artículo 343.-</w:t>
      </w:r>
      <w:r w:rsidRPr="00933920">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20C1074D" w14:textId="77777777" w:rsidR="00D17763" w:rsidRPr="00933920" w:rsidRDefault="006364C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El sistema de contabilidad sobre base acumulativa total se sustentará en los postulados básicos y el marco conceptual de la contabilidad gubernamental.”</w:t>
      </w:r>
    </w:p>
    <w:p w14:paraId="2841E632" w14:textId="77777777" w:rsidR="00D17763" w:rsidRPr="00933920" w:rsidRDefault="00D1776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p>
    <w:p w14:paraId="0328E21C" w14:textId="77777777" w:rsidR="00D17763" w:rsidRPr="00933920" w:rsidRDefault="006364C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r w:rsidRPr="00933920">
        <w:rPr>
          <w:rFonts w:ascii="Palatino Linotype" w:eastAsia="Palatino Linotype" w:hAnsi="Palatino Linotype" w:cs="Palatino Linotype"/>
          <w:b/>
          <w:i/>
          <w:sz w:val="22"/>
          <w:szCs w:val="22"/>
        </w:rPr>
        <w:t>Artículo 344.-</w:t>
      </w:r>
      <w:r w:rsidRPr="00933920">
        <w:rPr>
          <w:rFonts w:ascii="Palatino Linotype" w:eastAsia="Palatino Linotype" w:hAnsi="Palatino Linotype" w:cs="Palatino Linotype"/>
          <w:i/>
          <w:sz w:val="22"/>
          <w:szCs w:val="22"/>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52770CC2" w14:textId="77777777" w:rsidR="00D17763" w:rsidRPr="00933920" w:rsidRDefault="006364C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Derogado. </w:t>
      </w:r>
    </w:p>
    <w:p w14:paraId="3C315E59" w14:textId="77777777" w:rsidR="00D17763" w:rsidRPr="00933920" w:rsidRDefault="006364C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4CFD4E14" w14:textId="77777777" w:rsidR="00D17763" w:rsidRPr="00933920" w:rsidRDefault="006364C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lastRenderedPageBreak/>
        <w:t>(…)”</w:t>
      </w:r>
    </w:p>
    <w:p w14:paraId="2CA935A0" w14:textId="77777777" w:rsidR="00D17763" w:rsidRPr="00933920" w:rsidRDefault="00D1776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p>
    <w:p w14:paraId="727B053A" w14:textId="77777777" w:rsidR="00D17763" w:rsidRPr="00933920" w:rsidRDefault="006364C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r w:rsidRPr="00933920">
        <w:rPr>
          <w:rFonts w:ascii="Palatino Linotype" w:eastAsia="Palatino Linotype" w:hAnsi="Palatino Linotype" w:cs="Palatino Linotype"/>
          <w:b/>
          <w:i/>
          <w:sz w:val="22"/>
          <w:szCs w:val="22"/>
        </w:rPr>
        <w:t>Artículo 345.-</w:t>
      </w:r>
      <w:r w:rsidRPr="00933920">
        <w:rPr>
          <w:rFonts w:ascii="Palatino Linotype" w:eastAsia="Palatino Linotype" w:hAnsi="Palatino Linotype" w:cs="Palatino Linotype"/>
          <w:i/>
          <w:sz w:val="22"/>
          <w:szCs w:val="22"/>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7484748F" w14:textId="77777777" w:rsidR="00D17763" w:rsidRPr="00933920" w:rsidRDefault="006364C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El plazo señalado en el párrafo anterior, empezará a contar a partir de la publicación en el Periódico Oficial, del decreto correspondiente. “</w:t>
      </w:r>
    </w:p>
    <w:p w14:paraId="187880C5" w14:textId="77777777" w:rsidR="00D17763" w:rsidRPr="00933920" w:rsidRDefault="00D1776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61F0D1EB" w14:textId="77777777" w:rsidR="00D17763" w:rsidRPr="00933920" w:rsidRDefault="006364C0">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EB201BB" w14:textId="77777777" w:rsidR="00D17763" w:rsidRPr="00933920" w:rsidRDefault="006364C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Al respecto, si bien es cierto que el Código Financiero del Estado de México y Municipios establece como obligación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3DF94936" w14:textId="77777777" w:rsidR="00D17763" w:rsidRPr="00933920" w:rsidRDefault="006364C0">
      <w:pPr>
        <w:pBdr>
          <w:top w:val="nil"/>
          <w:left w:val="nil"/>
          <w:bottom w:val="nil"/>
          <w:right w:val="nil"/>
          <w:between w:val="nil"/>
        </w:pBdr>
        <w:spacing w:before="120" w:after="120" w:line="360" w:lineRule="auto"/>
        <w:ind w:left="842" w:right="900" w:hanging="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i/>
          <w:sz w:val="22"/>
          <w:szCs w:val="22"/>
        </w:rPr>
        <w:t>“REGISTRO CONTABLE</w:t>
      </w:r>
    </w:p>
    <w:p w14:paraId="1F7A7436" w14:textId="77777777" w:rsidR="00D17763" w:rsidRPr="00933920" w:rsidRDefault="006364C0">
      <w:pPr>
        <w:pBdr>
          <w:top w:val="nil"/>
          <w:left w:val="nil"/>
          <w:bottom w:val="nil"/>
          <w:right w:val="nil"/>
          <w:between w:val="nil"/>
        </w:pBdr>
        <w:spacing w:before="120" w:after="120" w:line="360" w:lineRule="auto"/>
        <w:ind w:left="842" w:right="900" w:hanging="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37C8FC0E" w14:textId="77777777" w:rsidR="00D17763" w:rsidRPr="00933920" w:rsidRDefault="006364C0">
      <w:pPr>
        <w:pBdr>
          <w:top w:val="nil"/>
          <w:left w:val="nil"/>
          <w:bottom w:val="nil"/>
          <w:right w:val="nil"/>
          <w:between w:val="nil"/>
        </w:pBdr>
        <w:spacing w:before="120" w:after="120" w:line="360" w:lineRule="auto"/>
        <w:ind w:left="842" w:right="900" w:hanging="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i/>
          <w:sz w:val="22"/>
          <w:szCs w:val="22"/>
        </w:rPr>
        <w:t>“REGISTRO PRESUPUESTARIO</w:t>
      </w:r>
    </w:p>
    <w:p w14:paraId="347A8705" w14:textId="77777777" w:rsidR="00D17763" w:rsidRPr="00933920" w:rsidRDefault="006364C0">
      <w:pPr>
        <w:pBdr>
          <w:top w:val="nil"/>
          <w:left w:val="nil"/>
          <w:bottom w:val="nil"/>
          <w:right w:val="nil"/>
          <w:between w:val="nil"/>
        </w:pBdr>
        <w:spacing w:before="120" w:after="120" w:line="360" w:lineRule="auto"/>
        <w:ind w:left="842" w:right="900" w:hanging="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i/>
          <w:sz w:val="22"/>
          <w:szCs w:val="22"/>
        </w:rPr>
        <w:lastRenderedPageBreak/>
        <w:t>Asiento contable de las erogaciones realizadas por las dependencias y entidades con relación a la asignación, modificación y ejercicio de los recursos presupuestarios que se les hayan autorizado.”</w:t>
      </w:r>
    </w:p>
    <w:p w14:paraId="5B9A8DCD" w14:textId="77777777" w:rsidR="00D17763" w:rsidRPr="00933920" w:rsidRDefault="006364C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Como bien se desprende de las definiciones, los registros contables y presupuestarios son asientos o anotaciones contables que se realizan tanto de los ingresos como de los egresos, a decir se trata de un control financiero en el que se reconoce la obligación de llevar dicho registro.</w:t>
      </w:r>
    </w:p>
    <w:p w14:paraId="533EDA26" w14:textId="77777777" w:rsidR="00D17763" w:rsidRPr="00933920" w:rsidRDefault="006364C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Por otra parte, se establece que el sistema de contabilidad sobre base acumulativa total se sustentará en los principios de contabilidad gubernamental. </w:t>
      </w:r>
    </w:p>
    <w:p w14:paraId="2D43B421" w14:textId="77777777" w:rsidR="00D17763" w:rsidRPr="00933920" w:rsidRDefault="006364C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 de acuerdo a la Ley Orgánica Municipal, esta es atribución de la Tesorería Municipal o Equivalente.</w:t>
      </w:r>
    </w:p>
    <w:p w14:paraId="1962250A" w14:textId="77777777" w:rsidR="00D17763" w:rsidRPr="00933920" w:rsidRDefault="006364C0">
      <w:pPr>
        <w:pBdr>
          <w:top w:val="nil"/>
          <w:left w:val="nil"/>
          <w:bottom w:val="nil"/>
          <w:right w:val="nil"/>
          <w:between w:val="nil"/>
        </w:pBdr>
        <w:spacing w:before="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Correlativo a lo anterior, es preciso referir una definición de </w:t>
      </w:r>
      <w:r w:rsidRPr="00933920">
        <w:rPr>
          <w:rFonts w:ascii="Palatino Linotype" w:eastAsia="Palatino Linotype" w:hAnsi="Palatino Linotype" w:cs="Palatino Linotype"/>
          <w:i/>
          <w:sz w:val="22"/>
          <w:szCs w:val="22"/>
        </w:rPr>
        <w:t>póliza contable</w:t>
      </w:r>
      <w:r w:rsidRPr="00933920">
        <w:rPr>
          <w:rFonts w:ascii="Palatino Linotype" w:eastAsia="Palatino Linotype" w:hAnsi="Palatino Linotype" w:cs="Palatino Linotype"/>
          <w:sz w:val="22"/>
          <w:szCs w:val="22"/>
        </w:rPr>
        <w:t>, la cual, primeramente, no está definida en el Código Financiero del Estado de México y Municipios; no obstante, el ya mencionado Glosario la define como: </w:t>
      </w:r>
    </w:p>
    <w:p w14:paraId="6533BC4F" w14:textId="77777777" w:rsidR="00D17763" w:rsidRPr="00933920" w:rsidRDefault="00D17763">
      <w:pPr>
        <w:spacing w:line="360" w:lineRule="auto"/>
        <w:rPr>
          <w:rFonts w:ascii="Palatino Linotype" w:eastAsia="Palatino Linotype" w:hAnsi="Palatino Linotype" w:cs="Palatino Linotype"/>
          <w:sz w:val="22"/>
          <w:szCs w:val="22"/>
        </w:rPr>
      </w:pPr>
    </w:p>
    <w:p w14:paraId="0CCC0E13" w14:textId="77777777" w:rsidR="00D17763" w:rsidRPr="00933920" w:rsidRDefault="006364C0">
      <w:pPr>
        <w:pBdr>
          <w:top w:val="nil"/>
          <w:left w:val="nil"/>
          <w:bottom w:val="nil"/>
          <w:right w:val="nil"/>
          <w:between w:val="nil"/>
        </w:pBdr>
        <w:spacing w:after="120" w:line="360" w:lineRule="auto"/>
        <w:ind w:left="851" w:right="89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i/>
          <w:sz w:val="22"/>
          <w:szCs w:val="22"/>
        </w:rPr>
        <w:t>“</w:t>
      </w:r>
      <w:r w:rsidRPr="00933920">
        <w:rPr>
          <w:rFonts w:ascii="Palatino Linotype" w:eastAsia="Palatino Linotype" w:hAnsi="Palatino Linotype" w:cs="Palatino Linotype"/>
          <w:b/>
          <w:i/>
          <w:sz w:val="22"/>
          <w:szCs w:val="22"/>
        </w:rPr>
        <w:t>PÓLIZA CONTABLE</w:t>
      </w:r>
    </w:p>
    <w:p w14:paraId="0B44AD8C" w14:textId="77777777" w:rsidR="00D17763" w:rsidRPr="00933920" w:rsidRDefault="006364C0">
      <w:pPr>
        <w:pBdr>
          <w:top w:val="nil"/>
          <w:left w:val="nil"/>
          <w:bottom w:val="nil"/>
          <w:right w:val="nil"/>
          <w:between w:val="nil"/>
        </w:pBdr>
        <w:spacing w:before="120" w:after="120" w:line="360" w:lineRule="auto"/>
        <w:ind w:left="851" w:right="89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64C281A3" w14:textId="77777777" w:rsidR="00D17763" w:rsidRPr="00933920" w:rsidRDefault="00D17763">
      <w:pPr>
        <w:spacing w:line="360" w:lineRule="auto"/>
        <w:rPr>
          <w:rFonts w:ascii="Palatino Linotype" w:eastAsia="Palatino Linotype" w:hAnsi="Palatino Linotype" w:cs="Palatino Linotype"/>
          <w:sz w:val="22"/>
          <w:szCs w:val="22"/>
        </w:rPr>
      </w:pPr>
    </w:p>
    <w:p w14:paraId="14F449BF" w14:textId="77777777" w:rsidR="00D17763" w:rsidRPr="00933920" w:rsidRDefault="006364C0">
      <w:pPr>
        <w:pBdr>
          <w:top w:val="nil"/>
          <w:left w:val="nil"/>
          <w:bottom w:val="nil"/>
          <w:right w:val="nil"/>
          <w:between w:val="nil"/>
        </w:pBdr>
        <w:spacing w:before="12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lastRenderedPageBreak/>
        <w:t xml:space="preserve">Así, se advierte que la </w:t>
      </w:r>
      <w:r w:rsidRPr="00933920">
        <w:rPr>
          <w:rFonts w:ascii="Palatino Linotype" w:eastAsia="Palatino Linotype" w:hAnsi="Palatino Linotype" w:cs="Palatino Linotype"/>
          <w:i/>
          <w:sz w:val="22"/>
          <w:szCs w:val="22"/>
        </w:rPr>
        <w:t>póliza contable</w:t>
      </w:r>
      <w:r w:rsidRPr="00933920">
        <w:rPr>
          <w:rFonts w:ascii="Palatino Linotype" w:eastAsia="Palatino Linotype" w:hAnsi="Palatino Linotype" w:cs="Palatino Linotype"/>
          <w:sz w:val="22"/>
          <w:szCs w:val="22"/>
        </w:rPr>
        <w:t xml:space="preserve"> constituye un registro contable y presupuestal con el que cuentan los entes públicos para el registro de sus operaciones relacionadas con sus ingresos y </w:t>
      </w:r>
      <w:r w:rsidRPr="00933920">
        <w:rPr>
          <w:rFonts w:ascii="Palatino Linotype" w:eastAsia="Palatino Linotype" w:hAnsi="Palatino Linotype" w:cs="Palatino Linotype"/>
          <w:b/>
          <w:sz w:val="22"/>
          <w:szCs w:val="22"/>
        </w:rPr>
        <w:t xml:space="preserve">egresos </w:t>
      </w:r>
      <w:r w:rsidRPr="00933920">
        <w:rPr>
          <w:rFonts w:ascii="Palatino Linotype" w:eastAsia="Palatino Linotype" w:hAnsi="Palatino Linotype" w:cs="Palatino Linotype"/>
          <w:sz w:val="22"/>
          <w:szCs w:val="22"/>
        </w:rPr>
        <w:t>y se anexan los documentos o comprobantes que justifiquen las anotaciones y cantidades en ellas registradas, lo que permite la identificación plena de dichas operaciones.</w:t>
      </w:r>
    </w:p>
    <w:p w14:paraId="7ABDDDB4" w14:textId="77777777" w:rsidR="00D17763" w:rsidRPr="00933920" w:rsidRDefault="00D17763">
      <w:pPr>
        <w:spacing w:line="360" w:lineRule="auto"/>
        <w:rPr>
          <w:rFonts w:ascii="Palatino Linotype" w:eastAsia="Palatino Linotype" w:hAnsi="Palatino Linotype" w:cs="Palatino Linotype"/>
          <w:sz w:val="22"/>
          <w:szCs w:val="22"/>
        </w:rPr>
      </w:pPr>
    </w:p>
    <w:p w14:paraId="60EF40DE" w14:textId="77777777" w:rsidR="00D17763" w:rsidRPr="00933920" w:rsidRDefault="006364C0">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llamadas </w:t>
      </w:r>
      <w:r w:rsidRPr="00933920">
        <w:rPr>
          <w:rFonts w:ascii="Palatino Linotype" w:eastAsia="Palatino Linotype" w:hAnsi="Palatino Linotype" w:cs="Palatino Linotype"/>
          <w:i/>
          <w:sz w:val="22"/>
          <w:szCs w:val="22"/>
        </w:rPr>
        <w:t>pólizas de egresos e ingresos</w:t>
      </w:r>
      <w:r w:rsidRPr="00933920">
        <w:rPr>
          <w:rFonts w:ascii="Palatino Linotype" w:eastAsia="Palatino Linotype" w:hAnsi="Palatino Linotype" w:cs="Palatino Linotype"/>
          <w:sz w:val="22"/>
          <w:szCs w:val="22"/>
        </w:rPr>
        <w:t xml:space="preserve">, las primeras son aquellas en las cuales se anotan diariamente las operaciones que representan gastos, es decir, salidas de dinero para el </w:t>
      </w:r>
      <w:r w:rsidRPr="00933920">
        <w:rPr>
          <w:rFonts w:ascii="Palatino Linotype" w:eastAsia="Palatino Linotype" w:hAnsi="Palatino Linotype" w:cs="Palatino Linotype"/>
          <w:b/>
          <w:sz w:val="22"/>
          <w:szCs w:val="22"/>
        </w:rPr>
        <w:t>Sujeto Obligado</w:t>
      </w:r>
      <w:r w:rsidRPr="00933920">
        <w:rPr>
          <w:rFonts w:ascii="Palatino Linotype" w:eastAsia="Palatino Linotype" w:hAnsi="Palatino Linotype" w:cs="Palatino Linotype"/>
          <w:sz w:val="22"/>
          <w:szCs w:val="22"/>
        </w:rPr>
        <w:t xml:space="preserve">, las que además, deben encontrarse acompañadas de las documentales que sirven de soporte de dicho movimiento, en atención a las segundas, registran todas la entradas de dinero independientemente de la modalidad, ya sea en efectivo, transferencia, cheque o pagaré, mediante la expedición de facturas. </w:t>
      </w:r>
    </w:p>
    <w:p w14:paraId="559875DD" w14:textId="77777777" w:rsidR="00D17763" w:rsidRPr="00933920" w:rsidRDefault="00D17763">
      <w:pPr>
        <w:spacing w:line="360" w:lineRule="auto"/>
        <w:rPr>
          <w:rFonts w:ascii="Palatino Linotype" w:eastAsia="Palatino Linotype" w:hAnsi="Palatino Linotype" w:cs="Palatino Linotype"/>
          <w:sz w:val="22"/>
          <w:szCs w:val="22"/>
        </w:rPr>
      </w:pPr>
    </w:p>
    <w:p w14:paraId="54EE8ABB" w14:textId="77777777" w:rsidR="00D17763" w:rsidRPr="00933920" w:rsidRDefault="006364C0">
      <w:pPr>
        <w:pBdr>
          <w:top w:val="nil"/>
          <w:left w:val="nil"/>
          <w:bottom w:val="nil"/>
          <w:right w:val="nil"/>
          <w:between w:val="nil"/>
        </w:pBdr>
        <w:spacing w:after="240" w:line="360" w:lineRule="auto"/>
        <w:ind w:right="5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Atento a lo anterior, como ya ha sido mencionado en la normatividad antes citada, todo </w:t>
      </w:r>
      <w:r w:rsidRPr="00933920">
        <w:rPr>
          <w:rFonts w:ascii="Palatino Linotype" w:eastAsia="Palatino Linotype" w:hAnsi="Palatino Linotype" w:cs="Palatino Linotype"/>
          <w:b/>
          <w:sz w:val="22"/>
          <w:szCs w:val="22"/>
        </w:rPr>
        <w:t xml:space="preserve">registro contable y presupuestal deberá estar soportado </w:t>
      </w:r>
      <w:r w:rsidRPr="00933920">
        <w:rPr>
          <w:rFonts w:ascii="Palatino Linotype" w:eastAsia="Palatino Linotype" w:hAnsi="Palatino Linotype" w:cs="Palatino Linotype"/>
          <w:b/>
          <w:sz w:val="22"/>
          <w:szCs w:val="22"/>
          <w:u w:val="single"/>
        </w:rPr>
        <w:t>con los documentos comprobatorios originales</w:t>
      </w:r>
      <w:r w:rsidRPr="00933920">
        <w:rPr>
          <w:rFonts w:ascii="Palatino Linotype" w:eastAsia="Palatino Linotype" w:hAnsi="Palatino Linotype" w:cs="Palatino Linotype"/>
          <w:b/>
          <w:sz w:val="22"/>
          <w:szCs w:val="22"/>
        </w:rPr>
        <w:t>, como lo son las facturas o comprobantes fiscales digitales por internet,</w:t>
      </w:r>
      <w:r w:rsidRPr="00933920">
        <w:rPr>
          <w:rFonts w:ascii="Palatino Linotype" w:eastAsia="Palatino Linotype" w:hAnsi="Palatino Linotype" w:cs="Palatino Linotype"/>
          <w:sz w:val="22"/>
          <w:szCs w:val="22"/>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en atención a lo anterior, se advierte que es información que de haberse generado debe obrar en los archivos del Sujeto Obligado.</w:t>
      </w:r>
    </w:p>
    <w:p w14:paraId="5E4D13E7" w14:textId="77777777" w:rsidR="00D17763" w:rsidRPr="00933920" w:rsidRDefault="006364C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lastRenderedPageBreak/>
        <w:t>Ahora bien, respecto al personal adscrito y la síntesis curricular, la Dirección de Administración indicó que no se localizó información, por el hecho de que la anterior administración no dejó información de la Tercera Regiduría.</w:t>
      </w:r>
    </w:p>
    <w:p w14:paraId="4E017B4E" w14:textId="77777777" w:rsidR="00D17763" w:rsidRPr="00933920" w:rsidRDefault="006364C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Derivado del pronunciamiento de la Dirección de Administración, es necesario traer a contexto el Código Reglamentario del Ayuntamiento de Toluca, el cual establece lo siguiente:</w:t>
      </w:r>
    </w:p>
    <w:p w14:paraId="29E438E0" w14:textId="77777777" w:rsidR="00D17763" w:rsidRPr="00933920" w:rsidRDefault="006364C0">
      <w:pPr>
        <w:pBdr>
          <w:top w:val="nil"/>
          <w:left w:val="nil"/>
          <w:bottom w:val="nil"/>
          <w:right w:val="nil"/>
          <w:between w:val="nil"/>
        </w:pBdr>
        <w:tabs>
          <w:tab w:val="left" w:pos="284"/>
        </w:tabs>
        <w:spacing w:before="240" w:after="240" w:line="360" w:lineRule="auto"/>
        <w:ind w:left="567" w:right="616"/>
        <w:jc w:val="center"/>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SECCIÓN OCTAVA</w:t>
      </w:r>
    </w:p>
    <w:p w14:paraId="3366C58A" w14:textId="77777777" w:rsidR="00D17763" w:rsidRPr="00933920" w:rsidRDefault="006364C0">
      <w:pPr>
        <w:pBdr>
          <w:top w:val="nil"/>
          <w:left w:val="nil"/>
          <w:bottom w:val="nil"/>
          <w:right w:val="nil"/>
          <w:between w:val="nil"/>
        </w:pBdr>
        <w:tabs>
          <w:tab w:val="left" w:pos="284"/>
        </w:tabs>
        <w:spacing w:before="240" w:after="240" w:line="360" w:lineRule="auto"/>
        <w:ind w:left="567" w:right="616"/>
        <w:jc w:val="center"/>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DE LA DIRECCIÓN GENERAL DE ADMINISTRACIÓN</w:t>
      </w:r>
    </w:p>
    <w:p w14:paraId="08B502A6" w14:textId="77777777" w:rsidR="00D17763" w:rsidRPr="00933920" w:rsidRDefault="006364C0">
      <w:pPr>
        <w:pBdr>
          <w:top w:val="nil"/>
          <w:left w:val="nil"/>
          <w:bottom w:val="nil"/>
          <w:right w:val="nil"/>
          <w:between w:val="nil"/>
        </w:pBdr>
        <w:tabs>
          <w:tab w:val="left" w:pos="284"/>
        </w:tabs>
        <w:spacing w:before="240" w:after="240"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Artículo 3.40. La o el titular de la Dirección General de Administración, tiene las siguientes atribuciones:</w:t>
      </w:r>
    </w:p>
    <w:p w14:paraId="233340AC" w14:textId="77777777" w:rsidR="00D17763" w:rsidRPr="00933920" w:rsidRDefault="006364C0">
      <w:pPr>
        <w:pBdr>
          <w:top w:val="nil"/>
          <w:left w:val="nil"/>
          <w:bottom w:val="nil"/>
          <w:right w:val="nil"/>
          <w:between w:val="nil"/>
        </w:pBdr>
        <w:tabs>
          <w:tab w:val="left" w:pos="284"/>
        </w:tabs>
        <w:spacing w:before="240" w:after="240" w:line="360" w:lineRule="auto"/>
        <w:ind w:left="567" w:right="616"/>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 xml:space="preserve">I. Coordinar y dirigir los sistemas de reclutamiento, selección, contratación e inducción y desarrollo de personal; </w:t>
      </w:r>
    </w:p>
    <w:p w14:paraId="0044B9F7" w14:textId="77777777" w:rsidR="00D17763" w:rsidRPr="00933920" w:rsidRDefault="006364C0">
      <w:pPr>
        <w:pBdr>
          <w:top w:val="nil"/>
          <w:left w:val="nil"/>
          <w:bottom w:val="nil"/>
          <w:right w:val="nil"/>
          <w:between w:val="nil"/>
        </w:pBdr>
        <w:tabs>
          <w:tab w:val="left" w:pos="284"/>
        </w:tabs>
        <w:spacing w:before="240" w:after="240" w:line="360" w:lineRule="auto"/>
        <w:ind w:left="567" w:right="616"/>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p>
    <w:p w14:paraId="679EE409" w14:textId="77777777" w:rsidR="00D17763" w:rsidRPr="00933920" w:rsidRDefault="006364C0">
      <w:pPr>
        <w:pBdr>
          <w:top w:val="nil"/>
          <w:left w:val="nil"/>
          <w:bottom w:val="nil"/>
          <w:right w:val="nil"/>
          <w:between w:val="nil"/>
        </w:pBdr>
        <w:tabs>
          <w:tab w:val="left" w:pos="284"/>
        </w:tabs>
        <w:spacing w:before="240" w:after="240" w:line="360" w:lineRule="auto"/>
        <w:ind w:left="567" w:right="616"/>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 xml:space="preserve">III. Autorizar las altas, bajas, cambios, permisos, licencias, comisiones del personal, entre otras, para su trámite y efectos; </w:t>
      </w:r>
    </w:p>
    <w:p w14:paraId="559F2D06" w14:textId="77777777" w:rsidR="00D17763" w:rsidRPr="00933920" w:rsidRDefault="006364C0">
      <w:pPr>
        <w:pBdr>
          <w:top w:val="nil"/>
          <w:left w:val="nil"/>
          <w:bottom w:val="nil"/>
          <w:right w:val="nil"/>
          <w:between w:val="nil"/>
        </w:pBdr>
        <w:tabs>
          <w:tab w:val="left" w:pos="284"/>
        </w:tabs>
        <w:spacing w:before="240" w:after="240" w:line="360" w:lineRule="auto"/>
        <w:ind w:left="567" w:right="616"/>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 xml:space="preserve">IV. Autorizar la elaboración y distribución oportuna de la nómina al personal que labora en el Ayuntamiento, apegándose a la normatividad en la materia y al presupuesto autorizado; </w:t>
      </w:r>
    </w:p>
    <w:p w14:paraId="568F1BCA" w14:textId="77777777" w:rsidR="00D17763" w:rsidRPr="00933920" w:rsidRDefault="006364C0">
      <w:pPr>
        <w:pBdr>
          <w:top w:val="nil"/>
          <w:left w:val="nil"/>
          <w:bottom w:val="nil"/>
          <w:right w:val="nil"/>
          <w:between w:val="nil"/>
        </w:pBdr>
        <w:tabs>
          <w:tab w:val="left" w:pos="284"/>
        </w:tabs>
        <w:spacing w:before="240" w:after="240" w:line="360" w:lineRule="auto"/>
        <w:ind w:left="567" w:right="616"/>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 xml:space="preserve">V. Coordinar, programar y establecer las políticas de capacitación y adiestramiento para el desarrollo adecuado de personal, conforme a las necesidades institucionales y a las propias del personal; </w:t>
      </w:r>
    </w:p>
    <w:p w14:paraId="4B2A01B4" w14:textId="77777777" w:rsidR="00D17763" w:rsidRPr="00933920" w:rsidRDefault="00D17763">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p>
    <w:p w14:paraId="259030C2" w14:textId="77777777" w:rsidR="00D17763" w:rsidRPr="00933920" w:rsidRDefault="006364C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lastRenderedPageBreak/>
        <w:t>Entonces, la Dirección de Administración, al contar con la atribución de coordinar y dirigir los sistemas de reclutamiento, selección y contratación, así como del pago oportuno de las nóminas, se entiende que genera, posee y administra la información relativa a los expedientes de personal y cuenta con documentos donde constan los nombres de los integrantes de las áreas administrativas, ya que autoriza las altas, bajas y cambios de adscripción, por lo que resulta ser el área competente para dar respuesta a la solicitud y único responsable respecto de los expedientes de personal.</w:t>
      </w:r>
    </w:p>
    <w:p w14:paraId="27AB3834" w14:textId="77777777" w:rsidR="00D17763" w:rsidRPr="00933920" w:rsidRDefault="006364C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Sin embargo, es necesario referir que derivado de la naturaleza de la información, es importante mencionar que la ficha curricular o </w:t>
      </w:r>
      <w:proofErr w:type="spellStart"/>
      <w:r w:rsidRPr="00933920">
        <w:rPr>
          <w:rFonts w:ascii="Palatino Linotype" w:eastAsia="Palatino Linotype" w:hAnsi="Palatino Linotype" w:cs="Palatino Linotype"/>
          <w:sz w:val="22"/>
          <w:szCs w:val="22"/>
        </w:rPr>
        <w:t>curriculum</w:t>
      </w:r>
      <w:proofErr w:type="spellEnd"/>
      <w:r w:rsidRPr="00933920">
        <w:rPr>
          <w:rFonts w:ascii="Palatino Linotype" w:eastAsia="Palatino Linotype" w:hAnsi="Palatino Linotype" w:cs="Palatino Linotype"/>
          <w:sz w:val="22"/>
          <w:szCs w:val="22"/>
        </w:rPr>
        <w:t xml:space="preserve"> vitae contienen entre otra información, </w:t>
      </w:r>
      <w:r w:rsidRPr="00933920">
        <w:rPr>
          <w:rFonts w:ascii="Palatino Linotype" w:eastAsia="Palatino Linotype" w:hAnsi="Palatino Linotype" w:cs="Palatino Linotype"/>
          <w:b/>
          <w:sz w:val="22"/>
          <w:szCs w:val="22"/>
        </w:rPr>
        <w:t>la preparación académica, laboral y méritos con los que cuentan los servidores públicos</w:t>
      </w:r>
      <w:r w:rsidRPr="00933920">
        <w:rPr>
          <w:rFonts w:ascii="Palatino Linotype" w:eastAsia="Palatino Linotype" w:hAnsi="Palatino Linotype" w:cs="Palatino Linotype"/>
          <w:sz w:val="22"/>
          <w:szCs w:val="22"/>
        </w:rPr>
        <w:t xml:space="preserve"> para ocupar un cargo público. Se cita lo que dispone la Real Academia de la Lengua Española define como currículum vitae: </w:t>
      </w:r>
    </w:p>
    <w:p w14:paraId="6E97DF6E" w14:textId="77777777" w:rsidR="00D17763" w:rsidRPr="00933920" w:rsidRDefault="006364C0">
      <w:pPr>
        <w:tabs>
          <w:tab w:val="left" w:pos="426"/>
        </w:tabs>
        <w:spacing w:line="360" w:lineRule="auto"/>
        <w:ind w:left="567" w:right="616"/>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w:t>
      </w:r>
      <w:r w:rsidRPr="00933920">
        <w:rPr>
          <w:rFonts w:ascii="Palatino Linotype" w:eastAsia="Palatino Linotype" w:hAnsi="Palatino Linotype" w:cs="Palatino Linotype"/>
          <w:b/>
          <w:i/>
          <w:sz w:val="22"/>
          <w:szCs w:val="22"/>
        </w:rPr>
        <w:t>currículum vítae</w:t>
      </w:r>
      <w:r w:rsidRPr="00933920">
        <w:rPr>
          <w:rFonts w:ascii="Palatino Linotype" w:eastAsia="Palatino Linotype" w:hAnsi="Palatino Linotype" w:cs="Palatino Linotype"/>
          <w:i/>
          <w:sz w:val="22"/>
          <w:szCs w:val="22"/>
        </w:rPr>
        <w:t>. </w:t>
      </w:r>
      <w:bookmarkStart w:id="4" w:name="bookmark=id.gjdgxs" w:colFirst="0" w:colLast="0"/>
      <w:bookmarkEnd w:id="4"/>
      <w:r w:rsidRPr="00933920">
        <w:rPr>
          <w:rFonts w:ascii="Palatino Linotype" w:eastAsia="Palatino Linotype" w:hAnsi="Palatino Linotype" w:cs="Palatino Linotype"/>
          <w:b/>
          <w:i/>
          <w:sz w:val="22"/>
          <w:szCs w:val="22"/>
        </w:rPr>
        <w:t>1.</w:t>
      </w:r>
      <w:r w:rsidRPr="00933920">
        <w:rPr>
          <w:rFonts w:ascii="Palatino Linotype" w:eastAsia="Palatino Linotype" w:hAnsi="Palatino Linotype" w:cs="Palatino Linotype"/>
          <w:i/>
          <w:sz w:val="22"/>
          <w:szCs w:val="22"/>
        </w:rPr>
        <w:t xml:space="preserve"> Loc. lat. que significa literalmente ‘carrera de la vida’. Se usa como locución nominal masculina para designar la relación de los datos personales, </w:t>
      </w:r>
      <w:r w:rsidRPr="00933920">
        <w:rPr>
          <w:rFonts w:ascii="Palatino Linotype" w:eastAsia="Palatino Linotype" w:hAnsi="Palatino Linotype" w:cs="Palatino Linotype"/>
          <w:b/>
          <w:i/>
          <w:sz w:val="22"/>
          <w:szCs w:val="22"/>
        </w:rPr>
        <w:t>formación académica</w:t>
      </w:r>
      <w:r w:rsidRPr="00933920">
        <w:rPr>
          <w:rFonts w:ascii="Palatino Linotype" w:eastAsia="Palatino Linotype" w:hAnsi="Palatino Linotype" w:cs="Palatino Linotype"/>
          <w:i/>
          <w:sz w:val="22"/>
          <w:szCs w:val="22"/>
        </w:rPr>
        <w:t>, actividad laboral y méritos de una persona.</w:t>
      </w:r>
      <w:r w:rsidRPr="00933920">
        <w:rPr>
          <w:rFonts w:ascii="Palatino Linotype" w:eastAsia="Palatino Linotype" w:hAnsi="Palatino Linotype" w:cs="Palatino Linotype"/>
          <w:sz w:val="22"/>
          <w:szCs w:val="22"/>
        </w:rPr>
        <w:t>”</w:t>
      </w:r>
    </w:p>
    <w:p w14:paraId="5363762C" w14:textId="77777777" w:rsidR="00D17763" w:rsidRPr="00933920" w:rsidRDefault="00D1776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29B94F86" w14:textId="77777777" w:rsidR="00D17763" w:rsidRPr="00933920" w:rsidRDefault="006364C0">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De la interpretación a esta definición se desprende que tanto la ficha curricular como el </w:t>
      </w:r>
      <w:proofErr w:type="spellStart"/>
      <w:r w:rsidRPr="00933920">
        <w:rPr>
          <w:rFonts w:ascii="Palatino Linotype" w:eastAsia="Palatino Linotype" w:hAnsi="Palatino Linotype" w:cs="Palatino Linotype"/>
          <w:sz w:val="22"/>
          <w:szCs w:val="22"/>
        </w:rPr>
        <w:t>curriculum</w:t>
      </w:r>
      <w:proofErr w:type="spellEnd"/>
      <w:r w:rsidRPr="00933920">
        <w:rPr>
          <w:rFonts w:ascii="Palatino Linotype" w:eastAsia="Palatino Linotype" w:hAnsi="Palatino Linotype" w:cs="Palatino Linotype"/>
          <w:sz w:val="22"/>
          <w:szCs w:val="22"/>
        </w:rPr>
        <w:t xml:space="preserve"> vitae están relacionados con la hoja de vida, carrera de vida o </w:t>
      </w:r>
      <w:proofErr w:type="spellStart"/>
      <w:r w:rsidRPr="00933920">
        <w:rPr>
          <w:rFonts w:ascii="Palatino Linotype" w:eastAsia="Palatino Linotype" w:hAnsi="Palatino Linotype" w:cs="Palatino Linotype"/>
          <w:sz w:val="22"/>
          <w:szCs w:val="22"/>
        </w:rPr>
        <w:t>currícula</w:t>
      </w:r>
      <w:proofErr w:type="spellEnd"/>
      <w:r w:rsidRPr="00933920">
        <w:rPr>
          <w:rFonts w:ascii="Palatino Linotype" w:eastAsia="Palatino Linotype" w:hAnsi="Palatino Linotype" w:cs="Palatino Linotype"/>
          <w:sz w:val="22"/>
          <w:szCs w:val="22"/>
        </w:rPr>
        <w:t xml:space="preserve"> de una persona, donde se podría apreciar la preparación académica y laboral que tiene, además de los méritos como bien lo podrían ser cursos o certificaciones.</w:t>
      </w:r>
    </w:p>
    <w:p w14:paraId="452CA3D7" w14:textId="77777777" w:rsidR="00D17763" w:rsidRPr="00933920" w:rsidRDefault="00D1776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5C9658FA" w14:textId="77777777" w:rsidR="00D17763" w:rsidRPr="00933920" w:rsidRDefault="006364C0">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Por ende, la ficha curricular o currículum vítae puede existir información más detallada y relacionada con la </w:t>
      </w:r>
      <w:r w:rsidRPr="00933920">
        <w:rPr>
          <w:rFonts w:ascii="Palatino Linotype" w:eastAsia="Palatino Linotype" w:hAnsi="Palatino Linotype" w:cs="Palatino Linotype"/>
          <w:b/>
          <w:sz w:val="22"/>
          <w:szCs w:val="22"/>
        </w:rPr>
        <w:t xml:space="preserve">trayectoria académica o profesional, </w:t>
      </w:r>
      <w:r w:rsidRPr="00933920">
        <w:rPr>
          <w:rFonts w:ascii="Palatino Linotype" w:eastAsia="Palatino Linotype" w:hAnsi="Palatino Linotype" w:cs="Palatino Linotype"/>
          <w:sz w:val="22"/>
          <w:szCs w:val="22"/>
        </w:rPr>
        <w:t xml:space="preserve">debiendo conservar los documentos soporte como puede ser </w:t>
      </w:r>
      <w:r w:rsidRPr="00933920">
        <w:rPr>
          <w:rFonts w:ascii="Palatino Linotype" w:eastAsia="Palatino Linotype" w:hAnsi="Palatino Linotype" w:cs="Palatino Linotype"/>
          <w:b/>
          <w:sz w:val="22"/>
          <w:szCs w:val="22"/>
        </w:rPr>
        <w:t>el título profesional o cédula profesional</w:t>
      </w:r>
      <w:r w:rsidRPr="00933920">
        <w:rPr>
          <w:rFonts w:ascii="Palatino Linotype" w:eastAsia="Palatino Linotype" w:hAnsi="Palatino Linotype" w:cs="Palatino Linotype"/>
          <w:sz w:val="22"/>
          <w:szCs w:val="22"/>
        </w:rPr>
        <w:t xml:space="preserve"> o el documento que avale el grado académico de los servidores públicos, los cuales son susceptibles de proporcionarse en versión pública.</w:t>
      </w:r>
    </w:p>
    <w:p w14:paraId="0EE061EA" w14:textId="77777777" w:rsidR="00D17763" w:rsidRPr="00933920" w:rsidRDefault="00D17763">
      <w:pPr>
        <w:pBdr>
          <w:top w:val="nil"/>
          <w:left w:val="nil"/>
          <w:bottom w:val="nil"/>
          <w:right w:val="nil"/>
          <w:between w:val="nil"/>
        </w:pBdr>
        <w:ind w:left="720"/>
        <w:rPr>
          <w:rFonts w:ascii="Palatino Linotype" w:eastAsia="Palatino Linotype" w:hAnsi="Palatino Linotype" w:cs="Palatino Linotype"/>
          <w:sz w:val="22"/>
          <w:szCs w:val="22"/>
        </w:rPr>
      </w:pPr>
    </w:p>
    <w:p w14:paraId="5119017C" w14:textId="77777777" w:rsidR="00D17763" w:rsidRPr="00933920" w:rsidRDefault="006364C0">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Es así que, la información contenida en el currículum vitae proporcionado por el Sujeto Obligado permite conocer el perfil profesional del servidor público, por lo que es información pública, incluso es considerada información pública de oficio contemplada en la Ley de Transparencia y Acceso a la Información Pública del Estado de México y Municipios, en el artículo 92, fracción XXI.</w:t>
      </w:r>
    </w:p>
    <w:p w14:paraId="475AC3B8" w14:textId="77777777" w:rsidR="00D17763" w:rsidRPr="00933920" w:rsidRDefault="00D1776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0013433D" w14:textId="77777777" w:rsidR="009166E5" w:rsidRPr="00933920" w:rsidRDefault="006364C0" w:rsidP="009166E5">
      <w:pPr>
        <w:pBdr>
          <w:top w:val="nil"/>
          <w:left w:val="nil"/>
          <w:bottom w:val="nil"/>
          <w:right w:val="nil"/>
          <w:between w:val="nil"/>
        </w:pBdr>
        <w:shd w:val="clear" w:color="auto" w:fill="FFFFFF"/>
        <w:tabs>
          <w:tab w:val="left" w:pos="284"/>
        </w:tabs>
        <w:spacing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No obstante, al haber existido un pronunciamiento mediante el informe justificado en el que se indica que no se localizó información de la Tercera Regiduría derivado de que la anterior administración no dejó documentación, es preciso ordenar el acuerdo emitido por el Comité de Transparencia mediante el cual se declare formalmente la inexistencia respecto de la síntesis curricular y</w:t>
      </w:r>
      <w:r w:rsidR="009166E5" w:rsidRPr="00933920">
        <w:rPr>
          <w:rFonts w:ascii="Palatino Linotype" w:eastAsia="Palatino Linotype" w:hAnsi="Palatino Linotype" w:cs="Palatino Linotype"/>
          <w:sz w:val="22"/>
          <w:szCs w:val="22"/>
        </w:rPr>
        <w:t xml:space="preserve"> su documentación comprobatoria, </w:t>
      </w:r>
      <w:r w:rsidR="009166E5" w:rsidRPr="00933920">
        <w:rPr>
          <w:rFonts w:ascii="Palatino Linotype" w:hAnsi="Palatino Linotype" w:cs="Tahoma"/>
          <w:sz w:val="22"/>
          <w:szCs w:val="22"/>
          <w:lang w:val="es-ES_tradnl"/>
        </w:rPr>
        <w:t xml:space="preserve">en términos de lo establecido en el artículo 19, párrafo tercero, 169 y 170 de la Ley de Transparencia y Acceso a la Información Pública del Estado de México y Municipios. </w:t>
      </w:r>
    </w:p>
    <w:p w14:paraId="7E072305" w14:textId="77777777" w:rsidR="009166E5" w:rsidRPr="00933920" w:rsidRDefault="009166E5" w:rsidP="009166E5">
      <w:pPr>
        <w:spacing w:line="360" w:lineRule="auto"/>
        <w:jc w:val="both"/>
        <w:rPr>
          <w:rFonts w:ascii="Palatino Linotype" w:hAnsi="Palatino Linotype" w:cs="Tahoma"/>
          <w:sz w:val="22"/>
          <w:szCs w:val="22"/>
        </w:rPr>
      </w:pPr>
      <w:r w:rsidRPr="00933920">
        <w:rPr>
          <w:rFonts w:ascii="Palatino Linotype" w:hAnsi="Palatino Linotype" w:cs="Tahoma"/>
          <w:sz w:val="22"/>
          <w:szCs w:val="22"/>
          <w:lang w:val="es-ES_tradnl"/>
        </w:rPr>
        <w:t xml:space="preserve">Ahora bien, no está por demás señalar que de acuerdo con el </w:t>
      </w:r>
      <w:r w:rsidRPr="00933920">
        <w:rPr>
          <w:rFonts w:ascii="Palatino Linotype" w:hAnsi="Palatino Linotype" w:cs="Tahoma"/>
          <w:sz w:val="22"/>
          <w:szCs w:val="22"/>
        </w:rPr>
        <w:t>Criterio 14/17, emitido por el Instituto Nacional de Transparencia, Acceso a la Información Pública y Protección de Datos Personales en el Estado de México y Municipios, la inexistencia de la información se refiere a lo siguiente:</w:t>
      </w:r>
    </w:p>
    <w:p w14:paraId="72D768EE" w14:textId="77777777" w:rsidR="009166E5" w:rsidRPr="00933920" w:rsidRDefault="009166E5" w:rsidP="009166E5">
      <w:pPr>
        <w:spacing w:line="360" w:lineRule="auto"/>
        <w:jc w:val="both"/>
        <w:rPr>
          <w:rFonts w:ascii="Palatino Linotype" w:hAnsi="Palatino Linotype" w:cs="Tahoma"/>
          <w:sz w:val="22"/>
          <w:szCs w:val="22"/>
        </w:rPr>
      </w:pPr>
    </w:p>
    <w:p w14:paraId="4CE17283" w14:textId="77777777" w:rsidR="009166E5" w:rsidRPr="00933920" w:rsidRDefault="009166E5" w:rsidP="009166E5">
      <w:pPr>
        <w:spacing w:line="276" w:lineRule="auto"/>
        <w:ind w:left="567" w:right="567"/>
        <w:jc w:val="both"/>
        <w:rPr>
          <w:rFonts w:ascii="Palatino Linotype" w:hAnsi="Palatino Linotype" w:cs="Tahoma"/>
          <w:bCs/>
          <w:i/>
          <w:sz w:val="22"/>
          <w:szCs w:val="22"/>
        </w:rPr>
      </w:pPr>
      <w:r w:rsidRPr="00933920">
        <w:rPr>
          <w:rFonts w:ascii="Palatino Linotype" w:hAnsi="Palatino Linotype" w:cs="Tahoma"/>
          <w:bCs/>
          <w:i/>
          <w:sz w:val="22"/>
          <w:szCs w:val="22"/>
        </w:rPr>
        <w:t>“</w:t>
      </w:r>
      <w:r w:rsidRPr="00933920">
        <w:rPr>
          <w:rFonts w:ascii="Palatino Linotype" w:hAnsi="Palatino Linotype" w:cs="Tahoma"/>
          <w:b/>
          <w:bCs/>
          <w:i/>
          <w:sz w:val="22"/>
          <w:szCs w:val="22"/>
        </w:rPr>
        <w:t xml:space="preserve">Inexistencia. </w:t>
      </w:r>
      <w:r w:rsidRPr="00933920">
        <w:rPr>
          <w:rFonts w:ascii="Palatino Linotype" w:hAnsi="Palatino Linotype" w:cs="Tahoma"/>
          <w:bCs/>
          <w:i/>
          <w:sz w:val="22"/>
          <w:szCs w:val="22"/>
        </w:rPr>
        <w:t>La inexistencia es una cuestión de hecho que se atribuye a la información solicitada e implica que ésta no se encuentra en los archivos del sujeto obligado, no obstante que cuenta con facultades para poseerla.”</w:t>
      </w:r>
    </w:p>
    <w:p w14:paraId="7FF2F5C2" w14:textId="77777777" w:rsidR="009166E5" w:rsidRPr="00933920" w:rsidRDefault="009166E5" w:rsidP="009166E5">
      <w:pPr>
        <w:spacing w:line="360" w:lineRule="auto"/>
        <w:jc w:val="both"/>
        <w:rPr>
          <w:rFonts w:ascii="Palatino Linotype" w:hAnsi="Palatino Linotype" w:cs="Tahoma"/>
          <w:sz w:val="22"/>
          <w:szCs w:val="22"/>
        </w:rPr>
      </w:pPr>
    </w:p>
    <w:p w14:paraId="26CB2271" w14:textId="77777777" w:rsidR="009166E5" w:rsidRPr="00933920" w:rsidRDefault="009166E5" w:rsidP="009166E5">
      <w:pPr>
        <w:spacing w:line="360" w:lineRule="auto"/>
        <w:jc w:val="both"/>
        <w:rPr>
          <w:rFonts w:ascii="Palatino Linotype" w:hAnsi="Palatino Linotype" w:cs="Tahoma"/>
          <w:sz w:val="22"/>
          <w:szCs w:val="22"/>
        </w:rPr>
      </w:pPr>
      <w:r w:rsidRPr="00933920">
        <w:rPr>
          <w:rFonts w:ascii="Palatino Linotype" w:hAnsi="Palatino Linotype" w:cs="Tahoma"/>
          <w:sz w:val="22"/>
          <w:szCs w:val="22"/>
        </w:rPr>
        <w:t xml:space="preserve">Es decir, la </w:t>
      </w:r>
      <w:r w:rsidRPr="00933920">
        <w:rPr>
          <w:rFonts w:ascii="Palatino Linotype" w:hAnsi="Palatino Linotype" w:cs="Tahoma"/>
          <w:b/>
          <w:sz w:val="22"/>
          <w:szCs w:val="22"/>
        </w:rPr>
        <w:t>inexistencia</w:t>
      </w:r>
      <w:r w:rsidRPr="00933920">
        <w:rPr>
          <w:rFonts w:ascii="Palatino Linotype" w:hAnsi="Palatino Linotype" w:cs="Tahoma"/>
          <w:sz w:val="22"/>
          <w:szCs w:val="22"/>
        </w:rPr>
        <w:t xml:space="preserve"> presupone la competencia del sujeto obligado para conocer de la información, pero por alguna circunstancia, la documentación solicitada no obra en sus archivos, por lo que, de conformidad con el artículo 19, párrafo tercero de la Ley de Transparencia y Acceso a la Información Pública del Estado de México y Municipios, se establece </w:t>
      </w:r>
      <w:r w:rsidRPr="00933920">
        <w:rPr>
          <w:rFonts w:ascii="Palatino Linotype" w:hAnsi="Palatino Linotype" w:cs="Tahoma"/>
          <w:b/>
          <w:bCs/>
          <w:sz w:val="22"/>
          <w:szCs w:val="22"/>
          <w:u w:val="single"/>
        </w:rPr>
        <w:t xml:space="preserve">que cuando los sujetos obligados, en el ejercicio de sus atribuciones, debía </w:t>
      </w:r>
      <w:r w:rsidRPr="00933920">
        <w:rPr>
          <w:rFonts w:ascii="Palatino Linotype" w:hAnsi="Palatino Linotype" w:cs="Tahoma"/>
          <w:b/>
          <w:bCs/>
          <w:sz w:val="22"/>
          <w:szCs w:val="22"/>
          <w:u w:val="single"/>
        </w:rPr>
        <w:lastRenderedPageBreak/>
        <w:t>generar, poseer, administrar la información, pero está no se encuentra, el Comité de Transparencia, deberá emitir el acuerdo de inexistencia.</w:t>
      </w:r>
    </w:p>
    <w:p w14:paraId="59F51268" w14:textId="77777777" w:rsidR="009166E5" w:rsidRPr="00933920" w:rsidRDefault="009166E5" w:rsidP="009166E5">
      <w:pPr>
        <w:shd w:val="clear" w:color="auto" w:fill="FFFFFF" w:themeFill="background1"/>
        <w:spacing w:line="360" w:lineRule="auto"/>
        <w:jc w:val="both"/>
        <w:rPr>
          <w:rFonts w:ascii="Palatino Linotype" w:eastAsia="Calibri" w:hAnsi="Palatino Linotype" w:cs="Tahoma"/>
          <w:bCs/>
          <w:sz w:val="22"/>
          <w:szCs w:val="22"/>
          <w:lang w:eastAsia="en-US"/>
        </w:rPr>
      </w:pPr>
    </w:p>
    <w:p w14:paraId="29CFF2F4" w14:textId="77777777" w:rsidR="009166E5" w:rsidRPr="00933920" w:rsidRDefault="009166E5" w:rsidP="009166E5">
      <w:pPr>
        <w:spacing w:line="360" w:lineRule="auto"/>
        <w:jc w:val="both"/>
        <w:rPr>
          <w:rFonts w:ascii="Palatino Linotype" w:hAnsi="Palatino Linotype" w:cs="Arial"/>
          <w:sz w:val="22"/>
          <w:szCs w:val="22"/>
        </w:rPr>
      </w:pPr>
      <w:r w:rsidRPr="00933920">
        <w:rPr>
          <w:rFonts w:ascii="Palatino Linotype" w:hAnsi="Palatino Linotype" w:cs="Arial"/>
          <w:sz w:val="22"/>
          <w:szCs w:val="22"/>
        </w:rPr>
        <w:t>En ese orden de ideas, el Criterio 12/10 emitido por el Pleno del Instituto Nacional de Transparencia, Acceso a la Información y Protección de Datos Personales, mismo que se cita por analogía, en el que se establece lo siguiente:</w:t>
      </w:r>
    </w:p>
    <w:p w14:paraId="29A845F2" w14:textId="77777777" w:rsidR="009166E5" w:rsidRPr="00933920" w:rsidRDefault="009166E5" w:rsidP="009166E5">
      <w:pPr>
        <w:spacing w:line="360" w:lineRule="auto"/>
        <w:jc w:val="both"/>
        <w:rPr>
          <w:rFonts w:ascii="Palatino Linotype" w:hAnsi="Palatino Linotype" w:cs="Arial"/>
          <w:sz w:val="22"/>
          <w:szCs w:val="22"/>
        </w:rPr>
      </w:pPr>
    </w:p>
    <w:p w14:paraId="37901D72" w14:textId="77777777" w:rsidR="009166E5" w:rsidRPr="00933920" w:rsidRDefault="009166E5" w:rsidP="009166E5">
      <w:pPr>
        <w:tabs>
          <w:tab w:val="left" w:pos="4253"/>
        </w:tabs>
        <w:spacing w:line="276" w:lineRule="auto"/>
        <w:ind w:left="567" w:right="559"/>
        <w:jc w:val="both"/>
        <w:rPr>
          <w:rFonts w:ascii="Palatino Linotype" w:hAnsi="Palatino Linotype" w:cs="Arial"/>
          <w:b/>
          <w:bCs/>
          <w:i/>
          <w:sz w:val="22"/>
          <w:szCs w:val="22"/>
        </w:rPr>
      </w:pPr>
      <w:r w:rsidRPr="00933920">
        <w:rPr>
          <w:rFonts w:ascii="Palatino Linotype" w:hAnsi="Palatino Linotype" w:cs="Arial"/>
          <w:b/>
          <w:bCs/>
          <w:i/>
          <w:sz w:val="22"/>
          <w:szCs w:val="22"/>
        </w:rPr>
        <w:t xml:space="preserve">“Propósito de la declaración formal de inexistencia. </w:t>
      </w:r>
      <w:r w:rsidRPr="00933920">
        <w:rPr>
          <w:rFonts w:ascii="Palatino Linotype" w:hAnsi="Palatino Linotype" w:cs="Arial"/>
          <w:bCs/>
          <w:i/>
          <w:sz w:val="22"/>
          <w:szCs w:val="22"/>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933920">
        <w:rPr>
          <w:rFonts w:ascii="Palatino Linotype" w:hAnsi="Palatino Linotype" w:cs="Arial"/>
          <w:b/>
          <w:bCs/>
          <w:i/>
          <w:sz w:val="22"/>
          <w:szCs w:val="22"/>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14:paraId="2EC671A9" w14:textId="77777777" w:rsidR="009166E5" w:rsidRPr="00933920" w:rsidRDefault="009166E5" w:rsidP="009166E5">
      <w:pPr>
        <w:tabs>
          <w:tab w:val="left" w:pos="4667"/>
        </w:tabs>
        <w:spacing w:line="276" w:lineRule="auto"/>
        <w:jc w:val="both"/>
        <w:rPr>
          <w:rFonts w:ascii="Palatino Linotype" w:hAnsi="Palatino Linotype" w:cs="Arial"/>
          <w:sz w:val="22"/>
          <w:szCs w:val="22"/>
        </w:rPr>
      </w:pPr>
    </w:p>
    <w:p w14:paraId="0E0332AB" w14:textId="77777777" w:rsidR="009166E5" w:rsidRPr="00933920" w:rsidRDefault="009166E5" w:rsidP="009166E5">
      <w:pPr>
        <w:tabs>
          <w:tab w:val="left" w:pos="4667"/>
        </w:tabs>
        <w:spacing w:line="360" w:lineRule="auto"/>
        <w:jc w:val="both"/>
        <w:rPr>
          <w:rFonts w:ascii="Palatino Linotype" w:hAnsi="Palatino Linotype" w:cs="Arial"/>
          <w:sz w:val="22"/>
          <w:szCs w:val="22"/>
        </w:rPr>
      </w:pPr>
      <w:r w:rsidRPr="00933920">
        <w:rPr>
          <w:rFonts w:ascii="Palatino Linotype" w:hAnsi="Palatino Linotype" w:cs="Arial"/>
          <w:sz w:val="22"/>
          <w:szCs w:val="22"/>
        </w:rPr>
        <w:t>De la misma manera, el Criterio 14/19 emitido por el Instituto de Transparencia, Acceso a la Información y Protección de Datos Personales, establece lo siguiente:</w:t>
      </w:r>
    </w:p>
    <w:p w14:paraId="2BBB8E88" w14:textId="77777777" w:rsidR="009166E5" w:rsidRPr="00933920" w:rsidRDefault="009166E5" w:rsidP="009166E5">
      <w:pPr>
        <w:tabs>
          <w:tab w:val="left" w:pos="4667"/>
        </w:tabs>
        <w:spacing w:line="360" w:lineRule="auto"/>
        <w:jc w:val="both"/>
        <w:rPr>
          <w:rFonts w:ascii="Palatino Linotype" w:hAnsi="Palatino Linotype" w:cs="Arial"/>
          <w:sz w:val="22"/>
          <w:szCs w:val="22"/>
        </w:rPr>
      </w:pPr>
    </w:p>
    <w:p w14:paraId="5557CB06" w14:textId="77777777" w:rsidR="009166E5" w:rsidRPr="00933920" w:rsidRDefault="009166E5" w:rsidP="009166E5">
      <w:pPr>
        <w:tabs>
          <w:tab w:val="left" w:pos="4667"/>
        </w:tabs>
        <w:spacing w:line="276" w:lineRule="auto"/>
        <w:ind w:left="567" w:right="567"/>
        <w:jc w:val="both"/>
        <w:rPr>
          <w:rFonts w:ascii="Palatino Linotype" w:hAnsi="Palatino Linotype" w:cs="Arial"/>
          <w:bCs/>
          <w:i/>
          <w:sz w:val="22"/>
          <w:szCs w:val="22"/>
        </w:rPr>
      </w:pPr>
      <w:r w:rsidRPr="00933920">
        <w:rPr>
          <w:rFonts w:ascii="Palatino Linotype" w:hAnsi="Palatino Linotype" w:cs="Arial"/>
          <w:b/>
          <w:i/>
          <w:sz w:val="22"/>
          <w:szCs w:val="22"/>
        </w:rPr>
        <w:t>“Propósito de la declaración formal de inexistencia.</w:t>
      </w:r>
      <w:r w:rsidRPr="00933920">
        <w:rPr>
          <w:rFonts w:ascii="Palatino Linotype" w:hAnsi="Palatino Linotype" w:cs="Arial"/>
          <w:bCs/>
          <w:i/>
          <w:sz w:val="22"/>
          <w:szCs w:val="22"/>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w:t>
      </w:r>
      <w:r w:rsidRPr="00933920">
        <w:rPr>
          <w:rFonts w:ascii="Palatino Linotype" w:hAnsi="Palatino Linotype" w:cs="Arial"/>
          <w:bCs/>
          <w:i/>
          <w:sz w:val="22"/>
          <w:szCs w:val="22"/>
        </w:rPr>
        <w:lastRenderedPageBreak/>
        <w:t>suficientes para generar en los solicitantes la certeza del carácter exhaustivo de la búsqueda de lo solicitado.”</w:t>
      </w:r>
    </w:p>
    <w:p w14:paraId="24149A4B" w14:textId="77777777" w:rsidR="009166E5" w:rsidRPr="00933920" w:rsidRDefault="009166E5" w:rsidP="009166E5">
      <w:pPr>
        <w:tabs>
          <w:tab w:val="left" w:pos="4667"/>
        </w:tabs>
        <w:spacing w:line="360" w:lineRule="auto"/>
        <w:jc w:val="both"/>
        <w:rPr>
          <w:rFonts w:ascii="Palatino Linotype" w:hAnsi="Palatino Linotype" w:cs="Arial"/>
          <w:sz w:val="22"/>
          <w:szCs w:val="22"/>
        </w:rPr>
      </w:pPr>
    </w:p>
    <w:p w14:paraId="4570056A" w14:textId="77777777" w:rsidR="009166E5" w:rsidRPr="00933920" w:rsidRDefault="009166E5" w:rsidP="009166E5">
      <w:pPr>
        <w:tabs>
          <w:tab w:val="left" w:pos="4667"/>
        </w:tabs>
        <w:spacing w:line="360" w:lineRule="auto"/>
        <w:jc w:val="both"/>
        <w:rPr>
          <w:rFonts w:ascii="Palatino Linotype" w:eastAsia="Palatino Linotype" w:hAnsi="Palatino Linotype" w:cs="Palatino Linotype"/>
          <w:i/>
          <w:sz w:val="22"/>
          <w:szCs w:val="22"/>
        </w:rPr>
      </w:pPr>
      <w:r w:rsidRPr="00933920">
        <w:rPr>
          <w:rFonts w:ascii="Palatino Linotype" w:hAnsi="Palatino Linotype" w:cs="Arial"/>
          <w:sz w:val="22"/>
          <w:szCs w:val="22"/>
        </w:rPr>
        <w:t>De los criterios citados, se tiene que las declaraciones de inexistencia que emitan los Comités de Transparencia, deben contener los elementos suficientes que permitan que los solicitantes tengan certeza de la búsqueda de la información, esto es, que la declaratoria debe estar debidamente fundada y motivada, es decir; además de señalar los preceptos normativos aplicables, se deben especificar los criterios de búsqueda, las unidades en las que se buscó la información, y demás circunstancias tomadas en cuenta, con el fin de garantizar al solicitante que efectivamente se hicieron las gestiones necesarias para localizar la documentación de su interés.</w:t>
      </w:r>
    </w:p>
    <w:p w14:paraId="758C8900" w14:textId="77777777" w:rsidR="009166E5" w:rsidRPr="00933920" w:rsidRDefault="009166E5">
      <w:pPr>
        <w:spacing w:line="360" w:lineRule="auto"/>
        <w:ind w:right="902"/>
        <w:jc w:val="both"/>
        <w:rPr>
          <w:rFonts w:ascii="Palatino Linotype" w:eastAsia="Palatino Linotype" w:hAnsi="Palatino Linotype" w:cs="Palatino Linotype"/>
          <w:i/>
          <w:sz w:val="22"/>
          <w:szCs w:val="22"/>
        </w:rPr>
      </w:pPr>
    </w:p>
    <w:p w14:paraId="2B70A882" w14:textId="77777777" w:rsidR="00D17763" w:rsidRPr="00933920" w:rsidRDefault="006364C0">
      <w:pPr>
        <w:spacing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Ahora bien, respecto al nombre del personal adscrito y las actividades que realizan, se determina que no se realizó una correcta búsqueda exhaustiva y razonable de la información, en razón de que hay diversas áreas dentro de la estructura Orgánica Municipal que pudieran generar, administrar o poseer documentos que contengan la información requerida, de manera enunciativa más no limitativa, Tesorería Municipal, ya que es la encargada de realizar todas las erogaciones del Ayuntamiento, conforme al artículo 93 de la Ley Orgánica Municipal del Estado de México, incluida la nómina, entendiendo que esta última es el listado de todo el personal de una dependencia que contiene entre otros datos, el nombre de los servidores públicos, total de percepciones y el área de adscripción, siendo un documento que de manera enunciativa más no limitativa pudiera atender el requerimiento del particular. </w:t>
      </w:r>
    </w:p>
    <w:p w14:paraId="1BFD3F19" w14:textId="77777777" w:rsidR="00D17763" w:rsidRPr="00933920" w:rsidRDefault="00D17763">
      <w:pPr>
        <w:spacing w:line="360" w:lineRule="auto"/>
        <w:ind w:right="902"/>
        <w:jc w:val="both"/>
        <w:rPr>
          <w:rFonts w:ascii="Palatino Linotype" w:eastAsia="Palatino Linotype" w:hAnsi="Palatino Linotype" w:cs="Palatino Linotype"/>
          <w:sz w:val="22"/>
          <w:szCs w:val="22"/>
        </w:rPr>
      </w:pPr>
    </w:p>
    <w:p w14:paraId="5D6A5A94" w14:textId="77777777" w:rsidR="00D17763" w:rsidRPr="00933920" w:rsidRDefault="006364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No pasa desapercibido que, el Sujeto Obligado no turnó la solicitud a todas las áreas que pudieran generar la información requerida, incumpliendo con lo que disponen los artículos 151, 160, 162, 163, 164, 165 y 166, de la Ley de Transparencia y Acceso a la Información Pública del Estado de México y Municipios:</w:t>
      </w:r>
    </w:p>
    <w:p w14:paraId="5421B7F5" w14:textId="77777777" w:rsidR="00D17763" w:rsidRPr="00933920" w:rsidRDefault="00D1776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C9B03D4" w14:textId="77777777" w:rsidR="00D17763" w:rsidRPr="00933920" w:rsidRDefault="006364C0">
      <w:pPr>
        <w:spacing w:line="360" w:lineRule="auto"/>
        <w:ind w:left="284" w:right="19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1EE9CFA" w14:textId="77777777" w:rsidR="00D17763" w:rsidRPr="00933920" w:rsidRDefault="006364C0">
      <w:pPr>
        <w:spacing w:line="360" w:lineRule="auto"/>
        <w:ind w:left="284" w:right="19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4A090F2B" w14:textId="77777777" w:rsidR="00D17763" w:rsidRPr="00933920" w:rsidRDefault="006364C0">
      <w:pPr>
        <w:spacing w:line="360" w:lineRule="auto"/>
        <w:ind w:left="284" w:right="19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5897B11F" w14:textId="77777777" w:rsidR="00D17763" w:rsidRPr="00933920" w:rsidRDefault="006364C0">
      <w:pPr>
        <w:spacing w:line="360" w:lineRule="auto"/>
        <w:ind w:left="284" w:right="19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E72DD8F" w14:textId="77777777" w:rsidR="00D17763" w:rsidRPr="00933920" w:rsidRDefault="006364C0">
      <w:pPr>
        <w:spacing w:line="360" w:lineRule="auto"/>
        <w:ind w:left="284" w:right="19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27AA94FC" w14:textId="77777777" w:rsidR="00D17763" w:rsidRPr="00933920" w:rsidRDefault="006364C0">
      <w:pPr>
        <w:spacing w:line="360" w:lineRule="auto"/>
        <w:ind w:left="284" w:right="19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56225FD0" w14:textId="77777777" w:rsidR="00D17763" w:rsidRPr="00933920" w:rsidRDefault="00D1776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FC28759" w14:textId="77777777" w:rsidR="00D17763" w:rsidRPr="00933920" w:rsidRDefault="006364C0">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En este orden de ideas, se reitera que la Unidad de Transparencia no siguió el procedimiento que establece el artículo 162 de la Ley de Transparencia Local, ya que no turnó la solicitud de información, de manera enunciativa más no limitativa a la Tesorería Municipal</w:t>
      </w:r>
    </w:p>
    <w:p w14:paraId="64CF6AE6" w14:textId="77777777" w:rsidR="00D17763" w:rsidRPr="00933920" w:rsidRDefault="00D17763">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0444E648" w14:textId="77777777" w:rsidR="00D17763" w:rsidRPr="00933920" w:rsidRDefault="006364C0">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Por lo anterior, se ordena realizar una correcta búsqueda exhaustiva y razonable a efecto de localizar y poner a disposición del Recurrente los documentos donde conste el nombre del personal adscrito a la Tercera Regiduría, durante el tiempo en gestión del Servidor Público referido en la solicitud.</w:t>
      </w:r>
    </w:p>
    <w:p w14:paraId="6242FAC5" w14:textId="77777777" w:rsidR="00D17763" w:rsidRPr="00933920" w:rsidRDefault="00D17763">
      <w:pPr>
        <w:spacing w:line="360" w:lineRule="auto"/>
        <w:ind w:right="902"/>
        <w:jc w:val="both"/>
        <w:rPr>
          <w:rFonts w:ascii="Palatino Linotype" w:eastAsia="Palatino Linotype" w:hAnsi="Palatino Linotype" w:cs="Palatino Linotype"/>
          <w:sz w:val="22"/>
          <w:szCs w:val="22"/>
        </w:rPr>
      </w:pPr>
    </w:p>
    <w:p w14:paraId="3E9B549F" w14:textId="77777777" w:rsidR="00D17763" w:rsidRPr="00933920" w:rsidRDefault="006364C0">
      <w:pPr>
        <w:spacing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Por último, el Recurrente solicitó las actividades que realiza el personal adscrito a la Tercera Regiduría, esto es que requiere la información de las actividades de cada uno de los servidores públicos adscritos a dicha unidad administrativa, por lo que es necesario referir que las Regidurías en general, tienen las atribuciones que establece la Ley Orgánica Municipal, en el caso en específico, el Bando Municipal del Sujeto Obligado normatividades que se han citado en líneas anteriores, por lo que el personal adscrito debe realizar las actividades necesarias para cumplir con dichas atribuciones, en consecuencia, se determina que es información que debe ser generada, administrada y poseída por el Sujeto Obligado y tiene la naturaleza de información pública, razón por la que se ordena realizar una búsqueda exhaustiva y razonable a efecto de localizar y poner a disposición del Recurrente los documentos donde consten las actividades realizadas por el personal adscrito a la Tercera Regiduría durante la gestión del Servidor Público señalado en la solicitud.</w:t>
      </w:r>
    </w:p>
    <w:p w14:paraId="680A37AB" w14:textId="77777777" w:rsidR="00D17763" w:rsidRPr="00933920" w:rsidRDefault="006364C0">
      <w:pPr>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 xml:space="preserve">Quinto. Versión Pública. </w:t>
      </w:r>
      <w:r w:rsidRPr="00933920">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w:t>
      </w:r>
      <w:r w:rsidRPr="00933920">
        <w:rPr>
          <w:rFonts w:ascii="Palatino Linotype" w:eastAsia="Palatino Linotype" w:hAnsi="Palatino Linotype" w:cs="Palatino Linotype"/>
          <w:sz w:val="22"/>
          <w:szCs w:val="22"/>
        </w:rPr>
        <w:lastRenderedPageBreak/>
        <w:t xml:space="preserve">tendrá que hacer la elaboración de una versión pública de los documentos que vaya entregar para dar cumplimiento a esta resolución, a fin de satisfacer el derecho de acceso a la información pública del </w:t>
      </w:r>
      <w:r w:rsidRPr="00933920">
        <w:rPr>
          <w:rFonts w:ascii="Palatino Linotype" w:eastAsia="Palatino Linotype" w:hAnsi="Palatino Linotype" w:cs="Palatino Linotype"/>
          <w:b/>
          <w:sz w:val="22"/>
          <w:szCs w:val="22"/>
        </w:rPr>
        <w:t>RECURRENTE</w:t>
      </w:r>
      <w:r w:rsidRPr="00933920">
        <w:rPr>
          <w:rFonts w:ascii="Palatino Linotype" w:eastAsia="Palatino Linotype" w:hAnsi="Palatino Linotype" w:cs="Palatino Linotype"/>
          <w:sz w:val="22"/>
          <w:szCs w:val="22"/>
        </w:rPr>
        <w:t xml:space="preserve"> sin menoscabar el derecho a la protección de los datos personales de terceros. </w:t>
      </w:r>
    </w:p>
    <w:p w14:paraId="6B068824" w14:textId="77777777" w:rsidR="00D17763" w:rsidRPr="00933920" w:rsidRDefault="006364C0">
      <w:pPr>
        <w:spacing w:after="240" w:line="360" w:lineRule="auto"/>
        <w:ind w:right="50"/>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74A1B1EE" w14:textId="77777777" w:rsidR="00D17763" w:rsidRPr="00933920" w:rsidRDefault="006364C0">
      <w:pPr>
        <w:ind w:left="993" w:right="1041"/>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 xml:space="preserve"> “Artículo 3. Para los efectos de la presente Ley se entenderá por:</w:t>
      </w:r>
    </w:p>
    <w:p w14:paraId="7A33E42E" w14:textId="77777777" w:rsidR="00D17763" w:rsidRPr="00933920" w:rsidRDefault="006364C0">
      <w:pPr>
        <w:ind w:left="993" w:right="104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IX. Datos personales:</w:t>
      </w:r>
      <w:r w:rsidRPr="00933920">
        <w:rPr>
          <w:rFonts w:ascii="Palatino Linotype" w:eastAsia="Palatino Linotype" w:hAnsi="Palatino Linotype" w:cs="Palatino Linotype"/>
          <w:i/>
          <w:sz w:val="22"/>
          <w:szCs w:val="22"/>
        </w:rPr>
        <w:t xml:space="preserve"> </w:t>
      </w:r>
      <w:r w:rsidRPr="00933920">
        <w:rPr>
          <w:rFonts w:ascii="Palatino Linotype" w:eastAsia="Palatino Linotype" w:hAnsi="Palatino Linotype" w:cs="Palatino Linotype"/>
          <w:b/>
          <w:i/>
          <w:sz w:val="22"/>
          <w:szCs w:val="22"/>
        </w:rPr>
        <w:t>La información concerniente a una persona, identificada o identificable</w:t>
      </w:r>
      <w:r w:rsidRPr="00933920">
        <w:rPr>
          <w:rFonts w:ascii="Palatino Linotype" w:eastAsia="Palatino Linotype" w:hAnsi="Palatino Linotype" w:cs="Palatino Linotype"/>
          <w:i/>
          <w:sz w:val="22"/>
          <w:szCs w:val="22"/>
        </w:rPr>
        <w:t xml:space="preserve"> según lo dispuesto por la Ley de Protección de Datos Personales del Estado de México;</w:t>
      </w:r>
    </w:p>
    <w:p w14:paraId="33C5A821" w14:textId="77777777" w:rsidR="00D17763" w:rsidRPr="00933920" w:rsidRDefault="006364C0">
      <w:pPr>
        <w:ind w:left="993" w:right="104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XX. Información clasificada:</w:t>
      </w:r>
      <w:r w:rsidRPr="00933920">
        <w:rPr>
          <w:rFonts w:ascii="Palatino Linotype" w:eastAsia="Palatino Linotype" w:hAnsi="Palatino Linotype" w:cs="Palatino Linotype"/>
          <w:i/>
          <w:sz w:val="22"/>
          <w:szCs w:val="22"/>
        </w:rPr>
        <w:t xml:space="preserve"> Aquella considerada por la presente Ley como reservada o confidencial;</w:t>
      </w:r>
    </w:p>
    <w:p w14:paraId="40CFD7B9" w14:textId="77777777" w:rsidR="00D17763" w:rsidRPr="00933920" w:rsidRDefault="006364C0">
      <w:pPr>
        <w:ind w:left="993" w:right="104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XXXII. Protección de Datos Personales:</w:t>
      </w:r>
      <w:r w:rsidRPr="00933920">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093B6F7" w14:textId="77777777" w:rsidR="00D17763" w:rsidRPr="00933920" w:rsidRDefault="006364C0">
      <w:pPr>
        <w:ind w:left="993" w:right="104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XLV. Versión pública</w:t>
      </w:r>
      <w:r w:rsidRPr="0093392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DDEE4A4" w14:textId="77777777" w:rsidR="00D17763" w:rsidRPr="00933920" w:rsidRDefault="00D17763">
      <w:pPr>
        <w:ind w:left="993" w:right="1041"/>
        <w:jc w:val="both"/>
        <w:rPr>
          <w:rFonts w:ascii="Palatino Linotype" w:eastAsia="Palatino Linotype" w:hAnsi="Palatino Linotype" w:cs="Palatino Linotype"/>
          <w:i/>
          <w:sz w:val="22"/>
          <w:szCs w:val="22"/>
        </w:rPr>
      </w:pPr>
    </w:p>
    <w:p w14:paraId="2AF6494A" w14:textId="77777777" w:rsidR="00D17763" w:rsidRPr="00933920" w:rsidRDefault="006364C0">
      <w:pPr>
        <w:ind w:left="993" w:right="104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“Artículo 6.</w:t>
      </w:r>
      <w:r w:rsidRPr="00933920">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566556E" w14:textId="77777777" w:rsidR="00D17763" w:rsidRPr="00933920" w:rsidRDefault="00D17763">
      <w:pPr>
        <w:ind w:left="993" w:right="1041"/>
        <w:jc w:val="both"/>
        <w:rPr>
          <w:rFonts w:ascii="Palatino Linotype" w:eastAsia="Palatino Linotype" w:hAnsi="Palatino Linotype" w:cs="Palatino Linotype"/>
          <w:i/>
          <w:sz w:val="22"/>
          <w:szCs w:val="22"/>
        </w:rPr>
      </w:pPr>
    </w:p>
    <w:p w14:paraId="01E8239F" w14:textId="77777777" w:rsidR="00D17763" w:rsidRPr="00933920" w:rsidRDefault="006364C0">
      <w:pPr>
        <w:ind w:left="993" w:right="1041"/>
        <w:jc w:val="both"/>
        <w:rPr>
          <w:rFonts w:ascii="Palatino Linotype" w:eastAsia="Palatino Linotype" w:hAnsi="Palatino Linotype" w:cs="Palatino Linotype"/>
          <w:b/>
          <w:i/>
          <w:sz w:val="22"/>
          <w:szCs w:val="22"/>
        </w:rPr>
      </w:pPr>
      <w:r w:rsidRPr="00933920">
        <w:rPr>
          <w:rFonts w:ascii="Palatino Linotype" w:eastAsia="Palatino Linotype" w:hAnsi="Palatino Linotype" w:cs="Palatino Linotype"/>
          <w:b/>
          <w:i/>
          <w:sz w:val="22"/>
          <w:szCs w:val="22"/>
        </w:rPr>
        <w:t>“Artículo 137.</w:t>
      </w:r>
      <w:r w:rsidRPr="0093392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1AB4941" w14:textId="77777777" w:rsidR="00D17763" w:rsidRPr="00933920" w:rsidRDefault="00D17763">
      <w:pPr>
        <w:ind w:left="993" w:right="1041"/>
        <w:jc w:val="both"/>
        <w:rPr>
          <w:rFonts w:ascii="Palatino Linotype" w:eastAsia="Palatino Linotype" w:hAnsi="Palatino Linotype" w:cs="Palatino Linotype"/>
          <w:b/>
          <w:i/>
          <w:sz w:val="22"/>
          <w:szCs w:val="22"/>
        </w:rPr>
      </w:pPr>
    </w:p>
    <w:p w14:paraId="632608D2" w14:textId="77777777" w:rsidR="00D17763" w:rsidRPr="00933920" w:rsidRDefault="006364C0">
      <w:pPr>
        <w:ind w:left="993" w:right="104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lastRenderedPageBreak/>
        <w:t>“Artículo 143</w:t>
      </w:r>
      <w:r w:rsidRPr="0093392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52D58B3" w14:textId="77777777" w:rsidR="00D17763" w:rsidRPr="00933920" w:rsidRDefault="006364C0">
      <w:pPr>
        <w:ind w:left="993" w:right="104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I.</w:t>
      </w:r>
      <w:r w:rsidRPr="00933920">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77B0A0E4" w14:textId="77777777" w:rsidR="00D17763" w:rsidRPr="00933920" w:rsidRDefault="006364C0">
      <w:pPr>
        <w:ind w:left="993" w:right="104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E19512D" w14:textId="77777777" w:rsidR="00D17763" w:rsidRPr="00933920" w:rsidRDefault="006364C0">
      <w:pPr>
        <w:ind w:left="993" w:right="104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3C4BF90D" w14:textId="77777777" w:rsidR="00D17763" w:rsidRPr="00933920" w:rsidRDefault="00D17763">
      <w:pPr>
        <w:ind w:left="993" w:right="1041"/>
        <w:jc w:val="both"/>
        <w:rPr>
          <w:rFonts w:ascii="Palatino Linotype" w:eastAsia="Palatino Linotype" w:hAnsi="Palatino Linotype" w:cs="Palatino Linotype"/>
          <w:i/>
          <w:sz w:val="22"/>
          <w:szCs w:val="22"/>
        </w:rPr>
      </w:pPr>
    </w:p>
    <w:p w14:paraId="499E290F" w14:textId="77777777" w:rsidR="00D17763" w:rsidRPr="00933920" w:rsidRDefault="006364C0">
      <w:pPr>
        <w:spacing w:line="360" w:lineRule="auto"/>
        <w:ind w:right="5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933920">
        <w:rPr>
          <w:rFonts w:ascii="Palatino Linotype" w:eastAsia="Palatino Linotype" w:hAnsi="Palatino Linotype" w:cs="Palatino Linotype"/>
          <w:b/>
          <w:sz w:val="22"/>
          <w:szCs w:val="22"/>
        </w:rPr>
        <w:t>RECURRENTE</w:t>
      </w:r>
      <w:r w:rsidRPr="00933920">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39A0D46" w14:textId="77777777" w:rsidR="00D17763" w:rsidRPr="00933920" w:rsidRDefault="00D17763">
      <w:pPr>
        <w:spacing w:line="360" w:lineRule="auto"/>
        <w:ind w:right="51"/>
        <w:jc w:val="both"/>
        <w:rPr>
          <w:rFonts w:ascii="Palatino Linotype" w:eastAsia="Palatino Linotype" w:hAnsi="Palatino Linotype" w:cs="Palatino Linotype"/>
          <w:sz w:val="22"/>
          <w:szCs w:val="22"/>
        </w:rPr>
      </w:pPr>
    </w:p>
    <w:p w14:paraId="57FC14B0" w14:textId="77777777" w:rsidR="00D17763" w:rsidRPr="00933920" w:rsidRDefault="006364C0">
      <w:pPr>
        <w:spacing w:line="360" w:lineRule="auto"/>
        <w:ind w:right="50"/>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CB2911B" w14:textId="77777777" w:rsidR="00D17763" w:rsidRPr="00933920" w:rsidRDefault="00D17763">
      <w:pPr>
        <w:spacing w:line="360" w:lineRule="auto"/>
        <w:ind w:right="51"/>
        <w:jc w:val="both"/>
        <w:rPr>
          <w:rFonts w:ascii="Palatino Linotype" w:eastAsia="Palatino Linotype" w:hAnsi="Palatino Linotype" w:cs="Palatino Linotype"/>
          <w:sz w:val="22"/>
          <w:szCs w:val="22"/>
        </w:rPr>
      </w:pPr>
    </w:p>
    <w:p w14:paraId="6975AB99" w14:textId="77777777" w:rsidR="00D17763" w:rsidRPr="00933920" w:rsidRDefault="006364C0">
      <w:pPr>
        <w:spacing w:line="360" w:lineRule="auto"/>
        <w:ind w:right="5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lastRenderedPageBreak/>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933920">
        <w:rPr>
          <w:rFonts w:ascii="Palatino Linotype" w:eastAsia="Palatino Linotype" w:hAnsi="Palatino Linotype" w:cs="Palatino Linotype"/>
          <w:b/>
          <w:sz w:val="22"/>
          <w:szCs w:val="22"/>
        </w:rPr>
        <w:t>SUJETO OBLIGADO</w:t>
      </w:r>
      <w:r w:rsidRPr="00933920">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6244F0E9" w14:textId="77777777" w:rsidR="00D17763" w:rsidRPr="00933920" w:rsidRDefault="00D17763">
      <w:pPr>
        <w:spacing w:line="360" w:lineRule="auto"/>
        <w:ind w:right="51"/>
        <w:jc w:val="both"/>
        <w:rPr>
          <w:rFonts w:ascii="Palatino Linotype" w:eastAsia="Palatino Linotype" w:hAnsi="Palatino Linotype" w:cs="Palatino Linotype"/>
          <w:sz w:val="22"/>
          <w:szCs w:val="22"/>
        </w:rPr>
      </w:pPr>
    </w:p>
    <w:p w14:paraId="09DAFCCE" w14:textId="77777777" w:rsidR="00D17763" w:rsidRPr="00933920" w:rsidRDefault="006364C0">
      <w:pPr>
        <w:ind w:left="992" w:right="1043"/>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“Artículo 49.</w:t>
      </w:r>
      <w:r w:rsidRPr="00933920">
        <w:rPr>
          <w:rFonts w:ascii="Palatino Linotype" w:eastAsia="Palatino Linotype" w:hAnsi="Palatino Linotype" w:cs="Palatino Linotype"/>
          <w:i/>
          <w:sz w:val="22"/>
          <w:szCs w:val="22"/>
        </w:rPr>
        <w:t xml:space="preserve"> </w:t>
      </w:r>
      <w:r w:rsidRPr="00933920">
        <w:rPr>
          <w:rFonts w:ascii="Palatino Linotype" w:eastAsia="Palatino Linotype" w:hAnsi="Palatino Linotype" w:cs="Palatino Linotype"/>
          <w:b/>
          <w:i/>
          <w:sz w:val="22"/>
          <w:szCs w:val="22"/>
        </w:rPr>
        <w:t>Los Comités de Transparencia</w:t>
      </w:r>
      <w:r w:rsidRPr="00933920">
        <w:rPr>
          <w:rFonts w:ascii="Palatino Linotype" w:eastAsia="Palatino Linotype" w:hAnsi="Palatino Linotype" w:cs="Palatino Linotype"/>
          <w:i/>
          <w:sz w:val="22"/>
          <w:szCs w:val="22"/>
        </w:rPr>
        <w:t xml:space="preserve"> tendrán las siguientes atribuciones:</w:t>
      </w:r>
    </w:p>
    <w:p w14:paraId="31211C5D" w14:textId="77777777" w:rsidR="00D17763" w:rsidRPr="00933920" w:rsidRDefault="006364C0">
      <w:pPr>
        <w:ind w:left="992" w:right="1043"/>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VIII. Aprobar, modificar o revocar la clasificación de la información</w:t>
      </w:r>
      <w:r w:rsidRPr="00933920">
        <w:rPr>
          <w:rFonts w:ascii="Palatino Linotype" w:eastAsia="Palatino Linotype" w:hAnsi="Palatino Linotype" w:cs="Palatino Linotype"/>
          <w:i/>
          <w:sz w:val="22"/>
          <w:szCs w:val="22"/>
        </w:rPr>
        <w:t>…”</w:t>
      </w:r>
    </w:p>
    <w:p w14:paraId="5E49F818" w14:textId="77777777" w:rsidR="00D17763" w:rsidRPr="00933920" w:rsidRDefault="006364C0">
      <w:pPr>
        <w:ind w:left="992" w:right="1043"/>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r w:rsidRPr="00933920">
        <w:rPr>
          <w:rFonts w:ascii="Palatino Linotype" w:eastAsia="Palatino Linotype" w:hAnsi="Palatino Linotype" w:cs="Palatino Linotype"/>
          <w:b/>
          <w:i/>
          <w:sz w:val="22"/>
          <w:szCs w:val="22"/>
        </w:rPr>
        <w:t>Artículo 53.</w:t>
      </w:r>
      <w:r w:rsidRPr="00933920">
        <w:rPr>
          <w:rFonts w:ascii="Palatino Linotype" w:eastAsia="Palatino Linotype" w:hAnsi="Palatino Linotype" w:cs="Palatino Linotype"/>
          <w:i/>
          <w:sz w:val="22"/>
          <w:szCs w:val="22"/>
        </w:rPr>
        <w:t xml:space="preserve"> Las </w:t>
      </w:r>
      <w:r w:rsidRPr="00933920">
        <w:rPr>
          <w:rFonts w:ascii="Palatino Linotype" w:eastAsia="Palatino Linotype" w:hAnsi="Palatino Linotype" w:cs="Palatino Linotype"/>
          <w:b/>
          <w:i/>
          <w:sz w:val="22"/>
          <w:szCs w:val="22"/>
        </w:rPr>
        <w:t>Unidades de Transparencia</w:t>
      </w:r>
      <w:r w:rsidRPr="00933920">
        <w:rPr>
          <w:rFonts w:ascii="Palatino Linotype" w:eastAsia="Palatino Linotype" w:hAnsi="Palatino Linotype" w:cs="Palatino Linotype"/>
          <w:i/>
          <w:sz w:val="22"/>
          <w:szCs w:val="22"/>
        </w:rPr>
        <w:t xml:space="preserve"> tendrán las siguientes </w:t>
      </w:r>
      <w:r w:rsidRPr="00933920">
        <w:rPr>
          <w:rFonts w:ascii="Palatino Linotype" w:eastAsia="Palatino Linotype" w:hAnsi="Palatino Linotype" w:cs="Palatino Linotype"/>
          <w:b/>
          <w:i/>
          <w:sz w:val="22"/>
          <w:szCs w:val="22"/>
        </w:rPr>
        <w:t>funciones</w:t>
      </w:r>
      <w:r w:rsidRPr="00933920">
        <w:rPr>
          <w:rFonts w:ascii="Palatino Linotype" w:eastAsia="Palatino Linotype" w:hAnsi="Palatino Linotype" w:cs="Palatino Linotype"/>
          <w:i/>
          <w:sz w:val="22"/>
          <w:szCs w:val="22"/>
        </w:rPr>
        <w:t>:</w:t>
      </w:r>
    </w:p>
    <w:p w14:paraId="56BFA887" w14:textId="77777777" w:rsidR="00D17763" w:rsidRPr="00933920" w:rsidRDefault="006364C0">
      <w:pPr>
        <w:ind w:left="992" w:right="1043"/>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X. Presentar ante el Comité, el proyecto de clasificación de información</w:t>
      </w:r>
      <w:r w:rsidRPr="00933920">
        <w:rPr>
          <w:rFonts w:ascii="Palatino Linotype" w:eastAsia="Palatino Linotype" w:hAnsi="Palatino Linotype" w:cs="Palatino Linotype"/>
          <w:i/>
          <w:sz w:val="22"/>
          <w:szCs w:val="22"/>
        </w:rPr>
        <w:t xml:space="preserve">…” </w:t>
      </w:r>
    </w:p>
    <w:p w14:paraId="11B12DE5" w14:textId="77777777" w:rsidR="00D17763" w:rsidRPr="00933920" w:rsidRDefault="006364C0">
      <w:pPr>
        <w:ind w:left="992" w:right="1043"/>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“Artículo 59.</w:t>
      </w:r>
      <w:r w:rsidRPr="00933920">
        <w:rPr>
          <w:rFonts w:ascii="Palatino Linotype" w:eastAsia="Palatino Linotype" w:hAnsi="Palatino Linotype" w:cs="Palatino Linotype"/>
          <w:i/>
          <w:sz w:val="22"/>
          <w:szCs w:val="22"/>
        </w:rPr>
        <w:t xml:space="preserve"> Los </w:t>
      </w:r>
      <w:r w:rsidRPr="00933920">
        <w:rPr>
          <w:rFonts w:ascii="Palatino Linotype" w:eastAsia="Palatino Linotype" w:hAnsi="Palatino Linotype" w:cs="Palatino Linotype"/>
          <w:b/>
          <w:i/>
          <w:sz w:val="22"/>
          <w:szCs w:val="22"/>
        </w:rPr>
        <w:t>servidores públicos habilitados</w:t>
      </w:r>
      <w:r w:rsidRPr="00933920">
        <w:rPr>
          <w:rFonts w:ascii="Palatino Linotype" w:eastAsia="Palatino Linotype" w:hAnsi="Palatino Linotype" w:cs="Palatino Linotype"/>
          <w:i/>
          <w:sz w:val="22"/>
          <w:szCs w:val="22"/>
        </w:rPr>
        <w:t xml:space="preserve"> tendrán las </w:t>
      </w:r>
      <w:r w:rsidRPr="00933920">
        <w:rPr>
          <w:rFonts w:ascii="Palatino Linotype" w:eastAsia="Palatino Linotype" w:hAnsi="Palatino Linotype" w:cs="Palatino Linotype"/>
          <w:b/>
          <w:i/>
          <w:sz w:val="22"/>
          <w:szCs w:val="22"/>
        </w:rPr>
        <w:t>funciones</w:t>
      </w:r>
      <w:r w:rsidRPr="00933920">
        <w:rPr>
          <w:rFonts w:ascii="Palatino Linotype" w:eastAsia="Palatino Linotype" w:hAnsi="Palatino Linotype" w:cs="Palatino Linotype"/>
          <w:i/>
          <w:sz w:val="22"/>
          <w:szCs w:val="22"/>
        </w:rPr>
        <w:t xml:space="preserve"> siguientes:</w:t>
      </w:r>
    </w:p>
    <w:p w14:paraId="553A5E6A" w14:textId="77777777" w:rsidR="00D17763" w:rsidRPr="00933920" w:rsidRDefault="006364C0">
      <w:pPr>
        <w:ind w:left="992" w:right="1043"/>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933920">
        <w:rPr>
          <w:rFonts w:ascii="Palatino Linotype" w:eastAsia="Palatino Linotype" w:hAnsi="Palatino Linotype" w:cs="Palatino Linotype"/>
          <w:i/>
          <w:sz w:val="22"/>
          <w:szCs w:val="22"/>
        </w:rPr>
        <w:t xml:space="preserve">, la cual tendrá los fundamentos y argumentos en que se basa dicha propuesta…” </w:t>
      </w:r>
    </w:p>
    <w:p w14:paraId="3B44F980" w14:textId="77777777" w:rsidR="00D17763" w:rsidRPr="00933920" w:rsidRDefault="00D17763">
      <w:pPr>
        <w:ind w:left="992" w:right="1043"/>
        <w:jc w:val="both"/>
        <w:rPr>
          <w:rFonts w:ascii="Palatino Linotype" w:eastAsia="Palatino Linotype" w:hAnsi="Palatino Linotype" w:cs="Palatino Linotype"/>
          <w:i/>
          <w:sz w:val="22"/>
          <w:szCs w:val="22"/>
        </w:rPr>
      </w:pPr>
    </w:p>
    <w:p w14:paraId="60247A0A"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26AC9F7" w14:textId="77777777" w:rsidR="00D17763" w:rsidRPr="00933920" w:rsidRDefault="00D17763">
      <w:pPr>
        <w:spacing w:line="360" w:lineRule="auto"/>
        <w:jc w:val="both"/>
        <w:rPr>
          <w:rFonts w:ascii="Palatino Linotype" w:eastAsia="Palatino Linotype" w:hAnsi="Palatino Linotype" w:cs="Palatino Linotype"/>
          <w:sz w:val="22"/>
          <w:szCs w:val="22"/>
        </w:rPr>
      </w:pPr>
    </w:p>
    <w:p w14:paraId="05D2FDFF"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A66DD75" w14:textId="77777777" w:rsidR="00D17763" w:rsidRPr="00933920" w:rsidRDefault="00D17763">
      <w:pPr>
        <w:spacing w:line="360" w:lineRule="auto"/>
        <w:jc w:val="both"/>
        <w:rPr>
          <w:rFonts w:ascii="Palatino Linotype" w:eastAsia="Palatino Linotype" w:hAnsi="Palatino Linotype" w:cs="Palatino Linotype"/>
          <w:sz w:val="22"/>
          <w:szCs w:val="22"/>
        </w:rPr>
      </w:pPr>
    </w:p>
    <w:p w14:paraId="274A7F5D" w14:textId="77777777" w:rsidR="00D17763" w:rsidRPr="00933920" w:rsidRDefault="006364C0">
      <w:pPr>
        <w:spacing w:after="240"/>
        <w:ind w:left="993" w:right="1041"/>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w:t>
      </w:r>
      <w:r w:rsidRPr="00933920">
        <w:rPr>
          <w:rFonts w:ascii="Palatino Linotype" w:eastAsia="Palatino Linotype" w:hAnsi="Palatino Linotype" w:cs="Palatino Linotype"/>
          <w:b/>
          <w:i/>
          <w:sz w:val="22"/>
          <w:szCs w:val="22"/>
        </w:rPr>
        <w:t>Artículo 149.</w:t>
      </w:r>
      <w:r w:rsidRPr="00933920">
        <w:rPr>
          <w:rFonts w:ascii="Palatino Linotype" w:eastAsia="Palatino Linotype" w:hAnsi="Palatino Linotype" w:cs="Palatino Linotype"/>
          <w:i/>
          <w:sz w:val="22"/>
          <w:szCs w:val="22"/>
        </w:rPr>
        <w:t xml:space="preserve"> El </w:t>
      </w:r>
      <w:r w:rsidRPr="00933920">
        <w:rPr>
          <w:rFonts w:ascii="Palatino Linotype" w:eastAsia="Palatino Linotype" w:hAnsi="Palatino Linotype" w:cs="Palatino Linotype"/>
          <w:b/>
          <w:i/>
          <w:sz w:val="22"/>
          <w:szCs w:val="22"/>
        </w:rPr>
        <w:t>acuerdo que clasifique la información como confidencial</w:t>
      </w:r>
      <w:r w:rsidRPr="0093392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7004CC8D" w14:textId="77777777" w:rsidR="00D17763" w:rsidRPr="00933920" w:rsidRDefault="00D17763">
      <w:pPr>
        <w:spacing w:before="240" w:line="360" w:lineRule="auto"/>
        <w:ind w:right="51"/>
        <w:jc w:val="both"/>
        <w:rPr>
          <w:rFonts w:ascii="Palatino Linotype" w:eastAsia="Palatino Linotype" w:hAnsi="Palatino Linotype" w:cs="Palatino Linotype"/>
          <w:i/>
          <w:sz w:val="22"/>
          <w:szCs w:val="22"/>
        </w:rPr>
      </w:pPr>
    </w:p>
    <w:p w14:paraId="03283F27" w14:textId="77777777" w:rsidR="00D17763" w:rsidRPr="00933920" w:rsidRDefault="006364C0">
      <w:pPr>
        <w:spacing w:line="360" w:lineRule="auto"/>
        <w:ind w:right="5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Es decir, el </w:t>
      </w:r>
      <w:r w:rsidRPr="00933920">
        <w:rPr>
          <w:rFonts w:ascii="Palatino Linotype" w:eastAsia="Palatino Linotype" w:hAnsi="Palatino Linotype" w:cs="Palatino Linotype"/>
          <w:b/>
          <w:sz w:val="22"/>
          <w:szCs w:val="22"/>
        </w:rPr>
        <w:t>SUJETO OBLIGADO</w:t>
      </w:r>
      <w:r w:rsidRPr="00933920">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A0B6D72" w14:textId="77777777" w:rsidR="00D17763" w:rsidRPr="00933920" w:rsidRDefault="00D17763">
      <w:pPr>
        <w:spacing w:line="360" w:lineRule="auto"/>
        <w:ind w:right="51"/>
        <w:jc w:val="both"/>
        <w:rPr>
          <w:rFonts w:ascii="Palatino Linotype" w:eastAsia="Palatino Linotype" w:hAnsi="Palatino Linotype" w:cs="Palatino Linotype"/>
          <w:sz w:val="22"/>
          <w:szCs w:val="22"/>
        </w:rPr>
      </w:pPr>
    </w:p>
    <w:p w14:paraId="637283AF"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Al respecto, se destaca que la versión pública que elabore el </w:t>
      </w:r>
      <w:r w:rsidRPr="00933920">
        <w:rPr>
          <w:rFonts w:ascii="Palatino Linotype" w:eastAsia="Palatino Linotype" w:hAnsi="Palatino Linotype" w:cs="Palatino Linotype"/>
          <w:b/>
          <w:sz w:val="22"/>
          <w:szCs w:val="22"/>
        </w:rPr>
        <w:t>SUJETO OBLIGADO</w:t>
      </w:r>
      <w:r w:rsidRPr="00933920">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933920">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933920">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B32B62D" w14:textId="77777777" w:rsidR="00D17763" w:rsidRPr="00933920" w:rsidRDefault="00D17763">
      <w:pPr>
        <w:ind w:left="709" w:right="709"/>
        <w:jc w:val="both"/>
        <w:rPr>
          <w:rFonts w:ascii="Palatino Linotype" w:eastAsia="Palatino Linotype" w:hAnsi="Palatino Linotype" w:cs="Palatino Linotype"/>
          <w:b/>
          <w:i/>
          <w:sz w:val="22"/>
          <w:szCs w:val="22"/>
        </w:rPr>
      </w:pPr>
    </w:p>
    <w:p w14:paraId="2383C1E1"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14:paraId="10B18CF0"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i/>
          <w:sz w:val="22"/>
          <w:szCs w:val="22"/>
        </w:rPr>
        <w:t>“</w:t>
      </w:r>
      <w:r w:rsidRPr="00933920">
        <w:rPr>
          <w:rFonts w:ascii="Palatino Linotype" w:eastAsia="Palatino Linotype" w:hAnsi="Palatino Linotype" w:cs="Palatino Linotype"/>
          <w:b/>
          <w:i/>
          <w:sz w:val="22"/>
          <w:szCs w:val="22"/>
        </w:rPr>
        <w:t>Segundo.-</w:t>
      </w:r>
      <w:r w:rsidRPr="00933920">
        <w:rPr>
          <w:rFonts w:ascii="Palatino Linotype" w:eastAsia="Palatino Linotype" w:hAnsi="Palatino Linotype" w:cs="Palatino Linotype"/>
          <w:i/>
          <w:sz w:val="22"/>
          <w:szCs w:val="22"/>
        </w:rPr>
        <w:t xml:space="preserve"> Para efectos de los presentes Lineamientos Generales, se entenderá por:</w:t>
      </w:r>
    </w:p>
    <w:p w14:paraId="06788F82"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i/>
          <w:sz w:val="22"/>
          <w:szCs w:val="22"/>
        </w:rPr>
        <w:t>XVIII.</w:t>
      </w:r>
      <w:r w:rsidRPr="00933920">
        <w:rPr>
          <w:rFonts w:ascii="Palatino Linotype" w:eastAsia="Palatino Linotype" w:hAnsi="Palatino Linotype" w:cs="Palatino Linotype"/>
          <w:i/>
          <w:sz w:val="22"/>
          <w:szCs w:val="22"/>
        </w:rPr>
        <w:t xml:space="preserve"> </w:t>
      </w:r>
      <w:r w:rsidRPr="00933920">
        <w:rPr>
          <w:rFonts w:ascii="Palatino Linotype" w:eastAsia="Palatino Linotype" w:hAnsi="Palatino Linotype" w:cs="Palatino Linotype"/>
          <w:b/>
          <w:i/>
          <w:sz w:val="22"/>
          <w:szCs w:val="22"/>
        </w:rPr>
        <w:t>Versión pública:</w:t>
      </w:r>
      <w:r w:rsidRPr="00933920">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33920">
        <w:rPr>
          <w:rFonts w:ascii="Palatino Linotype" w:eastAsia="Palatino Linotype" w:hAnsi="Palatino Linotype" w:cs="Palatino Linotype"/>
          <w:b/>
          <w:i/>
          <w:sz w:val="22"/>
          <w:szCs w:val="22"/>
          <w:u w:val="single"/>
        </w:rPr>
        <w:t>fundando y motivando la</w:t>
      </w:r>
      <w:r w:rsidRPr="00933920">
        <w:rPr>
          <w:rFonts w:ascii="Palatino Linotype" w:eastAsia="Palatino Linotype" w:hAnsi="Palatino Linotype" w:cs="Palatino Linotype"/>
          <w:i/>
          <w:sz w:val="22"/>
          <w:szCs w:val="22"/>
        </w:rPr>
        <w:t xml:space="preserve"> reserva o </w:t>
      </w:r>
      <w:r w:rsidRPr="00933920">
        <w:rPr>
          <w:rFonts w:ascii="Palatino Linotype" w:eastAsia="Palatino Linotype" w:hAnsi="Palatino Linotype" w:cs="Palatino Linotype"/>
          <w:b/>
          <w:i/>
          <w:sz w:val="22"/>
          <w:szCs w:val="22"/>
          <w:u w:val="single"/>
        </w:rPr>
        <w:t>confidencialidad</w:t>
      </w:r>
      <w:r w:rsidRPr="00933920">
        <w:rPr>
          <w:rFonts w:ascii="Palatino Linotype" w:eastAsia="Palatino Linotype" w:hAnsi="Palatino Linotype" w:cs="Palatino Linotype"/>
          <w:i/>
          <w:sz w:val="22"/>
          <w:szCs w:val="22"/>
        </w:rPr>
        <w:t>, a través de la resolución que para tal efecto emita el Comité de Transparencia.</w:t>
      </w:r>
    </w:p>
    <w:p w14:paraId="5A262A2B"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i/>
          <w:sz w:val="22"/>
          <w:szCs w:val="22"/>
        </w:rPr>
        <w:t>Cuarto.</w:t>
      </w:r>
      <w:r w:rsidRPr="00933920">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52C9974"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B07A4D9"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i/>
          <w:sz w:val="22"/>
          <w:szCs w:val="22"/>
        </w:rPr>
        <w:t>Quinto.</w:t>
      </w:r>
      <w:r w:rsidRPr="00933920">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F4BEB08"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i/>
          <w:sz w:val="22"/>
          <w:szCs w:val="22"/>
        </w:rPr>
        <w:t>…</w:t>
      </w:r>
    </w:p>
    <w:p w14:paraId="6E844F58"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i/>
          <w:sz w:val="22"/>
          <w:szCs w:val="22"/>
        </w:rPr>
        <w:t>Séptimo.</w:t>
      </w:r>
      <w:r w:rsidRPr="00933920">
        <w:rPr>
          <w:rFonts w:ascii="Palatino Linotype" w:eastAsia="Palatino Linotype" w:hAnsi="Palatino Linotype" w:cs="Palatino Linotype"/>
          <w:i/>
          <w:sz w:val="22"/>
          <w:szCs w:val="22"/>
        </w:rPr>
        <w:t xml:space="preserve"> La clasificación de la información se llevará a cabo en el momento en que:</w:t>
      </w:r>
    </w:p>
    <w:p w14:paraId="64E4E112"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i/>
          <w:sz w:val="22"/>
          <w:szCs w:val="22"/>
        </w:rPr>
        <w:t>I.</w:t>
      </w:r>
      <w:r w:rsidRPr="00933920">
        <w:rPr>
          <w:rFonts w:ascii="Palatino Linotype" w:eastAsia="Palatino Linotype" w:hAnsi="Palatino Linotype" w:cs="Palatino Linotype"/>
          <w:i/>
          <w:sz w:val="22"/>
          <w:szCs w:val="22"/>
        </w:rPr>
        <w:t xml:space="preserve"> Se reciba una solicitud de acceso a la información;</w:t>
      </w:r>
    </w:p>
    <w:p w14:paraId="3B9B645A"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II.</w:t>
      </w:r>
      <w:r w:rsidRPr="00933920">
        <w:rPr>
          <w:rFonts w:ascii="Palatino Linotype" w:eastAsia="Palatino Linotype" w:hAnsi="Palatino Linotype" w:cs="Palatino Linotype"/>
          <w:i/>
          <w:sz w:val="22"/>
          <w:szCs w:val="22"/>
        </w:rPr>
        <w:t xml:space="preserve"> Se  determine mediante resolución del Comité de Transparencia, el órgano garante </w:t>
      </w:r>
    </w:p>
    <w:p w14:paraId="5365B15A"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i/>
          <w:sz w:val="22"/>
          <w:szCs w:val="22"/>
        </w:rPr>
        <w:t>competente, o en cumplimiento a una sentencia del Poder Judicial; o</w:t>
      </w:r>
    </w:p>
    <w:p w14:paraId="7F51AFAB"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i/>
          <w:sz w:val="22"/>
          <w:szCs w:val="22"/>
        </w:rPr>
        <w:t>III.</w:t>
      </w:r>
      <w:r w:rsidRPr="00933920">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BCD3B7D"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B701ABB"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bookmarkStart w:id="5" w:name="_heading=h.17dp8vu" w:colFirst="0" w:colLast="0"/>
      <w:bookmarkEnd w:id="5"/>
      <w:r w:rsidRPr="00933920">
        <w:rPr>
          <w:rFonts w:ascii="Palatino Linotype" w:eastAsia="Palatino Linotype" w:hAnsi="Palatino Linotype" w:cs="Palatino Linotype"/>
          <w:b/>
          <w:i/>
          <w:sz w:val="22"/>
          <w:szCs w:val="22"/>
        </w:rPr>
        <w:t>Octavo.</w:t>
      </w:r>
      <w:r w:rsidRPr="00933920">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6BE3632"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A321A32"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i/>
          <w:sz w:val="22"/>
          <w:szCs w:val="22"/>
        </w:rPr>
        <w:lastRenderedPageBreak/>
        <w:t>Noveno.</w:t>
      </w:r>
      <w:r w:rsidRPr="00933920">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F23B792"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i/>
          <w:sz w:val="22"/>
          <w:szCs w:val="22"/>
        </w:rPr>
        <w:t>Décimo.</w:t>
      </w:r>
      <w:r w:rsidRPr="00933920">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84639D9"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926238E" w14:textId="77777777" w:rsidR="00D17763" w:rsidRPr="00933920" w:rsidRDefault="006364C0">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b/>
          <w:i/>
          <w:sz w:val="22"/>
          <w:szCs w:val="22"/>
        </w:rPr>
        <w:t>Décimo primero.</w:t>
      </w:r>
      <w:r w:rsidRPr="00933920">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72EE3D1" w14:textId="77777777" w:rsidR="00D17763" w:rsidRPr="00933920" w:rsidRDefault="00D17763">
      <w:pPr>
        <w:pBdr>
          <w:top w:val="nil"/>
          <w:left w:val="nil"/>
          <w:bottom w:val="nil"/>
          <w:right w:val="nil"/>
          <w:between w:val="nil"/>
        </w:pBdr>
        <w:ind w:right="709"/>
        <w:jc w:val="both"/>
        <w:rPr>
          <w:rFonts w:ascii="Palatino Linotype" w:eastAsia="Palatino Linotype" w:hAnsi="Palatino Linotype" w:cs="Palatino Linotype"/>
          <w:sz w:val="22"/>
          <w:szCs w:val="22"/>
        </w:rPr>
      </w:pPr>
    </w:p>
    <w:p w14:paraId="2CE68B9D" w14:textId="77777777" w:rsidR="00D17763" w:rsidRPr="00933920" w:rsidRDefault="00D177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p>
    <w:p w14:paraId="2386D2D7" w14:textId="77777777" w:rsidR="00D17763" w:rsidRPr="00933920" w:rsidRDefault="006364C0">
      <w:pPr>
        <w:spacing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06533C8E" w14:textId="77777777" w:rsidR="00D17763" w:rsidRPr="00933920" w:rsidRDefault="00D17763">
      <w:pPr>
        <w:spacing w:line="360" w:lineRule="auto"/>
        <w:jc w:val="both"/>
        <w:rPr>
          <w:rFonts w:ascii="Palatino Linotype" w:eastAsia="Palatino Linotype" w:hAnsi="Palatino Linotype" w:cs="Palatino Linotype"/>
          <w:sz w:val="22"/>
          <w:szCs w:val="22"/>
        </w:rPr>
      </w:pPr>
    </w:p>
    <w:p w14:paraId="4246BAC6" w14:textId="77777777" w:rsidR="00D17763" w:rsidRPr="00933920" w:rsidRDefault="006364C0">
      <w:pPr>
        <w:shd w:val="clear" w:color="auto" w:fill="FFFFFF"/>
        <w:spacing w:line="360" w:lineRule="auto"/>
        <w:ind w:right="51"/>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sidRPr="00933920">
        <w:rPr>
          <w:rFonts w:ascii="Palatino Linotype" w:eastAsia="Palatino Linotype" w:hAnsi="Palatino Linotype" w:cs="Palatino Linotype"/>
          <w:sz w:val="22"/>
          <w:szCs w:val="22"/>
        </w:rPr>
        <w:lastRenderedPageBreak/>
        <w:t xml:space="preserve">por lo que el acuerdo respectivo, deberá hacerse del conocimiento de la parte </w:t>
      </w:r>
      <w:r w:rsidRPr="00933920">
        <w:rPr>
          <w:rFonts w:ascii="Palatino Linotype" w:eastAsia="Palatino Linotype" w:hAnsi="Palatino Linotype" w:cs="Palatino Linotype"/>
          <w:b/>
          <w:sz w:val="22"/>
          <w:szCs w:val="22"/>
        </w:rPr>
        <w:t>RECURRENTE</w:t>
      </w:r>
      <w:r w:rsidRPr="00933920">
        <w:rPr>
          <w:rFonts w:ascii="Palatino Linotype" w:eastAsia="Palatino Linotype" w:hAnsi="Palatino Linotype" w:cs="Palatino Linotype"/>
          <w:sz w:val="22"/>
          <w:szCs w:val="22"/>
        </w:rPr>
        <w:t>.</w:t>
      </w:r>
    </w:p>
    <w:p w14:paraId="2E7817B2" w14:textId="77777777" w:rsidR="00D17763" w:rsidRPr="00933920" w:rsidRDefault="00D17763">
      <w:pPr>
        <w:spacing w:line="360" w:lineRule="auto"/>
        <w:jc w:val="both"/>
        <w:rPr>
          <w:rFonts w:ascii="Palatino Linotype" w:eastAsia="Palatino Linotype" w:hAnsi="Palatino Linotype" w:cs="Palatino Linotype"/>
          <w:sz w:val="22"/>
          <w:szCs w:val="22"/>
        </w:rPr>
      </w:pPr>
    </w:p>
    <w:p w14:paraId="5031D25E" w14:textId="77777777" w:rsidR="00D17763" w:rsidRPr="00933920" w:rsidRDefault="006364C0">
      <w:pPr>
        <w:spacing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22603DA9" w14:textId="77777777" w:rsidR="00D17763" w:rsidRPr="00933920" w:rsidRDefault="006364C0">
      <w:pPr>
        <w:numPr>
          <w:ilvl w:val="0"/>
          <w:numId w:val="8"/>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R E S U E L V E:</w:t>
      </w:r>
    </w:p>
    <w:p w14:paraId="612A4A3E" w14:textId="77777777" w:rsidR="00D17763" w:rsidRPr="00933920" w:rsidRDefault="006364C0">
      <w:pP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 xml:space="preserve">Primero. </w:t>
      </w:r>
      <w:r w:rsidRPr="00933920">
        <w:rPr>
          <w:rFonts w:ascii="Palatino Linotype" w:eastAsia="Palatino Linotype" w:hAnsi="Palatino Linotype" w:cs="Palatino Linotype"/>
          <w:sz w:val="22"/>
          <w:szCs w:val="22"/>
        </w:rPr>
        <w:t xml:space="preserve">Resultan parcialmente fundados los motivos de inconformidad hechos valer por la parte </w:t>
      </w:r>
      <w:r w:rsidRPr="00933920">
        <w:rPr>
          <w:rFonts w:ascii="Palatino Linotype" w:eastAsia="Palatino Linotype" w:hAnsi="Palatino Linotype" w:cs="Palatino Linotype"/>
          <w:b/>
          <w:sz w:val="22"/>
          <w:szCs w:val="22"/>
        </w:rPr>
        <w:t>RECURRENTE</w:t>
      </w:r>
      <w:r w:rsidRPr="00933920">
        <w:rPr>
          <w:rFonts w:ascii="Palatino Linotype" w:eastAsia="Palatino Linotype" w:hAnsi="Palatino Linotype" w:cs="Palatino Linotype"/>
          <w:sz w:val="22"/>
          <w:szCs w:val="22"/>
        </w:rPr>
        <w:t xml:space="preserve"> en el Recurso de Revisión </w:t>
      </w:r>
      <w:r w:rsidRPr="00933920">
        <w:rPr>
          <w:rFonts w:ascii="Palatino Linotype" w:eastAsia="Palatino Linotype" w:hAnsi="Palatino Linotype" w:cs="Palatino Linotype"/>
          <w:b/>
          <w:sz w:val="22"/>
          <w:szCs w:val="22"/>
        </w:rPr>
        <w:t xml:space="preserve">00284/INFOEM/IP/RR/2025; </w:t>
      </w:r>
      <w:r w:rsidRPr="00933920">
        <w:rPr>
          <w:rFonts w:ascii="Palatino Linotype" w:eastAsia="Palatino Linotype" w:hAnsi="Palatino Linotype" w:cs="Palatino Linotype"/>
          <w:sz w:val="22"/>
          <w:szCs w:val="22"/>
        </w:rPr>
        <w:t xml:space="preserve">por lo que, en términos del considerando </w:t>
      </w:r>
      <w:r w:rsidRPr="00933920">
        <w:rPr>
          <w:rFonts w:ascii="Palatino Linotype" w:eastAsia="Palatino Linotype" w:hAnsi="Palatino Linotype" w:cs="Palatino Linotype"/>
          <w:b/>
          <w:sz w:val="22"/>
          <w:szCs w:val="22"/>
        </w:rPr>
        <w:t xml:space="preserve">Cuarto </w:t>
      </w:r>
      <w:r w:rsidRPr="00933920">
        <w:rPr>
          <w:rFonts w:ascii="Palatino Linotype" w:eastAsia="Palatino Linotype" w:hAnsi="Palatino Linotype" w:cs="Palatino Linotype"/>
          <w:sz w:val="22"/>
          <w:szCs w:val="22"/>
        </w:rPr>
        <w:t xml:space="preserve">de esta resolución, se </w:t>
      </w:r>
      <w:r w:rsidRPr="00933920">
        <w:rPr>
          <w:rFonts w:ascii="Palatino Linotype" w:eastAsia="Palatino Linotype" w:hAnsi="Palatino Linotype" w:cs="Palatino Linotype"/>
          <w:b/>
          <w:sz w:val="22"/>
          <w:szCs w:val="22"/>
        </w:rPr>
        <w:t xml:space="preserve">MODIFICA </w:t>
      </w:r>
      <w:r w:rsidRPr="00933920">
        <w:rPr>
          <w:rFonts w:ascii="Palatino Linotype" w:eastAsia="Palatino Linotype" w:hAnsi="Palatino Linotype" w:cs="Palatino Linotype"/>
          <w:sz w:val="22"/>
          <w:szCs w:val="22"/>
        </w:rPr>
        <w:t xml:space="preserve">la respuesta emitida por el </w:t>
      </w:r>
      <w:r w:rsidRPr="00933920">
        <w:rPr>
          <w:rFonts w:ascii="Palatino Linotype" w:eastAsia="Palatino Linotype" w:hAnsi="Palatino Linotype" w:cs="Palatino Linotype"/>
          <w:b/>
          <w:sz w:val="22"/>
          <w:szCs w:val="22"/>
        </w:rPr>
        <w:t>SUJETO OBLIGADO</w:t>
      </w:r>
      <w:r w:rsidRPr="00933920">
        <w:rPr>
          <w:rFonts w:ascii="Palatino Linotype" w:eastAsia="Palatino Linotype" w:hAnsi="Palatino Linotype" w:cs="Palatino Linotype"/>
          <w:sz w:val="22"/>
          <w:szCs w:val="22"/>
        </w:rPr>
        <w:t>.</w:t>
      </w:r>
    </w:p>
    <w:p w14:paraId="2E6F222A" w14:textId="77777777" w:rsidR="00D17763" w:rsidRPr="00933920" w:rsidRDefault="006364C0">
      <w:pPr>
        <w:spacing w:before="240" w:after="240"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 xml:space="preserve">Segundo. </w:t>
      </w:r>
      <w:r w:rsidRPr="00933920">
        <w:rPr>
          <w:rFonts w:ascii="Palatino Linotype" w:eastAsia="Palatino Linotype" w:hAnsi="Palatino Linotype" w:cs="Palatino Linotype"/>
          <w:sz w:val="22"/>
          <w:szCs w:val="22"/>
        </w:rPr>
        <w:t>Se</w:t>
      </w:r>
      <w:r w:rsidRPr="00933920">
        <w:rPr>
          <w:rFonts w:ascii="Palatino Linotype" w:eastAsia="Palatino Linotype" w:hAnsi="Palatino Linotype" w:cs="Palatino Linotype"/>
          <w:b/>
          <w:sz w:val="22"/>
          <w:szCs w:val="22"/>
        </w:rPr>
        <w:t xml:space="preserve"> ORDENA </w:t>
      </w:r>
      <w:r w:rsidRPr="00933920">
        <w:rPr>
          <w:rFonts w:ascii="Palatino Linotype" w:eastAsia="Palatino Linotype" w:hAnsi="Palatino Linotype" w:cs="Palatino Linotype"/>
          <w:sz w:val="22"/>
          <w:szCs w:val="22"/>
        </w:rPr>
        <w:t xml:space="preserve">al </w:t>
      </w:r>
      <w:r w:rsidRPr="00933920">
        <w:rPr>
          <w:rFonts w:ascii="Palatino Linotype" w:eastAsia="Palatino Linotype" w:hAnsi="Palatino Linotype" w:cs="Palatino Linotype"/>
          <w:b/>
          <w:sz w:val="22"/>
          <w:szCs w:val="22"/>
        </w:rPr>
        <w:t>SUJETO OBLIGADO</w:t>
      </w:r>
      <w:r w:rsidRPr="00933920">
        <w:rPr>
          <w:rFonts w:ascii="Palatino Linotype" w:eastAsia="Palatino Linotype" w:hAnsi="Palatino Linotype" w:cs="Palatino Linotype"/>
          <w:sz w:val="22"/>
          <w:szCs w:val="22"/>
        </w:rPr>
        <w:t xml:space="preserve"> a que,</w:t>
      </w:r>
      <w:r w:rsidRPr="00933920">
        <w:rPr>
          <w:rFonts w:ascii="Palatino Linotype" w:eastAsia="Palatino Linotype" w:hAnsi="Palatino Linotype" w:cs="Palatino Linotype"/>
          <w:b/>
          <w:sz w:val="22"/>
          <w:szCs w:val="22"/>
        </w:rPr>
        <w:t xml:space="preserve"> </w:t>
      </w:r>
      <w:r w:rsidRPr="00933920">
        <w:rPr>
          <w:rFonts w:ascii="Palatino Linotype" w:eastAsia="Palatino Linotype" w:hAnsi="Palatino Linotype" w:cs="Palatino Linotype"/>
          <w:sz w:val="22"/>
          <w:szCs w:val="22"/>
        </w:rPr>
        <w:t>en términos del Considerando Cuarto y Quinto, haga entrega vía SAIMEX, previa búsqueda exhaustiva y razonable, de ser el caso en versión pública, los documentos donde conste la siguiente información:</w:t>
      </w:r>
    </w:p>
    <w:p w14:paraId="787E5F79" w14:textId="77777777" w:rsidR="00D17763" w:rsidRPr="00933920" w:rsidRDefault="006364C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6" w:name="_heading=h.1fob9te" w:colFirst="0" w:colLast="0"/>
      <w:bookmarkEnd w:id="6"/>
      <w:r w:rsidRPr="00933920">
        <w:rPr>
          <w:rFonts w:ascii="Palatino Linotype" w:eastAsia="Palatino Linotype" w:hAnsi="Palatino Linotype" w:cs="Palatino Linotype"/>
          <w:b/>
          <w:sz w:val="22"/>
          <w:szCs w:val="22"/>
        </w:rPr>
        <w:t>De la Tercera Regiduría, durante el tiempo que fue Regidor el Servidor Público referido en la solicitud:</w:t>
      </w:r>
    </w:p>
    <w:p w14:paraId="2321AA55" w14:textId="77777777" w:rsidR="00D17763" w:rsidRPr="00933920" w:rsidRDefault="006364C0">
      <w:pPr>
        <w:numPr>
          <w:ilvl w:val="0"/>
          <w:numId w:val="6"/>
        </w:numPr>
        <w:pBdr>
          <w:top w:val="nil"/>
          <w:left w:val="nil"/>
          <w:bottom w:val="nil"/>
          <w:right w:val="nil"/>
          <w:between w:val="nil"/>
        </w:pBdr>
        <w:spacing w:line="360" w:lineRule="auto"/>
        <w:ind w:left="1276"/>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Gestiones realizadas;</w:t>
      </w:r>
    </w:p>
    <w:p w14:paraId="5D903EA4" w14:textId="77777777" w:rsidR="00D17763" w:rsidRPr="00933920" w:rsidRDefault="006364C0">
      <w:pPr>
        <w:numPr>
          <w:ilvl w:val="0"/>
          <w:numId w:val="6"/>
        </w:numPr>
        <w:pBdr>
          <w:top w:val="nil"/>
          <w:left w:val="nil"/>
          <w:bottom w:val="nil"/>
          <w:right w:val="nil"/>
          <w:between w:val="nil"/>
        </w:pBdr>
        <w:spacing w:line="360" w:lineRule="auto"/>
        <w:ind w:left="1276"/>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Destino del presupuesto ejercido;</w:t>
      </w:r>
    </w:p>
    <w:p w14:paraId="01C00986" w14:textId="77777777" w:rsidR="00D17763" w:rsidRPr="00933920" w:rsidRDefault="006364C0">
      <w:pPr>
        <w:numPr>
          <w:ilvl w:val="0"/>
          <w:numId w:val="6"/>
        </w:numPr>
        <w:pBdr>
          <w:top w:val="nil"/>
          <w:left w:val="nil"/>
          <w:bottom w:val="nil"/>
          <w:right w:val="nil"/>
          <w:between w:val="nil"/>
        </w:pBdr>
        <w:spacing w:line="360" w:lineRule="auto"/>
        <w:ind w:left="1276"/>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 xml:space="preserve">Actividades asignadas al personal adscrito; </w:t>
      </w:r>
    </w:p>
    <w:p w14:paraId="3F3A1B64" w14:textId="77777777" w:rsidR="00D17763" w:rsidRPr="00933920" w:rsidRDefault="006364C0">
      <w:pPr>
        <w:numPr>
          <w:ilvl w:val="0"/>
          <w:numId w:val="6"/>
        </w:numPr>
        <w:pBdr>
          <w:top w:val="nil"/>
          <w:left w:val="nil"/>
          <w:bottom w:val="nil"/>
          <w:right w:val="nil"/>
          <w:between w:val="nil"/>
        </w:pBdr>
        <w:spacing w:line="360" w:lineRule="auto"/>
        <w:ind w:left="1276"/>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Personal adscrito;</w:t>
      </w:r>
    </w:p>
    <w:p w14:paraId="3339B0A2" w14:textId="77777777" w:rsidR="00D17763" w:rsidRPr="00933920" w:rsidRDefault="006364C0">
      <w:pPr>
        <w:numPr>
          <w:ilvl w:val="0"/>
          <w:numId w:val="6"/>
        </w:numPr>
        <w:pBdr>
          <w:top w:val="nil"/>
          <w:left w:val="nil"/>
          <w:bottom w:val="nil"/>
          <w:right w:val="nil"/>
          <w:between w:val="nil"/>
        </w:pBdr>
        <w:spacing w:after="240" w:line="360" w:lineRule="auto"/>
        <w:ind w:left="1276"/>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t xml:space="preserve">Acuerdo emitido por el Comité de Transparencia mediante el cual se declare la inexistencia de la ficha curricular o currículum vitae con documentación comprobatoria del personal adscrito a la Tercera Regiduría en términos de </w:t>
      </w:r>
      <w:r w:rsidRPr="00933920">
        <w:rPr>
          <w:rFonts w:ascii="Palatino Linotype" w:eastAsia="Palatino Linotype" w:hAnsi="Palatino Linotype" w:cs="Palatino Linotype"/>
          <w:b/>
          <w:sz w:val="22"/>
          <w:szCs w:val="22"/>
        </w:rPr>
        <w:lastRenderedPageBreak/>
        <w:t>los artículos 49, fracciones II y XIII, 169 y 170 de la Ley de Transparencia y Acceso a la Información Pública del Estado de México y Municipios.</w:t>
      </w:r>
    </w:p>
    <w:p w14:paraId="473A1782" w14:textId="77777777" w:rsidR="00D17763" w:rsidRPr="00933920" w:rsidRDefault="006364C0">
      <w:pPr>
        <w:pBdr>
          <w:top w:val="nil"/>
          <w:left w:val="nil"/>
          <w:bottom w:val="nil"/>
          <w:right w:val="nil"/>
          <w:between w:val="nil"/>
        </w:pBdr>
        <w:spacing w:line="360" w:lineRule="auto"/>
        <w:ind w:left="284" w:right="40"/>
        <w:jc w:val="both"/>
        <w:rPr>
          <w:rFonts w:ascii="Palatino Linotype" w:eastAsia="Palatino Linotype" w:hAnsi="Palatino Linotype" w:cs="Palatino Linotype"/>
          <w:i/>
          <w:sz w:val="22"/>
          <w:szCs w:val="22"/>
        </w:rPr>
      </w:pPr>
      <w:r w:rsidRPr="00933920">
        <w:rPr>
          <w:rFonts w:ascii="Palatino Linotype" w:eastAsia="Palatino Linotype" w:hAnsi="Palatino Linotype" w:cs="Palatino Linotype"/>
          <w:i/>
          <w:sz w:val="22"/>
          <w:szCs w:val="22"/>
        </w:rPr>
        <w:t>Para la entrega en versión pública, se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1AA4BC35" w14:textId="77777777" w:rsidR="00D17763" w:rsidRPr="00933920" w:rsidRDefault="00D17763">
      <w:pPr>
        <w:pBdr>
          <w:top w:val="nil"/>
          <w:left w:val="nil"/>
          <w:bottom w:val="nil"/>
          <w:right w:val="nil"/>
          <w:between w:val="nil"/>
        </w:pBdr>
        <w:spacing w:line="360" w:lineRule="auto"/>
        <w:ind w:left="284" w:right="40"/>
        <w:jc w:val="both"/>
        <w:rPr>
          <w:rFonts w:ascii="Palatino Linotype" w:eastAsia="Palatino Linotype" w:hAnsi="Palatino Linotype" w:cs="Palatino Linotype"/>
          <w:i/>
          <w:sz w:val="22"/>
          <w:szCs w:val="22"/>
        </w:rPr>
      </w:pPr>
    </w:p>
    <w:p w14:paraId="3CD4F8E6" w14:textId="77777777" w:rsidR="00D17763" w:rsidRPr="00933920" w:rsidRDefault="006364C0">
      <w:pPr>
        <w:spacing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 xml:space="preserve">Tercero. Notifíquese, </w:t>
      </w:r>
      <w:r w:rsidRPr="00933920">
        <w:rPr>
          <w:rFonts w:ascii="Palatino Linotype" w:eastAsia="Palatino Linotype" w:hAnsi="Palatino Linotype" w:cs="Palatino Linotype"/>
          <w:sz w:val="22"/>
          <w:szCs w:val="22"/>
        </w:rPr>
        <w:t xml:space="preserve">vía </w:t>
      </w:r>
      <w:r w:rsidRPr="00933920">
        <w:rPr>
          <w:rFonts w:ascii="Palatino Linotype" w:eastAsia="Palatino Linotype" w:hAnsi="Palatino Linotype" w:cs="Palatino Linotype"/>
          <w:b/>
          <w:sz w:val="22"/>
          <w:szCs w:val="22"/>
        </w:rPr>
        <w:t>SAIMEX</w:t>
      </w:r>
      <w:r w:rsidRPr="00933920">
        <w:rPr>
          <w:rFonts w:ascii="Palatino Linotype" w:eastAsia="Palatino Linotype" w:hAnsi="Palatino Linotype" w:cs="Palatino Linotype"/>
          <w:sz w:val="22"/>
          <w:szCs w:val="22"/>
        </w:rPr>
        <w:t xml:space="preserve">, al Titular de la Unidad de Transparencia del </w:t>
      </w:r>
      <w:r w:rsidRPr="00933920">
        <w:rPr>
          <w:rFonts w:ascii="Palatino Linotype" w:eastAsia="Palatino Linotype" w:hAnsi="Palatino Linotype" w:cs="Palatino Linotype"/>
          <w:b/>
          <w:sz w:val="22"/>
          <w:szCs w:val="22"/>
        </w:rPr>
        <w:t>SUJETO OBLIGADO,</w:t>
      </w:r>
      <w:r w:rsidRPr="00933920">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15D5982" w14:textId="77777777" w:rsidR="00D17763" w:rsidRPr="00933920" w:rsidRDefault="00D17763">
      <w:pPr>
        <w:spacing w:line="360" w:lineRule="auto"/>
        <w:ind w:right="49"/>
        <w:jc w:val="both"/>
        <w:rPr>
          <w:rFonts w:ascii="Palatino Linotype" w:eastAsia="Palatino Linotype" w:hAnsi="Palatino Linotype" w:cs="Palatino Linotype"/>
          <w:b/>
          <w:sz w:val="22"/>
          <w:szCs w:val="22"/>
        </w:rPr>
      </w:pPr>
    </w:p>
    <w:p w14:paraId="053FB4C9" w14:textId="77777777" w:rsidR="00D17763" w:rsidRPr="00933920" w:rsidRDefault="006364C0">
      <w:pPr>
        <w:spacing w:line="360" w:lineRule="auto"/>
        <w:ind w:right="49"/>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b/>
          <w:sz w:val="22"/>
          <w:szCs w:val="22"/>
        </w:rPr>
        <w:t>Cuarto.</w:t>
      </w:r>
      <w:r w:rsidRPr="00933920">
        <w:rPr>
          <w:rFonts w:ascii="Palatino Linotype" w:eastAsia="Palatino Linotype" w:hAnsi="Palatino Linotype" w:cs="Palatino Linotype"/>
          <w:sz w:val="22"/>
          <w:szCs w:val="22"/>
        </w:rPr>
        <w:t xml:space="preserve"> </w:t>
      </w:r>
      <w:r w:rsidRPr="00933920">
        <w:rPr>
          <w:rFonts w:ascii="Palatino Linotype" w:eastAsia="Palatino Linotype" w:hAnsi="Palatino Linotype" w:cs="Palatino Linotype"/>
          <w:b/>
          <w:sz w:val="22"/>
          <w:szCs w:val="22"/>
        </w:rPr>
        <w:t>Notifíquese vía SAIMEX</w:t>
      </w:r>
      <w:r w:rsidRPr="00933920">
        <w:rPr>
          <w:rFonts w:ascii="Palatino Linotype" w:eastAsia="Palatino Linotype" w:hAnsi="Palatino Linotype" w:cs="Palatino Linotype"/>
          <w:sz w:val="22"/>
          <w:szCs w:val="22"/>
        </w:rPr>
        <w:t xml:space="preserve"> a la parte </w:t>
      </w:r>
      <w:r w:rsidRPr="00933920">
        <w:rPr>
          <w:rFonts w:ascii="Palatino Linotype" w:eastAsia="Palatino Linotype" w:hAnsi="Palatino Linotype" w:cs="Palatino Linotype"/>
          <w:b/>
          <w:sz w:val="22"/>
          <w:szCs w:val="22"/>
        </w:rPr>
        <w:t xml:space="preserve">RECURRENTE </w:t>
      </w:r>
      <w:r w:rsidRPr="00933920">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y en los artículos 159 y 160 de la Ley General de Transparencia y Acceso a la Información Pública, en caso de que considere que la resolución le cause algún perjuicio podrá impugnarla  vía juicio de amparo en los términos de las leyes aplicables o, vía recurso de inconformidad ante el Instituto Nacional de Transparencia, Acceso a la Información y Protección de Datos Personales (INAI).</w:t>
      </w:r>
    </w:p>
    <w:p w14:paraId="78072D5A" w14:textId="77777777" w:rsidR="00D17763" w:rsidRPr="00933920" w:rsidRDefault="006364C0">
      <w:pPr>
        <w:spacing w:before="240" w:after="240" w:line="360" w:lineRule="auto"/>
        <w:jc w:val="both"/>
        <w:rPr>
          <w:rFonts w:ascii="Palatino Linotype" w:eastAsia="Palatino Linotype" w:hAnsi="Palatino Linotype" w:cs="Palatino Linotype"/>
          <w:b/>
          <w:sz w:val="22"/>
          <w:szCs w:val="22"/>
        </w:rPr>
      </w:pPr>
      <w:r w:rsidRPr="00933920">
        <w:rPr>
          <w:rFonts w:ascii="Palatino Linotype" w:eastAsia="Palatino Linotype" w:hAnsi="Palatino Linotype" w:cs="Palatino Linotype"/>
          <w:b/>
          <w:sz w:val="22"/>
          <w:szCs w:val="22"/>
        </w:rPr>
        <w:lastRenderedPageBreak/>
        <w:t>Quinto.</w:t>
      </w:r>
      <w:r w:rsidRPr="00933920">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63C796" w14:textId="6121EE31" w:rsidR="00D17763" w:rsidRPr="004C7AFE" w:rsidRDefault="006364C0">
      <w:pPr>
        <w:spacing w:before="240" w:after="240" w:line="360" w:lineRule="auto"/>
        <w:jc w:val="both"/>
        <w:rPr>
          <w:rFonts w:ascii="Palatino Linotype" w:eastAsia="Palatino Linotype" w:hAnsi="Palatino Linotype" w:cs="Palatino Linotype"/>
          <w:sz w:val="22"/>
          <w:szCs w:val="22"/>
        </w:rPr>
      </w:pPr>
      <w:r w:rsidRPr="00933920">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DIECINUEVE DE FEBRERO DEL DOS MIL VEINTICINCO, ANTE EL SECRETARIO TÉCNICO DEL PLENO ALEXIS TAPIA RAMÍREZ.</w:t>
      </w:r>
    </w:p>
    <w:p w14:paraId="7CECA2ED" w14:textId="77777777" w:rsidR="00D17763" w:rsidRPr="004C7AFE" w:rsidRDefault="00D17763">
      <w:pPr>
        <w:spacing w:before="240" w:after="240" w:line="360" w:lineRule="auto"/>
        <w:jc w:val="both"/>
        <w:rPr>
          <w:rFonts w:ascii="Palatino Linotype" w:eastAsia="Palatino Linotype" w:hAnsi="Palatino Linotype" w:cs="Palatino Linotype"/>
          <w:sz w:val="22"/>
          <w:szCs w:val="22"/>
        </w:rPr>
      </w:pPr>
    </w:p>
    <w:p w14:paraId="1D334B58" w14:textId="77777777" w:rsidR="00D17763" w:rsidRPr="004C7AFE" w:rsidRDefault="00D17763">
      <w:pPr>
        <w:spacing w:before="240" w:after="240" w:line="360" w:lineRule="auto"/>
        <w:jc w:val="both"/>
        <w:rPr>
          <w:rFonts w:ascii="Palatino Linotype" w:eastAsia="Palatino Linotype" w:hAnsi="Palatino Linotype" w:cs="Palatino Linotype"/>
          <w:sz w:val="22"/>
          <w:szCs w:val="22"/>
        </w:rPr>
      </w:pPr>
    </w:p>
    <w:p w14:paraId="53DE4283" w14:textId="77777777" w:rsidR="00D17763" w:rsidRPr="004C7AFE" w:rsidRDefault="00D17763">
      <w:pPr>
        <w:spacing w:before="240" w:after="240" w:line="360" w:lineRule="auto"/>
        <w:jc w:val="both"/>
        <w:rPr>
          <w:rFonts w:ascii="Palatino Linotype" w:eastAsia="Palatino Linotype" w:hAnsi="Palatino Linotype" w:cs="Palatino Linotype"/>
          <w:sz w:val="22"/>
          <w:szCs w:val="22"/>
        </w:rPr>
      </w:pPr>
    </w:p>
    <w:p w14:paraId="10AA89BD" w14:textId="77777777" w:rsidR="00D17763" w:rsidRPr="004C7AFE" w:rsidRDefault="00D17763">
      <w:pPr>
        <w:spacing w:before="240" w:after="240" w:line="360" w:lineRule="auto"/>
        <w:jc w:val="both"/>
        <w:rPr>
          <w:rFonts w:ascii="Palatino Linotype" w:eastAsia="Palatino Linotype" w:hAnsi="Palatino Linotype" w:cs="Palatino Linotype"/>
          <w:sz w:val="22"/>
          <w:szCs w:val="22"/>
        </w:rPr>
      </w:pPr>
    </w:p>
    <w:p w14:paraId="7972CB95" w14:textId="77777777" w:rsidR="00D17763" w:rsidRPr="004C7AFE" w:rsidRDefault="00D17763">
      <w:pPr>
        <w:spacing w:before="240" w:after="240" w:line="360" w:lineRule="auto"/>
        <w:jc w:val="both"/>
        <w:rPr>
          <w:rFonts w:ascii="Palatino Linotype" w:eastAsia="Palatino Linotype" w:hAnsi="Palatino Linotype" w:cs="Palatino Linotype"/>
          <w:sz w:val="22"/>
          <w:szCs w:val="22"/>
        </w:rPr>
      </w:pPr>
    </w:p>
    <w:p w14:paraId="43F90E9C" w14:textId="77777777" w:rsidR="00D17763" w:rsidRPr="004C7AFE" w:rsidRDefault="00D17763">
      <w:pPr>
        <w:spacing w:before="240" w:after="240" w:line="360" w:lineRule="auto"/>
        <w:jc w:val="both"/>
        <w:rPr>
          <w:rFonts w:ascii="Palatino Linotype" w:eastAsia="Palatino Linotype" w:hAnsi="Palatino Linotype" w:cs="Palatino Linotype"/>
          <w:sz w:val="22"/>
          <w:szCs w:val="22"/>
        </w:rPr>
      </w:pPr>
    </w:p>
    <w:p w14:paraId="44B25DB3" w14:textId="77777777" w:rsidR="00D17763" w:rsidRPr="004C7AFE" w:rsidRDefault="00D17763">
      <w:pPr>
        <w:spacing w:before="240" w:after="240" w:line="360" w:lineRule="auto"/>
        <w:jc w:val="both"/>
        <w:rPr>
          <w:rFonts w:ascii="Palatino Linotype" w:eastAsia="Palatino Linotype" w:hAnsi="Palatino Linotype" w:cs="Palatino Linotype"/>
          <w:sz w:val="22"/>
          <w:szCs w:val="22"/>
        </w:rPr>
      </w:pPr>
    </w:p>
    <w:p w14:paraId="09C16C81" w14:textId="77777777" w:rsidR="00D17763" w:rsidRPr="004C7AFE" w:rsidRDefault="00D17763">
      <w:pPr>
        <w:spacing w:before="240" w:after="240" w:line="360" w:lineRule="auto"/>
        <w:jc w:val="both"/>
        <w:rPr>
          <w:rFonts w:ascii="Palatino Linotype" w:eastAsia="Palatino Linotype" w:hAnsi="Palatino Linotype" w:cs="Palatino Linotype"/>
          <w:sz w:val="22"/>
          <w:szCs w:val="22"/>
        </w:rPr>
      </w:pPr>
    </w:p>
    <w:p w14:paraId="5C6C477C" w14:textId="77777777" w:rsidR="00D17763" w:rsidRPr="004C7AFE" w:rsidRDefault="00D17763">
      <w:pPr>
        <w:spacing w:before="240" w:after="240" w:line="360" w:lineRule="auto"/>
        <w:jc w:val="both"/>
        <w:rPr>
          <w:rFonts w:ascii="Palatino Linotype" w:eastAsia="Palatino Linotype" w:hAnsi="Palatino Linotype" w:cs="Palatino Linotype"/>
          <w:sz w:val="22"/>
          <w:szCs w:val="22"/>
        </w:rPr>
      </w:pPr>
    </w:p>
    <w:p w14:paraId="40FF49D9" w14:textId="77777777" w:rsidR="00D17763" w:rsidRPr="004C7AFE" w:rsidRDefault="00D17763">
      <w:pPr>
        <w:spacing w:before="240" w:after="240" w:line="360" w:lineRule="auto"/>
        <w:jc w:val="both"/>
        <w:rPr>
          <w:rFonts w:ascii="Palatino Linotype" w:eastAsia="Palatino Linotype" w:hAnsi="Palatino Linotype" w:cs="Palatino Linotype"/>
          <w:sz w:val="22"/>
          <w:szCs w:val="22"/>
        </w:rPr>
      </w:pPr>
    </w:p>
    <w:sectPr w:rsidR="00D17763" w:rsidRPr="004C7AFE">
      <w:headerReference w:type="default" r:id="rId14"/>
      <w:footerReference w:type="default" r:id="rId15"/>
      <w:headerReference w:type="first" r:id="rId16"/>
      <w:footerReference w:type="first" r:id="rId17"/>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67CFF" w14:textId="77777777" w:rsidR="00EA0708" w:rsidRDefault="00EA0708">
      <w:r>
        <w:separator/>
      </w:r>
    </w:p>
  </w:endnote>
  <w:endnote w:type="continuationSeparator" w:id="0">
    <w:p w14:paraId="085A0D09" w14:textId="77777777" w:rsidR="00EA0708" w:rsidRDefault="00EA0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5A90" w14:textId="77777777" w:rsidR="00D17763" w:rsidRDefault="006364C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33920">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33920">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59B7277E" w14:textId="77777777" w:rsidR="00D17763" w:rsidRDefault="00D1776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02B1" w14:textId="77777777" w:rsidR="00D17763" w:rsidRDefault="006364C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3392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33920">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117B3F28" w14:textId="77777777" w:rsidR="00D17763" w:rsidRDefault="00D1776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0799E" w14:textId="77777777" w:rsidR="00EA0708" w:rsidRDefault="00EA0708">
      <w:r>
        <w:separator/>
      </w:r>
    </w:p>
  </w:footnote>
  <w:footnote w:type="continuationSeparator" w:id="0">
    <w:p w14:paraId="38F15F61" w14:textId="77777777" w:rsidR="00EA0708" w:rsidRDefault="00EA0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F868" w14:textId="77777777" w:rsidR="00D17763" w:rsidRDefault="006364C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1360C5C" wp14:editId="71850AA6">
          <wp:simplePos x="0" y="0"/>
          <wp:positionH relativeFrom="column">
            <wp:posOffset>-1080131</wp:posOffset>
          </wp:positionH>
          <wp:positionV relativeFrom="paragraph">
            <wp:posOffset>-488311</wp:posOffset>
          </wp:positionV>
          <wp:extent cx="7809865" cy="10165715"/>
          <wp:effectExtent l="0" t="0" r="0" b="0"/>
          <wp:wrapNone/>
          <wp:docPr id="7702015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D17763" w14:paraId="3BDC6842" w14:textId="77777777">
      <w:tc>
        <w:tcPr>
          <w:tcW w:w="2489" w:type="dxa"/>
          <w:shd w:val="clear" w:color="auto" w:fill="auto"/>
        </w:tcPr>
        <w:p w14:paraId="5A697DA7" w14:textId="77777777" w:rsidR="00D17763" w:rsidRDefault="006364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C0661A3" w14:textId="77777777" w:rsidR="00D17763" w:rsidRDefault="006364C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00284/INFOEM/IP/RR/2025</w:t>
          </w:r>
        </w:p>
      </w:tc>
    </w:tr>
    <w:tr w:rsidR="00D17763" w14:paraId="009884A7" w14:textId="77777777">
      <w:trPr>
        <w:trHeight w:val="228"/>
      </w:trPr>
      <w:tc>
        <w:tcPr>
          <w:tcW w:w="2489" w:type="dxa"/>
          <w:shd w:val="clear" w:color="auto" w:fill="auto"/>
          <w:vAlign w:val="center"/>
        </w:tcPr>
        <w:p w14:paraId="11986EBE" w14:textId="77777777" w:rsidR="00D17763" w:rsidRDefault="006364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FDD1C6F" w14:textId="77777777" w:rsidR="00D17763" w:rsidRDefault="006364C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D17763" w14:paraId="13DADFED" w14:textId="77777777">
      <w:tc>
        <w:tcPr>
          <w:tcW w:w="2489" w:type="dxa"/>
          <w:shd w:val="clear" w:color="auto" w:fill="auto"/>
          <w:vAlign w:val="center"/>
        </w:tcPr>
        <w:p w14:paraId="7625A23A" w14:textId="77777777" w:rsidR="00D17763" w:rsidRDefault="006364C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CCD87AE" w14:textId="77777777" w:rsidR="00D17763" w:rsidRDefault="006364C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ECD4609" w14:textId="77777777" w:rsidR="00D17763" w:rsidRDefault="006364C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71FC7" w14:textId="77777777" w:rsidR="00D17763" w:rsidRDefault="00D1776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6"/>
      <w:tblW w:w="5670" w:type="dxa"/>
      <w:tblInd w:w="3261" w:type="dxa"/>
      <w:tblLayout w:type="fixed"/>
      <w:tblLook w:val="0400" w:firstRow="0" w:lastRow="0" w:firstColumn="0" w:lastColumn="0" w:noHBand="0" w:noVBand="1"/>
    </w:tblPr>
    <w:tblGrid>
      <w:gridCol w:w="2551"/>
      <w:gridCol w:w="3119"/>
    </w:tblGrid>
    <w:tr w:rsidR="00D17763" w14:paraId="602EB9AE" w14:textId="77777777">
      <w:tc>
        <w:tcPr>
          <w:tcW w:w="2551" w:type="dxa"/>
          <w:shd w:val="clear" w:color="auto" w:fill="auto"/>
          <w:vAlign w:val="center"/>
        </w:tcPr>
        <w:p w14:paraId="3F3B083C" w14:textId="77777777" w:rsidR="00D17763" w:rsidRDefault="006364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6B7B1D9" w14:textId="77777777" w:rsidR="00D17763" w:rsidRDefault="006364C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00284/INFOEM/IP/RR/2025</w:t>
          </w:r>
        </w:p>
      </w:tc>
    </w:tr>
    <w:tr w:rsidR="00D17763" w14:paraId="24B78BE1" w14:textId="77777777">
      <w:trPr>
        <w:trHeight w:val="130"/>
      </w:trPr>
      <w:tc>
        <w:tcPr>
          <w:tcW w:w="2551" w:type="dxa"/>
          <w:shd w:val="clear" w:color="auto" w:fill="auto"/>
          <w:vAlign w:val="center"/>
        </w:tcPr>
        <w:p w14:paraId="7B963EF8" w14:textId="77777777" w:rsidR="00D17763" w:rsidRDefault="006364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DFAAC79" w14:textId="4F905456" w:rsidR="00D17763" w:rsidRDefault="009268B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XXXXXXX XXXXXX </w:t>
          </w:r>
          <w:r w:rsidR="006364C0">
            <w:rPr>
              <w:noProof/>
              <w:lang w:val="es-MX"/>
            </w:rPr>
            <w:drawing>
              <wp:anchor distT="0" distB="0" distL="0" distR="0" simplePos="0" relativeHeight="251659264" behindDoc="1" locked="0" layoutInCell="1" hidden="0" allowOverlap="1" wp14:anchorId="17F66B5B" wp14:editId="63814F02">
                <wp:simplePos x="0" y="0"/>
                <wp:positionH relativeFrom="column">
                  <wp:posOffset>-4425313</wp:posOffset>
                </wp:positionH>
                <wp:positionV relativeFrom="paragraph">
                  <wp:posOffset>-361948</wp:posOffset>
                </wp:positionV>
                <wp:extent cx="7809865" cy="10165715"/>
                <wp:effectExtent l="0" t="0" r="0" b="0"/>
                <wp:wrapNone/>
                <wp:docPr id="7702015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D17763" w14:paraId="2461E8EE" w14:textId="77777777">
      <w:trPr>
        <w:trHeight w:val="228"/>
      </w:trPr>
      <w:tc>
        <w:tcPr>
          <w:tcW w:w="2551" w:type="dxa"/>
          <w:shd w:val="clear" w:color="auto" w:fill="auto"/>
          <w:vAlign w:val="center"/>
        </w:tcPr>
        <w:p w14:paraId="307DFC20" w14:textId="77777777" w:rsidR="00D17763" w:rsidRDefault="006364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C3E12BE" w14:textId="77777777" w:rsidR="00D17763" w:rsidRDefault="006364C0">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D17763" w14:paraId="79C8A48F" w14:textId="77777777">
      <w:tc>
        <w:tcPr>
          <w:tcW w:w="2551" w:type="dxa"/>
          <w:shd w:val="clear" w:color="auto" w:fill="auto"/>
          <w:vAlign w:val="center"/>
        </w:tcPr>
        <w:p w14:paraId="5B31A722" w14:textId="77777777" w:rsidR="00D17763" w:rsidRDefault="006364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AE5B7CB" w14:textId="77777777" w:rsidR="00D17763" w:rsidRDefault="006364C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15DFC89" w14:textId="77777777" w:rsidR="00D17763" w:rsidRDefault="00D1776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E389A"/>
    <w:multiLevelType w:val="multilevel"/>
    <w:tmpl w:val="5F06F17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474101"/>
    <w:multiLevelType w:val="multilevel"/>
    <w:tmpl w:val="28906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230C07"/>
    <w:multiLevelType w:val="multilevel"/>
    <w:tmpl w:val="107E0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8C1DBF"/>
    <w:multiLevelType w:val="multilevel"/>
    <w:tmpl w:val="CFC42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801FCC"/>
    <w:multiLevelType w:val="multilevel"/>
    <w:tmpl w:val="F3C45DD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981FDE"/>
    <w:multiLevelType w:val="multilevel"/>
    <w:tmpl w:val="67CEE6B4"/>
    <w:lvl w:ilvl="0">
      <w:start w:val="1"/>
      <w:numFmt w:val="decimal"/>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4D197B"/>
    <w:multiLevelType w:val="multilevel"/>
    <w:tmpl w:val="6BAAB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397714"/>
    <w:multiLevelType w:val="multilevel"/>
    <w:tmpl w:val="F25A2B8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03643A2"/>
    <w:multiLevelType w:val="multilevel"/>
    <w:tmpl w:val="CC30082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E4571C"/>
    <w:multiLevelType w:val="multilevel"/>
    <w:tmpl w:val="20B2C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4C07D6"/>
    <w:multiLevelType w:val="multilevel"/>
    <w:tmpl w:val="84EE1D60"/>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5"/>
  </w:num>
  <w:num w:numId="3">
    <w:abstractNumId w:val="3"/>
  </w:num>
  <w:num w:numId="4">
    <w:abstractNumId w:val="8"/>
  </w:num>
  <w:num w:numId="5">
    <w:abstractNumId w:val="0"/>
  </w:num>
  <w:num w:numId="6">
    <w:abstractNumId w:val="10"/>
  </w:num>
  <w:num w:numId="7">
    <w:abstractNumId w:val="6"/>
  </w:num>
  <w:num w:numId="8">
    <w:abstractNumId w:val="7"/>
  </w:num>
  <w:num w:numId="9">
    <w:abstractNumId w:val="9"/>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763"/>
    <w:rsid w:val="004C7AFE"/>
    <w:rsid w:val="006364C0"/>
    <w:rsid w:val="009166E5"/>
    <w:rsid w:val="009268BC"/>
    <w:rsid w:val="00933920"/>
    <w:rsid w:val="009B6D5D"/>
    <w:rsid w:val="00D17763"/>
    <w:rsid w:val="00EA07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95D43"/>
  <w15:docId w15:val="{6F101C99-76D3-483B-9A7B-7BCF353A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2Gh14OtRng7tMH5YVxCXpWS33w==">CgMxLjAyCGguZ2pkZ3hzMgloLjMwajB6bGwyCWguMnM4ZXlvMTIIaC50eWpjd3QyCWlkLmdqZGd4czIJaC4xN2RwOHZ1MgloLjFmb2I5dGU4AHIhMUphanN2dDVscjl3UFM2cDdhSXZDaU80dFktNldyVHJ4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44</Pages>
  <Words>11691</Words>
  <Characters>64304</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2025-02-20T23:43:00Z</cp:lastPrinted>
  <dcterms:created xsi:type="dcterms:W3CDTF">2025-02-28T18:08:00Z</dcterms:created>
  <dcterms:modified xsi:type="dcterms:W3CDTF">2025-02-28T18:08:00Z</dcterms:modified>
</cp:coreProperties>
</file>