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71" w:rsidRDefault="00CC4A71">
      <w:pPr>
        <w:widowControl w:val="0"/>
        <w:pBdr>
          <w:top w:val="nil"/>
          <w:left w:val="nil"/>
          <w:bottom w:val="nil"/>
          <w:right w:val="nil"/>
          <w:between w:val="nil"/>
        </w:pBdr>
        <w:spacing w:line="276" w:lineRule="auto"/>
      </w:pPr>
    </w:p>
    <w:p w:rsidR="00CC4A71" w:rsidRPr="00EE6AC6" w:rsidRDefault="000A5DF6">
      <w:pPr>
        <w:spacing w:line="360" w:lineRule="auto"/>
        <w:ind w:right="-876"/>
        <w:jc w:val="both"/>
        <w:rPr>
          <w:rFonts w:ascii="Palatino Linotype" w:eastAsia="Palatino Linotype" w:hAnsi="Palatino Linotype" w:cs="Palatino Linotype"/>
        </w:rPr>
      </w:pPr>
      <w:r w:rsidRPr="00EE6AC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spacing w:line="360" w:lineRule="auto"/>
        <w:ind w:right="-876"/>
        <w:jc w:val="both"/>
        <w:rPr>
          <w:rFonts w:ascii="Palatino Linotype" w:eastAsia="Palatino Linotype" w:hAnsi="Palatino Linotype" w:cs="Palatino Linotype"/>
        </w:rPr>
      </w:pPr>
      <w:r w:rsidRPr="00EE6AC6">
        <w:rPr>
          <w:rFonts w:ascii="Palatino Linotype" w:eastAsia="Palatino Linotype" w:hAnsi="Palatino Linotype" w:cs="Palatino Linotype"/>
          <w:b/>
        </w:rPr>
        <w:t>VISTOS</w:t>
      </w:r>
      <w:r w:rsidRPr="00EE6AC6">
        <w:rPr>
          <w:rFonts w:ascii="Palatino Linotype" w:eastAsia="Palatino Linotype" w:hAnsi="Palatino Linotype" w:cs="Palatino Linotype"/>
        </w:rPr>
        <w:t xml:space="preserve"> los expedientes electrónicos formados con motivo de los recursos de revisión </w:t>
      </w:r>
      <w:r w:rsidRPr="00EE6AC6">
        <w:rPr>
          <w:rFonts w:ascii="Palatino Linotype" w:eastAsia="Palatino Linotype" w:hAnsi="Palatino Linotype" w:cs="Palatino Linotype"/>
          <w:b/>
        </w:rPr>
        <w:t xml:space="preserve">03538/INFOEM/IP/RR/2024 y 04998/INFOEM/IP/RR/2024, </w:t>
      </w:r>
      <w:r w:rsidRPr="00EE6AC6">
        <w:rPr>
          <w:rFonts w:ascii="Palatino Linotype" w:eastAsia="Palatino Linotype" w:hAnsi="Palatino Linotype" w:cs="Palatino Linotype"/>
        </w:rPr>
        <w:t xml:space="preserve">promovido por </w:t>
      </w:r>
      <w:r w:rsidR="00EE6AC6" w:rsidRPr="00EE6AC6">
        <w:rPr>
          <w:rFonts w:ascii="Palatino Linotype" w:eastAsia="Palatino Linotype" w:hAnsi="Palatino Linotype" w:cs="Palatino Linotype"/>
          <w:sz w:val="22"/>
          <w:szCs w:val="22"/>
        </w:rPr>
        <w:t>XXXXXXXX</w:t>
      </w:r>
      <w:r w:rsidRPr="00EE6AC6">
        <w:rPr>
          <w:rFonts w:ascii="Palatino Linotype" w:eastAsia="Palatino Linotype" w:hAnsi="Palatino Linotype" w:cs="Palatino Linotype"/>
        </w:rPr>
        <w:t xml:space="preserve">, en lo sucesivo el </w:t>
      </w:r>
      <w:r w:rsidRPr="00EE6AC6">
        <w:rPr>
          <w:rFonts w:ascii="Palatino Linotype" w:eastAsia="Palatino Linotype" w:hAnsi="Palatino Linotype" w:cs="Palatino Linotype"/>
          <w:b/>
        </w:rPr>
        <w:t>RECURRENTE</w:t>
      </w:r>
      <w:r w:rsidRPr="00EE6AC6">
        <w:rPr>
          <w:rFonts w:ascii="Palatino Linotype" w:eastAsia="Palatino Linotype" w:hAnsi="Palatino Linotype" w:cs="Palatino Linotype"/>
        </w:rPr>
        <w:t xml:space="preserve">, en contra de la respuesta del </w:t>
      </w:r>
      <w:r w:rsidRPr="00EE6AC6">
        <w:rPr>
          <w:rFonts w:ascii="Palatino Linotype" w:eastAsia="Palatino Linotype" w:hAnsi="Palatino Linotype" w:cs="Palatino Linotype"/>
          <w:b/>
        </w:rPr>
        <w:t xml:space="preserve">Ayuntamiento de Tepotzotlán, </w:t>
      </w:r>
      <w:r w:rsidRPr="00EE6AC6">
        <w:rPr>
          <w:rFonts w:ascii="Palatino Linotype" w:eastAsia="Palatino Linotype" w:hAnsi="Palatino Linotype" w:cs="Palatino Linotype"/>
        </w:rPr>
        <w:t>en adelante el</w:t>
      </w:r>
      <w:r w:rsidRPr="00EE6AC6">
        <w:rPr>
          <w:rFonts w:ascii="Palatino Linotype" w:eastAsia="Palatino Linotype" w:hAnsi="Palatino Linotype" w:cs="Palatino Linotype"/>
          <w:b/>
        </w:rPr>
        <w:t xml:space="preserve"> SUJETO OBLIGADO</w:t>
      </w:r>
      <w:r w:rsidRPr="00EE6AC6">
        <w:rPr>
          <w:rFonts w:ascii="Palatino Linotype" w:eastAsia="Palatino Linotype" w:hAnsi="Palatino Linotype" w:cs="Palatino Linotype"/>
        </w:rPr>
        <w:t>, por lo que se procede a dictar la presente resolución, con base en los siguientes:</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EE6AC6">
        <w:rPr>
          <w:rFonts w:ascii="Palatino Linotype" w:eastAsia="Palatino Linotype" w:hAnsi="Palatino Linotype" w:cs="Palatino Linotype"/>
          <w:b/>
        </w:rPr>
        <w:t>A N T E C E D E N T E S</w:t>
      </w:r>
    </w:p>
    <w:p w:rsidR="00CC4A71" w:rsidRPr="00EE6AC6" w:rsidRDefault="00CC4A71">
      <w:pPr>
        <w:spacing w:line="360" w:lineRule="auto"/>
        <w:ind w:right="-876"/>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veintinueve (29) de abril y dos (02) de julio de dos mil veinticuatro</w:t>
      </w:r>
      <w:r w:rsidRPr="00EE6AC6">
        <w:rPr>
          <w:rFonts w:ascii="Palatino Linotype" w:eastAsia="Palatino Linotype" w:hAnsi="Palatino Linotype" w:cs="Palatino Linotype"/>
        </w:rPr>
        <w:t>, el</w:t>
      </w:r>
      <w:r w:rsidRPr="00EE6AC6">
        <w:rPr>
          <w:rFonts w:ascii="Palatino Linotype" w:eastAsia="Palatino Linotype" w:hAnsi="Palatino Linotype" w:cs="Palatino Linotype"/>
          <w:b/>
        </w:rPr>
        <w:t xml:space="preserve"> RECURRENTE </w:t>
      </w:r>
      <w:r w:rsidRPr="00EE6AC6">
        <w:rPr>
          <w:rFonts w:ascii="Palatino Linotype" w:eastAsia="Palatino Linotype" w:hAnsi="Palatino Linotype" w:cs="Palatino Linotype"/>
        </w:rPr>
        <w:t xml:space="preserve">presentó ante 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rPr>
        <w:t xml:space="preserve"> a través de la Plataforma Nacional de Transparencia y el Sistema de Acceso a la Información Mexiquense </w:t>
      </w:r>
      <w:r w:rsidRPr="00EE6AC6">
        <w:rPr>
          <w:rFonts w:ascii="Palatino Linotype" w:eastAsia="Palatino Linotype" w:hAnsi="Palatino Linotype" w:cs="Palatino Linotype"/>
          <w:b/>
        </w:rPr>
        <w:t>(SAIMEX),</w:t>
      </w:r>
      <w:r w:rsidRPr="00EE6AC6">
        <w:rPr>
          <w:rFonts w:ascii="Palatino Linotype" w:eastAsia="Palatino Linotype" w:hAnsi="Palatino Linotype" w:cs="Palatino Linotype"/>
        </w:rPr>
        <w:t xml:space="preserve"> las solicitudes de información pública </w:t>
      </w:r>
      <w:r w:rsidRPr="00EE6AC6">
        <w:rPr>
          <w:rFonts w:ascii="Palatino Linotype" w:eastAsia="Palatino Linotype" w:hAnsi="Palatino Linotype" w:cs="Palatino Linotype"/>
          <w:b/>
        </w:rPr>
        <w:t>00169/TEPOTZOT/IP/2024 y 00186/TEPOTZOT/IP/2024</w:t>
      </w:r>
      <w:r w:rsidRPr="00EE6AC6">
        <w:rPr>
          <w:rFonts w:ascii="Palatino Linotype" w:eastAsia="Palatino Linotype" w:hAnsi="Palatino Linotype" w:cs="Palatino Linotype"/>
        </w:rPr>
        <w:t>, en las que se solicitó:</w:t>
      </w: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0A5DF6">
      <w:pPr>
        <w:spacing w:line="360" w:lineRule="auto"/>
        <w:ind w:right="-876"/>
        <w:jc w:val="both"/>
        <w:rPr>
          <w:rFonts w:ascii="Palatino Linotype" w:eastAsia="Palatino Linotype" w:hAnsi="Palatino Linotype" w:cs="Palatino Linotype"/>
        </w:rPr>
      </w:pPr>
      <w:r w:rsidRPr="00EE6AC6">
        <w:rPr>
          <w:rFonts w:ascii="Palatino Linotype" w:eastAsia="Palatino Linotype" w:hAnsi="Palatino Linotype" w:cs="Palatino Linotype"/>
          <w:b/>
        </w:rPr>
        <w:t>00169/TEPOTZOT/IP/2024:</w:t>
      </w:r>
    </w:p>
    <w:p w:rsidR="00CC4A71" w:rsidRPr="00EE6AC6" w:rsidRDefault="000A5DF6">
      <w:pPr>
        <w:pBdr>
          <w:top w:val="nil"/>
          <w:left w:val="nil"/>
          <w:bottom w:val="nil"/>
          <w:right w:val="nil"/>
          <w:between w:val="nil"/>
        </w:pBdr>
        <w:spacing w:line="360" w:lineRule="auto"/>
        <w:ind w:left="567" w:right="-876"/>
        <w:jc w:val="both"/>
        <w:rPr>
          <w:rFonts w:ascii="Palatino Linotype" w:eastAsia="Palatino Linotype" w:hAnsi="Palatino Linotype" w:cs="Palatino Linotype"/>
          <w:i/>
          <w:color w:val="000000"/>
        </w:rPr>
      </w:pPr>
      <w:r w:rsidRPr="00EE6AC6">
        <w:rPr>
          <w:rFonts w:ascii="Palatino Linotype" w:eastAsia="Palatino Linotype" w:hAnsi="Palatino Linotype" w:cs="Palatino Linotype"/>
          <w:i/>
          <w:color w:val="000000"/>
        </w:rPr>
        <w:t xml:space="preserve">“Se solicita: COPIA SIMPLE del ACUSE DE RECIBIDO en que aparezca nombre y firma de la persona notificada el día 22 de marzo del año 2024 respecto del OFICIO NO. DOP/281/2024 de fecha 20 de marzo del 2024, el cual, corresponde a la RESPUESTA emitida por la Dirección de Obras Públicas del Ayuntamiento de Tepotzotlán referente a la Petición formulada el 04 de marzo </w:t>
      </w:r>
      <w:r w:rsidRPr="00EE6AC6">
        <w:rPr>
          <w:rFonts w:ascii="Palatino Linotype" w:eastAsia="Palatino Linotype" w:hAnsi="Palatino Linotype" w:cs="Palatino Linotype"/>
          <w:i/>
          <w:color w:val="000000"/>
        </w:rPr>
        <w:lastRenderedPageBreak/>
        <w:t xml:space="preserve">del año 2024 con Número de Folio de Presidencia Municipal 25145 y Sin Número de Folio de la Dirección de Obras Públicas en la que se Solicitó al Ayuntamiento de Tepotzotlán Obra Pública de Infraestructura Vial consistente en Construcción de Áreas de rodamiento vehicular, banquetas, guarniciones, reductores de velocidad y señalización vial sobre los caminos Pueblo Nuevo- Cañadas y Pueblo Nuevo- Cabañas. Lo solicitado, es en términos del oficio que se adjunta a esta petición electrónica, consistente en dos hojas al que se agrega un ANEXO e identificación del peticionario.” (Sic) </w:t>
      </w:r>
    </w:p>
    <w:p w:rsidR="00CC4A71" w:rsidRPr="00EE6AC6" w:rsidRDefault="00CC4A71">
      <w:pPr>
        <w:spacing w:line="360" w:lineRule="auto"/>
        <w:ind w:left="567" w:right="-876"/>
        <w:jc w:val="both"/>
        <w:rPr>
          <w:rFonts w:ascii="Palatino Linotype" w:eastAsia="Palatino Linotype" w:hAnsi="Palatino Linotype" w:cs="Palatino Linotype"/>
          <w:i/>
          <w:color w:val="000000"/>
        </w:rPr>
      </w:pPr>
    </w:p>
    <w:p w:rsidR="00CC4A71" w:rsidRPr="00EE6AC6" w:rsidRDefault="000A5DF6">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color w:val="000000"/>
        </w:rPr>
        <w:t xml:space="preserve">Se adjuntó el archivo electrónico denominado </w:t>
      </w:r>
      <w:r w:rsidRPr="00EE6AC6">
        <w:rPr>
          <w:rFonts w:ascii="Palatino Linotype" w:eastAsia="Palatino Linotype" w:hAnsi="Palatino Linotype" w:cs="Palatino Linotype"/>
          <w:b/>
          <w:color w:val="000000"/>
        </w:rPr>
        <w:t>“</w:t>
      </w:r>
      <w:hyperlink r:id="rId8">
        <w:r w:rsidRPr="00EE6AC6">
          <w:rPr>
            <w:rFonts w:ascii="Palatino Linotype" w:eastAsia="Palatino Linotype" w:hAnsi="Palatino Linotype" w:cs="Palatino Linotype"/>
            <w:b/>
            <w:color w:val="0563C1"/>
            <w:u w:val="single"/>
          </w:rPr>
          <w:t>Archivo Adjunto a la Solicitud</w:t>
        </w:r>
      </w:hyperlink>
      <w:r w:rsidRPr="00EE6AC6">
        <w:rPr>
          <w:rFonts w:ascii="Palatino Linotype" w:eastAsia="Palatino Linotype" w:hAnsi="Palatino Linotype" w:cs="Palatino Linotype"/>
          <w:b/>
          <w:color w:val="000000"/>
        </w:rPr>
        <w:t>”,</w:t>
      </w:r>
      <w:r w:rsidRPr="00EE6AC6">
        <w:rPr>
          <w:rFonts w:ascii="Palatino Linotype" w:eastAsia="Palatino Linotype" w:hAnsi="Palatino Linotype" w:cs="Palatino Linotype"/>
          <w:color w:val="000000"/>
        </w:rPr>
        <w:t xml:space="preserve"> documento consistente en el escrito de solicitud de información; oficio número DOP/440/2024 suscrito por el Director de Obras Públicas; y, copia digitalizada de la credencial de elector del solicitante. </w:t>
      </w:r>
    </w:p>
    <w:p w:rsidR="00CC4A71" w:rsidRPr="00EE6AC6" w:rsidRDefault="00CC4A7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CC4A71" w:rsidRPr="00EE6AC6" w:rsidRDefault="000A5DF6">
      <w:pPr>
        <w:spacing w:line="360" w:lineRule="auto"/>
        <w:ind w:right="-876"/>
        <w:jc w:val="both"/>
        <w:rPr>
          <w:rFonts w:ascii="Palatino Linotype" w:eastAsia="Palatino Linotype" w:hAnsi="Palatino Linotype" w:cs="Palatino Linotype"/>
        </w:rPr>
      </w:pPr>
      <w:r w:rsidRPr="00EE6AC6">
        <w:rPr>
          <w:rFonts w:ascii="Palatino Linotype" w:eastAsia="Palatino Linotype" w:hAnsi="Palatino Linotype" w:cs="Palatino Linotype"/>
          <w:b/>
        </w:rPr>
        <w:t>00186/TEPOTZOT/IP/2024:</w:t>
      </w:r>
    </w:p>
    <w:p w:rsidR="00CC4A71" w:rsidRPr="00EE6AC6" w:rsidRDefault="000A5DF6">
      <w:pPr>
        <w:pBdr>
          <w:top w:val="nil"/>
          <w:left w:val="nil"/>
          <w:bottom w:val="nil"/>
          <w:right w:val="nil"/>
          <w:between w:val="nil"/>
        </w:pBdr>
        <w:spacing w:line="360" w:lineRule="auto"/>
        <w:ind w:left="567" w:right="-876"/>
        <w:jc w:val="both"/>
        <w:rPr>
          <w:rFonts w:ascii="Palatino Linotype" w:eastAsia="Palatino Linotype" w:hAnsi="Palatino Linotype" w:cs="Palatino Linotype"/>
          <w:i/>
          <w:color w:val="000000"/>
        </w:rPr>
      </w:pPr>
      <w:r w:rsidRPr="00EE6AC6">
        <w:rPr>
          <w:rFonts w:ascii="Palatino Linotype" w:eastAsia="Palatino Linotype" w:hAnsi="Palatino Linotype" w:cs="Palatino Linotype"/>
          <w:i/>
          <w:color w:val="000000"/>
        </w:rPr>
        <w:t xml:space="preserve">“Se agradece a la Dirección de Obras Públicas del Ayuntamiento de Tepotzotlán, Estado de México: LA ENTREGA DE COPIA SIMPLE del OFICIO CON NÚMERO DE FOLIO: DOP/281/2024 emitido por esa Dirección de Obras Públicas en fecha 20 DE MARZO DEL AÑO 2024, para lo cual, se agradece la BÚSQUEDA EXHAUSTIVA del requerido documento; que según manuales de organización puede ser rastreado en ARCHIVOS Y REGISTROS FÍSICOS Y ELECTRÓNICOS, a saber, LIBROS O BITÁCORAS DE REGISTRO O DOCUMENTOS DE CONTROL DE ARCHIVO O SISTEMAS O PROGRAMAS DE COMPUTACIÓN o CUALQUIER OTRO MEDIO en que aparezca registrado el requerido oficio. De igual forma, se pide Respetuosamente a la misma Dirección de Obras Públicas, que una vez localizado el OFICIO </w:t>
      </w:r>
      <w:r w:rsidRPr="00EE6AC6">
        <w:rPr>
          <w:rFonts w:ascii="Palatino Linotype" w:eastAsia="Palatino Linotype" w:hAnsi="Palatino Linotype" w:cs="Palatino Linotype"/>
          <w:i/>
          <w:color w:val="000000"/>
        </w:rPr>
        <w:lastRenderedPageBreak/>
        <w:t xml:space="preserve">NÚMERO DOP/281/2024 se indique el NOMBRE CORRECTO Y COMPLETO DEL LIBRO O BITÁCORA FÍSICA O SISTEMA O PROGRAMA DE CÓMPUTO EN QUE FUE LOCALIZADO para una posible consulta posterior. En caso de NO EXISTIR EL REQUERIDO DOCUMENTO se agradece a la Dirección de Obras Públicas INFORMAR LA INEXISTENCIA DEL MISMO. Sin más que agregar, se agradece la atención que se brinda a esta SOLICITUD DE INFORMACIÓN PÚBLICA.” (Sic) </w:t>
      </w:r>
    </w:p>
    <w:p w:rsidR="00CC4A71" w:rsidRPr="00EE6AC6" w:rsidRDefault="00CC4A7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color w:val="000000"/>
        </w:rPr>
        <w:t xml:space="preserve">Se adjuntó el archivo electrónico denominado </w:t>
      </w:r>
      <w:r w:rsidRPr="00EE6AC6">
        <w:rPr>
          <w:rFonts w:ascii="Palatino Linotype" w:eastAsia="Palatino Linotype" w:hAnsi="Palatino Linotype" w:cs="Palatino Linotype"/>
          <w:b/>
          <w:color w:val="000000"/>
        </w:rPr>
        <w:t>“</w:t>
      </w:r>
      <w:hyperlink r:id="rId9">
        <w:r w:rsidRPr="00EE6AC6">
          <w:rPr>
            <w:rFonts w:ascii="Palatino Linotype" w:eastAsia="Palatino Linotype" w:hAnsi="Palatino Linotype" w:cs="Palatino Linotype"/>
            <w:b/>
            <w:color w:val="0563C1"/>
            <w:u w:val="single"/>
          </w:rPr>
          <w:t>INE.pdf</w:t>
        </w:r>
      </w:hyperlink>
      <w:r w:rsidRPr="00EE6AC6">
        <w:rPr>
          <w:rFonts w:ascii="Palatino Linotype" w:eastAsia="Palatino Linotype" w:hAnsi="Palatino Linotype" w:cs="Palatino Linotype"/>
          <w:color w:val="000000"/>
        </w:rPr>
        <w:t xml:space="preserve">”, en el que se advierte la identificación oficial INE del Recurrente. </w:t>
      </w:r>
    </w:p>
    <w:p w:rsidR="00CC4A71" w:rsidRPr="00EE6AC6" w:rsidRDefault="00CC4A7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Se hace constar que se señaló como modalidad de entrega de la información a través de la Plataforma Nacional de Transparencia y correo electrónico. </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tres (03) de mayo y diez (10) de julio de dos mil veinticuatro</w:t>
      </w:r>
      <w:r w:rsidRPr="00EE6AC6">
        <w:rPr>
          <w:rFonts w:ascii="Palatino Linotype" w:eastAsia="Palatino Linotype" w:hAnsi="Palatino Linotype" w:cs="Palatino Linotype"/>
        </w:rPr>
        <w:t xml:space="preserve">, se realizó un requerimiento al servidor público habilitado. </w:t>
      </w:r>
    </w:p>
    <w:p w:rsidR="00CC4A71" w:rsidRPr="00EE6AC6" w:rsidRDefault="00CC4A71">
      <w:pPr>
        <w:pBdr>
          <w:top w:val="nil"/>
          <w:left w:val="nil"/>
          <w:bottom w:val="nil"/>
          <w:right w:val="nil"/>
          <w:between w:val="nil"/>
        </w:pBdr>
        <w:ind w:left="720" w:right="-876"/>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 xml:space="preserve">veintiuno (21) de mayo y cinco (059 de agosto de dos mil veinticuatro, </w:t>
      </w: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b/>
          <w:i/>
        </w:rPr>
        <w:t xml:space="preserve"> </w:t>
      </w:r>
      <w:r w:rsidRPr="00EE6AC6">
        <w:rPr>
          <w:rFonts w:ascii="Palatino Linotype" w:eastAsia="Palatino Linotype" w:hAnsi="Palatino Linotype" w:cs="Palatino Linotype"/>
        </w:rPr>
        <w:t>dio respuesta a la solicitud de información, en los siguientes términos:</w:t>
      </w: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CC4A71">
      <w:pPr>
        <w:spacing w:line="360" w:lineRule="auto"/>
        <w:ind w:right="-876"/>
        <w:jc w:val="both"/>
        <w:rPr>
          <w:rFonts w:ascii="Palatino Linotype" w:eastAsia="Palatino Linotype" w:hAnsi="Palatino Linotype" w:cs="Palatino Linotype"/>
          <w:i/>
        </w:rPr>
      </w:pPr>
    </w:p>
    <w:p w:rsidR="00CC4A71" w:rsidRPr="00EE6AC6" w:rsidRDefault="000A5DF6">
      <w:pPr>
        <w:spacing w:line="360" w:lineRule="auto"/>
        <w:ind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sz w:val="22"/>
          <w:szCs w:val="22"/>
        </w:rPr>
        <w:lastRenderedPageBreak/>
        <w:t>00169/TEPOTZOT/IP/2024:</w:t>
      </w:r>
    </w:p>
    <w:tbl>
      <w:tblPr>
        <w:tblStyle w:val="a9"/>
        <w:tblW w:w="8399" w:type="dxa"/>
        <w:jc w:val="center"/>
        <w:tblInd w:w="0" w:type="dxa"/>
        <w:tblLayout w:type="fixed"/>
        <w:tblLook w:val="0400" w:firstRow="0" w:lastRow="0" w:firstColumn="0" w:lastColumn="0" w:noHBand="0" w:noVBand="1"/>
      </w:tblPr>
      <w:tblGrid>
        <w:gridCol w:w="8399"/>
      </w:tblGrid>
      <w:tr w:rsidR="00CC4A71" w:rsidRPr="00EE6AC6">
        <w:trPr>
          <w:trHeight w:val="602"/>
          <w:jc w:val="center"/>
        </w:trPr>
        <w:tc>
          <w:tcPr>
            <w:tcW w:w="8399" w:type="dxa"/>
            <w:vAlign w:val="center"/>
          </w:tcPr>
          <w:p w:rsidR="00CC4A71" w:rsidRPr="00EE6AC6" w:rsidRDefault="000A5DF6">
            <w:pPr>
              <w:ind w:left="567"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Tepotzotlán, México a 21 de Mayo de 2024</w:t>
            </w:r>
          </w:p>
        </w:tc>
      </w:tr>
      <w:tr w:rsidR="00CC4A71" w:rsidRPr="00EE6AC6">
        <w:trPr>
          <w:trHeight w:val="602"/>
          <w:jc w:val="center"/>
        </w:trPr>
        <w:tc>
          <w:tcPr>
            <w:tcW w:w="8399" w:type="dxa"/>
            <w:vAlign w:val="center"/>
          </w:tcPr>
          <w:p w:rsidR="00CC4A71" w:rsidRPr="00EE6AC6" w:rsidRDefault="000A5DF6">
            <w:pPr>
              <w:ind w:left="567"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Nombre del solicitante:</w:t>
            </w:r>
          </w:p>
        </w:tc>
      </w:tr>
      <w:tr w:rsidR="00CC4A71" w:rsidRPr="00EE6AC6">
        <w:trPr>
          <w:trHeight w:val="602"/>
          <w:jc w:val="center"/>
        </w:trPr>
        <w:tc>
          <w:tcPr>
            <w:tcW w:w="8399" w:type="dxa"/>
            <w:vAlign w:val="center"/>
          </w:tcPr>
          <w:p w:rsidR="00CC4A71" w:rsidRPr="00EE6AC6" w:rsidRDefault="000A5DF6">
            <w:pPr>
              <w:ind w:left="567"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Folio de la solicitud: 00169/TEPOTZOT/IP/2024</w:t>
            </w:r>
          </w:p>
        </w:tc>
      </w:tr>
      <w:tr w:rsidR="00CC4A71" w:rsidRPr="00EE6AC6">
        <w:trPr>
          <w:trHeight w:val="903"/>
          <w:jc w:val="center"/>
        </w:trPr>
        <w:tc>
          <w:tcPr>
            <w:tcW w:w="8399" w:type="dxa"/>
            <w:vAlign w:val="center"/>
          </w:tcPr>
          <w:p w:rsidR="00CC4A71" w:rsidRPr="00EE6AC6" w:rsidRDefault="00CC4A71">
            <w:pPr>
              <w:ind w:right="-25"/>
              <w:jc w:val="both"/>
              <w:rPr>
                <w:rFonts w:ascii="Palatino Linotype" w:eastAsia="Palatino Linotype" w:hAnsi="Palatino Linotype" w:cs="Palatino Linotype"/>
                <w:i/>
                <w:sz w:val="22"/>
                <w:szCs w:val="22"/>
              </w:rPr>
            </w:pPr>
          </w:p>
        </w:tc>
      </w:tr>
      <w:tr w:rsidR="00CC4A71" w:rsidRPr="00EE6AC6">
        <w:trPr>
          <w:trHeight w:val="301"/>
          <w:jc w:val="center"/>
        </w:trPr>
        <w:tc>
          <w:tcPr>
            <w:tcW w:w="8399" w:type="dxa"/>
            <w:vAlign w:val="center"/>
          </w:tcPr>
          <w:p w:rsidR="00CC4A71" w:rsidRPr="00EE6AC6" w:rsidRDefault="000A5DF6">
            <w:pPr>
              <w:ind w:left="567" w:right="-25"/>
              <w:jc w:val="both"/>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C4A71" w:rsidRPr="00EE6AC6">
        <w:trPr>
          <w:trHeight w:val="301"/>
          <w:jc w:val="center"/>
        </w:trPr>
        <w:tc>
          <w:tcPr>
            <w:tcW w:w="8399" w:type="dxa"/>
            <w:vAlign w:val="center"/>
          </w:tcPr>
          <w:p w:rsidR="00CC4A71" w:rsidRPr="00EE6AC6" w:rsidRDefault="00CC4A71">
            <w:pPr>
              <w:ind w:left="567" w:right="-25"/>
              <w:jc w:val="both"/>
              <w:rPr>
                <w:rFonts w:ascii="Palatino Linotype" w:eastAsia="Palatino Linotype" w:hAnsi="Palatino Linotype" w:cs="Palatino Linotype"/>
                <w:i/>
                <w:sz w:val="22"/>
                <w:szCs w:val="22"/>
              </w:rPr>
            </w:pPr>
          </w:p>
          <w:p w:rsidR="00CC4A71" w:rsidRPr="00EE6AC6" w:rsidRDefault="000A5DF6">
            <w:pPr>
              <w:ind w:left="567" w:right="-25"/>
              <w:jc w:val="both"/>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SE ADJUNTA RESPUESTA DE SERVIDOR PÚBLICO HABILITADO</w:t>
            </w:r>
          </w:p>
        </w:tc>
      </w:tr>
      <w:tr w:rsidR="00CC4A71" w:rsidRPr="00EE6AC6">
        <w:trPr>
          <w:trHeight w:val="301"/>
          <w:jc w:val="center"/>
        </w:trPr>
        <w:tc>
          <w:tcPr>
            <w:tcW w:w="8399" w:type="dxa"/>
            <w:vAlign w:val="center"/>
          </w:tcPr>
          <w:p w:rsidR="00CC4A71" w:rsidRPr="00EE6AC6" w:rsidRDefault="00CC4A71">
            <w:pPr>
              <w:ind w:left="567" w:right="-25"/>
              <w:jc w:val="both"/>
              <w:rPr>
                <w:rFonts w:ascii="Palatino Linotype" w:eastAsia="Palatino Linotype" w:hAnsi="Palatino Linotype" w:cs="Palatino Linotype"/>
                <w:i/>
                <w:sz w:val="22"/>
                <w:szCs w:val="22"/>
              </w:rPr>
            </w:pPr>
          </w:p>
        </w:tc>
      </w:tr>
      <w:tr w:rsidR="00CC4A71" w:rsidRPr="00EE6AC6">
        <w:trPr>
          <w:trHeight w:val="301"/>
          <w:jc w:val="center"/>
        </w:trPr>
        <w:tc>
          <w:tcPr>
            <w:tcW w:w="8399" w:type="dxa"/>
            <w:vAlign w:val="center"/>
          </w:tcPr>
          <w:p w:rsidR="00CC4A71" w:rsidRPr="00EE6AC6" w:rsidRDefault="000A5DF6">
            <w:pPr>
              <w:ind w:left="567" w:right="-25"/>
              <w:jc w:val="both"/>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ATENTAMENTE</w:t>
            </w:r>
          </w:p>
        </w:tc>
      </w:tr>
      <w:tr w:rsidR="00CC4A71" w:rsidRPr="00EE6AC6">
        <w:trPr>
          <w:trHeight w:val="451"/>
          <w:jc w:val="center"/>
        </w:trPr>
        <w:tc>
          <w:tcPr>
            <w:tcW w:w="8399" w:type="dxa"/>
            <w:vAlign w:val="center"/>
          </w:tcPr>
          <w:p w:rsidR="00CC4A71" w:rsidRPr="00EE6AC6" w:rsidRDefault="00CC4A71">
            <w:pPr>
              <w:ind w:left="567" w:right="-25"/>
              <w:jc w:val="both"/>
              <w:rPr>
                <w:rFonts w:ascii="Palatino Linotype" w:eastAsia="Palatino Linotype" w:hAnsi="Palatino Linotype" w:cs="Palatino Linotype"/>
                <w:i/>
                <w:sz w:val="22"/>
                <w:szCs w:val="22"/>
              </w:rPr>
            </w:pPr>
          </w:p>
        </w:tc>
      </w:tr>
      <w:tr w:rsidR="00CC4A71" w:rsidRPr="00EE6AC6">
        <w:trPr>
          <w:trHeight w:val="301"/>
          <w:jc w:val="center"/>
        </w:trPr>
        <w:tc>
          <w:tcPr>
            <w:tcW w:w="8399" w:type="dxa"/>
            <w:vAlign w:val="center"/>
          </w:tcPr>
          <w:p w:rsidR="00CC4A71" w:rsidRPr="00EE6AC6" w:rsidRDefault="000A5DF6">
            <w:pPr>
              <w:ind w:left="567" w:right="-25"/>
              <w:jc w:val="both"/>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P.L.C.C. David González Corona</w:t>
            </w:r>
          </w:p>
        </w:tc>
      </w:tr>
    </w:tbl>
    <w:p w:rsidR="00CC4A71" w:rsidRPr="00EE6AC6" w:rsidRDefault="00CC4A71">
      <w:pPr>
        <w:ind w:right="-25"/>
        <w:jc w:val="both"/>
        <w:rPr>
          <w:rFonts w:ascii="Palatino Linotype" w:eastAsia="Palatino Linotype" w:hAnsi="Palatino Linotype" w:cs="Palatino Linotype"/>
          <w:i/>
          <w:color w:val="000000"/>
          <w:sz w:val="22"/>
          <w:szCs w:val="22"/>
        </w:rPr>
      </w:pPr>
    </w:p>
    <w:p w:rsidR="00CC4A71" w:rsidRPr="00EE6AC6" w:rsidRDefault="00CC4A71">
      <w:pPr>
        <w:ind w:right="-25"/>
        <w:jc w:val="both"/>
        <w:rPr>
          <w:rFonts w:ascii="Palatino Linotype" w:eastAsia="Palatino Linotype" w:hAnsi="Palatino Linotype" w:cs="Palatino Linotype"/>
          <w:b/>
          <w:sz w:val="22"/>
          <w:szCs w:val="22"/>
        </w:rPr>
      </w:pPr>
    </w:p>
    <w:p w:rsidR="00CC4A71" w:rsidRPr="00EE6AC6" w:rsidRDefault="000A5DF6">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A la respuesta se anexó el archivo </w:t>
      </w:r>
      <w:hyperlink r:id="rId10">
        <w:r w:rsidRPr="00EE6AC6">
          <w:rPr>
            <w:rFonts w:ascii="Palatino Linotype" w:eastAsia="Palatino Linotype" w:hAnsi="Palatino Linotype" w:cs="Palatino Linotype"/>
            <w:b/>
            <w:color w:val="0563C1"/>
            <w:sz w:val="22"/>
            <w:szCs w:val="22"/>
            <w:u w:val="single"/>
          </w:rPr>
          <w:t>DOP-544-2024.pdf</w:t>
        </w:r>
      </w:hyperlink>
      <w:r w:rsidRPr="00EE6AC6">
        <w:rPr>
          <w:rFonts w:ascii="Palatino Linotype" w:eastAsia="Palatino Linotype" w:hAnsi="Palatino Linotype" w:cs="Palatino Linotype"/>
          <w:color w:val="000000"/>
          <w:sz w:val="22"/>
          <w:szCs w:val="22"/>
        </w:rPr>
        <w:t>, en el que se advierten los siguientes documentos que se describen:</w:t>
      </w:r>
    </w:p>
    <w:p w:rsidR="00CC4A71" w:rsidRPr="00EE6AC6" w:rsidRDefault="00CC4A71">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p>
    <w:p w:rsidR="00CC4A71" w:rsidRPr="00EE6AC6" w:rsidRDefault="000A5DF6">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Oficio número DOP/544/2024 de fecha quince de mayo de dos mil veinticuatro, suscrito por el Director de Obras Públicas y dirigido al Titular de la Unidad de Transparencia, en el que señaló que el documento solicitado obra en poder de la Dirección de Obras Públicas del Ayuntamiento de Tepotzotlán Estado de México y/o en la Presidencia Municipal de dicho gobierno local y puede ser rastreado como la RESPUESTA emitida al oficio de Petición de Obra Pública de infraestructura ingresado el día 04 de marzo del año 2024 con el NÚMERO de Folio 25146 de Presidencia Municipal.  </w:t>
      </w:r>
    </w:p>
    <w:p w:rsidR="00CC4A71" w:rsidRPr="00EE6AC6" w:rsidRDefault="000A5DF6">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lastRenderedPageBreak/>
        <w:t xml:space="preserve">Se anexó la copia simple de tres oficios con número DOP/440/2024 de fecha diecinueve de abril de dos mil veinticuatro, suscrito por el Director de Obras Públicas y dirigido al Recurrente. </w:t>
      </w:r>
    </w:p>
    <w:p w:rsidR="00CC4A71" w:rsidRPr="00EE6AC6" w:rsidRDefault="00CC4A71">
      <w:pPr>
        <w:pBdr>
          <w:top w:val="nil"/>
          <w:left w:val="nil"/>
          <w:bottom w:val="nil"/>
          <w:right w:val="nil"/>
          <w:between w:val="nil"/>
        </w:pBdr>
        <w:spacing w:line="360" w:lineRule="auto"/>
        <w:ind w:left="1440" w:right="-25"/>
        <w:jc w:val="both"/>
        <w:rPr>
          <w:rFonts w:ascii="Palatino Linotype" w:eastAsia="Palatino Linotype" w:hAnsi="Palatino Linotype" w:cs="Palatino Linotype"/>
          <w:color w:val="000000"/>
          <w:sz w:val="22"/>
          <w:szCs w:val="22"/>
        </w:rPr>
      </w:pPr>
    </w:p>
    <w:p w:rsidR="00CC4A71" w:rsidRPr="00EE6AC6" w:rsidRDefault="000A5DF6">
      <w:pPr>
        <w:spacing w:line="360" w:lineRule="auto"/>
        <w:ind w:right="-25"/>
        <w:jc w:val="both"/>
        <w:rPr>
          <w:rFonts w:ascii="Palatino Linotype" w:eastAsia="Palatino Linotype" w:hAnsi="Palatino Linotype" w:cs="Palatino Linotype"/>
          <w:sz w:val="22"/>
          <w:szCs w:val="22"/>
        </w:rPr>
      </w:pPr>
      <w:r w:rsidRPr="00EE6AC6">
        <w:rPr>
          <w:rFonts w:ascii="Palatino Linotype" w:eastAsia="Palatino Linotype" w:hAnsi="Palatino Linotype" w:cs="Palatino Linotype"/>
          <w:b/>
          <w:sz w:val="22"/>
          <w:szCs w:val="22"/>
        </w:rPr>
        <w:t>00186/TEPOTZOT/IP/2024:</w:t>
      </w:r>
    </w:p>
    <w:p w:rsidR="00CC4A71" w:rsidRPr="00EE6AC6" w:rsidRDefault="00CC4A71">
      <w:pPr>
        <w:ind w:left="567" w:right="-25"/>
        <w:jc w:val="both"/>
        <w:rPr>
          <w:rFonts w:ascii="Palatino Linotype" w:eastAsia="Palatino Linotype" w:hAnsi="Palatino Linotype" w:cs="Palatino Linotype"/>
          <w:i/>
          <w:color w:val="000000"/>
          <w:sz w:val="22"/>
          <w:szCs w:val="22"/>
        </w:rPr>
      </w:pPr>
    </w:p>
    <w:tbl>
      <w:tblPr>
        <w:tblStyle w:val="aa"/>
        <w:tblW w:w="7331" w:type="dxa"/>
        <w:jc w:val="center"/>
        <w:tblInd w:w="0" w:type="dxa"/>
        <w:tblLayout w:type="fixed"/>
        <w:tblLook w:val="0400" w:firstRow="0" w:lastRow="0" w:firstColumn="0" w:lastColumn="0" w:noHBand="0" w:noVBand="1"/>
      </w:tblPr>
      <w:tblGrid>
        <w:gridCol w:w="7331"/>
      </w:tblGrid>
      <w:tr w:rsidR="00CC4A71" w:rsidRPr="00EE6AC6">
        <w:trPr>
          <w:trHeight w:val="275"/>
          <w:jc w:val="center"/>
        </w:trPr>
        <w:tc>
          <w:tcPr>
            <w:tcW w:w="7331" w:type="dxa"/>
            <w:vAlign w:val="center"/>
          </w:tcPr>
          <w:p w:rsidR="00CC4A71" w:rsidRPr="00EE6AC6" w:rsidRDefault="000A5DF6">
            <w:pPr>
              <w:ind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Tepotzotlán, México a 05 de Agosto de 2024</w:t>
            </w:r>
          </w:p>
        </w:tc>
      </w:tr>
      <w:tr w:rsidR="00CC4A71" w:rsidRPr="00EE6AC6">
        <w:trPr>
          <w:trHeight w:val="275"/>
          <w:jc w:val="center"/>
        </w:trPr>
        <w:tc>
          <w:tcPr>
            <w:tcW w:w="7331" w:type="dxa"/>
            <w:vAlign w:val="center"/>
          </w:tcPr>
          <w:p w:rsidR="00CC4A71" w:rsidRPr="00EE6AC6" w:rsidRDefault="000A5DF6">
            <w:pPr>
              <w:ind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Nombre del solicitante: C. Solicitante</w:t>
            </w:r>
          </w:p>
        </w:tc>
      </w:tr>
      <w:tr w:rsidR="00CC4A71" w:rsidRPr="00EE6AC6">
        <w:trPr>
          <w:trHeight w:val="275"/>
          <w:jc w:val="center"/>
        </w:trPr>
        <w:tc>
          <w:tcPr>
            <w:tcW w:w="7331" w:type="dxa"/>
            <w:vAlign w:val="center"/>
          </w:tcPr>
          <w:p w:rsidR="00CC4A71" w:rsidRPr="00EE6AC6" w:rsidRDefault="000A5DF6">
            <w:pPr>
              <w:ind w:right="-25"/>
              <w:jc w:val="right"/>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Folio de la solicitud: 00186/TEPOTZOT/IP/2024</w:t>
            </w:r>
          </w:p>
        </w:tc>
      </w:tr>
      <w:tr w:rsidR="00CC4A71" w:rsidRPr="00EE6AC6">
        <w:trPr>
          <w:trHeight w:val="413"/>
          <w:jc w:val="center"/>
        </w:trPr>
        <w:tc>
          <w:tcPr>
            <w:tcW w:w="7331" w:type="dxa"/>
            <w:vAlign w:val="center"/>
          </w:tcPr>
          <w:p w:rsidR="00CC4A71" w:rsidRPr="00EE6AC6" w:rsidRDefault="00CC4A71">
            <w:pPr>
              <w:ind w:right="-25"/>
              <w:jc w:val="right"/>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0A5DF6">
            <w:pPr>
              <w:ind w:right="-25"/>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C4A71" w:rsidRPr="00EE6AC6">
        <w:trPr>
          <w:trHeight w:val="344"/>
          <w:jc w:val="center"/>
        </w:trPr>
        <w:tc>
          <w:tcPr>
            <w:tcW w:w="7331" w:type="dxa"/>
            <w:vAlign w:val="center"/>
          </w:tcPr>
          <w:p w:rsidR="00CC4A71" w:rsidRPr="00EE6AC6" w:rsidRDefault="00CC4A71">
            <w:pPr>
              <w:ind w:right="-25"/>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0A5DF6">
            <w:pPr>
              <w:ind w:right="-25"/>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SE ADJUNTA RESPUESTA DE SERVIDOR PÚBLICO HABILITADO</w:t>
            </w:r>
          </w:p>
        </w:tc>
      </w:tr>
      <w:tr w:rsidR="00CC4A71" w:rsidRPr="00EE6AC6">
        <w:trPr>
          <w:trHeight w:val="344"/>
          <w:jc w:val="center"/>
        </w:trPr>
        <w:tc>
          <w:tcPr>
            <w:tcW w:w="7331" w:type="dxa"/>
            <w:vAlign w:val="center"/>
          </w:tcPr>
          <w:p w:rsidR="00CC4A71" w:rsidRPr="00EE6AC6" w:rsidRDefault="00CC4A71">
            <w:pPr>
              <w:ind w:right="-25"/>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CC4A71">
            <w:pPr>
              <w:ind w:right="-25"/>
              <w:jc w:val="center"/>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CC4A71">
            <w:pPr>
              <w:ind w:right="-25"/>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0A5DF6">
            <w:pPr>
              <w:ind w:right="-25"/>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ATENTAMENTE</w:t>
            </w:r>
          </w:p>
        </w:tc>
      </w:tr>
      <w:tr w:rsidR="00CC4A71" w:rsidRPr="00EE6AC6">
        <w:trPr>
          <w:trHeight w:val="206"/>
          <w:jc w:val="center"/>
        </w:trPr>
        <w:tc>
          <w:tcPr>
            <w:tcW w:w="7331" w:type="dxa"/>
            <w:vAlign w:val="center"/>
          </w:tcPr>
          <w:p w:rsidR="00CC4A71" w:rsidRPr="00EE6AC6" w:rsidRDefault="00CC4A71">
            <w:pPr>
              <w:ind w:right="-25"/>
              <w:rPr>
                <w:rFonts w:ascii="Palatino Linotype" w:eastAsia="Palatino Linotype" w:hAnsi="Palatino Linotype" w:cs="Palatino Linotype"/>
                <w:i/>
                <w:sz w:val="22"/>
                <w:szCs w:val="22"/>
              </w:rPr>
            </w:pPr>
          </w:p>
        </w:tc>
      </w:tr>
      <w:tr w:rsidR="00CC4A71" w:rsidRPr="00EE6AC6">
        <w:trPr>
          <w:trHeight w:val="137"/>
          <w:jc w:val="center"/>
        </w:trPr>
        <w:tc>
          <w:tcPr>
            <w:tcW w:w="7331" w:type="dxa"/>
            <w:vAlign w:val="center"/>
          </w:tcPr>
          <w:p w:rsidR="00CC4A71" w:rsidRPr="00EE6AC6" w:rsidRDefault="000A5DF6">
            <w:pPr>
              <w:ind w:right="-25"/>
              <w:rPr>
                <w:rFonts w:ascii="Palatino Linotype" w:eastAsia="Palatino Linotype" w:hAnsi="Palatino Linotype" w:cs="Palatino Linotype"/>
                <w:i/>
                <w:sz w:val="22"/>
                <w:szCs w:val="22"/>
              </w:rPr>
            </w:pPr>
            <w:r w:rsidRPr="00EE6AC6">
              <w:rPr>
                <w:rFonts w:ascii="Palatino Linotype" w:eastAsia="Palatino Linotype" w:hAnsi="Palatino Linotype" w:cs="Palatino Linotype"/>
                <w:i/>
                <w:sz w:val="22"/>
                <w:szCs w:val="22"/>
              </w:rPr>
              <w:t>P.L.C.C. David González Corona</w:t>
            </w:r>
          </w:p>
        </w:tc>
      </w:tr>
    </w:tbl>
    <w:p w:rsidR="00CC4A71" w:rsidRPr="00EE6AC6" w:rsidRDefault="00CC4A71">
      <w:pPr>
        <w:ind w:right="-25"/>
        <w:jc w:val="both"/>
        <w:rPr>
          <w:rFonts w:ascii="Palatino Linotype" w:eastAsia="Palatino Linotype" w:hAnsi="Palatino Linotype" w:cs="Palatino Linotype"/>
          <w:i/>
          <w:color w:val="000000"/>
          <w:sz w:val="22"/>
          <w:szCs w:val="22"/>
        </w:rPr>
      </w:pPr>
    </w:p>
    <w:p w:rsidR="00CC4A71" w:rsidRPr="00EE6AC6" w:rsidRDefault="00CC4A71">
      <w:pPr>
        <w:ind w:right="-25"/>
        <w:jc w:val="both"/>
        <w:rPr>
          <w:rFonts w:ascii="Palatino Linotype" w:eastAsia="Palatino Linotype" w:hAnsi="Palatino Linotype" w:cs="Palatino Linotype"/>
          <w:b/>
          <w:sz w:val="22"/>
          <w:szCs w:val="22"/>
        </w:rPr>
      </w:pPr>
    </w:p>
    <w:p w:rsidR="00CC4A71" w:rsidRPr="00EE6AC6" w:rsidRDefault="000A5DF6">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A la respuesta se anexó el archivo </w:t>
      </w:r>
      <w:hyperlink r:id="rId11">
        <w:r w:rsidRPr="00EE6AC6">
          <w:rPr>
            <w:rFonts w:ascii="Palatino Linotype" w:eastAsia="Palatino Linotype" w:hAnsi="Palatino Linotype" w:cs="Palatino Linotype"/>
            <w:b/>
            <w:color w:val="0563C1"/>
            <w:sz w:val="22"/>
            <w:szCs w:val="22"/>
            <w:u w:val="single"/>
          </w:rPr>
          <w:t>DOP-1036-2024.pdf</w:t>
        </w:r>
      </w:hyperlink>
      <w:r w:rsidRPr="00EE6AC6">
        <w:rPr>
          <w:rFonts w:ascii="Palatino Linotype" w:eastAsia="Palatino Linotype" w:hAnsi="Palatino Linotype" w:cs="Palatino Linotype"/>
          <w:color w:val="000000"/>
          <w:sz w:val="22"/>
          <w:szCs w:val="22"/>
        </w:rPr>
        <w:t xml:space="preserve">, en el que se advierten oficio número DOP/1036/2024 de fecha veintiséis de junio de dos mil veinticuatro, suscrito por el Director de Obra Pública y dirigido al Titular de la Unidad de Transparencia en el que señaló que </w:t>
      </w:r>
      <w:r w:rsidRPr="00EE6AC6">
        <w:rPr>
          <w:rFonts w:ascii="Palatino Linotype" w:eastAsia="Palatino Linotype" w:hAnsi="Palatino Linotype" w:cs="Palatino Linotype"/>
          <w:i/>
          <w:color w:val="000000"/>
          <w:sz w:val="22"/>
          <w:szCs w:val="22"/>
        </w:rPr>
        <w:t xml:space="preserve">“la Dirección de Obras Pública cuenta con una base de datos por contenido y control interno, donde se registran todos los folios designados para cada oficio saliente, así como el registro de cada petición valorada y turnada por la oficialía de partes, de acuerdo al número de folio del peticionario se da una contestación y así un seguimiento. Toda la </w:t>
      </w:r>
      <w:r w:rsidRPr="00EE6AC6">
        <w:rPr>
          <w:rFonts w:ascii="Palatino Linotype" w:eastAsia="Palatino Linotype" w:hAnsi="Palatino Linotype" w:cs="Palatino Linotype"/>
          <w:i/>
          <w:color w:val="000000"/>
          <w:sz w:val="22"/>
          <w:szCs w:val="22"/>
        </w:rPr>
        <w:lastRenderedPageBreak/>
        <w:t>información es registrada en la Bitácora BIT/DOP/IT-III/2024 misma que se encuentra de manera física, así como digital para control  interno del área. En la cual se podrá localizar el documento DOP/281/2024 ASUNTO: NOTIFICACIÓN, así como los consecutivos a cada tema, su continuidad, negativa o avance y termino.”</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siete (07) de junio  y veinte (20) de agosto de dos mil veinticuatro</w:t>
      </w:r>
      <w:r w:rsidRPr="00EE6AC6">
        <w:rPr>
          <w:rFonts w:ascii="Palatino Linotype" w:eastAsia="Palatino Linotype" w:hAnsi="Palatino Linotype" w:cs="Palatino Linotype"/>
        </w:rPr>
        <w:t>,</w:t>
      </w:r>
      <w:r w:rsidRPr="00EE6AC6">
        <w:rPr>
          <w:rFonts w:ascii="Palatino Linotype" w:eastAsia="Palatino Linotype" w:hAnsi="Palatino Linotype" w:cs="Palatino Linotype"/>
          <w:b/>
        </w:rPr>
        <w:t xml:space="preserve"> </w:t>
      </w: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RECURRENTE</w:t>
      </w:r>
      <w:r w:rsidRPr="00EE6AC6">
        <w:rPr>
          <w:rFonts w:ascii="Palatino Linotype" w:eastAsia="Palatino Linotype" w:hAnsi="Palatino Linotype" w:cs="Palatino Linotype"/>
        </w:rPr>
        <w:t xml:space="preserve"> interpuso el recurso de revisión en contra de la respuesta, señalando como:</w:t>
      </w:r>
    </w:p>
    <w:p w:rsidR="00CC4A71" w:rsidRPr="00EE6AC6" w:rsidRDefault="000A5DF6">
      <w:pPr>
        <w:spacing w:line="360" w:lineRule="auto"/>
        <w:ind w:right="-876"/>
        <w:jc w:val="both"/>
        <w:rPr>
          <w:rFonts w:ascii="Palatino Linotype" w:eastAsia="Palatino Linotype" w:hAnsi="Palatino Linotype" w:cs="Palatino Linotype"/>
          <w:b/>
        </w:rPr>
      </w:pPr>
      <w:r w:rsidRPr="00EE6AC6">
        <w:rPr>
          <w:rFonts w:ascii="Palatino Linotype" w:eastAsia="Palatino Linotype" w:hAnsi="Palatino Linotype" w:cs="Palatino Linotype"/>
          <w:b/>
        </w:rPr>
        <w:t>03538/INFOEM/IP/RR/2024:</w:t>
      </w:r>
    </w:p>
    <w:p w:rsidR="00CC4A71" w:rsidRPr="00EE6AC6" w:rsidRDefault="000A5DF6">
      <w:pPr>
        <w:spacing w:line="360" w:lineRule="auto"/>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sz w:val="22"/>
          <w:szCs w:val="22"/>
        </w:rPr>
        <w:t>Acto impugnado</w:t>
      </w:r>
      <w:r w:rsidRPr="00EE6AC6">
        <w:rPr>
          <w:rFonts w:ascii="Palatino Linotype" w:eastAsia="Palatino Linotype" w:hAnsi="Palatino Linotype" w:cs="Palatino Linotype"/>
          <w:b/>
          <w:i/>
          <w:sz w:val="22"/>
          <w:szCs w:val="22"/>
        </w:rPr>
        <w:t>:</w:t>
      </w:r>
      <w:r w:rsidRPr="00EE6AC6">
        <w:rPr>
          <w:rFonts w:ascii="Palatino Linotype" w:eastAsia="Palatino Linotype" w:hAnsi="Palatino Linotype" w:cs="Palatino Linotype"/>
          <w:i/>
          <w:color w:val="000000"/>
          <w:sz w:val="22"/>
          <w:szCs w:val="22"/>
        </w:rPr>
        <w:t xml:space="preserve"> “INCONFORMIDAD contra la ENTREGA DE INFORMACIÓN QUE NO CORRESPONDE A LO SOLICITADO, recibida el día 21 de mayo del año 2024 en atención al Folio de Solicitud o Expediente de la solicitud: 00169/ TEPOTZOT/ IP/ 2024, recibido mediante el Folio: 0000594852 de la Plataforma Nacional de Transparencia en atención a la SOLICITUD DE INFORMACIÓN PÚBLICA que se integra a este recurso como ANEXO DOS_PRUEBA SEGUNDA e incluye la Contestación sobre solicitud de información con Oficio No: DOP/544/2024, fechado 15 de mayo 2024, firmado por el Director de Obras Públicas, Arquitecto Pablo Romero Vázquez al que de manera EQUIVOCA integran tres copias del OFICIO NO. DOP/440/2024 de fecha 19 de abril del 2024, firmados por el propio Director de Obras Públicas, DOCUMENTOS QUE NO FUERON SOLICITADOS. Respecto del Recurso de Revisión que se solicita admitir se pide brindar atención plena y pormenorizada al Archivo que se Adjunta en esta Plataforma Nacional de Transparencia, al cual, se agrega identificación Oficial del RECURRENTE, ANEXOS numerados UNO A CUATRO, PRUEBAS ofrecidas PRIMERA A CUARTA. </w:t>
      </w:r>
      <w:proofErr w:type="gramStart"/>
      <w:r w:rsidRPr="00EE6AC6">
        <w:rPr>
          <w:rFonts w:ascii="Palatino Linotype" w:eastAsia="Palatino Linotype" w:hAnsi="Palatino Linotype" w:cs="Palatino Linotype"/>
          <w:i/>
          <w:color w:val="000000"/>
          <w:sz w:val="22"/>
          <w:szCs w:val="22"/>
        </w:rPr>
        <w:t>manifestando</w:t>
      </w:r>
      <w:proofErr w:type="gramEnd"/>
      <w:r w:rsidRPr="00EE6AC6">
        <w:rPr>
          <w:rFonts w:ascii="Palatino Linotype" w:eastAsia="Palatino Linotype" w:hAnsi="Palatino Linotype" w:cs="Palatino Linotype"/>
          <w:i/>
          <w:color w:val="000000"/>
          <w:sz w:val="22"/>
          <w:szCs w:val="22"/>
        </w:rPr>
        <w:t xml:space="preserve"> AGRAVIOS, ALEGATOS y habiendo dado cumplimiento a lo dispuesto en el artículo 180 de la Ley de Transparencia y Acceso a la Información Pública del Estado de México y Municipios. Por lo que se agradece proveer lo necesario, respecto de este RECURSO DE REVISIÓN SOLICITADO.” (Sic)</w:t>
      </w:r>
    </w:p>
    <w:p w:rsidR="00CC4A71" w:rsidRPr="00EE6AC6" w:rsidRDefault="000A5DF6">
      <w:pPr>
        <w:ind w:left="567" w:right="-25"/>
        <w:jc w:val="both"/>
        <w:rPr>
          <w:rFonts w:ascii="Palatino Linotype" w:eastAsia="Palatino Linotype" w:hAnsi="Palatino Linotype" w:cs="Palatino Linotype"/>
          <w:b/>
          <w:sz w:val="22"/>
          <w:szCs w:val="22"/>
        </w:rPr>
      </w:pPr>
      <w:r w:rsidRPr="00EE6AC6">
        <w:rPr>
          <w:rFonts w:ascii="Palatino Linotype" w:eastAsia="Palatino Linotype" w:hAnsi="Palatino Linotype" w:cs="Palatino Linotype"/>
          <w:b/>
          <w:sz w:val="22"/>
          <w:szCs w:val="22"/>
        </w:rPr>
        <w:lastRenderedPageBreak/>
        <w:t xml:space="preserve"> No se señalaron Razones o Motivos de inconformidad.</w:t>
      </w:r>
    </w:p>
    <w:p w:rsidR="00CC4A71" w:rsidRPr="00EE6AC6" w:rsidRDefault="00CC4A71">
      <w:pPr>
        <w:tabs>
          <w:tab w:val="left" w:pos="6197"/>
        </w:tabs>
        <w:spacing w:line="360" w:lineRule="auto"/>
        <w:ind w:right="-25"/>
        <w:jc w:val="both"/>
        <w:rPr>
          <w:rFonts w:ascii="Palatino Linotype" w:eastAsia="Palatino Linotype" w:hAnsi="Palatino Linotype" w:cs="Palatino Linotype"/>
          <w:sz w:val="22"/>
          <w:szCs w:val="22"/>
        </w:rPr>
      </w:pPr>
    </w:p>
    <w:p w:rsidR="00CC4A71" w:rsidRPr="00EE6AC6" w:rsidRDefault="000A5DF6">
      <w:pPr>
        <w:numPr>
          <w:ilvl w:val="0"/>
          <w:numId w:val="2"/>
        </w:numPr>
        <w:pBdr>
          <w:top w:val="nil"/>
          <w:left w:val="nil"/>
          <w:bottom w:val="nil"/>
          <w:right w:val="nil"/>
          <w:between w:val="nil"/>
        </w:pBdr>
        <w:tabs>
          <w:tab w:val="left" w:pos="6197"/>
        </w:tabs>
        <w:spacing w:line="360" w:lineRule="auto"/>
        <w:ind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Al recurso de revisión se anexó el archivo denominado </w:t>
      </w:r>
      <w:r w:rsidRPr="00EE6AC6">
        <w:rPr>
          <w:rFonts w:ascii="Palatino Linotype" w:eastAsia="Palatino Linotype" w:hAnsi="Palatino Linotype" w:cs="Palatino Linotype"/>
          <w:b/>
          <w:color w:val="000000"/>
          <w:sz w:val="22"/>
          <w:szCs w:val="22"/>
        </w:rPr>
        <w:t>Archivo1717810074573.pdf</w:t>
      </w:r>
      <w:r w:rsidRPr="00EE6AC6">
        <w:rPr>
          <w:rFonts w:ascii="Palatino Linotype" w:eastAsia="Palatino Linotype" w:hAnsi="Palatino Linotype" w:cs="Palatino Linotype"/>
          <w:color w:val="000000"/>
          <w:sz w:val="22"/>
          <w:szCs w:val="22"/>
        </w:rPr>
        <w:t xml:space="preserve">, en el que se advierte un escrito en el que el particular manifestó su inconformidad, de forma medular, por la entrega de la información que no corresponde con lo solicitado; se anexó identificación oficial del Recurrente, acuse de la solicitud de información, escrito de solicitud, el oficio número DOP/440/2024 ya descrito anteriormente,  documentos emitidos en respuesta, y un documento de solicitud de obra pública de infraestructura vial, consistentes en construcción de áreas de rodamiento vehicular, banquetas, guarniciones, reductores de velocidad y señalización vial, dirigido a la Presidenta Municipal de Tepotzotlán. </w:t>
      </w:r>
    </w:p>
    <w:p w:rsidR="00CC4A71" w:rsidRPr="00EE6AC6" w:rsidRDefault="00CC4A71">
      <w:pPr>
        <w:tabs>
          <w:tab w:val="left" w:pos="6197"/>
        </w:tabs>
        <w:spacing w:line="360" w:lineRule="auto"/>
        <w:ind w:right="-25"/>
        <w:jc w:val="both"/>
        <w:rPr>
          <w:rFonts w:ascii="Palatino Linotype" w:eastAsia="Palatino Linotype" w:hAnsi="Palatino Linotype" w:cs="Palatino Linotype"/>
          <w:sz w:val="22"/>
          <w:szCs w:val="22"/>
        </w:rPr>
      </w:pPr>
    </w:p>
    <w:p w:rsidR="00CC4A71" w:rsidRPr="00EE6AC6" w:rsidRDefault="000A5DF6">
      <w:pPr>
        <w:spacing w:line="360" w:lineRule="auto"/>
        <w:ind w:right="-25"/>
        <w:jc w:val="both"/>
        <w:rPr>
          <w:rFonts w:ascii="Palatino Linotype" w:eastAsia="Palatino Linotype" w:hAnsi="Palatino Linotype" w:cs="Palatino Linotype"/>
          <w:b/>
          <w:sz w:val="22"/>
          <w:szCs w:val="22"/>
        </w:rPr>
      </w:pPr>
      <w:r w:rsidRPr="00EE6AC6">
        <w:rPr>
          <w:rFonts w:ascii="Palatino Linotype" w:eastAsia="Palatino Linotype" w:hAnsi="Palatino Linotype" w:cs="Palatino Linotype"/>
          <w:b/>
          <w:sz w:val="22"/>
          <w:szCs w:val="22"/>
        </w:rPr>
        <w:t>04998/INFOEM/IP/RR/2024:</w:t>
      </w:r>
    </w:p>
    <w:p w:rsidR="00CC4A71" w:rsidRPr="00EE6AC6" w:rsidRDefault="000A5DF6">
      <w:pPr>
        <w:spacing w:line="360" w:lineRule="auto"/>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sz w:val="22"/>
          <w:szCs w:val="22"/>
        </w:rPr>
        <w:t>Acto impugnado</w:t>
      </w:r>
      <w:r w:rsidRPr="00EE6AC6">
        <w:rPr>
          <w:rFonts w:ascii="Palatino Linotype" w:eastAsia="Palatino Linotype" w:hAnsi="Palatino Linotype" w:cs="Palatino Linotype"/>
          <w:b/>
          <w:i/>
          <w:sz w:val="22"/>
          <w:szCs w:val="22"/>
        </w:rPr>
        <w:t>:</w:t>
      </w:r>
      <w:r w:rsidRPr="00EE6AC6">
        <w:rPr>
          <w:rFonts w:ascii="Palatino Linotype" w:eastAsia="Palatino Linotype" w:hAnsi="Palatino Linotype" w:cs="Palatino Linotype"/>
          <w:i/>
          <w:color w:val="000000"/>
          <w:sz w:val="22"/>
          <w:szCs w:val="22"/>
        </w:rPr>
        <w:t xml:space="preserve"> “Entrega de Información Incompleta, fracción V del artículo 179 de la Ley de Transparencia y Acceso a la Información Pública del Estado de México y Municipios. La Respuesta Parcial del SUJETO OBLIGADO, quien OMITIÓ LA ENTREGA DE LA COPIA SIMPLE DEL OFICIO DOP/281/2024 de fecha 20 de marzo de 2024.” (Sic)</w:t>
      </w:r>
    </w:p>
    <w:p w:rsidR="00CC4A71" w:rsidRPr="00EE6AC6" w:rsidRDefault="00CC4A71">
      <w:pPr>
        <w:spacing w:line="360" w:lineRule="auto"/>
        <w:ind w:left="567" w:right="-25"/>
        <w:jc w:val="both"/>
        <w:rPr>
          <w:rFonts w:ascii="Palatino Linotype" w:eastAsia="Palatino Linotype" w:hAnsi="Palatino Linotype" w:cs="Palatino Linotype"/>
          <w:i/>
          <w:sz w:val="22"/>
          <w:szCs w:val="22"/>
        </w:rPr>
      </w:pPr>
    </w:p>
    <w:p w:rsidR="00CC4A71" w:rsidRPr="00EE6AC6" w:rsidRDefault="000A5DF6">
      <w:pPr>
        <w:spacing w:line="360" w:lineRule="auto"/>
        <w:ind w:left="567" w:right="-25"/>
        <w:jc w:val="both"/>
        <w:rPr>
          <w:rFonts w:ascii="Palatino Linotype" w:eastAsia="Palatino Linotype" w:hAnsi="Palatino Linotype" w:cs="Palatino Linotype"/>
          <w:b/>
          <w:sz w:val="22"/>
          <w:szCs w:val="22"/>
        </w:rPr>
      </w:pPr>
      <w:r w:rsidRPr="00EE6AC6">
        <w:rPr>
          <w:rFonts w:ascii="Palatino Linotype" w:eastAsia="Palatino Linotype" w:hAnsi="Palatino Linotype" w:cs="Palatino Linotype"/>
          <w:b/>
          <w:sz w:val="22"/>
          <w:szCs w:val="22"/>
        </w:rPr>
        <w:t xml:space="preserve"> Razones o Motivos de inconformidad: </w:t>
      </w:r>
      <w:r w:rsidRPr="00EE6AC6">
        <w:rPr>
          <w:rFonts w:ascii="Palatino Linotype" w:eastAsia="Palatino Linotype" w:hAnsi="Palatino Linotype" w:cs="Palatino Linotype"/>
          <w:i/>
          <w:color w:val="000000"/>
          <w:sz w:val="22"/>
          <w:szCs w:val="22"/>
        </w:rPr>
        <w:t>“El SUJETO OBLIGADO solo hizo entrega parcial de la Información solicitada y NO HIZO ENTREGA DE LA COPIA SIMPLE DEL OFICIO DOP/281/2024 de FECHA 20 DE MARZO DE 2024, el cual, fue requerido en la Solicitud Folio 00186/TEPOTZOT/IP/2024. Razones que se exponen en la SOLICITUD DE ADMISIÓN DEL RECURSO DE REVISIÓN que se ADJUNTA EN ARCHIVO a este formulario, misma solicitud en que se integran AGRAVIOS, PRUEBAS y ALEGATOS.” (Sic)</w:t>
      </w:r>
    </w:p>
    <w:p w:rsidR="00CC4A71" w:rsidRPr="00EE6AC6" w:rsidRDefault="00CC4A71">
      <w:pPr>
        <w:tabs>
          <w:tab w:val="left" w:pos="6197"/>
        </w:tabs>
        <w:spacing w:line="360" w:lineRule="auto"/>
        <w:ind w:right="-25"/>
        <w:jc w:val="both"/>
        <w:rPr>
          <w:rFonts w:ascii="Palatino Linotype" w:eastAsia="Palatino Linotype" w:hAnsi="Palatino Linotype" w:cs="Palatino Linotype"/>
          <w:sz w:val="22"/>
          <w:szCs w:val="22"/>
        </w:rPr>
      </w:pPr>
    </w:p>
    <w:p w:rsidR="00CC4A71" w:rsidRPr="00EE6AC6" w:rsidRDefault="000A5DF6">
      <w:pPr>
        <w:numPr>
          <w:ilvl w:val="0"/>
          <w:numId w:val="2"/>
        </w:numPr>
        <w:pBdr>
          <w:top w:val="nil"/>
          <w:left w:val="nil"/>
          <w:bottom w:val="nil"/>
          <w:right w:val="nil"/>
          <w:between w:val="nil"/>
        </w:pBdr>
        <w:tabs>
          <w:tab w:val="left" w:pos="6197"/>
        </w:tabs>
        <w:spacing w:line="360" w:lineRule="auto"/>
        <w:ind w:left="360"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lastRenderedPageBreak/>
        <w:t xml:space="preserve">Al recurso de revisión se anexó el archivo denominado </w:t>
      </w:r>
      <w:hyperlink r:id="rId12">
        <w:proofErr w:type="spellStart"/>
        <w:r w:rsidRPr="00EE6AC6">
          <w:rPr>
            <w:rFonts w:ascii="Palatino Linotype" w:eastAsia="Palatino Linotype" w:hAnsi="Palatino Linotype" w:cs="Palatino Linotype"/>
            <w:b/>
            <w:color w:val="000000"/>
            <w:sz w:val="22"/>
            <w:szCs w:val="22"/>
            <w:u w:val="single"/>
          </w:rPr>
          <w:t>Sol_Rec</w:t>
        </w:r>
        <w:proofErr w:type="spellEnd"/>
        <w:r w:rsidRPr="00EE6AC6">
          <w:rPr>
            <w:rFonts w:ascii="Palatino Linotype" w:eastAsia="Palatino Linotype" w:hAnsi="Palatino Linotype" w:cs="Palatino Linotype"/>
            <w:b/>
            <w:color w:val="000000"/>
            <w:sz w:val="22"/>
            <w:szCs w:val="22"/>
            <w:u w:val="single"/>
          </w:rPr>
          <w:t xml:space="preserve"> </w:t>
        </w:r>
        <w:proofErr w:type="spellStart"/>
        <w:r w:rsidRPr="00EE6AC6">
          <w:rPr>
            <w:rFonts w:ascii="Palatino Linotype" w:eastAsia="Palatino Linotype" w:hAnsi="Palatino Linotype" w:cs="Palatino Linotype"/>
            <w:b/>
            <w:color w:val="000000"/>
            <w:sz w:val="22"/>
            <w:szCs w:val="22"/>
            <w:u w:val="single"/>
          </w:rPr>
          <w:t>Rev_Folio</w:t>
        </w:r>
        <w:proofErr w:type="spellEnd"/>
      </w:hyperlink>
      <w:hyperlink r:id="rId13">
        <w:r w:rsidRPr="00EE6AC6">
          <w:rPr>
            <w:rFonts w:ascii="Palatino Linotype" w:eastAsia="Palatino Linotype" w:hAnsi="Palatino Linotype" w:cs="Palatino Linotype"/>
            <w:b/>
            <w:color w:val="000000"/>
            <w:sz w:val="22"/>
            <w:szCs w:val="22"/>
            <w:u w:val="single"/>
          </w:rPr>
          <w:t xml:space="preserve"> 186 con Pruebas y Firmado.pdf</w:t>
        </w:r>
      </w:hyperlink>
      <w:r w:rsidRPr="00EE6AC6">
        <w:rPr>
          <w:rFonts w:ascii="Palatino Linotype" w:eastAsia="Palatino Linotype" w:hAnsi="Palatino Linotype" w:cs="Palatino Linotype"/>
          <w:color w:val="000000"/>
          <w:sz w:val="22"/>
          <w:szCs w:val="22"/>
        </w:rPr>
        <w:t xml:space="preserve">, en el que se advierte un escrito en el que el particular manifestó su inconformidad, de forma medular, por la entrega de la información incompleta; se anexó identificación oficial del Recurrente, acuse de la solicitud de información, escrito de solicitud y los documentos emitidos en respuesta. </w:t>
      </w:r>
    </w:p>
    <w:p w:rsidR="00CC4A71" w:rsidRPr="00EE6AC6" w:rsidRDefault="00CC4A71">
      <w:pPr>
        <w:tabs>
          <w:tab w:val="left" w:pos="6197"/>
        </w:tabs>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EE6AC6">
        <w:rPr>
          <w:rFonts w:ascii="Palatino Linotype" w:eastAsia="Palatino Linotype" w:hAnsi="Palatino Linotype" w:cs="Palatino Linotype"/>
          <w:b/>
        </w:rPr>
        <w:t xml:space="preserve">Ley de Transparencia y Acceso a la Información Pública del Estado de México y Municipios </w:t>
      </w:r>
      <w:r w:rsidRPr="00EE6AC6">
        <w:rPr>
          <w:rFonts w:ascii="Palatino Linotype" w:eastAsia="Palatino Linotype" w:hAnsi="Palatino Linotype" w:cs="Palatino Linotype"/>
        </w:rPr>
        <w:t xml:space="preserve">se turna a la </w:t>
      </w:r>
      <w:r w:rsidRPr="00EE6AC6">
        <w:rPr>
          <w:rFonts w:ascii="Palatino Linotype" w:eastAsia="Palatino Linotype" w:hAnsi="Palatino Linotype" w:cs="Palatino Linotype"/>
          <w:b/>
        </w:rPr>
        <w:t xml:space="preserve">Comisionada María del Rosario Mejía Ayala, </w:t>
      </w:r>
      <w:r w:rsidRPr="00EE6AC6">
        <w:rPr>
          <w:rFonts w:ascii="Palatino Linotype" w:eastAsia="Palatino Linotype" w:hAnsi="Palatino Linotype" w:cs="Palatino Linotype"/>
        </w:rPr>
        <w:t xml:space="preserve">para su análisis. </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rPr>
          <w:color w:val="000000"/>
        </w:rPr>
      </w:pPr>
      <w:r w:rsidRPr="00EE6AC6">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Pr="00EE6AC6">
        <w:rPr>
          <w:rFonts w:ascii="Palatino Linotype" w:eastAsia="Palatino Linotype" w:hAnsi="Palatino Linotype" w:cs="Palatino Linotype"/>
          <w:b/>
        </w:rPr>
        <w:t>once (11) de junio y veintidós (22) de agosto de dos mil veinticuatro</w:t>
      </w:r>
      <w:r w:rsidRPr="00EE6AC6">
        <w:rPr>
          <w:rFonts w:ascii="Palatino Linotype" w:eastAsia="Palatino Linotype" w:hAnsi="Palatino Linotype" w:cs="Palatino Linotype"/>
        </w:rPr>
        <w:t xml:space="preserve">, puso a disposición de las partes el expediente electrónico vía </w:t>
      </w:r>
      <w:r w:rsidRPr="00EE6AC6">
        <w:rPr>
          <w:rFonts w:ascii="Palatino Linotype" w:eastAsia="Palatino Linotype" w:hAnsi="Palatino Linotype" w:cs="Palatino Linotype"/>
          <w:b/>
        </w:rPr>
        <w:t xml:space="preserve">SAIMEX </w:t>
      </w:r>
      <w:r w:rsidRPr="00EE6AC6">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rPr>
        <w:t xml:space="preserve"> presentará el informe justificado procedente. </w:t>
      </w:r>
    </w:p>
    <w:p w:rsidR="00CC4A71" w:rsidRPr="00EE6AC6" w:rsidRDefault="00CC4A71">
      <w:pPr>
        <w:pBdr>
          <w:top w:val="nil"/>
          <w:left w:val="nil"/>
          <w:bottom w:val="nil"/>
          <w:right w:val="nil"/>
          <w:between w:val="nil"/>
        </w:pBdr>
        <w:ind w:left="720" w:right="-876"/>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veinte (20) de junio y once (11) de septiembre de dos mil veinticuatro</w:t>
      </w:r>
      <w:r w:rsidRPr="00EE6AC6">
        <w:rPr>
          <w:rFonts w:ascii="Palatino Linotype" w:eastAsia="Palatino Linotype" w:hAnsi="Palatino Linotype" w:cs="Palatino Linotype"/>
        </w:rPr>
        <w:t xml:space="preserve">, 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rPr>
        <w:t xml:space="preserve"> remitió el informe justificado correspondiente, a través de los archivos que se describen enseguida:</w:t>
      </w:r>
    </w:p>
    <w:p w:rsidR="00CC4A71" w:rsidRPr="00EE6AC6" w:rsidRDefault="00CC4A71">
      <w:pPr>
        <w:spacing w:line="360" w:lineRule="auto"/>
        <w:ind w:right="-876"/>
        <w:jc w:val="both"/>
        <w:rPr>
          <w:rFonts w:ascii="Palatino Linotype" w:eastAsia="Palatino Linotype" w:hAnsi="Palatino Linotype" w:cs="Palatino Linotype"/>
          <w:b/>
        </w:rPr>
      </w:pPr>
    </w:p>
    <w:p w:rsidR="00CC4A71" w:rsidRPr="00EE6AC6" w:rsidRDefault="00CC4A71">
      <w:pPr>
        <w:spacing w:line="360" w:lineRule="auto"/>
        <w:ind w:right="-876"/>
        <w:jc w:val="both"/>
        <w:rPr>
          <w:rFonts w:ascii="Palatino Linotype" w:eastAsia="Palatino Linotype" w:hAnsi="Palatino Linotype" w:cs="Palatino Linotype"/>
          <w:b/>
        </w:rPr>
      </w:pPr>
    </w:p>
    <w:p w:rsidR="00CC4A71" w:rsidRPr="00EE6AC6" w:rsidRDefault="00CC4A71">
      <w:pPr>
        <w:spacing w:line="360" w:lineRule="auto"/>
        <w:ind w:right="-876"/>
        <w:jc w:val="both"/>
        <w:rPr>
          <w:rFonts w:ascii="Palatino Linotype" w:eastAsia="Palatino Linotype" w:hAnsi="Palatino Linotype" w:cs="Palatino Linotype"/>
          <w:b/>
        </w:rPr>
      </w:pPr>
    </w:p>
    <w:p w:rsidR="00CC4A71" w:rsidRPr="00EE6AC6" w:rsidRDefault="000A5DF6">
      <w:pPr>
        <w:spacing w:line="360" w:lineRule="auto"/>
        <w:ind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lastRenderedPageBreak/>
        <w:t xml:space="preserve">03538/INFOEM/IP/RR/2024: </w:t>
      </w:r>
    </w:p>
    <w:p w:rsidR="00CC4A71" w:rsidRPr="00EE6AC6" w:rsidRDefault="000A5DF6">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 xml:space="preserve">DOP-679-2024.pdf: </w:t>
      </w:r>
      <w:r w:rsidRPr="00EE6AC6">
        <w:rPr>
          <w:rFonts w:ascii="Palatino Linotype" w:eastAsia="Palatino Linotype" w:hAnsi="Palatino Linotype" w:cs="Palatino Linotype"/>
          <w:color w:val="000000"/>
          <w:sz w:val="22"/>
          <w:szCs w:val="22"/>
        </w:rPr>
        <w:t xml:space="preserve">se advierte el oficio número DOP/679/2024 de fecha doce de junio de dos mil veinticuatro, suscrito por el Director de Obras Públicas y dirigido al Titular de la Unidad de Transparencia en el que refirió, de forma medular, que se anexa copia simple de los citatorios y oficio solicitado; un citatorio; oficio número DOP/281/2024 con asunto de Notificación, y un escrito de notificación. </w:t>
      </w:r>
    </w:p>
    <w:p w:rsidR="00CC4A71" w:rsidRPr="00EE6AC6" w:rsidRDefault="00CC4A71">
      <w:pPr>
        <w:spacing w:line="360" w:lineRule="auto"/>
        <w:ind w:right="-25"/>
        <w:jc w:val="both"/>
        <w:rPr>
          <w:rFonts w:ascii="Palatino Linotype" w:eastAsia="Palatino Linotype" w:hAnsi="Palatino Linotype" w:cs="Palatino Linotype"/>
          <w:b/>
          <w:color w:val="000000"/>
          <w:sz w:val="22"/>
          <w:szCs w:val="22"/>
        </w:rPr>
      </w:pPr>
    </w:p>
    <w:p w:rsidR="00CC4A71" w:rsidRPr="00EE6AC6" w:rsidRDefault="000A5DF6">
      <w:pPr>
        <w:spacing w:line="360" w:lineRule="auto"/>
        <w:ind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 xml:space="preserve">04998/INFOEM/IP/RR/2024: </w:t>
      </w:r>
    </w:p>
    <w:p w:rsidR="00CC4A71" w:rsidRPr="00EE6AC6" w:rsidRDefault="000A5DF6">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 xml:space="preserve">DOP-1270-2024.pdf: </w:t>
      </w:r>
      <w:r w:rsidRPr="00EE6AC6">
        <w:rPr>
          <w:rFonts w:ascii="Palatino Linotype" w:eastAsia="Palatino Linotype" w:hAnsi="Palatino Linotype" w:cs="Palatino Linotype"/>
          <w:color w:val="000000"/>
          <w:sz w:val="22"/>
          <w:szCs w:val="22"/>
        </w:rPr>
        <w:t>se advierte el oficio DOP/1270/2024 de fecha veintiséis de agosto de dos mil veinticuatro, suscrito por el Director de Obras Públicas en el que señaló que se adjuntan copias simples de negativa de certificación, citatorio, notificación y razón de notificación; Oficio DOP/281/2024 de fecha veinte de marzo de dos mil veinticuatro, Oficio número DOP/440/2024 de fecha diecinueve de abril de dos mil veinticuatro con asunto de negativa de certificación de Afirmativa Ficta; citatorio; y, razón de notificación.</w:t>
      </w:r>
    </w:p>
    <w:p w:rsidR="00CC4A71" w:rsidRPr="00EE6AC6" w:rsidRDefault="00CC4A71">
      <w:pPr>
        <w:spacing w:line="360" w:lineRule="auto"/>
        <w:ind w:right="-876"/>
        <w:jc w:val="both"/>
        <w:rPr>
          <w:rFonts w:ascii="Palatino Linotype" w:eastAsia="Palatino Linotype" w:hAnsi="Palatino Linotype" w:cs="Palatino Linotype"/>
          <w:b/>
          <w:color w:val="000000"/>
        </w:rPr>
      </w:pPr>
    </w:p>
    <w:p w:rsidR="00CC4A71" w:rsidRPr="00EE6AC6" w:rsidRDefault="000A5DF6">
      <w:pPr>
        <w:numPr>
          <w:ilvl w:val="0"/>
          <w:numId w:val="1"/>
        </w:numPr>
        <w:spacing w:line="360" w:lineRule="auto"/>
        <w:ind w:left="0" w:right="-876" w:firstLine="0"/>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veinte de junio de dos mil veinticuatro</w:t>
      </w:r>
      <w:r w:rsidRPr="00EE6AC6">
        <w:rPr>
          <w:rFonts w:ascii="Palatino Linotype" w:eastAsia="Palatino Linotype" w:hAnsi="Palatino Linotype" w:cs="Palatino Linotype"/>
        </w:rPr>
        <w:t xml:space="preserve">, el Recurrente realizó las siguientes manifestaciones en el Recurso de Revisión número </w:t>
      </w:r>
      <w:r w:rsidRPr="00EE6AC6">
        <w:rPr>
          <w:rFonts w:ascii="Palatino Linotype" w:eastAsia="Palatino Linotype" w:hAnsi="Palatino Linotype" w:cs="Palatino Linotype"/>
          <w:b/>
        </w:rPr>
        <w:t xml:space="preserve">03538/INFOEM/IP/RR/2024: </w:t>
      </w:r>
    </w:p>
    <w:p w:rsidR="00CC4A71" w:rsidRPr="00EE6AC6" w:rsidRDefault="00493716">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4">
        <w:r w:rsidR="000A5DF6" w:rsidRPr="00EE6AC6">
          <w:rPr>
            <w:rFonts w:ascii="Palatino Linotype" w:eastAsia="Palatino Linotype" w:hAnsi="Palatino Linotype" w:cs="Palatino Linotype"/>
            <w:b/>
            <w:color w:val="000000"/>
            <w:sz w:val="22"/>
            <w:szCs w:val="22"/>
            <w:u w:val="single"/>
          </w:rPr>
          <w:t xml:space="preserve">Sol </w:t>
        </w:r>
      </w:hyperlink>
      <w:hyperlink r:id="rId15">
        <w:proofErr w:type="spellStart"/>
        <w:r w:rsidR="000A5DF6" w:rsidRPr="00EE6AC6">
          <w:rPr>
            <w:rFonts w:ascii="Palatino Linotype" w:eastAsia="Palatino Linotype" w:hAnsi="Palatino Linotype" w:cs="Palatino Linotype"/>
            <w:b/>
            <w:color w:val="000000"/>
            <w:sz w:val="22"/>
            <w:szCs w:val="22"/>
            <w:u w:val="single"/>
          </w:rPr>
          <w:t>RR_Folios</w:t>
        </w:r>
        <w:proofErr w:type="spellEnd"/>
      </w:hyperlink>
      <w:hyperlink r:id="rId16">
        <w:r w:rsidR="000A5DF6" w:rsidRPr="00EE6AC6">
          <w:rPr>
            <w:rFonts w:ascii="Palatino Linotype" w:eastAsia="Palatino Linotype" w:hAnsi="Palatino Linotype" w:cs="Palatino Linotype"/>
            <w:b/>
            <w:color w:val="000000"/>
            <w:sz w:val="22"/>
            <w:szCs w:val="22"/>
            <w:u w:val="single"/>
          </w:rPr>
          <w:t xml:space="preserve"> 594852 y </w:t>
        </w:r>
      </w:hyperlink>
      <w:hyperlink r:id="rId17">
        <w:r w:rsidR="000A5DF6" w:rsidRPr="00EE6AC6">
          <w:rPr>
            <w:rFonts w:ascii="Palatino Linotype" w:eastAsia="Palatino Linotype" w:hAnsi="Palatino Linotype" w:cs="Palatino Linotype"/>
            <w:b/>
            <w:color w:val="000000"/>
            <w:sz w:val="22"/>
            <w:szCs w:val="22"/>
            <w:u w:val="single"/>
          </w:rPr>
          <w:t>00169TEPOTZ_NOTIF.pdf</w:t>
        </w:r>
      </w:hyperlink>
      <w:r w:rsidR="000A5DF6" w:rsidRPr="00EE6AC6">
        <w:rPr>
          <w:rFonts w:ascii="Palatino Linotype" w:eastAsia="Palatino Linotype" w:hAnsi="Palatino Linotype" w:cs="Palatino Linotype"/>
          <w:b/>
          <w:color w:val="000000"/>
          <w:sz w:val="22"/>
          <w:szCs w:val="22"/>
        </w:rPr>
        <w:t xml:space="preserve">: </w:t>
      </w:r>
      <w:r w:rsidR="000A5DF6" w:rsidRPr="00EE6AC6">
        <w:rPr>
          <w:rFonts w:ascii="Palatino Linotype" w:eastAsia="Palatino Linotype" w:hAnsi="Palatino Linotype" w:cs="Palatino Linotype"/>
          <w:color w:val="000000"/>
          <w:sz w:val="22"/>
          <w:szCs w:val="22"/>
        </w:rPr>
        <w:t>en el archivo se advierte la misma información que remitió al interponer su recurso de revisión, misma que ya fue descrita en el antecedente número 5.</w:t>
      </w:r>
    </w:p>
    <w:p w:rsidR="00CC4A71" w:rsidRPr="00EE6AC6" w:rsidRDefault="00CC4A7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b/>
        </w:rPr>
        <w:t>veintinueve (29) de noviembre de dos mil veinticuatro</w:t>
      </w:r>
      <w:r w:rsidRPr="00EE6AC6">
        <w:rPr>
          <w:rFonts w:ascii="Palatino Linotype" w:eastAsia="Palatino Linotype" w:hAnsi="Palatino Linotype" w:cs="Palatino Linotype"/>
        </w:rPr>
        <w:t xml:space="preserve">, </w:t>
      </w:r>
      <w:r w:rsidRPr="00EE6AC6">
        <w:rPr>
          <w:rFonts w:ascii="Palatino Linotype" w:eastAsia="Palatino Linotype" w:hAnsi="Palatino Linotype" w:cs="Palatino Linotype"/>
          <w:color w:val="000000"/>
        </w:rPr>
        <w:t xml:space="preserve">se notificó a las partes sobre la reconducción del recurso de revisión, de acceso a la información pública, a ejercicio de </w:t>
      </w:r>
      <w:r w:rsidRPr="00EE6AC6">
        <w:rPr>
          <w:rFonts w:ascii="Palatino Linotype" w:eastAsia="Palatino Linotype" w:hAnsi="Palatino Linotype" w:cs="Palatino Linotype"/>
          <w:color w:val="000000"/>
        </w:rPr>
        <w:lastRenderedPageBreak/>
        <w:t xml:space="preserve">derechos </w:t>
      </w:r>
      <w:r w:rsidRPr="00EE6AC6">
        <w:rPr>
          <w:rFonts w:ascii="Palatino Linotype" w:eastAsia="Palatino Linotype" w:hAnsi="Palatino Linotype" w:cs="Palatino Linotype"/>
          <w:b/>
          <w:color w:val="000000"/>
        </w:rPr>
        <w:t>ARCO.</w:t>
      </w:r>
      <w:r w:rsidRPr="00EE6AC6">
        <w:rPr>
          <w:rFonts w:ascii="Palatino Linotype" w:eastAsia="Palatino Linotype" w:hAnsi="Palatino Linotype" w:cs="Palatino Linotype"/>
          <w:color w:val="000000"/>
        </w:rPr>
        <w:t xml:space="preserve"> Razón de lo anterior, se les exhortó para que </w:t>
      </w:r>
      <w:r w:rsidRPr="00EE6AC6">
        <w:rPr>
          <w:rFonts w:ascii="Palatino Linotype" w:eastAsia="Palatino Linotype" w:hAnsi="Palatino Linotype" w:cs="Palatino Linotype"/>
        </w:rPr>
        <w:t>manifestaran</w:t>
      </w:r>
      <w:r w:rsidRPr="00EE6AC6">
        <w:rPr>
          <w:rFonts w:ascii="Palatino Linotype" w:eastAsia="Palatino Linotype" w:hAnsi="Palatino Linotype" w:cs="Palatino Linotype"/>
          <w:color w:val="000000"/>
        </w:rPr>
        <w:t>, por cualquier medio, su voluntad de conciliar.</w:t>
      </w:r>
    </w:p>
    <w:p w:rsidR="00CC4A71" w:rsidRPr="00EE6AC6" w:rsidRDefault="00CC4A71">
      <w:pPr>
        <w:spacing w:line="360" w:lineRule="auto"/>
        <w:ind w:right="-876"/>
        <w:jc w:val="both"/>
        <w:rPr>
          <w:rFonts w:ascii="Palatino Linotype" w:eastAsia="Palatino Linotype" w:hAnsi="Palatino Linotype" w:cs="Palatino Linotype"/>
          <w:b/>
        </w:rPr>
      </w:pPr>
    </w:p>
    <w:p w:rsidR="00CC4A71" w:rsidRPr="00EE6AC6" w:rsidRDefault="000A5DF6">
      <w:pPr>
        <w:numPr>
          <w:ilvl w:val="0"/>
          <w:numId w:val="1"/>
        </w:numPr>
        <w:pBdr>
          <w:top w:val="nil"/>
          <w:left w:val="nil"/>
          <w:bottom w:val="nil"/>
          <w:right w:val="nil"/>
          <w:between w:val="nil"/>
        </w:pBdr>
        <w:tabs>
          <w:tab w:val="left" w:pos="426"/>
        </w:tabs>
        <w:spacing w:line="360" w:lineRule="auto"/>
        <w:ind w:left="0" w:right="-876" w:firstLine="0"/>
        <w:jc w:val="both"/>
        <w:rPr>
          <w:color w:val="000000"/>
        </w:rPr>
      </w:pPr>
      <w:r w:rsidRPr="00EE6AC6">
        <w:rPr>
          <w:rFonts w:ascii="Palatino Linotype" w:eastAsia="Palatino Linotype" w:hAnsi="Palatino Linotype" w:cs="Palatino Linotype"/>
          <w:color w:val="000000"/>
        </w:rPr>
        <w:t xml:space="preserve">De las constancias que obran dentro del expediente electrónico formado en el </w:t>
      </w:r>
      <w:r w:rsidRPr="00EE6AC6">
        <w:rPr>
          <w:rFonts w:ascii="Palatino Linotype" w:eastAsia="Palatino Linotype" w:hAnsi="Palatino Linotype" w:cs="Palatino Linotype"/>
          <w:b/>
          <w:color w:val="000000"/>
        </w:rPr>
        <w:t>SAIMEX</w:t>
      </w:r>
      <w:r w:rsidRPr="00EE6AC6">
        <w:rPr>
          <w:rFonts w:ascii="Palatino Linotype" w:eastAsia="Palatino Linotype" w:hAnsi="Palatino Linotype" w:cs="Palatino Linotype"/>
          <w:color w:val="000000"/>
        </w:rPr>
        <w:t xml:space="preserve">, se advierte que el </w:t>
      </w:r>
      <w:r w:rsidRPr="00EE6AC6">
        <w:rPr>
          <w:rFonts w:ascii="Palatino Linotype" w:eastAsia="Palatino Linotype" w:hAnsi="Palatino Linotype" w:cs="Palatino Linotype"/>
          <w:b/>
          <w:color w:val="000000"/>
        </w:rPr>
        <w:t>SUJETO OBLIGADO</w:t>
      </w:r>
      <w:r w:rsidRPr="00EE6AC6">
        <w:rPr>
          <w:rFonts w:ascii="Palatino Linotype" w:eastAsia="Palatino Linotype" w:hAnsi="Palatino Linotype" w:cs="Palatino Linotype"/>
          <w:color w:val="000000"/>
        </w:rPr>
        <w:t xml:space="preserve"> y la parte </w:t>
      </w:r>
      <w:r w:rsidRPr="00EE6AC6">
        <w:rPr>
          <w:rFonts w:ascii="Palatino Linotype" w:eastAsia="Palatino Linotype" w:hAnsi="Palatino Linotype" w:cs="Palatino Linotype"/>
          <w:b/>
          <w:color w:val="000000"/>
        </w:rPr>
        <w:t>RECURRENTE</w:t>
      </w:r>
      <w:r w:rsidRPr="00EE6AC6">
        <w:rPr>
          <w:rFonts w:ascii="Palatino Linotype" w:eastAsia="Palatino Linotype" w:hAnsi="Palatino Linotype" w:cs="Palatino Linotype"/>
          <w:color w:val="000000"/>
        </w:rPr>
        <w:t xml:space="preserve"> fueron omisos en manifestaron su voluntad para conciliar, en el plazo legalmente otorgado para tal efecto.</w:t>
      </w:r>
    </w:p>
    <w:p w:rsidR="00CC4A71" w:rsidRPr="00EE6AC6" w:rsidRDefault="00CC4A71">
      <w:pPr>
        <w:pBdr>
          <w:top w:val="nil"/>
          <w:left w:val="nil"/>
          <w:bottom w:val="nil"/>
          <w:right w:val="nil"/>
          <w:between w:val="nil"/>
        </w:pBdr>
        <w:tabs>
          <w:tab w:val="left" w:pos="426"/>
        </w:tabs>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tabs>
          <w:tab w:val="left" w:pos="426"/>
        </w:tabs>
        <w:spacing w:line="360" w:lineRule="auto"/>
        <w:ind w:left="0" w:right="-876" w:firstLine="0"/>
        <w:jc w:val="both"/>
        <w:rPr>
          <w:color w:val="000000"/>
        </w:rPr>
      </w:pPr>
      <w:r w:rsidRPr="00EE6AC6">
        <w:rPr>
          <w:rFonts w:ascii="Palatino Linotype" w:eastAsia="Palatino Linotype" w:hAnsi="Palatino Linotype" w:cs="Palatino Linotype"/>
          <w:color w:val="000000"/>
        </w:rPr>
        <w:t xml:space="preserve">Fenecido el término para conciliar entre las partes, el </w:t>
      </w:r>
      <w:r w:rsidRPr="00EE6AC6">
        <w:rPr>
          <w:rFonts w:ascii="Palatino Linotype" w:eastAsia="Palatino Linotype" w:hAnsi="Palatino Linotype" w:cs="Palatino Linotype"/>
          <w:b/>
          <w:color w:val="000000"/>
        </w:rPr>
        <w:t>once (11) de diciembre de dos mil veinticuatro</w:t>
      </w:r>
      <w:r w:rsidRPr="00EE6AC6">
        <w:rPr>
          <w:rFonts w:ascii="Palatino Linotype" w:eastAsia="Palatino Linotype" w:hAnsi="Palatino Linotype" w:cs="Palatino Linotype"/>
          <w:color w:val="000000"/>
        </w:rPr>
        <w:t xml:space="preserve">, se notificó a las partes el cierre de la etapa conciliatoria y la apertura del periodo de instrucción, concediéndole a las partes un periodo de siete días hábiles para que </w:t>
      </w:r>
      <w:r w:rsidRPr="00EE6AC6">
        <w:rPr>
          <w:rFonts w:ascii="Palatino Linotype" w:eastAsia="Palatino Linotype" w:hAnsi="Palatino Linotype" w:cs="Palatino Linotype"/>
        </w:rPr>
        <w:t>manifestara</w:t>
      </w:r>
      <w:r w:rsidRPr="00EE6AC6">
        <w:rPr>
          <w:rFonts w:ascii="Palatino Linotype" w:eastAsia="Palatino Linotype" w:hAnsi="Palatino Linotype" w:cs="Palatino Linotype"/>
          <w:color w:val="000000"/>
        </w:rPr>
        <w:t xml:space="preserve"> lo que a su interés conviniera, siendo omiso en realizar manifestaciones el Sujeto Obligado.</w:t>
      </w:r>
    </w:p>
    <w:p w:rsidR="00CC4A71" w:rsidRPr="00EE6AC6" w:rsidRDefault="00CC4A71">
      <w:pPr>
        <w:pBdr>
          <w:top w:val="nil"/>
          <w:left w:val="nil"/>
          <w:bottom w:val="nil"/>
          <w:right w:val="nil"/>
          <w:between w:val="nil"/>
        </w:pBdr>
        <w:ind w:left="720"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tabs>
          <w:tab w:val="left" w:pos="426"/>
        </w:tabs>
        <w:spacing w:line="360" w:lineRule="auto"/>
        <w:ind w:left="0" w:right="-876" w:firstLine="0"/>
        <w:jc w:val="both"/>
        <w:rPr>
          <w:color w:val="000000"/>
        </w:rPr>
      </w:pPr>
      <w:r w:rsidRPr="00EE6AC6">
        <w:rPr>
          <w:rFonts w:ascii="Palatino Linotype" w:eastAsia="Palatino Linotype" w:hAnsi="Palatino Linotype" w:cs="Palatino Linotype"/>
          <w:color w:val="000000"/>
        </w:rPr>
        <w:t xml:space="preserve">Por su parte, el </w:t>
      </w:r>
      <w:r w:rsidRPr="00EE6AC6">
        <w:rPr>
          <w:rFonts w:ascii="Palatino Linotype" w:eastAsia="Palatino Linotype" w:hAnsi="Palatino Linotype" w:cs="Palatino Linotype"/>
          <w:b/>
          <w:color w:val="000000"/>
        </w:rPr>
        <w:t>veinticuatro (24) de diciembre de dos mil veinticuatro y ocho (08) de enero de dos mil veinticinco,</w:t>
      </w:r>
      <w:r w:rsidRPr="00EE6AC6">
        <w:rPr>
          <w:rFonts w:ascii="Palatino Linotype" w:eastAsia="Palatino Linotype" w:hAnsi="Palatino Linotype" w:cs="Palatino Linotype"/>
          <w:color w:val="000000"/>
        </w:rPr>
        <w:t xml:space="preserve"> el Recurrente entregó los archivos que se describen enseguida:</w:t>
      </w:r>
    </w:p>
    <w:p w:rsidR="00CC4A71" w:rsidRPr="00EE6AC6" w:rsidRDefault="00CC4A71">
      <w:pPr>
        <w:ind w:right="-876"/>
        <w:rPr>
          <w:rFonts w:ascii="Palatino Linotype" w:eastAsia="Palatino Linotype" w:hAnsi="Palatino Linotype" w:cs="Palatino Linotype"/>
          <w:b/>
        </w:rPr>
      </w:pPr>
    </w:p>
    <w:p w:rsidR="00CC4A71" w:rsidRPr="00EE6AC6" w:rsidRDefault="000A5DF6">
      <w:pPr>
        <w:ind w:right="-876"/>
        <w:rPr>
          <w:rFonts w:ascii="Palatino Linotype" w:eastAsia="Palatino Linotype" w:hAnsi="Palatino Linotype" w:cs="Palatino Linotype"/>
          <w:b/>
        </w:rPr>
      </w:pPr>
      <w:r w:rsidRPr="00EE6AC6">
        <w:rPr>
          <w:rFonts w:ascii="Palatino Linotype" w:eastAsia="Palatino Linotype" w:hAnsi="Palatino Linotype" w:cs="Palatino Linotype"/>
          <w:b/>
        </w:rPr>
        <w:t xml:space="preserve">03538/INFOEM/IP/RR/2024: </w:t>
      </w:r>
    </w:p>
    <w:p w:rsidR="00CC4A71" w:rsidRPr="00EE6AC6" w:rsidRDefault="00493716">
      <w:pPr>
        <w:numPr>
          <w:ilvl w:val="0"/>
          <w:numId w:val="2"/>
        </w:numPr>
        <w:pBdr>
          <w:top w:val="nil"/>
          <w:left w:val="nil"/>
          <w:bottom w:val="nil"/>
          <w:right w:val="nil"/>
          <w:between w:val="nil"/>
        </w:pBdr>
        <w:tabs>
          <w:tab w:val="left" w:pos="426"/>
        </w:tabs>
        <w:spacing w:line="360" w:lineRule="auto"/>
        <w:ind w:right="-876"/>
        <w:jc w:val="both"/>
        <w:rPr>
          <w:rFonts w:ascii="Palatino Linotype" w:eastAsia="Palatino Linotype" w:hAnsi="Palatino Linotype" w:cs="Palatino Linotype"/>
          <w:color w:val="000000"/>
        </w:rPr>
      </w:pPr>
      <w:hyperlink r:id="rId18">
        <w:r w:rsidR="000A5DF6" w:rsidRPr="00EE6AC6">
          <w:rPr>
            <w:rFonts w:ascii="Palatino Linotype" w:eastAsia="Palatino Linotype" w:hAnsi="Palatino Linotype" w:cs="Palatino Linotype"/>
            <w:b/>
            <w:color w:val="0563C1"/>
            <w:u w:val="single"/>
          </w:rPr>
          <w:t>Alegatos_Pruebas_Manifestaciones_RR03538.pdf</w:t>
        </w:r>
      </w:hyperlink>
      <w:r w:rsidR="000A5DF6" w:rsidRPr="00EE6AC6">
        <w:rPr>
          <w:rFonts w:ascii="Palatino Linotype" w:eastAsia="Palatino Linotype" w:hAnsi="Palatino Linotype" w:cs="Palatino Linotype"/>
          <w:color w:val="000000"/>
        </w:rPr>
        <w:t xml:space="preserve">: consta de un documento con asunto de alegatos, pruebas y manifestaciones, en el que de forma medular, el particular señaló que no se le entregó lo solicitado; se anexó identificación oficial INE del particular, acuse de solicitud y diversos documentos ya entregados  en la solicitud, respuesta y etapa de manifestaciones. </w:t>
      </w:r>
    </w:p>
    <w:p w:rsidR="00CC4A71" w:rsidRPr="00EE6AC6" w:rsidRDefault="00CC4A71">
      <w:pPr>
        <w:ind w:right="-876"/>
        <w:rPr>
          <w:rFonts w:ascii="Palatino Linotype" w:eastAsia="Palatino Linotype" w:hAnsi="Palatino Linotype" w:cs="Palatino Linotype"/>
        </w:rPr>
      </w:pPr>
    </w:p>
    <w:p w:rsidR="00CC4A71" w:rsidRPr="00EE6AC6" w:rsidRDefault="00CC4A71">
      <w:pPr>
        <w:ind w:right="-876"/>
        <w:rPr>
          <w:rFonts w:ascii="Palatino Linotype" w:eastAsia="Palatino Linotype" w:hAnsi="Palatino Linotype" w:cs="Palatino Linotype"/>
        </w:rPr>
      </w:pPr>
    </w:p>
    <w:p w:rsidR="00CC4A71" w:rsidRPr="00EE6AC6" w:rsidRDefault="00CC4A71">
      <w:pPr>
        <w:ind w:right="-876"/>
        <w:rPr>
          <w:rFonts w:ascii="Palatino Linotype" w:eastAsia="Palatino Linotype" w:hAnsi="Palatino Linotype" w:cs="Palatino Linotype"/>
        </w:rPr>
      </w:pPr>
    </w:p>
    <w:p w:rsidR="00CC4A71" w:rsidRPr="00EE6AC6" w:rsidRDefault="000A5DF6">
      <w:pPr>
        <w:ind w:right="-876"/>
        <w:rPr>
          <w:rFonts w:ascii="Palatino Linotype" w:eastAsia="Palatino Linotype" w:hAnsi="Palatino Linotype" w:cs="Palatino Linotype"/>
          <w:b/>
        </w:rPr>
      </w:pPr>
      <w:r w:rsidRPr="00EE6AC6">
        <w:rPr>
          <w:rFonts w:ascii="Palatino Linotype" w:eastAsia="Palatino Linotype" w:hAnsi="Palatino Linotype" w:cs="Palatino Linotype"/>
          <w:b/>
        </w:rPr>
        <w:t xml:space="preserve">04998/INFOEM/IP/RR/2024: </w:t>
      </w:r>
    </w:p>
    <w:p w:rsidR="00CC4A71" w:rsidRPr="00EE6AC6" w:rsidRDefault="00493716">
      <w:pPr>
        <w:numPr>
          <w:ilvl w:val="0"/>
          <w:numId w:val="2"/>
        </w:numPr>
        <w:pBdr>
          <w:top w:val="nil"/>
          <w:left w:val="nil"/>
          <w:bottom w:val="nil"/>
          <w:right w:val="nil"/>
          <w:between w:val="nil"/>
        </w:pBdr>
        <w:tabs>
          <w:tab w:val="left" w:pos="426"/>
        </w:tabs>
        <w:spacing w:line="360" w:lineRule="auto"/>
        <w:ind w:right="-876"/>
        <w:jc w:val="both"/>
        <w:rPr>
          <w:rFonts w:ascii="Palatino Linotype" w:eastAsia="Palatino Linotype" w:hAnsi="Palatino Linotype" w:cs="Palatino Linotype"/>
          <w:color w:val="000000"/>
        </w:rPr>
      </w:pPr>
      <w:hyperlink r:id="rId19">
        <w:r w:rsidR="000A5DF6" w:rsidRPr="00EE6AC6">
          <w:rPr>
            <w:rFonts w:ascii="Palatino Linotype" w:eastAsia="Palatino Linotype" w:hAnsi="Palatino Linotype" w:cs="Palatino Linotype"/>
            <w:b/>
            <w:color w:val="0563C1"/>
            <w:u w:val="single"/>
          </w:rPr>
          <w:t>Alegatos_Pruebas_Manifestaciones_RR03538.pdf</w:t>
        </w:r>
      </w:hyperlink>
      <w:r w:rsidR="000A5DF6" w:rsidRPr="00EE6AC6">
        <w:rPr>
          <w:rFonts w:ascii="Palatino Linotype" w:eastAsia="Palatino Linotype" w:hAnsi="Palatino Linotype" w:cs="Palatino Linotype"/>
          <w:color w:val="000000"/>
        </w:rPr>
        <w:t>: consta de un documento con asunto de alegatos y pruebas, en el que de forma medular, el particular señaló su inconformidad por la entrega de información incompleta; se anexó identificación oficial INE del particular, acuse de solicitud y diversos documentos ya entregados  en la solicitud, respuesta y etapa de manifestaciones.</w:t>
      </w:r>
    </w:p>
    <w:p w:rsidR="00CC4A71" w:rsidRPr="00EE6AC6" w:rsidRDefault="00CC4A71">
      <w:pPr>
        <w:pBdr>
          <w:top w:val="nil"/>
          <w:left w:val="nil"/>
          <w:bottom w:val="nil"/>
          <w:right w:val="nil"/>
          <w:between w:val="nil"/>
        </w:pBdr>
        <w:tabs>
          <w:tab w:val="left" w:pos="426"/>
        </w:tabs>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tabs>
          <w:tab w:val="left" w:pos="426"/>
        </w:tabs>
        <w:spacing w:line="360" w:lineRule="auto"/>
        <w:ind w:left="0" w:right="-876" w:firstLine="0"/>
        <w:jc w:val="both"/>
        <w:rPr>
          <w:color w:val="000000"/>
        </w:rPr>
      </w:pPr>
      <w:r w:rsidRPr="00EE6AC6">
        <w:rPr>
          <w:rFonts w:ascii="Palatino Linotype" w:eastAsia="Palatino Linotype" w:hAnsi="Palatino Linotype" w:cs="Palatino Linotype"/>
          <w:color w:val="000000"/>
        </w:rPr>
        <w:t xml:space="preserve">El </w:t>
      </w:r>
      <w:r w:rsidRPr="00EE6AC6">
        <w:rPr>
          <w:rFonts w:ascii="Palatino Linotype" w:eastAsia="Palatino Linotype" w:hAnsi="Palatino Linotype" w:cs="Palatino Linotype"/>
          <w:b/>
          <w:color w:val="000000"/>
        </w:rPr>
        <w:t>quince (15) de enero de dos mil veinticinco,</w:t>
      </w:r>
      <w:r w:rsidRPr="00EE6AC6">
        <w:rPr>
          <w:rFonts w:ascii="Palatino Linotype" w:eastAsia="Palatino Linotype" w:hAnsi="Palatino Linotype" w:cs="Palatino Linotype"/>
          <w:color w:val="000000"/>
        </w:rPr>
        <w:t xml:space="preserve"> se notificó el acuerdo mediante el cual se amplió el plazo para emitir resolución por un periodo de quince días hábiles.</w:t>
      </w:r>
    </w:p>
    <w:p w:rsidR="00CC4A71" w:rsidRPr="00EE6AC6" w:rsidRDefault="00CC4A71">
      <w:pPr>
        <w:pBdr>
          <w:top w:val="nil"/>
          <w:left w:val="nil"/>
          <w:bottom w:val="nil"/>
          <w:right w:val="nil"/>
          <w:between w:val="nil"/>
        </w:pBdr>
        <w:tabs>
          <w:tab w:val="left" w:pos="426"/>
        </w:tabs>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tabs>
          <w:tab w:val="left" w:pos="426"/>
        </w:tabs>
        <w:spacing w:line="360" w:lineRule="auto"/>
        <w:ind w:left="0" w:right="-876" w:firstLine="0"/>
        <w:jc w:val="both"/>
        <w:rPr>
          <w:color w:val="000000"/>
        </w:rPr>
      </w:pPr>
      <w:r w:rsidRPr="00EE6AC6">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b/>
          <w:color w:val="000000"/>
          <w:u w:val="single"/>
        </w:rPr>
      </w:pPr>
    </w:p>
    <w:p w:rsidR="00CC4A71" w:rsidRPr="00EE6AC6" w:rsidRDefault="000A5DF6">
      <w:pPr>
        <w:numPr>
          <w:ilvl w:val="0"/>
          <w:numId w:val="1"/>
        </w:numPr>
        <w:pBdr>
          <w:top w:val="nil"/>
          <w:left w:val="nil"/>
          <w:bottom w:val="nil"/>
          <w:right w:val="nil"/>
          <w:between w:val="nil"/>
        </w:pBdr>
        <w:spacing w:line="360" w:lineRule="auto"/>
        <w:ind w:left="0" w:right="-876" w:hanging="11"/>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w:t>
      </w:r>
      <w:r w:rsidRPr="00EE6AC6">
        <w:rPr>
          <w:rFonts w:ascii="Palatino Linotype" w:eastAsia="Palatino Linotype" w:hAnsi="Palatino Linotype" w:cs="Palatino Linotype"/>
          <w:color w:val="000000"/>
        </w:rPr>
        <w:lastRenderedPageBreak/>
        <w:t>posible, tomando en consideración la dilación total del procedimiento; esto es, en un plazo razonable.</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b) Actividad Procesal del interesado: Acciones u omisiones del interesado.</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b/>
          <w:color w:val="000000"/>
          <w:sz w:val="22"/>
          <w:szCs w:val="22"/>
        </w:rPr>
      </w:pPr>
      <w:r w:rsidRPr="00EE6AC6">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lastRenderedPageBreak/>
        <w:t>Argumento que encuentra sustento en la jurisprudencia P</w:t>
      </w:r>
      <w:proofErr w:type="gramStart"/>
      <w:r w:rsidRPr="00EE6AC6">
        <w:rPr>
          <w:rFonts w:ascii="Palatino Linotype" w:eastAsia="Palatino Linotype" w:hAnsi="Palatino Linotype" w:cs="Palatino Linotype"/>
          <w:color w:val="000000"/>
        </w:rPr>
        <w:t>./</w:t>
      </w:r>
      <w:proofErr w:type="gramEnd"/>
      <w:r w:rsidRPr="00EE6AC6">
        <w:rPr>
          <w:rFonts w:ascii="Palatino Linotype" w:eastAsia="Palatino Linotype" w:hAnsi="Palatino Linotype" w:cs="Palatino Linotype"/>
          <w:color w:val="000000"/>
        </w:rPr>
        <w:t xml:space="preserve">J. 32/92 emitida por el Pleno de la Suprema Corte de Justicia de la Nación </w:t>
      </w:r>
      <w:r w:rsidRPr="00EE6AC6">
        <w:rPr>
          <w:rFonts w:ascii="Palatino Linotype" w:eastAsia="Palatino Linotype" w:hAnsi="Palatino Linotype" w:cs="Palatino Linotype"/>
        </w:rPr>
        <w:t>del rubro</w:t>
      </w:r>
      <w:r w:rsidRPr="00EE6AC6">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EE6AC6">
        <w:rPr>
          <w:rFonts w:ascii="Palatino Linotype" w:eastAsia="Palatino Linotype" w:hAnsi="Palatino Linotype" w:cs="Palatino Linotype"/>
        </w:rPr>
        <w:t>Semanario</w:t>
      </w:r>
      <w:r w:rsidRPr="00EE6AC6">
        <w:rPr>
          <w:rFonts w:ascii="Palatino Linotype" w:eastAsia="Palatino Linotype" w:hAnsi="Palatino Linotype" w:cs="Palatino Linotype"/>
          <w:color w:val="000000"/>
        </w:rPr>
        <w:t xml:space="preserve"> Judicial de la Federación con el registro digital 205635.</w:t>
      </w:r>
    </w:p>
    <w:p w:rsidR="00CC4A71" w:rsidRPr="00EE6AC6" w:rsidRDefault="00CC4A71">
      <w:pPr>
        <w:pBdr>
          <w:top w:val="nil"/>
          <w:left w:val="nil"/>
          <w:bottom w:val="nil"/>
          <w:right w:val="nil"/>
          <w:between w:val="nil"/>
        </w:pBdr>
        <w:spacing w:line="360" w:lineRule="auto"/>
        <w:ind w:right="-876"/>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C4A71" w:rsidRPr="00EE6AC6" w:rsidRDefault="00CC4A7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CC4A71" w:rsidRPr="00EE6AC6" w:rsidRDefault="000A5DF6">
      <w:pPr>
        <w:numPr>
          <w:ilvl w:val="0"/>
          <w:numId w:val="1"/>
        </w:numPr>
        <w:pBdr>
          <w:top w:val="nil"/>
          <w:left w:val="nil"/>
          <w:bottom w:val="nil"/>
          <w:right w:val="nil"/>
          <w:between w:val="nil"/>
        </w:pBdr>
        <w:spacing w:line="360" w:lineRule="auto"/>
        <w:ind w:left="0" w:right="-876" w:firstLine="0"/>
        <w:jc w:val="both"/>
        <w:rPr>
          <w:color w:val="000000"/>
        </w:rPr>
      </w:pPr>
      <w:r w:rsidRPr="00EE6AC6">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EE6AC6">
        <w:rPr>
          <w:rFonts w:ascii="Palatino Linotype" w:eastAsia="Palatino Linotype" w:hAnsi="Palatino Linotype" w:cs="Palatino Linotype"/>
          <w:sz w:val="22"/>
          <w:szCs w:val="22"/>
        </w:rPr>
        <w:t>a</w:t>
      </w:r>
      <w:r w:rsidRPr="00EE6AC6">
        <w:rPr>
          <w:rFonts w:ascii="Palatino Linotype" w:eastAsia="Palatino Linotype" w:hAnsi="Palatino Linotype" w:cs="Palatino Linotype"/>
          <w:color w:val="000000"/>
          <w:sz w:val="22"/>
          <w:szCs w:val="22"/>
        </w:rPr>
        <w:t>nario Judicial de la Federación y su gaceta, con el registro digital 2002351.</w:t>
      </w:r>
    </w:p>
    <w:p w:rsidR="00CC4A71" w:rsidRPr="00EE6AC6" w:rsidRDefault="00CC4A71">
      <w:pPr>
        <w:pBdr>
          <w:top w:val="nil"/>
          <w:left w:val="nil"/>
          <w:bottom w:val="nil"/>
          <w:right w:val="nil"/>
          <w:between w:val="nil"/>
        </w:pBdr>
        <w:ind w:left="567" w:right="-25"/>
        <w:jc w:val="both"/>
        <w:rPr>
          <w:rFonts w:ascii="Palatino Linotype" w:eastAsia="Palatino Linotype" w:hAnsi="Palatino Linotype" w:cs="Palatino Linotype"/>
          <w:sz w:val="22"/>
          <w:szCs w:val="22"/>
        </w:rPr>
      </w:pPr>
    </w:p>
    <w:p w:rsidR="00CC4A71" w:rsidRPr="00EE6AC6" w:rsidRDefault="000A5DF6">
      <w:pPr>
        <w:pBdr>
          <w:top w:val="nil"/>
          <w:left w:val="nil"/>
          <w:bottom w:val="nil"/>
          <w:right w:val="nil"/>
          <w:between w:val="nil"/>
        </w:pBdr>
        <w:spacing w:after="240"/>
        <w:ind w:left="567" w:right="-25"/>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lastRenderedPageBreak/>
        <w:t>“PLAZO RAZONABLE PARA RESOLVER. CONCEPTO Y ELEMENTOS QUE LO INTEGRAN A LA LUZ DEL DERECHO INTERNACIONAL DE LOS DERECHOS HUMANOS.”, visible en el Sem</w:t>
      </w:r>
      <w:r w:rsidRPr="00EE6AC6">
        <w:rPr>
          <w:rFonts w:ascii="Palatino Linotype" w:eastAsia="Palatino Linotype" w:hAnsi="Palatino Linotype" w:cs="Palatino Linotype"/>
          <w:sz w:val="22"/>
          <w:szCs w:val="22"/>
        </w:rPr>
        <w:t>a</w:t>
      </w:r>
      <w:r w:rsidRPr="00EE6AC6">
        <w:rPr>
          <w:rFonts w:ascii="Palatino Linotype" w:eastAsia="Palatino Linotype" w:hAnsi="Palatino Linotype" w:cs="Palatino Linotype"/>
          <w:color w:val="000000"/>
          <w:sz w:val="22"/>
          <w:szCs w:val="22"/>
        </w:rPr>
        <w:t>nario Judicial de la Federación y su gaceta, con el registro digital 2002350.</w:t>
      </w:r>
    </w:p>
    <w:p w:rsidR="00CC4A71" w:rsidRPr="00EE6AC6" w:rsidRDefault="00CC4A71">
      <w:pPr>
        <w:spacing w:before="240" w:after="240"/>
        <w:ind w:right="-876"/>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rPr>
          <w:rFonts w:ascii="Palatino Linotype" w:eastAsia="Palatino Linotype" w:hAnsi="Palatino Linotype" w:cs="Palatino Linotype"/>
          <w:b/>
        </w:rPr>
      </w:pPr>
      <w:r w:rsidRPr="00EE6AC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CC4A71" w:rsidRPr="00EE6AC6" w:rsidRDefault="00CC4A71">
      <w:pPr>
        <w:spacing w:line="360" w:lineRule="auto"/>
        <w:ind w:right="-876"/>
        <w:jc w:val="both"/>
        <w:rPr>
          <w:rFonts w:ascii="Palatino Linotype" w:eastAsia="Palatino Linotype" w:hAnsi="Palatino Linotype" w:cs="Palatino Linotype"/>
          <w:b/>
        </w:rPr>
      </w:pPr>
      <w:bookmarkStart w:id="1" w:name="_heading=h.1fob9te" w:colFirst="0" w:colLast="0"/>
      <w:bookmarkEnd w:id="1"/>
    </w:p>
    <w:p w:rsidR="00CC4A71" w:rsidRPr="00EE6AC6" w:rsidRDefault="000A5DF6">
      <w:pPr>
        <w:numPr>
          <w:ilvl w:val="0"/>
          <w:numId w:val="1"/>
        </w:numPr>
        <w:spacing w:line="360" w:lineRule="auto"/>
        <w:ind w:left="0" w:right="-876" w:firstLine="0"/>
        <w:jc w:val="both"/>
        <w:rPr>
          <w:rFonts w:ascii="Palatino Linotype" w:eastAsia="Palatino Linotype" w:hAnsi="Palatino Linotype" w:cs="Palatino Linotype"/>
          <w:b/>
        </w:rPr>
      </w:pPr>
      <w:r w:rsidRPr="00EE6AC6">
        <w:rPr>
          <w:rFonts w:ascii="Palatino Linotype" w:eastAsia="Palatino Linotype" w:hAnsi="Palatino Linotype" w:cs="Palatino Linotype"/>
        </w:rPr>
        <w:t>La Comisionada Ponente decretó el cierre de instrucción mediante el acuerdo del</w:t>
      </w:r>
      <w:r w:rsidRPr="00EE6AC6">
        <w:rPr>
          <w:rFonts w:ascii="Palatino Linotype" w:eastAsia="Palatino Linotype" w:hAnsi="Palatino Linotype" w:cs="Palatino Linotype"/>
          <w:b/>
        </w:rPr>
        <w:t xml:space="preserve"> quince (15) de enero de dos mil veinticinco</w:t>
      </w:r>
      <w:r w:rsidRPr="00EE6AC6">
        <w:rPr>
          <w:rFonts w:ascii="Palatino Linotype" w:eastAsia="Palatino Linotype" w:hAnsi="Palatino Linotype" w:cs="Palatino Linotype"/>
        </w:rPr>
        <w:t>.---------------------------------------------------------------</w:t>
      </w:r>
    </w:p>
    <w:p w:rsidR="00CC4A71" w:rsidRPr="00EE6AC6" w:rsidRDefault="00CC4A71">
      <w:pPr>
        <w:spacing w:line="360" w:lineRule="auto"/>
        <w:ind w:right="-876"/>
        <w:jc w:val="both"/>
        <w:rPr>
          <w:rFonts w:ascii="Palatino Linotype" w:eastAsia="Palatino Linotype" w:hAnsi="Palatino Linotype" w:cs="Palatino Linotype"/>
          <w:b/>
        </w:rPr>
      </w:pPr>
    </w:p>
    <w:p w:rsidR="00CC4A71" w:rsidRPr="00EE6AC6" w:rsidRDefault="000A5DF6">
      <w:pPr>
        <w:keepNext/>
        <w:keepLines/>
        <w:spacing w:line="360" w:lineRule="auto"/>
        <w:ind w:right="-876"/>
        <w:jc w:val="center"/>
        <w:rPr>
          <w:rFonts w:ascii="Palatino Linotype" w:eastAsia="Palatino Linotype" w:hAnsi="Palatino Linotype" w:cs="Palatino Linotype"/>
        </w:rPr>
      </w:pPr>
      <w:r w:rsidRPr="00EE6AC6">
        <w:rPr>
          <w:rFonts w:ascii="Palatino Linotype" w:eastAsia="Palatino Linotype" w:hAnsi="Palatino Linotype" w:cs="Palatino Linotype"/>
          <w:b/>
        </w:rPr>
        <w:t xml:space="preserve">C O N S I D E R A N D O </w:t>
      </w:r>
    </w:p>
    <w:p w:rsidR="00CC4A71" w:rsidRPr="00EE6AC6" w:rsidRDefault="00CC4A71">
      <w:pPr>
        <w:spacing w:line="360" w:lineRule="auto"/>
        <w:ind w:right="-876"/>
        <w:rPr>
          <w:rFonts w:ascii="Palatino Linotype" w:eastAsia="Palatino Linotype" w:hAnsi="Palatino Linotype" w:cs="Palatino Linotype"/>
        </w:rPr>
      </w:pPr>
    </w:p>
    <w:p w:rsidR="00CC4A71" w:rsidRPr="00EE6AC6" w:rsidRDefault="000A5DF6">
      <w:pPr>
        <w:keepNext/>
        <w:keepLines/>
        <w:spacing w:line="360" w:lineRule="auto"/>
        <w:ind w:right="-876"/>
        <w:rPr>
          <w:rFonts w:ascii="Palatino Linotype" w:eastAsia="Palatino Linotype" w:hAnsi="Palatino Linotype" w:cs="Palatino Linotype"/>
          <w:b/>
        </w:rPr>
      </w:pPr>
      <w:bookmarkStart w:id="2" w:name="_heading=h.3znysh7" w:colFirst="0" w:colLast="0"/>
      <w:bookmarkEnd w:id="2"/>
      <w:r w:rsidRPr="00EE6AC6">
        <w:rPr>
          <w:rFonts w:ascii="Palatino Linotype" w:eastAsia="Palatino Linotype" w:hAnsi="Palatino Linotype" w:cs="Palatino Linotype"/>
          <w:b/>
        </w:rPr>
        <w:t>PRIMERO. De la competencia.</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XXIII, y 11 del Reglamento Interior del Instituto de Transparencia, Acceso a la Información Pública y Protección de Datos Personales del Estado de México y Municipios.</w:t>
      </w:r>
    </w:p>
    <w:p w:rsidR="00CC4A71" w:rsidRPr="00EE6AC6" w:rsidRDefault="000A5DF6">
      <w:pPr>
        <w:keepNext/>
        <w:keepLines/>
        <w:spacing w:line="360" w:lineRule="auto"/>
        <w:ind w:right="-876"/>
        <w:rPr>
          <w:rFonts w:ascii="Palatino Linotype" w:eastAsia="Palatino Linotype" w:hAnsi="Palatino Linotype" w:cs="Palatino Linotype"/>
          <w:b/>
        </w:rPr>
      </w:pPr>
      <w:bookmarkStart w:id="3" w:name="_heading=h.2et92p0" w:colFirst="0" w:colLast="0"/>
      <w:bookmarkEnd w:id="3"/>
      <w:r w:rsidRPr="00EE6AC6">
        <w:rPr>
          <w:rFonts w:ascii="Palatino Linotype" w:eastAsia="Palatino Linotype" w:hAnsi="Palatino Linotype" w:cs="Palatino Linotype"/>
          <w:b/>
        </w:rPr>
        <w:lastRenderedPageBreak/>
        <w:t>SEGUNDO. De la oportunidad y procedencia.</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medio de impugnación fue presentado a través del </w:t>
      </w:r>
      <w:r w:rsidRPr="00EE6AC6">
        <w:rPr>
          <w:rFonts w:ascii="Palatino Linotype" w:eastAsia="Palatino Linotype" w:hAnsi="Palatino Linotype" w:cs="Palatino Linotype"/>
          <w:b/>
        </w:rPr>
        <w:t>SAIMEX,</w:t>
      </w:r>
      <w:r w:rsidRPr="00EE6AC6">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rPr>
        <w:t xml:space="preserve"> entregó respuesta en el recurso de revisión </w:t>
      </w:r>
      <w:r w:rsidRPr="00EE6AC6">
        <w:rPr>
          <w:rFonts w:ascii="Palatino Linotype" w:eastAsia="Palatino Linotype" w:hAnsi="Palatino Linotype" w:cs="Palatino Linotype"/>
          <w:b/>
        </w:rPr>
        <w:t>03538/INFOEM/IP/RR/2024</w:t>
      </w:r>
      <w:r w:rsidRPr="00EE6AC6">
        <w:rPr>
          <w:rFonts w:ascii="Palatino Linotype" w:eastAsia="Palatino Linotype" w:hAnsi="Palatino Linotype" w:cs="Palatino Linotype"/>
        </w:rPr>
        <w:t xml:space="preserve"> el </w:t>
      </w:r>
      <w:r w:rsidRPr="00EE6AC6">
        <w:rPr>
          <w:rFonts w:ascii="Palatino Linotype" w:eastAsia="Palatino Linotype" w:hAnsi="Palatino Linotype" w:cs="Palatino Linotype"/>
          <w:b/>
        </w:rPr>
        <w:t>veintiuno de mayo de dos mil veinticuatro</w:t>
      </w:r>
      <w:r w:rsidRPr="00EE6AC6">
        <w:rPr>
          <w:rFonts w:ascii="Palatino Linotype" w:eastAsia="Palatino Linotype" w:hAnsi="Palatino Linotype" w:cs="Palatino Linotype"/>
        </w:rPr>
        <w:t xml:space="preserve">, de tal forma que el plazo para interponer el recurso de revisión transcurrió del </w:t>
      </w:r>
      <w:r w:rsidRPr="00EE6AC6">
        <w:rPr>
          <w:rFonts w:ascii="Palatino Linotype" w:eastAsia="Palatino Linotype" w:hAnsi="Palatino Linotype" w:cs="Palatino Linotype"/>
          <w:b/>
        </w:rPr>
        <w:t>veintidós de mayo al</w:t>
      </w:r>
      <w:r w:rsidRPr="00EE6AC6">
        <w:rPr>
          <w:rFonts w:ascii="Palatino Linotype" w:eastAsia="Palatino Linotype" w:hAnsi="Palatino Linotype" w:cs="Palatino Linotype"/>
        </w:rPr>
        <w:t xml:space="preserve"> </w:t>
      </w:r>
      <w:r w:rsidRPr="00EE6AC6">
        <w:rPr>
          <w:rFonts w:ascii="Palatino Linotype" w:eastAsia="Palatino Linotype" w:hAnsi="Palatino Linotype" w:cs="Palatino Linotype"/>
          <w:b/>
        </w:rPr>
        <w:t>once de junio de dos mil veinticuatro</w:t>
      </w:r>
      <w:r w:rsidRPr="00EE6AC6">
        <w:rPr>
          <w:rFonts w:ascii="Palatino Linotype" w:eastAsia="Palatino Linotype" w:hAnsi="Palatino Linotype" w:cs="Palatino Linotype"/>
        </w:rPr>
        <w:t xml:space="preserve">; respecto al recurso de revisión </w:t>
      </w:r>
      <w:r w:rsidRPr="00EE6AC6">
        <w:rPr>
          <w:rFonts w:ascii="Palatino Linotype" w:eastAsia="Palatino Linotype" w:hAnsi="Palatino Linotype" w:cs="Palatino Linotype"/>
          <w:b/>
        </w:rPr>
        <w:t>04998/INFOEM/IP/RR/2024</w:t>
      </w:r>
      <w:r w:rsidRPr="00EE6AC6">
        <w:rPr>
          <w:rFonts w:ascii="Palatino Linotype" w:eastAsia="Palatino Linotype" w:hAnsi="Palatino Linotype" w:cs="Palatino Linotype"/>
        </w:rPr>
        <w:t xml:space="preserve"> entregó respuesta el </w:t>
      </w:r>
      <w:r w:rsidRPr="00EE6AC6">
        <w:rPr>
          <w:rFonts w:ascii="Palatino Linotype" w:eastAsia="Palatino Linotype" w:hAnsi="Palatino Linotype" w:cs="Palatino Linotype"/>
          <w:b/>
        </w:rPr>
        <w:t>cinco (05) de agosto de dos mil veinticuatro</w:t>
      </w:r>
      <w:r w:rsidRPr="00EE6AC6">
        <w:rPr>
          <w:rFonts w:ascii="Palatino Linotype" w:eastAsia="Palatino Linotype" w:hAnsi="Palatino Linotype" w:cs="Palatino Linotype"/>
        </w:rPr>
        <w:t xml:space="preserve">, de tal forma que el plazo para interponer el recurso de revisión transcurrió del seis al </w:t>
      </w:r>
      <w:r w:rsidRPr="00EE6AC6">
        <w:rPr>
          <w:rFonts w:ascii="Palatino Linotype" w:eastAsia="Palatino Linotype" w:hAnsi="Palatino Linotype" w:cs="Palatino Linotype"/>
          <w:b/>
        </w:rPr>
        <w:t xml:space="preserve">veintiséis de agosto de dos mil veinticuatro, </w:t>
      </w:r>
      <w:r w:rsidRPr="00EE6AC6">
        <w:rPr>
          <w:rFonts w:ascii="Palatino Linotype" w:eastAsia="Palatino Linotype" w:hAnsi="Palatino Linotype" w:cs="Palatino Linotype"/>
        </w:rPr>
        <w:t xml:space="preserve">en consecuencia, presentó su inconformidad el </w:t>
      </w:r>
      <w:r w:rsidRPr="00EE6AC6">
        <w:rPr>
          <w:rFonts w:ascii="Palatino Linotype" w:eastAsia="Palatino Linotype" w:hAnsi="Palatino Linotype" w:cs="Palatino Linotype"/>
          <w:b/>
        </w:rPr>
        <w:t>veinte de agosto de dos mil veinticuatro</w:t>
      </w:r>
      <w:r w:rsidRPr="00EE6AC6">
        <w:rPr>
          <w:rFonts w:ascii="Palatino Linotype" w:eastAsia="Palatino Linotype" w:hAnsi="Palatino Linotype" w:cs="Palatino Linotype"/>
        </w:rPr>
        <w:t xml:space="preserve">, por lo que, ambos recurso de revisión se encuentra dentro de los márgenes temporales previstos en el artículo 178 de la </w:t>
      </w:r>
      <w:r w:rsidRPr="00EE6AC6">
        <w:rPr>
          <w:rFonts w:ascii="Palatino Linotype" w:eastAsia="Palatino Linotype" w:hAnsi="Palatino Linotype" w:cs="Palatino Linotype"/>
          <w:b/>
        </w:rPr>
        <w:t xml:space="preserve">Ley de Transparencia y Acceso a la Información Pública del Estado de México y Municipios </w:t>
      </w:r>
      <w:r w:rsidRPr="00EE6AC6">
        <w:rPr>
          <w:rFonts w:ascii="Palatino Linotype" w:eastAsia="Palatino Linotype" w:hAnsi="Palatino Linotype" w:cs="Palatino Linotype"/>
        </w:rPr>
        <w:t>vigente.</w:t>
      </w:r>
    </w:p>
    <w:p w:rsidR="00CC4A71" w:rsidRPr="00EE6AC6" w:rsidRDefault="00CC4A71">
      <w:pPr>
        <w:spacing w:line="360" w:lineRule="auto"/>
        <w:ind w:right="-876"/>
        <w:jc w:val="both"/>
        <w:rPr>
          <w:rFonts w:ascii="Palatino Linotype" w:eastAsia="Palatino Linotype" w:hAnsi="Palatino Linotype" w:cs="Palatino Linotype"/>
        </w:rPr>
      </w:pPr>
    </w:p>
    <w:p w:rsidR="00057C14" w:rsidRPr="00EE6AC6" w:rsidRDefault="000A5DF6" w:rsidP="00057C14">
      <w:pPr>
        <w:numPr>
          <w:ilvl w:val="0"/>
          <w:numId w:val="1"/>
        </w:numPr>
        <w:spacing w:line="360" w:lineRule="auto"/>
        <w:ind w:left="0" w:right="-876" w:firstLine="0"/>
        <w:jc w:val="both"/>
      </w:pPr>
      <w:bookmarkStart w:id="4" w:name="_heading=h.3dy6vkm" w:colFirst="0" w:colLast="0"/>
      <w:bookmarkEnd w:id="4"/>
      <w:r w:rsidRPr="00EE6AC6">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w:t>
      </w:r>
      <w:r w:rsidR="00057C14" w:rsidRPr="00EE6AC6">
        <w:rPr>
          <w:rFonts w:ascii="Palatino Linotype" w:eastAsia="Palatino Linotype" w:hAnsi="Palatino Linotype" w:cs="Palatino Linotype"/>
        </w:rPr>
        <w:t xml:space="preserve"> y resuelva el presente recurso</w:t>
      </w:r>
      <w:r w:rsidR="00057C14" w:rsidRPr="00EE6AC6">
        <w:t>.</w:t>
      </w:r>
    </w:p>
    <w:p w:rsidR="00057C14" w:rsidRPr="00EE6AC6" w:rsidRDefault="00057C14" w:rsidP="00057C14">
      <w:pPr>
        <w:spacing w:line="360" w:lineRule="auto"/>
        <w:ind w:right="-876"/>
        <w:jc w:val="both"/>
      </w:pPr>
    </w:p>
    <w:p w:rsidR="00CC4A71" w:rsidRPr="00EE6AC6" w:rsidRDefault="000A5DF6">
      <w:pPr>
        <w:spacing w:line="360" w:lineRule="auto"/>
        <w:ind w:right="-876"/>
        <w:jc w:val="both"/>
        <w:rPr>
          <w:rFonts w:ascii="Palatino Linotype" w:eastAsia="Palatino Linotype" w:hAnsi="Palatino Linotype" w:cs="Palatino Linotype"/>
          <w:b/>
        </w:rPr>
      </w:pPr>
      <w:r w:rsidRPr="00EE6AC6">
        <w:rPr>
          <w:rFonts w:ascii="Palatino Linotype" w:eastAsia="Palatino Linotype" w:hAnsi="Palatino Linotype" w:cs="Palatino Linotype"/>
          <w:b/>
        </w:rPr>
        <w:t>TERCERO. Planteamiento de la Litis.</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El</w:t>
      </w:r>
      <w:r w:rsidRPr="00EE6AC6">
        <w:rPr>
          <w:rFonts w:ascii="Palatino Linotype" w:eastAsia="Palatino Linotype" w:hAnsi="Palatino Linotype" w:cs="Palatino Linotype"/>
          <w:b/>
        </w:rPr>
        <w:t xml:space="preserve"> RECURRENTE</w:t>
      </w:r>
      <w:r w:rsidRPr="00EE6AC6">
        <w:rPr>
          <w:rFonts w:ascii="Palatino Linotype" w:eastAsia="Palatino Linotype" w:hAnsi="Palatino Linotype" w:cs="Palatino Linotype"/>
        </w:rPr>
        <w:t xml:space="preserve"> solicitó:</w:t>
      </w:r>
    </w:p>
    <w:p w:rsidR="00CC4A71" w:rsidRPr="00EE6AC6" w:rsidRDefault="000A5DF6">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color w:val="000000"/>
        </w:rPr>
        <w:t xml:space="preserve">Copia simple del acuse de recibido, en el que aparezca nombre y firma de la persona notificada el día 22 de marzo del año 2024 respecto del OFICIO NO. DOP/281/2024 de </w:t>
      </w:r>
      <w:r w:rsidRPr="00EE6AC6">
        <w:rPr>
          <w:rFonts w:ascii="Palatino Linotype" w:eastAsia="Palatino Linotype" w:hAnsi="Palatino Linotype" w:cs="Palatino Linotype"/>
          <w:color w:val="000000"/>
        </w:rPr>
        <w:lastRenderedPageBreak/>
        <w:t xml:space="preserve">fecha 20 de marzo del 2024, el cual, corresponde a la RESPUESTA emitida por la Dirección de Obras Públicas del Ayuntamiento de Tepotzotlán referente a la Petición formulada el 04 de marzo del año 2024 con Número de Folio de Presidencia Municipal 25145 y Sin Número de Folio de la Dirección de Obras Públicas en la que se Solicitó al Ayuntamiento de Tepotzotlán Obra Pública de Infraestructura Vial consistente en Construcción de Áreas de rodamiento vehicular, banquetas, guarniciones, reductores de velocidad y señalización vial sobre los caminos Pueblo Nuevo- Cañadas y Pueblo Nuevo- Cabañas. </w:t>
      </w:r>
    </w:p>
    <w:p w:rsidR="00CC4A71" w:rsidRPr="00EE6AC6" w:rsidRDefault="000A5DF6">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color w:val="000000"/>
        </w:rPr>
        <w:t xml:space="preserve">Copia simple del oficio número DOP/281/2024, emitido por la Dirección de Obras Públicas en fecha 20 de marzo de 2024. </w:t>
      </w:r>
    </w:p>
    <w:p w:rsidR="00CC4A71" w:rsidRPr="00EE6AC6" w:rsidRDefault="000A5DF6">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color w:val="000000"/>
        </w:rPr>
        <w:t>Nombre del libro o bitácora física o sistema o programa de cómputo en que fue localizado el oficio DOP/281/2024, para una posible consulta posterior</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Mediante respuesta, respecto al acuse solicitado, el Sujeto Obligado adjuntó un oficio, sin embargo, el Recurrente se inconforma por la entrega de la información que no corresponde a lo solicitado; por otro lado, respecto a la solicitud del particular respecto al oficio DOP/281/2024 y el nombre del libro o bitácora en el que se encuentra, el Sujeto Obligado sólo señaló el nombre de la Bitácora, por lo que, el particular se inconformó por la entrega de información incompleta. </w:t>
      </w:r>
    </w:p>
    <w:p w:rsidR="00057C14" w:rsidRPr="00EE6AC6" w:rsidRDefault="00057C14" w:rsidP="00057C14">
      <w:pPr>
        <w:spacing w:line="360" w:lineRule="auto"/>
        <w:ind w:right="-876"/>
        <w:jc w:val="both"/>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129, fracción IV y V</w:t>
      </w:r>
      <w:r w:rsidRPr="00EE6AC6">
        <w:rPr>
          <w:rFonts w:ascii="Palatino Linotype" w:eastAsia="Palatino Linotype" w:hAnsi="Palatino Linotype" w:cs="Palatino Linotype"/>
          <w:b/>
        </w:rPr>
        <w:t xml:space="preserve"> </w:t>
      </w:r>
      <w:r w:rsidRPr="00EE6AC6">
        <w:rPr>
          <w:rFonts w:ascii="Palatino Linotype" w:eastAsia="Palatino Linotype" w:hAnsi="Palatino Linotype" w:cs="Palatino Linotype"/>
        </w:rPr>
        <w:t xml:space="preserve">de la Ley de Protección de Datos Personales en Posesión de Sujetos Obligados del Estado de </w:t>
      </w:r>
      <w:r w:rsidRPr="00EE6AC6">
        <w:rPr>
          <w:rFonts w:ascii="Palatino Linotype" w:eastAsia="Palatino Linotype" w:hAnsi="Palatino Linotype" w:cs="Palatino Linotype"/>
        </w:rPr>
        <w:lastRenderedPageBreak/>
        <w:t xml:space="preserve">México y Municipios; </w:t>
      </w:r>
      <w:r w:rsidRPr="00EE6AC6">
        <w:rPr>
          <w:rFonts w:ascii="Palatino Linotype" w:eastAsia="Palatino Linotype" w:hAnsi="Palatino Linotype" w:cs="Palatino Linotype"/>
          <w:color w:val="000000"/>
        </w:rPr>
        <w:t xml:space="preserve">fracción que determina la hipótesis relativa a la entrega de </w:t>
      </w:r>
      <w:proofErr w:type="spellStart"/>
      <w:r w:rsidRPr="00EE6AC6">
        <w:rPr>
          <w:rFonts w:ascii="Palatino Linotype" w:eastAsia="Palatino Linotype" w:hAnsi="Palatino Linotype" w:cs="Palatino Linotype"/>
          <w:color w:val="000000"/>
        </w:rPr>
        <w:t>de</w:t>
      </w:r>
      <w:proofErr w:type="spellEnd"/>
      <w:r w:rsidRPr="00EE6AC6">
        <w:rPr>
          <w:rFonts w:ascii="Palatino Linotype" w:eastAsia="Palatino Linotype" w:hAnsi="Palatino Linotype" w:cs="Palatino Linotype"/>
          <w:color w:val="000000"/>
        </w:rPr>
        <w:t xml:space="preserve"> datos personales incompletos y la entrega de datos personales que no corresponde con lo solicitado; </w:t>
      </w:r>
      <w:r w:rsidRPr="00EE6AC6">
        <w:rPr>
          <w:rFonts w:ascii="Palatino Linotype" w:eastAsia="Palatino Linotype" w:hAnsi="Palatino Linotype" w:cs="Palatino Linotype"/>
        </w:rPr>
        <w:t xml:space="preserve">contexto del cual se dolió el </w:t>
      </w:r>
      <w:r w:rsidRPr="00EE6AC6">
        <w:rPr>
          <w:rFonts w:ascii="Palatino Linotype" w:eastAsia="Palatino Linotype" w:hAnsi="Palatino Linotype" w:cs="Palatino Linotype"/>
          <w:b/>
        </w:rPr>
        <w:t>RECURRENTE</w:t>
      </w:r>
      <w:r w:rsidRPr="00EE6AC6">
        <w:rPr>
          <w:rFonts w:ascii="Palatino Linotype" w:eastAsia="Palatino Linotype" w:hAnsi="Palatino Linotype" w:cs="Palatino Linotype"/>
        </w:rPr>
        <w:t xml:space="preserve"> al momento de interponer su inconformidad.</w:t>
      </w:r>
      <w:r w:rsidRPr="00EE6AC6">
        <w:rPr>
          <w:rFonts w:ascii="Palatino Linotype" w:eastAsia="Palatino Linotype" w:hAnsi="Palatino Linotype" w:cs="Palatino Linotype"/>
          <w:color w:val="000000"/>
        </w:rPr>
        <w:t xml:space="preserve"> De modo tal que el presente recurso de revisión se </w:t>
      </w:r>
      <w:r w:rsidRPr="00EE6AC6">
        <w:rPr>
          <w:rFonts w:ascii="Palatino Linotype" w:eastAsia="Palatino Linotype" w:hAnsi="Palatino Linotype" w:cs="Palatino Linotype"/>
        </w:rPr>
        <w:t>abocará</w:t>
      </w:r>
      <w:r w:rsidRPr="00EE6AC6">
        <w:rPr>
          <w:rFonts w:ascii="Palatino Linotype" w:eastAsia="Palatino Linotype" w:hAnsi="Palatino Linotype" w:cs="Palatino Linotype"/>
          <w:color w:val="000000"/>
        </w:rPr>
        <w:t xml:space="preserve"> en determinar si el </w:t>
      </w:r>
      <w:r w:rsidRPr="00EE6AC6">
        <w:rPr>
          <w:rFonts w:ascii="Palatino Linotype" w:eastAsia="Palatino Linotype" w:hAnsi="Palatino Linotype" w:cs="Palatino Linotype"/>
          <w:b/>
          <w:color w:val="000000"/>
        </w:rPr>
        <w:t>SUJETO OBLIGADO</w:t>
      </w:r>
      <w:r w:rsidRPr="00EE6AC6">
        <w:rPr>
          <w:rFonts w:ascii="Palatino Linotype" w:eastAsia="Palatino Linotype" w:hAnsi="Palatino Linotype" w:cs="Palatino Linotype"/>
          <w:color w:val="000000"/>
        </w:rPr>
        <w:t xml:space="preserve"> con su respuesta ciertamente actualiza las causales de procedencia</w:t>
      </w:r>
      <w:r w:rsidRPr="00EE6AC6">
        <w:rPr>
          <w:rFonts w:ascii="Palatino Linotype" w:eastAsia="Palatino Linotype" w:hAnsi="Palatino Linotype" w:cs="Palatino Linotype"/>
          <w:b/>
          <w:color w:val="000000"/>
        </w:rPr>
        <w:t xml:space="preserve"> </w:t>
      </w:r>
      <w:r w:rsidRPr="00EE6AC6">
        <w:rPr>
          <w:rFonts w:ascii="Palatino Linotype" w:eastAsia="Palatino Linotype" w:hAnsi="Palatino Linotype" w:cs="Palatino Linotype"/>
          <w:color w:val="000000"/>
        </w:rPr>
        <w:t>señaladas.</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pStyle w:val="Ttulo2"/>
        <w:spacing w:before="0" w:line="360" w:lineRule="auto"/>
        <w:ind w:right="-876"/>
        <w:rPr>
          <w:rFonts w:ascii="Palatino Linotype" w:eastAsia="Palatino Linotype" w:hAnsi="Palatino Linotype" w:cs="Palatino Linotype"/>
          <w:b/>
          <w:color w:val="000000"/>
          <w:sz w:val="24"/>
          <w:szCs w:val="24"/>
        </w:rPr>
      </w:pPr>
      <w:bookmarkStart w:id="5" w:name="_heading=h.tyjcwt" w:colFirst="0" w:colLast="0"/>
      <w:bookmarkEnd w:id="5"/>
      <w:r w:rsidRPr="00EE6AC6">
        <w:rPr>
          <w:rFonts w:ascii="Palatino Linotype" w:eastAsia="Palatino Linotype" w:hAnsi="Palatino Linotype" w:cs="Palatino Linotype"/>
          <w:b/>
          <w:color w:val="000000"/>
          <w:sz w:val="24"/>
          <w:szCs w:val="24"/>
        </w:rPr>
        <w:t>CUARTA. Estudio de la controversia.</w:t>
      </w:r>
    </w:p>
    <w:p w:rsidR="00CC4A71" w:rsidRPr="00EE6AC6" w:rsidRDefault="000A5DF6">
      <w:pPr>
        <w:numPr>
          <w:ilvl w:val="0"/>
          <w:numId w:val="4"/>
        </w:numPr>
        <w:pBdr>
          <w:top w:val="nil"/>
          <w:left w:val="nil"/>
          <w:bottom w:val="nil"/>
          <w:right w:val="nil"/>
          <w:between w:val="nil"/>
        </w:pBdr>
        <w:ind w:right="-876"/>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De previo y especial pronunciamiento</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El </w:t>
      </w:r>
      <w:r w:rsidRPr="00EE6AC6">
        <w:rPr>
          <w:rFonts w:ascii="Palatino Linotype" w:eastAsia="Palatino Linotype" w:hAnsi="Palatino Linotype" w:cs="Palatino Linotype"/>
          <w:color w:val="000000"/>
        </w:rPr>
        <w:t>artículo 155 de la Ley de Transparencia y Acceso a la Información Pública del Estado de México y Municipios establece que, para presentar una solicitud, no se podrán exigir mayores requisitos que los siguientes:</w:t>
      </w:r>
    </w:p>
    <w:p w:rsidR="00CC4A71" w:rsidRPr="00EE6AC6" w:rsidRDefault="000A5DF6">
      <w:pPr>
        <w:numPr>
          <w:ilvl w:val="1"/>
          <w:numId w:val="5"/>
        </w:numPr>
        <w:pBdr>
          <w:top w:val="nil"/>
          <w:left w:val="nil"/>
          <w:bottom w:val="nil"/>
          <w:right w:val="nil"/>
          <w:between w:val="nil"/>
        </w:pBdr>
        <w:ind w:left="709" w:right="-25" w:hanging="142"/>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Nombre del solicitante, o en su caso, los datos generales de su representante; </w:t>
      </w:r>
    </w:p>
    <w:p w:rsidR="00CC4A71" w:rsidRPr="00EE6AC6" w:rsidRDefault="000A5DF6">
      <w:pPr>
        <w:numPr>
          <w:ilvl w:val="1"/>
          <w:numId w:val="5"/>
        </w:numPr>
        <w:pBdr>
          <w:top w:val="nil"/>
          <w:left w:val="nil"/>
          <w:bottom w:val="nil"/>
          <w:right w:val="nil"/>
          <w:between w:val="nil"/>
        </w:pBdr>
        <w:ind w:left="709" w:right="-25" w:hanging="142"/>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Domicilio o en su caso correo electrónico para recibir notificaciones; </w:t>
      </w:r>
    </w:p>
    <w:p w:rsidR="00CC4A71" w:rsidRPr="00EE6AC6" w:rsidRDefault="000A5DF6">
      <w:pPr>
        <w:numPr>
          <w:ilvl w:val="1"/>
          <w:numId w:val="5"/>
        </w:numPr>
        <w:pBdr>
          <w:top w:val="nil"/>
          <w:left w:val="nil"/>
          <w:bottom w:val="nil"/>
          <w:right w:val="nil"/>
          <w:between w:val="nil"/>
        </w:pBdr>
        <w:ind w:left="709" w:right="-25" w:hanging="142"/>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La descripción de la información solicitada; </w:t>
      </w:r>
    </w:p>
    <w:p w:rsidR="00CC4A71" w:rsidRPr="00EE6AC6" w:rsidRDefault="000A5DF6">
      <w:pPr>
        <w:numPr>
          <w:ilvl w:val="1"/>
          <w:numId w:val="5"/>
        </w:numPr>
        <w:pBdr>
          <w:top w:val="nil"/>
          <w:left w:val="nil"/>
          <w:bottom w:val="nil"/>
          <w:right w:val="nil"/>
          <w:between w:val="nil"/>
        </w:pBdr>
        <w:ind w:left="709" w:right="-25" w:hanging="142"/>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Cualquier otro dato que facilite la búsqueda y eventual localización de la información; y </w:t>
      </w:r>
    </w:p>
    <w:p w:rsidR="00CC4A71" w:rsidRPr="00EE6AC6" w:rsidRDefault="000A5DF6">
      <w:pPr>
        <w:numPr>
          <w:ilvl w:val="1"/>
          <w:numId w:val="5"/>
        </w:numPr>
        <w:pBdr>
          <w:top w:val="nil"/>
          <w:left w:val="nil"/>
          <w:bottom w:val="nil"/>
          <w:right w:val="nil"/>
          <w:between w:val="nil"/>
        </w:pBdr>
        <w:ind w:left="709" w:right="-25" w:hanging="142"/>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No obstante lo anterior, si bien el nombre de quien solicita la información (o su representante) es considerado como un elemento de forma de las solicitudes de información, como se ha expresado en párrafos previos, las solicitudes pueden ser promovidas de forma anónima, con nombre incompleto o, inclusive, mediante el uso de un seudónimo; por lo tanto, </w:t>
      </w:r>
      <w:r w:rsidRPr="00EE6AC6">
        <w:rPr>
          <w:rFonts w:ascii="Palatino Linotype" w:eastAsia="Palatino Linotype" w:hAnsi="Palatino Linotype" w:cs="Palatino Linotype"/>
          <w:b/>
          <w:color w:val="000000"/>
        </w:rPr>
        <w:t>no es un requisito indispensable para el ejercicio del derecho de acceso a la información</w:t>
      </w:r>
      <w:r w:rsidRPr="00EE6AC6">
        <w:rPr>
          <w:rFonts w:ascii="Palatino Linotype" w:eastAsia="Palatino Linotype" w:hAnsi="Palatino Linotype" w:cs="Palatino Linotype"/>
          <w:color w:val="000000"/>
        </w:rPr>
        <w:t>.</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lastRenderedPageBreak/>
        <w:t xml:space="preserve">Caso contrario resultaría si la solicitud se tratarse de un ejercicio de derechos ARCO (acceso, rectificación, cancelación u oposición de datos personales), pues de conformidad con lo establecido en el artículo 110 de la Ley de Protección de Datos Personales en Posesión de Sujetos Obligados del Estado de México y Municipios, las solicitudes para ejercer estos derechos deberán contener </w:t>
      </w:r>
      <w:r w:rsidRPr="00EE6AC6">
        <w:rPr>
          <w:rFonts w:ascii="Palatino Linotype" w:eastAsia="Palatino Linotype" w:hAnsi="Palatino Linotype" w:cs="Palatino Linotype"/>
          <w:i/>
          <w:color w:val="000000"/>
        </w:rPr>
        <w:t>a fortiori</w:t>
      </w:r>
      <w:r w:rsidRPr="00EE6AC6">
        <w:rPr>
          <w:rFonts w:ascii="Palatino Linotype" w:eastAsia="Palatino Linotype" w:hAnsi="Palatino Linotype" w:cs="Palatino Linotype"/>
          <w:color w:val="000000"/>
        </w:rPr>
        <w:t xml:space="preserve"> lo siguiente:</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El nombre del titular y su domicilio, o cualquier otro medio para recibir notificaciones. </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Los documentos que acrediten la identidad del titular y en su caso, la personalidad e identidad de su representante. </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De ser posible, el área responsable que trata los datos personales y ante el cual se presenta la solicitud. </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La descripción clara y precisa de los datos personales respecto de los que se busca ejercer alguno de los derechos ARCO, salvo que se trate del derecho de acceso. </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 xml:space="preserve">La descripción del derecho ARCO que se pretende ejercer, o bien, lo que solicita el titular. </w:t>
      </w:r>
    </w:p>
    <w:p w:rsidR="00CC4A71" w:rsidRPr="00EE6AC6" w:rsidRDefault="000A5DF6">
      <w:pPr>
        <w:numPr>
          <w:ilvl w:val="1"/>
          <w:numId w:val="6"/>
        </w:numPr>
        <w:pBdr>
          <w:top w:val="nil"/>
          <w:left w:val="nil"/>
          <w:bottom w:val="nil"/>
          <w:right w:val="nil"/>
          <w:between w:val="nil"/>
        </w:pBdr>
        <w:tabs>
          <w:tab w:val="left" w:pos="426"/>
        </w:tabs>
        <w:ind w:left="1134" w:right="-25"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Cualquier otro elemento o documento que facilite la localización de los datos personales, en su caso.</w:t>
      </w:r>
    </w:p>
    <w:p w:rsidR="00CC4A71" w:rsidRPr="00EE6AC6" w:rsidRDefault="00CC4A71">
      <w:pPr>
        <w:pBdr>
          <w:top w:val="nil"/>
          <w:left w:val="nil"/>
          <w:bottom w:val="nil"/>
          <w:right w:val="nil"/>
          <w:between w:val="nil"/>
        </w:pBdr>
        <w:tabs>
          <w:tab w:val="left" w:pos="426"/>
        </w:tabs>
        <w:ind w:left="1134" w:right="-876"/>
        <w:jc w:val="both"/>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Lo anterior se expresa dado que en el presente asunto se advierte que el </w:t>
      </w:r>
      <w:r w:rsidRPr="00EE6AC6">
        <w:rPr>
          <w:rFonts w:ascii="Palatino Linotype" w:eastAsia="Palatino Linotype" w:hAnsi="Palatino Linotype" w:cs="Palatino Linotype"/>
          <w:b/>
          <w:color w:val="000000"/>
        </w:rPr>
        <w:t xml:space="preserve">RECURRENTE </w:t>
      </w:r>
      <w:r w:rsidRPr="00EE6AC6">
        <w:rPr>
          <w:rFonts w:ascii="Palatino Linotype" w:eastAsia="Palatino Linotype" w:hAnsi="Palatino Linotype" w:cs="Palatino Linotype"/>
          <w:color w:val="000000"/>
        </w:rPr>
        <w:t>proporcionó además de su nombre completo, una credencial de elector que coincide con el nombre proporcionado.</w:t>
      </w:r>
      <w:r w:rsidRPr="00EE6AC6">
        <w:rPr>
          <w:rFonts w:ascii="Palatino Linotype" w:eastAsia="Palatino Linotype" w:hAnsi="Palatino Linotype" w:cs="Palatino Linotype"/>
          <w:b/>
          <w:color w:val="000000"/>
        </w:rPr>
        <w:t xml:space="preserve"> </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Así las cosas, debemos puntualizar que los particulares no son expertos en la materia y, en ocasiones, pueden desconocer la vía para poder tener acceso a documentos en los que </w:t>
      </w:r>
      <w:r w:rsidRPr="00EE6AC6">
        <w:rPr>
          <w:rFonts w:ascii="Palatino Linotype" w:eastAsia="Palatino Linotype" w:hAnsi="Palatino Linotype" w:cs="Palatino Linotype"/>
        </w:rPr>
        <w:t>consten</w:t>
      </w:r>
      <w:r w:rsidRPr="00EE6AC6">
        <w:rPr>
          <w:rFonts w:ascii="Palatino Linotype" w:eastAsia="Palatino Linotype" w:hAnsi="Palatino Linotype" w:cs="Palatino Linotype"/>
          <w:color w:val="000000"/>
        </w:rPr>
        <w:t xml:space="preserve"> sus datos personales; por esa razón, a fin de tutelar las garantías de </w:t>
      </w:r>
      <w:r w:rsidRPr="00EE6AC6">
        <w:rPr>
          <w:rFonts w:ascii="Palatino Linotype" w:eastAsia="Palatino Linotype" w:hAnsi="Palatino Linotype" w:cs="Palatino Linotype"/>
          <w:b/>
          <w:color w:val="000000"/>
        </w:rPr>
        <w:t xml:space="preserve">eficacia, prontitud y </w:t>
      </w:r>
      <w:proofErr w:type="spellStart"/>
      <w:r w:rsidRPr="00EE6AC6">
        <w:rPr>
          <w:rFonts w:ascii="Palatino Linotype" w:eastAsia="Palatino Linotype" w:hAnsi="Palatino Linotype" w:cs="Palatino Linotype"/>
          <w:b/>
        </w:rPr>
        <w:t>expeditez</w:t>
      </w:r>
      <w:proofErr w:type="spellEnd"/>
      <w:r w:rsidRPr="00EE6AC6">
        <w:rPr>
          <w:rFonts w:ascii="Palatino Linotype" w:eastAsia="Palatino Linotype" w:hAnsi="Palatino Linotype" w:cs="Palatino Linotype"/>
          <w:color w:val="000000"/>
        </w:rPr>
        <w:t xml:space="preserve"> que mandata la Constitución Política de los Estados Unidos Mexicanos, este Organismo Garante posee las atribuciones necesarias y suficientes para </w:t>
      </w:r>
      <w:r w:rsidRPr="00EE6AC6">
        <w:rPr>
          <w:rFonts w:ascii="Palatino Linotype" w:eastAsia="Palatino Linotype" w:hAnsi="Palatino Linotype" w:cs="Palatino Linotype"/>
          <w:b/>
          <w:color w:val="000000"/>
        </w:rPr>
        <w:t>reconducir</w:t>
      </w:r>
      <w:r w:rsidRPr="00EE6AC6">
        <w:rPr>
          <w:rFonts w:ascii="Palatino Linotype" w:eastAsia="Palatino Linotype" w:hAnsi="Palatino Linotype" w:cs="Palatino Linotype"/>
          <w:color w:val="000000"/>
        </w:rPr>
        <w:t xml:space="preserve"> la vía de impugnación hacia un derecho distinto, igualmente tutelado por este Órgano Garante.</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En ese sentido, de ser el caso de que el Sujeto Obligado, o el mismo Organismo Garante, </w:t>
      </w:r>
      <w:r w:rsidRPr="00EE6AC6">
        <w:rPr>
          <w:rFonts w:ascii="Palatino Linotype" w:eastAsia="Palatino Linotype" w:hAnsi="Palatino Linotype" w:cs="Palatino Linotype"/>
        </w:rPr>
        <w:t>detectase</w:t>
      </w:r>
      <w:r w:rsidRPr="00EE6AC6">
        <w:rPr>
          <w:rFonts w:ascii="Palatino Linotype" w:eastAsia="Palatino Linotype" w:hAnsi="Palatino Linotype" w:cs="Palatino Linotype"/>
          <w:color w:val="000000"/>
        </w:rPr>
        <w:t xml:space="preserve"> que una solicitud de acceso a información pública tiene como fin el ejercicio de derechos ARCO, se podría realizar un enderezamiento para tramitarse como el segundo, siempre y cuando se acrediten los requisitos que establece el artículo 110 de la Ley de Protección de Datos Personales en Posesión de Sujetos Obligados del Estado de México y Municipios.</w:t>
      </w:r>
    </w:p>
    <w:p w:rsidR="00CC4A71" w:rsidRPr="00EE6AC6" w:rsidRDefault="00CC4A71">
      <w:pPr>
        <w:ind w:right="-876"/>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Sustenta lo anterior el Criterio de Interpretación número 001/2023 emitido por el Órgano Garante Nacional, cuyo rubro y texto establece lo siguiente:</w:t>
      </w:r>
    </w:p>
    <w:p w:rsidR="00CC4A71" w:rsidRPr="00EE6AC6" w:rsidRDefault="000A5DF6">
      <w:pPr>
        <w:pBdr>
          <w:top w:val="nil"/>
          <w:left w:val="nil"/>
          <w:bottom w:val="nil"/>
          <w:right w:val="nil"/>
          <w:between w:val="nil"/>
        </w:pBdr>
        <w:tabs>
          <w:tab w:val="left" w:pos="426"/>
        </w:tabs>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i/>
          <w:color w:val="000000"/>
          <w:sz w:val="22"/>
          <w:szCs w:val="22"/>
        </w:rPr>
        <w:t>OBLIGACIÓN DE DAR TRÁMITE A SOLICITUDES QUE IMPLIQUEN TANTO EL EJERCICIO DE DERECHOS ARCO, COMO DE ACCESO A LA INFORMACIÓN PÚBLICA</w:t>
      </w:r>
      <w:r w:rsidRPr="00EE6AC6">
        <w:rPr>
          <w:rFonts w:ascii="Palatino Linotype" w:eastAsia="Palatino Linotype" w:hAnsi="Palatino Linotype" w:cs="Palatino Linotype"/>
          <w:i/>
          <w:color w:val="000000"/>
          <w:sz w:val="22"/>
          <w:szCs w:val="22"/>
        </w:rPr>
        <w:t>. “De conformidad con el principio de celeridad, cuando en una misma solicitud en la que el particular ejerza derechos ARCO, pretenda ejercer su derecho de acceso a la información pública, los sujetos obligados deberán atender los requerimientos en términos de la normativa aplicable a cada derecho, sin necesidad de que la persona solicitante deba presentar una nueva solicitud.”</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Por lo tanto, toda vez que este Organismo Garante, advirtió derivado de las constancias y, del pronunciamiento expreso del particular que en la solicitud de información que se analiza en el presente proveído no se pretende ejercer un derecho de acceso a la información, sino de derechos ARCO</w:t>
      </w:r>
      <w:r w:rsidRPr="00EE6AC6">
        <w:rPr>
          <w:rFonts w:ascii="Palatino Linotype" w:eastAsia="Palatino Linotype" w:hAnsi="Palatino Linotype" w:cs="Palatino Linotype"/>
        </w:rPr>
        <w:t xml:space="preserve">, se determinó decretar la </w:t>
      </w:r>
      <w:r w:rsidRPr="00EE6AC6">
        <w:rPr>
          <w:rFonts w:ascii="Palatino Linotype" w:eastAsia="Palatino Linotype" w:hAnsi="Palatino Linotype" w:cs="Palatino Linotype"/>
          <w:b/>
        </w:rPr>
        <w:t>reconducción</w:t>
      </w:r>
      <w:r w:rsidRPr="00EE6AC6">
        <w:rPr>
          <w:rFonts w:ascii="Palatino Linotype" w:eastAsia="Palatino Linotype" w:hAnsi="Palatino Linotype" w:cs="Palatino Linotype"/>
        </w:rPr>
        <w:t xml:space="preserve"> del presente recurso de revisión bajo el amparo del principio de </w:t>
      </w:r>
      <w:r w:rsidRPr="00EE6AC6">
        <w:rPr>
          <w:rFonts w:ascii="Palatino Linotype" w:eastAsia="Palatino Linotype" w:hAnsi="Palatino Linotype" w:cs="Palatino Linotype"/>
          <w:b/>
        </w:rPr>
        <w:t>máxima publicidad</w:t>
      </w:r>
      <w:r w:rsidRPr="00EE6AC6">
        <w:rPr>
          <w:rFonts w:ascii="Palatino Linotype" w:eastAsia="Palatino Linotype" w:hAnsi="Palatino Linotype" w:cs="Palatino Linotype"/>
        </w:rPr>
        <w:t xml:space="preserve"> consagrado en el numeral 8 de la Ley de Transparencia y Acceso a la Información Pública del Estado de México y Municipios, que es del tenor literal siguiente:</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r w:rsidRPr="00EE6AC6">
        <w:rPr>
          <w:rFonts w:ascii="Palatino Linotype" w:eastAsia="Palatino Linotype" w:hAnsi="Palatino Linotype" w:cs="Palatino Linotype"/>
          <w:b/>
          <w:i/>
          <w:color w:val="000000"/>
          <w:sz w:val="22"/>
          <w:szCs w:val="22"/>
        </w:rPr>
        <w:t>Artículo 8</w:t>
      </w:r>
      <w:r w:rsidRPr="00EE6AC6">
        <w:rPr>
          <w:rFonts w:ascii="Palatino Linotype" w:eastAsia="Palatino Linotype" w:hAnsi="Palatino Linotype" w:cs="Palatino Linotype"/>
          <w:i/>
          <w:color w:val="000000"/>
          <w:sz w:val="22"/>
          <w:szCs w:val="22"/>
        </w:rPr>
        <w:t xml:space="preserve">. El derecho de acceso a la información o la clasificación de la información se interpretarán conforme a los principios establecidos en la Constitución Federal, los tratados </w:t>
      </w:r>
      <w:r w:rsidRPr="00EE6AC6">
        <w:rPr>
          <w:rFonts w:ascii="Palatino Linotype" w:eastAsia="Palatino Linotype" w:hAnsi="Palatino Linotype" w:cs="Palatino Linotype"/>
          <w:i/>
          <w:color w:val="000000"/>
          <w:sz w:val="22"/>
          <w:szCs w:val="22"/>
        </w:rPr>
        <w:lastRenderedPageBreak/>
        <w:t>internacionales de los que el Estado mexicano sea parte, la Ley General, la Constitución Local y la presente Ley.</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 xml:space="preserve">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EE6AC6">
        <w:rPr>
          <w:rFonts w:ascii="Palatino Linotype" w:eastAsia="Palatino Linotype" w:hAnsi="Palatino Linotype" w:cs="Palatino Linotype"/>
          <w:i/>
          <w:color w:val="000000"/>
          <w:sz w:val="22"/>
          <w:szCs w:val="22"/>
        </w:rPr>
        <w:t>pro</w:t>
      </w:r>
      <w:proofErr w:type="spellEnd"/>
      <w:r w:rsidRPr="00EE6AC6">
        <w:rPr>
          <w:rFonts w:ascii="Palatino Linotype" w:eastAsia="Palatino Linotype" w:hAnsi="Palatino Linotype" w:cs="Palatino Linotype"/>
          <w:i/>
          <w:color w:val="000000"/>
          <w:sz w:val="22"/>
          <w:szCs w:val="22"/>
        </w:rPr>
        <w:t xml:space="preserve"> persona.</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Robustece </w:t>
      </w:r>
      <w:r w:rsidRPr="00EE6AC6">
        <w:rPr>
          <w:rFonts w:ascii="Palatino Linotype" w:eastAsia="Palatino Linotype" w:hAnsi="Palatino Linotype" w:cs="Palatino Linotype"/>
        </w:rPr>
        <w:t>lo anterior la tesis jurisprudencial 1a. CCCXXVII/2014 (10a.) emitida por la Primera Sala de la Suprema Corte de Justicia de la Nación, cuyo sentido es el siguiente:</w:t>
      </w:r>
    </w:p>
    <w:p w:rsidR="00CC4A71" w:rsidRPr="00EE6AC6" w:rsidRDefault="000A5DF6">
      <w:pPr>
        <w:ind w:left="567" w:right="-25"/>
        <w:jc w:val="both"/>
        <w:rPr>
          <w:rFonts w:ascii="Palatino Linotype" w:eastAsia="Palatino Linotype" w:hAnsi="Palatino Linotype" w:cs="Palatino Linotype"/>
          <w:sz w:val="22"/>
          <w:szCs w:val="22"/>
        </w:rPr>
      </w:pPr>
      <w:r w:rsidRPr="00EE6AC6">
        <w:rPr>
          <w:rFonts w:ascii="Palatino Linotype" w:eastAsia="Palatino Linotype" w:hAnsi="Palatino Linotype" w:cs="Palatino Linotype"/>
          <w:b/>
          <w:i/>
          <w:sz w:val="22"/>
          <w:szCs w:val="22"/>
        </w:rPr>
        <w:t xml:space="preserve">PRINCIPIO PRO PERSONA. REQUISITOS MÍNIMOS PARA QUE SE ATIENDA EL FONDO DE LA SOLICITUD DE SU APLICACIÓN, O LA </w:t>
      </w:r>
      <w:r w:rsidRPr="00EE6AC6">
        <w:rPr>
          <w:rFonts w:ascii="Palatino Linotype" w:eastAsia="Palatino Linotype" w:hAnsi="Palatino Linotype" w:cs="Palatino Linotype"/>
          <w:i/>
          <w:sz w:val="22"/>
          <w:szCs w:val="22"/>
        </w:rPr>
        <w:t>IMPUGNACIÓN</w:t>
      </w:r>
      <w:r w:rsidRPr="00EE6AC6">
        <w:rPr>
          <w:rFonts w:ascii="Palatino Linotype" w:eastAsia="Palatino Linotype" w:hAnsi="Palatino Linotype" w:cs="Palatino Linotype"/>
          <w:b/>
          <w:i/>
          <w:sz w:val="22"/>
          <w:szCs w:val="22"/>
        </w:rPr>
        <w:t xml:space="preserve"> DE SU OMISIÓN POR LA AUTORIDAD RESPONSABLE.</w:t>
      </w:r>
      <w:r w:rsidRPr="00EE6AC6">
        <w:rPr>
          <w:rFonts w:ascii="Palatino Linotype" w:eastAsia="Palatino Linotype" w:hAnsi="Palatino Linotype" w:cs="Palatino Linotype"/>
          <w:i/>
          <w:sz w:val="22"/>
          <w:szCs w:val="22"/>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EE6AC6">
        <w:rPr>
          <w:rFonts w:ascii="Palatino Linotype" w:eastAsia="Palatino Linotype" w:hAnsi="Palatino Linotype" w:cs="Palatino Linotype"/>
          <w:i/>
          <w:sz w:val="22"/>
          <w:szCs w:val="22"/>
        </w:rPr>
        <w:t>pro</w:t>
      </w:r>
      <w:proofErr w:type="spellEnd"/>
      <w:r w:rsidRPr="00EE6AC6">
        <w:rPr>
          <w:rFonts w:ascii="Palatino Linotype" w:eastAsia="Palatino Linotype" w:hAnsi="Palatino Linotype" w:cs="Palatino Linotype"/>
          <w:i/>
          <w:sz w:val="22"/>
          <w:szCs w:val="22"/>
        </w:rPr>
        <w:t xml:space="preserve"> persona, pues para realizarlo debe conocerse cuál es el derecho humano que se busca maximizar, aunado a que, como el juicio de amparo es un medio de control de constitucionalidad, es necesario </w:t>
      </w:r>
      <w:r w:rsidRPr="00EE6AC6">
        <w:rPr>
          <w:rFonts w:ascii="Palatino Linotype" w:eastAsia="Palatino Linotype" w:hAnsi="Palatino Linotype" w:cs="Palatino Linotype"/>
          <w:i/>
          <w:sz w:val="22"/>
          <w:szCs w:val="22"/>
        </w:rPr>
        <w:lastRenderedPageBreak/>
        <w:t>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r w:rsidRPr="00EE6AC6">
        <w:rPr>
          <w:rFonts w:ascii="Palatino Linotype" w:eastAsia="Palatino Linotype" w:hAnsi="Palatino Linotype" w:cs="Palatino Linotype"/>
          <w:i/>
          <w:sz w:val="22"/>
          <w:szCs w:val="22"/>
          <w:vertAlign w:val="superscript"/>
        </w:rPr>
        <w:footnoteReference w:id="1"/>
      </w:r>
      <w:r w:rsidRPr="00EE6AC6">
        <w:rPr>
          <w:rFonts w:ascii="Palatino Linotype" w:eastAsia="Palatino Linotype" w:hAnsi="Palatino Linotype" w:cs="Palatino Linotype"/>
          <w:i/>
          <w:sz w:val="22"/>
          <w:szCs w:val="22"/>
        </w:rPr>
        <w:t>”</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En </w:t>
      </w:r>
      <w:r w:rsidRPr="00EE6AC6">
        <w:rPr>
          <w:rFonts w:ascii="Palatino Linotype" w:eastAsia="Palatino Linotype" w:hAnsi="Palatino Linotype" w:cs="Palatino Linotype"/>
        </w:rPr>
        <w:t xml:space="preserve">otras palabras, en </w:t>
      </w:r>
      <w:r w:rsidRPr="00EE6AC6">
        <w:rPr>
          <w:rFonts w:ascii="Palatino Linotype" w:eastAsia="Palatino Linotype" w:hAnsi="Palatino Linotype" w:cs="Palatino Linotype"/>
          <w:i/>
        </w:rPr>
        <w:t xml:space="preserve">pro </w:t>
      </w:r>
      <w:r w:rsidRPr="00EE6AC6">
        <w:rPr>
          <w:rFonts w:ascii="Palatino Linotype" w:eastAsia="Palatino Linotype" w:hAnsi="Palatino Linotype" w:cs="Palatino Linotype"/>
        </w:rPr>
        <w:t xml:space="preserve">de asistir a la protección más amplia posible a favor de la persona, de conformidad con los principios de universalidad, interdependencia, indivisibilidad y progresividad; estimando la observancia de las </w:t>
      </w:r>
      <w:proofErr w:type="spellStart"/>
      <w:r w:rsidRPr="00EE6AC6">
        <w:rPr>
          <w:rFonts w:ascii="Palatino Linotype" w:eastAsia="Palatino Linotype" w:hAnsi="Palatino Linotype" w:cs="Palatino Linotype"/>
        </w:rPr>
        <w:t>subgarantías</w:t>
      </w:r>
      <w:proofErr w:type="spellEnd"/>
      <w:r w:rsidRPr="00EE6AC6">
        <w:rPr>
          <w:rFonts w:ascii="Palatino Linotype" w:eastAsia="Palatino Linotype" w:hAnsi="Palatino Linotype" w:cs="Palatino Linotype"/>
        </w:rPr>
        <w:t xml:space="preserve"> de </w:t>
      </w:r>
      <w:r w:rsidRPr="00EE6AC6">
        <w:rPr>
          <w:rFonts w:ascii="Palatino Linotype" w:eastAsia="Palatino Linotype" w:hAnsi="Palatino Linotype" w:cs="Palatino Linotype"/>
          <w:b/>
        </w:rPr>
        <w:t>prontitud</w:t>
      </w:r>
      <w:r w:rsidRPr="00EE6AC6">
        <w:rPr>
          <w:rFonts w:ascii="Palatino Linotype" w:eastAsia="Palatino Linotype" w:hAnsi="Palatino Linotype" w:cs="Palatino Linotype"/>
        </w:rPr>
        <w:t xml:space="preserve">, </w:t>
      </w:r>
      <w:r w:rsidRPr="00EE6AC6">
        <w:rPr>
          <w:rFonts w:ascii="Palatino Linotype" w:eastAsia="Palatino Linotype" w:hAnsi="Palatino Linotype" w:cs="Palatino Linotype"/>
          <w:b/>
        </w:rPr>
        <w:t>eficacia</w:t>
      </w:r>
      <w:r w:rsidRPr="00EE6AC6">
        <w:rPr>
          <w:rFonts w:ascii="Palatino Linotype" w:eastAsia="Palatino Linotype" w:hAnsi="Palatino Linotype" w:cs="Palatino Linotype"/>
        </w:rPr>
        <w:t xml:space="preserve"> y </w:t>
      </w:r>
      <w:proofErr w:type="spellStart"/>
      <w:r w:rsidRPr="00EE6AC6">
        <w:rPr>
          <w:rFonts w:ascii="Palatino Linotype" w:eastAsia="Palatino Linotype" w:hAnsi="Palatino Linotype" w:cs="Palatino Linotype"/>
          <w:b/>
        </w:rPr>
        <w:t>expeditez</w:t>
      </w:r>
      <w:proofErr w:type="spellEnd"/>
      <w:r w:rsidRPr="00EE6AC6">
        <w:rPr>
          <w:rFonts w:ascii="Palatino Linotype" w:eastAsia="Palatino Linotype" w:hAnsi="Palatino Linotype" w:cs="Palatino Linotype"/>
        </w:rPr>
        <w:t>, se realizó la reconducción de la vía, originalmente como un ejercicio del derecho de acceso a la información pública, al ejercicio de derechos ARCO del Recurrente; para lo cual, sirve como criterio orientador la tesis jurisprudencial número 2008230. XXVII.3o. J/16 (10a.)., que a la letra dice:</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rPr>
      </w:pPr>
      <w:r w:rsidRPr="00EE6AC6">
        <w:rPr>
          <w:rFonts w:ascii="Palatino Linotype" w:eastAsia="Palatino Linotype" w:hAnsi="Palatino Linotype" w:cs="Palatino Linotype"/>
          <w:b/>
          <w:i/>
          <w:color w:val="000000"/>
        </w:rPr>
        <w:t>SUBGARANTÍAS DE PRONTITUD, EFICACIA Y EXPEDITEZ CONTENIDAS EN EL SEGUNDO PÁRRAFO DEL ARTÍCULO 17 DE LA CONSTITUCIÓN FEDERAL. NO SON PRIVATIVAS DEL ÁMBITO JUDICIAL, SINO QUE SU DIMENSIÓN DE ACCESO A LA JUSTICIA COMPRENDE LOS PROCEDIMIENTOS ADMINISTRATIVOS DE CARÁCTER NO CONTENCIOSO SEGUIDOS ANTE LAS DEPENDENCIAS DEL PODER EJECUTIVO.</w:t>
      </w:r>
      <w:r w:rsidRPr="00EE6AC6">
        <w:rPr>
          <w:rFonts w:ascii="Palatino Linotype" w:eastAsia="Palatino Linotype" w:hAnsi="Palatino Linotype" w:cs="Palatino Linotype"/>
          <w:i/>
          <w:color w:val="000000"/>
        </w:rPr>
        <w:t xml:space="preserve"> “El artículo 1o., tercer párrafo, de la Constitución Política de los Estados Unidos Mexicanos establece la obligación de toda autoridad de promover, respetar y garantizar los derechos humanos, favoreciendo la protección más amplia posible a favor de la persona, de conformidad con los principios de universalidad, interdependencia, indivisibilidad y progresividad. En tales condiciones, debe estimarse que la observancia de las </w:t>
      </w:r>
      <w:proofErr w:type="spellStart"/>
      <w:r w:rsidRPr="00EE6AC6">
        <w:rPr>
          <w:rFonts w:ascii="Palatino Linotype" w:eastAsia="Palatino Linotype" w:hAnsi="Palatino Linotype" w:cs="Palatino Linotype"/>
          <w:i/>
          <w:color w:val="000000"/>
        </w:rPr>
        <w:t>subgarantías</w:t>
      </w:r>
      <w:proofErr w:type="spellEnd"/>
      <w:r w:rsidRPr="00EE6AC6">
        <w:rPr>
          <w:rFonts w:ascii="Palatino Linotype" w:eastAsia="Palatino Linotype" w:hAnsi="Palatino Linotype" w:cs="Palatino Linotype"/>
          <w:i/>
          <w:color w:val="000000"/>
        </w:rPr>
        <w:t xml:space="preserve"> de prontitud, eficacia y </w:t>
      </w:r>
      <w:proofErr w:type="spellStart"/>
      <w:r w:rsidRPr="00EE6AC6">
        <w:rPr>
          <w:rFonts w:ascii="Palatino Linotype" w:eastAsia="Palatino Linotype" w:hAnsi="Palatino Linotype" w:cs="Palatino Linotype"/>
          <w:i/>
          <w:color w:val="000000"/>
        </w:rPr>
        <w:t>expeditez</w:t>
      </w:r>
      <w:proofErr w:type="spellEnd"/>
      <w:r w:rsidRPr="00EE6AC6">
        <w:rPr>
          <w:rFonts w:ascii="Palatino Linotype" w:eastAsia="Palatino Linotype" w:hAnsi="Palatino Linotype" w:cs="Palatino Linotype"/>
          <w:i/>
          <w:color w:val="000000"/>
        </w:rPr>
        <w:t xml:space="preserve"> contenidas en el segundo párrafo del </w:t>
      </w:r>
      <w:r w:rsidRPr="00EE6AC6">
        <w:rPr>
          <w:rFonts w:ascii="Palatino Linotype" w:eastAsia="Palatino Linotype" w:hAnsi="Palatino Linotype" w:cs="Palatino Linotype"/>
          <w:i/>
          <w:color w:val="000000"/>
        </w:rPr>
        <w:lastRenderedPageBreak/>
        <w:t xml:space="preserve">artículo 17 de la Carta Magna, no sólo resulta atribuible a las autoridades que ejerzan actos materialmente jurisdiccionales, sino que debe expandirse a todas las manifestaciones del poder público, como son los procedimientos administrativos no contenciosos seguidos ante las dependencias del Poder Ejecutivo. Ello es así, pues la eficacia de la autoridad administrativa presupone no sólo una sujeción irrestricta a los procedimientos señalados en la ley y los reglamentos, sino también que su proceder no puede ser ajeno a la tutela del derecho de acceso a la jurisdicción en las vertientes señaladas, lo que, además, implica en un correcto ejercicio de la función pública, la adopción de medidas, actuaciones y decisiones eficaces, ágiles y respetuosas de los derechos de los administrados, razones por las que las citadas </w:t>
      </w:r>
      <w:proofErr w:type="spellStart"/>
      <w:r w:rsidRPr="00EE6AC6">
        <w:rPr>
          <w:rFonts w:ascii="Palatino Linotype" w:eastAsia="Palatino Linotype" w:hAnsi="Palatino Linotype" w:cs="Palatino Linotype"/>
          <w:i/>
          <w:color w:val="000000"/>
        </w:rPr>
        <w:t>subgarantías</w:t>
      </w:r>
      <w:proofErr w:type="spellEnd"/>
      <w:r w:rsidRPr="00EE6AC6">
        <w:rPr>
          <w:rFonts w:ascii="Palatino Linotype" w:eastAsia="Palatino Linotype" w:hAnsi="Palatino Linotype" w:cs="Palatino Linotype"/>
          <w:i/>
          <w:color w:val="000000"/>
        </w:rPr>
        <w:t xml:space="preserve"> de prontitud, eficacia y </w:t>
      </w:r>
      <w:proofErr w:type="spellStart"/>
      <w:r w:rsidRPr="00EE6AC6">
        <w:rPr>
          <w:rFonts w:ascii="Palatino Linotype" w:eastAsia="Palatino Linotype" w:hAnsi="Palatino Linotype" w:cs="Palatino Linotype"/>
          <w:i/>
          <w:color w:val="000000"/>
        </w:rPr>
        <w:t>expeditez</w:t>
      </w:r>
      <w:proofErr w:type="spellEnd"/>
      <w:r w:rsidRPr="00EE6AC6">
        <w:rPr>
          <w:rFonts w:ascii="Palatino Linotype" w:eastAsia="Palatino Linotype" w:hAnsi="Palatino Linotype" w:cs="Palatino Linotype"/>
          <w:i/>
          <w:color w:val="000000"/>
        </w:rPr>
        <w:t xml:space="preserve"> no pueden ser privativas del ámbito judicial, sino que comprenden la producción de los actos administrativos.”</w:t>
      </w:r>
    </w:p>
    <w:p w:rsidR="00CC4A71" w:rsidRPr="00EE6AC6" w:rsidRDefault="00CC4A71">
      <w:pPr>
        <w:ind w:right="-876"/>
        <w:rPr>
          <w:rFonts w:ascii="Palatino Linotype" w:eastAsia="Palatino Linotype" w:hAnsi="Palatino Linotype" w:cs="Palatino Linotype"/>
          <w:color w:val="000000"/>
        </w:rPr>
      </w:pPr>
    </w:p>
    <w:p w:rsidR="00CC4A71" w:rsidRPr="00EE6AC6" w:rsidRDefault="000A5DF6">
      <w:pPr>
        <w:numPr>
          <w:ilvl w:val="0"/>
          <w:numId w:val="4"/>
        </w:numPr>
        <w:pBdr>
          <w:top w:val="nil"/>
          <w:left w:val="nil"/>
          <w:bottom w:val="nil"/>
          <w:right w:val="nil"/>
          <w:between w:val="nil"/>
        </w:pBdr>
        <w:ind w:right="-876"/>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De los derechos ARCO</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Resulta esencial referir que la protección de datos personales, es un derecho que conlleva un conjunto de elementos distintivos, consistentes en consentir, saber y tener control sobre el tratamiento de éstos; es decir, los titulares tienen la posibilidad de ejercer una serie de derechos para hacer efectiva la protección de sus datos personales, que se refieren al Acceso, Rectificación, Cancelación y Oposición, comúnmente designados, por sus siglas, como derechos </w:t>
      </w:r>
      <w:r w:rsidRPr="00EE6AC6">
        <w:rPr>
          <w:rFonts w:ascii="Palatino Linotype" w:eastAsia="Palatino Linotype" w:hAnsi="Palatino Linotype" w:cs="Palatino Linotype"/>
          <w:b/>
        </w:rPr>
        <w:t>ARCO</w:t>
      </w:r>
      <w:r w:rsidRPr="00EE6AC6">
        <w:rPr>
          <w:rFonts w:ascii="Palatino Linotype" w:eastAsia="Palatino Linotype" w:hAnsi="Palatino Linotype" w:cs="Palatino Linotype"/>
        </w:rPr>
        <w:t>.</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Este </w:t>
      </w:r>
      <w:r w:rsidRPr="00EE6AC6">
        <w:rPr>
          <w:rFonts w:ascii="Palatino Linotype" w:eastAsia="Palatino Linotype" w:hAnsi="Palatino Linotype" w:cs="Palatino Linotype"/>
          <w:color w:val="222222"/>
        </w:rPr>
        <w:t xml:space="preserve">derecho encuentra su sustento en los artículos 6, inciso A), fracción II y 16, párrafo segundo de la Constitución Política de los Estados Unidos Mexicanos, que establece medularmente que </w:t>
      </w:r>
      <w:r w:rsidRPr="00EE6AC6">
        <w:rPr>
          <w:rFonts w:ascii="Palatino Linotype" w:eastAsia="Palatino Linotype" w:hAnsi="Palatino Linotype" w:cs="Palatino Linotype"/>
          <w:b/>
          <w:color w:val="222222"/>
        </w:rPr>
        <w:t>la información que se refiere a la vida privada y los datos personales será protegida en los términos y con las excepciones que fijen las leyes</w:t>
      </w:r>
      <w:r w:rsidRPr="00EE6AC6">
        <w:rPr>
          <w:rFonts w:ascii="Palatino Linotype" w:eastAsia="Palatino Linotype" w:hAnsi="Palatino Linotype" w:cs="Palatino Linotype"/>
          <w:color w:val="222222"/>
        </w:rPr>
        <w:t xml:space="preserve">, siendo que </w:t>
      </w:r>
      <w:r w:rsidRPr="00EE6AC6">
        <w:rPr>
          <w:rFonts w:ascii="Palatino Linotype" w:eastAsia="Palatino Linotype" w:hAnsi="Palatino Linotype" w:cs="Palatino Linotype"/>
          <w:b/>
          <w:color w:val="222222"/>
        </w:rPr>
        <w:t>toda persona tiene derecho a la protección de sus datos personales, al acceso, rectificación y cancelación de los mismos</w:t>
      </w:r>
      <w:r w:rsidRPr="00EE6AC6">
        <w:rPr>
          <w:rFonts w:ascii="Palatino Linotype" w:eastAsia="Palatino Linotype" w:hAnsi="Palatino Linotype" w:cs="Palatino Linotype"/>
          <w:color w:val="222222"/>
        </w:rPr>
        <w:t xml:space="preserve">, así como a manifestar su </w:t>
      </w:r>
      <w:r w:rsidRPr="00EE6AC6">
        <w:rPr>
          <w:rFonts w:ascii="Palatino Linotype" w:eastAsia="Palatino Linotype" w:hAnsi="Palatino Linotype" w:cs="Palatino Linotype"/>
          <w:b/>
          <w:color w:val="222222"/>
        </w:rPr>
        <w:t>oposición</w:t>
      </w:r>
      <w:r w:rsidRPr="00EE6AC6">
        <w:rPr>
          <w:rFonts w:ascii="Palatino Linotype" w:eastAsia="Palatino Linotype" w:hAnsi="Palatino Linotype" w:cs="Palatino Linotype"/>
          <w:color w:val="222222"/>
        </w:rPr>
        <w:t>,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rsidR="00CC4A71" w:rsidRPr="00EE6AC6" w:rsidRDefault="00CC4A71">
      <w:pPr>
        <w:ind w:right="-876"/>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Correlativo a lo anterior, </w:t>
      </w:r>
      <w:r w:rsidRPr="00EE6AC6">
        <w:rPr>
          <w:rFonts w:ascii="Palatino Linotype" w:eastAsia="Palatino Linotype" w:hAnsi="Palatino Linotype" w:cs="Palatino Linotype"/>
          <w:color w:val="222222"/>
        </w:rPr>
        <w:t xml:space="preserve">el párrafo trigésimo cuarto del artículo 5 de la </w:t>
      </w:r>
      <w:r w:rsidRPr="00EE6AC6">
        <w:rPr>
          <w:rFonts w:ascii="Palatino Linotype" w:eastAsia="Palatino Linotype" w:hAnsi="Palatino Linotype" w:cs="Palatino Linotype"/>
          <w:b/>
          <w:color w:val="222222"/>
        </w:rPr>
        <w:t>Constitución Política del Estado Libre y Soberano de México,</w:t>
      </w:r>
      <w:r w:rsidRPr="00EE6AC6">
        <w:rPr>
          <w:rFonts w:ascii="Palatino Linotype" w:eastAsia="Palatino Linotype" w:hAnsi="Palatino Linotype" w:cs="Palatino Linotype"/>
          <w:color w:val="222222"/>
        </w:rPr>
        <w:t xml:space="preserve"> en su fracción III, prevé el derecho que tiene toda persona a la protección de sus datos personales, los procedimientos de acceso a la información pública, de acceso, corrección y supresión de datos personales:</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r w:rsidRPr="00EE6AC6">
        <w:rPr>
          <w:rFonts w:ascii="Palatino Linotype" w:eastAsia="Palatino Linotype" w:hAnsi="Palatino Linotype" w:cs="Palatino Linotype"/>
          <w:b/>
          <w:i/>
          <w:color w:val="000000"/>
          <w:sz w:val="22"/>
          <w:szCs w:val="22"/>
        </w:rPr>
        <w:t>Artículo 5.-</w:t>
      </w:r>
      <w:r w:rsidRPr="00EE6AC6">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i/>
          <w:color w:val="000000"/>
          <w:sz w:val="22"/>
          <w:szCs w:val="22"/>
        </w:rPr>
        <w:t>El derecho a la información será garantizado por el Estado</w:t>
      </w:r>
      <w:r w:rsidRPr="00EE6AC6">
        <w:rPr>
          <w:rFonts w:ascii="Palatino Linotype" w:eastAsia="Palatino Linotype" w:hAnsi="Palatino Linotype" w:cs="Palatino Linotype"/>
          <w:i/>
          <w:color w:val="000000"/>
          <w:sz w:val="22"/>
          <w:szCs w:val="22"/>
        </w:rPr>
        <w:t xml:space="preserve">. La ley establecerá las previsiones que permitan asegurar la protección, el respeto y la difusión de este derecho. </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i/>
          <w:color w:val="000000"/>
          <w:sz w:val="22"/>
          <w:szCs w:val="22"/>
        </w:rPr>
        <w:t>Para garantizar el ejercicio del derecho de</w:t>
      </w:r>
      <w:r w:rsidRPr="00EE6AC6">
        <w:rPr>
          <w:rFonts w:ascii="Palatino Linotype" w:eastAsia="Palatino Linotype" w:hAnsi="Palatino Linotype" w:cs="Palatino Linotype"/>
          <w:i/>
          <w:color w:val="000000"/>
          <w:sz w:val="22"/>
          <w:szCs w:val="22"/>
        </w:rPr>
        <w:t xml:space="preserve"> transparencia, acceso a la información pública y </w:t>
      </w:r>
      <w:r w:rsidRPr="00EE6AC6">
        <w:rPr>
          <w:rFonts w:ascii="Palatino Linotype" w:eastAsia="Palatino Linotype" w:hAnsi="Palatino Linotype" w:cs="Palatino Linotype"/>
          <w:b/>
          <w:i/>
          <w:color w:val="000000"/>
          <w:sz w:val="22"/>
          <w:szCs w:val="22"/>
        </w:rPr>
        <w:t>protección de datos personales, los poderes públicos y los organismos autónomos, transparentarán sus accione</w:t>
      </w:r>
      <w:r w:rsidRPr="00EE6AC6">
        <w:rPr>
          <w:rFonts w:ascii="Palatino Linotype" w:eastAsia="Palatino Linotype" w:hAnsi="Palatino Linotype" w:cs="Palatino Linotype"/>
          <w:i/>
          <w:color w:val="000000"/>
          <w:sz w:val="22"/>
          <w:szCs w:val="22"/>
        </w:rPr>
        <w:t xml:space="preserve">s, en términos de las disposiciones aplicables, </w:t>
      </w:r>
      <w:r w:rsidRPr="00EE6AC6">
        <w:rPr>
          <w:rFonts w:ascii="Palatino Linotype" w:eastAsia="Palatino Linotype" w:hAnsi="Palatino Linotype" w:cs="Palatino Linotype"/>
          <w:b/>
          <w:i/>
          <w:color w:val="000000"/>
          <w:sz w:val="22"/>
          <w:szCs w:val="22"/>
        </w:rPr>
        <w:t xml:space="preserve">la información será oportuna, clara, veraz y de </w:t>
      </w:r>
      <w:r w:rsidRPr="00EE6AC6">
        <w:rPr>
          <w:rFonts w:ascii="Palatino Linotype" w:eastAsia="Palatino Linotype" w:hAnsi="Palatino Linotype" w:cs="Palatino Linotype"/>
          <w:b/>
          <w:i/>
          <w:color w:val="000000"/>
          <w:sz w:val="22"/>
          <w:szCs w:val="22"/>
          <w:u w:val="single"/>
        </w:rPr>
        <w:t>fácil acceso</w:t>
      </w:r>
      <w:r w:rsidRPr="00EE6AC6">
        <w:rPr>
          <w:rFonts w:ascii="Palatino Linotype" w:eastAsia="Palatino Linotype" w:hAnsi="Palatino Linotype" w:cs="Palatino Linotype"/>
          <w:i/>
          <w:color w:val="000000"/>
          <w:sz w:val="22"/>
          <w:szCs w:val="22"/>
        </w:rPr>
        <w:t xml:space="preserve">. </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Este derecho se regirá por los principios y bases siguientes:</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i/>
          <w:color w:val="000000"/>
          <w:sz w:val="22"/>
          <w:szCs w:val="22"/>
        </w:rPr>
        <w:t>III.</w:t>
      </w:r>
      <w:r w:rsidRPr="00EE6AC6">
        <w:rPr>
          <w:rFonts w:ascii="Palatino Linotype" w:eastAsia="Palatino Linotype" w:hAnsi="Palatino Linotype" w:cs="Palatino Linotype"/>
          <w:i/>
          <w:color w:val="000000"/>
          <w:sz w:val="22"/>
          <w:szCs w:val="22"/>
        </w:rPr>
        <w:t xml:space="preserve"> </w:t>
      </w:r>
      <w:r w:rsidRPr="00EE6AC6">
        <w:rPr>
          <w:rFonts w:ascii="Palatino Linotype" w:eastAsia="Palatino Linotype" w:hAnsi="Palatino Linotype" w:cs="Palatino Linotype"/>
          <w:b/>
          <w:i/>
          <w:color w:val="000000"/>
          <w:sz w:val="22"/>
          <w:szCs w:val="22"/>
        </w:rPr>
        <w:t>Toda persona</w:t>
      </w:r>
      <w:r w:rsidRPr="00EE6AC6">
        <w:rPr>
          <w:rFonts w:ascii="Palatino Linotype" w:eastAsia="Palatino Linotype" w:hAnsi="Palatino Linotype" w:cs="Palatino Linotype"/>
          <w:i/>
          <w:color w:val="000000"/>
          <w:sz w:val="22"/>
          <w:szCs w:val="22"/>
        </w:rPr>
        <w:t xml:space="preserve">, sin necesidad de acreditar interés alguno o justificar su utilización, </w:t>
      </w:r>
      <w:r w:rsidRPr="00EE6AC6">
        <w:rPr>
          <w:rFonts w:ascii="Palatino Linotype" w:eastAsia="Palatino Linotype" w:hAnsi="Palatino Linotype" w:cs="Palatino Linotype"/>
          <w:b/>
          <w:i/>
          <w:color w:val="000000"/>
          <w:sz w:val="22"/>
          <w:szCs w:val="22"/>
        </w:rPr>
        <w:t>tendrá acceso gratuito</w:t>
      </w:r>
      <w:r w:rsidRPr="00EE6AC6">
        <w:rPr>
          <w:rFonts w:ascii="Palatino Linotype" w:eastAsia="Palatino Linotype" w:hAnsi="Palatino Linotype" w:cs="Palatino Linotype"/>
          <w:i/>
          <w:color w:val="000000"/>
          <w:sz w:val="22"/>
          <w:szCs w:val="22"/>
        </w:rPr>
        <w:t xml:space="preserve"> a la información pública, </w:t>
      </w:r>
      <w:r w:rsidRPr="00EE6AC6">
        <w:rPr>
          <w:rFonts w:ascii="Palatino Linotype" w:eastAsia="Palatino Linotype" w:hAnsi="Palatino Linotype" w:cs="Palatino Linotype"/>
          <w:b/>
          <w:i/>
          <w:color w:val="000000"/>
          <w:sz w:val="22"/>
          <w:szCs w:val="22"/>
        </w:rPr>
        <w:t>a sus datos personales o a la rectificación de éstos</w:t>
      </w:r>
      <w:r w:rsidRPr="00EE6AC6">
        <w:rPr>
          <w:rFonts w:ascii="Palatino Linotype" w:eastAsia="Palatino Linotype" w:hAnsi="Palatino Linotype" w:cs="Palatino Linotype"/>
          <w:i/>
          <w:color w:val="000000"/>
          <w:sz w:val="22"/>
          <w:szCs w:val="22"/>
        </w:rPr>
        <w:t>.</w:t>
      </w:r>
    </w:p>
    <w:p w:rsidR="00CC4A71" w:rsidRPr="00EE6AC6" w:rsidRDefault="000A5DF6">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i/>
          <w:color w:val="000000"/>
          <w:sz w:val="22"/>
          <w:szCs w:val="22"/>
        </w:rPr>
        <w:t>(…)”</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color w:val="000000"/>
        </w:rPr>
        <w:t xml:space="preserve">En </w:t>
      </w:r>
      <w:r w:rsidRPr="00EE6AC6">
        <w:rPr>
          <w:rFonts w:ascii="Palatino Linotype" w:eastAsia="Palatino Linotype" w:hAnsi="Palatino Linotype" w:cs="Palatino Linotype"/>
          <w:color w:val="222222"/>
        </w:rPr>
        <w:t xml:space="preserve">términos generales, </w:t>
      </w:r>
      <w:r w:rsidRPr="00EE6AC6">
        <w:rPr>
          <w:rFonts w:ascii="Palatino Linotype" w:eastAsia="Palatino Linotype" w:hAnsi="Palatino Linotype" w:cs="Palatino Linotype"/>
          <w:b/>
          <w:color w:val="222222"/>
        </w:rPr>
        <w:t>los titulares de los datos personales</w:t>
      </w:r>
      <w:r w:rsidRPr="00EE6AC6">
        <w:rPr>
          <w:rFonts w:ascii="Palatino Linotype" w:eastAsia="Palatino Linotype" w:hAnsi="Palatino Linotype" w:cs="Palatino Linotype"/>
          <w:color w:val="222222"/>
        </w:rPr>
        <w:t xml:space="preserve">, a través del ejercicio de los derechos ARCO, </w:t>
      </w:r>
      <w:r w:rsidRPr="00EE6AC6">
        <w:rPr>
          <w:rFonts w:ascii="Palatino Linotype" w:eastAsia="Palatino Linotype" w:hAnsi="Palatino Linotype" w:cs="Palatino Linotype"/>
          <w:b/>
          <w:color w:val="222222"/>
        </w:rPr>
        <w:t>tienen el control sobre su información personal que se encuentra en poder de los Sujetos Obligados</w:t>
      </w:r>
      <w:r w:rsidRPr="00EE6AC6">
        <w:rPr>
          <w:rFonts w:ascii="Palatino Linotype" w:eastAsia="Palatino Linotype" w:hAnsi="Palatino Linotype" w:cs="Palatino Linotype"/>
          <w:color w:val="222222"/>
        </w:rPr>
        <w:t>.</w:t>
      </w:r>
    </w:p>
    <w:p w:rsidR="00CC4A71" w:rsidRPr="00EE6AC6" w:rsidRDefault="000A5DF6">
      <w:pPr>
        <w:numPr>
          <w:ilvl w:val="0"/>
          <w:numId w:val="4"/>
        </w:numPr>
        <w:pBdr>
          <w:top w:val="nil"/>
          <w:left w:val="nil"/>
          <w:bottom w:val="nil"/>
          <w:right w:val="nil"/>
          <w:between w:val="nil"/>
        </w:pBdr>
        <w:tabs>
          <w:tab w:val="left" w:pos="426"/>
        </w:tabs>
        <w:spacing w:before="240" w:after="240" w:line="360" w:lineRule="auto"/>
        <w:ind w:right="-876"/>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De la atención a la solicitud de acceso a datos personales.</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lastRenderedPageBreak/>
        <w:t xml:space="preserve">La Ley de Protección de Datos Personales en Posesión de Sujetos Obligados del Estado de México y Municipios, en su artículo 97, establece que los derechos de </w:t>
      </w:r>
      <w:r w:rsidRPr="00EE6AC6">
        <w:rPr>
          <w:rFonts w:ascii="Palatino Linotype" w:eastAsia="Palatino Linotype" w:hAnsi="Palatino Linotype" w:cs="Palatino Linotype"/>
          <w:b/>
        </w:rPr>
        <w:t>acceso</w:t>
      </w:r>
      <w:r w:rsidRPr="00EE6AC6">
        <w:rPr>
          <w:rFonts w:ascii="Palatino Linotype" w:eastAsia="Palatino Linotype" w:hAnsi="Palatino Linotype" w:cs="Palatino Linotype"/>
        </w:rPr>
        <w:t xml:space="preserve">, rectificación, cancelación y oposición de datos personales son derechos independientes; así mismo, señala que el ejercicio de cualquiera de ellos no es requisito previo ni impide el ejercicio de otro; y, que </w:t>
      </w:r>
      <w:r w:rsidRPr="00EE6AC6">
        <w:rPr>
          <w:rFonts w:ascii="Palatino Linotype" w:eastAsia="Palatino Linotype" w:hAnsi="Palatino Linotype" w:cs="Palatino Linotype"/>
          <w:b/>
        </w:rPr>
        <w:t>la procedencia de estos derechos</w:t>
      </w:r>
      <w:r w:rsidRPr="00EE6AC6">
        <w:rPr>
          <w:rFonts w:ascii="Palatino Linotype" w:eastAsia="Palatino Linotype" w:hAnsi="Palatino Linotype" w:cs="Palatino Linotype"/>
        </w:rPr>
        <w:t xml:space="preserve">, en su caso, </w:t>
      </w:r>
      <w:r w:rsidRPr="00EE6AC6">
        <w:rPr>
          <w:rFonts w:ascii="Palatino Linotype" w:eastAsia="Palatino Linotype" w:hAnsi="Palatino Linotype" w:cs="Palatino Linotype"/>
          <w:b/>
        </w:rPr>
        <w:t>se hará efectiva una vez que el titular</w:t>
      </w:r>
      <w:r w:rsidRPr="00EE6AC6">
        <w:rPr>
          <w:rFonts w:ascii="Palatino Linotype" w:eastAsia="Palatino Linotype" w:hAnsi="Palatino Linotype" w:cs="Palatino Linotype"/>
        </w:rPr>
        <w:t xml:space="preserve"> o su representante legal </w:t>
      </w:r>
      <w:r w:rsidRPr="00EE6AC6">
        <w:rPr>
          <w:rFonts w:ascii="Palatino Linotype" w:eastAsia="Palatino Linotype" w:hAnsi="Palatino Linotype" w:cs="Palatino Linotype"/>
          <w:b/>
        </w:rPr>
        <w:t xml:space="preserve">acrediten su identidad </w:t>
      </w:r>
      <w:r w:rsidRPr="00EE6AC6">
        <w:rPr>
          <w:rFonts w:ascii="Palatino Linotype" w:eastAsia="Palatino Linotype" w:hAnsi="Palatino Linotype" w:cs="Palatino Linotype"/>
        </w:rPr>
        <w:t>o representación, respectivamente.</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Ahora bien, por cuanto hace al </w:t>
      </w:r>
      <w:r w:rsidRPr="00EE6AC6">
        <w:rPr>
          <w:rFonts w:ascii="Palatino Linotype" w:eastAsia="Palatino Linotype" w:hAnsi="Palatino Linotype" w:cs="Palatino Linotype"/>
          <w:b/>
        </w:rPr>
        <w:t>Derecho de Acceso</w:t>
      </w:r>
      <w:r w:rsidRPr="00EE6AC6">
        <w:rPr>
          <w:rFonts w:ascii="Palatino Linotype" w:eastAsia="Palatino Linotype" w:hAnsi="Palatino Linotype" w:cs="Palatino Linotype"/>
        </w:rPr>
        <w:t>, éste debe entenderse como la prerrogativa del titular de los datos personales a acceder, solicitar y ser informado sobre sus datos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r w:rsidRPr="00EE6AC6">
        <w:rPr>
          <w:rFonts w:ascii="Palatino Linotype" w:eastAsia="Palatino Linotype" w:hAnsi="Palatino Linotype" w:cs="Palatino Linotype"/>
          <w:vertAlign w:val="superscript"/>
        </w:rPr>
        <w:footnoteReference w:id="2"/>
      </w:r>
      <w:r w:rsidRPr="00EE6AC6">
        <w:rPr>
          <w:rFonts w:ascii="Palatino Linotype" w:eastAsia="Palatino Linotype" w:hAnsi="Palatino Linotype" w:cs="Palatino Linotype"/>
        </w:rPr>
        <w:t>.</w:t>
      </w: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Por cuanto hace al procedimiento de ejercicio de derechos ARCO, los titulares (o sus representantes legales) podrán solicitar a través de la Unidad de Transparencia, que se les otorgue acceso, rectifique, cancele, o que haga efectivo su derecho de oposición, respecto de los datos personales que le concierne y que obren en un sistema de datos personales y base de datos en posesión de los Sujetos Obligados</w:t>
      </w:r>
      <w:r w:rsidRPr="00EE6AC6">
        <w:rPr>
          <w:rFonts w:ascii="Palatino Linotype" w:eastAsia="Palatino Linotype" w:hAnsi="Palatino Linotype" w:cs="Palatino Linotype"/>
          <w:vertAlign w:val="superscript"/>
        </w:rPr>
        <w:footnoteReference w:id="3"/>
      </w:r>
      <w:r w:rsidRPr="00EE6AC6">
        <w:rPr>
          <w:rFonts w:ascii="Palatino Linotype" w:eastAsia="Palatino Linotype" w:hAnsi="Palatino Linotype" w:cs="Palatino Linotype"/>
        </w:rPr>
        <w:t>.</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lastRenderedPageBreak/>
        <w:t xml:space="preserve">El ejercicio de cualquiera de estos derechos deberá ser </w:t>
      </w:r>
      <w:r w:rsidRPr="00EE6AC6">
        <w:rPr>
          <w:rFonts w:ascii="Palatino Linotype" w:eastAsia="Palatino Linotype" w:hAnsi="Palatino Linotype" w:cs="Palatino Linotype"/>
          <w:b/>
        </w:rPr>
        <w:t>gratuito</w:t>
      </w:r>
      <w:r w:rsidRPr="00EE6AC6">
        <w:rPr>
          <w:rFonts w:ascii="Palatino Linotype" w:eastAsia="Palatino Linotype" w:hAnsi="Palatino Linotype" w:cs="Palatino Linotype"/>
        </w:rPr>
        <w:t xml:space="preserve"> y sólo podrán realizarse cobros para recuperar los costos de reproducción, certificación o envío en los términos previstos por el Código Financiero del Estado de México y Municipios y demás disposiciones jurídicas aplicables</w:t>
      </w:r>
      <w:r w:rsidRPr="00EE6AC6">
        <w:rPr>
          <w:rFonts w:ascii="Palatino Linotype" w:eastAsia="Palatino Linotype" w:hAnsi="Palatino Linotype" w:cs="Palatino Linotype"/>
          <w:vertAlign w:val="superscript"/>
        </w:rPr>
        <w:footnoteReference w:id="4"/>
      </w:r>
      <w:r w:rsidRPr="00EE6AC6">
        <w:rPr>
          <w:rFonts w:ascii="Palatino Linotype" w:eastAsia="Palatino Linotype" w:hAnsi="Palatino Linotype" w:cs="Palatino Linotype"/>
        </w:rPr>
        <w:t xml:space="preserve">. </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r w:rsidRPr="00EE6AC6">
        <w:rPr>
          <w:rFonts w:ascii="Palatino Linotype" w:eastAsia="Palatino Linotype" w:hAnsi="Palatino Linotype" w:cs="Palatino Linotype"/>
          <w:vertAlign w:val="superscript"/>
        </w:rPr>
        <w:footnoteReference w:id="5"/>
      </w:r>
      <w:r w:rsidRPr="00EE6AC6">
        <w:rPr>
          <w:rFonts w:ascii="Palatino Linotype" w:eastAsia="Palatino Linotype" w:hAnsi="Palatino Linotype" w:cs="Palatino Linotype"/>
        </w:rPr>
        <w:t>.</w:t>
      </w:r>
    </w:p>
    <w:p w:rsidR="00CC4A71" w:rsidRPr="00EE6AC6" w:rsidRDefault="00CC4A71">
      <w:pPr>
        <w:pBdr>
          <w:top w:val="nil"/>
          <w:left w:val="nil"/>
          <w:bottom w:val="nil"/>
          <w:right w:val="nil"/>
          <w:between w:val="nil"/>
        </w:pBdr>
        <w:ind w:left="720" w:right="-876"/>
        <w:rPr>
          <w:rFonts w:ascii="Palatino Linotype" w:eastAsia="Palatino Linotype" w:hAnsi="Palatino Linotype" w:cs="Palatino Linotype"/>
          <w:color w:val="000000"/>
        </w:rPr>
      </w:pPr>
    </w:p>
    <w:p w:rsidR="00CC4A71"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Establecido lo anterior, de la lectura a la solicitud de acceso a datos personales y como fuera señalado en el </w:t>
      </w:r>
      <w:r w:rsidRPr="00EE6AC6">
        <w:rPr>
          <w:rFonts w:ascii="Palatino Linotype" w:eastAsia="Palatino Linotype" w:hAnsi="Palatino Linotype" w:cs="Palatino Linotype"/>
          <w:i/>
        </w:rPr>
        <w:t>Planteamiento de la Controversia</w:t>
      </w:r>
      <w:r w:rsidRPr="00EE6AC6">
        <w:rPr>
          <w:rFonts w:ascii="Palatino Linotype" w:eastAsia="Palatino Linotype" w:hAnsi="Palatino Linotype" w:cs="Palatino Linotype"/>
        </w:rPr>
        <w:t xml:space="preserve"> de esta Resolución, se solicitó la copia de un acuse de notificación así como el oficio número DOP/281/2024 y el nombre del libro o bitácora en que puede ser localizado. </w:t>
      </w:r>
    </w:p>
    <w:p w:rsidR="00CC4A71" w:rsidRPr="00EE6AC6" w:rsidRDefault="00CC4A71">
      <w:pPr>
        <w:pBdr>
          <w:top w:val="nil"/>
          <w:left w:val="nil"/>
          <w:bottom w:val="nil"/>
          <w:right w:val="nil"/>
          <w:between w:val="nil"/>
        </w:pBdr>
        <w:ind w:left="720" w:right="-876"/>
        <w:rPr>
          <w:rFonts w:ascii="Palatino Linotype" w:eastAsia="Palatino Linotype" w:hAnsi="Palatino Linotype" w:cs="Palatino Linotype"/>
          <w:color w:val="000000"/>
        </w:rPr>
      </w:pPr>
    </w:p>
    <w:p w:rsidR="00057C14" w:rsidRPr="00EE6AC6" w:rsidRDefault="000A5DF6">
      <w:pPr>
        <w:numPr>
          <w:ilvl w:val="0"/>
          <w:numId w:val="1"/>
        </w:numPr>
        <w:spacing w:line="360" w:lineRule="auto"/>
        <w:ind w:left="0" w:right="-876" w:firstLine="0"/>
        <w:jc w:val="both"/>
      </w:pPr>
      <w:r w:rsidRPr="00EE6AC6">
        <w:rPr>
          <w:rFonts w:ascii="Palatino Linotype" w:eastAsia="Palatino Linotype" w:hAnsi="Palatino Linotype" w:cs="Palatino Linotype"/>
        </w:rPr>
        <w:t xml:space="preserve">Ahora bien, respecto al acuse solicitado y oficio número DOP/281/2024, no fueron entregados en respuesta, sin embargo, de forma posterior los entregó a través de su informe justificado, sin embargo, este no fue puesto a la vista del particular ya que no se acreditó la identidad del Recurrente, toda vez que las partes fueron omisas a manifestar su voluntad de conciliar. </w:t>
      </w:r>
    </w:p>
    <w:p w:rsidR="00057C14" w:rsidRPr="00EE6AC6" w:rsidRDefault="00057C14" w:rsidP="00057C14">
      <w:pPr>
        <w:pStyle w:val="Prrafodelista"/>
        <w:rPr>
          <w:rFonts w:ascii="Palatino Linotype" w:eastAsia="Palatino Linotype" w:hAnsi="Palatino Linotype" w:cs="Palatino Linotype"/>
        </w:rPr>
      </w:pPr>
    </w:p>
    <w:p w:rsidR="00D04F1E" w:rsidRPr="00EE6AC6" w:rsidRDefault="000A5DF6" w:rsidP="00D04F1E">
      <w:pPr>
        <w:numPr>
          <w:ilvl w:val="0"/>
          <w:numId w:val="1"/>
        </w:numPr>
        <w:spacing w:line="360" w:lineRule="auto"/>
        <w:ind w:left="0" w:right="-876" w:firstLine="0"/>
        <w:jc w:val="both"/>
      </w:pPr>
      <w:r w:rsidRPr="00EE6AC6">
        <w:rPr>
          <w:rFonts w:ascii="Palatino Linotype" w:eastAsia="Palatino Linotype" w:hAnsi="Palatino Linotype" w:cs="Palatino Linotype"/>
        </w:rPr>
        <w:lastRenderedPageBreak/>
        <w:t>Por otro lado, respecto al nombre de la bitácora en el que se encuentra el oficio solicitado, el Sujeto Obligado señaló el nombre, por lo que</w:t>
      </w:r>
      <w:r w:rsidR="00D04F1E" w:rsidRPr="00EE6AC6">
        <w:rPr>
          <w:rFonts w:ascii="Palatino Linotype" w:eastAsia="Palatino Linotype" w:hAnsi="Palatino Linotype" w:cs="Palatino Linotype"/>
        </w:rPr>
        <w:t>,</w:t>
      </w:r>
      <w:r w:rsidRPr="00EE6AC6">
        <w:rPr>
          <w:rFonts w:ascii="Palatino Linotype" w:eastAsia="Palatino Linotype" w:hAnsi="Palatino Linotype" w:cs="Palatino Linotype"/>
        </w:rPr>
        <w:t xml:space="preserve"> </w:t>
      </w:r>
      <w:r w:rsidR="00D04F1E" w:rsidRPr="00EE6AC6">
        <w:rPr>
          <w:rFonts w:ascii="Palatino Linotype" w:eastAsia="Palatino Linotype" w:hAnsi="Palatino Linotype" w:cs="Palatino Linotype"/>
        </w:rPr>
        <w:t>dicho punto de la solicitud se tiene por atendido,</w:t>
      </w:r>
      <w:r w:rsidR="00057C14" w:rsidRPr="00EE6AC6">
        <w:rPr>
          <w:rFonts w:ascii="Palatino Linotype" w:eastAsia="Palatino Linotype" w:hAnsi="Palatino Linotype" w:cs="Palatino Linotype"/>
        </w:rPr>
        <w:t xml:space="preserve"> aunado a que, el particular no se inconformó por dicha situación, </w:t>
      </w:r>
      <w:r w:rsidRPr="00EE6AC6">
        <w:rPr>
          <w:rFonts w:ascii="Palatino Linotype" w:eastAsia="Palatino Linotype" w:hAnsi="Palatino Linotype" w:cs="Palatino Linotype"/>
        </w:rPr>
        <w:t xml:space="preserve"> </w:t>
      </w:r>
      <w:r w:rsidR="00D04F1E" w:rsidRPr="00EE6AC6">
        <w:rPr>
          <w:rFonts w:ascii="Palatino Linotype" w:eastAsia="Palatino Linotype" w:hAnsi="Palatino Linotype" w:cs="Palatino Linotype"/>
        </w:rPr>
        <w:t>pues la inconformidad del recurrente únicamente fue por la falta del oficio</w:t>
      </w:r>
      <w:r w:rsidR="00D04F1E" w:rsidRPr="00EE6AC6">
        <w:rPr>
          <w:rFonts w:ascii="Palatino Linotype" w:eastAsia="MS Mincho" w:hAnsi="Palatino Linotype" w:cs="Arial"/>
          <w:lang w:eastAsia="es-ES"/>
        </w:rPr>
        <w:t xml:space="preserve">, que el particular no se inconformó por las documentales emitidas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D04F1E" w:rsidRPr="00EE6AC6" w:rsidRDefault="00D04F1E" w:rsidP="00D04F1E">
      <w:pPr>
        <w:pStyle w:val="Prrafodelista"/>
        <w:rPr>
          <w:rFonts w:ascii="Palatino Linotype" w:eastAsia="MS Mincho" w:hAnsi="Palatino Linotype" w:cs="Arial"/>
          <w:lang w:eastAsia="es-ES"/>
        </w:rPr>
      </w:pPr>
    </w:p>
    <w:p w:rsidR="00D04F1E" w:rsidRPr="00EE6AC6" w:rsidRDefault="00D04F1E" w:rsidP="00D04F1E">
      <w:pPr>
        <w:numPr>
          <w:ilvl w:val="0"/>
          <w:numId w:val="1"/>
        </w:numPr>
        <w:spacing w:line="360" w:lineRule="auto"/>
        <w:ind w:left="0" w:right="-876" w:firstLine="0"/>
        <w:jc w:val="both"/>
      </w:pPr>
      <w:r w:rsidRPr="00EE6AC6">
        <w:rPr>
          <w:rFonts w:ascii="Palatino Linotype" w:eastAsia="MS Mincho" w:hAnsi="Palatino Linotype" w:cs="Arial"/>
          <w:lang w:eastAsia="es-ES"/>
        </w:rPr>
        <w:t>Sirve de sustento, la tesis jurisprudencial número VI.3o.C. J/60, publicada en el Semanario Judicial de la Federación y su Gaceta bajo el número de registro 176,608 que a la letra dice:</w:t>
      </w:r>
    </w:p>
    <w:p w:rsidR="00D04F1E" w:rsidRPr="00EE6AC6" w:rsidRDefault="00D04F1E" w:rsidP="00D04F1E">
      <w:pPr>
        <w:pStyle w:val="Prrafodelista"/>
        <w:spacing w:before="240" w:after="240" w:line="360" w:lineRule="auto"/>
        <w:ind w:left="0" w:right="48"/>
        <w:jc w:val="both"/>
        <w:rPr>
          <w:rFonts w:ascii="Palatino Linotype" w:eastAsia="MS Mincho" w:hAnsi="Palatino Linotype" w:cs="Arial"/>
          <w:sz w:val="24"/>
          <w:lang w:eastAsia="es-ES"/>
        </w:rPr>
      </w:pPr>
    </w:p>
    <w:p w:rsidR="00D04F1E" w:rsidRPr="00EE6AC6" w:rsidRDefault="00D04F1E" w:rsidP="00D04F1E">
      <w:pPr>
        <w:pStyle w:val="Prrafodelista"/>
        <w:spacing w:before="240" w:after="240" w:line="360" w:lineRule="auto"/>
        <w:ind w:left="851" w:right="822"/>
        <w:jc w:val="both"/>
        <w:rPr>
          <w:rFonts w:ascii="Palatino Linotype" w:eastAsia="MS Mincho" w:hAnsi="Palatino Linotype" w:cs="Arial"/>
          <w:i/>
          <w:lang w:eastAsia="es-ES"/>
        </w:rPr>
      </w:pPr>
      <w:r w:rsidRPr="00EE6AC6">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D04F1E" w:rsidRPr="00EE6AC6" w:rsidRDefault="00D04F1E" w:rsidP="00D04F1E">
      <w:pPr>
        <w:pStyle w:val="Prrafodelista"/>
        <w:spacing w:before="240" w:after="240" w:line="360" w:lineRule="auto"/>
        <w:ind w:left="851" w:right="822"/>
        <w:jc w:val="both"/>
        <w:rPr>
          <w:rFonts w:ascii="Palatino Linotype" w:eastAsia="MS Mincho" w:hAnsi="Palatino Linotype" w:cs="Arial"/>
          <w:i/>
          <w:lang w:eastAsia="es-ES"/>
        </w:rPr>
      </w:pPr>
    </w:p>
    <w:p w:rsidR="00D04F1E" w:rsidRPr="00EE6AC6" w:rsidRDefault="00D04F1E" w:rsidP="00D04F1E">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EE6AC6">
        <w:rPr>
          <w:rFonts w:ascii="Palatino Linotype" w:eastAsia="MS Mincho" w:hAnsi="Palatino Linotype" w:cs="Arial"/>
          <w:sz w:val="24"/>
          <w:lang w:eastAsia="es-ES"/>
        </w:rPr>
        <w:t xml:space="preserve">Lo anterior es así, debido a que cuando el particular impugnó la respuesta del SUJETO OBLIGADO, y no expresó razón o motivo de inconformidad en contra de lo </w:t>
      </w:r>
      <w:r w:rsidRPr="00EE6AC6">
        <w:rPr>
          <w:rFonts w:ascii="Palatino Linotype" w:eastAsia="MS Mincho" w:hAnsi="Palatino Linotype" w:cs="Arial"/>
          <w:sz w:val="24"/>
          <w:lang w:eastAsia="es-ES"/>
        </w:rPr>
        <w:lastRenderedPageBreak/>
        <w:t xml:space="preserve">que se le hizo entrega, por tanto, estos deben declararse atendidos, pues se entiende que EL RECURRENTE está conforme con la respuesta proporcionada por EL SUJETO OBLIGADO, al no contravenir la misma. </w:t>
      </w:r>
    </w:p>
    <w:p w:rsidR="00D04F1E" w:rsidRPr="00EE6AC6" w:rsidRDefault="00D04F1E" w:rsidP="00D04F1E">
      <w:pPr>
        <w:pStyle w:val="Prrafodelista"/>
        <w:spacing w:before="240" w:after="240" w:line="360" w:lineRule="auto"/>
        <w:ind w:left="0" w:right="48"/>
        <w:jc w:val="both"/>
        <w:rPr>
          <w:rFonts w:ascii="Palatino Linotype" w:eastAsia="MS Mincho" w:hAnsi="Palatino Linotype" w:cs="Arial"/>
          <w:sz w:val="24"/>
          <w:lang w:eastAsia="es-ES"/>
        </w:rPr>
      </w:pPr>
    </w:p>
    <w:p w:rsidR="00D04F1E" w:rsidRPr="00EE6AC6" w:rsidRDefault="00D04F1E" w:rsidP="00D04F1E">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EE6AC6">
        <w:rPr>
          <w:rFonts w:ascii="Palatino Linotype" w:eastAsia="MS Mincho" w:hAnsi="Palatino Linotype" w:cs="Arial"/>
          <w:sz w:val="24"/>
          <w:lang w:eastAsia="es-ES"/>
        </w:rPr>
        <w:t>Atento a ello, es importante traer a contexto la Tesis Jurisprudencial Número 3ª./J.7/91, Publicada en el Semanario Judicial de la Federación y su Gaceta bajo el número de registro 174,177, que establece lo siguiente:</w:t>
      </w:r>
    </w:p>
    <w:p w:rsidR="00D04F1E" w:rsidRPr="00EE6AC6" w:rsidRDefault="00D04F1E" w:rsidP="00D04F1E">
      <w:pPr>
        <w:pStyle w:val="Prrafodelista"/>
        <w:spacing w:before="240" w:after="240" w:line="360" w:lineRule="auto"/>
        <w:ind w:left="0" w:right="48"/>
        <w:jc w:val="both"/>
        <w:rPr>
          <w:rFonts w:ascii="Palatino Linotype" w:eastAsia="MS Mincho" w:hAnsi="Palatino Linotype" w:cs="Arial"/>
          <w:sz w:val="24"/>
          <w:lang w:eastAsia="es-ES"/>
        </w:rPr>
      </w:pPr>
    </w:p>
    <w:p w:rsidR="00D04F1E" w:rsidRPr="00EE6AC6" w:rsidRDefault="00D04F1E" w:rsidP="00D04F1E">
      <w:pPr>
        <w:pStyle w:val="Prrafodelista"/>
        <w:spacing w:before="240" w:after="240" w:line="360" w:lineRule="auto"/>
        <w:ind w:left="851" w:right="822"/>
        <w:jc w:val="both"/>
        <w:rPr>
          <w:rFonts w:ascii="Palatino Linotype" w:eastAsia="MS Mincho" w:hAnsi="Palatino Linotype" w:cs="Arial"/>
          <w:i/>
          <w:lang w:eastAsia="es-ES"/>
        </w:rPr>
      </w:pPr>
      <w:r w:rsidRPr="00EE6AC6">
        <w:rPr>
          <w:rFonts w:ascii="Palatino Linotype" w:eastAsia="MS Mincho" w:hAnsi="Palatino Linotype" w:cs="Arial"/>
          <w:i/>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211AFC" w:rsidRPr="00EE6AC6" w:rsidRDefault="00D04F1E" w:rsidP="00D04F1E">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E6AC6">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rsidR="00CC4A71" w:rsidRPr="00EE6AC6" w:rsidRDefault="00CC4A71">
      <w:pPr>
        <w:spacing w:line="360" w:lineRule="auto"/>
        <w:ind w:right="-876"/>
        <w:jc w:val="both"/>
        <w:rPr>
          <w:rFonts w:ascii="Palatino Linotype" w:eastAsia="Palatino Linotype" w:hAnsi="Palatino Linotype" w:cs="Palatino Linotype"/>
        </w:rPr>
      </w:pPr>
    </w:p>
    <w:p w:rsidR="00CC4A71" w:rsidRPr="00EE6AC6" w:rsidRDefault="00D04F1E"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Por otro lado</w:t>
      </w:r>
      <w:r w:rsidR="000A5DF6" w:rsidRPr="00EE6AC6">
        <w:rPr>
          <w:rFonts w:ascii="Palatino Linotype" w:eastAsia="Palatino Linotype" w:hAnsi="Palatino Linotype" w:cs="Palatino Linotype"/>
        </w:rPr>
        <w:t xml:space="preserve">, se colige que ciertamente se debió entregar la información solicitada, ya que se presume corresponde a la persona que interpone la solicitud de </w:t>
      </w:r>
      <w:r w:rsidR="000A5DF6" w:rsidRPr="00EE6AC6">
        <w:rPr>
          <w:rFonts w:ascii="Palatino Linotype" w:eastAsia="Palatino Linotype" w:hAnsi="Palatino Linotype" w:cs="Palatino Linotype"/>
        </w:rPr>
        <w:lastRenderedPageBreak/>
        <w:t xml:space="preserve">acceso, derivado a que adjuntó su identificación oficial, en la que se advierte el nombre del solicitante, mismo que corresponde a los datos contenidos en el acuse solicitado; además de que el </w:t>
      </w:r>
      <w:r w:rsidR="000A5DF6" w:rsidRPr="00EE6AC6">
        <w:rPr>
          <w:rFonts w:ascii="Palatino Linotype" w:eastAsia="Palatino Linotype" w:hAnsi="Palatino Linotype" w:cs="Palatino Linotype"/>
          <w:b/>
        </w:rPr>
        <w:t>SUJETO OBLIGADO</w:t>
      </w:r>
      <w:r w:rsidR="000A5DF6" w:rsidRPr="00EE6AC6">
        <w:rPr>
          <w:rFonts w:ascii="Palatino Linotype" w:eastAsia="Palatino Linotype" w:hAnsi="Palatino Linotype" w:cs="Palatino Linotype"/>
        </w:rPr>
        <w:t xml:space="preserve"> asume contar con la información, tan es así que, entregó información a través de informe justificado.</w:t>
      </w:r>
    </w:p>
    <w:p w:rsidR="00586A4E" w:rsidRPr="00EE6AC6" w:rsidRDefault="00586A4E" w:rsidP="00586A4E">
      <w:pPr>
        <w:pStyle w:val="Prrafodelista"/>
        <w:ind w:right="113"/>
      </w:pPr>
    </w:p>
    <w:p w:rsidR="00586A4E" w:rsidRPr="00EE6AC6" w:rsidRDefault="00586A4E" w:rsidP="00586A4E">
      <w:pPr>
        <w:numPr>
          <w:ilvl w:val="0"/>
          <w:numId w:val="1"/>
        </w:numPr>
        <w:spacing w:line="360" w:lineRule="auto"/>
        <w:ind w:left="0" w:right="113" w:firstLine="0"/>
        <w:jc w:val="both"/>
      </w:pPr>
      <w:r w:rsidRPr="00EE6AC6">
        <w:rPr>
          <w:rFonts w:ascii="Palatino Linotype" w:hAnsi="Palatino Linotype"/>
        </w:rPr>
        <w:t>Asimismo, es importante referir que la información entregada a través de informe justificado no es del todo legible, al respecto,</w:t>
      </w:r>
      <w:r w:rsidRPr="00EE6AC6">
        <w:t xml:space="preserve"> e</w:t>
      </w:r>
      <w:r w:rsidRPr="00EE6AC6">
        <w:rPr>
          <w:rFonts w:ascii="Palatino Linotype" w:eastAsia="Calibri" w:hAnsi="Palatino Linotype" w:cs="Arial"/>
        </w:rPr>
        <w:t xml:space="preserve">s necesario precisar que, la información que proporcionen los Sujetos Obligados para dar cumplimiento al derecho de acceso a la información debe ser clara, precisa y </w:t>
      </w:r>
      <w:r w:rsidRPr="00EE6AC6">
        <w:rPr>
          <w:rFonts w:ascii="Palatino Linotype" w:eastAsia="Calibri" w:hAnsi="Palatino Linotype" w:cs="Arial"/>
          <w:b/>
          <w:bCs/>
        </w:rPr>
        <w:t>sobre todo legible</w:t>
      </w:r>
      <w:r w:rsidRPr="00EE6AC6">
        <w:rPr>
          <w:rFonts w:ascii="Palatino Linotype" w:eastAsia="Calibri" w:hAnsi="Palatino Linotype" w:cs="Arial"/>
        </w:rPr>
        <w:t>, puesto que de lo contrario se restringe de manera ilegítima el derecho de los particulares al impedirles conocer el contenido de los documentos.</w:t>
      </w:r>
    </w:p>
    <w:p w:rsidR="00586A4E" w:rsidRPr="00EE6AC6" w:rsidRDefault="00586A4E" w:rsidP="00586A4E">
      <w:pPr>
        <w:pStyle w:val="Prrafodelista"/>
        <w:ind w:right="113"/>
        <w:rPr>
          <w:rFonts w:ascii="Palatino Linotype" w:eastAsia="MS Mincho" w:hAnsi="Palatino Linotype" w:cs="Arial"/>
        </w:rPr>
      </w:pPr>
    </w:p>
    <w:p w:rsidR="00586A4E" w:rsidRPr="00EE6AC6" w:rsidRDefault="00586A4E" w:rsidP="00586A4E">
      <w:pPr>
        <w:numPr>
          <w:ilvl w:val="0"/>
          <w:numId w:val="1"/>
        </w:numPr>
        <w:spacing w:line="360" w:lineRule="auto"/>
        <w:ind w:left="0" w:right="113" w:firstLine="0"/>
        <w:jc w:val="both"/>
      </w:pPr>
      <w:r w:rsidRPr="00EE6AC6">
        <w:rPr>
          <w:rFonts w:ascii="Palatino Linotype" w:eastAsia="MS Mincho" w:hAnsi="Palatino Linotype" w:cs="Arial"/>
        </w:rPr>
        <w:t>Sirve de sustento a lo anterior, el criterio orientador la tesis número II. 1°. C.T. 55 C, publicada en el Semanario Judicial de la Federación y su Gaceta bajo el número de 3 registro 201,412, que a la letra dice:</w:t>
      </w:r>
    </w:p>
    <w:p w:rsidR="00586A4E" w:rsidRPr="00EE6AC6" w:rsidRDefault="00586A4E" w:rsidP="00586A4E">
      <w:pPr>
        <w:pStyle w:val="Prrafodelista"/>
        <w:ind w:right="113"/>
        <w:rPr>
          <w:rFonts w:ascii="Palatino Linotype" w:eastAsia="MS Mincho" w:hAnsi="Palatino Linotype" w:cs="Arial"/>
        </w:rPr>
      </w:pPr>
    </w:p>
    <w:p w:rsidR="00586A4E" w:rsidRPr="00EE6AC6" w:rsidRDefault="00586A4E" w:rsidP="00586A4E">
      <w:pPr>
        <w:pStyle w:val="Prrafodelista"/>
        <w:spacing w:before="240" w:after="240" w:line="360" w:lineRule="auto"/>
        <w:ind w:left="426" w:right="113"/>
        <w:jc w:val="both"/>
        <w:rPr>
          <w:rFonts w:ascii="Palatino Linotype" w:eastAsia="MS Mincho" w:hAnsi="Palatino Linotype" w:cs="Arial"/>
          <w:i/>
        </w:rPr>
      </w:pPr>
      <w:r w:rsidRPr="00EE6AC6">
        <w:rPr>
          <w:rFonts w:ascii="Palatino Linotype" w:eastAsia="MS Mincho" w:hAnsi="Palatino Linotype" w:cs="Arial"/>
          <w:b/>
          <w:i/>
        </w:rPr>
        <w:t>COTEJO DE COPIAS FOTOSTÁTICAS ILEGIBLES. AL NO SER POSIBLE CONSTATAR SU AUTENTICIDAD ES INÚTIL E INTRASCENDENTE SU PERFECCIONAMIENTO, POR LO QUE LA JUNTA ESTÁ IMPEDIDA PARA ORDENAR SU DESAHOGO.</w:t>
      </w:r>
      <w:r w:rsidRPr="00EE6AC6">
        <w:rPr>
          <w:rFonts w:ascii="Palatino Linotype" w:eastAsia="MS Mincho" w:hAnsi="Palatino Linotype" w:cs="Arial"/>
          <w:i/>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w:t>
      </w:r>
      <w:r w:rsidRPr="00EE6AC6">
        <w:rPr>
          <w:rFonts w:ascii="Palatino Linotype" w:eastAsia="MS Mincho" w:hAnsi="Palatino Linotype" w:cs="Arial"/>
          <w:i/>
        </w:rPr>
        <w:lastRenderedPageBreak/>
        <w:t>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rsidR="00CC4A71" w:rsidRPr="00EE6AC6" w:rsidRDefault="000A5DF6" w:rsidP="00586A4E">
      <w:pPr>
        <w:numPr>
          <w:ilvl w:val="0"/>
          <w:numId w:val="4"/>
        </w:numPr>
        <w:pBdr>
          <w:top w:val="nil"/>
          <w:left w:val="nil"/>
          <w:bottom w:val="nil"/>
          <w:right w:val="nil"/>
          <w:between w:val="nil"/>
        </w:pBdr>
        <w:tabs>
          <w:tab w:val="left" w:pos="426"/>
        </w:tabs>
        <w:spacing w:before="240" w:after="240" w:line="360" w:lineRule="auto"/>
        <w:ind w:right="113"/>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Acreditación de la identidad del RECURRENTE.</w:t>
      </w: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No obstante que como se ha venido mencionando al ingresar vía SAIMEX, el particular no recibió las instrucciones precisas, paso a paso, que se exponen en el Sistema de Acceso, Rectificación, Cancelación y Oposición de Datos Personales (SARCOEM) para formular adecuadamente una solicitud de acceso a datos personales.</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 xml:space="preserve">Al respecto, debemos recordar que el tercer párrafo del artículo 106 de la Ley de Protección de Datos Personales en Posesión de Sujetos Obligados del Estado de México y Municipios, establece que para el ejercicio de los derechos ARCO solicitados </w:t>
      </w:r>
      <w:r w:rsidRPr="00EE6AC6">
        <w:rPr>
          <w:rFonts w:ascii="Palatino Linotype" w:eastAsia="Palatino Linotype" w:hAnsi="Palatino Linotype" w:cs="Palatino Linotype"/>
          <w:b/>
        </w:rPr>
        <w:t>será necesario acreditar la identidad del titular</w:t>
      </w:r>
      <w:r w:rsidRPr="00EE6AC6">
        <w:rPr>
          <w:rFonts w:ascii="Palatino Linotype" w:eastAsia="Palatino Linotype" w:hAnsi="Palatino Linotype" w:cs="Palatino Linotype"/>
        </w:rPr>
        <w:t xml:space="preserve"> y, en su caso, la identidad y personalidad con la que actúe el representante.</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color w:val="000000"/>
        </w:rPr>
        <w:t xml:space="preserve">Así, al momento de formular la solicitud de información, el </w:t>
      </w:r>
      <w:r w:rsidRPr="00EE6AC6">
        <w:rPr>
          <w:rFonts w:ascii="Palatino Linotype" w:eastAsia="Palatino Linotype" w:hAnsi="Palatino Linotype" w:cs="Palatino Linotype"/>
        </w:rPr>
        <w:t>Recurrente</w:t>
      </w:r>
      <w:r w:rsidRPr="00EE6AC6">
        <w:rPr>
          <w:rFonts w:ascii="Palatino Linotype" w:eastAsia="Palatino Linotype" w:hAnsi="Palatino Linotype" w:cs="Palatino Linotype"/>
          <w:color w:val="000000"/>
        </w:rPr>
        <w:t xml:space="preserve"> adjuntó su credencial de elector que ciertamente corresponde a un medio de identificación oficial de conformidad con lo establecido en el artículo 120 de la Ley de Protección de Datos Personales en Posesión de Sujetos Obligados del Estado de México y Municipios, a saber:</w:t>
      </w:r>
    </w:p>
    <w:p w:rsidR="00CC4A71" w:rsidRPr="00EE6AC6" w:rsidRDefault="000A5DF6" w:rsidP="00586A4E">
      <w:pPr>
        <w:numPr>
          <w:ilvl w:val="1"/>
          <w:numId w:val="7"/>
        </w:numPr>
        <w:pBdr>
          <w:top w:val="nil"/>
          <w:left w:val="nil"/>
          <w:bottom w:val="nil"/>
          <w:right w:val="nil"/>
          <w:between w:val="nil"/>
        </w:pBdr>
        <w:tabs>
          <w:tab w:val="left" w:pos="426"/>
        </w:tabs>
        <w:spacing w:before="240" w:line="276" w:lineRule="auto"/>
        <w:ind w:left="992" w:right="822"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lastRenderedPageBreak/>
        <w:t>Identificación oficial;</w:t>
      </w:r>
    </w:p>
    <w:p w:rsidR="00CC4A71" w:rsidRPr="00EE6AC6" w:rsidRDefault="000A5DF6" w:rsidP="00586A4E">
      <w:pPr>
        <w:numPr>
          <w:ilvl w:val="1"/>
          <w:numId w:val="7"/>
        </w:numPr>
        <w:pBdr>
          <w:top w:val="nil"/>
          <w:left w:val="nil"/>
          <w:bottom w:val="nil"/>
          <w:right w:val="nil"/>
          <w:between w:val="nil"/>
        </w:pBdr>
        <w:tabs>
          <w:tab w:val="left" w:pos="426"/>
        </w:tabs>
        <w:spacing w:line="276" w:lineRule="auto"/>
        <w:ind w:left="992" w:right="822"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Firma electrónica avanzada o del instrumento electrónico que lo sustituya; o</w:t>
      </w:r>
    </w:p>
    <w:p w:rsidR="00CC4A71" w:rsidRPr="00EE6AC6" w:rsidRDefault="000A5DF6" w:rsidP="00586A4E">
      <w:pPr>
        <w:numPr>
          <w:ilvl w:val="1"/>
          <w:numId w:val="7"/>
        </w:numPr>
        <w:pBdr>
          <w:top w:val="nil"/>
          <w:left w:val="nil"/>
          <w:bottom w:val="nil"/>
          <w:right w:val="nil"/>
          <w:between w:val="nil"/>
        </w:pBdr>
        <w:tabs>
          <w:tab w:val="left" w:pos="426"/>
        </w:tabs>
        <w:spacing w:after="240" w:line="276" w:lineRule="auto"/>
        <w:ind w:left="992" w:right="822" w:hanging="357"/>
        <w:jc w:val="both"/>
        <w:rPr>
          <w:rFonts w:ascii="Palatino Linotype" w:eastAsia="Palatino Linotype" w:hAnsi="Palatino Linotype" w:cs="Palatino Linotype"/>
          <w:color w:val="000000"/>
          <w:sz w:val="22"/>
          <w:szCs w:val="22"/>
        </w:rPr>
      </w:pPr>
      <w:r w:rsidRPr="00EE6AC6">
        <w:rPr>
          <w:rFonts w:ascii="Palatino Linotype" w:eastAsia="Palatino Linotype" w:hAnsi="Palatino Linotype" w:cs="Palatino Linotype"/>
          <w:color w:val="000000"/>
          <w:sz w:val="22"/>
          <w:szCs w:val="22"/>
        </w:rPr>
        <w:t>Mecanismos de autenticación autorizados por el Instituto o el Instituto Nacional publicados por acuerdo general en el periódico oficial “</w:t>
      </w:r>
      <w:r w:rsidRPr="00EE6AC6">
        <w:rPr>
          <w:rFonts w:ascii="Palatino Linotype" w:eastAsia="Palatino Linotype" w:hAnsi="Palatino Linotype" w:cs="Palatino Linotype"/>
          <w:i/>
          <w:color w:val="000000"/>
          <w:sz w:val="22"/>
          <w:szCs w:val="22"/>
        </w:rPr>
        <w:t>Gaceta del Gobierno</w:t>
      </w:r>
      <w:r w:rsidRPr="00EE6AC6">
        <w:rPr>
          <w:rFonts w:ascii="Palatino Linotype" w:eastAsia="Palatino Linotype" w:hAnsi="Palatino Linotype" w:cs="Palatino Linotype"/>
          <w:color w:val="000000"/>
          <w:sz w:val="22"/>
          <w:szCs w:val="22"/>
        </w:rPr>
        <w:t>” o en el Diario Oficial de la Federación.</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En esa tesitura, no fue necesario prevenir a la titular de los datos o a su representante dentro de los cinco días siguientes a la reconducción de la solicitud, por una sola ocasión, para que subsanara dicha omisión dentro de un plazo de 10 días contados a partir del día siguiente al de la notificación; y, si transcurrido el plazo sin que la o el Titular haya desahogado la prevención, se tuviera por no presentada la solicitud.</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No obstante, el hecho de remitir un medio de identificación oficial, no resulta suficiente para que se entreguen los datos personal; toda vez derivado de que la particular fue omisa en manifestar su voluntad de conciliar en el plazo legalmente establecido para tal efecto, lo que provocó que no se materializa la audiencia de conciliación, no fue posible acreditar su identidad como la titular de los datos personales, no logrando acreditar ante este Órgano Garante debidamente su identidad, a efecto de contar con certeza de que quien realiza la solicitud de acceso, sea justamente el titular de los datos personales</w:t>
      </w:r>
      <w:r w:rsidRPr="00EE6AC6">
        <w:rPr>
          <w:rFonts w:ascii="Palatino Linotype" w:eastAsia="Palatino Linotype" w:hAnsi="Palatino Linotype" w:cs="Palatino Linotype"/>
          <w:b/>
        </w:rPr>
        <w:t>, lo que pondría en riesgo inminente su resguardo y confidencialidad de los datos personales.</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lastRenderedPageBreak/>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b/>
        </w:rPr>
        <w:t>Por ello, no basta con adjuntar una identificación en este caso vía SARCOEM o como resulta del caso concreto a través del SAIMEX,</w:t>
      </w:r>
      <w:r w:rsidRPr="00EE6AC6">
        <w:rPr>
          <w:rFonts w:ascii="Palatino Linotype" w:eastAsia="Palatino Linotype" w:hAnsi="Palatino Linotype" w:cs="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 xml:space="preserve">De lo que adjuntar un archivo fotográfico o escaneado a una solicitud de acceso a datos, no basta para dar total acceso a cualquier dato personal que se requiera vía </w:t>
      </w:r>
      <w:r w:rsidRPr="00EE6AC6">
        <w:rPr>
          <w:rFonts w:ascii="Palatino Linotype" w:eastAsia="Palatino Linotype" w:hAnsi="Palatino Linotype" w:cs="Palatino Linotype"/>
          <w:b/>
        </w:rPr>
        <w:t>SARCOEM</w:t>
      </w:r>
      <w:r w:rsidRPr="00EE6AC6">
        <w:rPr>
          <w:rFonts w:ascii="Palatino Linotype" w:eastAsia="Palatino Linotype" w:hAnsi="Palatino Linotype" w:cs="Palatino Linotype"/>
        </w:rPr>
        <w:t xml:space="preserve"> o </w:t>
      </w:r>
      <w:r w:rsidRPr="00EE6AC6">
        <w:rPr>
          <w:rFonts w:ascii="Palatino Linotype" w:eastAsia="Palatino Linotype" w:hAnsi="Palatino Linotype" w:cs="Palatino Linotype"/>
          <w:b/>
        </w:rPr>
        <w:t xml:space="preserve">SAIMEX </w:t>
      </w:r>
      <w:r w:rsidRPr="00EE6AC6">
        <w:rPr>
          <w:rFonts w:ascii="Palatino Linotype" w:eastAsia="Palatino Linotype" w:hAnsi="Palatino Linotype" w:cs="Palatino Linotype"/>
        </w:rPr>
        <w:t xml:space="preserve">respecto de quien aparezca en la identificación que se adjunte. De ahí que se </w:t>
      </w:r>
      <w:r w:rsidRPr="00EE6AC6">
        <w:rPr>
          <w:rFonts w:ascii="Palatino Linotype" w:eastAsia="Palatino Linotype" w:hAnsi="Palatino Linotype" w:cs="Palatino Linotype"/>
          <w:b/>
        </w:rPr>
        <w:t>deba</w:t>
      </w:r>
      <w:r w:rsidRPr="00EE6AC6">
        <w:rPr>
          <w:rFonts w:ascii="Palatino Linotype" w:eastAsia="Palatino Linotype" w:hAnsi="Palatino Linotype" w:cs="Palatino Linotype"/>
        </w:rPr>
        <w:t xml:space="preserve"> dar el debido resguardo y protección de los datos personales tanto por parte de los responsables de los sujetos obligados, como de este Instituto, ello así por propio mandato de ley.</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lastRenderedPageBreak/>
        <w:t>Sirve de apoyo a lo anterior por analogía el Criterio 1/18 emitido por el Instituto Nacional de Transparencia, Acceso a la Información y Protección de Datos Personales que es del tenor literal siguiente:</w:t>
      </w:r>
    </w:p>
    <w:p w:rsidR="00CC4A71" w:rsidRPr="00EE6AC6" w:rsidRDefault="000A5DF6" w:rsidP="00586A4E">
      <w:pPr>
        <w:pBdr>
          <w:top w:val="nil"/>
          <w:left w:val="nil"/>
          <w:bottom w:val="nil"/>
          <w:right w:val="nil"/>
          <w:between w:val="nil"/>
        </w:pBdr>
        <w:ind w:left="502" w:right="822"/>
        <w:jc w:val="both"/>
        <w:rPr>
          <w:rFonts w:ascii="Palatino Linotype" w:eastAsia="Palatino Linotype" w:hAnsi="Palatino Linotype" w:cs="Palatino Linotype"/>
          <w:i/>
          <w:color w:val="000000"/>
        </w:rPr>
      </w:pPr>
      <w:r w:rsidRPr="00EE6AC6">
        <w:rPr>
          <w:rFonts w:ascii="Palatino Linotype" w:eastAsia="Palatino Linotype" w:hAnsi="Palatino Linotype" w:cs="Palatino Linotype"/>
          <w:b/>
          <w:i/>
          <w:color w:val="000000"/>
        </w:rPr>
        <w:t>Entrega de datos personales a través de medios electrónicos</w:t>
      </w:r>
      <w:r w:rsidRPr="00EE6AC6">
        <w:rPr>
          <w:rFonts w:ascii="Palatino Linotype" w:eastAsia="Palatino Linotype" w:hAnsi="Palatino Linotype" w:cs="Palatino Linotype"/>
          <w:i/>
          <w:color w:val="000000"/>
        </w:rPr>
        <w:t xml:space="preserve">. La entrega de datos personales a través del portal de la Plataforma Nacional de Transparencia, correo electrónico o cualquier otro medio similar resulta improcedente, </w:t>
      </w:r>
      <w:r w:rsidRPr="00EE6AC6">
        <w:rPr>
          <w:rFonts w:ascii="Palatino Linotype" w:eastAsia="Palatino Linotype" w:hAnsi="Palatino Linotype" w:cs="Palatino Linotype"/>
          <w:b/>
          <w:i/>
          <w:color w:val="000000"/>
        </w:rPr>
        <w:t>sin que los sujetos obligados hayan corroborado previamente la identidad del titular</w:t>
      </w:r>
      <w:r w:rsidRPr="00EE6AC6">
        <w:rPr>
          <w:rFonts w:ascii="Palatino Linotype" w:eastAsia="Palatino Linotype" w:hAnsi="Palatino Linotype" w:cs="Palatino Linotype"/>
          <w:i/>
          <w:color w:val="000000"/>
        </w:rPr>
        <w:t>.</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color w:val="000000"/>
        </w:rPr>
        <w:t xml:space="preserve">Por otro lado, si al momento de acudir el Recurrente, requiere la copia simple, el Sujeto </w:t>
      </w:r>
      <w:r w:rsidRPr="00EE6AC6">
        <w:rPr>
          <w:rFonts w:ascii="Palatino Linotype" w:eastAsia="Palatino Linotype" w:hAnsi="Palatino Linotype" w:cs="Palatino Linotype"/>
        </w:rPr>
        <w:t>Obligado</w:t>
      </w:r>
      <w:r w:rsidRPr="00EE6AC6">
        <w:rPr>
          <w:rFonts w:ascii="Palatino Linotype" w:eastAsia="Palatino Linotype" w:hAnsi="Palatino Linotype" w:cs="Palatino Linotype"/>
          <w:color w:val="000000"/>
        </w:rPr>
        <w:t xml:space="preserve"> deberá entregarla de manera gratuita, en atención a lo dispuesto por el Criterio  02/18 emitido por el  Instituto Nacional de Transparencia, Acceso a la Información y Protección de Datos Personales (INAI), a saber:</w:t>
      </w:r>
    </w:p>
    <w:p w:rsidR="00CC4A71" w:rsidRPr="00EE6AC6" w:rsidRDefault="000A5DF6" w:rsidP="00586A4E">
      <w:pPr>
        <w:pBdr>
          <w:top w:val="nil"/>
          <w:left w:val="nil"/>
          <w:bottom w:val="nil"/>
          <w:right w:val="nil"/>
          <w:between w:val="nil"/>
        </w:pBdr>
        <w:ind w:left="502" w:right="822"/>
        <w:jc w:val="both"/>
        <w:rPr>
          <w:rFonts w:ascii="Palatino Linotype" w:eastAsia="Palatino Linotype" w:hAnsi="Palatino Linotype" w:cs="Palatino Linotype"/>
          <w:i/>
          <w:color w:val="000000"/>
          <w:sz w:val="22"/>
          <w:szCs w:val="22"/>
        </w:rPr>
      </w:pPr>
      <w:r w:rsidRPr="00EE6AC6">
        <w:rPr>
          <w:rFonts w:ascii="Palatino Linotype" w:eastAsia="Palatino Linotype" w:hAnsi="Palatino Linotype" w:cs="Palatino Linotype"/>
          <w:b/>
          <w:i/>
          <w:color w:val="000000"/>
          <w:sz w:val="22"/>
          <w:szCs w:val="22"/>
        </w:rPr>
        <w:t xml:space="preserve">Gratuidad de las primeras veinte hojas simples o certificadas. </w:t>
      </w:r>
      <w:r w:rsidRPr="00EE6AC6">
        <w:rPr>
          <w:rFonts w:ascii="Palatino Linotype" w:eastAsia="Palatino Linotype" w:hAnsi="Palatino Linotype" w:cs="Palatino Linotype"/>
          <w:i/>
          <w:color w:val="000000"/>
          <w:sz w:val="22"/>
          <w:szCs w:val="22"/>
        </w:rPr>
        <w:t xml:space="preserve">Cuando la entrega de los datos personales sea a través de copias simples o certificadas, las primeras veinte hojas serán </w:t>
      </w:r>
      <w:r w:rsidRPr="00EE6AC6">
        <w:rPr>
          <w:rFonts w:ascii="Palatino Linotype" w:eastAsia="Palatino Linotype" w:hAnsi="Palatino Linotype" w:cs="Palatino Linotype"/>
          <w:b/>
          <w:i/>
          <w:color w:val="000000"/>
          <w:sz w:val="22"/>
          <w:szCs w:val="22"/>
        </w:rPr>
        <w:t>sin costo</w:t>
      </w:r>
      <w:r w:rsidRPr="00EE6AC6">
        <w:rPr>
          <w:rFonts w:ascii="Palatino Linotype" w:eastAsia="Palatino Linotype" w:hAnsi="Palatino Linotype" w:cs="Palatino Linotype"/>
          <w:i/>
          <w:color w:val="000000"/>
          <w:sz w:val="22"/>
          <w:szCs w:val="22"/>
        </w:rPr>
        <w:t>.</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color w:val="000000"/>
        </w:rPr>
        <w:t>Asimismo, señalar que la información que sea adjunta al SAIMEX, puede ser reproducida de propia cuenta por la particular, la cual al momento de ser reproducida o impresa en papel, hace las veces de copias simple en el entendido que esta corresponde a únicamente a una reproducción de un documento original que no tiene ninguna certificación oficial de su autenticidad.</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 xml:space="preserve">En atención a las consideraciones señaladas, este Órgano Garante determina ordenar la entrega, previa acreditación de la personalidad e identidad, debiendo el </w:t>
      </w:r>
      <w:r w:rsidRPr="00EE6AC6">
        <w:rPr>
          <w:rFonts w:ascii="Palatino Linotype" w:eastAsia="Palatino Linotype" w:hAnsi="Palatino Linotype" w:cs="Palatino Linotype"/>
          <w:b/>
        </w:rPr>
        <w:t>SUJETO OBLIGADO</w:t>
      </w:r>
      <w:r w:rsidRPr="00EE6AC6">
        <w:rPr>
          <w:rFonts w:ascii="Palatino Linotype" w:eastAsia="Palatino Linotype" w:hAnsi="Palatino Linotype" w:cs="Palatino Linotype"/>
        </w:rPr>
        <w:t xml:space="preserve"> indicar, los días, horarios, ubicación y persona que le atenderá </w:t>
      </w:r>
      <w:r w:rsidRPr="00EE6AC6">
        <w:rPr>
          <w:rFonts w:ascii="Palatino Linotype" w:eastAsia="Palatino Linotype" w:hAnsi="Palatino Linotype" w:cs="Palatino Linotype"/>
        </w:rPr>
        <w:lastRenderedPageBreak/>
        <w:t xml:space="preserve">a efecto de corroborar que exista identidad entre la solicitante de Acceso a Datos Personales y la identificación exhibida a través del SAIMEX; es decir, el </w:t>
      </w:r>
      <w:r w:rsidRPr="00EE6AC6">
        <w:rPr>
          <w:rFonts w:ascii="Palatino Linotype" w:eastAsia="Palatino Linotype" w:hAnsi="Palatino Linotype" w:cs="Palatino Linotype"/>
          <w:b/>
        </w:rPr>
        <w:t xml:space="preserve">RECURRENTE </w:t>
      </w:r>
      <w:r w:rsidRPr="00EE6AC6">
        <w:rPr>
          <w:rFonts w:ascii="Palatino Linotype" w:eastAsia="Palatino Linotype" w:hAnsi="Palatino Linotype" w:cs="Palatino Linotype"/>
        </w:rPr>
        <w:t>deberá personalmente ante el</w:t>
      </w:r>
      <w:r w:rsidRPr="00EE6AC6">
        <w:rPr>
          <w:rFonts w:ascii="Palatino Linotype" w:eastAsia="Palatino Linotype" w:hAnsi="Palatino Linotype" w:cs="Palatino Linotype"/>
          <w:b/>
        </w:rPr>
        <w:t xml:space="preserve"> SUJETO OBLIGADO</w:t>
      </w:r>
      <w:r w:rsidRPr="00EE6AC6">
        <w:rPr>
          <w:rFonts w:ascii="Palatino Linotype" w:eastAsia="Palatino Linotype" w:hAnsi="Palatino Linotype" w:cs="Palatino Linotype"/>
        </w:rPr>
        <w:t xml:space="preserve"> </w:t>
      </w:r>
      <w:r w:rsidRPr="00EE6AC6">
        <w:rPr>
          <w:rFonts w:ascii="Palatino Linotype" w:eastAsia="Palatino Linotype" w:hAnsi="Palatino Linotype" w:cs="Palatino Linotype"/>
          <w:color w:val="000000"/>
        </w:rPr>
        <w:t>acreditar su personalidad e identidad como titular de los dato</w:t>
      </w:r>
      <w:r w:rsidR="00D04F1E" w:rsidRPr="00EE6AC6">
        <w:rPr>
          <w:rFonts w:ascii="Palatino Linotype" w:eastAsia="Palatino Linotype" w:hAnsi="Palatino Linotype" w:cs="Palatino Linotype"/>
          <w:color w:val="000000"/>
        </w:rPr>
        <w:t>s a los que desea tener acceso.</w:t>
      </w:r>
    </w:p>
    <w:p w:rsidR="00EE6AC6" w:rsidRPr="00EE6AC6" w:rsidRDefault="00EE6AC6" w:rsidP="00EE6AC6">
      <w:pPr>
        <w:spacing w:line="360" w:lineRule="auto"/>
        <w:ind w:right="113"/>
        <w:jc w:val="both"/>
      </w:pPr>
    </w:p>
    <w:p w:rsidR="00CC4A71" w:rsidRPr="00EE6AC6" w:rsidRDefault="000A5DF6" w:rsidP="00586A4E">
      <w:pPr>
        <w:numPr>
          <w:ilvl w:val="0"/>
          <w:numId w:val="1"/>
        </w:numPr>
        <w:spacing w:line="360" w:lineRule="auto"/>
        <w:ind w:left="0" w:right="113" w:firstLine="0"/>
        <w:jc w:val="both"/>
      </w:pPr>
      <w:r w:rsidRPr="00EE6AC6">
        <w:rPr>
          <w:rFonts w:ascii="Palatino Linotype" w:eastAsia="Palatino Linotype" w:hAnsi="Palatino Linotype" w:cs="Palatino Linotype"/>
        </w:rPr>
        <w:t xml:space="preserve">En </w:t>
      </w:r>
      <w:r w:rsidRPr="00EE6AC6">
        <w:rPr>
          <w:rFonts w:ascii="Palatino Linotype" w:eastAsia="Palatino Linotype" w:hAnsi="Palatino Linotype" w:cs="Palatino Linotype"/>
          <w:color w:val="000000"/>
        </w:rPr>
        <w:t xml:space="preserve">razón de lo anterior, este Instituto estima que las razones o motivos de inconformidad </w:t>
      </w:r>
      <w:r w:rsidRPr="00EE6AC6">
        <w:rPr>
          <w:rFonts w:ascii="Palatino Linotype" w:eastAsia="Palatino Linotype" w:hAnsi="Palatino Linotype" w:cs="Palatino Linotype"/>
        </w:rPr>
        <w:t>hechos</w:t>
      </w:r>
      <w:r w:rsidRPr="00EE6AC6">
        <w:rPr>
          <w:rFonts w:ascii="Palatino Linotype" w:eastAsia="Palatino Linotype" w:hAnsi="Palatino Linotype" w:cs="Palatino Linotype"/>
          <w:color w:val="000000"/>
        </w:rPr>
        <w:t xml:space="preserve"> valer por el</w:t>
      </w:r>
      <w:r w:rsidRPr="00EE6AC6">
        <w:rPr>
          <w:rFonts w:ascii="Palatino Linotype" w:eastAsia="Palatino Linotype" w:hAnsi="Palatino Linotype" w:cs="Palatino Linotype"/>
          <w:b/>
          <w:color w:val="000000"/>
        </w:rPr>
        <w:t xml:space="preserve"> RECURRENTE</w:t>
      </w:r>
      <w:r w:rsidRPr="00EE6AC6">
        <w:rPr>
          <w:rFonts w:ascii="Palatino Linotype" w:eastAsia="Palatino Linotype" w:hAnsi="Palatino Linotype" w:cs="Palatino Linotype"/>
          <w:color w:val="000000"/>
        </w:rPr>
        <w:t xml:space="preserve"> devienen </w:t>
      </w:r>
      <w:r w:rsidRPr="00EE6AC6">
        <w:rPr>
          <w:rFonts w:ascii="Palatino Linotype" w:eastAsia="Palatino Linotype" w:hAnsi="Palatino Linotype" w:cs="Palatino Linotype"/>
          <w:b/>
          <w:color w:val="000000"/>
        </w:rPr>
        <w:t>fundadas</w:t>
      </w:r>
      <w:r w:rsidRPr="00EE6AC6">
        <w:rPr>
          <w:rFonts w:ascii="Palatino Linotype" w:eastAsia="Palatino Linotype" w:hAnsi="Palatino Linotype" w:cs="Palatino Linotype"/>
          <w:color w:val="000000"/>
        </w:rPr>
        <w:t xml:space="preserve"> y suficientes para </w:t>
      </w:r>
      <w:r w:rsidRPr="00EE6AC6">
        <w:rPr>
          <w:rFonts w:ascii="Palatino Linotype" w:eastAsia="Palatino Linotype" w:hAnsi="Palatino Linotype" w:cs="Palatino Linotype"/>
          <w:b/>
          <w:color w:val="000000"/>
        </w:rPr>
        <w:t xml:space="preserve">REVOCAR </w:t>
      </w:r>
      <w:r w:rsidRPr="00EE6AC6">
        <w:rPr>
          <w:rFonts w:ascii="Palatino Linotype" w:eastAsia="Palatino Linotype" w:hAnsi="Palatino Linotype" w:cs="Palatino Linotype"/>
          <w:color w:val="000000"/>
        </w:rPr>
        <w:t xml:space="preserve">la respuesta del </w:t>
      </w:r>
      <w:r w:rsidRPr="00EE6AC6">
        <w:rPr>
          <w:rFonts w:ascii="Palatino Linotype" w:eastAsia="Palatino Linotype" w:hAnsi="Palatino Linotype" w:cs="Palatino Linotype"/>
          <w:b/>
          <w:color w:val="000000"/>
        </w:rPr>
        <w:t>SUJETO OBLIGADO</w:t>
      </w:r>
      <w:r w:rsidRPr="00EE6AC6">
        <w:rPr>
          <w:rFonts w:ascii="Palatino Linotype" w:eastAsia="Palatino Linotype" w:hAnsi="Palatino Linotype" w:cs="Palatino Linotype"/>
          <w:color w:val="000000"/>
        </w:rPr>
        <w:t xml:space="preserve"> y ordenarle haga entrega de la información descrita en el presente Considerando </w:t>
      </w:r>
      <w:r w:rsidRPr="00EE6AC6">
        <w:rPr>
          <w:rFonts w:ascii="Palatino Linotype" w:eastAsia="Palatino Linotype" w:hAnsi="Palatino Linotype" w:cs="Palatino Linotype"/>
          <w:b/>
          <w:i/>
          <w:color w:val="000000"/>
        </w:rPr>
        <w:t>in situ</w:t>
      </w:r>
      <w:r w:rsidRPr="00EE6AC6">
        <w:rPr>
          <w:rFonts w:ascii="Palatino Linotype" w:eastAsia="Palatino Linotype" w:hAnsi="Palatino Linotype" w:cs="Palatino Linotype"/>
          <w:color w:val="000000"/>
        </w:rPr>
        <w:t>.</w:t>
      </w:r>
    </w:p>
    <w:p w:rsidR="00CC4A71" w:rsidRPr="00EE6AC6" w:rsidRDefault="00CC4A71" w:rsidP="00586A4E">
      <w:pPr>
        <w:ind w:right="113"/>
        <w:rPr>
          <w:rFonts w:ascii="Palatino Linotype" w:eastAsia="Palatino Linotype" w:hAnsi="Palatino Linotype" w:cs="Palatino Linotype"/>
          <w:color w:val="222222"/>
        </w:rPr>
      </w:pPr>
    </w:p>
    <w:p w:rsidR="00CC4A71" w:rsidRPr="00EE6AC6" w:rsidRDefault="000A5DF6" w:rsidP="00586A4E">
      <w:pPr>
        <w:numPr>
          <w:ilvl w:val="0"/>
          <w:numId w:val="1"/>
        </w:numPr>
        <w:spacing w:line="360" w:lineRule="auto"/>
        <w:ind w:left="0" w:right="113" w:firstLine="0"/>
        <w:jc w:val="both"/>
      </w:pPr>
      <w:bookmarkStart w:id="6" w:name="_heading=h.3rdcrjn" w:colFirst="0" w:colLast="0"/>
      <w:bookmarkEnd w:id="6"/>
      <w:r w:rsidRPr="00EE6AC6">
        <w:rPr>
          <w:rFonts w:ascii="Palatino Linotype" w:eastAsia="Palatino Linotype" w:hAnsi="Palatino Linotype" w:cs="Palatino Linotype"/>
          <w:color w:val="222222"/>
        </w:rPr>
        <w:t xml:space="preserve">Por lo anteriormente expuesto y fundado, este </w:t>
      </w:r>
      <w:r w:rsidRPr="00EE6AC6">
        <w:rPr>
          <w:rFonts w:ascii="Palatino Linotype" w:eastAsia="Palatino Linotype" w:hAnsi="Palatino Linotype" w:cs="Palatino Linotype"/>
          <w:b/>
          <w:color w:val="222222"/>
        </w:rPr>
        <w:t>ÓRGANO GARANTE</w:t>
      </w:r>
      <w:r w:rsidRPr="00EE6AC6">
        <w:rPr>
          <w:rFonts w:ascii="Palatino Linotype" w:eastAsia="Palatino Linotype" w:hAnsi="Palatino Linotype" w:cs="Palatino Linotype"/>
          <w:color w:val="222222"/>
        </w:rPr>
        <w:t xml:space="preserve"> emite los siguientes:</w:t>
      </w:r>
    </w:p>
    <w:p w:rsidR="00CC4A71" w:rsidRPr="00EE6AC6" w:rsidRDefault="00CC4A71" w:rsidP="00586A4E">
      <w:pPr>
        <w:spacing w:line="360" w:lineRule="auto"/>
        <w:ind w:right="113"/>
        <w:jc w:val="both"/>
        <w:rPr>
          <w:rFonts w:ascii="Palatino Linotype" w:eastAsia="Palatino Linotype" w:hAnsi="Palatino Linotype" w:cs="Palatino Linotype"/>
        </w:rPr>
      </w:pPr>
    </w:p>
    <w:p w:rsidR="00CC4A71" w:rsidRPr="00EE6AC6" w:rsidRDefault="000A5DF6" w:rsidP="00586A4E">
      <w:pPr>
        <w:keepNext/>
        <w:keepLines/>
        <w:spacing w:line="360" w:lineRule="auto"/>
        <w:ind w:right="113"/>
        <w:jc w:val="center"/>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R E S O L U T I V O S</w:t>
      </w:r>
    </w:p>
    <w:p w:rsidR="00CC4A71" w:rsidRPr="00EE6AC6" w:rsidRDefault="000A5DF6" w:rsidP="00586A4E">
      <w:pPr>
        <w:spacing w:before="240" w:after="240" w:line="360" w:lineRule="auto"/>
        <w:ind w:right="113"/>
        <w:jc w:val="both"/>
        <w:rPr>
          <w:rFonts w:ascii="Palatino Linotype" w:eastAsia="Palatino Linotype" w:hAnsi="Palatino Linotype" w:cs="Palatino Linotype"/>
        </w:rPr>
      </w:pPr>
      <w:r w:rsidRPr="00EE6AC6">
        <w:rPr>
          <w:rFonts w:ascii="Palatino Linotype" w:eastAsia="Palatino Linotype" w:hAnsi="Palatino Linotype" w:cs="Palatino Linotype"/>
          <w:b/>
        </w:rPr>
        <w:t>PRIMERO</w:t>
      </w:r>
      <w:r w:rsidRPr="00EE6AC6">
        <w:rPr>
          <w:rFonts w:ascii="Palatino Linotype" w:eastAsia="Palatino Linotype" w:hAnsi="Palatino Linotype" w:cs="Palatino Linotype"/>
        </w:rPr>
        <w:t xml:space="preserve">. Resultan fundadas las razones o motivos de inconformidad hechos valer en los Recurso de Revisión </w:t>
      </w:r>
      <w:r w:rsidRPr="00EE6AC6">
        <w:rPr>
          <w:rFonts w:ascii="Palatino Linotype" w:eastAsia="Palatino Linotype" w:hAnsi="Palatino Linotype" w:cs="Palatino Linotype"/>
          <w:b/>
        </w:rPr>
        <w:t>03538/INFOEM/IP/RR/2024 y 04998/INFOEM/IP/RR/2024</w:t>
      </w:r>
      <w:r w:rsidRPr="00EE6AC6">
        <w:rPr>
          <w:rFonts w:ascii="Palatino Linotype" w:eastAsia="Palatino Linotype" w:hAnsi="Palatino Linotype" w:cs="Palatino Linotype"/>
        </w:rPr>
        <w:t>,</w:t>
      </w:r>
      <w:r w:rsidRPr="00EE6AC6">
        <w:rPr>
          <w:rFonts w:ascii="Palatino Linotype" w:eastAsia="Palatino Linotype" w:hAnsi="Palatino Linotype" w:cs="Palatino Linotype"/>
          <w:b/>
        </w:rPr>
        <w:t xml:space="preserve"> </w:t>
      </w:r>
      <w:r w:rsidRPr="00EE6AC6">
        <w:rPr>
          <w:rFonts w:ascii="Palatino Linotype" w:eastAsia="Palatino Linotype" w:hAnsi="Palatino Linotype" w:cs="Palatino Linotype"/>
        </w:rPr>
        <w:t>en términos del Considerando y Quinto</w:t>
      </w:r>
      <w:r w:rsidRPr="00EE6AC6">
        <w:rPr>
          <w:rFonts w:ascii="Palatino Linotype" w:eastAsia="Palatino Linotype" w:hAnsi="Palatino Linotype" w:cs="Palatino Linotype"/>
          <w:b/>
        </w:rPr>
        <w:t xml:space="preserve"> </w:t>
      </w:r>
      <w:r w:rsidRPr="00EE6AC6">
        <w:rPr>
          <w:rFonts w:ascii="Palatino Linotype" w:eastAsia="Palatino Linotype" w:hAnsi="Palatino Linotype" w:cs="Palatino Linotype"/>
        </w:rPr>
        <w:t>de la presente Resolución.</w:t>
      </w:r>
    </w:p>
    <w:p w:rsidR="00CC4A71" w:rsidRPr="00EE6AC6" w:rsidRDefault="000A5DF6" w:rsidP="00586A4E">
      <w:pPr>
        <w:shd w:val="clear" w:color="auto" w:fill="FFFFFF"/>
        <w:spacing w:before="240" w:after="360" w:line="360" w:lineRule="auto"/>
        <w:ind w:right="113"/>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b/>
        </w:rPr>
        <w:t>SEGUNDO.</w:t>
      </w:r>
      <w:r w:rsidRPr="00EE6AC6">
        <w:rPr>
          <w:rFonts w:ascii="Palatino Linotype" w:eastAsia="Palatino Linotype" w:hAnsi="Palatino Linotype" w:cs="Palatino Linotype"/>
          <w:b/>
          <w:color w:val="000000"/>
        </w:rPr>
        <w:t xml:space="preserve"> </w:t>
      </w:r>
      <w:r w:rsidRPr="00EE6AC6">
        <w:rPr>
          <w:rFonts w:ascii="Palatino Linotype" w:eastAsia="Palatino Linotype" w:hAnsi="Palatino Linotype" w:cs="Palatino Linotype"/>
          <w:color w:val="000000"/>
        </w:rPr>
        <w:t xml:space="preserve">Se </w:t>
      </w:r>
      <w:r w:rsidRPr="00EE6AC6">
        <w:rPr>
          <w:rFonts w:ascii="Palatino Linotype" w:eastAsia="Palatino Linotype" w:hAnsi="Palatino Linotype" w:cs="Palatino Linotype"/>
          <w:b/>
          <w:color w:val="000000"/>
        </w:rPr>
        <w:t xml:space="preserve">REVOCA </w:t>
      </w:r>
      <w:r w:rsidRPr="00EE6AC6">
        <w:rPr>
          <w:rFonts w:ascii="Palatino Linotype" w:eastAsia="Palatino Linotype" w:hAnsi="Palatino Linotype" w:cs="Palatino Linotype"/>
          <w:color w:val="000000"/>
        </w:rPr>
        <w:t xml:space="preserve">la respuesta a la solicitud número </w:t>
      </w:r>
      <w:r w:rsidRPr="00EE6AC6">
        <w:rPr>
          <w:rFonts w:ascii="Palatino Linotype" w:eastAsia="Palatino Linotype" w:hAnsi="Palatino Linotype" w:cs="Palatino Linotype"/>
          <w:b/>
        </w:rPr>
        <w:t xml:space="preserve">00169/TEPOTZOT/IP/2024 y se MODIFICA </w:t>
      </w:r>
      <w:r w:rsidRPr="00EE6AC6">
        <w:rPr>
          <w:rFonts w:ascii="Palatino Linotype" w:eastAsia="Palatino Linotype" w:hAnsi="Palatino Linotype" w:cs="Palatino Linotype"/>
        </w:rPr>
        <w:t>la respuesta a la solicitud número</w:t>
      </w:r>
      <w:r w:rsidRPr="00EE6AC6">
        <w:rPr>
          <w:rFonts w:ascii="Palatino Linotype" w:eastAsia="Palatino Linotype" w:hAnsi="Palatino Linotype" w:cs="Palatino Linotype"/>
          <w:b/>
        </w:rPr>
        <w:t xml:space="preserve"> 00186/TEPOTZOT/IP/2024, </w:t>
      </w:r>
      <w:r w:rsidRPr="00EE6AC6">
        <w:rPr>
          <w:rFonts w:ascii="Palatino Linotype" w:eastAsia="Palatino Linotype" w:hAnsi="Palatino Linotype" w:cs="Palatino Linotype"/>
        </w:rPr>
        <w:t>emitidas por el</w:t>
      </w:r>
      <w:r w:rsidRPr="00EE6AC6">
        <w:rPr>
          <w:rFonts w:ascii="Palatino Linotype" w:eastAsia="Palatino Linotype" w:hAnsi="Palatino Linotype" w:cs="Palatino Linotype"/>
          <w:b/>
        </w:rPr>
        <w:t xml:space="preserve"> Ayuntamiento de Tepotzotlán </w:t>
      </w:r>
      <w:r w:rsidRPr="00EE6AC6">
        <w:rPr>
          <w:rFonts w:ascii="Palatino Linotype" w:eastAsia="Palatino Linotype" w:hAnsi="Palatino Linotype" w:cs="Palatino Linotype"/>
          <w:color w:val="000000"/>
        </w:rPr>
        <w:t xml:space="preserve">y se </w:t>
      </w:r>
      <w:r w:rsidRPr="00EE6AC6">
        <w:rPr>
          <w:rFonts w:ascii="Palatino Linotype" w:eastAsia="Palatino Linotype" w:hAnsi="Palatino Linotype" w:cs="Palatino Linotype"/>
          <w:b/>
          <w:color w:val="000000"/>
        </w:rPr>
        <w:t>ORDENA</w:t>
      </w:r>
      <w:r w:rsidRPr="00EE6AC6">
        <w:rPr>
          <w:rFonts w:ascii="Palatino Linotype" w:eastAsia="Palatino Linotype" w:hAnsi="Palatino Linotype" w:cs="Palatino Linotype"/>
          <w:color w:val="000000"/>
        </w:rPr>
        <w:t xml:space="preserve"> entregar  previa acreditación de identidad del</w:t>
      </w:r>
      <w:r w:rsidRPr="00EE6AC6">
        <w:rPr>
          <w:rFonts w:ascii="Palatino Linotype" w:eastAsia="Palatino Linotype" w:hAnsi="Palatino Linotype" w:cs="Palatino Linotype"/>
          <w:b/>
          <w:color w:val="000000"/>
        </w:rPr>
        <w:t xml:space="preserve"> RECURRENTE, </w:t>
      </w:r>
      <w:r w:rsidRPr="00EE6AC6">
        <w:rPr>
          <w:rFonts w:ascii="Palatino Linotype" w:eastAsia="Palatino Linotype" w:hAnsi="Palatino Linotype" w:cs="Palatino Linotype"/>
          <w:color w:val="000000"/>
        </w:rPr>
        <w:t>lo siguiente:</w:t>
      </w:r>
    </w:p>
    <w:p w:rsidR="00CC4A71" w:rsidRPr="00EE6AC6" w:rsidRDefault="00057C14" w:rsidP="00586A4E">
      <w:pPr>
        <w:numPr>
          <w:ilvl w:val="3"/>
          <w:numId w:val="7"/>
        </w:numPr>
        <w:pBdr>
          <w:top w:val="nil"/>
          <w:left w:val="nil"/>
          <w:bottom w:val="nil"/>
          <w:right w:val="nil"/>
          <w:between w:val="nil"/>
        </w:pBdr>
        <w:shd w:val="clear" w:color="auto" w:fill="FFFFFF"/>
        <w:spacing w:before="240" w:line="360" w:lineRule="auto"/>
        <w:ind w:left="851" w:right="113"/>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lastRenderedPageBreak/>
        <w:t xml:space="preserve">Copia simple de la razón de notificación llevada a cabo </w:t>
      </w:r>
      <w:r w:rsidR="000A5DF6" w:rsidRPr="00EE6AC6">
        <w:rPr>
          <w:rFonts w:ascii="Palatino Linotype" w:eastAsia="Palatino Linotype" w:hAnsi="Palatino Linotype" w:cs="Palatino Linotype"/>
          <w:b/>
          <w:color w:val="000000"/>
        </w:rPr>
        <w:t>el día 22 de marzo del año 2024 respecto del oficio número DOP/281/2024 de fecha 20 de marzo del 2024.</w:t>
      </w:r>
    </w:p>
    <w:p w:rsidR="00CC4A71" w:rsidRPr="00EE6AC6" w:rsidRDefault="000A5DF6" w:rsidP="00586A4E">
      <w:pPr>
        <w:numPr>
          <w:ilvl w:val="3"/>
          <w:numId w:val="7"/>
        </w:numPr>
        <w:pBdr>
          <w:top w:val="nil"/>
          <w:left w:val="nil"/>
          <w:bottom w:val="nil"/>
          <w:right w:val="nil"/>
          <w:between w:val="nil"/>
        </w:pBdr>
        <w:shd w:val="clear" w:color="auto" w:fill="FFFFFF"/>
        <w:spacing w:after="360" w:line="360" w:lineRule="auto"/>
        <w:ind w:left="851" w:right="113"/>
        <w:jc w:val="both"/>
        <w:rPr>
          <w:rFonts w:ascii="Palatino Linotype" w:eastAsia="Palatino Linotype" w:hAnsi="Palatino Linotype" w:cs="Palatino Linotype"/>
          <w:b/>
          <w:color w:val="000000"/>
        </w:rPr>
      </w:pPr>
      <w:r w:rsidRPr="00EE6AC6">
        <w:rPr>
          <w:rFonts w:ascii="Palatino Linotype" w:eastAsia="Palatino Linotype" w:hAnsi="Palatino Linotype" w:cs="Palatino Linotype"/>
          <w:b/>
          <w:color w:val="000000"/>
        </w:rPr>
        <w:t>Copia simple del oficio número DOP/281/2024, emitido por la Dirección de Obras Públicas en fecha 20 de marzo de 2024.</w:t>
      </w:r>
    </w:p>
    <w:p w:rsidR="00CC4A71" w:rsidRPr="00EE6AC6" w:rsidRDefault="000A5DF6" w:rsidP="00586A4E">
      <w:pPr>
        <w:tabs>
          <w:tab w:val="left" w:pos="8080"/>
        </w:tabs>
        <w:spacing w:line="360" w:lineRule="auto"/>
        <w:ind w:right="113"/>
        <w:jc w:val="both"/>
        <w:rPr>
          <w:rFonts w:ascii="Palatino Linotype" w:eastAsia="Palatino Linotype" w:hAnsi="Palatino Linotype" w:cs="Palatino Linotype"/>
        </w:rPr>
      </w:pPr>
      <w:r w:rsidRPr="00EE6AC6">
        <w:rPr>
          <w:rFonts w:ascii="Palatino Linotype" w:eastAsia="Palatino Linotype" w:hAnsi="Palatino Linotype" w:cs="Palatino Linotype"/>
        </w:rPr>
        <w:t xml:space="preserve">Para la acreditación de la identidad y entrega de la documentación, la Unidad de Transparencia deberá indicar al </w:t>
      </w:r>
      <w:r w:rsidRPr="00EE6AC6">
        <w:rPr>
          <w:rFonts w:ascii="Palatino Linotype" w:eastAsia="Palatino Linotype" w:hAnsi="Palatino Linotype" w:cs="Palatino Linotype"/>
          <w:b/>
        </w:rPr>
        <w:t>RECURRENTE</w:t>
      </w:r>
      <w:r w:rsidRPr="00EE6AC6">
        <w:rPr>
          <w:rFonts w:ascii="Palatino Linotype" w:eastAsia="Palatino Linotype" w:hAnsi="Palatino Linotype" w:cs="Palatino Linotype"/>
        </w:rPr>
        <w:t xml:space="preserve">, a través del </w:t>
      </w:r>
      <w:r w:rsidRPr="00EE6AC6">
        <w:rPr>
          <w:rFonts w:ascii="Palatino Linotype" w:eastAsia="Palatino Linotype" w:hAnsi="Palatino Linotype" w:cs="Palatino Linotype"/>
          <w:b/>
        </w:rPr>
        <w:t>SAIMEX</w:t>
      </w:r>
      <w:r w:rsidRPr="00EE6AC6">
        <w:rPr>
          <w:rFonts w:ascii="Palatino Linotype" w:eastAsia="Palatino Linotype" w:hAnsi="Palatino Linotype" w:cs="Palatino Linotype"/>
        </w:rPr>
        <w:t xml:space="preserve"> y correo electrónico el domicilio, los días y horarios de atención, así como el nombre del servidor público que le atenderá.</w:t>
      </w:r>
    </w:p>
    <w:p w:rsidR="00CC4A71" w:rsidRPr="00EE6AC6" w:rsidRDefault="00CC4A71" w:rsidP="00586A4E">
      <w:pPr>
        <w:tabs>
          <w:tab w:val="left" w:pos="8080"/>
        </w:tabs>
        <w:spacing w:line="360" w:lineRule="auto"/>
        <w:ind w:right="113"/>
        <w:jc w:val="both"/>
        <w:rPr>
          <w:rFonts w:ascii="Palatino Linotype" w:eastAsia="Palatino Linotype" w:hAnsi="Palatino Linotype" w:cs="Palatino Linotype"/>
        </w:rPr>
      </w:pPr>
    </w:p>
    <w:p w:rsidR="00CC4A71" w:rsidRPr="00EE6AC6" w:rsidRDefault="000A5DF6" w:rsidP="00586A4E">
      <w:pPr>
        <w:tabs>
          <w:tab w:val="left" w:pos="8080"/>
        </w:tabs>
        <w:spacing w:line="360" w:lineRule="auto"/>
        <w:ind w:right="113"/>
        <w:jc w:val="both"/>
        <w:rPr>
          <w:rFonts w:ascii="Palatino Linotype" w:eastAsia="Palatino Linotype" w:hAnsi="Palatino Linotype" w:cs="Palatino Linotype"/>
        </w:rPr>
      </w:pPr>
      <w:r w:rsidRPr="00EE6AC6">
        <w:rPr>
          <w:rFonts w:ascii="Palatino Linotype" w:eastAsia="Palatino Linotype" w:hAnsi="Palatino Linotype" w:cs="Palatino Linotype"/>
          <w:b/>
        </w:rPr>
        <w:t>TERCERO</w:t>
      </w:r>
      <w:r w:rsidRPr="00EE6AC6">
        <w:rPr>
          <w:rFonts w:ascii="Palatino Linotype" w:eastAsia="Palatino Linotype" w:hAnsi="Palatino Linotype" w:cs="Palatino Linotype"/>
          <w:b/>
          <w:color w:val="222222"/>
        </w:rPr>
        <w:t xml:space="preserve">. </w:t>
      </w:r>
      <w:r w:rsidRPr="00EE6AC6">
        <w:rPr>
          <w:rFonts w:ascii="Palatino Linotype" w:eastAsia="Palatino Linotype" w:hAnsi="Palatino Linotype" w:cs="Palatino Linotype"/>
          <w:b/>
        </w:rPr>
        <w:t xml:space="preserve">Notifíquese </w:t>
      </w:r>
      <w:r w:rsidRPr="00EE6AC6">
        <w:rPr>
          <w:rFonts w:ascii="Palatino Linotype" w:eastAsia="Palatino Linotype" w:hAnsi="Palatino Linotype" w:cs="Palatino Linotype"/>
        </w:rPr>
        <w:t xml:space="preserve">al Titular de la Unidad de Transparencia del </w:t>
      </w:r>
      <w:r w:rsidRPr="00EE6AC6">
        <w:rPr>
          <w:rFonts w:ascii="Palatino Linotype" w:eastAsia="Palatino Linotype" w:hAnsi="Palatino Linotype" w:cs="Palatino Linotype"/>
          <w:b/>
        </w:rPr>
        <w:t xml:space="preserve">SUJETO OBLIGADO </w:t>
      </w:r>
      <w:r w:rsidRPr="00EE6AC6">
        <w:rPr>
          <w:rFonts w:ascii="Palatino Linotype" w:eastAsia="Palatino Linotype" w:hAnsi="Palatino Linotype" w:cs="Palatino Linotype"/>
        </w:rPr>
        <w:t xml:space="preserve">vía </w:t>
      </w:r>
      <w:r w:rsidRPr="00EE6AC6">
        <w:rPr>
          <w:rFonts w:ascii="Palatino Linotype" w:eastAsia="Palatino Linotype" w:hAnsi="Palatino Linotype" w:cs="Palatino Linotype"/>
          <w:b/>
        </w:rPr>
        <w:t xml:space="preserve">SAIMEX, </w:t>
      </w:r>
      <w:r w:rsidRPr="00EE6AC6">
        <w:rPr>
          <w:rFonts w:ascii="Palatino Linotype" w:eastAsia="Palatino Linotype" w:hAnsi="Palatino Linotype" w:cs="Palatino Linotype"/>
        </w:rPr>
        <w:t xml:space="preserve">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w:t>
      </w:r>
      <w:r w:rsidRPr="00EE6AC6">
        <w:rPr>
          <w:rFonts w:ascii="Palatino Linotype" w:eastAsia="Palatino Linotype" w:hAnsi="Palatino Linotype" w:cs="Palatino Linotype"/>
          <w:b/>
        </w:rPr>
        <w:t>dé cumplimiento a lo ordenado dentro del plazo de diez días hábiles</w:t>
      </w:r>
      <w:r w:rsidRPr="00EE6AC6">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de aplicación supletoria.</w:t>
      </w:r>
    </w:p>
    <w:p w:rsidR="00CC4A71" w:rsidRPr="00EE6AC6" w:rsidRDefault="00CC4A71" w:rsidP="00586A4E">
      <w:pPr>
        <w:widowControl w:val="0"/>
        <w:pBdr>
          <w:top w:val="nil"/>
          <w:left w:val="nil"/>
          <w:bottom w:val="nil"/>
          <w:right w:val="nil"/>
          <w:between w:val="nil"/>
        </w:pBdr>
        <w:tabs>
          <w:tab w:val="left" w:pos="1701"/>
        </w:tabs>
        <w:spacing w:before="240" w:line="360" w:lineRule="auto"/>
        <w:ind w:right="113"/>
        <w:jc w:val="both"/>
        <w:rPr>
          <w:rFonts w:ascii="Palatino Linotype" w:eastAsia="Palatino Linotype" w:hAnsi="Palatino Linotype" w:cs="Palatino Linotype"/>
          <w:color w:val="222222"/>
        </w:rPr>
      </w:pPr>
    </w:p>
    <w:p w:rsidR="00CC4A71" w:rsidRPr="00EE6AC6" w:rsidRDefault="000A5DF6" w:rsidP="00586A4E">
      <w:pPr>
        <w:widowControl w:val="0"/>
        <w:pBdr>
          <w:top w:val="nil"/>
          <w:left w:val="nil"/>
          <w:bottom w:val="nil"/>
          <w:right w:val="nil"/>
          <w:between w:val="nil"/>
        </w:pBdr>
        <w:tabs>
          <w:tab w:val="left" w:pos="1701"/>
        </w:tabs>
        <w:spacing w:line="360" w:lineRule="auto"/>
        <w:ind w:right="113"/>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b/>
          <w:color w:val="222222"/>
        </w:rPr>
        <w:t xml:space="preserve">CUARTO. </w:t>
      </w:r>
      <w:r w:rsidRPr="00EE6AC6">
        <w:rPr>
          <w:rFonts w:ascii="Palatino Linotype" w:eastAsia="Palatino Linotype" w:hAnsi="Palatino Linotype" w:cs="Palatino Linotype"/>
          <w:color w:val="000000"/>
        </w:rPr>
        <w:t xml:space="preserve">De conformidad con el artículo 198, de la Ley de Transparencia y Acceso a la Información Pública del Estado de México y Municipios de aplicación supletoria, de considerarlo procedente, el </w:t>
      </w:r>
      <w:r w:rsidRPr="00EE6AC6">
        <w:rPr>
          <w:rFonts w:ascii="Palatino Linotype" w:eastAsia="Palatino Linotype" w:hAnsi="Palatino Linotype" w:cs="Palatino Linotype"/>
          <w:b/>
          <w:color w:val="000000"/>
        </w:rPr>
        <w:t>SUJETO OBLIGADO</w:t>
      </w:r>
      <w:r w:rsidRPr="00EE6AC6">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rsidR="00CC4A71" w:rsidRPr="00EE6AC6" w:rsidRDefault="00CC4A71" w:rsidP="00586A4E">
      <w:pPr>
        <w:widowControl w:val="0"/>
        <w:pBdr>
          <w:top w:val="nil"/>
          <w:left w:val="nil"/>
          <w:bottom w:val="nil"/>
          <w:right w:val="nil"/>
          <w:between w:val="nil"/>
        </w:pBdr>
        <w:tabs>
          <w:tab w:val="left" w:pos="1701"/>
        </w:tabs>
        <w:spacing w:line="360" w:lineRule="auto"/>
        <w:ind w:right="113"/>
        <w:jc w:val="both"/>
        <w:rPr>
          <w:rFonts w:ascii="Palatino Linotype" w:eastAsia="Palatino Linotype" w:hAnsi="Palatino Linotype" w:cs="Palatino Linotype"/>
          <w:color w:val="000000"/>
        </w:rPr>
      </w:pPr>
    </w:p>
    <w:p w:rsidR="00CC4A71" w:rsidRPr="00EE6AC6" w:rsidRDefault="000A5DF6" w:rsidP="00586A4E">
      <w:pPr>
        <w:widowControl w:val="0"/>
        <w:pBdr>
          <w:top w:val="nil"/>
          <w:left w:val="nil"/>
          <w:bottom w:val="nil"/>
          <w:right w:val="nil"/>
          <w:between w:val="nil"/>
        </w:pBdr>
        <w:tabs>
          <w:tab w:val="left" w:pos="1701"/>
        </w:tabs>
        <w:spacing w:line="360" w:lineRule="auto"/>
        <w:ind w:right="113"/>
        <w:jc w:val="both"/>
        <w:rPr>
          <w:rFonts w:ascii="Palatino Linotype" w:eastAsia="Palatino Linotype" w:hAnsi="Palatino Linotype" w:cs="Palatino Linotype"/>
          <w:color w:val="000000"/>
        </w:rPr>
      </w:pPr>
      <w:r w:rsidRPr="00EE6AC6">
        <w:rPr>
          <w:rFonts w:ascii="Palatino Linotype" w:eastAsia="Palatino Linotype" w:hAnsi="Palatino Linotype" w:cs="Palatino Linotype"/>
          <w:b/>
          <w:color w:val="000000"/>
        </w:rPr>
        <w:t>QUINTO</w:t>
      </w:r>
      <w:r w:rsidRPr="00EE6AC6">
        <w:rPr>
          <w:rFonts w:ascii="Palatino Linotype" w:eastAsia="Palatino Linotype" w:hAnsi="Palatino Linotype" w:cs="Palatino Linotype"/>
          <w:color w:val="000000"/>
        </w:rPr>
        <w:t xml:space="preserve">. Notifíquese al </w:t>
      </w:r>
      <w:r w:rsidRPr="00EE6AC6">
        <w:rPr>
          <w:rFonts w:ascii="Palatino Linotype" w:eastAsia="Palatino Linotype" w:hAnsi="Palatino Linotype" w:cs="Palatino Linotype"/>
          <w:b/>
          <w:color w:val="000000"/>
        </w:rPr>
        <w:t>RECURRENTE</w:t>
      </w:r>
      <w:r w:rsidRPr="00EE6AC6">
        <w:rPr>
          <w:rFonts w:ascii="Palatino Linotype" w:eastAsia="Palatino Linotype" w:hAnsi="Palatino Linotype" w:cs="Palatino Linotype"/>
          <w:color w:val="000000"/>
        </w:rPr>
        <w:t xml:space="preserve"> la presente Resolución, vía </w:t>
      </w:r>
      <w:r w:rsidRPr="00EE6AC6">
        <w:rPr>
          <w:rFonts w:ascii="Palatino Linotype" w:eastAsia="Palatino Linotype" w:hAnsi="Palatino Linotype" w:cs="Palatino Linotype"/>
          <w:b/>
          <w:color w:val="000000"/>
        </w:rPr>
        <w:t>SAIMEX</w:t>
      </w:r>
      <w:r w:rsidRPr="00EE6AC6">
        <w:rPr>
          <w:rFonts w:ascii="Palatino Linotype" w:eastAsia="Palatino Linotype" w:hAnsi="Palatino Linotype" w:cs="Palatino Linotype"/>
          <w:color w:val="000000"/>
        </w:rPr>
        <w:t xml:space="preserve"> y </w:t>
      </w:r>
      <w:r w:rsidRPr="00EE6AC6">
        <w:rPr>
          <w:rFonts w:ascii="Palatino Linotype" w:eastAsia="Palatino Linotype" w:hAnsi="Palatino Linotype" w:cs="Palatino Linotype"/>
          <w:b/>
          <w:color w:val="000000"/>
        </w:rPr>
        <w:t>correo electrónico.</w:t>
      </w:r>
      <w:r w:rsidRPr="00EE6AC6">
        <w:rPr>
          <w:rFonts w:ascii="Palatino Linotype" w:eastAsia="Palatino Linotype" w:hAnsi="Palatino Linotype" w:cs="Palatino Linotype"/>
          <w:color w:val="000000"/>
        </w:rPr>
        <w:t xml:space="preserve"> </w:t>
      </w:r>
    </w:p>
    <w:p w:rsidR="00CC4A71" w:rsidRPr="00EE6AC6" w:rsidRDefault="00CC4A71" w:rsidP="00586A4E">
      <w:pPr>
        <w:widowControl w:val="0"/>
        <w:pBdr>
          <w:top w:val="nil"/>
          <w:left w:val="nil"/>
          <w:bottom w:val="nil"/>
          <w:right w:val="nil"/>
          <w:between w:val="nil"/>
        </w:pBdr>
        <w:tabs>
          <w:tab w:val="left" w:pos="1701"/>
        </w:tabs>
        <w:spacing w:after="240" w:line="360" w:lineRule="auto"/>
        <w:ind w:right="113"/>
        <w:jc w:val="both"/>
        <w:rPr>
          <w:rFonts w:ascii="Palatino Linotype" w:eastAsia="Palatino Linotype" w:hAnsi="Palatino Linotype" w:cs="Palatino Linotype"/>
          <w:color w:val="222222"/>
        </w:rPr>
      </w:pPr>
    </w:p>
    <w:p w:rsidR="00CC4A71" w:rsidRPr="00EE6AC6" w:rsidRDefault="000A5DF6" w:rsidP="00586A4E">
      <w:pPr>
        <w:shd w:val="clear" w:color="auto" w:fill="FFFFFF"/>
        <w:spacing w:line="360" w:lineRule="auto"/>
        <w:ind w:right="113"/>
        <w:jc w:val="both"/>
        <w:rPr>
          <w:rFonts w:ascii="Palatino Linotype" w:eastAsia="Palatino Linotype" w:hAnsi="Palatino Linotype" w:cs="Palatino Linotype"/>
        </w:rPr>
      </w:pPr>
      <w:r w:rsidRPr="00EE6AC6">
        <w:rPr>
          <w:rFonts w:ascii="Palatino Linotype" w:eastAsia="Palatino Linotype" w:hAnsi="Palatino Linotype" w:cs="Palatino Linotype"/>
          <w:b/>
        </w:rPr>
        <w:t xml:space="preserve">SEXTO. </w:t>
      </w:r>
      <w:r w:rsidRPr="00EE6AC6">
        <w:rPr>
          <w:rFonts w:ascii="Palatino Linotype" w:eastAsia="Palatino Linotype" w:hAnsi="Palatino Linotype" w:cs="Palatino Linotype"/>
        </w:rPr>
        <w:t>Se hace del conocimiento del</w:t>
      </w:r>
      <w:r w:rsidRPr="00EE6AC6">
        <w:rPr>
          <w:rFonts w:ascii="Palatino Linotype" w:eastAsia="Palatino Linotype" w:hAnsi="Palatino Linotype" w:cs="Palatino Linotype"/>
          <w:b/>
        </w:rPr>
        <w:t xml:space="preserve"> RECURRENTE </w:t>
      </w:r>
      <w:r w:rsidRPr="00EE6AC6">
        <w:rPr>
          <w:rFonts w:ascii="Palatino Linotype" w:eastAsia="Palatino Linotype" w:hAnsi="Palatino Linotype" w:cs="Palatino Linotype"/>
        </w:rPr>
        <w:t>que, 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rsidR="00384440" w:rsidRPr="00EE6AC6" w:rsidRDefault="00384440" w:rsidP="00586A4E">
      <w:pPr>
        <w:shd w:val="clear" w:color="auto" w:fill="FFFFFF"/>
        <w:spacing w:line="360" w:lineRule="auto"/>
        <w:ind w:right="113"/>
        <w:jc w:val="both"/>
        <w:rPr>
          <w:rFonts w:ascii="Palatino Linotype" w:eastAsia="Palatino Linotype" w:hAnsi="Palatino Linotype" w:cs="Palatino Linotype"/>
        </w:rPr>
      </w:pPr>
    </w:p>
    <w:p w:rsidR="00384440" w:rsidRPr="003C7186" w:rsidRDefault="00384440" w:rsidP="00384440">
      <w:pPr>
        <w:spacing w:line="360" w:lineRule="auto"/>
        <w:ind w:left="-142" w:right="-234" w:firstLine="1"/>
        <w:jc w:val="both"/>
        <w:rPr>
          <w:rFonts w:ascii="Palatino Linotype" w:hAnsi="Palatino Linotype"/>
        </w:rPr>
      </w:pPr>
      <w:r w:rsidRPr="00EE6AC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w:t>
      </w:r>
      <w:r w:rsidRPr="00EE6AC6">
        <w:rPr>
          <w:rFonts w:ascii="Palatino Linotype" w:hAnsi="Palatino Linotype"/>
        </w:rPr>
        <w:lastRenderedPageBreak/>
        <w:t>CELEBRADA EL VEINTIDÓS (22) DE ENERO DE DOS MIL VEINTICINCO, ANTE EL SECRETARIO TÉCNICO DEL PLENO ALEXIS TAPIA RAMÍREZ.</w:t>
      </w:r>
      <w:bookmarkStart w:id="7" w:name="_GoBack"/>
      <w:bookmarkEnd w:id="7"/>
      <w:r w:rsidRPr="003C7186">
        <w:rPr>
          <w:rFonts w:ascii="Palatino Linotype" w:hAnsi="Palatino Linotype"/>
        </w:rPr>
        <w:t xml:space="preserve"> </w:t>
      </w: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jc w:val="both"/>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876"/>
        <w:rPr>
          <w:rFonts w:ascii="Palatino Linotype" w:eastAsia="Palatino Linotype" w:hAnsi="Palatino Linotype" w:cs="Palatino Linotype"/>
        </w:rPr>
      </w:pPr>
    </w:p>
    <w:p w:rsidR="00CC4A71" w:rsidRDefault="00CC4A71">
      <w:pPr>
        <w:spacing w:line="360" w:lineRule="auto"/>
        <w:ind w:right="-592"/>
        <w:rPr>
          <w:rFonts w:ascii="Palatino Linotype" w:eastAsia="Palatino Linotype" w:hAnsi="Palatino Linotype" w:cs="Palatino Linotype"/>
          <w:sz w:val="22"/>
          <w:szCs w:val="22"/>
        </w:rPr>
      </w:pPr>
    </w:p>
    <w:sectPr w:rsidR="00CC4A71">
      <w:headerReference w:type="even" r:id="rId20"/>
      <w:headerReference w:type="default" r:id="rId21"/>
      <w:footerReference w:type="default" r:id="rId22"/>
      <w:headerReference w:type="first" r:id="rId23"/>
      <w:footerReference w:type="first" r:id="rId2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16" w:rsidRDefault="00493716">
      <w:r>
        <w:separator/>
      </w:r>
    </w:p>
  </w:endnote>
  <w:endnote w:type="continuationSeparator" w:id="0">
    <w:p w:rsidR="00493716" w:rsidRDefault="0049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71" w:rsidRDefault="000A5DF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E6AC6">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E6AC6">
      <w:rPr>
        <w:b/>
        <w:noProof/>
        <w:color w:val="000000"/>
      </w:rPr>
      <w:t>36</w:t>
    </w:r>
    <w:r>
      <w:rPr>
        <w:b/>
        <w:color w:val="000000"/>
      </w:rPr>
      <w:fldChar w:fldCharType="end"/>
    </w:r>
  </w:p>
  <w:p w:rsidR="00CC4A71" w:rsidRDefault="00CC4A7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71" w:rsidRDefault="000A5DF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E6AC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E6AC6">
      <w:rPr>
        <w:b/>
        <w:noProof/>
        <w:color w:val="000000"/>
      </w:rPr>
      <w:t>36</w:t>
    </w:r>
    <w:r>
      <w:rPr>
        <w:b/>
        <w:color w:val="000000"/>
      </w:rPr>
      <w:fldChar w:fldCharType="end"/>
    </w:r>
  </w:p>
  <w:p w:rsidR="00CC4A71" w:rsidRDefault="00CC4A7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16" w:rsidRDefault="00493716">
      <w:r>
        <w:separator/>
      </w:r>
    </w:p>
  </w:footnote>
  <w:footnote w:type="continuationSeparator" w:id="0">
    <w:p w:rsidR="00493716" w:rsidRDefault="00493716">
      <w:r>
        <w:continuationSeparator/>
      </w:r>
    </w:p>
  </w:footnote>
  <w:footnote w:id="1">
    <w:p w:rsidR="00CC4A71" w:rsidRDefault="000A5DF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2007561. 1a. CCCXXVII/2014 (10a.). Primera Sala. Décima Época. Gaceta del Semanario Judicial de la Federación. Libro 11, Octubre de 2014, Pág. 613.</w:t>
      </w:r>
    </w:p>
  </w:footnote>
  <w:footnote w:id="2">
    <w:p w:rsidR="00CC4A71" w:rsidRDefault="000A5DF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98, Ley de Protección de Datos Personales en Posesión de Sujetos Obligados del Estado de México y Municipios.</w:t>
      </w:r>
    </w:p>
  </w:footnote>
  <w:footnote w:id="3">
    <w:p w:rsidR="00CC4A71" w:rsidRDefault="000A5DF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106, Ídem.</w:t>
      </w:r>
    </w:p>
  </w:footnote>
  <w:footnote w:id="4">
    <w:p w:rsidR="00CC4A71" w:rsidRDefault="000A5DF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107, Ley de Protección de Datos Personales en Posesión de Sujetos Obligados del Estado de México y Municipios.</w:t>
      </w:r>
    </w:p>
  </w:footnote>
  <w:footnote w:id="5">
    <w:p w:rsidR="00CC4A71" w:rsidRDefault="000A5DF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118,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71" w:rsidRDefault="0049371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71" w:rsidRDefault="00CC4A71">
    <w:pPr>
      <w:widowControl w:val="0"/>
      <w:pBdr>
        <w:top w:val="nil"/>
        <w:left w:val="nil"/>
        <w:bottom w:val="nil"/>
        <w:right w:val="nil"/>
        <w:between w:val="nil"/>
      </w:pBdr>
      <w:spacing w:line="276" w:lineRule="auto"/>
      <w:rPr>
        <w:color w:val="000000"/>
      </w:rPr>
    </w:pPr>
  </w:p>
  <w:tbl>
    <w:tblPr>
      <w:tblStyle w:val="ab"/>
      <w:tblW w:w="9214" w:type="dxa"/>
      <w:tblInd w:w="0" w:type="dxa"/>
      <w:tblLayout w:type="fixed"/>
      <w:tblLook w:val="0400" w:firstRow="0" w:lastRow="0" w:firstColumn="0" w:lastColumn="0" w:noHBand="0" w:noVBand="1"/>
    </w:tblPr>
    <w:tblGrid>
      <w:gridCol w:w="2268"/>
      <w:gridCol w:w="6946"/>
    </w:tblGrid>
    <w:tr w:rsidR="00CC4A71">
      <w:trPr>
        <w:trHeight w:val="1435"/>
      </w:trPr>
      <w:tc>
        <w:tcPr>
          <w:tcW w:w="2268" w:type="dxa"/>
          <w:shd w:val="clear" w:color="auto" w:fill="auto"/>
        </w:tcPr>
        <w:p w:rsidR="00CC4A71" w:rsidRDefault="00CC4A71">
          <w:pPr>
            <w:tabs>
              <w:tab w:val="right" w:pos="4273"/>
            </w:tabs>
            <w:rPr>
              <w:rFonts w:ascii="Garamond" w:eastAsia="Garamond" w:hAnsi="Garamond" w:cs="Garamond"/>
              <w:sz w:val="16"/>
              <w:szCs w:val="16"/>
            </w:rPr>
          </w:pPr>
        </w:p>
      </w:tc>
      <w:tc>
        <w:tcPr>
          <w:tcW w:w="6946" w:type="dxa"/>
          <w:shd w:val="clear" w:color="auto" w:fill="auto"/>
        </w:tcPr>
        <w:p w:rsidR="00CC4A71" w:rsidRDefault="00CC4A71"/>
        <w:tbl>
          <w:tblPr>
            <w:tblStyle w:val="ac"/>
            <w:tblW w:w="6660" w:type="dxa"/>
            <w:tblInd w:w="40" w:type="dxa"/>
            <w:tblLayout w:type="fixed"/>
            <w:tblLook w:val="0400" w:firstRow="0" w:lastRow="0" w:firstColumn="0" w:lastColumn="0" w:noHBand="0" w:noVBand="1"/>
          </w:tblPr>
          <w:tblGrid>
            <w:gridCol w:w="3377"/>
            <w:gridCol w:w="3283"/>
          </w:tblGrid>
          <w:tr w:rsidR="00CC4A71">
            <w:trPr>
              <w:trHeight w:val="150"/>
            </w:trPr>
            <w:tc>
              <w:tcPr>
                <w:tcW w:w="3377" w:type="dxa"/>
                <w:shd w:val="clear" w:color="auto" w:fill="auto"/>
              </w:tcPr>
              <w:p w:rsidR="00CC4A71" w:rsidRDefault="000A5DF6">
                <w:pPr>
                  <w:tabs>
                    <w:tab w:val="right" w:pos="8838"/>
                  </w:tabs>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3" w:type="dxa"/>
                <w:shd w:val="clear" w:color="auto" w:fill="auto"/>
              </w:tcPr>
              <w:p w:rsidR="002B5B80" w:rsidRDefault="000A5DF6">
                <w:pPr>
                  <w:tabs>
                    <w:tab w:val="right" w:pos="8838"/>
                  </w:tabs>
                  <w:ind w:right="-14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03538/INFOEM/IP/RR/2024 </w:t>
                </w:r>
              </w:p>
              <w:p w:rsidR="00CC4A71" w:rsidRDefault="000A5DF6">
                <w:pPr>
                  <w:tabs>
                    <w:tab w:val="right" w:pos="8838"/>
                  </w:tabs>
                  <w:ind w:right="-14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r>
          <w:tr w:rsidR="00CC4A71">
            <w:trPr>
              <w:trHeight w:val="295"/>
            </w:trPr>
            <w:tc>
              <w:tcPr>
                <w:tcW w:w="3377" w:type="dxa"/>
                <w:shd w:val="clear" w:color="auto" w:fill="auto"/>
              </w:tcPr>
              <w:p w:rsidR="00CC4A71" w:rsidRDefault="000A5DF6">
                <w:pPr>
                  <w:tabs>
                    <w:tab w:val="right" w:pos="8838"/>
                  </w:tabs>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3" w:type="dxa"/>
                <w:shd w:val="clear" w:color="auto" w:fill="auto"/>
              </w:tcPr>
              <w:p w:rsidR="00CC4A71" w:rsidRDefault="000A5DF6">
                <w:pPr>
                  <w:tabs>
                    <w:tab w:val="left" w:pos="2834"/>
                    <w:tab w:val="right" w:pos="8838"/>
                  </w:tabs>
                  <w:ind w:right="-12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Tepotzotlán</w:t>
                </w:r>
              </w:p>
            </w:tc>
          </w:tr>
          <w:tr w:rsidR="00CC4A71">
            <w:trPr>
              <w:trHeight w:val="295"/>
            </w:trPr>
            <w:tc>
              <w:tcPr>
                <w:tcW w:w="3377" w:type="dxa"/>
                <w:shd w:val="clear" w:color="auto" w:fill="auto"/>
              </w:tcPr>
              <w:p w:rsidR="00CC4A71" w:rsidRDefault="000A5DF6">
                <w:pPr>
                  <w:tabs>
                    <w:tab w:val="right" w:pos="8838"/>
                  </w:tabs>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83" w:type="dxa"/>
                <w:shd w:val="clear" w:color="auto" w:fill="auto"/>
              </w:tcPr>
              <w:p w:rsidR="00CC4A71" w:rsidRDefault="000A5DF6">
                <w:pPr>
                  <w:tabs>
                    <w:tab w:val="right" w:pos="8838"/>
                  </w:tabs>
                  <w:ind w:right="-12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C4A71" w:rsidRDefault="00CC4A71">
                <w:pPr>
                  <w:tabs>
                    <w:tab w:val="right" w:pos="8838"/>
                  </w:tabs>
                  <w:ind w:right="-1206"/>
                  <w:jc w:val="both"/>
                  <w:rPr>
                    <w:rFonts w:ascii="Palatino Linotype" w:eastAsia="Palatino Linotype" w:hAnsi="Palatino Linotype" w:cs="Palatino Linotype"/>
                    <w:b/>
                    <w:sz w:val="22"/>
                    <w:szCs w:val="22"/>
                  </w:rPr>
                </w:pPr>
              </w:p>
            </w:tc>
          </w:tr>
        </w:tbl>
        <w:p w:rsidR="00CC4A71" w:rsidRDefault="00CC4A71">
          <w:pPr>
            <w:tabs>
              <w:tab w:val="right" w:pos="8838"/>
            </w:tabs>
            <w:ind w:left="-28"/>
            <w:jc w:val="both"/>
            <w:rPr>
              <w:rFonts w:ascii="Arial" w:eastAsia="Arial" w:hAnsi="Arial" w:cs="Arial"/>
              <w:b/>
              <w:sz w:val="22"/>
              <w:szCs w:val="22"/>
            </w:rPr>
          </w:pPr>
        </w:p>
      </w:tc>
    </w:tr>
  </w:tbl>
  <w:p w:rsidR="00CC4A71" w:rsidRDefault="00493716">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71" w:rsidRDefault="00CC4A71">
    <w:pPr>
      <w:widowControl w:val="0"/>
      <w:pBdr>
        <w:top w:val="nil"/>
        <w:left w:val="nil"/>
        <w:bottom w:val="nil"/>
        <w:right w:val="nil"/>
        <w:between w:val="nil"/>
      </w:pBdr>
      <w:spacing w:line="276" w:lineRule="auto"/>
      <w:rPr>
        <w:color w:val="000000"/>
        <w:sz w:val="14"/>
        <w:szCs w:val="14"/>
      </w:rPr>
    </w:pPr>
  </w:p>
  <w:tbl>
    <w:tblPr>
      <w:tblStyle w:val="ad"/>
      <w:tblW w:w="10425" w:type="dxa"/>
      <w:tblInd w:w="0" w:type="dxa"/>
      <w:tblLayout w:type="fixed"/>
      <w:tblLook w:val="0400" w:firstRow="0" w:lastRow="0" w:firstColumn="0" w:lastColumn="0" w:noHBand="0" w:noVBand="1"/>
    </w:tblPr>
    <w:tblGrid>
      <w:gridCol w:w="2265"/>
      <w:gridCol w:w="8160"/>
    </w:tblGrid>
    <w:tr w:rsidR="00CC4A71">
      <w:trPr>
        <w:trHeight w:val="1435"/>
      </w:trPr>
      <w:tc>
        <w:tcPr>
          <w:tcW w:w="2265" w:type="dxa"/>
          <w:shd w:val="clear" w:color="auto" w:fill="auto"/>
        </w:tcPr>
        <w:p w:rsidR="00CC4A71" w:rsidRDefault="00CC4A71">
          <w:pPr>
            <w:tabs>
              <w:tab w:val="right" w:pos="4273"/>
            </w:tabs>
            <w:rPr>
              <w:rFonts w:ascii="Garamond" w:eastAsia="Garamond" w:hAnsi="Garamond" w:cs="Garamond"/>
              <w:sz w:val="22"/>
              <w:szCs w:val="22"/>
            </w:rPr>
          </w:pPr>
        </w:p>
      </w:tc>
      <w:tc>
        <w:tcPr>
          <w:tcW w:w="8160" w:type="dxa"/>
          <w:shd w:val="clear" w:color="auto" w:fill="auto"/>
        </w:tcPr>
        <w:p w:rsidR="00CC4A71" w:rsidRDefault="00CC4A7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7860" w:type="dxa"/>
            <w:tblInd w:w="40" w:type="dxa"/>
            <w:tblLayout w:type="fixed"/>
            <w:tblLook w:val="0400" w:firstRow="0" w:lastRow="0" w:firstColumn="0" w:lastColumn="0" w:noHBand="0" w:noVBand="1"/>
          </w:tblPr>
          <w:tblGrid>
            <w:gridCol w:w="3225"/>
            <w:gridCol w:w="4635"/>
          </w:tblGrid>
          <w:tr w:rsidR="00CC4A71">
            <w:trPr>
              <w:trHeight w:val="144"/>
            </w:trPr>
            <w:tc>
              <w:tcPr>
                <w:tcW w:w="3225" w:type="dxa"/>
                <w:shd w:val="clear" w:color="auto" w:fill="auto"/>
              </w:tcPr>
              <w:p w:rsidR="00CC4A71" w:rsidRDefault="000A5DF6">
                <w:pPr>
                  <w:tabs>
                    <w:tab w:val="right" w:pos="7787"/>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shd w:val="clear" w:color="auto" w:fill="auto"/>
              </w:tcPr>
              <w:p w:rsidR="00CC4A71" w:rsidRDefault="000A5DF6">
                <w:pPr>
                  <w:tabs>
                    <w:tab w:val="right" w:pos="7787"/>
                  </w:tabs>
                  <w:ind w:left="141" w:right="-162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03538/INFOEM/IP/RR/2024 y Acumulado</w:t>
                </w:r>
              </w:p>
            </w:tc>
          </w:tr>
          <w:tr w:rsidR="00CC4A71">
            <w:trPr>
              <w:trHeight w:val="144"/>
            </w:trPr>
            <w:tc>
              <w:tcPr>
                <w:tcW w:w="3225" w:type="dxa"/>
                <w:shd w:val="clear" w:color="auto" w:fill="auto"/>
              </w:tcPr>
              <w:p w:rsidR="00CC4A71" w:rsidRDefault="000A5DF6">
                <w:pPr>
                  <w:tabs>
                    <w:tab w:val="right" w:pos="7787"/>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shd w:val="clear" w:color="auto" w:fill="auto"/>
              </w:tcPr>
              <w:p w:rsidR="00CC4A71" w:rsidRDefault="00EE6AC6">
                <w:pPr>
                  <w:tabs>
                    <w:tab w:val="left" w:pos="3122"/>
                    <w:tab w:val="right" w:pos="7787"/>
                  </w:tabs>
                  <w:ind w:left="141" w:right="-162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w:t>
                </w:r>
              </w:p>
            </w:tc>
          </w:tr>
          <w:tr w:rsidR="00CC4A71">
            <w:trPr>
              <w:trHeight w:val="283"/>
            </w:trPr>
            <w:tc>
              <w:tcPr>
                <w:tcW w:w="3225" w:type="dxa"/>
                <w:shd w:val="clear" w:color="auto" w:fill="auto"/>
              </w:tcPr>
              <w:p w:rsidR="00CC4A71" w:rsidRDefault="000A5DF6">
                <w:pPr>
                  <w:tabs>
                    <w:tab w:val="right" w:pos="7787"/>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shd w:val="clear" w:color="auto" w:fill="auto"/>
              </w:tcPr>
              <w:p w:rsidR="00CC4A71" w:rsidRDefault="000A5DF6">
                <w:pPr>
                  <w:tabs>
                    <w:tab w:val="left" w:pos="2834"/>
                    <w:tab w:val="right" w:pos="7787"/>
                  </w:tabs>
                  <w:ind w:left="141" w:right="-162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Tepotzotlán</w:t>
                </w:r>
              </w:p>
            </w:tc>
          </w:tr>
          <w:tr w:rsidR="00CC4A71">
            <w:trPr>
              <w:trHeight w:val="283"/>
            </w:trPr>
            <w:tc>
              <w:tcPr>
                <w:tcW w:w="3225" w:type="dxa"/>
                <w:shd w:val="clear" w:color="auto" w:fill="auto"/>
              </w:tcPr>
              <w:p w:rsidR="00CC4A71" w:rsidRDefault="000A5DF6">
                <w:pPr>
                  <w:tabs>
                    <w:tab w:val="right" w:pos="7787"/>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shd w:val="clear" w:color="auto" w:fill="auto"/>
              </w:tcPr>
              <w:p w:rsidR="00CC4A71" w:rsidRDefault="000A5DF6">
                <w:pPr>
                  <w:tabs>
                    <w:tab w:val="right" w:pos="7787"/>
                  </w:tabs>
                  <w:ind w:left="141" w:right="-162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C4A71" w:rsidRDefault="00CC4A71">
                <w:pPr>
                  <w:tabs>
                    <w:tab w:val="right" w:pos="7787"/>
                  </w:tabs>
                  <w:ind w:left="141" w:right="-1623"/>
                  <w:jc w:val="both"/>
                  <w:rPr>
                    <w:rFonts w:ascii="Palatino Linotype" w:eastAsia="Palatino Linotype" w:hAnsi="Palatino Linotype" w:cs="Palatino Linotype"/>
                    <w:b/>
                    <w:sz w:val="22"/>
                    <w:szCs w:val="22"/>
                  </w:rPr>
                </w:pPr>
              </w:p>
            </w:tc>
          </w:tr>
        </w:tbl>
        <w:p w:rsidR="00CC4A71" w:rsidRDefault="00CC4A71">
          <w:pPr>
            <w:tabs>
              <w:tab w:val="right" w:pos="8838"/>
            </w:tabs>
            <w:ind w:left="-28"/>
            <w:jc w:val="both"/>
            <w:rPr>
              <w:rFonts w:ascii="Arial" w:eastAsia="Arial" w:hAnsi="Arial" w:cs="Arial"/>
              <w:b/>
              <w:sz w:val="22"/>
              <w:szCs w:val="22"/>
            </w:rPr>
          </w:pPr>
        </w:p>
      </w:tc>
    </w:tr>
  </w:tbl>
  <w:p w:rsidR="00CC4A71" w:rsidRDefault="00493716">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73567"/>
    <w:multiLevelType w:val="multilevel"/>
    <w:tmpl w:val="C098355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23252B7"/>
    <w:multiLevelType w:val="multilevel"/>
    <w:tmpl w:val="134467D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C156F"/>
    <w:multiLevelType w:val="multilevel"/>
    <w:tmpl w:val="00F87E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D2679E3"/>
    <w:multiLevelType w:val="multilevel"/>
    <w:tmpl w:val="77382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8F4174"/>
    <w:multiLevelType w:val="multilevel"/>
    <w:tmpl w:val="8CA4FD1A"/>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6713BC6"/>
    <w:multiLevelType w:val="multilevel"/>
    <w:tmpl w:val="9A60F6B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rFonts w:ascii="Palatino Linotype" w:eastAsia="Palatino Linotype" w:hAnsi="Palatino Linotype" w:cs="Palatino Linotype"/>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3A1C6B"/>
    <w:multiLevelType w:val="multilevel"/>
    <w:tmpl w:val="B69C186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lowerLetter"/>
      <w:lvlText w:val="%4)"/>
      <w:lvlJc w:val="left"/>
      <w:pPr>
        <w:ind w:left="2880" w:hanging="360"/>
      </w:pPr>
      <w:rPr>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71"/>
    <w:rsid w:val="00057C14"/>
    <w:rsid w:val="000A5DF6"/>
    <w:rsid w:val="00171142"/>
    <w:rsid w:val="00211AFC"/>
    <w:rsid w:val="0021523F"/>
    <w:rsid w:val="002B5B80"/>
    <w:rsid w:val="00384440"/>
    <w:rsid w:val="00493716"/>
    <w:rsid w:val="004A626C"/>
    <w:rsid w:val="00586A4E"/>
    <w:rsid w:val="005D09D1"/>
    <w:rsid w:val="00CC4A71"/>
    <w:rsid w:val="00D04F1E"/>
    <w:rsid w:val="00EE6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166AD5-524A-47BF-A7D3-054826B1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rPr>
      <w:color w:val="000000"/>
    </w:rPr>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 w:type="table" w:customStyle="1" w:styleId="ae">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upload/2024/pnt/Archivo1714199840793.pdf" TargetMode="External"/><Relationship Id="rId13" Type="http://schemas.openxmlformats.org/officeDocument/2006/relationships/hyperlink" Target="https://www.saimex.org.mx/saimex/solicitud/downloadAttach/2193368.page" TargetMode="External"/><Relationship Id="rId18" Type="http://schemas.openxmlformats.org/officeDocument/2006/relationships/hyperlink" Target="https://www.saimex.org.mx/saimex/solicitud/downloadAttach/2318252.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aimex.org.mx/saimex/solicitud/downloadAttach/2193368.page" TargetMode="External"/><Relationship Id="rId17" Type="http://schemas.openxmlformats.org/officeDocument/2006/relationships/hyperlink" Target="https://www.saimex.org.mx/saimex/solicitud/downloadAttach/2144943.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imex.org.mx/saimex/solicitud/downloadAttach/2144943.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mex.org.mx/saimex/solicitud/downloadAttach/2175790.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imex.org.mx/saimex/solicitud/downloadAttach/2144943.page" TargetMode="External"/><Relationship Id="rId23" Type="http://schemas.openxmlformats.org/officeDocument/2006/relationships/header" Target="header3.xml"/><Relationship Id="rId10" Type="http://schemas.openxmlformats.org/officeDocument/2006/relationships/hyperlink" Target="https://www.saimex.org.mx/saimex/solicitud/downloadAttach/2109246.page" TargetMode="External"/><Relationship Id="rId19" Type="http://schemas.openxmlformats.org/officeDocument/2006/relationships/hyperlink" Target="https://www.saimex.org.mx/saimex/solicitud/downloadAttach/2318252.page" TargetMode="External"/><Relationship Id="rId4" Type="http://schemas.openxmlformats.org/officeDocument/2006/relationships/settings" Target="settings.xml"/><Relationship Id="rId9" Type="http://schemas.openxmlformats.org/officeDocument/2006/relationships/hyperlink" Target="https://www.saimex.org.mx/saimex/solicitud/downloadAttach/2156627.page" TargetMode="External"/><Relationship Id="rId14" Type="http://schemas.openxmlformats.org/officeDocument/2006/relationships/hyperlink" Target="https://www.saimex.org.mx/saimex/solicitud/downloadAttach/2144943.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8+SgLBCAj2oCmPqJQ0gu60y1A==">CgMxLjAyCGguZ2pkZ3hzMgloLjFmb2I5dGUyCWguM3pueXNoNzIJaC4yZXQ5MnAwMgloLjNkeTZ2a20yCGgudHlqY3d0MgloLjNyZGNyam44AHIhMUNBcW9PbVpReDZYbHZFWW9scVBuT19pOTg3M1I2Tjc5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8818</Words>
  <Characters>48503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INFOEM403</cp:lastModifiedBy>
  <cp:revision>6</cp:revision>
  <dcterms:created xsi:type="dcterms:W3CDTF">2025-01-20T19:51:00Z</dcterms:created>
  <dcterms:modified xsi:type="dcterms:W3CDTF">2025-02-10T21:56:00Z</dcterms:modified>
</cp:coreProperties>
</file>