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7D0" w:rsidRDefault="001D4F8C">
      <w:pPr>
        <w:shd w:val="clear" w:color="auto" w:fill="FFFFFF"/>
        <w:spacing w:after="0" w:line="360" w:lineRule="auto"/>
        <w:ind w:right="-411"/>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Resolución del Pleno del Instituto de Transparencia, Acceso a la Información Pública y Protección de Datos Personales del Estado de México y Municipios, con domicilio en Metepec, Esta</w:t>
      </w:r>
      <w:r w:rsidR="00D63514">
        <w:rPr>
          <w:rFonts w:ascii="Palatino Linotype" w:eastAsia="Palatino Linotype" w:hAnsi="Palatino Linotype" w:cs="Palatino Linotype"/>
          <w:color w:val="000000"/>
          <w:sz w:val="24"/>
          <w:szCs w:val="24"/>
        </w:rPr>
        <w:t xml:space="preserve">do de México, a fecha </w:t>
      </w:r>
      <w:r w:rsidR="00AC4D67">
        <w:rPr>
          <w:rFonts w:ascii="Palatino Linotype" w:eastAsia="Palatino Linotype" w:hAnsi="Palatino Linotype" w:cs="Palatino Linotype"/>
          <w:color w:val="000000"/>
          <w:sz w:val="24"/>
          <w:szCs w:val="24"/>
        </w:rPr>
        <w:t xml:space="preserve">seis </w:t>
      </w:r>
      <w:r w:rsidR="00D63514">
        <w:rPr>
          <w:rFonts w:ascii="Palatino Linotype" w:eastAsia="Palatino Linotype" w:hAnsi="Palatino Linotype" w:cs="Palatino Linotype"/>
          <w:color w:val="000000"/>
          <w:sz w:val="24"/>
          <w:szCs w:val="24"/>
        </w:rPr>
        <w:t>(</w:t>
      </w:r>
      <w:r w:rsidR="00AC4D67">
        <w:rPr>
          <w:rFonts w:ascii="Palatino Linotype" w:eastAsia="Palatino Linotype" w:hAnsi="Palatino Linotype" w:cs="Palatino Linotype"/>
          <w:color w:val="000000"/>
          <w:sz w:val="24"/>
          <w:szCs w:val="24"/>
        </w:rPr>
        <w:t>06</w:t>
      </w:r>
      <w:r>
        <w:rPr>
          <w:rFonts w:ascii="Palatino Linotype" w:eastAsia="Palatino Linotype" w:hAnsi="Palatino Linotype" w:cs="Palatino Linotype"/>
          <w:color w:val="000000"/>
          <w:sz w:val="24"/>
          <w:szCs w:val="24"/>
        </w:rPr>
        <w:t xml:space="preserve">) de </w:t>
      </w:r>
      <w:r w:rsidR="00AC4D67">
        <w:rPr>
          <w:rFonts w:ascii="Palatino Linotype" w:eastAsia="Palatino Linotype" w:hAnsi="Palatino Linotype" w:cs="Palatino Linotype"/>
          <w:color w:val="000000"/>
          <w:sz w:val="24"/>
          <w:szCs w:val="24"/>
        </w:rPr>
        <w:t xml:space="preserve">marzo </w:t>
      </w:r>
      <w:r>
        <w:rPr>
          <w:rFonts w:ascii="Palatino Linotype" w:eastAsia="Palatino Linotype" w:hAnsi="Palatino Linotype" w:cs="Palatino Linotype"/>
          <w:color w:val="000000"/>
          <w:sz w:val="24"/>
          <w:szCs w:val="24"/>
        </w:rPr>
        <w:t xml:space="preserve">de dos mil veinticinco. </w:t>
      </w:r>
    </w:p>
    <w:p w:rsidR="00D727D0" w:rsidRDefault="00D727D0">
      <w:pPr>
        <w:shd w:val="clear" w:color="auto" w:fill="FFFFFF"/>
        <w:spacing w:after="0" w:line="360" w:lineRule="auto"/>
        <w:ind w:right="-411"/>
        <w:jc w:val="both"/>
        <w:rPr>
          <w:rFonts w:ascii="Palatino Linotype" w:eastAsia="Palatino Linotype" w:hAnsi="Palatino Linotype" w:cs="Palatino Linotype"/>
          <w:color w:val="000000"/>
          <w:sz w:val="24"/>
          <w:szCs w:val="24"/>
        </w:rPr>
      </w:pPr>
    </w:p>
    <w:p w:rsidR="00D727D0" w:rsidRDefault="001D4F8C">
      <w:pPr>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VISTO</w:t>
      </w:r>
      <w:r>
        <w:rPr>
          <w:rFonts w:ascii="Palatino Linotype" w:eastAsia="Palatino Linotype" w:hAnsi="Palatino Linotype" w:cs="Palatino Linotype"/>
          <w:sz w:val="24"/>
          <w:szCs w:val="24"/>
        </w:rPr>
        <w:t xml:space="preserve"> el expediente electrónico formado con motivo del recurso de revisión número </w:t>
      </w:r>
      <w:r w:rsidR="00FC4C16">
        <w:rPr>
          <w:rFonts w:ascii="Palatino Linotype" w:eastAsia="Palatino Linotype" w:hAnsi="Palatino Linotype" w:cs="Palatino Linotype"/>
          <w:b/>
        </w:rPr>
        <w:t>01158/INFOEM/IP/RR/2025</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interpuesto por </w:t>
      </w:r>
      <w:r w:rsidR="009E37A1">
        <w:rPr>
          <w:rFonts w:ascii="Palatino Linotype" w:eastAsia="Palatino Linotype" w:hAnsi="Palatino Linotype" w:cs="Palatino Linotype"/>
          <w:b/>
          <w:sz w:val="24"/>
          <w:szCs w:val="24"/>
        </w:rPr>
        <w:t>XXXX</w:t>
      </w:r>
      <w:r>
        <w:rPr>
          <w:rFonts w:ascii="Palatino Linotype" w:eastAsia="Palatino Linotype" w:hAnsi="Palatino Linotype" w:cs="Palatino Linotype"/>
          <w:b/>
          <w:sz w:val="24"/>
          <w:szCs w:val="24"/>
        </w:rPr>
        <w:t>,</w:t>
      </w:r>
      <w:r>
        <w:rPr>
          <w:rFonts w:ascii="Palatino Linotype" w:eastAsia="Palatino Linotype" w:hAnsi="Palatino Linotype" w:cs="Palatino Linotype"/>
          <w:sz w:val="24"/>
          <w:szCs w:val="24"/>
        </w:rPr>
        <w:t xml:space="preserve"> a quien en lo sucesivo se le denominará como </w:t>
      </w:r>
      <w:r w:rsidR="00D250F6">
        <w:rPr>
          <w:rFonts w:ascii="Palatino Linotype" w:eastAsia="Palatino Linotype" w:hAnsi="Palatino Linotype" w:cs="Palatino Linotype"/>
          <w:b/>
          <w:sz w:val="24"/>
          <w:szCs w:val="24"/>
        </w:rPr>
        <w:t xml:space="preserve">EL </w:t>
      </w:r>
      <w:r>
        <w:rPr>
          <w:rFonts w:ascii="Palatino Linotype" w:eastAsia="Palatino Linotype" w:hAnsi="Palatino Linotype" w:cs="Palatino Linotype"/>
          <w:b/>
          <w:sz w:val="24"/>
          <w:szCs w:val="24"/>
        </w:rPr>
        <w:t xml:space="preserve">RECURRENTE, </w:t>
      </w:r>
      <w:r>
        <w:rPr>
          <w:rFonts w:ascii="Palatino Linotype" w:eastAsia="Palatino Linotype" w:hAnsi="Palatino Linotype" w:cs="Palatino Linotype"/>
          <w:sz w:val="24"/>
          <w:szCs w:val="24"/>
        </w:rPr>
        <w:t xml:space="preserve">en contra de la falta de respuesta del </w:t>
      </w:r>
      <w:r w:rsidR="00D82C27">
        <w:rPr>
          <w:rFonts w:ascii="Palatino Linotype" w:eastAsia="Palatino Linotype" w:hAnsi="Palatino Linotype" w:cs="Palatino Linotype"/>
          <w:color w:val="000000"/>
          <w:sz w:val="24"/>
          <w:szCs w:val="24"/>
        </w:rPr>
        <w:t xml:space="preserve">Ayuntamiento de </w:t>
      </w:r>
      <w:r w:rsidR="00FC4C16">
        <w:rPr>
          <w:rFonts w:ascii="Palatino Linotype" w:eastAsia="Palatino Linotype" w:hAnsi="Palatino Linotype" w:cs="Palatino Linotype"/>
          <w:color w:val="000000"/>
          <w:sz w:val="24"/>
          <w:szCs w:val="24"/>
        </w:rPr>
        <w:t>Capulhuac</w:t>
      </w:r>
      <w:r w:rsidRPr="00D250F6">
        <w:rPr>
          <w:rFonts w:ascii="Palatino Linotype" w:eastAsia="Palatino Linotype" w:hAnsi="Palatino Linotype" w:cs="Palatino Linotype"/>
          <w:b/>
          <w:sz w:val="24"/>
          <w:szCs w:val="24"/>
        </w:rPr>
        <w:t>,</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en adelante </w:t>
      </w:r>
      <w:r>
        <w:rPr>
          <w:rFonts w:ascii="Palatino Linotype" w:eastAsia="Palatino Linotype" w:hAnsi="Palatino Linotype" w:cs="Palatino Linotype"/>
          <w:b/>
          <w:sz w:val="24"/>
          <w:szCs w:val="24"/>
        </w:rPr>
        <w:t xml:space="preserve">EL SUJETO </w:t>
      </w:r>
      <w:bookmarkStart w:id="0" w:name="_GoBack"/>
      <w:bookmarkEnd w:id="0"/>
      <w:r>
        <w:rPr>
          <w:rFonts w:ascii="Palatino Linotype" w:eastAsia="Palatino Linotype" w:hAnsi="Palatino Linotype" w:cs="Palatino Linotype"/>
          <w:b/>
          <w:sz w:val="24"/>
          <w:szCs w:val="24"/>
        </w:rPr>
        <w:t xml:space="preserve">OBLIGADO, </w:t>
      </w:r>
      <w:r>
        <w:rPr>
          <w:rFonts w:ascii="Palatino Linotype" w:eastAsia="Palatino Linotype" w:hAnsi="Palatino Linotype" w:cs="Palatino Linotype"/>
          <w:sz w:val="24"/>
          <w:szCs w:val="24"/>
        </w:rPr>
        <w:t xml:space="preserve">en lo conducente se procede a dictar la presente resolución: </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spacing w:after="0" w:line="360" w:lineRule="auto"/>
        <w:ind w:right="-411"/>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 N T E C E D E N T E S</w:t>
      </w:r>
    </w:p>
    <w:p w:rsidR="00D727D0" w:rsidRDefault="00D727D0">
      <w:pPr>
        <w:spacing w:after="0" w:line="360" w:lineRule="auto"/>
        <w:ind w:right="-411"/>
        <w:rPr>
          <w:rFonts w:ascii="Palatino Linotype" w:eastAsia="Palatino Linotype" w:hAnsi="Palatino Linotype" w:cs="Palatino Linotype"/>
          <w:b/>
          <w:sz w:val="24"/>
          <w:szCs w:val="24"/>
        </w:rPr>
      </w:pPr>
    </w:p>
    <w:p w:rsidR="00FC4C16" w:rsidRDefault="00FC4C16" w:rsidP="00FC4C16">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 xml:space="preserve">catorce de enero de dos mil veinticinco, EL RECURRENTE, </w:t>
      </w:r>
      <w:r>
        <w:rPr>
          <w:rFonts w:ascii="Palatino Linotype" w:eastAsia="Palatino Linotype" w:hAnsi="Palatino Linotype" w:cs="Palatino Linotype"/>
          <w:color w:val="000000"/>
          <w:sz w:val="24"/>
          <w:szCs w:val="24"/>
        </w:rPr>
        <w:t xml:space="preserve">presentó a través del Sistema de Acceso a la Información Mexiquense (SAIMEX), la solicitud de acceso a la información pública, con número de folio </w:t>
      </w:r>
      <w:r>
        <w:rPr>
          <w:rFonts w:ascii="Palatino Linotype" w:eastAsia="Palatino Linotype" w:hAnsi="Palatino Linotype" w:cs="Palatino Linotype"/>
          <w:b/>
          <w:color w:val="000000"/>
          <w:sz w:val="24"/>
          <w:szCs w:val="24"/>
        </w:rPr>
        <w:t xml:space="preserve"> 00053/CAPULHUA/IP/2025</w:t>
      </w:r>
      <w:r w:rsidRPr="003E6BA3">
        <w:rPr>
          <w:rFonts w:ascii="Palatino Linotype" w:eastAsia="Palatino Linotype" w:hAnsi="Palatino Linotype" w:cs="Palatino Linotype"/>
          <w:color w:val="000000"/>
          <w:sz w:val="24"/>
          <w:szCs w:val="24"/>
        </w:rPr>
        <w:t>,</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en la que solicitó</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lo siguiente: </w:t>
      </w:r>
    </w:p>
    <w:p w:rsidR="00D727D0" w:rsidRDefault="00D727D0" w:rsidP="00326911">
      <w:pPr>
        <w:pBdr>
          <w:top w:val="nil"/>
          <w:left w:val="nil"/>
          <w:bottom w:val="nil"/>
          <w:right w:val="nil"/>
          <w:between w:val="nil"/>
        </w:pBdr>
        <w:spacing w:after="0" w:line="360" w:lineRule="auto"/>
        <w:ind w:left="851" w:right="142"/>
        <w:jc w:val="both"/>
        <w:rPr>
          <w:rFonts w:ascii="Palatino Linotype" w:eastAsia="Palatino Linotype" w:hAnsi="Palatino Linotype" w:cs="Palatino Linotype"/>
          <w:color w:val="000000"/>
          <w:sz w:val="24"/>
          <w:szCs w:val="24"/>
        </w:rPr>
      </w:pPr>
    </w:p>
    <w:p w:rsidR="00D727D0" w:rsidRPr="00FC4C16" w:rsidRDefault="001D4F8C" w:rsidP="00FC4C16">
      <w:pPr>
        <w:spacing w:after="0" w:line="240" w:lineRule="auto"/>
        <w:ind w:left="709" w:right="709"/>
        <w:jc w:val="both"/>
        <w:rPr>
          <w:rFonts w:ascii="Palatino Linotype" w:hAnsi="Palatino Linotype"/>
          <w:i/>
          <w:color w:val="000000"/>
          <w:sz w:val="24"/>
          <w:szCs w:val="24"/>
        </w:rPr>
      </w:pPr>
      <w:r w:rsidRPr="00FC4C16">
        <w:rPr>
          <w:rFonts w:ascii="Palatino Linotype" w:eastAsia="Palatino Linotype" w:hAnsi="Palatino Linotype" w:cs="Palatino Linotype"/>
          <w:i/>
          <w:color w:val="000000"/>
          <w:sz w:val="24"/>
          <w:szCs w:val="24"/>
        </w:rPr>
        <w:t>“</w:t>
      </w:r>
      <w:r w:rsidR="00FC4C16" w:rsidRPr="00FC4C16">
        <w:rPr>
          <w:rFonts w:ascii="Palatino Linotype" w:hAnsi="Palatino Linotype"/>
          <w:i/>
          <w:color w:val="000000"/>
          <w:sz w:val="24"/>
          <w:szCs w:val="24"/>
        </w:rPr>
        <w:t xml:space="preserve">Proporcionar, en su caso, en tiempo y forma ante las dependencias competentes, la documentación comprobatoria de la aplicación de recursos económicos federales, estatales o municipales, asignados a través de los programas respectivos. </w:t>
      </w:r>
      <w:proofErr w:type="gramStart"/>
      <w:r w:rsidR="00FC4C16" w:rsidRPr="00FC4C16">
        <w:rPr>
          <w:rFonts w:ascii="Palatino Linotype" w:hAnsi="Palatino Linotype"/>
          <w:i/>
          <w:color w:val="000000"/>
          <w:sz w:val="24"/>
          <w:szCs w:val="24"/>
        </w:rPr>
        <w:t>solicito</w:t>
      </w:r>
      <w:proofErr w:type="gramEnd"/>
      <w:r w:rsidR="00FC4C16" w:rsidRPr="00FC4C16">
        <w:rPr>
          <w:rFonts w:ascii="Palatino Linotype" w:hAnsi="Palatino Linotype"/>
          <w:i/>
          <w:color w:val="000000"/>
          <w:sz w:val="24"/>
          <w:szCs w:val="24"/>
        </w:rPr>
        <w:t xml:space="preserve"> </w:t>
      </w:r>
      <w:proofErr w:type="spellStart"/>
      <w:r w:rsidR="00FC4C16" w:rsidRPr="00FC4C16">
        <w:rPr>
          <w:rFonts w:ascii="Palatino Linotype" w:hAnsi="Palatino Linotype"/>
          <w:i/>
          <w:color w:val="000000"/>
          <w:sz w:val="24"/>
          <w:szCs w:val="24"/>
        </w:rPr>
        <w:t>documentacion</w:t>
      </w:r>
      <w:proofErr w:type="spellEnd"/>
      <w:r w:rsidR="00FC4C16" w:rsidRPr="00FC4C16">
        <w:rPr>
          <w:rFonts w:ascii="Palatino Linotype" w:hAnsi="Palatino Linotype"/>
          <w:i/>
          <w:color w:val="000000"/>
          <w:sz w:val="24"/>
          <w:szCs w:val="24"/>
        </w:rPr>
        <w:t xml:space="preserve"> </w:t>
      </w:r>
      <w:proofErr w:type="spellStart"/>
      <w:r w:rsidR="00FC4C16" w:rsidRPr="00FC4C16">
        <w:rPr>
          <w:rFonts w:ascii="Palatino Linotype" w:hAnsi="Palatino Linotype"/>
          <w:i/>
          <w:color w:val="000000"/>
          <w:sz w:val="24"/>
          <w:szCs w:val="24"/>
        </w:rPr>
        <w:t>comprobataoria</w:t>
      </w:r>
      <w:proofErr w:type="spellEnd"/>
      <w:r w:rsidR="00FC4C16" w:rsidRPr="00FC4C16">
        <w:rPr>
          <w:rFonts w:ascii="Palatino Linotype" w:hAnsi="Palatino Linotype"/>
          <w:i/>
          <w:color w:val="000000"/>
          <w:sz w:val="24"/>
          <w:szCs w:val="24"/>
        </w:rPr>
        <w:t xml:space="preserve"> de los años 2024 y 2025</w:t>
      </w:r>
      <w:r w:rsidR="00ED39C7" w:rsidRPr="00FC4C16">
        <w:rPr>
          <w:rFonts w:ascii="Palatino Linotype" w:hAnsi="Palatino Linotype"/>
          <w:i/>
          <w:color w:val="000000"/>
          <w:sz w:val="24"/>
          <w:szCs w:val="24"/>
        </w:rPr>
        <w:t>”(Sic)</w:t>
      </w:r>
    </w:p>
    <w:p w:rsidR="00D250F6" w:rsidRDefault="00D250F6" w:rsidP="00D250F6">
      <w:pPr>
        <w:spacing w:after="0" w:line="240" w:lineRule="auto"/>
        <w:ind w:left="709" w:right="709"/>
        <w:jc w:val="both"/>
        <w:rPr>
          <w:rFonts w:ascii="Palatino Linotype" w:eastAsia="Palatino Linotype" w:hAnsi="Palatino Linotype" w:cs="Palatino Linotype"/>
          <w:color w:val="000000"/>
          <w:sz w:val="24"/>
          <w:szCs w:val="24"/>
        </w:rPr>
      </w:pPr>
    </w:p>
    <w:p w:rsidR="00D727D0" w:rsidRDefault="001D4F8C">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Modalidad de entrega: </w:t>
      </w:r>
      <w:r>
        <w:rPr>
          <w:rFonts w:ascii="Palatino Linotype" w:eastAsia="Palatino Linotype" w:hAnsi="Palatino Linotype" w:cs="Palatino Linotype"/>
          <w:color w:val="000000"/>
          <w:sz w:val="24"/>
          <w:szCs w:val="24"/>
        </w:rPr>
        <w:t xml:space="preserve">a través del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w:t>
      </w:r>
    </w:p>
    <w:p w:rsidR="0063035A" w:rsidRPr="0063035A" w:rsidRDefault="0063035A" w:rsidP="0063035A">
      <w:pPr>
        <w:pBdr>
          <w:top w:val="nil"/>
          <w:left w:val="nil"/>
          <w:bottom w:val="nil"/>
          <w:right w:val="nil"/>
          <w:between w:val="nil"/>
        </w:pBdr>
        <w:spacing w:after="0" w:line="360" w:lineRule="auto"/>
        <w:ind w:right="-411"/>
        <w:jc w:val="both"/>
        <w:rPr>
          <w:rFonts w:ascii="Palatino Linotype" w:eastAsia="Palatino Linotype" w:hAnsi="Palatino Linotype" w:cs="Palatino Linotype"/>
          <w:b/>
          <w:color w:val="000000"/>
        </w:rPr>
      </w:pPr>
    </w:p>
    <w:p w:rsidR="00FC4C16" w:rsidRPr="00FE2EA2" w:rsidRDefault="00FC4C16" w:rsidP="00FC4C16">
      <w:pPr>
        <w:pStyle w:val="Prrafodelista"/>
        <w:numPr>
          <w:ilvl w:val="0"/>
          <w:numId w:val="4"/>
        </w:numPr>
        <w:spacing w:line="360" w:lineRule="auto"/>
        <w:ind w:left="0" w:firstLine="0"/>
        <w:jc w:val="both"/>
        <w:rPr>
          <w:rFonts w:ascii="Palatino Linotype" w:hAnsi="Palatino Linotype"/>
        </w:rPr>
      </w:pPr>
      <w:r w:rsidRPr="00FE2EA2">
        <w:rPr>
          <w:rFonts w:ascii="Palatino Linotype" w:hAnsi="Palatino Linotype"/>
        </w:rPr>
        <w:lastRenderedPageBreak/>
        <w:t xml:space="preserve">En cumplimiento al artículo 162 de la Ley de Transparencia y Acceso a la Información Pública del Estado de México y Municipios, el </w:t>
      </w:r>
      <w:r w:rsidRPr="00FE2EA2">
        <w:rPr>
          <w:rFonts w:ascii="Palatino Linotype" w:eastAsia="Palatino Linotype" w:hAnsi="Palatino Linotype" w:cs="Palatino Linotype"/>
          <w:b/>
        </w:rPr>
        <w:t xml:space="preserve">treinta </w:t>
      </w:r>
      <w:r>
        <w:rPr>
          <w:rFonts w:ascii="Palatino Linotype" w:eastAsia="Palatino Linotype" w:hAnsi="Palatino Linotype" w:cs="Palatino Linotype"/>
          <w:b/>
        </w:rPr>
        <w:t xml:space="preserve">y uno </w:t>
      </w:r>
      <w:r w:rsidRPr="00FE2EA2">
        <w:rPr>
          <w:rFonts w:ascii="Palatino Linotype" w:eastAsia="Palatino Linotype" w:hAnsi="Palatino Linotype" w:cs="Palatino Linotype"/>
          <w:b/>
        </w:rPr>
        <w:t>de enero de dos mil veintic</w:t>
      </w:r>
      <w:r>
        <w:rPr>
          <w:rFonts w:ascii="Palatino Linotype" w:eastAsia="Palatino Linotype" w:hAnsi="Palatino Linotype" w:cs="Palatino Linotype"/>
          <w:b/>
        </w:rPr>
        <w:t>inco</w:t>
      </w:r>
      <w:r w:rsidRPr="00FE2EA2">
        <w:rPr>
          <w:rFonts w:ascii="Palatino Linotype" w:hAnsi="Palatino Linotype"/>
        </w:rPr>
        <w:t xml:space="preserve">, el Titular de la Unidad de Transparencia del </w:t>
      </w:r>
      <w:r w:rsidRPr="00FE2EA2">
        <w:rPr>
          <w:rFonts w:ascii="Palatino Linotype" w:hAnsi="Palatino Linotype"/>
          <w:b/>
        </w:rPr>
        <w:t>SUJETO OBLIGADO</w:t>
      </w:r>
      <w:r w:rsidRPr="00FE2EA2">
        <w:rPr>
          <w:rFonts w:ascii="Palatino Linotype" w:hAnsi="Palatino Linotype"/>
        </w:rPr>
        <w:t xml:space="preserve"> turnó la solicitud de información al servidor público habilitado que estimó pertinente.</w:t>
      </w:r>
    </w:p>
    <w:p w:rsidR="00FC4C16" w:rsidRPr="00FC4C16" w:rsidRDefault="00FC4C16" w:rsidP="00FC4C16">
      <w:pPr>
        <w:pBdr>
          <w:top w:val="nil"/>
          <w:left w:val="nil"/>
          <w:bottom w:val="nil"/>
          <w:right w:val="nil"/>
          <w:between w:val="nil"/>
        </w:pBdr>
        <w:spacing w:after="0" w:line="360" w:lineRule="auto"/>
        <w:ind w:right="-411"/>
        <w:jc w:val="both"/>
        <w:rPr>
          <w:rFonts w:ascii="Palatino Linotype" w:eastAsia="Palatino Linotype" w:hAnsi="Palatino Linotype" w:cs="Palatino Linotype"/>
          <w:b/>
          <w:color w:val="000000"/>
        </w:rPr>
      </w:pPr>
    </w:p>
    <w:p w:rsidR="00D727D0" w:rsidRDefault="003D23F2">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b/>
          <w:color w:val="000000"/>
        </w:rPr>
      </w:pPr>
      <w:r w:rsidRPr="003D23F2">
        <w:rPr>
          <w:rFonts w:ascii="Palatino Linotype" w:eastAsia="Palatino Linotype" w:hAnsi="Palatino Linotype" w:cs="Palatino Linotype"/>
          <w:color w:val="000000"/>
          <w:sz w:val="24"/>
          <w:szCs w:val="24"/>
        </w:rPr>
        <w:t>Derivado de lo anterior</w:t>
      </w:r>
      <w:r>
        <w:rPr>
          <w:rFonts w:ascii="Palatino Linotype" w:eastAsia="Palatino Linotype" w:hAnsi="Palatino Linotype" w:cs="Palatino Linotype"/>
          <w:b/>
          <w:color w:val="000000"/>
          <w:sz w:val="24"/>
          <w:szCs w:val="24"/>
        </w:rPr>
        <w:t xml:space="preserve">, </w:t>
      </w:r>
      <w:r w:rsidR="001D4F8C">
        <w:rPr>
          <w:rFonts w:ascii="Palatino Linotype" w:eastAsia="Palatino Linotype" w:hAnsi="Palatino Linotype" w:cs="Palatino Linotype"/>
          <w:b/>
          <w:color w:val="000000"/>
          <w:sz w:val="24"/>
          <w:szCs w:val="24"/>
        </w:rPr>
        <w:t>EL SUJETO OBLIGADO</w:t>
      </w:r>
      <w:r w:rsidR="001D4F8C">
        <w:rPr>
          <w:rFonts w:ascii="Palatino Linotype" w:eastAsia="Palatino Linotype" w:hAnsi="Palatino Linotype" w:cs="Palatino Linotype"/>
          <w:color w:val="000000"/>
          <w:sz w:val="24"/>
          <w:szCs w:val="24"/>
        </w:rPr>
        <w:t xml:space="preserve"> no proporcionó respuesta a la solicitud de información dentro del plazo de quince días establecido en el artículo 163 de la Ley de Transparencia y Acceso a la Información Pública del Estado de México y Municipios.</w:t>
      </w:r>
    </w:p>
    <w:p w:rsidR="00D727D0"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Ante la falta de respuesta</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del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w:t>
      </w:r>
      <w:r w:rsidR="00ED39C7" w:rsidRPr="00ED39C7">
        <w:rPr>
          <w:rFonts w:ascii="Palatino Linotype" w:eastAsia="Palatino Linotype" w:hAnsi="Palatino Linotype" w:cs="Palatino Linotype"/>
          <w:b/>
          <w:color w:val="000000"/>
          <w:sz w:val="24"/>
          <w:szCs w:val="24"/>
        </w:rPr>
        <w:t xml:space="preserve">EL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interpuso el Recurso de Revisión el </w:t>
      </w:r>
      <w:r w:rsidR="00ED39C7">
        <w:rPr>
          <w:rFonts w:ascii="Palatino Linotype" w:eastAsia="Palatino Linotype" w:hAnsi="Palatino Linotype" w:cs="Palatino Linotype"/>
          <w:b/>
          <w:color w:val="000000"/>
          <w:sz w:val="24"/>
          <w:szCs w:val="24"/>
        </w:rPr>
        <w:t>d</w:t>
      </w:r>
      <w:r w:rsidR="00FC4C16">
        <w:rPr>
          <w:rFonts w:ascii="Palatino Linotype" w:eastAsia="Palatino Linotype" w:hAnsi="Palatino Linotype" w:cs="Palatino Linotype"/>
          <w:b/>
          <w:color w:val="000000"/>
          <w:sz w:val="24"/>
          <w:szCs w:val="24"/>
        </w:rPr>
        <w:t xml:space="preserve">oce </w:t>
      </w:r>
      <w:r w:rsidR="003D23F2">
        <w:rPr>
          <w:rFonts w:ascii="Palatino Linotype" w:eastAsia="Palatino Linotype" w:hAnsi="Palatino Linotype" w:cs="Palatino Linotype"/>
          <w:b/>
          <w:color w:val="000000"/>
          <w:sz w:val="24"/>
          <w:szCs w:val="24"/>
        </w:rPr>
        <w:t>d</w:t>
      </w:r>
      <w:r w:rsidR="003F074D">
        <w:rPr>
          <w:rFonts w:ascii="Palatino Linotype" w:eastAsia="Palatino Linotype" w:hAnsi="Palatino Linotype" w:cs="Palatino Linotype"/>
          <w:b/>
          <w:color w:val="000000"/>
          <w:sz w:val="24"/>
          <w:szCs w:val="24"/>
        </w:rPr>
        <w:t xml:space="preserve">e febrero </w:t>
      </w:r>
      <w:r>
        <w:rPr>
          <w:rFonts w:ascii="Palatino Linotype" w:eastAsia="Palatino Linotype" w:hAnsi="Palatino Linotype" w:cs="Palatino Linotype"/>
          <w:b/>
          <w:color w:val="000000"/>
          <w:sz w:val="24"/>
          <w:szCs w:val="24"/>
        </w:rPr>
        <w:t xml:space="preserve">de dos mil veinticinco, </w:t>
      </w:r>
      <w:r>
        <w:rPr>
          <w:rFonts w:ascii="Palatino Linotype" w:eastAsia="Palatino Linotype" w:hAnsi="Palatino Linotype" w:cs="Palatino Linotype"/>
          <w:color w:val="000000"/>
          <w:sz w:val="24"/>
          <w:szCs w:val="24"/>
        </w:rPr>
        <w:t xml:space="preserve">registrado en el </w:t>
      </w:r>
      <w:r>
        <w:rPr>
          <w:rFonts w:ascii="Palatino Linotype" w:eastAsia="Palatino Linotype" w:hAnsi="Palatino Linotype" w:cs="Palatino Linotype"/>
          <w:b/>
          <w:color w:val="000000"/>
          <w:sz w:val="24"/>
          <w:szCs w:val="24"/>
        </w:rPr>
        <w:t xml:space="preserve">SAIMEX </w:t>
      </w:r>
      <w:r>
        <w:rPr>
          <w:rFonts w:ascii="Palatino Linotype" w:eastAsia="Palatino Linotype" w:hAnsi="Palatino Linotype" w:cs="Palatino Linotype"/>
          <w:color w:val="000000"/>
          <w:sz w:val="24"/>
          <w:szCs w:val="24"/>
        </w:rPr>
        <w:t xml:space="preserve">con número de expediente </w:t>
      </w:r>
      <w:r w:rsidR="00FC4C16">
        <w:rPr>
          <w:rFonts w:ascii="Palatino Linotype" w:eastAsia="Palatino Linotype" w:hAnsi="Palatino Linotype" w:cs="Palatino Linotype"/>
          <w:b/>
          <w:color w:val="000000"/>
          <w:sz w:val="24"/>
          <w:szCs w:val="24"/>
        </w:rPr>
        <w:t>01158/INFOEM/IP/RR/2025</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en el cual aduce, las siguientes manifestaciones:</w:t>
      </w:r>
    </w:p>
    <w:p w:rsidR="00D727D0" w:rsidRDefault="001D4F8C">
      <w:pPr>
        <w:numPr>
          <w:ilvl w:val="0"/>
          <w:numId w:val="5"/>
        </w:numPr>
        <w:spacing w:after="0"/>
        <w:ind w:left="993" w:right="-411"/>
        <w:jc w:val="both"/>
        <w:rPr>
          <w:rFonts w:ascii="Palatino Linotype" w:eastAsia="Palatino Linotype" w:hAnsi="Palatino Linotype" w:cs="Palatino Linotype"/>
          <w:b/>
        </w:rPr>
      </w:pPr>
      <w:r>
        <w:rPr>
          <w:rFonts w:ascii="Palatino Linotype" w:eastAsia="Palatino Linotype" w:hAnsi="Palatino Linotype" w:cs="Palatino Linotype"/>
          <w:b/>
        </w:rPr>
        <w:t xml:space="preserve">Acto Impugnado: </w:t>
      </w:r>
    </w:p>
    <w:p w:rsidR="00D727D0" w:rsidRPr="002E762E" w:rsidRDefault="001D4F8C" w:rsidP="002E762E">
      <w:pPr>
        <w:spacing w:after="0" w:line="240" w:lineRule="auto"/>
        <w:ind w:left="993"/>
        <w:jc w:val="both"/>
        <w:rPr>
          <w:rFonts w:ascii="Palatino Linotype" w:eastAsia="Times New Roman" w:hAnsi="Palatino Linotype" w:cs="Times New Roman"/>
          <w:i/>
          <w:sz w:val="24"/>
          <w:szCs w:val="24"/>
          <w:lang w:val="es-MX"/>
        </w:rPr>
      </w:pPr>
      <w:r w:rsidRPr="002E762E">
        <w:rPr>
          <w:rFonts w:ascii="Palatino Linotype" w:eastAsia="Palatino Linotype" w:hAnsi="Palatino Linotype" w:cs="Palatino Linotype"/>
          <w:i/>
          <w:color w:val="000000"/>
          <w:sz w:val="24"/>
          <w:szCs w:val="24"/>
        </w:rPr>
        <w:t>“</w:t>
      </w:r>
      <w:r w:rsidR="002E762E" w:rsidRPr="002E762E">
        <w:rPr>
          <w:rFonts w:ascii="Palatino Linotype" w:eastAsia="Times New Roman" w:hAnsi="Palatino Linotype" w:cs="Times New Roman"/>
          <w:i/>
          <w:sz w:val="24"/>
          <w:szCs w:val="24"/>
          <w:lang w:val="es-MX"/>
        </w:rPr>
        <w:t>negativa de información</w:t>
      </w:r>
      <w:r w:rsidRPr="002E762E">
        <w:rPr>
          <w:rFonts w:ascii="Palatino Linotype" w:eastAsia="Palatino Linotype" w:hAnsi="Palatino Linotype" w:cs="Palatino Linotype"/>
          <w:i/>
          <w:color w:val="000000"/>
          <w:sz w:val="24"/>
          <w:szCs w:val="24"/>
        </w:rPr>
        <w:t>” (Sic).</w:t>
      </w:r>
    </w:p>
    <w:p w:rsidR="003F074D" w:rsidRPr="00AF7F2C" w:rsidRDefault="003F074D" w:rsidP="00D63514">
      <w:pPr>
        <w:spacing w:after="0"/>
        <w:ind w:left="993" w:right="426"/>
        <w:jc w:val="both"/>
        <w:rPr>
          <w:rFonts w:ascii="Palatino Linotype" w:eastAsia="Palatino Linotype" w:hAnsi="Palatino Linotype" w:cs="Palatino Linotype"/>
          <w:i/>
          <w:color w:val="000000"/>
          <w:sz w:val="24"/>
          <w:szCs w:val="24"/>
        </w:rPr>
      </w:pPr>
    </w:p>
    <w:p w:rsidR="00D727D0" w:rsidRDefault="001D4F8C">
      <w:pPr>
        <w:numPr>
          <w:ilvl w:val="0"/>
          <w:numId w:val="1"/>
        </w:numPr>
        <w:pBdr>
          <w:top w:val="nil"/>
          <w:left w:val="nil"/>
          <w:bottom w:val="nil"/>
          <w:right w:val="nil"/>
          <w:between w:val="nil"/>
        </w:pBdr>
        <w:spacing w:after="0" w:line="240" w:lineRule="auto"/>
        <w:ind w:left="993" w:right="-411"/>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Razones o Motivos de Inconformidad</w:t>
      </w:r>
      <w:r>
        <w:rPr>
          <w:rFonts w:ascii="Palatino Linotype" w:eastAsia="Palatino Linotype" w:hAnsi="Palatino Linotype" w:cs="Palatino Linotype"/>
          <w:color w:val="000000"/>
        </w:rPr>
        <w:t xml:space="preserve">: </w:t>
      </w:r>
    </w:p>
    <w:p w:rsidR="00D727D0" w:rsidRPr="002E762E" w:rsidRDefault="001D4F8C" w:rsidP="002E762E">
      <w:pPr>
        <w:spacing w:after="0" w:line="240" w:lineRule="auto"/>
        <w:ind w:left="993"/>
        <w:jc w:val="both"/>
        <w:rPr>
          <w:rFonts w:ascii="Palatino Linotype" w:eastAsia="Times New Roman" w:hAnsi="Palatino Linotype" w:cs="Times New Roman"/>
          <w:i/>
          <w:sz w:val="24"/>
          <w:szCs w:val="24"/>
          <w:lang w:val="es-MX"/>
        </w:rPr>
      </w:pPr>
      <w:r w:rsidRPr="002E762E">
        <w:rPr>
          <w:rFonts w:ascii="Palatino Linotype" w:eastAsia="Palatino Linotype" w:hAnsi="Palatino Linotype" w:cs="Palatino Linotype"/>
          <w:i/>
          <w:color w:val="000000"/>
          <w:sz w:val="24"/>
          <w:szCs w:val="24"/>
        </w:rPr>
        <w:t>“</w:t>
      </w:r>
      <w:r w:rsidR="002E762E" w:rsidRPr="002E762E">
        <w:rPr>
          <w:rFonts w:ascii="Palatino Linotype" w:eastAsia="Times New Roman" w:hAnsi="Palatino Linotype" w:cs="Times New Roman"/>
          <w:i/>
          <w:sz w:val="24"/>
          <w:szCs w:val="24"/>
          <w:lang w:val="es-MX"/>
        </w:rPr>
        <w:t>negativa de información</w:t>
      </w:r>
      <w:r w:rsidRPr="002E762E">
        <w:rPr>
          <w:rFonts w:ascii="Palatino Linotype" w:eastAsia="Palatino Linotype" w:hAnsi="Palatino Linotype" w:cs="Palatino Linotype"/>
          <w:i/>
          <w:color w:val="000000"/>
          <w:sz w:val="24"/>
          <w:szCs w:val="24"/>
        </w:rPr>
        <w:t>” (Sic)</w:t>
      </w:r>
    </w:p>
    <w:p w:rsidR="00D727D0" w:rsidRDefault="00D727D0">
      <w:pPr>
        <w:spacing w:after="0" w:line="360" w:lineRule="auto"/>
        <w:ind w:right="-411"/>
        <w:jc w:val="both"/>
        <w:rPr>
          <w:rFonts w:ascii="Palatino Linotype" w:eastAsia="Palatino Linotype" w:hAnsi="Palatino Linotype" w:cs="Palatino Linotype"/>
          <w:sz w:val="24"/>
          <w:szCs w:val="24"/>
        </w:rPr>
      </w:pPr>
    </w:p>
    <w:p w:rsidR="00AF7F2C" w:rsidRPr="00AF7F2C" w:rsidRDefault="001D4F8C" w:rsidP="00AF7F2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Medio de impugnación que le fue turnado por medio del sistema electrónico a la Comisionada María del Rosario Mejía Ayala, en términos del arábigo 185 fracción I de la Ley de Transparencia y Acceso a la información Pública del Estado de México y Municipios, al cual recayó </w:t>
      </w:r>
      <w:r w:rsidR="00326911">
        <w:rPr>
          <w:rFonts w:ascii="Palatino Linotype" w:eastAsia="Palatino Linotype" w:hAnsi="Palatino Linotype" w:cs="Palatino Linotype"/>
          <w:color w:val="000000"/>
          <w:sz w:val="24"/>
          <w:szCs w:val="24"/>
        </w:rPr>
        <w:t xml:space="preserve">el acuerdo de admisión de fecha </w:t>
      </w:r>
      <w:r w:rsidR="002E762E">
        <w:rPr>
          <w:rFonts w:ascii="Palatino Linotype" w:eastAsia="Palatino Linotype" w:hAnsi="Palatino Linotype" w:cs="Palatino Linotype"/>
          <w:b/>
          <w:color w:val="000000"/>
          <w:sz w:val="24"/>
          <w:szCs w:val="24"/>
        </w:rPr>
        <w:t xml:space="preserve">catorce </w:t>
      </w:r>
      <w:r w:rsidR="00ED39C7">
        <w:rPr>
          <w:rFonts w:ascii="Palatino Linotype" w:eastAsia="Palatino Linotype" w:hAnsi="Palatino Linotype" w:cs="Palatino Linotype"/>
          <w:b/>
          <w:color w:val="000000"/>
          <w:sz w:val="24"/>
          <w:szCs w:val="24"/>
        </w:rPr>
        <w:t>d</w:t>
      </w:r>
      <w:r w:rsidR="00211A72">
        <w:rPr>
          <w:rFonts w:ascii="Palatino Linotype" w:eastAsia="Palatino Linotype" w:hAnsi="Palatino Linotype" w:cs="Palatino Linotype"/>
          <w:b/>
          <w:color w:val="000000"/>
          <w:sz w:val="24"/>
          <w:szCs w:val="24"/>
        </w:rPr>
        <w:t xml:space="preserve">e febrero </w:t>
      </w:r>
      <w:r>
        <w:rPr>
          <w:rFonts w:ascii="Palatino Linotype" w:eastAsia="Palatino Linotype" w:hAnsi="Palatino Linotype" w:cs="Palatino Linotype"/>
          <w:b/>
          <w:color w:val="000000"/>
          <w:sz w:val="24"/>
          <w:szCs w:val="24"/>
        </w:rPr>
        <w:t xml:space="preserve">de dos mil veinticinco, </w:t>
      </w:r>
      <w:r>
        <w:rPr>
          <w:rFonts w:ascii="Palatino Linotype" w:eastAsia="Palatino Linotype" w:hAnsi="Palatino Linotype" w:cs="Palatino Linotype"/>
          <w:sz w:val="24"/>
          <w:szCs w:val="24"/>
        </w:rPr>
        <w:lastRenderedPageBreak/>
        <w:t>determinando</w:t>
      </w:r>
      <w:r>
        <w:rPr>
          <w:rFonts w:ascii="Palatino Linotype" w:eastAsia="Palatino Linotype" w:hAnsi="Palatino Linotype" w:cs="Palatino Linotype"/>
          <w:color w:val="000000"/>
          <w:sz w:val="24"/>
          <w:szCs w:val="24"/>
        </w:rPr>
        <w:t xml:space="preserve"> un plazo de siete días para que las partes </w:t>
      </w:r>
      <w:r>
        <w:rPr>
          <w:rFonts w:ascii="Palatino Linotype" w:eastAsia="Palatino Linotype" w:hAnsi="Palatino Linotype" w:cs="Palatino Linotype"/>
          <w:sz w:val="24"/>
          <w:szCs w:val="24"/>
        </w:rPr>
        <w:t xml:space="preserve">manifestaron </w:t>
      </w:r>
      <w:r>
        <w:rPr>
          <w:rFonts w:ascii="Palatino Linotype" w:eastAsia="Palatino Linotype" w:hAnsi="Palatino Linotype" w:cs="Palatino Linotype"/>
          <w:color w:val="000000"/>
          <w:sz w:val="24"/>
          <w:szCs w:val="24"/>
        </w:rPr>
        <w:t xml:space="preserve">lo que a su derecho corresponda en términos de los numerales ya citados. </w:t>
      </w:r>
    </w:p>
    <w:p w:rsidR="00AF7F2C" w:rsidRDefault="00AF7F2C" w:rsidP="00AF7F2C">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rPr>
      </w:pPr>
    </w:p>
    <w:p w:rsidR="00D727D0" w:rsidRPr="00AF7F2C" w:rsidRDefault="001D4F8C" w:rsidP="00AF7F2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AF7F2C">
        <w:rPr>
          <w:rFonts w:ascii="Palatino Linotype" w:eastAsia="Palatino Linotype" w:hAnsi="Palatino Linotype" w:cs="Palatino Linotype"/>
          <w:b/>
          <w:color w:val="000000"/>
          <w:sz w:val="24"/>
          <w:szCs w:val="24"/>
        </w:rPr>
        <w:t>EL SUJETO OBLIGADO</w:t>
      </w:r>
      <w:r w:rsidRPr="00AF7F2C">
        <w:rPr>
          <w:rFonts w:ascii="Palatino Linotype" w:eastAsia="Palatino Linotype" w:hAnsi="Palatino Linotype" w:cs="Palatino Linotype"/>
          <w:color w:val="000000"/>
          <w:sz w:val="24"/>
          <w:szCs w:val="24"/>
        </w:rPr>
        <w:t xml:space="preserve"> fue omiso en rendir el Informe Justificado; </w:t>
      </w:r>
      <w:r w:rsidR="00D63514" w:rsidRPr="00AF7F2C">
        <w:rPr>
          <w:rFonts w:ascii="Palatino Linotype" w:eastAsia="Palatino Linotype" w:hAnsi="Palatino Linotype" w:cs="Palatino Linotype"/>
          <w:color w:val="000000"/>
          <w:sz w:val="24"/>
          <w:szCs w:val="24"/>
        </w:rPr>
        <w:t>mientras que</w:t>
      </w:r>
      <w:r w:rsidR="00ED39C7">
        <w:rPr>
          <w:rFonts w:ascii="Palatino Linotype" w:eastAsia="Palatino Linotype" w:hAnsi="Palatino Linotype" w:cs="Palatino Linotype"/>
          <w:color w:val="000000"/>
          <w:sz w:val="24"/>
          <w:szCs w:val="24"/>
        </w:rPr>
        <w:t xml:space="preserve"> </w:t>
      </w:r>
      <w:r w:rsidR="00ED39C7">
        <w:rPr>
          <w:rFonts w:ascii="Palatino Linotype" w:eastAsia="Palatino Linotype" w:hAnsi="Palatino Linotype" w:cs="Palatino Linotype"/>
          <w:b/>
          <w:color w:val="000000"/>
          <w:sz w:val="24"/>
          <w:szCs w:val="24"/>
        </w:rPr>
        <w:t xml:space="preserve">EL </w:t>
      </w:r>
      <w:r w:rsidRPr="00AF7F2C">
        <w:rPr>
          <w:rFonts w:ascii="Palatino Linotype" w:eastAsia="Palatino Linotype" w:hAnsi="Palatino Linotype" w:cs="Palatino Linotype"/>
          <w:b/>
          <w:color w:val="000000"/>
          <w:sz w:val="24"/>
          <w:szCs w:val="24"/>
        </w:rPr>
        <w:t>RECURRENTE</w:t>
      </w:r>
      <w:r w:rsidR="00D63514" w:rsidRPr="00AF7F2C">
        <w:rPr>
          <w:rFonts w:ascii="Palatino Linotype" w:eastAsia="Palatino Linotype" w:hAnsi="Palatino Linotype" w:cs="Palatino Linotype"/>
          <w:color w:val="000000"/>
          <w:sz w:val="24"/>
          <w:szCs w:val="24"/>
        </w:rPr>
        <w:t xml:space="preserve"> </w:t>
      </w:r>
      <w:r w:rsidR="003E6BA3" w:rsidRPr="00AF7F2C">
        <w:rPr>
          <w:rFonts w:ascii="Palatino Linotype" w:eastAsia="Palatino Linotype" w:hAnsi="Palatino Linotype" w:cs="Palatino Linotype"/>
          <w:color w:val="000000"/>
          <w:sz w:val="24"/>
          <w:szCs w:val="24"/>
        </w:rPr>
        <w:t xml:space="preserve">no realizó manifestaciones que a su derecho conviniera. </w:t>
      </w:r>
    </w:p>
    <w:p w:rsidR="00D727D0"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Ahora bien, en términos del artículo 185 fracciones VI y VIII de la Ley de Transparencia y Acceso a la Información Pública del Estado de México y Municipios, el</w:t>
      </w:r>
      <w:r>
        <w:rPr>
          <w:rFonts w:ascii="Palatino Linotype" w:eastAsia="Palatino Linotype" w:hAnsi="Palatino Linotype" w:cs="Palatino Linotype"/>
          <w:b/>
          <w:color w:val="000000"/>
          <w:sz w:val="24"/>
          <w:szCs w:val="24"/>
        </w:rPr>
        <w:t xml:space="preserve"> </w:t>
      </w:r>
      <w:r w:rsidR="002E762E">
        <w:rPr>
          <w:rFonts w:ascii="Palatino Linotype" w:eastAsia="Palatino Linotype" w:hAnsi="Palatino Linotype" w:cs="Palatino Linotype"/>
          <w:b/>
          <w:color w:val="000000"/>
          <w:sz w:val="24"/>
          <w:szCs w:val="24"/>
        </w:rPr>
        <w:t xml:space="preserve">veintiséis </w:t>
      </w:r>
      <w:r w:rsidR="0003512E">
        <w:rPr>
          <w:rFonts w:ascii="Palatino Linotype" w:eastAsia="Palatino Linotype" w:hAnsi="Palatino Linotype" w:cs="Palatino Linotype"/>
          <w:b/>
          <w:color w:val="000000"/>
          <w:sz w:val="24"/>
          <w:szCs w:val="24"/>
        </w:rPr>
        <w:t>d</w:t>
      </w:r>
      <w:r>
        <w:rPr>
          <w:rFonts w:ascii="Palatino Linotype" w:eastAsia="Palatino Linotype" w:hAnsi="Palatino Linotype" w:cs="Palatino Linotype"/>
          <w:b/>
          <w:color w:val="000000"/>
          <w:sz w:val="24"/>
          <w:szCs w:val="24"/>
        </w:rPr>
        <w:t xml:space="preserve">e febrero de dos mil veinticinco </w:t>
      </w:r>
      <w:r>
        <w:rPr>
          <w:rFonts w:ascii="Palatino Linotype" w:eastAsia="Palatino Linotype" w:hAnsi="Palatino Linotype" w:cs="Palatino Linotype"/>
          <w:color w:val="000000"/>
          <w:sz w:val="24"/>
          <w:szCs w:val="24"/>
        </w:rPr>
        <w:t xml:space="preserve">se decretó el cierre de instrucción, y se ordenó la Resolución que conforme a Derecho proceda, de acuerdo con los siguientes: </w:t>
      </w:r>
    </w:p>
    <w:p w:rsidR="00D727D0" w:rsidRDefault="00D727D0">
      <w:pPr>
        <w:spacing w:after="0" w:line="360" w:lineRule="auto"/>
        <w:ind w:right="-411"/>
        <w:jc w:val="center"/>
        <w:rPr>
          <w:rFonts w:ascii="Palatino Linotype" w:eastAsia="Palatino Linotype" w:hAnsi="Palatino Linotype" w:cs="Palatino Linotype"/>
          <w:b/>
          <w:sz w:val="24"/>
          <w:szCs w:val="24"/>
        </w:rPr>
      </w:pPr>
    </w:p>
    <w:p w:rsidR="00D727D0" w:rsidRDefault="001D4F8C">
      <w:pPr>
        <w:spacing w:after="0" w:line="360" w:lineRule="auto"/>
        <w:ind w:right="-411"/>
        <w:jc w:val="center"/>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C O N S I D E R A N D O </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PRIMERO. De la competencia</w:t>
      </w:r>
      <w:r>
        <w:rPr>
          <w:rFonts w:ascii="Palatino Linotype" w:eastAsia="Palatino Linotype" w:hAnsi="Palatino Linotype" w:cs="Palatino Linotype"/>
          <w:sz w:val="24"/>
          <w:szCs w:val="24"/>
        </w:rPr>
        <w:t>.</w:t>
      </w: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w:t>
      </w:r>
      <w:r>
        <w:rPr>
          <w:rFonts w:ascii="Palatino Linotype" w:eastAsia="Palatino Linotype" w:hAnsi="Palatino Linotype" w:cs="Palatino Linotype"/>
          <w:color w:val="000000"/>
          <w:sz w:val="24"/>
          <w:szCs w:val="24"/>
        </w:rPr>
        <w:lastRenderedPageBreak/>
        <w:t>Transparencia, Acceso a la Información Pública y Protección de Datos Personales del Estado de México y Municipios.</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SEGUNDO. De la Oportunidad y Procedencia del Recurso de Revisión</w:t>
      </w:r>
      <w:r>
        <w:rPr>
          <w:rFonts w:ascii="Palatino Linotype" w:eastAsia="Palatino Linotype" w:hAnsi="Palatino Linotype" w:cs="Palatino Linotype"/>
          <w:sz w:val="24"/>
          <w:szCs w:val="24"/>
        </w:rPr>
        <w:t>.</w:t>
      </w: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sz w:val="24"/>
          <w:szCs w:val="24"/>
        </w:rPr>
        <w:t>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w:t>
      </w:r>
      <w:r>
        <w:rPr>
          <w:rFonts w:ascii="Palatino Linotype" w:eastAsia="Palatino Linotype" w:hAnsi="Palatino Linotype" w:cs="Palatino Linotype"/>
          <w:b/>
          <w:color w:val="000000"/>
          <w:sz w:val="24"/>
          <w:szCs w:val="24"/>
        </w:rPr>
        <w:t xml:space="preserve"> SUJETO OBLIGADO</w:t>
      </w:r>
      <w:r>
        <w:rPr>
          <w:rFonts w:ascii="Palatino Linotype" w:eastAsia="Palatino Linotype" w:hAnsi="Palatino Linotype" w:cs="Palatino Linotype"/>
          <w:color w:val="000000"/>
          <w:sz w:val="24"/>
          <w:szCs w:val="24"/>
        </w:rPr>
        <w:t>, dentro de los plazos establecidos en la Ley de Transparencia Local, a una solicitud de acceso a la información pública, el recurso podrá ser interpuesto en cualquier momento, por lo que la interposición del presente recurso de revisión resulta oportuna.</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por lo que, en el presente caso, al haber sido presentado el recurso de revisión vía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dicho requisito resulta innecesario.</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Pr="003D23F2"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lastRenderedPageBreak/>
        <w:t xml:space="preserve">El artículo 179 fracción VII de la Ley de Transparencia y Acceso a la Información Pública del Estado de México y Municipios establece como supuesto de procedencia del recurso de revisión, la falta de respuesta a una solicitud de información por </w:t>
      </w:r>
      <w:r>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xml:space="preserve">, hipótesis jurídica que se actualiza en este caso, aunado a que la parte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combate la falta de trámite por </w:t>
      </w:r>
      <w:r>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xml:space="preserve"> y expresa motivos de inconformidad en contra de dicha circunstancia.</w:t>
      </w:r>
    </w:p>
    <w:p w:rsidR="003D23F2" w:rsidRDefault="003D23F2" w:rsidP="003D23F2">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rPr>
      </w:pPr>
    </w:p>
    <w:p w:rsidR="00D727D0" w:rsidRDefault="001D4F8C">
      <w:pPr>
        <w:widowControl w:val="0"/>
        <w:spacing w:after="0" w:line="360" w:lineRule="auto"/>
        <w:ind w:right="-411"/>
        <w:jc w:val="both"/>
        <w:rPr>
          <w:rFonts w:ascii="Palatino Linotype" w:eastAsia="Palatino Linotype" w:hAnsi="Palatino Linotype" w:cs="Palatino Linotype"/>
          <w:b/>
          <w:sz w:val="24"/>
          <w:szCs w:val="24"/>
        </w:rPr>
      </w:pPr>
      <w:bookmarkStart w:id="1" w:name="_heading=h.1fob9te" w:colFirst="0" w:colLast="0"/>
      <w:bookmarkEnd w:id="1"/>
      <w:r>
        <w:rPr>
          <w:rFonts w:ascii="Palatino Linotype" w:eastAsia="Palatino Linotype" w:hAnsi="Palatino Linotype" w:cs="Palatino Linotype"/>
          <w:b/>
          <w:sz w:val="24"/>
          <w:szCs w:val="24"/>
        </w:rPr>
        <w:t xml:space="preserve">TERCERO. Estudio y resolución del asunto. </w:t>
      </w: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Por lo que en cumplimiento a las obligaciones que establece nuestra Carta Magna, la Constitución Estatal y la Ley de la materia le imponen, </w:t>
      </w:r>
      <w:r>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w:t>
      </w:r>
      <w:r>
        <w:rPr>
          <w:rFonts w:ascii="Palatino Linotype" w:eastAsia="Palatino Linotype" w:hAnsi="Palatino Linotype" w:cs="Palatino Linotype"/>
          <w:b/>
          <w:color w:val="000000"/>
          <w:sz w:val="24"/>
          <w:szCs w:val="24"/>
        </w:rPr>
        <w:t xml:space="preserve">EL SUJETO </w:t>
      </w:r>
      <w:r>
        <w:rPr>
          <w:rFonts w:ascii="Palatino Linotype" w:eastAsia="Palatino Linotype" w:hAnsi="Palatino Linotype" w:cs="Palatino Linotype"/>
          <w:b/>
          <w:color w:val="000000"/>
          <w:sz w:val="24"/>
          <w:szCs w:val="24"/>
        </w:rPr>
        <w:lastRenderedPageBreak/>
        <w:t>OBLIGADO</w:t>
      </w:r>
      <w:r>
        <w:rPr>
          <w:rFonts w:ascii="Palatino Linotype" w:eastAsia="Palatino Linotype" w:hAnsi="Palatino Linotype" w:cs="Palatino Linotype"/>
          <w:color w:val="000000"/>
          <w:sz w:val="24"/>
          <w:szCs w:val="24"/>
        </w:rPr>
        <w:t xml:space="preserve"> fue omiso en dar respuesta a la solicitud de información dentro de los plazos establecidos en la Ley de Transparencia Local.</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y</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por tanto, procedente la interposición del recurso de revisión.</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En consecuencia, las razones o motivos de inconformidad hechos valer, resultan </w:t>
      </w:r>
      <w:r>
        <w:rPr>
          <w:rFonts w:ascii="Palatino Linotype" w:eastAsia="Palatino Linotype" w:hAnsi="Palatino Linotype" w:cs="Palatino Linotype"/>
          <w:b/>
          <w:color w:val="000000"/>
          <w:sz w:val="24"/>
          <w:szCs w:val="24"/>
        </w:rPr>
        <w:t>fundadas y procedentes</w:t>
      </w:r>
      <w:r>
        <w:rPr>
          <w:rFonts w:ascii="Palatino Linotype" w:eastAsia="Palatino Linotype" w:hAnsi="Palatino Linotype" w:cs="Palatino Linotype"/>
          <w:color w:val="000000"/>
          <w:sz w:val="24"/>
          <w:szCs w:val="24"/>
        </w:rPr>
        <w:t xml:space="preserve">, en virtud de las constancias que obran en el expediente electrónico SAIMEX, se acredita que </w:t>
      </w:r>
      <w:r>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xml:space="preserve"> fue omiso en responder la solicitud de información hecha por </w:t>
      </w:r>
      <w:r w:rsidR="0003512E">
        <w:rPr>
          <w:rFonts w:ascii="Palatino Linotype" w:eastAsia="Palatino Linotype" w:hAnsi="Palatino Linotype" w:cs="Palatino Linotype"/>
          <w:b/>
          <w:color w:val="000000"/>
          <w:sz w:val="24"/>
          <w:szCs w:val="24"/>
        </w:rPr>
        <w:t>EL</w:t>
      </w:r>
      <w:r>
        <w:rPr>
          <w:rFonts w:ascii="Palatino Linotype" w:eastAsia="Palatino Linotype" w:hAnsi="Palatino Linotype" w:cs="Palatino Linotype"/>
          <w:b/>
          <w:color w:val="000000"/>
          <w:sz w:val="24"/>
          <w:szCs w:val="24"/>
        </w:rPr>
        <w:t xml:space="preserve"> RECURRENTE</w:t>
      </w:r>
      <w:r>
        <w:rPr>
          <w:rFonts w:ascii="Palatino Linotype" w:eastAsia="Palatino Linotype" w:hAnsi="Palatino Linotype" w:cs="Palatino Linotype"/>
          <w:color w:val="000000"/>
          <w:sz w:val="24"/>
          <w:szCs w:val="24"/>
        </w:rPr>
        <w:t xml:space="preserve">, es decir, incumplió las obligaciones que se le imponen como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de conformidad con lo establecido en los artículos 4, 12, 23 fracción IV, 24 último párrafo y 160 de la Ley de Transparencia y Acceso a la Información Pública del Estado de México y Municipios.</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widowControl w:val="0"/>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w:t>
      </w:r>
      <w:r>
        <w:rPr>
          <w:rFonts w:ascii="Palatino Linotype" w:eastAsia="Palatino Linotype" w:hAnsi="Palatino Linotype" w:cs="Palatino Linotype"/>
          <w:color w:val="000000"/>
          <w:sz w:val="24"/>
          <w:szCs w:val="24"/>
        </w:rPr>
        <w:lastRenderedPageBreak/>
        <w:t xml:space="preserve">se establece que la Unidad de Transparencia es la encargada de tramitar internamente las solicitudes de información y tiene la responsabilidad de verificar, en cada caso, que la información no tenga el carácter de confidencial o reservada. </w:t>
      </w:r>
    </w:p>
    <w:p w:rsidR="00D727D0" w:rsidRDefault="00D727D0">
      <w:pPr>
        <w:widowControl w:val="0"/>
        <w:tabs>
          <w:tab w:val="left" w:pos="1276"/>
        </w:tabs>
        <w:spacing w:after="0" w:line="360" w:lineRule="auto"/>
        <w:ind w:right="-411"/>
        <w:jc w:val="both"/>
        <w:rPr>
          <w:rFonts w:ascii="Palatino Linotype" w:eastAsia="Palatino Linotype" w:hAnsi="Palatino Linotype" w:cs="Palatino Linotype"/>
          <w:sz w:val="24"/>
          <w:szCs w:val="24"/>
        </w:rPr>
      </w:pPr>
    </w:p>
    <w:p w:rsidR="00D727D0" w:rsidRDefault="001D4F8C">
      <w:pPr>
        <w:widowControl w:val="0"/>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D727D0" w:rsidRDefault="00D727D0">
      <w:pPr>
        <w:widowControl w:val="0"/>
        <w:tabs>
          <w:tab w:val="left" w:pos="1276"/>
        </w:tabs>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En consecuencia, según lo dispuesto por el artículo 150 de la Ley de Transparencia y Acceso a la Información Pública del Estado de México y Municipios, el </w:t>
      </w:r>
      <w:r>
        <w:rPr>
          <w:rFonts w:ascii="Palatino Linotype" w:eastAsia="Palatino Linotype" w:hAnsi="Palatino Linotype" w:cs="Palatino Linotype"/>
          <w:i/>
          <w:color w:val="000000"/>
          <w:sz w:val="24"/>
          <w:szCs w:val="24"/>
        </w:rPr>
        <w:t xml:space="preserve">procedimiento de acceso </w:t>
      </w:r>
      <w:r>
        <w:rPr>
          <w:rFonts w:ascii="Palatino Linotype" w:eastAsia="Palatino Linotype" w:hAnsi="Palatino Linotype" w:cs="Palatino Linotype"/>
          <w:i/>
          <w:color w:val="000000"/>
          <w:sz w:val="24"/>
          <w:szCs w:val="24"/>
        </w:rPr>
        <w:lastRenderedPageBreak/>
        <w:t xml:space="preserve">a la información es la garantía primaria del derecho en cuestión, </w:t>
      </w:r>
      <w:r>
        <w:rPr>
          <w:rFonts w:ascii="Palatino Linotype" w:eastAsia="Palatino Linotype" w:hAnsi="Palatino Linotype" w:cs="Palatino Linotype"/>
          <w:color w:val="000000"/>
          <w:sz w:val="24"/>
          <w:szCs w:val="24"/>
        </w:rPr>
        <w:t>por lo tanto, la falta de respuesta a una solicitud de acceso a la información constituye un incumplimiento del sujeto obligado a su deber de garantizar el derecho, lo que constituye una vulneración al mismo.</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Por lo que, en cumplimiento a esta resolución, </w:t>
      </w:r>
      <w:r>
        <w:rPr>
          <w:rFonts w:ascii="Palatino Linotype" w:eastAsia="Palatino Linotype" w:hAnsi="Palatino Linotype" w:cs="Palatino Linotype"/>
          <w:b/>
          <w:color w:val="000000"/>
          <w:sz w:val="24"/>
          <w:szCs w:val="24"/>
        </w:rPr>
        <w:t xml:space="preserve">EL SUJETO OBLIGADO </w:t>
      </w:r>
      <w:r>
        <w:rPr>
          <w:rFonts w:ascii="Palatino Linotype" w:eastAsia="Palatino Linotype" w:hAnsi="Palatino Linotype" w:cs="Palatino Linotype"/>
          <w:color w:val="000000"/>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2"/>
        </w:numPr>
        <w:spacing w:after="0" w:line="360" w:lineRule="auto"/>
        <w:ind w:right="-411"/>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De la clasificación de la información</w:t>
      </w: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D727D0"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lastRenderedPageBreak/>
        <w:t>La Ley de Transparencia y Acceso a la Información Pública del Estado de México y Municipios, en sus artículos 140 y 143 prevé los siguientes supuestos para clasificar la información como reservada o confidencial.</w:t>
      </w:r>
    </w:p>
    <w:p w:rsidR="00D727D0"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Por lo que para dar atención a la solicitud de información, si </w:t>
      </w:r>
      <w:r>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D727D0"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D727D0"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D727D0"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a concluir que, el caso particular se ajusta al supuesto previsto por la norma legal invocada como fundamento; siendo que, además, en todo momento, se debe aplicar una prueba de daño, entendida </w:t>
      </w:r>
      <w:r>
        <w:rPr>
          <w:rFonts w:ascii="Palatino Linotype" w:eastAsia="Palatino Linotype" w:hAnsi="Palatino Linotype" w:cs="Palatino Linotype"/>
          <w:sz w:val="24"/>
          <w:szCs w:val="24"/>
        </w:rPr>
        <w:t>ésta</w:t>
      </w:r>
      <w:r>
        <w:rPr>
          <w:rFonts w:ascii="Palatino Linotype" w:eastAsia="Palatino Linotype" w:hAnsi="Palatino Linotype" w:cs="Palatino Linotype"/>
          <w:color w:val="000000"/>
          <w:sz w:val="24"/>
          <w:szCs w:val="24"/>
        </w:rPr>
        <w:t xml:space="preserve">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D727D0"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D727D0"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D727D0"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w:t>
      </w:r>
      <w:r>
        <w:rPr>
          <w:rFonts w:ascii="Palatino Linotype" w:eastAsia="Palatino Linotype" w:hAnsi="Palatino Linotype" w:cs="Palatino Linotype"/>
          <w:color w:val="000000"/>
          <w:sz w:val="24"/>
          <w:szCs w:val="24"/>
        </w:rPr>
        <w:lastRenderedPageBreak/>
        <w:t>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D727D0"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Pr>
          <w:rFonts w:ascii="Palatino Linotype" w:eastAsia="Palatino Linotype" w:hAnsi="Palatino Linotype" w:cs="Palatino Linotype"/>
          <w:i/>
          <w:color w:val="000000"/>
          <w:sz w:val="24"/>
          <w:szCs w:val="24"/>
        </w:rPr>
        <w:t>.</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3"/>
        </w:numPr>
        <w:tabs>
          <w:tab w:val="left" w:pos="7938"/>
        </w:tabs>
        <w:spacing w:after="0" w:line="360" w:lineRule="auto"/>
        <w:ind w:left="426" w:right="-411"/>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De la vista a los órganos de control interno competentes </w:t>
      </w:r>
    </w:p>
    <w:p w:rsidR="00D727D0" w:rsidRPr="00E47FE5"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Como ya se mencionó </w:t>
      </w:r>
      <w:r>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no proporcionó respuesta a la solicitud de acceso a la información pública, en el término previsto en el artículo 163 de la Ley de Transparencia y Acceso a la Información Pública por lo que ordena dar vista</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E47FE5" w:rsidRDefault="00E47FE5" w:rsidP="00E47FE5">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Por lo tanto, de lo expuesto y con fundamento en la fracción IV del artículo 186, de la Ley de Transparencia y Acceso a la Información Pública del Estado de México y Municipios, </w:t>
      </w:r>
      <w:r>
        <w:rPr>
          <w:rFonts w:ascii="Palatino Linotype" w:eastAsia="Palatino Linotype" w:hAnsi="Palatino Linotype" w:cs="Palatino Linotype"/>
          <w:color w:val="000000"/>
          <w:sz w:val="24"/>
          <w:szCs w:val="24"/>
        </w:rPr>
        <w:lastRenderedPageBreak/>
        <w:t xml:space="preserve">se </w:t>
      </w:r>
      <w:r>
        <w:rPr>
          <w:rFonts w:ascii="Palatino Linotype" w:eastAsia="Palatino Linotype" w:hAnsi="Palatino Linotype" w:cs="Palatino Linotype"/>
          <w:b/>
          <w:color w:val="000000"/>
          <w:sz w:val="24"/>
          <w:szCs w:val="24"/>
        </w:rPr>
        <w:t>ORDENA</w:t>
      </w:r>
      <w:r>
        <w:rPr>
          <w:rFonts w:ascii="Palatino Linotype" w:eastAsia="Palatino Linotype" w:hAnsi="Palatino Linotype" w:cs="Palatino Linotype"/>
          <w:color w:val="000000"/>
          <w:sz w:val="24"/>
          <w:szCs w:val="24"/>
        </w:rPr>
        <w:t xml:space="preserve"> al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atienda la solicitud de información </w:t>
      </w:r>
      <w:r w:rsidR="00AF7F2C">
        <w:rPr>
          <w:rFonts w:ascii="Palatino Linotype" w:eastAsia="Palatino Linotype" w:hAnsi="Palatino Linotype" w:cs="Palatino Linotype"/>
          <w:b/>
          <w:color w:val="000000"/>
          <w:sz w:val="24"/>
          <w:szCs w:val="24"/>
        </w:rPr>
        <w:t xml:space="preserve"> </w:t>
      </w:r>
      <w:r w:rsidR="0003512E">
        <w:rPr>
          <w:rFonts w:ascii="Palatino Linotype" w:eastAsia="Palatino Linotype" w:hAnsi="Palatino Linotype" w:cs="Palatino Linotype"/>
          <w:b/>
          <w:color w:val="000000"/>
          <w:sz w:val="24"/>
          <w:szCs w:val="24"/>
        </w:rPr>
        <w:t>000</w:t>
      </w:r>
      <w:r w:rsidR="002E762E">
        <w:rPr>
          <w:rFonts w:ascii="Palatino Linotype" w:eastAsia="Palatino Linotype" w:hAnsi="Palatino Linotype" w:cs="Palatino Linotype"/>
          <w:b/>
          <w:color w:val="000000"/>
          <w:sz w:val="24"/>
          <w:szCs w:val="24"/>
        </w:rPr>
        <w:t>53</w:t>
      </w:r>
      <w:r w:rsidR="0003512E">
        <w:rPr>
          <w:rFonts w:ascii="Palatino Linotype" w:eastAsia="Palatino Linotype" w:hAnsi="Palatino Linotype" w:cs="Palatino Linotype"/>
          <w:b/>
          <w:color w:val="000000"/>
          <w:sz w:val="24"/>
          <w:szCs w:val="24"/>
        </w:rPr>
        <w:t>/</w:t>
      </w:r>
      <w:r w:rsidR="002E762E">
        <w:rPr>
          <w:rFonts w:ascii="Palatino Linotype" w:eastAsia="Palatino Linotype" w:hAnsi="Palatino Linotype" w:cs="Palatino Linotype"/>
          <w:b/>
          <w:color w:val="000000"/>
          <w:sz w:val="24"/>
          <w:szCs w:val="24"/>
        </w:rPr>
        <w:t>CAPULHUA</w:t>
      </w:r>
      <w:r w:rsidR="0003512E">
        <w:rPr>
          <w:rFonts w:ascii="Palatino Linotype" w:eastAsia="Palatino Linotype" w:hAnsi="Palatino Linotype" w:cs="Palatino Linotype"/>
          <w:b/>
          <w:color w:val="000000"/>
          <w:sz w:val="24"/>
          <w:szCs w:val="24"/>
        </w:rPr>
        <w:t>/IP/2025</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que ha sido materia del presente fallo. </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antes expuesto y fundado es de resolverse y,</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spacing w:after="0" w:line="360" w:lineRule="auto"/>
        <w:ind w:left="426" w:right="-411"/>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S E    R E S U E L V E</w:t>
      </w:r>
    </w:p>
    <w:p w:rsidR="00D727D0" w:rsidRDefault="00D727D0">
      <w:pPr>
        <w:spacing w:after="0" w:line="360" w:lineRule="auto"/>
        <w:ind w:left="426" w:right="-411"/>
        <w:jc w:val="center"/>
        <w:rPr>
          <w:rFonts w:ascii="Palatino Linotype" w:eastAsia="Palatino Linotype" w:hAnsi="Palatino Linotype" w:cs="Palatino Linotype"/>
          <w:b/>
          <w:color w:val="000000"/>
          <w:sz w:val="24"/>
          <w:szCs w:val="24"/>
        </w:rPr>
      </w:pPr>
    </w:p>
    <w:p w:rsidR="00D727D0" w:rsidRDefault="001D4F8C">
      <w:pPr>
        <w:tabs>
          <w:tab w:val="left" w:pos="8647"/>
        </w:tabs>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PRIMERO.</w:t>
      </w:r>
      <w:r>
        <w:rPr>
          <w:rFonts w:ascii="Palatino Linotype" w:eastAsia="Palatino Linotype" w:hAnsi="Palatino Linotype" w:cs="Palatino Linotype"/>
          <w:sz w:val="24"/>
          <w:szCs w:val="24"/>
        </w:rPr>
        <w:t xml:space="preserve"> Resultan fundadas las razones o motivos de inconformidad hechos valer por </w:t>
      </w:r>
      <w:r w:rsidR="00ED39C7">
        <w:rPr>
          <w:rFonts w:ascii="Palatino Linotype" w:eastAsia="Palatino Linotype" w:hAnsi="Palatino Linotype" w:cs="Palatino Linotype"/>
          <w:b/>
          <w:sz w:val="24"/>
          <w:szCs w:val="24"/>
        </w:rPr>
        <w:t xml:space="preserve">EL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en términos del considerando </w:t>
      </w:r>
      <w:r>
        <w:rPr>
          <w:rFonts w:ascii="Palatino Linotype" w:eastAsia="Palatino Linotype" w:hAnsi="Palatino Linotype" w:cs="Palatino Linotype"/>
          <w:b/>
          <w:sz w:val="24"/>
          <w:szCs w:val="24"/>
        </w:rPr>
        <w:t>TERCERO</w:t>
      </w:r>
      <w:r>
        <w:rPr>
          <w:rFonts w:ascii="Palatino Linotype" w:eastAsia="Palatino Linotype" w:hAnsi="Palatino Linotype" w:cs="Palatino Linotype"/>
          <w:sz w:val="24"/>
          <w:szCs w:val="24"/>
        </w:rPr>
        <w:t>, de la presente resolución.</w:t>
      </w:r>
    </w:p>
    <w:p w:rsidR="00D727D0" w:rsidRDefault="00D727D0">
      <w:pPr>
        <w:tabs>
          <w:tab w:val="left" w:pos="8647"/>
        </w:tabs>
        <w:spacing w:after="0" w:line="360" w:lineRule="auto"/>
        <w:ind w:right="-411"/>
        <w:jc w:val="both"/>
        <w:rPr>
          <w:rFonts w:ascii="Palatino Linotype" w:eastAsia="Palatino Linotype" w:hAnsi="Palatino Linotype" w:cs="Palatino Linotype"/>
          <w:sz w:val="24"/>
          <w:szCs w:val="24"/>
        </w:rPr>
      </w:pPr>
    </w:p>
    <w:p w:rsidR="00D727D0" w:rsidRDefault="001D4F8C">
      <w:pPr>
        <w:tabs>
          <w:tab w:val="left" w:pos="8647"/>
        </w:tabs>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SEGUNDO.</w:t>
      </w:r>
      <w:r>
        <w:rPr>
          <w:rFonts w:ascii="Palatino Linotype" w:eastAsia="Palatino Linotype" w:hAnsi="Palatino Linotype" w:cs="Palatino Linotype"/>
          <w:sz w:val="24"/>
          <w:szCs w:val="24"/>
        </w:rPr>
        <w:t xml:space="preserve">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atienda la solicitud de información </w:t>
      </w:r>
      <w:r>
        <w:rPr>
          <w:rFonts w:ascii="Palatino Linotype" w:eastAsia="Palatino Linotype" w:hAnsi="Palatino Linotype" w:cs="Palatino Linotype"/>
          <w:b/>
          <w:sz w:val="24"/>
          <w:szCs w:val="24"/>
        </w:rPr>
        <w:t xml:space="preserve"> </w:t>
      </w:r>
      <w:r w:rsidR="002E762E">
        <w:rPr>
          <w:rFonts w:ascii="Palatino Linotype" w:eastAsia="Palatino Linotype" w:hAnsi="Palatino Linotype" w:cs="Palatino Linotype"/>
          <w:b/>
          <w:color w:val="000000"/>
          <w:sz w:val="24"/>
          <w:szCs w:val="24"/>
        </w:rPr>
        <w:t>00053/CAPULHUA/IP/2025</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vía Sistema de Acceso a la Información Mexiquense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en términos del Considerando </w:t>
      </w:r>
      <w:r>
        <w:rPr>
          <w:rFonts w:ascii="Palatino Linotype" w:eastAsia="Palatino Linotype" w:hAnsi="Palatino Linotype" w:cs="Palatino Linotype"/>
          <w:b/>
          <w:sz w:val="24"/>
          <w:szCs w:val="24"/>
        </w:rPr>
        <w:t xml:space="preserve">TERCERO </w:t>
      </w:r>
      <w:r>
        <w:rPr>
          <w:rFonts w:ascii="Palatino Linotype" w:eastAsia="Palatino Linotype" w:hAnsi="Palatino Linotype" w:cs="Palatino Linotype"/>
          <w:sz w:val="24"/>
          <w:szCs w:val="24"/>
        </w:rPr>
        <w:t>de esta resolución</w:t>
      </w:r>
      <w:r>
        <w:rPr>
          <w:rFonts w:ascii="Palatino Linotype" w:eastAsia="Palatino Linotype" w:hAnsi="Palatino Linotype" w:cs="Palatino Linotype"/>
          <w:b/>
          <w:sz w:val="24"/>
          <w:szCs w:val="24"/>
        </w:rPr>
        <w:t>.</w:t>
      </w:r>
    </w:p>
    <w:p w:rsidR="00D727D0" w:rsidRDefault="00D727D0">
      <w:pPr>
        <w:tabs>
          <w:tab w:val="left" w:pos="8647"/>
        </w:tabs>
        <w:spacing w:after="0" w:line="360" w:lineRule="auto"/>
        <w:ind w:right="-411"/>
        <w:jc w:val="both"/>
        <w:rPr>
          <w:rFonts w:ascii="Palatino Linotype" w:eastAsia="Palatino Linotype" w:hAnsi="Palatino Linotype" w:cs="Palatino Linotype"/>
          <w:sz w:val="24"/>
          <w:szCs w:val="24"/>
        </w:rPr>
      </w:pPr>
    </w:p>
    <w:p w:rsidR="00D727D0" w:rsidRDefault="001D4F8C">
      <w:pPr>
        <w:tabs>
          <w:tab w:val="left" w:pos="8647"/>
        </w:tabs>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TERCERO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Notifíquese</w:t>
      </w:r>
      <w:r>
        <w:rPr>
          <w:rFonts w:ascii="Palatino Linotype" w:eastAsia="Palatino Linotype" w:hAnsi="Palatino Linotype" w:cs="Palatino Linotype"/>
          <w:sz w:val="24"/>
          <w:szCs w:val="24"/>
        </w:rPr>
        <w:t xml:space="preserve">, vía Sistema de Acceso a la Información Mexiquense (SAIMEX), la presente resolución al Titular de la Unidad de Transparencia </w:t>
      </w:r>
      <w:r>
        <w:rPr>
          <w:rFonts w:ascii="Palatino Linotype" w:eastAsia="Palatino Linotype" w:hAnsi="Palatino Linotype" w:cs="Palatino Linotype"/>
          <w:b/>
          <w:sz w:val="24"/>
          <w:szCs w:val="24"/>
        </w:rPr>
        <w:t>DEL SUJETO OBLIGADO</w:t>
      </w:r>
      <w:r>
        <w:rPr>
          <w:rFonts w:ascii="Palatino Linotype" w:eastAsia="Palatino Linotype" w:hAnsi="Palatino Linotype" w:cs="Palatino Linotype"/>
          <w:sz w:val="24"/>
          <w:szCs w:val="24"/>
        </w:rPr>
        <w:t xml:space="preserve">,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sz w:val="24"/>
          <w:szCs w:val="24"/>
        </w:rPr>
        <w:t>dé cumplimiento a lo ordenado dentro del plazo de diez días hábiles,</w:t>
      </w:r>
      <w:r>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w:t>
      </w:r>
      <w:r>
        <w:rPr>
          <w:rFonts w:ascii="Palatino Linotype" w:eastAsia="Palatino Linotype" w:hAnsi="Palatino Linotype" w:cs="Palatino Linotype"/>
          <w:sz w:val="24"/>
          <w:szCs w:val="24"/>
        </w:rPr>
        <w:lastRenderedPageBreak/>
        <w:t>200, fracción III; 214, 215 y 216 de la Ley  de Transparencia y Acceso a la Información Pública del Estado de México y Municipios</w:t>
      </w:r>
    </w:p>
    <w:p w:rsidR="00D727D0" w:rsidRDefault="00D727D0">
      <w:pPr>
        <w:tabs>
          <w:tab w:val="left" w:pos="8647"/>
        </w:tabs>
        <w:spacing w:after="0" w:line="360" w:lineRule="auto"/>
        <w:ind w:right="-411"/>
        <w:jc w:val="both"/>
        <w:rPr>
          <w:rFonts w:ascii="Palatino Linotype" w:eastAsia="Palatino Linotype" w:hAnsi="Palatino Linotype" w:cs="Palatino Linotype"/>
          <w:b/>
          <w:sz w:val="24"/>
          <w:szCs w:val="24"/>
        </w:rPr>
      </w:pPr>
    </w:p>
    <w:p w:rsidR="00D727D0" w:rsidRDefault="001D4F8C">
      <w:pPr>
        <w:tabs>
          <w:tab w:val="left" w:pos="8647"/>
        </w:tabs>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CUARTO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Notifíquese</w:t>
      </w:r>
      <w:r>
        <w:rPr>
          <w:rFonts w:ascii="Palatino Linotype" w:eastAsia="Palatino Linotype" w:hAnsi="Palatino Linotype" w:cs="Palatino Linotype"/>
          <w:sz w:val="24"/>
          <w:szCs w:val="24"/>
        </w:rPr>
        <w:t xml:space="preserve">, vía Sistema de Acceso a la Información Mexiquense (SAIMEX) al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QUINTO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Se hace del conocimiento</w:t>
      </w:r>
      <w:r w:rsidR="002E762E">
        <w:rPr>
          <w:rFonts w:ascii="Palatino Linotype" w:eastAsia="Palatino Linotype" w:hAnsi="Palatino Linotype" w:cs="Palatino Linotype"/>
          <w:sz w:val="24"/>
          <w:szCs w:val="24"/>
        </w:rPr>
        <w:t xml:space="preserve"> </w:t>
      </w:r>
      <w:r w:rsidR="002E762E">
        <w:rPr>
          <w:rFonts w:ascii="Palatino Linotype" w:eastAsia="Palatino Linotype" w:hAnsi="Palatino Linotype" w:cs="Palatino Linotype"/>
          <w:b/>
          <w:sz w:val="24"/>
          <w:szCs w:val="24"/>
        </w:rPr>
        <w:t>A</w:t>
      </w:r>
      <w:r w:rsidR="00ED39C7">
        <w:rPr>
          <w:rFonts w:ascii="Palatino Linotype" w:eastAsia="Palatino Linotype" w:hAnsi="Palatino Linotype" w:cs="Palatino Linotype"/>
          <w:b/>
          <w:sz w:val="24"/>
          <w:szCs w:val="24"/>
        </w:rPr>
        <w:t>L</w:t>
      </w:r>
      <w:r>
        <w:rPr>
          <w:rFonts w:ascii="Palatino Linotype" w:eastAsia="Palatino Linotype" w:hAnsi="Palatino Linotype" w:cs="Palatino Linotype"/>
          <w:b/>
          <w:sz w:val="24"/>
          <w:szCs w:val="24"/>
        </w:rPr>
        <w:t xml:space="preserve"> RECURRENTE</w:t>
      </w:r>
      <w:r>
        <w:rPr>
          <w:rFonts w:ascii="Palatino Linotype" w:eastAsia="Palatino Linotype" w:hAnsi="Palatino Linotype" w:cs="Palatino Linotype"/>
          <w:sz w:val="24"/>
          <w:szCs w:val="24"/>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en cumplimiento a esta Resolución.</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SEXTO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Gírese</w:t>
      </w:r>
      <w:r>
        <w:rPr>
          <w:rFonts w:ascii="Palatino Linotype" w:eastAsia="Palatino Linotype" w:hAnsi="Palatino Linotype" w:cs="Palatino Linotype"/>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Pr>
          <w:rFonts w:ascii="Palatino Linotype" w:eastAsia="Palatino Linotype" w:hAnsi="Palatino Linotype" w:cs="Palatino Linotype"/>
          <w:b/>
          <w:sz w:val="24"/>
          <w:szCs w:val="24"/>
        </w:rPr>
        <w:t>Considerando TERCERO</w:t>
      </w:r>
      <w:r>
        <w:rPr>
          <w:rFonts w:ascii="Palatino Linotype" w:eastAsia="Palatino Linotype" w:hAnsi="Palatino Linotype" w:cs="Palatino Linotype"/>
          <w:sz w:val="24"/>
          <w:szCs w:val="24"/>
        </w:rPr>
        <w:t xml:space="preserve"> de la presente resolución.</w:t>
      </w:r>
    </w:p>
    <w:p w:rsidR="00EC2532" w:rsidRDefault="00EC2532">
      <w:pPr>
        <w:spacing w:after="0" w:line="360" w:lineRule="auto"/>
        <w:ind w:right="-411"/>
        <w:jc w:val="both"/>
        <w:rPr>
          <w:rFonts w:ascii="Palatino Linotype" w:eastAsia="Palatino Linotype" w:hAnsi="Palatino Linotype" w:cs="Palatino Linotype"/>
          <w:sz w:val="24"/>
          <w:szCs w:val="24"/>
        </w:rPr>
      </w:pPr>
    </w:p>
    <w:p w:rsidR="00EC2532" w:rsidRPr="00EC2532" w:rsidRDefault="00EC2532" w:rsidP="00EC2532">
      <w:pPr>
        <w:spacing w:line="360" w:lineRule="auto"/>
        <w:ind w:left="-142" w:right="-234" w:firstLine="1"/>
        <w:jc w:val="both"/>
        <w:rPr>
          <w:rFonts w:ascii="Palatino Linotype" w:hAnsi="Palatino Linotype"/>
          <w:sz w:val="24"/>
        </w:rPr>
      </w:pPr>
      <w:r w:rsidRPr="00EC2532">
        <w:rPr>
          <w:rFonts w:ascii="Palatino Linotype" w:hAnsi="Palatino Linotype"/>
          <w:sz w:val="24"/>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(06) DE MARZO DE DOS MIL VEINTICINCO, ANTE EL SECRETARIO TÉCNICO DEL PLENO ALEXIS TAPIA RAMÍREZ. </w:t>
      </w:r>
    </w:p>
    <w:p w:rsidR="00D57CA8" w:rsidRPr="00EC2532" w:rsidRDefault="00D57CA8">
      <w:pPr>
        <w:spacing w:after="0"/>
        <w:ind w:right="-411"/>
        <w:rPr>
          <w:sz w:val="28"/>
          <w:szCs w:val="24"/>
        </w:rPr>
      </w:pPr>
    </w:p>
    <w:p w:rsidR="00D57CA8" w:rsidRPr="00EC2532" w:rsidRDefault="00D57CA8">
      <w:pPr>
        <w:spacing w:after="0"/>
        <w:ind w:right="-411"/>
        <w:rPr>
          <w:sz w:val="28"/>
          <w:szCs w:val="24"/>
        </w:rPr>
      </w:pPr>
    </w:p>
    <w:p w:rsidR="00D57CA8" w:rsidRPr="00EC2532" w:rsidRDefault="00D57CA8">
      <w:pPr>
        <w:spacing w:after="0"/>
        <w:ind w:right="-411"/>
        <w:rPr>
          <w:sz w:val="28"/>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ind w:right="-411"/>
        <w:rPr>
          <w:sz w:val="24"/>
          <w:szCs w:val="24"/>
        </w:rPr>
      </w:pPr>
      <w:bookmarkStart w:id="2" w:name="_heading=h.gjdgxs" w:colFirst="0" w:colLast="0"/>
      <w:bookmarkEnd w:id="2"/>
    </w:p>
    <w:p w:rsidR="00214AEA" w:rsidRDefault="00214AEA">
      <w:pPr>
        <w:ind w:right="-411"/>
        <w:rPr>
          <w:sz w:val="24"/>
          <w:szCs w:val="24"/>
        </w:rPr>
      </w:pPr>
    </w:p>
    <w:sectPr w:rsidR="00214AEA" w:rsidSect="00AC4D67">
      <w:headerReference w:type="default" r:id="rId8"/>
      <w:footerReference w:type="default" r:id="rId9"/>
      <w:headerReference w:type="first" r:id="rId10"/>
      <w:footerReference w:type="first" r:id="rId11"/>
      <w:pgSz w:w="12240" w:h="15840"/>
      <w:pgMar w:top="3686" w:right="104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2AE" w:rsidRDefault="00D472AE">
      <w:pPr>
        <w:spacing w:after="0" w:line="240" w:lineRule="auto"/>
      </w:pPr>
      <w:r>
        <w:separator/>
      </w:r>
    </w:p>
  </w:endnote>
  <w:endnote w:type="continuationSeparator" w:id="0">
    <w:p w:rsidR="00D472AE" w:rsidRDefault="00D47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E37A1">
      <w:rPr>
        <w:rFonts w:ascii="Palatino Linotype" w:eastAsia="Palatino Linotype" w:hAnsi="Palatino Linotype" w:cs="Palatino Linotype"/>
        <w:noProof/>
        <w:color w:val="000000"/>
        <w:sz w:val="20"/>
        <w:szCs w:val="20"/>
      </w:rPr>
      <w:t>3</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E37A1">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E37A1">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E37A1">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2AE" w:rsidRDefault="00D472AE">
      <w:pPr>
        <w:spacing w:after="0" w:line="240" w:lineRule="auto"/>
      </w:pPr>
      <w:r>
        <w:separator/>
      </w:r>
    </w:p>
  </w:footnote>
  <w:footnote w:type="continuationSeparator" w:id="0">
    <w:p w:rsidR="00D472AE" w:rsidRDefault="00D47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916C20">
    <w:pPr>
      <w:widowControl w:val="0"/>
      <w:pBdr>
        <w:top w:val="nil"/>
        <w:left w:val="nil"/>
        <w:bottom w:val="nil"/>
        <w:right w:val="nil"/>
        <w:between w:val="nil"/>
      </w:pBdr>
      <w:spacing w:after="0" w:line="276" w:lineRule="auto"/>
    </w:pPr>
    <w:r>
      <w:rPr>
        <w:rFonts w:ascii="Palatino Linotype" w:eastAsia="Palatino Linotype" w:hAnsi="Palatino Linotype" w:cs="Palatino Linotype"/>
        <w:b/>
        <w:noProof/>
        <w:color w:val="000000"/>
        <w:sz w:val="24"/>
        <w:szCs w:val="24"/>
        <w:lang w:val="es-MX"/>
      </w:rPr>
      <w:drawing>
        <wp:anchor distT="0" distB="0" distL="0" distR="0" simplePos="0" relativeHeight="251658240" behindDoc="1" locked="0" layoutInCell="1" hidden="0" allowOverlap="1">
          <wp:simplePos x="0" y="0"/>
          <wp:positionH relativeFrom="page">
            <wp:posOffset>394970</wp:posOffset>
          </wp:positionH>
          <wp:positionV relativeFrom="page">
            <wp:posOffset>190500</wp:posOffset>
          </wp:positionV>
          <wp:extent cx="7705725" cy="10048875"/>
          <wp:effectExtent l="0" t="0" r="0" b="0"/>
          <wp:wrapNone/>
          <wp:docPr id="69"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tbl>
    <w:tblPr>
      <w:tblStyle w:val="a1"/>
      <w:tblW w:w="10065" w:type="dxa"/>
      <w:tblInd w:w="1418" w:type="dxa"/>
      <w:tblLayout w:type="fixed"/>
      <w:tblLook w:val="0400" w:firstRow="0" w:lastRow="0" w:firstColumn="0" w:lastColumn="0" w:noHBand="0" w:noVBand="1"/>
    </w:tblPr>
    <w:tblGrid>
      <w:gridCol w:w="4884"/>
      <w:gridCol w:w="5181"/>
    </w:tblGrid>
    <w:tr w:rsidR="00D727D0">
      <w:trPr>
        <w:trHeight w:val="227"/>
      </w:trPr>
      <w:tc>
        <w:tcPr>
          <w:tcW w:w="4884"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5181" w:type="dxa"/>
        </w:tcPr>
        <w:p w:rsidR="00D727D0" w:rsidRDefault="002E762E" w:rsidP="002E762E">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01158</w:t>
          </w:r>
          <w:r w:rsidR="00AF7F2C">
            <w:rPr>
              <w:rFonts w:ascii="Palatino Linotype" w:eastAsia="Palatino Linotype" w:hAnsi="Palatino Linotype" w:cs="Palatino Linotype"/>
            </w:rPr>
            <w:t>/INFOEM/IP/RR/2025</w:t>
          </w:r>
        </w:p>
      </w:tc>
    </w:tr>
    <w:tr w:rsidR="00D727D0">
      <w:trPr>
        <w:trHeight w:val="242"/>
      </w:trPr>
      <w:tc>
        <w:tcPr>
          <w:tcW w:w="4884"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5181" w:type="dxa"/>
        </w:tcPr>
        <w:p w:rsidR="00D330C9" w:rsidRPr="00D330C9" w:rsidRDefault="002E762E" w:rsidP="002E762E">
          <w:pPr>
            <w:spacing w:after="120" w:line="256" w:lineRule="auto"/>
            <w:ind w:right="1207"/>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Ayuntamiento de Capulhuac </w:t>
          </w:r>
        </w:p>
      </w:tc>
    </w:tr>
    <w:tr w:rsidR="00D727D0">
      <w:trPr>
        <w:trHeight w:val="342"/>
      </w:trPr>
      <w:tc>
        <w:tcPr>
          <w:tcW w:w="4884"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5181" w:type="dxa"/>
        </w:tcPr>
        <w:p w:rsidR="00D727D0" w:rsidRDefault="001D4F8C">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D727D0">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D727D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Style w:val="a2"/>
      <w:tblW w:w="10598" w:type="dxa"/>
      <w:tblInd w:w="-533" w:type="dxa"/>
      <w:tblLayout w:type="fixed"/>
      <w:tblLook w:val="0400" w:firstRow="0" w:lastRow="0" w:firstColumn="0" w:lastColumn="0" w:noHBand="0" w:noVBand="1"/>
    </w:tblPr>
    <w:tblGrid>
      <w:gridCol w:w="6770"/>
      <w:gridCol w:w="3828"/>
    </w:tblGrid>
    <w:tr w:rsidR="00D727D0">
      <w:trPr>
        <w:trHeight w:val="227"/>
      </w:trPr>
      <w:tc>
        <w:tcPr>
          <w:tcW w:w="6770" w:type="dxa"/>
        </w:tcPr>
        <w:p w:rsidR="00D727D0" w:rsidRDefault="001D4F8C">
          <w:pPr>
            <w:spacing w:after="120" w:line="256" w:lineRule="auto"/>
            <w:ind w:left="2164" w:right="204"/>
            <w:jc w:val="right"/>
            <w:rPr>
              <w:rFonts w:ascii="Palatino Linotype" w:eastAsia="Palatino Linotype" w:hAnsi="Palatino Linotype" w:cs="Palatino Linotype"/>
              <w:b/>
            </w:rPr>
          </w:pPr>
          <w:bookmarkStart w:id="3" w:name="_heading=h.30j0zll" w:colFirst="0" w:colLast="0"/>
          <w:bookmarkEnd w:id="3"/>
          <w:r>
            <w:rPr>
              <w:rFonts w:ascii="Palatino Linotype" w:eastAsia="Palatino Linotype" w:hAnsi="Palatino Linotype" w:cs="Palatino Linotype"/>
              <w:b/>
            </w:rPr>
            <w:t>Recurso de Revisión:</w:t>
          </w:r>
        </w:p>
      </w:tc>
      <w:tc>
        <w:tcPr>
          <w:tcW w:w="3828" w:type="dxa"/>
        </w:tcPr>
        <w:p w:rsidR="00D727D0" w:rsidRDefault="00AF7F2C" w:rsidP="00FC4C16">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0</w:t>
          </w:r>
          <w:r w:rsidR="00FC4C16">
            <w:rPr>
              <w:rFonts w:ascii="Palatino Linotype" w:eastAsia="Palatino Linotype" w:hAnsi="Palatino Linotype" w:cs="Palatino Linotype"/>
            </w:rPr>
            <w:t>1158</w:t>
          </w:r>
          <w:r>
            <w:rPr>
              <w:rFonts w:ascii="Palatino Linotype" w:eastAsia="Palatino Linotype" w:hAnsi="Palatino Linotype" w:cs="Palatino Linotype"/>
            </w:rPr>
            <w:t>/</w:t>
          </w:r>
          <w:r w:rsidR="001D4F8C">
            <w:rPr>
              <w:rFonts w:ascii="Palatino Linotype" w:eastAsia="Palatino Linotype" w:hAnsi="Palatino Linotype" w:cs="Palatino Linotype"/>
            </w:rPr>
            <w:t>INFOEM/IP/RR/2025</w:t>
          </w:r>
        </w:p>
      </w:tc>
    </w:tr>
    <w:tr w:rsidR="00D727D0">
      <w:trPr>
        <w:trHeight w:val="242"/>
      </w:trPr>
      <w:tc>
        <w:tcPr>
          <w:tcW w:w="6770"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28" w:type="dxa"/>
        </w:tcPr>
        <w:p w:rsidR="00D727D0" w:rsidRDefault="00D82C27" w:rsidP="00FC4C16">
          <w:pPr>
            <w:spacing w:after="120" w:line="256" w:lineRule="auto"/>
            <w:ind w:left="-67" w:right="72"/>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Ayuntamiento de </w:t>
          </w:r>
          <w:r w:rsidR="00FC4C16">
            <w:rPr>
              <w:rFonts w:ascii="Palatino Linotype" w:eastAsia="Palatino Linotype" w:hAnsi="Palatino Linotype" w:cs="Palatino Linotype"/>
              <w:color w:val="000000"/>
            </w:rPr>
            <w:t>Capulhuac</w:t>
          </w:r>
          <w:r w:rsidR="00D250F6">
            <w:rPr>
              <w:rFonts w:ascii="Palatino Linotype" w:eastAsia="Palatino Linotype" w:hAnsi="Palatino Linotype" w:cs="Palatino Linotype"/>
              <w:color w:val="000000"/>
            </w:rPr>
            <w:t xml:space="preserve"> </w:t>
          </w:r>
        </w:p>
      </w:tc>
    </w:tr>
    <w:tr w:rsidR="00D727D0">
      <w:trPr>
        <w:trHeight w:val="342"/>
      </w:trPr>
      <w:tc>
        <w:tcPr>
          <w:tcW w:w="6770"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28" w:type="dxa"/>
        </w:tcPr>
        <w:p w:rsidR="00D727D0" w:rsidRDefault="009E37A1" w:rsidP="00D82C27">
          <w:pPr>
            <w:spacing w:after="120" w:line="256" w:lineRule="auto"/>
            <w:ind w:right="-435"/>
            <w:jc w:val="both"/>
            <w:rPr>
              <w:rFonts w:ascii="Palatino Linotype" w:eastAsia="Palatino Linotype" w:hAnsi="Palatino Linotype" w:cs="Palatino Linotype"/>
            </w:rPr>
          </w:pPr>
          <w:r>
            <w:rPr>
              <w:rFonts w:ascii="Palatino Linotype" w:eastAsia="Palatino Linotype" w:hAnsi="Palatino Linotype" w:cs="Palatino Linotype"/>
            </w:rPr>
            <w:t>XXXX</w:t>
          </w:r>
        </w:p>
      </w:tc>
    </w:tr>
    <w:tr w:rsidR="00D727D0">
      <w:trPr>
        <w:trHeight w:val="342"/>
      </w:trPr>
      <w:tc>
        <w:tcPr>
          <w:tcW w:w="6770"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3828" w:type="dxa"/>
        </w:tcPr>
        <w:p w:rsidR="00D727D0" w:rsidRDefault="001D4F8C">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1D4F8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simplePos x="0" y="0"/>
          <wp:positionH relativeFrom="margin">
            <wp:align>center</wp:align>
          </wp:positionH>
          <wp:positionV relativeFrom="page">
            <wp:align>bottom</wp:align>
          </wp:positionV>
          <wp:extent cx="7705725" cy="9988490"/>
          <wp:effectExtent l="0" t="0" r="0" b="0"/>
          <wp:wrapNone/>
          <wp:docPr id="70"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849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67603"/>
    <w:multiLevelType w:val="multilevel"/>
    <w:tmpl w:val="4DE80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717A91"/>
    <w:multiLevelType w:val="multilevel"/>
    <w:tmpl w:val="AB56B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A67C1A"/>
    <w:multiLevelType w:val="multilevel"/>
    <w:tmpl w:val="7360ADAC"/>
    <w:lvl w:ilvl="0">
      <w:start w:val="1"/>
      <w:numFmt w:val="decimal"/>
      <w:lvlText w:val="%1."/>
      <w:lvlJc w:val="left"/>
      <w:pPr>
        <w:ind w:left="72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D609E2"/>
    <w:multiLevelType w:val="multilevel"/>
    <w:tmpl w:val="853014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73391B9F"/>
    <w:multiLevelType w:val="multilevel"/>
    <w:tmpl w:val="A4002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2"/>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D0"/>
    <w:rsid w:val="00030762"/>
    <w:rsid w:val="0003512E"/>
    <w:rsid w:val="000B1AF2"/>
    <w:rsid w:val="001102E4"/>
    <w:rsid w:val="001435CA"/>
    <w:rsid w:val="001D4F8C"/>
    <w:rsid w:val="001F07C5"/>
    <w:rsid w:val="001F0906"/>
    <w:rsid w:val="00211A72"/>
    <w:rsid w:val="00214AEA"/>
    <w:rsid w:val="002829BD"/>
    <w:rsid w:val="002E4B1E"/>
    <w:rsid w:val="002E762E"/>
    <w:rsid w:val="00326911"/>
    <w:rsid w:val="003D23F2"/>
    <w:rsid w:val="003E6BA3"/>
    <w:rsid w:val="003F074D"/>
    <w:rsid w:val="00402260"/>
    <w:rsid w:val="00420EA6"/>
    <w:rsid w:val="005B7410"/>
    <w:rsid w:val="0061342D"/>
    <w:rsid w:val="0063035A"/>
    <w:rsid w:val="006B6964"/>
    <w:rsid w:val="00784F1A"/>
    <w:rsid w:val="00890D69"/>
    <w:rsid w:val="008C63C8"/>
    <w:rsid w:val="008D7BAF"/>
    <w:rsid w:val="008F05F0"/>
    <w:rsid w:val="00916C20"/>
    <w:rsid w:val="009E37A1"/>
    <w:rsid w:val="00A769D4"/>
    <w:rsid w:val="00AB29AF"/>
    <w:rsid w:val="00AB310C"/>
    <w:rsid w:val="00AC4D67"/>
    <w:rsid w:val="00AF7F2C"/>
    <w:rsid w:val="00B46ECE"/>
    <w:rsid w:val="00B77D42"/>
    <w:rsid w:val="00BF43A4"/>
    <w:rsid w:val="00D250F6"/>
    <w:rsid w:val="00D330C9"/>
    <w:rsid w:val="00D472AE"/>
    <w:rsid w:val="00D57CA8"/>
    <w:rsid w:val="00D62DE2"/>
    <w:rsid w:val="00D63514"/>
    <w:rsid w:val="00D727D0"/>
    <w:rsid w:val="00D82C27"/>
    <w:rsid w:val="00E47FE5"/>
    <w:rsid w:val="00EA35F6"/>
    <w:rsid w:val="00EC2532"/>
    <w:rsid w:val="00ED39C7"/>
    <w:rsid w:val="00F557FF"/>
    <w:rsid w:val="00FC4C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ECE06-C9CE-46BF-8E23-BC138E9A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character" w:styleId="Hipervnculo">
    <w:name w:val="Hyperlink"/>
    <w:basedOn w:val="Fuentedeprrafopredeter"/>
    <w:uiPriority w:val="99"/>
    <w:semiHidden/>
    <w:unhideWhenUsed/>
    <w:rsid w:val="00D635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2737">
      <w:bodyDiv w:val="1"/>
      <w:marLeft w:val="0"/>
      <w:marRight w:val="0"/>
      <w:marTop w:val="0"/>
      <w:marBottom w:val="0"/>
      <w:divBdr>
        <w:top w:val="none" w:sz="0" w:space="0" w:color="auto"/>
        <w:left w:val="none" w:sz="0" w:space="0" w:color="auto"/>
        <w:bottom w:val="none" w:sz="0" w:space="0" w:color="auto"/>
        <w:right w:val="none" w:sz="0" w:space="0" w:color="auto"/>
      </w:divBdr>
    </w:div>
    <w:div w:id="226960870">
      <w:bodyDiv w:val="1"/>
      <w:marLeft w:val="0"/>
      <w:marRight w:val="0"/>
      <w:marTop w:val="0"/>
      <w:marBottom w:val="0"/>
      <w:divBdr>
        <w:top w:val="none" w:sz="0" w:space="0" w:color="auto"/>
        <w:left w:val="none" w:sz="0" w:space="0" w:color="auto"/>
        <w:bottom w:val="none" w:sz="0" w:space="0" w:color="auto"/>
        <w:right w:val="none" w:sz="0" w:space="0" w:color="auto"/>
      </w:divBdr>
    </w:div>
    <w:div w:id="685984956">
      <w:bodyDiv w:val="1"/>
      <w:marLeft w:val="0"/>
      <w:marRight w:val="0"/>
      <w:marTop w:val="0"/>
      <w:marBottom w:val="0"/>
      <w:divBdr>
        <w:top w:val="none" w:sz="0" w:space="0" w:color="auto"/>
        <w:left w:val="none" w:sz="0" w:space="0" w:color="auto"/>
        <w:bottom w:val="none" w:sz="0" w:space="0" w:color="auto"/>
        <w:right w:val="none" w:sz="0" w:space="0" w:color="auto"/>
      </w:divBdr>
    </w:div>
    <w:div w:id="806438417">
      <w:bodyDiv w:val="1"/>
      <w:marLeft w:val="0"/>
      <w:marRight w:val="0"/>
      <w:marTop w:val="0"/>
      <w:marBottom w:val="0"/>
      <w:divBdr>
        <w:top w:val="none" w:sz="0" w:space="0" w:color="auto"/>
        <w:left w:val="none" w:sz="0" w:space="0" w:color="auto"/>
        <w:bottom w:val="none" w:sz="0" w:space="0" w:color="auto"/>
        <w:right w:val="none" w:sz="0" w:space="0" w:color="auto"/>
      </w:divBdr>
    </w:div>
    <w:div w:id="883978082">
      <w:bodyDiv w:val="1"/>
      <w:marLeft w:val="0"/>
      <w:marRight w:val="0"/>
      <w:marTop w:val="0"/>
      <w:marBottom w:val="0"/>
      <w:divBdr>
        <w:top w:val="none" w:sz="0" w:space="0" w:color="auto"/>
        <w:left w:val="none" w:sz="0" w:space="0" w:color="auto"/>
        <w:bottom w:val="none" w:sz="0" w:space="0" w:color="auto"/>
        <w:right w:val="none" w:sz="0" w:space="0" w:color="auto"/>
      </w:divBdr>
    </w:div>
    <w:div w:id="915434216">
      <w:bodyDiv w:val="1"/>
      <w:marLeft w:val="0"/>
      <w:marRight w:val="0"/>
      <w:marTop w:val="0"/>
      <w:marBottom w:val="0"/>
      <w:divBdr>
        <w:top w:val="none" w:sz="0" w:space="0" w:color="auto"/>
        <w:left w:val="none" w:sz="0" w:space="0" w:color="auto"/>
        <w:bottom w:val="none" w:sz="0" w:space="0" w:color="auto"/>
        <w:right w:val="none" w:sz="0" w:space="0" w:color="auto"/>
      </w:divBdr>
    </w:div>
    <w:div w:id="1214346464">
      <w:bodyDiv w:val="1"/>
      <w:marLeft w:val="0"/>
      <w:marRight w:val="0"/>
      <w:marTop w:val="0"/>
      <w:marBottom w:val="0"/>
      <w:divBdr>
        <w:top w:val="none" w:sz="0" w:space="0" w:color="auto"/>
        <w:left w:val="none" w:sz="0" w:space="0" w:color="auto"/>
        <w:bottom w:val="none" w:sz="0" w:space="0" w:color="auto"/>
        <w:right w:val="none" w:sz="0" w:space="0" w:color="auto"/>
      </w:divBdr>
    </w:div>
    <w:div w:id="1605385745">
      <w:bodyDiv w:val="1"/>
      <w:marLeft w:val="0"/>
      <w:marRight w:val="0"/>
      <w:marTop w:val="0"/>
      <w:marBottom w:val="0"/>
      <w:divBdr>
        <w:top w:val="none" w:sz="0" w:space="0" w:color="auto"/>
        <w:left w:val="none" w:sz="0" w:space="0" w:color="auto"/>
        <w:bottom w:val="none" w:sz="0" w:space="0" w:color="auto"/>
        <w:right w:val="none" w:sz="0" w:space="0" w:color="auto"/>
      </w:divBdr>
    </w:div>
    <w:div w:id="1771967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y1fYVHCwaDCrBwVLrI4zpookQ==">CgMxLjAyCWguMWZvYjl0ZTIIaC5namRneHMyCWguMzBqMHpsbDgAciExVlpVYU81NGwxRzZabmdWN3AzSjZwNWxzX0c3OFA3V3c=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3036</Words>
  <Characters>16701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6</cp:revision>
  <cp:lastPrinted>2025-03-07T17:45:00Z</cp:lastPrinted>
  <dcterms:created xsi:type="dcterms:W3CDTF">2025-02-27T21:15:00Z</dcterms:created>
  <dcterms:modified xsi:type="dcterms:W3CDTF">2025-03-28T20:22:00Z</dcterms:modified>
</cp:coreProperties>
</file>