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0C3F0A43" w:rsidR="004C465F" w:rsidRPr="00304EA3" w:rsidRDefault="00EC7CBF" w:rsidP="007808E0">
      <w:pPr>
        <w:tabs>
          <w:tab w:val="left" w:pos="8931"/>
        </w:tabs>
        <w:spacing w:after="0" w:line="360" w:lineRule="auto"/>
        <w:rPr>
          <w:color w:val="FF0000"/>
        </w:rPr>
      </w:pPr>
      <w:r w:rsidRPr="00304EA3">
        <w:rPr>
          <w:color w:val="FF0000"/>
        </w:rPr>
        <w:t xml:space="preserve"> </w:t>
      </w: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7F182055" w14:textId="143BC9D3" w:rsidR="00C4052B" w:rsidRPr="00AA473B" w:rsidRDefault="00C4052B" w:rsidP="007808E0">
          <w:pPr>
            <w:pStyle w:val="TtulodeTDC"/>
            <w:spacing w:before="0" w:line="360" w:lineRule="auto"/>
            <w:jc w:val="center"/>
            <w:rPr>
              <w:rFonts w:ascii="Palatino Linotype" w:hAnsi="Palatino Linotype"/>
              <w:color w:val="auto"/>
              <w:sz w:val="22"/>
              <w:szCs w:val="22"/>
            </w:rPr>
          </w:pPr>
          <w:r w:rsidRPr="00AA473B">
            <w:rPr>
              <w:rFonts w:ascii="Palatino Linotype" w:hAnsi="Palatino Linotype"/>
              <w:color w:val="auto"/>
              <w:sz w:val="22"/>
              <w:szCs w:val="22"/>
              <w:lang w:val="es-ES"/>
            </w:rPr>
            <w:t xml:space="preserve">RESOLUCIÓN DEL RECURSO DE REVISIÓN </w:t>
          </w:r>
          <w:r w:rsidR="006C1E67" w:rsidRPr="00AA473B">
            <w:rPr>
              <w:rFonts w:ascii="Palatino Linotype" w:hAnsi="Palatino Linotype"/>
              <w:color w:val="auto"/>
              <w:sz w:val="22"/>
              <w:szCs w:val="22"/>
            </w:rPr>
            <w:t>0</w:t>
          </w:r>
          <w:r w:rsidR="00304EA3" w:rsidRPr="00AA473B">
            <w:rPr>
              <w:rFonts w:ascii="Palatino Linotype" w:hAnsi="Palatino Linotype"/>
              <w:color w:val="auto"/>
              <w:sz w:val="22"/>
              <w:szCs w:val="22"/>
            </w:rPr>
            <w:t>8986</w:t>
          </w:r>
          <w:r w:rsidR="000D392E" w:rsidRPr="00AA473B">
            <w:rPr>
              <w:rFonts w:ascii="Palatino Linotype" w:hAnsi="Palatino Linotype"/>
              <w:color w:val="auto"/>
              <w:sz w:val="22"/>
              <w:szCs w:val="22"/>
            </w:rPr>
            <w:t>/INFOEM/IP/RR/2025</w:t>
          </w:r>
        </w:p>
        <w:p w14:paraId="73933EFA" w14:textId="77777777" w:rsidR="00C4052B" w:rsidRPr="00AA473B" w:rsidRDefault="00C4052B" w:rsidP="007808E0">
          <w:pPr>
            <w:spacing w:after="0" w:line="360" w:lineRule="auto"/>
            <w:rPr>
              <w:color w:val="FF0000"/>
            </w:rPr>
          </w:pPr>
        </w:p>
        <w:p w14:paraId="57808C3D" w14:textId="11AFCBD2" w:rsidR="00E329AE" w:rsidRPr="00AA473B" w:rsidRDefault="00C4052B">
          <w:pPr>
            <w:pStyle w:val="TDC1"/>
            <w:tabs>
              <w:tab w:val="right" w:leader="dot" w:pos="8921"/>
            </w:tabs>
            <w:rPr>
              <w:rFonts w:asciiTheme="minorHAnsi" w:eastAsiaTheme="minorEastAsia" w:hAnsiTheme="minorHAnsi" w:cstheme="minorBidi"/>
              <w:noProof/>
              <w:color w:val="auto"/>
              <w:kern w:val="2"/>
              <w14:ligatures w14:val="standardContextual"/>
            </w:rPr>
          </w:pPr>
          <w:r w:rsidRPr="00AA473B">
            <w:rPr>
              <w:color w:val="FF0000"/>
            </w:rPr>
            <w:fldChar w:fldCharType="begin"/>
          </w:r>
          <w:r w:rsidRPr="00AA473B">
            <w:rPr>
              <w:color w:val="FF0000"/>
            </w:rPr>
            <w:instrText xml:space="preserve"> TOC \o "1-3" \h \z \u </w:instrText>
          </w:r>
          <w:r w:rsidRPr="00AA473B">
            <w:rPr>
              <w:color w:val="FF0000"/>
            </w:rPr>
            <w:fldChar w:fldCharType="separate"/>
          </w:r>
          <w:hyperlink w:anchor="_Toc207813303" w:history="1">
            <w:r w:rsidR="00E329AE" w:rsidRPr="00AA473B">
              <w:rPr>
                <w:rStyle w:val="Hipervnculo"/>
                <w:noProof/>
              </w:rPr>
              <w:t>A N T E C E D E N T E S</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_Toc207813303 \h </w:instrText>
            </w:r>
            <w:r w:rsidR="00E329AE" w:rsidRPr="00AA473B">
              <w:rPr>
                <w:noProof/>
                <w:webHidden/>
              </w:rPr>
            </w:r>
            <w:r w:rsidR="00E329AE" w:rsidRPr="00AA473B">
              <w:rPr>
                <w:noProof/>
                <w:webHidden/>
              </w:rPr>
              <w:fldChar w:fldCharType="separate"/>
            </w:r>
            <w:r w:rsidR="0086277D">
              <w:rPr>
                <w:noProof/>
                <w:webHidden/>
              </w:rPr>
              <w:t>2</w:t>
            </w:r>
            <w:r w:rsidR="00E329AE" w:rsidRPr="00AA473B">
              <w:rPr>
                <w:noProof/>
                <w:webHidden/>
              </w:rPr>
              <w:fldChar w:fldCharType="end"/>
            </w:r>
          </w:hyperlink>
        </w:p>
        <w:p w14:paraId="7990D3B4" w14:textId="44FC78D4"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04" w:history="1">
            <w:r w:rsidR="00E329AE" w:rsidRPr="00AA473B">
              <w:rPr>
                <w:rStyle w:val="Hipervnculo"/>
                <w:noProof/>
                <w:lang w:eastAsia="es-ES"/>
              </w:rPr>
              <w:t>I. Presentación de la solicitud de información</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_Toc207813304 \h </w:instrText>
            </w:r>
            <w:r w:rsidR="00E329AE" w:rsidRPr="00AA473B">
              <w:rPr>
                <w:noProof/>
                <w:webHidden/>
              </w:rPr>
            </w:r>
            <w:r w:rsidR="00E329AE" w:rsidRPr="00AA473B">
              <w:rPr>
                <w:noProof/>
                <w:webHidden/>
              </w:rPr>
              <w:fldChar w:fldCharType="separate"/>
            </w:r>
            <w:r w:rsidR="0086277D">
              <w:rPr>
                <w:noProof/>
                <w:webHidden/>
              </w:rPr>
              <w:t>2</w:t>
            </w:r>
            <w:r w:rsidR="00E329AE" w:rsidRPr="00AA473B">
              <w:rPr>
                <w:noProof/>
                <w:webHidden/>
              </w:rPr>
              <w:fldChar w:fldCharType="end"/>
            </w:r>
          </w:hyperlink>
        </w:p>
        <w:p w14:paraId="44168E89" w14:textId="2D18A517"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05" w:history="1">
            <w:r w:rsidR="00E329AE" w:rsidRPr="00AA473B">
              <w:rPr>
                <w:rStyle w:val="Hipervnculo"/>
                <w:rFonts w:cs="Tahoma"/>
                <w:noProof/>
              </w:rPr>
              <w:t>II.</w:t>
            </w:r>
            <w:r w:rsidR="00E329AE" w:rsidRPr="00AA473B">
              <w:rPr>
                <w:rStyle w:val="Hipervnculo"/>
                <w:noProof/>
              </w:rPr>
              <w:t xml:space="preserve"> Respuesta del Sujeto Obligado</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_Toc207813305 \h </w:instrText>
            </w:r>
            <w:r w:rsidR="00E329AE" w:rsidRPr="00AA473B">
              <w:rPr>
                <w:noProof/>
                <w:webHidden/>
              </w:rPr>
            </w:r>
            <w:r w:rsidR="00E329AE" w:rsidRPr="00AA473B">
              <w:rPr>
                <w:noProof/>
                <w:webHidden/>
              </w:rPr>
              <w:fldChar w:fldCharType="separate"/>
            </w:r>
            <w:r w:rsidR="0086277D">
              <w:rPr>
                <w:noProof/>
                <w:webHidden/>
              </w:rPr>
              <w:t>3</w:t>
            </w:r>
            <w:r w:rsidR="00E329AE" w:rsidRPr="00AA473B">
              <w:rPr>
                <w:noProof/>
                <w:webHidden/>
              </w:rPr>
              <w:fldChar w:fldCharType="end"/>
            </w:r>
          </w:hyperlink>
        </w:p>
        <w:p w14:paraId="3066F836" w14:textId="26521A6A"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06" w:history="1">
            <w:r w:rsidR="00E329AE" w:rsidRPr="00AA473B">
              <w:rPr>
                <w:rStyle w:val="Hipervnculo"/>
                <w:noProof/>
              </w:rPr>
              <w:t>III. Interposición del Recurso de Revisión</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_Toc207813306 \h </w:instrText>
            </w:r>
            <w:r w:rsidR="00E329AE" w:rsidRPr="00AA473B">
              <w:rPr>
                <w:noProof/>
                <w:webHidden/>
              </w:rPr>
            </w:r>
            <w:r w:rsidR="00E329AE" w:rsidRPr="00AA473B">
              <w:rPr>
                <w:noProof/>
                <w:webHidden/>
              </w:rPr>
              <w:fldChar w:fldCharType="separate"/>
            </w:r>
            <w:r w:rsidR="0086277D">
              <w:rPr>
                <w:noProof/>
                <w:webHidden/>
              </w:rPr>
              <w:t>4</w:t>
            </w:r>
            <w:r w:rsidR="00E329AE" w:rsidRPr="00AA473B">
              <w:rPr>
                <w:noProof/>
                <w:webHidden/>
              </w:rPr>
              <w:fldChar w:fldCharType="end"/>
            </w:r>
          </w:hyperlink>
        </w:p>
        <w:p w14:paraId="794CEC4E" w14:textId="09DF7D1B"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07" w:history="1">
            <w:r w:rsidR="00E329AE" w:rsidRPr="00AA473B">
              <w:rPr>
                <w:rStyle w:val="Hipervnculo"/>
                <w:noProof/>
              </w:rPr>
              <w:t>IV. Trámite del Recurso de Revisión ante este Instituto</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_Toc207813307 \h </w:instrText>
            </w:r>
            <w:r w:rsidR="00E329AE" w:rsidRPr="00AA473B">
              <w:rPr>
                <w:noProof/>
                <w:webHidden/>
              </w:rPr>
            </w:r>
            <w:r w:rsidR="00E329AE" w:rsidRPr="00AA473B">
              <w:rPr>
                <w:noProof/>
                <w:webHidden/>
              </w:rPr>
              <w:fldChar w:fldCharType="separate"/>
            </w:r>
            <w:r w:rsidR="0086277D">
              <w:rPr>
                <w:noProof/>
                <w:webHidden/>
              </w:rPr>
              <w:t>5</w:t>
            </w:r>
            <w:r w:rsidR="00E329AE" w:rsidRPr="00AA473B">
              <w:rPr>
                <w:noProof/>
                <w:webHidden/>
              </w:rPr>
              <w:fldChar w:fldCharType="end"/>
            </w:r>
          </w:hyperlink>
        </w:p>
        <w:p w14:paraId="1712717D" w14:textId="621482EF" w:rsidR="00E329AE" w:rsidRPr="00AA473B" w:rsidRDefault="000D0FE9">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07813308" w:history="1">
            <w:r w:rsidR="00E329AE" w:rsidRPr="00AA473B">
              <w:rPr>
                <w:rStyle w:val="Hipervnculo"/>
                <w:noProof/>
              </w:rPr>
              <w:t>C O N S I D E R A N D O S</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_Toc207813308 \h </w:instrText>
            </w:r>
            <w:r w:rsidR="00E329AE" w:rsidRPr="00AA473B">
              <w:rPr>
                <w:noProof/>
                <w:webHidden/>
              </w:rPr>
            </w:r>
            <w:r w:rsidR="00E329AE" w:rsidRPr="00AA473B">
              <w:rPr>
                <w:noProof/>
                <w:webHidden/>
              </w:rPr>
              <w:fldChar w:fldCharType="separate"/>
            </w:r>
            <w:r w:rsidR="0086277D">
              <w:rPr>
                <w:noProof/>
                <w:webHidden/>
              </w:rPr>
              <w:t>7</w:t>
            </w:r>
            <w:r w:rsidR="00E329AE" w:rsidRPr="00AA473B">
              <w:rPr>
                <w:noProof/>
                <w:webHidden/>
              </w:rPr>
              <w:fldChar w:fldCharType="end"/>
            </w:r>
          </w:hyperlink>
        </w:p>
        <w:p w14:paraId="39987358" w14:textId="7718A3F2"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09" w:history="1">
            <w:r w:rsidR="00E329AE" w:rsidRPr="00AA473B">
              <w:rPr>
                <w:rStyle w:val="Hipervnculo"/>
                <w:noProof/>
              </w:rPr>
              <w:t>PRIMERO. Competencia</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_Toc207813309 \h </w:instrText>
            </w:r>
            <w:r w:rsidR="00E329AE" w:rsidRPr="00AA473B">
              <w:rPr>
                <w:noProof/>
                <w:webHidden/>
              </w:rPr>
            </w:r>
            <w:r w:rsidR="00E329AE" w:rsidRPr="00AA473B">
              <w:rPr>
                <w:noProof/>
                <w:webHidden/>
              </w:rPr>
              <w:fldChar w:fldCharType="separate"/>
            </w:r>
            <w:r w:rsidR="0086277D">
              <w:rPr>
                <w:noProof/>
                <w:webHidden/>
              </w:rPr>
              <w:t>7</w:t>
            </w:r>
            <w:r w:rsidR="00E329AE" w:rsidRPr="00AA473B">
              <w:rPr>
                <w:noProof/>
                <w:webHidden/>
              </w:rPr>
              <w:fldChar w:fldCharType="end"/>
            </w:r>
          </w:hyperlink>
        </w:p>
        <w:p w14:paraId="288DD3E2" w14:textId="23DC7219"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10" w:history="1">
            <w:r w:rsidR="00E329AE" w:rsidRPr="00AA473B">
              <w:rPr>
                <w:rStyle w:val="Hipervnculo"/>
                <w:noProof/>
              </w:rPr>
              <w:t>SEGUNDO. Causales de improcedencia y sobreseimiento</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_Toc207813310 \h </w:instrText>
            </w:r>
            <w:r w:rsidR="00E329AE" w:rsidRPr="00AA473B">
              <w:rPr>
                <w:noProof/>
                <w:webHidden/>
              </w:rPr>
            </w:r>
            <w:r w:rsidR="00E329AE" w:rsidRPr="00AA473B">
              <w:rPr>
                <w:noProof/>
                <w:webHidden/>
              </w:rPr>
              <w:fldChar w:fldCharType="separate"/>
            </w:r>
            <w:r w:rsidR="0086277D">
              <w:rPr>
                <w:noProof/>
                <w:webHidden/>
              </w:rPr>
              <w:t>7</w:t>
            </w:r>
            <w:r w:rsidR="00E329AE" w:rsidRPr="00AA473B">
              <w:rPr>
                <w:noProof/>
                <w:webHidden/>
              </w:rPr>
              <w:fldChar w:fldCharType="end"/>
            </w:r>
          </w:hyperlink>
        </w:p>
        <w:p w14:paraId="64064191" w14:textId="7DA357BF"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11" w:history="1">
            <w:r w:rsidR="00E329AE" w:rsidRPr="00AA473B">
              <w:rPr>
                <w:rStyle w:val="Hipervnculo"/>
                <w:noProof/>
              </w:rPr>
              <w:t>TERCERO. Determinación de la Controversia</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_Toc207813311 \h </w:instrText>
            </w:r>
            <w:r w:rsidR="00E329AE" w:rsidRPr="00AA473B">
              <w:rPr>
                <w:noProof/>
                <w:webHidden/>
              </w:rPr>
            </w:r>
            <w:r w:rsidR="00E329AE" w:rsidRPr="00AA473B">
              <w:rPr>
                <w:noProof/>
                <w:webHidden/>
              </w:rPr>
              <w:fldChar w:fldCharType="separate"/>
            </w:r>
            <w:r w:rsidR="0086277D">
              <w:rPr>
                <w:noProof/>
                <w:webHidden/>
              </w:rPr>
              <w:t>9</w:t>
            </w:r>
            <w:r w:rsidR="00E329AE" w:rsidRPr="00AA473B">
              <w:rPr>
                <w:noProof/>
                <w:webHidden/>
              </w:rPr>
              <w:fldChar w:fldCharType="end"/>
            </w:r>
          </w:hyperlink>
        </w:p>
        <w:p w14:paraId="5F0E47EB" w14:textId="6F011D2C"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12" w:history="1">
            <w:r w:rsidR="00E329AE" w:rsidRPr="00AA473B">
              <w:rPr>
                <w:rStyle w:val="Hipervnculo"/>
                <w:noProof/>
              </w:rPr>
              <w:t>CUARTO. Marco normativo aplicable en materia de transparencia y acceso a la información pública</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_Toc207813312 \h </w:instrText>
            </w:r>
            <w:r w:rsidR="00E329AE" w:rsidRPr="00AA473B">
              <w:rPr>
                <w:noProof/>
                <w:webHidden/>
              </w:rPr>
            </w:r>
            <w:r w:rsidR="00E329AE" w:rsidRPr="00AA473B">
              <w:rPr>
                <w:noProof/>
                <w:webHidden/>
              </w:rPr>
              <w:fldChar w:fldCharType="separate"/>
            </w:r>
            <w:r w:rsidR="0086277D">
              <w:rPr>
                <w:noProof/>
                <w:webHidden/>
              </w:rPr>
              <w:t>11</w:t>
            </w:r>
            <w:r w:rsidR="00E329AE" w:rsidRPr="00AA473B">
              <w:rPr>
                <w:noProof/>
                <w:webHidden/>
              </w:rPr>
              <w:fldChar w:fldCharType="end"/>
            </w:r>
          </w:hyperlink>
        </w:p>
        <w:p w14:paraId="41E9DFF5" w14:textId="1C1886B8"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13" w:history="1">
            <w:r w:rsidR="00E329AE" w:rsidRPr="00AA473B">
              <w:rPr>
                <w:rStyle w:val="Hipervnculo"/>
                <w:noProof/>
              </w:rPr>
              <w:t>QUINTO. Estudio de Fondo</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_Toc207813313 \h </w:instrText>
            </w:r>
            <w:r w:rsidR="00E329AE" w:rsidRPr="00AA473B">
              <w:rPr>
                <w:noProof/>
                <w:webHidden/>
              </w:rPr>
            </w:r>
            <w:r w:rsidR="00E329AE" w:rsidRPr="00AA473B">
              <w:rPr>
                <w:noProof/>
                <w:webHidden/>
              </w:rPr>
              <w:fldChar w:fldCharType="separate"/>
            </w:r>
            <w:r w:rsidR="0086277D">
              <w:rPr>
                <w:noProof/>
                <w:webHidden/>
              </w:rPr>
              <w:t>12</w:t>
            </w:r>
            <w:r w:rsidR="00E329AE" w:rsidRPr="00AA473B">
              <w:rPr>
                <w:noProof/>
                <w:webHidden/>
              </w:rPr>
              <w:fldChar w:fldCharType="end"/>
            </w:r>
          </w:hyperlink>
        </w:p>
        <w:p w14:paraId="44418ED3" w14:textId="18E92348" w:rsidR="00E329AE" w:rsidRPr="00AA473B" w:rsidRDefault="000D0FE9">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07813314" w:history="1">
            <w:r w:rsidR="00E329AE" w:rsidRPr="00AA473B">
              <w:rPr>
                <w:rStyle w:val="Hipervnculo"/>
                <w:noProof/>
              </w:rPr>
              <w:t>SEXTO. Decisión</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_Toc207813314 \h </w:instrText>
            </w:r>
            <w:r w:rsidR="00E329AE" w:rsidRPr="00AA473B">
              <w:rPr>
                <w:noProof/>
                <w:webHidden/>
              </w:rPr>
            </w:r>
            <w:r w:rsidR="00E329AE" w:rsidRPr="00AA473B">
              <w:rPr>
                <w:noProof/>
                <w:webHidden/>
              </w:rPr>
              <w:fldChar w:fldCharType="separate"/>
            </w:r>
            <w:r w:rsidR="0086277D">
              <w:rPr>
                <w:noProof/>
                <w:webHidden/>
              </w:rPr>
              <w:t>42</w:t>
            </w:r>
            <w:r w:rsidR="00E329AE" w:rsidRPr="00AA473B">
              <w:rPr>
                <w:noProof/>
                <w:webHidden/>
              </w:rPr>
              <w:fldChar w:fldCharType="end"/>
            </w:r>
          </w:hyperlink>
        </w:p>
        <w:p w14:paraId="2210FFCF" w14:textId="26202C10" w:rsidR="00E329AE" w:rsidRPr="00AA473B" w:rsidRDefault="000D0FE9">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07813315" w:history="1">
            <w:r w:rsidR="00E329AE" w:rsidRPr="00AA473B">
              <w:rPr>
                <w:rStyle w:val="Hipervnculo"/>
                <w:noProof/>
              </w:rPr>
              <w:t>R E S U E L V E</w:t>
            </w:r>
            <w:r w:rsidR="00E329AE" w:rsidRPr="00AA473B">
              <w:rPr>
                <w:noProof/>
                <w:webHidden/>
              </w:rPr>
              <w:tab/>
            </w:r>
            <w:r w:rsidR="00E329AE" w:rsidRPr="00AA473B">
              <w:rPr>
                <w:noProof/>
                <w:webHidden/>
              </w:rPr>
              <w:fldChar w:fldCharType="begin"/>
            </w:r>
            <w:r w:rsidR="00E329AE" w:rsidRPr="00AA473B">
              <w:rPr>
                <w:noProof/>
                <w:webHidden/>
              </w:rPr>
              <w:instrText xml:space="preserve"> PAGEREF _Toc207813315 \h </w:instrText>
            </w:r>
            <w:r w:rsidR="00E329AE" w:rsidRPr="00AA473B">
              <w:rPr>
                <w:noProof/>
                <w:webHidden/>
              </w:rPr>
            </w:r>
            <w:r w:rsidR="00E329AE" w:rsidRPr="00AA473B">
              <w:rPr>
                <w:noProof/>
                <w:webHidden/>
              </w:rPr>
              <w:fldChar w:fldCharType="separate"/>
            </w:r>
            <w:r w:rsidR="0086277D">
              <w:rPr>
                <w:noProof/>
                <w:webHidden/>
              </w:rPr>
              <w:t>43</w:t>
            </w:r>
            <w:r w:rsidR="00E329AE" w:rsidRPr="00AA473B">
              <w:rPr>
                <w:noProof/>
                <w:webHidden/>
              </w:rPr>
              <w:fldChar w:fldCharType="end"/>
            </w:r>
          </w:hyperlink>
        </w:p>
        <w:p w14:paraId="5B9D6C11" w14:textId="013262CC" w:rsidR="00C4052B" w:rsidRPr="00AA473B" w:rsidRDefault="00C4052B" w:rsidP="007808E0">
          <w:pPr>
            <w:spacing w:after="0" w:line="360" w:lineRule="auto"/>
            <w:rPr>
              <w:color w:val="FF0000"/>
            </w:rPr>
          </w:pPr>
          <w:r w:rsidRPr="00AA473B">
            <w:rPr>
              <w:b/>
              <w:bCs/>
              <w:color w:val="FF0000"/>
              <w:lang w:val="es-ES"/>
            </w:rPr>
            <w:fldChar w:fldCharType="end"/>
          </w:r>
        </w:p>
      </w:sdtContent>
    </w:sdt>
    <w:p w14:paraId="57481942" w14:textId="77777777" w:rsidR="00C4052B" w:rsidRPr="00AA473B" w:rsidRDefault="00C4052B" w:rsidP="007808E0">
      <w:pPr>
        <w:tabs>
          <w:tab w:val="left" w:pos="8931"/>
        </w:tabs>
        <w:spacing w:after="0" w:line="360" w:lineRule="auto"/>
        <w:rPr>
          <w:color w:val="FF0000"/>
        </w:rPr>
      </w:pPr>
    </w:p>
    <w:p w14:paraId="411B5995" w14:textId="77777777" w:rsidR="00C4052B" w:rsidRPr="00AA473B" w:rsidRDefault="00C4052B" w:rsidP="007808E0">
      <w:pPr>
        <w:tabs>
          <w:tab w:val="left" w:pos="8931"/>
        </w:tabs>
        <w:spacing w:after="0" w:line="360" w:lineRule="auto"/>
        <w:rPr>
          <w:color w:val="FF0000"/>
        </w:rPr>
      </w:pPr>
    </w:p>
    <w:p w14:paraId="6784625D" w14:textId="77777777" w:rsidR="00C4052B" w:rsidRPr="00AA473B" w:rsidRDefault="00C4052B" w:rsidP="007808E0">
      <w:pPr>
        <w:tabs>
          <w:tab w:val="left" w:pos="8931"/>
        </w:tabs>
        <w:spacing w:after="0" w:line="360" w:lineRule="auto"/>
        <w:rPr>
          <w:color w:val="FF0000"/>
        </w:rPr>
      </w:pPr>
    </w:p>
    <w:p w14:paraId="140888DD" w14:textId="77777777" w:rsidR="00C4052B" w:rsidRPr="00AA473B" w:rsidRDefault="00C4052B" w:rsidP="007808E0">
      <w:pPr>
        <w:tabs>
          <w:tab w:val="left" w:pos="8931"/>
        </w:tabs>
        <w:spacing w:after="0" w:line="360" w:lineRule="auto"/>
        <w:rPr>
          <w:color w:val="FF0000"/>
        </w:rPr>
      </w:pPr>
    </w:p>
    <w:p w14:paraId="46268890" w14:textId="77777777" w:rsidR="00C4052B" w:rsidRPr="00AA473B" w:rsidRDefault="00C4052B" w:rsidP="007808E0">
      <w:pPr>
        <w:tabs>
          <w:tab w:val="left" w:pos="8931"/>
        </w:tabs>
        <w:spacing w:after="0" w:line="360" w:lineRule="auto"/>
        <w:rPr>
          <w:color w:val="FF0000"/>
        </w:rPr>
      </w:pPr>
    </w:p>
    <w:p w14:paraId="147CC638" w14:textId="77777777" w:rsidR="00C4052B" w:rsidRPr="00AA473B" w:rsidRDefault="00C4052B" w:rsidP="007808E0">
      <w:pPr>
        <w:tabs>
          <w:tab w:val="left" w:pos="8931"/>
        </w:tabs>
        <w:spacing w:after="0" w:line="360" w:lineRule="auto"/>
        <w:rPr>
          <w:color w:val="FF0000"/>
        </w:rPr>
      </w:pPr>
    </w:p>
    <w:p w14:paraId="01BB5716" w14:textId="77777777" w:rsidR="00C4052B" w:rsidRPr="00AA473B" w:rsidRDefault="00C4052B" w:rsidP="007808E0">
      <w:pPr>
        <w:tabs>
          <w:tab w:val="left" w:pos="8931"/>
        </w:tabs>
        <w:spacing w:after="0" w:line="360" w:lineRule="auto"/>
        <w:rPr>
          <w:color w:val="FF0000"/>
        </w:rPr>
      </w:pPr>
    </w:p>
    <w:p w14:paraId="62C1CEC9" w14:textId="77777777" w:rsidR="00C4052B" w:rsidRPr="00AA473B" w:rsidRDefault="00C4052B" w:rsidP="007808E0">
      <w:pPr>
        <w:tabs>
          <w:tab w:val="left" w:pos="8931"/>
        </w:tabs>
        <w:spacing w:after="0" w:line="360" w:lineRule="auto"/>
        <w:rPr>
          <w:color w:val="FF0000"/>
        </w:rPr>
      </w:pPr>
    </w:p>
    <w:p w14:paraId="7F38981D" w14:textId="77777777" w:rsidR="00A55E82" w:rsidRPr="00AA473B" w:rsidRDefault="00A55E82" w:rsidP="007808E0">
      <w:pPr>
        <w:tabs>
          <w:tab w:val="left" w:pos="8931"/>
        </w:tabs>
        <w:spacing w:after="0" w:line="360" w:lineRule="auto"/>
        <w:rPr>
          <w:color w:val="FF0000"/>
        </w:rPr>
      </w:pPr>
    </w:p>
    <w:p w14:paraId="6E6C2561" w14:textId="77777777" w:rsidR="00D61CB8" w:rsidRPr="00AA473B" w:rsidRDefault="00D61CB8" w:rsidP="007808E0">
      <w:pPr>
        <w:tabs>
          <w:tab w:val="left" w:pos="8931"/>
        </w:tabs>
        <w:spacing w:after="0" w:line="360" w:lineRule="auto"/>
        <w:rPr>
          <w:color w:val="FF0000"/>
        </w:rPr>
      </w:pPr>
    </w:p>
    <w:p w14:paraId="3FB7EB5E" w14:textId="4D9F408A" w:rsidR="005C690F" w:rsidRPr="00AA473B" w:rsidRDefault="007D6307" w:rsidP="007808E0">
      <w:pPr>
        <w:tabs>
          <w:tab w:val="left" w:pos="8931"/>
        </w:tabs>
        <w:spacing w:after="0" w:line="360" w:lineRule="auto"/>
        <w:rPr>
          <w:color w:val="auto"/>
        </w:rPr>
      </w:pPr>
      <w:r w:rsidRPr="00AA473B">
        <w:rPr>
          <w:color w:val="auto"/>
        </w:rPr>
        <w:lastRenderedPageBreak/>
        <w:t xml:space="preserve">Resolución del Pleno del Instituto de Transparencia, Acceso a la Información Pública y Protección de Datos Personales del Estado de México y Municipios, con domicilio en Metepec, Estado de México, de </w:t>
      </w:r>
      <w:r w:rsidR="00EF0C39" w:rsidRPr="00AA473B">
        <w:rPr>
          <w:color w:val="auto"/>
        </w:rPr>
        <w:t xml:space="preserve">fecha </w:t>
      </w:r>
      <w:r w:rsidR="00304EA3" w:rsidRPr="00AA473B">
        <w:rPr>
          <w:color w:val="auto"/>
        </w:rPr>
        <w:t xml:space="preserve">diez de septiembre </w:t>
      </w:r>
      <w:r w:rsidR="00945CB8" w:rsidRPr="00AA473B">
        <w:rPr>
          <w:color w:val="auto"/>
        </w:rPr>
        <w:t>de dos mil veintic</w:t>
      </w:r>
      <w:r w:rsidR="00C11A18" w:rsidRPr="00AA473B">
        <w:rPr>
          <w:color w:val="auto"/>
        </w:rPr>
        <w:t>inco</w:t>
      </w:r>
      <w:r w:rsidRPr="00AA473B">
        <w:rPr>
          <w:color w:val="auto"/>
        </w:rPr>
        <w:t xml:space="preserve">. </w:t>
      </w:r>
    </w:p>
    <w:p w14:paraId="0DCD3B82" w14:textId="77777777" w:rsidR="005C690F" w:rsidRPr="00AA473B" w:rsidRDefault="005C690F" w:rsidP="007808E0">
      <w:pPr>
        <w:spacing w:after="0" w:line="360" w:lineRule="auto"/>
        <w:rPr>
          <w:b/>
          <w:color w:val="auto"/>
        </w:rPr>
      </w:pPr>
    </w:p>
    <w:p w14:paraId="1570B336" w14:textId="0B35AE5A" w:rsidR="005C690F" w:rsidRPr="00AA473B" w:rsidRDefault="007D6307" w:rsidP="007808E0">
      <w:pPr>
        <w:spacing w:after="0" w:line="360" w:lineRule="auto"/>
        <w:rPr>
          <w:color w:val="auto"/>
        </w:rPr>
      </w:pPr>
      <w:r w:rsidRPr="00AA473B">
        <w:rPr>
          <w:b/>
          <w:color w:val="auto"/>
        </w:rPr>
        <w:t xml:space="preserve">VISTO </w:t>
      </w:r>
      <w:r w:rsidRPr="00AA473B">
        <w:rPr>
          <w:color w:val="auto"/>
        </w:rPr>
        <w:t xml:space="preserve">el expediente electrónico conformado con motivo del Recurso de Revisión </w:t>
      </w:r>
      <w:r w:rsidR="00EE1006" w:rsidRPr="003D02B7">
        <w:rPr>
          <w:b/>
        </w:rPr>
        <w:t>0</w:t>
      </w:r>
      <w:r w:rsidR="00304EA3" w:rsidRPr="003D02B7">
        <w:rPr>
          <w:b/>
        </w:rPr>
        <w:t>8986</w:t>
      </w:r>
      <w:r w:rsidR="000D392E" w:rsidRPr="003D02B7">
        <w:rPr>
          <w:b/>
        </w:rPr>
        <w:t>/INFOEM/IP/RR/2025</w:t>
      </w:r>
      <w:r w:rsidRPr="00AA473B">
        <w:rPr>
          <w:bCs/>
          <w:color w:val="auto"/>
        </w:rPr>
        <w:t xml:space="preserve">, interpuesto </w:t>
      </w:r>
      <w:r w:rsidR="008415EA" w:rsidRPr="00AA473B">
        <w:rPr>
          <w:bCs/>
          <w:color w:val="auto"/>
        </w:rPr>
        <w:t>por</w:t>
      </w:r>
      <w:r w:rsidR="00EE1006" w:rsidRPr="00AA473B">
        <w:rPr>
          <w:bCs/>
          <w:color w:val="auto"/>
        </w:rPr>
        <w:t xml:space="preserve"> </w:t>
      </w:r>
      <w:r w:rsidR="00D906B2" w:rsidRPr="00AA473B">
        <w:rPr>
          <w:bCs/>
          <w:color w:val="auto"/>
        </w:rPr>
        <w:t>la persona</w:t>
      </w:r>
      <w:r w:rsidRPr="00AA473B">
        <w:rPr>
          <w:bCs/>
          <w:color w:val="auto"/>
        </w:rPr>
        <w:t xml:space="preserve"> Recurrente o Particular, en contra de la respuesta del Sujeto Obligado</w:t>
      </w:r>
      <w:r w:rsidR="00705FBB" w:rsidRPr="00AA473B">
        <w:rPr>
          <w:bCs/>
          <w:color w:val="auto"/>
        </w:rPr>
        <w:t xml:space="preserve">, </w:t>
      </w:r>
      <w:bookmarkStart w:id="0" w:name="_GoBack"/>
      <w:r w:rsidR="008246F7" w:rsidRPr="003D02B7">
        <w:rPr>
          <w:b/>
          <w:color w:val="auto"/>
        </w:rPr>
        <w:t>Ayuntamiento d</w:t>
      </w:r>
      <w:r w:rsidR="00EC7CBF" w:rsidRPr="003D02B7">
        <w:rPr>
          <w:b/>
          <w:color w:val="auto"/>
        </w:rPr>
        <w:t xml:space="preserve">e </w:t>
      </w:r>
      <w:r w:rsidR="00304EA3" w:rsidRPr="003D02B7">
        <w:rPr>
          <w:b/>
          <w:color w:val="auto"/>
        </w:rPr>
        <w:t>Toluca</w:t>
      </w:r>
      <w:r w:rsidR="00EF0C39" w:rsidRPr="003D02B7">
        <w:rPr>
          <w:b/>
          <w:bCs/>
          <w:color w:val="auto"/>
        </w:rPr>
        <w:t>,</w:t>
      </w:r>
      <w:r w:rsidRPr="00AA473B">
        <w:rPr>
          <w:bCs/>
          <w:color w:val="auto"/>
        </w:rPr>
        <w:t xml:space="preserve"> </w:t>
      </w:r>
      <w:bookmarkEnd w:id="0"/>
      <w:r w:rsidRPr="00AA473B">
        <w:rPr>
          <w:color w:val="auto"/>
        </w:rPr>
        <w:t>a la solicitud de acceso a la información pública</w:t>
      </w:r>
      <w:r w:rsidR="00800641" w:rsidRPr="00AA473B">
        <w:rPr>
          <w:color w:val="auto"/>
        </w:rPr>
        <w:t xml:space="preserve"> </w:t>
      </w:r>
      <w:r w:rsidR="00304EA3" w:rsidRPr="00AA473B">
        <w:rPr>
          <w:color w:val="auto"/>
        </w:rPr>
        <w:t>03601/TOLUCA/IP/2025</w:t>
      </w:r>
      <w:r w:rsidRPr="00AA473B">
        <w:rPr>
          <w:color w:val="auto"/>
        </w:rPr>
        <w:t>, se emite la presente Resolución, con base en los Antecedentes y Considerandos que se exponen a continuación:</w:t>
      </w:r>
    </w:p>
    <w:p w14:paraId="1F97CEF3" w14:textId="77777777" w:rsidR="005C690F" w:rsidRPr="00AA473B" w:rsidRDefault="005C690F" w:rsidP="007808E0">
      <w:pPr>
        <w:spacing w:after="0" w:line="360" w:lineRule="auto"/>
        <w:rPr>
          <w:b/>
          <w:color w:val="auto"/>
        </w:rPr>
      </w:pPr>
    </w:p>
    <w:p w14:paraId="1DEAF9D3" w14:textId="24D35555" w:rsidR="005C690F" w:rsidRPr="00AA473B" w:rsidRDefault="00CD6238" w:rsidP="007808E0">
      <w:pPr>
        <w:pStyle w:val="Ttulo1"/>
        <w:spacing w:before="0" w:after="0" w:line="360" w:lineRule="auto"/>
        <w:jc w:val="center"/>
        <w:rPr>
          <w:color w:val="auto"/>
          <w:sz w:val="22"/>
          <w:szCs w:val="22"/>
        </w:rPr>
      </w:pPr>
      <w:bookmarkStart w:id="1" w:name="_Toc207813303"/>
      <w:r w:rsidRPr="00AA473B">
        <w:rPr>
          <w:color w:val="auto"/>
          <w:sz w:val="22"/>
          <w:szCs w:val="22"/>
        </w:rPr>
        <w:t>A N T E C E D E N T E S</w:t>
      </w:r>
      <w:bookmarkEnd w:id="1"/>
    </w:p>
    <w:p w14:paraId="5A7EDA4F" w14:textId="77777777" w:rsidR="005C690F" w:rsidRPr="00AA473B" w:rsidRDefault="005C690F" w:rsidP="007808E0">
      <w:pPr>
        <w:spacing w:after="0" w:line="360" w:lineRule="auto"/>
        <w:jc w:val="center"/>
        <w:rPr>
          <w:b/>
          <w:color w:val="FF0000"/>
        </w:rPr>
      </w:pPr>
    </w:p>
    <w:p w14:paraId="4930DAB9" w14:textId="701611A7" w:rsidR="00E22EA8" w:rsidRPr="00AA473B" w:rsidRDefault="009215C2" w:rsidP="007808E0">
      <w:pPr>
        <w:pStyle w:val="Ttulo2"/>
        <w:spacing w:before="0" w:after="0" w:line="360" w:lineRule="auto"/>
        <w:rPr>
          <w:color w:val="auto"/>
          <w:sz w:val="22"/>
          <w:szCs w:val="22"/>
          <w:lang w:eastAsia="es-ES"/>
        </w:rPr>
      </w:pPr>
      <w:bookmarkStart w:id="2" w:name="_Toc207813304"/>
      <w:r w:rsidRPr="00AA473B">
        <w:rPr>
          <w:color w:val="auto"/>
          <w:sz w:val="22"/>
          <w:szCs w:val="22"/>
          <w:lang w:eastAsia="es-ES"/>
        </w:rPr>
        <w:t xml:space="preserve">I. </w:t>
      </w:r>
      <w:r w:rsidR="00E22EA8" w:rsidRPr="00AA473B">
        <w:rPr>
          <w:color w:val="auto"/>
          <w:sz w:val="22"/>
          <w:szCs w:val="22"/>
          <w:lang w:eastAsia="es-ES"/>
        </w:rPr>
        <w:t>Presentación de la solicitud de información</w:t>
      </w:r>
      <w:bookmarkEnd w:id="2"/>
    </w:p>
    <w:p w14:paraId="63A20E25" w14:textId="77777777" w:rsidR="009215C2" w:rsidRPr="00AA473B" w:rsidRDefault="009215C2" w:rsidP="007808E0">
      <w:pPr>
        <w:tabs>
          <w:tab w:val="left" w:pos="567"/>
        </w:tabs>
        <w:spacing w:after="0" w:line="360" w:lineRule="auto"/>
        <w:rPr>
          <w:rFonts w:eastAsia="Times New Roman" w:cs="Tahoma"/>
          <w:color w:val="auto"/>
          <w:lang w:eastAsia="es-ES"/>
        </w:rPr>
      </w:pPr>
    </w:p>
    <w:p w14:paraId="301B8A4E" w14:textId="389E038A" w:rsidR="00E22EA8" w:rsidRPr="00AA473B" w:rsidRDefault="00D906B2" w:rsidP="007808E0">
      <w:pPr>
        <w:spacing w:after="0" w:line="360" w:lineRule="auto"/>
        <w:rPr>
          <w:rFonts w:eastAsia="Times New Roman" w:cs="Tahoma"/>
          <w:color w:val="auto"/>
          <w:lang w:eastAsia="es-ES"/>
        </w:rPr>
      </w:pPr>
      <w:r w:rsidRPr="00AA473B">
        <w:rPr>
          <w:rFonts w:eastAsia="Times New Roman" w:cs="Tahoma"/>
          <w:color w:val="auto"/>
          <w:lang w:eastAsia="es-ES"/>
        </w:rPr>
        <w:t>El</w:t>
      </w:r>
      <w:r w:rsidR="00D52EC1" w:rsidRPr="00AA473B">
        <w:rPr>
          <w:rFonts w:eastAsia="Times New Roman" w:cs="Tahoma"/>
          <w:color w:val="auto"/>
          <w:lang w:eastAsia="es-ES"/>
        </w:rPr>
        <w:t xml:space="preserve"> </w:t>
      </w:r>
      <w:r w:rsidR="00304EA3" w:rsidRPr="00AA473B">
        <w:rPr>
          <w:rFonts w:eastAsia="Times New Roman" w:cs="Tahoma"/>
          <w:color w:val="auto"/>
          <w:lang w:eastAsia="es-ES"/>
        </w:rPr>
        <w:t xml:space="preserve">veintitrés de junio </w:t>
      </w:r>
      <w:r w:rsidR="008E0DC4" w:rsidRPr="00AA473B">
        <w:rPr>
          <w:rFonts w:eastAsia="Times New Roman" w:cs="Tahoma"/>
          <w:color w:val="auto"/>
          <w:lang w:eastAsia="es-ES"/>
        </w:rPr>
        <w:t>de dos mil veinticinco</w:t>
      </w:r>
      <w:r w:rsidR="00BF362A" w:rsidRPr="00AA473B">
        <w:rPr>
          <w:rFonts w:eastAsia="Times New Roman" w:cs="Tahoma"/>
          <w:color w:val="auto"/>
          <w:lang w:eastAsia="es-ES"/>
        </w:rPr>
        <w:t xml:space="preserve">, </w:t>
      </w:r>
      <w:r w:rsidR="00E22EA8" w:rsidRPr="00AA473B">
        <w:rPr>
          <w:rFonts w:eastAsia="Times New Roman" w:cs="Tahoma"/>
          <w:color w:val="auto"/>
          <w:lang w:eastAsia="es-ES"/>
        </w:rPr>
        <w:t>el Particular presentó una solicitud de acceso a la información pública, a través del Sistema de Acceso a la Información Mexiquense (SAIMEX), ante</w:t>
      </w:r>
      <w:r w:rsidR="000B3C56" w:rsidRPr="00AA473B">
        <w:rPr>
          <w:rFonts w:eastAsia="Times New Roman" w:cs="Tahoma"/>
          <w:color w:val="auto"/>
          <w:lang w:eastAsia="es-ES"/>
        </w:rPr>
        <w:t xml:space="preserve"> </w:t>
      </w:r>
      <w:r w:rsidR="00DC175C" w:rsidRPr="00AA473B">
        <w:rPr>
          <w:rFonts w:eastAsia="Times New Roman" w:cs="Tahoma"/>
          <w:color w:val="auto"/>
          <w:lang w:eastAsia="es-ES"/>
        </w:rPr>
        <w:t>el</w:t>
      </w:r>
      <w:r w:rsidR="008246F7" w:rsidRPr="00AA473B">
        <w:rPr>
          <w:color w:val="auto"/>
        </w:rPr>
        <w:t xml:space="preserve"> Ayuntamiento de </w:t>
      </w:r>
      <w:r w:rsidR="00304EA3" w:rsidRPr="00AA473B">
        <w:rPr>
          <w:color w:val="auto"/>
        </w:rPr>
        <w:t>Toluca</w:t>
      </w:r>
      <w:r w:rsidR="008E0DC4" w:rsidRPr="00AA473B">
        <w:rPr>
          <w:rFonts w:eastAsia="Calibri" w:cs="Times New Roman"/>
          <w:color w:val="auto"/>
        </w:rPr>
        <w:t>,</w:t>
      </w:r>
      <w:r w:rsidR="00DC175C" w:rsidRPr="00AA473B">
        <w:rPr>
          <w:rFonts w:eastAsia="Calibri" w:cs="Tahoma"/>
          <w:color w:val="auto"/>
        </w:rPr>
        <w:t xml:space="preserve"> </w:t>
      </w:r>
      <w:r w:rsidR="00E22EA8" w:rsidRPr="00AA473B">
        <w:rPr>
          <w:rFonts w:eastAsia="Calibri" w:cs="Tahoma"/>
          <w:color w:val="auto"/>
        </w:rPr>
        <w:t xml:space="preserve">en los siguientes términos: </w:t>
      </w:r>
    </w:p>
    <w:p w14:paraId="2B959865" w14:textId="77777777" w:rsidR="00E22EA8" w:rsidRPr="00AA473B" w:rsidRDefault="00E22EA8" w:rsidP="007808E0">
      <w:pPr>
        <w:spacing w:after="0" w:line="360" w:lineRule="auto"/>
        <w:rPr>
          <w:rFonts w:eastAsia="Calibri" w:cs="Tahoma"/>
          <w:color w:val="auto"/>
        </w:rPr>
      </w:pPr>
    </w:p>
    <w:p w14:paraId="3FBC9D66" w14:textId="0F26255C" w:rsidR="00A41789" w:rsidRPr="00AA473B" w:rsidRDefault="00125F26" w:rsidP="007808E0">
      <w:pPr>
        <w:tabs>
          <w:tab w:val="left" w:pos="4667"/>
        </w:tabs>
        <w:spacing w:after="0" w:line="360" w:lineRule="auto"/>
        <w:ind w:left="567" w:right="567"/>
        <w:rPr>
          <w:rFonts w:eastAsia="Times New Roman" w:cs="Tahoma"/>
          <w:b/>
          <w:i/>
          <w:iCs/>
          <w:color w:val="auto"/>
          <w:sz w:val="20"/>
          <w:szCs w:val="20"/>
          <w:lang w:eastAsia="es-ES"/>
        </w:rPr>
      </w:pPr>
      <w:r w:rsidRPr="00AA473B">
        <w:rPr>
          <w:rFonts w:eastAsia="Times New Roman" w:cs="Tahoma"/>
          <w:b/>
          <w:i/>
          <w:iCs/>
          <w:color w:val="auto"/>
          <w:sz w:val="20"/>
          <w:szCs w:val="20"/>
          <w:lang w:eastAsia="es-ES"/>
        </w:rPr>
        <w:t>“</w:t>
      </w:r>
      <w:r w:rsidR="00E22EA8" w:rsidRPr="00AA473B">
        <w:rPr>
          <w:rFonts w:eastAsia="Times New Roman" w:cs="Tahoma"/>
          <w:b/>
          <w:i/>
          <w:iCs/>
          <w:color w:val="auto"/>
          <w:sz w:val="20"/>
          <w:szCs w:val="20"/>
          <w:lang w:eastAsia="es-ES"/>
        </w:rPr>
        <w:t>DESCRIPCIÓN CLARA Y PRECI</w:t>
      </w:r>
      <w:r w:rsidR="0084143D" w:rsidRPr="00AA473B">
        <w:rPr>
          <w:rFonts w:eastAsia="Times New Roman" w:cs="Tahoma"/>
          <w:b/>
          <w:i/>
          <w:iCs/>
          <w:color w:val="auto"/>
          <w:sz w:val="20"/>
          <w:szCs w:val="20"/>
          <w:lang w:eastAsia="es-ES"/>
        </w:rPr>
        <w:t xml:space="preserve">SA DE LA </w:t>
      </w:r>
      <w:r w:rsidR="00A41789" w:rsidRPr="00AA473B">
        <w:rPr>
          <w:rFonts w:eastAsia="Times New Roman" w:cs="Tahoma"/>
          <w:b/>
          <w:i/>
          <w:iCs/>
          <w:color w:val="auto"/>
          <w:sz w:val="20"/>
          <w:szCs w:val="20"/>
          <w:lang w:eastAsia="es-ES"/>
        </w:rPr>
        <w:t>INFORMACIÓN SOLICITADA</w:t>
      </w:r>
    </w:p>
    <w:p w14:paraId="2C6BC213" w14:textId="53FC396C" w:rsidR="00E22EA8" w:rsidRPr="00AA473B" w:rsidRDefault="00304EA3" w:rsidP="00304EA3">
      <w:pPr>
        <w:spacing w:after="0" w:line="360" w:lineRule="auto"/>
        <w:ind w:left="567" w:right="567"/>
        <w:rPr>
          <w:rFonts w:eastAsia="Times New Roman" w:cs="Arial"/>
          <w:bCs/>
          <w:i/>
          <w:iCs/>
          <w:color w:val="auto"/>
          <w:sz w:val="20"/>
          <w:lang w:eastAsia="es-ES"/>
        </w:rPr>
      </w:pPr>
      <w:r w:rsidRPr="00AA473B">
        <w:rPr>
          <w:rFonts w:eastAsia="Times New Roman" w:cs="Arial"/>
          <w:bCs/>
          <w:i/>
          <w:iCs/>
          <w:color w:val="auto"/>
          <w:sz w:val="20"/>
          <w:lang w:eastAsia="es-ES"/>
        </w:rPr>
        <w:t>Sea este el medio para solicitar la información relativa a la 2025 en adjudicación de luminarias para el municipio de Toluca con la información que viene descrita en el artículo 92 fracción XXIX inciso a) con todos sus consecuentes o si es el caso, lo que viene en el mismo artículo y fracción pero del inciso b) dependiendo el proceso del adjudicación,el artículo mencionado corresponde a la Ley de Transparencia y Acceso a la Información Pública y no esta en ipomex por eso se pide por saimex del Estado de México y Municipios</w:t>
      </w:r>
      <w:r w:rsidR="009215C2" w:rsidRPr="00AA473B">
        <w:rPr>
          <w:rFonts w:eastAsia="Times New Roman" w:cs="Arial"/>
          <w:bCs/>
          <w:i/>
          <w:iCs/>
          <w:color w:val="auto"/>
          <w:sz w:val="20"/>
          <w:lang w:eastAsia="es-ES"/>
        </w:rPr>
        <w:t>”</w:t>
      </w:r>
    </w:p>
    <w:p w14:paraId="5E88ED39" w14:textId="77777777" w:rsidR="00BF362A" w:rsidRPr="00AA473B" w:rsidRDefault="00BF362A" w:rsidP="007808E0">
      <w:pPr>
        <w:tabs>
          <w:tab w:val="left" w:pos="4667"/>
        </w:tabs>
        <w:spacing w:after="0" w:line="360" w:lineRule="auto"/>
        <w:ind w:left="567" w:right="567"/>
        <w:rPr>
          <w:rFonts w:eastAsia="Times New Roman" w:cs="Tahoma"/>
          <w:b/>
          <w:bCs/>
          <w:i/>
          <w:iCs/>
          <w:color w:val="auto"/>
          <w:sz w:val="20"/>
          <w:lang w:eastAsia="es-ES"/>
        </w:rPr>
      </w:pPr>
    </w:p>
    <w:p w14:paraId="64AF510B" w14:textId="77777777" w:rsidR="005C2324" w:rsidRPr="00AA473B" w:rsidRDefault="005C2324" w:rsidP="007808E0">
      <w:pPr>
        <w:tabs>
          <w:tab w:val="left" w:pos="4667"/>
        </w:tabs>
        <w:spacing w:after="0" w:line="360" w:lineRule="auto"/>
        <w:ind w:left="567" w:right="567"/>
        <w:rPr>
          <w:rFonts w:eastAsia="Times New Roman" w:cs="Tahoma"/>
          <w:b/>
          <w:bCs/>
          <w:i/>
          <w:iCs/>
          <w:color w:val="auto"/>
          <w:sz w:val="20"/>
          <w:lang w:eastAsia="es-ES"/>
        </w:rPr>
      </w:pPr>
    </w:p>
    <w:p w14:paraId="6C0DE105" w14:textId="3FEE2196" w:rsidR="00E22EA8" w:rsidRPr="00AA473B" w:rsidRDefault="00125F26" w:rsidP="007808E0">
      <w:pPr>
        <w:tabs>
          <w:tab w:val="left" w:pos="4667"/>
        </w:tabs>
        <w:spacing w:after="0" w:line="360" w:lineRule="auto"/>
        <w:ind w:left="567" w:right="567"/>
        <w:rPr>
          <w:rFonts w:eastAsia="Times New Roman" w:cs="Tahoma"/>
          <w:b/>
          <w:bCs/>
          <w:i/>
          <w:iCs/>
          <w:color w:val="auto"/>
          <w:sz w:val="20"/>
          <w:lang w:eastAsia="es-ES"/>
        </w:rPr>
      </w:pPr>
      <w:r w:rsidRPr="00AA473B">
        <w:rPr>
          <w:rFonts w:eastAsia="Times New Roman" w:cs="Tahoma"/>
          <w:b/>
          <w:bCs/>
          <w:i/>
          <w:iCs/>
          <w:color w:val="auto"/>
          <w:sz w:val="20"/>
          <w:lang w:eastAsia="es-ES"/>
        </w:rPr>
        <w:lastRenderedPageBreak/>
        <w:t>“</w:t>
      </w:r>
      <w:r w:rsidR="00E22EA8" w:rsidRPr="00AA473B">
        <w:rPr>
          <w:rFonts w:eastAsia="Times New Roman" w:cs="Tahoma"/>
          <w:b/>
          <w:bCs/>
          <w:i/>
          <w:iCs/>
          <w:color w:val="auto"/>
          <w:sz w:val="20"/>
          <w:lang w:eastAsia="es-ES"/>
        </w:rPr>
        <w:t>MODALIDAD DE ENTREGA</w:t>
      </w:r>
    </w:p>
    <w:p w14:paraId="3CA8F82F" w14:textId="1B5A8200" w:rsidR="00EB386A" w:rsidRPr="00AA473B" w:rsidRDefault="00BB6693" w:rsidP="007808E0">
      <w:pPr>
        <w:spacing w:after="0" w:line="360" w:lineRule="auto"/>
        <w:ind w:left="567" w:right="567"/>
        <w:rPr>
          <w:rFonts w:eastAsia="Times New Roman" w:cs="Arial"/>
          <w:bCs/>
          <w:i/>
          <w:iCs/>
          <w:color w:val="auto"/>
          <w:sz w:val="20"/>
          <w:lang w:eastAsia="es-ES"/>
        </w:rPr>
      </w:pPr>
      <w:r w:rsidRPr="00AA473B">
        <w:rPr>
          <w:rFonts w:eastAsia="Times New Roman" w:cs="Arial"/>
          <w:bCs/>
          <w:i/>
          <w:iCs/>
          <w:color w:val="auto"/>
          <w:sz w:val="20"/>
          <w:lang w:eastAsia="es-ES"/>
        </w:rPr>
        <w:t>A través del SAIMEX</w:t>
      </w:r>
      <w:r w:rsidR="00E22EA8" w:rsidRPr="00AA473B">
        <w:rPr>
          <w:rFonts w:eastAsia="Times New Roman" w:cs="Arial"/>
          <w:bCs/>
          <w:i/>
          <w:iCs/>
          <w:color w:val="auto"/>
          <w:sz w:val="20"/>
          <w:lang w:eastAsia="es-ES"/>
        </w:rPr>
        <w:t>”</w:t>
      </w:r>
    </w:p>
    <w:p w14:paraId="7D2A95DA" w14:textId="77777777" w:rsidR="002207FA" w:rsidRPr="00AA473B" w:rsidRDefault="002207FA" w:rsidP="005C2324">
      <w:pPr>
        <w:spacing w:after="0" w:line="360" w:lineRule="auto"/>
        <w:ind w:left="567" w:right="567"/>
        <w:rPr>
          <w:rFonts w:eastAsia="Times New Roman" w:cs="Arial"/>
          <w:bCs/>
          <w:i/>
          <w:iCs/>
          <w:color w:val="FF0000"/>
          <w:sz w:val="20"/>
          <w:lang w:eastAsia="es-ES"/>
        </w:rPr>
      </w:pPr>
    </w:p>
    <w:p w14:paraId="0A604AAC" w14:textId="5EBA114E" w:rsidR="00E22EA8" w:rsidRPr="00AA473B" w:rsidRDefault="000B3C56" w:rsidP="007808E0">
      <w:pPr>
        <w:pStyle w:val="Ttulo2"/>
        <w:spacing w:before="0" w:after="0" w:line="360" w:lineRule="auto"/>
        <w:rPr>
          <w:color w:val="auto"/>
          <w:sz w:val="22"/>
          <w:szCs w:val="22"/>
        </w:rPr>
      </w:pPr>
      <w:bookmarkStart w:id="3" w:name="_Toc207813305"/>
      <w:r w:rsidRPr="00AA473B">
        <w:rPr>
          <w:rFonts w:cs="Tahoma"/>
          <w:color w:val="auto"/>
          <w:sz w:val="22"/>
          <w:szCs w:val="22"/>
        </w:rPr>
        <w:t>I</w:t>
      </w:r>
      <w:r w:rsidR="002207FA" w:rsidRPr="00AA473B">
        <w:rPr>
          <w:rFonts w:cs="Tahoma"/>
          <w:color w:val="auto"/>
          <w:sz w:val="22"/>
          <w:szCs w:val="22"/>
        </w:rPr>
        <w:t>I</w:t>
      </w:r>
      <w:r w:rsidR="00E22EA8" w:rsidRPr="00AA473B">
        <w:rPr>
          <w:rFonts w:cs="Tahoma"/>
          <w:color w:val="auto"/>
          <w:sz w:val="22"/>
          <w:szCs w:val="22"/>
        </w:rPr>
        <w:t>.</w:t>
      </w:r>
      <w:r w:rsidR="00E22EA8" w:rsidRPr="00AA473B">
        <w:rPr>
          <w:color w:val="auto"/>
          <w:sz w:val="22"/>
          <w:szCs w:val="22"/>
        </w:rPr>
        <w:t xml:space="preserve"> Respuesta del Sujeto Obligado</w:t>
      </w:r>
      <w:bookmarkEnd w:id="3"/>
    </w:p>
    <w:p w14:paraId="10CE94A9" w14:textId="77777777" w:rsidR="00C06004" w:rsidRPr="00AA473B" w:rsidRDefault="00C06004" w:rsidP="007808E0">
      <w:pPr>
        <w:autoSpaceDE w:val="0"/>
        <w:autoSpaceDN w:val="0"/>
        <w:adjustRightInd w:val="0"/>
        <w:spacing w:after="0" w:line="360" w:lineRule="auto"/>
        <w:rPr>
          <w:b/>
          <w:bCs/>
          <w:color w:val="FF0000"/>
        </w:rPr>
      </w:pPr>
    </w:p>
    <w:p w14:paraId="252736ED" w14:textId="04439C12" w:rsidR="00304EA3" w:rsidRPr="00AA473B" w:rsidRDefault="00EB386A" w:rsidP="007808E0">
      <w:pPr>
        <w:spacing w:after="0" w:line="360" w:lineRule="auto"/>
        <w:rPr>
          <w:color w:val="auto"/>
        </w:rPr>
      </w:pPr>
      <w:r w:rsidRPr="00AA473B">
        <w:rPr>
          <w:color w:val="auto"/>
        </w:rPr>
        <w:t xml:space="preserve">El </w:t>
      </w:r>
      <w:r w:rsidR="00304EA3" w:rsidRPr="00AA473B">
        <w:rPr>
          <w:color w:val="auto"/>
        </w:rPr>
        <w:t xml:space="preserve">catorce de julio de </w:t>
      </w:r>
      <w:r w:rsidR="00CD4DE8" w:rsidRPr="00AA473B">
        <w:rPr>
          <w:color w:val="auto"/>
        </w:rPr>
        <w:t>dos mil veinticinco</w:t>
      </w:r>
      <w:r w:rsidR="00E22EA8" w:rsidRPr="00AA473B">
        <w:rPr>
          <w:color w:val="auto"/>
        </w:rPr>
        <w:t xml:space="preserve">, el Sujeto Obligado notificó, a través del Sistema de Acceso a la Información Mexiquense (SAIMEX), la respuesta a la solicitud de acceso a la información pública, </w:t>
      </w:r>
      <w:r w:rsidR="00EC7CBF" w:rsidRPr="00AA473B">
        <w:rPr>
          <w:color w:val="auto"/>
        </w:rPr>
        <w:t xml:space="preserve">a través </w:t>
      </w:r>
      <w:r w:rsidR="00304EA3" w:rsidRPr="00AA473B">
        <w:rPr>
          <w:color w:val="auto"/>
        </w:rPr>
        <w:t>de la digitalización de los siguientes documentos:</w:t>
      </w:r>
    </w:p>
    <w:p w14:paraId="26AD0B74" w14:textId="77777777" w:rsidR="0081681D" w:rsidRPr="00AA473B" w:rsidRDefault="0081681D" w:rsidP="007808E0">
      <w:pPr>
        <w:spacing w:after="0" w:line="360" w:lineRule="auto"/>
        <w:rPr>
          <w:color w:val="FF0000"/>
        </w:rPr>
      </w:pPr>
    </w:p>
    <w:p w14:paraId="5AD1165C" w14:textId="10D0495F" w:rsidR="00304EA3" w:rsidRPr="00AA473B" w:rsidRDefault="00304EA3" w:rsidP="000D0FE9">
      <w:pPr>
        <w:pStyle w:val="Prrafodelista"/>
        <w:numPr>
          <w:ilvl w:val="0"/>
          <w:numId w:val="6"/>
        </w:numPr>
        <w:spacing w:line="360" w:lineRule="auto"/>
        <w:rPr>
          <w:color w:val="auto"/>
        </w:rPr>
      </w:pPr>
      <w:bookmarkStart w:id="4" w:name="_Hlk207795405"/>
      <w:r w:rsidRPr="00AA473B">
        <w:rPr>
          <w:color w:val="auto"/>
        </w:rPr>
        <w:t>Oficio del veintiséis de junio de dos mil veinticinco, suscrito por el Director General de Obras Públicas, dirigido al Titular de la Unidad de Transparencia, por medio del cual se menciona lo siguiente:</w:t>
      </w:r>
    </w:p>
    <w:p w14:paraId="49A83396" w14:textId="77777777" w:rsidR="001D7D5C" w:rsidRPr="00AA473B" w:rsidRDefault="001D7D5C" w:rsidP="007808E0">
      <w:pPr>
        <w:spacing w:after="0" w:line="360" w:lineRule="auto"/>
        <w:rPr>
          <w:color w:val="auto"/>
        </w:rPr>
      </w:pPr>
    </w:p>
    <w:p w14:paraId="7D31334A" w14:textId="57E98AF8" w:rsidR="00EC7CBF" w:rsidRPr="00AA473B" w:rsidRDefault="0081681D" w:rsidP="00304EA3">
      <w:pPr>
        <w:spacing w:after="0" w:line="360" w:lineRule="auto"/>
        <w:ind w:left="567" w:right="567"/>
        <w:rPr>
          <w:i/>
          <w:iCs/>
          <w:color w:val="auto"/>
          <w:sz w:val="20"/>
          <w:szCs w:val="20"/>
        </w:rPr>
      </w:pPr>
      <w:r w:rsidRPr="00AA473B">
        <w:rPr>
          <w:i/>
          <w:iCs/>
          <w:color w:val="auto"/>
          <w:sz w:val="20"/>
          <w:szCs w:val="20"/>
        </w:rPr>
        <w:t>“…</w:t>
      </w:r>
      <w:r w:rsidR="001D7D5C" w:rsidRPr="00AA473B">
        <w:rPr>
          <w:i/>
          <w:iCs/>
          <w:color w:val="auto"/>
          <w:sz w:val="20"/>
          <w:szCs w:val="20"/>
        </w:rPr>
        <w:t>De acuerdo con las funciones y atribuciones de esta Dirección General y atendiendo lo establecido en el artículo 3.40 del Código Reglamentario Municipal de Toluca, artículo 92 fracción X del Bando Municipal de Toluca 2025 y de lo estipulado en el Manual General de Organización del Sector Central de la Administración Pública Municipal de Toluca vigente en la codificación 209014000 no es competencia de esta área administrativa el generar ni administrar la expresión documental que dé cuenta de la ..adjudicación de luminarias</w:t>
      </w:r>
      <w:r w:rsidR="005C2324" w:rsidRPr="00AA473B">
        <w:rPr>
          <w:i/>
          <w:iCs/>
          <w:color w:val="auto"/>
          <w:sz w:val="20"/>
          <w:szCs w:val="20"/>
        </w:rPr>
        <w:t>…”</w:t>
      </w:r>
      <w:r w:rsidR="001D7D5C" w:rsidRPr="00AA473B">
        <w:rPr>
          <w:i/>
          <w:iCs/>
          <w:color w:val="auto"/>
          <w:sz w:val="20"/>
          <w:szCs w:val="20"/>
        </w:rPr>
        <w:t>(sic), ni de lo indicado en los incisos a) y b) de la solicitud.</w:t>
      </w:r>
    </w:p>
    <w:p w14:paraId="46F2A878" w14:textId="77777777" w:rsidR="001D7D5C" w:rsidRPr="00AA473B" w:rsidRDefault="001D7D5C" w:rsidP="00304EA3">
      <w:pPr>
        <w:spacing w:after="0" w:line="360" w:lineRule="auto"/>
        <w:ind w:left="567" w:right="567"/>
        <w:rPr>
          <w:i/>
          <w:iCs/>
          <w:color w:val="auto"/>
          <w:sz w:val="20"/>
          <w:szCs w:val="20"/>
        </w:rPr>
      </w:pPr>
    </w:p>
    <w:p w14:paraId="3E3CFD50" w14:textId="115AE307" w:rsidR="001D7D5C" w:rsidRPr="00AA473B" w:rsidRDefault="001D7D5C" w:rsidP="00304EA3">
      <w:pPr>
        <w:spacing w:after="0" w:line="360" w:lineRule="auto"/>
        <w:ind w:left="567" w:right="567"/>
        <w:rPr>
          <w:i/>
          <w:iCs/>
          <w:color w:val="auto"/>
          <w:sz w:val="20"/>
          <w:szCs w:val="20"/>
        </w:rPr>
      </w:pPr>
      <w:r w:rsidRPr="00AA473B">
        <w:rPr>
          <w:i/>
          <w:iCs/>
          <w:color w:val="auto"/>
          <w:sz w:val="20"/>
          <w:szCs w:val="20"/>
        </w:rPr>
        <w:t xml:space="preserve">No obstante con la finalidad de garantizar el derecho de acceso a la información pública del solicitante, atendiendo a lo enmarcado en el artículo 162 de la Ley de Transparencia y Acceso a la Información Pública del Estado de México y Municipios y a la temporalidad indicada en la solicitud, la Dirección de Obras Públicas realizó búsqueda exhaustiva y razonable de lo requerido por el solicitante en los archivos que se encuentran bajo su resguardo y custodia, búsqueda en la que se concluyó que atendiendo a la temporalidad indicada por el peticionario, no se localizó </w:t>
      </w:r>
      <w:r w:rsidRPr="00AA473B">
        <w:rPr>
          <w:i/>
          <w:iCs/>
          <w:color w:val="auto"/>
          <w:sz w:val="20"/>
          <w:szCs w:val="20"/>
        </w:rPr>
        <w:lastRenderedPageBreak/>
        <w:t>expresión documental que dé cuenta de lo requerido por el solicitante, en razón de lo generarlo ni administrarlo…” (Sic)</w:t>
      </w:r>
    </w:p>
    <w:p w14:paraId="01E6DD9C" w14:textId="77777777" w:rsidR="005C2324" w:rsidRPr="00AA473B" w:rsidRDefault="005C2324" w:rsidP="00EC7CBF">
      <w:pPr>
        <w:spacing w:after="0" w:line="360" w:lineRule="auto"/>
        <w:rPr>
          <w:color w:val="auto"/>
          <w:sz w:val="20"/>
          <w:szCs w:val="20"/>
        </w:rPr>
      </w:pPr>
    </w:p>
    <w:p w14:paraId="0E38EDA6" w14:textId="34C4EDE3" w:rsidR="00794B3F" w:rsidRPr="00AA473B" w:rsidRDefault="008506E0" w:rsidP="00EC7CBF">
      <w:pPr>
        <w:spacing w:after="0" w:line="360" w:lineRule="auto"/>
        <w:rPr>
          <w:color w:val="auto"/>
        </w:rPr>
      </w:pPr>
      <w:r w:rsidRPr="00AA473B">
        <w:rPr>
          <w:color w:val="auto"/>
          <w:sz w:val="20"/>
          <w:szCs w:val="20"/>
        </w:rPr>
        <w:t xml:space="preserve">ii. Oficio </w:t>
      </w:r>
      <w:r w:rsidRPr="00AA473B">
        <w:rPr>
          <w:color w:val="auto"/>
        </w:rPr>
        <w:t>206010000/3989/2025 del diez de julio de dos mil veinticinco, suscrito por la Directora General de Administración, dirigido a la Persona Solicitante por medio del cual se menciona lo siguiente:</w:t>
      </w:r>
    </w:p>
    <w:p w14:paraId="10D2E03A" w14:textId="77777777" w:rsidR="008506E0" w:rsidRPr="00AA473B" w:rsidRDefault="008506E0" w:rsidP="00EC7CBF">
      <w:pPr>
        <w:spacing w:after="0" w:line="360" w:lineRule="auto"/>
        <w:rPr>
          <w:color w:val="auto"/>
        </w:rPr>
      </w:pPr>
    </w:p>
    <w:p w14:paraId="5E5EDBBF" w14:textId="71524FA8" w:rsidR="008506E0" w:rsidRPr="00AA473B" w:rsidRDefault="008506E0" w:rsidP="008506E0">
      <w:pPr>
        <w:spacing w:after="0" w:line="360" w:lineRule="auto"/>
        <w:ind w:left="567" w:right="567"/>
        <w:rPr>
          <w:i/>
          <w:iCs/>
          <w:color w:val="auto"/>
          <w:sz w:val="20"/>
          <w:szCs w:val="20"/>
        </w:rPr>
      </w:pPr>
      <w:r w:rsidRPr="00AA473B">
        <w:rPr>
          <w:i/>
          <w:iCs/>
          <w:color w:val="auto"/>
          <w:sz w:val="20"/>
          <w:szCs w:val="20"/>
        </w:rPr>
        <w:t xml:space="preserve">“…Al respecto, hago de su conocimiento que por medio del SAIMEX, se remite la respuesta de la persona servidora pública de la Dirección de Recursos Materiales del Ayuntamiento de Toluca, competente para tal propósito…” </w:t>
      </w:r>
    </w:p>
    <w:p w14:paraId="51695D52" w14:textId="77777777" w:rsidR="00237F2C" w:rsidRPr="00AA473B" w:rsidRDefault="00237F2C" w:rsidP="008506E0">
      <w:pPr>
        <w:spacing w:after="0" w:line="360" w:lineRule="auto"/>
        <w:ind w:left="567" w:right="567"/>
        <w:rPr>
          <w:i/>
          <w:iCs/>
          <w:color w:val="auto"/>
          <w:sz w:val="20"/>
          <w:szCs w:val="20"/>
        </w:rPr>
      </w:pPr>
    </w:p>
    <w:p w14:paraId="04855E8F" w14:textId="33825D64" w:rsidR="00237F2C" w:rsidRPr="00AA473B" w:rsidRDefault="00237F2C" w:rsidP="00237F2C">
      <w:pPr>
        <w:spacing w:after="0" w:line="360" w:lineRule="auto"/>
        <w:rPr>
          <w:color w:val="auto"/>
        </w:rPr>
      </w:pPr>
      <w:r w:rsidRPr="00AA473B">
        <w:rPr>
          <w:color w:val="auto"/>
        </w:rPr>
        <w:t>iii. Nota informativa No. 219/2025 del nueve de julio de dos mil veinticinco, suscrito por la Directora de Recursos Materiales, dirigido a la Directora General de Administración, por medio del cual se menciona lo siguiente:</w:t>
      </w:r>
    </w:p>
    <w:p w14:paraId="24B9772E" w14:textId="77777777" w:rsidR="00237F2C" w:rsidRPr="00AA473B" w:rsidRDefault="00237F2C" w:rsidP="00237F2C">
      <w:pPr>
        <w:spacing w:after="0" w:line="360" w:lineRule="auto"/>
        <w:rPr>
          <w:color w:val="auto"/>
        </w:rPr>
      </w:pPr>
    </w:p>
    <w:p w14:paraId="351D2FCA" w14:textId="05CBBF8E" w:rsidR="00197472" w:rsidRPr="00AA473B" w:rsidRDefault="00197472" w:rsidP="00197472">
      <w:pPr>
        <w:spacing w:after="0" w:line="360" w:lineRule="auto"/>
        <w:ind w:left="567" w:right="567"/>
        <w:rPr>
          <w:i/>
          <w:iCs/>
          <w:color w:val="auto"/>
          <w:sz w:val="20"/>
          <w:szCs w:val="20"/>
        </w:rPr>
      </w:pPr>
      <w:r w:rsidRPr="00AA473B">
        <w:rPr>
          <w:i/>
          <w:iCs/>
          <w:color w:val="auto"/>
          <w:sz w:val="20"/>
          <w:szCs w:val="20"/>
        </w:rPr>
        <w:t>“…Al respecto, de conformidad con lo establecido por los artículos 12 segundo párrafo y 160 de la Ley de Transparencia y Acceso a la Información Pública del Estado de México y Municipios; me permito informar que después de haber realizado una búsqueda en los archivos que obran en esta Dirección y sus Departamentos, no se localizó registro documental de "adjudicación de luminarias para el municipio de Toluca 2025", en ninguna de sus modalidades…”</w:t>
      </w:r>
      <w:r w:rsidR="00FD5AEA" w:rsidRPr="00AA473B">
        <w:rPr>
          <w:i/>
          <w:iCs/>
          <w:color w:val="auto"/>
          <w:sz w:val="20"/>
          <w:szCs w:val="20"/>
        </w:rPr>
        <w:t xml:space="preserve"> (Sic)</w:t>
      </w:r>
    </w:p>
    <w:bookmarkEnd w:id="4"/>
    <w:p w14:paraId="4C599BF5" w14:textId="77777777" w:rsidR="00197472" w:rsidRPr="00AA473B" w:rsidRDefault="00197472" w:rsidP="00237F2C">
      <w:pPr>
        <w:spacing w:after="0" w:line="360" w:lineRule="auto"/>
        <w:rPr>
          <w:color w:val="auto"/>
        </w:rPr>
      </w:pPr>
    </w:p>
    <w:p w14:paraId="7E7FBB31" w14:textId="68020061" w:rsidR="00E22EA8" w:rsidRPr="00AA473B" w:rsidRDefault="002207FA" w:rsidP="007808E0">
      <w:pPr>
        <w:pStyle w:val="Ttulo2"/>
        <w:spacing w:before="0" w:after="0" w:line="360" w:lineRule="auto"/>
        <w:rPr>
          <w:color w:val="auto"/>
          <w:sz w:val="22"/>
          <w:szCs w:val="22"/>
        </w:rPr>
      </w:pPr>
      <w:bookmarkStart w:id="5" w:name="_Toc207813306"/>
      <w:r w:rsidRPr="00AA473B">
        <w:rPr>
          <w:color w:val="auto"/>
          <w:sz w:val="22"/>
          <w:szCs w:val="22"/>
        </w:rPr>
        <w:t>III</w:t>
      </w:r>
      <w:r w:rsidR="00E22EA8" w:rsidRPr="00AA473B">
        <w:rPr>
          <w:color w:val="auto"/>
          <w:sz w:val="22"/>
          <w:szCs w:val="22"/>
        </w:rPr>
        <w:t>. Interposición del Recurso de Revisión</w:t>
      </w:r>
      <w:bookmarkEnd w:id="5"/>
    </w:p>
    <w:p w14:paraId="053D45CF" w14:textId="77777777" w:rsidR="00E22EA8" w:rsidRPr="00AA473B" w:rsidRDefault="00E22EA8" w:rsidP="007808E0">
      <w:pPr>
        <w:spacing w:after="0" w:line="360" w:lineRule="auto"/>
        <w:rPr>
          <w:b/>
          <w:color w:val="FF0000"/>
        </w:rPr>
      </w:pPr>
    </w:p>
    <w:p w14:paraId="355C8CC6" w14:textId="2D7865E5" w:rsidR="009C5A71" w:rsidRPr="00AA473B" w:rsidRDefault="00083169" w:rsidP="007808E0">
      <w:pPr>
        <w:spacing w:after="0" w:line="360" w:lineRule="auto"/>
        <w:rPr>
          <w:bCs/>
          <w:color w:val="auto"/>
        </w:rPr>
      </w:pPr>
      <w:r w:rsidRPr="00AA473B">
        <w:rPr>
          <w:bCs/>
          <w:color w:val="auto"/>
        </w:rPr>
        <w:t>El</w:t>
      </w:r>
      <w:r w:rsidR="008E5E71" w:rsidRPr="00AA473B">
        <w:rPr>
          <w:bCs/>
          <w:color w:val="auto"/>
        </w:rPr>
        <w:t xml:space="preserve"> </w:t>
      </w:r>
      <w:r w:rsidR="0032674C" w:rsidRPr="00AA473B">
        <w:rPr>
          <w:color w:val="auto"/>
        </w:rPr>
        <w:t xml:space="preserve">veintidós de julio </w:t>
      </w:r>
      <w:r w:rsidR="008E5E71" w:rsidRPr="00AA473B">
        <w:rPr>
          <w:color w:val="auto"/>
        </w:rPr>
        <w:t>de dos mil veinticinco</w:t>
      </w:r>
      <w:r w:rsidR="00E22EA8" w:rsidRPr="00AA473B">
        <w:rPr>
          <w:bCs/>
          <w:color w:val="auto"/>
        </w:rPr>
        <w:t xml:space="preserve">, se recibió en este Instituto, a través del </w:t>
      </w:r>
      <w:r w:rsidR="00E22EA8" w:rsidRPr="00AA473B">
        <w:rPr>
          <w:bCs/>
          <w:color w:val="auto"/>
          <w:lang w:val="es-ES"/>
        </w:rPr>
        <w:t>Sistema de Acceso a la Información Mexiquense (SAIMEX)</w:t>
      </w:r>
      <w:r w:rsidR="00E22EA8" w:rsidRPr="00AA473B">
        <w:rPr>
          <w:bCs/>
          <w:color w:val="auto"/>
        </w:rPr>
        <w:t xml:space="preserve">, </w:t>
      </w:r>
      <w:r w:rsidR="009019A8" w:rsidRPr="00AA473B">
        <w:rPr>
          <w:bCs/>
          <w:color w:val="auto"/>
        </w:rPr>
        <w:t xml:space="preserve">el </w:t>
      </w:r>
      <w:r w:rsidR="00E22EA8" w:rsidRPr="00AA473B">
        <w:rPr>
          <w:bCs/>
          <w:color w:val="auto"/>
        </w:rPr>
        <w:t>Recurso de Revisión interpuesto por la p</w:t>
      </w:r>
      <w:r w:rsidRPr="00AA473B">
        <w:rPr>
          <w:bCs/>
          <w:color w:val="auto"/>
        </w:rPr>
        <w:t>ersona</w:t>
      </w:r>
      <w:r w:rsidR="00E22EA8" w:rsidRPr="00AA473B">
        <w:rPr>
          <w:bCs/>
          <w:color w:val="auto"/>
        </w:rPr>
        <w:t xml:space="preserve"> Recurrente, en contra de la respuesta por el Sujeto Obligado, a la solicitud de información</w:t>
      </w:r>
      <w:r w:rsidR="00F43789" w:rsidRPr="00AA473B">
        <w:rPr>
          <w:rFonts w:eastAsia="Calibri" w:cs="Times New Roman"/>
          <w:color w:val="auto"/>
        </w:rPr>
        <w:t xml:space="preserve">, </w:t>
      </w:r>
      <w:r w:rsidR="00E22EA8" w:rsidRPr="00AA473B">
        <w:rPr>
          <w:bCs/>
          <w:color w:val="auto"/>
        </w:rPr>
        <w:t>en los siguientes términos:</w:t>
      </w:r>
    </w:p>
    <w:p w14:paraId="499DDBDB" w14:textId="77777777" w:rsidR="008E5E71" w:rsidRPr="00AA473B" w:rsidRDefault="008E5E71" w:rsidP="007808E0">
      <w:pPr>
        <w:spacing w:after="0" w:line="360" w:lineRule="auto"/>
        <w:ind w:left="567" w:right="567"/>
        <w:rPr>
          <w:b/>
          <w:bCs/>
          <w:i/>
          <w:color w:val="FF0000"/>
          <w:sz w:val="20"/>
          <w:szCs w:val="20"/>
        </w:rPr>
      </w:pPr>
    </w:p>
    <w:p w14:paraId="1B2CCD45" w14:textId="1F34B3A9" w:rsidR="00E22EA8" w:rsidRPr="00AA473B" w:rsidRDefault="00E12804" w:rsidP="007808E0">
      <w:pPr>
        <w:spacing w:after="0" w:line="360" w:lineRule="auto"/>
        <w:ind w:left="567" w:right="567"/>
        <w:rPr>
          <w:bCs/>
          <w:i/>
          <w:color w:val="auto"/>
          <w:sz w:val="20"/>
          <w:szCs w:val="20"/>
        </w:rPr>
      </w:pPr>
      <w:r w:rsidRPr="00AA473B">
        <w:rPr>
          <w:b/>
          <w:bCs/>
          <w:i/>
          <w:color w:val="auto"/>
          <w:sz w:val="20"/>
          <w:szCs w:val="20"/>
        </w:rPr>
        <w:lastRenderedPageBreak/>
        <w:t>‘’</w:t>
      </w:r>
      <w:r w:rsidR="00E22EA8" w:rsidRPr="00AA473B">
        <w:rPr>
          <w:b/>
          <w:bCs/>
          <w:i/>
          <w:color w:val="auto"/>
          <w:sz w:val="20"/>
          <w:szCs w:val="20"/>
        </w:rPr>
        <w:t>ACTO IMPUGNADO</w:t>
      </w:r>
    </w:p>
    <w:p w14:paraId="20CB87D1" w14:textId="5C199D1C" w:rsidR="00E22EA8" w:rsidRPr="00AA473B" w:rsidRDefault="0032674C" w:rsidP="007808E0">
      <w:pPr>
        <w:spacing w:after="0" w:line="360" w:lineRule="auto"/>
        <w:ind w:left="567" w:right="567"/>
        <w:rPr>
          <w:i/>
          <w:iCs/>
          <w:color w:val="auto"/>
          <w:sz w:val="20"/>
          <w:szCs w:val="20"/>
        </w:rPr>
      </w:pPr>
      <w:r w:rsidRPr="00AA473B">
        <w:rPr>
          <w:i/>
          <w:iCs/>
          <w:color w:val="auto"/>
          <w:sz w:val="20"/>
          <w:szCs w:val="20"/>
        </w:rPr>
        <w:t>La respuesta la información esta incompleta no atiende mi solicitud de acuerdo a lo solicitado.</w:t>
      </w:r>
      <w:r w:rsidR="00E22EA8" w:rsidRPr="00AA473B">
        <w:rPr>
          <w:i/>
          <w:iCs/>
          <w:color w:val="auto"/>
          <w:sz w:val="20"/>
          <w:szCs w:val="20"/>
        </w:rPr>
        <w:t>”</w:t>
      </w:r>
      <w:r w:rsidR="002D6CA6" w:rsidRPr="00AA473B">
        <w:rPr>
          <w:i/>
          <w:iCs/>
          <w:color w:val="auto"/>
          <w:sz w:val="20"/>
          <w:szCs w:val="20"/>
        </w:rPr>
        <w:t xml:space="preserve"> (Sic.)</w:t>
      </w:r>
    </w:p>
    <w:p w14:paraId="3B2615CC" w14:textId="77777777" w:rsidR="00E22EA8" w:rsidRPr="00AA473B" w:rsidRDefault="00E22EA8" w:rsidP="007808E0">
      <w:pPr>
        <w:spacing w:after="0" w:line="360" w:lineRule="auto"/>
        <w:ind w:left="567" w:right="567"/>
        <w:rPr>
          <w:i/>
          <w:color w:val="FF0000"/>
          <w:sz w:val="20"/>
          <w:szCs w:val="20"/>
        </w:rPr>
      </w:pPr>
    </w:p>
    <w:p w14:paraId="3F1F07C7" w14:textId="49F2AE96" w:rsidR="00E22EA8" w:rsidRPr="00AA473B" w:rsidRDefault="00E12804" w:rsidP="007808E0">
      <w:pPr>
        <w:spacing w:after="0" w:line="360" w:lineRule="auto"/>
        <w:ind w:left="567" w:right="567"/>
        <w:rPr>
          <w:b/>
          <w:i/>
          <w:color w:val="auto"/>
          <w:sz w:val="20"/>
          <w:szCs w:val="20"/>
        </w:rPr>
      </w:pPr>
      <w:r w:rsidRPr="00AA473B">
        <w:rPr>
          <w:b/>
          <w:i/>
          <w:color w:val="auto"/>
          <w:sz w:val="20"/>
          <w:szCs w:val="20"/>
        </w:rPr>
        <w:t>‘’</w:t>
      </w:r>
      <w:r w:rsidR="00E22EA8" w:rsidRPr="00AA473B">
        <w:rPr>
          <w:b/>
          <w:i/>
          <w:color w:val="auto"/>
          <w:sz w:val="20"/>
          <w:szCs w:val="20"/>
        </w:rPr>
        <w:t>RAZONES O MOTIVOS DE LA INCONFORMIDAD</w:t>
      </w:r>
    </w:p>
    <w:p w14:paraId="4CCC5C3C" w14:textId="77777777" w:rsidR="0032674C" w:rsidRPr="00AA473B" w:rsidRDefault="0032674C" w:rsidP="0032674C">
      <w:pPr>
        <w:spacing w:after="0" w:line="360" w:lineRule="auto"/>
        <w:ind w:left="567" w:right="567"/>
        <w:rPr>
          <w:i/>
          <w:iCs/>
          <w:color w:val="auto"/>
          <w:sz w:val="20"/>
          <w:szCs w:val="20"/>
        </w:rPr>
      </w:pPr>
      <w:r w:rsidRPr="00AA473B">
        <w:rPr>
          <w:i/>
          <w:iCs/>
          <w:color w:val="auto"/>
          <w:sz w:val="20"/>
          <w:szCs w:val="20"/>
        </w:rPr>
        <w:t>La respuesta la información esta incompleta no atiende mi solicitud de acuerdo a lo solicitado.” (Sic.)</w:t>
      </w:r>
    </w:p>
    <w:p w14:paraId="333C81B3" w14:textId="77777777" w:rsidR="003E4CFD" w:rsidRPr="00AA473B" w:rsidRDefault="003E4CFD" w:rsidP="007808E0">
      <w:pPr>
        <w:spacing w:after="0" w:line="360" w:lineRule="auto"/>
        <w:ind w:right="567"/>
        <w:rPr>
          <w:iCs/>
          <w:color w:val="auto"/>
        </w:rPr>
      </w:pPr>
    </w:p>
    <w:p w14:paraId="009DB65C" w14:textId="2D236FF1" w:rsidR="00E22EA8" w:rsidRPr="00AA473B" w:rsidRDefault="002207FA" w:rsidP="007808E0">
      <w:pPr>
        <w:pStyle w:val="Ttulo2"/>
        <w:spacing w:before="0" w:after="0" w:line="360" w:lineRule="auto"/>
        <w:rPr>
          <w:color w:val="auto"/>
          <w:sz w:val="22"/>
          <w:szCs w:val="22"/>
        </w:rPr>
      </w:pPr>
      <w:bookmarkStart w:id="6" w:name="_Toc207813307"/>
      <w:r w:rsidRPr="00AA473B">
        <w:rPr>
          <w:color w:val="auto"/>
          <w:sz w:val="22"/>
          <w:szCs w:val="22"/>
        </w:rPr>
        <w:t>I</w:t>
      </w:r>
      <w:r w:rsidR="00E22EA8" w:rsidRPr="00AA473B">
        <w:rPr>
          <w:color w:val="auto"/>
          <w:sz w:val="22"/>
          <w:szCs w:val="22"/>
        </w:rPr>
        <w:t>V. Trámite del Recurso de Revisión ante este Instituto</w:t>
      </w:r>
      <w:bookmarkEnd w:id="6"/>
    </w:p>
    <w:p w14:paraId="5C9B63F8" w14:textId="77777777" w:rsidR="009B2DAB" w:rsidRPr="00AA473B" w:rsidRDefault="009B2DAB" w:rsidP="007808E0">
      <w:pPr>
        <w:spacing w:after="0" w:line="360" w:lineRule="auto"/>
        <w:rPr>
          <w:b/>
          <w:bCs/>
          <w:color w:val="FF0000"/>
        </w:rPr>
      </w:pPr>
    </w:p>
    <w:p w14:paraId="173768ED" w14:textId="4121DC74" w:rsidR="00E22EA8" w:rsidRPr="00AA473B" w:rsidRDefault="00E22EA8" w:rsidP="007808E0">
      <w:pPr>
        <w:spacing w:after="0" w:line="360" w:lineRule="auto"/>
        <w:rPr>
          <w:bCs/>
          <w:color w:val="auto"/>
        </w:rPr>
      </w:pPr>
      <w:r w:rsidRPr="00AA473B">
        <w:rPr>
          <w:b/>
          <w:bCs/>
          <w:color w:val="auto"/>
        </w:rPr>
        <w:t>a) Turno del Medio de Impugnación.</w:t>
      </w:r>
      <w:r w:rsidR="000A706F" w:rsidRPr="00AA473B">
        <w:rPr>
          <w:bCs/>
          <w:color w:val="auto"/>
        </w:rPr>
        <w:t xml:space="preserve"> </w:t>
      </w:r>
      <w:r w:rsidR="003C5F59" w:rsidRPr="00AA473B">
        <w:rPr>
          <w:bCs/>
          <w:color w:val="auto"/>
        </w:rPr>
        <w:t xml:space="preserve">El </w:t>
      </w:r>
      <w:r w:rsidR="0032674C" w:rsidRPr="00AA473B">
        <w:rPr>
          <w:bCs/>
          <w:color w:val="auto"/>
        </w:rPr>
        <w:t xml:space="preserve">veintidós de julio </w:t>
      </w:r>
      <w:r w:rsidR="00E64E18" w:rsidRPr="00AA473B">
        <w:rPr>
          <w:color w:val="auto"/>
        </w:rPr>
        <w:t>de dos mil veinticinco</w:t>
      </w:r>
      <w:r w:rsidRPr="00AA473B">
        <w:rPr>
          <w:bCs/>
          <w:color w:val="auto"/>
        </w:rPr>
        <w:t xml:space="preserve">, el </w:t>
      </w:r>
      <w:r w:rsidRPr="00AA473B">
        <w:rPr>
          <w:color w:val="auto"/>
          <w:lang w:val="es-ES"/>
        </w:rPr>
        <w:t>Sistema de Acceso a la Información Mexiquense (SAIMEX),</w:t>
      </w:r>
      <w:r w:rsidRPr="00AA473B">
        <w:rPr>
          <w:bCs/>
          <w:color w:val="auto"/>
        </w:rPr>
        <w:t xml:space="preserve"> asignó el número de expediente </w:t>
      </w:r>
      <w:r w:rsidR="002D6CA6" w:rsidRPr="00AA473B">
        <w:rPr>
          <w:b/>
          <w:bCs/>
          <w:color w:val="auto"/>
        </w:rPr>
        <w:t>0</w:t>
      </w:r>
      <w:r w:rsidR="0032674C" w:rsidRPr="00AA473B">
        <w:rPr>
          <w:b/>
          <w:bCs/>
          <w:color w:val="auto"/>
        </w:rPr>
        <w:t>8986</w:t>
      </w:r>
      <w:r w:rsidR="000D392E" w:rsidRPr="00AA473B">
        <w:rPr>
          <w:b/>
          <w:bCs/>
          <w:color w:val="auto"/>
        </w:rPr>
        <w:t>/INFOEM/IP/RR/2025</w:t>
      </w:r>
      <w:r w:rsidRPr="00AA473B">
        <w:rPr>
          <w:bCs/>
          <w:color w:val="auto"/>
        </w:rPr>
        <w:t xml:space="preserve">, al medio de impugnación que nos ocupa, con base en el sistema aprobado por el Pleno de este </w:t>
      </w:r>
      <w:r w:rsidR="00B65BCA" w:rsidRPr="00AA473B">
        <w:rPr>
          <w:bCs/>
          <w:color w:val="auto"/>
        </w:rPr>
        <w:t>Organismo</w:t>
      </w:r>
      <w:r w:rsidRPr="00AA473B">
        <w:rPr>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AA473B" w:rsidRDefault="005914EE" w:rsidP="007808E0">
      <w:pPr>
        <w:spacing w:after="0" w:line="360" w:lineRule="auto"/>
        <w:rPr>
          <w:b/>
          <w:bCs/>
          <w:color w:val="FF0000"/>
        </w:rPr>
      </w:pPr>
    </w:p>
    <w:p w14:paraId="61891480" w14:textId="23D0CCED" w:rsidR="00E22EA8" w:rsidRPr="00AA473B" w:rsidRDefault="00E22EA8" w:rsidP="007808E0">
      <w:pPr>
        <w:spacing w:after="0" w:line="360" w:lineRule="auto"/>
        <w:rPr>
          <w:color w:val="auto"/>
        </w:rPr>
      </w:pPr>
      <w:r w:rsidRPr="00AA473B">
        <w:rPr>
          <w:b/>
          <w:bCs/>
          <w:color w:val="auto"/>
        </w:rPr>
        <w:t>b) Admisión del Recurso de Revisión</w:t>
      </w:r>
      <w:r w:rsidRPr="00AA473B">
        <w:rPr>
          <w:b/>
          <w:bCs/>
          <w:color w:val="auto"/>
          <w:lang w:val="es-ES_tradnl"/>
        </w:rPr>
        <w:t xml:space="preserve">. </w:t>
      </w:r>
      <w:r w:rsidR="003C5F59" w:rsidRPr="00AA473B">
        <w:rPr>
          <w:color w:val="auto"/>
        </w:rPr>
        <w:t xml:space="preserve">El </w:t>
      </w:r>
      <w:r w:rsidR="0032674C" w:rsidRPr="00AA473B">
        <w:rPr>
          <w:color w:val="auto"/>
        </w:rPr>
        <w:t xml:space="preserve">siete de agosto </w:t>
      </w:r>
      <w:r w:rsidR="00E64E18" w:rsidRPr="00AA473B">
        <w:rPr>
          <w:color w:val="auto"/>
        </w:rPr>
        <w:t>de dos mil veinticinco</w:t>
      </w:r>
      <w:r w:rsidRPr="00AA473B">
        <w:rPr>
          <w:bCs/>
          <w:color w:val="auto"/>
          <w:lang w:val="es-ES_tradnl"/>
        </w:rPr>
        <w:t xml:space="preserve">, se acordó la admisión del Recurso de Revisión interpuesto por </w:t>
      </w:r>
      <w:r w:rsidR="00261B92" w:rsidRPr="00AA473B">
        <w:rPr>
          <w:bCs/>
          <w:color w:val="auto"/>
          <w:lang w:val="es-ES_tradnl"/>
        </w:rPr>
        <w:t>la persona</w:t>
      </w:r>
      <w:r w:rsidRPr="00AA473B">
        <w:rPr>
          <w:bCs/>
          <w:color w:val="auto"/>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AA473B">
        <w:rPr>
          <w:bCs/>
          <w:color w:val="auto"/>
          <w:lang w:val="es-ES_tradnl"/>
        </w:rPr>
        <w:t>el</w:t>
      </w:r>
      <w:r w:rsidR="00BF381B" w:rsidRPr="00AA473B">
        <w:rPr>
          <w:bCs/>
          <w:color w:val="auto"/>
          <w:lang w:val="es-ES_tradnl"/>
        </w:rPr>
        <w:t xml:space="preserve"> mismo día</w:t>
      </w:r>
      <w:r w:rsidRPr="00AA473B">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AA473B" w:rsidRDefault="00E22EA8" w:rsidP="007808E0">
      <w:pPr>
        <w:spacing w:after="0" w:line="360" w:lineRule="auto"/>
        <w:rPr>
          <w:rFonts w:cs="Tahoma"/>
          <w:color w:val="FF0000"/>
          <w:lang w:val="es-ES_tradnl"/>
        </w:rPr>
      </w:pPr>
    </w:p>
    <w:p w14:paraId="416C1B87" w14:textId="2B2E15A8" w:rsidR="00A7749F" w:rsidRPr="00AA473B" w:rsidRDefault="000410E6" w:rsidP="00463218">
      <w:pPr>
        <w:spacing w:after="0" w:line="360" w:lineRule="auto"/>
        <w:rPr>
          <w:color w:val="auto"/>
        </w:rPr>
      </w:pPr>
      <w:r w:rsidRPr="00AA473B">
        <w:rPr>
          <w:b/>
          <w:color w:val="auto"/>
        </w:rPr>
        <w:lastRenderedPageBreak/>
        <w:t>c) Informe Justificado</w:t>
      </w:r>
      <w:r w:rsidR="00463218" w:rsidRPr="00AA473B">
        <w:rPr>
          <w:b/>
          <w:color w:val="auto"/>
        </w:rPr>
        <w:t xml:space="preserve">. </w:t>
      </w:r>
      <w:r w:rsidR="00463218" w:rsidRPr="00AA473B">
        <w:rPr>
          <w:color w:val="auto"/>
        </w:rPr>
        <w:t>E</w:t>
      </w:r>
      <w:r w:rsidR="0032674C" w:rsidRPr="00AA473B">
        <w:rPr>
          <w:color w:val="auto"/>
        </w:rPr>
        <w:t xml:space="preserve">n fechas dieciocho y veintiuno de agosto de dos mil veinticinco, </w:t>
      </w:r>
      <w:r w:rsidR="00463218" w:rsidRPr="00AA473B">
        <w:rPr>
          <w:color w:val="auto"/>
        </w:rPr>
        <w:t>se recibió, a través del Sistema de Acceso a la Información Mexiquense (SAIMEX), el Informe Justificado d</w:t>
      </w:r>
      <w:r w:rsidR="00A7749F" w:rsidRPr="00AA473B">
        <w:rPr>
          <w:color w:val="auto"/>
        </w:rPr>
        <w:t>el Sujeto Obligado, a través de los documentos siguientes:</w:t>
      </w:r>
    </w:p>
    <w:p w14:paraId="78CB3EF5" w14:textId="77777777" w:rsidR="00A7749F" w:rsidRPr="00AA473B" w:rsidRDefault="00A7749F" w:rsidP="00463218">
      <w:pPr>
        <w:spacing w:after="0" w:line="360" w:lineRule="auto"/>
        <w:rPr>
          <w:color w:val="FF0000"/>
        </w:rPr>
      </w:pPr>
    </w:p>
    <w:p w14:paraId="301F9AE6" w14:textId="02B50994" w:rsidR="0032674C" w:rsidRPr="00AA473B" w:rsidRDefault="00A7749F" w:rsidP="00463218">
      <w:pPr>
        <w:spacing w:after="0" w:line="360" w:lineRule="auto"/>
        <w:rPr>
          <w:color w:val="auto"/>
        </w:rPr>
      </w:pPr>
      <w:r w:rsidRPr="00AA473B">
        <w:rPr>
          <w:color w:val="auto"/>
        </w:rPr>
        <w:t xml:space="preserve">i. </w:t>
      </w:r>
      <w:r w:rsidR="0032674C" w:rsidRPr="00AA473B">
        <w:rPr>
          <w:color w:val="auto"/>
        </w:rPr>
        <w:t>Escrito del dieciocho de agosto de dos mil veinticinco, suscrito por el Titular de la Unidad de Transparencia, dirigido al Comisionado Ponente por medio del cual se ratifican las respuestas emitidas.</w:t>
      </w:r>
    </w:p>
    <w:p w14:paraId="21FF7510" w14:textId="77777777" w:rsidR="0032674C" w:rsidRPr="00AA473B" w:rsidRDefault="0032674C" w:rsidP="00463218">
      <w:pPr>
        <w:spacing w:after="0" w:line="360" w:lineRule="auto"/>
        <w:rPr>
          <w:color w:val="auto"/>
        </w:rPr>
      </w:pPr>
    </w:p>
    <w:p w14:paraId="46C471F2" w14:textId="50575B6F" w:rsidR="0032674C" w:rsidRPr="00AA473B" w:rsidRDefault="0032674C" w:rsidP="00463218">
      <w:pPr>
        <w:spacing w:after="0" w:line="360" w:lineRule="auto"/>
      </w:pPr>
      <w:r w:rsidRPr="00AA473B">
        <w:rPr>
          <w:color w:val="auto"/>
        </w:rPr>
        <w:t xml:space="preserve">ii. </w:t>
      </w:r>
      <w:r w:rsidR="00C6740C" w:rsidRPr="00AA473B">
        <w:rPr>
          <w:color w:val="auto"/>
        </w:rPr>
        <w:t xml:space="preserve">Oficio </w:t>
      </w:r>
      <w:r w:rsidR="00C6740C" w:rsidRPr="00AA473B">
        <w:t>EC/DGOP/01456/2025 del doce de agosto de dos mil veinticinco suscrito por el Director General de Obras Públicas, dirigido al Titular de la Unidad de Transparencia, por medio del cual ratifico su respuesta.</w:t>
      </w:r>
    </w:p>
    <w:p w14:paraId="1D48AAC1" w14:textId="77777777" w:rsidR="00B504E3" w:rsidRPr="00AA473B" w:rsidRDefault="00B504E3" w:rsidP="00463218">
      <w:pPr>
        <w:spacing w:after="0" w:line="360" w:lineRule="auto"/>
      </w:pPr>
    </w:p>
    <w:p w14:paraId="2539F82E" w14:textId="4527DC05" w:rsidR="00B504E3" w:rsidRPr="00AA473B" w:rsidRDefault="00B504E3" w:rsidP="00463218">
      <w:pPr>
        <w:spacing w:after="0" w:line="360" w:lineRule="auto"/>
      </w:pPr>
      <w:r w:rsidRPr="00AA473B">
        <w:t xml:space="preserve">iii. Oficio </w:t>
      </w:r>
      <w:r w:rsidR="00F8238D" w:rsidRPr="00AA473B">
        <w:t>número 206010000</w:t>
      </w:r>
      <w:r w:rsidRPr="00AA473B">
        <w:t xml:space="preserve">/4654/2025 del doce de agosto de dos mil veinticinco, </w:t>
      </w:r>
      <w:r w:rsidR="00013A17" w:rsidRPr="00AA473B">
        <w:t>suscrito por la Directora General de Administración, dirigido al Titular de la Unidad de Transparencia, por medio del cual se ratifica la respuesta.</w:t>
      </w:r>
    </w:p>
    <w:p w14:paraId="717FAB35" w14:textId="77777777" w:rsidR="00D55A56" w:rsidRPr="00AA473B" w:rsidRDefault="00D55A56" w:rsidP="00463218">
      <w:pPr>
        <w:spacing w:after="0" w:line="360" w:lineRule="auto"/>
        <w:rPr>
          <w:color w:val="FF0000"/>
        </w:rPr>
      </w:pPr>
    </w:p>
    <w:p w14:paraId="5C110289" w14:textId="4ADD50B7" w:rsidR="005673D1" w:rsidRPr="00AA473B" w:rsidRDefault="00463218" w:rsidP="00463218">
      <w:pPr>
        <w:spacing w:after="0" w:line="360" w:lineRule="auto"/>
        <w:rPr>
          <w:rFonts w:cs="Tahoma"/>
          <w:bCs/>
          <w:i/>
          <w:color w:val="auto"/>
          <w:lang w:val="es-ES"/>
        </w:rPr>
      </w:pPr>
      <w:r w:rsidRPr="00AA473B">
        <w:rPr>
          <w:b/>
          <w:color w:val="auto"/>
        </w:rPr>
        <w:t>d) Vista del Informe Justificado.</w:t>
      </w:r>
      <w:r w:rsidR="00D55A56" w:rsidRPr="00AA473B">
        <w:rPr>
          <w:color w:val="auto"/>
        </w:rPr>
        <w:t xml:space="preserve"> El </w:t>
      </w:r>
      <w:r w:rsidR="00C5665E" w:rsidRPr="00AA473B">
        <w:rPr>
          <w:color w:val="auto"/>
        </w:rPr>
        <w:t xml:space="preserve">dos de septiembre </w:t>
      </w:r>
      <w:r w:rsidRPr="00AA473B">
        <w:rPr>
          <w:color w:val="auto"/>
        </w:rPr>
        <w:t>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w:t>
      </w:r>
      <w:r w:rsidR="00C5665E" w:rsidRPr="00AA473B">
        <w:rPr>
          <w:color w:val="auto"/>
        </w:rPr>
        <w:t>, el mismo día</w:t>
      </w:r>
      <w:r w:rsidRPr="00AA473B">
        <w:rPr>
          <w:color w:val="auto"/>
        </w:rPr>
        <w:t xml:space="preserve">. </w:t>
      </w:r>
      <w:r w:rsidRPr="00AA473B">
        <w:rPr>
          <w:b/>
          <w:bCs/>
          <w:color w:val="auto"/>
        </w:rPr>
        <w:t>Cabe señalar que el Particular fue omiso en realizar manifestación alguna.</w:t>
      </w:r>
    </w:p>
    <w:p w14:paraId="3C0E5EC8" w14:textId="77777777" w:rsidR="00B37A6D" w:rsidRPr="00AA473B" w:rsidRDefault="00B37A6D" w:rsidP="007808E0">
      <w:pPr>
        <w:spacing w:after="0" w:line="360" w:lineRule="auto"/>
        <w:rPr>
          <w:b/>
          <w:color w:val="FF0000"/>
        </w:rPr>
      </w:pPr>
      <w:bookmarkStart w:id="7" w:name="_Hlk182976945"/>
    </w:p>
    <w:p w14:paraId="1220E37C" w14:textId="78509AEE" w:rsidR="003C5FE0" w:rsidRPr="00AA473B" w:rsidRDefault="00C5665E" w:rsidP="007808E0">
      <w:pPr>
        <w:spacing w:after="0" w:line="360" w:lineRule="auto"/>
        <w:contextualSpacing/>
        <w:rPr>
          <w:color w:val="auto"/>
        </w:rPr>
      </w:pPr>
      <w:r w:rsidRPr="00AA473B">
        <w:rPr>
          <w:rFonts w:eastAsia="Batang" w:cs="Tahoma"/>
          <w:b/>
          <w:color w:val="auto"/>
        </w:rPr>
        <w:t>e</w:t>
      </w:r>
      <w:r w:rsidR="003C5FE0" w:rsidRPr="00AA473B">
        <w:rPr>
          <w:rFonts w:eastAsia="Batang" w:cs="Tahoma"/>
          <w:b/>
          <w:color w:val="auto"/>
        </w:rPr>
        <w:t xml:space="preserve">) </w:t>
      </w:r>
      <w:r w:rsidR="00002B20" w:rsidRPr="00AA473B">
        <w:rPr>
          <w:rFonts w:eastAsia="Times New Roman" w:cs="Tahoma"/>
          <w:b/>
          <w:color w:val="auto"/>
          <w:szCs w:val="24"/>
          <w:lang w:eastAsia="es-ES"/>
        </w:rPr>
        <w:t>Cierre de instrucción.</w:t>
      </w:r>
      <w:r w:rsidR="00C06C06" w:rsidRPr="00AA473B">
        <w:rPr>
          <w:rFonts w:eastAsia="Times New Roman" w:cs="Tahoma"/>
          <w:color w:val="auto"/>
          <w:szCs w:val="24"/>
          <w:lang w:eastAsia="es-ES"/>
        </w:rPr>
        <w:t xml:space="preserve"> El </w:t>
      </w:r>
      <w:r w:rsidRPr="00AA473B">
        <w:rPr>
          <w:rFonts w:eastAsia="Times New Roman" w:cs="Tahoma"/>
          <w:color w:val="auto"/>
          <w:szCs w:val="24"/>
          <w:lang w:eastAsia="es-ES"/>
        </w:rPr>
        <w:t xml:space="preserve">nueve de septiembre </w:t>
      </w:r>
      <w:r w:rsidR="00002B20" w:rsidRPr="00AA473B">
        <w:rPr>
          <w:rFonts w:eastAsia="Times New Roman" w:cs="Tahoma"/>
          <w:color w:val="auto"/>
          <w:szCs w:val="24"/>
          <w:lang w:eastAsia="es-ES"/>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sidR="00002B20" w:rsidRPr="00AA473B">
        <w:rPr>
          <w:rFonts w:eastAsia="Times New Roman" w:cs="Tahoma"/>
          <w:color w:val="auto"/>
          <w:szCs w:val="24"/>
          <w:lang w:eastAsia="es-ES"/>
        </w:rPr>
        <w:lastRenderedPageBreak/>
        <w:t xml:space="preserve">Información Pública del Estado de México y Municipios, </w:t>
      </w:r>
      <w:r w:rsidR="00002B20" w:rsidRPr="00AA473B">
        <w:rPr>
          <w:color w:val="auto"/>
          <w:lang w:val="es-ES"/>
        </w:rPr>
        <w:t>acto que fue notificado a las partes, mediante el Sistema de Acceso a la Información Mexiquense (SAIMEX), el mismo día.</w:t>
      </w:r>
    </w:p>
    <w:bookmarkEnd w:id="7"/>
    <w:p w14:paraId="08D98E1D" w14:textId="77777777" w:rsidR="000410E6" w:rsidRPr="00AA473B" w:rsidRDefault="000410E6" w:rsidP="007808E0">
      <w:pPr>
        <w:spacing w:after="0" w:line="360" w:lineRule="auto"/>
        <w:rPr>
          <w:b/>
          <w:bCs/>
          <w:color w:val="FF0000"/>
          <w:lang w:val="es-ES"/>
        </w:rPr>
      </w:pPr>
    </w:p>
    <w:p w14:paraId="1D2DAFCD" w14:textId="77777777" w:rsidR="000410E6" w:rsidRPr="00AA473B" w:rsidRDefault="000410E6" w:rsidP="007808E0">
      <w:pPr>
        <w:spacing w:after="0" w:line="360" w:lineRule="auto"/>
        <w:rPr>
          <w:color w:val="auto"/>
        </w:rPr>
      </w:pPr>
      <w:r w:rsidRPr="00AA473B">
        <w:rPr>
          <w:color w:val="auto"/>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AA473B" w:rsidRDefault="00674DAF" w:rsidP="007808E0">
      <w:pPr>
        <w:spacing w:after="0" w:line="360" w:lineRule="auto"/>
        <w:rPr>
          <w:color w:val="auto"/>
        </w:rPr>
      </w:pPr>
    </w:p>
    <w:p w14:paraId="250F6589" w14:textId="3F880C72" w:rsidR="005C690F" w:rsidRPr="00AA473B" w:rsidRDefault="00CD6238" w:rsidP="007808E0">
      <w:pPr>
        <w:pStyle w:val="Ttulo1"/>
        <w:spacing w:before="0" w:after="0" w:line="360" w:lineRule="auto"/>
        <w:jc w:val="center"/>
        <w:rPr>
          <w:color w:val="auto"/>
          <w:sz w:val="22"/>
          <w:szCs w:val="22"/>
        </w:rPr>
      </w:pPr>
      <w:bookmarkStart w:id="8" w:name="_Toc207813308"/>
      <w:r w:rsidRPr="00AA473B">
        <w:rPr>
          <w:color w:val="auto"/>
          <w:sz w:val="22"/>
          <w:szCs w:val="22"/>
        </w:rPr>
        <w:t>C O N S I D E R A N D O S</w:t>
      </w:r>
      <w:bookmarkEnd w:id="8"/>
    </w:p>
    <w:p w14:paraId="5AB6ED71" w14:textId="77777777" w:rsidR="005C690F" w:rsidRPr="00AA473B" w:rsidRDefault="005C690F" w:rsidP="007808E0">
      <w:pPr>
        <w:spacing w:after="0" w:line="360" w:lineRule="auto"/>
        <w:jc w:val="center"/>
        <w:rPr>
          <w:b/>
          <w:color w:val="auto"/>
        </w:rPr>
      </w:pPr>
    </w:p>
    <w:p w14:paraId="36BFFC7E" w14:textId="2F0F17EA" w:rsidR="005C690F" w:rsidRPr="00AA473B" w:rsidRDefault="007D6307" w:rsidP="007808E0">
      <w:pPr>
        <w:pStyle w:val="Ttulo2"/>
        <w:spacing w:before="0" w:after="0" w:line="360" w:lineRule="auto"/>
        <w:rPr>
          <w:color w:val="auto"/>
          <w:sz w:val="22"/>
          <w:szCs w:val="22"/>
        </w:rPr>
      </w:pPr>
      <w:bookmarkStart w:id="9" w:name="_Toc207813309"/>
      <w:r w:rsidRPr="00AA473B">
        <w:rPr>
          <w:color w:val="auto"/>
          <w:sz w:val="22"/>
          <w:szCs w:val="22"/>
        </w:rPr>
        <w:t xml:space="preserve">PRIMERO. </w:t>
      </w:r>
      <w:r w:rsidR="00CD6238" w:rsidRPr="00AA473B">
        <w:rPr>
          <w:color w:val="auto"/>
          <w:sz w:val="22"/>
          <w:szCs w:val="22"/>
        </w:rPr>
        <w:t>Competencia</w:t>
      </w:r>
      <w:bookmarkEnd w:id="9"/>
    </w:p>
    <w:p w14:paraId="34E42005" w14:textId="77777777" w:rsidR="0084143D" w:rsidRPr="00AA473B" w:rsidRDefault="0084143D" w:rsidP="007808E0">
      <w:pPr>
        <w:spacing w:after="0" w:line="360" w:lineRule="auto"/>
        <w:contextualSpacing/>
        <w:rPr>
          <w:rFonts w:eastAsia="Times New Roman" w:cs="Tahoma"/>
          <w:bCs/>
          <w:color w:val="auto"/>
          <w:lang w:eastAsia="es-ES"/>
        </w:rPr>
      </w:pPr>
      <w:bookmarkStart w:id="10" w:name="_heading=h.30j0zll" w:colFirst="0" w:colLast="0"/>
      <w:bookmarkEnd w:id="10"/>
    </w:p>
    <w:p w14:paraId="6DB5C24B" w14:textId="6D588BB8" w:rsidR="00A576F9" w:rsidRPr="00AA473B" w:rsidRDefault="00A576F9" w:rsidP="007808E0">
      <w:pPr>
        <w:spacing w:after="0" w:line="360" w:lineRule="auto"/>
        <w:contextualSpacing/>
        <w:rPr>
          <w:rFonts w:eastAsia="Times New Roman" w:cs="Tahoma"/>
          <w:bCs/>
          <w:color w:val="auto"/>
          <w:lang w:eastAsia="es-ES"/>
        </w:rPr>
      </w:pPr>
      <w:r w:rsidRPr="00AA473B">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w:t>
      </w:r>
      <w:r w:rsidR="00384E34" w:rsidRPr="00AA473B">
        <w:rPr>
          <w:rFonts w:eastAsia="Times New Roman" w:cs="Tahoma"/>
          <w:bCs/>
          <w:color w:val="auto"/>
          <w:lang w:eastAsia="es-ES"/>
        </w:rPr>
        <w:t>noveno</w:t>
      </w:r>
      <w:r w:rsidRPr="00AA473B">
        <w:rPr>
          <w:rFonts w:eastAsia="Times New Roman" w:cs="Tahoma"/>
          <w:bCs/>
          <w:color w:val="auto"/>
          <w:lang w:eastAsia="es-ES"/>
        </w:rPr>
        <w:t xml:space="preserve">, </w:t>
      </w:r>
      <w:r w:rsidR="00384E34" w:rsidRPr="00AA473B">
        <w:rPr>
          <w:rFonts w:eastAsia="Times New Roman" w:cs="Tahoma"/>
          <w:bCs/>
          <w:color w:val="auto"/>
          <w:lang w:eastAsia="es-ES"/>
        </w:rPr>
        <w:t>cuadragésimo</w:t>
      </w:r>
      <w:r w:rsidRPr="00AA473B">
        <w:rPr>
          <w:rFonts w:eastAsia="Times New Roman" w:cs="Tahoma"/>
          <w:bCs/>
          <w:color w:val="auto"/>
          <w:lang w:eastAsia="es-ES"/>
        </w:rPr>
        <w:t xml:space="preserve"> y </w:t>
      </w:r>
      <w:r w:rsidR="00384E34" w:rsidRPr="00AA473B">
        <w:rPr>
          <w:rFonts w:eastAsia="Times New Roman" w:cs="Tahoma"/>
          <w:bCs/>
          <w:color w:val="auto"/>
          <w:lang w:eastAsia="es-ES"/>
        </w:rPr>
        <w:t>cuadragésimo primero</w:t>
      </w:r>
      <w:r w:rsidRPr="00AA473B">
        <w:rPr>
          <w:rFonts w:eastAsia="Times New Roman" w:cs="Tahoma"/>
          <w:bCs/>
          <w:color w:val="auto"/>
          <w:lang w:eastAsia="es-ES"/>
        </w:rPr>
        <w:t>, fracciones I, II, III, IV y V de la Constitución Política del Estado Libre y Soberano de México;</w:t>
      </w:r>
      <w:r w:rsidR="00384E34" w:rsidRPr="00AA473B">
        <w:rPr>
          <w:rFonts w:eastAsia="Times New Roman" w:cs="Tahoma"/>
          <w:bCs/>
          <w:color w:val="auto"/>
          <w:lang w:eastAsia="es-ES"/>
        </w:rPr>
        <w:t xml:space="preserve"> </w:t>
      </w:r>
      <w:r w:rsidRPr="00AA473B">
        <w:rPr>
          <w:rFonts w:eastAsia="Times New Roman" w:cs="Tahoma"/>
          <w:bCs/>
          <w:color w:val="auto"/>
          <w:lang w:eastAsia="es-ES"/>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AA473B" w:rsidRDefault="005C690F" w:rsidP="007808E0">
      <w:pPr>
        <w:spacing w:after="0" w:line="360" w:lineRule="auto"/>
        <w:rPr>
          <w:b/>
          <w:color w:val="auto"/>
        </w:rPr>
      </w:pPr>
    </w:p>
    <w:p w14:paraId="46691DD5" w14:textId="4C1C70AD" w:rsidR="005C690F" w:rsidRPr="00AA473B" w:rsidRDefault="007D6307" w:rsidP="007808E0">
      <w:pPr>
        <w:pStyle w:val="Ttulo2"/>
        <w:spacing w:before="0" w:after="0" w:line="360" w:lineRule="auto"/>
        <w:rPr>
          <w:color w:val="auto"/>
          <w:sz w:val="22"/>
          <w:szCs w:val="22"/>
        </w:rPr>
      </w:pPr>
      <w:bookmarkStart w:id="11" w:name="_Toc207813310"/>
      <w:r w:rsidRPr="00AA473B">
        <w:rPr>
          <w:color w:val="auto"/>
          <w:sz w:val="22"/>
          <w:szCs w:val="22"/>
        </w:rPr>
        <w:t>SEGUNDO. Causales de</w:t>
      </w:r>
      <w:r w:rsidR="00CD6238" w:rsidRPr="00AA473B">
        <w:rPr>
          <w:color w:val="auto"/>
          <w:sz w:val="22"/>
          <w:szCs w:val="22"/>
        </w:rPr>
        <w:t xml:space="preserve"> improcedencia y sobreseimiento</w:t>
      </w:r>
      <w:bookmarkEnd w:id="11"/>
    </w:p>
    <w:p w14:paraId="49AA4CDE" w14:textId="77777777" w:rsidR="005C690F" w:rsidRPr="00AA473B" w:rsidRDefault="005C690F" w:rsidP="007808E0">
      <w:pPr>
        <w:spacing w:after="0" w:line="360" w:lineRule="auto"/>
        <w:rPr>
          <w:color w:val="FF0000"/>
        </w:rPr>
      </w:pPr>
    </w:p>
    <w:p w14:paraId="2553CE58" w14:textId="77777777" w:rsidR="005C690F" w:rsidRPr="00AA473B" w:rsidRDefault="007D6307" w:rsidP="007808E0">
      <w:pPr>
        <w:spacing w:after="0" w:line="360" w:lineRule="auto"/>
        <w:rPr>
          <w:color w:val="auto"/>
        </w:rPr>
      </w:pPr>
      <w:r w:rsidRPr="00AA473B">
        <w:rPr>
          <w:color w:val="auto"/>
        </w:rPr>
        <w:lastRenderedPageBreak/>
        <w:t xml:space="preserve">De las constancias que forma parte del Recurso de Revisión que se analiza, se advierte que previo al estudio del fondo de la </w:t>
      </w:r>
      <w:r w:rsidRPr="00AA473B">
        <w:rPr>
          <w:i/>
          <w:color w:val="auto"/>
        </w:rPr>
        <w:t>litis</w:t>
      </w:r>
      <w:r w:rsidRPr="00AA473B">
        <w:rPr>
          <w:color w:val="auto"/>
        </w:rPr>
        <w:t>, es necesario estudiar las causales de improcedencia y sobreseimiento que se adviertan, para determinar lo que en Derecho proceda.</w:t>
      </w:r>
    </w:p>
    <w:p w14:paraId="35A30074" w14:textId="77777777" w:rsidR="009B2DAB" w:rsidRPr="00AA473B" w:rsidRDefault="009B2DAB" w:rsidP="007808E0">
      <w:pPr>
        <w:spacing w:after="0" w:line="360" w:lineRule="auto"/>
        <w:rPr>
          <w:color w:val="auto"/>
        </w:rPr>
      </w:pPr>
    </w:p>
    <w:p w14:paraId="3066DF0C" w14:textId="77777777" w:rsidR="005C690F" w:rsidRPr="00AA473B" w:rsidRDefault="007D6307" w:rsidP="007808E0">
      <w:pPr>
        <w:spacing w:after="0" w:line="360" w:lineRule="auto"/>
        <w:rPr>
          <w:b/>
          <w:color w:val="auto"/>
        </w:rPr>
      </w:pPr>
      <w:r w:rsidRPr="00AA473B">
        <w:rPr>
          <w:b/>
          <w:color w:val="auto"/>
        </w:rPr>
        <w:t>Causales de improcedencia</w:t>
      </w:r>
    </w:p>
    <w:p w14:paraId="706394D4" w14:textId="77777777" w:rsidR="00304DE6" w:rsidRPr="00AA473B" w:rsidRDefault="00304DE6" w:rsidP="007808E0">
      <w:pPr>
        <w:spacing w:after="0" w:line="360" w:lineRule="auto"/>
        <w:rPr>
          <w:b/>
          <w:color w:val="auto"/>
        </w:rPr>
      </w:pPr>
    </w:p>
    <w:p w14:paraId="6C56CA88" w14:textId="77777777" w:rsidR="005C690F" w:rsidRPr="00AA473B" w:rsidRDefault="007D6307" w:rsidP="007808E0">
      <w:pPr>
        <w:spacing w:after="0" w:line="360" w:lineRule="auto"/>
        <w:rPr>
          <w:color w:val="auto"/>
        </w:rPr>
      </w:pPr>
      <w:r w:rsidRPr="00AA473B">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AA473B" w:rsidRDefault="005C690F" w:rsidP="007808E0">
      <w:pPr>
        <w:spacing w:after="0" w:line="360" w:lineRule="auto"/>
        <w:rPr>
          <w:color w:val="auto"/>
        </w:rPr>
      </w:pPr>
    </w:p>
    <w:p w14:paraId="22563DDB" w14:textId="33D3D011" w:rsidR="008D3B3F" w:rsidRPr="00AA473B" w:rsidRDefault="007D6307" w:rsidP="007808E0">
      <w:pPr>
        <w:spacing w:after="0" w:line="360" w:lineRule="auto"/>
        <w:rPr>
          <w:color w:val="auto"/>
        </w:rPr>
      </w:pPr>
      <w:r w:rsidRPr="00AA473B">
        <w:rPr>
          <w:color w:val="auto"/>
        </w:rPr>
        <w:t>En el presente caso, </w:t>
      </w:r>
      <w:r w:rsidRPr="00AA473B">
        <w:rPr>
          <w:b/>
          <w:color w:val="auto"/>
        </w:rPr>
        <w:t>no se actualiza ninguna de las causales de improcedencia</w:t>
      </w:r>
      <w:r w:rsidRPr="00AA473B">
        <w:rPr>
          <w:color w:val="auto"/>
        </w:rPr>
        <w:t> establecidas en el ordenamiento jurídico previamente señalado, toda vez que: este Instituto no tiene conocimiento de que se encuentre en trámite algún medio de defensa presentado por la</w:t>
      </w:r>
      <w:r w:rsidR="00261B92" w:rsidRPr="00AA473B">
        <w:rPr>
          <w:color w:val="auto"/>
        </w:rPr>
        <w:t xml:space="preserve"> persona</w:t>
      </w:r>
      <w:r w:rsidRPr="00AA473B">
        <w:rPr>
          <w:color w:val="auto"/>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AA473B" w:rsidRDefault="00874D8A" w:rsidP="007808E0">
      <w:pPr>
        <w:spacing w:after="0" w:line="360" w:lineRule="auto"/>
        <w:rPr>
          <w:color w:val="auto"/>
        </w:rPr>
      </w:pPr>
    </w:p>
    <w:p w14:paraId="1593A12B" w14:textId="5E42E75B" w:rsidR="00304DE6" w:rsidRPr="00AA473B" w:rsidRDefault="007D6307" w:rsidP="007808E0">
      <w:pPr>
        <w:spacing w:after="0" w:line="360" w:lineRule="auto"/>
        <w:rPr>
          <w:color w:val="auto"/>
        </w:rPr>
      </w:pPr>
      <w:r w:rsidRPr="00AA473B">
        <w:rPr>
          <w:color w:val="auto"/>
        </w:rPr>
        <w:t>Por lo cual, se actualiza la causal de procedencia del Recurso de Revisión señal</w:t>
      </w:r>
      <w:r w:rsidR="00261DF6" w:rsidRPr="00AA473B">
        <w:rPr>
          <w:color w:val="auto"/>
        </w:rPr>
        <w:t>ada en el artículo 179, fracci</w:t>
      </w:r>
      <w:r w:rsidR="00D55A56" w:rsidRPr="00AA473B">
        <w:rPr>
          <w:color w:val="auto"/>
        </w:rPr>
        <w:t xml:space="preserve">ón </w:t>
      </w:r>
      <w:r w:rsidR="00E619C3" w:rsidRPr="00AA473B">
        <w:rPr>
          <w:color w:val="auto"/>
        </w:rPr>
        <w:t>II</w:t>
      </w:r>
      <w:r w:rsidR="00D55A56" w:rsidRPr="00AA473B">
        <w:rPr>
          <w:color w:val="auto"/>
        </w:rPr>
        <w:t>I</w:t>
      </w:r>
      <w:r w:rsidRPr="00AA473B">
        <w:rPr>
          <w:color w:val="auto"/>
        </w:rPr>
        <w:t>, de la Ley en cita, pues la p</w:t>
      </w:r>
      <w:r w:rsidR="00261B92" w:rsidRPr="00AA473B">
        <w:rPr>
          <w:color w:val="auto"/>
        </w:rPr>
        <w:t>ersona</w:t>
      </w:r>
      <w:r w:rsidRPr="00AA473B">
        <w:rPr>
          <w:color w:val="auto"/>
        </w:rPr>
        <w:t xml:space="preserve"> Recurrente se inconformó </w:t>
      </w:r>
      <w:r w:rsidR="00304DE6" w:rsidRPr="00AA473B">
        <w:rPr>
          <w:color w:val="auto"/>
        </w:rPr>
        <w:t xml:space="preserve">de la </w:t>
      </w:r>
      <w:r w:rsidR="00E619C3" w:rsidRPr="00AA473B">
        <w:rPr>
          <w:color w:val="auto"/>
        </w:rPr>
        <w:t>declaración de la inexistencia de la información.</w:t>
      </w:r>
    </w:p>
    <w:p w14:paraId="7B59B025" w14:textId="77777777" w:rsidR="00712ED6" w:rsidRPr="00AA473B" w:rsidRDefault="00712ED6" w:rsidP="007808E0">
      <w:pPr>
        <w:spacing w:after="0" w:line="360" w:lineRule="auto"/>
        <w:rPr>
          <w:color w:val="FF0000"/>
        </w:rPr>
      </w:pPr>
    </w:p>
    <w:p w14:paraId="55FF691A" w14:textId="6D373E30" w:rsidR="005C690F" w:rsidRPr="00AA473B" w:rsidRDefault="007D6307" w:rsidP="007808E0">
      <w:pPr>
        <w:spacing w:after="0" w:line="360" w:lineRule="auto"/>
        <w:rPr>
          <w:color w:val="auto"/>
        </w:rPr>
      </w:pPr>
      <w:r w:rsidRPr="00AA473B">
        <w:rPr>
          <w:b/>
          <w:color w:val="auto"/>
        </w:rPr>
        <w:lastRenderedPageBreak/>
        <w:t>Ca</w:t>
      </w:r>
      <w:r w:rsidR="00CD6238" w:rsidRPr="00AA473B">
        <w:rPr>
          <w:b/>
          <w:color w:val="auto"/>
        </w:rPr>
        <w:t>usales de sobreseimiento</w:t>
      </w:r>
    </w:p>
    <w:p w14:paraId="426FEE7A" w14:textId="77777777" w:rsidR="005C690F" w:rsidRPr="00AA473B" w:rsidRDefault="005C690F" w:rsidP="007808E0">
      <w:pPr>
        <w:spacing w:after="0" w:line="360" w:lineRule="auto"/>
        <w:rPr>
          <w:color w:val="auto"/>
        </w:rPr>
      </w:pPr>
    </w:p>
    <w:p w14:paraId="5B1C849A" w14:textId="77777777" w:rsidR="005C690F" w:rsidRPr="00AA473B" w:rsidRDefault="007D6307" w:rsidP="007808E0">
      <w:pPr>
        <w:spacing w:after="0" w:line="360" w:lineRule="auto"/>
        <w:rPr>
          <w:color w:val="auto"/>
        </w:rPr>
      </w:pPr>
      <w:r w:rsidRPr="00AA473B">
        <w:rPr>
          <w:color w:val="auto"/>
        </w:rPr>
        <w:t>Por ser de previo y especial pronunciamiento, este Instituto analiza si se actualiza alguna causal de sobreseimiento.</w:t>
      </w:r>
    </w:p>
    <w:p w14:paraId="5CEDF034" w14:textId="77777777" w:rsidR="00A96A4E" w:rsidRPr="00AA473B" w:rsidRDefault="00A96A4E" w:rsidP="007808E0">
      <w:pPr>
        <w:spacing w:after="0" w:line="360" w:lineRule="auto"/>
        <w:rPr>
          <w:color w:val="auto"/>
        </w:rPr>
      </w:pPr>
    </w:p>
    <w:p w14:paraId="766AB72D" w14:textId="77777777" w:rsidR="00BC038B" w:rsidRPr="00AA473B" w:rsidRDefault="00BC038B" w:rsidP="00BC038B">
      <w:pPr>
        <w:spacing w:after="0" w:line="360" w:lineRule="auto"/>
        <w:rPr>
          <w:color w:val="auto"/>
        </w:rPr>
      </w:pPr>
      <w:r w:rsidRPr="00AA473B">
        <w:rPr>
          <w:color w:val="auto"/>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702338D" w14:textId="77777777" w:rsidR="00BC038B" w:rsidRPr="00AA473B" w:rsidRDefault="00BC038B" w:rsidP="00BC038B">
      <w:pPr>
        <w:spacing w:after="0" w:line="360" w:lineRule="auto"/>
        <w:rPr>
          <w:color w:val="auto"/>
        </w:rPr>
      </w:pPr>
    </w:p>
    <w:p w14:paraId="5BDF3BB4" w14:textId="2A80B251" w:rsidR="00BC038B" w:rsidRPr="00AA473B" w:rsidRDefault="00BC038B" w:rsidP="00BC038B">
      <w:pPr>
        <w:spacing w:after="0" w:line="360" w:lineRule="auto"/>
        <w:rPr>
          <w:color w:val="auto"/>
        </w:rPr>
      </w:pPr>
      <w:r w:rsidRPr="00AA473B">
        <w:rPr>
          <w:color w:val="auto"/>
        </w:rPr>
        <w:t>Por tales motivos, se considera procedente entrar al fondo del presente asunto.</w:t>
      </w:r>
    </w:p>
    <w:p w14:paraId="275D3AA1" w14:textId="77777777" w:rsidR="001A44D1" w:rsidRPr="00AA473B" w:rsidRDefault="001A44D1" w:rsidP="007808E0">
      <w:pPr>
        <w:spacing w:after="0" w:line="360" w:lineRule="auto"/>
        <w:rPr>
          <w:b/>
          <w:color w:val="auto"/>
        </w:rPr>
      </w:pPr>
    </w:p>
    <w:p w14:paraId="0A6A0BAE" w14:textId="184EF292" w:rsidR="005C690F" w:rsidRPr="00AA473B" w:rsidRDefault="007D6307" w:rsidP="007808E0">
      <w:pPr>
        <w:pStyle w:val="Ttulo2"/>
        <w:spacing w:before="0" w:after="0" w:line="360" w:lineRule="auto"/>
        <w:rPr>
          <w:color w:val="auto"/>
          <w:sz w:val="22"/>
          <w:szCs w:val="22"/>
        </w:rPr>
      </w:pPr>
      <w:bookmarkStart w:id="12" w:name="_Toc207813311"/>
      <w:r w:rsidRPr="00AA473B">
        <w:rPr>
          <w:color w:val="auto"/>
          <w:sz w:val="22"/>
          <w:szCs w:val="22"/>
        </w:rPr>
        <w:t>TERCERO. De</w:t>
      </w:r>
      <w:r w:rsidR="00CD6238" w:rsidRPr="00AA473B">
        <w:rPr>
          <w:color w:val="auto"/>
          <w:sz w:val="22"/>
          <w:szCs w:val="22"/>
        </w:rPr>
        <w:t>terminación de la Controversia</w:t>
      </w:r>
      <w:bookmarkEnd w:id="12"/>
    </w:p>
    <w:p w14:paraId="4A0739CB" w14:textId="77777777" w:rsidR="00897A05" w:rsidRPr="00AA473B" w:rsidRDefault="00897A05" w:rsidP="007808E0">
      <w:pPr>
        <w:spacing w:after="0" w:line="360" w:lineRule="auto"/>
        <w:rPr>
          <w:b/>
          <w:color w:val="FF0000"/>
        </w:rPr>
      </w:pPr>
    </w:p>
    <w:p w14:paraId="63FCAA3C" w14:textId="41330D40" w:rsidR="0052275E" w:rsidRPr="00AA473B" w:rsidRDefault="007C7BAF" w:rsidP="005C2324">
      <w:pPr>
        <w:spacing w:after="0" w:line="360" w:lineRule="auto"/>
        <w:rPr>
          <w:rFonts w:cs="Tahoma"/>
          <w:color w:val="auto"/>
        </w:rPr>
      </w:pPr>
      <w:r w:rsidRPr="00AA473B">
        <w:rPr>
          <w:rFonts w:cs="Tahoma"/>
          <w:color w:val="auto"/>
        </w:rPr>
        <w:t xml:space="preserve">Con el objetivo de ilustrar la controversia planteada, resulta conveniente precisar, que una vez realizado el estudio de las constancias que integran el expediente en el que se actúa, se desprende que el Particular </w:t>
      </w:r>
      <w:r w:rsidR="00DF59CE" w:rsidRPr="00AA473B">
        <w:rPr>
          <w:rFonts w:cs="Tahoma"/>
          <w:color w:val="auto"/>
        </w:rPr>
        <w:t>requirió</w:t>
      </w:r>
      <w:r w:rsidR="00C8729E" w:rsidRPr="00AA473B">
        <w:rPr>
          <w:rFonts w:cs="Tahoma"/>
          <w:color w:val="auto"/>
        </w:rPr>
        <w:t xml:space="preserve"> </w:t>
      </w:r>
      <w:bookmarkStart w:id="13" w:name="_Hlk207802513"/>
      <w:r w:rsidR="0052275E" w:rsidRPr="00AA473B">
        <w:rPr>
          <w:rFonts w:cs="Tahoma"/>
          <w:color w:val="auto"/>
        </w:rPr>
        <w:t xml:space="preserve">en relación con la adjudicación de luminarias para el municipio de Toluca durante el ejercicio fiscal dos mil veinticinco, </w:t>
      </w:r>
      <w:r w:rsidR="005C2324" w:rsidRPr="00AA473B">
        <w:rPr>
          <w:rFonts w:cs="Tahoma"/>
          <w:color w:val="auto"/>
        </w:rPr>
        <w:t>l</w:t>
      </w:r>
      <w:r w:rsidR="0040440B" w:rsidRPr="00AA473B">
        <w:rPr>
          <w:rFonts w:cs="Tahoma"/>
          <w:color w:val="auto"/>
        </w:rPr>
        <w:t>a información</w:t>
      </w:r>
      <w:r w:rsidR="00F12914" w:rsidRPr="00AA473B">
        <w:rPr>
          <w:rFonts w:cs="Tahoma"/>
          <w:color w:val="auto"/>
        </w:rPr>
        <w:t xml:space="preserve"> descrita en el artículo 92 fracción XXIX</w:t>
      </w:r>
      <w:r w:rsidR="00B02FD2" w:rsidRPr="00AA473B">
        <w:rPr>
          <w:rFonts w:cs="Tahoma"/>
          <w:color w:val="auto"/>
        </w:rPr>
        <w:t xml:space="preserve">, inciso a) o b) </w:t>
      </w:r>
      <w:r w:rsidR="0040440B" w:rsidRPr="00AA473B">
        <w:rPr>
          <w:rFonts w:cs="Tahoma"/>
          <w:color w:val="auto"/>
        </w:rPr>
        <w:t xml:space="preserve">de la Ley de </w:t>
      </w:r>
      <w:r w:rsidR="0040440B" w:rsidRPr="00AA473B">
        <w:rPr>
          <w:color w:val="auto"/>
        </w:rPr>
        <w:t>Transparencia y Acceso a la Información Pública del Estado de México y Municipios.</w:t>
      </w:r>
    </w:p>
    <w:bookmarkEnd w:id="13"/>
    <w:p w14:paraId="25847767" w14:textId="77777777" w:rsidR="001260CE" w:rsidRPr="00AA473B" w:rsidRDefault="001260CE" w:rsidP="007808E0">
      <w:pPr>
        <w:spacing w:after="0" w:line="360" w:lineRule="auto"/>
        <w:rPr>
          <w:rFonts w:cs="Tahoma"/>
          <w:color w:val="FF0000"/>
        </w:rPr>
      </w:pPr>
    </w:p>
    <w:p w14:paraId="1E2AC7DE" w14:textId="6C75D30B" w:rsidR="0040440B" w:rsidRPr="00AA473B" w:rsidRDefault="007C7BAF" w:rsidP="007808E0">
      <w:pPr>
        <w:spacing w:after="0" w:line="360" w:lineRule="auto"/>
        <w:rPr>
          <w:color w:val="auto"/>
        </w:rPr>
      </w:pPr>
      <w:r w:rsidRPr="00AA473B">
        <w:rPr>
          <w:color w:val="auto"/>
        </w:rPr>
        <w:lastRenderedPageBreak/>
        <w:t>En respuesta, el Sujeto Obligado,</w:t>
      </w:r>
      <w:r w:rsidR="00644832" w:rsidRPr="00AA473B">
        <w:rPr>
          <w:color w:val="auto"/>
        </w:rPr>
        <w:t xml:space="preserve"> </w:t>
      </w:r>
      <w:r w:rsidR="00C672CD" w:rsidRPr="00AA473B">
        <w:rPr>
          <w:color w:val="auto"/>
        </w:rPr>
        <w:t>a través de</w:t>
      </w:r>
      <w:r w:rsidR="00A26E75" w:rsidRPr="00AA473B">
        <w:rPr>
          <w:color w:val="auto"/>
        </w:rPr>
        <w:t xml:space="preserve"> la</w:t>
      </w:r>
      <w:r w:rsidR="00413093" w:rsidRPr="00AA473B">
        <w:rPr>
          <w:color w:val="auto"/>
        </w:rPr>
        <w:t xml:space="preserve"> </w:t>
      </w:r>
      <w:r w:rsidR="0040440B" w:rsidRPr="00AA473B">
        <w:rPr>
          <w:color w:val="auto"/>
        </w:rPr>
        <w:t>Dirección General de Obras Públicas señal</w:t>
      </w:r>
      <w:r w:rsidR="005C2324" w:rsidRPr="00AA473B">
        <w:rPr>
          <w:color w:val="auto"/>
        </w:rPr>
        <w:t>ó</w:t>
      </w:r>
      <w:r w:rsidR="0040440B" w:rsidRPr="00AA473B">
        <w:rPr>
          <w:color w:val="auto"/>
        </w:rPr>
        <w:t xml:space="preserve"> que</w:t>
      </w:r>
      <w:r w:rsidR="00F13825" w:rsidRPr="00AA473B">
        <w:rPr>
          <w:color w:val="auto"/>
        </w:rPr>
        <w:t xml:space="preserve"> no era</w:t>
      </w:r>
      <w:r w:rsidR="0040440B" w:rsidRPr="00AA473B">
        <w:rPr>
          <w:color w:val="auto"/>
        </w:rPr>
        <w:t xml:space="preserve"> competencia de esta área administrativa el generar ni administrar la expresión documental que dé cuenta de la adjudicación de luminarias, sin embargo, se realizó la búsqueda exhaustiva y razonable de lo requerido por el solicitante en los archivos que se encuentran bajo su resguardo y custodia, búsqueda en la que se concluyó que atendiendo a la temporalidad indicada por el peticionario, no se localizó expresión documental que dé cuenta de lo requerido.</w:t>
      </w:r>
    </w:p>
    <w:p w14:paraId="30F9A1FB" w14:textId="77777777" w:rsidR="0040440B" w:rsidRPr="00AA473B" w:rsidRDefault="0040440B" w:rsidP="007808E0">
      <w:pPr>
        <w:spacing w:after="0" w:line="360" w:lineRule="auto"/>
        <w:rPr>
          <w:color w:val="auto"/>
        </w:rPr>
      </w:pPr>
    </w:p>
    <w:p w14:paraId="28F82416" w14:textId="5E997895" w:rsidR="00972243" w:rsidRPr="00AA473B" w:rsidRDefault="0040440B" w:rsidP="007808E0">
      <w:pPr>
        <w:spacing w:after="0" w:line="360" w:lineRule="auto"/>
        <w:rPr>
          <w:rFonts w:eastAsia="Calibri" w:cs="Tahoma"/>
          <w:color w:val="FF0000"/>
        </w:rPr>
      </w:pPr>
      <w:r w:rsidRPr="00AA473B">
        <w:rPr>
          <w:color w:val="auto"/>
        </w:rPr>
        <w:t>Por su parte la Departamento de Recursos Materiales de la Dirección General de Administración, refirió que después de haber realizado una búsqueda en los archivos que obran en esta Dirección y sus Departamentos, no se localizó registro documental de "adjudicación de luminarias para el municipio de Toluca 2025", en ninguna de sus modalidades</w:t>
      </w:r>
      <w:r w:rsidR="00C672CD" w:rsidRPr="00AA473B">
        <w:rPr>
          <w:color w:val="auto"/>
          <w:sz w:val="24"/>
        </w:rPr>
        <w:t>;</w:t>
      </w:r>
      <w:r w:rsidR="007C7BAF" w:rsidRPr="00AA473B">
        <w:rPr>
          <w:color w:val="auto"/>
        </w:rPr>
        <w:t xml:space="preserve"> </w:t>
      </w:r>
      <w:r w:rsidR="007C7BAF" w:rsidRPr="00AA473B">
        <w:rPr>
          <w:rFonts w:cs="Tahoma"/>
          <w:color w:val="auto"/>
          <w:lang w:val="es-ES"/>
        </w:rPr>
        <w:t>ante dicha circunstancia, el Particular se inconformó</w:t>
      </w:r>
      <w:r w:rsidR="00644832" w:rsidRPr="00AA473B">
        <w:rPr>
          <w:rFonts w:cs="Tahoma"/>
          <w:color w:val="auto"/>
          <w:lang w:val="es-ES"/>
        </w:rPr>
        <w:t xml:space="preserve"> </w:t>
      </w:r>
      <w:r w:rsidR="00966BF0" w:rsidRPr="00AA473B">
        <w:rPr>
          <w:rFonts w:cs="Tahoma"/>
          <w:color w:val="auto"/>
          <w:lang w:val="es-ES"/>
        </w:rPr>
        <w:t>de</w:t>
      </w:r>
      <w:r w:rsidR="001260CE" w:rsidRPr="00AA473B">
        <w:rPr>
          <w:rFonts w:cs="Tahoma"/>
          <w:color w:val="auto"/>
          <w:lang w:val="es-ES"/>
        </w:rPr>
        <w:t xml:space="preserve"> </w:t>
      </w:r>
      <w:r w:rsidR="00C672CD" w:rsidRPr="00AA473B">
        <w:rPr>
          <w:rFonts w:cs="Tahoma"/>
          <w:color w:val="auto"/>
          <w:lang w:val="es-ES"/>
        </w:rPr>
        <w:t>la</w:t>
      </w:r>
      <w:r w:rsidR="0076190F" w:rsidRPr="00AA473B">
        <w:rPr>
          <w:rFonts w:cs="Tahoma"/>
          <w:color w:val="auto"/>
          <w:lang w:val="es-ES"/>
        </w:rPr>
        <w:t xml:space="preserve"> </w:t>
      </w:r>
      <w:r w:rsidR="00916C99" w:rsidRPr="00AA473B">
        <w:rPr>
          <w:rFonts w:cs="Tahoma"/>
          <w:color w:val="auto"/>
          <w:lang w:val="es-ES"/>
        </w:rPr>
        <w:t>declaración de inexistencia de la información al mencionar que no le entregaron la información</w:t>
      </w:r>
      <w:r w:rsidR="001A7F04" w:rsidRPr="00AA473B">
        <w:rPr>
          <w:rFonts w:cs="Tahoma"/>
          <w:color w:val="auto"/>
          <w:lang w:val="es-ES"/>
        </w:rPr>
        <w:t xml:space="preserve">, </w:t>
      </w:r>
      <w:r w:rsidR="007C7BAF" w:rsidRPr="00AA473B">
        <w:rPr>
          <w:rFonts w:cs="Tahoma"/>
          <w:color w:val="auto"/>
          <w:lang w:val="es-ES"/>
        </w:rPr>
        <w:t xml:space="preserve">lo cual </w:t>
      </w:r>
      <w:r w:rsidR="007C7BAF" w:rsidRPr="00AA473B">
        <w:rPr>
          <w:rFonts w:eastAsia="Calibri" w:cs="Tahoma"/>
          <w:color w:val="auto"/>
        </w:rPr>
        <w:t>actualiza la causal de proce</w:t>
      </w:r>
      <w:r w:rsidR="00413093" w:rsidRPr="00AA473B">
        <w:rPr>
          <w:rFonts w:eastAsia="Calibri" w:cs="Tahoma"/>
          <w:color w:val="auto"/>
        </w:rPr>
        <w:t xml:space="preserve">dencia prevista en la fracción </w:t>
      </w:r>
      <w:r w:rsidR="00384E34" w:rsidRPr="00AA473B">
        <w:rPr>
          <w:rFonts w:eastAsia="Calibri" w:cs="Tahoma"/>
          <w:color w:val="auto"/>
        </w:rPr>
        <w:t>III</w:t>
      </w:r>
      <w:r w:rsidR="007C7BAF" w:rsidRPr="00AA473B">
        <w:rPr>
          <w:rFonts w:eastAsia="Calibri" w:cs="Tahoma"/>
          <w:color w:val="auto"/>
        </w:rPr>
        <w:t>, del artículo 179 de la Ley de Transparencia y Acceso a la Información Pública del Estado de México y Municipios</w:t>
      </w:r>
      <w:r w:rsidR="00E619C3" w:rsidRPr="00AA473B">
        <w:rPr>
          <w:rFonts w:eastAsia="Calibri" w:cs="Tahoma"/>
          <w:color w:val="auto"/>
        </w:rPr>
        <w:t>, dicha situación, al aplicar la suplencia de la queja a favor de la Solicitante, en términos de los diversos 13 y, penúltimo párrafo, del 181 del ordenamiento señalado</w:t>
      </w:r>
      <w:r w:rsidR="007C7BAF" w:rsidRPr="00AA473B">
        <w:rPr>
          <w:color w:val="auto"/>
        </w:rPr>
        <w:t xml:space="preserve">. </w:t>
      </w:r>
      <w:r w:rsidR="007C7BAF" w:rsidRPr="00AA473B">
        <w:rPr>
          <w:rFonts w:eastAsia="Calibri" w:cs="Tahoma"/>
          <w:color w:val="auto"/>
        </w:rPr>
        <w:t>Así, las cosas, una vez admitido y notificado el Recurso de Revisión</w:t>
      </w:r>
      <w:r w:rsidR="00522A47" w:rsidRPr="00AA473B">
        <w:rPr>
          <w:rFonts w:eastAsia="Calibri" w:cs="Tahoma"/>
          <w:color w:val="auto"/>
        </w:rPr>
        <w:t xml:space="preserve"> a las partes,</w:t>
      </w:r>
      <w:r w:rsidR="001A7F04" w:rsidRPr="00AA473B">
        <w:rPr>
          <w:rFonts w:eastAsia="Calibri" w:cs="Tahoma"/>
          <w:color w:val="auto"/>
        </w:rPr>
        <w:t xml:space="preserve"> </w:t>
      </w:r>
      <w:r w:rsidR="00916C99" w:rsidRPr="00AA473B">
        <w:rPr>
          <w:rFonts w:eastAsia="Calibri" w:cs="Tahoma"/>
          <w:color w:val="auto"/>
        </w:rPr>
        <w:t>el Sujeto Obligado ratificó su respuesta.</w:t>
      </w:r>
    </w:p>
    <w:p w14:paraId="137DA036" w14:textId="77777777" w:rsidR="00AB4AC2" w:rsidRPr="00AA473B" w:rsidRDefault="00AB4AC2" w:rsidP="007808E0">
      <w:pPr>
        <w:spacing w:after="0" w:line="360" w:lineRule="auto"/>
        <w:ind w:right="567"/>
        <w:rPr>
          <w:i/>
          <w:iCs/>
          <w:color w:val="FF0000"/>
          <w:sz w:val="20"/>
          <w:szCs w:val="20"/>
        </w:rPr>
      </w:pPr>
    </w:p>
    <w:p w14:paraId="22C5958E" w14:textId="59D1D3B7" w:rsidR="007C7BAF" w:rsidRPr="00AA473B" w:rsidRDefault="007C7BAF" w:rsidP="007808E0">
      <w:pPr>
        <w:tabs>
          <w:tab w:val="left" w:pos="4962"/>
        </w:tabs>
        <w:spacing w:after="0" w:line="360" w:lineRule="auto"/>
        <w:rPr>
          <w:rFonts w:eastAsia="Calibri" w:cs="Tahoma"/>
          <w:bCs/>
          <w:color w:val="auto"/>
        </w:rPr>
      </w:pPr>
      <w:r w:rsidRPr="00AA473B">
        <w:rPr>
          <w:rFonts w:eastAsia="Calibri" w:cs="Tahoma"/>
          <w:iCs/>
          <w:color w:val="auto"/>
          <w:lang w:val="es-ES" w:eastAsia="es-ES_tradnl"/>
        </w:rPr>
        <w:t>Lo anterior, se desprende de las documentales que obran en el expediente de referencia, materia de la presente resolución, consistente en: la solic</w:t>
      </w:r>
      <w:r w:rsidR="00BB3F28" w:rsidRPr="00AA473B">
        <w:rPr>
          <w:rFonts w:eastAsia="Calibri" w:cs="Tahoma"/>
          <w:iCs/>
          <w:color w:val="auto"/>
          <w:lang w:val="es-ES" w:eastAsia="es-ES_tradnl"/>
        </w:rPr>
        <w:t>i</w:t>
      </w:r>
      <w:r w:rsidR="0076190F" w:rsidRPr="00AA473B">
        <w:rPr>
          <w:rFonts w:eastAsia="Calibri" w:cs="Tahoma"/>
          <w:iCs/>
          <w:color w:val="auto"/>
          <w:lang w:val="es-ES" w:eastAsia="es-ES_tradnl"/>
        </w:rPr>
        <w:t xml:space="preserve">tud de acceso a </w:t>
      </w:r>
      <w:r w:rsidR="00916C99" w:rsidRPr="00AA473B">
        <w:rPr>
          <w:rFonts w:eastAsia="Calibri" w:cs="Tahoma"/>
          <w:iCs/>
          <w:color w:val="auto"/>
          <w:lang w:val="es-ES" w:eastAsia="es-ES_tradnl"/>
        </w:rPr>
        <w:t>la información,</w:t>
      </w:r>
      <w:r w:rsidR="0076190F" w:rsidRPr="00AA473B">
        <w:rPr>
          <w:rFonts w:eastAsia="Calibri" w:cs="Tahoma"/>
          <w:iCs/>
          <w:color w:val="auto"/>
          <w:lang w:val="es-ES" w:eastAsia="es-ES_tradnl"/>
        </w:rPr>
        <w:t xml:space="preserve"> </w:t>
      </w:r>
      <w:r w:rsidRPr="00AA473B">
        <w:rPr>
          <w:rFonts w:eastAsia="Calibri" w:cs="Tahoma"/>
          <w:iCs/>
          <w:color w:val="auto"/>
          <w:lang w:eastAsia="es-ES_tradnl"/>
        </w:rPr>
        <w:t>el escrito recursal</w:t>
      </w:r>
      <w:r w:rsidR="00916C99" w:rsidRPr="00AA473B">
        <w:rPr>
          <w:rFonts w:eastAsia="Calibri" w:cs="Tahoma"/>
          <w:iCs/>
          <w:color w:val="auto"/>
          <w:lang w:eastAsia="es-ES_tradnl"/>
        </w:rPr>
        <w:t xml:space="preserve"> y el Informe Justificado</w:t>
      </w:r>
      <w:r w:rsidRPr="00AA473B">
        <w:rPr>
          <w:rFonts w:eastAsia="Calibri" w:cs="Tahoma"/>
          <w:iCs/>
          <w:color w:val="auto"/>
          <w:lang w:eastAsia="es-ES_tradnl"/>
        </w:rPr>
        <w:t xml:space="preserve">; </w:t>
      </w:r>
      <w:r w:rsidRPr="00AA473B">
        <w:rPr>
          <w:rFonts w:eastAsia="Calibri" w:cs="Tahoma"/>
          <w:bCs/>
          <w:color w:val="auto"/>
        </w:rPr>
        <w:t xml:space="preserve">instrumentales que se toman en cuenta a efecto de resolver el presente medio de impugnación, conforme a lo dispuesto por el artículo 185, </w:t>
      </w:r>
      <w:r w:rsidRPr="00AA473B">
        <w:rPr>
          <w:rFonts w:eastAsia="Calibri" w:cs="Tahoma"/>
          <w:bCs/>
          <w:color w:val="auto"/>
        </w:rPr>
        <w:lastRenderedPageBreak/>
        <w:t>fracción IV, de la Ley de Transparencia y Acceso a la Información Pública del Estado de México y Municipios.</w:t>
      </w:r>
    </w:p>
    <w:p w14:paraId="766B3A4D" w14:textId="7FD5AF07" w:rsidR="00C672CD" w:rsidRPr="00AA473B" w:rsidRDefault="00C672CD" w:rsidP="007808E0">
      <w:pPr>
        <w:pStyle w:val="Ttulo2"/>
        <w:spacing w:before="0" w:after="0" w:line="360" w:lineRule="auto"/>
        <w:rPr>
          <w:color w:val="auto"/>
          <w:sz w:val="22"/>
          <w:szCs w:val="22"/>
        </w:rPr>
      </w:pPr>
    </w:p>
    <w:p w14:paraId="36DCBD9D" w14:textId="0AA8912A" w:rsidR="005C690F" w:rsidRPr="00AA473B" w:rsidRDefault="007D6307" w:rsidP="007808E0">
      <w:pPr>
        <w:pStyle w:val="Ttulo2"/>
        <w:spacing w:before="0" w:after="0" w:line="360" w:lineRule="auto"/>
        <w:rPr>
          <w:color w:val="auto"/>
          <w:sz w:val="22"/>
          <w:szCs w:val="22"/>
        </w:rPr>
      </w:pPr>
      <w:bookmarkStart w:id="14" w:name="_Toc207813312"/>
      <w:r w:rsidRPr="00AA473B">
        <w:rPr>
          <w:color w:val="auto"/>
          <w:sz w:val="22"/>
          <w:szCs w:val="22"/>
        </w:rPr>
        <w:t xml:space="preserve">CUARTO. Marco normativo aplicable en materia de transparencia y </w:t>
      </w:r>
      <w:r w:rsidR="00CD6238" w:rsidRPr="00AA473B">
        <w:rPr>
          <w:color w:val="auto"/>
          <w:sz w:val="22"/>
          <w:szCs w:val="22"/>
        </w:rPr>
        <w:t>acceso a la información pública</w:t>
      </w:r>
      <w:bookmarkEnd w:id="14"/>
    </w:p>
    <w:p w14:paraId="4D62F8F1" w14:textId="77777777" w:rsidR="005C690F" w:rsidRPr="00AA473B" w:rsidRDefault="005C690F" w:rsidP="007808E0">
      <w:pPr>
        <w:spacing w:after="0" w:line="360" w:lineRule="auto"/>
        <w:rPr>
          <w:color w:val="FF0000"/>
        </w:rPr>
      </w:pPr>
    </w:p>
    <w:p w14:paraId="68F50546" w14:textId="77777777" w:rsidR="005C690F" w:rsidRPr="00AA473B" w:rsidRDefault="007D6307" w:rsidP="007808E0">
      <w:pPr>
        <w:spacing w:after="0" w:line="360" w:lineRule="auto"/>
        <w:rPr>
          <w:color w:val="auto"/>
        </w:rPr>
      </w:pPr>
      <w:r w:rsidRPr="00AA473B">
        <w:rPr>
          <w:color w:val="auto"/>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AA473B" w:rsidRDefault="005C690F" w:rsidP="007808E0">
      <w:pPr>
        <w:spacing w:after="0" w:line="360" w:lineRule="auto"/>
        <w:rPr>
          <w:color w:val="auto"/>
        </w:rPr>
      </w:pPr>
    </w:p>
    <w:p w14:paraId="69458899" w14:textId="77777777" w:rsidR="005C690F" w:rsidRPr="00AA473B" w:rsidRDefault="007D6307" w:rsidP="007808E0">
      <w:pPr>
        <w:spacing w:after="0" w:line="360" w:lineRule="auto"/>
        <w:rPr>
          <w:color w:val="auto"/>
        </w:rPr>
      </w:pPr>
      <w:r w:rsidRPr="00AA473B">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AA473B" w:rsidRDefault="005C690F" w:rsidP="007808E0">
      <w:pPr>
        <w:spacing w:after="0" w:line="360" w:lineRule="auto"/>
        <w:rPr>
          <w:color w:val="auto"/>
        </w:rPr>
      </w:pPr>
    </w:p>
    <w:p w14:paraId="3D8EBDEC" w14:textId="77777777" w:rsidR="005C690F" w:rsidRPr="00AA473B" w:rsidRDefault="007D6307" w:rsidP="007808E0">
      <w:pPr>
        <w:spacing w:after="0" w:line="360" w:lineRule="auto"/>
        <w:rPr>
          <w:color w:val="auto"/>
        </w:rPr>
      </w:pPr>
      <w:r w:rsidRPr="00AA473B">
        <w:rPr>
          <w:color w:val="auto"/>
        </w:rPr>
        <w:t>Por su parte, la Ley de Transparencia y Acceso a la Información Pública del Estado de México y Municipios (Reglamentaria del artículo 5° de la Constitución Local), establece lo siguiente:</w:t>
      </w:r>
    </w:p>
    <w:p w14:paraId="2818D616" w14:textId="77777777" w:rsidR="005C690F" w:rsidRPr="00AA473B" w:rsidRDefault="005C690F" w:rsidP="007808E0">
      <w:pPr>
        <w:spacing w:after="0" w:line="360" w:lineRule="auto"/>
        <w:rPr>
          <w:color w:val="auto"/>
        </w:rPr>
      </w:pPr>
    </w:p>
    <w:p w14:paraId="5BD9CB2E" w14:textId="77777777" w:rsidR="005C690F" w:rsidRPr="00AA473B" w:rsidRDefault="007D6307" w:rsidP="007808E0">
      <w:pPr>
        <w:spacing w:after="0" w:line="360" w:lineRule="auto"/>
        <w:rPr>
          <w:color w:val="auto"/>
        </w:rPr>
      </w:pPr>
      <w:r w:rsidRPr="00AA473B">
        <w:rPr>
          <w:color w:val="auto"/>
        </w:rPr>
        <w:t>El artículo 12, que, quienes generen, recopilen, administren, manejen, procesen, archiven o conserven información pública serán responsables de la misma.</w:t>
      </w:r>
    </w:p>
    <w:p w14:paraId="6BD1FFBB" w14:textId="77777777" w:rsidR="007C02D1" w:rsidRPr="00AA473B" w:rsidRDefault="007C02D1" w:rsidP="007808E0">
      <w:pPr>
        <w:spacing w:after="0" w:line="360" w:lineRule="auto"/>
        <w:rPr>
          <w:color w:val="auto"/>
        </w:rPr>
      </w:pPr>
    </w:p>
    <w:p w14:paraId="3D899A16" w14:textId="77777777" w:rsidR="005C690F" w:rsidRPr="00AA473B" w:rsidRDefault="007D6307" w:rsidP="007808E0">
      <w:pPr>
        <w:widowControl w:val="0"/>
        <w:spacing w:after="0" w:line="360" w:lineRule="auto"/>
        <w:rPr>
          <w:color w:val="auto"/>
        </w:rPr>
      </w:pPr>
      <w:r w:rsidRPr="00AA473B">
        <w:rPr>
          <w:color w:val="auto"/>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AA473B" w:rsidRDefault="00B153FA" w:rsidP="007808E0">
      <w:pPr>
        <w:widowControl w:val="0"/>
        <w:spacing w:after="0" w:line="360" w:lineRule="auto"/>
        <w:rPr>
          <w:color w:val="auto"/>
        </w:rPr>
      </w:pPr>
    </w:p>
    <w:p w14:paraId="70E5B643" w14:textId="378E2A57" w:rsidR="00B04A35" w:rsidRPr="00AA473B" w:rsidRDefault="007D6307" w:rsidP="007808E0">
      <w:pPr>
        <w:spacing w:after="0" w:line="360" w:lineRule="auto"/>
        <w:rPr>
          <w:color w:val="auto"/>
        </w:rPr>
      </w:pPr>
      <w:r w:rsidRPr="00AA473B">
        <w:rPr>
          <w:color w:val="auto"/>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AA473B" w:rsidRDefault="005C690F" w:rsidP="007808E0">
      <w:pPr>
        <w:spacing w:after="0" w:line="360" w:lineRule="auto"/>
        <w:rPr>
          <w:color w:val="auto"/>
        </w:rPr>
      </w:pPr>
    </w:p>
    <w:p w14:paraId="3AF871E5" w14:textId="6FEB966D" w:rsidR="005C690F" w:rsidRPr="00AA473B" w:rsidRDefault="00CD6238" w:rsidP="007808E0">
      <w:pPr>
        <w:pStyle w:val="Ttulo2"/>
        <w:spacing w:before="0" w:after="0" w:line="360" w:lineRule="auto"/>
        <w:rPr>
          <w:color w:val="auto"/>
          <w:sz w:val="22"/>
          <w:szCs w:val="22"/>
        </w:rPr>
      </w:pPr>
      <w:bookmarkStart w:id="15" w:name="_Toc207813313"/>
      <w:r w:rsidRPr="00AA473B">
        <w:rPr>
          <w:color w:val="auto"/>
          <w:sz w:val="22"/>
          <w:szCs w:val="22"/>
        </w:rPr>
        <w:t>Q</w:t>
      </w:r>
      <w:r w:rsidR="0044017B" w:rsidRPr="00AA473B">
        <w:rPr>
          <w:color w:val="auto"/>
          <w:sz w:val="22"/>
          <w:szCs w:val="22"/>
        </w:rPr>
        <w:t>UINTO</w:t>
      </w:r>
      <w:r w:rsidRPr="00AA473B">
        <w:rPr>
          <w:color w:val="auto"/>
          <w:sz w:val="22"/>
          <w:szCs w:val="22"/>
        </w:rPr>
        <w:t>. Estudio de Fondo</w:t>
      </w:r>
      <w:bookmarkEnd w:id="15"/>
    </w:p>
    <w:p w14:paraId="2596B212" w14:textId="77777777" w:rsidR="00A56228" w:rsidRPr="00AA473B" w:rsidRDefault="00A56228" w:rsidP="007808E0">
      <w:pPr>
        <w:spacing w:after="0" w:line="360" w:lineRule="auto"/>
        <w:rPr>
          <w:b/>
          <w:color w:val="FF0000"/>
        </w:rPr>
      </w:pPr>
    </w:p>
    <w:p w14:paraId="70B1D650" w14:textId="4DCC05D7" w:rsidR="00FF3136" w:rsidRPr="00AA473B" w:rsidRDefault="0064067B" w:rsidP="007808E0">
      <w:pPr>
        <w:spacing w:after="0" w:line="360" w:lineRule="auto"/>
        <w:rPr>
          <w:rFonts w:eastAsia="Times New Roman" w:cs="Tahoma"/>
          <w:bCs/>
          <w:iCs/>
          <w:color w:val="auto"/>
          <w:lang w:eastAsia="es-ES"/>
        </w:rPr>
      </w:pPr>
      <w:r w:rsidRPr="00AA473B">
        <w:rPr>
          <w:color w:val="auto"/>
        </w:rPr>
        <w:t>Expuestas las posturas de las partes, se procede al análisis de los agravios hechos valer por la persona Recurrente</w:t>
      </w:r>
      <w:r w:rsidR="00731FB9" w:rsidRPr="00AA473B">
        <w:rPr>
          <w:color w:val="auto"/>
        </w:rPr>
        <w:t xml:space="preserve">, </w:t>
      </w:r>
      <w:r w:rsidR="007F4407" w:rsidRPr="00AA473B">
        <w:rPr>
          <w:rFonts w:eastAsia="Times New Roman" w:cs="Tahoma"/>
          <w:bCs/>
          <w:iCs/>
          <w:color w:val="auto"/>
          <w:lang w:eastAsia="es-ES"/>
        </w:rPr>
        <w:t>por lo que, en principio es necesario contextualizar la solicitud de información</w:t>
      </w:r>
      <w:r w:rsidR="00FF3136" w:rsidRPr="00AA473B">
        <w:rPr>
          <w:rFonts w:eastAsia="Times New Roman" w:cs="Tahoma"/>
          <w:bCs/>
          <w:iCs/>
          <w:color w:val="auto"/>
          <w:lang w:eastAsia="es-ES"/>
        </w:rPr>
        <w:t>.</w:t>
      </w:r>
    </w:p>
    <w:p w14:paraId="19FBCA02" w14:textId="77777777" w:rsidR="00FF3136" w:rsidRPr="00AA473B" w:rsidRDefault="00FF3136" w:rsidP="007808E0">
      <w:pPr>
        <w:spacing w:after="0" w:line="360" w:lineRule="auto"/>
        <w:rPr>
          <w:rFonts w:eastAsia="Times New Roman" w:cs="Tahoma"/>
          <w:bCs/>
          <w:iCs/>
          <w:color w:val="auto"/>
          <w:lang w:eastAsia="es-ES"/>
        </w:rPr>
      </w:pPr>
    </w:p>
    <w:p w14:paraId="5CDDBF5B" w14:textId="535C722B" w:rsidR="00FF3136" w:rsidRPr="00AA473B" w:rsidRDefault="004E14DD" w:rsidP="007808E0">
      <w:pPr>
        <w:spacing w:after="0" w:line="360" w:lineRule="auto"/>
      </w:pPr>
      <w:r w:rsidRPr="00AA473B">
        <w:t xml:space="preserve">En relación a la contratación pública, López Olvera, Miguel Alejandro Cancino Gómez, Rodolfo. (2020). “La Contratación Pública y el Sistema Nacional Anticorrupción”. (p. 4) establece que </w:t>
      </w:r>
      <w:r w:rsidRPr="00AA473B">
        <w:rPr>
          <w:b/>
          <w:bCs/>
        </w:rPr>
        <w:t>la contratación pública</w:t>
      </w:r>
      <w:r w:rsidRPr="00AA473B">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119D4F0C" w14:textId="77777777" w:rsidR="004E14DD" w:rsidRPr="00AA473B" w:rsidRDefault="004E14DD" w:rsidP="007808E0">
      <w:pPr>
        <w:spacing w:after="0" w:line="360" w:lineRule="auto"/>
      </w:pPr>
    </w:p>
    <w:p w14:paraId="02BBC3E8" w14:textId="328D38C7" w:rsidR="004E14DD" w:rsidRPr="00AA473B" w:rsidRDefault="004E14DD" w:rsidP="007808E0">
      <w:pPr>
        <w:spacing w:after="0" w:line="360" w:lineRule="auto"/>
      </w:pPr>
      <w:r w:rsidRPr="00AA473B">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w:t>
      </w:r>
      <w:r w:rsidRPr="00AA473B">
        <w:rPr>
          <w:b/>
          <w:bCs/>
        </w:rPr>
        <w:t>de la adquisición (bienes muebles e inmuebles),</w:t>
      </w:r>
      <w:r w:rsidRPr="00AA473B">
        <w:t xml:space="preserve"> arrendamiento (bienes muebles e inmuebles), y la contratación de servicios de cualquier naturaleza.</w:t>
      </w:r>
    </w:p>
    <w:p w14:paraId="072E823D" w14:textId="77777777" w:rsidR="004E14DD" w:rsidRPr="00AA473B" w:rsidRDefault="004E14DD" w:rsidP="007808E0">
      <w:pPr>
        <w:spacing w:after="0" w:line="360" w:lineRule="auto"/>
      </w:pPr>
    </w:p>
    <w:p w14:paraId="7036E0DB" w14:textId="77777777" w:rsidR="004E14DD" w:rsidRPr="00AA473B" w:rsidRDefault="004E14DD" w:rsidP="007808E0">
      <w:pPr>
        <w:spacing w:after="0" w:line="360" w:lineRule="auto"/>
      </w:pPr>
      <w:r w:rsidRPr="00AA473B">
        <w:lastRenderedPageBreak/>
        <w:t xml:space="preserve">En ese contexto, conforme a los artículos 26 y 27 de dicho ordenamiento jurídico, las adquisiciones, arrendamientos y servicios, se adjudicarán a través de procedimientos de licitación pública, invitación restringida y adjudicación directa. </w:t>
      </w:r>
    </w:p>
    <w:p w14:paraId="0619F9DD" w14:textId="77777777" w:rsidR="004E14DD" w:rsidRPr="00AA473B" w:rsidRDefault="004E14DD" w:rsidP="007808E0">
      <w:pPr>
        <w:spacing w:after="0" w:line="360" w:lineRule="auto"/>
      </w:pPr>
    </w:p>
    <w:p w14:paraId="27E3E73C" w14:textId="045D307E" w:rsidR="004E14DD" w:rsidRPr="00AA473B" w:rsidRDefault="004E14DD" w:rsidP="007808E0">
      <w:pPr>
        <w:spacing w:after="0" w:line="360" w:lineRule="auto"/>
      </w:pPr>
      <w:r w:rsidRPr="00AA473B">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14:paraId="07140CBF" w14:textId="77777777" w:rsidR="004E14DD" w:rsidRPr="00AA473B" w:rsidRDefault="004E14DD" w:rsidP="007808E0">
      <w:pPr>
        <w:spacing w:after="0" w:line="360" w:lineRule="auto"/>
      </w:pPr>
    </w:p>
    <w:p w14:paraId="6C2F77DC" w14:textId="7F2E3A50" w:rsidR="004E14DD" w:rsidRPr="00AA473B" w:rsidRDefault="004E14DD" w:rsidP="007808E0">
      <w:pPr>
        <w:spacing w:after="0" w:line="360" w:lineRule="auto"/>
        <w:rPr>
          <w:b/>
          <w:bCs/>
          <w:u w:val="single"/>
        </w:rPr>
      </w:pPr>
      <w:r w:rsidRPr="00AA473B">
        <w:t xml:space="preserve">Ahora bien, conforme al artículo 120 del Reglamento de la Ley de Contratación Pública del Estado de México y Municipios, dichos actos jurídicos se conforman por diversos datos, entre los cuales, se encuentran los </w:t>
      </w:r>
      <w:r w:rsidRPr="00AA473B">
        <w:rPr>
          <w:b/>
          <w:bCs/>
          <w:u w:val="single"/>
        </w:rPr>
        <w:t>datos de identificación de las partes y del contrato, así como el importe total.</w:t>
      </w:r>
    </w:p>
    <w:p w14:paraId="47B645DD" w14:textId="77777777" w:rsidR="004E14DD" w:rsidRPr="00AA473B" w:rsidRDefault="004E14DD" w:rsidP="007808E0">
      <w:pPr>
        <w:spacing w:after="0" w:line="360" w:lineRule="auto"/>
        <w:rPr>
          <w:b/>
          <w:bCs/>
          <w:u w:val="single"/>
        </w:rPr>
      </w:pPr>
    </w:p>
    <w:p w14:paraId="2551BCF1" w14:textId="6146FA56" w:rsidR="004E14DD" w:rsidRPr="00AA473B" w:rsidRDefault="004E14DD" w:rsidP="007808E0">
      <w:pPr>
        <w:spacing w:after="0" w:line="360" w:lineRule="auto"/>
        <w:rPr>
          <w:b/>
          <w:bCs/>
        </w:rPr>
      </w:pPr>
      <w:r w:rsidRPr="00AA473B">
        <w:t xml:space="preserve">Así mismo, el artículo 92, fracción XXIX, de la Ley de Transparencia y Acceso a la Información Pública del Estado de México y Municipios, precisa que es </w:t>
      </w:r>
      <w:r w:rsidRPr="00AA473B">
        <w:rPr>
          <w:b/>
          <w:bCs/>
        </w:rPr>
        <w:t>información que es pública de oficio,</w:t>
      </w:r>
      <w:r w:rsidRPr="00AA473B">
        <w:t xml:space="preserve"> la información sobre los procesos y resultados sobre procedimientos de adjudicación directa, invitación restringida y licitación de cualquier naturaleza, </w:t>
      </w:r>
      <w:r w:rsidRPr="00AA473B">
        <w:rPr>
          <w:b/>
          <w:bCs/>
        </w:rPr>
        <w:t>que incluye la versión pública del expediente respectivo y de los contratos celebrados</w:t>
      </w:r>
      <w:r w:rsidR="00433B2E" w:rsidRPr="00AA473B">
        <w:rPr>
          <w:b/>
          <w:bCs/>
        </w:rPr>
        <w:t>, los cuales deberán contener lo siguiente:</w:t>
      </w:r>
    </w:p>
    <w:p w14:paraId="157B8B02" w14:textId="77777777" w:rsidR="00433B2E" w:rsidRPr="00AA473B" w:rsidRDefault="00433B2E" w:rsidP="007808E0">
      <w:pPr>
        <w:spacing w:after="0" w:line="360" w:lineRule="auto"/>
        <w:rPr>
          <w:b/>
          <w:bCs/>
        </w:rPr>
      </w:pPr>
    </w:p>
    <w:p w14:paraId="635D82D8" w14:textId="7728F9CB" w:rsidR="006E722A" w:rsidRPr="00AA473B" w:rsidRDefault="006E722A" w:rsidP="006E722A">
      <w:pPr>
        <w:spacing w:line="360" w:lineRule="auto"/>
        <w:rPr>
          <w:rFonts w:cs="Tahoma"/>
          <w:iCs/>
          <w:color w:val="auto"/>
          <w:u w:val="single"/>
        </w:rPr>
      </w:pPr>
      <w:r w:rsidRPr="00AA473B">
        <w:rPr>
          <w:rFonts w:cs="Tahoma"/>
          <w:iCs/>
          <w:color w:val="auto"/>
          <w:u w:val="single"/>
        </w:rPr>
        <w:t xml:space="preserve">a) </w:t>
      </w:r>
      <w:r w:rsidRPr="00AA473B">
        <w:rPr>
          <w:u w:val="single"/>
        </w:rPr>
        <w:t>De licitaciones públicas o procedimientos de invitación restringida:</w:t>
      </w:r>
    </w:p>
    <w:p w14:paraId="1558D882" w14:textId="4753CA83" w:rsidR="00763A64" w:rsidRPr="00AA473B" w:rsidRDefault="00763A64" w:rsidP="000D0FE9">
      <w:pPr>
        <w:pStyle w:val="Prrafodelista"/>
        <w:numPr>
          <w:ilvl w:val="0"/>
          <w:numId w:val="2"/>
        </w:numPr>
        <w:spacing w:line="360" w:lineRule="auto"/>
      </w:pPr>
      <w:r w:rsidRPr="00AA473B">
        <w:t xml:space="preserve">La convocatoria o invitación emitida, así como los fundamentos legales aplicados para llevarla a cabo; </w:t>
      </w:r>
    </w:p>
    <w:p w14:paraId="41E59688" w14:textId="4271ECB2" w:rsidR="00763A64" w:rsidRPr="00AA473B" w:rsidRDefault="00763A64" w:rsidP="000D0FE9">
      <w:pPr>
        <w:pStyle w:val="Prrafodelista"/>
        <w:numPr>
          <w:ilvl w:val="0"/>
          <w:numId w:val="2"/>
        </w:numPr>
        <w:spacing w:line="360" w:lineRule="auto"/>
      </w:pPr>
      <w:r w:rsidRPr="00AA473B">
        <w:t xml:space="preserve">Los nombres de los participantes o invitados; </w:t>
      </w:r>
    </w:p>
    <w:p w14:paraId="0DAEC342" w14:textId="00418146" w:rsidR="00763A64" w:rsidRPr="00AA473B" w:rsidRDefault="00763A64" w:rsidP="000D0FE9">
      <w:pPr>
        <w:pStyle w:val="Prrafodelista"/>
        <w:numPr>
          <w:ilvl w:val="0"/>
          <w:numId w:val="2"/>
        </w:numPr>
        <w:spacing w:line="360" w:lineRule="auto"/>
      </w:pPr>
      <w:r w:rsidRPr="00AA473B">
        <w:lastRenderedPageBreak/>
        <w:t xml:space="preserve">El nombre del ganador y las razones que lo justifican; </w:t>
      </w:r>
    </w:p>
    <w:p w14:paraId="0EA041AB" w14:textId="7643D821" w:rsidR="00763A64" w:rsidRPr="00AA473B" w:rsidRDefault="00763A64" w:rsidP="000D0FE9">
      <w:pPr>
        <w:pStyle w:val="Prrafodelista"/>
        <w:numPr>
          <w:ilvl w:val="0"/>
          <w:numId w:val="2"/>
        </w:numPr>
        <w:spacing w:line="360" w:lineRule="auto"/>
      </w:pPr>
      <w:r w:rsidRPr="00AA473B">
        <w:t xml:space="preserve">El área solicitante y la responsable de su ejecución; </w:t>
      </w:r>
    </w:p>
    <w:p w14:paraId="7476C0A3" w14:textId="672F2401" w:rsidR="00763A64" w:rsidRPr="00AA473B" w:rsidRDefault="00763A64" w:rsidP="000D0FE9">
      <w:pPr>
        <w:pStyle w:val="Prrafodelista"/>
        <w:numPr>
          <w:ilvl w:val="0"/>
          <w:numId w:val="2"/>
        </w:numPr>
        <w:spacing w:line="360" w:lineRule="auto"/>
      </w:pPr>
      <w:r w:rsidRPr="00AA473B">
        <w:t>Las convocatorias e invitaciones emitidas;</w:t>
      </w:r>
    </w:p>
    <w:p w14:paraId="05093893" w14:textId="6CDE3C2E" w:rsidR="00FF3136" w:rsidRPr="00AA473B" w:rsidRDefault="00763A64" w:rsidP="000D0FE9">
      <w:pPr>
        <w:pStyle w:val="Prrafodelista"/>
        <w:numPr>
          <w:ilvl w:val="0"/>
          <w:numId w:val="2"/>
        </w:numPr>
        <w:spacing w:line="360" w:lineRule="auto"/>
        <w:rPr>
          <w:rFonts w:cs="Tahoma"/>
          <w:bCs/>
          <w:iCs/>
          <w:color w:val="auto"/>
        </w:rPr>
      </w:pPr>
      <w:r w:rsidRPr="00AA473B">
        <w:t>Los dictámenes y fallo de adjudicación;</w:t>
      </w:r>
    </w:p>
    <w:p w14:paraId="4756492E" w14:textId="77777777" w:rsidR="00E5737C" w:rsidRPr="00AA473B" w:rsidRDefault="00E5737C" w:rsidP="000D0FE9">
      <w:pPr>
        <w:pStyle w:val="Prrafodelista"/>
        <w:numPr>
          <w:ilvl w:val="0"/>
          <w:numId w:val="2"/>
        </w:numPr>
        <w:spacing w:line="360" w:lineRule="auto"/>
      </w:pPr>
      <w:r w:rsidRPr="00AA473B">
        <w:t xml:space="preserve">El contrato y, en su caso, sus anexos; </w:t>
      </w:r>
    </w:p>
    <w:p w14:paraId="5D76CFF1" w14:textId="77777777" w:rsidR="00E5737C" w:rsidRPr="00AA473B" w:rsidRDefault="00E5737C" w:rsidP="000D0FE9">
      <w:pPr>
        <w:pStyle w:val="Prrafodelista"/>
        <w:numPr>
          <w:ilvl w:val="0"/>
          <w:numId w:val="2"/>
        </w:numPr>
        <w:spacing w:line="360" w:lineRule="auto"/>
      </w:pPr>
      <w:r w:rsidRPr="00AA473B">
        <w:t>Los mecanismos de vigilancia y supervisión, incluyendo en su caso, los estudios de impacto urbano y ambiental, según corresponda;</w:t>
      </w:r>
    </w:p>
    <w:p w14:paraId="476F0B36" w14:textId="77777777" w:rsidR="00E5737C" w:rsidRPr="00AA473B" w:rsidRDefault="00E5737C" w:rsidP="000D0FE9">
      <w:pPr>
        <w:pStyle w:val="Prrafodelista"/>
        <w:numPr>
          <w:ilvl w:val="0"/>
          <w:numId w:val="2"/>
        </w:numPr>
        <w:spacing w:line="360" w:lineRule="auto"/>
      </w:pPr>
      <w:r w:rsidRPr="00AA473B">
        <w:t>La partida presupuestal, de conformidad con el clasificador por objeto del gasto, en el caso de ser aplicable;</w:t>
      </w:r>
    </w:p>
    <w:p w14:paraId="5D8271B1" w14:textId="77777777" w:rsidR="00E5737C" w:rsidRPr="00AA473B" w:rsidRDefault="00E5737C" w:rsidP="000D0FE9">
      <w:pPr>
        <w:pStyle w:val="Prrafodelista"/>
        <w:numPr>
          <w:ilvl w:val="0"/>
          <w:numId w:val="2"/>
        </w:numPr>
        <w:spacing w:line="360" w:lineRule="auto"/>
      </w:pPr>
      <w:r w:rsidRPr="00AA473B">
        <w:t>Origen de los recursos especificando si son federales, estatales o municipales, así como el tipo de fondo de participación o aportación respectiva;</w:t>
      </w:r>
    </w:p>
    <w:p w14:paraId="2B126CC0" w14:textId="77777777" w:rsidR="00E5737C" w:rsidRPr="00AA473B" w:rsidRDefault="00E5737C" w:rsidP="000D0FE9">
      <w:pPr>
        <w:pStyle w:val="Prrafodelista"/>
        <w:numPr>
          <w:ilvl w:val="0"/>
          <w:numId w:val="2"/>
        </w:numPr>
        <w:spacing w:line="360" w:lineRule="auto"/>
      </w:pPr>
      <w:r w:rsidRPr="00AA473B">
        <w:t>Los convenios modificatorios que, en su caso, sean firmados, precisando el objeto y la fecha de celebración;</w:t>
      </w:r>
    </w:p>
    <w:p w14:paraId="3B925EEE" w14:textId="77777777" w:rsidR="00E5737C" w:rsidRPr="00AA473B" w:rsidRDefault="00E5737C" w:rsidP="000D0FE9">
      <w:pPr>
        <w:pStyle w:val="Prrafodelista"/>
        <w:numPr>
          <w:ilvl w:val="0"/>
          <w:numId w:val="2"/>
        </w:numPr>
        <w:spacing w:line="360" w:lineRule="auto"/>
      </w:pPr>
      <w:r w:rsidRPr="00AA473B">
        <w:t>Los informes de avance físico y financiero sobre las obras o servicios contratados;</w:t>
      </w:r>
    </w:p>
    <w:p w14:paraId="76CA76AC" w14:textId="77777777" w:rsidR="00E5737C" w:rsidRPr="00AA473B" w:rsidRDefault="00E5737C" w:rsidP="000D0FE9">
      <w:pPr>
        <w:pStyle w:val="Prrafodelista"/>
        <w:numPr>
          <w:ilvl w:val="0"/>
          <w:numId w:val="2"/>
        </w:numPr>
        <w:spacing w:line="360" w:lineRule="auto"/>
      </w:pPr>
      <w:r w:rsidRPr="00AA473B">
        <w:t xml:space="preserve">El convenio de terminación; y </w:t>
      </w:r>
    </w:p>
    <w:p w14:paraId="31FCCAE1" w14:textId="7AA71480" w:rsidR="004E14DD" w:rsidRPr="00AA473B" w:rsidRDefault="00E5737C" w:rsidP="000D0FE9">
      <w:pPr>
        <w:pStyle w:val="Prrafodelista"/>
        <w:numPr>
          <w:ilvl w:val="0"/>
          <w:numId w:val="2"/>
        </w:numPr>
        <w:spacing w:line="360" w:lineRule="auto"/>
        <w:rPr>
          <w:rFonts w:cs="Tahoma"/>
          <w:bCs/>
          <w:iCs/>
          <w:color w:val="auto"/>
        </w:rPr>
      </w:pPr>
      <w:r w:rsidRPr="00AA473B">
        <w:t>El finiquito.</w:t>
      </w:r>
    </w:p>
    <w:p w14:paraId="4835E8F7" w14:textId="77777777" w:rsidR="00AE3658" w:rsidRPr="00AA473B" w:rsidRDefault="00AE3658" w:rsidP="00AE3658">
      <w:pPr>
        <w:pStyle w:val="Prrafodelista"/>
        <w:spacing w:line="360" w:lineRule="auto"/>
        <w:rPr>
          <w:rFonts w:cs="Tahoma"/>
          <w:bCs/>
          <w:iCs/>
          <w:color w:val="auto"/>
        </w:rPr>
      </w:pPr>
    </w:p>
    <w:p w14:paraId="3252F410" w14:textId="5290F547" w:rsidR="00AE3658" w:rsidRPr="00AA473B" w:rsidRDefault="00AE3658" w:rsidP="00AE3658">
      <w:pPr>
        <w:spacing w:line="360" w:lineRule="auto"/>
        <w:rPr>
          <w:u w:val="single"/>
        </w:rPr>
      </w:pPr>
      <w:r w:rsidRPr="00AA473B">
        <w:rPr>
          <w:u w:val="single"/>
        </w:rPr>
        <w:t xml:space="preserve">b) De las adjudicaciones directas: </w:t>
      </w:r>
    </w:p>
    <w:p w14:paraId="728B2B46" w14:textId="77777777" w:rsidR="00AE3658" w:rsidRPr="00AA473B" w:rsidRDefault="00AE3658" w:rsidP="000D0FE9">
      <w:pPr>
        <w:pStyle w:val="Prrafodelista"/>
        <w:numPr>
          <w:ilvl w:val="0"/>
          <w:numId w:val="3"/>
        </w:numPr>
        <w:spacing w:line="360" w:lineRule="auto"/>
      </w:pPr>
      <w:r w:rsidRPr="00AA473B">
        <w:t>La propuesta enviada por el participante;</w:t>
      </w:r>
    </w:p>
    <w:p w14:paraId="4E692CD9" w14:textId="77777777" w:rsidR="00AE3658" w:rsidRPr="00AA473B" w:rsidRDefault="00AE3658" w:rsidP="000D0FE9">
      <w:pPr>
        <w:pStyle w:val="Prrafodelista"/>
        <w:numPr>
          <w:ilvl w:val="0"/>
          <w:numId w:val="3"/>
        </w:numPr>
        <w:spacing w:line="360" w:lineRule="auto"/>
      </w:pPr>
      <w:r w:rsidRPr="00AA473B">
        <w:t>Los motivos y fundamentos legales aplicados para llevarla a cabo;</w:t>
      </w:r>
    </w:p>
    <w:p w14:paraId="6FD8B56C" w14:textId="77777777" w:rsidR="00AE3658" w:rsidRPr="00AA473B" w:rsidRDefault="00AE3658" w:rsidP="000D0FE9">
      <w:pPr>
        <w:pStyle w:val="Prrafodelista"/>
        <w:numPr>
          <w:ilvl w:val="0"/>
          <w:numId w:val="3"/>
        </w:numPr>
        <w:spacing w:line="360" w:lineRule="auto"/>
      </w:pPr>
      <w:r w:rsidRPr="00AA473B">
        <w:t>La autorización del ejercicio de la opción;</w:t>
      </w:r>
    </w:p>
    <w:p w14:paraId="14387F3F" w14:textId="77777777" w:rsidR="00AE3658" w:rsidRPr="00AA473B" w:rsidRDefault="00AE3658" w:rsidP="000D0FE9">
      <w:pPr>
        <w:pStyle w:val="Prrafodelista"/>
        <w:numPr>
          <w:ilvl w:val="0"/>
          <w:numId w:val="3"/>
        </w:numPr>
        <w:spacing w:line="360" w:lineRule="auto"/>
      </w:pPr>
      <w:r w:rsidRPr="00AA473B">
        <w:t>En su caso, las cotizaciones consideradas, especificando los nombres de los proveedores y sus montos;</w:t>
      </w:r>
    </w:p>
    <w:p w14:paraId="76359D38" w14:textId="77777777" w:rsidR="00AE3658" w:rsidRPr="00AA473B" w:rsidRDefault="00AE3658" w:rsidP="000D0FE9">
      <w:pPr>
        <w:pStyle w:val="Prrafodelista"/>
        <w:numPr>
          <w:ilvl w:val="0"/>
          <w:numId w:val="3"/>
        </w:numPr>
        <w:spacing w:line="360" w:lineRule="auto"/>
      </w:pPr>
      <w:r w:rsidRPr="00AA473B">
        <w:t>El nombre de la persona física o jurídica colectiva adjudicada;</w:t>
      </w:r>
    </w:p>
    <w:p w14:paraId="7EF36CBF" w14:textId="77777777" w:rsidR="00AE3658" w:rsidRPr="00AA473B" w:rsidRDefault="00AE3658" w:rsidP="000D0FE9">
      <w:pPr>
        <w:pStyle w:val="Prrafodelista"/>
        <w:numPr>
          <w:ilvl w:val="0"/>
          <w:numId w:val="3"/>
        </w:numPr>
        <w:spacing w:line="360" w:lineRule="auto"/>
      </w:pPr>
      <w:r w:rsidRPr="00AA473B">
        <w:t>La unidad administrativa solicitante y la responsable de su ejecución;</w:t>
      </w:r>
    </w:p>
    <w:p w14:paraId="3D0C02AB" w14:textId="77777777" w:rsidR="00AE3658" w:rsidRPr="00AA473B" w:rsidRDefault="00AE3658" w:rsidP="000D0FE9">
      <w:pPr>
        <w:pStyle w:val="Prrafodelista"/>
        <w:numPr>
          <w:ilvl w:val="0"/>
          <w:numId w:val="3"/>
        </w:numPr>
        <w:spacing w:line="360" w:lineRule="auto"/>
      </w:pPr>
      <w:r w:rsidRPr="00AA473B">
        <w:lastRenderedPageBreak/>
        <w:t xml:space="preserve">El número, fecha, el monto del contrato y el plazo de entrega o de ejecución de los servicios u obra; </w:t>
      </w:r>
    </w:p>
    <w:p w14:paraId="19B38D7D" w14:textId="77777777" w:rsidR="00AE3658" w:rsidRPr="00AA473B" w:rsidRDefault="00AE3658" w:rsidP="000D0FE9">
      <w:pPr>
        <w:pStyle w:val="Prrafodelista"/>
        <w:numPr>
          <w:ilvl w:val="0"/>
          <w:numId w:val="3"/>
        </w:numPr>
        <w:spacing w:line="360" w:lineRule="auto"/>
      </w:pPr>
      <w:r w:rsidRPr="00AA473B">
        <w:t>Los mecanismos de vigilancia y supervisión, incluyendo, en su caso, los estudios de impacto urbano y ambiental, según corresponda;</w:t>
      </w:r>
    </w:p>
    <w:p w14:paraId="7D5AD070" w14:textId="77777777" w:rsidR="00AE3658" w:rsidRPr="00AA473B" w:rsidRDefault="00AE3658" w:rsidP="000D0FE9">
      <w:pPr>
        <w:pStyle w:val="Prrafodelista"/>
        <w:numPr>
          <w:ilvl w:val="0"/>
          <w:numId w:val="3"/>
        </w:numPr>
        <w:spacing w:line="360" w:lineRule="auto"/>
      </w:pPr>
      <w:r w:rsidRPr="00AA473B">
        <w:t>Los informes de avance sobre las obras o servicios contratados;</w:t>
      </w:r>
    </w:p>
    <w:p w14:paraId="1CE68535" w14:textId="77777777" w:rsidR="00AE3658" w:rsidRPr="00AA473B" w:rsidRDefault="00AE3658" w:rsidP="000D0FE9">
      <w:pPr>
        <w:pStyle w:val="Prrafodelista"/>
        <w:numPr>
          <w:ilvl w:val="0"/>
          <w:numId w:val="3"/>
        </w:numPr>
        <w:spacing w:line="360" w:lineRule="auto"/>
      </w:pPr>
      <w:r w:rsidRPr="00AA473B">
        <w:t xml:space="preserve">El convenio de terminación; y </w:t>
      </w:r>
    </w:p>
    <w:p w14:paraId="7BDCBEAD" w14:textId="17DD3929" w:rsidR="004E14DD" w:rsidRPr="00AA473B" w:rsidRDefault="00AE3658" w:rsidP="000D0FE9">
      <w:pPr>
        <w:pStyle w:val="Prrafodelista"/>
        <w:numPr>
          <w:ilvl w:val="0"/>
          <w:numId w:val="3"/>
        </w:numPr>
        <w:spacing w:line="360" w:lineRule="auto"/>
        <w:rPr>
          <w:rFonts w:cs="Tahoma"/>
          <w:bCs/>
          <w:iCs/>
          <w:color w:val="auto"/>
        </w:rPr>
      </w:pPr>
      <w:r w:rsidRPr="00AA473B">
        <w:t>El finiquito.</w:t>
      </w:r>
    </w:p>
    <w:p w14:paraId="64AC580A" w14:textId="77777777" w:rsidR="00AE3658" w:rsidRPr="00AA473B" w:rsidRDefault="00AE3658" w:rsidP="007808E0">
      <w:pPr>
        <w:spacing w:after="0" w:line="360" w:lineRule="auto"/>
        <w:rPr>
          <w:rFonts w:eastAsia="Times New Roman" w:cs="Tahoma"/>
          <w:bCs/>
          <w:iCs/>
          <w:color w:val="FF0000"/>
          <w:lang w:eastAsia="es-ES"/>
        </w:rPr>
      </w:pPr>
    </w:p>
    <w:p w14:paraId="51D12C3C" w14:textId="32FE18DC" w:rsidR="00B53D99" w:rsidRPr="00AA473B" w:rsidRDefault="00B53D99" w:rsidP="007808E0">
      <w:pPr>
        <w:spacing w:after="0" w:line="360" w:lineRule="auto"/>
      </w:pPr>
      <w:r w:rsidRPr="00AA473B">
        <w:rPr>
          <w:rFonts w:eastAsia="Times New Roman" w:cs="Tahoma"/>
          <w:bCs/>
          <w:iCs/>
          <w:color w:val="auto"/>
          <w:lang w:eastAsia="es-ES"/>
        </w:rPr>
        <w:t>En esa misma consecución de ideas, el artículo 92</w:t>
      </w:r>
      <w:r w:rsidR="005C2324" w:rsidRPr="00AA473B">
        <w:rPr>
          <w:rFonts w:eastAsia="Times New Roman" w:cs="Tahoma"/>
          <w:bCs/>
          <w:iCs/>
          <w:color w:val="auto"/>
          <w:lang w:eastAsia="es-ES"/>
        </w:rPr>
        <w:t>,</w:t>
      </w:r>
      <w:r w:rsidRPr="00AA473B">
        <w:rPr>
          <w:rFonts w:eastAsia="Times New Roman" w:cs="Tahoma"/>
          <w:bCs/>
          <w:iCs/>
          <w:color w:val="auto"/>
          <w:lang w:eastAsia="es-ES"/>
        </w:rPr>
        <w:t xml:space="preserve"> fracción VI</w:t>
      </w:r>
      <w:r w:rsidR="005C2324" w:rsidRPr="00AA473B">
        <w:rPr>
          <w:rFonts w:eastAsia="Times New Roman" w:cs="Tahoma"/>
          <w:bCs/>
          <w:iCs/>
          <w:color w:val="auto"/>
          <w:lang w:eastAsia="es-ES"/>
        </w:rPr>
        <w:t>,</w:t>
      </w:r>
      <w:r w:rsidRPr="00AA473B">
        <w:rPr>
          <w:rFonts w:eastAsia="Times New Roman" w:cs="Tahoma"/>
          <w:bCs/>
          <w:iCs/>
          <w:color w:val="auto"/>
          <w:lang w:eastAsia="es-ES"/>
        </w:rPr>
        <w:t xml:space="preserve"> del Bando Municipal </w:t>
      </w:r>
      <w:r w:rsidR="005C2324" w:rsidRPr="00AA473B">
        <w:rPr>
          <w:rFonts w:eastAsia="Times New Roman" w:cs="Tahoma"/>
          <w:bCs/>
          <w:iCs/>
          <w:color w:val="auto"/>
          <w:lang w:eastAsia="es-ES"/>
        </w:rPr>
        <w:t xml:space="preserve">de Toluca </w:t>
      </w:r>
      <w:r w:rsidRPr="00AA473B">
        <w:rPr>
          <w:rFonts w:eastAsia="Times New Roman" w:cs="Tahoma"/>
          <w:bCs/>
          <w:iCs/>
          <w:color w:val="auto"/>
          <w:lang w:eastAsia="es-ES"/>
        </w:rPr>
        <w:t xml:space="preserve">dos mil veinticinco, señala que la Dirección General de Administración </w:t>
      </w:r>
      <w:r w:rsidRPr="00AA473B">
        <w:t xml:space="preserve">es responsable entre otras cosas de dirigir los procesos de adquisición, arrendamiento y contratación de servicios, asegurando la eficiencia y transparencia en el uso de los recursos públicos. </w:t>
      </w:r>
    </w:p>
    <w:p w14:paraId="4A5C2ACF" w14:textId="77777777" w:rsidR="00B53D99" w:rsidRPr="00AA473B" w:rsidRDefault="00B53D99" w:rsidP="007808E0">
      <w:pPr>
        <w:spacing w:after="0" w:line="360" w:lineRule="auto"/>
      </w:pPr>
    </w:p>
    <w:p w14:paraId="42F57198" w14:textId="7CF999B6" w:rsidR="00B53D99" w:rsidRPr="00AA473B" w:rsidRDefault="00313C61" w:rsidP="007808E0">
      <w:pPr>
        <w:spacing w:after="0" w:line="360" w:lineRule="auto"/>
      </w:pPr>
      <w:r w:rsidRPr="00AA473B">
        <w:t xml:space="preserve">En ese sentido, el Código Reglamentario Municipal de Toluca en su artículo 3.40 establece que la Dirección General de Administración a través de su titular se encarga entre otras cosas de intervenir, vigilar y dar el seguimiento correspondiente a todos los procedimientos de adquisición, arrendamiento de inmuebles, contratación de servicios, enajenación y subasta de bienes. </w:t>
      </w:r>
    </w:p>
    <w:p w14:paraId="7F88707B" w14:textId="77777777" w:rsidR="00313C61" w:rsidRPr="00AA473B" w:rsidRDefault="00313C61" w:rsidP="007808E0">
      <w:pPr>
        <w:spacing w:after="0" w:line="360" w:lineRule="auto"/>
      </w:pPr>
    </w:p>
    <w:p w14:paraId="0D6194C5" w14:textId="47D3F480" w:rsidR="00313C61" w:rsidRPr="00AA473B" w:rsidRDefault="00313C61" w:rsidP="007808E0">
      <w:pPr>
        <w:spacing w:after="0" w:line="360" w:lineRule="auto"/>
      </w:pPr>
      <w:r w:rsidRPr="00AA473B">
        <w:t xml:space="preserve">Al respecto, el artículo 3.41 señala que la Dirección General de Administración, para el cumplimiento de sus atribuciones, se auxiliará de la Dirección de Recursos Humanos, de la </w:t>
      </w:r>
      <w:r w:rsidRPr="00AA473B">
        <w:rPr>
          <w:b/>
          <w:bCs/>
        </w:rPr>
        <w:t>Dirección de Recursos Materiales,</w:t>
      </w:r>
      <w:r w:rsidRPr="00AA473B">
        <w:t xml:space="preserve"> de la Dirección de Servicios Generales y de la Dirección de Tecnologías de la Información y Gobierno Digital.</w:t>
      </w:r>
    </w:p>
    <w:p w14:paraId="24F6C635" w14:textId="77777777" w:rsidR="00313C61" w:rsidRPr="00AA473B" w:rsidRDefault="00313C61" w:rsidP="007808E0">
      <w:pPr>
        <w:spacing w:after="0" w:line="360" w:lineRule="auto"/>
      </w:pPr>
    </w:p>
    <w:p w14:paraId="7695EC10" w14:textId="68E34ED3" w:rsidR="00313C61" w:rsidRPr="00AA473B" w:rsidRDefault="00313C61" w:rsidP="007808E0">
      <w:pPr>
        <w:spacing w:after="0" w:line="360" w:lineRule="auto"/>
      </w:pPr>
      <w:r w:rsidRPr="00AA473B">
        <w:t xml:space="preserve">Por su parte, el artículo 3.43 establece que la Dirección de Recursos Materiales </w:t>
      </w:r>
      <w:r w:rsidR="00D169C7" w:rsidRPr="00AA473B">
        <w:t xml:space="preserve">dentro de sus atribuciones se encarga de llevar a cabo los procedimientos para la adquisición de los bienes </w:t>
      </w:r>
      <w:r w:rsidR="00D169C7" w:rsidRPr="00AA473B">
        <w:lastRenderedPageBreak/>
        <w:t xml:space="preserve">y servicios y el arrendamiento, adquisición y enajenación de inmuebles, </w:t>
      </w:r>
      <w:r w:rsidR="000E2EA0" w:rsidRPr="00AA473B">
        <w:t>así como elaborar los contratos de adquisición de los bienes y servicios y de arrendamiento, adquisición y enajenación de inmuebles de competencia municipal.</w:t>
      </w:r>
    </w:p>
    <w:p w14:paraId="4F913862" w14:textId="77777777" w:rsidR="00F75050" w:rsidRPr="00AA473B" w:rsidRDefault="00F75050" w:rsidP="007808E0">
      <w:pPr>
        <w:spacing w:after="0" w:line="360" w:lineRule="auto"/>
      </w:pPr>
    </w:p>
    <w:p w14:paraId="1A8F2375" w14:textId="6AC8D1CF" w:rsidR="00887B25" w:rsidRPr="00AA473B" w:rsidRDefault="00887B25" w:rsidP="007808E0">
      <w:pPr>
        <w:spacing w:after="0" w:line="360" w:lineRule="auto"/>
      </w:pPr>
      <w:r w:rsidRPr="00AA473B">
        <w:t xml:space="preserve">Ahora bien, en relación con cuestiones relacionadas con el alumbrado público de la Dirección General de Servicios Públicos </w:t>
      </w:r>
      <w:r w:rsidR="0047240A" w:rsidRPr="00AA473B">
        <w:t>el artículo 92</w:t>
      </w:r>
      <w:r w:rsidR="00FC213A" w:rsidRPr="00AA473B">
        <w:t>,</w:t>
      </w:r>
      <w:r w:rsidR="0047240A" w:rsidRPr="00AA473B">
        <w:t xml:space="preserve"> fracción VIII</w:t>
      </w:r>
      <w:r w:rsidR="00FC213A" w:rsidRPr="00AA473B">
        <w:t>,</w:t>
      </w:r>
      <w:r w:rsidR="0047240A" w:rsidRPr="00AA473B">
        <w:t xml:space="preserve"> </w:t>
      </w:r>
      <w:r w:rsidR="0047240A" w:rsidRPr="00AA473B">
        <w:rPr>
          <w:rFonts w:eastAsia="Times New Roman" w:cs="Tahoma"/>
          <w:bCs/>
          <w:iCs/>
          <w:color w:val="auto"/>
          <w:lang w:eastAsia="es-ES"/>
        </w:rPr>
        <w:t xml:space="preserve">del Bando Municipal dos mil veinticinco, del Ayuntamiento de Toluca administración dos mil veinticinco, dos mil veintisiete, establece que la Dirección General de Servicios Públicos es </w:t>
      </w:r>
      <w:r w:rsidR="0047240A" w:rsidRPr="00AA473B">
        <w:t xml:space="preserve">responsable de la planeación, coordinación y administración de los servicios públicos municipales, asegurando su prestación eficiente y con el menor impacto ambiental. Asimismo, supervisará el </w:t>
      </w:r>
      <w:r w:rsidR="0047240A" w:rsidRPr="00AA473B">
        <w:rPr>
          <w:b/>
          <w:bCs/>
        </w:rPr>
        <w:t>mantenimiento y expansión del sistema de alumbrado público</w:t>
      </w:r>
      <w:r w:rsidR="0047240A" w:rsidRPr="00AA473B">
        <w:t>, en coordinación con los diversos órdenes de gobierno.</w:t>
      </w:r>
    </w:p>
    <w:p w14:paraId="360C995E" w14:textId="77777777" w:rsidR="0047240A" w:rsidRPr="00AA473B" w:rsidRDefault="0047240A" w:rsidP="007808E0">
      <w:pPr>
        <w:spacing w:after="0" w:line="360" w:lineRule="auto"/>
      </w:pPr>
    </w:p>
    <w:p w14:paraId="54E78B42" w14:textId="4D837662" w:rsidR="0047240A" w:rsidRPr="00AA473B" w:rsidRDefault="000315C2" w:rsidP="007808E0">
      <w:pPr>
        <w:spacing w:after="0" w:line="360" w:lineRule="auto"/>
      </w:pPr>
      <w:r w:rsidRPr="00AA473B">
        <w:t xml:space="preserve">En ese sentido, el artículo 3.52  del Código Reglamentario Municipal de Toluca refiere que la Dirección General de Servicios Públicos se encarga a través de su titular entre otras cosas de </w:t>
      </w:r>
      <w:r w:rsidRPr="00AA473B">
        <w:rPr>
          <w:b/>
          <w:bCs/>
        </w:rPr>
        <w:t>proponer y coordinar la planeación estratégica del alumbrado público</w:t>
      </w:r>
      <w:r w:rsidRPr="00AA473B">
        <w:t xml:space="preserve"> </w:t>
      </w:r>
      <w:r w:rsidRPr="00AA473B">
        <w:rPr>
          <w:b/>
          <w:bCs/>
        </w:rPr>
        <w:t>en el municipio con las instancias federales, estatales y del sector privado</w:t>
      </w:r>
      <w:r w:rsidRPr="00AA473B">
        <w:t>, así como de instruir el mantenimiento y reparación de las luminarias, focos, fotoceldas, contactos, arbotantes, bases y cualquier parte integrante del sistema de alumbrado público municipal.</w:t>
      </w:r>
    </w:p>
    <w:p w14:paraId="01149158" w14:textId="77777777" w:rsidR="000315C2" w:rsidRPr="00AA473B" w:rsidRDefault="000315C2" w:rsidP="007808E0">
      <w:pPr>
        <w:spacing w:after="0" w:line="360" w:lineRule="auto"/>
      </w:pPr>
    </w:p>
    <w:p w14:paraId="02D7722D" w14:textId="26A6BE86" w:rsidR="000315C2" w:rsidRPr="00AA473B" w:rsidRDefault="00F15B25" w:rsidP="007808E0">
      <w:pPr>
        <w:spacing w:after="0" w:line="360" w:lineRule="auto"/>
      </w:pPr>
      <w:r w:rsidRPr="00AA473B">
        <w:t>Al respecto</w:t>
      </w:r>
      <w:r w:rsidR="00106235" w:rsidRPr="00AA473B">
        <w:t>,</w:t>
      </w:r>
      <w:r w:rsidRPr="00AA473B">
        <w:t xml:space="preserve"> el Manual de Organización de la Dirección General de Servicios </w:t>
      </w:r>
      <w:r w:rsidR="00396FA8" w:rsidRPr="00AA473B">
        <w:t>Públicos de</w:t>
      </w:r>
      <w:r w:rsidRPr="00AA473B">
        <w:t xml:space="preserve"> la Administración dos mil veintidós, dos </w:t>
      </w:r>
      <w:r w:rsidR="00396FA8" w:rsidRPr="00AA473B">
        <w:t>mil veinticuatro,</w:t>
      </w:r>
      <w:r w:rsidR="001A4408" w:rsidRPr="00AA473B">
        <w:t xml:space="preserve"> aún aplicable,</w:t>
      </w:r>
      <w:r w:rsidR="00396FA8" w:rsidRPr="00AA473B">
        <w:t xml:space="preserve"> señala que dicha Dirección se encarga de dirigir, coordinar, administrar y planear la prestación de los servicios públicos</w:t>
      </w:r>
      <w:r w:rsidR="004F6C17" w:rsidRPr="00AA473B">
        <w:t>, dentro de los cuales se encuentra el alumbrado público.</w:t>
      </w:r>
    </w:p>
    <w:p w14:paraId="0A7135F6" w14:textId="77777777" w:rsidR="004F6C17" w:rsidRPr="00AA473B" w:rsidRDefault="004F6C17" w:rsidP="007808E0">
      <w:pPr>
        <w:spacing w:after="0" w:line="360" w:lineRule="auto"/>
      </w:pPr>
    </w:p>
    <w:p w14:paraId="2BB45012" w14:textId="50083B48" w:rsidR="004F6C17" w:rsidRPr="00AA473B" w:rsidRDefault="004F6C17" w:rsidP="007808E0">
      <w:pPr>
        <w:spacing w:after="0" w:line="360" w:lineRule="auto"/>
      </w:pPr>
      <w:r w:rsidRPr="00AA473B">
        <w:lastRenderedPageBreak/>
        <w:t xml:space="preserve">Así mismo, señala que la Dirección General de Servicios Públicos cuenta con una Delegación Administrativa encargada de planear, organizar, coordinar, tramitar y controlar las acciones en el suministro y </w:t>
      </w:r>
      <w:r w:rsidRPr="00AA473B">
        <w:rPr>
          <w:b/>
          <w:bCs/>
        </w:rPr>
        <w:t>aplicación de los recursos</w:t>
      </w:r>
      <w:r w:rsidRPr="00AA473B">
        <w:t xml:space="preserve"> humanos, </w:t>
      </w:r>
      <w:r w:rsidRPr="00AA473B">
        <w:rPr>
          <w:b/>
          <w:bCs/>
        </w:rPr>
        <w:t>financieros,</w:t>
      </w:r>
      <w:r w:rsidRPr="00AA473B">
        <w:t xml:space="preserve"> materiales y servicios generales o técnicos necesarios para el eficiente y eficaz funcionamiento de las unidades administrativas</w:t>
      </w:r>
      <w:r w:rsidR="00272B77" w:rsidRPr="00AA473B">
        <w:t xml:space="preserve">. </w:t>
      </w:r>
    </w:p>
    <w:p w14:paraId="62A4C1F5" w14:textId="77777777" w:rsidR="005C2324" w:rsidRPr="00AA473B" w:rsidRDefault="005C2324" w:rsidP="007808E0">
      <w:pPr>
        <w:spacing w:after="0" w:line="360" w:lineRule="auto"/>
      </w:pPr>
    </w:p>
    <w:p w14:paraId="220F370B" w14:textId="0626E040" w:rsidR="00272B77" w:rsidRPr="00AA473B" w:rsidRDefault="00272B77" w:rsidP="007808E0">
      <w:pPr>
        <w:spacing w:after="0" w:line="360" w:lineRule="auto"/>
      </w:pPr>
      <w:r w:rsidRPr="00AA473B">
        <w:t xml:space="preserve">Además, dentro de sus funciones la Delegación Administrativa se encarga entre otras cosas de </w:t>
      </w:r>
      <w:r w:rsidRPr="00AA473B">
        <w:rPr>
          <w:b/>
          <w:bCs/>
        </w:rPr>
        <w:t>elaborar, controlar y gestionar la solicitud de suficiencia presupuestal para adquisición de bienes y/o servicios, en</w:t>
      </w:r>
      <w:r w:rsidRPr="00AA473B">
        <w:t xml:space="preserve"> relación al presupuesto de egresos autorizado, de acuerdo a la normatividad aplicable, y en su caso efectuar las adecuaciones programáticas presupuestales correspondientes ante la Unidad de Información, Planeación, Programación y Evaluación y la Tesorería Municipal.</w:t>
      </w:r>
    </w:p>
    <w:p w14:paraId="693A7235" w14:textId="77777777" w:rsidR="00272B77" w:rsidRPr="00AA473B" w:rsidRDefault="00272B77" w:rsidP="007808E0">
      <w:pPr>
        <w:spacing w:after="0" w:line="360" w:lineRule="auto"/>
      </w:pPr>
    </w:p>
    <w:p w14:paraId="5B8B62DB" w14:textId="091FF531" w:rsidR="00272B77" w:rsidRPr="00AA473B" w:rsidRDefault="001A4408" w:rsidP="007808E0">
      <w:pPr>
        <w:spacing w:after="0" w:line="360" w:lineRule="auto"/>
      </w:pPr>
      <w:r w:rsidRPr="00AA473B">
        <w:t>En ese mismo sentido, el Manual de Organización en comento refiere que la Dirección General de Servicios Públicos</w:t>
      </w:r>
      <w:r w:rsidR="009F41CC" w:rsidRPr="00AA473B">
        <w:t xml:space="preserve">, cuenta con una Dirección de Alumbrado Público encargada de </w:t>
      </w:r>
      <w:r w:rsidR="009F41CC" w:rsidRPr="00AA473B">
        <w:rPr>
          <w:b/>
          <w:bCs/>
        </w:rPr>
        <w:t>planear, organizar, coordinar, desarrollar y proponer proyectos que permitan mejoras tecnológicas a través de la sustitución y mantenimiento de luminarias en las diferentes delegaciones municipales</w:t>
      </w:r>
      <w:r w:rsidR="009F41CC" w:rsidRPr="00AA473B">
        <w:t>.</w:t>
      </w:r>
    </w:p>
    <w:p w14:paraId="4AF15F69" w14:textId="77777777" w:rsidR="00F01C8E" w:rsidRPr="00AA473B" w:rsidRDefault="00F01C8E" w:rsidP="007808E0">
      <w:pPr>
        <w:spacing w:after="0" w:line="360" w:lineRule="auto"/>
        <w:rPr>
          <w:rFonts w:eastAsia="Times New Roman" w:cs="Tahoma"/>
          <w:bCs/>
          <w:iCs/>
          <w:color w:val="auto"/>
          <w:lang w:eastAsia="es-ES"/>
        </w:rPr>
      </w:pPr>
    </w:p>
    <w:p w14:paraId="39E55DAB" w14:textId="2BFE90FC" w:rsidR="00B53D99" w:rsidRPr="00AA473B" w:rsidRDefault="004955CE" w:rsidP="007808E0">
      <w:pPr>
        <w:spacing w:after="0" w:line="360" w:lineRule="auto"/>
        <w:rPr>
          <w:rFonts w:eastAsia="Times New Roman" w:cs="Tahoma"/>
          <w:b/>
          <w:bCs/>
          <w:iCs/>
          <w:color w:val="auto"/>
          <w:lang w:eastAsia="es-ES"/>
        </w:rPr>
      </w:pPr>
      <w:r w:rsidRPr="00AA473B">
        <w:rPr>
          <w:rFonts w:eastAsia="Times New Roman" w:cs="Tahoma"/>
          <w:bCs/>
          <w:iCs/>
          <w:color w:val="auto"/>
          <w:lang w:eastAsia="es-ES"/>
        </w:rPr>
        <w:t xml:space="preserve">Por otra parte, el artículo </w:t>
      </w:r>
      <w:r w:rsidR="00BC0864" w:rsidRPr="00AA473B">
        <w:rPr>
          <w:rFonts w:eastAsia="Times New Roman" w:cs="Tahoma"/>
          <w:bCs/>
          <w:iCs/>
          <w:color w:val="auto"/>
          <w:lang w:eastAsia="es-ES"/>
        </w:rPr>
        <w:t>3.19 del</w:t>
      </w:r>
      <w:r w:rsidRPr="00AA473B">
        <w:rPr>
          <w:rFonts w:eastAsia="Times New Roman" w:cs="Tahoma"/>
          <w:bCs/>
          <w:iCs/>
          <w:color w:val="auto"/>
          <w:lang w:eastAsia="es-ES"/>
        </w:rPr>
        <w:t xml:space="preserve"> </w:t>
      </w:r>
      <w:r w:rsidRPr="00AA473B">
        <w:t xml:space="preserve">Código Reglamentario Municipal de Toluca señala que la Tesorería Municipal supervisa el registro y control de las operaciones financieras presupuestales y contables, revisar y autorizar la integración de los informes mensuales y la cuenta pública anual del Municipio, así como </w:t>
      </w:r>
      <w:r w:rsidRPr="00AA473B">
        <w:rPr>
          <w:b/>
          <w:bCs/>
        </w:rPr>
        <w:t>analizar las solicitudes de asignación presupuestaria entregadas por las áreas y, en su caso emitir las notificaciones correspondientes.</w:t>
      </w:r>
    </w:p>
    <w:p w14:paraId="271D85C1" w14:textId="77777777" w:rsidR="006404F6" w:rsidRPr="00AA473B" w:rsidRDefault="006404F6" w:rsidP="009644D7">
      <w:pPr>
        <w:spacing w:after="0" w:line="360" w:lineRule="auto"/>
        <w:rPr>
          <w:rFonts w:eastAsia="Times New Roman" w:cs="Tahoma"/>
          <w:bCs/>
          <w:iCs/>
          <w:color w:val="FF0000"/>
          <w:lang w:eastAsia="es-ES"/>
        </w:rPr>
      </w:pPr>
    </w:p>
    <w:p w14:paraId="4129B16E" w14:textId="489A9FA1" w:rsidR="005C2324" w:rsidRPr="00AA473B" w:rsidRDefault="00E16729" w:rsidP="00BC0864">
      <w:pPr>
        <w:spacing w:after="0" w:line="360" w:lineRule="auto"/>
        <w:rPr>
          <w:rFonts w:eastAsia="Times New Roman" w:cs="Tahoma"/>
          <w:bCs/>
          <w:iCs/>
          <w:color w:val="auto"/>
          <w:lang w:eastAsia="es-ES"/>
        </w:rPr>
      </w:pPr>
      <w:r w:rsidRPr="00AA473B">
        <w:rPr>
          <w:rFonts w:eastAsia="Times New Roman" w:cs="Tahoma"/>
          <w:bCs/>
          <w:iCs/>
          <w:color w:val="auto"/>
          <w:lang w:eastAsia="es-ES"/>
        </w:rPr>
        <w:lastRenderedPageBreak/>
        <w:t xml:space="preserve">Conforme a lo anterior, se logra vislumbrar que la pretensión de la persona Recurrente es obtener </w:t>
      </w:r>
      <w:r w:rsidR="005C2324" w:rsidRPr="00AA473B">
        <w:rPr>
          <w:rFonts w:eastAsia="Times New Roman" w:cs="Tahoma"/>
          <w:bCs/>
          <w:iCs/>
          <w:color w:val="auto"/>
          <w:lang w:eastAsia="es-ES"/>
        </w:rPr>
        <w:t>los documentos que conforman el expediente de adjudicación de luminarias, realizado entre el primero de enero al veintitrés de abril de dos mil veinticinco (fecha de presentación de la solicitud).</w:t>
      </w:r>
    </w:p>
    <w:p w14:paraId="51B78EAD" w14:textId="77777777" w:rsidR="005C2324" w:rsidRPr="00AA473B" w:rsidRDefault="005C2324" w:rsidP="00BC0864">
      <w:pPr>
        <w:spacing w:after="0" w:line="360" w:lineRule="auto"/>
        <w:rPr>
          <w:rFonts w:eastAsia="Times New Roman" w:cs="Tahoma"/>
          <w:bCs/>
          <w:iCs/>
          <w:color w:val="auto"/>
          <w:lang w:eastAsia="es-ES"/>
        </w:rPr>
      </w:pPr>
    </w:p>
    <w:p w14:paraId="38766AFB" w14:textId="06B996B3" w:rsidR="007A0D80" w:rsidRPr="00AA473B" w:rsidRDefault="00BA6C50" w:rsidP="009644D7">
      <w:pPr>
        <w:spacing w:after="0" w:line="360" w:lineRule="auto"/>
        <w:rPr>
          <w:color w:val="auto"/>
        </w:rPr>
      </w:pPr>
      <w:r w:rsidRPr="00AA473B">
        <w:rPr>
          <w:color w:val="auto"/>
          <w:lang w:eastAsia="es-ES_tradnl"/>
        </w:rPr>
        <w:t>Establecida dicha circunstancia</w:t>
      </w:r>
      <w:r w:rsidRPr="00AA473B">
        <w:rPr>
          <w:color w:val="auto"/>
        </w:rPr>
        <w:t xml:space="preserve">, de las constancias que obran en el expediente electrónico, se advierte que el Sujeto Obligado turnó la solicitud de información a la Dirección </w:t>
      </w:r>
      <w:r w:rsidR="005050BD" w:rsidRPr="00AA473B">
        <w:rPr>
          <w:color w:val="auto"/>
        </w:rPr>
        <w:t>General de Obras Públicas</w:t>
      </w:r>
      <w:r w:rsidR="006E04E3" w:rsidRPr="00AA473B">
        <w:rPr>
          <w:color w:val="auto"/>
        </w:rPr>
        <w:t xml:space="preserve"> y la Dirección General de Administración</w:t>
      </w:r>
      <w:r w:rsidRPr="00AA473B">
        <w:rPr>
          <w:color w:val="auto"/>
        </w:rPr>
        <w:t xml:space="preserve">; por lo que, es oportuno hacer referencia al </w:t>
      </w:r>
      <w:r w:rsidRPr="00AA473B">
        <w:rPr>
          <w:b/>
          <w:color w:val="auto"/>
        </w:rPr>
        <w:t>procedimiento de búsqueda que deben de seguir los Sujetos Obligados para localizar la información</w:t>
      </w:r>
      <w:r w:rsidRPr="00AA473B">
        <w:rPr>
          <w:color w:val="auto"/>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E35FF1F" w14:textId="77777777" w:rsidR="006E04E3" w:rsidRPr="00AA473B" w:rsidRDefault="006E04E3" w:rsidP="009644D7">
      <w:pPr>
        <w:spacing w:after="0" w:line="360" w:lineRule="auto"/>
        <w:rPr>
          <w:color w:val="auto"/>
        </w:rPr>
      </w:pPr>
    </w:p>
    <w:p w14:paraId="00384C0E" w14:textId="61866B4C" w:rsidR="006E04E3" w:rsidRPr="00AA473B" w:rsidRDefault="00BA6C50" w:rsidP="00BA6C50">
      <w:pPr>
        <w:spacing w:after="0" w:line="360" w:lineRule="auto"/>
        <w:rPr>
          <w:color w:val="auto"/>
        </w:rPr>
      </w:pPr>
      <w:r w:rsidRPr="00AA473B">
        <w:rPr>
          <w:color w:val="auto"/>
        </w:rPr>
        <w:t xml:space="preserve">Así y de lo plasmado en párrafos anteriores, se logra colegir que el Sujeto </w:t>
      </w:r>
      <w:r w:rsidR="006E04E3" w:rsidRPr="00AA473B">
        <w:rPr>
          <w:color w:val="auto"/>
        </w:rPr>
        <w:t xml:space="preserve">Obligado no </w:t>
      </w:r>
      <w:r w:rsidRPr="00AA473B">
        <w:rPr>
          <w:color w:val="auto"/>
        </w:rPr>
        <w:t xml:space="preserve">cumplió con el procedimiento de búsqueda establecido en el artículo 162 de la Ley de Transparencia y Acceso a la Información Pública del Estado de México y Municipios, toda vez, que </w:t>
      </w:r>
      <w:r w:rsidR="006E04E3" w:rsidRPr="00AA473B">
        <w:rPr>
          <w:color w:val="auto"/>
        </w:rPr>
        <w:t>fue omiso en turnar el requerimiento informativo a todas las áreas competentes para conocer de lo solicitado, a saber, de la Dirección de Servicios Públicos y la Tesorería Municipal.</w:t>
      </w:r>
    </w:p>
    <w:p w14:paraId="00925233" w14:textId="77777777" w:rsidR="00BA6C50" w:rsidRPr="00AA473B" w:rsidRDefault="00BA6C50" w:rsidP="009644D7">
      <w:pPr>
        <w:spacing w:after="0" w:line="360" w:lineRule="auto"/>
        <w:rPr>
          <w:rFonts w:eastAsia="Times New Roman" w:cs="Tahoma"/>
          <w:bCs/>
          <w:iCs/>
          <w:color w:val="auto"/>
          <w:lang w:eastAsia="es-ES"/>
        </w:rPr>
      </w:pPr>
    </w:p>
    <w:p w14:paraId="06678845" w14:textId="2F9DF3BC" w:rsidR="004778EF" w:rsidRPr="00AA473B" w:rsidRDefault="00BA6C50" w:rsidP="004778EF">
      <w:pPr>
        <w:spacing w:after="0" w:line="360" w:lineRule="auto"/>
        <w:rPr>
          <w:color w:val="auto"/>
        </w:rPr>
      </w:pPr>
      <w:r w:rsidRPr="00AA473B">
        <w:rPr>
          <w:color w:val="auto"/>
        </w:rPr>
        <w:t xml:space="preserve">Ahora bien, tanto en respuesta, como en Informe Justificado, la </w:t>
      </w:r>
      <w:r w:rsidR="004778EF" w:rsidRPr="00AA473B">
        <w:rPr>
          <w:color w:val="auto"/>
        </w:rPr>
        <w:t>Dirección General de Obras Públicas señal</w:t>
      </w:r>
      <w:r w:rsidR="005C2324" w:rsidRPr="00AA473B">
        <w:rPr>
          <w:color w:val="auto"/>
        </w:rPr>
        <w:t>ó</w:t>
      </w:r>
      <w:r w:rsidR="004778EF" w:rsidRPr="00AA473B">
        <w:rPr>
          <w:color w:val="auto"/>
        </w:rPr>
        <w:t xml:space="preserve"> que no era competencia de esta área administrativa el generar ni administrar la expresión documental que dé cuenta de la adjudicación de luminarias, sin embargo, se </w:t>
      </w:r>
      <w:r w:rsidR="004778EF" w:rsidRPr="00AA473B">
        <w:rPr>
          <w:color w:val="auto"/>
        </w:rPr>
        <w:lastRenderedPageBreak/>
        <w:t>realizó la búsqueda exhaustiva y razonable de lo requerido por el solicitante en los archivos que se encuentran bajo su resguardo y custodia, búsqueda en la que se concluyó que atendiendo a la temporalidad indicada por el peticionario, no se localizó expresión documental que dé cuenta de lo requerido.</w:t>
      </w:r>
    </w:p>
    <w:p w14:paraId="3368D816" w14:textId="4CE364FB" w:rsidR="006E04E3" w:rsidRPr="00AA473B" w:rsidRDefault="006E04E3" w:rsidP="00BA6C50">
      <w:pPr>
        <w:spacing w:after="0" w:line="360" w:lineRule="auto"/>
        <w:rPr>
          <w:color w:val="auto"/>
        </w:rPr>
      </w:pPr>
    </w:p>
    <w:p w14:paraId="584DD832" w14:textId="77777777" w:rsidR="00FA1A41" w:rsidRPr="00AA473B" w:rsidRDefault="004778EF" w:rsidP="005C2324">
      <w:pPr>
        <w:spacing w:after="0" w:line="360" w:lineRule="auto"/>
      </w:pPr>
      <w:r w:rsidRPr="00AA473B">
        <w:rPr>
          <w:color w:val="auto"/>
        </w:rPr>
        <w:t>Por su parte la Departamento de Recursos Materiales de la Dirección General de Administración, refirió que después de haber realizado una búsqueda en los archivos que obran en esta Dirección y sus Departamentos, no se localizó registro documental de "adjudicación de luminarias para el municipio de Toluca 2025", en ninguna de sus modalidades</w:t>
      </w:r>
      <w:r w:rsidR="000D1C1A" w:rsidRPr="00AA473B">
        <w:rPr>
          <w:color w:val="auto"/>
        </w:rPr>
        <w:t xml:space="preserve">; </w:t>
      </w:r>
      <w:r w:rsidR="000D1C1A" w:rsidRPr="00AA473B">
        <w:t xml:space="preserve">sobre el tema, el Criterio SO/014/2017, emitido por el Instituto Nacional de Transparencia, Acceso a la Información Pública y Protección de Datos Personales en el Estado de México y Municipios, </w:t>
      </w:r>
      <w:r w:rsidR="005C2324" w:rsidRPr="00AA473B">
        <w:t>el cual establece que</w:t>
      </w:r>
      <w:r w:rsidR="00BB0C45" w:rsidRPr="00AA473B">
        <w:t xml:space="preserve"> la inexistencia de la información, es una cuestión de hecho que se le atribuye a la misma, cuando ésta no se encuentra en los archivos del sujeto obligado. </w:t>
      </w:r>
    </w:p>
    <w:p w14:paraId="6D9E7672" w14:textId="77777777" w:rsidR="00FA1A41" w:rsidRPr="00AA473B" w:rsidRDefault="00FA1A41" w:rsidP="005C2324">
      <w:pPr>
        <w:spacing w:after="0" w:line="360" w:lineRule="auto"/>
      </w:pPr>
    </w:p>
    <w:p w14:paraId="260B25CA" w14:textId="3D6BDA32" w:rsidR="004778EF" w:rsidRPr="00AA473B" w:rsidRDefault="00BB0C45" w:rsidP="005C2324">
      <w:pPr>
        <w:spacing w:after="0" w:line="360" w:lineRule="auto"/>
      </w:pPr>
      <w:r w:rsidRPr="00AA473B">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362E62B3" w14:textId="77777777" w:rsidR="00BB0C45" w:rsidRPr="00AA473B" w:rsidRDefault="00BB0C45" w:rsidP="00BA6C50">
      <w:pPr>
        <w:spacing w:after="0" w:line="360" w:lineRule="auto"/>
      </w:pPr>
    </w:p>
    <w:p w14:paraId="40D96752" w14:textId="401DC7A5" w:rsidR="00BB0C45" w:rsidRPr="00AA473B" w:rsidRDefault="00BB0C45" w:rsidP="00BA6C50">
      <w:pPr>
        <w:spacing w:after="0" w:line="360" w:lineRule="auto"/>
      </w:pPr>
      <w:r w:rsidRPr="00AA473B">
        <w:t xml:space="preserve">Conforme a lo anterior, la </w:t>
      </w:r>
      <w:r w:rsidRPr="00AA473B">
        <w:rPr>
          <w:b/>
          <w:bCs/>
        </w:rPr>
        <w:t xml:space="preserve">inexistencia </w:t>
      </w:r>
      <w:r w:rsidRPr="00AA473B">
        <w:t xml:space="preserve">presupone la competencia del sujeto obligado para conocer de la información, pero por alguna circunstancia, la documentación solicitada no obra en sus archivos; sin embargo, para poder acreditar dicha circunstancia, se considera que los Sujetos Obligados, </w:t>
      </w:r>
      <w:r w:rsidRPr="00AA473B">
        <w:rPr>
          <w:b/>
          <w:bCs/>
        </w:rPr>
        <w:t>primero deben realizar una indagación en todos los archivos de las áreas con funciones para conocer de lo peticionado.</w:t>
      </w:r>
    </w:p>
    <w:p w14:paraId="0CA46981" w14:textId="77777777" w:rsidR="00BB0C45" w:rsidRPr="00AA473B" w:rsidRDefault="00BB0C45" w:rsidP="00BA6C50">
      <w:pPr>
        <w:spacing w:after="0" w:line="360" w:lineRule="auto"/>
      </w:pPr>
    </w:p>
    <w:p w14:paraId="5EB8BB0F" w14:textId="60CBD206" w:rsidR="00BB0C45" w:rsidRPr="00AA473B" w:rsidRDefault="00BB3BD9" w:rsidP="00BA6C50">
      <w:pPr>
        <w:spacing w:after="0" w:line="360" w:lineRule="auto"/>
        <w:rPr>
          <w:b/>
          <w:bCs/>
        </w:rPr>
      </w:pPr>
      <w:r w:rsidRPr="00AA473B">
        <w:lastRenderedPageBreak/>
        <w:t xml:space="preserve">En ese sentido, según Jarquín, Soledad (2019), en el “Diccionario de Transparencia y Acceso a la Información Pública” (p. 68), </w:t>
      </w:r>
      <w:r w:rsidRPr="00AA473B">
        <w:rPr>
          <w:b/>
          <w:bCs/>
        </w:rPr>
        <w:t>la búsqueda exhaustiva</w:t>
      </w:r>
      <w:r w:rsidRPr="00AA473B">
        <w:t xml:space="preserve"> es la obligación del área administrativa del Sujeto Obligado que cuenta o puede contar con la información requerida, la cual consiste en localizar toda aquella que atienda la solicitud, </w:t>
      </w:r>
      <w:r w:rsidRPr="00AA473B">
        <w:rPr>
          <w:b/>
          <w:bCs/>
        </w:rPr>
        <w:t>hasta agotar por completo las posibilidades de indagación.</w:t>
      </w:r>
    </w:p>
    <w:p w14:paraId="623FF0E6" w14:textId="77777777" w:rsidR="00BB3BD9" w:rsidRPr="00AA473B" w:rsidRDefault="00BB3BD9" w:rsidP="00BA6C50">
      <w:pPr>
        <w:spacing w:after="0" w:line="360" w:lineRule="auto"/>
        <w:rPr>
          <w:b/>
          <w:bCs/>
        </w:rPr>
      </w:pPr>
    </w:p>
    <w:p w14:paraId="6B597E7B" w14:textId="4E0A7E81" w:rsidR="00BB3BD9" w:rsidRPr="00AA473B" w:rsidRDefault="00BB3BD9" w:rsidP="00BA6C50">
      <w:pPr>
        <w:spacing w:after="0" w:line="360" w:lineRule="auto"/>
        <w:rPr>
          <w:b/>
          <w:bCs/>
        </w:rPr>
      </w:pPr>
      <w:r w:rsidRPr="00AA473B">
        <w:t xml:space="preserve">Además, según Calero, Natalia (2016), en la “Ley General de Transparencia y Acceso a la Información Pública Comentada” (p. 408), para que exista una búsqueda exhaustiva y razonable, se debe hacer una </w:t>
      </w:r>
      <w:r w:rsidRPr="00AA473B">
        <w:rPr>
          <w:b/>
          <w:bCs/>
        </w:rPr>
        <w:t>indagación consiente y minuciosa en sus archivos físicos y electrónicos.</w:t>
      </w:r>
    </w:p>
    <w:p w14:paraId="73A02DD6" w14:textId="77777777" w:rsidR="00BB0C45" w:rsidRPr="00AA473B" w:rsidRDefault="00BB0C45" w:rsidP="00BA6C50">
      <w:pPr>
        <w:spacing w:after="0" w:line="360" w:lineRule="auto"/>
        <w:rPr>
          <w:color w:val="FF0000"/>
        </w:rPr>
      </w:pPr>
    </w:p>
    <w:p w14:paraId="45C9B9B9" w14:textId="21E90404" w:rsidR="00BB3BD9" w:rsidRPr="00AA473B" w:rsidRDefault="00BB3BD9" w:rsidP="00BA6C50">
      <w:pPr>
        <w:spacing w:after="0" w:line="360" w:lineRule="auto"/>
        <w:rPr>
          <w:b/>
          <w:bCs/>
        </w:rPr>
      </w:pPr>
      <w:r w:rsidRPr="00AA473B">
        <w:t xml:space="preserve">Conforme a lo anterior, para poder acreditar el carácter exhaustivo de la búsqueda realizada por los Sujetos Obligados, se deben motivar las razones por las que se buscó la información en determinadas áreas, </w:t>
      </w:r>
      <w:r w:rsidRPr="00AA473B">
        <w:rPr>
          <w:b/>
          <w:bCs/>
        </w:rPr>
        <w:t>los criterios de búsqueda utilizados y demás circunstancias que fueron tomadas en cuenta.</w:t>
      </w:r>
    </w:p>
    <w:p w14:paraId="0623B69C" w14:textId="77777777" w:rsidR="00BB3BD9" w:rsidRPr="00AA473B" w:rsidRDefault="00BB3BD9" w:rsidP="00BA6C50">
      <w:pPr>
        <w:spacing w:after="0" w:line="360" w:lineRule="auto"/>
        <w:rPr>
          <w:b/>
          <w:bCs/>
        </w:rPr>
      </w:pPr>
    </w:p>
    <w:p w14:paraId="49DBA101" w14:textId="295556B7" w:rsidR="00BB3BD9" w:rsidRPr="00AA473B" w:rsidRDefault="00B845EC" w:rsidP="00BA6C50">
      <w:pPr>
        <w:spacing w:after="0" w:line="360" w:lineRule="auto"/>
      </w:pPr>
      <w:r w:rsidRPr="00AA473B">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126AF46" w14:textId="77777777" w:rsidR="00FA1A41" w:rsidRPr="00AA473B" w:rsidRDefault="00FA1A41" w:rsidP="00BA6C50">
      <w:pPr>
        <w:spacing w:after="0" w:line="360" w:lineRule="auto"/>
      </w:pPr>
    </w:p>
    <w:p w14:paraId="5E04F162" w14:textId="77777777" w:rsidR="00B845EC" w:rsidRPr="00AA473B" w:rsidRDefault="00B845EC" w:rsidP="000D0FE9">
      <w:pPr>
        <w:pStyle w:val="Prrafodelista"/>
        <w:numPr>
          <w:ilvl w:val="0"/>
          <w:numId w:val="1"/>
        </w:numPr>
        <w:spacing w:line="360" w:lineRule="auto"/>
        <w:rPr>
          <w:color w:val="auto"/>
        </w:rPr>
      </w:pPr>
      <w:r w:rsidRPr="00AA473B">
        <w:rPr>
          <w:color w:val="auto"/>
        </w:rPr>
        <w:t>Motivación por las que se buscó la información, en determinadas unidades administrativas;</w:t>
      </w:r>
    </w:p>
    <w:p w14:paraId="6D3716F7" w14:textId="77777777" w:rsidR="00FA1A41" w:rsidRPr="00AA473B" w:rsidRDefault="00FA1A41" w:rsidP="00FA1A41">
      <w:pPr>
        <w:pStyle w:val="Prrafodelista"/>
        <w:spacing w:line="360" w:lineRule="auto"/>
        <w:rPr>
          <w:color w:val="auto"/>
        </w:rPr>
      </w:pPr>
    </w:p>
    <w:p w14:paraId="3E715DD1" w14:textId="77777777" w:rsidR="00FA1A41" w:rsidRPr="00AA473B" w:rsidRDefault="00FA1A41" w:rsidP="00FA1A41">
      <w:pPr>
        <w:pStyle w:val="Prrafodelista"/>
        <w:spacing w:line="360" w:lineRule="auto"/>
        <w:rPr>
          <w:color w:val="auto"/>
        </w:rPr>
      </w:pPr>
    </w:p>
    <w:p w14:paraId="6D8857FE" w14:textId="437AEDE3" w:rsidR="00B845EC" w:rsidRPr="00AA473B" w:rsidRDefault="00B845EC" w:rsidP="000D0FE9">
      <w:pPr>
        <w:pStyle w:val="Prrafodelista"/>
        <w:numPr>
          <w:ilvl w:val="0"/>
          <w:numId w:val="1"/>
        </w:numPr>
        <w:spacing w:line="360" w:lineRule="auto"/>
        <w:rPr>
          <w:color w:val="auto"/>
        </w:rPr>
      </w:pPr>
      <w:r w:rsidRPr="00AA473B">
        <w:rPr>
          <w:color w:val="auto"/>
        </w:rPr>
        <w:t>Los criterios de búsqueda utilizados, y</w:t>
      </w:r>
    </w:p>
    <w:p w14:paraId="2696F580" w14:textId="0F5FE95D" w:rsidR="00B845EC" w:rsidRPr="00AA473B" w:rsidRDefault="00B845EC" w:rsidP="000D0FE9">
      <w:pPr>
        <w:pStyle w:val="Prrafodelista"/>
        <w:numPr>
          <w:ilvl w:val="0"/>
          <w:numId w:val="1"/>
        </w:numPr>
        <w:spacing w:line="360" w:lineRule="auto"/>
        <w:rPr>
          <w:color w:val="auto"/>
        </w:rPr>
      </w:pPr>
      <w:r w:rsidRPr="00AA473B">
        <w:rPr>
          <w:color w:val="auto"/>
        </w:rPr>
        <w:t>Las circunstancias que fueron tomadas en cuenta</w:t>
      </w:r>
    </w:p>
    <w:p w14:paraId="40195493" w14:textId="77777777" w:rsidR="00BB3BD9" w:rsidRPr="00AA473B" w:rsidRDefault="00BB3BD9" w:rsidP="00BA6C50">
      <w:pPr>
        <w:spacing w:after="0" w:line="360" w:lineRule="auto"/>
        <w:rPr>
          <w:color w:val="FF0000"/>
        </w:rPr>
      </w:pPr>
    </w:p>
    <w:p w14:paraId="36913900" w14:textId="59B30112" w:rsidR="00D5407D" w:rsidRPr="00AA473B" w:rsidRDefault="00D5407D" w:rsidP="00BA6C50">
      <w:pPr>
        <w:spacing w:after="0" w:line="360" w:lineRule="auto"/>
        <w:rPr>
          <w:color w:val="FF0000"/>
        </w:rPr>
      </w:pPr>
      <w:r w:rsidRPr="00AA473B">
        <w:t>De tales circunstancias, se considera que para que los Sujetos Obligado justifiquen que realizaron una búsqueda exhaustiva y razonable, deben indicar de manera clara, lo siguiente:</w:t>
      </w:r>
    </w:p>
    <w:p w14:paraId="6C092CB5" w14:textId="77777777" w:rsidR="00D5407D" w:rsidRPr="00AA473B" w:rsidRDefault="00D5407D" w:rsidP="00BA6C50">
      <w:pPr>
        <w:spacing w:after="0" w:line="360" w:lineRule="auto"/>
        <w:rPr>
          <w:color w:val="FF0000"/>
        </w:rPr>
      </w:pPr>
    </w:p>
    <w:p w14:paraId="3D050E5A" w14:textId="06047441" w:rsidR="00D5407D" w:rsidRPr="00AA473B" w:rsidRDefault="00D5407D" w:rsidP="000D0FE9">
      <w:pPr>
        <w:pStyle w:val="Prrafodelista"/>
        <w:numPr>
          <w:ilvl w:val="0"/>
          <w:numId w:val="4"/>
        </w:numPr>
        <w:spacing w:line="360" w:lineRule="auto"/>
        <w:rPr>
          <w:color w:val="auto"/>
        </w:rPr>
      </w:pPr>
      <w:r w:rsidRPr="00AA473B">
        <w:rPr>
          <w:color w:val="auto"/>
        </w:rPr>
        <w:t xml:space="preserve">Las áreas donde se buscó la información; </w:t>
      </w:r>
    </w:p>
    <w:p w14:paraId="04572774" w14:textId="77777777" w:rsidR="00D5407D" w:rsidRPr="00AA473B" w:rsidRDefault="00D5407D" w:rsidP="000D0FE9">
      <w:pPr>
        <w:pStyle w:val="Prrafodelista"/>
        <w:numPr>
          <w:ilvl w:val="0"/>
          <w:numId w:val="4"/>
        </w:numPr>
        <w:spacing w:line="360" w:lineRule="auto"/>
        <w:rPr>
          <w:color w:val="auto"/>
        </w:rPr>
      </w:pPr>
      <w:r w:rsidRPr="00AA473B">
        <w:rPr>
          <w:color w:val="auto"/>
        </w:rPr>
        <w:t xml:space="preserve">Tipo de archivos buscados (físicos o electrónicos); </w:t>
      </w:r>
    </w:p>
    <w:p w14:paraId="500B58A4" w14:textId="77777777" w:rsidR="00D5407D" w:rsidRPr="00AA473B" w:rsidRDefault="00D5407D" w:rsidP="000D0FE9">
      <w:pPr>
        <w:pStyle w:val="Prrafodelista"/>
        <w:numPr>
          <w:ilvl w:val="0"/>
          <w:numId w:val="4"/>
        </w:numPr>
        <w:spacing w:line="360" w:lineRule="auto"/>
        <w:rPr>
          <w:color w:val="auto"/>
        </w:rPr>
      </w:pPr>
      <w:r w:rsidRPr="00AA473B">
        <w:rPr>
          <w:color w:val="auto"/>
        </w:rPr>
        <w:t>Los criterios de búsqueda utilizados, y</w:t>
      </w:r>
    </w:p>
    <w:p w14:paraId="3F49C992" w14:textId="75D38E69" w:rsidR="00D5407D" w:rsidRPr="00AA473B" w:rsidRDefault="00D5407D" w:rsidP="000D0FE9">
      <w:pPr>
        <w:pStyle w:val="Prrafodelista"/>
        <w:numPr>
          <w:ilvl w:val="0"/>
          <w:numId w:val="4"/>
        </w:numPr>
        <w:spacing w:line="360" w:lineRule="auto"/>
        <w:rPr>
          <w:color w:val="auto"/>
        </w:rPr>
      </w:pPr>
      <w:r w:rsidRPr="00AA473B">
        <w:rPr>
          <w:color w:val="auto"/>
        </w:rPr>
        <w:t>Las circunstancias que fueron tomadas en cuenta</w:t>
      </w:r>
    </w:p>
    <w:p w14:paraId="419BF6D0" w14:textId="77777777" w:rsidR="00D5407D" w:rsidRPr="00AA473B" w:rsidRDefault="00D5407D" w:rsidP="00BA6C50">
      <w:pPr>
        <w:spacing w:after="0" w:line="360" w:lineRule="auto"/>
        <w:rPr>
          <w:color w:val="FF0000"/>
        </w:rPr>
      </w:pPr>
    </w:p>
    <w:p w14:paraId="237537C9" w14:textId="63DD78DD" w:rsidR="00D5407D" w:rsidRPr="00AA473B" w:rsidRDefault="00D5407D" w:rsidP="00BA6C50">
      <w:pPr>
        <w:spacing w:after="0" w:line="360" w:lineRule="auto"/>
        <w:rPr>
          <w:color w:val="FF0000"/>
        </w:rPr>
      </w:pPr>
      <w:r w:rsidRPr="00AA473B">
        <w:t>Así y en atención al análisis realizado en párrafos anteriores, se logra vislumbrar que el Sujeto Obligado no cumplió con el procedimiento de búsqueda, pues si bien turno el requerimiento a un área, omitió hacerlo a todas las competentes, entre las cuales se encuentra la Dirección General de Servicios Públicos y la Tesorería Municipal.</w:t>
      </w:r>
    </w:p>
    <w:p w14:paraId="41B36DD2" w14:textId="77777777" w:rsidR="00D5407D" w:rsidRPr="00AA473B" w:rsidRDefault="00D5407D" w:rsidP="00BA6C50">
      <w:pPr>
        <w:spacing w:after="0" w:line="360" w:lineRule="auto"/>
        <w:rPr>
          <w:color w:val="FF0000"/>
        </w:rPr>
      </w:pPr>
    </w:p>
    <w:p w14:paraId="0A3D494A" w14:textId="40EAB8A4" w:rsidR="006E6D77" w:rsidRPr="00AA473B" w:rsidRDefault="006E6D77" w:rsidP="00BA6C50">
      <w:pPr>
        <w:spacing w:after="0" w:line="360" w:lineRule="auto"/>
      </w:pPr>
      <w:r w:rsidRPr="00AA473B">
        <w:t xml:space="preserve">Por otra parte, este Instituto localizó una publicación en la página oficial del Sujeto Obligado, del veinticinco de junio de dos mil veinticinco, la cual precisa que el </w:t>
      </w:r>
      <w:r w:rsidR="005C2324" w:rsidRPr="00AA473B">
        <w:t>P</w:t>
      </w:r>
      <w:r w:rsidRPr="00AA473B">
        <w:t xml:space="preserve">residente </w:t>
      </w:r>
      <w:r w:rsidR="005C2324" w:rsidRPr="00AA473B">
        <w:t>M</w:t>
      </w:r>
      <w:r w:rsidRPr="00AA473B">
        <w:t xml:space="preserve">unicipal Ricardo Moreno anuncia el inició del programa “Toluca Capital” se llena de luz, a través del cual se pone a disposición de toda la población un sistema de alumbrado público moderno, eficiente y sostenible, por medio del cual se garantiza seguridad a las y los toluqueños, así como una iluminación adecuada, que reduce gastos monetarios y el impacto ambiental, con </w:t>
      </w:r>
      <w:r w:rsidRPr="00AA473B">
        <w:rPr>
          <w:u w:val="single"/>
        </w:rPr>
        <w:t xml:space="preserve">doce mil cuatrocientas </w:t>
      </w:r>
      <w:r w:rsidRPr="00AA473B">
        <w:rPr>
          <w:b/>
          <w:bCs/>
          <w:u w:val="single"/>
        </w:rPr>
        <w:t xml:space="preserve">nuevas </w:t>
      </w:r>
      <w:r w:rsidRPr="00AA473B">
        <w:rPr>
          <w:u w:val="single"/>
        </w:rPr>
        <w:t>lámparas inteligentes</w:t>
      </w:r>
      <w:r w:rsidRPr="00AA473B">
        <w:t>.</w:t>
      </w:r>
    </w:p>
    <w:p w14:paraId="0E7F43F2" w14:textId="77777777" w:rsidR="006E6D77" w:rsidRPr="00AA473B" w:rsidRDefault="006E6D77" w:rsidP="00BA6C50">
      <w:pPr>
        <w:spacing w:after="0" w:line="360" w:lineRule="auto"/>
      </w:pPr>
    </w:p>
    <w:p w14:paraId="45467F13" w14:textId="6A8FF834" w:rsidR="006E6D77" w:rsidRPr="00AA473B" w:rsidRDefault="006E6D77" w:rsidP="006E6D77">
      <w:pPr>
        <w:spacing w:after="0" w:line="360" w:lineRule="auto"/>
      </w:pPr>
      <w:r w:rsidRPr="00AA473B">
        <w:rPr>
          <w:u w:val="single"/>
        </w:rPr>
        <w:lastRenderedPageBreak/>
        <w:t>Estas nuevas luminarias</w:t>
      </w:r>
      <w:r w:rsidRPr="00AA473B">
        <w:t xml:space="preserve"> </w:t>
      </w:r>
      <w:r w:rsidRPr="00AA473B">
        <w:rPr>
          <w:b/>
          <w:bCs/>
        </w:rPr>
        <w:t xml:space="preserve">se suman a otras </w:t>
      </w:r>
      <w:r w:rsidR="003D5D06" w:rsidRPr="00AA473B">
        <w:rPr>
          <w:b/>
          <w:bCs/>
        </w:rPr>
        <w:t>trece</w:t>
      </w:r>
      <w:r w:rsidRPr="00AA473B">
        <w:rPr>
          <w:b/>
          <w:bCs/>
        </w:rPr>
        <w:t xml:space="preserve"> mil que hasta el momento no habían sido utilizadas adecuadamente para dar un total de </w:t>
      </w:r>
      <w:r w:rsidR="003D5D06" w:rsidRPr="00AA473B">
        <w:rPr>
          <w:b/>
          <w:bCs/>
        </w:rPr>
        <w:t>veinticinco</w:t>
      </w:r>
      <w:r w:rsidRPr="00AA473B">
        <w:rPr>
          <w:b/>
          <w:bCs/>
        </w:rPr>
        <w:t xml:space="preserve"> mil</w:t>
      </w:r>
      <w:r w:rsidRPr="00AA473B">
        <w:t xml:space="preserve"> que formarán parte de la primera etapa, la cual se contempla esté lista en noviembre.</w:t>
      </w:r>
    </w:p>
    <w:p w14:paraId="2B78F9C9" w14:textId="77777777" w:rsidR="004E6E1A" w:rsidRPr="00AA473B" w:rsidRDefault="004E6E1A" w:rsidP="006E6D77">
      <w:pPr>
        <w:spacing w:after="0" w:line="360" w:lineRule="auto"/>
      </w:pPr>
    </w:p>
    <w:p w14:paraId="0A5B8C01" w14:textId="1E28E52F" w:rsidR="004E6E1A" w:rsidRPr="00AA473B" w:rsidRDefault="004E6E1A" w:rsidP="006E6D77">
      <w:pPr>
        <w:spacing w:after="0" w:line="360" w:lineRule="auto"/>
      </w:pPr>
      <w:r w:rsidRPr="00AA473B">
        <w:t xml:space="preserve">Relacionado con lo anterior, también se localizó en el canal de YouTube del Sujeto Obligado </w:t>
      </w:r>
      <w:hyperlink r:id="rId9" w:history="1">
        <w:r w:rsidRPr="00AA473B">
          <w:rPr>
            <w:rStyle w:val="Hipervnculo"/>
          </w:rPr>
          <w:t>https://www.facebook.com/share/v/19jJ3ybHeL/?mibextid=wwXIfr</w:t>
        </w:r>
      </w:hyperlink>
      <w:r w:rsidRPr="00AA473B">
        <w:t xml:space="preserve"> un video publicado el veinticinco de junio de dos mil veinticinco, en el cual se  hablan detalles del programa Toluca se llena de luz, el cual fue implementado en dicha fecha por el </w:t>
      </w:r>
      <w:r w:rsidR="005C2324" w:rsidRPr="00AA473B">
        <w:t>P</w:t>
      </w:r>
      <w:r w:rsidRPr="00AA473B">
        <w:t xml:space="preserve">residente </w:t>
      </w:r>
      <w:r w:rsidR="005C2324" w:rsidRPr="00AA473B">
        <w:t>M</w:t>
      </w:r>
      <w:r w:rsidRPr="00AA473B">
        <w:t>unicipal, con el objetivo de mejorar la seguridad, optimizar el consumo energético y fortalecer la capacidad de respuesta a través del Centro de Mando de Seguridad y Protección de Toluca, dando especificaciones de las nuevas luminarias y como se llevara a cabo dicho proyecto.</w:t>
      </w:r>
    </w:p>
    <w:p w14:paraId="0347EAE9" w14:textId="77777777" w:rsidR="004E6E1A" w:rsidRPr="00AA473B" w:rsidRDefault="004E6E1A" w:rsidP="006E6D77">
      <w:pPr>
        <w:spacing w:after="0" w:line="360" w:lineRule="auto"/>
      </w:pPr>
    </w:p>
    <w:p w14:paraId="2C206875" w14:textId="327BC72F" w:rsidR="006E6D77" w:rsidRPr="00AA473B" w:rsidRDefault="006E6D77" w:rsidP="006E6D77">
      <w:pPr>
        <w:spacing w:after="0" w:line="360" w:lineRule="auto"/>
        <w:rPr>
          <w:b/>
          <w:bCs/>
        </w:rPr>
      </w:pPr>
      <w:r w:rsidRPr="00AA473B">
        <w:t xml:space="preserve">Sumado a lo anterior, este Instituto localizó en la cuenta oficial </w:t>
      </w:r>
      <w:r w:rsidR="003D5D06" w:rsidRPr="00AA473B">
        <w:t xml:space="preserve">de Facebook </w:t>
      </w:r>
      <w:r w:rsidRPr="00AA473B">
        <w:t>de</w:t>
      </w:r>
      <w:r w:rsidR="003D5D06" w:rsidRPr="00AA473B">
        <w:t xml:space="preserve">l Presidente Ricardo Moreno, una publicación a través de la cual anuncio que el veinticinco de junio de dos mil veinticinco, </w:t>
      </w:r>
      <w:r w:rsidR="003D5D06" w:rsidRPr="00AA473B">
        <w:rPr>
          <w:u w:val="single"/>
        </w:rPr>
        <w:t>se iniciaría con la instalación de</w:t>
      </w:r>
      <w:r w:rsidR="003D5D06" w:rsidRPr="00AA473B">
        <w:t xml:space="preserve"> </w:t>
      </w:r>
      <w:r w:rsidR="003D5D06" w:rsidRPr="00AA473B">
        <w:rPr>
          <w:u w:val="single"/>
        </w:rPr>
        <w:t xml:space="preserve">nuevas luminarias inteligentes, </w:t>
      </w:r>
      <w:r w:rsidR="003D5D06" w:rsidRPr="00AA473B">
        <w:t xml:space="preserve">así mismo se localizó otra publicación del veinte de enero de dos mil veinticinco, por medio de la cual se logra advertir se </w:t>
      </w:r>
      <w:r w:rsidR="003D5D06" w:rsidRPr="00AA473B">
        <w:rPr>
          <w:u w:val="single"/>
        </w:rPr>
        <w:t>realizó la instalación de luminarias</w:t>
      </w:r>
      <w:r w:rsidR="003D5D06" w:rsidRPr="00AA473B">
        <w:t xml:space="preserve">  en San Felipe Tlalmimilolpan,</w:t>
      </w:r>
      <w:r w:rsidR="00342069" w:rsidRPr="00AA473B">
        <w:t xml:space="preserve"> tal como se despende de las siguientes capturas de pantalla:</w:t>
      </w:r>
      <w:r w:rsidR="003D5D06" w:rsidRPr="00AA473B">
        <w:t xml:space="preserve">   </w:t>
      </w:r>
    </w:p>
    <w:p w14:paraId="114BEABD" w14:textId="77777777" w:rsidR="006E6D77" w:rsidRPr="00AA473B" w:rsidRDefault="006E6D77" w:rsidP="006E6D77">
      <w:pPr>
        <w:spacing w:after="0" w:line="360" w:lineRule="auto"/>
      </w:pPr>
    </w:p>
    <w:p w14:paraId="3BA7239E" w14:textId="3C94401F" w:rsidR="006E6D77" w:rsidRPr="00AA473B" w:rsidRDefault="003D5D06" w:rsidP="00421292">
      <w:pPr>
        <w:spacing w:after="0" w:line="360" w:lineRule="auto"/>
        <w:jc w:val="center"/>
        <w:rPr>
          <w:color w:val="FF0000"/>
        </w:rPr>
      </w:pPr>
      <w:r w:rsidRPr="00AA473B">
        <w:rPr>
          <w:noProof/>
          <w:color w:val="FF0000"/>
        </w:rPr>
        <w:drawing>
          <wp:inline distT="0" distB="0" distL="0" distR="0" wp14:anchorId="30F1280C" wp14:editId="73ECC134">
            <wp:extent cx="4729365" cy="1760186"/>
            <wp:effectExtent l="0" t="0" r="0" b="0"/>
            <wp:docPr id="198248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6974" cy="1763018"/>
                    </a:xfrm>
                    <a:prstGeom prst="rect">
                      <a:avLst/>
                    </a:prstGeom>
                    <a:noFill/>
                  </pic:spPr>
                </pic:pic>
              </a:graphicData>
            </a:graphic>
          </wp:inline>
        </w:drawing>
      </w:r>
    </w:p>
    <w:p w14:paraId="3D1FE8B1" w14:textId="0AC2A0D1" w:rsidR="006E6D77" w:rsidRPr="00AA473B" w:rsidRDefault="004E6E1A" w:rsidP="004E6E1A">
      <w:pPr>
        <w:spacing w:after="0" w:line="360" w:lineRule="auto"/>
        <w:jc w:val="center"/>
        <w:rPr>
          <w:color w:val="FF0000"/>
        </w:rPr>
      </w:pPr>
      <w:r w:rsidRPr="00AA473B">
        <w:rPr>
          <w:noProof/>
          <w:color w:val="FF0000"/>
        </w:rPr>
        <w:lastRenderedPageBreak/>
        <w:drawing>
          <wp:inline distT="0" distB="0" distL="0" distR="0" wp14:anchorId="3D1329E5" wp14:editId="271A0A5E">
            <wp:extent cx="4845132" cy="2387397"/>
            <wp:effectExtent l="0" t="0" r="0" b="0"/>
            <wp:docPr id="9541722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2272" cy="2395843"/>
                    </a:xfrm>
                    <a:prstGeom prst="rect">
                      <a:avLst/>
                    </a:prstGeom>
                    <a:noFill/>
                  </pic:spPr>
                </pic:pic>
              </a:graphicData>
            </a:graphic>
          </wp:inline>
        </w:drawing>
      </w:r>
    </w:p>
    <w:p w14:paraId="569F2CC6" w14:textId="4555F31C" w:rsidR="004E6E1A" w:rsidRPr="00AA473B" w:rsidRDefault="004E6E1A" w:rsidP="00BA6C50">
      <w:pPr>
        <w:spacing w:after="0" w:line="360" w:lineRule="auto"/>
        <w:rPr>
          <w:color w:val="FF0000"/>
        </w:rPr>
      </w:pPr>
    </w:p>
    <w:p w14:paraId="3995C217" w14:textId="1348143A" w:rsidR="00F27E23" w:rsidRPr="00AA473B" w:rsidRDefault="00F27E23" w:rsidP="00BA6C50">
      <w:pPr>
        <w:spacing w:after="0" w:line="360" w:lineRule="auto"/>
        <w:rPr>
          <w:color w:val="auto"/>
        </w:rPr>
      </w:pPr>
      <w:r w:rsidRPr="00AA473B">
        <w:rPr>
          <w:color w:val="auto"/>
        </w:rPr>
        <w:t xml:space="preserve">Conforme a lo anterior, se logra vislumbrar que el Sujeto Obligado no turno la solicitud de información, a todas las unidades administrativas competentes, y la que se pronunció no acreditó los criterios de búsqueda previamente establecido, pues no indicó en que lugares buscó la documentación, ni los criterios de búsqueda utilizados, pues como se advirtió el Sujeto Obligado previo a la fecha de la solicitud realizo la instalación de luminarias en San Felipe Tlalminilolpan y dos días después de la solicitud comenzó con la instalación de </w:t>
      </w:r>
      <w:r w:rsidR="00ED79C7" w:rsidRPr="00AA473B">
        <w:rPr>
          <w:color w:val="auto"/>
        </w:rPr>
        <w:t xml:space="preserve">doce mil cuatrocientas nuevas </w:t>
      </w:r>
      <w:r w:rsidRPr="00AA473B">
        <w:rPr>
          <w:color w:val="auto"/>
        </w:rPr>
        <w:t>luminarias</w:t>
      </w:r>
      <w:r w:rsidR="00ED79C7" w:rsidRPr="00AA473B">
        <w:rPr>
          <w:color w:val="auto"/>
        </w:rPr>
        <w:t xml:space="preserve"> como</w:t>
      </w:r>
      <w:r w:rsidRPr="00AA473B">
        <w:rPr>
          <w:color w:val="auto"/>
        </w:rPr>
        <w:t xml:space="preserve"> parte del programa Toluca se llena de luz, las cuales no se tiene certeza hayan sido adquiridas </w:t>
      </w:r>
      <w:r w:rsidR="009A481F" w:rsidRPr="00AA473B">
        <w:rPr>
          <w:color w:val="auto"/>
        </w:rPr>
        <w:t xml:space="preserve">al inicio de la administración dos mil veinticinco, dos mil veintisiete, </w:t>
      </w:r>
      <w:r w:rsidR="009A481F" w:rsidRPr="00AA473B">
        <w:t xml:space="preserve">lo cual da como resultado que el agravio sea </w:t>
      </w:r>
      <w:r w:rsidR="009A481F" w:rsidRPr="00AA473B">
        <w:rPr>
          <w:b/>
          <w:bCs/>
        </w:rPr>
        <w:t>FUNDADO.</w:t>
      </w:r>
    </w:p>
    <w:p w14:paraId="5E904F6C" w14:textId="77777777" w:rsidR="00F27E23" w:rsidRPr="00AA473B" w:rsidRDefault="00F27E23" w:rsidP="00BA6C50">
      <w:pPr>
        <w:spacing w:after="0" w:line="360" w:lineRule="auto"/>
        <w:rPr>
          <w:color w:val="FF0000"/>
        </w:rPr>
      </w:pPr>
    </w:p>
    <w:p w14:paraId="22F34834" w14:textId="6AF81A11" w:rsidR="005C2324" w:rsidRPr="00AA473B" w:rsidRDefault="006914B4" w:rsidP="005C2324">
      <w:pPr>
        <w:spacing w:after="0" w:line="360" w:lineRule="auto"/>
      </w:pPr>
      <w:r w:rsidRPr="00AA473B">
        <w:t>Así, este Instituto considera que, para atender el requerimiento de información, el Sujeto Obligado deberá realizar una búsqueda conforme a los parámetros analizados, en todas las áreas competentes, entre las cuales no podrá omitir a la</w:t>
      </w:r>
      <w:r w:rsidRPr="00AA473B">
        <w:rPr>
          <w:color w:val="auto"/>
        </w:rPr>
        <w:t xml:space="preserve"> Dirección de Servicios Públicos y la Tesorería Municipal, e</w:t>
      </w:r>
      <w:r w:rsidRPr="00AA473B">
        <w:t xml:space="preserve">n términos del artículo 162 de la Ley de Transparencia y Acceso a la Información Pública del Estado de México y Municipios, a efecto de que proporcione, los documentos </w:t>
      </w:r>
      <w:r w:rsidR="005C2324" w:rsidRPr="00AA473B">
        <w:t xml:space="preserve">que conformen el expedienet del proceso de adjudicación </w:t>
      </w:r>
      <w:r w:rsidR="005C2324" w:rsidRPr="00AA473B">
        <w:rPr>
          <w:rFonts w:cs="Tahoma"/>
          <w:color w:val="auto"/>
        </w:rPr>
        <w:t xml:space="preserve">realizado entre el </w:t>
      </w:r>
      <w:r w:rsidR="005C2324" w:rsidRPr="00AA473B">
        <w:rPr>
          <w:rFonts w:cs="Tahoma"/>
          <w:color w:val="auto"/>
        </w:rPr>
        <w:lastRenderedPageBreak/>
        <w:t>primero de enero y el veintitrés de junio de dos mil veinticinco, para la adquisición de luminarias.</w:t>
      </w:r>
    </w:p>
    <w:p w14:paraId="4B9D9024" w14:textId="6A25BD84" w:rsidR="005C2324" w:rsidRPr="00AA473B" w:rsidRDefault="005C2324" w:rsidP="006914B4">
      <w:pPr>
        <w:spacing w:after="0" w:line="360" w:lineRule="auto"/>
      </w:pPr>
    </w:p>
    <w:p w14:paraId="02028F01" w14:textId="6A484AD4" w:rsidR="00F27E23" w:rsidRPr="00AA473B" w:rsidRDefault="004D2918" w:rsidP="00BA6C50">
      <w:pPr>
        <w:spacing w:after="0" w:line="360" w:lineRule="auto"/>
      </w:pPr>
      <w:r w:rsidRPr="00AA473B">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E629785" w14:textId="77777777" w:rsidR="004D2918" w:rsidRPr="00AA473B" w:rsidRDefault="004D2918" w:rsidP="00BA6C50">
      <w:pPr>
        <w:spacing w:after="0" w:line="360" w:lineRule="auto"/>
      </w:pPr>
    </w:p>
    <w:p w14:paraId="62F936E8" w14:textId="6EF73B1B" w:rsidR="004D2918" w:rsidRPr="00AA473B" w:rsidRDefault="004D2918" w:rsidP="00BA6C50">
      <w:pPr>
        <w:spacing w:after="0" w:line="360" w:lineRule="auto"/>
      </w:pPr>
      <w:r w:rsidRPr="00AA473B">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1E74D5C5" w14:textId="77777777" w:rsidR="004D2918" w:rsidRPr="00AA473B" w:rsidRDefault="004D2918" w:rsidP="00BA6C50">
      <w:pPr>
        <w:spacing w:after="0" w:line="360" w:lineRule="auto"/>
      </w:pPr>
    </w:p>
    <w:p w14:paraId="407AADC3" w14:textId="16A25BD8" w:rsidR="005C2324" w:rsidRPr="00AA473B" w:rsidRDefault="005C2324" w:rsidP="00BA6C50">
      <w:pPr>
        <w:spacing w:after="0" w:line="360" w:lineRule="auto"/>
      </w:pPr>
      <w:r w:rsidRPr="00AA473B">
        <w:t>Ahora bien, en atención a los comunicados y el señalamiento del Presidente Municipal donde menciona que el Ayuntamiento contaba con luminarias que no habían sido utilizadas</w:t>
      </w:r>
      <w:r w:rsidR="00FC213A" w:rsidRPr="00AA473B">
        <w:t>, se considera que para el caso de que no haya adquirido a la fecha de la solicitud alguna luminaria, deberá hacerlo del conocimiento de la parte Recurrente, de manera clara y precisa, en términos del artículo 19, párrafo segundo, de la Ley de Trasparencia y Acceso a la Información Pública del Estado de México y Municipios.</w:t>
      </w:r>
    </w:p>
    <w:p w14:paraId="7AAB0076" w14:textId="77777777" w:rsidR="005C2324" w:rsidRPr="00AA473B" w:rsidRDefault="005C2324" w:rsidP="00BA6C50">
      <w:pPr>
        <w:spacing w:after="0" w:line="360" w:lineRule="auto"/>
      </w:pPr>
    </w:p>
    <w:p w14:paraId="567FB948" w14:textId="77777777" w:rsidR="00FC213A" w:rsidRPr="00AA473B" w:rsidRDefault="00FC213A" w:rsidP="00FC213A">
      <w:pPr>
        <w:spacing w:after="0" w:line="360" w:lineRule="auto"/>
        <w:contextualSpacing/>
        <w:rPr>
          <w:rFonts w:eastAsia="Calibri" w:cs="Tahoma"/>
          <w:bCs/>
          <w:color w:val="auto"/>
          <w:lang w:val="es-ES_tradnl" w:eastAsia="es-ES"/>
        </w:rPr>
      </w:pPr>
      <w:r w:rsidRPr="00AA473B">
        <w:rPr>
          <w:rFonts w:eastAsia="Calibri" w:cs="Tahoma"/>
          <w:bCs/>
          <w:color w:val="auto"/>
          <w:lang w:val="es-ES_tradnl" w:eastAsia="es-ES"/>
        </w:rPr>
        <w:lastRenderedPageBreak/>
        <w:t>No pasa desapercibido para este Instituto, que los documentos que den cuenta de lo solicitado podrían contener diversos datos susceptibles de clasificación, por lo que resulta necesario analizar dicha circunstancia.</w:t>
      </w:r>
    </w:p>
    <w:p w14:paraId="7CF3D5B3" w14:textId="77777777" w:rsidR="00FC213A" w:rsidRPr="00AA473B" w:rsidRDefault="00FC213A" w:rsidP="00FC213A">
      <w:pPr>
        <w:spacing w:after="0" w:line="360" w:lineRule="auto"/>
        <w:contextualSpacing/>
        <w:rPr>
          <w:rFonts w:eastAsia="Calibri" w:cs="Tahoma"/>
          <w:bCs/>
          <w:color w:val="auto"/>
          <w:lang w:val="es-ES_tradnl" w:eastAsia="es-ES"/>
        </w:rPr>
      </w:pPr>
    </w:p>
    <w:p w14:paraId="315A1D01"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9177545"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3FAC3F7"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63CA3CA"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5F6433AE"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21F760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BFEA50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lastRenderedPageBreak/>
        <w:t>En concordancia con lo previo, el artículo 143, fracciones I y III, de la Ley previamente citada, establece que la información privada y los datos personales, concernientes a una persona física o jurídica colectiva identificada o identificables, son confidenciales; así como, aquella presentada por los particulares con dicho carácter.</w:t>
      </w:r>
    </w:p>
    <w:p w14:paraId="630E053C"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BEBCD21"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02927E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5ECBC9C"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En términos de lo expuesto, la documentación y aquellos datos que se consideren confidenciales, serán una limitante del derecho de acceso a la información, siempre y cuando:</w:t>
      </w:r>
    </w:p>
    <w:p w14:paraId="360C7188"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66C457A" w14:textId="77777777" w:rsidR="00FC213A" w:rsidRPr="00AA473B" w:rsidRDefault="00FC213A" w:rsidP="000D0FE9">
      <w:pPr>
        <w:numPr>
          <w:ilvl w:val="0"/>
          <w:numId w:val="7"/>
        </w:numPr>
        <w:spacing w:after="0" w:line="360" w:lineRule="auto"/>
        <w:contextualSpacing/>
        <w:jc w:val="left"/>
        <w:rPr>
          <w:rFonts w:eastAsia="Calibri" w:cs="Tahoma"/>
          <w:bCs/>
          <w:color w:val="auto"/>
          <w:lang w:eastAsia="es-ES"/>
        </w:rPr>
      </w:pPr>
      <w:r w:rsidRPr="00AA473B">
        <w:rPr>
          <w:rFonts w:eastAsia="Calibri" w:cs="Tahoma"/>
          <w:bCs/>
          <w:color w:val="auto"/>
          <w:lang w:eastAsia="es-ES"/>
        </w:rPr>
        <w:t xml:space="preserve">Se trate de datos personales o información privada; esto es, información concerniente a una persona física o jurídico colectiva y que esta sea identificada o identificable. </w:t>
      </w:r>
    </w:p>
    <w:p w14:paraId="14037B63" w14:textId="4180D4D4" w:rsidR="00FC213A" w:rsidRPr="00AA473B" w:rsidRDefault="00FC213A" w:rsidP="000D0FE9">
      <w:pPr>
        <w:numPr>
          <w:ilvl w:val="0"/>
          <w:numId w:val="7"/>
        </w:numPr>
        <w:spacing w:after="0" w:line="360" w:lineRule="auto"/>
        <w:contextualSpacing/>
        <w:jc w:val="left"/>
        <w:rPr>
          <w:rFonts w:eastAsia="Calibri" w:cs="Tahoma"/>
          <w:bCs/>
          <w:color w:val="auto"/>
          <w:lang w:eastAsia="es-ES"/>
        </w:rPr>
      </w:pPr>
      <w:r w:rsidRPr="00AA473B">
        <w:rPr>
          <w:rFonts w:eastAsia="Calibri" w:cs="Tahoma"/>
          <w:bCs/>
          <w:color w:val="auto"/>
          <w:lang w:eastAsia="es-ES"/>
        </w:rPr>
        <w:t xml:space="preserve">Para la difusión de los datos, se requiera el consentimiento del titular. </w:t>
      </w:r>
    </w:p>
    <w:p w14:paraId="64A14554"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9ED827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sidRPr="00AA473B">
        <w:rPr>
          <w:rFonts w:eastAsia="Calibri" w:cs="Tahoma"/>
          <w:bCs/>
          <w:color w:val="auto"/>
          <w:lang w:eastAsia="es-ES"/>
        </w:rPr>
        <w:lastRenderedPageBreak/>
        <w:t xml:space="preserve">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7B36FCA"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9D480AF" w14:textId="77777777" w:rsidR="00FC213A" w:rsidRPr="00AA473B" w:rsidRDefault="00FC213A" w:rsidP="000D0FE9">
      <w:pPr>
        <w:numPr>
          <w:ilvl w:val="0"/>
          <w:numId w:val="8"/>
        </w:numPr>
        <w:spacing w:after="0" w:line="360" w:lineRule="auto"/>
        <w:contextualSpacing/>
        <w:jc w:val="left"/>
        <w:rPr>
          <w:rFonts w:eastAsia="Calibri" w:cs="Tahoma"/>
          <w:b/>
          <w:bCs/>
          <w:color w:val="auto"/>
          <w:lang w:eastAsia="es-ES"/>
        </w:rPr>
      </w:pPr>
      <w:r w:rsidRPr="00AA473B">
        <w:rPr>
          <w:rFonts w:eastAsia="Calibri" w:cs="Tahoma"/>
          <w:b/>
          <w:bCs/>
          <w:color w:val="auto"/>
          <w:lang w:eastAsia="es-ES"/>
        </w:rPr>
        <w:t>Clave Única de Registro de Población (CURP) de proveedores personas físicas</w:t>
      </w:r>
    </w:p>
    <w:p w14:paraId="78598D6A"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E932587"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El artículo 36 de la Constitución Política de los Estados Unidos Mexicanos, dispone la obligación de los ciudadanos de inscribirse en el Registro Nacional de Ciudadanos. </w:t>
      </w:r>
    </w:p>
    <w:p w14:paraId="0E1375DA"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B9CDC74"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El artículo 85 de la Ley General de Población, prevé que corresponde a la Secretaría de Gobernación el registro y acreditación de la identidad de todas las personas residentes en el país y de los nacionales que residan en el extranjero.</w:t>
      </w:r>
    </w:p>
    <w:p w14:paraId="6BC200B7"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0CA25DA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BEE813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7E0F141"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De conformidad con lo precisado por la propia Secretaría de Gobernación en la dirección </w:t>
      </w:r>
      <w:hyperlink r:id="rId12" w:history="1">
        <w:r w:rsidRPr="00AA473B">
          <w:rPr>
            <w:rFonts w:eastAsia="Calibri" w:cs="Tahoma"/>
            <w:bCs/>
            <w:color w:val="0563C1"/>
            <w:u w:val="single"/>
            <w:lang w:eastAsia="es-ES"/>
          </w:rPr>
          <w:t>https://consultas.curp.gob.mx/CurpSP/html/informacionecurpPS.html</w:t>
        </w:r>
      </w:hyperlink>
      <w:r w:rsidRPr="00AA473B">
        <w:rPr>
          <w:rFonts w:eastAsia="Calibri" w:cs="Tahoma"/>
          <w:bCs/>
          <w:color w:val="auto"/>
          <w:u w:val="single"/>
          <w:lang w:eastAsia="es-ES"/>
        </w:rPr>
        <w:t xml:space="preserve"> </w:t>
      </w:r>
      <w:r w:rsidRPr="00AA473B">
        <w:rPr>
          <w:rFonts w:eastAsia="Calibri" w:cs="Tahoma"/>
          <w:bCs/>
          <w:color w:val="auto"/>
          <w:lang w:eastAsia="es-ES"/>
        </w:rPr>
        <w:t xml:space="preserve">(consultada el veinticinco de marzo de dos mil diecinueve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A473B">
        <w:rPr>
          <w:rFonts w:eastAsia="Calibri" w:cs="Tahoma"/>
          <w:b/>
          <w:bCs/>
          <w:color w:val="auto"/>
          <w:lang w:eastAsia="es-ES"/>
        </w:rPr>
        <w:t xml:space="preserve">se </w:t>
      </w:r>
      <w:r w:rsidRPr="00AA473B">
        <w:rPr>
          <w:rFonts w:eastAsia="Calibri" w:cs="Tahoma"/>
          <w:b/>
          <w:bCs/>
          <w:color w:val="auto"/>
          <w:lang w:eastAsia="es-ES"/>
        </w:rPr>
        <w:lastRenderedPageBreak/>
        <w:t>generan a partir de los datos contenidos en el documento probatorio de la identidad</w:t>
      </w:r>
      <w:r w:rsidRPr="00AA473B">
        <w:rPr>
          <w:rFonts w:eastAsia="Calibri" w:cs="Tahoma"/>
          <w:bCs/>
          <w:color w:val="auto"/>
          <w:lang w:eastAsia="es-ES"/>
        </w:rPr>
        <w:t xml:space="preserve"> </w:t>
      </w:r>
      <w:r w:rsidRPr="00AA473B">
        <w:rPr>
          <w:rFonts w:eastAsia="Calibri" w:cs="Tahoma"/>
          <w:b/>
          <w:bCs/>
          <w:color w:val="auto"/>
          <w:lang w:eastAsia="es-ES"/>
        </w:rPr>
        <w:t xml:space="preserve">del interesado </w:t>
      </w:r>
      <w:r w:rsidRPr="00AA473B">
        <w:rPr>
          <w:rFonts w:eastAsia="Calibri" w:cs="Tahoma"/>
          <w:bCs/>
          <w:color w:val="auto"/>
          <w:lang w:eastAsia="es-ES"/>
        </w:rPr>
        <w:t>(acta de nacimiento, carta de naturalización o documento migratorio) de la siguiente forma:</w:t>
      </w:r>
    </w:p>
    <w:p w14:paraId="2B941A43"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BC0596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 El primero y segundo apellidos, así como al nombre de pila.</w:t>
      </w:r>
    </w:p>
    <w:p w14:paraId="4D328ED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 La fecha de nacimiento.</w:t>
      </w:r>
    </w:p>
    <w:p w14:paraId="279DF65E"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 El sexo.</w:t>
      </w:r>
    </w:p>
    <w:p w14:paraId="7201331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 La entidad federativa de nacimiento.</w:t>
      </w:r>
    </w:p>
    <w:p w14:paraId="3311C303"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B7312D8"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Los dos últimos elementos de la Clave Única de Registro de Población evitan la duplicidad de la Clave y garantizan su correcta integración.</w:t>
      </w:r>
    </w:p>
    <w:p w14:paraId="18A6D09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529E29A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8B17105"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A4995D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Resulta aplicable en la especie, como argumento orientador, el Criterio de Interpreteación con clave de control SO/018/2017, de la Segunda Épcoca, emitido por el Instituto Nacional de Transparencia, Acceso a la Información y Protección de Datos Personales.</w:t>
      </w:r>
    </w:p>
    <w:p w14:paraId="240769A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B6DC745" w14:textId="77777777" w:rsidR="00FC213A" w:rsidRPr="00AA473B" w:rsidRDefault="00FC213A" w:rsidP="00FC213A">
      <w:pPr>
        <w:spacing w:after="0" w:line="360" w:lineRule="auto"/>
        <w:ind w:left="567" w:right="567"/>
        <w:contextualSpacing/>
        <w:rPr>
          <w:rFonts w:eastAsia="Calibri" w:cs="Tahoma"/>
          <w:bCs/>
          <w:i/>
          <w:color w:val="auto"/>
          <w:sz w:val="20"/>
          <w:szCs w:val="20"/>
          <w:lang w:eastAsia="es-ES"/>
        </w:rPr>
      </w:pPr>
      <w:r w:rsidRPr="00AA473B">
        <w:rPr>
          <w:rFonts w:eastAsia="Calibri" w:cs="Tahoma"/>
          <w:b/>
          <w:bCs/>
          <w:i/>
          <w:color w:val="auto"/>
          <w:sz w:val="20"/>
          <w:szCs w:val="20"/>
          <w:lang w:eastAsia="es-ES"/>
        </w:rPr>
        <w:t xml:space="preserve">“Clave Única de Registro de Población (CURP). </w:t>
      </w:r>
      <w:r w:rsidRPr="00AA473B">
        <w:rPr>
          <w:rFonts w:eastAsia="Calibri" w:cs="Tahoma"/>
          <w:bCs/>
          <w:i/>
          <w:color w:val="auto"/>
          <w:sz w:val="20"/>
          <w:szCs w:val="20"/>
          <w:lang w:eastAsia="es-ES"/>
        </w:rPr>
        <w:t xml:space="preserve">La Clave Única de Registro de Población se integra por datos personales que sólo conciernen al particular titular de la misma, como lo son su nombre, apellidos, fecha de nacimiento, lugar de nacimiento y sexo. Dichos datos, constituyen </w:t>
      </w:r>
      <w:r w:rsidRPr="00AA473B">
        <w:rPr>
          <w:rFonts w:eastAsia="Calibri" w:cs="Tahoma"/>
          <w:bCs/>
          <w:i/>
          <w:color w:val="auto"/>
          <w:sz w:val="20"/>
          <w:szCs w:val="20"/>
          <w:lang w:eastAsia="es-ES"/>
        </w:rPr>
        <w:lastRenderedPageBreak/>
        <w:t xml:space="preserve">información que distingue plenamente a una persona física del resto de los habitantes del país, por lo que la CURP está considerada como información confidencial.” </w:t>
      </w:r>
    </w:p>
    <w:p w14:paraId="4D828F7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4C68333"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14:paraId="6EA4137E"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78CAC0E" w14:textId="77777777" w:rsidR="00FC213A" w:rsidRPr="00AA473B" w:rsidRDefault="00FC213A" w:rsidP="000D0FE9">
      <w:pPr>
        <w:numPr>
          <w:ilvl w:val="0"/>
          <w:numId w:val="9"/>
        </w:numPr>
        <w:spacing w:after="0" w:line="360" w:lineRule="auto"/>
        <w:contextualSpacing/>
        <w:jc w:val="left"/>
        <w:rPr>
          <w:rFonts w:eastAsia="Calibri" w:cs="Tahoma"/>
          <w:b/>
          <w:bCs/>
          <w:color w:val="auto"/>
          <w:lang w:eastAsia="es-ES"/>
        </w:rPr>
      </w:pPr>
      <w:r w:rsidRPr="00AA473B">
        <w:rPr>
          <w:rFonts w:eastAsia="Calibri" w:cs="Tahoma"/>
          <w:b/>
          <w:bCs/>
          <w:color w:val="auto"/>
          <w:lang w:eastAsia="es-ES"/>
        </w:rPr>
        <w:t>Nombre de personas físicas proveedores</w:t>
      </w:r>
    </w:p>
    <w:p w14:paraId="5AB1627C"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621C213C"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A473B">
        <w:rPr>
          <w:rFonts w:eastAsia="Calibri" w:cs="Tahoma"/>
          <w:bCs/>
          <w:i/>
          <w:color w:val="auto"/>
          <w:lang w:eastAsia="es-ES"/>
        </w:rPr>
        <w:t>per se</w:t>
      </w:r>
      <w:r w:rsidRPr="00AA473B">
        <w:rPr>
          <w:rFonts w:eastAsia="Calibri" w:cs="Tahoma"/>
          <w:bCs/>
          <w:color w:val="auto"/>
          <w:lang w:eastAsia="es-ES"/>
        </w:rPr>
        <w:t xml:space="preserve"> es un elemento que hace a una persona física identificada o identificable.</w:t>
      </w:r>
    </w:p>
    <w:p w14:paraId="6C33F41A"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0288C9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AA473B">
        <w:rPr>
          <w:rFonts w:eastAsia="Calibri" w:cs="Tahoma"/>
          <w:b/>
          <w:bCs/>
          <w:color w:val="auto"/>
          <w:lang w:eastAsia="es-ES"/>
        </w:rPr>
        <w:t>los nombres de aquellos que reciben recursos públicos (proveedores),</w:t>
      </w:r>
      <w:r w:rsidRPr="00AA473B">
        <w:rPr>
          <w:rFonts w:eastAsia="Calibri" w:cs="Tahoma"/>
          <w:bCs/>
          <w:color w:val="auto"/>
          <w:lang w:eastAsia="es-ES"/>
        </w:rPr>
        <w:t xml:space="preserve"> ya que la difusión de dicho dato constituye una obligación de transparencia por parte de los sujetos obligados.</w:t>
      </w:r>
    </w:p>
    <w:p w14:paraId="4EA591E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0DC4FF2"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Cs/>
          <w:color w:val="auto"/>
          <w:lang w:eastAsia="es-ES"/>
        </w:rPr>
        <w:t xml:space="preserve">Toma sustento con el artículo 92, fracciones XXXI, de la Ley de la materia, el cual establece que los sujetos obligados tienen la obligación de poner a disposición del público y mantener </w:t>
      </w:r>
      <w:r w:rsidRPr="00AA473B">
        <w:rPr>
          <w:rFonts w:eastAsia="Calibri" w:cs="Tahoma"/>
          <w:bCs/>
          <w:color w:val="auto"/>
          <w:lang w:eastAsia="es-ES"/>
        </w:rPr>
        <w:lastRenderedPageBreak/>
        <w:t xml:space="preserve">actualizada de acuerdo con sus facultades, atribuciones, funciones u objeto social, según corresponda el </w:t>
      </w:r>
      <w:r w:rsidRPr="00AA473B">
        <w:rPr>
          <w:rFonts w:eastAsia="Calibri" w:cs="Tahoma"/>
          <w:b/>
          <w:bCs/>
          <w:color w:val="auto"/>
          <w:lang w:eastAsia="es-ES"/>
        </w:rPr>
        <w:t>Padrón de proveedores y contratistas.</w:t>
      </w:r>
    </w:p>
    <w:p w14:paraId="5EF3D3C0"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4B0F489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24617D0A"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B069F7B"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Cs/>
          <w:noProof/>
          <w:color w:val="auto"/>
        </w:rPr>
        <w:drawing>
          <wp:inline distT="0" distB="0" distL="0" distR="0" wp14:anchorId="4A81ABD2" wp14:editId="6BA96F68">
            <wp:extent cx="5612130" cy="735330"/>
            <wp:effectExtent l="0" t="0" r="7620" b="7620"/>
            <wp:docPr id="19627184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35330"/>
                    </a:xfrm>
                    <a:prstGeom prst="rect">
                      <a:avLst/>
                    </a:prstGeom>
                    <a:noFill/>
                    <a:ln>
                      <a:noFill/>
                    </a:ln>
                  </pic:spPr>
                </pic:pic>
              </a:graphicData>
            </a:graphic>
          </wp:inline>
        </w:drawing>
      </w:r>
      <w:r w:rsidRPr="00AA473B">
        <w:rPr>
          <w:rFonts w:eastAsia="Calibri" w:cs="Tahoma"/>
          <w:b/>
          <w:bCs/>
          <w:color w:val="auto"/>
          <w:lang w:eastAsia="es-ES"/>
        </w:rPr>
        <w:t xml:space="preserve"> </w:t>
      </w:r>
    </w:p>
    <w:p w14:paraId="58210A06"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Cs/>
          <w:noProof/>
          <w:color w:val="auto"/>
        </w:rPr>
        <w:drawing>
          <wp:inline distT="0" distB="0" distL="0" distR="0" wp14:anchorId="5E23CAA3" wp14:editId="1E21B199">
            <wp:extent cx="5612130" cy="483870"/>
            <wp:effectExtent l="0" t="0" r="7620" b="0"/>
            <wp:docPr id="14149934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83870"/>
                    </a:xfrm>
                    <a:prstGeom prst="rect">
                      <a:avLst/>
                    </a:prstGeom>
                    <a:noFill/>
                    <a:ln>
                      <a:noFill/>
                    </a:ln>
                  </pic:spPr>
                </pic:pic>
              </a:graphicData>
            </a:graphic>
          </wp:inline>
        </w:drawing>
      </w:r>
      <w:r w:rsidRPr="00AA473B">
        <w:rPr>
          <w:rFonts w:eastAsia="Calibri" w:cs="Tahoma"/>
          <w:b/>
          <w:bCs/>
          <w:color w:val="auto"/>
          <w:lang w:eastAsia="es-ES"/>
        </w:rPr>
        <w:t xml:space="preserve"> </w:t>
      </w:r>
    </w:p>
    <w:p w14:paraId="068A67F1"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06C24146"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Cs/>
          <w:color w:val="auto"/>
          <w:lang w:eastAsia="es-ES"/>
        </w:rPr>
        <w:t xml:space="preserve">Por lo tanto, la Ley de Transparencia y Acceso a la Información Pública del Estado de México y Municipios, considera que </w:t>
      </w:r>
      <w:r w:rsidRPr="00AA473B">
        <w:rPr>
          <w:rFonts w:eastAsia="Calibri" w:cs="Tahoma"/>
          <w:b/>
          <w:bCs/>
          <w:color w:val="auto"/>
          <w:lang w:eastAsia="es-ES"/>
        </w:rPr>
        <w:t xml:space="preserve">los datos de aquellas personas que recibieron recursos públicos, por regla general, </w:t>
      </w:r>
      <w:r w:rsidRPr="00AA473B">
        <w:rPr>
          <w:rFonts w:eastAsia="Calibri" w:cs="Tahoma"/>
          <w:bCs/>
          <w:color w:val="auto"/>
          <w:lang w:eastAsia="es-ES"/>
        </w:rPr>
        <w:t xml:space="preserve">son de naturaleza pública, ya que su publicidad orienta a cumplir los objetivos que persigue la Ley; toda vez, </w:t>
      </w:r>
      <w:r w:rsidRPr="00AA473B">
        <w:rPr>
          <w:rFonts w:eastAsia="Calibri" w:cs="Tahoma"/>
          <w:b/>
          <w:bCs/>
          <w:color w:val="auto"/>
          <w:lang w:eastAsia="es-ES"/>
        </w:rPr>
        <w:t>que ayuda a transparentar a quienes se les han otorgado recursos públicos, así como, porque razones se les otorgaron dichos montos.</w:t>
      </w:r>
    </w:p>
    <w:p w14:paraId="654EE129"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1E20CDB8"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Por lo que, se considera que no procede la clasificación del nombre de los proveedores, en términos del artículo 143, fracción I de la Ley de Transparencia y Acceso a la Información Pública del Estado de México y Municipios.</w:t>
      </w:r>
    </w:p>
    <w:p w14:paraId="6B80CDEE"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lastRenderedPageBreak/>
        <w:t xml:space="preserve"> </w:t>
      </w:r>
    </w:p>
    <w:p w14:paraId="4769053E" w14:textId="77777777" w:rsidR="00FC213A" w:rsidRPr="00AA473B" w:rsidRDefault="00FC213A" w:rsidP="000D0FE9">
      <w:pPr>
        <w:numPr>
          <w:ilvl w:val="0"/>
          <w:numId w:val="9"/>
        </w:numPr>
        <w:spacing w:after="0" w:line="360" w:lineRule="auto"/>
        <w:contextualSpacing/>
        <w:jc w:val="left"/>
        <w:rPr>
          <w:rFonts w:eastAsia="Calibri" w:cs="Tahoma"/>
          <w:b/>
          <w:bCs/>
          <w:color w:val="auto"/>
          <w:lang w:eastAsia="es-ES"/>
        </w:rPr>
      </w:pPr>
      <w:r w:rsidRPr="00AA473B">
        <w:rPr>
          <w:rFonts w:eastAsia="Calibri" w:cs="Tahoma"/>
          <w:b/>
          <w:bCs/>
          <w:color w:val="auto"/>
          <w:lang w:eastAsia="es-ES"/>
        </w:rPr>
        <w:t>Denominación o razón Social de proveedores personas morales.</w:t>
      </w:r>
    </w:p>
    <w:p w14:paraId="22FAF703"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10E2FF9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14:paraId="6F74F57C"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74FA92E0" w14:textId="77777777" w:rsidR="00FC213A" w:rsidRPr="00AA473B" w:rsidRDefault="00FC213A" w:rsidP="00FC213A">
      <w:pPr>
        <w:spacing w:after="0" w:line="360" w:lineRule="auto"/>
        <w:ind w:left="567" w:right="567"/>
        <w:contextualSpacing/>
        <w:rPr>
          <w:rFonts w:eastAsia="Calibri" w:cs="Tahoma"/>
          <w:bCs/>
          <w:i/>
          <w:color w:val="auto"/>
          <w:sz w:val="20"/>
          <w:szCs w:val="20"/>
          <w:lang w:eastAsia="es-ES"/>
        </w:rPr>
      </w:pPr>
      <w:r w:rsidRPr="00AA473B">
        <w:rPr>
          <w:rFonts w:eastAsia="Calibri" w:cs="Tahoma"/>
          <w:b/>
          <w:bCs/>
          <w:i/>
          <w:color w:val="auto"/>
          <w:sz w:val="20"/>
          <w:szCs w:val="20"/>
          <w:lang w:eastAsia="es-ES"/>
        </w:rPr>
        <w:t xml:space="preserve">“Razón social y RFC de personas morales. </w:t>
      </w:r>
      <w:r w:rsidRPr="00AA473B">
        <w:rPr>
          <w:rFonts w:eastAsia="Calibri" w:cs="Tahoma"/>
          <w:bCs/>
          <w:i/>
          <w:color w:val="auto"/>
          <w:sz w:val="20"/>
          <w:szCs w:val="20"/>
          <w:lang w:eastAsia="es-E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4BE18CBE"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26E1281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Lineamientos técnicos generales para la publicación, homologación y estandarización de la información de las obligaciones establecidas en el título quinto, que deben de difundir los sujetos obligados en los portales de Internet y en la Plataforma Nacional de Transparencia.</w:t>
      </w:r>
    </w:p>
    <w:p w14:paraId="26CCF19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F5D473C"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Por lo tanto, no procede la clasificación de la denominación o razón social de los proveedores personas morales, en términos del artículo 143, fracción I de la Ley de Transparencia y Acceso a la Información Pública del Estado de México y Municipios.</w:t>
      </w:r>
    </w:p>
    <w:p w14:paraId="58829BA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59AC4EA" w14:textId="77777777" w:rsidR="00FC213A" w:rsidRPr="00AA473B" w:rsidRDefault="00FC213A" w:rsidP="000D0FE9">
      <w:pPr>
        <w:numPr>
          <w:ilvl w:val="0"/>
          <w:numId w:val="10"/>
        </w:numPr>
        <w:spacing w:after="0" w:line="360" w:lineRule="auto"/>
        <w:contextualSpacing/>
        <w:jc w:val="left"/>
        <w:rPr>
          <w:rFonts w:eastAsia="Calibri" w:cs="Tahoma"/>
          <w:b/>
          <w:bCs/>
          <w:iCs/>
          <w:color w:val="auto"/>
          <w:lang w:eastAsia="es-ES"/>
        </w:rPr>
      </w:pPr>
      <w:r w:rsidRPr="00AA473B">
        <w:rPr>
          <w:rFonts w:eastAsia="Calibri" w:cs="Tahoma"/>
          <w:b/>
          <w:bCs/>
          <w:color w:val="auto"/>
          <w:lang w:eastAsia="es-ES"/>
        </w:rPr>
        <w:lastRenderedPageBreak/>
        <w:t>Registro Federal de Contribuyentes de proveedor</w:t>
      </w:r>
    </w:p>
    <w:p w14:paraId="3D811E06" w14:textId="77777777" w:rsidR="00FC213A" w:rsidRPr="00AA473B" w:rsidRDefault="00FC213A" w:rsidP="00FC213A">
      <w:pPr>
        <w:spacing w:after="0" w:line="360" w:lineRule="auto"/>
        <w:contextualSpacing/>
        <w:rPr>
          <w:rFonts w:eastAsia="Calibri" w:cs="Tahoma"/>
          <w:b/>
          <w:bCs/>
          <w:iCs/>
          <w:color w:val="auto"/>
          <w:lang w:eastAsia="es-ES"/>
        </w:rPr>
      </w:pPr>
      <w:r w:rsidRPr="00AA473B">
        <w:rPr>
          <w:rFonts w:eastAsia="Calibri" w:cs="Tahoma"/>
          <w:b/>
          <w:bCs/>
          <w:iCs/>
          <w:color w:val="auto"/>
          <w:lang w:eastAsia="es-ES"/>
        </w:rPr>
        <w:t xml:space="preserve"> </w:t>
      </w:r>
    </w:p>
    <w:p w14:paraId="1D699DEE"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Persona física:</w:t>
      </w:r>
    </w:p>
    <w:p w14:paraId="77DC6D74"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5E5FEB9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AA473B">
        <w:rPr>
          <w:rFonts w:eastAsia="Calibri" w:cs="Tahoma"/>
          <w:b/>
          <w:bCs/>
          <w:color w:val="auto"/>
          <w:lang w:eastAsia="es-ES"/>
        </w:rPr>
        <w:t>la cédula de identificación fiscal (Registro Federal de Contribuyentes);</w:t>
      </w:r>
      <w:r w:rsidRPr="00AA473B">
        <w:rPr>
          <w:rFonts w:eastAsia="Calibri" w:cs="Tahoma"/>
          <w:bCs/>
          <w:color w:val="auto"/>
          <w:lang w:eastAsia="es-ES"/>
        </w:rPr>
        <w:t xml:space="preserve"> por lo que la entrega de dicho dato permite verificar cumplimiento de esta disposición legal.</w:t>
      </w:r>
    </w:p>
    <w:p w14:paraId="20DE8BE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4A8DFCD"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Cs/>
          <w:color w:val="auto"/>
          <w:lang w:eastAsia="es-ES"/>
        </w:rPr>
        <w:t xml:space="preserve">Por lo tanto, </w:t>
      </w:r>
      <w:r w:rsidRPr="00AA473B">
        <w:rPr>
          <w:rFonts w:eastAsia="Calibri" w:cs="Tahoma"/>
          <w:b/>
          <w:bCs/>
          <w:color w:val="auto"/>
          <w:lang w:eastAsia="es-ES"/>
        </w:rPr>
        <w:t>en el presente caso, si bien el Registro Federal de Contribuyentes de personas físicas es un dato personal, también lo es, que corresponde a un requisito indispensable para ser proveedor y poder llevar a cabo actividades comerciales con la Entidad</w:t>
      </w:r>
      <w:r w:rsidRPr="00AA473B">
        <w:rPr>
          <w:rFonts w:eastAsia="Calibri" w:cs="Tahoma"/>
          <w:bCs/>
          <w:color w:val="auto"/>
          <w:lang w:eastAsia="es-ES"/>
        </w:rPr>
        <w:t xml:space="preserve">, ya que, sin este, no se pueden realizar dichas acciones, </w:t>
      </w:r>
      <w:r w:rsidRPr="00AA473B">
        <w:rPr>
          <w:rFonts w:eastAsia="Calibri" w:cs="Tahoma"/>
          <w:b/>
          <w:bCs/>
          <w:color w:val="auto"/>
          <w:lang w:eastAsia="es-ES"/>
        </w:rPr>
        <w:t>por lo que su entrega es un elemento adicional que respalda la legalidad de los procesos adquisitivos.</w:t>
      </w:r>
    </w:p>
    <w:p w14:paraId="2D9E83A1"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352C8E4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En ese contexto, entregar el Registro Federal de Contribuyentes aún de personas físicas cuando son proveedores de instituciones públicas, </w:t>
      </w:r>
      <w:r w:rsidRPr="00AA473B">
        <w:rPr>
          <w:rFonts w:eastAsia="Calibri" w:cs="Tahoma"/>
          <w:b/>
          <w:bCs/>
          <w:color w:val="auto"/>
          <w:lang w:eastAsia="es-ES"/>
        </w:rPr>
        <w:t>propiciaría la rendición de cuentas</w:t>
      </w:r>
      <w:r w:rsidRPr="00AA473B">
        <w:rPr>
          <w:rFonts w:eastAsia="Calibri" w:cs="Tahoma"/>
          <w:bCs/>
          <w:color w:val="auto"/>
          <w:lang w:eastAsia="es-ES"/>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095A3A7E"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582B64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lastRenderedPageBreak/>
        <w:t>Lo anterior, se robustece con el Criterio de Interpretación, de la Segunda Época, con número de registro SO/004/2021, emitido por el Instituto Nacional de Transparencia, Acceso a la Información y Protección de Datos Personales, en el cual se señala lo siguiente:</w:t>
      </w:r>
    </w:p>
    <w:p w14:paraId="6298D9E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CED4226" w14:textId="77777777" w:rsidR="00FC213A" w:rsidRPr="00AA473B" w:rsidRDefault="00FC213A" w:rsidP="00FC213A">
      <w:pPr>
        <w:spacing w:after="0" w:line="360" w:lineRule="auto"/>
        <w:ind w:left="567" w:right="567"/>
        <w:contextualSpacing/>
        <w:rPr>
          <w:rFonts w:eastAsia="Calibri" w:cs="Tahoma"/>
          <w:bCs/>
          <w:i/>
          <w:color w:val="auto"/>
          <w:sz w:val="20"/>
          <w:szCs w:val="20"/>
          <w:lang w:eastAsia="es-ES"/>
        </w:rPr>
      </w:pPr>
      <w:r w:rsidRPr="00AA473B">
        <w:rPr>
          <w:rFonts w:eastAsia="Calibri" w:cs="Tahoma"/>
          <w:b/>
          <w:bCs/>
          <w:i/>
          <w:color w:val="auto"/>
          <w:sz w:val="20"/>
          <w:szCs w:val="20"/>
          <w:lang w:eastAsia="es-ES"/>
        </w:rPr>
        <w:t xml:space="preserve">“Registro Federal de Contribuyentes (RFC) de personas físicas proveedores o contratistas. </w:t>
      </w:r>
      <w:r w:rsidRPr="00AA473B">
        <w:rPr>
          <w:rFonts w:eastAsia="Calibri" w:cs="Tahoma"/>
          <w:bCs/>
          <w:i/>
          <w:color w:val="auto"/>
          <w:sz w:val="20"/>
          <w:szCs w:val="20"/>
          <w:lang w:eastAsia="es-ES"/>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550F789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D92B31E" w14:textId="77777777" w:rsidR="00FC213A" w:rsidRPr="00AA473B" w:rsidRDefault="00FC213A" w:rsidP="00FC213A">
      <w:pPr>
        <w:spacing w:after="0" w:line="360" w:lineRule="auto"/>
        <w:contextualSpacing/>
        <w:rPr>
          <w:rFonts w:eastAsia="Calibri" w:cs="Tahoma"/>
          <w:b/>
          <w:bCs/>
          <w:color w:val="auto"/>
          <w:u w:val="single"/>
          <w:lang w:eastAsia="es-ES"/>
        </w:rPr>
      </w:pPr>
      <w:r w:rsidRPr="00AA473B">
        <w:rPr>
          <w:rFonts w:eastAsia="Calibri" w:cs="Tahoma"/>
          <w:bCs/>
          <w:color w:val="auto"/>
          <w:lang w:eastAsia="es-ES"/>
        </w:rPr>
        <w:t>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0FEE5374"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45043C8B"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Persona Moral</w:t>
      </w:r>
    </w:p>
    <w:p w14:paraId="4E936B33"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0884610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w:t>
      </w:r>
      <w:r w:rsidRPr="00AA473B">
        <w:rPr>
          <w:rFonts w:eastAsia="Calibri" w:cs="Tahoma"/>
          <w:bCs/>
          <w:color w:val="auto"/>
          <w:lang w:eastAsia="es-ES"/>
        </w:rPr>
        <w:lastRenderedPageBreak/>
        <w:t>firmas ante las autoridades fiscales o ante notario o fedatario público. Derivado del trámite se obtiene, entre otros, la cédula de identificación fiscal o constancia de registro.</w:t>
      </w:r>
    </w:p>
    <w:p w14:paraId="598B8A7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594C865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Por ende, la información correspondiente al Registro Federal de Contribuyentes de una persona moral da cuenta del cumplimiento o no en sus obligaciones fiscales; por tanto, no se actualiza su clasificación como confidencial.</w:t>
      </w:r>
    </w:p>
    <w:p w14:paraId="67C9D85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57E9385"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23EE3B7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056B4DF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009BF15A" w14:textId="77777777" w:rsidR="00FC213A" w:rsidRPr="00AA473B" w:rsidRDefault="00FC213A" w:rsidP="00FC213A">
      <w:pPr>
        <w:spacing w:after="0" w:line="360" w:lineRule="auto"/>
        <w:contextualSpacing/>
        <w:rPr>
          <w:rFonts w:eastAsia="Calibri" w:cs="Tahoma"/>
          <w:b/>
          <w:bCs/>
          <w:color w:val="auto"/>
          <w:lang w:eastAsia="es-ES"/>
        </w:rPr>
      </w:pPr>
      <w:r w:rsidRPr="00AA473B">
        <w:rPr>
          <w:rFonts w:eastAsia="Calibri" w:cs="Tahoma"/>
          <w:b/>
          <w:bCs/>
          <w:color w:val="auto"/>
          <w:lang w:eastAsia="es-ES"/>
        </w:rPr>
        <w:t xml:space="preserve"> </w:t>
      </w:r>
    </w:p>
    <w:p w14:paraId="7986C8A2" w14:textId="77777777" w:rsidR="00FC213A" w:rsidRPr="00AA473B" w:rsidRDefault="00FC213A" w:rsidP="000D0FE9">
      <w:pPr>
        <w:numPr>
          <w:ilvl w:val="0"/>
          <w:numId w:val="9"/>
        </w:numPr>
        <w:spacing w:after="0" w:line="360" w:lineRule="auto"/>
        <w:contextualSpacing/>
        <w:jc w:val="left"/>
        <w:rPr>
          <w:rFonts w:eastAsia="Calibri" w:cs="Tahoma"/>
          <w:b/>
          <w:bCs/>
          <w:color w:val="auto"/>
          <w:lang w:eastAsia="es-ES"/>
        </w:rPr>
      </w:pPr>
      <w:r w:rsidRPr="00AA473B">
        <w:rPr>
          <w:rFonts w:eastAsia="Calibri" w:cs="Tahoma"/>
          <w:b/>
          <w:bCs/>
          <w:color w:val="auto"/>
          <w:lang w:eastAsia="es-ES"/>
        </w:rPr>
        <w:t>Número de teléfono y correo electrónico de proveedor.</w:t>
      </w:r>
    </w:p>
    <w:p w14:paraId="42CBDEDF" w14:textId="77777777" w:rsidR="00FC213A" w:rsidRPr="00AA473B" w:rsidRDefault="00FC213A" w:rsidP="00FC213A">
      <w:pPr>
        <w:spacing w:after="0" w:line="360" w:lineRule="auto"/>
        <w:contextualSpacing/>
        <w:rPr>
          <w:rFonts w:eastAsia="Calibri" w:cs="Tahoma"/>
          <w:b/>
          <w:bCs/>
          <w:iCs/>
          <w:color w:val="auto"/>
          <w:lang w:eastAsia="es-ES"/>
        </w:rPr>
      </w:pPr>
      <w:r w:rsidRPr="00AA473B">
        <w:rPr>
          <w:rFonts w:eastAsia="Calibri" w:cs="Tahoma"/>
          <w:b/>
          <w:bCs/>
          <w:iCs/>
          <w:color w:val="auto"/>
          <w:lang w:eastAsia="es-ES"/>
        </w:rPr>
        <w:t xml:space="preserve"> </w:t>
      </w:r>
    </w:p>
    <w:p w14:paraId="2231E52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El número asignado a un teléfono, permite localizar, en el presente caso, de un proveedor, ya sea a través de un dispositivo móvil o bien, en un lugar como el domicilio; mientras que correo electrónico es un sistema de transmisión de mensajes por computadora a través de redes informáticas. Dicho dato se puede asimilar al teléfono o domicilio, toda vez que es un medio para comunicarse con un proveedor, en el presente caso.</w:t>
      </w:r>
    </w:p>
    <w:p w14:paraId="6F3108B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lastRenderedPageBreak/>
        <w:t xml:space="preserve"> </w:t>
      </w:r>
    </w:p>
    <w:p w14:paraId="4727745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Como se refirió, en el presente caso, los datos en comento, se tratan de los medios de contacto de los proveedores que tiene la Secretaría de Cultura y Turismo, los cuales, si bien hacen identificable a una persona, en el presente caso, se trata de una persona proveedora que recibe recursos públicos, derivado de los contratos celebrados con la Dependencia y, por lo tanto, dichos datos guardan la naturaleza de públicos.</w:t>
      </w:r>
    </w:p>
    <w:p w14:paraId="4FA7528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115B08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Lo anterior,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182105D4" w14:textId="77777777" w:rsidR="00FC213A" w:rsidRPr="00AA473B" w:rsidRDefault="00FC213A" w:rsidP="00FC213A">
      <w:pPr>
        <w:spacing w:after="0" w:line="360" w:lineRule="auto"/>
        <w:contextualSpacing/>
        <w:rPr>
          <w:rFonts w:eastAsia="Calibri" w:cs="Tahoma"/>
          <w:b/>
          <w:bCs/>
          <w:iCs/>
          <w:color w:val="auto"/>
          <w:lang w:eastAsia="es-ES"/>
        </w:rPr>
      </w:pPr>
      <w:r w:rsidRPr="00AA473B">
        <w:rPr>
          <w:rFonts w:eastAsia="Calibri" w:cs="Tahoma"/>
          <w:b/>
          <w:bCs/>
          <w:iCs/>
          <w:color w:val="auto"/>
          <w:lang w:eastAsia="es-ES"/>
        </w:rPr>
        <w:t xml:space="preserve"> </w:t>
      </w:r>
    </w:p>
    <w:p w14:paraId="45E95C0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noProof/>
          <w:color w:val="auto"/>
        </w:rPr>
        <w:drawing>
          <wp:inline distT="0" distB="0" distL="0" distR="0" wp14:anchorId="0DA70105" wp14:editId="5ADEC666">
            <wp:extent cx="5612130" cy="1438275"/>
            <wp:effectExtent l="0" t="0" r="7620" b="9525"/>
            <wp:docPr id="13994950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438275"/>
                    </a:xfrm>
                    <a:prstGeom prst="rect">
                      <a:avLst/>
                    </a:prstGeom>
                    <a:noFill/>
                    <a:ln>
                      <a:noFill/>
                    </a:ln>
                  </pic:spPr>
                </pic:pic>
              </a:graphicData>
            </a:graphic>
          </wp:inline>
        </w:drawing>
      </w:r>
      <w:r w:rsidRPr="00AA473B">
        <w:rPr>
          <w:rFonts w:eastAsia="Calibri" w:cs="Tahoma"/>
          <w:bCs/>
          <w:color w:val="auto"/>
          <w:lang w:eastAsia="es-ES"/>
        </w:rPr>
        <w:t xml:space="preserve"> </w:t>
      </w:r>
    </w:p>
    <w:p w14:paraId="247B3881"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63371C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Como se logra observar,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14:paraId="1EA17D2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344ACCB5" w14:textId="77777777" w:rsidR="00FC213A" w:rsidRPr="00AA473B" w:rsidRDefault="00FC213A" w:rsidP="000D0FE9">
      <w:pPr>
        <w:numPr>
          <w:ilvl w:val="0"/>
          <w:numId w:val="9"/>
        </w:numPr>
        <w:spacing w:after="0" w:line="360" w:lineRule="auto"/>
        <w:contextualSpacing/>
        <w:jc w:val="left"/>
        <w:rPr>
          <w:rFonts w:eastAsia="Calibri" w:cs="Tahoma"/>
          <w:b/>
          <w:bCs/>
          <w:color w:val="auto"/>
          <w:lang w:eastAsia="es-ES"/>
        </w:rPr>
      </w:pPr>
      <w:r w:rsidRPr="00AA473B">
        <w:rPr>
          <w:rFonts w:eastAsia="Calibri" w:cs="Tahoma"/>
          <w:b/>
          <w:bCs/>
          <w:color w:val="auto"/>
          <w:lang w:eastAsia="es-ES"/>
        </w:rPr>
        <w:lastRenderedPageBreak/>
        <w:t>Domicilio Fiscal o legal para recibir y oír notificaciones (proveedor persona física o moral).</w:t>
      </w:r>
    </w:p>
    <w:p w14:paraId="349C148C"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2CCFBB3"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6CE0EEB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0C3404BC"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De la misma manera, lo establece los diversos 29 y 33 del Código Civil Federal, al precisar que el domicilio de personas físicas</w:t>
      </w:r>
      <w:r w:rsidRPr="00AA473B">
        <w:rPr>
          <w:rFonts w:eastAsia="Calibri" w:cs="Tahoma"/>
          <w:b/>
          <w:bCs/>
          <w:color w:val="auto"/>
          <w:lang w:eastAsia="es-ES"/>
        </w:rPr>
        <w:t xml:space="preserve">, es el lugar donde residen habitualmente, el lugar del centro principal de sus negocios, donde residan o el lugar donde se encuentren; </w:t>
      </w:r>
      <w:r w:rsidRPr="00AA473B">
        <w:rPr>
          <w:rFonts w:eastAsia="Calibri" w:cs="Tahoma"/>
          <w:bCs/>
          <w:color w:val="auto"/>
          <w:lang w:eastAsia="es-ES"/>
        </w:rPr>
        <w:t>mientras que, de las personas morales, aquel donde se halle su administración.</w:t>
      </w:r>
    </w:p>
    <w:p w14:paraId="42A650A0" w14:textId="77777777" w:rsidR="00FC213A" w:rsidRPr="00AA473B" w:rsidRDefault="00FC213A" w:rsidP="00FC213A">
      <w:pPr>
        <w:spacing w:after="0" w:line="360" w:lineRule="auto"/>
        <w:contextualSpacing/>
        <w:rPr>
          <w:rFonts w:eastAsia="Calibri" w:cs="Tahoma"/>
          <w:b/>
          <w:bCs/>
          <w:iCs/>
          <w:color w:val="auto"/>
          <w:lang w:eastAsia="es-ES"/>
        </w:rPr>
      </w:pPr>
      <w:r w:rsidRPr="00AA473B">
        <w:rPr>
          <w:rFonts w:eastAsia="Calibri" w:cs="Tahoma"/>
          <w:b/>
          <w:bCs/>
          <w:iCs/>
          <w:color w:val="auto"/>
          <w:lang w:eastAsia="es-ES"/>
        </w:rPr>
        <w:t xml:space="preserve"> </w:t>
      </w:r>
    </w:p>
    <w:p w14:paraId="016FEA0A"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Además, respecto al domicilio fiscal, resulta necesario traer el artículo 10 del Código Fiscal de la Federación, que establece que, tratándose de personas físicas, corresponderá dicho dato:</w:t>
      </w:r>
    </w:p>
    <w:p w14:paraId="3D7221E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5E8C65F3" w14:textId="77777777" w:rsidR="00FC213A" w:rsidRPr="00AA473B" w:rsidRDefault="00FC213A" w:rsidP="000D0FE9">
      <w:pPr>
        <w:numPr>
          <w:ilvl w:val="0"/>
          <w:numId w:val="11"/>
        </w:numPr>
        <w:spacing w:after="0" w:line="360" w:lineRule="auto"/>
        <w:contextualSpacing/>
        <w:jc w:val="left"/>
        <w:rPr>
          <w:rFonts w:eastAsia="Calibri" w:cs="Tahoma"/>
          <w:bCs/>
          <w:color w:val="auto"/>
          <w:lang w:eastAsia="es-ES"/>
        </w:rPr>
      </w:pPr>
      <w:r w:rsidRPr="00AA473B">
        <w:rPr>
          <w:rFonts w:eastAsia="Calibri" w:cs="Tahoma"/>
          <w:bCs/>
          <w:color w:val="auto"/>
          <w:lang w:eastAsia="es-ES"/>
        </w:rPr>
        <w:t>El lugar donde realizan actividades empresariales, el local, en que se encuentre el principal asiente de sus negocios, y</w:t>
      </w:r>
    </w:p>
    <w:p w14:paraId="4B301350" w14:textId="77777777" w:rsidR="00FC213A" w:rsidRPr="00AA473B" w:rsidRDefault="00FC213A" w:rsidP="000D0FE9">
      <w:pPr>
        <w:numPr>
          <w:ilvl w:val="0"/>
          <w:numId w:val="11"/>
        </w:numPr>
        <w:spacing w:after="0" w:line="360" w:lineRule="auto"/>
        <w:contextualSpacing/>
        <w:jc w:val="left"/>
        <w:rPr>
          <w:rFonts w:eastAsia="Calibri" w:cs="Tahoma"/>
          <w:bCs/>
          <w:color w:val="auto"/>
          <w:lang w:eastAsia="es-ES"/>
        </w:rPr>
      </w:pPr>
      <w:r w:rsidRPr="00AA473B">
        <w:rPr>
          <w:rFonts w:eastAsia="Calibri" w:cs="Tahoma"/>
          <w:bCs/>
          <w:color w:val="auto"/>
          <w:lang w:eastAsia="es-ES"/>
        </w:rPr>
        <w:t>La casa habitación, cuando no cuenta con un local o lugar donde realice las acciones previamente señaladas.</w:t>
      </w:r>
    </w:p>
    <w:p w14:paraId="0E61BD75"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56ADD95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6678B6E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00D87E5"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lastRenderedPageBreak/>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62233D12" w14:textId="77777777" w:rsidR="00FC213A" w:rsidRPr="00AA473B" w:rsidRDefault="00FC213A" w:rsidP="00FC213A">
      <w:pPr>
        <w:spacing w:after="0" w:line="360" w:lineRule="auto"/>
        <w:contextualSpacing/>
        <w:rPr>
          <w:rFonts w:eastAsia="Calibri" w:cs="Tahoma"/>
          <w:bCs/>
          <w:iCs/>
          <w:color w:val="auto"/>
          <w:lang w:eastAsia="es-ES"/>
        </w:rPr>
      </w:pPr>
      <w:r w:rsidRPr="00AA473B">
        <w:rPr>
          <w:rFonts w:eastAsia="Calibri" w:cs="Tahoma"/>
          <w:bCs/>
          <w:iCs/>
          <w:color w:val="auto"/>
          <w:lang w:eastAsia="es-ES"/>
        </w:rPr>
        <w:t xml:space="preserve"> </w:t>
      </w:r>
    </w:p>
    <w:p w14:paraId="7CEAD66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iCs/>
          <w:color w:val="auto"/>
          <w:lang w:eastAsia="es-ES"/>
        </w:rPr>
        <w:t xml:space="preserve">Ahora bien, en el caso de que el domicilio corresponda al lugar donde realiza sus actividades empresariales, como es el caso de las personas morales, se considera necesario traer a colación, </w:t>
      </w:r>
      <w:r w:rsidRPr="00AA473B">
        <w:rPr>
          <w:rFonts w:eastAsia="Calibri" w:cs="Tahoma"/>
          <w:bCs/>
          <w:color w:val="auto"/>
          <w:lang w:eastAsia="es-ES"/>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5830C2E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1B0FCE4" w14:textId="77777777" w:rsidR="00FC213A" w:rsidRPr="00AA473B" w:rsidRDefault="00FC213A" w:rsidP="00FC213A">
      <w:pPr>
        <w:spacing w:after="0" w:line="360" w:lineRule="auto"/>
        <w:contextualSpacing/>
        <w:jc w:val="center"/>
        <w:rPr>
          <w:rFonts w:eastAsia="Calibri" w:cs="Tahoma"/>
          <w:bCs/>
          <w:color w:val="auto"/>
          <w:lang w:eastAsia="es-ES"/>
        </w:rPr>
      </w:pPr>
      <w:r w:rsidRPr="00AA473B">
        <w:rPr>
          <w:rFonts w:eastAsia="Calibri" w:cs="Tahoma"/>
          <w:bCs/>
          <w:noProof/>
          <w:color w:val="auto"/>
        </w:rPr>
        <w:drawing>
          <wp:inline distT="0" distB="0" distL="0" distR="0" wp14:anchorId="2F6E2FFE" wp14:editId="3133DD32">
            <wp:extent cx="4629150" cy="625561"/>
            <wp:effectExtent l="0" t="0" r="0" b="3175"/>
            <wp:docPr id="1330609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1975" cy="628645"/>
                    </a:xfrm>
                    <a:prstGeom prst="rect">
                      <a:avLst/>
                    </a:prstGeom>
                    <a:noFill/>
                    <a:ln>
                      <a:noFill/>
                    </a:ln>
                  </pic:spPr>
                </pic:pic>
              </a:graphicData>
            </a:graphic>
          </wp:inline>
        </w:drawing>
      </w:r>
    </w:p>
    <w:p w14:paraId="5DE297C9" w14:textId="77777777" w:rsidR="00FC213A" w:rsidRPr="00AA473B" w:rsidRDefault="00FC213A" w:rsidP="00FC213A">
      <w:pPr>
        <w:spacing w:after="0" w:line="360" w:lineRule="auto"/>
        <w:contextualSpacing/>
        <w:jc w:val="center"/>
        <w:rPr>
          <w:rFonts w:eastAsia="Calibri" w:cs="Tahoma"/>
          <w:bCs/>
          <w:color w:val="auto"/>
          <w:lang w:eastAsia="es-ES"/>
        </w:rPr>
      </w:pPr>
      <w:r w:rsidRPr="00AA473B">
        <w:rPr>
          <w:rFonts w:eastAsia="Calibri" w:cs="Tahoma"/>
          <w:bCs/>
          <w:noProof/>
          <w:color w:val="auto"/>
        </w:rPr>
        <w:drawing>
          <wp:inline distT="0" distB="0" distL="0" distR="0" wp14:anchorId="2DB98A4D" wp14:editId="68F65820">
            <wp:extent cx="4585721" cy="1339702"/>
            <wp:effectExtent l="0" t="0" r="0" b="0"/>
            <wp:docPr id="10491250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51305"/>
                    <a:stretch/>
                  </pic:blipFill>
                  <pic:spPr bwMode="auto">
                    <a:xfrm>
                      <a:off x="0" y="0"/>
                      <a:ext cx="4591050" cy="1341259"/>
                    </a:xfrm>
                    <a:prstGeom prst="rect">
                      <a:avLst/>
                    </a:prstGeom>
                    <a:noFill/>
                    <a:ln>
                      <a:noFill/>
                    </a:ln>
                    <a:extLst>
                      <a:ext uri="{53640926-AAD7-44D8-BBD7-CCE9431645EC}">
                        <a14:shadowObscured xmlns:a14="http://schemas.microsoft.com/office/drawing/2010/main"/>
                      </a:ext>
                    </a:extLst>
                  </pic:spPr>
                </pic:pic>
              </a:graphicData>
            </a:graphic>
          </wp:inline>
        </w:drawing>
      </w:r>
    </w:p>
    <w:p w14:paraId="3E244843" w14:textId="1851C2B3" w:rsidR="00FC213A" w:rsidRPr="00AA473B" w:rsidRDefault="00FC213A" w:rsidP="00FC213A">
      <w:pPr>
        <w:spacing w:after="0" w:line="360" w:lineRule="auto"/>
        <w:contextualSpacing/>
        <w:jc w:val="center"/>
        <w:rPr>
          <w:rFonts w:eastAsia="Calibri" w:cs="Tahoma"/>
          <w:bCs/>
          <w:color w:val="auto"/>
          <w:lang w:eastAsia="es-ES"/>
        </w:rPr>
      </w:pPr>
      <w:r w:rsidRPr="00AA473B">
        <w:rPr>
          <w:rFonts w:eastAsia="Calibri" w:cs="Tahoma"/>
          <w:bCs/>
          <w:noProof/>
          <w:color w:val="auto"/>
        </w:rPr>
        <w:lastRenderedPageBreak/>
        <w:drawing>
          <wp:inline distT="0" distB="0" distL="0" distR="0" wp14:anchorId="13A6FCC2" wp14:editId="5608195D">
            <wp:extent cx="4591050" cy="1181011"/>
            <wp:effectExtent l="0" t="0" r="0" b="635"/>
            <wp:docPr id="15580906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a:extLst>
                        <a:ext uri="{28A0092B-C50C-407E-A947-70E740481C1C}">
                          <a14:useLocalDpi xmlns:a14="http://schemas.microsoft.com/office/drawing/2010/main" val="0"/>
                        </a:ext>
                      </a:extLst>
                    </a:blip>
                    <a:srcRect t="57126"/>
                    <a:stretch/>
                  </pic:blipFill>
                  <pic:spPr bwMode="auto">
                    <a:xfrm>
                      <a:off x="0" y="0"/>
                      <a:ext cx="4591050" cy="1181011"/>
                    </a:xfrm>
                    <a:prstGeom prst="rect">
                      <a:avLst/>
                    </a:prstGeom>
                    <a:noFill/>
                    <a:ln>
                      <a:noFill/>
                    </a:ln>
                    <a:extLst>
                      <a:ext uri="{53640926-AAD7-44D8-BBD7-CCE9431645EC}">
                        <a14:shadowObscured xmlns:a14="http://schemas.microsoft.com/office/drawing/2010/main"/>
                      </a:ext>
                    </a:extLst>
                  </pic:spPr>
                </pic:pic>
              </a:graphicData>
            </a:graphic>
          </wp:inline>
        </w:drawing>
      </w:r>
    </w:p>
    <w:p w14:paraId="58E5D581" w14:textId="77777777" w:rsidR="00FC213A" w:rsidRPr="00AA473B" w:rsidRDefault="00FC213A" w:rsidP="00FC213A">
      <w:pPr>
        <w:spacing w:after="0" w:line="360" w:lineRule="auto"/>
        <w:contextualSpacing/>
        <w:jc w:val="center"/>
        <w:rPr>
          <w:rFonts w:eastAsia="Calibri" w:cs="Tahoma"/>
          <w:bCs/>
          <w:color w:val="auto"/>
          <w:lang w:eastAsia="es-ES"/>
        </w:rPr>
      </w:pPr>
    </w:p>
    <w:p w14:paraId="043CADC1"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26E26A34" w14:textId="77777777" w:rsidR="00FC213A" w:rsidRPr="00AA473B" w:rsidRDefault="00FC213A" w:rsidP="00FC213A">
      <w:pPr>
        <w:spacing w:after="0" w:line="360" w:lineRule="auto"/>
        <w:contextualSpacing/>
        <w:rPr>
          <w:rFonts w:eastAsia="Calibri" w:cs="Tahoma"/>
          <w:bCs/>
          <w:iCs/>
          <w:color w:val="auto"/>
          <w:lang w:eastAsia="es-ES"/>
        </w:rPr>
      </w:pPr>
      <w:r w:rsidRPr="00AA473B">
        <w:rPr>
          <w:rFonts w:eastAsia="Calibri" w:cs="Tahoma"/>
          <w:bCs/>
          <w:iCs/>
          <w:color w:val="auto"/>
          <w:lang w:eastAsia="es-ES"/>
        </w:rPr>
        <w:t xml:space="preserve"> </w:t>
      </w:r>
    </w:p>
    <w:p w14:paraId="5711235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14:paraId="47864B6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0608679F" w14:textId="77777777" w:rsidR="00FC213A" w:rsidRPr="00AA473B" w:rsidRDefault="00FC213A" w:rsidP="000D0FE9">
      <w:pPr>
        <w:numPr>
          <w:ilvl w:val="0"/>
          <w:numId w:val="9"/>
        </w:numPr>
        <w:spacing w:after="0" w:line="360" w:lineRule="auto"/>
        <w:contextualSpacing/>
        <w:jc w:val="left"/>
        <w:rPr>
          <w:rFonts w:eastAsia="Calibri" w:cs="Tahoma"/>
          <w:bCs/>
          <w:color w:val="auto"/>
          <w:lang w:eastAsia="es-ES"/>
        </w:rPr>
      </w:pPr>
      <w:r w:rsidRPr="00AA473B">
        <w:rPr>
          <w:rFonts w:eastAsia="Calibri" w:cs="Tahoma"/>
          <w:b/>
          <w:bCs/>
          <w:color w:val="auto"/>
          <w:lang w:eastAsia="es-ES"/>
        </w:rPr>
        <w:t>Firma del proveedor o representante legal</w:t>
      </w:r>
    </w:p>
    <w:p w14:paraId="0B7BFC2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E844EC3"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Al respecto, la firma es considerada un dato personal, al tratarse de información gráfica a través de la cual su titular exterioriza su voluntad en actos públicos y privados; dicho dato  exterioriza la voluntad en un acto público y que lo realiza una persona física identificada o identificable, en su calidad de proveedor o representante legal, por lo que, expresa el consentimiento del contratista para realizar o recibir ciertas obligaciones; además, que le otorga validez al instrumento jurídico, en el presente caso, la celebración de contratos para la adquisición  o arrendamiento de bienes y servicios.</w:t>
      </w:r>
    </w:p>
    <w:p w14:paraId="24CE615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C78F98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Conforme a lo anterior, no procede la clasificación de la firma del proveedor o representante legal, localizados en los documentos que den cuenta de la información solicitada, en términos </w:t>
      </w:r>
      <w:r w:rsidRPr="00AA473B">
        <w:rPr>
          <w:rFonts w:eastAsia="Calibri" w:cs="Tahoma"/>
          <w:bCs/>
          <w:color w:val="auto"/>
          <w:lang w:eastAsia="es-ES"/>
        </w:rPr>
        <w:lastRenderedPageBreak/>
        <w:t>del artículo 143, fracción I de la Ley de Transparencia y Acceso a la Información Pública del Estado de México y Municipios.</w:t>
      </w:r>
    </w:p>
    <w:p w14:paraId="680AAA34"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7C308320" w14:textId="77777777" w:rsidR="00FC213A" w:rsidRPr="00AA473B" w:rsidRDefault="00FC213A" w:rsidP="000D0FE9">
      <w:pPr>
        <w:numPr>
          <w:ilvl w:val="0"/>
          <w:numId w:val="12"/>
        </w:numPr>
        <w:spacing w:after="0" w:line="360" w:lineRule="auto"/>
        <w:contextualSpacing/>
        <w:jc w:val="left"/>
        <w:rPr>
          <w:rFonts w:eastAsia="Calibri" w:cs="Tahoma"/>
          <w:b/>
          <w:bCs/>
          <w:iCs/>
          <w:color w:val="auto"/>
          <w:lang w:eastAsia="es-ES"/>
        </w:rPr>
      </w:pPr>
      <w:r w:rsidRPr="00AA473B">
        <w:rPr>
          <w:rFonts w:eastAsia="Calibri" w:cs="Tahoma"/>
          <w:b/>
          <w:bCs/>
          <w:iCs/>
          <w:color w:val="auto"/>
          <w:lang w:eastAsia="es-ES"/>
        </w:rPr>
        <w:t>Cuenta bancaria y clave interbancaria del proveedor</w:t>
      </w:r>
    </w:p>
    <w:p w14:paraId="6C235497"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22710956"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657FF20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78758CF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A mayor abundamiento, resulta necesario traer a colación el </w:t>
      </w:r>
      <w:r w:rsidRPr="00AA473B">
        <w:rPr>
          <w:rFonts w:eastAsia="Calibri" w:cs="Tahoma"/>
          <w:bCs/>
          <w:iCs/>
          <w:color w:val="auto"/>
          <w:lang w:eastAsia="es-ES"/>
        </w:rPr>
        <w:t>Criterio de Interpretación, de la Segunda Época, con número de registro SO/010/2017, emitido por el Instituto Nacional de Transparencia, Acceso a la Información y Protección de Datos Personales</w:t>
      </w:r>
      <w:r w:rsidRPr="00AA473B">
        <w:rPr>
          <w:rFonts w:eastAsia="Calibri" w:cs="Tahoma"/>
          <w:bCs/>
          <w:color w:val="auto"/>
          <w:lang w:eastAsia="es-ES"/>
        </w:rPr>
        <w:t>, mismo que establece lo siguiente:</w:t>
      </w:r>
    </w:p>
    <w:p w14:paraId="50AE2BC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44D1A2B1" w14:textId="77777777" w:rsidR="00FC213A" w:rsidRPr="00AA473B" w:rsidRDefault="00FC213A" w:rsidP="00FC213A">
      <w:pPr>
        <w:spacing w:after="0" w:line="360" w:lineRule="auto"/>
        <w:ind w:left="567" w:right="567"/>
        <w:contextualSpacing/>
        <w:rPr>
          <w:rFonts w:eastAsia="Calibri" w:cs="Tahoma"/>
          <w:bCs/>
          <w:i/>
          <w:color w:val="auto"/>
          <w:sz w:val="20"/>
          <w:szCs w:val="20"/>
          <w:lang w:eastAsia="es-ES"/>
        </w:rPr>
      </w:pPr>
      <w:r w:rsidRPr="00AA473B">
        <w:rPr>
          <w:rFonts w:eastAsia="Calibri" w:cs="Tahoma"/>
          <w:bCs/>
          <w:i/>
          <w:color w:val="auto"/>
          <w:sz w:val="20"/>
          <w:szCs w:val="20"/>
          <w:lang w:eastAsia="es-ES"/>
        </w:rPr>
        <w:t>“</w:t>
      </w:r>
      <w:r w:rsidRPr="00AA473B">
        <w:rPr>
          <w:rFonts w:eastAsia="Calibri" w:cs="Tahoma"/>
          <w:b/>
          <w:bCs/>
          <w:i/>
          <w:color w:val="auto"/>
          <w:sz w:val="20"/>
          <w:szCs w:val="20"/>
          <w:lang w:eastAsia="es-ES"/>
        </w:rPr>
        <w:t>Cuentas bancarias y/o CLABE interbancaria de personas físicas y morales privadas.</w:t>
      </w:r>
      <w:r w:rsidRPr="00AA473B">
        <w:rPr>
          <w:rFonts w:eastAsia="Calibri" w:cs="Tahoma"/>
          <w:bCs/>
          <w:i/>
          <w:color w:val="auto"/>
          <w:sz w:val="20"/>
          <w:szCs w:val="20"/>
          <w:lang w:eastAsia="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95B4BC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7E75CA5B"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lastRenderedPageBreak/>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14:paraId="07E0FB73"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5D1B1DF4" w14:textId="77777777" w:rsidR="00FC213A" w:rsidRPr="00AA473B" w:rsidRDefault="00FC213A" w:rsidP="000D0FE9">
      <w:pPr>
        <w:numPr>
          <w:ilvl w:val="0"/>
          <w:numId w:val="13"/>
        </w:numPr>
        <w:spacing w:after="0" w:line="360" w:lineRule="auto"/>
        <w:contextualSpacing/>
        <w:jc w:val="left"/>
        <w:rPr>
          <w:rFonts w:eastAsia="Calibri" w:cs="Tahoma"/>
          <w:b/>
          <w:bCs/>
          <w:iCs/>
          <w:color w:val="auto"/>
          <w:lang w:eastAsia="es-ES"/>
        </w:rPr>
      </w:pPr>
      <w:r w:rsidRPr="00AA473B">
        <w:rPr>
          <w:rFonts w:eastAsia="Calibri" w:cs="Tahoma"/>
          <w:b/>
          <w:bCs/>
          <w:iCs/>
          <w:color w:val="auto"/>
          <w:lang w:eastAsia="es-ES"/>
        </w:rPr>
        <w:t>Nombre de institución bancaria</w:t>
      </w:r>
    </w:p>
    <w:p w14:paraId="7458F5C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3DAA35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45B95A2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72C3AB28"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En ese orden de ideas, en el portal de la Comisión Nacional para la Protección y Defensa de los Usuarios de Servicios Financieros, se establece que los bancos son instituciones </w:t>
      </w:r>
      <w:r w:rsidRPr="00AA473B">
        <w:rPr>
          <w:rFonts w:eastAsia="Calibri" w:cs="Tahoma"/>
          <w:bCs/>
          <w:color w:val="auto"/>
          <w:lang w:eastAsia="es-ES"/>
        </w:rPr>
        <w:lastRenderedPageBreak/>
        <w:t>financieras; conforme a lo anterior, se puede advertir que las instituciones bancarias, son personas morales.</w:t>
      </w:r>
    </w:p>
    <w:p w14:paraId="578A1172"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6CC1C40"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En ese orden de ideas, se considera que la denominación o razón social de una persona moral, es pública, pues dichos datos se encuentran inscritos en el Registro Público del Comercio; lo anterior, toma sustento en el </w:t>
      </w:r>
      <w:r w:rsidRPr="00AA473B">
        <w:rPr>
          <w:rFonts w:eastAsia="Calibri" w:cs="Tahoma"/>
          <w:bCs/>
          <w:iCs/>
          <w:color w:val="auto"/>
          <w:lang w:eastAsia="es-ES"/>
        </w:rPr>
        <w:t>Criterio de Interpretación, de la Segunda Época, con número de registro SO/008/2019, emitido por el Instituto Nacional de Transparencia, Acceso a la Información y Protección de Datos Personales,</w:t>
      </w:r>
      <w:r w:rsidRPr="00AA473B">
        <w:rPr>
          <w:rFonts w:eastAsia="Calibri" w:cs="Tahoma"/>
          <w:bCs/>
          <w:color w:val="auto"/>
          <w:lang w:eastAsia="es-ES"/>
        </w:rPr>
        <w:t xml:space="preserve"> previamente referido.</w:t>
      </w:r>
    </w:p>
    <w:p w14:paraId="3F64BB4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1671B8E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Lo anterior, se robustece con el hecho de que existe el Sistema de Registro de Prestadores de Servicios Financieros, que es un registro de </w:t>
      </w:r>
      <w:r w:rsidRPr="00AA473B">
        <w:rPr>
          <w:rFonts w:eastAsia="Calibri" w:cs="Tahoma"/>
          <w:b/>
          <w:bCs/>
          <w:color w:val="auto"/>
          <w:lang w:eastAsia="es-ES"/>
        </w:rPr>
        <w:t xml:space="preserve">carácter público, </w:t>
      </w:r>
      <w:r w:rsidRPr="00AA473B">
        <w:rPr>
          <w:rFonts w:eastAsia="Calibri" w:cs="Tahoma"/>
          <w:bCs/>
          <w:color w:val="auto"/>
          <w:lang w:eastAsia="es-ES"/>
        </w:rPr>
        <w:t>cuyo objetivo principal, consiste en proporcionar información corporativa y general de las instituciones financieras</w:t>
      </w:r>
      <w:r w:rsidRPr="00AA473B">
        <w:rPr>
          <w:rFonts w:eastAsia="Calibri" w:cs="Tahoma"/>
          <w:b/>
          <w:bCs/>
          <w:color w:val="auto"/>
          <w:lang w:eastAsia="es-ES"/>
        </w:rPr>
        <w:t xml:space="preserve">; además, que permite conocer al público general, información de dichos entes, </w:t>
      </w:r>
      <w:r w:rsidRPr="00AA473B">
        <w:rPr>
          <w:rFonts w:eastAsia="Calibri" w:cs="Tahoma"/>
          <w:bCs/>
          <w:color w:val="auto"/>
          <w:lang w:eastAsia="es-ES"/>
        </w:rPr>
        <w:t xml:space="preserve">se muestra un ejemplo a continuación: </w:t>
      </w:r>
    </w:p>
    <w:p w14:paraId="23CF90D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6CF586C3" w14:textId="77777777" w:rsidR="00FC213A" w:rsidRPr="00AA473B" w:rsidRDefault="00FC213A" w:rsidP="00FC213A">
      <w:pPr>
        <w:spacing w:after="0" w:line="360" w:lineRule="auto"/>
        <w:contextualSpacing/>
        <w:jc w:val="center"/>
        <w:rPr>
          <w:rFonts w:eastAsia="Calibri" w:cs="Tahoma"/>
          <w:bCs/>
          <w:color w:val="auto"/>
          <w:lang w:eastAsia="es-ES"/>
        </w:rPr>
      </w:pPr>
      <w:r w:rsidRPr="00AA473B">
        <w:rPr>
          <w:rFonts w:eastAsia="Calibri" w:cs="Tahoma"/>
          <w:bCs/>
          <w:noProof/>
          <w:color w:val="auto"/>
        </w:rPr>
        <w:drawing>
          <wp:inline distT="0" distB="0" distL="0" distR="0" wp14:anchorId="67D95EC9" wp14:editId="19163B2F">
            <wp:extent cx="4781550" cy="2486025"/>
            <wp:effectExtent l="0" t="0" r="0" b="9525"/>
            <wp:docPr id="8603860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486025"/>
                    </a:xfrm>
                    <a:prstGeom prst="rect">
                      <a:avLst/>
                    </a:prstGeom>
                    <a:noFill/>
                    <a:ln>
                      <a:noFill/>
                    </a:ln>
                  </pic:spPr>
                </pic:pic>
              </a:graphicData>
            </a:graphic>
          </wp:inline>
        </w:drawing>
      </w:r>
    </w:p>
    <w:p w14:paraId="223FD92F"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067B9A99"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lastRenderedPageBreak/>
        <w:t>Conforme a lo anterior, se logra vislumbrar que el nombre de las instituciones bancarias en primera instancia es de naturaleza pública; sin embargo, en el presente caso, se relacionada con el hecho de que corresponde al banco en el cual un proveedor decidió recibir el pago de sus servicios; es decir, daría cuenta de la decisión voluntaria de la persona moral de recibir el pago de sus servicios en una determinada institución; lo cual se relaciona con la cuenta y clave interbancaria, mismos que son confidenciales.</w:t>
      </w:r>
    </w:p>
    <w:p w14:paraId="4EE68DB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 xml:space="preserve"> </w:t>
      </w:r>
    </w:p>
    <w:p w14:paraId="7DD8614D" w14:textId="77777777" w:rsidR="00FC213A" w:rsidRPr="00AA473B" w:rsidRDefault="00FC213A" w:rsidP="00FC213A">
      <w:pPr>
        <w:spacing w:after="0" w:line="360" w:lineRule="auto"/>
        <w:contextualSpacing/>
        <w:rPr>
          <w:rFonts w:eastAsia="Calibri" w:cs="Tahoma"/>
          <w:bCs/>
          <w:color w:val="auto"/>
          <w:lang w:eastAsia="es-ES"/>
        </w:rPr>
      </w:pPr>
      <w:r w:rsidRPr="00AA473B">
        <w:rPr>
          <w:rFonts w:eastAsia="Calibri" w:cs="Tahoma"/>
          <w:bCs/>
          <w:color w:val="auto"/>
          <w:lang w:eastAsia="es-ES"/>
        </w:rPr>
        <w:t>Además, revelaría el lugar en donde el proveedor recibió los recursos por prestar sus servicios, lo cual únicamente está relacionado a su vida íntima o privada; por lo que, este Instituto considera que el nombre de la institución bancaria, actualiza la causal de clasificación prevista en el artículo 143, fracción I, de la Ley de Transparencia y Acceso a la Información Pública del Estado de México y Municipios.</w:t>
      </w:r>
    </w:p>
    <w:p w14:paraId="7119B869" w14:textId="77777777" w:rsidR="00FC213A" w:rsidRPr="00AA473B" w:rsidRDefault="00FC213A" w:rsidP="00FC213A">
      <w:pPr>
        <w:spacing w:after="0" w:line="360" w:lineRule="auto"/>
        <w:contextualSpacing/>
        <w:rPr>
          <w:rFonts w:eastAsia="Calibri" w:cs="Tahoma"/>
          <w:bCs/>
          <w:color w:val="auto"/>
          <w:lang w:val="es-ES" w:eastAsia="es-ES"/>
        </w:rPr>
      </w:pPr>
    </w:p>
    <w:p w14:paraId="02C49480" w14:textId="77777777" w:rsidR="00FC213A" w:rsidRPr="00AA473B" w:rsidRDefault="00FC213A" w:rsidP="00FC213A">
      <w:pPr>
        <w:spacing w:after="0" w:line="360" w:lineRule="auto"/>
        <w:contextualSpacing/>
        <w:rPr>
          <w:rFonts w:eastAsia="Times New Roman" w:cs="Tahoma"/>
          <w:bCs/>
          <w:iCs/>
          <w:color w:val="auto"/>
          <w:lang w:val="es-ES" w:eastAsia="es-ES"/>
        </w:rPr>
      </w:pPr>
      <w:r w:rsidRPr="00AA473B">
        <w:rPr>
          <w:rFonts w:eastAsia="Times New Roman" w:cs="Tahoma"/>
          <w:bCs/>
          <w:iCs/>
          <w:color w:val="auto"/>
          <w:lang w:val="es-ES" w:eastAsia="es-ES"/>
        </w:rPr>
        <w:t xml:space="preserve">Así, con base en lo expuesto,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 </w:t>
      </w:r>
    </w:p>
    <w:p w14:paraId="5AB7BCE3" w14:textId="77777777" w:rsidR="00C42E00" w:rsidRPr="00AA473B" w:rsidRDefault="00C42E00" w:rsidP="00B179C3">
      <w:pPr>
        <w:tabs>
          <w:tab w:val="center" w:pos="4522"/>
        </w:tabs>
        <w:spacing w:after="0" w:line="360" w:lineRule="auto"/>
        <w:rPr>
          <w:color w:val="FF0000"/>
        </w:rPr>
      </w:pPr>
    </w:p>
    <w:p w14:paraId="0CCF70E8" w14:textId="77777777" w:rsidR="00D1318A" w:rsidRPr="00AA473B" w:rsidRDefault="00D1318A" w:rsidP="007808E0">
      <w:pPr>
        <w:pStyle w:val="Ttulo2"/>
        <w:spacing w:before="0" w:after="0" w:line="360" w:lineRule="auto"/>
        <w:rPr>
          <w:color w:val="auto"/>
          <w:sz w:val="22"/>
          <w:szCs w:val="22"/>
        </w:rPr>
      </w:pPr>
      <w:bookmarkStart w:id="16" w:name="_Toc207813314"/>
      <w:r w:rsidRPr="00AA473B">
        <w:rPr>
          <w:color w:val="auto"/>
          <w:sz w:val="22"/>
          <w:szCs w:val="22"/>
        </w:rPr>
        <w:t>SEXTO. Decisión</w:t>
      </w:r>
      <w:bookmarkEnd w:id="16"/>
    </w:p>
    <w:p w14:paraId="0D2B29DC" w14:textId="77777777" w:rsidR="00D1318A" w:rsidRPr="00AA473B" w:rsidRDefault="00D1318A" w:rsidP="007808E0">
      <w:pPr>
        <w:spacing w:after="0" w:line="360" w:lineRule="auto"/>
        <w:contextualSpacing/>
        <w:rPr>
          <w:rFonts w:eastAsia="Calibri" w:cs="Tahoma"/>
          <w:b/>
          <w:color w:val="auto"/>
        </w:rPr>
      </w:pPr>
    </w:p>
    <w:p w14:paraId="20E0999D" w14:textId="62B38BD9" w:rsidR="004D2918" w:rsidRPr="00AA473B" w:rsidRDefault="00D1318A" w:rsidP="007808E0">
      <w:pPr>
        <w:spacing w:after="0" w:line="360" w:lineRule="auto"/>
        <w:rPr>
          <w:color w:val="auto"/>
        </w:rPr>
      </w:pPr>
      <w:r w:rsidRPr="00AA473B">
        <w:rPr>
          <w:color w:val="auto"/>
        </w:rPr>
        <w:t xml:space="preserve">De acuerdo con lo expuesto y, con fundamento en el artículo 186, fracción III, de la Ley de Transparencia y Acceso a la Información Pública del Estado de México y Municipios, este Instituto considera procedente </w:t>
      </w:r>
      <w:r w:rsidR="00BF460D" w:rsidRPr="00AA473B">
        <w:rPr>
          <w:b/>
          <w:color w:val="auto"/>
        </w:rPr>
        <w:t>REVOCAR</w:t>
      </w:r>
      <w:r w:rsidRPr="00AA473B">
        <w:rPr>
          <w:b/>
          <w:color w:val="auto"/>
        </w:rPr>
        <w:t xml:space="preserve"> </w:t>
      </w:r>
      <w:r w:rsidRPr="00AA473B">
        <w:rPr>
          <w:color w:val="auto"/>
        </w:rPr>
        <w:t>la resp</w:t>
      </w:r>
      <w:r w:rsidR="00655068" w:rsidRPr="00AA473B">
        <w:rPr>
          <w:color w:val="auto"/>
        </w:rPr>
        <w:t>uesta del</w:t>
      </w:r>
      <w:r w:rsidR="00F66940" w:rsidRPr="00AA473B">
        <w:rPr>
          <w:color w:val="auto"/>
        </w:rPr>
        <w:t xml:space="preserve"> Ayuntamiento de </w:t>
      </w:r>
      <w:r w:rsidR="004D2918" w:rsidRPr="00AA473B">
        <w:rPr>
          <w:color w:val="auto"/>
        </w:rPr>
        <w:t xml:space="preserve">Toluca, </w:t>
      </w:r>
      <w:r w:rsidR="004D2918" w:rsidRPr="00AA473B">
        <w:t>a efecto de que, previa búsqueda exhaustiva y razonable en todas las áreas competentes, a efecto de que proporcione la información requerida, para el caso de que obre en sus archivos.</w:t>
      </w:r>
    </w:p>
    <w:p w14:paraId="0C829323" w14:textId="77777777" w:rsidR="00D1318A" w:rsidRPr="00AA473B" w:rsidRDefault="00D1318A" w:rsidP="007808E0">
      <w:pPr>
        <w:spacing w:after="0" w:line="360" w:lineRule="auto"/>
        <w:contextualSpacing/>
        <w:rPr>
          <w:rFonts w:eastAsia="Calibri" w:cs="Tahoma"/>
          <w:b/>
          <w:bCs/>
          <w:color w:val="auto"/>
        </w:rPr>
      </w:pPr>
      <w:r w:rsidRPr="00AA473B">
        <w:rPr>
          <w:rFonts w:eastAsia="Calibri" w:cs="Tahoma"/>
          <w:b/>
          <w:bCs/>
          <w:color w:val="auto"/>
        </w:rPr>
        <w:lastRenderedPageBreak/>
        <w:t>Términos de la Resolución para conocimiento del Particular</w:t>
      </w:r>
    </w:p>
    <w:p w14:paraId="39D013CC" w14:textId="77777777" w:rsidR="004D2918" w:rsidRPr="00AA473B" w:rsidRDefault="004D2918" w:rsidP="007808E0">
      <w:pPr>
        <w:spacing w:after="0" w:line="360" w:lineRule="auto"/>
        <w:contextualSpacing/>
      </w:pPr>
    </w:p>
    <w:p w14:paraId="08535812" w14:textId="2A23BAE5" w:rsidR="00D1318A" w:rsidRPr="00AA473B" w:rsidRDefault="004D2918" w:rsidP="007808E0">
      <w:pPr>
        <w:spacing w:after="0" w:line="360" w:lineRule="auto"/>
        <w:contextualSpacing/>
        <w:rPr>
          <w:rFonts w:eastAsia="Calibri" w:cs="Tahoma"/>
          <w:b/>
          <w:bCs/>
          <w:color w:val="FF0000"/>
        </w:rPr>
      </w:pPr>
      <w:r w:rsidRPr="00AA473B">
        <w:t>Se le hace del conocimiento a la Particular, que, en el presente caso, se le concede la razón, pues el Ayuntamiento de Toluca fue omiso en remitir la información solicitada por el particular, por lo que, deberá en su caso, entregar en versión pública la misma. Finalmente, la labor del Instituto, es apoyar a la población a acceder a la información pública y garantizar la protección de sus datos personales</w:t>
      </w:r>
    </w:p>
    <w:p w14:paraId="7BCA7783" w14:textId="77777777" w:rsidR="004D2918" w:rsidRPr="00AA473B" w:rsidRDefault="004D2918" w:rsidP="007808E0">
      <w:pPr>
        <w:spacing w:after="0" w:line="360" w:lineRule="auto"/>
        <w:contextualSpacing/>
        <w:rPr>
          <w:color w:val="FF0000"/>
        </w:rPr>
      </w:pPr>
    </w:p>
    <w:p w14:paraId="1C805ED0" w14:textId="679340CE" w:rsidR="00D1318A" w:rsidRPr="00AA473B" w:rsidRDefault="00D1318A" w:rsidP="007808E0">
      <w:pPr>
        <w:spacing w:after="0" w:line="360" w:lineRule="auto"/>
        <w:contextualSpacing/>
        <w:rPr>
          <w:rFonts w:eastAsia="Calibri"/>
          <w:color w:val="auto"/>
        </w:rPr>
      </w:pPr>
      <w:r w:rsidRPr="00AA473B">
        <w:rPr>
          <w:rFonts w:eastAsia="Calibri"/>
          <w:color w:val="auto"/>
        </w:rPr>
        <w:t>Por lo expuesto y fundado, este Pleno:</w:t>
      </w:r>
    </w:p>
    <w:p w14:paraId="7E4B6E8F" w14:textId="77777777" w:rsidR="00057905" w:rsidRPr="00AA473B" w:rsidRDefault="00057905" w:rsidP="007808E0">
      <w:pPr>
        <w:spacing w:after="0" w:line="360" w:lineRule="auto"/>
        <w:contextualSpacing/>
        <w:rPr>
          <w:rFonts w:eastAsia="Calibri"/>
          <w:color w:val="FF0000"/>
        </w:rPr>
      </w:pPr>
    </w:p>
    <w:p w14:paraId="4969F2B6" w14:textId="77777777" w:rsidR="00D1318A" w:rsidRPr="00AA473B" w:rsidRDefault="00D1318A" w:rsidP="007808E0">
      <w:pPr>
        <w:pStyle w:val="Ttulo1"/>
        <w:spacing w:before="0" w:after="0" w:line="360" w:lineRule="auto"/>
        <w:jc w:val="center"/>
        <w:rPr>
          <w:color w:val="auto"/>
          <w:sz w:val="22"/>
          <w:szCs w:val="22"/>
        </w:rPr>
      </w:pPr>
      <w:bookmarkStart w:id="17" w:name="_Toc207813315"/>
      <w:r w:rsidRPr="00AA473B">
        <w:rPr>
          <w:color w:val="auto"/>
          <w:sz w:val="22"/>
          <w:szCs w:val="22"/>
        </w:rPr>
        <w:t>R E S U E L V E</w:t>
      </w:r>
      <w:bookmarkEnd w:id="17"/>
    </w:p>
    <w:p w14:paraId="00911B7E" w14:textId="77777777" w:rsidR="00D1318A" w:rsidRPr="00AA473B" w:rsidRDefault="00D1318A" w:rsidP="007808E0">
      <w:pPr>
        <w:spacing w:after="0" w:line="360" w:lineRule="auto"/>
        <w:contextualSpacing/>
        <w:rPr>
          <w:rFonts w:eastAsia="Calibri"/>
          <w:b/>
          <w:bCs/>
          <w:color w:val="auto"/>
        </w:rPr>
      </w:pPr>
    </w:p>
    <w:p w14:paraId="59D86F6A" w14:textId="0347C7B2" w:rsidR="00D1318A" w:rsidRPr="00AA473B" w:rsidRDefault="00D1318A" w:rsidP="007808E0">
      <w:pPr>
        <w:spacing w:after="0" w:line="360" w:lineRule="auto"/>
        <w:contextualSpacing/>
        <w:rPr>
          <w:color w:val="auto"/>
        </w:rPr>
      </w:pPr>
      <w:r w:rsidRPr="00AA473B">
        <w:rPr>
          <w:rFonts w:cs="Tahoma"/>
          <w:b/>
          <w:bCs/>
          <w:color w:val="auto"/>
        </w:rPr>
        <w:t xml:space="preserve">PRIMERO. </w:t>
      </w:r>
      <w:r w:rsidRPr="00AA473B">
        <w:rPr>
          <w:rFonts w:cs="Tahoma"/>
          <w:bCs/>
          <w:color w:val="auto"/>
        </w:rPr>
        <w:t xml:space="preserve">Se </w:t>
      </w:r>
      <w:r w:rsidR="00BF460D" w:rsidRPr="00AA473B">
        <w:rPr>
          <w:rFonts w:cs="Tahoma"/>
          <w:b/>
          <w:bCs/>
          <w:color w:val="auto"/>
        </w:rPr>
        <w:t>REVOCA</w:t>
      </w:r>
      <w:r w:rsidRPr="00AA473B">
        <w:rPr>
          <w:rFonts w:cs="Tahoma"/>
          <w:b/>
          <w:bCs/>
          <w:color w:val="auto"/>
        </w:rPr>
        <w:t xml:space="preserve"> </w:t>
      </w:r>
      <w:r w:rsidRPr="00AA473B">
        <w:rPr>
          <w:rFonts w:cs="Tahoma"/>
          <w:bCs/>
          <w:color w:val="auto"/>
        </w:rPr>
        <w:t>la respuesta entrega</w:t>
      </w:r>
      <w:r w:rsidR="00655068" w:rsidRPr="00AA473B">
        <w:rPr>
          <w:rFonts w:cs="Tahoma"/>
          <w:bCs/>
          <w:color w:val="auto"/>
        </w:rPr>
        <w:t>da por el</w:t>
      </w:r>
      <w:r w:rsidR="004076BD" w:rsidRPr="00AA473B">
        <w:rPr>
          <w:rFonts w:cs="Tahoma"/>
          <w:bCs/>
          <w:color w:val="auto"/>
        </w:rPr>
        <w:t xml:space="preserve"> Ayuntamiento de </w:t>
      </w:r>
      <w:r w:rsidR="004D2918" w:rsidRPr="00AA473B">
        <w:rPr>
          <w:rFonts w:cs="Tahoma"/>
          <w:bCs/>
          <w:color w:val="auto"/>
        </w:rPr>
        <w:t>Toluca</w:t>
      </w:r>
      <w:r w:rsidRPr="00AA473B">
        <w:rPr>
          <w:rFonts w:cs="Tahoma"/>
          <w:bCs/>
          <w:color w:val="auto"/>
        </w:rPr>
        <w:t>, a la solicitud de información</w:t>
      </w:r>
      <w:r w:rsidR="00655068" w:rsidRPr="00AA473B">
        <w:rPr>
          <w:color w:val="auto"/>
        </w:rPr>
        <w:t xml:space="preserve"> </w:t>
      </w:r>
      <w:r w:rsidR="004D2918" w:rsidRPr="00AA473B">
        <w:rPr>
          <w:color w:val="auto"/>
        </w:rPr>
        <w:t>03601/TOLUCA/IP/2025</w:t>
      </w:r>
      <w:r w:rsidRPr="00AA473B">
        <w:rPr>
          <w:bCs/>
          <w:color w:val="auto"/>
        </w:rPr>
        <w:t xml:space="preserve">, por resultar </w:t>
      </w:r>
      <w:r w:rsidRPr="00AA473B">
        <w:rPr>
          <w:b/>
          <w:bCs/>
          <w:color w:val="auto"/>
        </w:rPr>
        <w:t>FUNDADAS</w:t>
      </w:r>
      <w:r w:rsidRPr="00AA473B">
        <w:rPr>
          <w:rFonts w:cs="Tahoma"/>
          <w:b/>
          <w:bCs/>
          <w:color w:val="auto"/>
        </w:rPr>
        <w:t xml:space="preserve"> </w:t>
      </w:r>
      <w:r w:rsidRPr="00AA473B">
        <w:rPr>
          <w:rFonts w:eastAsia="Calibri" w:cs="Tahoma"/>
          <w:bCs/>
          <w:color w:val="auto"/>
        </w:rPr>
        <w:t>las razones o motivos de inconformidad hechos valer por el Recurrente</w:t>
      </w:r>
      <w:r w:rsidRPr="00AA473B">
        <w:rPr>
          <w:rFonts w:cs="Tahoma"/>
          <w:bCs/>
          <w:color w:val="auto"/>
        </w:rPr>
        <w:t xml:space="preserve">, </w:t>
      </w:r>
      <w:r w:rsidRPr="00AA473B">
        <w:rPr>
          <w:rFonts w:eastAsia="Calibri" w:cs="Tahoma"/>
          <w:bCs/>
          <w:color w:val="auto"/>
        </w:rPr>
        <w:t>en términos de los considerandos QUINTO y SEXTO de la presente Resolución.</w:t>
      </w:r>
    </w:p>
    <w:p w14:paraId="5F3709A7" w14:textId="77777777" w:rsidR="00D1318A" w:rsidRPr="00AA473B" w:rsidRDefault="00D1318A" w:rsidP="007808E0">
      <w:pPr>
        <w:spacing w:after="0" w:line="360" w:lineRule="auto"/>
        <w:contextualSpacing/>
        <w:rPr>
          <w:rFonts w:eastAsia="Times New Roman" w:cs="Tahoma"/>
          <w:bCs/>
          <w:color w:val="FF0000"/>
          <w:lang w:eastAsia="es-ES"/>
        </w:rPr>
      </w:pPr>
    </w:p>
    <w:p w14:paraId="402B3360" w14:textId="0318F289" w:rsidR="00655068" w:rsidRPr="00AA473B" w:rsidRDefault="00D1318A" w:rsidP="007808E0">
      <w:pPr>
        <w:spacing w:after="0" w:line="360" w:lineRule="auto"/>
        <w:rPr>
          <w:color w:val="auto"/>
        </w:rPr>
      </w:pPr>
      <w:r w:rsidRPr="00AA473B">
        <w:rPr>
          <w:rFonts w:cs="Tahoma"/>
          <w:b/>
          <w:bCs/>
          <w:color w:val="auto"/>
        </w:rPr>
        <w:t xml:space="preserve">SEGUNDO. </w:t>
      </w:r>
      <w:r w:rsidRPr="00AA473B">
        <w:rPr>
          <w:color w:val="auto"/>
        </w:rPr>
        <w:t xml:space="preserve">Se </w:t>
      </w:r>
      <w:r w:rsidRPr="00AA473B">
        <w:rPr>
          <w:b/>
          <w:color w:val="auto"/>
        </w:rPr>
        <w:t>ORDENA</w:t>
      </w:r>
      <w:r w:rsidRPr="00AA473B">
        <w:rPr>
          <w:color w:val="auto"/>
        </w:rPr>
        <w:t xml:space="preserve"> al Ente Recurrido</w:t>
      </w:r>
      <w:r w:rsidRPr="00AA473B">
        <w:rPr>
          <w:b/>
          <w:color w:val="auto"/>
        </w:rPr>
        <w:t xml:space="preserve">, </w:t>
      </w:r>
      <w:r w:rsidR="004068E7" w:rsidRPr="00AA473B">
        <w:rPr>
          <w:color w:val="auto"/>
        </w:rPr>
        <w:t xml:space="preserve">a efecto de que </w:t>
      </w:r>
      <w:r w:rsidR="00FC213A" w:rsidRPr="00AA473B">
        <w:rPr>
          <w:color w:val="auto"/>
        </w:rPr>
        <w:t xml:space="preserve">previa búsqueda exhaustiva y razonable en los archivos de las unidades administrativas competentes, </w:t>
      </w:r>
      <w:r w:rsidRPr="00AA473B">
        <w:rPr>
          <w:color w:val="auto"/>
        </w:rPr>
        <w:t>entregue</w:t>
      </w:r>
      <w:r w:rsidR="001C6B7A" w:rsidRPr="00AA473B">
        <w:rPr>
          <w:color w:val="auto"/>
        </w:rPr>
        <w:t xml:space="preserve"> </w:t>
      </w:r>
      <w:r w:rsidRPr="00AA473B">
        <w:rPr>
          <w:color w:val="auto"/>
        </w:rPr>
        <w:t>a través del Sistema de Acceso a la I</w:t>
      </w:r>
      <w:r w:rsidR="00715343" w:rsidRPr="00AA473B">
        <w:rPr>
          <w:color w:val="auto"/>
        </w:rPr>
        <w:t>nformación Mexiquense (SAIMEX)</w:t>
      </w:r>
      <w:r w:rsidR="004068E7" w:rsidRPr="00AA473B">
        <w:rPr>
          <w:color w:val="auto"/>
        </w:rPr>
        <w:t xml:space="preserve">, </w:t>
      </w:r>
      <w:r w:rsidR="00B17B55" w:rsidRPr="00AA473B">
        <w:rPr>
          <w:color w:val="auto"/>
        </w:rPr>
        <w:t xml:space="preserve">en </w:t>
      </w:r>
      <w:r w:rsidR="00B55CD3" w:rsidRPr="00AA473B">
        <w:rPr>
          <w:color w:val="auto"/>
        </w:rPr>
        <w:t>su caso, en</w:t>
      </w:r>
      <w:r w:rsidR="0029236B" w:rsidRPr="00AA473B">
        <w:rPr>
          <w:color w:val="auto"/>
        </w:rPr>
        <w:t xml:space="preserve"> </w:t>
      </w:r>
      <w:r w:rsidR="00B17B55" w:rsidRPr="00AA473B">
        <w:rPr>
          <w:color w:val="auto"/>
        </w:rPr>
        <w:t xml:space="preserve">versión pública, </w:t>
      </w:r>
      <w:r w:rsidR="00655068" w:rsidRPr="00AA473B">
        <w:rPr>
          <w:color w:val="auto"/>
        </w:rPr>
        <w:t>lo siguiente:</w:t>
      </w:r>
    </w:p>
    <w:p w14:paraId="545EC5E3" w14:textId="77777777" w:rsidR="00655068" w:rsidRPr="00AA473B" w:rsidRDefault="00655068" w:rsidP="007808E0">
      <w:pPr>
        <w:spacing w:after="0" w:line="360" w:lineRule="auto"/>
        <w:rPr>
          <w:rFonts w:cs="Tahoma"/>
          <w:color w:val="FF0000"/>
        </w:rPr>
      </w:pPr>
    </w:p>
    <w:p w14:paraId="52E013F8" w14:textId="1C8A5CDB" w:rsidR="00FC213A" w:rsidRPr="00AA473B" w:rsidRDefault="00B55CD3" w:rsidP="000D0FE9">
      <w:pPr>
        <w:pStyle w:val="Prrafodelista"/>
        <w:numPr>
          <w:ilvl w:val="0"/>
          <w:numId w:val="5"/>
        </w:numPr>
        <w:spacing w:line="360" w:lineRule="auto"/>
        <w:rPr>
          <w:rFonts w:cs="Palatino Linotype"/>
          <w:color w:val="auto"/>
        </w:rPr>
      </w:pPr>
      <w:r w:rsidRPr="00AA473B">
        <w:rPr>
          <w:rFonts w:cs="Tahoma"/>
          <w:bCs/>
          <w:iCs/>
          <w:color w:val="auto"/>
        </w:rPr>
        <w:t>Los</w:t>
      </w:r>
      <w:r w:rsidRPr="00AA473B">
        <w:rPr>
          <w:color w:val="auto"/>
        </w:rPr>
        <w:t xml:space="preserve"> documentos </w:t>
      </w:r>
      <w:r w:rsidR="00FC213A" w:rsidRPr="00AA473B">
        <w:rPr>
          <w:color w:val="auto"/>
        </w:rPr>
        <w:t xml:space="preserve">que conformaban el </w:t>
      </w:r>
      <w:r w:rsidR="003D5A31" w:rsidRPr="00AA473B">
        <w:rPr>
          <w:color w:val="auto"/>
        </w:rPr>
        <w:t>expediente</w:t>
      </w:r>
      <w:r w:rsidR="00FC213A" w:rsidRPr="00AA473B">
        <w:rPr>
          <w:color w:val="auto"/>
        </w:rPr>
        <w:t xml:space="preserve"> del proceso de adjudicación realizado entre el primero de enero y el veintitrés de junio de dos mil veinticinco, para la adquisición de luminarias.</w:t>
      </w:r>
    </w:p>
    <w:p w14:paraId="430B9C0D" w14:textId="77777777" w:rsidR="00B55CD3" w:rsidRPr="00AA473B" w:rsidRDefault="00B55CD3" w:rsidP="00B55CD3">
      <w:pPr>
        <w:pStyle w:val="Prrafodelista"/>
        <w:spacing w:line="360" w:lineRule="auto"/>
        <w:rPr>
          <w:rFonts w:cs="Palatino Linotype"/>
          <w:color w:val="auto"/>
        </w:rPr>
      </w:pPr>
    </w:p>
    <w:p w14:paraId="38FDF135" w14:textId="589B58A6" w:rsidR="00B17B55" w:rsidRPr="00AA473B" w:rsidRDefault="00B55CD3" w:rsidP="001C6B7A">
      <w:pPr>
        <w:spacing w:after="0" w:line="360" w:lineRule="auto"/>
        <w:ind w:right="-91"/>
        <w:rPr>
          <w:rFonts w:eastAsia="Calibri" w:cs="Tahoma"/>
          <w:bCs/>
          <w:color w:val="FF0000"/>
        </w:rPr>
      </w:pPr>
      <w:r w:rsidRPr="00AA473B">
        <w:lastRenderedPageBreak/>
        <w:t>Además,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3AC96CDC" w14:textId="77777777" w:rsidR="00B55CD3" w:rsidRPr="00AA473B" w:rsidRDefault="00B55CD3" w:rsidP="007808E0">
      <w:pPr>
        <w:spacing w:after="0" w:line="360" w:lineRule="auto"/>
        <w:ind w:right="-28"/>
        <w:contextualSpacing/>
        <w:rPr>
          <w:rFonts w:eastAsia="Calibri" w:cs="Tahoma"/>
          <w:b/>
          <w:bCs/>
          <w:color w:val="FF0000"/>
        </w:rPr>
      </w:pPr>
    </w:p>
    <w:p w14:paraId="34EE0F18" w14:textId="79D28EA7" w:rsidR="00B55CD3" w:rsidRPr="00AA473B" w:rsidRDefault="00B55CD3" w:rsidP="007808E0">
      <w:pPr>
        <w:spacing w:after="0" w:line="360" w:lineRule="auto"/>
        <w:ind w:right="-28"/>
        <w:contextualSpacing/>
        <w:rPr>
          <w:color w:val="auto"/>
        </w:rPr>
      </w:pPr>
      <w:r w:rsidRPr="00AA473B">
        <w:rPr>
          <w:color w:val="auto"/>
        </w:rPr>
        <w:t>Para el caso, de que no cuente con documentos que den cuenta de los solicitado toda vez que las luminarias instaladas</w:t>
      </w:r>
      <w:r w:rsidR="00FC213A" w:rsidRPr="00AA473B">
        <w:rPr>
          <w:color w:val="auto"/>
        </w:rPr>
        <w:t xml:space="preserve"> </w:t>
      </w:r>
      <w:r w:rsidRPr="00AA473B">
        <w:rPr>
          <w:color w:val="auto"/>
        </w:rPr>
        <w:t xml:space="preserve">hayan sido adquiridas </w:t>
      </w:r>
      <w:r w:rsidR="00FC213A" w:rsidRPr="00AA473B">
        <w:rPr>
          <w:color w:val="auto"/>
        </w:rPr>
        <w:t>durante la administración anterior</w:t>
      </w:r>
      <w:r w:rsidRPr="00AA473B">
        <w:rPr>
          <w:color w:val="auto"/>
        </w:rPr>
        <w:t>, deberá hacerlo del conocimiento del ahora Recurrente de manera clara y precisa.</w:t>
      </w:r>
    </w:p>
    <w:p w14:paraId="631B4413" w14:textId="77777777" w:rsidR="00B55CD3" w:rsidRPr="00AA473B" w:rsidRDefault="00B55CD3" w:rsidP="007808E0">
      <w:pPr>
        <w:spacing w:after="0" w:line="360" w:lineRule="auto"/>
        <w:ind w:right="-28"/>
        <w:contextualSpacing/>
        <w:rPr>
          <w:rFonts w:eastAsia="Calibri" w:cs="Tahoma"/>
          <w:b/>
          <w:bCs/>
          <w:color w:val="auto"/>
        </w:rPr>
      </w:pPr>
    </w:p>
    <w:p w14:paraId="25A2C470" w14:textId="77777777" w:rsidR="00FC213A" w:rsidRPr="00AA473B" w:rsidRDefault="00D1318A" w:rsidP="007808E0">
      <w:pPr>
        <w:spacing w:after="0" w:line="360" w:lineRule="auto"/>
        <w:ind w:right="-28"/>
        <w:contextualSpacing/>
        <w:rPr>
          <w:rFonts w:cs="Tahoma"/>
          <w:bCs/>
          <w:iCs/>
          <w:color w:val="auto"/>
        </w:rPr>
      </w:pPr>
      <w:r w:rsidRPr="00AA473B">
        <w:rPr>
          <w:rFonts w:eastAsia="Calibri" w:cs="Tahoma"/>
          <w:b/>
          <w:bCs/>
          <w:color w:val="auto"/>
        </w:rPr>
        <w:t xml:space="preserve">TERCERO. </w:t>
      </w:r>
      <w:r w:rsidRPr="00AA473B">
        <w:rPr>
          <w:rFonts w:cs="Tahoma"/>
          <w:b/>
          <w:bCs/>
          <w:iCs/>
          <w:color w:val="auto"/>
        </w:rPr>
        <w:t xml:space="preserve">NOTIFÍQUESE POR SAIMEX </w:t>
      </w:r>
      <w:r w:rsidRPr="00AA473B">
        <w:rPr>
          <w:rFonts w:cs="Tahoma"/>
          <w:bCs/>
          <w:iCs/>
          <w:color w:val="auto"/>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sidR="00D1305D" w:rsidRPr="00AA473B">
        <w:rPr>
          <w:rFonts w:cs="Tahoma"/>
          <w:bCs/>
          <w:iCs/>
          <w:color w:val="auto"/>
        </w:rPr>
        <w:t xml:space="preserve"> </w:t>
      </w:r>
    </w:p>
    <w:p w14:paraId="4999E274" w14:textId="77777777" w:rsidR="00FC213A" w:rsidRPr="00AA473B" w:rsidRDefault="00FC213A" w:rsidP="007808E0">
      <w:pPr>
        <w:spacing w:after="0" w:line="360" w:lineRule="auto"/>
        <w:ind w:right="-28"/>
        <w:contextualSpacing/>
        <w:rPr>
          <w:rFonts w:cs="Tahoma"/>
          <w:bCs/>
          <w:iCs/>
          <w:color w:val="auto"/>
        </w:rPr>
      </w:pPr>
    </w:p>
    <w:p w14:paraId="3EAE0142" w14:textId="7056B63B" w:rsidR="00D1318A" w:rsidRPr="00AA473B" w:rsidRDefault="00D1318A" w:rsidP="007808E0">
      <w:pPr>
        <w:spacing w:after="0" w:line="360" w:lineRule="auto"/>
        <w:ind w:right="-28"/>
        <w:contextualSpacing/>
        <w:rPr>
          <w:rFonts w:eastAsia="Calibri" w:cs="Tahoma"/>
          <w:iCs/>
          <w:color w:val="auto"/>
        </w:rPr>
      </w:pPr>
      <w:r w:rsidRPr="00AA473B">
        <w:rPr>
          <w:rFonts w:eastAsia="Calibri" w:cs="Tahoma"/>
          <w:iCs/>
          <w:color w:val="auto"/>
        </w:rPr>
        <w:t>De conformidad con el artículo 198 de la Ley de la materia, de considerarlo procedente, el Sujeto Obligado de manera fundada y motivada, podrá solicitar una ampliación de plazo para el cumplimiento de la presente resolución.</w:t>
      </w:r>
    </w:p>
    <w:p w14:paraId="34731E30" w14:textId="77777777" w:rsidR="00D1318A" w:rsidRPr="00AA473B" w:rsidRDefault="00D1318A" w:rsidP="007808E0">
      <w:pPr>
        <w:spacing w:after="0" w:line="360" w:lineRule="auto"/>
        <w:contextualSpacing/>
        <w:rPr>
          <w:rFonts w:eastAsia="Calibri" w:cs="Tahoma"/>
          <w:color w:val="auto"/>
          <w:lang w:val="es-ES"/>
        </w:rPr>
      </w:pPr>
    </w:p>
    <w:p w14:paraId="3F59EFC7" w14:textId="77777777" w:rsidR="00D1318A" w:rsidRPr="00AA473B" w:rsidRDefault="00D1318A" w:rsidP="007808E0">
      <w:pPr>
        <w:spacing w:after="0" w:line="360" w:lineRule="auto"/>
        <w:contextualSpacing/>
        <w:rPr>
          <w:rFonts w:cs="Tahoma"/>
          <w:color w:val="auto"/>
        </w:rPr>
      </w:pPr>
      <w:r w:rsidRPr="00AA473B">
        <w:rPr>
          <w:rFonts w:eastAsia="Calibri" w:cs="Tahoma"/>
          <w:b/>
          <w:color w:val="auto"/>
        </w:rPr>
        <w:t>CUARTO</w:t>
      </w:r>
      <w:r w:rsidRPr="00AA473B">
        <w:rPr>
          <w:rFonts w:eastAsia="Calibri" w:cs="Tahoma"/>
          <w:b/>
          <w:bCs/>
          <w:color w:val="auto"/>
        </w:rPr>
        <w:t xml:space="preserve">. </w:t>
      </w:r>
      <w:r w:rsidRPr="00AA473B">
        <w:rPr>
          <w:rFonts w:cs="Tahoma"/>
          <w:b/>
          <w:color w:val="auto"/>
        </w:rPr>
        <w:t>NOTIFÍQUESE POR SAIMEX</w:t>
      </w:r>
      <w:r w:rsidRPr="00AA473B">
        <w:rPr>
          <w:rFonts w:cs="Tahoma"/>
          <w:color w:val="auto"/>
        </w:rPr>
        <w:t xml:space="preserve"> a la persona Recurrente la presente Resolución, asimismo, se hace de su conocimiento que de conformidad con lo establecido en el artículo </w:t>
      </w:r>
      <w:r w:rsidRPr="00AA473B">
        <w:rPr>
          <w:rFonts w:cs="Tahoma"/>
          <w:color w:val="auto"/>
        </w:rPr>
        <w:lastRenderedPageBreak/>
        <w:t>196 de la Ley de Transparencia y Acceso a la Información Pública del Estado de México y Municipios podrá promover el Juicio de Amparo en los términos de las leyes aplicables.</w:t>
      </w:r>
    </w:p>
    <w:p w14:paraId="7850850C" w14:textId="77777777" w:rsidR="00D1318A" w:rsidRPr="00AA473B" w:rsidRDefault="00D1318A" w:rsidP="007808E0">
      <w:pPr>
        <w:spacing w:after="0" w:line="360" w:lineRule="auto"/>
        <w:contextualSpacing/>
        <w:rPr>
          <w:rFonts w:cs="Arial"/>
          <w:b/>
          <w:bCs/>
          <w:color w:val="auto"/>
        </w:rPr>
      </w:pPr>
    </w:p>
    <w:p w14:paraId="440D22CF" w14:textId="67162880" w:rsidR="00D1318A" w:rsidRPr="0029236B" w:rsidRDefault="00D1318A" w:rsidP="007808E0">
      <w:pPr>
        <w:spacing w:after="0" w:line="360" w:lineRule="auto"/>
        <w:contextualSpacing/>
        <w:rPr>
          <w:rFonts w:cs="Tahoma"/>
          <w:b/>
          <w:bCs/>
          <w:color w:val="auto"/>
        </w:rPr>
      </w:pPr>
      <w:r w:rsidRPr="00AA473B">
        <w:rPr>
          <w:rFonts w:eastAsia="Calibri" w:cs="Tahoma"/>
          <w:bCs/>
          <w:color w:val="auto"/>
        </w:rPr>
        <w:t>ASÍ LO RESUELVE, POR </w:t>
      </w:r>
      <w:r w:rsidRPr="00AA473B">
        <w:rPr>
          <w:rFonts w:eastAsia="Calibri" w:cs="Tahoma"/>
          <w:b/>
          <w:bCs/>
          <w:color w:val="auto"/>
        </w:rPr>
        <w:t>UNANIMIDAD</w:t>
      </w:r>
      <w:r w:rsidRPr="00AA473B">
        <w:rPr>
          <w:rFonts w:eastAsia="Calibri" w:cs="Tahoma"/>
          <w:bCs/>
          <w:color w:val="auto"/>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F7AA5" w:rsidRPr="00AA473B">
        <w:rPr>
          <w:rFonts w:eastAsia="Calibri" w:cs="Tahoma"/>
          <w:bCs/>
          <w:color w:val="auto"/>
        </w:rPr>
        <w:t xml:space="preserve">, EN LA </w:t>
      </w:r>
      <w:r w:rsidR="0029236B" w:rsidRPr="00AA473B">
        <w:rPr>
          <w:rFonts w:eastAsia="Calibri" w:cs="Tahoma"/>
          <w:bCs/>
          <w:color w:val="auto"/>
        </w:rPr>
        <w:t xml:space="preserve">TRIGÉSIMA SEGUNDA </w:t>
      </w:r>
      <w:r w:rsidRPr="00AA473B">
        <w:rPr>
          <w:rFonts w:eastAsia="Calibri" w:cs="Tahoma"/>
          <w:bCs/>
          <w:color w:val="auto"/>
        </w:rPr>
        <w:t>SESIÓN ORDINA</w:t>
      </w:r>
      <w:r w:rsidR="00715343" w:rsidRPr="00AA473B">
        <w:rPr>
          <w:rFonts w:eastAsia="Calibri" w:cs="Tahoma"/>
          <w:bCs/>
          <w:color w:val="auto"/>
        </w:rPr>
        <w:t>RIA, C</w:t>
      </w:r>
      <w:r w:rsidR="0052714E" w:rsidRPr="00AA473B">
        <w:rPr>
          <w:rFonts w:eastAsia="Calibri" w:cs="Tahoma"/>
          <w:bCs/>
          <w:color w:val="auto"/>
        </w:rPr>
        <w:t xml:space="preserve">ELEBRADA EL </w:t>
      </w:r>
      <w:r w:rsidR="0029236B" w:rsidRPr="00AA473B">
        <w:rPr>
          <w:rFonts w:eastAsia="Calibri" w:cs="Tahoma"/>
          <w:bCs/>
          <w:color w:val="auto"/>
        </w:rPr>
        <w:t xml:space="preserve">DIEZ DE SEPTIEMBRE </w:t>
      </w:r>
      <w:r w:rsidRPr="00AA473B">
        <w:rPr>
          <w:rFonts w:eastAsia="Calibri" w:cs="Tahoma"/>
          <w:bCs/>
          <w:color w:val="auto"/>
        </w:rPr>
        <w:t>DE DOS MIL VEINTICINCO, ANTE EL SECRETARIO TÉCNICO DEL PLENO, ALEXIS TAPIA RAMÍREZ.</w:t>
      </w:r>
    </w:p>
    <w:p w14:paraId="2BA380C7" w14:textId="77777777" w:rsidR="00D1318A" w:rsidRPr="00304EA3" w:rsidRDefault="00D1318A" w:rsidP="007808E0">
      <w:pPr>
        <w:spacing w:after="0" w:line="360" w:lineRule="auto"/>
        <w:ind w:right="-28"/>
        <w:rPr>
          <w:color w:val="FF0000"/>
        </w:rPr>
      </w:pPr>
    </w:p>
    <w:p w14:paraId="1FFCF4F3" w14:textId="77777777" w:rsidR="00B02499" w:rsidRPr="00304EA3" w:rsidRDefault="00B02499" w:rsidP="007808E0">
      <w:pPr>
        <w:spacing w:after="0" w:line="360" w:lineRule="auto"/>
        <w:rPr>
          <w:rFonts w:eastAsia="Calibri" w:cs="Times New Roman"/>
          <w:b/>
          <w:bCs/>
          <w:color w:val="FF0000"/>
        </w:rPr>
      </w:pPr>
    </w:p>
    <w:p w14:paraId="654C889D" w14:textId="77777777" w:rsidR="00B02499" w:rsidRPr="00304EA3" w:rsidRDefault="00B02499" w:rsidP="007808E0">
      <w:pPr>
        <w:spacing w:after="0" w:line="360" w:lineRule="auto"/>
        <w:rPr>
          <w:rFonts w:eastAsia="Calibri" w:cs="Times New Roman"/>
          <w:b/>
          <w:bCs/>
          <w:color w:val="FF0000"/>
        </w:rPr>
      </w:pPr>
    </w:p>
    <w:p w14:paraId="097C707A" w14:textId="77777777" w:rsidR="004A10B0" w:rsidRPr="00304EA3" w:rsidRDefault="004A10B0" w:rsidP="007808E0">
      <w:pPr>
        <w:spacing w:after="0" w:line="360" w:lineRule="auto"/>
        <w:contextualSpacing/>
        <w:rPr>
          <w:rFonts w:eastAsia="Calibri" w:cs="Times New Roman"/>
          <w:color w:val="FF0000"/>
        </w:rPr>
      </w:pPr>
    </w:p>
    <w:p w14:paraId="3677DBED" w14:textId="77777777" w:rsidR="004A10B0" w:rsidRPr="00304EA3" w:rsidRDefault="004A10B0" w:rsidP="007808E0">
      <w:pPr>
        <w:spacing w:after="0" w:line="360" w:lineRule="auto"/>
        <w:contextualSpacing/>
        <w:rPr>
          <w:color w:val="FF0000"/>
        </w:rPr>
      </w:pPr>
    </w:p>
    <w:p w14:paraId="74E8DB3F" w14:textId="77777777" w:rsidR="00C556AB" w:rsidRPr="00304EA3" w:rsidRDefault="00C556AB" w:rsidP="007808E0">
      <w:pPr>
        <w:spacing w:after="0" w:line="360" w:lineRule="auto"/>
        <w:rPr>
          <w:color w:val="FF0000"/>
        </w:rPr>
      </w:pPr>
    </w:p>
    <w:p w14:paraId="1A555613" w14:textId="77777777" w:rsidR="00023BBD" w:rsidRPr="00304EA3" w:rsidRDefault="00023BBD" w:rsidP="007808E0">
      <w:pPr>
        <w:spacing w:after="0" w:line="360" w:lineRule="auto"/>
        <w:rPr>
          <w:color w:val="FF0000"/>
        </w:rPr>
      </w:pPr>
    </w:p>
    <w:p w14:paraId="2DB71CAF" w14:textId="49BEE08C" w:rsidR="001D4F21" w:rsidRPr="00304EA3" w:rsidRDefault="001D4F21" w:rsidP="007808E0">
      <w:pPr>
        <w:spacing w:after="0" w:line="360" w:lineRule="auto"/>
        <w:rPr>
          <w:color w:val="FF0000"/>
        </w:rPr>
      </w:pPr>
    </w:p>
    <w:p w14:paraId="38B4EF2E" w14:textId="77777777" w:rsidR="001D4F21" w:rsidRPr="00304EA3" w:rsidRDefault="001D4F21" w:rsidP="007808E0">
      <w:pPr>
        <w:spacing w:after="0" w:line="360" w:lineRule="auto"/>
        <w:rPr>
          <w:color w:val="FF0000"/>
        </w:rPr>
      </w:pPr>
    </w:p>
    <w:p w14:paraId="4201A0A0" w14:textId="77777777" w:rsidR="00E864E9" w:rsidRPr="00304EA3" w:rsidRDefault="00E864E9" w:rsidP="007808E0">
      <w:pPr>
        <w:tabs>
          <w:tab w:val="right" w:pos="8931"/>
        </w:tabs>
        <w:spacing w:after="0" w:line="360" w:lineRule="auto"/>
        <w:rPr>
          <w:color w:val="FF0000"/>
        </w:rPr>
      </w:pPr>
    </w:p>
    <w:p w14:paraId="543728D1" w14:textId="77777777" w:rsidR="00E864E9" w:rsidRPr="00304EA3" w:rsidRDefault="00E864E9" w:rsidP="007808E0">
      <w:pPr>
        <w:tabs>
          <w:tab w:val="right" w:pos="8931"/>
        </w:tabs>
        <w:spacing w:after="0" w:line="360" w:lineRule="auto"/>
        <w:rPr>
          <w:color w:val="FF0000"/>
        </w:rPr>
      </w:pPr>
    </w:p>
    <w:p w14:paraId="0E4439D0" w14:textId="5248D3C9" w:rsidR="007B58B9" w:rsidRPr="00304EA3" w:rsidRDefault="007B58B9" w:rsidP="007808E0">
      <w:pPr>
        <w:spacing w:after="0" w:line="360" w:lineRule="auto"/>
        <w:rPr>
          <w:color w:val="FF0000"/>
        </w:rPr>
      </w:pPr>
    </w:p>
    <w:p w14:paraId="26916C77" w14:textId="77777777" w:rsidR="00A37EDE" w:rsidRDefault="00A37EDE" w:rsidP="007808E0">
      <w:pPr>
        <w:spacing w:after="0" w:line="360" w:lineRule="auto"/>
        <w:rPr>
          <w:color w:val="FF0000"/>
        </w:rPr>
      </w:pPr>
    </w:p>
    <w:p w14:paraId="301DB3E8" w14:textId="77777777" w:rsidR="00AA473B" w:rsidRDefault="00AA473B" w:rsidP="007808E0">
      <w:pPr>
        <w:spacing w:after="0" w:line="360" w:lineRule="auto"/>
        <w:rPr>
          <w:color w:val="FF0000"/>
        </w:rPr>
      </w:pPr>
    </w:p>
    <w:p w14:paraId="4EE880D2" w14:textId="77777777" w:rsidR="00AA473B" w:rsidRDefault="00AA473B" w:rsidP="007808E0">
      <w:pPr>
        <w:spacing w:after="0" w:line="360" w:lineRule="auto"/>
        <w:rPr>
          <w:color w:val="FF0000"/>
        </w:rPr>
      </w:pPr>
    </w:p>
    <w:p w14:paraId="29DCC83B" w14:textId="77777777" w:rsidR="00AA473B" w:rsidRDefault="00AA473B" w:rsidP="007808E0">
      <w:pPr>
        <w:spacing w:after="0" w:line="360" w:lineRule="auto"/>
        <w:rPr>
          <w:color w:val="FF0000"/>
        </w:rPr>
      </w:pPr>
    </w:p>
    <w:p w14:paraId="3D3D46C3" w14:textId="77777777" w:rsidR="00AA473B" w:rsidRPr="00304EA3" w:rsidRDefault="00AA473B" w:rsidP="007808E0">
      <w:pPr>
        <w:spacing w:after="0" w:line="360" w:lineRule="auto"/>
        <w:rPr>
          <w:color w:val="FF0000"/>
        </w:rPr>
      </w:pPr>
    </w:p>
    <w:sectPr w:rsidR="00AA473B" w:rsidRPr="00304EA3" w:rsidSect="000B49C4">
      <w:headerReference w:type="even" r:id="rId19"/>
      <w:headerReference w:type="default" r:id="rId20"/>
      <w:footerReference w:type="even" r:id="rId21"/>
      <w:footerReference w:type="default" r:id="rId22"/>
      <w:headerReference w:type="first" r:id="rId23"/>
      <w:footerReference w:type="first" r:id="rId2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0A72E" w14:textId="77777777" w:rsidR="000D0FE9" w:rsidRDefault="000D0FE9">
      <w:pPr>
        <w:spacing w:after="0" w:line="240" w:lineRule="auto"/>
      </w:pPr>
      <w:r>
        <w:separator/>
      </w:r>
    </w:p>
  </w:endnote>
  <w:endnote w:type="continuationSeparator" w:id="0">
    <w:p w14:paraId="19FE0B6D" w14:textId="77777777" w:rsidR="000D0FE9" w:rsidRDefault="000D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EC7CBF" w:rsidRDefault="00EC7CB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86277D">
      <w:rPr>
        <w:b/>
        <w:color w:val="000000"/>
        <w:sz w:val="24"/>
        <w:szCs w:val="24"/>
      </w:rPr>
      <w:fldChar w:fldCharType="separate"/>
    </w:r>
    <w:r w:rsidR="0086277D">
      <w:rPr>
        <w:b/>
        <w:noProof/>
        <w:color w:val="000000"/>
        <w:sz w:val="24"/>
        <w:szCs w:val="24"/>
      </w:rPr>
      <w:t>46</w:t>
    </w:r>
    <w:r>
      <w:rPr>
        <w:b/>
        <w:color w:val="000000"/>
        <w:sz w:val="24"/>
        <w:szCs w:val="24"/>
      </w:rPr>
      <w:fldChar w:fldCharType="end"/>
    </w:r>
  </w:p>
  <w:p w14:paraId="7EB9860B" w14:textId="77777777" w:rsidR="00EC7CBF" w:rsidRDefault="00EC7CB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EC7CBF" w:rsidRDefault="00EC7CB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6277D">
      <w:rPr>
        <w:b/>
        <w:noProof/>
        <w:color w:val="000000"/>
        <w:sz w:val="24"/>
        <w:szCs w:val="24"/>
      </w:rPr>
      <w:t>45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6277D">
      <w:rPr>
        <w:b/>
        <w:noProof/>
        <w:color w:val="000000"/>
        <w:sz w:val="24"/>
        <w:szCs w:val="24"/>
      </w:rPr>
      <w:t>46</w:t>
    </w:r>
    <w:r>
      <w:rPr>
        <w:b/>
        <w:color w:val="000000"/>
        <w:sz w:val="24"/>
        <w:szCs w:val="24"/>
      </w:rPr>
      <w:fldChar w:fldCharType="end"/>
    </w:r>
  </w:p>
  <w:p w14:paraId="0D7FA8D9" w14:textId="77777777" w:rsidR="00EC7CBF" w:rsidRDefault="00EC7CB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EC7CBF" w:rsidRDefault="00EC7CB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6277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6277D">
      <w:rPr>
        <w:b/>
        <w:noProof/>
        <w:color w:val="000000"/>
        <w:sz w:val="24"/>
        <w:szCs w:val="24"/>
      </w:rPr>
      <w:t>46</w:t>
    </w:r>
    <w:r>
      <w:rPr>
        <w:b/>
        <w:color w:val="000000"/>
        <w:sz w:val="24"/>
        <w:szCs w:val="24"/>
      </w:rPr>
      <w:fldChar w:fldCharType="end"/>
    </w:r>
  </w:p>
  <w:p w14:paraId="6796AF5F" w14:textId="77777777" w:rsidR="00EC7CBF" w:rsidRDefault="00EC7CB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12F0" w14:textId="77777777" w:rsidR="000D0FE9" w:rsidRDefault="000D0FE9">
      <w:pPr>
        <w:spacing w:after="0" w:line="240" w:lineRule="auto"/>
      </w:pPr>
      <w:r>
        <w:separator/>
      </w:r>
    </w:p>
  </w:footnote>
  <w:footnote w:type="continuationSeparator" w:id="0">
    <w:p w14:paraId="2FF28CB7" w14:textId="77777777" w:rsidR="000D0FE9" w:rsidRDefault="000D0F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EC7CBF" w:rsidRDefault="00EC7CBF">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EC7CBF" w14:paraId="10C29E94" w14:textId="77777777">
      <w:trPr>
        <w:trHeight w:val="132"/>
      </w:trPr>
      <w:tc>
        <w:tcPr>
          <w:tcW w:w="2691" w:type="dxa"/>
        </w:tcPr>
        <w:p w14:paraId="7D85A4B8" w14:textId="77777777" w:rsidR="00EC7CBF" w:rsidRDefault="00EC7CBF">
          <w:pPr>
            <w:tabs>
              <w:tab w:val="right" w:pos="8838"/>
            </w:tabs>
            <w:ind w:right="-105"/>
            <w:rPr>
              <w:b/>
            </w:rPr>
          </w:pPr>
          <w:r>
            <w:rPr>
              <w:b/>
            </w:rPr>
            <w:t>Recurso de Revisión:</w:t>
          </w:r>
        </w:p>
      </w:tc>
      <w:tc>
        <w:tcPr>
          <w:tcW w:w="3405" w:type="dxa"/>
        </w:tcPr>
        <w:p w14:paraId="0B0D1A9D" w14:textId="77777777" w:rsidR="00EC7CBF" w:rsidRDefault="00EC7CBF">
          <w:pPr>
            <w:tabs>
              <w:tab w:val="right" w:pos="8838"/>
            </w:tabs>
            <w:ind w:left="-28" w:right="-32"/>
          </w:pPr>
          <w:r>
            <w:t>03846/INFOEM/IP/RR/2020</w:t>
          </w:r>
        </w:p>
      </w:tc>
    </w:tr>
    <w:tr w:rsidR="00EC7CBF" w14:paraId="2F47AC72" w14:textId="77777777">
      <w:trPr>
        <w:trHeight w:val="261"/>
      </w:trPr>
      <w:tc>
        <w:tcPr>
          <w:tcW w:w="2691" w:type="dxa"/>
        </w:tcPr>
        <w:p w14:paraId="154A4752" w14:textId="77777777" w:rsidR="00EC7CBF" w:rsidRDefault="00EC7CBF">
          <w:pPr>
            <w:tabs>
              <w:tab w:val="right" w:pos="8838"/>
            </w:tabs>
            <w:ind w:right="-105"/>
            <w:rPr>
              <w:b/>
            </w:rPr>
          </w:pPr>
          <w:r>
            <w:rPr>
              <w:b/>
            </w:rPr>
            <w:t>Sujeto Obligado:</w:t>
          </w:r>
        </w:p>
      </w:tc>
      <w:tc>
        <w:tcPr>
          <w:tcW w:w="3405" w:type="dxa"/>
        </w:tcPr>
        <w:p w14:paraId="5D9EC711" w14:textId="77777777" w:rsidR="00EC7CBF" w:rsidRDefault="00EC7CBF">
          <w:pPr>
            <w:tabs>
              <w:tab w:val="right" w:pos="8838"/>
            </w:tabs>
            <w:ind w:right="-32"/>
          </w:pPr>
          <w:r>
            <w:t>Ayuntamiento de Temascalcingo</w:t>
          </w:r>
        </w:p>
      </w:tc>
    </w:tr>
    <w:tr w:rsidR="00EC7CBF" w14:paraId="11FBB450" w14:textId="77777777">
      <w:trPr>
        <w:trHeight w:val="261"/>
      </w:trPr>
      <w:tc>
        <w:tcPr>
          <w:tcW w:w="2691" w:type="dxa"/>
        </w:tcPr>
        <w:p w14:paraId="6BAF6003" w14:textId="77777777" w:rsidR="00EC7CBF" w:rsidRDefault="00EC7CBF">
          <w:pPr>
            <w:tabs>
              <w:tab w:val="right" w:pos="8838"/>
            </w:tabs>
            <w:ind w:right="-105"/>
            <w:rPr>
              <w:b/>
            </w:rPr>
          </w:pPr>
          <w:r>
            <w:rPr>
              <w:b/>
            </w:rPr>
            <w:t>Comisionado Ponente:</w:t>
          </w:r>
        </w:p>
      </w:tc>
      <w:tc>
        <w:tcPr>
          <w:tcW w:w="3405" w:type="dxa"/>
        </w:tcPr>
        <w:p w14:paraId="420341AF" w14:textId="77777777" w:rsidR="00EC7CBF" w:rsidRDefault="00EC7CBF">
          <w:pPr>
            <w:tabs>
              <w:tab w:val="right" w:pos="8838"/>
            </w:tabs>
            <w:ind w:right="-32"/>
            <w:rPr>
              <w:b/>
            </w:rPr>
          </w:pPr>
          <w:r>
            <w:t>Luis Gustavo Parra Noriega</w:t>
          </w:r>
        </w:p>
      </w:tc>
    </w:tr>
  </w:tbl>
  <w:p w14:paraId="00411D75" w14:textId="77777777" w:rsidR="00EC7CBF" w:rsidRDefault="000D0FE9">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EC7CBF" w:rsidRDefault="000D0FE9">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EC7CBF" w14:paraId="40D5D5A3" w14:textId="77777777" w:rsidTr="00EC7CBF">
      <w:trPr>
        <w:trHeight w:val="138"/>
      </w:trPr>
      <w:tc>
        <w:tcPr>
          <w:tcW w:w="2693" w:type="dxa"/>
          <w:vAlign w:val="center"/>
        </w:tcPr>
        <w:p w14:paraId="43377EBE" w14:textId="77777777" w:rsidR="00EC7CBF" w:rsidRDefault="00EC7CBF" w:rsidP="008C266D">
          <w:pPr>
            <w:tabs>
              <w:tab w:val="right" w:pos="8838"/>
            </w:tabs>
            <w:ind w:left="-108" w:right="-105"/>
            <w:jc w:val="left"/>
            <w:rPr>
              <w:b/>
            </w:rPr>
          </w:pPr>
        </w:p>
        <w:p w14:paraId="1DB5C8D0" w14:textId="7E98B3D2" w:rsidR="00EC7CBF" w:rsidRDefault="00EC7CBF" w:rsidP="008C266D">
          <w:pPr>
            <w:tabs>
              <w:tab w:val="right" w:pos="8838"/>
            </w:tabs>
            <w:ind w:left="-108" w:right="-105"/>
            <w:jc w:val="left"/>
            <w:rPr>
              <w:b/>
            </w:rPr>
          </w:pPr>
          <w:r>
            <w:rPr>
              <w:b/>
            </w:rPr>
            <w:t>Recurso de Revisión:</w:t>
          </w:r>
        </w:p>
      </w:tc>
      <w:tc>
        <w:tcPr>
          <w:tcW w:w="3969" w:type="dxa"/>
        </w:tcPr>
        <w:p w14:paraId="5BCC69C4" w14:textId="77777777" w:rsidR="00EC7CBF" w:rsidRPr="00EF0C39" w:rsidRDefault="00EC7CBF" w:rsidP="008C266D">
          <w:pPr>
            <w:tabs>
              <w:tab w:val="right" w:pos="8838"/>
            </w:tabs>
            <w:ind w:right="57"/>
          </w:pPr>
        </w:p>
        <w:p w14:paraId="61E59D71" w14:textId="1FF99AFC" w:rsidR="00EC7CBF" w:rsidRPr="00EF0C39" w:rsidRDefault="00304EA3" w:rsidP="008C266D">
          <w:pPr>
            <w:tabs>
              <w:tab w:val="right" w:pos="8838"/>
            </w:tabs>
            <w:ind w:right="57"/>
          </w:pPr>
          <w:r w:rsidRPr="00304EA3">
            <w:t>08986/INFOEM/IP/RR/2025</w:t>
          </w:r>
        </w:p>
      </w:tc>
    </w:tr>
    <w:tr w:rsidR="00EC7CBF" w14:paraId="7A281F30" w14:textId="77777777" w:rsidTr="00EC7CBF">
      <w:trPr>
        <w:trHeight w:val="273"/>
      </w:trPr>
      <w:tc>
        <w:tcPr>
          <w:tcW w:w="2693" w:type="dxa"/>
        </w:tcPr>
        <w:p w14:paraId="6671A308" w14:textId="77777777" w:rsidR="00EC7CBF" w:rsidRDefault="00EC7CBF" w:rsidP="008C266D">
          <w:pPr>
            <w:tabs>
              <w:tab w:val="right" w:pos="8838"/>
            </w:tabs>
            <w:ind w:left="-108" w:right="-105"/>
            <w:rPr>
              <w:b/>
            </w:rPr>
          </w:pPr>
          <w:r>
            <w:rPr>
              <w:b/>
            </w:rPr>
            <w:t>Sujeto Obligado:</w:t>
          </w:r>
        </w:p>
      </w:tc>
      <w:tc>
        <w:tcPr>
          <w:tcW w:w="3969" w:type="dxa"/>
        </w:tcPr>
        <w:p w14:paraId="30885B6D" w14:textId="7684D6F1" w:rsidR="00EC7CBF" w:rsidRPr="00EF0C39" w:rsidRDefault="00EC7CBF" w:rsidP="007B4717">
          <w:pPr>
            <w:tabs>
              <w:tab w:val="right" w:pos="8838"/>
            </w:tabs>
            <w:ind w:right="180"/>
          </w:pPr>
          <w:r>
            <w:t xml:space="preserve">Ayuntamiento de </w:t>
          </w:r>
          <w:r w:rsidR="00304EA3">
            <w:t>Toluca</w:t>
          </w:r>
        </w:p>
      </w:tc>
    </w:tr>
    <w:tr w:rsidR="00EC7CBF" w14:paraId="00C22F2F" w14:textId="77777777" w:rsidTr="00EC7CBF">
      <w:trPr>
        <w:trHeight w:val="273"/>
      </w:trPr>
      <w:tc>
        <w:tcPr>
          <w:tcW w:w="2693" w:type="dxa"/>
        </w:tcPr>
        <w:p w14:paraId="70417649" w14:textId="77777777" w:rsidR="00EC7CBF" w:rsidRDefault="00EC7CBF" w:rsidP="008C266D">
          <w:pPr>
            <w:tabs>
              <w:tab w:val="right" w:pos="8838"/>
            </w:tabs>
            <w:ind w:left="-108" w:right="-105"/>
            <w:rPr>
              <w:b/>
            </w:rPr>
          </w:pPr>
          <w:r>
            <w:rPr>
              <w:b/>
            </w:rPr>
            <w:t>Comisionado Ponente:</w:t>
          </w:r>
        </w:p>
      </w:tc>
      <w:tc>
        <w:tcPr>
          <w:tcW w:w="3969" w:type="dxa"/>
        </w:tcPr>
        <w:p w14:paraId="5E6EB38B" w14:textId="77777777" w:rsidR="00EC7CBF" w:rsidRPr="00EF0C39" w:rsidRDefault="00EC7CBF" w:rsidP="008C266D">
          <w:pPr>
            <w:tabs>
              <w:tab w:val="right" w:pos="8838"/>
            </w:tabs>
            <w:ind w:right="-170"/>
          </w:pPr>
          <w:r w:rsidRPr="00EF0C39">
            <w:t>Luis Gustavo Parra Noriega</w:t>
          </w:r>
        </w:p>
        <w:p w14:paraId="1A63C67B" w14:textId="77777777" w:rsidR="00EC7CBF" w:rsidRPr="00EF0C39" w:rsidRDefault="00EC7CBF" w:rsidP="008C266D">
          <w:pPr>
            <w:tabs>
              <w:tab w:val="right" w:pos="8838"/>
            </w:tabs>
            <w:ind w:right="-170"/>
            <w:rPr>
              <w:b/>
            </w:rPr>
          </w:pPr>
        </w:p>
      </w:tc>
    </w:tr>
  </w:tbl>
  <w:p w14:paraId="3498D107" w14:textId="7E17876C" w:rsidR="00EC7CBF" w:rsidRDefault="00EC7CBF"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EC7CBF" w:rsidRDefault="00EC7CBF">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EC7CBF" w14:paraId="6B3232BD" w14:textId="77777777" w:rsidTr="00EC7CBF">
      <w:trPr>
        <w:trHeight w:val="132"/>
      </w:trPr>
      <w:tc>
        <w:tcPr>
          <w:tcW w:w="2551" w:type="dxa"/>
        </w:tcPr>
        <w:p w14:paraId="38F16E2F" w14:textId="77777777" w:rsidR="00EC7CBF" w:rsidRDefault="00EC7CBF">
          <w:pPr>
            <w:tabs>
              <w:tab w:val="right" w:pos="8838"/>
            </w:tabs>
            <w:ind w:right="-105"/>
            <w:rPr>
              <w:b/>
            </w:rPr>
          </w:pPr>
          <w:r>
            <w:rPr>
              <w:b/>
            </w:rPr>
            <w:t>Recurso de Revisión:</w:t>
          </w:r>
        </w:p>
      </w:tc>
      <w:tc>
        <w:tcPr>
          <w:tcW w:w="4253" w:type="dxa"/>
        </w:tcPr>
        <w:p w14:paraId="211CDC0A" w14:textId="6AA71A82" w:rsidR="00EC7CBF" w:rsidRPr="00026C6B" w:rsidRDefault="00304EA3" w:rsidP="00026C6B">
          <w:r w:rsidRPr="00304EA3">
            <w:t>08986/INFOEM/IP/RR/2025</w:t>
          </w:r>
        </w:p>
      </w:tc>
    </w:tr>
    <w:tr w:rsidR="00EC7CBF" w14:paraId="6AA3CC58" w14:textId="77777777" w:rsidTr="00EC7CBF">
      <w:trPr>
        <w:trHeight w:val="132"/>
      </w:trPr>
      <w:tc>
        <w:tcPr>
          <w:tcW w:w="2551" w:type="dxa"/>
          <w:shd w:val="clear" w:color="auto" w:fill="auto"/>
        </w:tcPr>
        <w:p w14:paraId="7FD164F5" w14:textId="77777777" w:rsidR="00EC7CBF" w:rsidRDefault="00EC7CBF">
          <w:pPr>
            <w:tabs>
              <w:tab w:val="left" w:pos="1875"/>
            </w:tabs>
            <w:ind w:right="-105"/>
            <w:rPr>
              <w:b/>
            </w:rPr>
          </w:pPr>
          <w:r>
            <w:rPr>
              <w:b/>
            </w:rPr>
            <w:t>Recurrente:</w:t>
          </w:r>
          <w:r>
            <w:rPr>
              <w:b/>
            </w:rPr>
            <w:tab/>
          </w:r>
        </w:p>
      </w:tc>
      <w:tc>
        <w:tcPr>
          <w:tcW w:w="4253" w:type="dxa"/>
          <w:shd w:val="clear" w:color="auto" w:fill="auto"/>
        </w:tcPr>
        <w:p w14:paraId="1F1B0537" w14:textId="690DE894" w:rsidR="00EC7CBF" w:rsidRPr="00EF0C39" w:rsidRDefault="00EC7CBF" w:rsidP="00304EA3"/>
      </w:tc>
    </w:tr>
    <w:tr w:rsidR="00EC7CBF" w14:paraId="5113CAA6" w14:textId="77777777" w:rsidTr="00EC7CBF">
      <w:trPr>
        <w:trHeight w:val="261"/>
      </w:trPr>
      <w:tc>
        <w:tcPr>
          <w:tcW w:w="2551" w:type="dxa"/>
        </w:tcPr>
        <w:p w14:paraId="28E3431B" w14:textId="30EC7C18" w:rsidR="00EC7CBF" w:rsidRDefault="00EC7CBF">
          <w:pPr>
            <w:tabs>
              <w:tab w:val="right" w:pos="8838"/>
            </w:tabs>
            <w:ind w:right="-105"/>
            <w:rPr>
              <w:b/>
            </w:rPr>
          </w:pPr>
          <w:r>
            <w:rPr>
              <w:b/>
            </w:rPr>
            <w:t>Sujeto Obligado:</w:t>
          </w:r>
        </w:p>
      </w:tc>
      <w:tc>
        <w:tcPr>
          <w:tcW w:w="4253" w:type="dxa"/>
        </w:tcPr>
        <w:p w14:paraId="3192354E" w14:textId="5AADB728" w:rsidR="00EC7CBF" w:rsidRPr="00026C6B" w:rsidRDefault="00EC7CBF" w:rsidP="00026C6B">
          <w:r>
            <w:t xml:space="preserve">Ayuntamiento de </w:t>
          </w:r>
          <w:r w:rsidR="00304EA3">
            <w:t>Toluca</w:t>
          </w:r>
        </w:p>
      </w:tc>
    </w:tr>
    <w:tr w:rsidR="00EC7CBF" w14:paraId="5D4C2A35" w14:textId="77777777" w:rsidTr="00EC7CBF">
      <w:trPr>
        <w:trHeight w:val="261"/>
      </w:trPr>
      <w:tc>
        <w:tcPr>
          <w:tcW w:w="2551" w:type="dxa"/>
        </w:tcPr>
        <w:p w14:paraId="7F522FEC" w14:textId="77777777" w:rsidR="00EC7CBF" w:rsidRDefault="00EC7CBF">
          <w:pPr>
            <w:tabs>
              <w:tab w:val="right" w:pos="8838"/>
            </w:tabs>
            <w:ind w:right="-105"/>
            <w:rPr>
              <w:b/>
            </w:rPr>
          </w:pPr>
          <w:r>
            <w:rPr>
              <w:b/>
            </w:rPr>
            <w:t>Comisionado Ponente:</w:t>
          </w:r>
        </w:p>
      </w:tc>
      <w:tc>
        <w:tcPr>
          <w:tcW w:w="4253" w:type="dxa"/>
        </w:tcPr>
        <w:p w14:paraId="0F0566F9" w14:textId="77777777" w:rsidR="00EC7CBF" w:rsidRPr="00EF0C39" w:rsidRDefault="00EC7CBF" w:rsidP="00C46A25">
          <w:pPr>
            <w:tabs>
              <w:tab w:val="right" w:pos="8838"/>
            </w:tabs>
            <w:ind w:right="-32"/>
            <w:rPr>
              <w:b/>
            </w:rPr>
          </w:pPr>
          <w:r w:rsidRPr="00EF0C39">
            <w:t>Luis Gustavo Parra Noriega</w:t>
          </w:r>
        </w:p>
      </w:tc>
    </w:tr>
  </w:tbl>
  <w:p w14:paraId="4DFC2598" w14:textId="77777777" w:rsidR="00EC7CBF" w:rsidRDefault="000D0FE9">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722D4"/>
    <w:multiLevelType w:val="multilevel"/>
    <w:tmpl w:val="99D4CFE2"/>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F6612E"/>
    <w:multiLevelType w:val="multilevel"/>
    <w:tmpl w:val="BCCC6BAC"/>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33B1A20"/>
    <w:multiLevelType w:val="hybridMultilevel"/>
    <w:tmpl w:val="23D047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741D76"/>
    <w:multiLevelType w:val="hybridMultilevel"/>
    <w:tmpl w:val="C73E2D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3E7851"/>
    <w:multiLevelType w:val="hybridMultilevel"/>
    <w:tmpl w:val="446EA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997EDD"/>
    <w:multiLevelType w:val="multilevel"/>
    <w:tmpl w:val="695688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204B42"/>
    <w:multiLevelType w:val="multilevel"/>
    <w:tmpl w:val="E94CCAD6"/>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9DE7B75"/>
    <w:multiLevelType w:val="hybridMultilevel"/>
    <w:tmpl w:val="019CFD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DC6F4A"/>
    <w:multiLevelType w:val="multilevel"/>
    <w:tmpl w:val="6C50B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8428F5"/>
    <w:multiLevelType w:val="multilevel"/>
    <w:tmpl w:val="17FC9C18"/>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46958BF"/>
    <w:multiLevelType w:val="multilevel"/>
    <w:tmpl w:val="BDC00736"/>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6E866833"/>
    <w:multiLevelType w:val="hybridMultilevel"/>
    <w:tmpl w:val="9CE47F54"/>
    <w:lvl w:ilvl="0" w:tplc="0BF032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CC2F50"/>
    <w:multiLevelType w:val="hybridMultilevel"/>
    <w:tmpl w:val="7D70B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2"/>
  </w:num>
  <w:num w:numId="5">
    <w:abstractNumId w:val="12"/>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8"/>
  </w:num>
  <w:num w:numId="11">
    <w:abstractNumId w:val="5"/>
  </w:num>
  <w:num w:numId="12">
    <w:abstractNumId w:val="9"/>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ADF"/>
    <w:rsid w:val="00002B20"/>
    <w:rsid w:val="00003081"/>
    <w:rsid w:val="000053EA"/>
    <w:rsid w:val="0000637C"/>
    <w:rsid w:val="00006A45"/>
    <w:rsid w:val="0001108B"/>
    <w:rsid w:val="00011477"/>
    <w:rsid w:val="00011608"/>
    <w:rsid w:val="0001277E"/>
    <w:rsid w:val="00013A17"/>
    <w:rsid w:val="00014169"/>
    <w:rsid w:val="00014EE2"/>
    <w:rsid w:val="00016290"/>
    <w:rsid w:val="000201B0"/>
    <w:rsid w:val="00021BE0"/>
    <w:rsid w:val="00023BBD"/>
    <w:rsid w:val="000255D3"/>
    <w:rsid w:val="0002588C"/>
    <w:rsid w:val="00026B5A"/>
    <w:rsid w:val="00026C6B"/>
    <w:rsid w:val="0003084A"/>
    <w:rsid w:val="000315C2"/>
    <w:rsid w:val="000316C2"/>
    <w:rsid w:val="00033026"/>
    <w:rsid w:val="0003318A"/>
    <w:rsid w:val="00033683"/>
    <w:rsid w:val="00033AF2"/>
    <w:rsid w:val="00033F2C"/>
    <w:rsid w:val="0003740E"/>
    <w:rsid w:val="0003782D"/>
    <w:rsid w:val="000410E6"/>
    <w:rsid w:val="0004134C"/>
    <w:rsid w:val="000426D2"/>
    <w:rsid w:val="00050E2E"/>
    <w:rsid w:val="00055A68"/>
    <w:rsid w:val="0005769F"/>
    <w:rsid w:val="00057905"/>
    <w:rsid w:val="000602BA"/>
    <w:rsid w:val="00061123"/>
    <w:rsid w:val="000709AA"/>
    <w:rsid w:val="000735F0"/>
    <w:rsid w:val="00073949"/>
    <w:rsid w:val="00075996"/>
    <w:rsid w:val="00075A71"/>
    <w:rsid w:val="00075CAF"/>
    <w:rsid w:val="00080524"/>
    <w:rsid w:val="00081D01"/>
    <w:rsid w:val="0008295C"/>
    <w:rsid w:val="00082B5B"/>
    <w:rsid w:val="00083169"/>
    <w:rsid w:val="00085D44"/>
    <w:rsid w:val="000866B0"/>
    <w:rsid w:val="00087074"/>
    <w:rsid w:val="00087EDB"/>
    <w:rsid w:val="0009167E"/>
    <w:rsid w:val="00092501"/>
    <w:rsid w:val="000946F3"/>
    <w:rsid w:val="00095FB6"/>
    <w:rsid w:val="00096C21"/>
    <w:rsid w:val="00096CFE"/>
    <w:rsid w:val="00097C52"/>
    <w:rsid w:val="000A2EA2"/>
    <w:rsid w:val="000A3910"/>
    <w:rsid w:val="000A4DC8"/>
    <w:rsid w:val="000A5B44"/>
    <w:rsid w:val="000A706F"/>
    <w:rsid w:val="000B2470"/>
    <w:rsid w:val="000B3514"/>
    <w:rsid w:val="000B3C56"/>
    <w:rsid w:val="000B40C7"/>
    <w:rsid w:val="000B4503"/>
    <w:rsid w:val="000B49C4"/>
    <w:rsid w:val="000C0C98"/>
    <w:rsid w:val="000C0CBE"/>
    <w:rsid w:val="000C10A2"/>
    <w:rsid w:val="000C4A35"/>
    <w:rsid w:val="000C567D"/>
    <w:rsid w:val="000C5E24"/>
    <w:rsid w:val="000C7D5D"/>
    <w:rsid w:val="000D04D2"/>
    <w:rsid w:val="000D0539"/>
    <w:rsid w:val="000D0FE9"/>
    <w:rsid w:val="000D1C1A"/>
    <w:rsid w:val="000D1EFD"/>
    <w:rsid w:val="000D257F"/>
    <w:rsid w:val="000D392E"/>
    <w:rsid w:val="000D3AD3"/>
    <w:rsid w:val="000D46ED"/>
    <w:rsid w:val="000D6774"/>
    <w:rsid w:val="000D7457"/>
    <w:rsid w:val="000E1C4F"/>
    <w:rsid w:val="000E2EA0"/>
    <w:rsid w:val="000E3169"/>
    <w:rsid w:val="000F3B49"/>
    <w:rsid w:val="000F4583"/>
    <w:rsid w:val="000F4AC1"/>
    <w:rsid w:val="000F562C"/>
    <w:rsid w:val="000F6219"/>
    <w:rsid w:val="000F6E36"/>
    <w:rsid w:val="001055EA"/>
    <w:rsid w:val="001061B1"/>
    <w:rsid w:val="00106235"/>
    <w:rsid w:val="001065C6"/>
    <w:rsid w:val="0011010D"/>
    <w:rsid w:val="001135C1"/>
    <w:rsid w:val="001150A1"/>
    <w:rsid w:val="00115992"/>
    <w:rsid w:val="00116C35"/>
    <w:rsid w:val="001174B4"/>
    <w:rsid w:val="00122ED0"/>
    <w:rsid w:val="00122FBD"/>
    <w:rsid w:val="00123FD7"/>
    <w:rsid w:val="00124AF7"/>
    <w:rsid w:val="00125905"/>
    <w:rsid w:val="00125F26"/>
    <w:rsid w:val="001260CE"/>
    <w:rsid w:val="0012618B"/>
    <w:rsid w:val="00126A15"/>
    <w:rsid w:val="00126AD3"/>
    <w:rsid w:val="001325F3"/>
    <w:rsid w:val="00132F29"/>
    <w:rsid w:val="00134465"/>
    <w:rsid w:val="001418BD"/>
    <w:rsid w:val="00141BAD"/>
    <w:rsid w:val="001425CB"/>
    <w:rsid w:val="001434E7"/>
    <w:rsid w:val="001479C0"/>
    <w:rsid w:val="00147F25"/>
    <w:rsid w:val="001502AB"/>
    <w:rsid w:val="001507E8"/>
    <w:rsid w:val="00153139"/>
    <w:rsid w:val="001548D6"/>
    <w:rsid w:val="001558BD"/>
    <w:rsid w:val="00155BD1"/>
    <w:rsid w:val="001566D4"/>
    <w:rsid w:val="001578F5"/>
    <w:rsid w:val="001613F0"/>
    <w:rsid w:val="0016373E"/>
    <w:rsid w:val="00163D9F"/>
    <w:rsid w:val="00165AB2"/>
    <w:rsid w:val="0016642B"/>
    <w:rsid w:val="00166452"/>
    <w:rsid w:val="00166907"/>
    <w:rsid w:val="00166A42"/>
    <w:rsid w:val="0016727D"/>
    <w:rsid w:val="00170ACC"/>
    <w:rsid w:val="001710E2"/>
    <w:rsid w:val="0017245F"/>
    <w:rsid w:val="00175607"/>
    <w:rsid w:val="00175910"/>
    <w:rsid w:val="001805A9"/>
    <w:rsid w:val="00181D59"/>
    <w:rsid w:val="00184025"/>
    <w:rsid w:val="00184ED6"/>
    <w:rsid w:val="00185925"/>
    <w:rsid w:val="00192C48"/>
    <w:rsid w:val="00193CE3"/>
    <w:rsid w:val="00195EC3"/>
    <w:rsid w:val="00197472"/>
    <w:rsid w:val="0019787E"/>
    <w:rsid w:val="001A0321"/>
    <w:rsid w:val="001A2062"/>
    <w:rsid w:val="001A3C87"/>
    <w:rsid w:val="001A4408"/>
    <w:rsid w:val="001A44D1"/>
    <w:rsid w:val="001A5A72"/>
    <w:rsid w:val="001A5B6F"/>
    <w:rsid w:val="001A6C0E"/>
    <w:rsid w:val="001A7F04"/>
    <w:rsid w:val="001B2090"/>
    <w:rsid w:val="001B34AA"/>
    <w:rsid w:val="001B4144"/>
    <w:rsid w:val="001B7EFB"/>
    <w:rsid w:val="001C638A"/>
    <w:rsid w:val="001C6B7A"/>
    <w:rsid w:val="001D1635"/>
    <w:rsid w:val="001D24CD"/>
    <w:rsid w:val="001D3FB9"/>
    <w:rsid w:val="001D4F21"/>
    <w:rsid w:val="001D5DBE"/>
    <w:rsid w:val="001D7D0E"/>
    <w:rsid w:val="001D7D5C"/>
    <w:rsid w:val="001D7F0C"/>
    <w:rsid w:val="001E4284"/>
    <w:rsid w:val="001E4ECA"/>
    <w:rsid w:val="001E6077"/>
    <w:rsid w:val="001F285F"/>
    <w:rsid w:val="001F5043"/>
    <w:rsid w:val="001F6FD5"/>
    <w:rsid w:val="00200E63"/>
    <w:rsid w:val="002019AA"/>
    <w:rsid w:val="002025F4"/>
    <w:rsid w:val="00203520"/>
    <w:rsid w:val="00203F8C"/>
    <w:rsid w:val="00204DE3"/>
    <w:rsid w:val="0020727C"/>
    <w:rsid w:val="002075C1"/>
    <w:rsid w:val="00211CD8"/>
    <w:rsid w:val="002207FA"/>
    <w:rsid w:val="002217AE"/>
    <w:rsid w:val="00223487"/>
    <w:rsid w:val="002238B8"/>
    <w:rsid w:val="00227456"/>
    <w:rsid w:val="00230985"/>
    <w:rsid w:val="00230B8F"/>
    <w:rsid w:val="00237F2C"/>
    <w:rsid w:val="00243764"/>
    <w:rsid w:val="002475DE"/>
    <w:rsid w:val="00251665"/>
    <w:rsid w:val="00252910"/>
    <w:rsid w:val="002529AD"/>
    <w:rsid w:val="00252A2A"/>
    <w:rsid w:val="00253448"/>
    <w:rsid w:val="00253A9C"/>
    <w:rsid w:val="0025520C"/>
    <w:rsid w:val="00257C2B"/>
    <w:rsid w:val="0026163E"/>
    <w:rsid w:val="00261B92"/>
    <w:rsid w:val="00261CB4"/>
    <w:rsid w:val="00261DF6"/>
    <w:rsid w:val="0026345D"/>
    <w:rsid w:val="00266E26"/>
    <w:rsid w:val="00267457"/>
    <w:rsid w:val="00271E85"/>
    <w:rsid w:val="00272B77"/>
    <w:rsid w:val="00273A4E"/>
    <w:rsid w:val="00274745"/>
    <w:rsid w:val="00274EC1"/>
    <w:rsid w:val="002779C0"/>
    <w:rsid w:val="00280625"/>
    <w:rsid w:val="00280CF8"/>
    <w:rsid w:val="00282176"/>
    <w:rsid w:val="002822A3"/>
    <w:rsid w:val="0028277C"/>
    <w:rsid w:val="00287374"/>
    <w:rsid w:val="0029130B"/>
    <w:rsid w:val="00291318"/>
    <w:rsid w:val="0029236B"/>
    <w:rsid w:val="0029310D"/>
    <w:rsid w:val="00293A22"/>
    <w:rsid w:val="00294C03"/>
    <w:rsid w:val="00295482"/>
    <w:rsid w:val="0029784D"/>
    <w:rsid w:val="002A02CD"/>
    <w:rsid w:val="002A376A"/>
    <w:rsid w:val="002A3A8E"/>
    <w:rsid w:val="002A5DEB"/>
    <w:rsid w:val="002A6695"/>
    <w:rsid w:val="002B2FEA"/>
    <w:rsid w:val="002B5A2D"/>
    <w:rsid w:val="002B772B"/>
    <w:rsid w:val="002C061B"/>
    <w:rsid w:val="002C0C3A"/>
    <w:rsid w:val="002C3C0A"/>
    <w:rsid w:val="002C4A39"/>
    <w:rsid w:val="002C516D"/>
    <w:rsid w:val="002C7C43"/>
    <w:rsid w:val="002D2107"/>
    <w:rsid w:val="002D2619"/>
    <w:rsid w:val="002D2A77"/>
    <w:rsid w:val="002D6CA6"/>
    <w:rsid w:val="002E2627"/>
    <w:rsid w:val="002E2D9D"/>
    <w:rsid w:val="002E34B7"/>
    <w:rsid w:val="002E5C60"/>
    <w:rsid w:val="002E6125"/>
    <w:rsid w:val="002F0510"/>
    <w:rsid w:val="002F0526"/>
    <w:rsid w:val="002F08A1"/>
    <w:rsid w:val="002F12B4"/>
    <w:rsid w:val="002F389A"/>
    <w:rsid w:val="002F44A5"/>
    <w:rsid w:val="002F5845"/>
    <w:rsid w:val="002F5AA8"/>
    <w:rsid w:val="002F5CFB"/>
    <w:rsid w:val="002F72B7"/>
    <w:rsid w:val="0030116A"/>
    <w:rsid w:val="0030116D"/>
    <w:rsid w:val="00302BCB"/>
    <w:rsid w:val="003037BC"/>
    <w:rsid w:val="00303A1B"/>
    <w:rsid w:val="00303BA0"/>
    <w:rsid w:val="00304DE6"/>
    <w:rsid w:val="00304EA3"/>
    <w:rsid w:val="00310366"/>
    <w:rsid w:val="00310A3F"/>
    <w:rsid w:val="00311CAF"/>
    <w:rsid w:val="0031200F"/>
    <w:rsid w:val="00312EFE"/>
    <w:rsid w:val="003131F2"/>
    <w:rsid w:val="00313684"/>
    <w:rsid w:val="00313C61"/>
    <w:rsid w:val="00314919"/>
    <w:rsid w:val="003155C2"/>
    <w:rsid w:val="00316458"/>
    <w:rsid w:val="00320D4E"/>
    <w:rsid w:val="0032276A"/>
    <w:rsid w:val="0032438A"/>
    <w:rsid w:val="00325B13"/>
    <w:rsid w:val="00325D1E"/>
    <w:rsid w:val="0032674C"/>
    <w:rsid w:val="00330566"/>
    <w:rsid w:val="00330942"/>
    <w:rsid w:val="00333468"/>
    <w:rsid w:val="00333808"/>
    <w:rsid w:val="0033681E"/>
    <w:rsid w:val="00336E20"/>
    <w:rsid w:val="00341669"/>
    <w:rsid w:val="00342069"/>
    <w:rsid w:val="00342465"/>
    <w:rsid w:val="00345E3B"/>
    <w:rsid w:val="00353296"/>
    <w:rsid w:val="0035368D"/>
    <w:rsid w:val="00354255"/>
    <w:rsid w:val="00354FD0"/>
    <w:rsid w:val="00355D05"/>
    <w:rsid w:val="00356E1B"/>
    <w:rsid w:val="003602C9"/>
    <w:rsid w:val="0036042F"/>
    <w:rsid w:val="003657F4"/>
    <w:rsid w:val="003663BF"/>
    <w:rsid w:val="00366BB8"/>
    <w:rsid w:val="0037614C"/>
    <w:rsid w:val="00376AEF"/>
    <w:rsid w:val="00381132"/>
    <w:rsid w:val="003814AE"/>
    <w:rsid w:val="0038398F"/>
    <w:rsid w:val="00384E34"/>
    <w:rsid w:val="00384E94"/>
    <w:rsid w:val="00385DD2"/>
    <w:rsid w:val="003860AA"/>
    <w:rsid w:val="003876F1"/>
    <w:rsid w:val="00390A24"/>
    <w:rsid w:val="00391317"/>
    <w:rsid w:val="003949BA"/>
    <w:rsid w:val="0039615C"/>
    <w:rsid w:val="00396FA8"/>
    <w:rsid w:val="00397991"/>
    <w:rsid w:val="003A103F"/>
    <w:rsid w:val="003A2B31"/>
    <w:rsid w:val="003A47C4"/>
    <w:rsid w:val="003A4BB8"/>
    <w:rsid w:val="003A4CF8"/>
    <w:rsid w:val="003A4EEC"/>
    <w:rsid w:val="003B3C6F"/>
    <w:rsid w:val="003B5A66"/>
    <w:rsid w:val="003B6E04"/>
    <w:rsid w:val="003B6F0C"/>
    <w:rsid w:val="003C13CD"/>
    <w:rsid w:val="003C28F2"/>
    <w:rsid w:val="003C328B"/>
    <w:rsid w:val="003C331A"/>
    <w:rsid w:val="003C5F59"/>
    <w:rsid w:val="003C5FE0"/>
    <w:rsid w:val="003C7338"/>
    <w:rsid w:val="003D02B7"/>
    <w:rsid w:val="003D0D51"/>
    <w:rsid w:val="003D1DC8"/>
    <w:rsid w:val="003D25DC"/>
    <w:rsid w:val="003D35DB"/>
    <w:rsid w:val="003D5A31"/>
    <w:rsid w:val="003D5D06"/>
    <w:rsid w:val="003D6C3F"/>
    <w:rsid w:val="003E00B8"/>
    <w:rsid w:val="003E1523"/>
    <w:rsid w:val="003E1C9F"/>
    <w:rsid w:val="003E20C8"/>
    <w:rsid w:val="003E33FE"/>
    <w:rsid w:val="003E4CFD"/>
    <w:rsid w:val="003E540A"/>
    <w:rsid w:val="003E6941"/>
    <w:rsid w:val="003F0A87"/>
    <w:rsid w:val="003F1D74"/>
    <w:rsid w:val="003F2BF4"/>
    <w:rsid w:val="003F2C8E"/>
    <w:rsid w:val="003F4C6D"/>
    <w:rsid w:val="003F5F91"/>
    <w:rsid w:val="003F6C55"/>
    <w:rsid w:val="0040398B"/>
    <w:rsid w:val="0040440B"/>
    <w:rsid w:val="004068E7"/>
    <w:rsid w:val="004076BD"/>
    <w:rsid w:val="0041096D"/>
    <w:rsid w:val="00413093"/>
    <w:rsid w:val="00417AAE"/>
    <w:rsid w:val="00417C0D"/>
    <w:rsid w:val="00417F3A"/>
    <w:rsid w:val="00420209"/>
    <w:rsid w:val="00421292"/>
    <w:rsid w:val="004214D5"/>
    <w:rsid w:val="00422311"/>
    <w:rsid w:val="0043065C"/>
    <w:rsid w:val="004306AC"/>
    <w:rsid w:val="00430DD8"/>
    <w:rsid w:val="004326F9"/>
    <w:rsid w:val="00433B2E"/>
    <w:rsid w:val="00434B43"/>
    <w:rsid w:val="004352C6"/>
    <w:rsid w:val="00436F80"/>
    <w:rsid w:val="0044017B"/>
    <w:rsid w:val="004415DA"/>
    <w:rsid w:val="00442432"/>
    <w:rsid w:val="0044320C"/>
    <w:rsid w:val="0044451C"/>
    <w:rsid w:val="00445A40"/>
    <w:rsid w:val="00446CA3"/>
    <w:rsid w:val="004475C6"/>
    <w:rsid w:val="004479B9"/>
    <w:rsid w:val="0045046D"/>
    <w:rsid w:val="00455EA5"/>
    <w:rsid w:val="00456B23"/>
    <w:rsid w:val="00461DF2"/>
    <w:rsid w:val="00462ED0"/>
    <w:rsid w:val="00463218"/>
    <w:rsid w:val="004649E0"/>
    <w:rsid w:val="0046597D"/>
    <w:rsid w:val="00467659"/>
    <w:rsid w:val="00471E99"/>
    <w:rsid w:val="004721AA"/>
    <w:rsid w:val="0047240A"/>
    <w:rsid w:val="0047290D"/>
    <w:rsid w:val="00473151"/>
    <w:rsid w:val="00473542"/>
    <w:rsid w:val="00474793"/>
    <w:rsid w:val="00475E62"/>
    <w:rsid w:val="004778EF"/>
    <w:rsid w:val="00481F23"/>
    <w:rsid w:val="00483320"/>
    <w:rsid w:val="00484E27"/>
    <w:rsid w:val="00487556"/>
    <w:rsid w:val="00492333"/>
    <w:rsid w:val="004955CE"/>
    <w:rsid w:val="0049696B"/>
    <w:rsid w:val="0049788F"/>
    <w:rsid w:val="004A10B0"/>
    <w:rsid w:val="004A10E6"/>
    <w:rsid w:val="004B0C65"/>
    <w:rsid w:val="004B27E7"/>
    <w:rsid w:val="004B33EF"/>
    <w:rsid w:val="004B58D3"/>
    <w:rsid w:val="004B7343"/>
    <w:rsid w:val="004B73FB"/>
    <w:rsid w:val="004C21E6"/>
    <w:rsid w:val="004C465F"/>
    <w:rsid w:val="004C56AA"/>
    <w:rsid w:val="004C6321"/>
    <w:rsid w:val="004D1D8F"/>
    <w:rsid w:val="004D243B"/>
    <w:rsid w:val="004D2918"/>
    <w:rsid w:val="004D63D9"/>
    <w:rsid w:val="004E0AD6"/>
    <w:rsid w:val="004E14DD"/>
    <w:rsid w:val="004E22FF"/>
    <w:rsid w:val="004E3063"/>
    <w:rsid w:val="004E47CC"/>
    <w:rsid w:val="004E6E1A"/>
    <w:rsid w:val="004F0490"/>
    <w:rsid w:val="004F2DE2"/>
    <w:rsid w:val="004F56D3"/>
    <w:rsid w:val="004F59FB"/>
    <w:rsid w:val="004F6C17"/>
    <w:rsid w:val="004F76F4"/>
    <w:rsid w:val="004F7F19"/>
    <w:rsid w:val="00500B4F"/>
    <w:rsid w:val="005018D0"/>
    <w:rsid w:val="00501B98"/>
    <w:rsid w:val="005050BD"/>
    <w:rsid w:val="00506126"/>
    <w:rsid w:val="005072F4"/>
    <w:rsid w:val="0051107B"/>
    <w:rsid w:val="00511E76"/>
    <w:rsid w:val="00512046"/>
    <w:rsid w:val="00512879"/>
    <w:rsid w:val="0051497B"/>
    <w:rsid w:val="00515399"/>
    <w:rsid w:val="00521F1D"/>
    <w:rsid w:val="00521F47"/>
    <w:rsid w:val="0052275E"/>
    <w:rsid w:val="00522A47"/>
    <w:rsid w:val="00523008"/>
    <w:rsid w:val="00524283"/>
    <w:rsid w:val="00525A14"/>
    <w:rsid w:val="00526EC4"/>
    <w:rsid w:val="0052714E"/>
    <w:rsid w:val="00527563"/>
    <w:rsid w:val="005302BB"/>
    <w:rsid w:val="00530B10"/>
    <w:rsid w:val="00531758"/>
    <w:rsid w:val="0053198B"/>
    <w:rsid w:val="00531A8A"/>
    <w:rsid w:val="00535A8D"/>
    <w:rsid w:val="00536382"/>
    <w:rsid w:val="00536941"/>
    <w:rsid w:val="00537C32"/>
    <w:rsid w:val="00545D04"/>
    <w:rsid w:val="005501BA"/>
    <w:rsid w:val="00550C0B"/>
    <w:rsid w:val="005520E3"/>
    <w:rsid w:val="00552C67"/>
    <w:rsid w:val="005569DD"/>
    <w:rsid w:val="00556A90"/>
    <w:rsid w:val="00562D89"/>
    <w:rsid w:val="0056443F"/>
    <w:rsid w:val="00565861"/>
    <w:rsid w:val="005673D1"/>
    <w:rsid w:val="00572946"/>
    <w:rsid w:val="005732F8"/>
    <w:rsid w:val="00580345"/>
    <w:rsid w:val="005816DE"/>
    <w:rsid w:val="00582FC0"/>
    <w:rsid w:val="00585C29"/>
    <w:rsid w:val="005867A9"/>
    <w:rsid w:val="0058767A"/>
    <w:rsid w:val="00590FB7"/>
    <w:rsid w:val="005914EE"/>
    <w:rsid w:val="00595FCC"/>
    <w:rsid w:val="005A0A77"/>
    <w:rsid w:val="005A39F4"/>
    <w:rsid w:val="005A79D9"/>
    <w:rsid w:val="005A7C36"/>
    <w:rsid w:val="005B0203"/>
    <w:rsid w:val="005B21C9"/>
    <w:rsid w:val="005B6BFA"/>
    <w:rsid w:val="005C03D2"/>
    <w:rsid w:val="005C20B7"/>
    <w:rsid w:val="005C2324"/>
    <w:rsid w:val="005C3BAC"/>
    <w:rsid w:val="005C4598"/>
    <w:rsid w:val="005C4CCD"/>
    <w:rsid w:val="005C6174"/>
    <w:rsid w:val="005C690F"/>
    <w:rsid w:val="005C6E2D"/>
    <w:rsid w:val="005C757F"/>
    <w:rsid w:val="005D1E83"/>
    <w:rsid w:val="005D2071"/>
    <w:rsid w:val="005D22D8"/>
    <w:rsid w:val="005D31EC"/>
    <w:rsid w:val="005D38F1"/>
    <w:rsid w:val="005D4959"/>
    <w:rsid w:val="005D53B0"/>
    <w:rsid w:val="005D7325"/>
    <w:rsid w:val="005D73EF"/>
    <w:rsid w:val="005E0BD4"/>
    <w:rsid w:val="005E16CC"/>
    <w:rsid w:val="005F199D"/>
    <w:rsid w:val="005F36FE"/>
    <w:rsid w:val="005F38B6"/>
    <w:rsid w:val="005F4B93"/>
    <w:rsid w:val="005F5498"/>
    <w:rsid w:val="005F773E"/>
    <w:rsid w:val="005F785A"/>
    <w:rsid w:val="00600A20"/>
    <w:rsid w:val="00602E5C"/>
    <w:rsid w:val="006033D0"/>
    <w:rsid w:val="006037C1"/>
    <w:rsid w:val="006059DA"/>
    <w:rsid w:val="00606B1A"/>
    <w:rsid w:val="0061303E"/>
    <w:rsid w:val="006206A1"/>
    <w:rsid w:val="006207EF"/>
    <w:rsid w:val="00621F2D"/>
    <w:rsid w:val="00622401"/>
    <w:rsid w:val="00622CFB"/>
    <w:rsid w:val="006241B8"/>
    <w:rsid w:val="006242F2"/>
    <w:rsid w:val="00624488"/>
    <w:rsid w:val="006245B4"/>
    <w:rsid w:val="0062539C"/>
    <w:rsid w:val="006271E6"/>
    <w:rsid w:val="006272E2"/>
    <w:rsid w:val="00627513"/>
    <w:rsid w:val="00631035"/>
    <w:rsid w:val="00631EA9"/>
    <w:rsid w:val="00632F61"/>
    <w:rsid w:val="00635A27"/>
    <w:rsid w:val="00637B1E"/>
    <w:rsid w:val="00640115"/>
    <w:rsid w:val="006404F6"/>
    <w:rsid w:val="0064067B"/>
    <w:rsid w:val="006418B3"/>
    <w:rsid w:val="006430B1"/>
    <w:rsid w:val="00644832"/>
    <w:rsid w:val="00644B2E"/>
    <w:rsid w:val="00654DE3"/>
    <w:rsid w:val="00655068"/>
    <w:rsid w:val="00655B7F"/>
    <w:rsid w:val="006573B9"/>
    <w:rsid w:val="00660AAD"/>
    <w:rsid w:val="00661603"/>
    <w:rsid w:val="0066178F"/>
    <w:rsid w:val="00661B94"/>
    <w:rsid w:val="00662C70"/>
    <w:rsid w:val="00662D89"/>
    <w:rsid w:val="0066640F"/>
    <w:rsid w:val="006664D4"/>
    <w:rsid w:val="00667F81"/>
    <w:rsid w:val="00670EAA"/>
    <w:rsid w:val="006715A0"/>
    <w:rsid w:val="00671B38"/>
    <w:rsid w:val="00671BB1"/>
    <w:rsid w:val="006731C7"/>
    <w:rsid w:val="00673306"/>
    <w:rsid w:val="00674DAF"/>
    <w:rsid w:val="00674E18"/>
    <w:rsid w:val="006771FF"/>
    <w:rsid w:val="00677F38"/>
    <w:rsid w:val="006800BB"/>
    <w:rsid w:val="00680F20"/>
    <w:rsid w:val="00684E69"/>
    <w:rsid w:val="00687BCB"/>
    <w:rsid w:val="00690202"/>
    <w:rsid w:val="0069037C"/>
    <w:rsid w:val="006914B4"/>
    <w:rsid w:val="00692763"/>
    <w:rsid w:val="00692CEE"/>
    <w:rsid w:val="00694971"/>
    <w:rsid w:val="0069657C"/>
    <w:rsid w:val="006A0CDD"/>
    <w:rsid w:val="006A2E7B"/>
    <w:rsid w:val="006A40F4"/>
    <w:rsid w:val="006B0607"/>
    <w:rsid w:val="006B083B"/>
    <w:rsid w:val="006B218E"/>
    <w:rsid w:val="006B3839"/>
    <w:rsid w:val="006B40EF"/>
    <w:rsid w:val="006B4C0B"/>
    <w:rsid w:val="006B634B"/>
    <w:rsid w:val="006C0BD7"/>
    <w:rsid w:val="006C17DE"/>
    <w:rsid w:val="006C1E67"/>
    <w:rsid w:val="006C25E4"/>
    <w:rsid w:val="006C3470"/>
    <w:rsid w:val="006C43E9"/>
    <w:rsid w:val="006C6EBC"/>
    <w:rsid w:val="006C7CD1"/>
    <w:rsid w:val="006C7E76"/>
    <w:rsid w:val="006D12A1"/>
    <w:rsid w:val="006D16BD"/>
    <w:rsid w:val="006D1CE7"/>
    <w:rsid w:val="006D2366"/>
    <w:rsid w:val="006D2960"/>
    <w:rsid w:val="006D2DF0"/>
    <w:rsid w:val="006D49E4"/>
    <w:rsid w:val="006D65A5"/>
    <w:rsid w:val="006D6790"/>
    <w:rsid w:val="006D7FDA"/>
    <w:rsid w:val="006E04E3"/>
    <w:rsid w:val="006E33C5"/>
    <w:rsid w:val="006E6D77"/>
    <w:rsid w:val="006E722A"/>
    <w:rsid w:val="006E72D4"/>
    <w:rsid w:val="006E7B27"/>
    <w:rsid w:val="006E7C4E"/>
    <w:rsid w:val="006E7CFC"/>
    <w:rsid w:val="006F134A"/>
    <w:rsid w:val="006F1838"/>
    <w:rsid w:val="006F272D"/>
    <w:rsid w:val="006F4CC9"/>
    <w:rsid w:val="006F60D5"/>
    <w:rsid w:val="006F79F1"/>
    <w:rsid w:val="006F7CBF"/>
    <w:rsid w:val="007001B2"/>
    <w:rsid w:val="00702D5F"/>
    <w:rsid w:val="007041F9"/>
    <w:rsid w:val="00704B14"/>
    <w:rsid w:val="00705FBB"/>
    <w:rsid w:val="0070680E"/>
    <w:rsid w:val="0071036C"/>
    <w:rsid w:val="00712ED6"/>
    <w:rsid w:val="00715343"/>
    <w:rsid w:val="00716DFD"/>
    <w:rsid w:val="007179C4"/>
    <w:rsid w:val="00717D87"/>
    <w:rsid w:val="00720109"/>
    <w:rsid w:val="007248C4"/>
    <w:rsid w:val="007279D2"/>
    <w:rsid w:val="0073003B"/>
    <w:rsid w:val="00730D6D"/>
    <w:rsid w:val="00731FB9"/>
    <w:rsid w:val="007331D2"/>
    <w:rsid w:val="00736B03"/>
    <w:rsid w:val="00741DC7"/>
    <w:rsid w:val="007428C7"/>
    <w:rsid w:val="00743915"/>
    <w:rsid w:val="00743B45"/>
    <w:rsid w:val="0074523A"/>
    <w:rsid w:val="00747CDF"/>
    <w:rsid w:val="00751A94"/>
    <w:rsid w:val="00754B31"/>
    <w:rsid w:val="0076190F"/>
    <w:rsid w:val="00762A7C"/>
    <w:rsid w:val="00763A64"/>
    <w:rsid w:val="00764BBE"/>
    <w:rsid w:val="0076657F"/>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4CEA"/>
    <w:rsid w:val="00792220"/>
    <w:rsid w:val="00792309"/>
    <w:rsid w:val="00794774"/>
    <w:rsid w:val="00794B3F"/>
    <w:rsid w:val="00796030"/>
    <w:rsid w:val="007962A6"/>
    <w:rsid w:val="00796712"/>
    <w:rsid w:val="007A097D"/>
    <w:rsid w:val="007A0BC3"/>
    <w:rsid w:val="007A0D80"/>
    <w:rsid w:val="007A1ACB"/>
    <w:rsid w:val="007A2872"/>
    <w:rsid w:val="007A3334"/>
    <w:rsid w:val="007A540E"/>
    <w:rsid w:val="007A6A27"/>
    <w:rsid w:val="007B0293"/>
    <w:rsid w:val="007B38A7"/>
    <w:rsid w:val="007B4143"/>
    <w:rsid w:val="007B4717"/>
    <w:rsid w:val="007B4E28"/>
    <w:rsid w:val="007B58B9"/>
    <w:rsid w:val="007B5B46"/>
    <w:rsid w:val="007B5CE4"/>
    <w:rsid w:val="007B65AB"/>
    <w:rsid w:val="007B6891"/>
    <w:rsid w:val="007B6F45"/>
    <w:rsid w:val="007C02D1"/>
    <w:rsid w:val="007C636E"/>
    <w:rsid w:val="007C76F2"/>
    <w:rsid w:val="007C7BAF"/>
    <w:rsid w:val="007D04B8"/>
    <w:rsid w:val="007D086D"/>
    <w:rsid w:val="007D354B"/>
    <w:rsid w:val="007D6307"/>
    <w:rsid w:val="007E0603"/>
    <w:rsid w:val="007E172B"/>
    <w:rsid w:val="007E1EF5"/>
    <w:rsid w:val="007E25E4"/>
    <w:rsid w:val="007E2B2B"/>
    <w:rsid w:val="007E56C0"/>
    <w:rsid w:val="007E6087"/>
    <w:rsid w:val="007E6354"/>
    <w:rsid w:val="007E64DE"/>
    <w:rsid w:val="007E6532"/>
    <w:rsid w:val="007E65E1"/>
    <w:rsid w:val="007E79A0"/>
    <w:rsid w:val="007E7B3F"/>
    <w:rsid w:val="007E7D61"/>
    <w:rsid w:val="007F4407"/>
    <w:rsid w:val="007F6273"/>
    <w:rsid w:val="007F75BA"/>
    <w:rsid w:val="00800641"/>
    <w:rsid w:val="008027F2"/>
    <w:rsid w:val="00802C8A"/>
    <w:rsid w:val="00803119"/>
    <w:rsid w:val="00803884"/>
    <w:rsid w:val="0081186D"/>
    <w:rsid w:val="00812FF1"/>
    <w:rsid w:val="0081681D"/>
    <w:rsid w:val="0081756A"/>
    <w:rsid w:val="008201FA"/>
    <w:rsid w:val="008234EA"/>
    <w:rsid w:val="008246F7"/>
    <w:rsid w:val="00826071"/>
    <w:rsid w:val="00826E84"/>
    <w:rsid w:val="00830986"/>
    <w:rsid w:val="00832312"/>
    <w:rsid w:val="00836749"/>
    <w:rsid w:val="0084143D"/>
    <w:rsid w:val="008415EA"/>
    <w:rsid w:val="008416D9"/>
    <w:rsid w:val="008441D0"/>
    <w:rsid w:val="008473B9"/>
    <w:rsid w:val="008506E0"/>
    <w:rsid w:val="00850BF6"/>
    <w:rsid w:val="00853828"/>
    <w:rsid w:val="00853A05"/>
    <w:rsid w:val="00853AA3"/>
    <w:rsid w:val="008546E5"/>
    <w:rsid w:val="0085490B"/>
    <w:rsid w:val="00857A87"/>
    <w:rsid w:val="00857B5B"/>
    <w:rsid w:val="008614CC"/>
    <w:rsid w:val="0086265B"/>
    <w:rsid w:val="0086277D"/>
    <w:rsid w:val="0086309F"/>
    <w:rsid w:val="008638A5"/>
    <w:rsid w:val="00864C7E"/>
    <w:rsid w:val="008659CE"/>
    <w:rsid w:val="0087213E"/>
    <w:rsid w:val="00874D8A"/>
    <w:rsid w:val="008758D4"/>
    <w:rsid w:val="00877B42"/>
    <w:rsid w:val="00877D7C"/>
    <w:rsid w:val="00881288"/>
    <w:rsid w:val="0088400C"/>
    <w:rsid w:val="00884148"/>
    <w:rsid w:val="00884812"/>
    <w:rsid w:val="00884B61"/>
    <w:rsid w:val="008870EB"/>
    <w:rsid w:val="00887B25"/>
    <w:rsid w:val="008932E1"/>
    <w:rsid w:val="00894181"/>
    <w:rsid w:val="008956AA"/>
    <w:rsid w:val="00897A05"/>
    <w:rsid w:val="008A1159"/>
    <w:rsid w:val="008A1573"/>
    <w:rsid w:val="008A233A"/>
    <w:rsid w:val="008A460F"/>
    <w:rsid w:val="008A60AE"/>
    <w:rsid w:val="008A64DD"/>
    <w:rsid w:val="008B21BC"/>
    <w:rsid w:val="008B270A"/>
    <w:rsid w:val="008B4F0B"/>
    <w:rsid w:val="008B7D4E"/>
    <w:rsid w:val="008C1F18"/>
    <w:rsid w:val="008C266D"/>
    <w:rsid w:val="008C37E8"/>
    <w:rsid w:val="008C40B1"/>
    <w:rsid w:val="008D28E1"/>
    <w:rsid w:val="008D37E8"/>
    <w:rsid w:val="008D3B3F"/>
    <w:rsid w:val="008D43A8"/>
    <w:rsid w:val="008D46FC"/>
    <w:rsid w:val="008D58F4"/>
    <w:rsid w:val="008D7C22"/>
    <w:rsid w:val="008E0D53"/>
    <w:rsid w:val="008E0DC4"/>
    <w:rsid w:val="008E5E71"/>
    <w:rsid w:val="008E736C"/>
    <w:rsid w:val="008E7959"/>
    <w:rsid w:val="008F0749"/>
    <w:rsid w:val="008F4E82"/>
    <w:rsid w:val="008F5A51"/>
    <w:rsid w:val="00900916"/>
    <w:rsid w:val="009019A8"/>
    <w:rsid w:val="0090220A"/>
    <w:rsid w:val="00903E21"/>
    <w:rsid w:val="0090431D"/>
    <w:rsid w:val="009048A7"/>
    <w:rsid w:val="00905638"/>
    <w:rsid w:val="00910872"/>
    <w:rsid w:val="00913279"/>
    <w:rsid w:val="00913AC7"/>
    <w:rsid w:val="00914EE3"/>
    <w:rsid w:val="00915E1E"/>
    <w:rsid w:val="00916347"/>
    <w:rsid w:val="00916C99"/>
    <w:rsid w:val="009215C2"/>
    <w:rsid w:val="009222D3"/>
    <w:rsid w:val="00922F61"/>
    <w:rsid w:val="00922F8C"/>
    <w:rsid w:val="00926758"/>
    <w:rsid w:val="00927131"/>
    <w:rsid w:val="009319F4"/>
    <w:rsid w:val="00933E27"/>
    <w:rsid w:val="00934D26"/>
    <w:rsid w:val="00937325"/>
    <w:rsid w:val="00937C87"/>
    <w:rsid w:val="00940831"/>
    <w:rsid w:val="00940E97"/>
    <w:rsid w:val="00943435"/>
    <w:rsid w:val="009451B5"/>
    <w:rsid w:val="00945CB8"/>
    <w:rsid w:val="009502F9"/>
    <w:rsid w:val="00950D76"/>
    <w:rsid w:val="00950ED4"/>
    <w:rsid w:val="00951B0D"/>
    <w:rsid w:val="0095477E"/>
    <w:rsid w:val="0095571A"/>
    <w:rsid w:val="00956E0E"/>
    <w:rsid w:val="00960DEA"/>
    <w:rsid w:val="00960E46"/>
    <w:rsid w:val="00962C51"/>
    <w:rsid w:val="00963E6F"/>
    <w:rsid w:val="009643D0"/>
    <w:rsid w:val="009644D7"/>
    <w:rsid w:val="00965741"/>
    <w:rsid w:val="00966BF0"/>
    <w:rsid w:val="009707FD"/>
    <w:rsid w:val="00972243"/>
    <w:rsid w:val="009739BA"/>
    <w:rsid w:val="0097583D"/>
    <w:rsid w:val="00977989"/>
    <w:rsid w:val="00983208"/>
    <w:rsid w:val="00983A37"/>
    <w:rsid w:val="00983F77"/>
    <w:rsid w:val="00986D91"/>
    <w:rsid w:val="00992901"/>
    <w:rsid w:val="009948FA"/>
    <w:rsid w:val="00996BDA"/>
    <w:rsid w:val="0099716B"/>
    <w:rsid w:val="009973CB"/>
    <w:rsid w:val="009A08E5"/>
    <w:rsid w:val="009A481F"/>
    <w:rsid w:val="009A5A8E"/>
    <w:rsid w:val="009B19D8"/>
    <w:rsid w:val="009B1B0E"/>
    <w:rsid w:val="009B2DAB"/>
    <w:rsid w:val="009B356F"/>
    <w:rsid w:val="009B3CF8"/>
    <w:rsid w:val="009B3E17"/>
    <w:rsid w:val="009B614F"/>
    <w:rsid w:val="009C04AF"/>
    <w:rsid w:val="009C11B4"/>
    <w:rsid w:val="009C1F1B"/>
    <w:rsid w:val="009C3818"/>
    <w:rsid w:val="009C3A1D"/>
    <w:rsid w:val="009C3C89"/>
    <w:rsid w:val="009C5A71"/>
    <w:rsid w:val="009C6467"/>
    <w:rsid w:val="009D07C4"/>
    <w:rsid w:val="009D41AB"/>
    <w:rsid w:val="009D4333"/>
    <w:rsid w:val="009D443C"/>
    <w:rsid w:val="009D4BA7"/>
    <w:rsid w:val="009D7D07"/>
    <w:rsid w:val="009E03A4"/>
    <w:rsid w:val="009E0F24"/>
    <w:rsid w:val="009E263E"/>
    <w:rsid w:val="009E29E8"/>
    <w:rsid w:val="009E2E2A"/>
    <w:rsid w:val="009E4128"/>
    <w:rsid w:val="009E4A04"/>
    <w:rsid w:val="009F2202"/>
    <w:rsid w:val="009F3790"/>
    <w:rsid w:val="009F39DF"/>
    <w:rsid w:val="009F41CC"/>
    <w:rsid w:val="009F6813"/>
    <w:rsid w:val="00A03F8F"/>
    <w:rsid w:val="00A042BC"/>
    <w:rsid w:val="00A045F2"/>
    <w:rsid w:val="00A071E9"/>
    <w:rsid w:val="00A1369B"/>
    <w:rsid w:val="00A15402"/>
    <w:rsid w:val="00A16D8E"/>
    <w:rsid w:val="00A20875"/>
    <w:rsid w:val="00A244C7"/>
    <w:rsid w:val="00A26E75"/>
    <w:rsid w:val="00A33F9B"/>
    <w:rsid w:val="00A34702"/>
    <w:rsid w:val="00A361DB"/>
    <w:rsid w:val="00A363DD"/>
    <w:rsid w:val="00A36DDE"/>
    <w:rsid w:val="00A36E65"/>
    <w:rsid w:val="00A37912"/>
    <w:rsid w:val="00A37EDE"/>
    <w:rsid w:val="00A41789"/>
    <w:rsid w:val="00A41A9E"/>
    <w:rsid w:val="00A43BA2"/>
    <w:rsid w:val="00A45EE8"/>
    <w:rsid w:val="00A462A9"/>
    <w:rsid w:val="00A46FFB"/>
    <w:rsid w:val="00A47A50"/>
    <w:rsid w:val="00A51D86"/>
    <w:rsid w:val="00A52408"/>
    <w:rsid w:val="00A538A9"/>
    <w:rsid w:val="00A54AEE"/>
    <w:rsid w:val="00A55E82"/>
    <w:rsid w:val="00A56228"/>
    <w:rsid w:val="00A576F9"/>
    <w:rsid w:val="00A60433"/>
    <w:rsid w:val="00A60BDF"/>
    <w:rsid w:val="00A620E2"/>
    <w:rsid w:val="00A63444"/>
    <w:rsid w:val="00A63E30"/>
    <w:rsid w:val="00A6488A"/>
    <w:rsid w:val="00A660B5"/>
    <w:rsid w:val="00A71C66"/>
    <w:rsid w:val="00A73E9A"/>
    <w:rsid w:val="00A7487F"/>
    <w:rsid w:val="00A753B3"/>
    <w:rsid w:val="00A75C5D"/>
    <w:rsid w:val="00A7749F"/>
    <w:rsid w:val="00A805B7"/>
    <w:rsid w:val="00A8342D"/>
    <w:rsid w:val="00A84E9B"/>
    <w:rsid w:val="00A85D07"/>
    <w:rsid w:val="00A915DD"/>
    <w:rsid w:val="00A9286C"/>
    <w:rsid w:val="00A94490"/>
    <w:rsid w:val="00A95E07"/>
    <w:rsid w:val="00A96A4E"/>
    <w:rsid w:val="00AA21E0"/>
    <w:rsid w:val="00AA345B"/>
    <w:rsid w:val="00AA3CD8"/>
    <w:rsid w:val="00AA473B"/>
    <w:rsid w:val="00AA556D"/>
    <w:rsid w:val="00AA6BA1"/>
    <w:rsid w:val="00AB0BA1"/>
    <w:rsid w:val="00AB1C9F"/>
    <w:rsid w:val="00AB328F"/>
    <w:rsid w:val="00AB4AC2"/>
    <w:rsid w:val="00AB4F34"/>
    <w:rsid w:val="00AB51A8"/>
    <w:rsid w:val="00AC0AE0"/>
    <w:rsid w:val="00AC45E1"/>
    <w:rsid w:val="00AC4EC9"/>
    <w:rsid w:val="00AC5582"/>
    <w:rsid w:val="00AC5D01"/>
    <w:rsid w:val="00AC6CE3"/>
    <w:rsid w:val="00AC70CA"/>
    <w:rsid w:val="00AC7111"/>
    <w:rsid w:val="00AD3E0D"/>
    <w:rsid w:val="00AD468B"/>
    <w:rsid w:val="00AD4F7B"/>
    <w:rsid w:val="00AD7046"/>
    <w:rsid w:val="00AD7954"/>
    <w:rsid w:val="00AE23FB"/>
    <w:rsid w:val="00AE256C"/>
    <w:rsid w:val="00AE3658"/>
    <w:rsid w:val="00AE5058"/>
    <w:rsid w:val="00AE6691"/>
    <w:rsid w:val="00AF276F"/>
    <w:rsid w:val="00AF4BF2"/>
    <w:rsid w:val="00AF4DA4"/>
    <w:rsid w:val="00AF592A"/>
    <w:rsid w:val="00AF7546"/>
    <w:rsid w:val="00B00C4E"/>
    <w:rsid w:val="00B02499"/>
    <w:rsid w:val="00B02796"/>
    <w:rsid w:val="00B02A3F"/>
    <w:rsid w:val="00B02FD2"/>
    <w:rsid w:val="00B03235"/>
    <w:rsid w:val="00B03A57"/>
    <w:rsid w:val="00B04A35"/>
    <w:rsid w:val="00B04BE1"/>
    <w:rsid w:val="00B050D9"/>
    <w:rsid w:val="00B123FB"/>
    <w:rsid w:val="00B1247F"/>
    <w:rsid w:val="00B153FA"/>
    <w:rsid w:val="00B179C3"/>
    <w:rsid w:val="00B17B55"/>
    <w:rsid w:val="00B22A17"/>
    <w:rsid w:val="00B22B9F"/>
    <w:rsid w:val="00B22F78"/>
    <w:rsid w:val="00B27131"/>
    <w:rsid w:val="00B27951"/>
    <w:rsid w:val="00B31892"/>
    <w:rsid w:val="00B32689"/>
    <w:rsid w:val="00B331EC"/>
    <w:rsid w:val="00B35F83"/>
    <w:rsid w:val="00B36A30"/>
    <w:rsid w:val="00B37A6D"/>
    <w:rsid w:val="00B42F31"/>
    <w:rsid w:val="00B43C12"/>
    <w:rsid w:val="00B43D92"/>
    <w:rsid w:val="00B504E3"/>
    <w:rsid w:val="00B51050"/>
    <w:rsid w:val="00B52CAD"/>
    <w:rsid w:val="00B53D99"/>
    <w:rsid w:val="00B53EAF"/>
    <w:rsid w:val="00B554D6"/>
    <w:rsid w:val="00B55CD3"/>
    <w:rsid w:val="00B6454E"/>
    <w:rsid w:val="00B65BCA"/>
    <w:rsid w:val="00B6639B"/>
    <w:rsid w:val="00B66F84"/>
    <w:rsid w:val="00B675A3"/>
    <w:rsid w:val="00B67947"/>
    <w:rsid w:val="00B7570D"/>
    <w:rsid w:val="00B75C77"/>
    <w:rsid w:val="00B80E36"/>
    <w:rsid w:val="00B845EC"/>
    <w:rsid w:val="00B84F6E"/>
    <w:rsid w:val="00B901B7"/>
    <w:rsid w:val="00B90713"/>
    <w:rsid w:val="00B92069"/>
    <w:rsid w:val="00B9500B"/>
    <w:rsid w:val="00B970C0"/>
    <w:rsid w:val="00BA15A8"/>
    <w:rsid w:val="00BA1D80"/>
    <w:rsid w:val="00BA4E6F"/>
    <w:rsid w:val="00BA56A8"/>
    <w:rsid w:val="00BA6C50"/>
    <w:rsid w:val="00BA784F"/>
    <w:rsid w:val="00BA7A1E"/>
    <w:rsid w:val="00BB05C0"/>
    <w:rsid w:val="00BB0C45"/>
    <w:rsid w:val="00BB3BD9"/>
    <w:rsid w:val="00BB3F28"/>
    <w:rsid w:val="00BB4FD9"/>
    <w:rsid w:val="00BB5711"/>
    <w:rsid w:val="00BB5722"/>
    <w:rsid w:val="00BB6693"/>
    <w:rsid w:val="00BB6BB6"/>
    <w:rsid w:val="00BB6CD0"/>
    <w:rsid w:val="00BC02E9"/>
    <w:rsid w:val="00BC038B"/>
    <w:rsid w:val="00BC0864"/>
    <w:rsid w:val="00BC17E4"/>
    <w:rsid w:val="00BC3EC5"/>
    <w:rsid w:val="00BC43BF"/>
    <w:rsid w:val="00BC46B6"/>
    <w:rsid w:val="00BC5546"/>
    <w:rsid w:val="00BC75AB"/>
    <w:rsid w:val="00BC7F67"/>
    <w:rsid w:val="00BD2771"/>
    <w:rsid w:val="00BD35AA"/>
    <w:rsid w:val="00BD3C78"/>
    <w:rsid w:val="00BD6505"/>
    <w:rsid w:val="00BE288A"/>
    <w:rsid w:val="00BE5634"/>
    <w:rsid w:val="00BE57BB"/>
    <w:rsid w:val="00BE7092"/>
    <w:rsid w:val="00BE7118"/>
    <w:rsid w:val="00BF0C25"/>
    <w:rsid w:val="00BF362A"/>
    <w:rsid w:val="00BF381B"/>
    <w:rsid w:val="00BF460D"/>
    <w:rsid w:val="00BF5AD6"/>
    <w:rsid w:val="00BF7869"/>
    <w:rsid w:val="00C06004"/>
    <w:rsid w:val="00C06389"/>
    <w:rsid w:val="00C06C06"/>
    <w:rsid w:val="00C11279"/>
    <w:rsid w:val="00C11A18"/>
    <w:rsid w:val="00C12B98"/>
    <w:rsid w:val="00C13A67"/>
    <w:rsid w:val="00C13CD5"/>
    <w:rsid w:val="00C157A7"/>
    <w:rsid w:val="00C16735"/>
    <w:rsid w:val="00C2045C"/>
    <w:rsid w:val="00C218B8"/>
    <w:rsid w:val="00C231AA"/>
    <w:rsid w:val="00C231EB"/>
    <w:rsid w:val="00C24DAF"/>
    <w:rsid w:val="00C26633"/>
    <w:rsid w:val="00C27AAC"/>
    <w:rsid w:val="00C335A8"/>
    <w:rsid w:val="00C34810"/>
    <w:rsid w:val="00C362E2"/>
    <w:rsid w:val="00C4052B"/>
    <w:rsid w:val="00C409B6"/>
    <w:rsid w:val="00C40CD5"/>
    <w:rsid w:val="00C40DD3"/>
    <w:rsid w:val="00C41F61"/>
    <w:rsid w:val="00C42A8E"/>
    <w:rsid w:val="00C42E00"/>
    <w:rsid w:val="00C42EF8"/>
    <w:rsid w:val="00C44308"/>
    <w:rsid w:val="00C45AE6"/>
    <w:rsid w:val="00C46A25"/>
    <w:rsid w:val="00C47E88"/>
    <w:rsid w:val="00C500A8"/>
    <w:rsid w:val="00C51B7F"/>
    <w:rsid w:val="00C529B0"/>
    <w:rsid w:val="00C52E9B"/>
    <w:rsid w:val="00C53D9F"/>
    <w:rsid w:val="00C540CA"/>
    <w:rsid w:val="00C556AB"/>
    <w:rsid w:val="00C5665E"/>
    <w:rsid w:val="00C56B62"/>
    <w:rsid w:val="00C57D4C"/>
    <w:rsid w:val="00C60D14"/>
    <w:rsid w:val="00C64E46"/>
    <w:rsid w:val="00C650CF"/>
    <w:rsid w:val="00C65690"/>
    <w:rsid w:val="00C66F2D"/>
    <w:rsid w:val="00C672CD"/>
    <w:rsid w:val="00C6740C"/>
    <w:rsid w:val="00C67A41"/>
    <w:rsid w:val="00C67C95"/>
    <w:rsid w:val="00C67CE6"/>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729E"/>
    <w:rsid w:val="00C91A6F"/>
    <w:rsid w:val="00C91E33"/>
    <w:rsid w:val="00C930C8"/>
    <w:rsid w:val="00C95611"/>
    <w:rsid w:val="00C97FC1"/>
    <w:rsid w:val="00CA45CB"/>
    <w:rsid w:val="00CA4C3A"/>
    <w:rsid w:val="00CA4E57"/>
    <w:rsid w:val="00CA7AA6"/>
    <w:rsid w:val="00CA7ADA"/>
    <w:rsid w:val="00CA7C07"/>
    <w:rsid w:val="00CA7EAE"/>
    <w:rsid w:val="00CA7F1D"/>
    <w:rsid w:val="00CB5C38"/>
    <w:rsid w:val="00CC1C87"/>
    <w:rsid w:val="00CC1F8C"/>
    <w:rsid w:val="00CC29B3"/>
    <w:rsid w:val="00CC2EA8"/>
    <w:rsid w:val="00CC5500"/>
    <w:rsid w:val="00CC6E48"/>
    <w:rsid w:val="00CD2B96"/>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1FC5"/>
    <w:rsid w:val="00CF23A0"/>
    <w:rsid w:val="00CF4EFF"/>
    <w:rsid w:val="00CF55B7"/>
    <w:rsid w:val="00CF6B54"/>
    <w:rsid w:val="00CF723E"/>
    <w:rsid w:val="00CF74E9"/>
    <w:rsid w:val="00CF7AA5"/>
    <w:rsid w:val="00D02831"/>
    <w:rsid w:val="00D03CED"/>
    <w:rsid w:val="00D04C47"/>
    <w:rsid w:val="00D069F8"/>
    <w:rsid w:val="00D07E4B"/>
    <w:rsid w:val="00D1305D"/>
    <w:rsid w:val="00D1318A"/>
    <w:rsid w:val="00D13CEA"/>
    <w:rsid w:val="00D13F20"/>
    <w:rsid w:val="00D144B1"/>
    <w:rsid w:val="00D15014"/>
    <w:rsid w:val="00D15AA1"/>
    <w:rsid w:val="00D164BC"/>
    <w:rsid w:val="00D169C7"/>
    <w:rsid w:val="00D203E4"/>
    <w:rsid w:val="00D23481"/>
    <w:rsid w:val="00D25C63"/>
    <w:rsid w:val="00D279F0"/>
    <w:rsid w:val="00D3496C"/>
    <w:rsid w:val="00D36A13"/>
    <w:rsid w:val="00D36A9F"/>
    <w:rsid w:val="00D42E23"/>
    <w:rsid w:val="00D43A3A"/>
    <w:rsid w:val="00D466A8"/>
    <w:rsid w:val="00D46E14"/>
    <w:rsid w:val="00D474D0"/>
    <w:rsid w:val="00D51004"/>
    <w:rsid w:val="00D5128D"/>
    <w:rsid w:val="00D52E5B"/>
    <w:rsid w:val="00D52EC1"/>
    <w:rsid w:val="00D5407D"/>
    <w:rsid w:val="00D55A56"/>
    <w:rsid w:val="00D579E6"/>
    <w:rsid w:val="00D61CB8"/>
    <w:rsid w:val="00D61FF9"/>
    <w:rsid w:val="00D62480"/>
    <w:rsid w:val="00D629E3"/>
    <w:rsid w:val="00D64273"/>
    <w:rsid w:val="00D64C4F"/>
    <w:rsid w:val="00D66DDB"/>
    <w:rsid w:val="00D70766"/>
    <w:rsid w:val="00D708AE"/>
    <w:rsid w:val="00D72175"/>
    <w:rsid w:val="00D7252C"/>
    <w:rsid w:val="00D7768F"/>
    <w:rsid w:val="00D82691"/>
    <w:rsid w:val="00D837B0"/>
    <w:rsid w:val="00D839F9"/>
    <w:rsid w:val="00D83FBA"/>
    <w:rsid w:val="00D86931"/>
    <w:rsid w:val="00D906B2"/>
    <w:rsid w:val="00D91F3E"/>
    <w:rsid w:val="00D92325"/>
    <w:rsid w:val="00D95A1B"/>
    <w:rsid w:val="00D96BA3"/>
    <w:rsid w:val="00DA1EA0"/>
    <w:rsid w:val="00DA2E83"/>
    <w:rsid w:val="00DA3868"/>
    <w:rsid w:val="00DA3A68"/>
    <w:rsid w:val="00DA4E7C"/>
    <w:rsid w:val="00DB271D"/>
    <w:rsid w:val="00DB277C"/>
    <w:rsid w:val="00DB3FB8"/>
    <w:rsid w:val="00DB5A7F"/>
    <w:rsid w:val="00DB7DC5"/>
    <w:rsid w:val="00DC0C32"/>
    <w:rsid w:val="00DC175C"/>
    <w:rsid w:val="00DC69D9"/>
    <w:rsid w:val="00DC7159"/>
    <w:rsid w:val="00DC7C06"/>
    <w:rsid w:val="00DC7E08"/>
    <w:rsid w:val="00DD0CD5"/>
    <w:rsid w:val="00DD1932"/>
    <w:rsid w:val="00DD1CC7"/>
    <w:rsid w:val="00DD2423"/>
    <w:rsid w:val="00DD4191"/>
    <w:rsid w:val="00DD732B"/>
    <w:rsid w:val="00DE00CB"/>
    <w:rsid w:val="00DE02CA"/>
    <w:rsid w:val="00DE224D"/>
    <w:rsid w:val="00DE41C5"/>
    <w:rsid w:val="00DF43D9"/>
    <w:rsid w:val="00DF59CE"/>
    <w:rsid w:val="00DF7F84"/>
    <w:rsid w:val="00E00BC4"/>
    <w:rsid w:val="00E022A1"/>
    <w:rsid w:val="00E0245B"/>
    <w:rsid w:val="00E02A52"/>
    <w:rsid w:val="00E0447A"/>
    <w:rsid w:val="00E052B8"/>
    <w:rsid w:val="00E10780"/>
    <w:rsid w:val="00E11168"/>
    <w:rsid w:val="00E12804"/>
    <w:rsid w:val="00E134FA"/>
    <w:rsid w:val="00E16729"/>
    <w:rsid w:val="00E21EC5"/>
    <w:rsid w:val="00E22006"/>
    <w:rsid w:val="00E22EA8"/>
    <w:rsid w:val="00E23058"/>
    <w:rsid w:val="00E25D40"/>
    <w:rsid w:val="00E275EC"/>
    <w:rsid w:val="00E319EF"/>
    <w:rsid w:val="00E31CB8"/>
    <w:rsid w:val="00E329AE"/>
    <w:rsid w:val="00E332FF"/>
    <w:rsid w:val="00E354BF"/>
    <w:rsid w:val="00E35B2A"/>
    <w:rsid w:val="00E361ED"/>
    <w:rsid w:val="00E368CF"/>
    <w:rsid w:val="00E40395"/>
    <w:rsid w:val="00E40CA6"/>
    <w:rsid w:val="00E41747"/>
    <w:rsid w:val="00E44D06"/>
    <w:rsid w:val="00E46240"/>
    <w:rsid w:val="00E52B0F"/>
    <w:rsid w:val="00E54144"/>
    <w:rsid w:val="00E547F7"/>
    <w:rsid w:val="00E5737C"/>
    <w:rsid w:val="00E57404"/>
    <w:rsid w:val="00E57797"/>
    <w:rsid w:val="00E57A6E"/>
    <w:rsid w:val="00E619C3"/>
    <w:rsid w:val="00E64BEF"/>
    <w:rsid w:val="00E64E18"/>
    <w:rsid w:val="00E66BEB"/>
    <w:rsid w:val="00E71771"/>
    <w:rsid w:val="00E71F80"/>
    <w:rsid w:val="00E73985"/>
    <w:rsid w:val="00E7452D"/>
    <w:rsid w:val="00E74CB0"/>
    <w:rsid w:val="00E81B7C"/>
    <w:rsid w:val="00E85AC5"/>
    <w:rsid w:val="00E864E9"/>
    <w:rsid w:val="00E865E5"/>
    <w:rsid w:val="00E909E3"/>
    <w:rsid w:val="00E91D41"/>
    <w:rsid w:val="00E9742F"/>
    <w:rsid w:val="00EA372C"/>
    <w:rsid w:val="00EB020F"/>
    <w:rsid w:val="00EB2119"/>
    <w:rsid w:val="00EB33A4"/>
    <w:rsid w:val="00EB386A"/>
    <w:rsid w:val="00EB3E63"/>
    <w:rsid w:val="00EB6216"/>
    <w:rsid w:val="00EB67C3"/>
    <w:rsid w:val="00EB6CF0"/>
    <w:rsid w:val="00EB726D"/>
    <w:rsid w:val="00EC1274"/>
    <w:rsid w:val="00EC285A"/>
    <w:rsid w:val="00EC3047"/>
    <w:rsid w:val="00EC4067"/>
    <w:rsid w:val="00EC4F2E"/>
    <w:rsid w:val="00EC5C68"/>
    <w:rsid w:val="00EC6576"/>
    <w:rsid w:val="00EC7CBF"/>
    <w:rsid w:val="00ED3627"/>
    <w:rsid w:val="00ED37B8"/>
    <w:rsid w:val="00ED3C94"/>
    <w:rsid w:val="00ED5B5F"/>
    <w:rsid w:val="00ED67BB"/>
    <w:rsid w:val="00ED79C7"/>
    <w:rsid w:val="00EE1006"/>
    <w:rsid w:val="00EE1B70"/>
    <w:rsid w:val="00EE3EC4"/>
    <w:rsid w:val="00EE53C1"/>
    <w:rsid w:val="00EF0C39"/>
    <w:rsid w:val="00EF36E1"/>
    <w:rsid w:val="00EF6C8B"/>
    <w:rsid w:val="00F01C8E"/>
    <w:rsid w:val="00F028A5"/>
    <w:rsid w:val="00F02ACE"/>
    <w:rsid w:val="00F03463"/>
    <w:rsid w:val="00F03E2D"/>
    <w:rsid w:val="00F05082"/>
    <w:rsid w:val="00F06AF6"/>
    <w:rsid w:val="00F104DF"/>
    <w:rsid w:val="00F12914"/>
    <w:rsid w:val="00F13825"/>
    <w:rsid w:val="00F1561E"/>
    <w:rsid w:val="00F15B25"/>
    <w:rsid w:val="00F16F36"/>
    <w:rsid w:val="00F20567"/>
    <w:rsid w:val="00F21BA6"/>
    <w:rsid w:val="00F25709"/>
    <w:rsid w:val="00F26C65"/>
    <w:rsid w:val="00F27E23"/>
    <w:rsid w:val="00F316B5"/>
    <w:rsid w:val="00F378E3"/>
    <w:rsid w:val="00F41B36"/>
    <w:rsid w:val="00F42088"/>
    <w:rsid w:val="00F43789"/>
    <w:rsid w:val="00F47855"/>
    <w:rsid w:val="00F50072"/>
    <w:rsid w:val="00F507C6"/>
    <w:rsid w:val="00F51CCB"/>
    <w:rsid w:val="00F51D19"/>
    <w:rsid w:val="00F530A8"/>
    <w:rsid w:val="00F550A0"/>
    <w:rsid w:val="00F56036"/>
    <w:rsid w:val="00F56168"/>
    <w:rsid w:val="00F6097F"/>
    <w:rsid w:val="00F62018"/>
    <w:rsid w:val="00F62E83"/>
    <w:rsid w:val="00F65096"/>
    <w:rsid w:val="00F65D8D"/>
    <w:rsid w:val="00F66940"/>
    <w:rsid w:val="00F70847"/>
    <w:rsid w:val="00F70A24"/>
    <w:rsid w:val="00F71565"/>
    <w:rsid w:val="00F7237E"/>
    <w:rsid w:val="00F73D29"/>
    <w:rsid w:val="00F75050"/>
    <w:rsid w:val="00F7642B"/>
    <w:rsid w:val="00F80790"/>
    <w:rsid w:val="00F8238D"/>
    <w:rsid w:val="00F8257C"/>
    <w:rsid w:val="00F839AE"/>
    <w:rsid w:val="00F8788F"/>
    <w:rsid w:val="00F87926"/>
    <w:rsid w:val="00F908B7"/>
    <w:rsid w:val="00F91851"/>
    <w:rsid w:val="00F933B4"/>
    <w:rsid w:val="00F936DE"/>
    <w:rsid w:val="00F93F64"/>
    <w:rsid w:val="00F955F5"/>
    <w:rsid w:val="00FA03D1"/>
    <w:rsid w:val="00FA1A41"/>
    <w:rsid w:val="00FA2ED3"/>
    <w:rsid w:val="00FA3A0C"/>
    <w:rsid w:val="00FA3EA6"/>
    <w:rsid w:val="00FA6B8E"/>
    <w:rsid w:val="00FA7206"/>
    <w:rsid w:val="00FB0D59"/>
    <w:rsid w:val="00FB1BAA"/>
    <w:rsid w:val="00FB1BCD"/>
    <w:rsid w:val="00FB1D33"/>
    <w:rsid w:val="00FB7C3A"/>
    <w:rsid w:val="00FC01D5"/>
    <w:rsid w:val="00FC2034"/>
    <w:rsid w:val="00FC213A"/>
    <w:rsid w:val="00FC387F"/>
    <w:rsid w:val="00FC48F9"/>
    <w:rsid w:val="00FC6F1F"/>
    <w:rsid w:val="00FD34DC"/>
    <w:rsid w:val="00FD3D7D"/>
    <w:rsid w:val="00FD5141"/>
    <w:rsid w:val="00FD5AEA"/>
    <w:rsid w:val="00FD5CCF"/>
    <w:rsid w:val="00FD667D"/>
    <w:rsid w:val="00FE58DC"/>
    <w:rsid w:val="00FE609B"/>
    <w:rsid w:val="00FE62B8"/>
    <w:rsid w:val="00FE7308"/>
    <w:rsid w:val="00FE7D39"/>
    <w:rsid w:val="00FF3136"/>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F7B"/>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Lista2">
    <w:name w:val="List 2"/>
    <w:basedOn w:val="Normal"/>
    <w:uiPriority w:val="99"/>
    <w:unhideWhenUsed/>
    <w:rsid w:val="008506E0"/>
    <w:pPr>
      <w:ind w:left="566" w:hanging="283"/>
      <w:contextualSpacing/>
    </w:pPr>
  </w:style>
  <w:style w:type="paragraph" w:styleId="Lista3">
    <w:name w:val="List 3"/>
    <w:basedOn w:val="Normal"/>
    <w:uiPriority w:val="99"/>
    <w:unhideWhenUsed/>
    <w:rsid w:val="008506E0"/>
    <w:pPr>
      <w:ind w:left="849" w:hanging="283"/>
      <w:contextualSpacing/>
    </w:pPr>
  </w:style>
  <w:style w:type="paragraph" w:styleId="Continuarlista">
    <w:name w:val="List Continue"/>
    <w:basedOn w:val="Normal"/>
    <w:uiPriority w:val="99"/>
    <w:unhideWhenUsed/>
    <w:rsid w:val="008506E0"/>
    <w:pPr>
      <w:spacing w:after="120"/>
      <w:ind w:left="283"/>
      <w:contextualSpacing/>
    </w:pPr>
  </w:style>
  <w:style w:type="paragraph" w:styleId="Textoindependiente">
    <w:name w:val="Body Text"/>
    <w:basedOn w:val="Normal"/>
    <w:link w:val="TextoindependienteCar"/>
    <w:uiPriority w:val="99"/>
    <w:unhideWhenUsed/>
    <w:rsid w:val="008506E0"/>
    <w:pPr>
      <w:spacing w:after="120"/>
    </w:pPr>
  </w:style>
  <w:style w:type="character" w:customStyle="1" w:styleId="TextoindependienteCar">
    <w:name w:val="Texto independiente Car"/>
    <w:basedOn w:val="Fuentedeprrafopredeter"/>
    <w:link w:val="Textoindependiente"/>
    <w:uiPriority w:val="99"/>
    <w:rsid w:val="008506E0"/>
    <w:rPr>
      <w:color w:val="000000" w:themeColor="text1"/>
      <w:lang w:eastAsia="es-MX"/>
    </w:rPr>
  </w:style>
  <w:style w:type="paragraph" w:styleId="Sangradetextonormal">
    <w:name w:val="Body Text Indent"/>
    <w:basedOn w:val="Normal"/>
    <w:link w:val="SangradetextonormalCar"/>
    <w:uiPriority w:val="99"/>
    <w:semiHidden/>
    <w:unhideWhenUsed/>
    <w:rsid w:val="008506E0"/>
    <w:pPr>
      <w:spacing w:after="120"/>
      <w:ind w:left="283"/>
    </w:pPr>
  </w:style>
  <w:style w:type="character" w:customStyle="1" w:styleId="SangradetextonormalCar">
    <w:name w:val="Sangría de texto normal Car"/>
    <w:basedOn w:val="Fuentedeprrafopredeter"/>
    <w:link w:val="Sangradetextonormal"/>
    <w:uiPriority w:val="99"/>
    <w:semiHidden/>
    <w:rsid w:val="008506E0"/>
    <w:rPr>
      <w:color w:val="000000" w:themeColor="text1"/>
      <w:lang w:eastAsia="es-MX"/>
    </w:rPr>
  </w:style>
  <w:style w:type="paragraph" w:styleId="Textoindependienteprimerasangra2">
    <w:name w:val="Body Text First Indent 2"/>
    <w:basedOn w:val="Sangradetextonormal"/>
    <w:link w:val="Textoindependienteprimerasangra2Car"/>
    <w:uiPriority w:val="99"/>
    <w:unhideWhenUsed/>
    <w:rsid w:val="008506E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506E0"/>
    <w:rPr>
      <w:color w:val="000000" w:themeColor="text1"/>
      <w:lang w:eastAsia="es-MX"/>
    </w:rPr>
  </w:style>
  <w:style w:type="character" w:customStyle="1" w:styleId="UnresolvedMention">
    <w:name w:val="Unresolved Mention"/>
    <w:basedOn w:val="Fuentedeprrafopredeter"/>
    <w:uiPriority w:val="99"/>
    <w:semiHidden/>
    <w:unhideWhenUsed/>
    <w:rsid w:val="004E6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2459509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onsultas.curp.gob.mx/CurpSP/html/informacionecurpPS.htm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facebook.com/share/v/19jJ3ybHeL/?mibextid=wwXIfr"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0B769B-03C4-4CC2-9F7B-B979FCE61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10839</Words>
  <Characters>59619</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2025-09-11T16:58:00Z</cp:lastPrinted>
  <dcterms:created xsi:type="dcterms:W3CDTF">2025-09-11T16:58:00Z</dcterms:created>
  <dcterms:modified xsi:type="dcterms:W3CDTF">2025-09-11T16:58:00Z</dcterms:modified>
</cp:coreProperties>
</file>