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bookmarkStart w:colFirst="0" w:colLast="0" w:name="_heading=h.gjdgxs"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veintiocho de mayo de dos mil veinticinco. </w:t>
      </w:r>
    </w:p>
    <w:p w:rsidR="00000000" w:rsidDel="00000000" w:rsidP="00000000" w:rsidRDefault="00000000" w:rsidRPr="00000000" w14:paraId="00000002">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Visto </w:t>
      </w:r>
      <w:r w:rsidDel="00000000" w:rsidR="00000000" w:rsidRPr="00000000">
        <w:rPr>
          <w:rFonts w:ascii="Palatino Linotype" w:cs="Palatino Linotype" w:eastAsia="Palatino Linotype" w:hAnsi="Palatino Linotype"/>
          <w:sz w:val="22"/>
          <w:szCs w:val="22"/>
          <w:rtl w:val="0"/>
        </w:rPr>
        <w:t xml:space="preserve">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05064/INFOEM/IP/RR/2025</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rtl w:val="0"/>
        </w:rPr>
        <w:t xml:space="preserve">interpuesto por</w:t>
      </w:r>
      <w:r w:rsidDel="00000000" w:rsidR="00000000" w:rsidRPr="00000000">
        <w:rPr>
          <w:rFonts w:ascii="Palatino Linotype" w:cs="Palatino Linotype" w:eastAsia="Palatino Linotype" w:hAnsi="Palatino Linotype"/>
          <w:b w:val="1"/>
          <w:rtl w:val="0"/>
        </w:rPr>
        <w:t xml:space="preserve"> XXXXX XXXXXXXXX</w:t>
      </w:r>
      <w:r w:rsidDel="00000000" w:rsidR="00000000" w:rsidRPr="00000000">
        <w:rPr>
          <w:rFonts w:ascii="Palatino Linotype" w:cs="Palatino Linotype" w:eastAsia="Palatino Linotype" w:hAnsi="Palatino Linotype"/>
          <w:rtl w:val="0"/>
        </w:rPr>
        <w:t xml:space="preserve">, en lo sucesivo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en contra de la falta de respuesta a la solicitud de acceso a la información con número de folio</w:t>
      </w:r>
      <w:r w:rsidDel="00000000" w:rsidR="00000000" w:rsidRPr="00000000">
        <w:rPr>
          <w:rFonts w:ascii="Verdana" w:cs="Verdana" w:eastAsia="Verdana" w:hAnsi="Verdana"/>
          <w:b w:val="1"/>
          <w:sz w:val="22"/>
          <w:szCs w:val="22"/>
          <w:rtl w:val="0"/>
        </w:rPr>
        <w:t xml:space="preserve"> </w:t>
      </w:r>
      <w:r w:rsidDel="00000000" w:rsidR="00000000" w:rsidRPr="00000000">
        <w:rPr>
          <w:rFonts w:ascii="Palatino Linotype" w:cs="Palatino Linotype" w:eastAsia="Palatino Linotype" w:hAnsi="Palatino Linotype"/>
          <w:b w:val="1"/>
          <w:rtl w:val="0"/>
        </w:rPr>
        <w:t xml:space="preserve">00012/DIFXONACATLAN/IP/2025</w:t>
      </w: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por parte del </w:t>
      </w:r>
      <w:r w:rsidDel="00000000" w:rsidR="00000000" w:rsidRPr="00000000">
        <w:rPr>
          <w:rFonts w:ascii="Palatino Linotype" w:cs="Palatino Linotype" w:eastAsia="Palatino Linotype" w:hAnsi="Palatino Linotype"/>
          <w:b w:val="1"/>
          <w:sz w:val="22"/>
          <w:szCs w:val="22"/>
          <w:rtl w:val="0"/>
        </w:rPr>
        <w:t xml:space="preserve">Sistema Municipal para el Desarrollo Integral de la Familia de Xonacatlán,</w:t>
      </w:r>
      <w:r w:rsidDel="00000000" w:rsidR="00000000" w:rsidRPr="00000000">
        <w:rPr>
          <w:rFonts w:ascii="Palatino Linotype" w:cs="Palatino Linotype" w:eastAsia="Palatino Linotype" w:hAnsi="Palatino Linotype"/>
          <w:sz w:val="22"/>
          <w:szCs w:val="22"/>
          <w:rtl w:val="0"/>
        </w:rPr>
        <w:t xml:space="preserve"> 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 siguiente. </w:t>
      </w:r>
      <w:r w:rsidDel="00000000" w:rsidR="00000000" w:rsidRPr="00000000">
        <w:rPr>
          <w:rtl w:val="0"/>
        </w:rPr>
      </w:r>
    </w:p>
    <w:p w:rsidR="00000000" w:rsidDel="00000000" w:rsidP="00000000" w:rsidRDefault="00000000" w:rsidRPr="00000000" w14:paraId="00000004">
      <w:pPr>
        <w:numPr>
          <w:ilvl w:val="0"/>
          <w:numId w:val="5"/>
        </w:numPr>
        <w:pBdr>
          <w:top w:space="0" w:sz="0" w:val="nil"/>
          <w:left w:space="0" w:sz="0" w:val="nil"/>
          <w:bottom w:space="0" w:sz="0" w:val="nil"/>
          <w:right w:space="0" w:sz="0" w:val="nil"/>
          <w:between w:space="0" w:sz="0" w:val="nil"/>
        </w:pBdr>
        <w:spacing w:line="360" w:lineRule="auto"/>
        <w:ind w:left="1077" w:hanging="72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N T E C E D E N T E S:</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ind w:left="1077" w:firstLine="0"/>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1. Solicitud de acceso a la información.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veinticinco de marzo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formuló a través del Sistema de Acceso a la Información Mexiquense, en adelante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solicitud de información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requiriéndole lo siguiente:</w:t>
      </w:r>
    </w:p>
    <w:p w:rsidR="00000000" w:rsidDel="00000000" w:rsidP="00000000" w:rsidRDefault="00000000" w:rsidRPr="00000000" w14:paraId="0000000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“pido recibos de nomina de la presidenta del dif de enero 2025, febrero 2025 marzo 2025” (Sic)</w:t>
      </w:r>
    </w:p>
    <w:p w:rsidR="00000000" w:rsidDel="00000000" w:rsidP="00000000" w:rsidRDefault="00000000" w:rsidRPr="00000000" w14:paraId="00000009">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SAIMEX.</w:t>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2. Respuesta.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fue omiso en proporcionar respuesta. </w:t>
      </w:r>
    </w:p>
    <w:p w:rsidR="00000000" w:rsidDel="00000000" w:rsidP="00000000" w:rsidRDefault="00000000" w:rsidRPr="00000000" w14:paraId="0000000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la parte solicitante con la falta de respuesta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interpuso recurso de revisión a través del SAIMEX en fecha </w:t>
      </w:r>
      <w:r w:rsidDel="00000000" w:rsidR="00000000" w:rsidRPr="00000000">
        <w:rPr>
          <w:rFonts w:ascii="Palatino Linotype" w:cs="Palatino Linotype" w:eastAsia="Palatino Linotype" w:hAnsi="Palatino Linotype"/>
          <w:b w:val="1"/>
          <w:sz w:val="22"/>
          <w:szCs w:val="22"/>
          <w:rtl w:val="0"/>
        </w:rPr>
        <w:t xml:space="preserve">seis de mayo de dos mil veinticinco</w:t>
      </w:r>
      <w:r w:rsidDel="00000000" w:rsidR="00000000" w:rsidRPr="00000000">
        <w:rPr>
          <w:rFonts w:ascii="Palatino Linotype" w:cs="Palatino Linotype" w:eastAsia="Palatino Linotype" w:hAnsi="Palatino Linotype"/>
          <w:sz w:val="22"/>
          <w:szCs w:val="22"/>
          <w:rtl w:val="0"/>
        </w:rPr>
        <w:t xml:space="preserve">, expresando lo siguiente:</w:t>
      </w:r>
    </w:p>
    <w:p w:rsidR="00000000" w:rsidDel="00000000" w:rsidP="00000000" w:rsidRDefault="00000000" w:rsidRPr="00000000" w14:paraId="0000000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0">
      <w:pPr>
        <w:spacing w:line="360"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a) Acto impugnado. </w:t>
      </w:r>
      <w:r w:rsidDel="00000000" w:rsidR="00000000" w:rsidRPr="00000000">
        <w:rPr>
          <w:rFonts w:ascii="Palatino Linotype" w:cs="Palatino Linotype" w:eastAsia="Palatino Linotype" w:hAnsi="Palatino Linotype"/>
          <w:i w:val="1"/>
          <w:sz w:val="22"/>
          <w:szCs w:val="22"/>
          <w:rtl w:val="0"/>
        </w:rPr>
        <w:t xml:space="preserve">“sigo en espera de respuesta” (Sic)</w:t>
      </w:r>
      <w:r w:rsidDel="00000000" w:rsidR="00000000" w:rsidRPr="00000000">
        <w:rPr>
          <w:rtl w:val="0"/>
        </w:rPr>
      </w:r>
    </w:p>
    <w:p w:rsidR="00000000" w:rsidDel="00000000" w:rsidP="00000000" w:rsidRDefault="00000000" w:rsidRPr="00000000" w14:paraId="00000011">
      <w:pPr>
        <w:spacing w:line="360" w:lineRule="auto"/>
        <w:ind w:left="567" w:right="616" w:firstLine="0"/>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12">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b) Motivos de inconformidad. </w:t>
      </w:r>
      <w:r w:rsidDel="00000000" w:rsidR="00000000" w:rsidRPr="00000000">
        <w:rPr>
          <w:rFonts w:ascii="Palatino Linotype" w:cs="Palatino Linotype" w:eastAsia="Palatino Linotype" w:hAnsi="Palatino Linotype"/>
          <w:i w:val="1"/>
          <w:sz w:val="22"/>
          <w:szCs w:val="22"/>
          <w:rtl w:val="0"/>
        </w:rPr>
        <w:t xml:space="preserve">“no dan atencion” (Sic)</w:t>
      </w:r>
    </w:p>
    <w:p w:rsidR="00000000" w:rsidDel="00000000" w:rsidP="00000000" w:rsidRDefault="00000000" w:rsidRPr="00000000" w14:paraId="00000013">
      <w:pPr>
        <w:spacing w:line="360" w:lineRule="auto"/>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Transparencia y Acceso a la Información Pública, el recurso de revisión número</w:t>
      </w:r>
      <w:r w:rsidDel="00000000" w:rsidR="00000000" w:rsidRPr="00000000">
        <w:rPr>
          <w:rFonts w:ascii="Palatino Linotype" w:cs="Palatino Linotype" w:eastAsia="Palatino Linotype" w:hAnsi="Palatino Linotype"/>
          <w:b w:val="1"/>
          <w:sz w:val="22"/>
          <w:szCs w:val="22"/>
          <w:rtl w:val="0"/>
        </w:rPr>
        <w:t xml:space="preserve"> 05064/INFOEM/IP/RR/2025 </w:t>
      </w:r>
      <w:r w:rsidDel="00000000" w:rsidR="00000000" w:rsidRPr="00000000">
        <w:rPr>
          <w:rFonts w:ascii="Palatino Linotype" w:cs="Palatino Linotype" w:eastAsia="Palatino Linotype" w:hAnsi="Palatino Linotype"/>
          <w:sz w:val="22"/>
          <w:szCs w:val="22"/>
          <w:rtl w:val="0"/>
        </w:rPr>
        <w:t xml:space="preserve">fue turnado a la Comisionada Ponente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a efecto de presentar al Pleno el proyecto de resolución correspondiente.</w:t>
      </w:r>
    </w:p>
    <w:p w:rsidR="00000000" w:rsidDel="00000000" w:rsidP="00000000" w:rsidRDefault="00000000" w:rsidRPr="00000000" w14:paraId="0000001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5. Admisión.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nueve de mayo de dos mil veinticinco</w:t>
      </w:r>
      <w:r w:rsidDel="00000000" w:rsidR="00000000" w:rsidRPr="00000000">
        <w:rPr>
          <w:rFonts w:ascii="Palatino Linotype" w:cs="Palatino Linotype" w:eastAsia="Palatino Linotype" w:hAnsi="Palatino Linotype"/>
          <w:sz w:val="22"/>
          <w:szCs w:val="22"/>
          <w:rtl w:val="0"/>
        </w:rPr>
        <w:t xml:space="preserve">, en términos de lo dispuesto en el artículo 185 fracciones I, II y IV de la Ley de Transparencia y Acceso a la Información Pública del Estado de México y Municipios, se admitió a trámite el recurso de revisión al rubro indicado.</w:t>
      </w:r>
    </w:p>
    <w:p w:rsidR="00000000" w:rsidDel="00000000" w:rsidP="00000000" w:rsidRDefault="00000000" w:rsidRPr="00000000" w14:paraId="0000001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6. Manifestaciones</w:t>
      </w:r>
      <w:r w:rsidDel="00000000" w:rsidR="00000000" w:rsidRPr="00000000">
        <w:rPr>
          <w:rFonts w:ascii="Palatino Linotype" w:cs="Palatino Linotype" w:eastAsia="Palatino Linotype" w:hAnsi="Palatino Linotype"/>
          <w:sz w:val="22"/>
          <w:szCs w:val="22"/>
          <w:rtl w:val="0"/>
        </w:rPr>
        <w:t xml:space="preserve">. Las partes fueron omisas en rendir manifestaciones como se observa a continuación en las siguientes imágenes: </w:t>
      </w:r>
    </w:p>
    <w:p w:rsidR="00000000" w:rsidDel="00000000" w:rsidP="00000000" w:rsidRDefault="00000000" w:rsidRPr="00000000" w14:paraId="00000019">
      <w:pPr>
        <w:widowControl w:val="0"/>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595120"/>
            <wp:effectExtent b="0" l="0" r="0" t="0"/>
            <wp:docPr id="2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612130" cy="159512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widowControl w:val="0"/>
        <w:spacing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1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7.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sz w:val="22"/>
          <w:szCs w:val="22"/>
          <w:rtl w:val="0"/>
        </w:rPr>
        <w:t xml:space="preserve">veintidós de mayo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1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1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F">
      <w:pPr>
        <w:widowControl w:val="0"/>
        <w:spacing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 C O N S I D E R A N D O S</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360" w:lineRule="auto"/>
        <w:ind w:left="1080" w:firstLine="0"/>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 </w:t>
      </w:r>
      <w:r w:rsidDel="00000000" w:rsidR="00000000" w:rsidRPr="00000000">
        <w:rPr>
          <w:rFonts w:ascii="Palatino Linotype" w:cs="Palatino Linotype" w:eastAsia="Palatino Linotype" w:hAnsi="Palatino Linotype"/>
          <w:sz w:val="22"/>
          <w:szCs w:val="22"/>
          <w:rtl w:val="0"/>
        </w:rPr>
        <w:t xml:space="preserve">Por cuanto hace a la oportunidad del recurso de revisión</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rsidR="00000000" w:rsidDel="00000000" w:rsidP="00000000" w:rsidRDefault="00000000" w:rsidRPr="00000000" w14:paraId="0000002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lo anterior, se constituye la figura jurídica de la </w:t>
      </w:r>
      <w:r w:rsidDel="00000000" w:rsidR="00000000" w:rsidRPr="00000000">
        <w:rPr>
          <w:rFonts w:ascii="Palatino Linotype" w:cs="Palatino Linotype" w:eastAsia="Palatino Linotype" w:hAnsi="Palatino Linotype"/>
          <w:b w:val="1"/>
          <w:sz w:val="22"/>
          <w:szCs w:val="22"/>
          <w:rtl w:val="0"/>
        </w:rPr>
        <w:t xml:space="preserve">NEGATIVA FICTA</w:t>
      </w:r>
      <w:r w:rsidDel="00000000" w:rsidR="00000000" w:rsidRPr="00000000">
        <w:rPr>
          <w:rFonts w:ascii="Palatino Linotype" w:cs="Palatino Linotype" w:eastAsia="Palatino Linotype" w:hAnsi="Palatino Linotype"/>
          <w:sz w:val="22"/>
          <w:szCs w:val="22"/>
          <w:rtl w:val="0"/>
        </w:rPr>
        <w:t xml:space="preserve">, cuya esencia consiste en atribuir un efecto negativo al silencio de la autoridad administrativa frente a las instancias y solicitudes que hagan los particulares.</w:t>
      </w:r>
    </w:p>
    <w:p w:rsidR="00000000" w:rsidDel="00000000" w:rsidP="00000000" w:rsidRDefault="00000000" w:rsidRPr="00000000" w14:paraId="0000002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manera, en el presente recurso de revisión se actualizó la negativa ficta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al no haber respondido a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rsidR="00000000" w:rsidDel="00000000" w:rsidP="00000000" w:rsidRDefault="00000000" w:rsidRPr="00000000" w14:paraId="0000002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 a ello se le suma lo previsto en el párrafo segundo del artículo 178, párrafo segundo</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de la Ley de Transparencia y Acceso a la Información Pública vigente en la entidad.</w:t>
      </w:r>
    </w:p>
    <w:p w:rsidR="00000000" w:rsidDel="00000000" w:rsidP="00000000" w:rsidRDefault="00000000" w:rsidRPr="00000000" w14:paraId="0000002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000000" w:rsidDel="00000000" w:rsidP="00000000" w:rsidRDefault="00000000" w:rsidRPr="00000000" w14:paraId="0000002B">
      <w:pPr>
        <w:spacing w:line="360" w:lineRule="auto"/>
        <w:jc w:val="both"/>
        <w:rPr>
          <w:i w:val="1"/>
          <w:sz w:val="22"/>
          <w:szCs w:val="22"/>
        </w:rPr>
      </w:pPr>
      <w:r w:rsidDel="00000000" w:rsidR="00000000" w:rsidRPr="00000000">
        <w:rPr>
          <w:rtl w:val="0"/>
        </w:rPr>
      </w:r>
    </w:p>
    <w:p w:rsidR="00000000" w:rsidDel="00000000" w:rsidP="00000000" w:rsidRDefault="00000000" w:rsidRPr="00000000" w14:paraId="0000002C">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0001-15 NEGATIVA FICTA. PLAZO PARA INTERPONER EL RECURSO DE REVISIÓN TRATÁNDOSE DE</w:t>
      </w:r>
      <w:r w:rsidDel="00000000" w:rsidR="00000000" w:rsidRPr="00000000">
        <w:rPr>
          <w:rFonts w:ascii="Palatino Linotype" w:cs="Palatino Linotype" w:eastAsia="Palatino Linotype" w:hAnsi="Palatino Linotype"/>
          <w:i w:val="1"/>
          <w:sz w:val="22"/>
          <w:szCs w:val="22"/>
          <w:rtl w:val="0"/>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Del="00000000" w:rsidR="00000000" w:rsidRPr="00000000">
        <w:rPr>
          <w:rtl w:val="0"/>
        </w:rPr>
      </w:r>
    </w:p>
    <w:p w:rsidR="00000000" w:rsidDel="00000000" w:rsidP="00000000" w:rsidRDefault="00000000" w:rsidRPr="00000000" w14:paraId="0000002D">
      <w:pPr>
        <w:ind w:left="567"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Del="00000000" w:rsidR="00000000" w:rsidRPr="00000000">
        <w:rPr>
          <w:rFonts w:ascii="Palatino Linotype" w:cs="Palatino Linotype" w:eastAsia="Palatino Linotype" w:hAnsi="Palatino Linotype"/>
          <w:b w:val="1"/>
          <w:sz w:val="22"/>
          <w:szCs w:val="22"/>
          <w:rtl w:val="0"/>
        </w:rPr>
        <w:t xml:space="preserve">EL</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resulta procedente la interposición del recurso de revisión, según lo aducido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términos del artículo 179, fracción VII del ordenamiento legal de la materia, que a la letra dice:</w:t>
      </w:r>
    </w:p>
    <w:p w:rsidR="00000000" w:rsidDel="00000000" w:rsidP="00000000" w:rsidRDefault="00000000" w:rsidRPr="00000000" w14:paraId="0000003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2">
      <w:pPr>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 </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3">
      <w:pPr>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34">
      <w:pPr>
        <w:numPr>
          <w:ilvl w:val="0"/>
          <w:numId w:val="4"/>
        </w:num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falta de respuesta a una solicitud de acceso a la información…</w:t>
      </w:r>
    </w:p>
    <w:p w:rsidR="00000000" w:rsidDel="00000000" w:rsidP="00000000" w:rsidRDefault="00000000" w:rsidRPr="00000000" w14:paraId="00000035">
      <w:pPr>
        <w:spacing w:line="360" w:lineRule="auto"/>
        <w:ind w:right="1041"/>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6">
      <w:pPr>
        <w:tabs>
          <w:tab w:val="left" w:leader="none" w:pos="8647"/>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Este Organismo Garante procede del análisis de los agravios hechos valer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a fin de determinar si se violenta en perjuicio de este, el derecho de acceso a la información previsto en la Constitución Política de los Estados Unidos Mexicanos y en la Constitución Política del Estado Libre y Soberano de México. </w:t>
      </w:r>
    </w:p>
    <w:p w:rsidR="00000000" w:rsidDel="00000000" w:rsidP="00000000" w:rsidRDefault="00000000" w:rsidRPr="00000000" w14:paraId="00000037">
      <w:pPr>
        <w:tabs>
          <w:tab w:val="left" w:leader="none" w:pos="8647"/>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Una vez determinada la vía sobre la que versará el presente recurso, y previa revisión del expediente del recurso de revisión materia de la presente resolución, se advierte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no dio respuesta a la solicitud de información planteada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lo que se traduce como la configuración de la </w:t>
      </w:r>
      <w:r w:rsidDel="00000000" w:rsidR="00000000" w:rsidRPr="00000000">
        <w:rPr>
          <w:rFonts w:ascii="Palatino Linotype" w:cs="Palatino Linotype" w:eastAsia="Palatino Linotype" w:hAnsi="Palatino Linotype"/>
          <w:b w:val="1"/>
          <w:sz w:val="22"/>
          <w:szCs w:val="22"/>
          <w:rtl w:val="0"/>
        </w:rPr>
        <w:t xml:space="preserve">negativa ficta</w:t>
      </w:r>
      <w:r w:rsidDel="00000000" w:rsidR="00000000" w:rsidRPr="00000000">
        <w:rPr>
          <w:rFonts w:ascii="Palatino Linotype" w:cs="Palatino Linotype" w:eastAsia="Palatino Linotype" w:hAnsi="Palatino Linotype"/>
          <w:sz w:val="22"/>
          <w:szCs w:val="22"/>
          <w:rtl w:val="0"/>
        </w:rPr>
        <w:t xml:space="preserve">, situación que demuestra la existencia del acto impugnado y procedencia del motivo de inconformidad, que en términos generales consistente en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emitió respuesta a la solicitud de información, dentro del plazo legal previsto para ello.</w:t>
      </w:r>
    </w:p>
    <w:p w:rsidR="00000000" w:rsidDel="00000000" w:rsidP="00000000" w:rsidRDefault="00000000" w:rsidRPr="00000000" w14:paraId="0000003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Previo a exponer los argumentos que justifiquen la afirmación que antecede, es necesario precisar que, del análisis realizado a la solicitud formulada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advierte que requirió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le proporcionara, información consistente en lo siguiente:</w:t>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“pido recibos de nomina de la presidenta del dif de enero 2025, febrero 2025 marzo 2025” (Sic)</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000000" w:rsidDel="00000000" w:rsidP="00000000" w:rsidRDefault="00000000" w:rsidRPr="00000000" w14:paraId="0000003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F">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40">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1">
      <w:pPr>
        <w:tabs>
          <w:tab w:val="left" w:leader="none" w:pos="709"/>
        </w:tabs>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42">
      <w:pPr>
        <w:tabs>
          <w:tab w:val="left" w:leader="none" w:pos="709"/>
        </w:tabs>
        <w:spacing w:line="276" w:lineRule="auto"/>
        <w:ind w:left="567"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43">
      <w:pPr>
        <w:tabs>
          <w:tab w:val="left" w:leader="none" w:pos="709"/>
        </w:tabs>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44">
      <w:pPr>
        <w:tabs>
          <w:tab w:val="left" w:leader="none" w:pos="709"/>
        </w:tabs>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5">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46">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7">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48">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u w:val="single"/>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49">
      <w:pPr>
        <w:spacing w:line="276" w:lineRule="auto"/>
        <w:ind w:left="567"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4A">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4B">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4C">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4D">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4E">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w:t>
      </w:r>
    </w:p>
    <w:p w:rsidR="00000000" w:rsidDel="00000000" w:rsidP="00000000" w:rsidRDefault="00000000" w:rsidRPr="00000000" w14:paraId="0000004F">
      <w:pPr>
        <w:spacing w:line="360" w:lineRule="auto"/>
        <w:ind w:left="567"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0">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rsidR="00000000" w:rsidDel="00000000" w:rsidP="00000000" w:rsidRDefault="00000000" w:rsidRPr="00000000" w14:paraId="00000051">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la Ley de Transparencia y Acceso a la Información Pública del Estado de México y Municipios, prevé en su artículo 23, lo siguiente:</w:t>
      </w:r>
    </w:p>
    <w:p w:rsidR="00000000" w:rsidDel="00000000" w:rsidP="00000000" w:rsidRDefault="00000000" w:rsidRPr="00000000" w14:paraId="0000005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4">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23. Son sujetos obligados a transparentar y permitir el acceso a su información y proteger los datos personales que obren en su poder</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5">
      <w:pPr>
        <w:tabs>
          <w:tab w:val="left" w:leader="none" w:pos="7655"/>
        </w:tabs>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Poder Ejecutivo del Estado de México, las dependencias, organismos auxiliares,</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órganos, entidades, fideicomisos y fondos públicos, así como la Procuraduría General de Justicia;</w:t>
      </w:r>
      <w:r w:rsidDel="00000000" w:rsidR="00000000" w:rsidRPr="00000000">
        <w:rPr>
          <w:rtl w:val="0"/>
        </w:rPr>
      </w:r>
    </w:p>
    <w:p w:rsidR="00000000" w:rsidDel="00000000" w:rsidP="00000000" w:rsidRDefault="00000000" w:rsidRPr="00000000" w14:paraId="00000056">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Poder Legislativo del Estado, los organismos, órganos y entidades de la Legislatura y sus dependencias;</w:t>
      </w:r>
    </w:p>
    <w:p w:rsidR="00000000" w:rsidDel="00000000" w:rsidP="00000000" w:rsidRDefault="00000000" w:rsidRPr="00000000" w14:paraId="00000057">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El Poder Judicial, sus organismos, órganos y entidades, así como el Consejo de la Judicatura del Estado;</w:t>
      </w:r>
    </w:p>
    <w:p w:rsidR="00000000" w:rsidDel="00000000" w:rsidP="00000000" w:rsidRDefault="00000000" w:rsidRPr="00000000" w14:paraId="00000058">
      <w:pPr>
        <w:tabs>
          <w:tab w:val="left" w:leader="none" w:pos="7655"/>
        </w:tabs>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Los ayuntamientos y las dependencias, organismos, órganos y entidades de la administración municipal;</w:t>
      </w:r>
    </w:p>
    <w:p w:rsidR="00000000" w:rsidDel="00000000" w:rsidP="00000000" w:rsidRDefault="00000000" w:rsidRPr="00000000" w14:paraId="00000059">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Los órganos autónomos;</w:t>
      </w:r>
    </w:p>
    <w:p w:rsidR="00000000" w:rsidDel="00000000" w:rsidP="00000000" w:rsidRDefault="00000000" w:rsidRPr="00000000" w14:paraId="0000005A">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Los tribunales administrativos y autoridades jurisdiccionales en materia laboral;</w:t>
      </w:r>
    </w:p>
    <w:p w:rsidR="00000000" w:rsidDel="00000000" w:rsidP="00000000" w:rsidRDefault="00000000" w:rsidRPr="00000000" w14:paraId="0000005B">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Los partidos políticos y agrupaciones políticas, en los términos de las disposiciones aplicables;</w:t>
      </w:r>
    </w:p>
    <w:p w:rsidR="00000000" w:rsidDel="00000000" w:rsidP="00000000" w:rsidRDefault="00000000" w:rsidRPr="00000000" w14:paraId="0000005C">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Los fideicomisos y fondos públicos que cuenten con financiamiento público, parcial o total, o con participación de entidades de gobierno;</w:t>
      </w:r>
    </w:p>
    <w:p w:rsidR="00000000" w:rsidDel="00000000" w:rsidP="00000000" w:rsidRDefault="00000000" w:rsidRPr="00000000" w14:paraId="0000005D">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w:t>
      </w:r>
      <w:r w:rsidDel="00000000" w:rsidR="00000000" w:rsidRPr="00000000">
        <w:rPr>
          <w:rFonts w:ascii="Palatino Linotype" w:cs="Palatino Linotype" w:eastAsia="Palatino Linotype" w:hAnsi="Palatino Linotype"/>
          <w:i w:val="1"/>
          <w:sz w:val="22"/>
          <w:szCs w:val="22"/>
          <w:rtl w:val="0"/>
        </w:rPr>
        <w:t xml:space="preserve"> Los sindicatos que reciban y/o ejerzan recursos públicos en el ámbito estatal y municipal;</w:t>
      </w:r>
    </w:p>
    <w:p w:rsidR="00000000" w:rsidDel="00000000" w:rsidP="00000000" w:rsidRDefault="00000000" w:rsidRPr="00000000" w14:paraId="0000005E">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w:t>
      </w:r>
      <w:r w:rsidDel="00000000" w:rsidR="00000000" w:rsidRPr="00000000">
        <w:rPr>
          <w:rFonts w:ascii="Palatino Linotype" w:cs="Palatino Linotype" w:eastAsia="Palatino Linotype" w:hAnsi="Palatino Linotype"/>
          <w:i w:val="1"/>
          <w:sz w:val="22"/>
          <w:szCs w:val="22"/>
          <w:rtl w:val="0"/>
        </w:rPr>
        <w:t xml:space="preserve"> Cualquier persona física o jurídico colectiva que reciba y ejerza recursos públicos en el ámbito estatal o municipal; y</w:t>
      </w:r>
    </w:p>
    <w:p w:rsidR="00000000" w:rsidDel="00000000" w:rsidP="00000000" w:rsidRDefault="00000000" w:rsidRPr="00000000" w14:paraId="0000005F">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Cualquier otra autoridad, entidad, órgano u organismo de los poderes estatal o municipal, que reciba recursos públicos.</w:t>
      </w:r>
    </w:p>
    <w:p w:rsidR="00000000" w:rsidDel="00000000" w:rsidP="00000000" w:rsidRDefault="00000000" w:rsidRPr="00000000" w14:paraId="00000060">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00000" w:rsidDel="00000000" w:rsidP="00000000" w:rsidRDefault="00000000" w:rsidRPr="00000000" w14:paraId="00000061">
      <w:pPr>
        <w:tabs>
          <w:tab w:val="left" w:leader="none" w:pos="7655"/>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servidores públicos deberán transparentar sus acciones, así como garantizar y respetar el derecho de acceso a la información pública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000000" w:rsidDel="00000000" w:rsidP="00000000" w:rsidRDefault="00000000" w:rsidRPr="00000000" w14:paraId="0000006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000000" w:rsidDel="00000000" w:rsidP="00000000" w:rsidRDefault="00000000" w:rsidRPr="00000000" w14:paraId="0000006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7">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rsidR="00000000" w:rsidDel="00000000" w:rsidP="00000000" w:rsidRDefault="00000000" w:rsidRPr="00000000" w14:paraId="00000068">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9">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000000" w:rsidDel="00000000" w:rsidP="00000000" w:rsidRDefault="00000000" w:rsidRPr="00000000" w14:paraId="0000006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000000" w:rsidDel="00000000" w:rsidP="00000000" w:rsidRDefault="00000000" w:rsidRPr="00000000" w14:paraId="0000006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D">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000000" w:rsidDel="00000000" w:rsidP="00000000" w:rsidRDefault="00000000" w:rsidRPr="00000000" w14:paraId="0000006E">
      <w:pPr>
        <w:widowControl w:val="0"/>
        <w:tabs>
          <w:tab w:val="left" w:leader="none" w:pos="127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rsidR="00000000" w:rsidDel="00000000" w:rsidP="00000000" w:rsidRDefault="00000000" w:rsidRPr="00000000" w14:paraId="0000007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sustento a lo anterior, el precepto legal en cita:</w:t>
      </w:r>
    </w:p>
    <w:p w:rsidR="00000000" w:rsidDel="00000000" w:rsidP="00000000" w:rsidRDefault="00000000" w:rsidRPr="00000000" w14:paraId="0000007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3">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163. La Unidad de Transparencia deberá notificar la respuesta a la solicitud al interesado en el menor tiempo posible, que no podrá exceder de quince días hábiles</w:t>
      </w:r>
      <w:r w:rsidDel="00000000" w:rsidR="00000000" w:rsidRPr="00000000">
        <w:rPr>
          <w:rFonts w:ascii="Palatino Linotype" w:cs="Palatino Linotype" w:eastAsia="Palatino Linotype" w:hAnsi="Palatino Linotype"/>
          <w:i w:val="1"/>
          <w:sz w:val="22"/>
          <w:szCs w:val="22"/>
          <w:rtl w:val="0"/>
        </w:rPr>
        <w:t xml:space="preserve">, contados a partir del día siguiente a la presentación de aquélla. </w:t>
      </w:r>
    </w:p>
    <w:p w:rsidR="00000000" w:rsidDel="00000000" w:rsidP="00000000" w:rsidRDefault="00000000" w:rsidRPr="00000000" w14:paraId="00000074">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000000" w:rsidDel="00000000" w:rsidP="00000000" w:rsidRDefault="00000000" w:rsidRPr="00000000" w14:paraId="00000075">
      <w:pPr>
        <w:spacing w:line="36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mérito de lo expuesto, es claro que en este caso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incumplió la normativa en la materia, puesto que no dio trámite ni respuesta a la solicitud de acceso a la información, limitando el derecho de acceso a la información, accionado por la persona solicitante.</w:t>
      </w:r>
    </w:p>
    <w:p w:rsidR="00000000" w:rsidDel="00000000" w:rsidP="00000000" w:rsidRDefault="00000000" w:rsidRPr="00000000" w14:paraId="0000007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rsidR="00000000" w:rsidDel="00000000" w:rsidP="00000000" w:rsidRDefault="00000000" w:rsidRPr="00000000" w14:paraId="0000007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Del="00000000" w:rsidR="00000000" w:rsidRPr="00000000">
        <w:rPr>
          <w:rFonts w:ascii="Palatino Linotype" w:cs="Palatino Linotype" w:eastAsia="Palatino Linotype" w:hAnsi="Palatino Linotype"/>
          <w:b w:val="1"/>
          <w:sz w:val="22"/>
          <w:szCs w:val="22"/>
          <w:rtl w:val="0"/>
        </w:rPr>
        <w:t xml:space="preserve">el Sujeto Obligado</w:t>
      </w:r>
      <w:r w:rsidDel="00000000" w:rsidR="00000000" w:rsidRPr="00000000">
        <w:rPr>
          <w:rFonts w:ascii="Palatino Linotype" w:cs="Palatino Linotype" w:eastAsia="Palatino Linotype" w:hAnsi="Palatino Linotype"/>
          <w:sz w:val="22"/>
          <w:szCs w:val="22"/>
          <w:rtl w:val="0"/>
        </w:rPr>
        <w:t xml:space="preserve">; por lo que, en caso de no atender de manera positiva</w:t>
      </w:r>
      <w:r w:rsidDel="00000000" w:rsidR="00000000" w:rsidRPr="00000000">
        <w:rPr>
          <w:rFonts w:ascii="Palatino Linotype" w:cs="Palatino Linotype" w:eastAsia="Palatino Linotype" w:hAnsi="Palatino Linotype"/>
          <w:sz w:val="22"/>
          <w:szCs w:val="22"/>
          <w:vertAlign w:val="superscript"/>
        </w:rPr>
        <w:footnoteReference w:customMarkFollows="0" w:id="1"/>
      </w:r>
      <w:r w:rsidDel="00000000" w:rsidR="00000000" w:rsidRPr="00000000">
        <w:rPr>
          <w:rFonts w:ascii="Palatino Linotype" w:cs="Palatino Linotype" w:eastAsia="Palatino Linotype" w:hAnsi="Palatino Linotype"/>
          <w:sz w:val="22"/>
          <w:szCs w:val="22"/>
          <w:rtl w:val="0"/>
        </w:rPr>
        <w:t xml:space="preserve">, el requerimiento de información deberá manifestarse al respecto.</w:t>
      </w:r>
    </w:p>
    <w:p w:rsidR="00000000" w:rsidDel="00000000" w:rsidP="00000000" w:rsidRDefault="00000000" w:rsidRPr="00000000" w14:paraId="0000007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De la clasificación de la información.</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rsidR="00000000" w:rsidDel="00000000" w:rsidP="00000000" w:rsidRDefault="00000000" w:rsidRPr="00000000" w14:paraId="0000007E">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F">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ésta sea clasificada como reservada o confidencial.”</w:t>
      </w:r>
    </w:p>
    <w:p w:rsidR="00000000" w:rsidDel="00000000" w:rsidP="00000000" w:rsidRDefault="00000000" w:rsidRPr="00000000" w14:paraId="00000080">
      <w:pPr>
        <w:spacing w:line="360" w:lineRule="auto"/>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rsidR="00000000" w:rsidDel="00000000" w:rsidP="00000000" w:rsidRDefault="00000000" w:rsidRPr="00000000" w14:paraId="0000008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manera que, la Ley de Transparencia y Acceso a la Información Pública del Estado de México y Municipios, en sus artículos 140 y 143 prevé los siguientes supuestos para clasificar la información como reservada o confidencial:</w:t>
      </w:r>
    </w:p>
    <w:p w:rsidR="00000000" w:rsidDel="00000000" w:rsidP="00000000" w:rsidRDefault="00000000" w:rsidRPr="00000000" w14:paraId="00000083">
      <w:pPr>
        <w:tabs>
          <w:tab w:val="left" w:leader="none" w:pos="567"/>
        </w:tabs>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4">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140.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por razones de interés público, ésta sea clasificada como reservada, conforme a los criterios siguientes:</w:t>
      </w:r>
    </w:p>
    <w:p w:rsidR="00000000" w:rsidDel="00000000" w:rsidP="00000000" w:rsidRDefault="00000000" w:rsidRPr="00000000" w14:paraId="00000085">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Comprometa la seguridad pública y cuente con un propósito genuino y un efecto demostrable;</w:t>
      </w:r>
    </w:p>
    <w:p w:rsidR="00000000" w:rsidDel="00000000" w:rsidP="00000000" w:rsidRDefault="00000000" w:rsidRPr="00000000" w14:paraId="00000086">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Pueda menoscabar la conducción de las negociaciones y relaciones internacionales;</w:t>
      </w:r>
    </w:p>
    <w:p w:rsidR="00000000" w:rsidDel="00000000" w:rsidP="00000000" w:rsidRDefault="00000000" w:rsidRPr="00000000" w14:paraId="00000087">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i w:val="1"/>
          <w:sz w:val="22"/>
          <w:szCs w:val="22"/>
          <w:rtl w:val="0"/>
        </w:rPr>
        <w:t xml:space="preserve">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000000" w:rsidDel="00000000" w:rsidP="00000000" w:rsidRDefault="00000000" w:rsidRPr="00000000" w14:paraId="00000088">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Ponga en riesgo la vida, la seguridad o la salud de una persona física;</w:t>
      </w:r>
    </w:p>
    <w:p w:rsidR="00000000" w:rsidDel="00000000" w:rsidP="00000000" w:rsidRDefault="00000000" w:rsidRPr="00000000" w14:paraId="00000089">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Aquella cuya divulgación obstruya o pueda causar un serio perjuicio a:</w:t>
      </w:r>
    </w:p>
    <w:p w:rsidR="00000000" w:rsidDel="00000000" w:rsidP="00000000" w:rsidRDefault="00000000" w:rsidRPr="00000000" w14:paraId="0000008A">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 </w:t>
      </w:r>
      <w:r w:rsidDel="00000000" w:rsidR="00000000" w:rsidRPr="00000000">
        <w:rPr>
          <w:rFonts w:ascii="Palatino Linotype" w:cs="Palatino Linotype" w:eastAsia="Palatino Linotype" w:hAnsi="Palatino Linotype"/>
          <w:i w:val="1"/>
          <w:sz w:val="22"/>
          <w:szCs w:val="22"/>
          <w:rtl w:val="0"/>
        </w:rPr>
        <w:t xml:space="preserve">Las actividades de fiscalización, verificación, inspección, comprobación y auditoría sobre el cumplimiento de las Leyes; o </w:t>
      </w:r>
    </w:p>
    <w:p w:rsidR="00000000" w:rsidDel="00000000" w:rsidP="00000000" w:rsidRDefault="00000000" w:rsidRPr="00000000" w14:paraId="0000008B">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w:t>
      </w:r>
      <w:r w:rsidDel="00000000" w:rsidR="00000000" w:rsidRPr="00000000">
        <w:rPr>
          <w:rFonts w:ascii="Palatino Linotype" w:cs="Palatino Linotype" w:eastAsia="Palatino Linotype" w:hAnsi="Palatino Linotype"/>
          <w:i w:val="1"/>
          <w:sz w:val="22"/>
          <w:szCs w:val="22"/>
          <w:rtl w:val="0"/>
        </w:rPr>
        <w:t xml:space="preserve">La recaudación de las contribuciones.</w:t>
      </w:r>
    </w:p>
    <w:p w:rsidR="00000000" w:rsidDel="00000000" w:rsidP="00000000" w:rsidRDefault="00000000" w:rsidRPr="00000000" w14:paraId="0000008C">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000000" w:rsidDel="00000000" w:rsidP="00000000" w:rsidRDefault="00000000" w:rsidRPr="00000000" w14:paraId="0000008D">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que contengan las opiniones, recomendaciones o puntos de vista que formen parte del proceso deliberativo de los servidores públicos, hasta en tanto sea adoptada la decisión definitiva, la cual deberá estar documentada;</w:t>
      </w:r>
    </w:p>
    <w:p w:rsidR="00000000" w:rsidDel="00000000" w:rsidP="00000000" w:rsidRDefault="00000000" w:rsidRPr="00000000" w14:paraId="0000008E">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Vulnere la conducción de los expedientes judiciales o de los procedimientos administrativos seguidos en forma de juicio, en tanto no hayan quedado firmes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8F">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w:t>
      </w:r>
      <w:r w:rsidDel="00000000" w:rsidR="00000000" w:rsidRPr="00000000">
        <w:rPr>
          <w:rFonts w:ascii="Palatino Linotype" w:cs="Palatino Linotype" w:eastAsia="Palatino Linotype" w:hAnsi="Palatino Linotype"/>
          <w:i w:val="1"/>
          <w:sz w:val="22"/>
          <w:szCs w:val="22"/>
          <w:rtl w:val="0"/>
        </w:rPr>
        <w:t xml:space="preserve">Se encuentre contenida dentro de las investigaciones de hechos que la Ley señale como delitos y se tramiten ante el Ministerio Público;</w:t>
      </w:r>
    </w:p>
    <w:p w:rsidR="00000000" w:rsidDel="00000000" w:rsidP="00000000" w:rsidRDefault="00000000" w:rsidRPr="00000000" w14:paraId="00000090">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w:t>
      </w:r>
      <w:r w:rsidDel="00000000" w:rsidR="00000000" w:rsidRPr="00000000">
        <w:rPr>
          <w:rFonts w:ascii="Palatino Linotype" w:cs="Palatino Linotype" w:eastAsia="Palatino Linotype" w:hAnsi="Palatino Linotype"/>
          <w:i w:val="1"/>
          <w:sz w:val="22"/>
          <w:szCs w:val="22"/>
          <w:rtl w:val="0"/>
        </w:rPr>
        <w:t xml:space="preserve">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000000" w:rsidDel="00000000" w:rsidP="00000000" w:rsidRDefault="00000000" w:rsidRPr="00000000" w14:paraId="00000091">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000000" w:rsidDel="00000000" w:rsidP="00000000" w:rsidRDefault="00000000" w:rsidRPr="00000000" w14:paraId="00000092">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w:t>
      </w:r>
      <w:r w:rsidDel="00000000" w:rsidR="00000000" w:rsidRPr="00000000">
        <w:rPr>
          <w:rFonts w:ascii="Palatino Linotype" w:cs="Palatino Linotype" w:eastAsia="Palatino Linotype" w:hAnsi="Palatino Linotype"/>
          <w:i w:val="1"/>
          <w:sz w:val="22"/>
          <w:szCs w:val="22"/>
          <w:rtl w:val="0"/>
        </w:rPr>
        <w:t xml:space="preserve">Las que por disposición expresa de una ley tengan tal carácter, siempre que sean acordes con las bases, principios y disposiciones establecidos en esta Ley y no la contravengan; así como las previstas en tratados internacionales.</w:t>
      </w:r>
    </w:p>
    <w:p w:rsidR="00000000" w:rsidDel="00000000" w:rsidP="00000000" w:rsidRDefault="00000000" w:rsidRPr="00000000" w14:paraId="00000093">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4">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 </w:t>
      </w:r>
      <w:r w:rsidDel="00000000" w:rsidR="00000000" w:rsidRPr="00000000">
        <w:rPr>
          <w:rFonts w:ascii="Palatino Linotype" w:cs="Palatino Linotype" w:eastAsia="Palatino Linotype" w:hAnsi="Palatino Linotype"/>
          <w:i w:val="1"/>
          <w:sz w:val="22"/>
          <w:szCs w:val="22"/>
          <w:rtl w:val="0"/>
        </w:rPr>
        <w:t xml:space="preserve">Para los efectos de esta Ley se considera información confidencial, la clasificada como tal, de manera permanente, por su naturaleza, cuando:</w:t>
      </w:r>
    </w:p>
    <w:p w:rsidR="00000000" w:rsidDel="00000000" w:rsidP="00000000" w:rsidRDefault="00000000" w:rsidRPr="00000000" w14:paraId="00000095">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Se refiera a la información privada y los datos personales concernientes a una persona física o jurídico colectiva identificada o identificable;</w:t>
      </w:r>
    </w:p>
    <w:p w:rsidR="00000000" w:rsidDel="00000000" w:rsidP="00000000" w:rsidRDefault="00000000" w:rsidRPr="00000000" w14:paraId="00000096">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97">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i w:val="1"/>
          <w:sz w:val="22"/>
          <w:szCs w:val="22"/>
          <w:rtl w:val="0"/>
        </w:rPr>
        <w:t xml:space="preserve">La que presenten los particulares a los sujetos obligados, de conformidad con lo dispuesto por las leyes o los tratados internacionales.</w:t>
      </w:r>
    </w:p>
    <w:p w:rsidR="00000000" w:rsidDel="00000000" w:rsidP="00000000" w:rsidRDefault="00000000" w:rsidRPr="00000000" w14:paraId="00000098">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99">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09A">
      <w:pPr>
        <w:tabs>
          <w:tab w:val="left" w:leader="none" w:pos="567"/>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000000" w:rsidDel="00000000" w:rsidP="00000000" w:rsidRDefault="00000000" w:rsidRPr="00000000" w14:paraId="0000009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D">
      <w:pPr>
        <w:numPr>
          <w:ilvl w:val="0"/>
          <w:numId w:val="2"/>
        </w:num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reciba una solicitud de acceso a la información;</w:t>
      </w:r>
    </w:p>
    <w:p w:rsidR="00000000" w:rsidDel="00000000" w:rsidP="00000000" w:rsidRDefault="00000000" w:rsidRPr="00000000" w14:paraId="0000009E">
      <w:pPr>
        <w:numPr>
          <w:ilvl w:val="0"/>
          <w:numId w:val="2"/>
        </w:num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determine mediante resolución de autoridad competente; y/o</w:t>
      </w:r>
    </w:p>
    <w:p w:rsidR="00000000" w:rsidDel="00000000" w:rsidP="00000000" w:rsidRDefault="00000000" w:rsidRPr="00000000" w14:paraId="0000009F">
      <w:pPr>
        <w:numPr>
          <w:ilvl w:val="0"/>
          <w:numId w:val="2"/>
        </w:num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generen versiones públicas para dar cumplimiento a las obligaciones de transparencia previstas en la Ley.</w:t>
      </w:r>
    </w:p>
    <w:p w:rsidR="00000000" w:rsidDel="00000000" w:rsidP="00000000" w:rsidRDefault="00000000" w:rsidRPr="00000000" w14:paraId="000000A0">
      <w:pPr>
        <w:tabs>
          <w:tab w:val="left" w:leader="none" w:pos="851"/>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1">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es de precisar que la clasificación de la información no se da por el simple mandato de la Ley, sino que es necesario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Del="00000000" w:rsidR="00000000" w:rsidRPr="00000000">
        <w:rPr>
          <w:rFonts w:ascii="Palatino Linotype" w:cs="Palatino Linotype" w:eastAsia="Palatino Linotype" w:hAnsi="Palatino Linotype"/>
          <w:sz w:val="22"/>
          <w:szCs w:val="22"/>
          <w:vertAlign w:val="superscript"/>
        </w:rPr>
        <w:footnoteReference w:customMarkFollows="0" w:id="2"/>
      </w:r>
      <w:r w:rsidDel="00000000" w:rsidR="00000000" w:rsidRPr="00000000">
        <w:rPr>
          <w:rFonts w:ascii="Palatino Linotype" w:cs="Palatino Linotype" w:eastAsia="Palatino Linotype" w:hAnsi="Palatino Linotype"/>
          <w:sz w:val="22"/>
          <w:szCs w:val="22"/>
          <w:rtl w:val="0"/>
        </w:rPr>
        <w:t xml:space="preserve">, 53 fracción X</w:t>
      </w:r>
      <w:r w:rsidDel="00000000" w:rsidR="00000000" w:rsidRPr="00000000">
        <w:rPr>
          <w:rFonts w:ascii="Palatino Linotype" w:cs="Palatino Linotype" w:eastAsia="Palatino Linotype" w:hAnsi="Palatino Linotype"/>
          <w:sz w:val="22"/>
          <w:szCs w:val="22"/>
          <w:vertAlign w:val="superscript"/>
        </w:rPr>
        <w:footnoteReference w:customMarkFollows="0" w:id="3"/>
      </w:r>
      <w:r w:rsidDel="00000000" w:rsidR="00000000" w:rsidRPr="00000000">
        <w:rPr>
          <w:rFonts w:ascii="Palatino Linotype" w:cs="Palatino Linotype" w:eastAsia="Palatino Linotype" w:hAnsi="Palatino Linotype"/>
          <w:sz w:val="22"/>
          <w:szCs w:val="22"/>
          <w:rtl w:val="0"/>
        </w:rPr>
        <w:t xml:space="preserve">, y 49 fracciones II y VIII</w:t>
      </w:r>
      <w:r w:rsidDel="00000000" w:rsidR="00000000" w:rsidRPr="00000000">
        <w:rPr>
          <w:rFonts w:ascii="Palatino Linotype" w:cs="Palatino Linotype" w:eastAsia="Palatino Linotype" w:hAnsi="Palatino Linotype"/>
          <w:sz w:val="22"/>
          <w:szCs w:val="22"/>
          <w:vertAlign w:val="superscript"/>
        </w:rPr>
        <w:footnoteReference w:customMarkFollows="0" w:id="4"/>
      </w:r>
      <w:r w:rsidDel="00000000" w:rsidR="00000000" w:rsidRPr="00000000">
        <w:rPr>
          <w:rFonts w:ascii="Palatino Linotype" w:cs="Palatino Linotype" w:eastAsia="Palatino Linotype" w:hAnsi="Palatino Linotype"/>
          <w:sz w:val="22"/>
          <w:szCs w:val="22"/>
          <w:rtl w:val="0"/>
        </w:rPr>
        <w:t xml:space="preserve"> de la Ley de Transparencia y Acceso a la Información Pública del Estado de México y Municipios.</w:t>
      </w:r>
    </w:p>
    <w:p w:rsidR="00000000" w:rsidDel="00000000" w:rsidP="00000000" w:rsidRDefault="00000000" w:rsidRPr="00000000" w14:paraId="000000A2">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tales consideraciones, este Organismo Garante no omite señalar que, si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advierte que la información solicitada contiene </w:t>
      </w:r>
      <w:r w:rsidDel="00000000" w:rsidR="00000000" w:rsidRPr="00000000">
        <w:rPr>
          <w:rFonts w:ascii="Palatino Linotype" w:cs="Palatino Linotype" w:eastAsia="Palatino Linotype" w:hAnsi="Palatino Linotype"/>
          <w:b w:val="1"/>
          <w:sz w:val="22"/>
          <w:szCs w:val="22"/>
          <w:rtl w:val="0"/>
        </w:rPr>
        <w:t xml:space="preserve">datos personales</w:t>
      </w:r>
      <w:r w:rsidDel="00000000" w:rsidR="00000000" w:rsidRPr="00000000">
        <w:rPr>
          <w:rFonts w:ascii="Palatino Linotype" w:cs="Palatino Linotype" w:eastAsia="Palatino Linotype" w:hAnsi="Palatino Linotype"/>
          <w:sz w:val="22"/>
          <w:szCs w:val="22"/>
          <w:rtl w:val="0"/>
        </w:rPr>
        <w:t xml:space="preserve"> que sean susceptibles de ser </w:t>
      </w:r>
      <w:r w:rsidDel="00000000" w:rsidR="00000000" w:rsidRPr="00000000">
        <w:rPr>
          <w:rFonts w:ascii="Palatino Linotype" w:cs="Palatino Linotype" w:eastAsia="Palatino Linotype" w:hAnsi="Palatino Linotype"/>
          <w:b w:val="1"/>
          <w:sz w:val="22"/>
          <w:szCs w:val="22"/>
          <w:rtl w:val="0"/>
        </w:rPr>
        <w:t xml:space="preserve">clasificados como confidenciales, </w:t>
      </w:r>
      <w:r w:rsidDel="00000000" w:rsidR="00000000" w:rsidRPr="00000000">
        <w:rPr>
          <w:rFonts w:ascii="Palatino Linotype" w:cs="Palatino Linotype" w:eastAsia="Palatino Linotype" w:hAnsi="Palatino Linotype"/>
          <w:sz w:val="22"/>
          <w:szCs w:val="22"/>
          <w:rtl w:val="0"/>
        </w:rPr>
        <w:t xml:space="preserve">o, si por otro lado</w:t>
      </w:r>
      <w:r w:rsidDel="00000000" w:rsidR="00000000" w:rsidRPr="00000000">
        <w:rPr>
          <w:rFonts w:ascii="Palatino Linotype" w:cs="Palatino Linotype" w:eastAsia="Palatino Linotype" w:hAnsi="Palatino Linotype"/>
          <w:b w:val="1"/>
          <w:sz w:val="22"/>
          <w:szCs w:val="22"/>
          <w:rtl w:val="0"/>
        </w:rPr>
        <w:t xml:space="preserve">, por su propia y especial naturaleza,</w:t>
      </w:r>
      <w:r w:rsidDel="00000000" w:rsidR="00000000" w:rsidRPr="00000000">
        <w:rPr>
          <w:rFonts w:ascii="Palatino Linotype" w:cs="Palatino Linotype" w:eastAsia="Palatino Linotype" w:hAnsi="Palatino Linotype"/>
          <w:sz w:val="22"/>
          <w:szCs w:val="22"/>
          <w:rtl w:val="0"/>
        </w:rPr>
        <w:t xml:space="preserve"> encuadra en alguno de los </w:t>
      </w:r>
      <w:r w:rsidDel="00000000" w:rsidR="00000000" w:rsidRPr="00000000">
        <w:rPr>
          <w:rFonts w:ascii="Palatino Linotype" w:cs="Palatino Linotype" w:eastAsia="Palatino Linotype" w:hAnsi="Palatino Linotype"/>
          <w:b w:val="1"/>
          <w:sz w:val="22"/>
          <w:szCs w:val="22"/>
          <w:rtl w:val="0"/>
        </w:rPr>
        <w:t xml:space="preserve">supuestos de reserva o de confidencialidad en su totalidad</w:t>
      </w:r>
      <w:r w:rsidDel="00000000" w:rsidR="00000000" w:rsidRPr="00000000">
        <w:rPr>
          <w:rFonts w:ascii="Palatino Linotype" w:cs="Palatino Linotype" w:eastAsia="Palatino Linotype" w:hAnsi="Palatino Linotype"/>
          <w:sz w:val="22"/>
          <w:szCs w:val="22"/>
          <w:rtl w:val="0"/>
        </w:rPr>
        <w:t xml:space="preserve">, deberá emitir, un</w:t>
      </w:r>
      <w:r w:rsidDel="00000000" w:rsidR="00000000" w:rsidRPr="00000000">
        <w:rPr>
          <w:rFonts w:ascii="Palatino Linotype" w:cs="Palatino Linotype" w:eastAsia="Palatino Linotype" w:hAnsi="Palatino Linotype"/>
          <w:b w:val="1"/>
          <w:sz w:val="22"/>
          <w:szCs w:val="22"/>
          <w:rtl w:val="0"/>
        </w:rPr>
        <w:t xml:space="preserve"> Acuerdo de Clasificación </w:t>
      </w:r>
      <w:r w:rsidDel="00000000" w:rsidR="00000000" w:rsidRPr="00000000">
        <w:rPr>
          <w:rFonts w:ascii="Palatino Linotype" w:cs="Palatino Linotype" w:eastAsia="Palatino Linotype" w:hAnsi="Palatino Linotype"/>
          <w:sz w:val="22"/>
          <w:szCs w:val="22"/>
          <w:rtl w:val="0"/>
        </w:rPr>
        <w:t xml:space="preserve">debidamente fundado y motivado que</w:t>
      </w:r>
      <w:r w:rsidDel="00000000" w:rsidR="00000000" w:rsidRPr="00000000">
        <w:rPr>
          <w:rFonts w:ascii="Palatino Linotype" w:cs="Palatino Linotype" w:eastAsia="Palatino Linotype" w:hAnsi="Palatino Linotype"/>
          <w:b w:val="1"/>
          <w:sz w:val="22"/>
          <w:szCs w:val="22"/>
          <w:rtl w:val="0"/>
        </w:rPr>
        <w:t xml:space="preserve"> sustente la clasificación parcial, a través de la versión pública que emita,</w:t>
      </w:r>
      <w:r w:rsidDel="00000000" w:rsidR="00000000" w:rsidRPr="00000000">
        <w:rPr>
          <w:rFonts w:ascii="Palatino Linotype" w:cs="Palatino Linotype" w:eastAsia="Palatino Linotype" w:hAnsi="Palatino Linotype"/>
          <w:sz w:val="22"/>
          <w:szCs w:val="22"/>
          <w:rtl w:val="0"/>
        </w:rPr>
        <w:t xml:space="preserve"> o bien, la restricción total del derecho de acceso a la información.  </w:t>
      </w:r>
    </w:p>
    <w:p w:rsidR="00000000" w:rsidDel="00000000" w:rsidP="00000000" w:rsidRDefault="00000000" w:rsidRPr="00000000" w14:paraId="000000A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De la clasificación parcial de la información.</w:t>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rsidR="00000000" w:rsidDel="00000000" w:rsidP="00000000" w:rsidRDefault="00000000" w:rsidRPr="00000000" w14:paraId="000000A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51"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De la clasificación de información como reservada.</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360" w:lineRule="auto"/>
        <w:ind w:left="720" w:right="51"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AB">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la reserva y ampliación del plazo de reserva de la información, para motivar la clasificación se deberán de señalar las razones, motivos o circunstancias especiales que llevaron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rsidR="00000000" w:rsidDel="00000000" w:rsidP="00000000" w:rsidRDefault="00000000" w:rsidRPr="00000000" w14:paraId="000000AC">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rsidR="00000000" w:rsidDel="00000000" w:rsidP="00000000" w:rsidRDefault="00000000" w:rsidRPr="00000000" w14:paraId="000000A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F">
      <w:pPr>
        <w:numPr>
          <w:ilvl w:val="0"/>
          <w:numId w:val="1"/>
        </w:numPr>
        <w:tabs>
          <w:tab w:val="left" w:leader="none" w:pos="851"/>
        </w:tabs>
        <w:spacing w:line="360" w:lineRule="auto"/>
        <w:ind w:left="567" w:firstLine="1.000000000000014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divulgación de la información representa un </w:t>
      </w:r>
      <w:r w:rsidDel="00000000" w:rsidR="00000000" w:rsidRPr="00000000">
        <w:rPr>
          <w:rFonts w:ascii="Palatino Linotype" w:cs="Palatino Linotype" w:eastAsia="Palatino Linotype" w:hAnsi="Palatino Linotype"/>
          <w:b w:val="1"/>
          <w:sz w:val="22"/>
          <w:szCs w:val="22"/>
          <w:rtl w:val="0"/>
        </w:rPr>
        <w:t xml:space="preserve">riesgo real, demostrable e identificable del perjuicio significativo al interés público o a la seguridad pública</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B0">
      <w:pPr>
        <w:numPr>
          <w:ilvl w:val="0"/>
          <w:numId w:val="1"/>
        </w:numPr>
        <w:tabs>
          <w:tab w:val="left" w:leader="none" w:pos="851"/>
        </w:tabs>
        <w:spacing w:line="360" w:lineRule="auto"/>
        <w:ind w:left="567" w:firstLine="1.000000000000014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riesgo de perjuicio que supondría la divulgación supera el interés público general de que se difunda; y,</w:t>
      </w:r>
    </w:p>
    <w:p w:rsidR="00000000" w:rsidDel="00000000" w:rsidP="00000000" w:rsidRDefault="00000000" w:rsidRPr="00000000" w14:paraId="000000B1">
      <w:pPr>
        <w:numPr>
          <w:ilvl w:val="0"/>
          <w:numId w:val="1"/>
        </w:numPr>
        <w:tabs>
          <w:tab w:val="left" w:leader="none" w:pos="851"/>
        </w:tabs>
        <w:spacing w:line="360" w:lineRule="auto"/>
        <w:ind w:left="567" w:firstLine="1.000000000000014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limitación se adecua al principio de proporcionalidad y representa el medio menos restrictivo disponible para evitar el perjuicio. </w:t>
      </w:r>
    </w:p>
    <w:p w:rsidR="00000000" w:rsidDel="00000000" w:rsidP="00000000" w:rsidRDefault="00000000" w:rsidRPr="00000000" w14:paraId="000000B2">
      <w:pPr>
        <w:tabs>
          <w:tab w:val="left" w:leader="none" w:pos="851"/>
        </w:tabs>
        <w:spacing w:line="360" w:lineRule="auto"/>
        <w:ind w:left="568"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pertinente aclarar que, la información que se clasifica bajo la premisa de reservada, </w:t>
      </w:r>
      <w:r w:rsidDel="00000000" w:rsidR="00000000" w:rsidRPr="00000000">
        <w:rPr>
          <w:rFonts w:ascii="Palatino Linotype" w:cs="Palatino Linotype" w:eastAsia="Palatino Linotype" w:hAnsi="Palatino Linotype"/>
          <w:b w:val="1"/>
          <w:sz w:val="22"/>
          <w:szCs w:val="22"/>
          <w:rtl w:val="0"/>
        </w:rPr>
        <w:t xml:space="preserve">no pierde el carácter de pública</w:t>
      </w:r>
      <w:r w:rsidDel="00000000" w:rsidR="00000000" w:rsidRPr="00000000">
        <w:rPr>
          <w:rFonts w:ascii="Palatino Linotype" w:cs="Palatino Linotype" w:eastAsia="Palatino Linotype" w:hAnsi="Palatino Linotype"/>
          <w:sz w:val="22"/>
          <w:szCs w:val="22"/>
          <w:rtl w:val="0"/>
        </w:rPr>
        <w:t xml:space="preserve">, sino que </w:t>
      </w:r>
      <w:r w:rsidDel="00000000" w:rsidR="00000000" w:rsidRPr="00000000">
        <w:rPr>
          <w:rFonts w:ascii="Palatino Linotype" w:cs="Palatino Linotype" w:eastAsia="Palatino Linotype" w:hAnsi="Palatino Linotype"/>
          <w:b w:val="1"/>
          <w:sz w:val="22"/>
          <w:szCs w:val="22"/>
          <w:rtl w:val="0"/>
        </w:rPr>
        <w:t xml:space="preserve">se reserva temporalmente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del conocimiento público</w:t>
      </w:r>
      <w:r w:rsidDel="00000000" w:rsidR="00000000" w:rsidRPr="00000000">
        <w:rPr>
          <w:rFonts w:ascii="Palatino Linotype" w:cs="Palatino Linotype" w:eastAsia="Palatino Linotype" w:hAnsi="Palatino Linotype"/>
          <w:sz w:val="22"/>
          <w:szCs w:val="22"/>
          <w:rtl w:val="0"/>
        </w:rPr>
        <w:t xml:space="preserve">, es decir, que, </w:t>
      </w:r>
      <w:r w:rsidDel="00000000" w:rsidR="00000000" w:rsidRPr="00000000">
        <w:rPr>
          <w:rFonts w:ascii="Palatino Linotype" w:cs="Palatino Linotype" w:eastAsia="Palatino Linotype" w:hAnsi="Palatino Linotype"/>
          <w:b w:val="1"/>
          <w:sz w:val="22"/>
          <w:szCs w:val="22"/>
          <w:rtl w:val="0"/>
        </w:rPr>
        <w:t xml:space="preserve">por un tiempo determinado</w:t>
      </w:r>
      <w:r w:rsidDel="00000000" w:rsidR="00000000" w:rsidRPr="00000000">
        <w:rPr>
          <w:rFonts w:ascii="Palatino Linotype" w:cs="Palatino Linotype" w:eastAsia="Palatino Linotype" w:hAnsi="Palatino Linotype"/>
          <w:sz w:val="22"/>
          <w:szCs w:val="22"/>
          <w:rtl w:val="0"/>
        </w:rPr>
        <w:t xml:space="preserve">, se conservará y custodiará la información de manera especial, y una vez transcurrido el plazo de reserva, el documento podrá divulgarse.</w:t>
      </w:r>
    </w:p>
    <w:p w:rsidR="00000000" w:rsidDel="00000000" w:rsidP="00000000" w:rsidRDefault="00000000" w:rsidRPr="00000000" w14:paraId="000000B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rsidR="00000000" w:rsidDel="00000000" w:rsidP="00000000" w:rsidRDefault="00000000" w:rsidRPr="00000000" w14:paraId="000000B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09"/>
        </w:tabs>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De la clasificación de la información como totalmente confidencial.</w:t>
      </w:r>
    </w:p>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left" w:leader="none" w:pos="709"/>
        </w:tabs>
        <w:spacing w:line="360" w:lineRule="auto"/>
        <w:ind w:left="720"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B9">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rsidR="00000000" w:rsidDel="00000000" w:rsidP="00000000" w:rsidRDefault="00000000" w:rsidRPr="00000000" w14:paraId="000000BA">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B">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sz w:val="22"/>
          <w:szCs w:val="22"/>
          <w:vertAlign w:val="superscript"/>
        </w:rPr>
        <w:footnoteReference w:customMarkFollows="0" w:id="5"/>
      </w:r>
      <w:r w:rsidDel="00000000" w:rsidR="00000000" w:rsidRPr="00000000">
        <w:rPr>
          <w:rFonts w:ascii="Palatino Linotype" w:cs="Palatino Linotype" w:eastAsia="Palatino Linotype" w:hAnsi="Palatino Linotype"/>
          <w:sz w:val="22"/>
          <w:szCs w:val="22"/>
          <w:rtl w:val="0"/>
        </w:rPr>
        <w:t xml:space="preserve">,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000000" w:rsidDel="00000000" w:rsidP="00000000" w:rsidRDefault="00000000" w:rsidRPr="00000000" w14:paraId="000000BC">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51"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De la declaratoria de inexistencia de la información</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E">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estima prudente señalar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en caso de que la información solicitada, debiera obrar en sus archivos y no cuente con ella, deberá entregar el Acuerdo del Comité de Transparencia, en donde conste la declaratoria de inexistencia de la misma.</w:t>
      </w:r>
    </w:p>
    <w:p w:rsidR="00000000" w:rsidDel="00000000" w:rsidP="00000000" w:rsidRDefault="00000000" w:rsidRPr="00000000" w14:paraId="000000C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000000" w:rsidDel="00000000" w:rsidP="00000000" w:rsidRDefault="00000000" w:rsidRPr="00000000" w14:paraId="000000C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rsidR="00000000" w:rsidDel="00000000" w:rsidP="00000000" w:rsidRDefault="00000000" w:rsidRPr="00000000" w14:paraId="000000C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Resulta aplicable el criterio de interpretación en el orden administrativo número 0008-19 emitido por Acuerdo del Pleno del Instituto de Transparencia y Acceso a la Información Pública del Estado de México y Municipios, que a la letra dice:</w:t>
      </w:r>
    </w:p>
    <w:p w:rsidR="00000000" w:rsidDel="00000000" w:rsidP="00000000" w:rsidRDefault="00000000" w:rsidRPr="00000000" w14:paraId="000000C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7">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“INEXISTENCIA DE LA INFORMACIÓN. SUPUESTOS PARA EMITIR LA RESOLUCIÓN DE LA. </w:t>
      </w:r>
      <w:r w:rsidDel="00000000" w:rsidR="00000000" w:rsidRPr="00000000">
        <w:rPr>
          <w:rFonts w:ascii="Palatino Linotype" w:cs="Palatino Linotype" w:eastAsia="Palatino Linotype" w:hAnsi="Palatino Linotype"/>
          <w:i w:val="1"/>
          <w:sz w:val="22"/>
          <w:szCs w:val="22"/>
          <w:rtl w:val="0"/>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rsidR="00000000" w:rsidDel="00000000" w:rsidP="00000000" w:rsidRDefault="00000000" w:rsidRPr="00000000" w14:paraId="000000C8">
      <w:pPr>
        <w:spacing w:line="36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mérito de todo lo expuesto, ante lo </w:t>
      </w:r>
      <w:r w:rsidDel="00000000" w:rsidR="00000000" w:rsidRPr="00000000">
        <w:rPr>
          <w:rFonts w:ascii="Palatino Linotype" w:cs="Palatino Linotype" w:eastAsia="Palatino Linotype" w:hAnsi="Palatino Linotype"/>
          <w:b w:val="1"/>
          <w:sz w:val="22"/>
          <w:szCs w:val="22"/>
          <w:rtl w:val="0"/>
        </w:rPr>
        <w:t xml:space="preserve">FUNDADO</w:t>
      </w:r>
      <w:r w:rsidDel="00000000" w:rsidR="00000000" w:rsidRPr="00000000">
        <w:rPr>
          <w:rFonts w:ascii="Palatino Linotype" w:cs="Palatino Linotype" w:eastAsia="Palatino Linotype" w:hAnsi="Palatino Linotype"/>
          <w:sz w:val="22"/>
          <w:szCs w:val="22"/>
          <w:rtl w:val="0"/>
        </w:rPr>
        <w:t xml:space="preserve"> de las razones o motivos de inconformidad hechos valer por la parte Recurrente, este Instituto estima que lo dable es </w:t>
      </w:r>
      <w:r w:rsidDel="00000000" w:rsidR="00000000" w:rsidRPr="00000000">
        <w:rPr>
          <w:rFonts w:ascii="Palatino Linotype" w:cs="Palatino Linotype" w:eastAsia="Palatino Linotype" w:hAnsi="Palatino Linotype"/>
          <w:b w:val="1"/>
          <w:sz w:val="22"/>
          <w:szCs w:val="22"/>
          <w:rtl w:val="0"/>
        </w:rPr>
        <w:t xml:space="preserve">ORDENAR</w:t>
      </w:r>
      <w:r w:rsidDel="00000000" w:rsidR="00000000" w:rsidRPr="00000000">
        <w:rPr>
          <w:rFonts w:ascii="Palatino Linotype" w:cs="Palatino Linotype" w:eastAsia="Palatino Linotype" w:hAnsi="Palatino Linotype"/>
          <w:sz w:val="22"/>
          <w:szCs w:val="22"/>
          <w:rtl w:val="0"/>
        </w:rPr>
        <w:t xml:space="preserve">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dé respuesta a la solicitud de acceso a la información, atendiendo lo señalado en el presente Considerando.</w:t>
      </w:r>
    </w:p>
    <w:p w:rsidR="00000000" w:rsidDel="00000000" w:rsidP="00000000" w:rsidRDefault="00000000" w:rsidRPr="00000000" w14:paraId="000000C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es de señalar que, como ya se mencionó el</w:t>
      </w:r>
      <w:r w:rsidDel="00000000" w:rsidR="00000000" w:rsidRPr="00000000">
        <w:rPr>
          <w:rFonts w:ascii="Palatino Linotype" w:cs="Palatino Linotype" w:eastAsia="Palatino Linotype" w:hAnsi="Palatino Linotype"/>
          <w:b w:val="1"/>
          <w:sz w:val="22"/>
          <w:szCs w:val="22"/>
          <w:rtl w:val="0"/>
        </w:rPr>
        <w:t xml:space="preserve"> Sujeto Obligado</w:t>
      </w:r>
      <w:r w:rsidDel="00000000" w:rsidR="00000000" w:rsidRPr="00000000">
        <w:rPr>
          <w:rFonts w:ascii="Palatino Linotype" w:cs="Palatino Linotype" w:eastAsia="Palatino Linotype" w:hAnsi="Palatino Linotype"/>
          <w:sz w:val="22"/>
          <w:szCs w:val="22"/>
          <w:rtl w:val="0"/>
        </w:rPr>
        <w:t xml:space="preserve">, omitió proporcionar la respuesta a la solicitud de acceso a la información pública, en el término contemplado en el ya citado artículo 163 de la Ley de la materia, razón por la que se ordena dar vista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rsidR="00000000" w:rsidDel="00000000" w:rsidP="00000000" w:rsidRDefault="00000000" w:rsidRPr="00000000" w14:paraId="000000C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III. R E S U E L V E</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D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sz w:val="22"/>
          <w:szCs w:val="22"/>
          <w:rtl w:val="0"/>
        </w:rPr>
        <w:t xml:space="preserve">FUNDADOS</w:t>
      </w:r>
      <w:r w:rsidDel="00000000" w:rsidR="00000000" w:rsidRPr="00000000">
        <w:rPr>
          <w:rFonts w:ascii="Palatino Linotype" w:cs="Palatino Linotype" w:eastAsia="Palatino Linotype" w:hAnsi="Palatino Linotype"/>
          <w:sz w:val="22"/>
          <w:szCs w:val="22"/>
          <w:rtl w:val="0"/>
        </w:rPr>
        <w:t xml:space="preserve"> los motivos de inconformidad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términos del </w:t>
      </w:r>
      <w:r w:rsidDel="00000000" w:rsidR="00000000" w:rsidRPr="00000000">
        <w:rPr>
          <w:rFonts w:ascii="Palatino Linotype" w:cs="Palatino Linotype" w:eastAsia="Palatino Linotype" w:hAnsi="Palatino Linotype"/>
          <w:b w:val="1"/>
          <w:sz w:val="22"/>
          <w:szCs w:val="22"/>
          <w:rtl w:val="0"/>
        </w:rPr>
        <w:t xml:space="preserve">Considerando Cuarto</w:t>
      </w:r>
      <w:r w:rsidDel="00000000" w:rsidR="00000000" w:rsidRPr="00000000">
        <w:rPr>
          <w:rFonts w:ascii="Palatino Linotype" w:cs="Palatino Linotype" w:eastAsia="Palatino Linotype" w:hAnsi="Palatino Linotype"/>
          <w:sz w:val="22"/>
          <w:szCs w:val="22"/>
          <w:rtl w:val="0"/>
        </w:rPr>
        <w:t xml:space="preserve"> de la presente resolución.</w:t>
      </w:r>
    </w:p>
    <w:p w:rsidR="00000000" w:rsidDel="00000000" w:rsidP="00000000" w:rsidRDefault="00000000" w:rsidRPr="00000000" w14:paraId="000000D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3">
      <w:pPr>
        <w:spacing w:line="360" w:lineRule="auto"/>
        <w:jc w:val="both"/>
        <w:rPr>
          <w:rFonts w:ascii="Palatino Linotype" w:cs="Palatino Linotype" w:eastAsia="Palatino Linotype" w:hAnsi="Palatino Linotype"/>
          <w:sz w:val="22"/>
          <w:szCs w:val="22"/>
        </w:rPr>
      </w:pPr>
      <w:bookmarkStart w:colFirst="0" w:colLast="0" w:name="_heading=h.3dy6vkm" w:id="1"/>
      <w:bookmarkEnd w:id="1"/>
      <w:r w:rsidDel="00000000" w:rsidR="00000000" w:rsidRPr="00000000">
        <w:rPr>
          <w:rFonts w:ascii="Palatino Linotype" w:cs="Palatino Linotype" w:eastAsia="Palatino Linotype" w:hAnsi="Palatino Linotype"/>
          <w:b w:val="1"/>
          <w:sz w:val="22"/>
          <w:szCs w:val="22"/>
          <w:rtl w:val="0"/>
        </w:rPr>
        <w:t xml:space="preserve">Segundo.</w:t>
      </w:r>
      <w:r w:rsidDel="00000000" w:rsidR="00000000" w:rsidRPr="00000000">
        <w:rPr>
          <w:rFonts w:ascii="Palatino Linotype" w:cs="Palatino Linotype" w:eastAsia="Palatino Linotype" w:hAnsi="Palatino Linotype"/>
          <w:sz w:val="22"/>
          <w:szCs w:val="22"/>
          <w:rtl w:val="0"/>
        </w:rPr>
        <w:t xml:space="preserve"> Se</w:t>
      </w:r>
      <w:r w:rsidDel="00000000" w:rsidR="00000000" w:rsidRPr="00000000">
        <w:rPr>
          <w:rFonts w:ascii="Palatino Linotype" w:cs="Palatino Linotype" w:eastAsia="Palatino Linotype" w:hAnsi="Palatino Linotype"/>
          <w:b w:val="1"/>
          <w:sz w:val="22"/>
          <w:szCs w:val="22"/>
          <w:rtl w:val="0"/>
        </w:rPr>
        <w:t xml:space="preserve"> Ordena </w:t>
      </w:r>
      <w:r w:rsidDel="00000000" w:rsidR="00000000" w:rsidRPr="00000000">
        <w:rPr>
          <w:rFonts w:ascii="Palatino Linotype" w:cs="Palatino Linotype" w:eastAsia="Palatino Linotype" w:hAnsi="Palatino Linotype"/>
          <w:sz w:val="22"/>
          <w:szCs w:val="22"/>
          <w:rtl w:val="0"/>
        </w:rPr>
        <w:t xml:space="preserve">al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dé trámite, vía </w:t>
      </w:r>
      <w:r w:rsidDel="00000000" w:rsidR="00000000" w:rsidRPr="00000000">
        <w:rPr>
          <w:rFonts w:ascii="Palatino Linotype" w:cs="Palatino Linotype" w:eastAsia="Palatino Linotype" w:hAnsi="Palatino Linotype"/>
          <w:b w:val="1"/>
          <w:sz w:val="22"/>
          <w:szCs w:val="22"/>
          <w:rtl w:val="0"/>
        </w:rPr>
        <w:t xml:space="preserve">Sistema de Acceso a la Información Mexiquense </w:t>
      </w:r>
      <w:r w:rsidDel="00000000" w:rsidR="00000000" w:rsidRPr="00000000">
        <w:rPr>
          <w:rFonts w:ascii="Palatino Linotype" w:cs="Palatino Linotype" w:eastAsia="Palatino Linotype" w:hAnsi="Palatino Linotype"/>
          <w:sz w:val="22"/>
          <w:szCs w:val="22"/>
          <w:rtl w:val="0"/>
        </w:rPr>
        <w:t xml:space="preserve">a la solicitud de acceso a la información pública </w:t>
      </w:r>
      <w:r w:rsidDel="00000000" w:rsidR="00000000" w:rsidRPr="00000000">
        <w:rPr>
          <w:rFonts w:ascii="Palatino Linotype" w:cs="Palatino Linotype" w:eastAsia="Palatino Linotype" w:hAnsi="Palatino Linotype"/>
          <w:b w:val="1"/>
          <w:sz w:val="22"/>
          <w:szCs w:val="22"/>
          <w:rtl w:val="0"/>
        </w:rPr>
        <w:t xml:space="preserve">00012/DIFXONACATLAN/IP/2025 </w:t>
      </w:r>
      <w:r w:rsidDel="00000000" w:rsidR="00000000" w:rsidRPr="00000000">
        <w:rPr>
          <w:rFonts w:ascii="Palatino Linotype" w:cs="Palatino Linotype" w:eastAsia="Palatino Linotype" w:hAnsi="Palatino Linotype"/>
          <w:sz w:val="22"/>
          <w:szCs w:val="22"/>
          <w:rtl w:val="0"/>
        </w:rPr>
        <w:t xml:space="preserve">que dio origen al recurso de revisión </w:t>
      </w:r>
      <w:r w:rsidDel="00000000" w:rsidR="00000000" w:rsidRPr="00000000">
        <w:rPr>
          <w:rFonts w:ascii="Palatino Linotype" w:cs="Palatino Linotype" w:eastAsia="Palatino Linotype" w:hAnsi="Palatino Linotype"/>
          <w:b w:val="1"/>
          <w:sz w:val="22"/>
          <w:szCs w:val="22"/>
          <w:rtl w:val="0"/>
        </w:rPr>
        <w:t xml:space="preserve">05064/INFOEM/IP/RR/2025 </w:t>
      </w:r>
      <w:r w:rsidDel="00000000" w:rsidR="00000000" w:rsidRPr="00000000">
        <w:rPr>
          <w:rFonts w:ascii="Palatino Linotype" w:cs="Palatino Linotype" w:eastAsia="Palatino Linotype" w:hAnsi="Palatino Linotype"/>
          <w:sz w:val="22"/>
          <w:szCs w:val="22"/>
          <w:rtl w:val="0"/>
        </w:rPr>
        <w:t xml:space="preserve">en términos del </w:t>
      </w:r>
      <w:r w:rsidDel="00000000" w:rsidR="00000000" w:rsidRPr="00000000">
        <w:rPr>
          <w:rFonts w:ascii="Palatino Linotype" w:cs="Palatino Linotype" w:eastAsia="Palatino Linotype" w:hAnsi="Palatino Linotype"/>
          <w:b w:val="1"/>
          <w:sz w:val="22"/>
          <w:szCs w:val="22"/>
          <w:rtl w:val="0"/>
        </w:rPr>
        <w:t xml:space="preserve">Considerando Cuarto</w:t>
      </w:r>
      <w:r w:rsidDel="00000000" w:rsidR="00000000" w:rsidRPr="00000000">
        <w:rPr>
          <w:rFonts w:ascii="Palatino Linotype" w:cs="Palatino Linotype" w:eastAsia="Palatino Linotype" w:hAnsi="Palatino Linotype"/>
          <w:sz w:val="22"/>
          <w:szCs w:val="22"/>
          <w:rtl w:val="0"/>
        </w:rPr>
        <w:t xml:space="preserve"> de esta resolución y emita respuesta, debiendo observar las excepciones contenidas en la Ley de Transparencia y Acceso a la Información Pública del Estado de México y Municipios.</w:t>
      </w:r>
    </w:p>
    <w:p w:rsidR="00000000" w:rsidDel="00000000" w:rsidP="00000000" w:rsidRDefault="00000000" w:rsidRPr="00000000" w14:paraId="000000D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5">
      <w:pPr>
        <w:spacing w:line="360" w:lineRule="auto"/>
        <w:ind w:right="49"/>
        <w:jc w:val="both"/>
        <w:rPr>
          <w:rFonts w:ascii="Palatino Linotype" w:cs="Palatino Linotype" w:eastAsia="Palatino Linotype" w:hAnsi="Palatino Linotype"/>
          <w:sz w:val="22"/>
          <w:szCs w:val="22"/>
        </w:rPr>
      </w:pPr>
      <w:bookmarkStart w:colFirst="0" w:colLast="0" w:name="_heading=h.3znysh7" w:id="2"/>
      <w:bookmarkEnd w:id="2"/>
      <w:r w:rsidDel="00000000" w:rsidR="00000000" w:rsidRPr="00000000">
        <w:rPr>
          <w:rFonts w:ascii="Palatino Linotype" w:cs="Palatino Linotype" w:eastAsia="Palatino Linotype" w:hAnsi="Palatino Linotype"/>
          <w:b w:val="1"/>
          <w:sz w:val="22"/>
          <w:szCs w:val="22"/>
          <w:rtl w:val="0"/>
        </w:rPr>
        <w:t xml:space="preserve">Tercero.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Notifíquese vía Sistema de Acceso a la Información Mexiquense </w:t>
      </w:r>
      <w:r w:rsidDel="00000000" w:rsidR="00000000" w:rsidRPr="00000000">
        <w:rPr>
          <w:rFonts w:ascii="Palatino Linotype" w:cs="Palatino Linotype" w:eastAsia="Palatino Linotype" w:hAnsi="Palatino Linotype"/>
          <w:sz w:val="22"/>
          <w:szCs w:val="22"/>
          <w:rtl w:val="0"/>
        </w:rPr>
        <w:t xml:space="preserve">la presente resolución al T</w:t>
      </w:r>
      <w:r w:rsidDel="00000000" w:rsidR="00000000" w:rsidRPr="00000000">
        <w:rPr>
          <w:rFonts w:ascii="Palatino Linotype" w:cs="Palatino Linotype" w:eastAsia="Palatino Linotype" w:hAnsi="Palatino Linotype"/>
          <w:b w:val="1"/>
          <w:sz w:val="22"/>
          <w:szCs w:val="22"/>
          <w:rtl w:val="0"/>
        </w:rPr>
        <w:t xml:space="preserve">itular de la Unidad de Transparencia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0D6">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Notifíquese</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sz w:val="22"/>
          <w:szCs w:val="22"/>
          <w:rtl w:val="0"/>
        </w:rPr>
        <w:t xml:space="preserve">Sistema de Acceso a la Información Mexiquense</w:t>
      </w:r>
      <w:r w:rsidDel="00000000" w:rsidR="00000000" w:rsidRPr="00000000">
        <w:rPr>
          <w:rFonts w:ascii="Palatino Linotype" w:cs="Palatino Linotype" w:eastAsia="Palatino Linotype" w:hAnsi="Palatino Linotype"/>
          <w:sz w:val="22"/>
          <w:szCs w:val="22"/>
          <w:rtl w:val="0"/>
        </w:rPr>
        <w:t xml:space="preserve">, a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0D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Notifíquese </w:t>
      </w:r>
      <w:r w:rsidDel="00000000" w:rsidR="00000000" w:rsidRPr="00000000">
        <w:rPr>
          <w:rFonts w:ascii="Palatino Linotype" w:cs="Palatino Linotype" w:eastAsia="Palatino Linotype" w:hAnsi="Palatino Linotype"/>
          <w:sz w:val="22"/>
          <w:szCs w:val="22"/>
          <w:rtl w:val="0"/>
        </w:rPr>
        <w:t xml:space="preserve">a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que la respuesta que dé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rsidR="00000000" w:rsidDel="00000000" w:rsidP="00000000" w:rsidRDefault="00000000" w:rsidRPr="00000000" w14:paraId="000000DA">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DB">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Sexto. Gírese </w:t>
      </w:r>
      <w:r w:rsidDel="00000000" w:rsidR="00000000" w:rsidRPr="00000000">
        <w:rPr>
          <w:rFonts w:ascii="Palatino Linotype" w:cs="Palatino Linotype" w:eastAsia="Palatino Linotype" w:hAnsi="Palatino Linotype"/>
          <w:sz w:val="22"/>
          <w:szCs w:val="22"/>
          <w:rtl w:val="0"/>
        </w:rPr>
        <w:t xml:space="preserve">oficio a la </w:t>
      </w:r>
      <w:r w:rsidDel="00000000" w:rsidR="00000000" w:rsidRPr="00000000">
        <w:rPr>
          <w:rFonts w:ascii="Palatino Linotype" w:cs="Palatino Linotype" w:eastAsia="Palatino Linotype" w:hAnsi="Palatino Linotype"/>
          <w:b w:val="1"/>
          <w:sz w:val="22"/>
          <w:szCs w:val="22"/>
          <w:rtl w:val="0"/>
        </w:rPr>
        <w:t xml:space="preserve">Secretaría Técnica del Pleno</w:t>
      </w:r>
      <w:r w:rsidDel="00000000" w:rsidR="00000000" w:rsidRPr="00000000">
        <w:rPr>
          <w:rFonts w:ascii="Palatino Linotype" w:cs="Palatino Linotype" w:eastAsia="Palatino Linotype" w:hAnsi="Palatino Linotype"/>
          <w:sz w:val="22"/>
          <w:szCs w:val="22"/>
          <w:rtl w:val="0"/>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 la presente resolución.</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DC">
      <w:pPr>
        <w:spacing w:after="240" w:before="240" w:line="360" w:lineRule="auto"/>
        <w:jc w:val="both"/>
        <w:rPr>
          <w:rFonts w:ascii="Palatino Linotype" w:cs="Palatino Linotype" w:eastAsia="Palatino Linotype" w:hAnsi="Palatino Linotype"/>
          <w:sz w:val="22"/>
          <w:szCs w:val="22"/>
        </w:rPr>
        <w:sectPr>
          <w:headerReference r:id="rId9" w:type="default"/>
          <w:headerReference r:id="rId10" w:type="first"/>
          <w:footerReference r:id="rId11" w:type="default"/>
          <w:footerReference r:id="rId12" w:type="first"/>
          <w:pgSz w:h="15840" w:w="12240" w:orient="portrait"/>
          <w:pgMar w:bottom="1701" w:top="1985" w:left="1701" w:right="1701" w:header="709" w:footer="709"/>
          <w:pgNumType w:start="1"/>
          <w:titlePg w:val="1"/>
        </w:sectPr>
      </w:pPr>
      <w:bookmarkStart w:colFirst="0" w:colLast="0" w:name="_heading=h.1fob9te" w:id="3"/>
      <w:bookmarkEnd w:id="3"/>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Y GUADALUPE RAMÍREZ PEÑA; EN LA DÉCIMA NOVENA ORDINARIA CELEBRADA EL VEINTIOCHO DE MAYO DEL DOS MIL VEINTICINCO, ANTE EL SECRETARIO TÉCNICO DEL PLENO ALEXIS TAPIA RAMÍREZ.</w:t>
      </w:r>
    </w:p>
    <w:p w:rsidR="00000000" w:rsidDel="00000000" w:rsidP="00000000" w:rsidRDefault="00000000" w:rsidRPr="00000000" w14:paraId="000000DD">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E">
      <w:pPr>
        <w:rPr>
          <w:sz w:val="22"/>
          <w:szCs w:val="22"/>
        </w:rPr>
      </w:pPr>
      <w:r w:rsidDel="00000000" w:rsidR="00000000" w:rsidRPr="00000000">
        <w:rPr>
          <w:rtl w:val="0"/>
        </w:rPr>
      </w:r>
    </w:p>
    <w:sectPr>
      <w:headerReference r:id="rId13" w:type="first"/>
      <w:type w:val="nextPage"/>
      <w:pgSz w:h="15840" w:w="12240" w:orient="portrait"/>
      <w:pgMar w:bottom="1701" w:top="1985"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Verdan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1">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4">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DF">
      <w:pPr>
        <w:spacing w:before="240" w:lineRule="auto"/>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“Artículo 178.</w:t>
      </w:r>
    </w:p>
    <w:p w:rsidR="00000000" w:rsidDel="00000000" w:rsidP="00000000" w:rsidRDefault="00000000" w:rsidRPr="00000000" w14:paraId="000000E0">
      <w:pPr>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w:t>
      </w:r>
    </w:p>
    <w:p w:rsidR="00000000" w:rsidDel="00000000" w:rsidP="00000000" w:rsidRDefault="00000000" w:rsidRPr="00000000" w14:paraId="000000E1">
      <w:pPr>
        <w:spacing w:after="240" w:lineRule="auto"/>
        <w:jc w:val="both"/>
        <w:rPr/>
      </w:pPr>
      <w:r w:rsidDel="00000000" w:rsidR="00000000" w:rsidRPr="00000000">
        <w:rPr>
          <w:rFonts w:ascii="Palatino Linotype" w:cs="Palatino Linotype" w:eastAsia="Palatino Linotype" w:hAnsi="Palatino Linotype"/>
          <w:sz w:val="16"/>
          <w:szCs w:val="16"/>
          <w:rtl w:val="0"/>
        </w:rPr>
        <w:t xml:space="preserve">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r w:rsidDel="00000000" w:rsidR="00000000" w:rsidRPr="00000000">
        <w:rPr>
          <w:rtl w:val="0"/>
        </w:rPr>
      </w:r>
    </w:p>
  </w:footnote>
  <w:footnote w:id="1">
    <w:p w:rsidR="00000000" w:rsidDel="00000000" w:rsidP="00000000" w:rsidRDefault="00000000" w:rsidRPr="00000000" w14:paraId="000000E2">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Al encontrarse en algún supuesto restrictivo, previsto en la normatividad aplicable.</w:t>
      </w:r>
    </w:p>
  </w:footnote>
  <w:footnote w:id="2">
    <w:p w:rsidR="00000000" w:rsidDel="00000000" w:rsidP="00000000" w:rsidRDefault="00000000" w:rsidRPr="00000000" w14:paraId="000000E3">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59. Los servidores públicos habilitados tendrán las funciones siguientes:</w:t>
      </w:r>
    </w:p>
    <w:p w:rsidR="00000000" w:rsidDel="00000000" w:rsidP="00000000" w:rsidRDefault="00000000" w:rsidRPr="00000000" w14:paraId="000000E4">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 Integrar y presentar al responsable de la Unidad de Transparencia la propuesta de clasificación de información, la cual tendrá los fundamentos y argumentos en que se basa dicha propuesta;</w:t>
      </w:r>
    </w:p>
  </w:footnote>
  <w:footnote w:id="3">
    <w:p w:rsidR="00000000" w:rsidDel="00000000" w:rsidP="00000000" w:rsidRDefault="00000000" w:rsidRPr="00000000" w14:paraId="000000E5">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53. Las Unidades de Transparencia tendrán las siguientes funciones:</w:t>
      </w:r>
    </w:p>
    <w:p w:rsidR="00000000" w:rsidDel="00000000" w:rsidP="00000000" w:rsidRDefault="00000000" w:rsidRPr="00000000" w14:paraId="000000E6">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X. Presentar ante el Comité, el proyecto de clasificación de información;</w:t>
      </w:r>
    </w:p>
  </w:footnote>
  <w:footnote w:id="4">
    <w:p w:rsidR="00000000" w:rsidDel="00000000" w:rsidP="00000000" w:rsidRDefault="00000000" w:rsidRPr="00000000" w14:paraId="000000E7">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49. Los Comités de Transparencia tendrán las siguientes atribuciones:</w:t>
      </w:r>
    </w:p>
    <w:p w:rsidR="00000000" w:rsidDel="00000000" w:rsidP="00000000" w:rsidRDefault="00000000" w:rsidRPr="00000000" w14:paraId="000000E8">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Confirmar, modificar o revocar las determinaciones que en materia de ampliación del plazo de respuesta, clasificación de la información y declaración de inexistencia o de incompetencia realicen los titulares de las áreas de los sujetos obligados;</w:t>
      </w:r>
    </w:p>
    <w:p w:rsidR="00000000" w:rsidDel="00000000" w:rsidP="00000000" w:rsidRDefault="00000000" w:rsidRPr="00000000" w14:paraId="000000E9">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VIII. Aprobar, modificar o revocar la clasificación de la información;</w:t>
      </w:r>
    </w:p>
  </w:footnote>
  <w:footnote w:id="5">
    <w:p w:rsidR="00000000" w:rsidDel="00000000" w:rsidP="00000000" w:rsidRDefault="00000000" w:rsidRPr="00000000" w14:paraId="000000EA">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p>
  <w:tbl>
    <w:tblPr>
      <w:tblStyle w:val="Table1"/>
      <w:tblW w:w="5528.0" w:type="dxa"/>
      <w:jc w:val="left"/>
      <w:tblInd w:w="3261.0" w:type="dxa"/>
      <w:tblLayout w:type="fixed"/>
      <w:tblLook w:val="0400"/>
    </w:tblPr>
    <w:tblGrid>
      <w:gridCol w:w="2552"/>
      <w:gridCol w:w="2976"/>
      <w:tblGridChange w:id="0">
        <w:tblGrid>
          <w:gridCol w:w="2552"/>
          <w:gridCol w:w="2976"/>
        </w:tblGrid>
      </w:tblGridChange>
    </w:tblGrid>
    <w:tr>
      <w:trPr>
        <w:cantSplit w:val="0"/>
        <w:tblHeader w:val="0"/>
      </w:trPr>
      <w:tc>
        <w:tcPr>
          <w:vAlign w:val="center"/>
        </w:tcPr>
        <w:p w:rsidR="00000000" w:rsidDel="00000000" w:rsidP="00000000" w:rsidRDefault="00000000" w:rsidRPr="00000000" w14:paraId="000000EC">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tc>
      <w:tc>
        <w:tcPr>
          <w:vAlign w:val="center"/>
        </w:tcPr>
        <w:p w:rsidR="00000000" w:rsidDel="00000000" w:rsidP="00000000" w:rsidRDefault="00000000" w:rsidRPr="00000000" w14:paraId="000000ED">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05064/INFOEM/IP/RR/2025 </w:t>
          </w:r>
        </w:p>
      </w:tc>
    </w:tr>
    <w:tr>
      <w:trPr>
        <w:cantSplit w:val="0"/>
        <w:trHeight w:val="228" w:hRule="atLeast"/>
        <w:tblHeader w:val="0"/>
      </w:trPr>
      <w:tc>
        <w:tcPr>
          <w:shd w:fill="auto" w:val="clear"/>
          <w:vAlign w:val="center"/>
        </w:tcPr>
        <w:p w:rsidR="00000000" w:rsidDel="00000000" w:rsidP="00000000" w:rsidRDefault="00000000" w:rsidRPr="00000000" w14:paraId="000000EE">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p w:rsidR="00000000" w:rsidDel="00000000" w:rsidP="00000000" w:rsidRDefault="00000000" w:rsidRPr="00000000" w14:paraId="000000EF">
          <w:pPr>
            <w:rPr>
              <w:rFonts w:ascii="Palatino Linotype" w:cs="Palatino Linotype" w:eastAsia="Palatino Linotype" w:hAnsi="Palatino Linotype"/>
              <w:b w:val="1"/>
              <w:sz w:val="21"/>
              <w:szCs w:val="21"/>
            </w:rPr>
          </w:pPr>
          <w:r w:rsidDel="00000000" w:rsidR="00000000" w:rsidRPr="00000000">
            <w:rPr>
              <w:rtl w:val="0"/>
            </w:rPr>
          </w:r>
        </w:p>
      </w:tc>
      <w:tc>
        <w:tcPr>
          <w:shd w:fill="auto" w:val="clear"/>
          <w:vAlign w:val="center"/>
        </w:tcPr>
        <w:p w:rsidR="00000000" w:rsidDel="00000000" w:rsidP="00000000" w:rsidRDefault="00000000" w:rsidRPr="00000000" w14:paraId="000000F0">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Sistema Municipal para el Desarrollo Integral de la Familia de Xonacatlán</w:t>
          </w:r>
        </w:p>
      </w:tc>
    </w:tr>
    <w:tr>
      <w:trPr>
        <w:cantSplit w:val="0"/>
        <w:tblHeader w:val="0"/>
      </w:trPr>
      <w:tc>
        <w:tcPr>
          <w:vAlign w:val="center"/>
        </w:tcPr>
        <w:p w:rsidR="00000000" w:rsidDel="00000000" w:rsidP="00000000" w:rsidRDefault="00000000" w:rsidRPr="00000000" w14:paraId="000000F1">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Comisionada ponente:</w:t>
          </w:r>
        </w:p>
      </w:tc>
      <w:tc>
        <w:tcPr>
          <w:vAlign w:val="center"/>
        </w:tcPr>
        <w:p w:rsidR="00000000" w:rsidDel="00000000" w:rsidP="00000000" w:rsidRDefault="00000000" w:rsidRPr="00000000" w14:paraId="000000F2">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Guadalupe Ramírez Peña.</w:t>
          </w:r>
        </w:p>
      </w:tc>
    </w:tr>
  </w:tbl>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r w:rsidDel="00000000" w:rsidR="00000000" w:rsidRPr="00000000">
      <w:drawing>
        <wp:anchor allowOverlap="1" behindDoc="1" distB="0" distT="0" distL="0" distR="0" hidden="0" layoutInCell="1" locked="0" relativeHeight="0" simplePos="0">
          <wp:simplePos x="0" y="0"/>
          <wp:positionH relativeFrom="column">
            <wp:posOffset>-689274</wp:posOffset>
          </wp:positionH>
          <wp:positionV relativeFrom="paragraph">
            <wp:posOffset>-1171012</wp:posOffset>
          </wp:positionV>
          <wp:extent cx="7635875" cy="9943465"/>
          <wp:effectExtent b="0" l="0" r="0" t="0"/>
          <wp:wrapNone/>
          <wp:docPr id="18"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635875" cy="994346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-675561</wp:posOffset>
          </wp:positionH>
          <wp:positionV relativeFrom="paragraph">
            <wp:posOffset>-341825</wp:posOffset>
          </wp:positionV>
          <wp:extent cx="7635875" cy="9943465"/>
          <wp:effectExtent b="0" l="0" r="0" t="0"/>
          <wp:wrapNone/>
          <wp:docPr id="19"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635875" cy="9943465"/>
                  </a:xfrm>
                  <a:prstGeom prst="rect"/>
                  <a:ln/>
                </pic:spPr>
              </pic:pic>
            </a:graphicData>
          </a:graphic>
        </wp:anchor>
      </w:drawing>
    </w:r>
  </w:p>
  <w:tbl>
    <w:tblPr>
      <w:tblStyle w:val="Table2"/>
      <w:tblW w:w="6238.0" w:type="dxa"/>
      <w:jc w:val="left"/>
      <w:tblInd w:w="3119.0" w:type="dxa"/>
      <w:tblLayout w:type="fixed"/>
      <w:tblLook w:val="0400"/>
    </w:tblPr>
    <w:tblGrid>
      <w:gridCol w:w="2551"/>
      <w:gridCol w:w="3687"/>
      <w:tblGridChange w:id="0">
        <w:tblGrid>
          <w:gridCol w:w="2551"/>
          <w:gridCol w:w="3687"/>
        </w:tblGrid>
      </w:tblGridChange>
    </w:tblGrid>
    <w:tr>
      <w:trPr>
        <w:cantSplit w:val="0"/>
        <w:tblHeader w:val="0"/>
      </w:trPr>
      <w:tc>
        <w:tcPr>
          <w:vAlign w:val="center"/>
        </w:tcPr>
        <w:p w:rsidR="00000000" w:rsidDel="00000000" w:rsidP="00000000" w:rsidRDefault="00000000" w:rsidRPr="00000000" w14:paraId="000000F5">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tc>
      <w:tc>
        <w:tcPr>
          <w:vAlign w:val="center"/>
        </w:tcPr>
        <w:p w:rsidR="00000000" w:rsidDel="00000000" w:rsidP="00000000" w:rsidRDefault="00000000" w:rsidRPr="00000000" w14:paraId="000000F6">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05064/INFOEM/IP/RR/2025</w:t>
          </w:r>
        </w:p>
      </w:tc>
    </w:tr>
    <w:tr>
      <w:trPr>
        <w:cantSplit w:val="0"/>
        <w:tblHeader w:val="0"/>
      </w:trPr>
      <w:tc>
        <w:tcPr>
          <w:vAlign w:val="center"/>
        </w:tcPr>
        <w:p w:rsidR="00000000" w:rsidDel="00000000" w:rsidP="00000000" w:rsidRDefault="00000000" w:rsidRPr="00000000" w14:paraId="000000F7">
          <w:pPr>
            <w:ind w:left="35" w:hanging="35"/>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Recurrente:</w:t>
          </w:r>
        </w:p>
      </w:tc>
      <w:tc>
        <w:tcPr>
          <w:vAlign w:val="center"/>
        </w:tcPr>
        <w:p w:rsidR="00000000" w:rsidDel="00000000" w:rsidP="00000000" w:rsidRDefault="00000000" w:rsidRPr="00000000" w14:paraId="000000F8">
          <w:pPr>
            <w:ind w:right="452"/>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XXXXX XXXXXXXXX </w:t>
          </w:r>
        </w:p>
      </w:tc>
    </w:tr>
    <w:tr>
      <w:trPr>
        <w:cantSplit w:val="0"/>
        <w:trHeight w:val="228" w:hRule="atLeast"/>
        <w:tblHeader w:val="0"/>
      </w:trPr>
      <w:tc>
        <w:tcPr>
          <w:vAlign w:val="center"/>
        </w:tcPr>
        <w:p w:rsidR="00000000" w:rsidDel="00000000" w:rsidP="00000000" w:rsidRDefault="00000000" w:rsidRPr="00000000" w14:paraId="000000F9">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p w:rsidR="00000000" w:rsidDel="00000000" w:rsidP="00000000" w:rsidRDefault="00000000" w:rsidRPr="00000000" w14:paraId="000000FA">
          <w:pPr>
            <w:rPr>
              <w:rFonts w:ascii="Palatino Linotype" w:cs="Palatino Linotype" w:eastAsia="Palatino Linotype" w:hAnsi="Palatino Linotype"/>
              <w:b w:val="1"/>
              <w:sz w:val="21"/>
              <w:szCs w:val="21"/>
            </w:rPr>
          </w:pPr>
          <w:r w:rsidDel="00000000" w:rsidR="00000000" w:rsidRPr="00000000">
            <w:rPr>
              <w:rtl w:val="0"/>
            </w:rPr>
          </w:r>
        </w:p>
      </w:tc>
      <w:tc>
        <w:tcPr>
          <w:vAlign w:val="center"/>
        </w:tcPr>
        <w:p w:rsidR="00000000" w:rsidDel="00000000" w:rsidP="00000000" w:rsidRDefault="00000000" w:rsidRPr="00000000" w14:paraId="000000FB">
          <w:pPr>
            <w:ind w:right="452"/>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Sistema Municipal para el Desarrollo Integral de la Familia de Xonacatlán</w:t>
          </w:r>
        </w:p>
      </w:tc>
    </w:tr>
    <w:tr>
      <w:trPr>
        <w:cantSplit w:val="0"/>
        <w:tblHeader w:val="0"/>
      </w:trPr>
      <w:tc>
        <w:tcPr>
          <w:vAlign w:val="center"/>
        </w:tcPr>
        <w:p w:rsidR="00000000" w:rsidDel="00000000" w:rsidP="00000000" w:rsidRDefault="00000000" w:rsidRPr="00000000" w14:paraId="000000FC">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Comisionada ponente:</w:t>
          </w:r>
        </w:p>
      </w:tc>
      <w:tc>
        <w:tcPr>
          <w:vAlign w:val="center"/>
        </w:tcPr>
        <w:p w:rsidR="00000000" w:rsidDel="00000000" w:rsidP="00000000" w:rsidRDefault="00000000" w:rsidRPr="00000000" w14:paraId="000000FD">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Guadalupe Ramírez Peña</w:t>
          </w:r>
        </w:p>
      </w:tc>
    </w:tr>
  </w:tbl>
  <w:p w:rsidR="00000000" w:rsidDel="00000000" w:rsidP="00000000" w:rsidRDefault="00000000" w:rsidRPr="00000000" w14:paraId="000000FE">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F">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100">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7"/>
      <w:numFmt w:val="upperRoman"/>
      <w:lvlText w:val="%1."/>
      <w:lvlJc w:val="left"/>
      <w:pPr>
        <w:ind w:left="1080" w:hanging="72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91A48"/>
    <w:rPr>
      <w:lang w:eastAsia="es-ES"/>
    </w:rPr>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91A48"/>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591A48"/>
    <w:rPr>
      <w:rFonts w:eastAsiaTheme="minorEastAsia"/>
      <w:sz w:val="24"/>
      <w:szCs w:val="24"/>
      <w:lang w:eastAsia="es-ES" w:val="es-ES_tradnl"/>
    </w:rPr>
  </w:style>
  <w:style w:type="paragraph" w:styleId="Piedepgina">
    <w:name w:val="footer"/>
    <w:basedOn w:val="Normal"/>
    <w:link w:val="PiedepginaCar"/>
    <w:uiPriority w:val="99"/>
    <w:unhideWhenUsed w:val="1"/>
    <w:rsid w:val="00591A48"/>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591A48"/>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591A48"/>
    <w:rPr>
      <w:rFonts w:ascii="Times New Roman" w:cs="Times New Roman" w:eastAsia="Times New Roman" w:hAnsi="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591A48"/>
    <w:pPr>
      <w:ind w:left="708"/>
    </w:pPr>
    <w:rPr>
      <w:sz w:val="22"/>
      <w:szCs w:val="22"/>
      <w:lang w:eastAsia="en-US" w:val="es-MX"/>
    </w:rPr>
  </w:style>
  <w:style w:type="table" w:styleId="Tablaconcuadrcula">
    <w:name w:val="Table Grid"/>
    <w:basedOn w:val="Tablanormal"/>
    <w:uiPriority w:val="59"/>
    <w:rsid w:val="00591A48"/>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591A48"/>
  </w:style>
  <w:style w:type="character" w:styleId="apple-converted-space" w:customStyle="1">
    <w:name w:val="apple-converted-space"/>
    <w:basedOn w:val="Fuentedeprrafopredeter"/>
    <w:rsid w:val="00591A48"/>
  </w:style>
  <w:style w:type="character" w:styleId="Hipervnculo">
    <w:name w:val="Hyperlink"/>
    <w:basedOn w:val="Fuentedeprrafopredeter"/>
    <w:uiPriority w:val="99"/>
    <w:unhideWhenUsed w:val="1"/>
    <w:rsid w:val="00591A48"/>
    <w:rPr>
      <w:color w:val="0000ff"/>
      <w:u w:val="single"/>
    </w:rPr>
  </w:style>
  <w:style w:type="paragraph" w:styleId="NormalWeb">
    <w:name w:val="Normal (Web)"/>
    <w:basedOn w:val="Normal"/>
    <w:uiPriority w:val="99"/>
    <w:unhideWhenUsed w:val="1"/>
    <w:rsid w:val="00591A48"/>
    <w:pPr>
      <w:spacing w:after="100" w:afterAutospacing="1" w:before="100" w:beforeAutospacing="1"/>
    </w:pPr>
    <w:rPr>
      <w:lang w:eastAsia="es-MX"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val="1"/>
    <w:qFormat w:val="1"/>
    <w:rsid w:val="00591A48"/>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val="1"/>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val="1"/>
    <w:qFormat w:val="1"/>
    <w:rsid w:val="00591A48"/>
    <w:rPr>
      <w:vertAlign w:val="superscript"/>
    </w:rPr>
  </w:style>
  <w:style w:type="character" w:styleId="Refdecomentario">
    <w:name w:val="annotation reference"/>
    <w:basedOn w:val="Fuentedeprrafopredeter"/>
    <w:uiPriority w:val="99"/>
    <w:semiHidden w:val="1"/>
    <w:unhideWhenUsed w:val="1"/>
    <w:rsid w:val="00D33422"/>
    <w:rPr>
      <w:sz w:val="16"/>
      <w:szCs w:val="16"/>
    </w:rPr>
  </w:style>
  <w:style w:type="paragraph" w:styleId="Textocomentario">
    <w:name w:val="annotation text"/>
    <w:basedOn w:val="Normal"/>
    <w:link w:val="TextocomentarioCar"/>
    <w:uiPriority w:val="99"/>
    <w:semiHidden w:val="1"/>
    <w:unhideWhenUsed w:val="1"/>
    <w:rsid w:val="00D33422"/>
    <w:rPr>
      <w:sz w:val="20"/>
      <w:szCs w:val="20"/>
    </w:rPr>
  </w:style>
  <w:style w:type="character" w:styleId="TextocomentarioCar" w:customStyle="1">
    <w:name w:val="Texto comentario Car"/>
    <w:basedOn w:val="Fuentedeprrafopredeter"/>
    <w:link w:val="Textocomentario"/>
    <w:uiPriority w:val="99"/>
    <w:semiHidden w:val="1"/>
    <w:rsid w:val="00D33422"/>
    <w:rPr>
      <w:rFonts w:ascii="Times New Roman" w:cs="Times New Roman" w:eastAsia="Times New Roman" w:hAnsi="Times New Roman"/>
      <w:sz w:val="20"/>
      <w:szCs w:val="20"/>
      <w:lang w:eastAsia="es-ES" w:val="es-ES"/>
    </w:rPr>
  </w:style>
  <w:style w:type="paragraph" w:styleId="Asuntodelcomentario">
    <w:name w:val="annotation subject"/>
    <w:basedOn w:val="Textocomentario"/>
    <w:next w:val="Textocomentario"/>
    <w:link w:val="AsuntodelcomentarioCar"/>
    <w:uiPriority w:val="99"/>
    <w:semiHidden w:val="1"/>
    <w:unhideWhenUsed w:val="1"/>
    <w:rsid w:val="00D33422"/>
    <w:rPr>
      <w:b w:val="1"/>
      <w:bCs w:val="1"/>
    </w:rPr>
  </w:style>
  <w:style w:type="character" w:styleId="AsuntodelcomentarioCar" w:customStyle="1">
    <w:name w:val="Asunto del comentario Car"/>
    <w:basedOn w:val="TextocomentarioCar"/>
    <w:link w:val="Asuntodelcomentario"/>
    <w:uiPriority w:val="99"/>
    <w:semiHidden w:val="1"/>
    <w:rsid w:val="00D33422"/>
    <w:rPr>
      <w:rFonts w:ascii="Times New Roman" w:cs="Times New Roman" w:eastAsia="Times New Roman" w:hAnsi="Times New Roman"/>
      <w:b w:val="1"/>
      <w:bCs w:val="1"/>
      <w:sz w:val="20"/>
      <w:szCs w:val="20"/>
      <w:lang w:eastAsia="es-ES" w:val="es-ES"/>
    </w:rPr>
  </w:style>
  <w:style w:type="paragraph" w:styleId="Textodeglobo">
    <w:name w:val="Balloon Text"/>
    <w:basedOn w:val="Normal"/>
    <w:link w:val="TextodegloboCar"/>
    <w:uiPriority w:val="99"/>
    <w:semiHidden w:val="1"/>
    <w:unhideWhenUsed w:val="1"/>
    <w:rsid w:val="00D33422"/>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D33422"/>
    <w:rPr>
      <w:rFonts w:ascii="Segoe UI" w:cs="Segoe UI" w:eastAsia="Times New Roman" w:hAnsi="Segoe UI"/>
      <w:sz w:val="18"/>
      <w:szCs w:val="18"/>
      <w:lang w:eastAsia="es-ES" w:val="es-ES"/>
    </w:rPr>
  </w:style>
  <w:style w:type="paragraph" w:styleId="paragraph" w:customStyle="1">
    <w:name w:val="paragraph"/>
    <w:basedOn w:val="Normal"/>
    <w:rsid w:val="00225930"/>
    <w:pPr>
      <w:spacing w:after="100" w:afterAutospacing="1" w:before="100" w:beforeAutospacing="1"/>
    </w:pPr>
    <w:rPr>
      <w:lang w:eastAsia="es-MX" w:val="es-MX"/>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left w:w="115.0" w:type="dxa"/>
        <w:right w:w="115.0" w:type="dxa"/>
      </w:tblCellMar>
    </w:tblPr>
  </w:style>
  <w:style w:type="table" w:styleId="a0" w:customStyle="1">
    <w:basedOn w:val="TableNormal1"/>
    <w:tblPr>
      <w:tblStyleRowBandSize w:val="1"/>
      <w:tblStyleColBandSize w:val="1"/>
      <w:tblCellMar>
        <w:left w:w="115.0" w:type="dxa"/>
        <w:right w:w="115.0" w:type="dxa"/>
      </w:tblCellMar>
    </w:tblPr>
  </w:style>
  <w:style w:type="table" w:styleId="a1" w:customStyle="1">
    <w:basedOn w:val="TableNormal1"/>
    <w:tblPr>
      <w:tblStyleRowBandSize w:val="1"/>
      <w:tblStyleColBandSize w:val="1"/>
      <w:tblCellMar>
        <w:left w:w="115.0" w:type="dxa"/>
        <w:right w:w="115.0" w:type="dxa"/>
      </w:tblCellMar>
    </w:tblPr>
  </w:style>
  <w:style w:type="table" w:styleId="a2" w:customStyle="1">
    <w:basedOn w:val="TableNormal1"/>
    <w:tblPr>
      <w:tblStyleRowBandSize w:val="1"/>
      <w:tblStyleColBandSize w:val="1"/>
      <w:tblCellMar>
        <w:left w:w="115.0" w:type="dxa"/>
        <w:right w:w="115.0" w:type="dxa"/>
      </w:tblCellMar>
    </w:tblPr>
  </w:style>
  <w:style w:type="paragraph" w:styleId="Textoindependiente">
    <w:name w:val="Body Text"/>
    <w:basedOn w:val="Normal"/>
    <w:link w:val="TextoindependienteCar"/>
    <w:uiPriority w:val="99"/>
    <w:unhideWhenUsed w:val="1"/>
    <w:rsid w:val="00AA0915"/>
    <w:pPr>
      <w:spacing w:after="120"/>
    </w:pPr>
    <w:rPr>
      <w:lang w:eastAsia="es-MX"/>
    </w:rPr>
  </w:style>
  <w:style w:type="character" w:styleId="TextoindependienteCar" w:customStyle="1">
    <w:name w:val="Texto independiente Car"/>
    <w:basedOn w:val="Fuentedeprrafopredeter"/>
    <w:link w:val="Textoindependiente"/>
    <w:uiPriority w:val="99"/>
    <w:rsid w:val="00AA0915"/>
  </w:style>
  <w:style w:type="table" w:styleId="a3" w:customStyle="1">
    <w:basedOn w:val="TableNormal0"/>
    <w:tblPr>
      <w:tblStyleRowBandSize w:val="1"/>
      <w:tblStyleColBandSize w:val="1"/>
      <w:tblCellMar>
        <w:left w:w="115.0" w:type="dxa"/>
        <w:right w:w="115.0" w:type="dxa"/>
      </w:tblCellMar>
    </w:tblPr>
  </w:style>
  <w:style w:type="table" w:styleId="a4" w:customStyle="1">
    <w:basedOn w:val="TableNormal0"/>
    <w:tblPr>
      <w:tblStyleRowBandSize w:val="1"/>
      <w:tblStyleColBandSize w:val="1"/>
      <w:tblCellMar>
        <w:left w:w="115.0" w:type="dxa"/>
        <w:right w:w="115.0" w:type="dxa"/>
      </w:tblCellMar>
    </w:tblPr>
  </w:style>
  <w:style w:type="table" w:styleId="a5" w:customStyle="1">
    <w:basedOn w:val="TableNormal0"/>
    <w:tblPr>
      <w:tblStyleRowBandSize w:val="1"/>
      <w:tblStyleColBandSize w:val="1"/>
      <w:tblCellMar>
        <w:left w:w="115.0" w:type="dxa"/>
        <w:right w:w="115.0" w:type="dxa"/>
      </w:tblCellMar>
    </w:tblPr>
  </w:style>
  <w:style w:type="paragraph" w:styleId="Sinespaciado">
    <w:name w:val="No Spacing"/>
    <w:aliases w:val="Francesa,INAI"/>
    <w:link w:val="SinespaciadoCar"/>
    <w:uiPriority w:val="1"/>
    <w:qFormat w:val="1"/>
    <w:rsid w:val="0085765F"/>
    <w:rPr>
      <w:lang w:eastAsia="es-ES" w:val="es-MX"/>
    </w:rPr>
  </w:style>
  <w:style w:type="character" w:styleId="SinespaciadoCar" w:customStyle="1">
    <w:name w:val="Sin espaciado Car"/>
    <w:aliases w:val="Francesa Car,INAI Car"/>
    <w:link w:val="Sinespaciado"/>
    <w:uiPriority w:val="1"/>
    <w:locked w:val="1"/>
    <w:rsid w:val="0085765F"/>
    <w:rPr>
      <w:lang w:eastAsia="es-ES" w:val="es-MX"/>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2.xml"/><Relationship Id="rId13" Type="http://schemas.openxmlformats.org/officeDocument/2006/relationships/header" Target="head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XTPTaB5q+V4fYNjKuSJmvNvIbA==">CgMxLjAyCGguZ2pkZ3hzMgloLjNkeTZ2a20yCWguM3pueXNoNzIJaC4xZm9iOXRlOAByITFBLTF0dV9aZnZDSjk3Tll0OHNYM1ZKZWtybGlCcmt1Zw==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2025-06-11T19:54:00Z</dcterms:created>
  <dc:creator>Usuario de Windows</dc:creator>
</cp:coreProperties>
</file>