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3931D" w14:textId="77777777" w:rsidR="00F55BA5" w:rsidRPr="001E30D4" w:rsidRDefault="00C34D9E">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1E30D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doce de noviembre de dos mil veinticinco. </w:t>
      </w:r>
    </w:p>
    <w:p w14:paraId="4C6F92DB" w14:textId="77777777" w:rsidR="00F55BA5" w:rsidRPr="001E30D4" w:rsidRDefault="00F55BA5">
      <w:pPr>
        <w:spacing w:line="360" w:lineRule="auto"/>
        <w:jc w:val="both"/>
        <w:rPr>
          <w:rFonts w:ascii="Palatino Linotype" w:eastAsia="Palatino Linotype" w:hAnsi="Palatino Linotype" w:cs="Palatino Linotype"/>
          <w:b/>
          <w:sz w:val="22"/>
          <w:szCs w:val="22"/>
        </w:rPr>
      </w:pPr>
    </w:p>
    <w:p w14:paraId="6F61B4CC" w14:textId="0574B7D9"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Visto </w:t>
      </w:r>
      <w:r w:rsidRPr="001E30D4">
        <w:rPr>
          <w:rFonts w:ascii="Palatino Linotype" w:eastAsia="Palatino Linotype" w:hAnsi="Palatino Linotype" w:cs="Palatino Linotype"/>
          <w:sz w:val="22"/>
          <w:szCs w:val="22"/>
        </w:rPr>
        <w:t xml:space="preserve">el expediente relativo al recurso de revisión </w:t>
      </w:r>
      <w:r w:rsidRPr="001E30D4">
        <w:rPr>
          <w:rFonts w:ascii="Palatino Linotype" w:eastAsia="Palatino Linotype" w:hAnsi="Palatino Linotype" w:cs="Palatino Linotype"/>
          <w:b/>
          <w:sz w:val="22"/>
          <w:szCs w:val="22"/>
        </w:rPr>
        <w:t>11619/INFOEM/IP/RR/2025</w:t>
      </w:r>
      <w:r w:rsidRPr="001E30D4">
        <w:rPr>
          <w:rFonts w:ascii="Palatino Linotype" w:eastAsia="Palatino Linotype" w:hAnsi="Palatino Linotype" w:cs="Palatino Linotype"/>
          <w:sz w:val="22"/>
          <w:szCs w:val="22"/>
        </w:rPr>
        <w:t xml:space="preserve">, </w:t>
      </w:r>
      <w:r w:rsidRPr="001E30D4">
        <w:rPr>
          <w:rFonts w:ascii="Palatino Linotype" w:eastAsia="Palatino Linotype" w:hAnsi="Palatino Linotype" w:cs="Palatino Linotype"/>
        </w:rPr>
        <w:t>interpuesto por</w:t>
      </w:r>
      <w:r w:rsidRPr="001E30D4">
        <w:rPr>
          <w:rFonts w:ascii="Palatino Linotype" w:eastAsia="Palatino Linotype" w:hAnsi="Palatino Linotype" w:cs="Palatino Linotype"/>
          <w:b/>
        </w:rPr>
        <w:t xml:space="preserve">  </w:t>
      </w:r>
      <w:r w:rsidR="004D27A7" w:rsidRPr="004D27A7">
        <w:rPr>
          <w:rFonts w:ascii="Palatino Linotype" w:eastAsia="Palatino Linotype" w:hAnsi="Palatino Linotype" w:cs="Palatino Linotype"/>
          <w:b/>
        </w:rPr>
        <w:t>XXXXX XXXX XXXXXXXX XXXXXX</w:t>
      </w:r>
      <w:r w:rsidRPr="004D27A7">
        <w:rPr>
          <w:rFonts w:ascii="Palatino Linotype" w:eastAsia="Palatino Linotype" w:hAnsi="Palatino Linotype" w:cs="Palatino Linotype"/>
          <w:b/>
        </w:rPr>
        <w:t>,</w:t>
      </w:r>
      <w:bookmarkStart w:id="1" w:name="_GoBack"/>
      <w:bookmarkEnd w:id="1"/>
      <w:r w:rsidRPr="001E30D4">
        <w:rPr>
          <w:rFonts w:ascii="Palatino Linotype" w:eastAsia="Palatino Linotype" w:hAnsi="Palatino Linotype" w:cs="Palatino Linotype"/>
        </w:rPr>
        <w:t xml:space="preserve"> en lo sucesivo la parte </w:t>
      </w:r>
      <w:r w:rsidRPr="001E30D4">
        <w:rPr>
          <w:rFonts w:ascii="Palatino Linotype" w:eastAsia="Palatino Linotype" w:hAnsi="Palatino Linotype" w:cs="Palatino Linotype"/>
          <w:b/>
        </w:rPr>
        <w:t>RECURRENTE</w:t>
      </w:r>
      <w:r w:rsidRPr="001E30D4">
        <w:rPr>
          <w:rFonts w:ascii="Palatino Linotype" w:eastAsia="Palatino Linotype" w:hAnsi="Palatino Linotype" w:cs="Palatino Linotype"/>
          <w:b/>
          <w:sz w:val="22"/>
          <w:szCs w:val="22"/>
        </w:rPr>
        <w:t xml:space="preserve">, </w:t>
      </w:r>
      <w:r w:rsidRPr="001E30D4">
        <w:rPr>
          <w:rFonts w:ascii="Palatino Linotype" w:eastAsia="Palatino Linotype" w:hAnsi="Palatino Linotype" w:cs="Palatino Linotype"/>
          <w:sz w:val="22"/>
          <w:szCs w:val="22"/>
        </w:rPr>
        <w:t>en contra de la falta de respuesta a la solicitud de acceso a la información con número de folio</w:t>
      </w:r>
      <w:r w:rsidRPr="001E30D4">
        <w:rPr>
          <w:rFonts w:ascii="Verdana" w:eastAsia="Verdana" w:hAnsi="Verdana" w:cs="Verdana"/>
          <w:b/>
          <w:sz w:val="22"/>
          <w:szCs w:val="22"/>
        </w:rPr>
        <w:t> </w:t>
      </w:r>
      <w:r w:rsidRPr="001E30D4">
        <w:rPr>
          <w:rFonts w:ascii="Palatino Linotype" w:eastAsia="Palatino Linotype" w:hAnsi="Palatino Linotype" w:cs="Palatino Linotype"/>
          <w:b/>
        </w:rPr>
        <w:t>00206/TEXCOCO/IP/2025</w:t>
      </w:r>
      <w:r w:rsidRPr="001E30D4">
        <w:rPr>
          <w:rFonts w:ascii="Palatino Linotype" w:eastAsia="Palatino Linotype" w:hAnsi="Palatino Linotype" w:cs="Palatino Linotype"/>
          <w:b/>
          <w:sz w:val="22"/>
          <w:szCs w:val="22"/>
        </w:rPr>
        <w:t>,</w:t>
      </w:r>
      <w:r w:rsidRPr="001E30D4">
        <w:rPr>
          <w:rFonts w:ascii="Palatino Linotype" w:eastAsia="Palatino Linotype" w:hAnsi="Palatino Linotype" w:cs="Palatino Linotype"/>
          <w:sz w:val="22"/>
          <w:szCs w:val="22"/>
        </w:rPr>
        <w:t xml:space="preserve"> por parte del </w:t>
      </w:r>
      <w:r w:rsidRPr="001E30D4">
        <w:rPr>
          <w:rFonts w:ascii="Palatino Linotype" w:eastAsia="Palatino Linotype" w:hAnsi="Palatino Linotype" w:cs="Palatino Linotype"/>
          <w:b/>
          <w:sz w:val="22"/>
          <w:szCs w:val="22"/>
        </w:rPr>
        <w:t>Ayuntamiento de Texcoco,</w:t>
      </w:r>
      <w:r w:rsidRPr="001E30D4">
        <w:rPr>
          <w:rFonts w:ascii="Palatino Linotype" w:eastAsia="Palatino Linotype" w:hAnsi="Palatino Linotype" w:cs="Palatino Linotype"/>
          <w:sz w:val="22"/>
          <w:szCs w:val="22"/>
        </w:rPr>
        <w:t xml:space="preserve"> en lo sucesivo el </w:t>
      </w:r>
      <w:r w:rsidRPr="001E30D4">
        <w:rPr>
          <w:rFonts w:ascii="Palatino Linotype" w:eastAsia="Palatino Linotype" w:hAnsi="Palatino Linotype" w:cs="Palatino Linotype"/>
          <w:b/>
          <w:sz w:val="22"/>
          <w:szCs w:val="22"/>
        </w:rPr>
        <w:t xml:space="preserve">SUJETO OBLIGADO; </w:t>
      </w:r>
      <w:r w:rsidRPr="001E30D4">
        <w:rPr>
          <w:rFonts w:ascii="Palatino Linotype" w:eastAsia="Palatino Linotype" w:hAnsi="Palatino Linotype" w:cs="Palatino Linotype"/>
          <w:sz w:val="22"/>
          <w:szCs w:val="22"/>
        </w:rPr>
        <w:t xml:space="preserve">se procede a dictar la presente resolución, con base en lo siguiente. </w:t>
      </w:r>
    </w:p>
    <w:p w14:paraId="1261DCC4"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4F5EF8FC" w14:textId="77777777" w:rsidR="00F55BA5" w:rsidRPr="001E30D4" w:rsidRDefault="00C34D9E">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r w:rsidRPr="001E30D4">
        <w:rPr>
          <w:rFonts w:ascii="Palatino Linotype" w:eastAsia="Palatino Linotype" w:hAnsi="Palatino Linotype" w:cs="Palatino Linotype"/>
          <w:b/>
          <w:sz w:val="22"/>
          <w:szCs w:val="22"/>
        </w:rPr>
        <w:t>A N T E C E D E N T E S:</w:t>
      </w:r>
    </w:p>
    <w:p w14:paraId="0982B4B7" w14:textId="77777777" w:rsidR="00F55BA5" w:rsidRPr="001E30D4" w:rsidRDefault="00F55BA5">
      <w:pPr>
        <w:pBdr>
          <w:top w:val="nil"/>
          <w:left w:val="nil"/>
          <w:bottom w:val="nil"/>
          <w:right w:val="nil"/>
          <w:between w:val="nil"/>
        </w:pBdr>
        <w:spacing w:line="360" w:lineRule="auto"/>
        <w:ind w:left="1077"/>
        <w:rPr>
          <w:rFonts w:ascii="Palatino Linotype" w:eastAsia="Palatino Linotype" w:hAnsi="Palatino Linotype" w:cs="Palatino Linotype"/>
          <w:b/>
          <w:sz w:val="22"/>
          <w:szCs w:val="22"/>
        </w:rPr>
      </w:pPr>
    </w:p>
    <w:p w14:paraId="765B89CC"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1. Solicitud de acceso a la información. </w:t>
      </w:r>
      <w:r w:rsidRPr="001E30D4">
        <w:rPr>
          <w:rFonts w:ascii="Palatino Linotype" w:eastAsia="Palatino Linotype" w:hAnsi="Palatino Linotype" w:cs="Palatino Linotype"/>
          <w:sz w:val="22"/>
          <w:szCs w:val="22"/>
        </w:rPr>
        <w:t xml:space="preserve">Con fecha </w:t>
      </w:r>
      <w:r w:rsidRPr="001E30D4">
        <w:rPr>
          <w:rFonts w:ascii="Palatino Linotype" w:eastAsia="Palatino Linotype" w:hAnsi="Palatino Linotype" w:cs="Palatino Linotype"/>
          <w:b/>
          <w:sz w:val="22"/>
          <w:szCs w:val="22"/>
        </w:rPr>
        <w:t>quince de septiembre de dos mil veinticinco</w:t>
      </w:r>
      <w:r w:rsidRPr="001E30D4">
        <w:rPr>
          <w:rFonts w:ascii="Palatino Linotype" w:eastAsia="Palatino Linotype" w:hAnsi="Palatino Linotype" w:cs="Palatino Linotype"/>
          <w:sz w:val="22"/>
          <w:szCs w:val="22"/>
        </w:rPr>
        <w:t xml:space="preserve">, la parte </w:t>
      </w:r>
      <w:r w:rsidRPr="001E30D4">
        <w:rPr>
          <w:rFonts w:ascii="Palatino Linotype" w:eastAsia="Palatino Linotype" w:hAnsi="Palatino Linotype" w:cs="Palatino Linotype"/>
          <w:b/>
          <w:sz w:val="22"/>
          <w:szCs w:val="22"/>
        </w:rPr>
        <w:t xml:space="preserve">RECURRENTE </w:t>
      </w:r>
      <w:r w:rsidRPr="001E30D4">
        <w:rPr>
          <w:rFonts w:ascii="Palatino Linotype" w:eastAsia="Palatino Linotype" w:hAnsi="Palatino Linotype" w:cs="Palatino Linotype"/>
          <w:sz w:val="22"/>
          <w:szCs w:val="22"/>
        </w:rPr>
        <w:t xml:space="preserve">formuló a través del Sistema de Acceso a la Información Mexiquense, en adelante </w:t>
      </w:r>
      <w:r w:rsidRPr="001E30D4">
        <w:rPr>
          <w:rFonts w:ascii="Palatino Linotype" w:eastAsia="Palatino Linotype" w:hAnsi="Palatino Linotype" w:cs="Palatino Linotype"/>
          <w:b/>
          <w:sz w:val="22"/>
          <w:szCs w:val="22"/>
        </w:rPr>
        <w:t>SAIMEX,</w:t>
      </w:r>
      <w:r w:rsidRPr="001E30D4">
        <w:rPr>
          <w:rFonts w:ascii="Palatino Linotype" w:eastAsia="Palatino Linotype" w:hAnsi="Palatino Linotype" w:cs="Palatino Linotype"/>
          <w:sz w:val="22"/>
          <w:szCs w:val="22"/>
        </w:rPr>
        <w:t xml:space="preserve"> solicitud de información al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requiriéndole lo siguiente:</w:t>
      </w:r>
    </w:p>
    <w:p w14:paraId="30C25597"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2A5A4CB6" w14:textId="77777777" w:rsidR="00F55BA5" w:rsidRPr="001E30D4" w:rsidRDefault="00C34D9E">
      <w:pPr>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 xml:space="preserve">“Por medio del presente y con fundamento en lo dispuesto por los artículos 6º de la Constitución Política de los Estados Unidos Mexicanos, así como lo establecido en la Ley de Transparencia y Acceso a la Información Pública del Estado de México y Municipios, solicito de manera respetuosa se me proporcione la siguiente información: Monto total erogado por el Ayuntamiento de Texcoco para la organización del evento conmemorativo de la Independencia de México realizado el día lunes 15 de septiembre de 2025 en la cabecera municipal. Desglose de gastos por cada concepto, incluyendo: Contratación de artistas y grupos musicales (Tremenda Brisza, Cumbia Live, La Típica, Tenochtitlan el Inicio, Ballet Folklórico de México, Vero G, La Apuesta, Los Askis de la Ilusión). Servicios de logística, escenario, sonido, iluminación y video mapping. Honorarios, viáticos y cualquier otro pago relacionado con la ceremonia y el evento. </w:t>
      </w:r>
      <w:r w:rsidRPr="001E30D4">
        <w:rPr>
          <w:rFonts w:ascii="Palatino Linotype" w:eastAsia="Palatino Linotype" w:hAnsi="Palatino Linotype" w:cs="Palatino Linotype"/>
          <w:i/>
          <w:sz w:val="22"/>
          <w:szCs w:val="22"/>
        </w:rPr>
        <w:lastRenderedPageBreak/>
        <w:t>Copia de los contratos y facturas generadas para la realización de dicho evento. En su caso, informar si hubo patrocinios o aportaciones externas y el monto recibido.” (Sic)</w:t>
      </w:r>
    </w:p>
    <w:p w14:paraId="653DA733" w14:textId="77777777" w:rsidR="00F55BA5" w:rsidRPr="001E30D4" w:rsidRDefault="00F55BA5">
      <w:pPr>
        <w:spacing w:line="360" w:lineRule="auto"/>
        <w:jc w:val="both"/>
        <w:rPr>
          <w:rFonts w:ascii="Palatino Linotype" w:eastAsia="Palatino Linotype" w:hAnsi="Palatino Linotype" w:cs="Palatino Linotype"/>
          <w:b/>
          <w:sz w:val="22"/>
          <w:szCs w:val="22"/>
        </w:rPr>
      </w:pPr>
    </w:p>
    <w:p w14:paraId="09443B81"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Modalidad elegida para la entrega de la información: </w:t>
      </w:r>
      <w:r w:rsidRPr="001E30D4">
        <w:rPr>
          <w:rFonts w:ascii="Palatino Linotype" w:eastAsia="Palatino Linotype" w:hAnsi="Palatino Linotype" w:cs="Palatino Linotype"/>
          <w:sz w:val="22"/>
          <w:szCs w:val="22"/>
        </w:rPr>
        <w:t>a través del SAIMEX.</w:t>
      </w:r>
    </w:p>
    <w:p w14:paraId="19AB6D87"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60958738"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2. Respuesta. </w:t>
      </w:r>
      <w:r w:rsidRPr="001E30D4">
        <w:rPr>
          <w:rFonts w:ascii="Palatino Linotype" w:eastAsia="Palatino Linotype" w:hAnsi="Palatino Linotype" w:cs="Palatino Linotype"/>
          <w:sz w:val="22"/>
          <w:szCs w:val="22"/>
        </w:rPr>
        <w:t xml:space="preserve">El </w:t>
      </w:r>
      <w:r w:rsidRPr="001E30D4">
        <w:rPr>
          <w:rFonts w:ascii="Palatino Linotype" w:eastAsia="Palatino Linotype" w:hAnsi="Palatino Linotype" w:cs="Palatino Linotype"/>
          <w:b/>
          <w:sz w:val="22"/>
          <w:szCs w:val="22"/>
        </w:rPr>
        <w:t xml:space="preserve">SUJETO OBLIGADO </w:t>
      </w:r>
      <w:r w:rsidRPr="001E30D4">
        <w:rPr>
          <w:rFonts w:ascii="Palatino Linotype" w:eastAsia="Palatino Linotype" w:hAnsi="Palatino Linotype" w:cs="Palatino Linotype"/>
          <w:sz w:val="22"/>
          <w:szCs w:val="22"/>
        </w:rPr>
        <w:t xml:space="preserve">fue omiso en proporcionar respuesta. </w:t>
      </w:r>
    </w:p>
    <w:p w14:paraId="63714B81"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0C6A7DBE"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3. Interposición del recurso de revisión. </w:t>
      </w:r>
      <w:r w:rsidRPr="001E30D4">
        <w:rPr>
          <w:rFonts w:ascii="Palatino Linotype" w:eastAsia="Palatino Linotype" w:hAnsi="Palatino Linotype" w:cs="Palatino Linotype"/>
          <w:sz w:val="22"/>
          <w:szCs w:val="22"/>
        </w:rPr>
        <w:t xml:space="preserve">Inconforme la parte solicitante con la falta de respuesta del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interpuso recurso de revisión a través del SAIMEX en fecha </w:t>
      </w:r>
      <w:r w:rsidRPr="001E30D4">
        <w:rPr>
          <w:rFonts w:ascii="Palatino Linotype" w:eastAsia="Palatino Linotype" w:hAnsi="Palatino Linotype" w:cs="Palatino Linotype"/>
          <w:b/>
          <w:sz w:val="22"/>
          <w:szCs w:val="22"/>
        </w:rPr>
        <w:t>ocho de octubre de dos mil veinticinco</w:t>
      </w:r>
      <w:r w:rsidRPr="001E30D4">
        <w:rPr>
          <w:rFonts w:ascii="Palatino Linotype" w:eastAsia="Palatino Linotype" w:hAnsi="Palatino Linotype" w:cs="Palatino Linotype"/>
          <w:sz w:val="22"/>
          <w:szCs w:val="22"/>
        </w:rPr>
        <w:t>, expresando lo siguiente:</w:t>
      </w:r>
    </w:p>
    <w:p w14:paraId="6C668862"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348B17CE" w14:textId="77777777" w:rsidR="00F55BA5" w:rsidRPr="001E30D4" w:rsidRDefault="00C34D9E">
      <w:pPr>
        <w:spacing w:line="360" w:lineRule="auto"/>
        <w:ind w:left="567" w:right="616"/>
        <w:jc w:val="both"/>
        <w:rPr>
          <w:rFonts w:ascii="Palatino Linotype" w:eastAsia="Palatino Linotype" w:hAnsi="Palatino Linotype" w:cs="Palatino Linotype"/>
          <w:b/>
          <w:i/>
          <w:sz w:val="22"/>
          <w:szCs w:val="22"/>
        </w:rPr>
      </w:pPr>
      <w:r w:rsidRPr="001E30D4">
        <w:rPr>
          <w:rFonts w:ascii="Palatino Linotype" w:eastAsia="Palatino Linotype" w:hAnsi="Palatino Linotype" w:cs="Palatino Linotype"/>
          <w:b/>
          <w:sz w:val="22"/>
          <w:szCs w:val="22"/>
        </w:rPr>
        <w:t xml:space="preserve">a) Acto impugnado. </w:t>
      </w:r>
      <w:r w:rsidRPr="001E30D4">
        <w:rPr>
          <w:rFonts w:ascii="Palatino Linotype" w:eastAsia="Palatino Linotype" w:hAnsi="Palatino Linotype" w:cs="Palatino Linotype"/>
          <w:i/>
          <w:sz w:val="22"/>
          <w:szCs w:val="22"/>
        </w:rPr>
        <w:t>“La negativa de contestación o falta de respuesta por parte del Ayuntamiento de Texcoco dentro del plazo legal previsto por la Ley de Transparencia y Acceso a la Información Pública del Estado de México y Municipios, respecto de la solicitud descrita.” (Sic)</w:t>
      </w:r>
    </w:p>
    <w:p w14:paraId="571D0B95" w14:textId="77777777" w:rsidR="00F55BA5" w:rsidRPr="001E30D4" w:rsidRDefault="00F55BA5">
      <w:pPr>
        <w:spacing w:line="360" w:lineRule="auto"/>
        <w:ind w:left="567" w:right="616"/>
        <w:rPr>
          <w:rFonts w:ascii="Palatino Linotype" w:eastAsia="Palatino Linotype" w:hAnsi="Palatino Linotype" w:cs="Palatino Linotype"/>
          <w:b/>
          <w:sz w:val="22"/>
          <w:szCs w:val="22"/>
        </w:rPr>
      </w:pPr>
    </w:p>
    <w:p w14:paraId="1052337D" w14:textId="77777777" w:rsidR="00F55BA5" w:rsidRPr="001E30D4" w:rsidRDefault="00C34D9E">
      <w:pPr>
        <w:spacing w:line="360"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sz w:val="22"/>
          <w:szCs w:val="22"/>
        </w:rPr>
        <w:t xml:space="preserve">b) Motivos de inconformidad. </w:t>
      </w:r>
      <w:r w:rsidRPr="001E30D4">
        <w:rPr>
          <w:rFonts w:ascii="Palatino Linotype" w:eastAsia="Palatino Linotype" w:hAnsi="Palatino Linotype" w:cs="Palatino Linotype"/>
          <w:i/>
          <w:sz w:val="22"/>
          <w:szCs w:val="22"/>
        </w:rPr>
        <w:t xml:space="preserve">“Con fecha 15 de Septiembres de 2025, el suscrito presentó ante la Unidad de Transparencia del Ayuntamiento de Texcoco una solicitud formal de información pública, solicitando: Monto total erogado por la organización del evento conmemorativo de la Independencia de México, celebrado el lunes 15 de septiembre de 2025. Desglose detallado de gastos por cada concepto, incluyendo: contratación de artistas y grupos musicales (Tremenda Brisza, Cumbia Live, La Típica, Tenochtitlan el Inicio, Ballet Folklórico de México, Vero G, La Apuesta y Los Askis de la Ilusión), así como servicios de logística, escenario, sonido, iluminación y video mapping. Honorarios, viáticos y cualquier otro pago derivado de la ceremonia y del evento. Copia de contratos y facturas emitidas para la realización de dicho evento. Información sobre patrocinios o aportaciones externas, en caso de que existieran, y el </w:t>
      </w:r>
      <w:r w:rsidRPr="001E30D4">
        <w:rPr>
          <w:rFonts w:ascii="Palatino Linotype" w:eastAsia="Palatino Linotype" w:hAnsi="Palatino Linotype" w:cs="Palatino Linotype"/>
          <w:i/>
          <w:sz w:val="22"/>
          <w:szCs w:val="22"/>
        </w:rPr>
        <w:lastRenderedPageBreak/>
        <w:t>monto recibido. Transcurrido el plazo establecido por la Ley de Transparencia y Acceso a la Información Pública del Estado de México y Municipios, el Ayuntamiento no emitió respuesta alguna, configurándose así una negativa de contestación o negativa ficta. III. FUNDAMENTOS DE DERECHO: La omisión del Ayuntamiento de Texcoco viola lo dispuesto en: Artículo 6º de la Constitución Política de los Estados Unidos Mexicanos, que garantiza el derecho de acceso a la información pública. Artículos 2, 3, 4, 6, 140, 142 y demás relativos de la Ley de Transparencia y Acceso a la Información Pública del Estado de México y Municipios, que establecen la obligación de los sujetos obligados de responder en tiempo y forma las solicitudes de información. IV. MOTIVOS DE IMPUGNACIÓN: La falta de respuesta vulnera el derecho fundamental de acceso a la información pública y el principio de máxima publicidad. Se incumple el deber de transparencia en el uso de recursos públicos destinados a eventos oficiales. La negativa tácita impide la rendición de cuentas sobre la erogación de fondos municipales, generando opacidad en la administración pública. Se obstaculiza la fiscalización ciudadana respecto del gasto público en actos conmemorativos. V. PETICIÓN: Por lo anterior, se solicita respetuosamente que el Instituto de Transparencia, Acceso a la Información Pública y Protección de Datos Personales del Estado de México y Municipios (INFOEM) tenga por presentado este escrito como medio de impugnación por negativa de contestación, ordenando al Ayuntamiento de Texcoco que: Rinda un informe detallado sobre el monto total y desglose de gastos relacionados con el evento del 15 de septiembre de 2025. Entregue las copias certificadas de los contratos, facturas y documentos justificativos del gasto. Informe sobre cualquier patrocinio o apoyo externo recibido.” (Sic)</w:t>
      </w:r>
    </w:p>
    <w:p w14:paraId="3C8E0C84" w14:textId="77777777" w:rsidR="00F55BA5" w:rsidRPr="001E30D4" w:rsidRDefault="00F55BA5">
      <w:pPr>
        <w:spacing w:line="360" w:lineRule="auto"/>
        <w:jc w:val="both"/>
        <w:rPr>
          <w:rFonts w:ascii="Palatino Linotype" w:eastAsia="Palatino Linotype" w:hAnsi="Palatino Linotype" w:cs="Palatino Linotype"/>
          <w:i/>
          <w:sz w:val="22"/>
          <w:szCs w:val="22"/>
        </w:rPr>
      </w:pPr>
    </w:p>
    <w:p w14:paraId="3082F015"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4. Turno. </w:t>
      </w:r>
      <w:r w:rsidRPr="001E30D4">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1E30D4">
        <w:rPr>
          <w:rFonts w:ascii="Palatino Linotype" w:eastAsia="Palatino Linotype" w:hAnsi="Palatino Linotype" w:cs="Palatino Linotype"/>
          <w:b/>
          <w:sz w:val="22"/>
          <w:szCs w:val="22"/>
        </w:rPr>
        <w:t>Guadalupe Ramírez Peña</w:t>
      </w:r>
      <w:r w:rsidRPr="001E30D4">
        <w:rPr>
          <w:rFonts w:ascii="Palatino Linotype" w:eastAsia="Palatino Linotype" w:hAnsi="Palatino Linotype" w:cs="Palatino Linotype"/>
          <w:sz w:val="22"/>
          <w:szCs w:val="22"/>
        </w:rPr>
        <w:t>, a efecto de presentar al Pleno el proyecto de resolución correspondiente.</w:t>
      </w:r>
    </w:p>
    <w:p w14:paraId="2A411E16"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1F2BFE46"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5. Admisión. </w:t>
      </w:r>
      <w:r w:rsidRPr="001E30D4">
        <w:rPr>
          <w:rFonts w:ascii="Palatino Linotype" w:eastAsia="Palatino Linotype" w:hAnsi="Palatino Linotype" w:cs="Palatino Linotype"/>
          <w:sz w:val="22"/>
          <w:szCs w:val="22"/>
        </w:rPr>
        <w:t xml:space="preserve">Mediante acuerdo de fecha </w:t>
      </w:r>
      <w:r w:rsidRPr="001E30D4">
        <w:rPr>
          <w:rFonts w:ascii="Palatino Linotype" w:eastAsia="Palatino Linotype" w:hAnsi="Palatino Linotype" w:cs="Palatino Linotype"/>
          <w:b/>
          <w:sz w:val="22"/>
          <w:szCs w:val="22"/>
        </w:rPr>
        <w:t>nueve de octubre de dos mil veinticinco y notificado el diez de octubre de dos mil veinticinco</w:t>
      </w:r>
      <w:r w:rsidRPr="001E30D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75C67375"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594839E7" w14:textId="77777777" w:rsidR="00F55BA5" w:rsidRPr="001E30D4" w:rsidRDefault="00C34D9E">
      <w:pPr>
        <w:widowControl w:val="0"/>
        <w:spacing w:line="360" w:lineRule="auto"/>
        <w:ind w:right="49"/>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6. Manifestaciones</w:t>
      </w:r>
      <w:r w:rsidRPr="001E30D4">
        <w:rPr>
          <w:rFonts w:ascii="Palatino Linotype" w:eastAsia="Palatino Linotype" w:hAnsi="Palatino Linotype" w:cs="Palatino Linotype"/>
          <w:sz w:val="22"/>
          <w:szCs w:val="22"/>
        </w:rPr>
        <w:t xml:space="preserve">. En fecha catorce de octubre de dos mil veinticinco, la parte Recurrente rindió sus manifestaciones de la siguiente manera: </w:t>
      </w:r>
    </w:p>
    <w:p w14:paraId="42E22A0F"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Acuse de solicitud del particular.pdf:</w:t>
      </w:r>
      <w:r w:rsidRPr="001E30D4">
        <w:rPr>
          <w:rFonts w:ascii="Palatino Linotype" w:eastAsia="Palatino Linotype" w:hAnsi="Palatino Linotype" w:cs="Palatino Linotype"/>
          <w:sz w:val="22"/>
          <w:szCs w:val="22"/>
        </w:rPr>
        <w:t xml:space="preserve"> Documento que corresponde al acuse de la solicitud de información.</w:t>
      </w:r>
    </w:p>
    <w:p w14:paraId="797464CD"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ay 1.docx:</w:t>
      </w:r>
      <w:r w:rsidRPr="001E30D4">
        <w:rPr>
          <w:rFonts w:ascii="Palatino Linotype" w:eastAsia="Palatino Linotype" w:hAnsi="Palatino Linotype" w:cs="Palatino Linotype"/>
          <w:sz w:val="22"/>
          <w:szCs w:val="22"/>
        </w:rPr>
        <w:t xml:space="preserve"> Documento mediante el cual la parte recurrente rindió sus manifestaciones.</w:t>
      </w:r>
    </w:p>
    <w:p w14:paraId="014C0722"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5CBA642A"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7. Cierre de instrucción. </w:t>
      </w:r>
      <w:r w:rsidRPr="001E30D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1E30D4">
        <w:rPr>
          <w:rFonts w:ascii="Palatino Linotype" w:eastAsia="Palatino Linotype" w:hAnsi="Palatino Linotype" w:cs="Palatino Linotype"/>
          <w:b/>
          <w:sz w:val="22"/>
          <w:szCs w:val="22"/>
        </w:rPr>
        <w:t>veintidós de octubre de dos mil veinticinco</w:t>
      </w:r>
      <w:r w:rsidRPr="001E30D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5A17DAA"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4F5EE954"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72A1E0D"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75CF86BA" w14:textId="77777777" w:rsidR="00F55BA5" w:rsidRPr="001E30D4" w:rsidRDefault="00C34D9E">
      <w:pPr>
        <w:widowControl w:val="0"/>
        <w:spacing w:line="360" w:lineRule="auto"/>
        <w:jc w:val="center"/>
        <w:rPr>
          <w:rFonts w:ascii="Palatino Linotype" w:eastAsia="Palatino Linotype" w:hAnsi="Palatino Linotype" w:cs="Palatino Linotype"/>
          <w:b/>
          <w:sz w:val="22"/>
          <w:szCs w:val="22"/>
        </w:rPr>
      </w:pPr>
      <w:r w:rsidRPr="001E30D4">
        <w:rPr>
          <w:rFonts w:ascii="Palatino Linotype" w:eastAsia="Palatino Linotype" w:hAnsi="Palatino Linotype" w:cs="Palatino Linotype"/>
          <w:b/>
          <w:sz w:val="22"/>
          <w:szCs w:val="22"/>
        </w:rPr>
        <w:t>II. C O N S I D E R A N D O S</w:t>
      </w:r>
    </w:p>
    <w:p w14:paraId="35707BA4" w14:textId="77777777" w:rsidR="00F55BA5" w:rsidRPr="001E30D4" w:rsidRDefault="00F55BA5">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374415F9" w14:textId="12BD07EC"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Primero. Competencia.</w:t>
      </w:r>
      <w:r w:rsidRPr="001E30D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009D663B" w:rsidRPr="001E30D4">
        <w:rPr>
          <w:rFonts w:ascii="Palatino Linotype" w:eastAsia="Palatino Linotype" w:hAnsi="Palatino Linotype" w:cs="Palatino Linotype"/>
          <w:sz w:val="22"/>
          <w:szCs w:val="22"/>
        </w:rPr>
        <w:t xml:space="preserve"> </w:t>
      </w:r>
      <w:r w:rsidR="009D663B" w:rsidRPr="001E30D4">
        <w:rPr>
          <w:rFonts w:ascii="Palatino Linotype" w:hAnsi="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1E30D4">
        <w:rPr>
          <w:rFonts w:ascii="Palatino Linotype" w:eastAsia="Palatino Linotype" w:hAnsi="Palatino Linotype" w:cs="Palatino Linotype"/>
          <w:sz w:val="22"/>
          <w:szCs w:val="22"/>
        </w:rPr>
        <w:t>;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A0BD1AA"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4277494A"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Segundo. Oportunidad y Procedibilidad del Recurso de Revisión. </w:t>
      </w:r>
      <w:r w:rsidRPr="001E30D4">
        <w:rPr>
          <w:rFonts w:ascii="Palatino Linotype" w:eastAsia="Palatino Linotype" w:hAnsi="Palatino Linotype" w:cs="Palatino Linotype"/>
          <w:sz w:val="22"/>
          <w:szCs w:val="22"/>
        </w:rPr>
        <w:t>Por cuanto hace a la oportunidad del recurso de revisión</w:t>
      </w:r>
      <w:r w:rsidRPr="001E30D4">
        <w:rPr>
          <w:rFonts w:ascii="Palatino Linotype" w:eastAsia="Palatino Linotype" w:hAnsi="Palatino Linotype" w:cs="Palatino Linotype"/>
          <w:b/>
          <w:sz w:val="22"/>
          <w:szCs w:val="22"/>
        </w:rPr>
        <w:t xml:space="preserve"> </w:t>
      </w:r>
      <w:r w:rsidRPr="001E30D4">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75437040"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37363552"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Derivado de lo anterior, se constituye la figura jurídica de la </w:t>
      </w:r>
      <w:r w:rsidRPr="001E30D4">
        <w:rPr>
          <w:rFonts w:ascii="Palatino Linotype" w:eastAsia="Palatino Linotype" w:hAnsi="Palatino Linotype" w:cs="Palatino Linotype"/>
          <w:b/>
          <w:sz w:val="22"/>
          <w:szCs w:val="22"/>
        </w:rPr>
        <w:t>NEGATIVA FICTA</w:t>
      </w:r>
      <w:r w:rsidRPr="001E30D4">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35A85E2F"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17321149"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De tal manera, en el presente recurso de revisión se actualizó la negativa ficta por parte del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al no haber respondido a la parte </w:t>
      </w:r>
      <w:r w:rsidRPr="001E30D4">
        <w:rPr>
          <w:rFonts w:ascii="Palatino Linotype" w:eastAsia="Palatino Linotype" w:hAnsi="Palatino Linotype" w:cs="Palatino Linotype"/>
          <w:b/>
          <w:sz w:val="22"/>
          <w:szCs w:val="22"/>
        </w:rPr>
        <w:t>RECURRENTE</w:t>
      </w:r>
      <w:r w:rsidRPr="001E30D4">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6CDD9AF"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5225094E"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Si a ello se le suma lo previsto en el párrafo segundo del artículo 178, párrafo segundo</w:t>
      </w:r>
      <w:r w:rsidRPr="001E30D4">
        <w:rPr>
          <w:rFonts w:ascii="Palatino Linotype" w:eastAsia="Palatino Linotype" w:hAnsi="Palatino Linotype" w:cs="Palatino Linotype"/>
          <w:sz w:val="22"/>
          <w:szCs w:val="22"/>
          <w:vertAlign w:val="superscript"/>
        </w:rPr>
        <w:footnoteReference w:id="1"/>
      </w:r>
      <w:r w:rsidRPr="001E30D4">
        <w:rPr>
          <w:rFonts w:ascii="Palatino Linotype" w:eastAsia="Palatino Linotype" w:hAnsi="Palatino Linotype" w:cs="Palatino Linotype"/>
          <w:sz w:val="22"/>
          <w:szCs w:val="22"/>
        </w:rPr>
        <w:t xml:space="preserve"> de la Ley de Transparencia y Acceso a la Información Pública vigente en la entidad.</w:t>
      </w:r>
    </w:p>
    <w:p w14:paraId="71E2E38D"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28409FD8"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240F29E" w14:textId="77777777" w:rsidR="00F55BA5" w:rsidRPr="001E30D4" w:rsidRDefault="00F55BA5">
      <w:pPr>
        <w:spacing w:line="360" w:lineRule="auto"/>
        <w:jc w:val="both"/>
        <w:rPr>
          <w:i/>
          <w:sz w:val="22"/>
          <w:szCs w:val="22"/>
        </w:rPr>
      </w:pPr>
    </w:p>
    <w:p w14:paraId="20A86660" w14:textId="77777777" w:rsidR="00F55BA5" w:rsidRPr="001E30D4" w:rsidRDefault="00C34D9E">
      <w:pPr>
        <w:ind w:left="567" w:right="616"/>
        <w:jc w:val="both"/>
        <w:rPr>
          <w:rFonts w:ascii="Palatino Linotype" w:eastAsia="Palatino Linotype" w:hAnsi="Palatino Linotype" w:cs="Palatino Linotype"/>
          <w:b/>
          <w:i/>
          <w:sz w:val="22"/>
          <w:szCs w:val="22"/>
        </w:rPr>
      </w:pPr>
      <w:r w:rsidRPr="001E30D4">
        <w:rPr>
          <w:rFonts w:ascii="Palatino Linotype" w:eastAsia="Palatino Linotype" w:hAnsi="Palatino Linotype" w:cs="Palatino Linotype"/>
          <w:i/>
          <w:sz w:val="22"/>
          <w:szCs w:val="22"/>
        </w:rPr>
        <w:t>“</w:t>
      </w:r>
      <w:r w:rsidRPr="001E30D4">
        <w:rPr>
          <w:rFonts w:ascii="Palatino Linotype" w:eastAsia="Palatino Linotype" w:hAnsi="Palatino Linotype" w:cs="Palatino Linotype"/>
          <w:b/>
          <w:i/>
          <w:sz w:val="22"/>
          <w:szCs w:val="22"/>
        </w:rPr>
        <w:t>CRITERIO 0001-15 NEGATIVA FICTA. PLAZO PARA INTERPONER EL RECURSO DE REVISIÓN TRATÁNDOSE DE</w:t>
      </w:r>
      <w:r w:rsidRPr="001E30D4">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76C3595" w14:textId="77777777" w:rsidR="00F55BA5" w:rsidRPr="001E30D4" w:rsidRDefault="00F55BA5">
      <w:pPr>
        <w:ind w:left="567" w:right="851"/>
        <w:jc w:val="both"/>
        <w:rPr>
          <w:rFonts w:ascii="Palatino Linotype" w:eastAsia="Palatino Linotype" w:hAnsi="Palatino Linotype" w:cs="Palatino Linotype"/>
          <w:i/>
          <w:sz w:val="22"/>
          <w:szCs w:val="22"/>
        </w:rPr>
      </w:pPr>
    </w:p>
    <w:p w14:paraId="0D5084A0" w14:textId="77777777" w:rsidR="00F55BA5" w:rsidRPr="001E30D4" w:rsidRDefault="00C34D9E">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1E30D4">
        <w:rPr>
          <w:rFonts w:ascii="Palatino Linotype" w:eastAsia="Palatino Linotype" w:hAnsi="Palatino Linotype" w:cs="Palatino Linotype"/>
          <w:b/>
          <w:sz w:val="22"/>
          <w:szCs w:val="22"/>
        </w:rPr>
        <w:t>EL</w:t>
      </w:r>
      <w:r w:rsidRPr="001E30D4">
        <w:rPr>
          <w:rFonts w:ascii="Palatino Linotype" w:eastAsia="Palatino Linotype" w:hAnsi="Palatino Linotype" w:cs="Palatino Linotype"/>
          <w:sz w:val="22"/>
          <w:szCs w:val="22"/>
        </w:rPr>
        <w:t xml:space="preserve"> </w:t>
      </w:r>
      <w:r w:rsidRPr="001E30D4">
        <w:rPr>
          <w:rFonts w:ascii="Palatino Linotype" w:eastAsia="Palatino Linotype" w:hAnsi="Palatino Linotype" w:cs="Palatino Linotype"/>
          <w:b/>
          <w:sz w:val="22"/>
          <w:szCs w:val="22"/>
        </w:rPr>
        <w:t>SAIMEX</w:t>
      </w:r>
      <w:r w:rsidRPr="001E30D4">
        <w:rPr>
          <w:rFonts w:ascii="Palatino Linotype" w:eastAsia="Palatino Linotype" w:hAnsi="Palatino Linotype" w:cs="Palatino Linotype"/>
          <w:sz w:val="22"/>
          <w:szCs w:val="22"/>
        </w:rPr>
        <w:t>.</w:t>
      </w:r>
    </w:p>
    <w:p w14:paraId="64FCAC63" w14:textId="77777777" w:rsidR="00F55BA5" w:rsidRPr="001E30D4" w:rsidRDefault="00F55BA5">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4C6E4FFE"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1E30D4">
        <w:rPr>
          <w:rFonts w:ascii="Palatino Linotype" w:eastAsia="Palatino Linotype" w:hAnsi="Palatino Linotype" w:cs="Palatino Linotype"/>
          <w:b/>
          <w:sz w:val="22"/>
          <w:szCs w:val="22"/>
        </w:rPr>
        <w:t>RECURRENTE</w:t>
      </w:r>
      <w:r w:rsidRPr="001E30D4">
        <w:rPr>
          <w:rFonts w:ascii="Palatino Linotype" w:eastAsia="Palatino Linotype" w:hAnsi="Palatino Linotype" w:cs="Palatino Linotype"/>
          <w:sz w:val="22"/>
          <w:szCs w:val="22"/>
        </w:rPr>
        <w:t>, en términos del artículo 179, fracción VII del ordenamiento legal de la materia, que a la letra dice:</w:t>
      </w:r>
    </w:p>
    <w:p w14:paraId="3EFFB10B"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7237D0CE" w14:textId="77777777" w:rsidR="00F55BA5" w:rsidRPr="001E30D4" w:rsidRDefault="00C34D9E">
      <w:pPr>
        <w:ind w:left="567" w:right="616"/>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i/>
          <w:sz w:val="22"/>
          <w:szCs w:val="22"/>
        </w:rPr>
        <w:t>“</w:t>
      </w:r>
      <w:r w:rsidRPr="001E30D4">
        <w:rPr>
          <w:rFonts w:ascii="Palatino Linotype" w:eastAsia="Palatino Linotype" w:hAnsi="Palatino Linotype" w:cs="Palatino Linotype"/>
          <w:b/>
          <w:sz w:val="22"/>
          <w:szCs w:val="22"/>
        </w:rPr>
        <w:t>Artículo 179.</w:t>
      </w:r>
      <w:r w:rsidRPr="001E30D4">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1E30D4">
        <w:rPr>
          <w:rFonts w:ascii="Palatino Linotype" w:eastAsia="Palatino Linotype" w:hAnsi="Palatino Linotype" w:cs="Palatino Linotype"/>
          <w:sz w:val="22"/>
          <w:szCs w:val="22"/>
        </w:rPr>
        <w:t> </w:t>
      </w:r>
    </w:p>
    <w:p w14:paraId="6252588F" w14:textId="77777777" w:rsidR="00F55BA5" w:rsidRPr="001E30D4" w:rsidRDefault="00C34D9E">
      <w:pPr>
        <w:ind w:left="567" w:right="616"/>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w:t>
      </w:r>
    </w:p>
    <w:p w14:paraId="0C1C4B2E" w14:textId="77777777" w:rsidR="00F55BA5" w:rsidRPr="001E30D4" w:rsidRDefault="00C34D9E">
      <w:pPr>
        <w:numPr>
          <w:ilvl w:val="0"/>
          <w:numId w:val="4"/>
        </w:numPr>
        <w:ind w:left="567" w:right="616" w:firstLine="0"/>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La falta de respuesta a una solicitud de acceso a la información…</w:t>
      </w:r>
    </w:p>
    <w:p w14:paraId="347CE666" w14:textId="77777777" w:rsidR="00F55BA5" w:rsidRPr="001E30D4" w:rsidRDefault="00F55BA5">
      <w:pPr>
        <w:spacing w:line="360" w:lineRule="auto"/>
        <w:ind w:right="1041"/>
        <w:jc w:val="both"/>
        <w:rPr>
          <w:rFonts w:ascii="Palatino Linotype" w:eastAsia="Palatino Linotype" w:hAnsi="Palatino Linotype" w:cs="Palatino Linotype"/>
          <w:i/>
          <w:sz w:val="22"/>
          <w:szCs w:val="22"/>
        </w:rPr>
      </w:pPr>
    </w:p>
    <w:p w14:paraId="369FA3DB" w14:textId="77777777" w:rsidR="00F55BA5" w:rsidRPr="001E30D4" w:rsidRDefault="00C34D9E">
      <w:pPr>
        <w:tabs>
          <w:tab w:val="left" w:pos="8647"/>
        </w:tabs>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Tercero. Materia de la revisión. </w:t>
      </w:r>
      <w:r w:rsidRPr="001E30D4">
        <w:rPr>
          <w:rFonts w:ascii="Palatino Linotype" w:eastAsia="Palatino Linotype" w:hAnsi="Palatino Linotype" w:cs="Palatino Linotype"/>
          <w:sz w:val="22"/>
          <w:szCs w:val="22"/>
        </w:rPr>
        <w:t xml:space="preserve">Este Organismo Garante procede del análisis de los agravios hechos valer por la parte </w:t>
      </w:r>
      <w:r w:rsidRPr="001E30D4">
        <w:rPr>
          <w:rFonts w:ascii="Palatino Linotype" w:eastAsia="Palatino Linotype" w:hAnsi="Palatino Linotype" w:cs="Palatino Linotype"/>
          <w:b/>
          <w:sz w:val="22"/>
          <w:szCs w:val="22"/>
        </w:rPr>
        <w:t>Recurrente</w:t>
      </w:r>
      <w:r w:rsidRPr="001E30D4">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255DE95E" w14:textId="77777777" w:rsidR="00F55BA5" w:rsidRPr="001E30D4" w:rsidRDefault="00F55BA5">
      <w:pPr>
        <w:tabs>
          <w:tab w:val="left" w:pos="8647"/>
        </w:tabs>
        <w:spacing w:line="360" w:lineRule="auto"/>
        <w:jc w:val="both"/>
        <w:rPr>
          <w:rFonts w:ascii="Palatino Linotype" w:eastAsia="Palatino Linotype" w:hAnsi="Palatino Linotype" w:cs="Palatino Linotype"/>
          <w:sz w:val="22"/>
          <w:szCs w:val="22"/>
        </w:rPr>
      </w:pPr>
    </w:p>
    <w:p w14:paraId="1ECE88B4"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Cuarto. Estudio del asunto. </w:t>
      </w:r>
      <w:r w:rsidRPr="001E30D4">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1E30D4">
        <w:rPr>
          <w:rFonts w:ascii="Palatino Linotype" w:eastAsia="Palatino Linotype" w:hAnsi="Palatino Linotype" w:cs="Palatino Linotype"/>
          <w:b/>
          <w:sz w:val="22"/>
          <w:szCs w:val="22"/>
        </w:rPr>
        <w:t xml:space="preserve">Sujeto Obligado </w:t>
      </w:r>
      <w:r w:rsidRPr="001E30D4">
        <w:rPr>
          <w:rFonts w:ascii="Palatino Linotype" w:eastAsia="Palatino Linotype" w:hAnsi="Palatino Linotype" w:cs="Palatino Linotype"/>
          <w:sz w:val="22"/>
          <w:szCs w:val="22"/>
        </w:rPr>
        <w:t xml:space="preserve">no dio respuesta a la solicitud de información planteada por la parte </w:t>
      </w:r>
      <w:r w:rsidRPr="001E30D4">
        <w:rPr>
          <w:rFonts w:ascii="Palatino Linotype" w:eastAsia="Palatino Linotype" w:hAnsi="Palatino Linotype" w:cs="Palatino Linotype"/>
          <w:b/>
          <w:sz w:val="22"/>
          <w:szCs w:val="22"/>
        </w:rPr>
        <w:t>Recurrente</w:t>
      </w:r>
      <w:r w:rsidRPr="001E30D4">
        <w:rPr>
          <w:rFonts w:ascii="Palatino Linotype" w:eastAsia="Palatino Linotype" w:hAnsi="Palatino Linotype" w:cs="Palatino Linotype"/>
          <w:sz w:val="22"/>
          <w:szCs w:val="22"/>
        </w:rPr>
        <w:t xml:space="preserve">, lo que se traduce como la configuración de la </w:t>
      </w:r>
      <w:r w:rsidRPr="001E30D4">
        <w:rPr>
          <w:rFonts w:ascii="Palatino Linotype" w:eastAsia="Palatino Linotype" w:hAnsi="Palatino Linotype" w:cs="Palatino Linotype"/>
          <w:b/>
          <w:sz w:val="22"/>
          <w:szCs w:val="22"/>
        </w:rPr>
        <w:t>negativa ficta</w:t>
      </w:r>
      <w:r w:rsidRPr="001E30D4">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no emitió respuesta a la solicitud de información, dentro del plazo legal previsto para ello.</w:t>
      </w:r>
    </w:p>
    <w:p w14:paraId="745F14CA"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7EAD7A72"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1E30D4">
        <w:rPr>
          <w:rFonts w:ascii="Palatino Linotype" w:eastAsia="Palatino Linotype" w:hAnsi="Palatino Linotype" w:cs="Palatino Linotype"/>
          <w:b/>
          <w:sz w:val="22"/>
          <w:szCs w:val="22"/>
        </w:rPr>
        <w:t>Recurrente</w:t>
      </w:r>
      <w:r w:rsidRPr="001E30D4">
        <w:rPr>
          <w:rFonts w:ascii="Palatino Linotype" w:eastAsia="Palatino Linotype" w:hAnsi="Palatino Linotype" w:cs="Palatino Linotype"/>
          <w:sz w:val="22"/>
          <w:szCs w:val="22"/>
        </w:rPr>
        <w:t xml:space="preserve">, se advierte que requirió al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le proporcionara, información consistente en lo siguiente:</w:t>
      </w:r>
    </w:p>
    <w:p w14:paraId="603F6B5C" w14:textId="77777777" w:rsidR="00F55BA5" w:rsidRPr="001E30D4" w:rsidRDefault="00C34D9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“Por medio del presente y con fundamento en lo dispuesto por los artículos 6º de la Constitución Política de los Estados Unidos Mexicanos, así como lo establecido en la Ley de Transparencia y Acceso a la Información Pública del Estado de México y Municipios, solicito de manera respetuosa se me proporcione la siguiente información: Monto total erogado por el Ayuntamiento de Texcoco para la organización del evento conmemorativo de la Independencia de México realizado el día lunes 15 de septiembre de 2025 en la cabecera municipal. Desglose de gastos por cada concepto, incluyendo: Contratación de artistas y grupos musicales (Tremenda Brisza, Cumbia Live, La Típica, Tenochtitlan el Inicio, Ballet Folklórico de México, Vero G, La Apuesta, Los Askis de la Ilusión). Servicios de logística, escenario, sonido, iluminación y video mapping. Honorarios, viáticos y cualquier otro pago relacionado con la ceremonia y el evento. Copia de los contratos y facturas generadas para la realización de dicho evento. En su caso, informar si hubo patrocinios o aportaciones externas y el monto recibido. “(Sic)</w:t>
      </w:r>
    </w:p>
    <w:p w14:paraId="7C06A3AD" w14:textId="77777777" w:rsidR="00F55BA5" w:rsidRPr="001E30D4" w:rsidRDefault="00F55BA5">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25C21C56"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2C5C5B8"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183ED958" w14:textId="77777777" w:rsidR="00F55BA5" w:rsidRPr="001E30D4" w:rsidRDefault="00C34D9E">
      <w:pPr>
        <w:tabs>
          <w:tab w:val="left" w:pos="709"/>
        </w:tabs>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E24D2F8" w14:textId="77777777" w:rsidR="00F55BA5" w:rsidRPr="001E30D4" w:rsidRDefault="00F55BA5">
      <w:pPr>
        <w:tabs>
          <w:tab w:val="left" w:pos="709"/>
        </w:tabs>
        <w:spacing w:line="360" w:lineRule="auto"/>
        <w:jc w:val="both"/>
        <w:rPr>
          <w:rFonts w:ascii="Palatino Linotype" w:eastAsia="Palatino Linotype" w:hAnsi="Palatino Linotype" w:cs="Palatino Linotype"/>
          <w:sz w:val="22"/>
          <w:szCs w:val="22"/>
        </w:rPr>
      </w:pPr>
    </w:p>
    <w:p w14:paraId="25BE514E" w14:textId="77777777" w:rsidR="00F55BA5" w:rsidRPr="001E30D4" w:rsidRDefault="00C34D9E">
      <w:pPr>
        <w:tabs>
          <w:tab w:val="left" w:pos="709"/>
        </w:tabs>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E30D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141F5AE" w14:textId="77777777" w:rsidR="00F55BA5" w:rsidRPr="001E30D4" w:rsidRDefault="00C34D9E">
      <w:pPr>
        <w:tabs>
          <w:tab w:val="left" w:pos="709"/>
        </w:tabs>
        <w:spacing w:line="276" w:lineRule="auto"/>
        <w:ind w:left="567" w:right="851"/>
        <w:jc w:val="both"/>
        <w:rPr>
          <w:rFonts w:ascii="Palatino Linotype" w:eastAsia="Palatino Linotype" w:hAnsi="Palatino Linotype" w:cs="Palatino Linotype"/>
          <w:b/>
          <w:i/>
          <w:sz w:val="22"/>
          <w:szCs w:val="22"/>
        </w:rPr>
      </w:pPr>
      <w:r w:rsidRPr="001E30D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A7ACD9C" w14:textId="77777777" w:rsidR="00F55BA5" w:rsidRPr="001E30D4" w:rsidRDefault="00C34D9E">
      <w:pPr>
        <w:tabs>
          <w:tab w:val="left" w:pos="709"/>
        </w:tabs>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E30D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42E9265" w14:textId="77777777" w:rsidR="00F55BA5" w:rsidRPr="001E30D4" w:rsidRDefault="00C34D9E">
      <w:pPr>
        <w:tabs>
          <w:tab w:val="left" w:pos="709"/>
        </w:tabs>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w:t>
      </w:r>
    </w:p>
    <w:p w14:paraId="49B2F36C" w14:textId="77777777" w:rsidR="00F55BA5" w:rsidRPr="001E30D4" w:rsidRDefault="00C34D9E">
      <w:pPr>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“Artículo 6o.</w:t>
      </w:r>
    </w:p>
    <w:p w14:paraId="7131620E" w14:textId="77777777" w:rsidR="00F55BA5" w:rsidRPr="001E30D4" w:rsidRDefault="00C34D9E">
      <w:pPr>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w:t>
      </w:r>
    </w:p>
    <w:p w14:paraId="0E8B9B8A" w14:textId="77777777" w:rsidR="00F55BA5" w:rsidRPr="001E30D4" w:rsidRDefault="00C34D9E">
      <w:pPr>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A. Para el ejercicio del derecho de acceso a la información, la Federación y </w:t>
      </w:r>
      <w:r w:rsidRPr="001E30D4">
        <w:rPr>
          <w:rFonts w:ascii="Palatino Linotype" w:eastAsia="Palatino Linotype" w:hAnsi="Palatino Linotype" w:cs="Palatino Linotype"/>
          <w:b/>
          <w:i/>
          <w:sz w:val="22"/>
          <w:szCs w:val="22"/>
          <w:u w:val="single"/>
        </w:rPr>
        <w:t>las entidades federativas</w:t>
      </w:r>
      <w:r w:rsidRPr="001E30D4">
        <w:rPr>
          <w:rFonts w:ascii="Palatino Linotype" w:eastAsia="Palatino Linotype" w:hAnsi="Palatino Linotype" w:cs="Palatino Linotype"/>
          <w:b/>
          <w:i/>
          <w:sz w:val="22"/>
          <w:szCs w:val="22"/>
        </w:rPr>
        <w:t>,</w:t>
      </w:r>
      <w:r w:rsidRPr="001E30D4">
        <w:rPr>
          <w:rFonts w:ascii="Palatino Linotype" w:eastAsia="Palatino Linotype" w:hAnsi="Palatino Linotype" w:cs="Palatino Linotype"/>
          <w:i/>
          <w:sz w:val="22"/>
          <w:szCs w:val="22"/>
        </w:rPr>
        <w:t xml:space="preserve"> en el ámbito de sus respectivas competencias, se regirán por los siguientes principios y bases:</w:t>
      </w:r>
    </w:p>
    <w:p w14:paraId="1CDAB8B4" w14:textId="77777777" w:rsidR="00F55BA5" w:rsidRPr="001E30D4" w:rsidRDefault="00C34D9E">
      <w:pPr>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 </w:t>
      </w:r>
      <w:r w:rsidRPr="001E30D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E30D4">
        <w:rPr>
          <w:rFonts w:ascii="Palatino Linotype" w:eastAsia="Palatino Linotype" w:hAnsi="Palatino Linotype" w:cs="Palatino Linotype"/>
          <w:i/>
          <w:sz w:val="22"/>
          <w:szCs w:val="22"/>
        </w:rPr>
        <w:t xml:space="preserve"> Ejecutivo, Legislativo </w:t>
      </w:r>
      <w:r w:rsidRPr="001E30D4">
        <w:rPr>
          <w:rFonts w:ascii="Palatino Linotype" w:eastAsia="Palatino Linotype" w:hAnsi="Palatino Linotype" w:cs="Palatino Linotype"/>
          <w:b/>
          <w:i/>
          <w:sz w:val="22"/>
          <w:szCs w:val="22"/>
          <w:u w:val="single"/>
        </w:rPr>
        <w:t>y Judicial</w:t>
      </w:r>
      <w:r w:rsidRPr="001E30D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E30D4">
        <w:rPr>
          <w:rFonts w:ascii="Palatino Linotype" w:eastAsia="Palatino Linotype" w:hAnsi="Palatino Linotype" w:cs="Palatino Linotype"/>
          <w:b/>
          <w:i/>
          <w:sz w:val="22"/>
          <w:szCs w:val="22"/>
        </w:rPr>
        <w:t>es pública y sólo podrá ser reservada temporalmente por razones de interés público y seguridad nacional,</w:t>
      </w:r>
      <w:r w:rsidRPr="001E30D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EC9461" w14:textId="77777777" w:rsidR="00F55BA5" w:rsidRPr="001E30D4" w:rsidRDefault="00C34D9E">
      <w:pPr>
        <w:spacing w:line="276" w:lineRule="auto"/>
        <w:ind w:left="567" w:right="851"/>
        <w:jc w:val="both"/>
        <w:rPr>
          <w:rFonts w:ascii="Palatino Linotype" w:eastAsia="Palatino Linotype" w:hAnsi="Palatino Linotype" w:cs="Palatino Linotype"/>
          <w:b/>
          <w:i/>
          <w:sz w:val="22"/>
          <w:szCs w:val="22"/>
        </w:rPr>
      </w:pPr>
      <w:r w:rsidRPr="001E30D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8050F8D" w14:textId="77777777" w:rsidR="00F55BA5" w:rsidRPr="001E30D4" w:rsidRDefault="00C34D9E">
      <w:pPr>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III. </w:t>
      </w:r>
      <w:r w:rsidRPr="001E30D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E30D4">
        <w:rPr>
          <w:rFonts w:ascii="Palatino Linotype" w:eastAsia="Palatino Linotype" w:hAnsi="Palatino Linotype" w:cs="Palatino Linotype"/>
          <w:i/>
          <w:sz w:val="22"/>
          <w:szCs w:val="22"/>
        </w:rPr>
        <w:t xml:space="preserve"> a sus datos personales o a la rectificación de éstos.</w:t>
      </w:r>
    </w:p>
    <w:p w14:paraId="0532648D" w14:textId="77777777" w:rsidR="00F55BA5" w:rsidRPr="001E30D4" w:rsidRDefault="00C34D9E">
      <w:pPr>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IV.</w:t>
      </w:r>
      <w:r w:rsidRPr="001E30D4">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9481DE8" w14:textId="77777777" w:rsidR="00F55BA5" w:rsidRPr="001E30D4" w:rsidRDefault="00C34D9E">
      <w:pPr>
        <w:spacing w:line="276" w:lineRule="auto"/>
        <w:ind w:left="567" w:right="851"/>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V. </w:t>
      </w:r>
      <w:r w:rsidRPr="001E30D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B03F52" w14:textId="77777777" w:rsidR="00F55BA5" w:rsidRPr="001E30D4" w:rsidRDefault="00F55BA5">
      <w:pPr>
        <w:spacing w:line="276" w:lineRule="auto"/>
        <w:ind w:left="567" w:right="851"/>
        <w:jc w:val="both"/>
        <w:rPr>
          <w:rFonts w:ascii="Palatino Linotype" w:eastAsia="Palatino Linotype" w:hAnsi="Palatino Linotype" w:cs="Palatino Linotype"/>
          <w:b/>
          <w:i/>
          <w:sz w:val="22"/>
          <w:szCs w:val="22"/>
        </w:rPr>
      </w:pPr>
    </w:p>
    <w:p w14:paraId="2A7A1850" w14:textId="77777777" w:rsidR="00F55BA5" w:rsidRPr="001E30D4" w:rsidRDefault="00F55BA5">
      <w:pPr>
        <w:spacing w:line="360" w:lineRule="auto"/>
        <w:ind w:left="567" w:right="851"/>
        <w:jc w:val="both"/>
        <w:rPr>
          <w:rFonts w:ascii="Palatino Linotype" w:eastAsia="Palatino Linotype" w:hAnsi="Palatino Linotype" w:cs="Palatino Linotype"/>
          <w:i/>
          <w:sz w:val="22"/>
          <w:szCs w:val="22"/>
        </w:rPr>
      </w:pPr>
    </w:p>
    <w:p w14:paraId="290381A4" w14:textId="77777777" w:rsidR="00F55BA5" w:rsidRPr="001E30D4" w:rsidRDefault="00C34D9E">
      <w:pPr>
        <w:tabs>
          <w:tab w:val="left" w:pos="709"/>
        </w:tabs>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06913C7C" w14:textId="77777777" w:rsidR="00F55BA5" w:rsidRPr="001E30D4" w:rsidRDefault="00F55BA5">
      <w:pPr>
        <w:tabs>
          <w:tab w:val="left" w:pos="709"/>
        </w:tabs>
        <w:spacing w:line="360" w:lineRule="auto"/>
        <w:jc w:val="both"/>
        <w:rPr>
          <w:rFonts w:ascii="Palatino Linotype" w:eastAsia="Palatino Linotype" w:hAnsi="Palatino Linotype" w:cs="Palatino Linotype"/>
          <w:sz w:val="22"/>
          <w:szCs w:val="22"/>
        </w:rPr>
      </w:pPr>
    </w:p>
    <w:p w14:paraId="0CCA149A"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3F850A39"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6DE601F9"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w:t>
      </w:r>
      <w:r w:rsidRPr="001E30D4">
        <w:rPr>
          <w:rFonts w:ascii="Palatino Linotype" w:eastAsia="Palatino Linotype" w:hAnsi="Palatino Linotype" w:cs="Palatino Linotype"/>
          <w:b/>
          <w:i/>
          <w:sz w:val="22"/>
          <w:szCs w:val="22"/>
        </w:rPr>
        <w:t>Artículo 23. Son sujetos obligados a transparentar y permitir el acceso a su información y proteger los datos personales que obren en su poder</w:t>
      </w:r>
      <w:r w:rsidRPr="001E30D4">
        <w:rPr>
          <w:rFonts w:ascii="Palatino Linotype" w:eastAsia="Palatino Linotype" w:hAnsi="Palatino Linotype" w:cs="Palatino Linotype"/>
          <w:i/>
          <w:sz w:val="22"/>
          <w:szCs w:val="22"/>
        </w:rPr>
        <w:t>:</w:t>
      </w:r>
    </w:p>
    <w:p w14:paraId="2BE6A26C"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b/>
          <w:i/>
          <w:sz w:val="22"/>
          <w:szCs w:val="22"/>
        </w:rPr>
      </w:pPr>
      <w:r w:rsidRPr="001E30D4">
        <w:rPr>
          <w:rFonts w:ascii="Palatino Linotype" w:eastAsia="Palatino Linotype" w:hAnsi="Palatino Linotype" w:cs="Palatino Linotype"/>
          <w:b/>
          <w:i/>
          <w:sz w:val="22"/>
          <w:szCs w:val="22"/>
        </w:rPr>
        <w:t>I.</w:t>
      </w:r>
      <w:r w:rsidRPr="001E30D4">
        <w:rPr>
          <w:rFonts w:ascii="Palatino Linotype" w:eastAsia="Palatino Linotype" w:hAnsi="Palatino Linotype" w:cs="Palatino Linotype"/>
          <w:i/>
          <w:sz w:val="22"/>
          <w:szCs w:val="22"/>
        </w:rPr>
        <w:t xml:space="preserve"> El Poder Ejecutivo del Estado de México, las dependencias, organismos auxiliares,</w:t>
      </w:r>
      <w:r w:rsidRPr="001E30D4">
        <w:rPr>
          <w:rFonts w:ascii="Palatino Linotype" w:eastAsia="Palatino Linotype" w:hAnsi="Palatino Linotype" w:cs="Palatino Linotype"/>
          <w:b/>
          <w:i/>
          <w:sz w:val="22"/>
          <w:szCs w:val="22"/>
        </w:rPr>
        <w:t xml:space="preserve"> </w:t>
      </w:r>
      <w:r w:rsidRPr="001E30D4">
        <w:rPr>
          <w:rFonts w:ascii="Palatino Linotype" w:eastAsia="Palatino Linotype" w:hAnsi="Palatino Linotype" w:cs="Palatino Linotype"/>
          <w:i/>
          <w:sz w:val="22"/>
          <w:szCs w:val="22"/>
        </w:rPr>
        <w:t>órganos, entidades, fideicomisos y fondos públicos, así como la Procuraduría General de Justicia;</w:t>
      </w:r>
    </w:p>
    <w:p w14:paraId="49F1D18A"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II.</w:t>
      </w:r>
      <w:r w:rsidRPr="001E30D4">
        <w:rPr>
          <w:rFonts w:ascii="Palatino Linotype" w:eastAsia="Palatino Linotype" w:hAnsi="Palatino Linotype" w:cs="Palatino Linotype"/>
          <w:i/>
          <w:sz w:val="22"/>
          <w:szCs w:val="22"/>
        </w:rPr>
        <w:t xml:space="preserve"> El Poder Legislativo del Estado, los organismos, órganos y entidades de la Legislatura y sus dependencias;</w:t>
      </w:r>
    </w:p>
    <w:p w14:paraId="5D007FD6"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III.</w:t>
      </w:r>
      <w:r w:rsidRPr="001E30D4">
        <w:rPr>
          <w:rFonts w:ascii="Palatino Linotype" w:eastAsia="Palatino Linotype" w:hAnsi="Palatino Linotype" w:cs="Palatino Linotype"/>
          <w:i/>
          <w:sz w:val="22"/>
          <w:szCs w:val="22"/>
        </w:rPr>
        <w:t xml:space="preserve"> El Poder Judicial, sus organismos, órganos y entidades, así como el Consejo de la Judicatura del Estado;</w:t>
      </w:r>
    </w:p>
    <w:p w14:paraId="77351360"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b/>
          <w:i/>
          <w:sz w:val="22"/>
          <w:szCs w:val="22"/>
        </w:rPr>
      </w:pPr>
      <w:r w:rsidRPr="001E30D4">
        <w:rPr>
          <w:rFonts w:ascii="Palatino Linotype" w:eastAsia="Palatino Linotype" w:hAnsi="Palatino Linotype" w:cs="Palatino Linotype"/>
          <w:b/>
          <w:i/>
          <w:sz w:val="22"/>
          <w:szCs w:val="22"/>
        </w:rPr>
        <w:t>IV. Los ayuntamientos y las dependencias, organismos, órganos y entidades de la administración municipal;</w:t>
      </w:r>
    </w:p>
    <w:p w14:paraId="4A353386"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V.</w:t>
      </w:r>
      <w:r w:rsidRPr="001E30D4">
        <w:rPr>
          <w:rFonts w:ascii="Palatino Linotype" w:eastAsia="Palatino Linotype" w:hAnsi="Palatino Linotype" w:cs="Palatino Linotype"/>
          <w:i/>
          <w:sz w:val="22"/>
          <w:szCs w:val="22"/>
        </w:rPr>
        <w:t xml:space="preserve"> Los órganos autónomos;</w:t>
      </w:r>
    </w:p>
    <w:p w14:paraId="76067A03"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VI.</w:t>
      </w:r>
      <w:r w:rsidRPr="001E30D4">
        <w:rPr>
          <w:rFonts w:ascii="Palatino Linotype" w:eastAsia="Palatino Linotype" w:hAnsi="Palatino Linotype" w:cs="Palatino Linotype"/>
          <w:i/>
          <w:sz w:val="22"/>
          <w:szCs w:val="22"/>
        </w:rPr>
        <w:t xml:space="preserve"> Los tribunales administrativos y autoridades jurisdiccionales en materia laboral;</w:t>
      </w:r>
    </w:p>
    <w:p w14:paraId="7183B93A"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VII.</w:t>
      </w:r>
      <w:r w:rsidRPr="001E30D4">
        <w:rPr>
          <w:rFonts w:ascii="Palatino Linotype" w:eastAsia="Palatino Linotype" w:hAnsi="Palatino Linotype" w:cs="Palatino Linotype"/>
          <w:i/>
          <w:sz w:val="22"/>
          <w:szCs w:val="22"/>
        </w:rPr>
        <w:t xml:space="preserve"> Los partidos políticos y agrupaciones políticas, en los términos de las disposiciones aplicables;</w:t>
      </w:r>
    </w:p>
    <w:p w14:paraId="6565D4E3"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VIII.</w:t>
      </w:r>
      <w:r w:rsidRPr="001E30D4">
        <w:rPr>
          <w:rFonts w:ascii="Palatino Linotype" w:eastAsia="Palatino Linotype" w:hAnsi="Palatino Linotype" w:cs="Palatino Linotype"/>
          <w:i/>
          <w:sz w:val="22"/>
          <w:szCs w:val="22"/>
        </w:rPr>
        <w:t xml:space="preserve"> Los fideicomisos y fondos públicos que cuenten con financiamiento público, parcial o total, o con participación de entidades de gobierno;</w:t>
      </w:r>
    </w:p>
    <w:p w14:paraId="0EA4FB2F"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IX.</w:t>
      </w:r>
      <w:r w:rsidRPr="001E30D4">
        <w:rPr>
          <w:rFonts w:ascii="Palatino Linotype" w:eastAsia="Palatino Linotype" w:hAnsi="Palatino Linotype" w:cs="Palatino Linotype"/>
          <w:i/>
          <w:sz w:val="22"/>
          <w:szCs w:val="22"/>
        </w:rPr>
        <w:t xml:space="preserve"> Los sindicatos que reciban y/o ejerzan recursos públicos en el ámbito estatal y municipal;</w:t>
      </w:r>
    </w:p>
    <w:p w14:paraId="6A44F112"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X.</w:t>
      </w:r>
      <w:r w:rsidRPr="001E30D4">
        <w:rPr>
          <w:rFonts w:ascii="Palatino Linotype" w:eastAsia="Palatino Linotype" w:hAnsi="Palatino Linotype" w:cs="Palatino Linotype"/>
          <w:i/>
          <w:sz w:val="22"/>
          <w:szCs w:val="22"/>
        </w:rPr>
        <w:t xml:space="preserve"> Cualquier persona física o jurídico colectiva que reciba y ejerza recursos públicos en el ámbito estatal o municipal; y</w:t>
      </w:r>
    </w:p>
    <w:p w14:paraId="71E125D0"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XI.</w:t>
      </w:r>
      <w:r w:rsidRPr="001E30D4">
        <w:rPr>
          <w:rFonts w:ascii="Palatino Linotype" w:eastAsia="Palatino Linotype" w:hAnsi="Palatino Linotype" w:cs="Palatino Linotype"/>
          <w:i/>
          <w:sz w:val="22"/>
          <w:szCs w:val="22"/>
        </w:rPr>
        <w:t xml:space="preserve"> Cualquier otra autoridad, entidad, órgano u organismo de los poderes estatal o municipal, que reciba recursos públicos.</w:t>
      </w:r>
    </w:p>
    <w:p w14:paraId="65749A71"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555C0E2" w14:textId="77777777" w:rsidR="00F55BA5" w:rsidRPr="001E30D4" w:rsidRDefault="00C34D9E">
      <w:pPr>
        <w:tabs>
          <w:tab w:val="left" w:pos="7655"/>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Los servidores públicos deberán transparentar sus acciones, así como garantizar y respetar el derecho de acceso a la información pública</w:t>
      </w:r>
      <w:r w:rsidRPr="001E30D4">
        <w:rPr>
          <w:rFonts w:ascii="Palatino Linotype" w:eastAsia="Palatino Linotype" w:hAnsi="Palatino Linotype" w:cs="Palatino Linotype"/>
          <w:i/>
          <w:sz w:val="22"/>
          <w:szCs w:val="22"/>
        </w:rPr>
        <w:t>.”</w:t>
      </w:r>
    </w:p>
    <w:p w14:paraId="05D58428"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6B3BB524"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CA11246"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7A46EC5B"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0DE652AD"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57FE74D0" w14:textId="77777777" w:rsidR="00F55BA5" w:rsidRPr="001E30D4" w:rsidRDefault="00C34D9E">
      <w:pPr>
        <w:widowControl w:val="0"/>
        <w:tabs>
          <w:tab w:val="left" w:pos="1276"/>
        </w:tabs>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57D431B8" w14:textId="77777777" w:rsidR="00F55BA5" w:rsidRPr="001E30D4" w:rsidRDefault="00F55BA5">
      <w:pPr>
        <w:widowControl w:val="0"/>
        <w:tabs>
          <w:tab w:val="left" w:pos="1276"/>
        </w:tabs>
        <w:spacing w:line="360" w:lineRule="auto"/>
        <w:jc w:val="both"/>
        <w:rPr>
          <w:rFonts w:ascii="Palatino Linotype" w:eastAsia="Palatino Linotype" w:hAnsi="Palatino Linotype" w:cs="Palatino Linotype"/>
          <w:sz w:val="22"/>
          <w:szCs w:val="22"/>
        </w:rPr>
      </w:pPr>
    </w:p>
    <w:p w14:paraId="028437BD" w14:textId="77777777" w:rsidR="00F55BA5" w:rsidRPr="001E30D4" w:rsidRDefault="00C34D9E">
      <w:pPr>
        <w:widowControl w:val="0"/>
        <w:tabs>
          <w:tab w:val="left" w:pos="1276"/>
        </w:tabs>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55B039C"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2FA6491F"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95005C0"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2DF96846" w14:textId="77777777" w:rsidR="00F55BA5" w:rsidRPr="001E30D4" w:rsidRDefault="00C34D9E">
      <w:pPr>
        <w:widowControl w:val="0"/>
        <w:tabs>
          <w:tab w:val="left" w:pos="1276"/>
        </w:tabs>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42210E2" w14:textId="77777777" w:rsidR="00F55BA5" w:rsidRPr="001E30D4" w:rsidRDefault="00F55BA5">
      <w:pPr>
        <w:widowControl w:val="0"/>
        <w:tabs>
          <w:tab w:val="left" w:pos="1276"/>
        </w:tabs>
        <w:spacing w:line="360" w:lineRule="auto"/>
        <w:jc w:val="both"/>
        <w:rPr>
          <w:rFonts w:ascii="Palatino Linotype" w:eastAsia="Palatino Linotype" w:hAnsi="Palatino Linotype" w:cs="Palatino Linotype"/>
          <w:sz w:val="22"/>
          <w:szCs w:val="22"/>
        </w:rPr>
      </w:pPr>
    </w:p>
    <w:p w14:paraId="39EE8492"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0E60A00C"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2BE89905"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Sirve de sustento a lo anterior, el precepto legal en cita:</w:t>
      </w:r>
    </w:p>
    <w:p w14:paraId="15431230"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491D65D9" w14:textId="77777777" w:rsidR="00F55BA5" w:rsidRPr="001E30D4" w:rsidRDefault="00C34D9E">
      <w:pPr>
        <w:spacing w:line="276" w:lineRule="auto"/>
        <w:ind w:left="567" w:right="902"/>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w:t>
      </w:r>
      <w:r w:rsidRPr="001E30D4">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1E30D4">
        <w:rPr>
          <w:rFonts w:ascii="Palatino Linotype" w:eastAsia="Palatino Linotype" w:hAnsi="Palatino Linotype" w:cs="Palatino Linotype"/>
          <w:i/>
          <w:sz w:val="22"/>
          <w:szCs w:val="22"/>
        </w:rPr>
        <w:t xml:space="preserve">, contados a partir del día siguiente a la presentación de aquélla. </w:t>
      </w:r>
    </w:p>
    <w:p w14:paraId="07D90855" w14:textId="77777777" w:rsidR="00F55BA5" w:rsidRPr="001E30D4" w:rsidRDefault="00C34D9E">
      <w:pPr>
        <w:spacing w:line="276" w:lineRule="auto"/>
        <w:ind w:left="567" w:right="902"/>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C2157D5" w14:textId="77777777" w:rsidR="00F55BA5" w:rsidRPr="001E30D4" w:rsidRDefault="00F55BA5">
      <w:pPr>
        <w:spacing w:line="360" w:lineRule="auto"/>
        <w:ind w:left="851" w:right="902"/>
        <w:jc w:val="both"/>
        <w:rPr>
          <w:rFonts w:ascii="Palatino Linotype" w:eastAsia="Palatino Linotype" w:hAnsi="Palatino Linotype" w:cs="Palatino Linotype"/>
          <w:i/>
          <w:sz w:val="22"/>
          <w:szCs w:val="22"/>
        </w:rPr>
      </w:pPr>
    </w:p>
    <w:p w14:paraId="16334DA3"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En mérito de lo expuesto, es claro que en este caso el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49363617"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3FC5DBF5"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24942A69"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632BC0E7"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1E30D4">
        <w:rPr>
          <w:rFonts w:ascii="Palatino Linotype" w:eastAsia="Palatino Linotype" w:hAnsi="Palatino Linotype" w:cs="Palatino Linotype"/>
          <w:b/>
          <w:sz w:val="22"/>
          <w:szCs w:val="22"/>
        </w:rPr>
        <w:t>el Sujeto Obligado</w:t>
      </w:r>
      <w:r w:rsidRPr="001E30D4">
        <w:rPr>
          <w:rFonts w:ascii="Palatino Linotype" w:eastAsia="Palatino Linotype" w:hAnsi="Palatino Linotype" w:cs="Palatino Linotype"/>
          <w:sz w:val="22"/>
          <w:szCs w:val="22"/>
        </w:rPr>
        <w:t>; por lo que, en caso de no atender de manera positiva</w:t>
      </w:r>
      <w:r w:rsidRPr="001E30D4">
        <w:rPr>
          <w:rFonts w:ascii="Palatino Linotype" w:eastAsia="Palatino Linotype" w:hAnsi="Palatino Linotype" w:cs="Palatino Linotype"/>
          <w:sz w:val="22"/>
          <w:szCs w:val="22"/>
          <w:vertAlign w:val="superscript"/>
        </w:rPr>
        <w:footnoteReference w:id="2"/>
      </w:r>
      <w:r w:rsidRPr="001E30D4">
        <w:rPr>
          <w:rFonts w:ascii="Palatino Linotype" w:eastAsia="Palatino Linotype" w:hAnsi="Palatino Linotype" w:cs="Palatino Linotype"/>
          <w:sz w:val="22"/>
          <w:szCs w:val="22"/>
        </w:rPr>
        <w:t>, el requerimiento de información deberá manifestarse al respecto.</w:t>
      </w:r>
    </w:p>
    <w:p w14:paraId="2094580E"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7602C768"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63A8D511" w14:textId="77777777" w:rsidR="00F55BA5" w:rsidRPr="001E30D4" w:rsidRDefault="00C34D9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E30D4">
        <w:rPr>
          <w:rFonts w:ascii="Palatino Linotype" w:eastAsia="Palatino Linotype" w:hAnsi="Palatino Linotype" w:cs="Palatino Linotype"/>
          <w:b/>
          <w:sz w:val="22"/>
          <w:szCs w:val="22"/>
        </w:rPr>
        <w:t>De la clasificación de la información.</w:t>
      </w:r>
    </w:p>
    <w:p w14:paraId="5F02E9C8" w14:textId="77777777" w:rsidR="00F55BA5" w:rsidRPr="001E30D4" w:rsidRDefault="00F55BA5">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0DCF7A1F" w14:textId="77777777" w:rsidR="00F55BA5" w:rsidRPr="001E30D4" w:rsidRDefault="00C34D9E">
      <w:pPr>
        <w:spacing w:line="360" w:lineRule="auto"/>
        <w:ind w:right="51"/>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B8CB048" w14:textId="77777777" w:rsidR="00F55BA5" w:rsidRPr="001E30D4" w:rsidRDefault="00F55BA5">
      <w:pPr>
        <w:spacing w:line="360" w:lineRule="auto"/>
        <w:ind w:right="51"/>
        <w:jc w:val="both"/>
        <w:rPr>
          <w:rFonts w:ascii="Palatino Linotype" w:eastAsia="Palatino Linotype" w:hAnsi="Palatino Linotype" w:cs="Palatino Linotype"/>
          <w:sz w:val="22"/>
          <w:szCs w:val="22"/>
        </w:rPr>
      </w:pPr>
    </w:p>
    <w:p w14:paraId="0F539CC4" w14:textId="77777777" w:rsidR="00F55BA5" w:rsidRPr="001E30D4" w:rsidRDefault="00C34D9E">
      <w:pPr>
        <w:spacing w:line="276" w:lineRule="auto"/>
        <w:ind w:left="851" w:right="900"/>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“Artículo 91. </w:t>
      </w:r>
      <w:r w:rsidRPr="001E30D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5B1C02E" w14:textId="77777777" w:rsidR="00F55BA5" w:rsidRPr="001E30D4" w:rsidRDefault="00F55BA5">
      <w:pPr>
        <w:spacing w:line="360" w:lineRule="auto"/>
        <w:ind w:left="851" w:right="900"/>
        <w:jc w:val="both"/>
        <w:rPr>
          <w:rFonts w:ascii="Palatino Linotype" w:eastAsia="Palatino Linotype" w:hAnsi="Palatino Linotype" w:cs="Palatino Linotype"/>
          <w:i/>
          <w:sz w:val="22"/>
          <w:szCs w:val="22"/>
        </w:rPr>
      </w:pPr>
    </w:p>
    <w:p w14:paraId="5F26684B"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F7BFF4D"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32FE290E" w14:textId="77777777" w:rsidR="00F55BA5" w:rsidRPr="001E30D4" w:rsidRDefault="00F55BA5">
      <w:pPr>
        <w:tabs>
          <w:tab w:val="left" w:pos="567"/>
        </w:tabs>
        <w:spacing w:line="276" w:lineRule="auto"/>
        <w:ind w:left="567" w:right="616"/>
        <w:jc w:val="both"/>
        <w:rPr>
          <w:rFonts w:ascii="Palatino Linotype" w:eastAsia="Palatino Linotype" w:hAnsi="Palatino Linotype" w:cs="Palatino Linotype"/>
          <w:sz w:val="22"/>
          <w:szCs w:val="22"/>
        </w:rPr>
      </w:pPr>
    </w:p>
    <w:p w14:paraId="5B79D022"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“Artículo 140. </w:t>
      </w:r>
      <w:r w:rsidRPr="001E30D4">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6B327E38"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 </w:t>
      </w:r>
      <w:r w:rsidRPr="001E30D4">
        <w:rPr>
          <w:rFonts w:ascii="Palatino Linotype" w:eastAsia="Palatino Linotype" w:hAnsi="Palatino Linotype" w:cs="Palatino Linotype"/>
          <w:i/>
          <w:sz w:val="22"/>
          <w:szCs w:val="22"/>
        </w:rPr>
        <w:t>Comprometa la seguridad pública y cuente con un propósito genuino y un efecto demostrable;</w:t>
      </w:r>
    </w:p>
    <w:p w14:paraId="0B210A55"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II. </w:t>
      </w:r>
      <w:r w:rsidRPr="001E30D4">
        <w:rPr>
          <w:rFonts w:ascii="Palatino Linotype" w:eastAsia="Palatino Linotype" w:hAnsi="Palatino Linotype" w:cs="Palatino Linotype"/>
          <w:i/>
          <w:sz w:val="22"/>
          <w:szCs w:val="22"/>
        </w:rPr>
        <w:t>Pueda menoscabar la conducción de las negociaciones y relaciones internacionales;</w:t>
      </w:r>
    </w:p>
    <w:p w14:paraId="0D960638"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III. </w:t>
      </w:r>
      <w:r w:rsidRPr="001E30D4">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F7953AE"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IV. </w:t>
      </w:r>
      <w:r w:rsidRPr="001E30D4">
        <w:rPr>
          <w:rFonts w:ascii="Palatino Linotype" w:eastAsia="Palatino Linotype" w:hAnsi="Palatino Linotype" w:cs="Palatino Linotype"/>
          <w:i/>
          <w:sz w:val="22"/>
          <w:szCs w:val="22"/>
        </w:rPr>
        <w:t>Ponga en riesgo la vida, la seguridad o la salud de una persona física;</w:t>
      </w:r>
    </w:p>
    <w:p w14:paraId="7C8C2308"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V. </w:t>
      </w:r>
      <w:r w:rsidRPr="001E30D4">
        <w:rPr>
          <w:rFonts w:ascii="Palatino Linotype" w:eastAsia="Palatino Linotype" w:hAnsi="Palatino Linotype" w:cs="Palatino Linotype"/>
          <w:i/>
          <w:sz w:val="22"/>
          <w:szCs w:val="22"/>
        </w:rPr>
        <w:t>Aquella cuya divulgación obstruya o pueda causar un serio perjuicio a:</w:t>
      </w:r>
    </w:p>
    <w:p w14:paraId="2728EE88"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1. </w:t>
      </w:r>
      <w:r w:rsidRPr="001E30D4">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68539E5C"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2. </w:t>
      </w:r>
      <w:r w:rsidRPr="001E30D4">
        <w:rPr>
          <w:rFonts w:ascii="Palatino Linotype" w:eastAsia="Palatino Linotype" w:hAnsi="Palatino Linotype" w:cs="Palatino Linotype"/>
          <w:i/>
          <w:sz w:val="22"/>
          <w:szCs w:val="22"/>
        </w:rPr>
        <w:t>La recaudación de las contribuciones.</w:t>
      </w:r>
    </w:p>
    <w:p w14:paraId="6AEF3025"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VI. </w:t>
      </w:r>
      <w:r w:rsidRPr="001E30D4">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516FDE3"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VII. </w:t>
      </w:r>
      <w:r w:rsidRPr="001E30D4">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0E16F6D0"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VIII</w:t>
      </w:r>
      <w:r w:rsidRPr="001E30D4">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1E30D4">
        <w:rPr>
          <w:rFonts w:ascii="Palatino Linotype" w:eastAsia="Palatino Linotype" w:hAnsi="Palatino Linotype" w:cs="Palatino Linotype"/>
          <w:b/>
          <w:i/>
          <w:sz w:val="22"/>
          <w:szCs w:val="22"/>
        </w:rPr>
        <w:t>;</w:t>
      </w:r>
    </w:p>
    <w:p w14:paraId="22073B18"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IX. </w:t>
      </w:r>
      <w:r w:rsidRPr="001E30D4">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0A72BDAC"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X. </w:t>
      </w:r>
      <w:r w:rsidRPr="001E30D4">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EE31A91"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97F1787"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XI. </w:t>
      </w:r>
      <w:r w:rsidRPr="001E30D4">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3BB64A6B"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w:t>
      </w:r>
    </w:p>
    <w:p w14:paraId="5B51C36F"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Artículo 143. </w:t>
      </w:r>
      <w:r w:rsidRPr="001E30D4">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6AC36DFC"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 </w:t>
      </w:r>
      <w:r w:rsidRPr="001E30D4">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665F55A1"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II. </w:t>
      </w:r>
      <w:r w:rsidRPr="001E30D4">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264EFB4"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III. </w:t>
      </w:r>
      <w:r w:rsidRPr="001E30D4">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254CD403"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F6E483E" w14:textId="77777777" w:rsidR="00F55BA5" w:rsidRPr="001E30D4" w:rsidRDefault="00C34D9E">
      <w:pPr>
        <w:tabs>
          <w:tab w:val="left" w:pos="567"/>
        </w:tabs>
        <w:spacing w:line="276" w:lineRule="auto"/>
        <w:ind w:left="567" w:right="616"/>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4D61B23" w14:textId="77777777" w:rsidR="00F55BA5" w:rsidRPr="001E30D4" w:rsidRDefault="00F55BA5">
      <w:pPr>
        <w:tabs>
          <w:tab w:val="left" w:pos="567"/>
        </w:tabs>
        <w:spacing w:line="276" w:lineRule="auto"/>
        <w:ind w:left="567" w:right="616"/>
        <w:jc w:val="both"/>
        <w:rPr>
          <w:rFonts w:ascii="Palatino Linotype" w:eastAsia="Palatino Linotype" w:hAnsi="Palatino Linotype" w:cs="Palatino Linotype"/>
          <w:i/>
          <w:sz w:val="22"/>
          <w:szCs w:val="22"/>
        </w:rPr>
      </w:pPr>
    </w:p>
    <w:p w14:paraId="74DBD26C"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02468BB"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7FD28C32" w14:textId="77777777" w:rsidR="00F55BA5" w:rsidRPr="001E30D4" w:rsidRDefault="00C34D9E">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Se reciba una solicitud de acceso a la información;</w:t>
      </w:r>
    </w:p>
    <w:p w14:paraId="4B595831" w14:textId="77777777" w:rsidR="00F55BA5" w:rsidRPr="001E30D4" w:rsidRDefault="00C34D9E">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Se determine mediante resolución de autoridad competente; y/o</w:t>
      </w:r>
    </w:p>
    <w:p w14:paraId="3D993DB9" w14:textId="77777777" w:rsidR="00F55BA5" w:rsidRPr="001E30D4" w:rsidRDefault="00C34D9E">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Se generen versiones públicas para dar cumplimiento a las obligaciones de transparencia previstas en la Ley.</w:t>
      </w:r>
    </w:p>
    <w:p w14:paraId="3AE1A797" w14:textId="77777777" w:rsidR="00F55BA5" w:rsidRPr="001E30D4" w:rsidRDefault="00F55BA5">
      <w:pPr>
        <w:tabs>
          <w:tab w:val="left" w:pos="851"/>
        </w:tabs>
        <w:spacing w:line="360" w:lineRule="auto"/>
        <w:ind w:left="567"/>
        <w:jc w:val="both"/>
        <w:rPr>
          <w:rFonts w:ascii="Palatino Linotype" w:eastAsia="Palatino Linotype" w:hAnsi="Palatino Linotype" w:cs="Palatino Linotype"/>
          <w:sz w:val="22"/>
          <w:szCs w:val="22"/>
        </w:rPr>
      </w:pPr>
    </w:p>
    <w:p w14:paraId="7DE72D55" w14:textId="77777777" w:rsidR="00F55BA5" w:rsidRPr="001E30D4" w:rsidRDefault="00C34D9E">
      <w:pPr>
        <w:spacing w:line="360" w:lineRule="auto"/>
        <w:ind w:right="51"/>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1E30D4">
        <w:rPr>
          <w:rFonts w:ascii="Palatino Linotype" w:eastAsia="Palatino Linotype" w:hAnsi="Palatino Linotype" w:cs="Palatino Linotype"/>
          <w:sz w:val="22"/>
          <w:szCs w:val="22"/>
          <w:vertAlign w:val="superscript"/>
        </w:rPr>
        <w:footnoteReference w:id="3"/>
      </w:r>
      <w:r w:rsidRPr="001E30D4">
        <w:rPr>
          <w:rFonts w:ascii="Palatino Linotype" w:eastAsia="Palatino Linotype" w:hAnsi="Palatino Linotype" w:cs="Palatino Linotype"/>
          <w:sz w:val="22"/>
          <w:szCs w:val="22"/>
        </w:rPr>
        <w:t>, 53 fracción X</w:t>
      </w:r>
      <w:r w:rsidRPr="001E30D4">
        <w:rPr>
          <w:rFonts w:ascii="Palatino Linotype" w:eastAsia="Palatino Linotype" w:hAnsi="Palatino Linotype" w:cs="Palatino Linotype"/>
          <w:sz w:val="22"/>
          <w:szCs w:val="22"/>
          <w:vertAlign w:val="superscript"/>
        </w:rPr>
        <w:footnoteReference w:id="4"/>
      </w:r>
      <w:r w:rsidRPr="001E30D4">
        <w:rPr>
          <w:rFonts w:ascii="Palatino Linotype" w:eastAsia="Palatino Linotype" w:hAnsi="Palatino Linotype" w:cs="Palatino Linotype"/>
          <w:sz w:val="22"/>
          <w:szCs w:val="22"/>
        </w:rPr>
        <w:t>, y 49 fracciones II y VIII</w:t>
      </w:r>
      <w:r w:rsidRPr="001E30D4">
        <w:rPr>
          <w:rFonts w:ascii="Palatino Linotype" w:eastAsia="Palatino Linotype" w:hAnsi="Palatino Linotype" w:cs="Palatino Linotype"/>
          <w:sz w:val="22"/>
          <w:szCs w:val="22"/>
          <w:vertAlign w:val="superscript"/>
        </w:rPr>
        <w:footnoteReference w:id="5"/>
      </w:r>
      <w:r w:rsidRPr="001E30D4">
        <w:rPr>
          <w:rFonts w:ascii="Palatino Linotype" w:eastAsia="Palatino Linotype" w:hAnsi="Palatino Linotype" w:cs="Palatino Linotype"/>
          <w:sz w:val="22"/>
          <w:szCs w:val="22"/>
        </w:rPr>
        <w:t xml:space="preserve"> de la Ley de Transparencia y Acceso a la Información Pública del Estado de México y Municipios.</w:t>
      </w:r>
    </w:p>
    <w:p w14:paraId="28C32225" w14:textId="77777777" w:rsidR="00F55BA5" w:rsidRPr="001E30D4" w:rsidRDefault="00F55BA5">
      <w:pPr>
        <w:spacing w:line="360" w:lineRule="auto"/>
        <w:ind w:right="51"/>
        <w:jc w:val="both"/>
        <w:rPr>
          <w:rFonts w:ascii="Palatino Linotype" w:eastAsia="Palatino Linotype" w:hAnsi="Palatino Linotype" w:cs="Palatino Linotype"/>
          <w:sz w:val="22"/>
          <w:szCs w:val="22"/>
        </w:rPr>
      </w:pPr>
    </w:p>
    <w:p w14:paraId="6101C07A"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Bajo tales consideraciones, este Organismo Garante no omite señalar que, si el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advierte que la información solicitada contiene </w:t>
      </w:r>
      <w:r w:rsidRPr="001E30D4">
        <w:rPr>
          <w:rFonts w:ascii="Palatino Linotype" w:eastAsia="Palatino Linotype" w:hAnsi="Palatino Linotype" w:cs="Palatino Linotype"/>
          <w:b/>
          <w:sz w:val="22"/>
          <w:szCs w:val="22"/>
        </w:rPr>
        <w:t>datos personales</w:t>
      </w:r>
      <w:r w:rsidRPr="001E30D4">
        <w:rPr>
          <w:rFonts w:ascii="Palatino Linotype" w:eastAsia="Palatino Linotype" w:hAnsi="Palatino Linotype" w:cs="Palatino Linotype"/>
          <w:sz w:val="22"/>
          <w:szCs w:val="22"/>
        </w:rPr>
        <w:t xml:space="preserve"> que sean susceptibles de ser </w:t>
      </w:r>
      <w:r w:rsidRPr="001E30D4">
        <w:rPr>
          <w:rFonts w:ascii="Palatino Linotype" w:eastAsia="Palatino Linotype" w:hAnsi="Palatino Linotype" w:cs="Palatino Linotype"/>
          <w:b/>
          <w:sz w:val="22"/>
          <w:szCs w:val="22"/>
        </w:rPr>
        <w:t xml:space="preserve">clasificados como confidenciales, </w:t>
      </w:r>
      <w:r w:rsidRPr="001E30D4">
        <w:rPr>
          <w:rFonts w:ascii="Palatino Linotype" w:eastAsia="Palatino Linotype" w:hAnsi="Palatino Linotype" w:cs="Palatino Linotype"/>
          <w:sz w:val="22"/>
          <w:szCs w:val="22"/>
        </w:rPr>
        <w:t>o, si por otro lado</w:t>
      </w:r>
      <w:r w:rsidRPr="001E30D4">
        <w:rPr>
          <w:rFonts w:ascii="Palatino Linotype" w:eastAsia="Palatino Linotype" w:hAnsi="Palatino Linotype" w:cs="Palatino Linotype"/>
          <w:b/>
          <w:sz w:val="22"/>
          <w:szCs w:val="22"/>
        </w:rPr>
        <w:t>, por su propia y especial naturaleza,</w:t>
      </w:r>
      <w:r w:rsidRPr="001E30D4">
        <w:rPr>
          <w:rFonts w:ascii="Palatino Linotype" w:eastAsia="Palatino Linotype" w:hAnsi="Palatino Linotype" w:cs="Palatino Linotype"/>
          <w:sz w:val="22"/>
          <w:szCs w:val="22"/>
        </w:rPr>
        <w:t xml:space="preserve"> encuadra en alguno de los </w:t>
      </w:r>
      <w:r w:rsidRPr="001E30D4">
        <w:rPr>
          <w:rFonts w:ascii="Palatino Linotype" w:eastAsia="Palatino Linotype" w:hAnsi="Palatino Linotype" w:cs="Palatino Linotype"/>
          <w:b/>
          <w:sz w:val="22"/>
          <w:szCs w:val="22"/>
        </w:rPr>
        <w:t>supuestos de reserva o de confidencialidad en su totalidad</w:t>
      </w:r>
      <w:r w:rsidRPr="001E30D4">
        <w:rPr>
          <w:rFonts w:ascii="Palatino Linotype" w:eastAsia="Palatino Linotype" w:hAnsi="Palatino Linotype" w:cs="Palatino Linotype"/>
          <w:sz w:val="22"/>
          <w:szCs w:val="22"/>
        </w:rPr>
        <w:t>, deberá emitir, un</w:t>
      </w:r>
      <w:r w:rsidRPr="001E30D4">
        <w:rPr>
          <w:rFonts w:ascii="Palatino Linotype" w:eastAsia="Palatino Linotype" w:hAnsi="Palatino Linotype" w:cs="Palatino Linotype"/>
          <w:b/>
          <w:sz w:val="22"/>
          <w:szCs w:val="22"/>
        </w:rPr>
        <w:t xml:space="preserve"> Acuerdo de Clasificación </w:t>
      </w:r>
      <w:r w:rsidRPr="001E30D4">
        <w:rPr>
          <w:rFonts w:ascii="Palatino Linotype" w:eastAsia="Palatino Linotype" w:hAnsi="Palatino Linotype" w:cs="Palatino Linotype"/>
          <w:sz w:val="22"/>
          <w:szCs w:val="22"/>
        </w:rPr>
        <w:t>debidamente fundado y motivado que</w:t>
      </w:r>
      <w:r w:rsidRPr="001E30D4">
        <w:rPr>
          <w:rFonts w:ascii="Palatino Linotype" w:eastAsia="Palatino Linotype" w:hAnsi="Palatino Linotype" w:cs="Palatino Linotype"/>
          <w:b/>
          <w:sz w:val="22"/>
          <w:szCs w:val="22"/>
        </w:rPr>
        <w:t xml:space="preserve"> sustente la clasificación parcial, a través de la versión pública que emita,</w:t>
      </w:r>
      <w:r w:rsidRPr="001E30D4">
        <w:rPr>
          <w:rFonts w:ascii="Palatino Linotype" w:eastAsia="Palatino Linotype" w:hAnsi="Palatino Linotype" w:cs="Palatino Linotype"/>
          <w:sz w:val="22"/>
          <w:szCs w:val="22"/>
        </w:rPr>
        <w:t xml:space="preserve"> o bien, la restricción total del derecho de acceso a la información.  </w:t>
      </w:r>
    </w:p>
    <w:p w14:paraId="1B41FCC3"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4D8A82A8" w14:textId="77777777" w:rsidR="00F55BA5" w:rsidRPr="001E30D4" w:rsidRDefault="00C34D9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De la clasificación parcial de la información.</w:t>
      </w:r>
    </w:p>
    <w:p w14:paraId="55C33B40" w14:textId="77777777" w:rsidR="00F55BA5" w:rsidRPr="001E30D4" w:rsidRDefault="00F55BA5">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DC4E662"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45C7192A"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021D38C1" w14:textId="77777777" w:rsidR="00F55BA5" w:rsidRPr="001E30D4" w:rsidRDefault="00C34D9E">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1E30D4">
        <w:rPr>
          <w:rFonts w:ascii="Palatino Linotype" w:eastAsia="Palatino Linotype" w:hAnsi="Palatino Linotype" w:cs="Palatino Linotype"/>
          <w:b/>
          <w:sz w:val="22"/>
          <w:szCs w:val="22"/>
        </w:rPr>
        <w:t>De la clasificación de información como reservada.</w:t>
      </w:r>
    </w:p>
    <w:p w14:paraId="3616E515" w14:textId="77777777" w:rsidR="00F55BA5" w:rsidRPr="001E30D4" w:rsidRDefault="00F55BA5">
      <w:pPr>
        <w:pBdr>
          <w:top w:val="nil"/>
          <w:left w:val="nil"/>
          <w:bottom w:val="nil"/>
          <w:right w:val="nil"/>
          <w:between w:val="nil"/>
        </w:pBdr>
        <w:spacing w:line="360" w:lineRule="auto"/>
        <w:ind w:left="720" w:right="51"/>
        <w:jc w:val="both"/>
        <w:rPr>
          <w:rFonts w:ascii="Palatino Linotype" w:eastAsia="Palatino Linotype" w:hAnsi="Palatino Linotype" w:cs="Palatino Linotype"/>
          <w:b/>
          <w:sz w:val="22"/>
          <w:szCs w:val="22"/>
        </w:rPr>
      </w:pPr>
    </w:p>
    <w:p w14:paraId="275F2D7A" w14:textId="77777777" w:rsidR="00F55BA5" w:rsidRPr="001E30D4" w:rsidRDefault="00C34D9E">
      <w:pPr>
        <w:spacing w:line="360" w:lineRule="auto"/>
        <w:ind w:right="51"/>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9605972" w14:textId="77777777" w:rsidR="00F55BA5" w:rsidRPr="001E30D4" w:rsidRDefault="00F55BA5">
      <w:pPr>
        <w:spacing w:line="360" w:lineRule="auto"/>
        <w:ind w:right="51"/>
        <w:jc w:val="both"/>
        <w:rPr>
          <w:rFonts w:ascii="Palatino Linotype" w:eastAsia="Palatino Linotype" w:hAnsi="Palatino Linotype" w:cs="Palatino Linotype"/>
          <w:sz w:val="22"/>
          <w:szCs w:val="22"/>
        </w:rPr>
      </w:pPr>
    </w:p>
    <w:p w14:paraId="50541FC3"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46536244"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07EDB029" w14:textId="77777777" w:rsidR="00F55BA5" w:rsidRPr="001E30D4" w:rsidRDefault="00C34D9E">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La divulgación de la información representa un </w:t>
      </w:r>
      <w:r w:rsidRPr="001E30D4">
        <w:rPr>
          <w:rFonts w:ascii="Palatino Linotype" w:eastAsia="Palatino Linotype" w:hAnsi="Palatino Linotype" w:cs="Palatino Linotype"/>
          <w:b/>
          <w:sz w:val="22"/>
          <w:szCs w:val="22"/>
        </w:rPr>
        <w:t>riesgo real, demostrable e identificable del perjuicio significativo al interés público o a la seguridad pública</w:t>
      </w:r>
      <w:r w:rsidRPr="001E30D4">
        <w:rPr>
          <w:rFonts w:ascii="Palatino Linotype" w:eastAsia="Palatino Linotype" w:hAnsi="Palatino Linotype" w:cs="Palatino Linotype"/>
          <w:sz w:val="22"/>
          <w:szCs w:val="22"/>
        </w:rPr>
        <w:t>;</w:t>
      </w:r>
    </w:p>
    <w:p w14:paraId="448BC61F" w14:textId="77777777" w:rsidR="00F55BA5" w:rsidRPr="001E30D4" w:rsidRDefault="00C34D9E">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El riesgo de perjuicio que supondría la divulgación supera el interés público general de que se difunda; y,</w:t>
      </w:r>
    </w:p>
    <w:p w14:paraId="413C7A10" w14:textId="77777777" w:rsidR="00F55BA5" w:rsidRPr="001E30D4" w:rsidRDefault="00C34D9E">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482399BE" w14:textId="77777777" w:rsidR="00F55BA5" w:rsidRPr="001E30D4" w:rsidRDefault="00F55BA5">
      <w:pPr>
        <w:tabs>
          <w:tab w:val="left" w:pos="851"/>
        </w:tabs>
        <w:spacing w:line="360" w:lineRule="auto"/>
        <w:ind w:left="568"/>
        <w:jc w:val="both"/>
        <w:rPr>
          <w:rFonts w:ascii="Palatino Linotype" w:eastAsia="Palatino Linotype" w:hAnsi="Palatino Linotype" w:cs="Palatino Linotype"/>
          <w:sz w:val="22"/>
          <w:szCs w:val="22"/>
        </w:rPr>
      </w:pPr>
    </w:p>
    <w:p w14:paraId="18CDF760"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Siendo pertinente aclarar que, la información que se clasifica bajo la premisa de reservada, </w:t>
      </w:r>
      <w:r w:rsidRPr="001E30D4">
        <w:rPr>
          <w:rFonts w:ascii="Palatino Linotype" w:eastAsia="Palatino Linotype" w:hAnsi="Palatino Linotype" w:cs="Palatino Linotype"/>
          <w:b/>
          <w:sz w:val="22"/>
          <w:szCs w:val="22"/>
        </w:rPr>
        <w:t>no pierde el carácter de pública</w:t>
      </w:r>
      <w:r w:rsidRPr="001E30D4">
        <w:rPr>
          <w:rFonts w:ascii="Palatino Linotype" w:eastAsia="Palatino Linotype" w:hAnsi="Palatino Linotype" w:cs="Palatino Linotype"/>
          <w:sz w:val="22"/>
          <w:szCs w:val="22"/>
        </w:rPr>
        <w:t xml:space="preserve">, sino que </w:t>
      </w:r>
      <w:r w:rsidRPr="001E30D4">
        <w:rPr>
          <w:rFonts w:ascii="Palatino Linotype" w:eastAsia="Palatino Linotype" w:hAnsi="Palatino Linotype" w:cs="Palatino Linotype"/>
          <w:b/>
          <w:sz w:val="22"/>
          <w:szCs w:val="22"/>
        </w:rPr>
        <w:t>se reserva temporalmente</w:t>
      </w:r>
      <w:r w:rsidRPr="001E30D4">
        <w:rPr>
          <w:rFonts w:ascii="Palatino Linotype" w:eastAsia="Palatino Linotype" w:hAnsi="Palatino Linotype" w:cs="Palatino Linotype"/>
          <w:sz w:val="22"/>
          <w:szCs w:val="22"/>
        </w:rPr>
        <w:t xml:space="preserve"> </w:t>
      </w:r>
      <w:r w:rsidRPr="001E30D4">
        <w:rPr>
          <w:rFonts w:ascii="Palatino Linotype" w:eastAsia="Palatino Linotype" w:hAnsi="Palatino Linotype" w:cs="Palatino Linotype"/>
          <w:b/>
          <w:sz w:val="22"/>
          <w:szCs w:val="22"/>
        </w:rPr>
        <w:t>del conocimiento público</w:t>
      </w:r>
      <w:r w:rsidRPr="001E30D4">
        <w:rPr>
          <w:rFonts w:ascii="Palatino Linotype" w:eastAsia="Palatino Linotype" w:hAnsi="Palatino Linotype" w:cs="Palatino Linotype"/>
          <w:sz w:val="22"/>
          <w:szCs w:val="22"/>
        </w:rPr>
        <w:t xml:space="preserve">, es decir, que, </w:t>
      </w:r>
      <w:r w:rsidRPr="001E30D4">
        <w:rPr>
          <w:rFonts w:ascii="Palatino Linotype" w:eastAsia="Palatino Linotype" w:hAnsi="Palatino Linotype" w:cs="Palatino Linotype"/>
          <w:b/>
          <w:sz w:val="22"/>
          <w:szCs w:val="22"/>
        </w:rPr>
        <w:t>por un tiempo determinado</w:t>
      </w:r>
      <w:r w:rsidRPr="001E30D4">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3097E030"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4D8061C3"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513344E3"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36E6AA82" w14:textId="77777777" w:rsidR="00F55BA5" w:rsidRPr="001E30D4" w:rsidRDefault="00C34D9E">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1E30D4">
        <w:rPr>
          <w:rFonts w:ascii="Palatino Linotype" w:eastAsia="Palatino Linotype" w:hAnsi="Palatino Linotype" w:cs="Palatino Linotype"/>
          <w:b/>
          <w:sz w:val="22"/>
          <w:szCs w:val="22"/>
        </w:rPr>
        <w:t>De la clasificación de la información como totalmente confidencial.</w:t>
      </w:r>
    </w:p>
    <w:p w14:paraId="4A28023C" w14:textId="77777777" w:rsidR="00F55BA5" w:rsidRPr="001E30D4" w:rsidRDefault="00F55BA5">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sz w:val="22"/>
          <w:szCs w:val="22"/>
        </w:rPr>
      </w:pPr>
    </w:p>
    <w:p w14:paraId="7BEA9CCC" w14:textId="77777777" w:rsidR="00F55BA5" w:rsidRPr="001E30D4" w:rsidRDefault="00C34D9E">
      <w:pPr>
        <w:tabs>
          <w:tab w:val="left" w:pos="709"/>
        </w:tabs>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728E389D" w14:textId="77777777" w:rsidR="00F55BA5" w:rsidRPr="001E30D4" w:rsidRDefault="00F55BA5">
      <w:pPr>
        <w:tabs>
          <w:tab w:val="left" w:pos="709"/>
        </w:tabs>
        <w:spacing w:line="360" w:lineRule="auto"/>
        <w:jc w:val="both"/>
        <w:rPr>
          <w:rFonts w:ascii="Palatino Linotype" w:eastAsia="Palatino Linotype" w:hAnsi="Palatino Linotype" w:cs="Palatino Linotype"/>
          <w:sz w:val="22"/>
          <w:szCs w:val="22"/>
        </w:rPr>
      </w:pPr>
    </w:p>
    <w:p w14:paraId="551EDEA3" w14:textId="77777777" w:rsidR="00F55BA5" w:rsidRPr="001E30D4" w:rsidRDefault="00C34D9E">
      <w:pPr>
        <w:spacing w:line="360" w:lineRule="auto"/>
        <w:ind w:right="51"/>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1E30D4">
        <w:rPr>
          <w:rFonts w:ascii="Palatino Linotype" w:eastAsia="Palatino Linotype" w:hAnsi="Palatino Linotype" w:cs="Palatino Linotype"/>
          <w:sz w:val="22"/>
          <w:szCs w:val="22"/>
          <w:vertAlign w:val="superscript"/>
        </w:rPr>
        <w:footnoteReference w:id="6"/>
      </w:r>
      <w:r w:rsidRPr="001E30D4">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1C4FF9F2" w14:textId="77777777" w:rsidR="00F55BA5" w:rsidRPr="001E30D4" w:rsidRDefault="00F55BA5">
      <w:pPr>
        <w:spacing w:line="360" w:lineRule="auto"/>
        <w:ind w:right="51"/>
        <w:jc w:val="both"/>
        <w:rPr>
          <w:rFonts w:ascii="Palatino Linotype" w:eastAsia="Palatino Linotype" w:hAnsi="Palatino Linotype" w:cs="Palatino Linotype"/>
          <w:sz w:val="22"/>
          <w:szCs w:val="22"/>
        </w:rPr>
      </w:pPr>
    </w:p>
    <w:p w14:paraId="43346D84" w14:textId="77777777" w:rsidR="00F55BA5" w:rsidRPr="001E30D4" w:rsidRDefault="00C34D9E">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De la declaratoria de inexistencia de la información</w:t>
      </w:r>
      <w:r w:rsidRPr="001E30D4">
        <w:rPr>
          <w:rFonts w:ascii="Palatino Linotype" w:eastAsia="Palatino Linotype" w:hAnsi="Palatino Linotype" w:cs="Palatino Linotype"/>
          <w:sz w:val="22"/>
          <w:szCs w:val="22"/>
        </w:rPr>
        <w:t>.</w:t>
      </w:r>
    </w:p>
    <w:p w14:paraId="4D5A280F" w14:textId="77777777" w:rsidR="00F55BA5" w:rsidRPr="001E30D4" w:rsidRDefault="00F55BA5">
      <w:pPr>
        <w:spacing w:line="360" w:lineRule="auto"/>
        <w:ind w:right="51"/>
        <w:jc w:val="both"/>
        <w:rPr>
          <w:rFonts w:ascii="Palatino Linotype" w:eastAsia="Palatino Linotype" w:hAnsi="Palatino Linotype" w:cs="Palatino Linotype"/>
          <w:sz w:val="22"/>
          <w:szCs w:val="22"/>
        </w:rPr>
      </w:pPr>
    </w:p>
    <w:p w14:paraId="16BFAFC1"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Por otro lado, estima prudente señalar al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52C62C98"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17A9A6E0"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273A92D"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0A2E2055"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69B0F75"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25ACC649"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703F9CA2"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5368E2F2" w14:textId="77777777" w:rsidR="00F55BA5" w:rsidRPr="001E30D4" w:rsidRDefault="00C34D9E">
      <w:pPr>
        <w:spacing w:line="276" w:lineRule="auto"/>
        <w:ind w:left="567" w:right="902"/>
        <w:jc w:val="both"/>
        <w:rPr>
          <w:rFonts w:ascii="Palatino Linotype" w:eastAsia="Palatino Linotype" w:hAnsi="Palatino Linotype" w:cs="Palatino Linotype"/>
          <w:i/>
          <w:sz w:val="22"/>
          <w:szCs w:val="22"/>
        </w:rPr>
      </w:pPr>
      <w:r w:rsidRPr="001E30D4">
        <w:rPr>
          <w:rFonts w:ascii="Palatino Linotype" w:eastAsia="Palatino Linotype" w:hAnsi="Palatino Linotype" w:cs="Palatino Linotype"/>
          <w:b/>
          <w:i/>
          <w:sz w:val="22"/>
          <w:szCs w:val="22"/>
        </w:rPr>
        <w:t xml:space="preserve">“INEXISTENCIA DE LA INFORMACIÓN. SUPUESTOS PARA EMITIR LA RESOLUCIÓN DE LA. </w:t>
      </w:r>
      <w:r w:rsidRPr="001E30D4">
        <w:rPr>
          <w:rFonts w:ascii="Palatino Linotype" w:eastAsia="Palatino Linotype" w:hAnsi="Palatino Linotype" w:cs="Palatino Linotype"/>
          <w:i/>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9D72D8F" w14:textId="77777777" w:rsidR="00F55BA5" w:rsidRPr="001E30D4" w:rsidRDefault="00F55BA5">
      <w:pPr>
        <w:spacing w:line="360" w:lineRule="auto"/>
        <w:ind w:left="851" w:right="902"/>
        <w:jc w:val="both"/>
        <w:rPr>
          <w:rFonts w:ascii="Palatino Linotype" w:eastAsia="Palatino Linotype" w:hAnsi="Palatino Linotype" w:cs="Palatino Linotype"/>
          <w:i/>
          <w:sz w:val="22"/>
          <w:szCs w:val="22"/>
        </w:rPr>
      </w:pPr>
    </w:p>
    <w:p w14:paraId="4EFBCA5F"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 xml:space="preserve">En mérito de todo lo expuesto, ante lo </w:t>
      </w:r>
      <w:r w:rsidRPr="001E30D4">
        <w:rPr>
          <w:rFonts w:ascii="Palatino Linotype" w:eastAsia="Palatino Linotype" w:hAnsi="Palatino Linotype" w:cs="Palatino Linotype"/>
          <w:b/>
          <w:sz w:val="22"/>
          <w:szCs w:val="22"/>
        </w:rPr>
        <w:t>FUNDADO</w:t>
      </w:r>
      <w:r w:rsidRPr="001E30D4">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1E30D4">
        <w:rPr>
          <w:rFonts w:ascii="Palatino Linotype" w:eastAsia="Palatino Linotype" w:hAnsi="Palatino Linotype" w:cs="Palatino Linotype"/>
          <w:b/>
          <w:sz w:val="22"/>
          <w:szCs w:val="22"/>
        </w:rPr>
        <w:t>ORDENAR</w:t>
      </w:r>
      <w:r w:rsidRPr="001E30D4">
        <w:rPr>
          <w:rFonts w:ascii="Palatino Linotype" w:eastAsia="Palatino Linotype" w:hAnsi="Palatino Linotype" w:cs="Palatino Linotype"/>
          <w:sz w:val="22"/>
          <w:szCs w:val="22"/>
        </w:rPr>
        <w:t xml:space="preserve"> al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2C8F8F6E"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1A7E3E8A" w14:textId="77777777" w:rsidR="00F55BA5" w:rsidRPr="001E30D4" w:rsidRDefault="00C34D9E">
      <w:pPr>
        <w:spacing w:line="360" w:lineRule="auto"/>
        <w:ind w:right="49"/>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sz w:val="22"/>
          <w:szCs w:val="22"/>
        </w:rPr>
        <w:t>Finalmente, es de señalar que, como ya se mencionó el</w:t>
      </w:r>
      <w:r w:rsidRPr="001E30D4">
        <w:rPr>
          <w:rFonts w:ascii="Palatino Linotype" w:eastAsia="Palatino Linotype" w:hAnsi="Palatino Linotype" w:cs="Palatino Linotype"/>
          <w:b/>
          <w:sz w:val="22"/>
          <w:szCs w:val="22"/>
        </w:rPr>
        <w:t xml:space="preserve"> Sujeto Obligado</w:t>
      </w:r>
      <w:r w:rsidRPr="001E30D4">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1E30D4">
        <w:rPr>
          <w:rFonts w:ascii="Palatino Linotype" w:eastAsia="Palatino Linotype" w:hAnsi="Palatino Linotype" w:cs="Palatino Linotype"/>
          <w:b/>
          <w:sz w:val="22"/>
          <w:szCs w:val="22"/>
        </w:rPr>
        <w:t xml:space="preserve"> </w:t>
      </w:r>
      <w:r w:rsidRPr="001E30D4">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7831E3DC" w14:textId="77777777" w:rsidR="00F55BA5" w:rsidRPr="001E30D4" w:rsidRDefault="00F55BA5">
      <w:pPr>
        <w:spacing w:line="360" w:lineRule="auto"/>
        <w:ind w:right="49"/>
        <w:jc w:val="both"/>
        <w:rPr>
          <w:rFonts w:ascii="Palatino Linotype" w:eastAsia="Palatino Linotype" w:hAnsi="Palatino Linotype" w:cs="Palatino Linotype"/>
          <w:sz w:val="22"/>
          <w:szCs w:val="22"/>
        </w:rPr>
      </w:pPr>
    </w:p>
    <w:p w14:paraId="2CFF63D0" w14:textId="0D28101E" w:rsidR="00F55BA5" w:rsidRPr="001E30D4" w:rsidRDefault="00C34D9E">
      <w:pPr>
        <w:spacing w:line="360" w:lineRule="auto"/>
        <w:jc w:val="both"/>
        <w:rPr>
          <w:rFonts w:ascii="Palatino Linotype" w:eastAsia="Palatino Linotype" w:hAnsi="Palatino Linotype" w:cs="Palatino Linotype"/>
          <w:sz w:val="22"/>
          <w:szCs w:val="22"/>
        </w:rPr>
      </w:pPr>
      <w:bookmarkStart w:id="2" w:name="_heading=h.ufldlg1z5cqe" w:colFirst="0" w:colLast="0"/>
      <w:bookmarkEnd w:id="2"/>
      <w:r w:rsidRPr="001E30D4">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así como el Transitorio Cuarto Párrafo Segundo del Decreto número 198; 2, fracción II; 29, 36 fracciones I y II; 176, 178, 181, 185, fracción I, 186 y 188 de la Ley de Transparencia y Acceso a la Información Pública del Estado de México y Municipios, este Pleno:</w:t>
      </w:r>
    </w:p>
    <w:p w14:paraId="5CA4E3D3" w14:textId="77777777" w:rsidR="00F55BA5" w:rsidRPr="001E30D4" w:rsidRDefault="00F55BA5">
      <w:pPr>
        <w:pBdr>
          <w:top w:val="nil"/>
          <w:left w:val="nil"/>
          <w:bottom w:val="nil"/>
          <w:right w:val="nil"/>
          <w:between w:val="nil"/>
        </w:pBdr>
        <w:spacing w:line="360" w:lineRule="auto"/>
        <w:rPr>
          <w:rFonts w:ascii="Palatino Linotype" w:eastAsia="Palatino Linotype" w:hAnsi="Palatino Linotype" w:cs="Palatino Linotype"/>
          <w:b/>
          <w:sz w:val="22"/>
          <w:szCs w:val="22"/>
        </w:rPr>
      </w:pPr>
    </w:p>
    <w:p w14:paraId="3CC4F782" w14:textId="77777777" w:rsidR="00F55BA5" w:rsidRPr="001E30D4" w:rsidRDefault="00C34D9E">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1E30D4">
        <w:rPr>
          <w:rFonts w:ascii="Palatino Linotype" w:eastAsia="Palatino Linotype" w:hAnsi="Palatino Linotype" w:cs="Palatino Linotype"/>
          <w:b/>
          <w:sz w:val="22"/>
          <w:szCs w:val="22"/>
        </w:rPr>
        <w:t>III. R E S U E L V E</w:t>
      </w:r>
    </w:p>
    <w:p w14:paraId="6B58189B" w14:textId="77777777" w:rsidR="00F55BA5" w:rsidRPr="001E30D4" w:rsidRDefault="00F55BA5">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2DB4DF1B" w14:textId="77777777" w:rsidR="00F55BA5" w:rsidRPr="001E30D4" w:rsidRDefault="00C34D9E">
      <w:pPr>
        <w:spacing w:line="360" w:lineRule="auto"/>
        <w:ind w:right="49"/>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Primero. </w:t>
      </w:r>
      <w:r w:rsidRPr="001E30D4">
        <w:rPr>
          <w:rFonts w:ascii="Palatino Linotype" w:eastAsia="Palatino Linotype" w:hAnsi="Palatino Linotype" w:cs="Palatino Linotype"/>
          <w:sz w:val="22"/>
          <w:szCs w:val="22"/>
        </w:rPr>
        <w:t xml:space="preserve">Resultan </w:t>
      </w:r>
      <w:r w:rsidRPr="001E30D4">
        <w:rPr>
          <w:rFonts w:ascii="Palatino Linotype" w:eastAsia="Palatino Linotype" w:hAnsi="Palatino Linotype" w:cs="Palatino Linotype"/>
          <w:b/>
          <w:sz w:val="22"/>
          <w:szCs w:val="22"/>
        </w:rPr>
        <w:t>FUNDADOS</w:t>
      </w:r>
      <w:r w:rsidRPr="001E30D4">
        <w:rPr>
          <w:rFonts w:ascii="Palatino Linotype" w:eastAsia="Palatino Linotype" w:hAnsi="Palatino Linotype" w:cs="Palatino Linotype"/>
          <w:sz w:val="22"/>
          <w:szCs w:val="22"/>
        </w:rPr>
        <w:t xml:space="preserve"> los motivos de inconformidad de la parte </w:t>
      </w:r>
      <w:r w:rsidRPr="001E30D4">
        <w:rPr>
          <w:rFonts w:ascii="Palatino Linotype" w:eastAsia="Palatino Linotype" w:hAnsi="Palatino Linotype" w:cs="Palatino Linotype"/>
          <w:b/>
          <w:sz w:val="22"/>
          <w:szCs w:val="22"/>
        </w:rPr>
        <w:t>Recurrente</w:t>
      </w:r>
      <w:r w:rsidRPr="001E30D4">
        <w:rPr>
          <w:rFonts w:ascii="Palatino Linotype" w:eastAsia="Palatino Linotype" w:hAnsi="Palatino Linotype" w:cs="Palatino Linotype"/>
          <w:sz w:val="22"/>
          <w:szCs w:val="22"/>
        </w:rPr>
        <w:t xml:space="preserve">, en términos del </w:t>
      </w:r>
      <w:r w:rsidRPr="001E30D4">
        <w:rPr>
          <w:rFonts w:ascii="Palatino Linotype" w:eastAsia="Palatino Linotype" w:hAnsi="Palatino Linotype" w:cs="Palatino Linotype"/>
          <w:b/>
          <w:sz w:val="22"/>
          <w:szCs w:val="22"/>
        </w:rPr>
        <w:t>Considerando Cuarto</w:t>
      </w:r>
      <w:r w:rsidRPr="001E30D4">
        <w:rPr>
          <w:rFonts w:ascii="Palatino Linotype" w:eastAsia="Palatino Linotype" w:hAnsi="Palatino Linotype" w:cs="Palatino Linotype"/>
          <w:sz w:val="22"/>
          <w:szCs w:val="22"/>
        </w:rPr>
        <w:t xml:space="preserve"> de la presente resolución.</w:t>
      </w:r>
    </w:p>
    <w:p w14:paraId="0EDFDEC3" w14:textId="77777777" w:rsidR="00F55BA5" w:rsidRPr="001E30D4" w:rsidRDefault="00F55BA5">
      <w:pPr>
        <w:spacing w:line="360" w:lineRule="auto"/>
        <w:ind w:right="49"/>
        <w:jc w:val="both"/>
        <w:rPr>
          <w:rFonts w:ascii="Palatino Linotype" w:eastAsia="Palatino Linotype" w:hAnsi="Palatino Linotype" w:cs="Palatino Linotype"/>
          <w:sz w:val="22"/>
          <w:szCs w:val="22"/>
        </w:rPr>
      </w:pPr>
    </w:p>
    <w:p w14:paraId="3D718B0C" w14:textId="77777777" w:rsidR="00F55BA5" w:rsidRPr="001E30D4" w:rsidRDefault="00C34D9E">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1E30D4">
        <w:rPr>
          <w:rFonts w:ascii="Palatino Linotype" w:eastAsia="Palatino Linotype" w:hAnsi="Palatino Linotype" w:cs="Palatino Linotype"/>
          <w:b/>
          <w:sz w:val="22"/>
          <w:szCs w:val="22"/>
        </w:rPr>
        <w:t>Segundo.</w:t>
      </w:r>
      <w:r w:rsidRPr="001E30D4">
        <w:rPr>
          <w:rFonts w:ascii="Palatino Linotype" w:eastAsia="Palatino Linotype" w:hAnsi="Palatino Linotype" w:cs="Palatino Linotype"/>
          <w:sz w:val="22"/>
          <w:szCs w:val="22"/>
        </w:rPr>
        <w:t xml:space="preserve"> Se</w:t>
      </w:r>
      <w:r w:rsidRPr="001E30D4">
        <w:rPr>
          <w:rFonts w:ascii="Palatino Linotype" w:eastAsia="Palatino Linotype" w:hAnsi="Palatino Linotype" w:cs="Palatino Linotype"/>
          <w:b/>
          <w:sz w:val="22"/>
          <w:szCs w:val="22"/>
        </w:rPr>
        <w:t xml:space="preserve"> Ordena </w:t>
      </w:r>
      <w:r w:rsidRPr="001E30D4">
        <w:rPr>
          <w:rFonts w:ascii="Palatino Linotype" w:eastAsia="Palatino Linotype" w:hAnsi="Palatino Linotype" w:cs="Palatino Linotype"/>
          <w:sz w:val="22"/>
          <w:szCs w:val="22"/>
        </w:rPr>
        <w:t xml:space="preserve">al </w:t>
      </w:r>
      <w:r w:rsidRPr="001E30D4">
        <w:rPr>
          <w:rFonts w:ascii="Palatino Linotype" w:eastAsia="Palatino Linotype" w:hAnsi="Palatino Linotype" w:cs="Palatino Linotype"/>
          <w:b/>
          <w:sz w:val="22"/>
          <w:szCs w:val="22"/>
        </w:rPr>
        <w:t xml:space="preserve">Sujeto Obligado </w:t>
      </w:r>
      <w:r w:rsidRPr="001E30D4">
        <w:rPr>
          <w:rFonts w:ascii="Palatino Linotype" w:eastAsia="Palatino Linotype" w:hAnsi="Palatino Linotype" w:cs="Palatino Linotype"/>
          <w:sz w:val="22"/>
          <w:szCs w:val="22"/>
        </w:rPr>
        <w:t xml:space="preserve">dé trámite, vía </w:t>
      </w:r>
      <w:r w:rsidRPr="001E30D4">
        <w:rPr>
          <w:rFonts w:ascii="Palatino Linotype" w:eastAsia="Palatino Linotype" w:hAnsi="Palatino Linotype" w:cs="Palatino Linotype"/>
          <w:b/>
          <w:sz w:val="22"/>
          <w:szCs w:val="22"/>
        </w:rPr>
        <w:t xml:space="preserve">Sistema de Acceso a la Información Mexiquense </w:t>
      </w:r>
      <w:r w:rsidRPr="001E30D4">
        <w:rPr>
          <w:rFonts w:ascii="Palatino Linotype" w:eastAsia="Palatino Linotype" w:hAnsi="Palatino Linotype" w:cs="Palatino Linotype"/>
          <w:sz w:val="22"/>
          <w:szCs w:val="22"/>
        </w:rPr>
        <w:t xml:space="preserve">a la solicitud de acceso a la información pública </w:t>
      </w:r>
      <w:r w:rsidRPr="001E30D4">
        <w:rPr>
          <w:rFonts w:ascii="Palatino Linotype" w:eastAsia="Palatino Linotype" w:hAnsi="Palatino Linotype" w:cs="Palatino Linotype"/>
          <w:b/>
          <w:sz w:val="22"/>
          <w:szCs w:val="22"/>
        </w:rPr>
        <w:t xml:space="preserve">00206/TEXCOCO/IP/2025 </w:t>
      </w:r>
      <w:r w:rsidRPr="001E30D4">
        <w:rPr>
          <w:rFonts w:ascii="Palatino Linotype" w:eastAsia="Palatino Linotype" w:hAnsi="Palatino Linotype" w:cs="Palatino Linotype"/>
          <w:sz w:val="22"/>
          <w:szCs w:val="22"/>
        </w:rPr>
        <w:t xml:space="preserve">que dio origen al recurso de revisión </w:t>
      </w:r>
      <w:r w:rsidRPr="001E30D4">
        <w:rPr>
          <w:rFonts w:ascii="Palatino Linotype" w:eastAsia="Palatino Linotype" w:hAnsi="Palatino Linotype" w:cs="Palatino Linotype"/>
          <w:b/>
          <w:sz w:val="22"/>
          <w:szCs w:val="22"/>
        </w:rPr>
        <w:t xml:space="preserve">11619/INFOEM/IP/RR/2025 </w:t>
      </w:r>
      <w:r w:rsidRPr="001E30D4">
        <w:rPr>
          <w:rFonts w:ascii="Palatino Linotype" w:eastAsia="Palatino Linotype" w:hAnsi="Palatino Linotype" w:cs="Palatino Linotype"/>
          <w:sz w:val="22"/>
          <w:szCs w:val="22"/>
        </w:rPr>
        <w:t xml:space="preserve">en términos del </w:t>
      </w:r>
      <w:r w:rsidRPr="001E30D4">
        <w:rPr>
          <w:rFonts w:ascii="Palatino Linotype" w:eastAsia="Palatino Linotype" w:hAnsi="Palatino Linotype" w:cs="Palatino Linotype"/>
          <w:b/>
          <w:sz w:val="22"/>
          <w:szCs w:val="22"/>
        </w:rPr>
        <w:t>Considerando Cuarto</w:t>
      </w:r>
      <w:r w:rsidRPr="001E30D4">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47F02BA4"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63C71C13" w14:textId="77777777" w:rsidR="00F55BA5" w:rsidRPr="001E30D4" w:rsidRDefault="00C34D9E">
      <w:pPr>
        <w:spacing w:line="360" w:lineRule="auto"/>
        <w:ind w:right="49"/>
        <w:jc w:val="both"/>
        <w:rPr>
          <w:rFonts w:ascii="Palatino Linotype" w:eastAsia="Palatino Linotype" w:hAnsi="Palatino Linotype" w:cs="Palatino Linotype"/>
          <w:sz w:val="22"/>
          <w:szCs w:val="22"/>
        </w:rPr>
      </w:pPr>
      <w:bookmarkStart w:id="4" w:name="_heading=h.3znysh7" w:colFirst="0" w:colLast="0"/>
      <w:bookmarkEnd w:id="4"/>
      <w:r w:rsidRPr="001E30D4">
        <w:rPr>
          <w:rFonts w:ascii="Palatino Linotype" w:eastAsia="Palatino Linotype" w:hAnsi="Palatino Linotype" w:cs="Palatino Linotype"/>
          <w:b/>
          <w:sz w:val="22"/>
          <w:szCs w:val="22"/>
        </w:rPr>
        <w:t>Tercero.</w:t>
      </w:r>
      <w:r w:rsidRPr="001E30D4">
        <w:rPr>
          <w:rFonts w:ascii="Palatino Linotype" w:eastAsia="Palatino Linotype" w:hAnsi="Palatino Linotype" w:cs="Palatino Linotype"/>
          <w:sz w:val="22"/>
          <w:szCs w:val="22"/>
        </w:rPr>
        <w:t xml:space="preserve"> </w:t>
      </w:r>
      <w:r w:rsidRPr="001E30D4">
        <w:rPr>
          <w:rFonts w:ascii="Palatino Linotype" w:eastAsia="Palatino Linotype" w:hAnsi="Palatino Linotype" w:cs="Palatino Linotype"/>
          <w:b/>
          <w:sz w:val="22"/>
          <w:szCs w:val="22"/>
        </w:rPr>
        <w:t xml:space="preserve">Notifíquese vía Sistema de Acceso a la Información Mexiquense </w:t>
      </w:r>
      <w:r w:rsidRPr="001E30D4">
        <w:rPr>
          <w:rFonts w:ascii="Palatino Linotype" w:eastAsia="Palatino Linotype" w:hAnsi="Palatino Linotype" w:cs="Palatino Linotype"/>
          <w:sz w:val="22"/>
          <w:szCs w:val="22"/>
        </w:rPr>
        <w:t>la presente resolución al T</w:t>
      </w:r>
      <w:r w:rsidRPr="001E30D4">
        <w:rPr>
          <w:rFonts w:ascii="Palatino Linotype" w:eastAsia="Palatino Linotype" w:hAnsi="Palatino Linotype" w:cs="Palatino Linotype"/>
          <w:b/>
          <w:sz w:val="22"/>
          <w:szCs w:val="22"/>
        </w:rPr>
        <w:t xml:space="preserve">itular de la Unidad de Transparencia </w:t>
      </w:r>
      <w:r w:rsidRPr="001E30D4">
        <w:rPr>
          <w:rFonts w:ascii="Palatino Linotype" w:eastAsia="Palatino Linotype" w:hAnsi="Palatino Linotype" w:cs="Palatino Linotype"/>
          <w:sz w:val="22"/>
          <w:szCs w:val="22"/>
        </w:rPr>
        <w:t xml:space="preserve">del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88CFB83" w14:textId="77777777" w:rsidR="00F55BA5" w:rsidRPr="001E30D4" w:rsidRDefault="00F55BA5">
      <w:pPr>
        <w:spacing w:line="360" w:lineRule="auto"/>
        <w:ind w:right="49"/>
        <w:jc w:val="both"/>
        <w:rPr>
          <w:rFonts w:ascii="Palatino Linotype" w:eastAsia="Palatino Linotype" w:hAnsi="Palatino Linotype" w:cs="Palatino Linotype"/>
          <w:sz w:val="22"/>
          <w:szCs w:val="22"/>
        </w:rPr>
      </w:pPr>
    </w:p>
    <w:p w14:paraId="0399BF0A"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Cuarto. Notifíquese</w:t>
      </w:r>
      <w:r w:rsidRPr="001E30D4">
        <w:rPr>
          <w:rFonts w:ascii="Palatino Linotype" w:eastAsia="Palatino Linotype" w:hAnsi="Palatino Linotype" w:cs="Palatino Linotype"/>
          <w:sz w:val="22"/>
          <w:szCs w:val="22"/>
        </w:rPr>
        <w:t>,</w:t>
      </w:r>
      <w:r w:rsidRPr="001E30D4">
        <w:rPr>
          <w:rFonts w:ascii="Palatino Linotype" w:eastAsia="Palatino Linotype" w:hAnsi="Palatino Linotype" w:cs="Palatino Linotype"/>
          <w:b/>
          <w:sz w:val="22"/>
          <w:szCs w:val="22"/>
        </w:rPr>
        <w:t xml:space="preserve"> </w:t>
      </w:r>
      <w:r w:rsidRPr="001E30D4">
        <w:rPr>
          <w:rFonts w:ascii="Palatino Linotype" w:eastAsia="Palatino Linotype" w:hAnsi="Palatino Linotype" w:cs="Palatino Linotype"/>
          <w:sz w:val="22"/>
          <w:szCs w:val="22"/>
        </w:rPr>
        <w:t xml:space="preserve">vía </w:t>
      </w:r>
      <w:r w:rsidRPr="001E30D4">
        <w:rPr>
          <w:rFonts w:ascii="Palatino Linotype" w:eastAsia="Palatino Linotype" w:hAnsi="Palatino Linotype" w:cs="Palatino Linotype"/>
          <w:b/>
          <w:sz w:val="22"/>
          <w:szCs w:val="22"/>
        </w:rPr>
        <w:t>Sistema de Acceso a la Información Mexiquense</w:t>
      </w:r>
      <w:r w:rsidRPr="001E30D4">
        <w:rPr>
          <w:rFonts w:ascii="Palatino Linotype" w:eastAsia="Palatino Linotype" w:hAnsi="Palatino Linotype" w:cs="Palatino Linotype"/>
          <w:sz w:val="22"/>
          <w:szCs w:val="22"/>
        </w:rPr>
        <w:t xml:space="preserve">, a la parte </w:t>
      </w:r>
      <w:r w:rsidRPr="001E30D4">
        <w:rPr>
          <w:rFonts w:ascii="Palatino Linotype" w:eastAsia="Palatino Linotype" w:hAnsi="Palatino Linotype" w:cs="Palatino Linotype"/>
          <w:b/>
          <w:sz w:val="22"/>
          <w:szCs w:val="22"/>
        </w:rPr>
        <w:t xml:space="preserve">Recurrente </w:t>
      </w:r>
      <w:r w:rsidRPr="001E30D4">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C428C12" w14:textId="77777777" w:rsidR="00F55BA5" w:rsidRPr="001E30D4" w:rsidRDefault="00F55BA5">
      <w:pPr>
        <w:spacing w:line="360" w:lineRule="auto"/>
        <w:jc w:val="both"/>
        <w:rPr>
          <w:rFonts w:ascii="Palatino Linotype" w:eastAsia="Palatino Linotype" w:hAnsi="Palatino Linotype" w:cs="Palatino Linotype"/>
          <w:sz w:val="22"/>
          <w:szCs w:val="22"/>
        </w:rPr>
      </w:pPr>
    </w:p>
    <w:p w14:paraId="6004532C" w14:textId="77777777" w:rsidR="00F55BA5" w:rsidRPr="001E30D4" w:rsidRDefault="00C34D9E">
      <w:pPr>
        <w:spacing w:line="360" w:lineRule="auto"/>
        <w:jc w:val="both"/>
        <w:rPr>
          <w:rFonts w:ascii="Palatino Linotype" w:eastAsia="Palatino Linotype" w:hAnsi="Palatino Linotype" w:cs="Palatino Linotype"/>
          <w:sz w:val="22"/>
          <w:szCs w:val="22"/>
        </w:rPr>
      </w:pPr>
      <w:r w:rsidRPr="001E30D4">
        <w:rPr>
          <w:rFonts w:ascii="Palatino Linotype" w:eastAsia="Palatino Linotype" w:hAnsi="Palatino Linotype" w:cs="Palatino Linotype"/>
          <w:b/>
          <w:sz w:val="22"/>
          <w:szCs w:val="22"/>
        </w:rPr>
        <w:t xml:space="preserve">Quinto. Notifíquese </w:t>
      </w:r>
      <w:r w:rsidRPr="001E30D4">
        <w:rPr>
          <w:rFonts w:ascii="Palatino Linotype" w:eastAsia="Palatino Linotype" w:hAnsi="Palatino Linotype" w:cs="Palatino Linotype"/>
          <w:sz w:val="22"/>
          <w:szCs w:val="22"/>
        </w:rPr>
        <w:t xml:space="preserve">a la parte </w:t>
      </w:r>
      <w:r w:rsidRPr="001E30D4">
        <w:rPr>
          <w:rFonts w:ascii="Palatino Linotype" w:eastAsia="Palatino Linotype" w:hAnsi="Palatino Linotype" w:cs="Palatino Linotype"/>
          <w:b/>
          <w:sz w:val="22"/>
          <w:szCs w:val="22"/>
        </w:rPr>
        <w:t xml:space="preserve">Recurrente </w:t>
      </w:r>
      <w:r w:rsidRPr="001E30D4">
        <w:rPr>
          <w:rFonts w:ascii="Palatino Linotype" w:eastAsia="Palatino Linotype" w:hAnsi="Palatino Linotype" w:cs="Palatino Linotype"/>
          <w:sz w:val="22"/>
          <w:szCs w:val="22"/>
        </w:rPr>
        <w:t xml:space="preserve">que la respuesta que dé el </w:t>
      </w:r>
      <w:r w:rsidRPr="001E30D4">
        <w:rPr>
          <w:rFonts w:ascii="Palatino Linotype" w:eastAsia="Palatino Linotype" w:hAnsi="Palatino Linotype" w:cs="Palatino Linotype"/>
          <w:b/>
          <w:sz w:val="22"/>
          <w:szCs w:val="22"/>
        </w:rPr>
        <w:t>Sujeto Obligado</w:t>
      </w:r>
      <w:r w:rsidRPr="001E30D4">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20F7A783" w14:textId="77777777" w:rsidR="00F55BA5" w:rsidRPr="001E30D4" w:rsidRDefault="00F55BA5">
      <w:pPr>
        <w:spacing w:line="360" w:lineRule="auto"/>
        <w:jc w:val="both"/>
        <w:rPr>
          <w:rFonts w:ascii="Palatino Linotype" w:eastAsia="Palatino Linotype" w:hAnsi="Palatino Linotype" w:cs="Palatino Linotype"/>
          <w:b/>
          <w:sz w:val="22"/>
          <w:szCs w:val="22"/>
        </w:rPr>
      </w:pPr>
    </w:p>
    <w:p w14:paraId="57E20EFA" w14:textId="77777777" w:rsidR="00F55BA5" w:rsidRPr="001E30D4" w:rsidRDefault="00C34D9E">
      <w:pPr>
        <w:spacing w:line="360" w:lineRule="auto"/>
        <w:jc w:val="both"/>
        <w:rPr>
          <w:rFonts w:ascii="Palatino Linotype" w:eastAsia="Palatino Linotype" w:hAnsi="Palatino Linotype" w:cs="Palatino Linotype"/>
          <w:b/>
          <w:sz w:val="22"/>
          <w:szCs w:val="22"/>
        </w:rPr>
      </w:pPr>
      <w:r w:rsidRPr="001E30D4">
        <w:rPr>
          <w:rFonts w:ascii="Palatino Linotype" w:eastAsia="Palatino Linotype" w:hAnsi="Palatino Linotype" w:cs="Palatino Linotype"/>
          <w:b/>
          <w:sz w:val="22"/>
          <w:szCs w:val="22"/>
        </w:rPr>
        <w:t xml:space="preserve">Sexto. Gírese </w:t>
      </w:r>
      <w:r w:rsidRPr="001E30D4">
        <w:rPr>
          <w:rFonts w:ascii="Palatino Linotype" w:eastAsia="Palatino Linotype" w:hAnsi="Palatino Linotype" w:cs="Palatino Linotype"/>
          <w:sz w:val="22"/>
          <w:szCs w:val="22"/>
        </w:rPr>
        <w:t xml:space="preserve">oficio a la </w:t>
      </w:r>
      <w:r w:rsidRPr="001E30D4">
        <w:rPr>
          <w:rFonts w:ascii="Palatino Linotype" w:eastAsia="Palatino Linotype" w:hAnsi="Palatino Linotype" w:cs="Palatino Linotype"/>
          <w:b/>
          <w:sz w:val="22"/>
          <w:szCs w:val="22"/>
        </w:rPr>
        <w:t>Secretaría Técnica del Pleno</w:t>
      </w:r>
      <w:r w:rsidRPr="001E30D4">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1E30D4">
        <w:rPr>
          <w:rFonts w:ascii="Palatino Linotype" w:eastAsia="Palatino Linotype" w:hAnsi="Palatino Linotype" w:cs="Palatino Linotype"/>
          <w:b/>
          <w:sz w:val="22"/>
          <w:szCs w:val="22"/>
        </w:rPr>
        <w:t xml:space="preserve"> </w:t>
      </w:r>
      <w:r w:rsidRPr="001E30D4">
        <w:rPr>
          <w:rFonts w:ascii="Palatino Linotype" w:eastAsia="Palatino Linotype" w:hAnsi="Palatino Linotype" w:cs="Palatino Linotype"/>
          <w:sz w:val="22"/>
          <w:szCs w:val="22"/>
        </w:rPr>
        <w:t>de la presente resolución.</w:t>
      </w:r>
      <w:r w:rsidRPr="001E30D4">
        <w:rPr>
          <w:rFonts w:ascii="Palatino Linotype" w:eastAsia="Palatino Linotype" w:hAnsi="Palatino Linotype" w:cs="Palatino Linotype"/>
          <w:b/>
          <w:sz w:val="22"/>
          <w:szCs w:val="22"/>
        </w:rPr>
        <w:t xml:space="preserve"> </w:t>
      </w:r>
    </w:p>
    <w:p w14:paraId="1665641D" w14:textId="77777777" w:rsidR="00F55BA5" w:rsidRPr="001E30D4" w:rsidRDefault="00F55BA5">
      <w:pPr>
        <w:spacing w:line="360" w:lineRule="auto"/>
        <w:jc w:val="both"/>
        <w:rPr>
          <w:rFonts w:ascii="Palatino Linotype" w:eastAsia="Palatino Linotype" w:hAnsi="Palatino Linotype" w:cs="Palatino Linotype"/>
          <w:sz w:val="22"/>
          <w:szCs w:val="22"/>
        </w:rPr>
      </w:pPr>
      <w:bookmarkStart w:id="5" w:name="_heading=h.ibiie51sawl6" w:colFirst="0" w:colLast="0"/>
      <w:bookmarkEnd w:id="5"/>
    </w:p>
    <w:p w14:paraId="4ABE7777" w14:textId="77777777" w:rsidR="00F55BA5" w:rsidRPr="00075BAA" w:rsidRDefault="00C34D9E">
      <w:pPr>
        <w:spacing w:line="360" w:lineRule="auto"/>
        <w:ind w:right="49"/>
        <w:jc w:val="both"/>
        <w:rPr>
          <w:rFonts w:ascii="Palatino Linotype" w:eastAsia="Palatino Linotype" w:hAnsi="Palatino Linotype" w:cs="Palatino Linotype"/>
          <w:sz w:val="22"/>
          <w:szCs w:val="22"/>
        </w:rPr>
        <w:sectPr w:rsidR="00F55BA5" w:rsidRPr="00075BAA">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pPr>
      <w:bookmarkStart w:id="6" w:name="_heading=h.1fob9te" w:colFirst="0" w:colLast="0"/>
      <w:bookmarkEnd w:id="6"/>
      <w:r w:rsidRPr="001E30D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r w:rsidRPr="00075BAA">
        <w:rPr>
          <w:rFonts w:ascii="Palatino Linotype" w:eastAsia="Palatino Linotype" w:hAnsi="Palatino Linotype" w:cs="Palatino Linotype"/>
          <w:sz w:val="22"/>
          <w:szCs w:val="22"/>
        </w:rPr>
        <w:t xml:space="preserve"> </w:t>
      </w:r>
    </w:p>
    <w:p w14:paraId="07F9DC49" w14:textId="77777777" w:rsidR="00F55BA5" w:rsidRPr="00075BAA" w:rsidRDefault="00F55BA5">
      <w:pPr>
        <w:tabs>
          <w:tab w:val="left" w:pos="709"/>
        </w:tabs>
        <w:spacing w:line="360" w:lineRule="auto"/>
        <w:jc w:val="both"/>
        <w:rPr>
          <w:rFonts w:ascii="Palatino Linotype" w:eastAsia="Palatino Linotype" w:hAnsi="Palatino Linotype" w:cs="Palatino Linotype"/>
          <w:sz w:val="22"/>
          <w:szCs w:val="22"/>
        </w:rPr>
      </w:pPr>
    </w:p>
    <w:p w14:paraId="17849E02" w14:textId="77777777" w:rsidR="00F55BA5" w:rsidRPr="00075BAA" w:rsidRDefault="00F55BA5">
      <w:pPr>
        <w:rPr>
          <w:sz w:val="22"/>
          <w:szCs w:val="22"/>
        </w:rPr>
      </w:pPr>
    </w:p>
    <w:sectPr w:rsidR="00F55BA5" w:rsidRPr="00075BAA">
      <w:headerReference w:type="first" r:id="rId12"/>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35996" w14:textId="77777777" w:rsidR="00E12536" w:rsidRDefault="00E12536">
      <w:r>
        <w:separator/>
      </w:r>
    </w:p>
  </w:endnote>
  <w:endnote w:type="continuationSeparator" w:id="0">
    <w:p w14:paraId="07CC8BFB" w14:textId="77777777" w:rsidR="00E12536" w:rsidRDefault="00E12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BF64B6-EABA-4B87-A252-CCCFA2CE361D}"/>
  </w:font>
  <w:font w:name="Segoe UI">
    <w:panose1 w:val="020B0502040204020203"/>
    <w:charset w:val="00"/>
    <w:family w:val="swiss"/>
    <w:pitch w:val="variable"/>
    <w:sig w:usb0="E4002EFF" w:usb1="C000E47F" w:usb2="00000009" w:usb3="00000000" w:csb0="000001FF" w:csb1="00000000"/>
    <w:embedRegular r:id="rId2" w:fontKey="{291AE3E0-A17C-4E87-9FDF-D738F42983B2}"/>
  </w:font>
  <w:font w:name="Georgia">
    <w:panose1 w:val="02040502050405020303"/>
    <w:charset w:val="00"/>
    <w:family w:val="roman"/>
    <w:pitch w:val="variable"/>
    <w:sig w:usb0="00000287" w:usb1="00000000" w:usb2="00000000" w:usb3="00000000" w:csb0="0000009F" w:csb1="00000000"/>
    <w:embedRegular r:id="rId3" w:fontKey="{88002928-FA58-4071-AA6B-176BD051FBC8}"/>
    <w:embedItalic r:id="rId4" w:fontKey="{8737E8A6-160A-4009-B8D5-8E14AEC8F121}"/>
  </w:font>
  <w:font w:name="Palatino Linotype">
    <w:panose1 w:val="02040502050505030304"/>
    <w:charset w:val="00"/>
    <w:family w:val="roman"/>
    <w:pitch w:val="variable"/>
    <w:sig w:usb0="E0000287" w:usb1="40000013" w:usb2="00000000" w:usb3="00000000" w:csb0="0000019F" w:csb1="00000000"/>
    <w:embedRegular r:id="rId5" w:fontKey="{7E4E64E7-2394-4B55-A3BF-9DED0B23BD27}"/>
    <w:embedBold r:id="rId6" w:fontKey="{5993A038-A17E-4616-824B-3BB86A88FA8F}"/>
    <w:embedItalic r:id="rId7" w:fontKey="{703D6E7F-F0CF-4267-A933-33D59F04E7A3}"/>
    <w:embedBoldItalic r:id="rId8" w:fontKey="{FA5654EA-0AE8-4CA2-9780-8BA85E117171}"/>
  </w:font>
  <w:font w:name="Verdana">
    <w:panose1 w:val="020B0604030504040204"/>
    <w:charset w:val="00"/>
    <w:family w:val="swiss"/>
    <w:pitch w:val="variable"/>
    <w:sig w:usb0="A00006FF" w:usb1="4000205B" w:usb2="00000010" w:usb3="00000000" w:csb0="0000019F" w:csb1="00000000"/>
    <w:embedRegular r:id="rId9" w:fontKey="{CFAC67EE-2ABA-4042-AEED-461CA95F1D72}"/>
    <w:embedBold r:id="rId10" w:fontKey="{184D87B0-7923-44D4-A429-50E6B2659DE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CBCCB968-B412-44AE-A01B-F62420A8DE2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098E5" w14:textId="7EC5864D" w:rsidR="00F55BA5" w:rsidRDefault="00C34D9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D27A7">
      <w:rPr>
        <w:rFonts w:ascii="Arial" w:eastAsia="Arial" w:hAnsi="Arial" w:cs="Arial"/>
        <w:b/>
        <w:noProof/>
        <w:color w:val="000000"/>
        <w:sz w:val="20"/>
        <w:szCs w:val="20"/>
      </w:rPr>
      <w:t>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D27A7">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43E66D25" w14:textId="77777777" w:rsidR="00F55BA5" w:rsidRDefault="00F55BA5">
    <w:pPr>
      <w:pBdr>
        <w:top w:val="nil"/>
        <w:left w:val="nil"/>
        <w:bottom w:val="nil"/>
        <w:right w:val="nil"/>
        <w:between w:val="nil"/>
      </w:pBdr>
      <w:tabs>
        <w:tab w:val="center" w:pos="4252"/>
        <w:tab w:val="right" w:pos="8504"/>
      </w:tabs>
      <w:rPr>
        <w:color w:val="000000"/>
      </w:rPr>
    </w:pPr>
  </w:p>
  <w:p w14:paraId="79F60A1E" w14:textId="77777777" w:rsidR="00F55BA5" w:rsidRDefault="00F55BA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AB55B" w14:textId="2AC37DBB" w:rsidR="00F55BA5" w:rsidRDefault="00C34D9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D27A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D27A7">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340C386E" w14:textId="77777777" w:rsidR="00F55BA5" w:rsidRDefault="00F55BA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41527" w14:textId="77777777" w:rsidR="00E12536" w:rsidRDefault="00E12536">
      <w:r>
        <w:separator/>
      </w:r>
    </w:p>
  </w:footnote>
  <w:footnote w:type="continuationSeparator" w:id="0">
    <w:p w14:paraId="16D4BA7B" w14:textId="77777777" w:rsidR="00E12536" w:rsidRDefault="00E12536">
      <w:r>
        <w:continuationSeparator/>
      </w:r>
    </w:p>
  </w:footnote>
  <w:footnote w:id="1">
    <w:p w14:paraId="4C6A5F07" w14:textId="77777777" w:rsidR="00F55BA5" w:rsidRDefault="00C34D9E">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27CC7419" w14:textId="77777777" w:rsidR="00F55BA5" w:rsidRDefault="00C34D9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98EB3C7" w14:textId="77777777" w:rsidR="00F55BA5" w:rsidRDefault="00C34D9E">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293CB30" w14:textId="77777777" w:rsidR="00F55BA5" w:rsidRDefault="00C34D9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1AE6A783" w14:textId="77777777" w:rsidR="00F55BA5" w:rsidRDefault="00C34D9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1DB51379" w14:textId="77777777" w:rsidR="00F55BA5" w:rsidRDefault="00C34D9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46B8DC5A" w14:textId="77777777" w:rsidR="00F55BA5" w:rsidRDefault="00C34D9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CEA48E7" w14:textId="77777777" w:rsidR="00F55BA5" w:rsidRDefault="00C34D9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2FBA874" w14:textId="77777777" w:rsidR="00F55BA5" w:rsidRDefault="00C34D9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B7A1826" w14:textId="77777777" w:rsidR="00F55BA5" w:rsidRDefault="00C34D9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5FD3183" w14:textId="77777777" w:rsidR="00F55BA5" w:rsidRDefault="00C34D9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3D6158E7" w14:textId="77777777" w:rsidR="00F55BA5" w:rsidRDefault="00C34D9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B6918" w14:textId="77777777" w:rsidR="00F55BA5" w:rsidRDefault="00F55BA5">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F55BA5" w14:paraId="3B1F5155" w14:textId="77777777">
      <w:tc>
        <w:tcPr>
          <w:tcW w:w="2552" w:type="dxa"/>
          <w:vAlign w:val="center"/>
        </w:tcPr>
        <w:p w14:paraId="419B6B93" w14:textId="77777777" w:rsidR="00F55BA5" w:rsidRDefault="00C34D9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027AC68A" w14:textId="77777777" w:rsidR="00F55BA5" w:rsidRDefault="00C34D9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11619/INFOEM/IP/RR/2025 </w:t>
          </w:r>
        </w:p>
      </w:tc>
    </w:tr>
    <w:tr w:rsidR="00F55BA5" w14:paraId="365066FB" w14:textId="77777777">
      <w:trPr>
        <w:trHeight w:val="228"/>
      </w:trPr>
      <w:tc>
        <w:tcPr>
          <w:tcW w:w="2552" w:type="dxa"/>
          <w:shd w:val="clear" w:color="auto" w:fill="auto"/>
          <w:vAlign w:val="center"/>
        </w:tcPr>
        <w:p w14:paraId="3B80025F" w14:textId="77777777" w:rsidR="00F55BA5" w:rsidRDefault="00C34D9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p w14:paraId="38E7D4D9" w14:textId="77777777" w:rsidR="00F55BA5" w:rsidRDefault="00F55BA5">
          <w:pPr>
            <w:rPr>
              <w:rFonts w:ascii="Palatino Linotype" w:eastAsia="Palatino Linotype" w:hAnsi="Palatino Linotype" w:cs="Palatino Linotype"/>
              <w:b/>
              <w:sz w:val="21"/>
              <w:szCs w:val="21"/>
            </w:rPr>
          </w:pPr>
        </w:p>
      </w:tc>
      <w:tc>
        <w:tcPr>
          <w:tcW w:w="2976" w:type="dxa"/>
          <w:shd w:val="clear" w:color="auto" w:fill="auto"/>
          <w:vAlign w:val="center"/>
        </w:tcPr>
        <w:p w14:paraId="30DD569C" w14:textId="77777777" w:rsidR="00F55BA5" w:rsidRDefault="00C34D9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Texcoco</w:t>
          </w:r>
        </w:p>
      </w:tc>
    </w:tr>
    <w:tr w:rsidR="00F55BA5" w14:paraId="381D9EB6" w14:textId="77777777">
      <w:tc>
        <w:tcPr>
          <w:tcW w:w="2552" w:type="dxa"/>
          <w:vAlign w:val="center"/>
        </w:tcPr>
        <w:p w14:paraId="458B6986" w14:textId="77777777" w:rsidR="00F55BA5" w:rsidRDefault="00C34D9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105C1851" w14:textId="77777777" w:rsidR="00F55BA5" w:rsidRDefault="00C34D9E">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35E8A4D" w14:textId="77777777" w:rsidR="00F55BA5" w:rsidRDefault="00C34D9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79299252" wp14:editId="4ADF3C17">
          <wp:simplePos x="0" y="0"/>
          <wp:positionH relativeFrom="column">
            <wp:posOffset>-689272</wp:posOffset>
          </wp:positionH>
          <wp:positionV relativeFrom="paragraph">
            <wp:posOffset>-1171011</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1B621" w14:textId="77777777" w:rsidR="00F55BA5" w:rsidRDefault="00C34D9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71111233" wp14:editId="36F4122F">
          <wp:simplePos x="0" y="0"/>
          <wp:positionH relativeFrom="column">
            <wp:posOffset>-675560</wp:posOffset>
          </wp:positionH>
          <wp:positionV relativeFrom="paragraph">
            <wp:posOffset>-341824</wp:posOffset>
          </wp:positionV>
          <wp:extent cx="7635875" cy="9943465"/>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F55BA5" w14:paraId="2728F2C5" w14:textId="77777777">
      <w:tc>
        <w:tcPr>
          <w:tcW w:w="2551" w:type="dxa"/>
          <w:vAlign w:val="center"/>
        </w:tcPr>
        <w:p w14:paraId="6514F31E" w14:textId="77777777" w:rsidR="00F55BA5" w:rsidRDefault="00C34D9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6FBFABA6" w14:textId="77777777" w:rsidR="00F55BA5" w:rsidRDefault="00C34D9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11619/INFOEM/IP/RR/2025</w:t>
          </w:r>
        </w:p>
      </w:tc>
    </w:tr>
    <w:tr w:rsidR="00F55BA5" w14:paraId="0F56F090" w14:textId="77777777">
      <w:tc>
        <w:tcPr>
          <w:tcW w:w="2551" w:type="dxa"/>
          <w:vAlign w:val="center"/>
        </w:tcPr>
        <w:p w14:paraId="68F645F5" w14:textId="77777777" w:rsidR="00F55BA5" w:rsidRDefault="00C34D9E">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4AE6B267" w14:textId="774E0F90" w:rsidR="00F55BA5" w:rsidRDefault="004D27A7" w:rsidP="004D27A7">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XXXXX XXXX XXXXXXXX XXXXXX </w:t>
          </w:r>
        </w:p>
      </w:tc>
    </w:tr>
    <w:tr w:rsidR="00F55BA5" w14:paraId="6CD22C4B" w14:textId="77777777">
      <w:trPr>
        <w:trHeight w:val="228"/>
      </w:trPr>
      <w:tc>
        <w:tcPr>
          <w:tcW w:w="2551" w:type="dxa"/>
          <w:vAlign w:val="center"/>
        </w:tcPr>
        <w:p w14:paraId="1557814F" w14:textId="77777777" w:rsidR="00F55BA5" w:rsidRDefault="00C34D9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p w14:paraId="590861A1" w14:textId="77777777" w:rsidR="00F55BA5" w:rsidRDefault="00F55BA5">
          <w:pPr>
            <w:rPr>
              <w:rFonts w:ascii="Palatino Linotype" w:eastAsia="Palatino Linotype" w:hAnsi="Palatino Linotype" w:cs="Palatino Linotype"/>
              <w:b/>
              <w:sz w:val="21"/>
              <w:szCs w:val="21"/>
            </w:rPr>
          </w:pPr>
        </w:p>
      </w:tc>
      <w:tc>
        <w:tcPr>
          <w:tcW w:w="3687" w:type="dxa"/>
          <w:vAlign w:val="center"/>
        </w:tcPr>
        <w:p w14:paraId="31964497" w14:textId="77777777" w:rsidR="00F55BA5" w:rsidRDefault="00C34D9E">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Texcoco</w:t>
          </w:r>
        </w:p>
      </w:tc>
    </w:tr>
    <w:tr w:rsidR="00F55BA5" w14:paraId="15F4EE55" w14:textId="77777777">
      <w:tc>
        <w:tcPr>
          <w:tcW w:w="2551" w:type="dxa"/>
          <w:vAlign w:val="center"/>
        </w:tcPr>
        <w:p w14:paraId="55FA3879" w14:textId="77777777" w:rsidR="00F55BA5" w:rsidRDefault="00C34D9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7B556447" w14:textId="77777777" w:rsidR="00F55BA5" w:rsidRDefault="00C34D9E">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7067F424" w14:textId="77777777" w:rsidR="00F55BA5" w:rsidRDefault="00F55BA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9C270" w14:textId="77777777" w:rsidR="00F55BA5" w:rsidRDefault="00C34D9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4695424A" w14:textId="77777777" w:rsidR="00F55BA5" w:rsidRDefault="00F55BA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2400B"/>
    <w:multiLevelType w:val="multilevel"/>
    <w:tmpl w:val="62A49B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7E6883"/>
    <w:multiLevelType w:val="multilevel"/>
    <w:tmpl w:val="7F2C38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791D41"/>
    <w:multiLevelType w:val="multilevel"/>
    <w:tmpl w:val="15C6A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EC6068"/>
    <w:multiLevelType w:val="multilevel"/>
    <w:tmpl w:val="A23668F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ADE136F"/>
    <w:multiLevelType w:val="multilevel"/>
    <w:tmpl w:val="5A04A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BA5"/>
    <w:rsid w:val="00075BAA"/>
    <w:rsid w:val="001E30D4"/>
    <w:rsid w:val="00372387"/>
    <w:rsid w:val="004D18E8"/>
    <w:rsid w:val="004D27A7"/>
    <w:rsid w:val="009D663B"/>
    <w:rsid w:val="009D7072"/>
    <w:rsid w:val="00AE1A49"/>
    <w:rsid w:val="00C34D9E"/>
    <w:rsid w:val="00CC09C9"/>
    <w:rsid w:val="00E028F5"/>
    <w:rsid w:val="00E12536"/>
    <w:rsid w:val="00F55B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490A0"/>
  <w15:docId w15:val="{1C8B153E-345B-4E16-961A-0A7A30055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Vdi/+HFWoVGqT2iFbApO4H7EwQ==">CgMxLjAyCGguZ2pkZ3hzMg5oLnVmbGRsZzF6NWNxZTIJaC4zZHk2dmttMgloLjN6bnlzaDcyDmguaWJpaWU1MXNhd2w2MgloLjFmb2I5dGU4AHIhMWNQbjB5cG1qTGs4Ym15M3JsOXFNanBxNHdNaVpadzVw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7176</Words>
  <Characters>39474</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2025-11-14T19:22:00Z</cp:lastPrinted>
  <dcterms:created xsi:type="dcterms:W3CDTF">2025-12-13T01:18:00Z</dcterms:created>
  <dcterms:modified xsi:type="dcterms:W3CDTF">2025-12-13T01:18:00Z</dcterms:modified>
</cp:coreProperties>
</file>