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2CD2C6E" w14:textId="77777777" w:rsidR="00BC18A4" w:rsidRDefault="00BC18A4" w:rsidP="000F31A3">
          <w:pPr>
            <w:pStyle w:val="TtuloTDC"/>
            <w:spacing w:before="0" w:line="360" w:lineRule="auto"/>
            <w:rPr>
              <w:rFonts w:ascii="Times New Roman" w:eastAsia="Times New Roman" w:hAnsi="Times New Roman" w:cs="Times New Roman"/>
              <w:color w:val="auto"/>
              <w:sz w:val="20"/>
              <w:szCs w:val="20"/>
              <w:lang w:val="es-ES" w:eastAsia="es-ES"/>
            </w:rPr>
          </w:pPr>
        </w:p>
        <w:p w14:paraId="46712D3F" w14:textId="77777777" w:rsidR="00BC18A4" w:rsidRDefault="00BC18A4" w:rsidP="000F31A3">
          <w:pPr>
            <w:pStyle w:val="TtuloTDC"/>
            <w:spacing w:before="0" w:line="360" w:lineRule="auto"/>
            <w:rPr>
              <w:rFonts w:ascii="Times New Roman" w:eastAsia="Times New Roman" w:hAnsi="Times New Roman" w:cs="Times New Roman"/>
              <w:color w:val="auto"/>
              <w:sz w:val="20"/>
              <w:szCs w:val="20"/>
              <w:lang w:val="es-ES" w:eastAsia="es-ES"/>
            </w:rPr>
          </w:pPr>
        </w:p>
        <w:p w14:paraId="7EE19928" w14:textId="77777777" w:rsidR="00BC18A4" w:rsidRDefault="00BC18A4" w:rsidP="000F31A3">
          <w:pPr>
            <w:pStyle w:val="TtuloTDC"/>
            <w:spacing w:before="0" w:line="360" w:lineRule="auto"/>
            <w:rPr>
              <w:rFonts w:ascii="Times New Roman" w:eastAsia="Times New Roman" w:hAnsi="Times New Roman" w:cs="Times New Roman"/>
              <w:color w:val="auto"/>
              <w:sz w:val="20"/>
              <w:szCs w:val="20"/>
              <w:lang w:val="es-ES" w:eastAsia="es-ES"/>
            </w:rPr>
          </w:pPr>
        </w:p>
        <w:p w14:paraId="6192702A" w14:textId="442E7CA9" w:rsidR="00342378" w:rsidRPr="00BC18A4" w:rsidRDefault="00342378" w:rsidP="000F31A3">
          <w:pPr>
            <w:pStyle w:val="TtuloTDC"/>
            <w:spacing w:before="0" w:line="360" w:lineRule="auto"/>
            <w:rPr>
              <w:sz w:val="22"/>
              <w:szCs w:val="22"/>
            </w:rPr>
          </w:pPr>
          <w:r w:rsidRPr="00BC18A4">
            <w:rPr>
              <w:sz w:val="22"/>
              <w:szCs w:val="22"/>
            </w:rPr>
            <w:t>Contenido</w:t>
          </w:r>
        </w:p>
        <w:p w14:paraId="3E753F0E" w14:textId="4E388B3F" w:rsidR="00BC18A4" w:rsidRPr="00BC18A4" w:rsidRDefault="00342378">
          <w:pPr>
            <w:pStyle w:val="TDC1"/>
            <w:tabs>
              <w:tab w:val="right" w:leader="dot" w:pos="9034"/>
            </w:tabs>
            <w:rPr>
              <w:rFonts w:eastAsiaTheme="minorEastAsia"/>
              <w:sz w:val="22"/>
              <w:szCs w:val="22"/>
            </w:rPr>
          </w:pPr>
          <w:r w:rsidRPr="00BC18A4">
            <w:rPr>
              <w:sz w:val="22"/>
              <w:szCs w:val="22"/>
            </w:rPr>
            <w:fldChar w:fldCharType="begin"/>
          </w:r>
          <w:r w:rsidRPr="00BC18A4">
            <w:rPr>
              <w:sz w:val="22"/>
              <w:szCs w:val="22"/>
            </w:rPr>
            <w:instrText xml:space="preserve"> TOC \o "1-3" \h \z \u </w:instrText>
          </w:r>
          <w:r w:rsidRPr="00BC18A4">
            <w:rPr>
              <w:sz w:val="22"/>
              <w:szCs w:val="22"/>
            </w:rPr>
            <w:fldChar w:fldCharType="separate"/>
          </w:r>
          <w:hyperlink w:anchor="_Toc212733581" w:history="1">
            <w:r w:rsidR="00BC18A4" w:rsidRPr="00BC18A4">
              <w:rPr>
                <w:sz w:val="22"/>
                <w:szCs w:val="22"/>
              </w:rPr>
              <w:t>A N T E C E D E N T E S</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_Toc212733581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2</w:t>
            </w:r>
            <w:r w:rsidR="00BC18A4" w:rsidRPr="00BC18A4">
              <w:rPr>
                <w:webHidden/>
                <w:sz w:val="22"/>
                <w:szCs w:val="22"/>
              </w:rPr>
              <w:fldChar w:fldCharType="end"/>
            </w:r>
          </w:hyperlink>
        </w:p>
        <w:p w14:paraId="3300BF99" w14:textId="1DEE8581" w:rsidR="00BC18A4" w:rsidRPr="00BC18A4" w:rsidRDefault="00000000">
          <w:pPr>
            <w:pStyle w:val="TDC2"/>
            <w:tabs>
              <w:tab w:val="right" w:leader="dot" w:pos="9034"/>
            </w:tabs>
            <w:rPr>
              <w:rFonts w:eastAsiaTheme="minorEastAsia"/>
              <w:sz w:val="22"/>
              <w:szCs w:val="22"/>
            </w:rPr>
          </w:pPr>
          <w:hyperlink w:anchor="_Toc212733582" w:history="1">
            <w:r w:rsidR="00BC18A4" w:rsidRPr="00BC18A4">
              <w:rPr>
                <w:sz w:val="22"/>
                <w:szCs w:val="22"/>
              </w:rPr>
              <w:t>I. Presentación de la solicitud de información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_Toc212733582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2</w:t>
            </w:r>
            <w:r w:rsidR="00BC18A4" w:rsidRPr="00BC18A4">
              <w:rPr>
                <w:webHidden/>
                <w:sz w:val="22"/>
                <w:szCs w:val="22"/>
              </w:rPr>
              <w:fldChar w:fldCharType="end"/>
            </w:r>
          </w:hyperlink>
        </w:p>
        <w:p w14:paraId="3EC31D4F" w14:textId="0E35844F" w:rsidR="00BC18A4" w:rsidRPr="00BC18A4" w:rsidRDefault="00000000">
          <w:pPr>
            <w:pStyle w:val="TDC2"/>
            <w:tabs>
              <w:tab w:val="right" w:leader="dot" w:pos="9034"/>
            </w:tabs>
            <w:rPr>
              <w:rFonts w:eastAsiaTheme="minorEastAsia"/>
              <w:sz w:val="22"/>
              <w:szCs w:val="22"/>
            </w:rPr>
          </w:pPr>
          <w:hyperlink w:anchor="_Toc212733583" w:history="1">
            <w:r w:rsidR="00BC18A4" w:rsidRPr="00BC18A4">
              <w:rPr>
                <w:sz w:val="22"/>
                <w:szCs w:val="22"/>
              </w:rPr>
              <w:t>II. Respuesta del Sujeto Obligado</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_Toc212733583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3</w:t>
            </w:r>
            <w:r w:rsidR="00BC18A4" w:rsidRPr="00BC18A4">
              <w:rPr>
                <w:webHidden/>
                <w:sz w:val="22"/>
                <w:szCs w:val="22"/>
              </w:rPr>
              <w:fldChar w:fldCharType="end"/>
            </w:r>
          </w:hyperlink>
        </w:p>
        <w:p w14:paraId="5E483989" w14:textId="409E773D" w:rsidR="00BC18A4" w:rsidRPr="00BC18A4" w:rsidRDefault="00000000">
          <w:pPr>
            <w:pStyle w:val="TDC2"/>
            <w:tabs>
              <w:tab w:val="right" w:leader="dot" w:pos="9034"/>
            </w:tabs>
            <w:rPr>
              <w:rFonts w:eastAsiaTheme="minorEastAsia"/>
              <w:sz w:val="22"/>
              <w:szCs w:val="22"/>
            </w:rPr>
          </w:pPr>
          <w:hyperlink w:anchor="_Toc212733584" w:history="1">
            <w:r w:rsidR="00BC18A4" w:rsidRPr="00BC18A4">
              <w:rPr>
                <w:sz w:val="22"/>
                <w:szCs w:val="22"/>
              </w:rPr>
              <w:t>III. Interposición del Recurso de Revisión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_Toc212733584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4</w:t>
            </w:r>
            <w:r w:rsidR="00BC18A4" w:rsidRPr="00BC18A4">
              <w:rPr>
                <w:webHidden/>
                <w:sz w:val="22"/>
                <w:szCs w:val="22"/>
              </w:rPr>
              <w:fldChar w:fldCharType="end"/>
            </w:r>
          </w:hyperlink>
        </w:p>
        <w:p w14:paraId="13D434CF" w14:textId="3B716ABD" w:rsidR="00BC18A4" w:rsidRPr="00BC18A4" w:rsidRDefault="00000000">
          <w:pPr>
            <w:pStyle w:val="TDC2"/>
            <w:tabs>
              <w:tab w:val="right" w:leader="dot" w:pos="9034"/>
            </w:tabs>
            <w:rPr>
              <w:rFonts w:eastAsiaTheme="minorEastAsia"/>
              <w:sz w:val="22"/>
              <w:szCs w:val="22"/>
            </w:rPr>
          </w:pPr>
          <w:hyperlink w:anchor="_Toc212733585" w:history="1">
            <w:r w:rsidR="00BC18A4" w:rsidRPr="00BC18A4">
              <w:rPr>
                <w:sz w:val="22"/>
                <w:szCs w:val="22"/>
              </w:rPr>
              <w:t>IV. Trámite del Recurso de Revisión ante el Instituto</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_Toc212733585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4</w:t>
            </w:r>
            <w:r w:rsidR="00BC18A4" w:rsidRPr="00BC18A4">
              <w:rPr>
                <w:webHidden/>
                <w:sz w:val="22"/>
                <w:szCs w:val="22"/>
              </w:rPr>
              <w:fldChar w:fldCharType="end"/>
            </w:r>
          </w:hyperlink>
        </w:p>
        <w:p w14:paraId="4EFA9C3A" w14:textId="11AF0467" w:rsidR="00BC18A4" w:rsidRPr="00BC18A4" w:rsidRDefault="00000000">
          <w:pPr>
            <w:pStyle w:val="TDC3"/>
            <w:tabs>
              <w:tab w:val="right" w:leader="dot" w:pos="9034"/>
            </w:tabs>
            <w:rPr>
              <w:rFonts w:eastAsiaTheme="minorEastAsia"/>
              <w:sz w:val="22"/>
              <w:szCs w:val="22"/>
            </w:rPr>
          </w:pPr>
          <w:hyperlink w:anchor="_Toc212733586" w:history="1">
            <w:r w:rsidR="00BC18A4" w:rsidRPr="00BC18A4">
              <w:rPr>
                <w:sz w:val="22"/>
                <w:szCs w:val="22"/>
              </w:rPr>
              <w:t>a) Turno del Recurso de Revisión.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_Toc212733586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4</w:t>
            </w:r>
            <w:r w:rsidR="00BC18A4" w:rsidRPr="00BC18A4">
              <w:rPr>
                <w:webHidden/>
                <w:sz w:val="22"/>
                <w:szCs w:val="22"/>
              </w:rPr>
              <w:fldChar w:fldCharType="end"/>
            </w:r>
          </w:hyperlink>
        </w:p>
        <w:p w14:paraId="7F482B4B" w14:textId="34B22DCC" w:rsidR="00BC18A4" w:rsidRPr="00BC18A4" w:rsidRDefault="00000000">
          <w:pPr>
            <w:pStyle w:val="TDC3"/>
            <w:tabs>
              <w:tab w:val="right" w:leader="dot" w:pos="9034"/>
            </w:tabs>
            <w:rPr>
              <w:rFonts w:eastAsiaTheme="minorEastAsia"/>
              <w:sz w:val="22"/>
              <w:szCs w:val="22"/>
            </w:rPr>
          </w:pPr>
          <w:hyperlink w:anchor="_Toc212733587" w:history="1">
            <w:r w:rsidR="00BC18A4" w:rsidRPr="00BC18A4">
              <w:rPr>
                <w:sz w:val="22"/>
                <w:szCs w:val="22"/>
              </w:rPr>
              <w:t>b) Admisión del Recurso de Revisión.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_Toc212733587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5</w:t>
            </w:r>
            <w:r w:rsidR="00BC18A4" w:rsidRPr="00BC18A4">
              <w:rPr>
                <w:webHidden/>
                <w:sz w:val="22"/>
                <w:szCs w:val="22"/>
              </w:rPr>
              <w:fldChar w:fldCharType="end"/>
            </w:r>
          </w:hyperlink>
        </w:p>
        <w:p w14:paraId="0EB1CE5D" w14:textId="686AD8CC" w:rsidR="00BC18A4" w:rsidRPr="00BC18A4" w:rsidRDefault="00000000">
          <w:pPr>
            <w:pStyle w:val="TDC3"/>
            <w:tabs>
              <w:tab w:val="right" w:leader="dot" w:pos="9034"/>
            </w:tabs>
            <w:rPr>
              <w:rFonts w:eastAsiaTheme="minorEastAsia"/>
              <w:sz w:val="22"/>
              <w:szCs w:val="22"/>
            </w:rPr>
          </w:pPr>
          <w:hyperlink w:anchor="_Toc212733588" w:history="1">
            <w:r w:rsidR="00BC18A4" w:rsidRPr="00BC18A4">
              <w:rPr>
                <w:sz w:val="22"/>
                <w:szCs w:val="22"/>
              </w:rPr>
              <w:t>e) Cierre de instrucción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_Toc212733588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7</w:t>
            </w:r>
            <w:r w:rsidR="00BC18A4" w:rsidRPr="00BC18A4">
              <w:rPr>
                <w:webHidden/>
                <w:sz w:val="22"/>
                <w:szCs w:val="22"/>
              </w:rPr>
              <w:fldChar w:fldCharType="end"/>
            </w:r>
          </w:hyperlink>
        </w:p>
        <w:p w14:paraId="564691D6" w14:textId="7484ACCC" w:rsidR="00BC18A4" w:rsidRPr="00BC18A4" w:rsidRDefault="00000000">
          <w:pPr>
            <w:pStyle w:val="TDC1"/>
            <w:tabs>
              <w:tab w:val="right" w:leader="dot" w:pos="9034"/>
            </w:tabs>
            <w:rPr>
              <w:rFonts w:eastAsiaTheme="minorEastAsia"/>
              <w:sz w:val="22"/>
              <w:szCs w:val="22"/>
            </w:rPr>
          </w:pPr>
          <w:hyperlink w:anchor="_Toc212733589" w:history="1">
            <w:r w:rsidR="00BC18A4" w:rsidRPr="00BC18A4">
              <w:rPr>
                <w:sz w:val="22"/>
                <w:szCs w:val="22"/>
              </w:rPr>
              <w:t>C O N S I D E R A N D O S</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_Toc212733589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7</w:t>
            </w:r>
            <w:r w:rsidR="00BC18A4" w:rsidRPr="00BC18A4">
              <w:rPr>
                <w:webHidden/>
                <w:sz w:val="22"/>
                <w:szCs w:val="22"/>
              </w:rPr>
              <w:fldChar w:fldCharType="end"/>
            </w:r>
          </w:hyperlink>
        </w:p>
        <w:p w14:paraId="6C55A697" w14:textId="30B7F32A" w:rsidR="00BC18A4" w:rsidRPr="00BC18A4" w:rsidRDefault="00000000">
          <w:pPr>
            <w:pStyle w:val="TDC2"/>
            <w:tabs>
              <w:tab w:val="right" w:leader="dot" w:pos="9034"/>
            </w:tabs>
            <w:rPr>
              <w:rFonts w:eastAsiaTheme="minorEastAsia"/>
              <w:sz w:val="22"/>
              <w:szCs w:val="22"/>
            </w:rPr>
          </w:pPr>
          <w:hyperlink w:anchor="_Toc212733590" w:history="1">
            <w:r w:rsidR="00BC18A4" w:rsidRPr="00BC18A4">
              <w:rPr>
                <w:sz w:val="22"/>
                <w:szCs w:val="22"/>
                <w:lang w:eastAsia="es-MX"/>
              </w:rPr>
              <w:t xml:space="preserve">PRIMERO. </w:t>
            </w:r>
            <w:r w:rsidR="00BC18A4" w:rsidRPr="00BC18A4">
              <w:rPr>
                <w:sz w:val="22"/>
                <w:szCs w:val="22"/>
              </w:rPr>
              <w:t>Competencia</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_Toc212733590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8</w:t>
            </w:r>
            <w:r w:rsidR="00BC18A4" w:rsidRPr="00BC18A4">
              <w:rPr>
                <w:webHidden/>
                <w:sz w:val="22"/>
                <w:szCs w:val="22"/>
              </w:rPr>
              <w:fldChar w:fldCharType="end"/>
            </w:r>
          </w:hyperlink>
        </w:p>
        <w:p w14:paraId="2CE4E59E" w14:textId="21C58A5F" w:rsidR="00BC18A4" w:rsidRPr="00BC18A4" w:rsidRDefault="00000000">
          <w:pPr>
            <w:pStyle w:val="TDC2"/>
            <w:tabs>
              <w:tab w:val="right" w:leader="dot" w:pos="9034"/>
            </w:tabs>
            <w:rPr>
              <w:rFonts w:eastAsiaTheme="minorEastAsia"/>
              <w:sz w:val="22"/>
              <w:szCs w:val="22"/>
            </w:rPr>
          </w:pPr>
          <w:hyperlink w:anchor="_Toc212733591" w:history="1">
            <w:r w:rsidR="00BC18A4" w:rsidRPr="00BC18A4">
              <w:rPr>
                <w:sz w:val="22"/>
                <w:szCs w:val="22"/>
                <w:lang w:eastAsia="es-MX"/>
              </w:rPr>
              <w:t>SEGUNDO. Causales de improcedencia y sobreseimiento</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_Toc212733591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8</w:t>
            </w:r>
            <w:r w:rsidR="00BC18A4" w:rsidRPr="00BC18A4">
              <w:rPr>
                <w:webHidden/>
                <w:sz w:val="22"/>
                <w:szCs w:val="22"/>
              </w:rPr>
              <w:fldChar w:fldCharType="end"/>
            </w:r>
          </w:hyperlink>
        </w:p>
        <w:p w14:paraId="6449B47D" w14:textId="47D221A8" w:rsidR="00BC18A4" w:rsidRPr="00BC18A4" w:rsidRDefault="00000000">
          <w:pPr>
            <w:pStyle w:val="TDC3"/>
            <w:tabs>
              <w:tab w:val="right" w:leader="dot" w:pos="9034"/>
            </w:tabs>
            <w:rPr>
              <w:rFonts w:eastAsiaTheme="minorEastAsia"/>
              <w:sz w:val="22"/>
              <w:szCs w:val="22"/>
            </w:rPr>
          </w:pPr>
          <w:hyperlink w:anchor="_Toc212733592" w:history="1">
            <w:r w:rsidR="00BC18A4" w:rsidRPr="00BC18A4">
              <w:rPr>
                <w:sz w:val="22"/>
                <w:szCs w:val="22"/>
                <w:lang w:eastAsia="es-ES_tradnl"/>
              </w:rPr>
              <w:t>Causales de sobreseimiento</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_Toc212733592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9</w:t>
            </w:r>
            <w:r w:rsidR="00BC18A4" w:rsidRPr="00BC18A4">
              <w:rPr>
                <w:webHidden/>
                <w:sz w:val="22"/>
                <w:szCs w:val="22"/>
              </w:rPr>
              <w:fldChar w:fldCharType="end"/>
            </w:r>
          </w:hyperlink>
        </w:p>
        <w:p w14:paraId="7A9E144C" w14:textId="403E8A93" w:rsidR="00BC18A4" w:rsidRPr="00BC18A4" w:rsidRDefault="00000000">
          <w:pPr>
            <w:pStyle w:val="TDC2"/>
            <w:tabs>
              <w:tab w:val="right" w:leader="dot" w:pos="9034"/>
            </w:tabs>
            <w:rPr>
              <w:rFonts w:eastAsiaTheme="minorEastAsia"/>
              <w:sz w:val="22"/>
              <w:szCs w:val="22"/>
            </w:rPr>
          </w:pPr>
          <w:hyperlink w:anchor="_Toc212733593" w:history="1">
            <w:r w:rsidR="00BC18A4" w:rsidRPr="00BC18A4">
              <w:rPr>
                <w:sz w:val="22"/>
                <w:szCs w:val="22"/>
                <w:lang w:eastAsia="es-ES_tradnl"/>
              </w:rPr>
              <w:t>TERCERO. Determinación de la Controversia</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_Toc212733593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9</w:t>
            </w:r>
            <w:r w:rsidR="00BC18A4" w:rsidRPr="00BC18A4">
              <w:rPr>
                <w:webHidden/>
                <w:sz w:val="22"/>
                <w:szCs w:val="22"/>
              </w:rPr>
              <w:fldChar w:fldCharType="end"/>
            </w:r>
          </w:hyperlink>
        </w:p>
        <w:p w14:paraId="1D7D8F3D" w14:textId="37271311" w:rsidR="00BC18A4" w:rsidRPr="00BC18A4" w:rsidRDefault="00000000">
          <w:pPr>
            <w:pStyle w:val="TDC2"/>
            <w:tabs>
              <w:tab w:val="right" w:leader="dot" w:pos="9034"/>
            </w:tabs>
            <w:rPr>
              <w:rFonts w:eastAsiaTheme="minorEastAsia"/>
              <w:sz w:val="22"/>
              <w:szCs w:val="22"/>
            </w:rPr>
          </w:pPr>
          <w:hyperlink w:anchor="_Toc212733594" w:history="1">
            <w:r w:rsidR="00BC18A4" w:rsidRPr="00BC18A4">
              <w:rPr>
                <w:sz w:val="22"/>
                <w:szCs w:val="22"/>
                <w:lang w:eastAsia="es-ES_tradnl"/>
              </w:rPr>
              <w:t>CUARTO. Marco normativo aplicable en materia de transparencia y acceso a la información pública</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_Toc212733594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12</w:t>
            </w:r>
            <w:r w:rsidR="00BC18A4" w:rsidRPr="00BC18A4">
              <w:rPr>
                <w:webHidden/>
                <w:sz w:val="22"/>
                <w:szCs w:val="22"/>
              </w:rPr>
              <w:fldChar w:fldCharType="end"/>
            </w:r>
          </w:hyperlink>
        </w:p>
        <w:p w14:paraId="74ECD2BA" w14:textId="0BCF0C04" w:rsidR="00BC18A4" w:rsidRPr="00BC18A4" w:rsidRDefault="00000000">
          <w:pPr>
            <w:pStyle w:val="TDC2"/>
            <w:tabs>
              <w:tab w:val="right" w:leader="dot" w:pos="9034"/>
            </w:tabs>
            <w:rPr>
              <w:rFonts w:eastAsiaTheme="minorEastAsia"/>
              <w:sz w:val="22"/>
              <w:szCs w:val="22"/>
            </w:rPr>
          </w:pPr>
          <w:hyperlink w:anchor="_Toc212733595" w:history="1">
            <w:r w:rsidR="00BC18A4" w:rsidRPr="00BC18A4">
              <w:rPr>
                <w:sz w:val="22"/>
                <w:szCs w:val="22"/>
                <w:lang w:eastAsia="es-ES_tradnl"/>
              </w:rPr>
              <w:t>QUINTO. Estudio de Fondo</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_Toc212733595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13</w:t>
            </w:r>
            <w:r w:rsidR="00BC18A4" w:rsidRPr="00BC18A4">
              <w:rPr>
                <w:webHidden/>
                <w:sz w:val="22"/>
                <w:szCs w:val="22"/>
              </w:rPr>
              <w:fldChar w:fldCharType="end"/>
            </w:r>
          </w:hyperlink>
        </w:p>
        <w:p w14:paraId="3C5D12EC" w14:textId="00D8A02F" w:rsidR="00BC18A4" w:rsidRPr="00BC18A4" w:rsidRDefault="00000000">
          <w:pPr>
            <w:pStyle w:val="TDC2"/>
            <w:tabs>
              <w:tab w:val="right" w:leader="dot" w:pos="9034"/>
            </w:tabs>
            <w:rPr>
              <w:rFonts w:eastAsiaTheme="minorEastAsia"/>
              <w:sz w:val="22"/>
              <w:szCs w:val="22"/>
            </w:rPr>
          </w:pPr>
          <w:hyperlink w:anchor="_Toc212733596" w:history="1">
            <w:r w:rsidR="00BC18A4" w:rsidRPr="00BC18A4">
              <w:rPr>
                <w:sz w:val="22"/>
                <w:szCs w:val="22"/>
              </w:rPr>
              <w:t>SEXTO. Decisión</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_Toc212733596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18</w:t>
            </w:r>
            <w:r w:rsidR="00BC18A4" w:rsidRPr="00BC18A4">
              <w:rPr>
                <w:webHidden/>
                <w:sz w:val="22"/>
                <w:szCs w:val="22"/>
              </w:rPr>
              <w:fldChar w:fldCharType="end"/>
            </w:r>
          </w:hyperlink>
        </w:p>
        <w:p w14:paraId="59ABAA32" w14:textId="586F909E" w:rsidR="00BC18A4" w:rsidRPr="00BC18A4" w:rsidRDefault="00000000">
          <w:pPr>
            <w:pStyle w:val="TDC1"/>
            <w:tabs>
              <w:tab w:val="right" w:leader="dot" w:pos="9034"/>
            </w:tabs>
            <w:rPr>
              <w:rFonts w:eastAsiaTheme="minorEastAsia"/>
              <w:sz w:val="22"/>
              <w:szCs w:val="22"/>
            </w:rPr>
          </w:pPr>
          <w:hyperlink w:anchor="_Toc212733597" w:history="1">
            <w:r w:rsidR="00BC18A4" w:rsidRPr="00BC18A4">
              <w:rPr>
                <w:sz w:val="22"/>
                <w:szCs w:val="22"/>
                <w:lang w:eastAsia="en-US"/>
              </w:rPr>
              <w:t>R E S U E L V E</w:t>
            </w:r>
            <w:r w:rsidR="00BC18A4" w:rsidRPr="00BC18A4">
              <w:rPr>
                <w:webHidden/>
                <w:sz w:val="22"/>
                <w:szCs w:val="22"/>
              </w:rPr>
              <w:tab/>
            </w:r>
            <w:r w:rsidR="00BC18A4" w:rsidRPr="00BC18A4">
              <w:rPr>
                <w:webHidden/>
                <w:sz w:val="22"/>
                <w:szCs w:val="22"/>
              </w:rPr>
              <w:fldChar w:fldCharType="begin"/>
            </w:r>
            <w:r w:rsidR="00BC18A4" w:rsidRPr="00BC18A4">
              <w:rPr>
                <w:webHidden/>
                <w:sz w:val="22"/>
                <w:szCs w:val="22"/>
              </w:rPr>
              <w:instrText xml:space="preserve"> PAGEREF _Toc212733597 \h </w:instrText>
            </w:r>
            <w:r w:rsidR="00BC18A4" w:rsidRPr="00BC18A4">
              <w:rPr>
                <w:webHidden/>
                <w:sz w:val="22"/>
                <w:szCs w:val="22"/>
              </w:rPr>
            </w:r>
            <w:r w:rsidR="00BC18A4" w:rsidRPr="00BC18A4">
              <w:rPr>
                <w:webHidden/>
                <w:sz w:val="22"/>
                <w:szCs w:val="22"/>
              </w:rPr>
              <w:fldChar w:fldCharType="separate"/>
            </w:r>
            <w:r w:rsidR="001C3268">
              <w:rPr>
                <w:noProof/>
                <w:webHidden/>
                <w:sz w:val="22"/>
                <w:szCs w:val="22"/>
              </w:rPr>
              <w:t>19</w:t>
            </w:r>
            <w:r w:rsidR="00BC18A4" w:rsidRPr="00BC18A4">
              <w:rPr>
                <w:webHidden/>
                <w:sz w:val="22"/>
                <w:szCs w:val="22"/>
              </w:rPr>
              <w:fldChar w:fldCharType="end"/>
            </w:r>
          </w:hyperlink>
        </w:p>
        <w:p w14:paraId="468B4D03" w14:textId="77777777" w:rsidR="00342378" w:rsidRPr="00FB571A" w:rsidRDefault="00342378" w:rsidP="000F31A3">
          <w:pPr>
            <w:spacing w:line="360" w:lineRule="auto"/>
          </w:pPr>
          <w:r w:rsidRPr="00BC18A4">
            <w:rPr>
              <w:sz w:val="22"/>
              <w:szCs w:val="22"/>
            </w:rPr>
            <w:fldChar w:fldCharType="end"/>
          </w:r>
        </w:p>
      </w:sdtContent>
    </w:sdt>
    <w:p w14:paraId="69163CEF" w14:textId="77777777" w:rsidR="00ED76AF" w:rsidRPr="00FB571A" w:rsidRDefault="00ED76AF" w:rsidP="000F31A3">
      <w:pPr>
        <w:tabs>
          <w:tab w:val="left" w:pos="3969"/>
        </w:tabs>
        <w:spacing w:line="360" w:lineRule="auto"/>
        <w:contextualSpacing/>
        <w:jc w:val="both"/>
        <w:rPr>
          <w:rFonts w:ascii="Palatino Linotype" w:hAnsi="Palatino Linotype" w:cs="Tahoma"/>
          <w:bCs/>
          <w:sz w:val="22"/>
          <w:szCs w:val="22"/>
        </w:rPr>
      </w:pPr>
    </w:p>
    <w:p w14:paraId="152C9CA8" w14:textId="77777777" w:rsidR="00501E1B" w:rsidRPr="00FB571A" w:rsidRDefault="00501E1B" w:rsidP="000F31A3">
      <w:pPr>
        <w:tabs>
          <w:tab w:val="left" w:pos="3969"/>
        </w:tabs>
        <w:spacing w:line="360" w:lineRule="auto"/>
        <w:contextualSpacing/>
        <w:jc w:val="both"/>
        <w:rPr>
          <w:rFonts w:ascii="Palatino Linotype" w:hAnsi="Palatino Linotype" w:cs="Tahoma"/>
          <w:bCs/>
          <w:sz w:val="22"/>
          <w:szCs w:val="22"/>
        </w:rPr>
      </w:pPr>
    </w:p>
    <w:p w14:paraId="6B8287DC" w14:textId="77777777" w:rsidR="00342378" w:rsidRPr="00FB571A" w:rsidRDefault="00342378" w:rsidP="000F31A3">
      <w:pPr>
        <w:tabs>
          <w:tab w:val="left" w:pos="3969"/>
        </w:tabs>
        <w:spacing w:line="360" w:lineRule="auto"/>
        <w:contextualSpacing/>
        <w:jc w:val="both"/>
        <w:rPr>
          <w:rFonts w:ascii="Palatino Linotype" w:hAnsi="Palatino Linotype" w:cs="Tahoma"/>
          <w:bCs/>
          <w:sz w:val="22"/>
          <w:szCs w:val="22"/>
        </w:rPr>
      </w:pPr>
    </w:p>
    <w:p w14:paraId="09A2F0EC" w14:textId="77777777" w:rsidR="00342378" w:rsidRPr="00FB571A" w:rsidRDefault="00342378" w:rsidP="000F31A3">
      <w:pPr>
        <w:tabs>
          <w:tab w:val="left" w:pos="3969"/>
        </w:tabs>
        <w:spacing w:line="360" w:lineRule="auto"/>
        <w:contextualSpacing/>
        <w:jc w:val="both"/>
        <w:rPr>
          <w:rFonts w:ascii="Palatino Linotype" w:hAnsi="Palatino Linotype" w:cs="Tahoma"/>
          <w:bCs/>
          <w:sz w:val="22"/>
          <w:szCs w:val="22"/>
        </w:rPr>
      </w:pPr>
    </w:p>
    <w:p w14:paraId="4B0133B9" w14:textId="77777777" w:rsidR="00342378" w:rsidRDefault="00342378" w:rsidP="000F31A3">
      <w:pPr>
        <w:tabs>
          <w:tab w:val="left" w:pos="3969"/>
        </w:tabs>
        <w:spacing w:line="360" w:lineRule="auto"/>
        <w:contextualSpacing/>
        <w:jc w:val="both"/>
        <w:rPr>
          <w:rFonts w:ascii="Palatino Linotype" w:hAnsi="Palatino Linotype" w:cs="Tahoma"/>
          <w:bCs/>
          <w:sz w:val="22"/>
          <w:szCs w:val="22"/>
        </w:rPr>
      </w:pPr>
    </w:p>
    <w:p w14:paraId="082A1D92" w14:textId="77777777" w:rsidR="00DB28B1" w:rsidRDefault="00DB28B1" w:rsidP="000F31A3">
      <w:pPr>
        <w:tabs>
          <w:tab w:val="left" w:pos="3969"/>
        </w:tabs>
        <w:spacing w:line="360" w:lineRule="auto"/>
        <w:contextualSpacing/>
        <w:jc w:val="both"/>
        <w:rPr>
          <w:rFonts w:ascii="Palatino Linotype" w:hAnsi="Palatino Linotype" w:cs="Tahoma"/>
          <w:bCs/>
          <w:sz w:val="22"/>
          <w:szCs w:val="22"/>
        </w:rPr>
      </w:pPr>
    </w:p>
    <w:p w14:paraId="1972F013" w14:textId="77777777" w:rsidR="00803F74" w:rsidRDefault="00803F74" w:rsidP="000F31A3">
      <w:pPr>
        <w:tabs>
          <w:tab w:val="left" w:pos="3969"/>
        </w:tabs>
        <w:spacing w:line="360" w:lineRule="auto"/>
        <w:contextualSpacing/>
        <w:jc w:val="both"/>
        <w:rPr>
          <w:rFonts w:ascii="Palatino Linotype" w:hAnsi="Palatino Linotype" w:cs="Tahoma"/>
          <w:bCs/>
          <w:sz w:val="22"/>
          <w:szCs w:val="22"/>
        </w:rPr>
      </w:pPr>
    </w:p>
    <w:p w14:paraId="29A33859" w14:textId="77777777" w:rsidR="00803F74" w:rsidRDefault="00803F74" w:rsidP="000F31A3">
      <w:pPr>
        <w:tabs>
          <w:tab w:val="left" w:pos="3969"/>
        </w:tabs>
        <w:spacing w:line="360" w:lineRule="auto"/>
        <w:contextualSpacing/>
        <w:jc w:val="both"/>
        <w:rPr>
          <w:rFonts w:ascii="Palatino Linotype" w:hAnsi="Palatino Linotype" w:cs="Tahoma"/>
          <w:bCs/>
          <w:sz w:val="22"/>
          <w:szCs w:val="22"/>
        </w:rPr>
      </w:pPr>
    </w:p>
    <w:p w14:paraId="52BD29F4" w14:textId="77777777" w:rsidR="00DB28B1" w:rsidRDefault="00DB28B1" w:rsidP="000F31A3">
      <w:pPr>
        <w:tabs>
          <w:tab w:val="left" w:pos="3969"/>
        </w:tabs>
        <w:spacing w:line="360" w:lineRule="auto"/>
        <w:contextualSpacing/>
        <w:jc w:val="both"/>
        <w:rPr>
          <w:rFonts w:ascii="Palatino Linotype" w:hAnsi="Palatino Linotype" w:cs="Tahoma"/>
          <w:bCs/>
          <w:sz w:val="22"/>
          <w:szCs w:val="22"/>
        </w:rPr>
      </w:pPr>
    </w:p>
    <w:p w14:paraId="5A35F0D6" w14:textId="2753CF79" w:rsidR="00E35DF9" w:rsidRPr="00FB571A" w:rsidRDefault="00E35DF9" w:rsidP="000F31A3">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0F31A3">
        <w:rPr>
          <w:rFonts w:ascii="Palatino Linotype" w:hAnsi="Palatino Linotype" w:cs="Tahoma"/>
          <w:bCs/>
          <w:sz w:val="22"/>
          <w:szCs w:val="22"/>
        </w:rPr>
        <w:t>cinco de noviembre</w:t>
      </w:r>
      <w:r w:rsidR="00393920">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62652AB7" w14:textId="77777777" w:rsidR="00E35DF9" w:rsidRPr="00FB571A" w:rsidRDefault="00E35DF9" w:rsidP="000F31A3">
      <w:pPr>
        <w:spacing w:line="360" w:lineRule="auto"/>
        <w:contextualSpacing/>
        <w:jc w:val="both"/>
        <w:rPr>
          <w:rFonts w:ascii="Palatino Linotype" w:hAnsi="Palatino Linotype" w:cs="Tahoma"/>
          <w:bCs/>
          <w:sz w:val="22"/>
          <w:szCs w:val="22"/>
        </w:rPr>
      </w:pPr>
    </w:p>
    <w:p w14:paraId="5E249AAD" w14:textId="3EA800F2" w:rsidR="00E35DF9" w:rsidRPr="00FB571A" w:rsidRDefault="00E35DF9" w:rsidP="000F31A3">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6F437D" w:rsidRPr="002B1E82">
        <w:rPr>
          <w:rFonts w:ascii="Palatino Linotype" w:hAnsi="Palatino Linotype" w:cs="Tahoma"/>
          <w:b/>
          <w:bCs/>
          <w:color w:val="0D0D0D" w:themeColor="text1" w:themeTint="F2"/>
          <w:sz w:val="22"/>
          <w:szCs w:val="22"/>
        </w:rPr>
        <w:t>10</w:t>
      </w:r>
      <w:r w:rsidR="00393920" w:rsidRPr="002B1E82">
        <w:rPr>
          <w:rFonts w:ascii="Palatino Linotype" w:hAnsi="Palatino Linotype" w:cs="Tahoma"/>
          <w:b/>
          <w:bCs/>
          <w:color w:val="0D0D0D" w:themeColor="text1" w:themeTint="F2"/>
          <w:sz w:val="22"/>
          <w:szCs w:val="22"/>
        </w:rPr>
        <w:t>37</w:t>
      </w:r>
      <w:r w:rsidR="006F437D" w:rsidRPr="002B1E82">
        <w:rPr>
          <w:rFonts w:ascii="Palatino Linotype" w:hAnsi="Palatino Linotype" w:cs="Tahoma"/>
          <w:b/>
          <w:bCs/>
          <w:color w:val="0D0D0D" w:themeColor="text1" w:themeTint="F2"/>
          <w:sz w:val="22"/>
          <w:szCs w:val="22"/>
        </w:rPr>
        <w:t>6</w:t>
      </w:r>
      <w:r w:rsidR="0089175F" w:rsidRPr="002B1E82">
        <w:rPr>
          <w:rFonts w:ascii="Palatino Linotype" w:hAnsi="Palatino Linotype" w:cs="Tahoma"/>
          <w:b/>
          <w:bCs/>
          <w:color w:val="0D0D0D" w:themeColor="text1" w:themeTint="F2"/>
          <w:sz w:val="22"/>
          <w:szCs w:val="22"/>
        </w:rPr>
        <w:t>/INFOEM/IP/RR/202</w:t>
      </w:r>
      <w:r w:rsidR="00CD10BF" w:rsidRPr="002B1E82">
        <w:rPr>
          <w:rFonts w:ascii="Palatino Linotype" w:hAnsi="Palatino Linotype" w:cs="Tahoma"/>
          <w:b/>
          <w:bCs/>
          <w:color w:val="0D0D0D" w:themeColor="text1" w:themeTint="F2"/>
          <w:sz w:val="22"/>
          <w:szCs w:val="22"/>
        </w:rPr>
        <w:t>5</w:t>
      </w:r>
      <w:r w:rsidR="0089175F" w:rsidRPr="005842F9">
        <w:rPr>
          <w:rFonts w:ascii="Palatino Linotype" w:hAnsi="Palatino Linotype" w:cs="Tahoma"/>
          <w:color w:val="0D0D0D" w:themeColor="text1" w:themeTint="F2"/>
          <w:sz w:val="22"/>
          <w:szCs w:val="22"/>
        </w:rPr>
        <w:t>,</w:t>
      </w:r>
      <w:r w:rsidRPr="005842F9">
        <w:rPr>
          <w:rFonts w:ascii="Palatino Linotype" w:hAnsi="Palatino Linotype" w:cs="Tahoma"/>
          <w:color w:val="0D0D0D" w:themeColor="text1" w:themeTint="F2"/>
          <w:sz w:val="22"/>
          <w:szCs w:val="22"/>
        </w:rPr>
        <w:t xml:space="preserve"> interpuesto</w:t>
      </w:r>
      <w:r w:rsidR="00C74F5F" w:rsidRPr="005842F9">
        <w:rPr>
          <w:rFonts w:ascii="Palatino Linotype" w:hAnsi="Palatino Linotype" w:cs="Tahoma"/>
          <w:color w:val="0D0D0D" w:themeColor="text1" w:themeTint="F2"/>
          <w:sz w:val="22"/>
          <w:szCs w:val="22"/>
        </w:rPr>
        <w:t xml:space="preserve"> </w:t>
      </w:r>
      <w:r w:rsidR="007E4927" w:rsidRPr="005842F9">
        <w:rPr>
          <w:rFonts w:ascii="Palatino Linotype" w:hAnsi="Palatino Linotype" w:cs="Tahoma"/>
          <w:color w:val="0D0D0D" w:themeColor="text1" w:themeTint="F2"/>
          <w:sz w:val="22"/>
          <w:szCs w:val="22"/>
        </w:rPr>
        <w:t>por</w:t>
      </w:r>
      <w:r w:rsidR="005842F9">
        <w:rPr>
          <w:rFonts w:ascii="Palatino Linotype" w:hAnsi="Palatino Linotype" w:cs="Tahoma"/>
          <w:color w:val="0D0D0D" w:themeColor="text1" w:themeTint="F2"/>
          <w:sz w:val="22"/>
          <w:szCs w:val="22"/>
        </w:rPr>
        <w:t xml:space="preserve"> </w:t>
      </w:r>
      <w:r w:rsidR="00BF4D2A" w:rsidRPr="00BF4D2A">
        <w:rPr>
          <w:rFonts w:ascii="Palatino Linotype" w:hAnsi="Palatino Linotype" w:cs="Tahoma"/>
          <w:color w:val="0D0D0D" w:themeColor="text1" w:themeTint="F2"/>
          <w:sz w:val="22"/>
          <w:szCs w:val="22"/>
          <w:highlight w:val="black"/>
        </w:rPr>
        <w:t>XXXXXXXXXXXXXX</w:t>
      </w:r>
      <w:r w:rsidR="005842F9">
        <w:rPr>
          <w:rFonts w:ascii="Palatino Linotype" w:hAnsi="Palatino Linotype" w:cs="Tahoma"/>
          <w:color w:val="0D0D0D" w:themeColor="text1" w:themeTint="F2"/>
          <w:sz w:val="22"/>
          <w:szCs w:val="22"/>
        </w:rPr>
        <w:t>, en lo sucesivo la persona</w:t>
      </w:r>
      <w:r w:rsidR="00F770EE" w:rsidRPr="005842F9">
        <w:rPr>
          <w:rFonts w:ascii="Palatino Linotype" w:hAnsi="Palatino Linotype" w:cs="Tahoma"/>
          <w:color w:val="0D0D0D" w:themeColor="text1" w:themeTint="F2"/>
          <w:sz w:val="22"/>
          <w:szCs w:val="22"/>
        </w:rPr>
        <w:t xml:space="preserve"> </w:t>
      </w:r>
      <w:r w:rsidRPr="005842F9">
        <w:rPr>
          <w:rFonts w:ascii="Palatino Linotype" w:hAnsi="Palatino Linotype" w:cs="Tahoma"/>
          <w:color w:val="0D0D0D" w:themeColor="text1" w:themeTint="F2"/>
          <w:sz w:val="22"/>
          <w:szCs w:val="22"/>
        </w:rPr>
        <w:t>Recurrente o Particular, en contra de la respuesta del Sujeto Obligado</w:t>
      </w:r>
      <w:r w:rsidRPr="005842F9">
        <w:rPr>
          <w:rFonts w:ascii="Palatino Linotype" w:hAnsi="Palatino Linotype"/>
          <w:sz w:val="22"/>
          <w:szCs w:val="22"/>
        </w:rPr>
        <w:t xml:space="preserve"> </w:t>
      </w:r>
      <w:r w:rsidR="00393920" w:rsidRPr="002B1E82">
        <w:rPr>
          <w:rFonts w:ascii="Palatino Linotype" w:eastAsia="Calibri" w:hAnsi="Palatino Linotype" w:cs="Tahoma"/>
          <w:b/>
          <w:bCs/>
          <w:sz w:val="22"/>
          <w:szCs w:val="22"/>
          <w:lang w:eastAsia="en-US"/>
        </w:rPr>
        <w:t>Secretaría de Seguridad</w:t>
      </w:r>
      <w:r w:rsidRPr="002B1E82">
        <w:rPr>
          <w:rFonts w:ascii="Palatino Linotype" w:hAnsi="Palatino Linotype" w:cs="Tahoma"/>
          <w:b/>
          <w:bCs/>
          <w:color w:val="0D0D0D" w:themeColor="text1" w:themeTint="F2"/>
          <w:sz w:val="22"/>
          <w:szCs w:val="22"/>
        </w:rPr>
        <w:t>,</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3D4EC3C7" w14:textId="77777777" w:rsidR="00BB1F81" w:rsidRPr="00FB571A" w:rsidRDefault="00BB1F81" w:rsidP="000F31A3">
      <w:pPr>
        <w:spacing w:line="360" w:lineRule="auto"/>
        <w:contextualSpacing/>
        <w:jc w:val="both"/>
        <w:rPr>
          <w:rFonts w:ascii="Palatino Linotype" w:hAnsi="Palatino Linotype" w:cs="Tahoma"/>
          <w:b/>
          <w:color w:val="0D0D0D" w:themeColor="text1" w:themeTint="F2"/>
          <w:sz w:val="18"/>
          <w:szCs w:val="22"/>
        </w:rPr>
      </w:pPr>
    </w:p>
    <w:p w14:paraId="11B97679" w14:textId="77777777" w:rsidR="00E35DF9" w:rsidRPr="00FB571A" w:rsidRDefault="00E35DF9" w:rsidP="000F31A3">
      <w:pPr>
        <w:pStyle w:val="Ttulo1"/>
        <w:spacing w:before="0" w:line="360" w:lineRule="auto"/>
        <w:jc w:val="center"/>
        <w:rPr>
          <w:rFonts w:ascii="Palatino Linotype" w:hAnsi="Palatino Linotype"/>
          <w:b/>
          <w:sz w:val="22"/>
          <w:szCs w:val="22"/>
        </w:rPr>
      </w:pPr>
      <w:bookmarkStart w:id="1" w:name="_Toc212733581"/>
      <w:r w:rsidRPr="00FB571A">
        <w:rPr>
          <w:rFonts w:ascii="Palatino Linotype" w:hAnsi="Palatino Linotype"/>
          <w:b/>
          <w:color w:val="auto"/>
          <w:sz w:val="22"/>
          <w:szCs w:val="22"/>
        </w:rPr>
        <w:t>A N T E C E D E N T E S</w:t>
      </w:r>
      <w:bookmarkEnd w:id="1"/>
    </w:p>
    <w:p w14:paraId="1302B6E2" w14:textId="77777777" w:rsidR="001E7B8B" w:rsidRPr="00FB571A" w:rsidRDefault="001E7B8B" w:rsidP="000F31A3">
      <w:pPr>
        <w:pStyle w:val="Prrafodelista"/>
        <w:tabs>
          <w:tab w:val="left" w:pos="567"/>
        </w:tabs>
        <w:spacing w:line="360" w:lineRule="auto"/>
        <w:ind w:left="0"/>
        <w:jc w:val="both"/>
        <w:rPr>
          <w:rFonts w:ascii="Palatino Linotype" w:hAnsi="Palatino Linotype" w:cs="Tahoma"/>
          <w:b/>
          <w:szCs w:val="22"/>
        </w:rPr>
      </w:pPr>
    </w:p>
    <w:p w14:paraId="6A2EB50B" w14:textId="77777777" w:rsidR="00E35DF9" w:rsidRPr="00DB28B1" w:rsidRDefault="00E35DF9" w:rsidP="000F31A3">
      <w:pPr>
        <w:pStyle w:val="Ttulo2"/>
        <w:spacing w:before="0" w:line="360" w:lineRule="auto"/>
        <w:rPr>
          <w:rFonts w:ascii="Palatino Linotype" w:hAnsi="Palatino Linotype"/>
          <w:b/>
          <w:color w:val="auto"/>
          <w:sz w:val="22"/>
          <w:szCs w:val="22"/>
        </w:rPr>
      </w:pPr>
      <w:bookmarkStart w:id="2" w:name="_Toc212733582"/>
      <w:r w:rsidRPr="00DB28B1">
        <w:rPr>
          <w:rFonts w:ascii="Palatino Linotype" w:hAnsi="Palatino Linotype"/>
          <w:b/>
          <w:color w:val="auto"/>
          <w:sz w:val="22"/>
          <w:szCs w:val="22"/>
        </w:rPr>
        <w:t>I. Presentación de la solicitud de información</w:t>
      </w:r>
      <w:bookmarkEnd w:id="2"/>
    </w:p>
    <w:p w14:paraId="1CE46900" w14:textId="77777777" w:rsidR="00E35DF9" w:rsidRPr="00FB571A" w:rsidRDefault="00E35DF9" w:rsidP="000F31A3">
      <w:pPr>
        <w:pStyle w:val="Prrafodelista"/>
        <w:tabs>
          <w:tab w:val="left" w:pos="567"/>
        </w:tabs>
        <w:spacing w:line="360" w:lineRule="auto"/>
        <w:ind w:left="0"/>
        <w:jc w:val="both"/>
        <w:rPr>
          <w:rFonts w:ascii="Palatino Linotype" w:hAnsi="Palatino Linotype" w:cs="Tahoma"/>
          <w:b/>
          <w:sz w:val="18"/>
          <w:szCs w:val="22"/>
        </w:rPr>
      </w:pPr>
    </w:p>
    <w:p w14:paraId="019CDE19" w14:textId="6387056A" w:rsidR="00D807FB" w:rsidRDefault="00BB1F81" w:rsidP="000F31A3">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393920">
        <w:rPr>
          <w:rFonts w:ascii="Palatino Linotype" w:hAnsi="Palatino Linotype" w:cs="Tahoma"/>
          <w:sz w:val="22"/>
          <w:szCs w:val="22"/>
        </w:rPr>
        <w:t>veintidós</w:t>
      </w:r>
      <w:r w:rsidR="006F437D">
        <w:rPr>
          <w:rFonts w:ascii="Palatino Linotype" w:hAnsi="Palatino Linotype" w:cs="Tahoma"/>
          <w:sz w:val="22"/>
          <w:szCs w:val="22"/>
        </w:rPr>
        <w:t xml:space="preserve">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212285" w:rsidRPr="00FB571A">
        <w:rPr>
          <w:rFonts w:ascii="Palatino Linotype" w:hAnsi="Palatino Linotype" w:cs="Tahoma"/>
          <w:sz w:val="22"/>
          <w:szCs w:val="22"/>
        </w:rPr>
        <w:t>l</w:t>
      </w:r>
      <w:r w:rsidR="006F437D">
        <w:rPr>
          <w:rFonts w:ascii="Palatino Linotype" w:hAnsi="Palatino Linotype" w:cs="Tahoma"/>
          <w:sz w:val="22"/>
          <w:szCs w:val="22"/>
        </w:rPr>
        <w:t>a</w:t>
      </w:r>
      <w:r w:rsidR="00E35DF9" w:rsidRPr="00FB571A">
        <w:rPr>
          <w:rFonts w:ascii="Palatino Linotype" w:hAnsi="Palatino Linotype" w:cs="Tahoma"/>
          <w:sz w:val="22"/>
          <w:szCs w:val="22"/>
        </w:rPr>
        <w:t xml:space="preserve"> </w:t>
      </w:r>
      <w:r w:rsidR="00393920" w:rsidRPr="000F31A3">
        <w:rPr>
          <w:rFonts w:ascii="Palatino Linotype" w:hAnsi="Palatino Linotype" w:cs="Tahoma"/>
          <w:sz w:val="22"/>
          <w:szCs w:val="22"/>
        </w:rPr>
        <w:t>Secretaría de Seguridad</w:t>
      </w:r>
      <w:r w:rsidR="00E35DF9" w:rsidRPr="000F31A3">
        <w:rPr>
          <w:rFonts w:ascii="Palatino Linotype" w:hAnsi="Palatino Linotype" w:cs="Tahoma"/>
          <w:sz w:val="22"/>
          <w:szCs w:val="22"/>
        </w:rPr>
        <w:t xml:space="preserve">, </w:t>
      </w:r>
      <w:r w:rsidR="003A12F1" w:rsidRPr="000F31A3">
        <w:rPr>
          <w:rFonts w:ascii="Palatino Linotype" w:hAnsi="Palatino Linotype" w:cs="Tahoma"/>
          <w:sz w:val="22"/>
          <w:szCs w:val="22"/>
        </w:rPr>
        <w:t xml:space="preserve">misma que fue registrada con el número de folio </w:t>
      </w:r>
      <w:bookmarkStart w:id="3" w:name="_Hlk212020916"/>
      <w:r w:rsidR="00393920" w:rsidRPr="000F31A3">
        <w:rPr>
          <w:rFonts w:ascii="Palatino Linotype" w:hAnsi="Palatino Linotype" w:cs="Tahoma"/>
          <w:sz w:val="22"/>
          <w:szCs w:val="22"/>
        </w:rPr>
        <w:t>00357/SSEM/IP/2025</w:t>
      </w:r>
      <w:bookmarkEnd w:id="3"/>
      <w:r w:rsidR="003A12F1" w:rsidRPr="000F31A3">
        <w:rPr>
          <w:rFonts w:ascii="Palatino Linotype" w:hAnsi="Palatino Linotype" w:cs="Tahoma"/>
          <w:sz w:val="22"/>
          <w:szCs w:val="22"/>
        </w:rPr>
        <w:t>,</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7A01284A" w14:textId="77777777" w:rsidR="00634E2D" w:rsidRPr="00FB571A" w:rsidRDefault="00634E2D" w:rsidP="000F31A3">
      <w:pPr>
        <w:tabs>
          <w:tab w:val="left" w:pos="567"/>
        </w:tabs>
        <w:spacing w:line="360" w:lineRule="auto"/>
        <w:contextualSpacing/>
        <w:jc w:val="both"/>
        <w:rPr>
          <w:rFonts w:ascii="Palatino Linotype" w:hAnsi="Palatino Linotype" w:cs="Tahoma"/>
          <w:sz w:val="22"/>
        </w:rPr>
      </w:pPr>
    </w:p>
    <w:p w14:paraId="19739C77" w14:textId="77777777" w:rsidR="00D807FB" w:rsidRPr="00FB571A" w:rsidRDefault="00D807FB" w:rsidP="000F31A3">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034650BC" w14:textId="2BF1572F" w:rsidR="000F2B83" w:rsidRPr="00FB571A" w:rsidRDefault="00393920" w:rsidP="000F31A3">
      <w:pPr>
        <w:pStyle w:val="Prrafodelista"/>
        <w:tabs>
          <w:tab w:val="left" w:pos="567"/>
        </w:tabs>
        <w:spacing w:line="360" w:lineRule="auto"/>
        <w:ind w:left="567" w:right="539"/>
        <w:jc w:val="both"/>
        <w:rPr>
          <w:rFonts w:ascii="Palatino Linotype" w:hAnsi="Palatino Linotype"/>
          <w:i/>
          <w:iCs/>
          <w:color w:val="000000"/>
          <w:sz w:val="20"/>
          <w:szCs w:val="20"/>
        </w:rPr>
      </w:pPr>
      <w:r w:rsidRPr="00393920">
        <w:rPr>
          <w:rFonts w:ascii="Palatino Linotype" w:hAnsi="Palatino Linotype"/>
          <w:i/>
          <w:iCs/>
          <w:color w:val="000000"/>
          <w:sz w:val="20"/>
          <w:szCs w:val="20"/>
        </w:rPr>
        <w:t>SOLICITO CONOCER SI EXISTE ALGUNA CONVOCATORIA DE INGRESO A LA DEPENDENCIA DE GOBIERNO QUE ESCRIBO, CONOCER LOS REQUISITO PARA INGRESAR A DICHA DEPENDENCIA, CONVOCATORIA O CUALQUIER MEDIO DE INGRESO. CUENTO CON TITULO Y CEDULA PROFESIONAL DE LICENCIADO EN DERECHO, YA CON 20 AÑOS DE SERVICIO EN DEPENDENCIAS DE GOBIERNO MUNICIPAL.</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B93E50F" w14:textId="77777777" w:rsidR="007E4927" w:rsidRPr="00FB571A" w:rsidRDefault="007E4927" w:rsidP="000F31A3">
      <w:pPr>
        <w:pStyle w:val="Prrafodelista"/>
        <w:tabs>
          <w:tab w:val="left" w:pos="567"/>
        </w:tabs>
        <w:spacing w:line="360" w:lineRule="auto"/>
        <w:ind w:left="567" w:right="539"/>
        <w:jc w:val="both"/>
        <w:rPr>
          <w:rFonts w:ascii="Palatino Linotype" w:hAnsi="Palatino Linotype"/>
          <w:i/>
          <w:iCs/>
          <w:color w:val="000000"/>
          <w:sz w:val="20"/>
          <w:szCs w:val="20"/>
        </w:rPr>
      </w:pPr>
    </w:p>
    <w:p w14:paraId="33C74319" w14:textId="77777777" w:rsidR="00E35DF9" w:rsidRDefault="00E35DF9" w:rsidP="000F31A3">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lastRenderedPageBreak/>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E65EDF8" w14:textId="77777777" w:rsidR="004D62C9" w:rsidRDefault="004D62C9" w:rsidP="000F31A3">
      <w:pPr>
        <w:pStyle w:val="Prrafodelista"/>
        <w:tabs>
          <w:tab w:val="left" w:pos="567"/>
        </w:tabs>
        <w:spacing w:line="360" w:lineRule="auto"/>
        <w:ind w:left="567" w:right="539"/>
        <w:jc w:val="both"/>
        <w:rPr>
          <w:rFonts w:ascii="Palatino Linotype" w:hAnsi="Palatino Linotype" w:cs="Tahoma"/>
          <w:i/>
          <w:sz w:val="20"/>
          <w:szCs w:val="22"/>
        </w:rPr>
      </w:pPr>
    </w:p>
    <w:p w14:paraId="276745C5" w14:textId="77777777" w:rsidR="00681D84" w:rsidRPr="00FB571A" w:rsidRDefault="00954EDD" w:rsidP="000F31A3">
      <w:pPr>
        <w:pStyle w:val="Ttulo2"/>
        <w:spacing w:before="0" w:line="360" w:lineRule="auto"/>
      </w:pPr>
      <w:bookmarkStart w:id="4" w:name="_Toc212733583"/>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3FEC6804" w14:textId="77777777" w:rsidR="00E0128F" w:rsidRPr="00FB571A" w:rsidRDefault="00E0128F" w:rsidP="000F31A3">
      <w:pPr>
        <w:pStyle w:val="Prrafodelista"/>
        <w:tabs>
          <w:tab w:val="left" w:pos="567"/>
        </w:tabs>
        <w:spacing w:line="360" w:lineRule="auto"/>
        <w:ind w:left="0"/>
        <w:jc w:val="both"/>
        <w:rPr>
          <w:rFonts w:ascii="Palatino Linotype" w:hAnsi="Palatino Linotype" w:cs="Tahoma"/>
          <w:b/>
          <w:sz w:val="20"/>
          <w:szCs w:val="22"/>
        </w:rPr>
      </w:pPr>
    </w:p>
    <w:p w14:paraId="6B5F25EF" w14:textId="076C930D" w:rsidR="006F437D" w:rsidRDefault="00BB1F81" w:rsidP="000F31A3">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6F437D">
        <w:rPr>
          <w:rFonts w:ascii="Palatino Linotype" w:hAnsi="Palatino Linotype" w:cs="Tahoma"/>
          <w:sz w:val="22"/>
          <w:szCs w:val="22"/>
        </w:rPr>
        <w:t>veinti</w:t>
      </w:r>
      <w:r w:rsidR="00393920">
        <w:rPr>
          <w:rFonts w:ascii="Palatino Linotype" w:hAnsi="Palatino Linotype" w:cs="Tahoma"/>
          <w:sz w:val="22"/>
          <w:szCs w:val="22"/>
        </w:rPr>
        <w:t xml:space="preserve">ocho </w:t>
      </w:r>
      <w:r w:rsidR="006F437D">
        <w:rPr>
          <w:rFonts w:ascii="Palatino Linotype" w:hAnsi="Palatino Linotype" w:cs="Tahoma"/>
          <w:sz w:val="22"/>
          <w:szCs w:val="22"/>
        </w:rPr>
        <w:t>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F437D">
        <w:rPr>
          <w:rFonts w:ascii="Palatino Linotype" w:hAnsi="Palatino Linotype" w:cs="Tahoma"/>
          <w:sz w:val="22"/>
          <w:szCs w:val="22"/>
        </w:rPr>
        <w:t xml:space="preserve"> la que adjuntó el archivo de nombre </w:t>
      </w:r>
      <w:r w:rsidR="00393920" w:rsidRPr="00393920">
        <w:rPr>
          <w:rFonts w:ascii="Palatino Linotype" w:hAnsi="Palatino Linotype" w:cs="Tahoma"/>
          <w:b/>
          <w:bCs/>
          <w:i/>
          <w:iCs/>
          <w:sz w:val="22"/>
          <w:szCs w:val="22"/>
        </w:rPr>
        <w:t>357 RESPUESTA.pdf</w:t>
      </w:r>
      <w:r w:rsidR="006F437D">
        <w:rPr>
          <w:rFonts w:ascii="Palatino Linotype" w:hAnsi="Palatino Linotype" w:cs="Tahoma"/>
          <w:b/>
          <w:bCs/>
          <w:i/>
          <w:iCs/>
          <w:sz w:val="22"/>
          <w:szCs w:val="22"/>
        </w:rPr>
        <w:t xml:space="preserve">, </w:t>
      </w:r>
      <w:r w:rsidR="006F437D">
        <w:rPr>
          <w:rFonts w:ascii="Palatino Linotype" w:hAnsi="Palatino Linotype" w:cs="Tahoma"/>
          <w:sz w:val="22"/>
          <w:szCs w:val="22"/>
        </w:rPr>
        <w:t>e</w:t>
      </w:r>
      <w:r w:rsidR="009E3D3F">
        <w:rPr>
          <w:rFonts w:ascii="Palatino Linotype" w:hAnsi="Palatino Linotype" w:cs="Tahoma"/>
          <w:sz w:val="22"/>
          <w:szCs w:val="22"/>
        </w:rPr>
        <w:t>n el que</w:t>
      </w:r>
      <w:r w:rsidR="006F437D">
        <w:rPr>
          <w:rFonts w:ascii="Palatino Linotype" w:hAnsi="Palatino Linotype" w:cs="Tahoma"/>
          <w:sz w:val="22"/>
          <w:szCs w:val="22"/>
        </w:rPr>
        <w:t xml:space="preserve"> señaló lo siguiente:</w:t>
      </w:r>
    </w:p>
    <w:p w14:paraId="3C3F42C7" w14:textId="77777777" w:rsidR="006F437D" w:rsidRDefault="006F437D" w:rsidP="000F31A3">
      <w:pPr>
        <w:autoSpaceDE w:val="0"/>
        <w:autoSpaceDN w:val="0"/>
        <w:adjustRightInd w:val="0"/>
        <w:spacing w:line="360" w:lineRule="auto"/>
        <w:contextualSpacing/>
        <w:jc w:val="both"/>
        <w:rPr>
          <w:rFonts w:ascii="Palatino Linotype" w:hAnsi="Palatino Linotype" w:cs="Tahoma"/>
          <w:sz w:val="22"/>
          <w:szCs w:val="22"/>
        </w:rPr>
      </w:pPr>
    </w:p>
    <w:p w14:paraId="61F196FF" w14:textId="77777777" w:rsidR="00996302" w:rsidRPr="00FB571A" w:rsidRDefault="00552F49" w:rsidP="000F31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476A245D" w14:textId="62938106" w:rsidR="00982CD5" w:rsidRDefault="00982CD5" w:rsidP="000F31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82CD5">
        <w:rPr>
          <w:rFonts w:ascii="Palatino Linotype" w:hAnsi="Palatino Linotype" w:cs="Tahoma"/>
          <w:i/>
          <w:szCs w:val="22"/>
        </w:rPr>
        <w:t>Con fundamento en los artículos 1, 2, 7, 8, 11, 12, 24, penúltimo párrafo, 50, 52, 53 fracciones II, V, VI y XII, 58, 59 fracción I, 160, 162 y 163 de la Ley de Transparencia y Acceso a la Información Pública del Estado de México y Municipios, se hace de su conocimiento que, a la fecha de su requerimiento de información, esta Secretaría de Seguridad no cuenta con una convocatoria para ingreso al servicio público, relacionada con el perfil al que hizo referencia; situación que puede ser corroborada en el sitio electrónico de este Sujeto Obligado, en específico, en el apartado de convocatorias (</w:t>
      </w:r>
      <w:r>
        <w:rPr>
          <w:rFonts w:ascii="Palatino Linotype" w:hAnsi="Palatino Linotype" w:cs="Tahoma"/>
          <w:i/>
          <w:szCs w:val="22"/>
        </w:rPr>
        <w:t>…</w:t>
      </w:r>
      <w:r w:rsidRPr="00982CD5">
        <w:rPr>
          <w:rFonts w:ascii="Palatino Linotype" w:hAnsi="Palatino Linotype" w:cs="Tahoma"/>
          <w:i/>
          <w:szCs w:val="22"/>
        </w:rPr>
        <w:t>), por medio del cual, usted podrá visualizar que el único proceso de reclutamiento y selección de personal actual, corresponde para incorporarse como POLICÍA CUSTODIO PENITENCIARIO del estado de fuerza de la Subsecretaría de Control Penitenciario de la Secretaría de Seguridad, mismo que de convenir a sus intereses, se dejan a salvo sus derechos para participar en el mismo.</w:t>
      </w:r>
    </w:p>
    <w:p w14:paraId="3CE5B421" w14:textId="77777777" w:rsidR="00982CD5" w:rsidRPr="00982CD5" w:rsidRDefault="00982CD5" w:rsidP="000F31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9F27BE8" w14:textId="77777777" w:rsidR="00982CD5" w:rsidRDefault="00982CD5" w:rsidP="000F31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82CD5">
        <w:rPr>
          <w:rFonts w:ascii="Palatino Linotype" w:hAnsi="Palatino Linotype" w:cs="Tahoma"/>
          <w:i/>
          <w:szCs w:val="22"/>
        </w:rPr>
        <w:t xml:space="preserve">De este modo, y en aras del principio de auxilio y orientación a los particulares, conviene mencionar que, el Gobierno del Estado de México, a través de la dirección electrónica: </w:t>
      </w:r>
      <w:r>
        <w:rPr>
          <w:rFonts w:ascii="Palatino Linotype" w:hAnsi="Palatino Linotype" w:cs="Tahoma"/>
          <w:i/>
          <w:szCs w:val="22"/>
        </w:rPr>
        <w:t>…</w:t>
      </w:r>
      <w:r w:rsidRPr="00982CD5">
        <w:rPr>
          <w:rFonts w:ascii="Palatino Linotype" w:hAnsi="Palatino Linotype" w:cs="Tahoma"/>
          <w:i/>
          <w:szCs w:val="22"/>
        </w:rPr>
        <w:t xml:space="preserve"> pone a disposición del público en general, un sitio web (cartera de empleo), en donde usted podrá generar su expediente electrónico, con la finalidad de que, conforme a las necesidades del servicio público, esté en oportunidad de participar en un proceso de selección e ingreso, a fin a sus aptitudes y experiencia profesional; hecho que se il</w:t>
      </w:r>
      <w:r>
        <w:rPr>
          <w:rFonts w:ascii="Palatino Linotype" w:hAnsi="Palatino Linotype" w:cs="Tahoma"/>
          <w:i/>
          <w:szCs w:val="22"/>
        </w:rPr>
        <w:t>u</w:t>
      </w:r>
      <w:r w:rsidRPr="00982CD5">
        <w:rPr>
          <w:rFonts w:ascii="Palatino Linotype" w:hAnsi="Palatino Linotype" w:cs="Tahoma"/>
          <w:i/>
          <w:szCs w:val="22"/>
        </w:rPr>
        <w:t>stra a continuación por medio del siguiente extracto obtenido del sitio en comento:</w:t>
      </w:r>
    </w:p>
    <w:p w14:paraId="1ACAADEC" w14:textId="64555D8B" w:rsidR="007401D6" w:rsidRPr="00FB571A" w:rsidRDefault="00785311" w:rsidP="000F31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6C7EEF74" w14:textId="77777777" w:rsidR="007401D6" w:rsidRDefault="007401D6" w:rsidP="000F31A3">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CB5223C" w14:textId="77777777" w:rsidR="001A412B" w:rsidRPr="00FB571A" w:rsidRDefault="007812D1" w:rsidP="000F31A3">
      <w:pPr>
        <w:pStyle w:val="Ttulo2"/>
        <w:spacing w:before="0" w:line="360" w:lineRule="auto"/>
        <w:rPr>
          <w:rFonts w:ascii="Palatino Linotype" w:hAnsi="Palatino Linotype" w:cs="Tahoma"/>
          <w:b/>
          <w:color w:val="auto"/>
          <w:sz w:val="22"/>
          <w:szCs w:val="22"/>
        </w:rPr>
      </w:pPr>
      <w:bookmarkStart w:id="5" w:name="_Toc212733584"/>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2BEF439F" w14:textId="77777777" w:rsidR="00F87649" w:rsidRPr="00FB571A" w:rsidRDefault="00F87649" w:rsidP="000F31A3">
      <w:pPr>
        <w:autoSpaceDE w:val="0"/>
        <w:autoSpaceDN w:val="0"/>
        <w:adjustRightInd w:val="0"/>
        <w:spacing w:line="360" w:lineRule="auto"/>
        <w:contextualSpacing/>
        <w:jc w:val="both"/>
        <w:rPr>
          <w:rFonts w:ascii="Palatino Linotype" w:hAnsi="Palatino Linotype" w:cs="Tahoma"/>
          <w:b/>
          <w:sz w:val="18"/>
          <w:szCs w:val="22"/>
        </w:rPr>
      </w:pPr>
    </w:p>
    <w:p w14:paraId="1501ECDA" w14:textId="0C4D1E93" w:rsidR="009A7587" w:rsidRPr="00FB571A" w:rsidRDefault="009A7587" w:rsidP="000F31A3">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982CD5">
        <w:rPr>
          <w:rFonts w:ascii="Palatino Linotype" w:hAnsi="Palatino Linotype" w:cs="Tahoma"/>
          <w:sz w:val="22"/>
          <w:szCs w:val="22"/>
        </w:rPr>
        <w:t>dos</w:t>
      </w:r>
      <w:r w:rsidR="006F437D">
        <w:rPr>
          <w:rFonts w:ascii="Palatino Linotype" w:hAnsi="Palatino Linotype" w:cs="Tahoma"/>
          <w:sz w:val="22"/>
          <w:szCs w:val="22"/>
        </w:rPr>
        <w:t xml:space="preserve"> </w:t>
      </w:r>
      <w:r w:rsidR="00B6380A">
        <w:rPr>
          <w:rFonts w:ascii="Palatino Linotype" w:hAnsi="Palatino Linotype" w:cs="Tahoma"/>
          <w:sz w:val="22"/>
          <w:szCs w:val="22"/>
        </w:rPr>
        <w:t xml:space="preserve">de </w:t>
      </w:r>
      <w:r w:rsidR="00982CD5">
        <w:rPr>
          <w:rFonts w:ascii="Palatino Linotype" w:hAnsi="Palatino Linotype" w:cs="Tahoma"/>
          <w:sz w:val="22"/>
          <w:szCs w:val="22"/>
        </w:rPr>
        <w:t>septiembre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3584BC73" w14:textId="77777777" w:rsidR="005842F9" w:rsidRPr="00FB571A" w:rsidRDefault="005842F9" w:rsidP="000F31A3">
      <w:pPr>
        <w:tabs>
          <w:tab w:val="left" w:pos="4995"/>
        </w:tabs>
        <w:spacing w:line="360" w:lineRule="auto"/>
        <w:contextualSpacing/>
        <w:jc w:val="both"/>
        <w:rPr>
          <w:rFonts w:ascii="Palatino Linotype" w:hAnsi="Palatino Linotype" w:cs="Tahoma"/>
          <w:sz w:val="22"/>
          <w:szCs w:val="22"/>
        </w:rPr>
      </w:pPr>
    </w:p>
    <w:p w14:paraId="403E5255" w14:textId="77777777" w:rsidR="00D5699B" w:rsidRPr="00FB571A" w:rsidRDefault="00D5699B" w:rsidP="000F31A3">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31E95674" w14:textId="0DD83C4C" w:rsidR="003D1770" w:rsidRPr="00FB571A" w:rsidRDefault="007E4927" w:rsidP="000F31A3">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982CD5" w:rsidRPr="00982CD5">
        <w:rPr>
          <w:rFonts w:ascii="Palatino Linotype" w:hAnsi="Palatino Linotype" w:cs="Tahoma"/>
          <w:bCs/>
          <w:i/>
          <w:szCs w:val="22"/>
        </w:rPr>
        <w:t>NIEGA LA INFORMACIOMN SOLICITADA, CUANDO EN DICHA DEPENDENCIA, CUENTA CON INFINIDAD DE AREAS Y ESTA SOLO PROPIRCIONA PARA POLICIA CUSTODIO, CUANDO EXISTEN MUCHAS AREAS PARA LABORAR, SOLO SE LIMITA A PROPORCIONAR INFORMACION DISTINTA, EXISTEN AREAS COMO ASUNTOS INTERNOS, Y AREAS ADMNSITRATIVAS DONDE PODRIA LABORAR UN ABOGADO CON 20 AÑOS DE EXPERIENCIA EN SEGURIDAD PUBLICA</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5FA6763B" w14:textId="77777777" w:rsidR="00CE2F19" w:rsidRPr="00FB571A" w:rsidRDefault="00CE2F19" w:rsidP="000F31A3">
      <w:pPr>
        <w:spacing w:line="360" w:lineRule="auto"/>
        <w:ind w:left="567" w:right="539"/>
        <w:contextualSpacing/>
        <w:jc w:val="both"/>
        <w:rPr>
          <w:rFonts w:ascii="Palatino Linotype" w:hAnsi="Palatino Linotype" w:cs="Tahoma"/>
          <w:bCs/>
          <w:szCs w:val="22"/>
        </w:rPr>
      </w:pPr>
    </w:p>
    <w:p w14:paraId="1012AA53" w14:textId="77777777" w:rsidR="00CE2F19" w:rsidRPr="00FB571A" w:rsidRDefault="00CE2F19" w:rsidP="000F31A3">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71CF36A" w14:textId="7615EBF6" w:rsidR="00CE2F19" w:rsidRPr="00FB571A" w:rsidRDefault="00CE2F19" w:rsidP="000F31A3">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982CD5" w:rsidRPr="00982CD5">
        <w:rPr>
          <w:rFonts w:ascii="Palatino Linotype" w:hAnsi="Palatino Linotype" w:cs="Tahoma"/>
          <w:bCs/>
          <w:i/>
          <w:szCs w:val="24"/>
        </w:rPr>
        <w:t>SOLICITO SE REMITAN LIGAS EXISTENTES, PAGINAS DE INFORMACION PARA INGRESO A DICHA DEPENDENCIA, NO QUE SE LIMITEN A PROPORCIONAR UNICAMENTE PARA POLICIAS</w:t>
      </w:r>
      <w:r w:rsidR="00982CD5">
        <w:rPr>
          <w:rFonts w:ascii="Palatino Linotype" w:hAnsi="Palatino Linotype" w:cs="Tahoma"/>
          <w:bCs/>
          <w:i/>
          <w:szCs w:val="24"/>
        </w:rPr>
        <w:t>”</w:t>
      </w:r>
      <w:r w:rsidR="004D62C9">
        <w:rPr>
          <w:rFonts w:ascii="Palatino Linotype" w:hAnsi="Palatino Linotype" w:cs="Tahoma"/>
          <w:bCs/>
          <w:i/>
          <w:szCs w:val="24"/>
        </w:rPr>
        <w:t xml:space="preserve"> (Sic)</w:t>
      </w:r>
    </w:p>
    <w:p w14:paraId="6CB30B5D" w14:textId="77777777" w:rsidR="00342378" w:rsidRPr="00FB571A" w:rsidRDefault="00342378" w:rsidP="000F31A3">
      <w:pPr>
        <w:spacing w:line="360" w:lineRule="auto"/>
        <w:ind w:right="539"/>
        <w:contextualSpacing/>
        <w:jc w:val="both"/>
        <w:rPr>
          <w:rFonts w:ascii="Palatino Linotype" w:hAnsi="Palatino Linotype" w:cs="Tahoma"/>
          <w:bCs/>
          <w:i/>
          <w:szCs w:val="24"/>
        </w:rPr>
      </w:pPr>
    </w:p>
    <w:p w14:paraId="2BC7D12B" w14:textId="77777777" w:rsidR="009A7587" w:rsidRPr="00FB571A" w:rsidRDefault="00BF4B55" w:rsidP="000F31A3">
      <w:pPr>
        <w:pStyle w:val="Ttulo2"/>
        <w:spacing w:before="0" w:line="360" w:lineRule="auto"/>
        <w:rPr>
          <w:rFonts w:ascii="Palatino Linotype" w:eastAsia="Batang" w:hAnsi="Palatino Linotype" w:cs="Tahoma"/>
          <w:b/>
          <w:bCs/>
          <w:color w:val="auto"/>
          <w:sz w:val="22"/>
          <w:szCs w:val="22"/>
        </w:rPr>
      </w:pPr>
      <w:bookmarkStart w:id="7" w:name="_Toc212733585"/>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7"/>
    </w:p>
    <w:p w14:paraId="2BB02521" w14:textId="77777777" w:rsidR="007E4927" w:rsidRPr="00FB571A" w:rsidRDefault="007E4927" w:rsidP="000F31A3">
      <w:pPr>
        <w:spacing w:line="360" w:lineRule="auto"/>
        <w:contextualSpacing/>
        <w:jc w:val="both"/>
        <w:rPr>
          <w:rFonts w:ascii="Palatino Linotype" w:eastAsia="Batang" w:hAnsi="Palatino Linotype" w:cs="Tahoma"/>
          <w:b/>
          <w:bCs/>
          <w:sz w:val="22"/>
          <w:szCs w:val="22"/>
        </w:rPr>
      </w:pPr>
    </w:p>
    <w:p w14:paraId="1F8D39E8" w14:textId="41827262" w:rsidR="00C950E3" w:rsidRPr="00FB571A" w:rsidRDefault="009A7587" w:rsidP="000F31A3">
      <w:pPr>
        <w:spacing w:line="360" w:lineRule="auto"/>
        <w:contextualSpacing/>
        <w:jc w:val="both"/>
        <w:rPr>
          <w:rFonts w:ascii="Palatino Linotype" w:eastAsia="Batang" w:hAnsi="Palatino Linotype" w:cs="Tahoma"/>
          <w:bCs/>
          <w:sz w:val="22"/>
          <w:szCs w:val="22"/>
        </w:rPr>
      </w:pPr>
      <w:bookmarkStart w:id="8" w:name="_Toc212733586"/>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8"/>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982CD5">
        <w:rPr>
          <w:rFonts w:ascii="Palatino Linotype" w:hAnsi="Palatino Linotype" w:cs="Tahoma"/>
          <w:sz w:val="22"/>
          <w:szCs w:val="22"/>
        </w:rPr>
        <w:t>dos de septiembre</w:t>
      </w:r>
      <w:r w:rsidR="006F437D" w:rsidRPr="006F437D">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6F437D">
        <w:rPr>
          <w:rFonts w:ascii="Palatino Linotype" w:eastAsia="Batang" w:hAnsi="Palatino Linotype" w:cs="Tahoma"/>
          <w:b/>
          <w:bCs/>
          <w:sz w:val="22"/>
          <w:szCs w:val="22"/>
        </w:rPr>
        <w:t>10</w:t>
      </w:r>
      <w:r w:rsidR="00982CD5">
        <w:rPr>
          <w:rFonts w:ascii="Palatino Linotype" w:eastAsia="Batang" w:hAnsi="Palatino Linotype" w:cs="Tahoma"/>
          <w:b/>
          <w:bCs/>
          <w:sz w:val="22"/>
          <w:szCs w:val="22"/>
        </w:rPr>
        <w:t>37</w:t>
      </w:r>
      <w:r w:rsidR="006F437D">
        <w:rPr>
          <w:rFonts w:ascii="Palatino Linotype" w:eastAsia="Batang" w:hAnsi="Palatino Linotype" w:cs="Tahoma"/>
          <w:b/>
          <w:bCs/>
          <w:sz w:val="22"/>
          <w:szCs w:val="22"/>
        </w:rPr>
        <w:t>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1B13B198" w14:textId="1AE76BAD" w:rsidR="00253937" w:rsidRPr="00FB571A" w:rsidRDefault="009A7587" w:rsidP="000F31A3">
      <w:pPr>
        <w:spacing w:line="360" w:lineRule="auto"/>
        <w:contextualSpacing/>
        <w:jc w:val="both"/>
        <w:rPr>
          <w:rFonts w:ascii="Palatino Linotype" w:hAnsi="Palatino Linotype" w:cs="Tahoma"/>
          <w:bCs/>
          <w:sz w:val="22"/>
          <w:szCs w:val="22"/>
          <w:lang w:val="es-ES_tradnl"/>
        </w:rPr>
      </w:pPr>
      <w:bookmarkStart w:id="9" w:name="_Toc212733587"/>
      <w:r w:rsidRPr="00FB571A">
        <w:rPr>
          <w:rStyle w:val="Ttulo3Car"/>
          <w:rFonts w:ascii="Palatino Linotype" w:hAnsi="Palatino Linotype"/>
          <w:b/>
          <w:color w:val="auto"/>
          <w:sz w:val="22"/>
          <w:szCs w:val="22"/>
        </w:rPr>
        <w:lastRenderedPageBreak/>
        <w:t>b) Admisión del Recurso de Revisión</w:t>
      </w:r>
      <w:r w:rsidRPr="00FB571A">
        <w:rPr>
          <w:rStyle w:val="Ttulo3Car"/>
          <w:rFonts w:ascii="Palatino Linotype" w:hAnsi="Palatino Linotype"/>
          <w:color w:val="auto"/>
          <w:sz w:val="22"/>
          <w:szCs w:val="22"/>
        </w:rPr>
        <w:t>.</w:t>
      </w:r>
      <w:bookmarkEnd w:id="9"/>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982CD5">
        <w:rPr>
          <w:rFonts w:ascii="Palatino Linotype" w:hAnsi="Palatino Linotype" w:cs="Tahoma"/>
          <w:bCs/>
          <w:sz w:val="22"/>
          <w:szCs w:val="22"/>
        </w:rPr>
        <w:t>cinco de septiembre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D90D3D5" w14:textId="77777777" w:rsidR="00253937" w:rsidRPr="00FB571A" w:rsidRDefault="00253937" w:rsidP="000F31A3">
      <w:pPr>
        <w:spacing w:line="360" w:lineRule="auto"/>
        <w:contextualSpacing/>
        <w:jc w:val="both"/>
        <w:rPr>
          <w:rFonts w:ascii="Palatino Linotype" w:hAnsi="Palatino Linotype" w:cs="Tahoma"/>
          <w:bCs/>
          <w:sz w:val="22"/>
          <w:szCs w:val="22"/>
          <w:lang w:val="es-ES_tradnl"/>
        </w:rPr>
      </w:pPr>
    </w:p>
    <w:p w14:paraId="1B8EDE51" w14:textId="77777777" w:rsidR="002552D0" w:rsidRDefault="00B6380A" w:rsidP="000F31A3">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sidR="006F437D">
        <w:rPr>
          <w:rFonts w:ascii="Palatino Linotype" w:eastAsia="Palatino Linotype" w:hAnsi="Palatino Linotype" w:cs="Palatino Linotype"/>
          <w:color w:val="000000"/>
          <w:sz w:val="22"/>
          <w:szCs w:val="22"/>
          <w:lang w:eastAsia="es-MX"/>
        </w:rPr>
        <w:t xml:space="preserve">El </w:t>
      </w:r>
      <w:r w:rsidR="00982CD5">
        <w:rPr>
          <w:rFonts w:ascii="Palatino Linotype" w:eastAsia="Palatino Linotype" w:hAnsi="Palatino Linotype" w:cs="Palatino Linotype"/>
          <w:color w:val="000000"/>
          <w:sz w:val="22"/>
          <w:szCs w:val="22"/>
          <w:lang w:eastAsia="es-MX"/>
        </w:rPr>
        <w:t>diez y once de septiembre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de dos mil veinticinco, a través del Sistema de Acceso a la Información Mexiquense (SAIMEX), se recibió en este Instituto el informe justificado por parte del Sujeto Obligado, </w:t>
      </w:r>
      <w:r w:rsidR="002552D0">
        <w:rPr>
          <w:rFonts w:ascii="Palatino Linotype" w:eastAsia="Palatino Linotype" w:hAnsi="Palatino Linotype" w:cs="Palatino Linotype"/>
          <w:color w:val="000000"/>
          <w:sz w:val="22"/>
          <w:szCs w:val="22"/>
          <w:lang w:eastAsia="es-MX"/>
        </w:rPr>
        <w:t>en el que manifestó lo siguiente:</w:t>
      </w:r>
    </w:p>
    <w:p w14:paraId="704CC3EB" w14:textId="52F38764" w:rsidR="00B6380A" w:rsidRDefault="00B6380A" w:rsidP="000F31A3">
      <w:pPr>
        <w:spacing w:line="360" w:lineRule="auto"/>
        <w:jc w:val="both"/>
        <w:rPr>
          <w:rFonts w:ascii="Palatino Linotype" w:eastAsia="Palatino Linotype" w:hAnsi="Palatino Linotype" w:cs="Palatino Linotype"/>
          <w:color w:val="000000"/>
          <w:sz w:val="22"/>
          <w:szCs w:val="22"/>
          <w:lang w:eastAsia="es-MX"/>
        </w:rPr>
      </w:pPr>
    </w:p>
    <w:p w14:paraId="230DDD1C" w14:textId="3695BAAF"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Pr>
          <w:rFonts w:ascii="Palatino Linotype" w:eastAsia="Palatino Linotype" w:hAnsi="Palatino Linotype" w:cs="Palatino Linotype"/>
          <w:bCs/>
          <w:i/>
          <w:iCs/>
          <w:color w:val="000000"/>
          <w:lang w:eastAsia="es-MX"/>
        </w:rPr>
        <w:t xml:space="preserve">1.  </w:t>
      </w:r>
      <w:r w:rsidRPr="005025BE">
        <w:rPr>
          <w:rFonts w:ascii="Palatino Linotype" w:eastAsia="Palatino Linotype" w:hAnsi="Palatino Linotype" w:cs="Palatino Linotype"/>
          <w:bCs/>
          <w:i/>
          <w:iCs/>
          <w:color w:val="000000"/>
          <w:lang w:eastAsia="es-MX"/>
        </w:rPr>
        <w:t xml:space="preserve">Por cuanto hace a </w:t>
      </w:r>
      <w:r w:rsidRPr="005025BE">
        <w:rPr>
          <w:rFonts w:ascii="Palatino Linotype" w:eastAsia="Palatino Linotype" w:hAnsi="Palatino Linotype" w:cs="Palatino Linotype"/>
          <w:b/>
          <w:bCs/>
          <w:i/>
          <w:iCs/>
          <w:color w:val="000000"/>
          <w:lang w:eastAsia="es-MX"/>
        </w:rPr>
        <w:t xml:space="preserve">“SOLICITO CONOCER SI EXISTE ALGUNA CONVOCATORIA DE INGRESO A LA DEPENDENCIA DE GOBIERNO QUE ESCRIBO” </w:t>
      </w:r>
    </w:p>
    <w:p w14:paraId="65E834A4" w14:textId="77777777" w:rsidR="005025BE" w:rsidRPr="005025BE" w:rsidRDefault="005025BE" w:rsidP="000F31A3">
      <w:pPr>
        <w:spacing w:line="360" w:lineRule="auto"/>
        <w:ind w:left="567" w:right="539"/>
        <w:jc w:val="both"/>
        <w:rPr>
          <w:rFonts w:ascii="Palatino Linotype" w:eastAsia="Palatino Linotype" w:hAnsi="Palatino Linotype" w:cs="Palatino Linotype"/>
          <w:b/>
          <w:bCs/>
          <w:i/>
          <w:iCs/>
          <w:color w:val="000000"/>
          <w:lang w:eastAsia="es-MX"/>
        </w:rPr>
      </w:pPr>
    </w:p>
    <w:p w14:paraId="18385DA2"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sidRPr="005025BE">
        <w:rPr>
          <w:rFonts w:ascii="Palatino Linotype" w:eastAsia="Palatino Linotype" w:hAnsi="Palatino Linotype" w:cs="Palatino Linotype"/>
          <w:bCs/>
          <w:i/>
          <w:iCs/>
          <w:color w:val="000000"/>
          <w:lang w:eastAsia="es-MX"/>
        </w:rPr>
        <w:t xml:space="preserve">Tal y como se refirió en la respuesta a la solicitud de acceso con folio 00357/SSEM/IP/2025, se hace de su conocimiento que, a la fecha de su requerimiento de información, esta Secretaría de Seguridad, únicamente cuenta con el proceso de reclutamiento y selección de personal, para incorporarse como </w:t>
      </w:r>
      <w:r w:rsidRPr="005025BE">
        <w:rPr>
          <w:rFonts w:ascii="Palatino Linotype" w:eastAsia="Palatino Linotype" w:hAnsi="Palatino Linotype" w:cs="Palatino Linotype"/>
          <w:b/>
          <w:bCs/>
          <w:i/>
          <w:iCs/>
          <w:color w:val="000000"/>
          <w:lang w:eastAsia="es-MX"/>
        </w:rPr>
        <w:t>POLICÍA CUSTODIO PENITENCIARIO</w:t>
      </w:r>
      <w:r w:rsidRPr="005025BE">
        <w:rPr>
          <w:rFonts w:ascii="Palatino Linotype" w:eastAsia="Palatino Linotype" w:hAnsi="Palatino Linotype" w:cs="Palatino Linotype"/>
          <w:bCs/>
          <w:i/>
          <w:iCs/>
          <w:color w:val="000000"/>
          <w:lang w:eastAsia="es-MX"/>
        </w:rPr>
        <w:t xml:space="preserve"> del estado de fuerza de la Subsecretaría de Control Penitenciario de la Secretaría de Seguridad, mismo que de convenir a sus intereses, se dejan a salvo sus derechos para participar en el mismo, y que puede corroborar en el sitio electrónico de este Sujeto Obligado, en específico, en el apartado de convocatorias (</w:t>
      </w:r>
      <w:hyperlink r:id="rId8" w:history="1">
        <w:r w:rsidRPr="005025BE">
          <w:rPr>
            <w:rStyle w:val="Hipervnculo"/>
            <w:rFonts w:ascii="Palatino Linotype" w:eastAsia="Palatino Linotype" w:hAnsi="Palatino Linotype" w:cs="Palatino Linotype"/>
            <w:bCs/>
            <w:i/>
            <w:iCs/>
            <w:lang w:eastAsia="es-MX"/>
          </w:rPr>
          <w:t>https://sseguridad.edomex.gob.mx/eventos_convocatorias</w:t>
        </w:r>
      </w:hyperlink>
      <w:r w:rsidRPr="005025BE">
        <w:rPr>
          <w:rFonts w:ascii="Palatino Linotype" w:eastAsia="Palatino Linotype" w:hAnsi="Palatino Linotype" w:cs="Palatino Linotype"/>
          <w:bCs/>
          <w:i/>
          <w:iCs/>
          <w:color w:val="000000"/>
          <w:lang w:eastAsia="es-MX"/>
        </w:rPr>
        <w:t xml:space="preserve">). </w:t>
      </w:r>
    </w:p>
    <w:p w14:paraId="456CD276"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p>
    <w:p w14:paraId="7AD2E50F" w14:textId="02FD21B1" w:rsidR="005025BE" w:rsidRPr="005025BE" w:rsidRDefault="005025BE" w:rsidP="000F31A3">
      <w:pPr>
        <w:spacing w:line="360" w:lineRule="auto"/>
        <w:ind w:left="567" w:right="539"/>
        <w:jc w:val="both"/>
        <w:rPr>
          <w:rFonts w:ascii="Palatino Linotype" w:eastAsia="Palatino Linotype" w:hAnsi="Palatino Linotype" w:cs="Palatino Linotype"/>
          <w:b/>
          <w:bCs/>
          <w:i/>
          <w:iCs/>
          <w:color w:val="000000"/>
          <w:lang w:eastAsia="es-MX"/>
        </w:rPr>
      </w:pPr>
      <w:r>
        <w:rPr>
          <w:rFonts w:ascii="Palatino Linotype" w:eastAsia="Palatino Linotype" w:hAnsi="Palatino Linotype" w:cs="Palatino Linotype"/>
          <w:bCs/>
          <w:i/>
          <w:iCs/>
          <w:color w:val="000000"/>
          <w:lang w:eastAsia="es-MX"/>
        </w:rPr>
        <w:t xml:space="preserve">2. </w:t>
      </w:r>
      <w:r w:rsidRPr="005025BE">
        <w:rPr>
          <w:rFonts w:ascii="Palatino Linotype" w:eastAsia="Palatino Linotype" w:hAnsi="Palatino Linotype" w:cs="Palatino Linotype"/>
          <w:bCs/>
          <w:i/>
          <w:iCs/>
          <w:color w:val="000000"/>
          <w:lang w:eastAsia="es-MX"/>
        </w:rPr>
        <w:t xml:space="preserve">Por cuanto hace a </w:t>
      </w:r>
      <w:r w:rsidRPr="005025BE">
        <w:rPr>
          <w:rFonts w:ascii="Palatino Linotype" w:eastAsia="Palatino Linotype" w:hAnsi="Palatino Linotype" w:cs="Palatino Linotype"/>
          <w:b/>
          <w:bCs/>
          <w:i/>
          <w:iCs/>
          <w:color w:val="000000"/>
          <w:lang w:eastAsia="es-MX"/>
        </w:rPr>
        <w:t xml:space="preserve">“CONOCER LOS REQUISITO PARA INGRESAR A DICHA DEPENDENCIA” </w:t>
      </w:r>
    </w:p>
    <w:p w14:paraId="07AA7BBF"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p>
    <w:p w14:paraId="3259F547" w14:textId="21FB695C" w:rsid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sidRPr="005025BE">
        <w:rPr>
          <w:rFonts w:ascii="Palatino Linotype" w:eastAsia="Palatino Linotype" w:hAnsi="Palatino Linotype" w:cs="Palatino Linotype"/>
          <w:bCs/>
          <w:i/>
          <w:iCs/>
          <w:color w:val="000000"/>
          <w:lang w:eastAsia="es-MX"/>
        </w:rPr>
        <w:lastRenderedPageBreak/>
        <w:t xml:space="preserve">Se hace de su conocimiento que, el artículo 47, de La Ley del Trabajo de los Servidores Públicos del Estado y Municipios (disponible para su consulta directa en </w:t>
      </w:r>
      <w:hyperlink r:id="rId9" w:history="1">
        <w:r w:rsidRPr="005025BE">
          <w:rPr>
            <w:rStyle w:val="Hipervnculo"/>
            <w:rFonts w:ascii="Palatino Linotype" w:eastAsia="Palatino Linotype" w:hAnsi="Palatino Linotype" w:cs="Palatino Linotype"/>
            <w:bCs/>
            <w:i/>
            <w:iCs/>
            <w:lang w:eastAsia="es-MX"/>
          </w:rPr>
          <w:t>https://tese.edomex.gob.mx/sites/tese.edomex.gob.mx/files/files/Marco%20Juridico/Leyes/Ley-del-Trabajo-de-los-Servidores-Publicos-del-Estado-de-Mexico_.pdf</w:t>
        </w:r>
      </w:hyperlink>
      <w:r w:rsidRPr="005025BE">
        <w:rPr>
          <w:rFonts w:ascii="Palatino Linotype" w:eastAsia="Palatino Linotype" w:hAnsi="Palatino Linotype" w:cs="Palatino Linotype"/>
          <w:bCs/>
          <w:i/>
          <w:iCs/>
          <w:color w:val="000000"/>
          <w:lang w:eastAsia="es-MX"/>
        </w:rPr>
        <w:t>), enlista los requisitos para el ingreso al servicio público, mismos que son solicitados al personal de nuevo ingreso a esta Secretaría de Seguridad y que a la letra, son los siguientes:</w:t>
      </w:r>
    </w:p>
    <w:p w14:paraId="4505C03E" w14:textId="07832028" w:rsid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Pr>
          <w:rFonts w:ascii="Palatino Linotype" w:eastAsia="Palatino Linotype" w:hAnsi="Palatino Linotype" w:cs="Palatino Linotype"/>
          <w:bCs/>
          <w:i/>
          <w:iCs/>
          <w:color w:val="000000"/>
          <w:lang w:eastAsia="es-MX"/>
        </w:rPr>
        <w:t>…</w:t>
      </w:r>
    </w:p>
    <w:p w14:paraId="3A5C813D" w14:textId="30F2A508" w:rsidR="005025BE" w:rsidRPr="005025BE" w:rsidRDefault="005025BE" w:rsidP="000F31A3">
      <w:pPr>
        <w:spacing w:line="360" w:lineRule="auto"/>
        <w:ind w:left="567" w:right="539"/>
        <w:jc w:val="both"/>
        <w:rPr>
          <w:rFonts w:ascii="Palatino Linotype" w:eastAsia="Palatino Linotype" w:hAnsi="Palatino Linotype" w:cs="Palatino Linotype"/>
          <w:b/>
          <w:bCs/>
          <w:i/>
          <w:iCs/>
          <w:color w:val="000000"/>
          <w:lang w:eastAsia="es-MX"/>
        </w:rPr>
      </w:pPr>
      <w:r>
        <w:rPr>
          <w:rFonts w:ascii="Palatino Linotype" w:eastAsia="Palatino Linotype" w:hAnsi="Palatino Linotype" w:cs="Palatino Linotype"/>
          <w:bCs/>
          <w:i/>
          <w:iCs/>
          <w:color w:val="000000"/>
          <w:lang w:eastAsia="es-MX"/>
        </w:rPr>
        <w:t xml:space="preserve">3. </w:t>
      </w:r>
      <w:r w:rsidRPr="005025BE">
        <w:rPr>
          <w:rFonts w:ascii="Palatino Linotype" w:eastAsia="Palatino Linotype" w:hAnsi="Palatino Linotype" w:cs="Palatino Linotype"/>
          <w:bCs/>
          <w:i/>
          <w:iCs/>
          <w:color w:val="000000"/>
          <w:lang w:eastAsia="es-MX"/>
        </w:rPr>
        <w:t xml:space="preserve">Referente a </w:t>
      </w:r>
      <w:r w:rsidRPr="005025BE">
        <w:rPr>
          <w:rFonts w:ascii="Palatino Linotype" w:eastAsia="Palatino Linotype" w:hAnsi="Palatino Linotype" w:cs="Palatino Linotype"/>
          <w:b/>
          <w:bCs/>
          <w:i/>
          <w:iCs/>
          <w:color w:val="000000"/>
          <w:lang w:eastAsia="es-MX"/>
        </w:rPr>
        <w:t xml:space="preserve">“CONVOCATORIA O CUALQUIER MEDIO DE INGRESO.” </w:t>
      </w:r>
    </w:p>
    <w:p w14:paraId="09D6CE91" w14:textId="77777777" w:rsidR="005025BE" w:rsidRPr="005025BE" w:rsidRDefault="005025BE" w:rsidP="000F31A3">
      <w:pPr>
        <w:spacing w:line="360" w:lineRule="auto"/>
        <w:ind w:left="567" w:right="539"/>
        <w:jc w:val="both"/>
        <w:rPr>
          <w:rFonts w:ascii="Palatino Linotype" w:eastAsia="Palatino Linotype" w:hAnsi="Palatino Linotype" w:cs="Palatino Linotype"/>
          <w:b/>
          <w:bCs/>
          <w:i/>
          <w:iCs/>
          <w:color w:val="000000"/>
          <w:lang w:eastAsia="es-MX"/>
        </w:rPr>
      </w:pPr>
    </w:p>
    <w:p w14:paraId="10BF3625"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sidRPr="005025BE">
        <w:rPr>
          <w:rFonts w:ascii="Palatino Linotype" w:eastAsia="Palatino Linotype" w:hAnsi="Palatino Linotype" w:cs="Palatino Linotype"/>
          <w:bCs/>
          <w:i/>
          <w:iCs/>
          <w:color w:val="000000"/>
          <w:lang w:eastAsia="es-MX"/>
        </w:rPr>
        <w:t xml:space="preserve">Del mismo modo que se mencionó en el apartado previo identificado con el numeral 1, en respuesta a la solicitud de acceso antecedente del medio de defensa que nos ocupa, se hizo de conocimiento del Recurrente que, el Gobierno del Estado de México, a través de la dirección electrónica: </w:t>
      </w:r>
      <w:hyperlink r:id="rId10" w:history="1">
        <w:r w:rsidRPr="005025BE">
          <w:rPr>
            <w:rStyle w:val="Hipervnculo"/>
            <w:rFonts w:ascii="Palatino Linotype" w:eastAsia="Palatino Linotype" w:hAnsi="Palatino Linotype" w:cs="Palatino Linotype"/>
            <w:bCs/>
            <w:i/>
            <w:iCs/>
            <w:lang w:eastAsia="es-MX"/>
          </w:rPr>
          <w:t>https://empleo.edomex.gob.mx/cartera/login.php</w:t>
        </w:r>
      </w:hyperlink>
      <w:r w:rsidRPr="005025BE">
        <w:rPr>
          <w:rFonts w:ascii="Palatino Linotype" w:eastAsia="Palatino Linotype" w:hAnsi="Palatino Linotype" w:cs="Palatino Linotype"/>
          <w:bCs/>
          <w:i/>
          <w:iCs/>
          <w:color w:val="000000"/>
          <w:lang w:eastAsia="es-MX"/>
        </w:rPr>
        <w:t xml:space="preserve">, pone a disposición del público en general, un sitio web (cartera de empleo), </w:t>
      </w:r>
      <w:r w:rsidRPr="005025BE">
        <w:rPr>
          <w:rFonts w:ascii="Palatino Linotype" w:eastAsia="Palatino Linotype" w:hAnsi="Palatino Linotype" w:cs="Palatino Linotype"/>
          <w:b/>
          <w:bCs/>
          <w:i/>
          <w:iCs/>
          <w:color w:val="000000"/>
          <w:lang w:eastAsia="es-MX"/>
        </w:rPr>
        <w:t>a cargo de la Dirección General de Personal de la Oficialía Mayor del Gobierno del Estado de México,</w:t>
      </w:r>
      <w:r w:rsidRPr="005025BE">
        <w:rPr>
          <w:rFonts w:ascii="Palatino Linotype" w:eastAsia="Palatino Linotype" w:hAnsi="Palatino Linotype" w:cs="Palatino Linotype"/>
          <w:bCs/>
          <w:i/>
          <w:iCs/>
          <w:color w:val="000000"/>
          <w:lang w:eastAsia="es-MX"/>
        </w:rPr>
        <w:t xml:space="preserve"> en donde puede generar su expediente electrónico, con la finalidad de que, </w:t>
      </w:r>
      <w:r w:rsidRPr="005025BE">
        <w:rPr>
          <w:rFonts w:ascii="Palatino Linotype" w:eastAsia="Palatino Linotype" w:hAnsi="Palatino Linotype" w:cs="Palatino Linotype"/>
          <w:b/>
          <w:bCs/>
          <w:i/>
          <w:iCs/>
          <w:color w:val="000000"/>
          <w:lang w:eastAsia="es-MX"/>
        </w:rPr>
        <w:t>conforme a las necesidades del servicio público,</w:t>
      </w:r>
      <w:r w:rsidRPr="005025BE">
        <w:rPr>
          <w:rFonts w:ascii="Palatino Linotype" w:eastAsia="Palatino Linotype" w:hAnsi="Palatino Linotype" w:cs="Palatino Linotype"/>
          <w:bCs/>
          <w:i/>
          <w:iCs/>
          <w:color w:val="000000"/>
          <w:lang w:eastAsia="es-MX"/>
        </w:rPr>
        <w:t xml:space="preserve"> esté en oportunidad de participar en un proceso de selección e ingreso a fin a sus aptitudes y experiencia profesional; situación que se encuentra fundada y motivada por medio de la fracción VIII, del artículo 10, del Reglamento Interior de la Oficialía Mayor –disponible para su consulta en </w:t>
      </w:r>
      <w:hyperlink r:id="rId11" w:history="1">
        <w:r w:rsidRPr="005025BE">
          <w:rPr>
            <w:rStyle w:val="Hipervnculo"/>
            <w:rFonts w:ascii="Palatino Linotype" w:eastAsia="Palatino Linotype" w:hAnsi="Palatino Linotype" w:cs="Palatino Linotype"/>
            <w:bCs/>
            <w:i/>
            <w:iCs/>
            <w:lang w:eastAsia="es-MX"/>
          </w:rPr>
          <w:t>https://legislacion.edomex.gob.mx/sites/legislacion.edomex.gob.mx/files/files/pdf/gct/2023/diciembre/dic201/dic201r.pdf</w:t>
        </w:r>
      </w:hyperlink>
      <w:r w:rsidRPr="005025BE">
        <w:rPr>
          <w:rFonts w:ascii="Palatino Linotype" w:eastAsia="Palatino Linotype" w:hAnsi="Palatino Linotype" w:cs="Palatino Linotype"/>
          <w:bCs/>
          <w:i/>
          <w:iCs/>
          <w:color w:val="000000"/>
          <w:lang w:eastAsia="es-MX"/>
        </w:rPr>
        <w:t xml:space="preserve"> – así como, en la función 9, del numeral 23400004000000L, función 2, del numeral 23400004010000L y funciones 4, 5 y 7, del numeral 23400004010200L, todo ello del Manual General de Organización de la Oficialía Mayor –véase en </w:t>
      </w:r>
      <w:hyperlink r:id="rId12" w:history="1">
        <w:r w:rsidRPr="005025BE">
          <w:rPr>
            <w:rStyle w:val="Hipervnculo"/>
            <w:rFonts w:ascii="Palatino Linotype" w:eastAsia="Palatino Linotype" w:hAnsi="Palatino Linotype" w:cs="Palatino Linotype"/>
            <w:bCs/>
            <w:i/>
            <w:iCs/>
            <w:lang w:eastAsia="es-MX"/>
          </w:rPr>
          <w:t>https://legislacion.edomex.gob.mx/sites/legislacion.edomex.gob.mx/files/files/pdf/gct/2024/mayo/may281/may281c.pdf-</w:t>
        </w:r>
      </w:hyperlink>
      <w:r w:rsidRPr="005025BE">
        <w:rPr>
          <w:rFonts w:ascii="Palatino Linotype" w:eastAsia="Palatino Linotype" w:hAnsi="Palatino Linotype" w:cs="Palatino Linotype"/>
          <w:bCs/>
          <w:i/>
          <w:iCs/>
          <w:color w:val="000000"/>
          <w:lang w:eastAsia="es-MX"/>
        </w:rPr>
        <w:t xml:space="preserve"> , mismos que son del tenor siguiente:</w:t>
      </w:r>
    </w:p>
    <w:p w14:paraId="128CD607"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p>
    <w:p w14:paraId="15C287AE" w14:textId="77777777" w:rsidR="005025BE" w:rsidRPr="005025BE" w:rsidRDefault="005025BE" w:rsidP="000F31A3">
      <w:pPr>
        <w:spacing w:line="360" w:lineRule="auto"/>
        <w:ind w:left="567" w:right="539"/>
        <w:jc w:val="both"/>
        <w:rPr>
          <w:rFonts w:ascii="Palatino Linotype" w:eastAsia="Palatino Linotype" w:hAnsi="Palatino Linotype" w:cs="Palatino Linotype"/>
          <w:bCs/>
          <w:i/>
          <w:iCs/>
          <w:color w:val="000000"/>
          <w:lang w:eastAsia="es-MX"/>
        </w:rPr>
      </w:pPr>
      <w:r w:rsidRPr="005025BE">
        <w:rPr>
          <w:rFonts w:ascii="Palatino Linotype" w:eastAsia="Palatino Linotype" w:hAnsi="Palatino Linotype" w:cs="Palatino Linotype"/>
          <w:bCs/>
          <w:i/>
          <w:iCs/>
          <w:color w:val="000000"/>
          <w:lang w:eastAsia="es-MX"/>
        </w:rPr>
        <w:t xml:space="preserve">Así las cosas, es que este Sujeto Obligado desde la respuesta notificada a la solicitud de acceso 00357/SSEM/IP/2025, hizo del conocimiento del Particular la información que obra en los archivos físicos y/o digitales, susceptibles de relacionar con su pretensión, </w:t>
      </w:r>
      <w:r w:rsidRPr="005025BE">
        <w:rPr>
          <w:rFonts w:ascii="Palatino Linotype" w:eastAsia="Palatino Linotype" w:hAnsi="Palatino Linotype" w:cs="Palatino Linotype"/>
          <w:bCs/>
          <w:i/>
          <w:iCs/>
          <w:color w:val="000000"/>
          <w:u w:val="single"/>
          <w:lang w:eastAsia="es-MX"/>
        </w:rPr>
        <w:t xml:space="preserve">en el entendido que no se han </w:t>
      </w:r>
      <w:r w:rsidRPr="005025BE">
        <w:rPr>
          <w:rFonts w:ascii="Palatino Linotype" w:eastAsia="Palatino Linotype" w:hAnsi="Palatino Linotype" w:cs="Palatino Linotype"/>
          <w:bCs/>
          <w:i/>
          <w:iCs/>
          <w:color w:val="000000"/>
          <w:u w:val="single"/>
          <w:lang w:eastAsia="es-MX"/>
        </w:rPr>
        <w:lastRenderedPageBreak/>
        <w:t>realizado solicitudes a la Oficialía Mayor, a fin de generar un proceso de reclutamiento y selección de personal para las diversas áreas que conforman la estructura orgánica de este Sujeto Obligado</w:t>
      </w:r>
      <w:r w:rsidRPr="005025BE">
        <w:rPr>
          <w:rFonts w:ascii="Palatino Linotype" w:eastAsia="Palatino Linotype" w:hAnsi="Palatino Linotype" w:cs="Palatino Linotype"/>
          <w:bCs/>
          <w:i/>
          <w:iCs/>
          <w:color w:val="000000"/>
          <w:lang w:eastAsia="es-MX"/>
        </w:rPr>
        <w:t>, por consiguiente, en términos de los artículos 12, 24, penúltimo párrafo y 160 de la Ley de Transparencia y Acceso a la Información Pública del Estado de México y Municipios, se atendieron las formalidades de Ley, en el expediente electrónico en el que se actúa.</w:t>
      </w:r>
    </w:p>
    <w:p w14:paraId="42A40080" w14:textId="64FA3F07" w:rsidR="002552D0" w:rsidRDefault="005025BE" w:rsidP="000F31A3">
      <w:pPr>
        <w:spacing w:line="360" w:lineRule="auto"/>
        <w:ind w:left="567" w:right="539"/>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bCs/>
          <w:i/>
          <w:iCs/>
          <w:color w:val="000000"/>
          <w:lang w:eastAsia="es-MX"/>
        </w:rPr>
        <w:t>…”</w:t>
      </w:r>
    </w:p>
    <w:p w14:paraId="1C6ED1C4" w14:textId="77777777" w:rsidR="002552D0" w:rsidRPr="009E56DD" w:rsidRDefault="002552D0" w:rsidP="000F31A3">
      <w:pPr>
        <w:spacing w:line="360" w:lineRule="auto"/>
        <w:jc w:val="both"/>
        <w:rPr>
          <w:rFonts w:ascii="Palatino Linotype" w:eastAsia="Palatino Linotype" w:hAnsi="Palatino Linotype" w:cs="Palatino Linotype"/>
          <w:color w:val="000000"/>
          <w:sz w:val="22"/>
          <w:szCs w:val="22"/>
          <w:lang w:eastAsia="es-MX"/>
        </w:rPr>
      </w:pPr>
    </w:p>
    <w:p w14:paraId="4C04F2ED" w14:textId="667D0FDF" w:rsidR="00B6380A" w:rsidRPr="009E56DD" w:rsidRDefault="00B6380A" w:rsidP="000F31A3">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2552D0">
        <w:rPr>
          <w:rFonts w:ascii="Palatino Linotype" w:eastAsia="Palatino Linotype" w:hAnsi="Palatino Linotype" w:cs="Palatino Linotype"/>
          <w:color w:val="000000"/>
          <w:sz w:val="22"/>
          <w:szCs w:val="22"/>
          <w:lang w:eastAsia="es-MX"/>
        </w:rPr>
        <w:t xml:space="preserve">seis de octubre </w:t>
      </w:r>
      <w:r w:rsidRPr="009E56DD">
        <w:rPr>
          <w:rFonts w:ascii="Palatino Linotype" w:eastAsia="Palatino Linotype" w:hAnsi="Palatino Linotype" w:cs="Palatino Linotype"/>
          <w:color w:val="000000"/>
          <w:sz w:val="22"/>
          <w:szCs w:val="22"/>
          <w:lang w:eastAsia="es-MX"/>
        </w:rPr>
        <w:t xml:space="preserve">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74E83EF1" w14:textId="77777777" w:rsidR="00EA2594" w:rsidRDefault="00EA2594" w:rsidP="000F31A3">
      <w:pPr>
        <w:spacing w:line="360" w:lineRule="auto"/>
        <w:jc w:val="both"/>
        <w:rPr>
          <w:rFonts w:ascii="Palatino Linotype" w:hAnsi="Palatino Linotype" w:cs="Tahoma"/>
          <w:b/>
          <w:sz w:val="22"/>
          <w:szCs w:val="24"/>
        </w:rPr>
      </w:pPr>
    </w:p>
    <w:p w14:paraId="0CC3A362" w14:textId="3095D276" w:rsidR="00ED5DF5" w:rsidRPr="00FB571A" w:rsidRDefault="008E1D82" w:rsidP="000F31A3">
      <w:pPr>
        <w:spacing w:line="360" w:lineRule="auto"/>
        <w:jc w:val="both"/>
        <w:rPr>
          <w:rFonts w:ascii="Palatino Linotype" w:hAnsi="Palatino Linotype" w:cs="Tahoma"/>
          <w:sz w:val="22"/>
          <w:szCs w:val="22"/>
        </w:rPr>
      </w:pPr>
      <w:bookmarkStart w:id="10" w:name="_Toc212733588"/>
      <w:r>
        <w:rPr>
          <w:rStyle w:val="Ttulo3Car"/>
          <w:rFonts w:ascii="Palatino Linotype" w:hAnsi="Palatino Linotype"/>
          <w:b/>
          <w:color w:val="auto"/>
          <w:sz w:val="22"/>
          <w:szCs w:val="22"/>
        </w:rPr>
        <w:t>e</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0"/>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3E55AD">
        <w:rPr>
          <w:rFonts w:ascii="Palatino Linotype" w:hAnsi="Palatino Linotype" w:cs="Tahoma"/>
          <w:sz w:val="22"/>
          <w:szCs w:val="22"/>
        </w:rPr>
        <w:t>treinta</w:t>
      </w:r>
      <w:r w:rsidR="002552D0">
        <w:rPr>
          <w:rFonts w:ascii="Palatino Linotype" w:hAnsi="Palatino Linotype" w:cs="Tahoma"/>
          <w:sz w:val="22"/>
          <w:szCs w:val="22"/>
        </w:rPr>
        <w:t xml:space="preserve"> de octubre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485F9595" w14:textId="77777777" w:rsidR="0079675C" w:rsidRPr="00FB571A" w:rsidRDefault="0079675C" w:rsidP="000F31A3">
      <w:pPr>
        <w:spacing w:line="360" w:lineRule="auto"/>
        <w:jc w:val="both"/>
        <w:rPr>
          <w:rFonts w:ascii="Palatino Linotype" w:hAnsi="Palatino Linotype" w:cs="Tahoma"/>
          <w:sz w:val="22"/>
          <w:szCs w:val="22"/>
        </w:rPr>
      </w:pPr>
    </w:p>
    <w:p w14:paraId="15FA4AB3" w14:textId="77777777" w:rsidR="004F2D88" w:rsidRDefault="004F2D88" w:rsidP="000F31A3">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3E107923" w14:textId="77777777" w:rsidR="001C0C73" w:rsidRPr="00FB571A" w:rsidRDefault="001C0C73" w:rsidP="000F31A3">
      <w:pPr>
        <w:spacing w:line="360" w:lineRule="auto"/>
        <w:contextualSpacing/>
        <w:jc w:val="both"/>
        <w:rPr>
          <w:rFonts w:ascii="Palatino Linotype" w:hAnsi="Palatino Linotype" w:cs="Tahoma"/>
          <w:color w:val="000000"/>
          <w:sz w:val="22"/>
          <w:szCs w:val="22"/>
        </w:rPr>
      </w:pPr>
    </w:p>
    <w:p w14:paraId="190411D4" w14:textId="77777777" w:rsidR="00EA4E4A" w:rsidRPr="00FB571A" w:rsidRDefault="00EA4E4A" w:rsidP="000F31A3">
      <w:pPr>
        <w:pStyle w:val="Ttulo1"/>
        <w:spacing w:before="0" w:line="360" w:lineRule="auto"/>
        <w:jc w:val="center"/>
        <w:rPr>
          <w:rFonts w:ascii="Palatino Linotype" w:hAnsi="Palatino Linotype"/>
          <w:b/>
          <w:color w:val="auto"/>
          <w:sz w:val="22"/>
          <w:szCs w:val="22"/>
        </w:rPr>
      </w:pPr>
      <w:bookmarkStart w:id="11" w:name="_Toc212733589"/>
      <w:r w:rsidRPr="00FB571A">
        <w:rPr>
          <w:rFonts w:ascii="Palatino Linotype" w:hAnsi="Palatino Linotype"/>
          <w:b/>
          <w:color w:val="auto"/>
          <w:sz w:val="22"/>
          <w:szCs w:val="22"/>
        </w:rPr>
        <w:t>C O N S I D E R A N D O S</w:t>
      </w:r>
      <w:bookmarkEnd w:id="11"/>
    </w:p>
    <w:p w14:paraId="4C2CAAE3" w14:textId="77777777" w:rsidR="00EA4E4A" w:rsidRPr="00FB571A" w:rsidRDefault="00EA4E4A" w:rsidP="000F31A3">
      <w:pPr>
        <w:spacing w:line="360" w:lineRule="auto"/>
        <w:contextualSpacing/>
        <w:jc w:val="both"/>
        <w:rPr>
          <w:rFonts w:ascii="Palatino Linotype" w:hAnsi="Palatino Linotype" w:cs="Tahoma"/>
          <w:b/>
          <w:sz w:val="22"/>
          <w:szCs w:val="22"/>
        </w:rPr>
      </w:pPr>
    </w:p>
    <w:p w14:paraId="68A49B22" w14:textId="77777777" w:rsidR="00EA4E4A" w:rsidRPr="00FB571A" w:rsidRDefault="00EA4E4A" w:rsidP="000F31A3">
      <w:pPr>
        <w:pStyle w:val="Ttulo2"/>
        <w:spacing w:before="0" w:line="360" w:lineRule="auto"/>
        <w:rPr>
          <w:rFonts w:ascii="Palatino Linotype" w:hAnsi="Palatino Linotype"/>
          <w:b/>
          <w:sz w:val="22"/>
          <w:szCs w:val="22"/>
        </w:rPr>
      </w:pPr>
      <w:bookmarkStart w:id="12" w:name="_Toc212733590"/>
      <w:r w:rsidRPr="00FB571A">
        <w:rPr>
          <w:rFonts w:ascii="Palatino Linotype" w:eastAsia="Calibri" w:hAnsi="Palatino Linotype"/>
          <w:b/>
          <w:color w:val="auto"/>
          <w:sz w:val="22"/>
          <w:szCs w:val="22"/>
          <w:lang w:eastAsia="es-MX"/>
        </w:rPr>
        <w:lastRenderedPageBreak/>
        <w:t xml:space="preserve">PRIMERO. </w:t>
      </w:r>
      <w:r w:rsidRPr="00FB571A">
        <w:rPr>
          <w:rFonts w:ascii="Palatino Linotype" w:hAnsi="Palatino Linotype"/>
          <w:b/>
          <w:color w:val="auto"/>
          <w:sz w:val="22"/>
          <w:szCs w:val="22"/>
        </w:rPr>
        <w:t>Competencia</w:t>
      </w:r>
      <w:bookmarkEnd w:id="12"/>
    </w:p>
    <w:p w14:paraId="0DE04AEF" w14:textId="77777777" w:rsidR="00EA4E4A" w:rsidRPr="00FB571A" w:rsidRDefault="00EA4E4A" w:rsidP="000F31A3">
      <w:pPr>
        <w:autoSpaceDE w:val="0"/>
        <w:autoSpaceDN w:val="0"/>
        <w:adjustRightInd w:val="0"/>
        <w:spacing w:line="360" w:lineRule="auto"/>
        <w:contextualSpacing/>
        <w:jc w:val="both"/>
        <w:rPr>
          <w:rFonts w:ascii="Palatino Linotype" w:hAnsi="Palatino Linotype" w:cs="Tahoma"/>
          <w:b/>
          <w:sz w:val="22"/>
          <w:szCs w:val="22"/>
        </w:rPr>
      </w:pPr>
    </w:p>
    <w:p w14:paraId="6359AF22" w14:textId="2FE1AACA" w:rsidR="00F66601" w:rsidRDefault="00925230" w:rsidP="000F31A3">
      <w:pPr>
        <w:spacing w:line="360" w:lineRule="auto"/>
        <w:jc w:val="both"/>
        <w:rPr>
          <w:rFonts w:ascii="Palatino Linotype" w:hAnsi="Palatino Linotype" w:cs="Tahoma"/>
          <w:sz w:val="22"/>
          <w:szCs w:val="22"/>
          <w:shd w:val="clear" w:color="auto" w:fill="FFFFFF"/>
        </w:rPr>
      </w:pPr>
      <w:r w:rsidRPr="0092523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9F92A7" w14:textId="77777777" w:rsidR="00925230" w:rsidRDefault="00925230" w:rsidP="000F31A3">
      <w:pPr>
        <w:spacing w:line="360" w:lineRule="auto"/>
        <w:jc w:val="both"/>
        <w:rPr>
          <w:rFonts w:ascii="Palatino Linotype" w:hAnsi="Palatino Linotype" w:cs="Tahoma"/>
          <w:sz w:val="22"/>
          <w:szCs w:val="22"/>
          <w:shd w:val="clear" w:color="auto" w:fill="FFFFFF"/>
        </w:rPr>
      </w:pPr>
    </w:p>
    <w:p w14:paraId="109BB932" w14:textId="77777777" w:rsidR="00D02A77" w:rsidRPr="00FB571A" w:rsidRDefault="00D02A77" w:rsidP="000F31A3">
      <w:pPr>
        <w:pStyle w:val="Ttulo2"/>
        <w:spacing w:before="0" w:line="360" w:lineRule="auto"/>
        <w:rPr>
          <w:rFonts w:ascii="Palatino Linotype" w:eastAsia="Calibri" w:hAnsi="Palatino Linotype"/>
          <w:b/>
          <w:color w:val="auto"/>
          <w:sz w:val="22"/>
          <w:szCs w:val="22"/>
          <w:lang w:eastAsia="es-MX"/>
        </w:rPr>
      </w:pPr>
      <w:bookmarkStart w:id="13" w:name="_Toc210751368"/>
      <w:bookmarkStart w:id="14" w:name="_Toc212733591"/>
      <w:r w:rsidRPr="00FB571A">
        <w:rPr>
          <w:rFonts w:ascii="Palatino Linotype" w:eastAsia="Calibri" w:hAnsi="Palatino Linotype"/>
          <w:b/>
          <w:color w:val="auto"/>
          <w:sz w:val="22"/>
          <w:szCs w:val="22"/>
          <w:lang w:eastAsia="es-MX"/>
        </w:rPr>
        <w:t>SEGUNDO. Causales de improcedencia y sobreseimiento</w:t>
      </w:r>
      <w:bookmarkEnd w:id="13"/>
      <w:bookmarkEnd w:id="14"/>
    </w:p>
    <w:p w14:paraId="411C6E22" w14:textId="77777777" w:rsidR="00D02A77" w:rsidRPr="00FB571A" w:rsidRDefault="00D02A77" w:rsidP="000F31A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AB9E650" w14:textId="77777777" w:rsidR="00D02A77" w:rsidRPr="00FB571A" w:rsidRDefault="00D02A77" w:rsidP="000F31A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8C594B5" w14:textId="77777777" w:rsidR="00D02A77" w:rsidRPr="00FB571A" w:rsidRDefault="00D02A77" w:rsidP="000F31A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E6B127" w14:textId="77777777" w:rsidR="00D02A77" w:rsidRPr="00FB571A" w:rsidRDefault="00D02A77" w:rsidP="000F31A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327175C" w14:textId="77777777" w:rsidR="00D02A77" w:rsidRPr="00FB571A" w:rsidRDefault="00D02A77" w:rsidP="000F31A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B7F75F" w14:textId="77777777" w:rsidR="00D02A77" w:rsidRPr="00FB571A" w:rsidRDefault="00D02A77" w:rsidP="000F31A3">
      <w:pPr>
        <w:pStyle w:val="Ttulo3"/>
        <w:spacing w:before="0" w:line="360" w:lineRule="auto"/>
        <w:rPr>
          <w:rFonts w:ascii="Palatino Linotype" w:eastAsia="Calibri" w:hAnsi="Palatino Linotype" w:cs="Arial"/>
          <w:b/>
          <w:color w:val="auto"/>
          <w:sz w:val="22"/>
          <w:szCs w:val="22"/>
          <w:lang w:eastAsia="es-ES_tradnl"/>
        </w:rPr>
      </w:pPr>
      <w:bookmarkStart w:id="15" w:name="_Toc210751369"/>
      <w:bookmarkStart w:id="16" w:name="_Toc212733592"/>
      <w:r w:rsidRPr="00FB571A">
        <w:rPr>
          <w:rFonts w:ascii="Palatino Linotype" w:eastAsia="Calibri" w:hAnsi="Palatino Linotype" w:cs="Arial"/>
          <w:b/>
          <w:color w:val="auto"/>
          <w:sz w:val="22"/>
          <w:szCs w:val="22"/>
          <w:lang w:eastAsia="es-ES_tradnl"/>
        </w:rPr>
        <w:t>Causales de sobreseimiento</w:t>
      </w:r>
      <w:bookmarkEnd w:id="15"/>
      <w:bookmarkEnd w:id="16"/>
    </w:p>
    <w:p w14:paraId="3599ADE9" w14:textId="77777777" w:rsidR="00D02A77" w:rsidRPr="00FB571A" w:rsidRDefault="00D02A77" w:rsidP="000F31A3">
      <w:pPr>
        <w:spacing w:line="360" w:lineRule="auto"/>
        <w:jc w:val="both"/>
        <w:rPr>
          <w:rFonts w:ascii="Palatino Linotype" w:eastAsia="Calibri" w:hAnsi="Palatino Linotype" w:cs="Tahoma"/>
          <w:sz w:val="22"/>
          <w:szCs w:val="22"/>
          <w:lang w:eastAsia="es-ES_tradnl"/>
        </w:rPr>
      </w:pPr>
    </w:p>
    <w:p w14:paraId="63B19889" w14:textId="77777777" w:rsidR="00D02A77" w:rsidRPr="00FB571A" w:rsidRDefault="00D02A77" w:rsidP="000F31A3">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2F35B841" w14:textId="77777777" w:rsidR="00D02A77" w:rsidRPr="00FB571A" w:rsidRDefault="00D02A77" w:rsidP="000F31A3">
      <w:pPr>
        <w:spacing w:line="360" w:lineRule="auto"/>
        <w:jc w:val="both"/>
        <w:rPr>
          <w:rFonts w:ascii="Palatino Linotype" w:eastAsia="Calibri" w:hAnsi="Palatino Linotype" w:cs="Tahoma"/>
          <w:sz w:val="22"/>
          <w:szCs w:val="22"/>
          <w:lang w:eastAsia="es-ES_tradnl"/>
        </w:rPr>
      </w:pPr>
    </w:p>
    <w:p w14:paraId="3AEA7273" w14:textId="77777777" w:rsidR="00D02A77" w:rsidRPr="00FB571A" w:rsidRDefault="00D02A77" w:rsidP="000F31A3">
      <w:pPr>
        <w:pStyle w:val="Ttulo2"/>
        <w:spacing w:before="0" w:line="360" w:lineRule="auto"/>
        <w:rPr>
          <w:rFonts w:ascii="Palatino Linotype" w:eastAsia="Calibri" w:hAnsi="Palatino Linotype"/>
          <w:b/>
          <w:color w:val="auto"/>
          <w:sz w:val="22"/>
          <w:lang w:val="es-ES" w:eastAsia="es-ES_tradnl"/>
        </w:rPr>
      </w:pPr>
      <w:bookmarkStart w:id="17" w:name="_Toc210751370"/>
      <w:bookmarkStart w:id="18" w:name="_Toc212733593"/>
      <w:r w:rsidRPr="00FB571A">
        <w:rPr>
          <w:rFonts w:ascii="Palatino Linotype" w:eastAsia="Calibri" w:hAnsi="Palatino Linotype"/>
          <w:b/>
          <w:color w:val="auto"/>
          <w:sz w:val="22"/>
          <w:lang w:eastAsia="es-ES_tradnl"/>
        </w:rPr>
        <w:t>TERCERO. Determinación de la Controversia</w:t>
      </w:r>
      <w:bookmarkEnd w:id="17"/>
      <w:bookmarkEnd w:id="18"/>
    </w:p>
    <w:p w14:paraId="4F3581A4" w14:textId="77777777" w:rsidR="00D02A77" w:rsidRPr="00FB571A" w:rsidRDefault="00D02A77" w:rsidP="000F31A3">
      <w:pPr>
        <w:tabs>
          <w:tab w:val="left" w:pos="4962"/>
        </w:tabs>
        <w:spacing w:line="360" w:lineRule="auto"/>
        <w:jc w:val="both"/>
        <w:rPr>
          <w:rFonts w:ascii="Palatino Linotype" w:eastAsia="Calibri" w:hAnsi="Palatino Linotype" w:cs="Tahoma"/>
          <w:b/>
          <w:iCs/>
          <w:sz w:val="22"/>
          <w:szCs w:val="22"/>
          <w:lang w:val="es-ES" w:eastAsia="es-ES_tradnl"/>
        </w:rPr>
      </w:pPr>
    </w:p>
    <w:p w14:paraId="4C762DEE" w14:textId="38AC6CE3" w:rsidR="00D02A77" w:rsidRPr="00B450DF" w:rsidRDefault="00D02A77" w:rsidP="000F31A3">
      <w:pPr>
        <w:tabs>
          <w:tab w:val="left" w:pos="4962"/>
        </w:tabs>
        <w:spacing w:line="360" w:lineRule="auto"/>
        <w:jc w:val="both"/>
        <w:rPr>
          <w:rFonts w:ascii="Palatino Linotype" w:eastAsia="Calibri" w:hAnsi="Palatino Linotype" w:cs="Tahoma"/>
          <w:iCs/>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w:t>
      </w:r>
      <w:r w:rsidRPr="00CB301F">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 xml:space="preserve"> </w:t>
      </w:r>
      <w:r w:rsidRPr="00CB301F">
        <w:rPr>
          <w:rFonts w:ascii="Palatino Linotype" w:eastAsia="Calibri" w:hAnsi="Palatino Linotype" w:cs="Tahoma"/>
          <w:iCs/>
          <w:sz w:val="22"/>
          <w:szCs w:val="22"/>
          <w:lang w:val="es-ES" w:eastAsia="es-ES_tradnl"/>
        </w:rPr>
        <w:t>l</w:t>
      </w:r>
      <w:r>
        <w:rPr>
          <w:rFonts w:ascii="Palatino Linotype" w:eastAsia="Calibri" w:hAnsi="Palatino Linotype" w:cs="Tahoma"/>
          <w:iCs/>
          <w:sz w:val="22"/>
          <w:szCs w:val="22"/>
          <w:lang w:val="es-ES" w:eastAsia="es-ES_tradnl"/>
        </w:rPr>
        <w:t>a Secretaría de Seguridad</w:t>
      </w:r>
      <w:r w:rsidRPr="00CB301F">
        <w:rPr>
          <w:rFonts w:ascii="Palatino Linotype" w:eastAsia="Calibri" w:hAnsi="Palatino Linotype" w:cs="Tahoma"/>
          <w:iCs/>
          <w:sz w:val="22"/>
          <w:szCs w:val="22"/>
          <w:lang w:val="es-ES" w:eastAsia="es-ES_tradnl"/>
        </w:rPr>
        <w:t xml:space="preserve">, </w:t>
      </w:r>
      <w:r w:rsidR="000F31A3" w:rsidRPr="000F31A3">
        <w:rPr>
          <w:rFonts w:ascii="Palatino Linotype" w:eastAsia="Calibri" w:hAnsi="Palatino Linotype" w:cs="Tahoma"/>
          <w:iCs/>
          <w:sz w:val="22"/>
          <w:szCs w:val="22"/>
          <w:lang w:val="es-ES" w:eastAsia="es-ES_tradnl"/>
        </w:rPr>
        <w:t>l</w:t>
      </w:r>
      <w:r w:rsidRPr="000F31A3">
        <w:rPr>
          <w:rFonts w:ascii="Palatino Linotype" w:eastAsia="Calibri" w:hAnsi="Palatino Linotype" w:cs="Tahoma"/>
          <w:iCs/>
          <w:sz w:val="22"/>
          <w:szCs w:val="22"/>
          <w:lang w:val="es-ES" w:eastAsia="es-ES_tradnl"/>
        </w:rPr>
        <w:t>as vacantes con las que c</w:t>
      </w:r>
      <w:r w:rsidR="000F31A3" w:rsidRPr="000F31A3">
        <w:rPr>
          <w:rFonts w:ascii="Palatino Linotype" w:eastAsia="Calibri" w:hAnsi="Palatino Linotype" w:cs="Tahoma"/>
          <w:iCs/>
          <w:sz w:val="22"/>
          <w:szCs w:val="22"/>
          <w:lang w:val="es-ES" w:eastAsia="es-ES_tradnl"/>
        </w:rPr>
        <w:t>ontaba</w:t>
      </w:r>
      <w:r w:rsidRPr="000F31A3">
        <w:rPr>
          <w:rFonts w:ascii="Palatino Linotype" w:eastAsia="Calibri" w:hAnsi="Palatino Linotype" w:cs="Tahoma"/>
          <w:iCs/>
          <w:sz w:val="22"/>
          <w:szCs w:val="22"/>
          <w:lang w:val="es-ES" w:eastAsia="es-ES_tradnl"/>
        </w:rPr>
        <w:t xml:space="preserve"> el Sujeto Obligado, </w:t>
      </w:r>
      <w:r w:rsidR="00B450DF" w:rsidRPr="000F31A3">
        <w:rPr>
          <w:rFonts w:ascii="Palatino Linotype" w:eastAsia="Calibri" w:hAnsi="Palatino Linotype" w:cs="Tahoma"/>
          <w:iCs/>
          <w:sz w:val="22"/>
          <w:szCs w:val="22"/>
          <w:lang w:val="es-ES" w:eastAsia="es-ES_tradnl"/>
        </w:rPr>
        <w:t>así como l</w:t>
      </w:r>
      <w:r w:rsidRPr="000F31A3">
        <w:rPr>
          <w:rFonts w:ascii="Palatino Linotype" w:eastAsia="Calibri" w:hAnsi="Palatino Linotype" w:cs="Tahoma"/>
          <w:iCs/>
          <w:sz w:val="22"/>
          <w:szCs w:val="22"/>
          <w:lang w:val="es-ES" w:eastAsia="es-ES_tradnl"/>
        </w:rPr>
        <w:t>os requisitos para ingresar a dicha dependencia, convocatoria o cualquier medio de ingreso</w:t>
      </w:r>
      <w:r w:rsidR="000F31A3">
        <w:rPr>
          <w:rFonts w:ascii="Palatino Linotype" w:eastAsia="Calibri" w:hAnsi="Palatino Linotype" w:cs="Tahoma"/>
          <w:iCs/>
          <w:sz w:val="22"/>
          <w:szCs w:val="22"/>
          <w:lang w:val="es-ES" w:eastAsia="es-ES_tradnl"/>
        </w:rPr>
        <w:t>.</w:t>
      </w:r>
    </w:p>
    <w:p w14:paraId="6CCCE23E" w14:textId="77777777" w:rsidR="00D02A77" w:rsidRDefault="00D02A77" w:rsidP="000F31A3">
      <w:pPr>
        <w:tabs>
          <w:tab w:val="left" w:pos="4962"/>
        </w:tabs>
        <w:spacing w:line="360" w:lineRule="auto"/>
        <w:jc w:val="both"/>
        <w:rPr>
          <w:rFonts w:ascii="Palatino Linotype" w:eastAsia="Calibri" w:hAnsi="Palatino Linotype" w:cs="Tahoma"/>
          <w:iCs/>
          <w:sz w:val="22"/>
          <w:szCs w:val="22"/>
          <w:lang w:eastAsia="es-ES_tradnl"/>
        </w:rPr>
      </w:pPr>
    </w:p>
    <w:p w14:paraId="05D45F13" w14:textId="682399DD" w:rsidR="00BA12EC" w:rsidRPr="00FB571A" w:rsidRDefault="00D02A77" w:rsidP="000F31A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w:t>
      </w:r>
      <w:r w:rsidRPr="00CB301F">
        <w:rPr>
          <w:rFonts w:ascii="Palatino Linotype" w:eastAsia="Calibri" w:hAnsi="Palatino Linotype" w:cs="Tahoma"/>
          <w:iCs/>
          <w:sz w:val="22"/>
          <w:szCs w:val="22"/>
          <w:lang w:val="es-ES" w:eastAsia="es-ES_tradnl"/>
        </w:rPr>
        <w:t xml:space="preserve">n respuesta, el Sujeto Obligado </w:t>
      </w:r>
      <w:r>
        <w:rPr>
          <w:rFonts w:ascii="Palatino Linotype" w:eastAsia="Calibri" w:hAnsi="Palatino Linotype" w:cs="Tahoma"/>
          <w:iCs/>
          <w:sz w:val="22"/>
          <w:szCs w:val="22"/>
          <w:lang w:val="es-ES" w:eastAsia="es-ES_tradnl"/>
        </w:rPr>
        <w:t xml:space="preserve">señaló que </w:t>
      </w:r>
      <w:r w:rsidRPr="00F54F68">
        <w:rPr>
          <w:rFonts w:ascii="Palatino Linotype" w:eastAsia="Calibri" w:hAnsi="Palatino Linotype" w:cs="Tahoma"/>
          <w:iCs/>
          <w:sz w:val="22"/>
          <w:szCs w:val="22"/>
          <w:lang w:val="es-ES" w:eastAsia="es-ES_tradnl"/>
        </w:rPr>
        <w:t xml:space="preserve">no cuenta con una convocatoria para ingreso al servicio público, relacionada con el perfil al que hizo referencia </w:t>
      </w:r>
      <w:r>
        <w:rPr>
          <w:rFonts w:ascii="Palatino Linotype" w:eastAsia="Calibri" w:hAnsi="Palatino Linotype" w:cs="Tahoma"/>
          <w:iCs/>
          <w:sz w:val="22"/>
          <w:szCs w:val="22"/>
          <w:lang w:val="es-ES" w:eastAsia="es-ES_tradnl"/>
        </w:rPr>
        <w:t xml:space="preserve">y </w:t>
      </w:r>
      <w:r w:rsidRPr="00F54F68">
        <w:rPr>
          <w:rFonts w:ascii="Palatino Linotype" w:eastAsia="Calibri" w:hAnsi="Palatino Linotype" w:cs="Tahoma"/>
          <w:iCs/>
          <w:sz w:val="22"/>
          <w:szCs w:val="22"/>
          <w:lang w:val="es-ES" w:eastAsia="es-ES_tradnl"/>
        </w:rPr>
        <w:t>que el único proceso de reclutamiento y selección de personal actual, corresponde para incorporarse como Policía Custodio Penitenciario</w:t>
      </w:r>
      <w:r>
        <w:rPr>
          <w:rFonts w:ascii="Palatino Linotype" w:eastAsia="Calibri" w:hAnsi="Palatino Linotype" w:cs="Tahoma"/>
          <w:iCs/>
          <w:sz w:val="22"/>
          <w:szCs w:val="22"/>
          <w:lang w:val="es-ES" w:eastAsia="es-ES_tradnl"/>
        </w:rPr>
        <w:t>, derivado de ello el Recurrente se inconformó al considerar que la información le era negada, ya que contaba con otras áreas</w:t>
      </w:r>
      <w:r w:rsidR="00BA12EC">
        <w:rPr>
          <w:rFonts w:ascii="Palatino Linotype" w:eastAsia="Calibri" w:hAnsi="Palatino Linotype" w:cs="Tahoma"/>
          <w:iCs/>
          <w:sz w:val="22"/>
          <w:szCs w:val="22"/>
          <w:lang w:val="es-ES" w:eastAsia="es-ES_tradnl"/>
        </w:rPr>
        <w:t xml:space="preserve">, </w:t>
      </w:r>
      <w:r w:rsidR="00BA12EC" w:rsidRPr="00FB571A">
        <w:rPr>
          <w:rFonts w:ascii="Palatino Linotype" w:eastAsia="Calibri" w:hAnsi="Palatino Linotype" w:cs="Tahoma"/>
          <w:bCs/>
          <w:sz w:val="22"/>
          <w:szCs w:val="22"/>
          <w:lang w:val="es-ES_tradnl" w:eastAsia="en-US"/>
        </w:rPr>
        <w:t xml:space="preserve">así </w:t>
      </w:r>
      <w:r w:rsidR="00BA12EC" w:rsidRPr="00FB571A">
        <w:rPr>
          <w:rFonts w:ascii="Palatino Linotype" w:eastAsia="Calibri" w:hAnsi="Palatino Linotype" w:cs="Tahoma"/>
          <w:color w:val="000000"/>
          <w:sz w:val="22"/>
          <w:szCs w:val="22"/>
        </w:rPr>
        <w:t xml:space="preserve">en el asunto que nos ocupa se actualiza la causal de procedencia señalada en el </w:t>
      </w:r>
      <w:r w:rsidR="00BA12EC" w:rsidRPr="00FB571A">
        <w:rPr>
          <w:rFonts w:ascii="Palatino Linotype" w:eastAsia="Calibri" w:hAnsi="Palatino Linotype" w:cs="Tahoma"/>
          <w:sz w:val="22"/>
          <w:szCs w:val="22"/>
        </w:rPr>
        <w:t xml:space="preserve">artículo 179, fracción </w:t>
      </w:r>
      <w:r w:rsidR="00BA12EC">
        <w:rPr>
          <w:rFonts w:ascii="Palatino Linotype" w:eastAsia="Calibri" w:hAnsi="Palatino Linotype" w:cs="Tahoma"/>
          <w:sz w:val="22"/>
          <w:szCs w:val="22"/>
        </w:rPr>
        <w:t>V</w:t>
      </w:r>
      <w:r w:rsidR="00BA12EC" w:rsidRPr="00FB571A">
        <w:rPr>
          <w:rFonts w:ascii="Palatino Linotype" w:eastAsia="Calibri" w:hAnsi="Palatino Linotype" w:cs="Tahoma"/>
          <w:sz w:val="22"/>
          <w:szCs w:val="22"/>
        </w:rPr>
        <w:t>, de la Ley de la materia</w:t>
      </w:r>
      <w:r w:rsidR="00BA12EC" w:rsidRPr="00FB571A">
        <w:rPr>
          <w:rFonts w:ascii="Palatino Linotype" w:eastAsia="Calibri" w:hAnsi="Palatino Linotype" w:cs="Tahoma"/>
          <w:bCs/>
          <w:sz w:val="22"/>
          <w:szCs w:val="22"/>
        </w:rPr>
        <w:t>.</w:t>
      </w:r>
    </w:p>
    <w:p w14:paraId="0DAA741E" w14:textId="77777777" w:rsidR="00D02A77" w:rsidRDefault="00D02A77" w:rsidP="000F31A3">
      <w:pPr>
        <w:tabs>
          <w:tab w:val="left" w:pos="4962"/>
        </w:tabs>
        <w:spacing w:line="360" w:lineRule="auto"/>
        <w:jc w:val="both"/>
        <w:rPr>
          <w:rFonts w:ascii="Palatino Linotype" w:eastAsia="Calibri" w:hAnsi="Palatino Linotype" w:cs="Tahoma"/>
          <w:iCs/>
          <w:sz w:val="22"/>
          <w:szCs w:val="22"/>
          <w:lang w:val="es-ES" w:eastAsia="es-ES_tradnl"/>
        </w:rPr>
      </w:pPr>
    </w:p>
    <w:p w14:paraId="5F35637C" w14:textId="3FA07007" w:rsidR="00D02A77" w:rsidRPr="009E3D3F" w:rsidRDefault="00D02A77" w:rsidP="000F31A3">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 xml:space="preserve">Conforme a lo anterior, se logra vislumbrar que el ahora Recurrente no se agravió de </w:t>
      </w:r>
      <w:r>
        <w:rPr>
          <w:rFonts w:ascii="Palatino Linotype" w:eastAsia="Palatino Linotype" w:hAnsi="Palatino Linotype" w:cs="Palatino Linotype"/>
          <w:sz w:val="22"/>
          <w:szCs w:val="22"/>
          <w:lang w:eastAsia="es-MX"/>
        </w:rPr>
        <w:t xml:space="preserve">la convocatoria de Policía Custodio, </w:t>
      </w:r>
      <w:r w:rsidRPr="00815720">
        <w:rPr>
          <w:rFonts w:ascii="Palatino Linotype" w:eastAsia="Palatino Linotype" w:hAnsi="Palatino Linotype" w:cs="Palatino Linotype"/>
          <w:sz w:val="22"/>
          <w:szCs w:val="22"/>
          <w:lang w:eastAsia="es-MX"/>
        </w:rPr>
        <w:t>que le fue entregad</w:t>
      </w:r>
      <w:r>
        <w:rPr>
          <w:rFonts w:ascii="Palatino Linotype" w:eastAsia="Palatino Linotype" w:hAnsi="Palatino Linotype" w:cs="Palatino Linotype"/>
          <w:sz w:val="22"/>
          <w:szCs w:val="22"/>
          <w:lang w:eastAsia="es-MX"/>
        </w:rPr>
        <w:t>a</w:t>
      </w:r>
      <w:r w:rsidRPr="00815720">
        <w:rPr>
          <w:rFonts w:ascii="Palatino Linotype" w:eastAsia="Palatino Linotype" w:hAnsi="Palatino Linotype" w:cs="Palatino Linotype"/>
          <w:sz w:val="22"/>
          <w:szCs w:val="22"/>
          <w:lang w:eastAsia="es-MX"/>
        </w:rPr>
        <w:t xml:space="preserve"> en respuesta, sino que únicamente se inconformó </w:t>
      </w:r>
      <w:r>
        <w:rPr>
          <w:rFonts w:ascii="Palatino Linotype" w:eastAsia="Palatino Linotype" w:hAnsi="Palatino Linotype" w:cs="Palatino Linotype"/>
          <w:sz w:val="22"/>
          <w:szCs w:val="22"/>
          <w:lang w:eastAsia="es-MX"/>
        </w:rPr>
        <w:t>por no proporcionarle ligas existentes para consultar más áreas,</w:t>
      </w:r>
      <w:r w:rsidRPr="00815720">
        <w:rPr>
          <w:rFonts w:ascii="Palatino Linotype" w:eastAsia="Palatino Linotype" w:hAnsi="Palatino Linotype" w:cs="Palatino Linotype"/>
          <w:sz w:val="22"/>
          <w:szCs w:val="22"/>
          <w:lang w:eastAsia="es-MX"/>
        </w:rPr>
        <w:t xml:space="preserve"> por lo que, no se hará pronunciamiento alguno, respecto a</w:t>
      </w:r>
      <w:r>
        <w:rPr>
          <w:rFonts w:ascii="Palatino Linotype" w:eastAsia="Palatino Linotype" w:hAnsi="Palatino Linotype" w:cs="Palatino Linotype"/>
          <w:sz w:val="22"/>
          <w:szCs w:val="22"/>
          <w:lang w:eastAsia="es-MX"/>
        </w:rPr>
        <w:t xml:space="preserve"> la convocatoria de Policía Custodio</w:t>
      </w:r>
      <w:r w:rsidRPr="00815720">
        <w:rPr>
          <w:rFonts w:ascii="Palatino Linotype" w:eastAsia="Palatino Linotype" w:hAnsi="Palatino Linotype" w:cs="Palatino Linotype"/>
          <w:sz w:val="22"/>
          <w:szCs w:val="22"/>
          <w:lang w:eastAsia="es-MX"/>
        </w:rPr>
        <w:t xml:space="preserve">,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815720">
        <w:rPr>
          <w:rFonts w:ascii="Palatino Linotype" w:eastAsia="Palatino Linotype" w:hAnsi="Palatino Linotype" w:cs="Palatino Linotype"/>
          <w:b/>
          <w:sz w:val="22"/>
          <w:szCs w:val="22"/>
          <w:lang w:eastAsia="es-MX"/>
        </w:rPr>
        <w:t>los actos que se hayan consentido tácitamente,</w:t>
      </w:r>
      <w:r w:rsidRPr="00815720">
        <w:rPr>
          <w:rFonts w:ascii="Palatino Linotype" w:eastAsia="Palatino Linotype" w:hAnsi="Palatino Linotype" w:cs="Palatino Linotype"/>
          <w:sz w:val="22"/>
          <w:szCs w:val="22"/>
          <w:lang w:eastAsia="es-MX"/>
        </w:rPr>
        <w:t xml:space="preserve"> entendiéndose </w:t>
      </w:r>
      <w:r w:rsidRPr="009E3D3F">
        <w:rPr>
          <w:rFonts w:ascii="Palatino Linotype" w:eastAsia="Palatino Linotype" w:hAnsi="Palatino Linotype" w:cs="Palatino Linotype"/>
          <w:sz w:val="22"/>
          <w:szCs w:val="22"/>
          <w:lang w:eastAsia="es-MX"/>
        </w:rPr>
        <w:t>por estos cuando el agravio no se haya promovido en el plazo señalado para el efecto.</w:t>
      </w:r>
    </w:p>
    <w:p w14:paraId="1E367BEB" w14:textId="77777777" w:rsidR="00D02A77" w:rsidRPr="009E3D3F" w:rsidRDefault="00D02A77" w:rsidP="000F31A3">
      <w:pPr>
        <w:spacing w:line="360" w:lineRule="auto"/>
        <w:jc w:val="both"/>
        <w:rPr>
          <w:rFonts w:ascii="Palatino Linotype" w:eastAsia="Palatino Linotype" w:hAnsi="Palatino Linotype" w:cs="Palatino Linotype"/>
          <w:sz w:val="22"/>
          <w:szCs w:val="22"/>
          <w:lang w:eastAsia="es-MX"/>
        </w:rPr>
      </w:pPr>
    </w:p>
    <w:p w14:paraId="2B3CA11E" w14:textId="77777777" w:rsidR="00D02A77" w:rsidRPr="00815720" w:rsidRDefault="00D02A77" w:rsidP="000F31A3">
      <w:pPr>
        <w:spacing w:line="360" w:lineRule="auto"/>
        <w:jc w:val="both"/>
        <w:rPr>
          <w:rFonts w:ascii="Palatino Linotype" w:eastAsia="Palatino Linotype" w:hAnsi="Palatino Linotype" w:cs="Palatino Linotype"/>
          <w:sz w:val="22"/>
          <w:szCs w:val="22"/>
          <w:lang w:eastAsia="es-MX"/>
        </w:rPr>
      </w:pPr>
      <w:r w:rsidRPr="009E3D3F">
        <w:rPr>
          <w:rFonts w:ascii="Palatino Linotype" w:eastAsia="Palatino Linotype" w:hAnsi="Palatino Linotype" w:cs="Palatino Linotype"/>
          <w:sz w:val="22"/>
          <w:szCs w:val="22"/>
          <w:lang w:eastAsia="es-MX"/>
        </w:rPr>
        <w:t xml:space="preserve">De la misma manera resulta </w:t>
      </w:r>
      <w:r w:rsidRPr="00815720">
        <w:rPr>
          <w:rFonts w:ascii="Palatino Linotype" w:eastAsia="Palatino Linotype" w:hAnsi="Palatino Linotype" w:cs="Palatino Linotype"/>
          <w:sz w:val="22"/>
          <w:szCs w:val="22"/>
          <w:lang w:eastAsia="es-MX"/>
        </w:rPr>
        <w:t xml:space="preserve">aplicable el criterio sostenido por el Poder Judicial de la Federación de rubro </w:t>
      </w:r>
      <w:r w:rsidRPr="00815720">
        <w:rPr>
          <w:rFonts w:ascii="Palatino Linotype" w:eastAsia="Palatino Linotype" w:hAnsi="Palatino Linotype" w:cs="Palatino Linotype"/>
          <w:b/>
          <w:sz w:val="22"/>
          <w:szCs w:val="22"/>
          <w:lang w:eastAsia="es-MX"/>
        </w:rPr>
        <w:t>ACTOS CONSENTIDOS TÁCITAMENTE</w:t>
      </w:r>
      <w:r w:rsidRPr="00815720">
        <w:rPr>
          <w:rFonts w:ascii="Palatino Linotype" w:eastAsia="Palatino Linotype" w:hAnsi="Palatino Linotype" w:cs="Palatino Linotype"/>
          <w:sz w:val="22"/>
          <w:szCs w:val="22"/>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FFDBEF5" w14:textId="77777777" w:rsidR="00D02A77" w:rsidRPr="00815720" w:rsidRDefault="00D02A77" w:rsidP="000F31A3">
      <w:pPr>
        <w:spacing w:line="360" w:lineRule="auto"/>
        <w:jc w:val="both"/>
        <w:rPr>
          <w:rFonts w:ascii="Palatino Linotype" w:eastAsia="Palatino Linotype" w:hAnsi="Palatino Linotype" w:cs="Palatino Linotype"/>
          <w:sz w:val="22"/>
          <w:szCs w:val="22"/>
          <w:lang w:eastAsia="es-MX"/>
        </w:rPr>
      </w:pPr>
    </w:p>
    <w:p w14:paraId="5493ACA5" w14:textId="77777777" w:rsidR="00D02A77" w:rsidRPr="00815720" w:rsidRDefault="00D02A77" w:rsidP="000F31A3">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lastRenderedPageBreak/>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40532882" w14:textId="77777777" w:rsidR="00D02A77" w:rsidRPr="00815720" w:rsidRDefault="00D02A77" w:rsidP="000F31A3">
      <w:pPr>
        <w:spacing w:line="360" w:lineRule="auto"/>
        <w:jc w:val="both"/>
        <w:rPr>
          <w:rFonts w:ascii="Palatino Linotype" w:eastAsia="Palatino Linotype" w:hAnsi="Palatino Linotype" w:cs="Palatino Linotype"/>
          <w:sz w:val="22"/>
          <w:szCs w:val="22"/>
          <w:lang w:eastAsia="es-MX"/>
        </w:rPr>
      </w:pPr>
    </w:p>
    <w:p w14:paraId="5145D2A6" w14:textId="77777777" w:rsidR="00D02A77" w:rsidRDefault="00D02A77" w:rsidP="000F31A3">
      <w:pPr>
        <w:spacing w:line="360" w:lineRule="auto"/>
        <w:jc w:val="both"/>
        <w:rPr>
          <w:rFonts w:ascii="Palatino Linotype" w:eastAsia="Palatino Linotype" w:hAnsi="Palatino Linotype" w:cs="Palatino Linotype"/>
          <w:sz w:val="22"/>
          <w:szCs w:val="22"/>
          <w:lang w:eastAsia="es-MX"/>
        </w:rPr>
      </w:pPr>
      <w:r w:rsidRPr="00815720">
        <w:rPr>
          <w:rFonts w:ascii="Palatino Linotype" w:eastAsia="Palatino Linotype" w:hAnsi="Palatino Linotype" w:cs="Palatino Linotype"/>
          <w:sz w:val="22"/>
          <w:szCs w:val="22"/>
          <w:lang w:eastAsia="es-MX"/>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r>
        <w:rPr>
          <w:rFonts w:ascii="Palatino Linotype" w:eastAsia="Palatino Linotype" w:hAnsi="Palatino Linotype" w:cs="Palatino Linotype"/>
          <w:sz w:val="22"/>
          <w:szCs w:val="22"/>
          <w:lang w:eastAsia="es-MX"/>
        </w:rPr>
        <w:t xml:space="preserve"> </w:t>
      </w:r>
      <w:r w:rsidRPr="00815720">
        <w:rPr>
          <w:rFonts w:ascii="Palatino Linotype" w:eastAsia="Palatino Linotype" w:hAnsi="Palatino Linotype" w:cs="Palatino Linotype"/>
          <w:sz w:val="22"/>
          <w:szCs w:val="22"/>
          <w:lang w:eastAsia="es-MX"/>
        </w:rPr>
        <w:t xml:space="preserve">Así, en el presente caso, se tiene por consentida la información proporcionada por el Ente Recurrido, respecto a la </w:t>
      </w:r>
      <w:r>
        <w:rPr>
          <w:rFonts w:ascii="Palatino Linotype" w:eastAsia="Palatino Linotype" w:hAnsi="Palatino Linotype" w:cs="Palatino Linotype"/>
          <w:sz w:val="22"/>
          <w:szCs w:val="22"/>
          <w:lang w:eastAsia="es-MX"/>
        </w:rPr>
        <w:t>convocatoria para ingresar como Policía Custodio</w:t>
      </w:r>
      <w:r w:rsidRPr="00815720">
        <w:rPr>
          <w:rFonts w:ascii="Palatino Linotype" w:eastAsia="Palatino Linotype" w:hAnsi="Palatino Linotype" w:cs="Palatino Linotype"/>
          <w:sz w:val="22"/>
          <w:szCs w:val="22"/>
          <w:lang w:eastAsia="es-MX"/>
        </w:rPr>
        <w:t>.</w:t>
      </w:r>
    </w:p>
    <w:p w14:paraId="0EB9EED8" w14:textId="77777777" w:rsidR="00BA12EC" w:rsidRDefault="00BA12EC" w:rsidP="000F31A3">
      <w:pPr>
        <w:spacing w:line="360" w:lineRule="auto"/>
        <w:jc w:val="both"/>
        <w:rPr>
          <w:rFonts w:ascii="Palatino Linotype" w:eastAsia="Palatino Linotype" w:hAnsi="Palatino Linotype" w:cs="Palatino Linotype"/>
          <w:sz w:val="22"/>
          <w:szCs w:val="22"/>
          <w:lang w:eastAsia="es-MX"/>
        </w:rPr>
      </w:pPr>
    </w:p>
    <w:p w14:paraId="46D9E075" w14:textId="6BC87059" w:rsidR="00D02A77" w:rsidRPr="007B0410" w:rsidRDefault="00D02A77" w:rsidP="000F31A3">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Así las cosas, una vez admitido y notificado el Recurso de Revisión a las partes, el Sujeto Obligado </w:t>
      </w:r>
      <w:r>
        <w:rPr>
          <w:rFonts w:ascii="Palatino Linotype" w:eastAsia="Palatino Linotype" w:hAnsi="Palatino Linotype" w:cs="Palatino Linotype"/>
          <w:sz w:val="22"/>
          <w:szCs w:val="22"/>
          <w:lang w:eastAsia="es-MX"/>
        </w:rPr>
        <w:t>ratificó la respuesta.</w:t>
      </w:r>
    </w:p>
    <w:p w14:paraId="2F84C2B8" w14:textId="77777777" w:rsidR="00D02A77" w:rsidRPr="007B0410" w:rsidRDefault="00D02A77" w:rsidP="000F31A3">
      <w:pPr>
        <w:spacing w:line="360" w:lineRule="auto"/>
        <w:jc w:val="both"/>
        <w:rPr>
          <w:rFonts w:ascii="Palatino Linotype" w:eastAsia="Palatino Linotype" w:hAnsi="Palatino Linotype" w:cs="Palatino Linotype"/>
          <w:sz w:val="22"/>
          <w:szCs w:val="22"/>
          <w:lang w:eastAsia="es-MX"/>
        </w:rPr>
      </w:pPr>
    </w:p>
    <w:p w14:paraId="132EDAFF" w14:textId="77777777" w:rsidR="00D02A77" w:rsidRPr="007B0410" w:rsidRDefault="00D02A77" w:rsidP="000F31A3">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7B0410">
        <w:rPr>
          <w:rFonts w:ascii="Palatino Linotype" w:eastAsia="Palatino Linotype" w:hAnsi="Palatino Linotype" w:cs="Palatino Linotype"/>
          <w:color w:val="000000"/>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07942D6D" w14:textId="77777777" w:rsidR="00D02A77" w:rsidRPr="00FB571A" w:rsidRDefault="00D02A77" w:rsidP="000F31A3">
      <w:pPr>
        <w:tabs>
          <w:tab w:val="left" w:pos="4962"/>
        </w:tabs>
        <w:spacing w:line="360" w:lineRule="auto"/>
        <w:jc w:val="both"/>
        <w:rPr>
          <w:rFonts w:ascii="Palatino Linotype" w:eastAsia="Calibri" w:hAnsi="Palatino Linotype" w:cs="Tahoma"/>
          <w:iCs/>
          <w:sz w:val="22"/>
          <w:szCs w:val="22"/>
          <w:lang w:eastAsia="es-ES_tradnl"/>
        </w:rPr>
      </w:pPr>
    </w:p>
    <w:p w14:paraId="5A9F5855" w14:textId="77777777" w:rsidR="00D02A77" w:rsidRPr="00FB571A" w:rsidRDefault="00D02A77" w:rsidP="000F31A3">
      <w:pPr>
        <w:pStyle w:val="Ttulo2"/>
        <w:spacing w:before="0" w:line="360" w:lineRule="auto"/>
        <w:jc w:val="both"/>
        <w:rPr>
          <w:rFonts w:ascii="Palatino Linotype" w:eastAsia="Calibri" w:hAnsi="Palatino Linotype" w:cs="Arial"/>
          <w:b/>
          <w:color w:val="auto"/>
          <w:sz w:val="22"/>
          <w:lang w:eastAsia="es-ES_tradnl"/>
        </w:rPr>
      </w:pPr>
      <w:bookmarkStart w:id="19" w:name="_Toc210751371"/>
      <w:bookmarkStart w:id="20" w:name="_Toc212733594"/>
      <w:r w:rsidRPr="00FB571A">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19"/>
      <w:bookmarkEnd w:id="20"/>
    </w:p>
    <w:p w14:paraId="2E0C9563" w14:textId="77777777" w:rsidR="00D02A77" w:rsidRPr="00FB571A" w:rsidRDefault="00D02A77" w:rsidP="000F31A3">
      <w:pPr>
        <w:spacing w:line="360" w:lineRule="auto"/>
        <w:contextualSpacing/>
        <w:jc w:val="both"/>
        <w:rPr>
          <w:rFonts w:ascii="Palatino Linotype" w:hAnsi="Palatino Linotype" w:cs="Tahoma"/>
          <w:sz w:val="22"/>
          <w:szCs w:val="22"/>
        </w:rPr>
      </w:pPr>
    </w:p>
    <w:p w14:paraId="33CBCF02" w14:textId="77777777" w:rsidR="00D02A77" w:rsidRPr="00FB571A" w:rsidRDefault="00D02A77" w:rsidP="000F31A3">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CD1439D" w14:textId="77777777" w:rsidR="00D02A77" w:rsidRPr="00FB571A" w:rsidRDefault="00D02A77" w:rsidP="000F31A3">
      <w:pPr>
        <w:spacing w:line="360" w:lineRule="auto"/>
        <w:contextualSpacing/>
        <w:jc w:val="both"/>
        <w:rPr>
          <w:rFonts w:ascii="Palatino Linotype" w:hAnsi="Palatino Linotype" w:cs="Tahoma"/>
          <w:sz w:val="22"/>
          <w:szCs w:val="22"/>
        </w:rPr>
      </w:pPr>
    </w:p>
    <w:p w14:paraId="731BA73D" w14:textId="77777777" w:rsidR="00D02A77" w:rsidRPr="00FB571A" w:rsidRDefault="00D02A77" w:rsidP="000F31A3">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6EBBAC3" w14:textId="77777777" w:rsidR="00D02A77" w:rsidRPr="00FB571A" w:rsidRDefault="00D02A77" w:rsidP="000F31A3">
      <w:pPr>
        <w:spacing w:line="360" w:lineRule="auto"/>
        <w:jc w:val="both"/>
        <w:rPr>
          <w:rFonts w:ascii="Palatino Linotype" w:hAnsi="Palatino Linotype" w:cs="Tahoma"/>
          <w:sz w:val="22"/>
          <w:szCs w:val="22"/>
        </w:rPr>
      </w:pPr>
    </w:p>
    <w:p w14:paraId="1C687806" w14:textId="77777777" w:rsidR="00D02A77" w:rsidRPr="00FB571A" w:rsidRDefault="00D02A77" w:rsidP="000F31A3">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ED145F5" w14:textId="77777777" w:rsidR="00D02A77" w:rsidRPr="00FB571A" w:rsidRDefault="00D02A77" w:rsidP="000F31A3">
      <w:pPr>
        <w:spacing w:line="360" w:lineRule="auto"/>
        <w:jc w:val="both"/>
        <w:rPr>
          <w:rFonts w:ascii="Palatino Linotype" w:hAnsi="Palatino Linotype" w:cs="Tahoma"/>
          <w:sz w:val="22"/>
          <w:szCs w:val="22"/>
        </w:rPr>
      </w:pPr>
    </w:p>
    <w:p w14:paraId="6D75C8A7" w14:textId="77777777" w:rsidR="00D02A77" w:rsidRPr="00FB571A" w:rsidRDefault="00D02A77" w:rsidP="000F31A3">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5A9FAA39" w14:textId="77777777" w:rsidR="00D02A77" w:rsidRPr="00FB571A" w:rsidRDefault="00D02A77" w:rsidP="000F31A3">
      <w:pPr>
        <w:spacing w:line="360" w:lineRule="auto"/>
        <w:jc w:val="both"/>
        <w:rPr>
          <w:rFonts w:ascii="Palatino Linotype" w:hAnsi="Palatino Linotype" w:cs="Tahoma"/>
          <w:sz w:val="22"/>
          <w:szCs w:val="22"/>
        </w:rPr>
      </w:pPr>
    </w:p>
    <w:p w14:paraId="3A523AC7" w14:textId="77777777" w:rsidR="00D02A77" w:rsidRPr="00FB571A" w:rsidRDefault="00D02A77" w:rsidP="000F31A3">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FA5B79C" w14:textId="77777777" w:rsidR="00D02A77" w:rsidRDefault="00D02A77" w:rsidP="000F31A3">
      <w:pPr>
        <w:spacing w:line="360" w:lineRule="auto"/>
        <w:jc w:val="both"/>
        <w:rPr>
          <w:rFonts w:ascii="Palatino Linotype" w:hAnsi="Palatino Linotype" w:cs="Tahoma"/>
          <w:sz w:val="22"/>
          <w:szCs w:val="22"/>
        </w:rPr>
      </w:pPr>
    </w:p>
    <w:p w14:paraId="1381DB47" w14:textId="77777777" w:rsidR="00D02A77" w:rsidRPr="00FB571A" w:rsidRDefault="00D02A77" w:rsidP="000F31A3">
      <w:pPr>
        <w:spacing w:line="360" w:lineRule="auto"/>
        <w:jc w:val="both"/>
        <w:rPr>
          <w:rFonts w:ascii="Palatino Linotype" w:hAnsi="Palatino Linotype" w:cs="Tahoma"/>
          <w:sz w:val="22"/>
          <w:szCs w:val="22"/>
        </w:rPr>
      </w:pPr>
      <w:r w:rsidRPr="00FB571A">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FB571A">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77C5F327" w14:textId="77777777" w:rsidR="00D02A77" w:rsidRPr="00FB571A" w:rsidRDefault="00D02A77" w:rsidP="000F31A3">
      <w:pPr>
        <w:spacing w:line="360" w:lineRule="auto"/>
        <w:jc w:val="both"/>
        <w:rPr>
          <w:rFonts w:ascii="Palatino Linotype" w:hAnsi="Palatino Linotype" w:cs="Tahoma"/>
          <w:sz w:val="22"/>
          <w:szCs w:val="22"/>
        </w:rPr>
      </w:pPr>
    </w:p>
    <w:p w14:paraId="000E2080" w14:textId="77777777" w:rsidR="00D02A77" w:rsidRPr="00FB571A" w:rsidRDefault="00D02A77" w:rsidP="000F31A3">
      <w:pPr>
        <w:pStyle w:val="Ttulo2"/>
        <w:spacing w:before="0" w:line="360" w:lineRule="auto"/>
        <w:rPr>
          <w:rFonts w:ascii="Palatino Linotype" w:hAnsi="Palatino Linotype"/>
          <w:b/>
          <w:color w:val="auto"/>
          <w:sz w:val="22"/>
          <w:lang w:val="es-ES"/>
        </w:rPr>
      </w:pPr>
      <w:bookmarkStart w:id="21" w:name="_Toc210751372"/>
      <w:bookmarkStart w:id="22" w:name="_Toc212733595"/>
      <w:r w:rsidRPr="00FB571A">
        <w:rPr>
          <w:rFonts w:ascii="Palatino Linotype" w:eastAsia="Calibri" w:hAnsi="Palatino Linotype"/>
          <w:b/>
          <w:color w:val="auto"/>
          <w:sz w:val="22"/>
          <w:lang w:eastAsia="es-ES_tradnl"/>
        </w:rPr>
        <w:t>QUINTO. Estudio de Fondo</w:t>
      </w:r>
      <w:bookmarkEnd w:id="21"/>
      <w:bookmarkEnd w:id="22"/>
    </w:p>
    <w:p w14:paraId="39016F65" w14:textId="77777777" w:rsidR="00D02A77" w:rsidRPr="00FB571A" w:rsidRDefault="00D02A77" w:rsidP="000F31A3">
      <w:pPr>
        <w:spacing w:line="360" w:lineRule="auto"/>
        <w:ind w:right="-93"/>
        <w:jc w:val="both"/>
        <w:rPr>
          <w:rFonts w:ascii="Palatino Linotype" w:hAnsi="Palatino Linotype" w:cs="Tahoma"/>
          <w:b/>
          <w:sz w:val="22"/>
          <w:szCs w:val="22"/>
          <w:lang w:val="es-ES"/>
        </w:rPr>
      </w:pPr>
    </w:p>
    <w:p w14:paraId="067293EF" w14:textId="33A7438C" w:rsidR="00BA12EC" w:rsidRDefault="00D02A77" w:rsidP="000F31A3">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Pr>
          <w:rFonts w:ascii="Palatino Linotype" w:hAnsi="Palatino Linotype" w:cs="Tahoma"/>
          <w:sz w:val="22"/>
          <w:szCs w:val="22"/>
        </w:rPr>
        <w:t>so a la información pública</w:t>
      </w:r>
      <w:r w:rsidR="00BA12EC">
        <w:rPr>
          <w:rFonts w:ascii="Palatino Linotype" w:hAnsi="Palatino Linotype" w:cs="Tahoma"/>
          <w:sz w:val="22"/>
          <w:szCs w:val="22"/>
        </w:rPr>
        <w:t>.</w:t>
      </w:r>
    </w:p>
    <w:p w14:paraId="0592BAB4" w14:textId="77777777" w:rsidR="00BA12EC" w:rsidRDefault="00BA12EC" w:rsidP="000F31A3">
      <w:pPr>
        <w:spacing w:line="360" w:lineRule="auto"/>
        <w:jc w:val="both"/>
        <w:rPr>
          <w:rFonts w:ascii="Palatino Linotype" w:hAnsi="Palatino Linotype" w:cs="Tahoma"/>
          <w:sz w:val="22"/>
          <w:szCs w:val="22"/>
        </w:rPr>
      </w:pPr>
    </w:p>
    <w:p w14:paraId="05C33E99" w14:textId="77777777" w:rsidR="00BA12EC" w:rsidRPr="006B0A9B" w:rsidRDefault="00BA12EC" w:rsidP="000F31A3">
      <w:pPr>
        <w:spacing w:line="360" w:lineRule="auto"/>
        <w:ind w:right="-93"/>
        <w:jc w:val="both"/>
        <w:rPr>
          <w:rFonts w:ascii="Palatino Linotype" w:eastAsia="Calibri" w:hAnsi="Palatino Linotype" w:cs="Tahoma"/>
          <w:iCs/>
          <w:sz w:val="22"/>
          <w:szCs w:val="22"/>
          <w:lang w:eastAsia="es-ES_tradnl"/>
        </w:rPr>
      </w:pPr>
      <w:r w:rsidRPr="00C37475">
        <w:rPr>
          <w:rFonts w:ascii="Palatino Linotype" w:eastAsia="Calibri" w:hAnsi="Palatino Linotype" w:cs="Tahoma"/>
          <w:iCs/>
          <w:sz w:val="22"/>
          <w:szCs w:val="22"/>
          <w:lang w:eastAsia="es-ES_tradnl"/>
        </w:rPr>
        <w:t xml:space="preserve">Establecido lo anterior, es de recordar que </w:t>
      </w:r>
      <w:r>
        <w:rPr>
          <w:rFonts w:ascii="Palatino Linotype" w:eastAsia="Calibri" w:hAnsi="Palatino Linotype" w:cs="Tahoma"/>
          <w:iCs/>
          <w:sz w:val="22"/>
          <w:szCs w:val="22"/>
          <w:lang w:eastAsia="es-ES_tradnl"/>
        </w:rPr>
        <w:t xml:space="preserve">el interés del Particular es conocer las plazas vacantes con las que cuenta el Sujeto Obligado, en ese sentido, </w:t>
      </w:r>
      <w:r w:rsidRPr="00C37475">
        <w:rPr>
          <w:rFonts w:ascii="Palatino Linotype" w:eastAsia="Calibri" w:hAnsi="Palatino Linotype" w:cs="Tahoma"/>
          <w:bCs/>
          <w:sz w:val="22"/>
          <w:szCs w:val="22"/>
          <w:lang w:eastAsia="en-US"/>
        </w:rPr>
        <w:t xml:space="preserve">se debe indicar que </w:t>
      </w:r>
      <w:r>
        <w:rPr>
          <w:rFonts w:ascii="Palatino Linotype" w:eastAsia="Calibri" w:hAnsi="Palatino Linotype" w:cs="Tahoma"/>
          <w:bCs/>
          <w:sz w:val="22"/>
          <w:szCs w:val="22"/>
          <w:lang w:eastAsia="en-US"/>
        </w:rPr>
        <w:t xml:space="preserve">dicha información </w:t>
      </w:r>
      <w:r w:rsidRPr="00C37475">
        <w:rPr>
          <w:rFonts w:ascii="Palatino Linotype" w:eastAsia="Calibri" w:hAnsi="Palatino Linotype" w:cs="Tahoma"/>
          <w:bCs/>
          <w:sz w:val="22"/>
          <w:szCs w:val="22"/>
          <w:lang w:eastAsia="en-US"/>
        </w:rPr>
        <w:t>se trata de información pública, además corresponde a las obligaciones de transparencia, de acuerdo a lo señalado</w:t>
      </w:r>
      <w:r>
        <w:rPr>
          <w:rFonts w:ascii="Palatino Linotype" w:eastAsia="Calibri" w:hAnsi="Palatino Linotype" w:cs="Tahoma"/>
          <w:iCs/>
          <w:sz w:val="22"/>
          <w:szCs w:val="22"/>
          <w:lang w:eastAsia="es-ES_tradnl"/>
        </w:rPr>
        <w:t xml:space="preserve"> en </w:t>
      </w:r>
      <w:r w:rsidRPr="006B0A9B">
        <w:rPr>
          <w:rFonts w:ascii="Palatino Linotype" w:eastAsia="Calibri" w:hAnsi="Palatino Linotype" w:cs="Tahoma"/>
          <w:iCs/>
          <w:sz w:val="22"/>
          <w:szCs w:val="22"/>
          <w:lang w:eastAsia="es-ES_tradnl"/>
        </w:rPr>
        <w:t>la fracción X, del artículo 92 de la Ley de Transparencia y Acceso a la Información Pública del Estado de México y Municipios,</w:t>
      </w:r>
      <w:r>
        <w:rPr>
          <w:rFonts w:ascii="Palatino Linotype" w:eastAsia="Calibri" w:hAnsi="Palatino Linotype" w:cs="Tahoma"/>
          <w:iCs/>
          <w:sz w:val="22"/>
          <w:szCs w:val="22"/>
          <w:lang w:eastAsia="es-ES_tradnl"/>
        </w:rPr>
        <w:t xml:space="preserve"> como se muestra a continuación </w:t>
      </w:r>
    </w:p>
    <w:p w14:paraId="2E452DE1" w14:textId="77777777" w:rsidR="00BA12EC" w:rsidRPr="006B0A9B" w:rsidRDefault="00BA12EC" w:rsidP="000F31A3">
      <w:pPr>
        <w:spacing w:line="360" w:lineRule="auto"/>
        <w:ind w:right="-93"/>
        <w:jc w:val="both"/>
        <w:rPr>
          <w:rFonts w:ascii="Palatino Linotype" w:eastAsia="Calibri" w:hAnsi="Palatino Linotype" w:cs="Tahoma"/>
          <w:iCs/>
          <w:sz w:val="22"/>
          <w:szCs w:val="22"/>
          <w:lang w:eastAsia="es-ES_tradnl"/>
        </w:rPr>
      </w:pPr>
    </w:p>
    <w:p w14:paraId="660CC985" w14:textId="77777777" w:rsidR="00BA12EC" w:rsidRPr="006B0A9B" w:rsidRDefault="00BA12EC" w:rsidP="000F31A3">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Artículo 92.</w:t>
      </w:r>
      <w:r w:rsidRPr="006B0A9B">
        <w:rPr>
          <w:rFonts w:ascii="Palatino Linotype" w:eastAsia="Calibri" w:hAnsi="Palatino Linotype" w:cs="Tahoma"/>
          <w:i/>
          <w:iCs/>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9BEA61" w14:textId="77777777" w:rsidR="00BA12EC" w:rsidRPr="006B0A9B" w:rsidRDefault="00BA12EC" w:rsidP="000F31A3">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i/>
          <w:iCs/>
          <w:lang w:eastAsia="es-ES_tradnl"/>
        </w:rPr>
        <w:t>I a IX…</w:t>
      </w:r>
    </w:p>
    <w:p w14:paraId="5F7B56C4" w14:textId="77777777" w:rsidR="00BA12EC" w:rsidRPr="006B0A9B" w:rsidRDefault="00BA12EC" w:rsidP="000F31A3">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w:t>
      </w:r>
      <w:r w:rsidRPr="006B0A9B">
        <w:rPr>
          <w:rFonts w:ascii="Palatino Linotype" w:eastAsia="Calibri" w:hAnsi="Palatino Linotype" w:cs="Tahoma"/>
          <w:i/>
          <w:iCs/>
          <w:lang w:eastAsia="es-ES_tradnl"/>
        </w:rPr>
        <w:t xml:space="preserve"> El número total de las plazas y del personal de base y de confianza, especificando el total de las vacantes, por nivel de puesto, para cada unidad administrativa;</w:t>
      </w:r>
    </w:p>
    <w:p w14:paraId="19BC7AA4" w14:textId="77777777" w:rsidR="00BA12EC" w:rsidRPr="006B0A9B" w:rsidRDefault="00BA12EC" w:rsidP="000F31A3">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XI.</w:t>
      </w:r>
      <w:r w:rsidRPr="006B0A9B">
        <w:rPr>
          <w:rFonts w:ascii="Palatino Linotype" w:eastAsia="Calibri" w:hAnsi="Palatino Linotype" w:cs="Tahoma"/>
          <w:i/>
          <w:iCs/>
          <w:lang w:eastAsia="es-ES_tradnl"/>
        </w:rPr>
        <w:t xml:space="preserve"> </w:t>
      </w:r>
      <w:r w:rsidRPr="006B0A9B">
        <w:rPr>
          <w:rFonts w:ascii="Palatino Linotype" w:eastAsia="Calibri" w:hAnsi="Palatino Linotype" w:cs="Tahoma"/>
          <w:b/>
          <w:bCs/>
          <w:i/>
          <w:iCs/>
          <w:lang w:eastAsia="es-ES_tradnl"/>
        </w:rPr>
        <w:t>a LII…</w:t>
      </w:r>
    </w:p>
    <w:p w14:paraId="6EB9AC75" w14:textId="77777777" w:rsidR="00BA12EC" w:rsidRPr="006B0A9B" w:rsidRDefault="00BA12EC" w:rsidP="000F31A3">
      <w:pPr>
        <w:spacing w:line="360" w:lineRule="auto"/>
        <w:ind w:right="-93"/>
        <w:jc w:val="both"/>
        <w:rPr>
          <w:rFonts w:ascii="Palatino Linotype" w:eastAsia="Calibri" w:hAnsi="Palatino Linotype" w:cs="Tahoma"/>
          <w:iCs/>
          <w:sz w:val="22"/>
          <w:szCs w:val="22"/>
          <w:lang w:eastAsia="es-ES_tradnl"/>
        </w:rPr>
      </w:pPr>
    </w:p>
    <w:p w14:paraId="6419FE43" w14:textId="32D71406" w:rsidR="00BA12EC" w:rsidRDefault="00BA12EC" w:rsidP="000F31A3">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Establecido lo anterior, es de recordar que en respuesta el Sujeto Obligado informo que </w:t>
      </w:r>
      <w:r w:rsidRPr="00A75079">
        <w:rPr>
          <w:rFonts w:ascii="Palatino Linotype" w:eastAsia="Calibri" w:hAnsi="Palatino Linotype" w:cs="Tahoma"/>
          <w:iCs/>
          <w:sz w:val="22"/>
          <w:szCs w:val="22"/>
          <w:lang w:eastAsia="es-ES_tradnl"/>
        </w:rPr>
        <w:t>no cuenta con una convocatoria para ingreso al servicio público, relacionada con el perfil al que hizo referencia</w:t>
      </w:r>
      <w:r>
        <w:rPr>
          <w:rFonts w:ascii="Palatino Linotype" w:eastAsia="Calibri" w:hAnsi="Palatino Linotype" w:cs="Tahoma"/>
          <w:iCs/>
          <w:sz w:val="22"/>
          <w:szCs w:val="22"/>
          <w:lang w:eastAsia="es-ES_tradnl"/>
        </w:rPr>
        <w:t xml:space="preserve"> el Particular</w:t>
      </w:r>
      <w:r w:rsidRPr="00A7507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y proporcionó una liga electrónica en la que supuestamente se puede </w:t>
      </w:r>
      <w:r w:rsidRPr="00A75079">
        <w:rPr>
          <w:rFonts w:ascii="Palatino Linotype" w:eastAsia="Calibri" w:hAnsi="Palatino Linotype" w:cs="Tahoma"/>
          <w:iCs/>
          <w:sz w:val="22"/>
          <w:szCs w:val="22"/>
          <w:lang w:eastAsia="es-ES_tradnl"/>
        </w:rPr>
        <w:t>visualizar que el único proceso de reclutamiento y selección de personal actual, corresponde para incorporarse como Policía Custodio Penitenciario</w:t>
      </w:r>
      <w:r>
        <w:rPr>
          <w:rFonts w:ascii="Palatino Linotype" w:eastAsia="Calibri" w:hAnsi="Palatino Linotype" w:cs="Tahoma"/>
          <w:iCs/>
          <w:sz w:val="22"/>
          <w:szCs w:val="22"/>
          <w:lang w:eastAsia="es-ES_tradnl"/>
        </w:rPr>
        <w:t>,</w:t>
      </w:r>
      <w:r w:rsidRPr="00A75079">
        <w:rPr>
          <w:rFonts w:ascii="Palatino Linotype" w:eastAsia="Calibri" w:hAnsi="Palatino Linotype" w:cs="Tahoma"/>
          <w:iCs/>
          <w:sz w:val="22"/>
          <w:szCs w:val="22"/>
          <w:lang w:eastAsia="es-ES_tradnl"/>
        </w:rPr>
        <w:t xml:space="preserve"> del estado de fuerza de la Subsecretaría de Control Penitenciario de la Secretaría de Seguridad,</w:t>
      </w:r>
      <w:r>
        <w:rPr>
          <w:rFonts w:ascii="Palatino Linotype" w:eastAsia="Calibri" w:hAnsi="Palatino Linotype" w:cs="Tahoma"/>
          <w:iCs/>
          <w:sz w:val="22"/>
          <w:szCs w:val="22"/>
          <w:lang w:eastAsia="es-ES_tradnl"/>
        </w:rPr>
        <w:t xml:space="preserve"> además informó </w:t>
      </w:r>
      <w:r w:rsidRPr="00A75079">
        <w:rPr>
          <w:rFonts w:ascii="Palatino Linotype" w:eastAsia="Calibri" w:hAnsi="Palatino Linotype" w:cs="Tahoma"/>
          <w:iCs/>
          <w:sz w:val="22"/>
          <w:szCs w:val="22"/>
          <w:lang w:eastAsia="es-ES_tradnl"/>
        </w:rPr>
        <w:t xml:space="preserve">que, el Gobierno del Estado de México, pone a disposición del público en general, un sitio web (cartera de empleo), en donde </w:t>
      </w:r>
      <w:r>
        <w:rPr>
          <w:rFonts w:ascii="Palatino Linotype" w:eastAsia="Calibri" w:hAnsi="Palatino Linotype" w:cs="Tahoma"/>
          <w:iCs/>
          <w:sz w:val="22"/>
          <w:szCs w:val="22"/>
          <w:lang w:eastAsia="es-ES_tradnl"/>
        </w:rPr>
        <w:t xml:space="preserve">se puede </w:t>
      </w:r>
      <w:r w:rsidRPr="00A75079">
        <w:rPr>
          <w:rFonts w:ascii="Palatino Linotype" w:eastAsia="Calibri" w:hAnsi="Palatino Linotype" w:cs="Tahoma"/>
          <w:iCs/>
          <w:sz w:val="22"/>
          <w:szCs w:val="22"/>
          <w:lang w:eastAsia="es-ES_tradnl"/>
        </w:rPr>
        <w:t>generar u</w:t>
      </w:r>
      <w:r>
        <w:rPr>
          <w:rFonts w:ascii="Palatino Linotype" w:eastAsia="Calibri" w:hAnsi="Palatino Linotype" w:cs="Tahoma"/>
          <w:iCs/>
          <w:sz w:val="22"/>
          <w:szCs w:val="22"/>
          <w:lang w:eastAsia="es-ES_tradnl"/>
        </w:rPr>
        <w:t>n</w:t>
      </w:r>
      <w:r w:rsidRPr="00A75079">
        <w:rPr>
          <w:rFonts w:ascii="Palatino Linotype" w:eastAsia="Calibri" w:hAnsi="Palatino Linotype" w:cs="Tahoma"/>
          <w:iCs/>
          <w:sz w:val="22"/>
          <w:szCs w:val="22"/>
          <w:lang w:eastAsia="es-ES_tradnl"/>
        </w:rPr>
        <w:t xml:space="preserve"> expediente electrónico, con la finalidad de que, conforme a las necesidades del servicio público, esté en oportunidad de participar en un proceso de selección e ingreso, a fin a sus aptitudes y experiencia profesional</w:t>
      </w:r>
      <w:r>
        <w:rPr>
          <w:rFonts w:ascii="Palatino Linotype" w:eastAsia="Calibri" w:hAnsi="Palatino Linotype" w:cs="Tahoma"/>
          <w:iCs/>
          <w:sz w:val="22"/>
          <w:szCs w:val="22"/>
          <w:lang w:eastAsia="es-ES_tradnl"/>
        </w:rPr>
        <w:t>.</w:t>
      </w:r>
    </w:p>
    <w:p w14:paraId="543C309F" w14:textId="77777777" w:rsidR="00BA12EC" w:rsidRDefault="00BA12EC" w:rsidP="000F31A3">
      <w:pPr>
        <w:spacing w:line="360" w:lineRule="auto"/>
        <w:ind w:right="-93"/>
        <w:jc w:val="both"/>
        <w:rPr>
          <w:rFonts w:ascii="Palatino Linotype" w:eastAsia="Calibri" w:hAnsi="Palatino Linotype" w:cs="Tahoma"/>
          <w:iCs/>
          <w:sz w:val="22"/>
          <w:szCs w:val="22"/>
          <w:lang w:eastAsia="es-ES_tradnl"/>
        </w:rPr>
      </w:pPr>
    </w:p>
    <w:p w14:paraId="0A3B8F0D" w14:textId="125F2D8F" w:rsidR="00BA12EC" w:rsidRDefault="00BA12EC" w:rsidP="000F31A3">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Posteriormente en informe justificado y derivado de los motivos de inconformidad el Sujeto Obligado reitero que el único </w:t>
      </w:r>
      <w:r w:rsidRPr="00BA12EC">
        <w:rPr>
          <w:rFonts w:ascii="Palatino Linotype" w:eastAsia="Calibri" w:hAnsi="Palatino Linotype" w:cs="Tahoma"/>
          <w:iCs/>
          <w:sz w:val="22"/>
          <w:szCs w:val="22"/>
          <w:lang w:eastAsia="es-ES_tradnl"/>
        </w:rPr>
        <w:t xml:space="preserve">el proceso de reclutamiento y selección de personal, </w:t>
      </w:r>
      <w:r>
        <w:rPr>
          <w:rFonts w:ascii="Palatino Linotype" w:eastAsia="Calibri" w:hAnsi="Palatino Linotype" w:cs="Tahoma"/>
          <w:iCs/>
          <w:sz w:val="22"/>
          <w:szCs w:val="22"/>
          <w:lang w:eastAsia="es-ES_tradnl"/>
        </w:rPr>
        <w:t xml:space="preserve">es </w:t>
      </w:r>
      <w:r w:rsidRPr="00BA12EC">
        <w:rPr>
          <w:rFonts w:ascii="Palatino Linotype" w:eastAsia="Calibri" w:hAnsi="Palatino Linotype" w:cs="Tahoma"/>
          <w:iCs/>
          <w:sz w:val="22"/>
          <w:szCs w:val="22"/>
          <w:lang w:eastAsia="es-ES_tradnl"/>
        </w:rPr>
        <w:t>para incorporarse como Policía Custodio Penitenciario</w:t>
      </w:r>
      <w:r>
        <w:rPr>
          <w:rFonts w:ascii="Palatino Linotype" w:eastAsia="Calibri" w:hAnsi="Palatino Linotype" w:cs="Tahoma"/>
          <w:iCs/>
          <w:sz w:val="22"/>
          <w:szCs w:val="22"/>
          <w:lang w:eastAsia="es-ES_tradnl"/>
        </w:rPr>
        <w:t xml:space="preserve"> situación que se corroboro en la liga electrónica que proporciono en datos abiertos (</w:t>
      </w:r>
      <w:hyperlink r:id="rId13" w:history="1">
        <w:r w:rsidRPr="00440E0F">
          <w:rPr>
            <w:rStyle w:val="Hipervnculo"/>
            <w:rFonts w:ascii="Palatino Linotype" w:eastAsia="Calibri" w:hAnsi="Palatino Linotype" w:cs="Tahoma"/>
            <w:iCs/>
            <w:sz w:val="22"/>
            <w:szCs w:val="22"/>
            <w:lang w:eastAsia="es-ES_tradnl"/>
          </w:rPr>
          <w:t>https://sseguridad.edomex.gob.mx/eventos_convocatorias</w:t>
        </w:r>
      </w:hyperlink>
      <w:r>
        <w:rPr>
          <w:rFonts w:ascii="Palatino Linotype" w:eastAsia="Calibri" w:hAnsi="Palatino Linotype" w:cs="Tahoma"/>
          <w:iCs/>
          <w:sz w:val="22"/>
          <w:szCs w:val="22"/>
          <w:lang w:eastAsia="es-ES_tradnl"/>
        </w:rPr>
        <w:t>) como se muestra a continuación:</w:t>
      </w:r>
    </w:p>
    <w:p w14:paraId="5E9F74CD" w14:textId="77777777" w:rsidR="000F31A3" w:rsidRDefault="000F31A3" w:rsidP="000F31A3">
      <w:pPr>
        <w:spacing w:line="360" w:lineRule="auto"/>
        <w:ind w:right="-93"/>
        <w:jc w:val="both"/>
        <w:rPr>
          <w:rFonts w:ascii="Palatino Linotype" w:eastAsia="Calibri" w:hAnsi="Palatino Linotype" w:cs="Tahoma"/>
          <w:iCs/>
          <w:sz w:val="22"/>
          <w:szCs w:val="22"/>
          <w:lang w:eastAsia="es-ES_tradnl"/>
        </w:rPr>
      </w:pPr>
    </w:p>
    <w:p w14:paraId="261FF03F" w14:textId="4702DCA1" w:rsidR="00BA12EC" w:rsidRDefault="00BA12EC" w:rsidP="000F31A3">
      <w:pPr>
        <w:spacing w:line="360" w:lineRule="auto"/>
        <w:ind w:right="-93"/>
        <w:jc w:val="center"/>
        <w:rPr>
          <w:rFonts w:ascii="Palatino Linotype" w:eastAsia="Calibri" w:hAnsi="Palatino Linotype" w:cs="Tahoma"/>
          <w:iCs/>
          <w:sz w:val="22"/>
          <w:szCs w:val="22"/>
          <w:lang w:eastAsia="es-ES_tradnl"/>
        </w:rPr>
      </w:pPr>
      <w:r w:rsidRPr="00BA12EC">
        <w:rPr>
          <w:rFonts w:ascii="Palatino Linotype" w:eastAsia="Calibri" w:hAnsi="Palatino Linotype" w:cs="Tahoma"/>
          <w:iCs/>
          <w:noProof/>
          <w:sz w:val="22"/>
          <w:szCs w:val="22"/>
          <w:lang w:eastAsia="es-MX"/>
        </w:rPr>
        <w:lastRenderedPageBreak/>
        <w:drawing>
          <wp:inline distT="0" distB="0" distL="0" distR="0" wp14:anchorId="53D6DF6F" wp14:editId="1AF1BE5F">
            <wp:extent cx="2419638" cy="2800350"/>
            <wp:effectExtent l="0" t="0" r="0" b="0"/>
            <wp:docPr id="143913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3290" name=""/>
                    <pic:cNvPicPr/>
                  </pic:nvPicPr>
                  <pic:blipFill>
                    <a:blip r:embed="rId14"/>
                    <a:stretch>
                      <a:fillRect/>
                    </a:stretch>
                  </pic:blipFill>
                  <pic:spPr>
                    <a:xfrm>
                      <a:off x="0" y="0"/>
                      <a:ext cx="2438814" cy="2822544"/>
                    </a:xfrm>
                    <a:prstGeom prst="rect">
                      <a:avLst/>
                    </a:prstGeom>
                  </pic:spPr>
                </pic:pic>
              </a:graphicData>
            </a:graphic>
          </wp:inline>
        </w:drawing>
      </w:r>
    </w:p>
    <w:p w14:paraId="4F807063" w14:textId="77777777" w:rsidR="000F31A3" w:rsidRDefault="000F31A3" w:rsidP="000F31A3">
      <w:pPr>
        <w:spacing w:line="360" w:lineRule="auto"/>
        <w:ind w:right="-93"/>
        <w:jc w:val="center"/>
        <w:rPr>
          <w:rFonts w:ascii="Palatino Linotype" w:eastAsia="Calibri" w:hAnsi="Palatino Linotype" w:cs="Tahoma"/>
          <w:iCs/>
          <w:sz w:val="22"/>
          <w:szCs w:val="22"/>
          <w:lang w:eastAsia="es-ES_tradnl"/>
        </w:rPr>
      </w:pPr>
    </w:p>
    <w:p w14:paraId="24222D43" w14:textId="11A951A8" w:rsidR="00BA12EC" w:rsidRDefault="00BA12EC" w:rsidP="000F31A3">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lo anterior, en </w:t>
      </w:r>
      <w:r w:rsidR="000F31A3">
        <w:rPr>
          <w:rFonts w:ascii="Palatino Linotype" w:eastAsia="Calibri" w:hAnsi="Palatino Linotype" w:cs="Tahoma"/>
          <w:iCs/>
          <w:sz w:val="22"/>
          <w:szCs w:val="22"/>
          <w:lang w:eastAsia="es-ES_tradnl"/>
        </w:rPr>
        <w:t>I</w:t>
      </w:r>
      <w:r>
        <w:rPr>
          <w:rFonts w:ascii="Palatino Linotype" w:eastAsia="Calibri" w:hAnsi="Palatino Linotype" w:cs="Tahoma"/>
          <w:iCs/>
          <w:sz w:val="22"/>
          <w:szCs w:val="22"/>
          <w:lang w:eastAsia="es-ES_tradnl"/>
        </w:rPr>
        <w:t xml:space="preserve">nforme </w:t>
      </w:r>
      <w:r w:rsidR="000F31A3">
        <w:rPr>
          <w:rFonts w:ascii="Palatino Linotype" w:eastAsia="Calibri" w:hAnsi="Palatino Linotype" w:cs="Tahoma"/>
          <w:iCs/>
          <w:sz w:val="22"/>
          <w:szCs w:val="22"/>
          <w:lang w:eastAsia="es-ES_tradnl"/>
        </w:rPr>
        <w:t>J</w:t>
      </w:r>
      <w:r>
        <w:rPr>
          <w:rFonts w:ascii="Palatino Linotype" w:eastAsia="Calibri" w:hAnsi="Palatino Linotype" w:cs="Tahoma"/>
          <w:iCs/>
          <w:sz w:val="22"/>
          <w:szCs w:val="22"/>
          <w:lang w:eastAsia="es-ES_tradnl"/>
        </w:rPr>
        <w:t xml:space="preserve">ustificado hizo del conocimiento del Particular los requisitos parta ingresar al servicio público los cuales se encuentran establecidos en el artículo 47 de la Ley del Trabajo de los Servidores Públicos del Estado y Municipios, y especifico que </w:t>
      </w:r>
      <w:r w:rsidRPr="00A75079">
        <w:rPr>
          <w:rFonts w:ascii="Palatino Linotype" w:eastAsia="Calibri" w:hAnsi="Palatino Linotype" w:cs="Tahoma"/>
          <w:iCs/>
          <w:sz w:val="22"/>
          <w:szCs w:val="22"/>
          <w:lang w:eastAsia="es-ES_tradnl"/>
        </w:rPr>
        <w:t xml:space="preserve">a través de la dirección electrónica: </w:t>
      </w:r>
      <w:hyperlink r:id="rId15" w:history="1">
        <w:r w:rsidRPr="00440E0F">
          <w:rPr>
            <w:rStyle w:val="Hipervnculo"/>
            <w:rFonts w:ascii="Palatino Linotype" w:eastAsia="Calibri" w:hAnsi="Palatino Linotype" w:cs="Tahoma"/>
            <w:iCs/>
            <w:sz w:val="22"/>
            <w:szCs w:val="22"/>
            <w:lang w:eastAsia="es-ES_tradnl"/>
          </w:rPr>
          <w:t>https://empleo.edomex.gob.mx/cartera/login.php</w:t>
        </w:r>
      </w:hyperlink>
      <w:r w:rsidRPr="00A7507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Gobierno del Estado de México </w:t>
      </w:r>
      <w:r w:rsidRPr="00A75079">
        <w:rPr>
          <w:rFonts w:ascii="Palatino Linotype" w:eastAsia="Calibri" w:hAnsi="Palatino Linotype" w:cs="Tahoma"/>
          <w:iCs/>
          <w:sz w:val="22"/>
          <w:szCs w:val="22"/>
          <w:lang w:eastAsia="es-ES_tradnl"/>
        </w:rPr>
        <w:t xml:space="preserve">pone a disposición del público en general, un sitio web (cartera de empleo), a </w:t>
      </w:r>
      <w:r w:rsidRPr="00A75079">
        <w:rPr>
          <w:rFonts w:ascii="Palatino Linotype" w:eastAsia="Calibri" w:hAnsi="Palatino Linotype" w:cs="Tahoma"/>
          <w:iCs/>
          <w:sz w:val="22"/>
          <w:szCs w:val="22"/>
          <w:u w:val="single"/>
          <w:lang w:eastAsia="es-ES_tradnl"/>
        </w:rPr>
        <w:t>cargo de la Dirección General de Personal de la Oficialía Mayor del Gobierno del Estado de México</w:t>
      </w:r>
      <w:r w:rsidRPr="00A75079">
        <w:rPr>
          <w:rFonts w:ascii="Palatino Linotype" w:eastAsia="Calibri" w:hAnsi="Palatino Linotype" w:cs="Tahoma"/>
          <w:iCs/>
          <w:sz w:val="22"/>
          <w:szCs w:val="22"/>
          <w:lang w:eastAsia="es-ES_tradnl"/>
        </w:rPr>
        <w:t>, en donde puede generar su expediente electrónico, con la finalidad de que, conforme a las necesidades del servicio público, esté en oportunidad de participar en un proceso de selección e ingreso a fin a sus aptitudes y experiencia profesional; situación que se encuentra fundada y motivada</w:t>
      </w:r>
      <w:r w:rsidR="00B450DF">
        <w:rPr>
          <w:rFonts w:ascii="Palatino Linotype" w:eastAsia="Calibri" w:hAnsi="Palatino Linotype" w:cs="Tahoma"/>
          <w:iCs/>
          <w:sz w:val="22"/>
          <w:szCs w:val="22"/>
          <w:lang w:eastAsia="es-ES_tradnl"/>
        </w:rPr>
        <w:t xml:space="preserve"> en el artículo </w:t>
      </w:r>
      <w:r w:rsidRPr="00A75079">
        <w:rPr>
          <w:rFonts w:ascii="Palatino Linotype" w:eastAsia="Calibri" w:hAnsi="Palatino Linotype" w:cs="Tahoma"/>
          <w:iCs/>
          <w:sz w:val="22"/>
          <w:szCs w:val="22"/>
          <w:lang w:eastAsia="es-ES_tradnl"/>
        </w:rPr>
        <w:t>10, del Reglamento Interior de la Oficialía Mayor</w:t>
      </w:r>
      <w:r w:rsidR="00B450DF">
        <w:rPr>
          <w:rFonts w:ascii="Palatino Linotype" w:eastAsia="Calibri" w:hAnsi="Palatino Linotype" w:cs="Tahoma"/>
          <w:iCs/>
          <w:sz w:val="22"/>
          <w:szCs w:val="22"/>
          <w:lang w:eastAsia="es-ES_tradnl"/>
        </w:rPr>
        <w:t>, como se muestra a continuación:</w:t>
      </w:r>
    </w:p>
    <w:p w14:paraId="1D868424" w14:textId="77777777" w:rsidR="00B450DF" w:rsidRPr="00B450DF" w:rsidRDefault="00B450DF" w:rsidP="000F31A3">
      <w:pPr>
        <w:spacing w:line="360" w:lineRule="auto"/>
        <w:ind w:right="-93"/>
        <w:jc w:val="both"/>
        <w:rPr>
          <w:rFonts w:ascii="Palatino Linotype" w:eastAsia="Calibri" w:hAnsi="Palatino Linotype" w:cs="Tahoma"/>
          <w:b/>
          <w:bCs/>
          <w:i/>
          <w:iCs/>
          <w:sz w:val="22"/>
          <w:szCs w:val="22"/>
          <w:lang w:val="es-ES" w:eastAsia="es-ES_tradnl"/>
        </w:rPr>
      </w:pPr>
    </w:p>
    <w:p w14:paraId="4C881DF0" w14:textId="7777777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sidRPr="00B450DF">
        <w:rPr>
          <w:rFonts w:ascii="Palatino Linotype" w:eastAsia="Calibri" w:hAnsi="Palatino Linotype" w:cs="Tahoma"/>
          <w:b/>
          <w:bCs/>
          <w:i/>
          <w:iCs/>
          <w:lang w:val="es-ES" w:eastAsia="es-ES_tradnl"/>
        </w:rPr>
        <w:t>Artículo 10.</w:t>
      </w:r>
      <w:r w:rsidRPr="00B450DF">
        <w:rPr>
          <w:rFonts w:ascii="Palatino Linotype" w:eastAsia="Calibri" w:hAnsi="Palatino Linotype" w:cs="Tahoma"/>
          <w:i/>
          <w:iCs/>
          <w:lang w:val="es-ES" w:eastAsia="es-ES_tradnl"/>
        </w:rPr>
        <w:t xml:space="preserve"> Corresponden a la Dirección General de Personal las atribuciones siguientes: </w:t>
      </w:r>
    </w:p>
    <w:p w14:paraId="1CF15742" w14:textId="7777777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p>
    <w:p w14:paraId="71AD34FF" w14:textId="7777777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sidRPr="00B450DF">
        <w:rPr>
          <w:rFonts w:ascii="Palatino Linotype" w:eastAsia="Calibri" w:hAnsi="Palatino Linotype" w:cs="Tahoma"/>
          <w:i/>
          <w:iCs/>
          <w:lang w:val="es-ES" w:eastAsia="es-ES_tradnl"/>
        </w:rPr>
        <w:lastRenderedPageBreak/>
        <w:t xml:space="preserve">I. Proponer a la autorización de la persona titular de la Oficialía Mayor, desarrollar y coordinar la operación y el control del Sistema Integral de Movimientos al Personal, así como las tecnologías de la información y comunicación que se requieran para el correcto desarrollo de sus funciones; </w:t>
      </w:r>
    </w:p>
    <w:p w14:paraId="1CD7196B" w14:textId="7777777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sidRPr="00B450DF">
        <w:rPr>
          <w:rFonts w:ascii="Palatino Linotype" w:eastAsia="Calibri" w:hAnsi="Palatino Linotype" w:cs="Tahoma"/>
          <w:i/>
          <w:iCs/>
          <w:lang w:val="es-ES" w:eastAsia="es-ES_tradnl"/>
        </w:rPr>
        <w:t xml:space="preserve">II. Aplicar las disposiciones legales y normativas </w:t>
      </w:r>
      <w:r w:rsidRPr="00B450DF">
        <w:rPr>
          <w:rFonts w:ascii="Palatino Linotype" w:eastAsia="Calibri" w:hAnsi="Palatino Linotype" w:cs="Tahoma"/>
          <w:b/>
          <w:bCs/>
          <w:i/>
          <w:iCs/>
          <w:u w:val="single"/>
          <w:lang w:val="es-ES" w:eastAsia="es-ES_tradnl"/>
        </w:rPr>
        <w:t>en materia de desarrollo y administración de personal</w:t>
      </w:r>
      <w:r w:rsidRPr="00B450DF">
        <w:rPr>
          <w:rFonts w:ascii="Palatino Linotype" w:eastAsia="Calibri" w:hAnsi="Palatino Linotype" w:cs="Tahoma"/>
          <w:i/>
          <w:iCs/>
          <w:lang w:val="es-ES" w:eastAsia="es-ES_tradnl"/>
        </w:rPr>
        <w:t xml:space="preserve"> para las personas servidoras públicas </w:t>
      </w:r>
      <w:r w:rsidRPr="00B450DF">
        <w:rPr>
          <w:rFonts w:ascii="Palatino Linotype" w:eastAsia="Calibri" w:hAnsi="Palatino Linotype" w:cs="Tahoma"/>
          <w:b/>
          <w:bCs/>
          <w:i/>
          <w:iCs/>
          <w:u w:val="single"/>
          <w:lang w:val="es-ES" w:eastAsia="es-ES_tradnl"/>
        </w:rPr>
        <w:t>del sector central del Poder Ejecutivo</w:t>
      </w:r>
      <w:r w:rsidRPr="00B450DF">
        <w:rPr>
          <w:rFonts w:ascii="Palatino Linotype" w:eastAsia="Calibri" w:hAnsi="Palatino Linotype" w:cs="Tahoma"/>
          <w:i/>
          <w:iCs/>
          <w:lang w:val="es-ES" w:eastAsia="es-ES_tradnl"/>
        </w:rPr>
        <w:t xml:space="preserve">; </w:t>
      </w:r>
    </w:p>
    <w:p w14:paraId="02F6DE3D" w14:textId="6E5530A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III a VII</w:t>
      </w:r>
      <w:r w:rsidRPr="00B450DF">
        <w:rPr>
          <w:rFonts w:ascii="Palatino Linotype" w:eastAsia="Calibri" w:hAnsi="Palatino Linotype" w:cs="Tahoma"/>
          <w:i/>
          <w:iCs/>
          <w:lang w:val="es-ES" w:eastAsia="es-ES_tradnl"/>
        </w:rPr>
        <w:t>(…)</w:t>
      </w:r>
    </w:p>
    <w:p w14:paraId="53B87EC2" w14:textId="77777777"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sidRPr="00B450DF">
        <w:rPr>
          <w:rFonts w:ascii="Palatino Linotype" w:eastAsia="Calibri" w:hAnsi="Palatino Linotype" w:cs="Tahoma"/>
          <w:b/>
          <w:bCs/>
          <w:i/>
          <w:iCs/>
          <w:lang w:val="es-ES" w:eastAsia="es-ES_tradnl"/>
        </w:rPr>
        <w:t>VIII.</w:t>
      </w:r>
      <w:r w:rsidRPr="00B450DF">
        <w:rPr>
          <w:rFonts w:ascii="Palatino Linotype" w:eastAsia="Calibri" w:hAnsi="Palatino Linotype" w:cs="Tahoma"/>
          <w:i/>
          <w:iCs/>
          <w:lang w:val="es-ES" w:eastAsia="es-ES_tradnl"/>
        </w:rPr>
        <w:t xml:space="preserve"> </w:t>
      </w:r>
      <w:r w:rsidRPr="00B450DF">
        <w:rPr>
          <w:rFonts w:ascii="Palatino Linotype" w:eastAsia="Calibri" w:hAnsi="Palatino Linotype" w:cs="Tahoma"/>
          <w:b/>
          <w:bCs/>
          <w:i/>
          <w:iCs/>
          <w:u w:val="single"/>
          <w:lang w:val="es-ES" w:eastAsia="es-ES_tradnl"/>
        </w:rPr>
        <w:t>Ejecutar las acciones relativas al registro de personas aspirantes en el sistema de cartera de empleo, al reclutamiento y selección de personal, a la inducción del personal de nuevo ingreso y al procedimiento de concurso escalafonario de las personas servidoras públicas generales del sector central del Poder Ejecutivo del Estado, con base en las disposiciones jurídicas aplicables</w:t>
      </w:r>
      <w:r w:rsidRPr="00B450DF">
        <w:rPr>
          <w:rFonts w:ascii="Palatino Linotype" w:eastAsia="Calibri" w:hAnsi="Palatino Linotype" w:cs="Tahoma"/>
          <w:i/>
          <w:iCs/>
          <w:lang w:val="es-ES" w:eastAsia="es-ES_tradnl"/>
        </w:rPr>
        <w:t>;</w:t>
      </w:r>
    </w:p>
    <w:p w14:paraId="1A986EB3" w14:textId="50F196CD" w:rsidR="00B450DF" w:rsidRDefault="00B450DF" w:rsidP="000F31A3">
      <w:pPr>
        <w:spacing w:line="360" w:lineRule="auto"/>
        <w:ind w:left="567" w:right="539"/>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IX a XVIII…</w:t>
      </w:r>
    </w:p>
    <w:p w14:paraId="504C2479" w14:textId="40C682E5" w:rsidR="00B450DF" w:rsidRPr="00B450DF" w:rsidRDefault="00B450DF" w:rsidP="000F31A3">
      <w:pPr>
        <w:spacing w:line="360" w:lineRule="auto"/>
        <w:ind w:left="567" w:right="539"/>
        <w:jc w:val="both"/>
        <w:rPr>
          <w:rFonts w:ascii="Palatino Linotype" w:eastAsia="Calibri" w:hAnsi="Palatino Linotype" w:cs="Tahoma"/>
          <w:i/>
          <w:iCs/>
          <w:lang w:val="es-ES" w:eastAsia="es-ES_tradnl"/>
        </w:rPr>
      </w:pPr>
      <w:r w:rsidRPr="00B450DF">
        <w:rPr>
          <w:rFonts w:ascii="Palatino Linotype" w:eastAsia="Calibri" w:hAnsi="Palatino Linotype" w:cs="Tahoma"/>
          <w:b/>
          <w:bCs/>
          <w:i/>
          <w:iCs/>
          <w:lang w:val="es-ES" w:eastAsia="es-ES_tradnl"/>
        </w:rPr>
        <w:t>XIX.</w:t>
      </w:r>
      <w:r w:rsidRPr="00B450DF">
        <w:rPr>
          <w:rFonts w:ascii="Palatino Linotype" w:eastAsia="Calibri" w:hAnsi="Palatino Linotype" w:cs="Tahoma"/>
          <w:i/>
          <w:iCs/>
          <w:lang w:val="es-ES" w:eastAsia="es-ES_tradnl"/>
        </w:rPr>
        <w:t xml:space="preserve"> </w:t>
      </w:r>
      <w:r w:rsidRPr="00B450DF">
        <w:rPr>
          <w:rFonts w:ascii="Palatino Linotype" w:eastAsia="Calibri" w:hAnsi="Palatino Linotype" w:cs="Tahoma"/>
          <w:b/>
          <w:bCs/>
          <w:i/>
          <w:iCs/>
          <w:u w:val="single"/>
          <w:lang w:val="es-ES" w:eastAsia="es-ES_tradnl"/>
        </w:rPr>
        <w:t>Formular y aplicar normas, políticas y procedimientos relativos a la generación de la cartera de empleo, al reclutamiento y a la selección de personal, a la inducción del personal de nuevo ingreso, al procedimiento de concurso escalafonario, así como a la evaluación del desempeño y a la medición del clima y cultura laboral de las personas servidoras públicas de las dependencias del Poder Ejecutivo del Estado y someterlas a la consideración de la persona Titular de la Oficialía Mayor</w:t>
      </w:r>
      <w:r w:rsidRPr="00B450DF">
        <w:rPr>
          <w:rFonts w:ascii="Palatino Linotype" w:eastAsia="Calibri" w:hAnsi="Palatino Linotype" w:cs="Tahoma"/>
          <w:i/>
          <w:iCs/>
          <w:lang w:val="es-ES" w:eastAsia="es-ES_tradnl"/>
        </w:rPr>
        <w:t>;</w:t>
      </w:r>
    </w:p>
    <w:p w14:paraId="14201BDD" w14:textId="77777777" w:rsidR="00B450DF" w:rsidRPr="00B450DF" w:rsidRDefault="00B450DF" w:rsidP="000F31A3">
      <w:pPr>
        <w:spacing w:line="360" w:lineRule="auto"/>
        <w:ind w:right="-93"/>
        <w:jc w:val="both"/>
        <w:rPr>
          <w:rFonts w:ascii="Palatino Linotype" w:eastAsia="Calibri" w:hAnsi="Palatino Linotype" w:cs="Tahoma"/>
          <w:iCs/>
          <w:sz w:val="22"/>
          <w:szCs w:val="22"/>
          <w:lang w:val="es-ES" w:eastAsia="es-ES_tradnl"/>
        </w:rPr>
      </w:pPr>
    </w:p>
    <w:p w14:paraId="77FF6938" w14:textId="4A9775E4" w:rsidR="00BA12EC" w:rsidRPr="00531BB8" w:rsidRDefault="00B450DF" w:rsidP="000F31A3">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concordancia con lo anterior, la Secretaría de Seguridad mediante informe justificado </w:t>
      </w:r>
      <w:r w:rsidR="00BA12EC">
        <w:rPr>
          <w:rFonts w:ascii="Palatino Linotype" w:eastAsia="Calibri" w:hAnsi="Palatino Linotype" w:cs="Tahoma"/>
          <w:iCs/>
          <w:sz w:val="22"/>
          <w:szCs w:val="22"/>
          <w:lang w:eastAsia="es-ES_tradnl"/>
        </w:rPr>
        <w:t xml:space="preserve">reitero que </w:t>
      </w:r>
      <w:r w:rsidR="00BA12EC" w:rsidRPr="00BA12EC">
        <w:rPr>
          <w:rFonts w:ascii="Palatino Linotype" w:eastAsia="Calibri" w:hAnsi="Palatino Linotype" w:cs="Tahoma"/>
          <w:iCs/>
          <w:sz w:val="22"/>
          <w:szCs w:val="22"/>
          <w:lang w:eastAsia="es-ES_tradnl"/>
        </w:rPr>
        <w:t xml:space="preserve">no se han realizado solicitudes a la Oficialía Mayor, a fin de generar un proceso de reclutamiento y selección de personal para las diversas áreas que conforman la estructura orgánica de </w:t>
      </w:r>
      <w:r>
        <w:rPr>
          <w:rFonts w:ascii="Palatino Linotype" w:eastAsia="Calibri" w:hAnsi="Palatino Linotype" w:cs="Tahoma"/>
          <w:iCs/>
          <w:sz w:val="22"/>
          <w:szCs w:val="22"/>
          <w:lang w:eastAsia="es-ES_tradnl"/>
        </w:rPr>
        <w:t>es</w:t>
      </w:r>
      <w:r w:rsidR="00BA12EC" w:rsidRPr="00BA12EC">
        <w:rPr>
          <w:rFonts w:ascii="Palatino Linotype" w:eastAsia="Calibri" w:hAnsi="Palatino Linotype" w:cs="Tahoma"/>
          <w:iCs/>
          <w:sz w:val="22"/>
          <w:szCs w:val="22"/>
          <w:lang w:eastAsia="es-ES_tradnl"/>
        </w:rPr>
        <w:t>e Sujeto Obligado,</w:t>
      </w:r>
      <w:r w:rsidR="00BA12EC">
        <w:rPr>
          <w:rFonts w:ascii="Palatino Linotype" w:eastAsia="Calibri" w:hAnsi="Palatino Linotype" w:cs="Tahoma"/>
          <w:iCs/>
          <w:sz w:val="22"/>
          <w:szCs w:val="22"/>
          <w:lang w:eastAsia="es-ES_tradnl"/>
        </w:rPr>
        <w:t xml:space="preserve"> es decir no cuenta con la información interés del Particular relacionada con convocatorias de ingreso</w:t>
      </w:r>
      <w:r>
        <w:rPr>
          <w:rFonts w:ascii="Palatino Linotype" w:eastAsia="Calibri" w:hAnsi="Palatino Linotype" w:cs="Tahoma"/>
          <w:iCs/>
          <w:sz w:val="22"/>
          <w:szCs w:val="22"/>
          <w:lang w:eastAsia="es-ES_tradnl"/>
        </w:rPr>
        <w:t>, situación que informo desde respuesta</w:t>
      </w:r>
      <w:r w:rsidR="00E424FA">
        <w:rPr>
          <w:rFonts w:ascii="Palatino Linotype" w:eastAsia="Calibri" w:hAnsi="Palatino Linotype" w:cs="Tahoma"/>
          <w:iCs/>
          <w:sz w:val="22"/>
          <w:szCs w:val="22"/>
          <w:lang w:eastAsia="es-ES_tradnl"/>
        </w:rPr>
        <w:t>, lo cual da como resultado que la información sea inexistente.</w:t>
      </w:r>
    </w:p>
    <w:p w14:paraId="1C747877" w14:textId="77777777" w:rsidR="00BA12EC" w:rsidRDefault="00BA12EC" w:rsidP="000F31A3">
      <w:pPr>
        <w:spacing w:line="360" w:lineRule="auto"/>
        <w:ind w:right="-93"/>
        <w:jc w:val="both"/>
        <w:rPr>
          <w:rFonts w:ascii="Palatino Linotype" w:hAnsi="Palatino Linotype" w:cs="Tahoma"/>
          <w:sz w:val="22"/>
          <w:szCs w:val="22"/>
        </w:rPr>
      </w:pPr>
    </w:p>
    <w:p w14:paraId="1BCE1EB6" w14:textId="434D99A3" w:rsidR="00E424FA" w:rsidRPr="00E424FA" w:rsidRDefault="00E424FA" w:rsidP="00E424FA">
      <w:pPr>
        <w:spacing w:line="360" w:lineRule="auto"/>
        <w:ind w:right="49"/>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S</w:t>
      </w:r>
      <w:r w:rsidRPr="00E424FA">
        <w:rPr>
          <w:rFonts w:ascii="Palatino Linotype" w:eastAsia="Palatino Linotype" w:hAnsi="Palatino Linotype" w:cs="Palatino Linotype"/>
          <w:color w:val="000000"/>
          <w:sz w:val="22"/>
          <w:szCs w:val="22"/>
          <w:lang w:eastAsia="es-MX"/>
        </w:rPr>
        <w:t xml:space="preserve">obre el tema, el Criterio SO/014/2017, emitido por el Instituto Nacional de Transparencia, Acceso a la Información Pública y Protección de Datos Personales en el Estado de México y </w:t>
      </w:r>
      <w:r w:rsidRPr="00E424FA">
        <w:rPr>
          <w:rFonts w:ascii="Palatino Linotype" w:eastAsia="Palatino Linotype" w:hAnsi="Palatino Linotype" w:cs="Palatino Linotype"/>
          <w:color w:val="000000"/>
          <w:sz w:val="22"/>
          <w:szCs w:val="22"/>
          <w:lang w:eastAsia="es-MX"/>
        </w:rPr>
        <w:lastRenderedPageBreak/>
        <w:t>Municipios, el cual establece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D7CE044"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p>
    <w:p w14:paraId="4AB47ABA"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r w:rsidRPr="00E424FA">
        <w:rPr>
          <w:rFonts w:ascii="Palatino Linotype" w:eastAsia="Palatino Linotype" w:hAnsi="Palatino Linotype" w:cs="Palatino Linotype"/>
          <w:color w:val="000000"/>
          <w:sz w:val="22"/>
          <w:szCs w:val="22"/>
          <w:lang w:eastAsia="es-MX"/>
        </w:rPr>
        <w:t xml:space="preserve">Así, es posible concluir que la </w:t>
      </w:r>
      <w:r w:rsidRPr="00E424FA">
        <w:rPr>
          <w:rFonts w:ascii="Palatino Linotype" w:eastAsia="Palatino Linotype" w:hAnsi="Palatino Linotype" w:cs="Palatino Linotype"/>
          <w:b/>
          <w:color w:val="000000"/>
          <w:sz w:val="22"/>
          <w:szCs w:val="22"/>
          <w:lang w:eastAsia="es-MX"/>
        </w:rPr>
        <w:t>inexistencia</w:t>
      </w:r>
      <w:r w:rsidRPr="00E424FA">
        <w:rPr>
          <w:rFonts w:ascii="Palatino Linotype" w:eastAsia="Palatino Linotype" w:hAnsi="Palatino Linotype" w:cs="Palatino Linotype"/>
          <w:color w:val="000000"/>
          <w:sz w:val="22"/>
          <w:szCs w:val="22"/>
          <w:lang w:eastAsia="es-MX"/>
        </w:rPr>
        <w:t xml:space="preserve"> presupone la competencia del sujeto obligado para conocer de la información, pero por alguna circunstancia, la documentación solicitada no obra en sus archivos. Para tal situación, no basta con que los sujetos obligados señalen dicha circunstancia, sino que también debe de señalar las razones por las cuales no cuentan con lo peticionado, es decir, las circunstancias que dan lugar a la inexistencia.</w:t>
      </w:r>
    </w:p>
    <w:p w14:paraId="08D50C3D"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p>
    <w:p w14:paraId="70432B64" w14:textId="0032A821" w:rsidR="00E424FA" w:rsidRPr="00E424FA" w:rsidRDefault="00E424FA" w:rsidP="00E424FA">
      <w:pPr>
        <w:spacing w:line="360" w:lineRule="auto"/>
        <w:jc w:val="both"/>
        <w:rPr>
          <w:rFonts w:ascii="Palatino Linotype" w:eastAsia="Calibri" w:hAnsi="Palatino Linotype" w:cs="Tahoma"/>
          <w:color w:val="FF0000"/>
          <w:sz w:val="22"/>
          <w:szCs w:val="22"/>
          <w:lang w:eastAsia="en-US"/>
        </w:rPr>
      </w:pPr>
      <w:r w:rsidRPr="00E424FA">
        <w:rPr>
          <w:rFonts w:ascii="Palatino Linotype" w:eastAsia="Palatino Linotype" w:hAnsi="Palatino Linotype" w:cs="Palatino Linotype"/>
          <w:color w:val="000000"/>
          <w:sz w:val="22"/>
          <w:szCs w:val="22"/>
          <w:lang w:eastAsia="es-MX"/>
        </w:rPr>
        <w:t xml:space="preserve">En ese contexto, el Sujeto Obligado señaló los motivos por los cuales no contaba con la peticionado, a saber, </w:t>
      </w:r>
      <w:r>
        <w:rPr>
          <w:rFonts w:ascii="Palatino Linotype" w:eastAsia="Palatino Linotype" w:hAnsi="Palatino Linotype" w:cs="Palatino Linotype"/>
          <w:color w:val="000000"/>
          <w:sz w:val="22"/>
          <w:szCs w:val="22"/>
          <w:lang w:eastAsia="es-MX"/>
        </w:rPr>
        <w:t>que no existían otras vacantes a las señaladas en respuesta</w:t>
      </w:r>
      <w:r w:rsidRPr="00E424FA">
        <w:rPr>
          <w:rFonts w:ascii="Palatino Linotype" w:eastAsia="Calibri" w:hAnsi="Palatino Linotype" w:cs="Tahoma"/>
          <w:iCs/>
          <w:sz w:val="22"/>
          <w:szCs w:val="24"/>
          <w:lang w:eastAsia="es-ES_tradnl"/>
        </w:rPr>
        <w:t>, motivo por el cual se logra colegir que la información solicitada por el ahora Recurrente es inexistente, pues el Sujeto Obligado, realizó una búsqueda exhaustiva y razonable en los archivos de la unidad administrativa competente</w:t>
      </w:r>
      <w:r w:rsidRPr="00E424FA">
        <w:rPr>
          <w:rFonts w:ascii="Palatino Linotype" w:eastAsia="Calibri" w:hAnsi="Palatino Linotype" w:cs="Tahoma"/>
          <w:color w:val="000000" w:themeColor="text1"/>
          <w:sz w:val="22"/>
          <w:szCs w:val="22"/>
          <w:lang w:eastAsia="en-US"/>
        </w:rPr>
        <w:t>;</w:t>
      </w:r>
      <w:r w:rsidRPr="00E424FA">
        <w:rPr>
          <w:rFonts w:ascii="Palatino Linotype" w:eastAsia="Palatino Linotype" w:hAnsi="Palatino Linotype" w:cs="Palatino Linotype"/>
          <w:color w:val="000000" w:themeColor="text1"/>
          <w:sz w:val="22"/>
          <w:szCs w:val="22"/>
          <w:lang w:eastAsia="es-MX"/>
        </w:rPr>
        <w:t xml:space="preserve"> </w:t>
      </w:r>
      <w:r w:rsidRPr="00E424FA">
        <w:rPr>
          <w:rFonts w:ascii="Palatino Linotype" w:eastAsia="Palatino Linotype" w:hAnsi="Palatino Linotype" w:cs="Palatino Linotype"/>
          <w:color w:val="000000"/>
          <w:sz w:val="22"/>
          <w:szCs w:val="22"/>
          <w:lang w:eastAsia="es-MX"/>
        </w:rPr>
        <w:t>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BE4941C"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p>
    <w:p w14:paraId="6B12EEE1"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r w:rsidRPr="00E424FA">
        <w:rPr>
          <w:rFonts w:ascii="Palatino Linotype" w:eastAsia="Palatino Linotype" w:hAnsi="Palatino Linotype" w:cs="Palatino Linotype"/>
          <w:color w:val="000000"/>
          <w:sz w:val="22"/>
          <w:szCs w:val="22"/>
          <w:lang w:eastAsia="es-MX"/>
        </w:rPr>
        <w:t xml:space="preserve">De la misma manera, el Criterio de interpretación con clave de registro SO/007/2017, de la Segunda Época, emitido por el Instituto Nacional de Transparencia, Acceso a la Información y Protección de Datos Personales, establece que no será necesario que el Comité de </w:t>
      </w:r>
      <w:r w:rsidRPr="00E424FA">
        <w:rPr>
          <w:rFonts w:ascii="Palatino Linotype" w:eastAsia="Palatino Linotype" w:hAnsi="Palatino Linotype" w:cs="Palatino Linotype"/>
          <w:color w:val="000000"/>
          <w:sz w:val="22"/>
          <w:szCs w:val="22"/>
          <w:lang w:eastAsia="es-MX"/>
        </w:rPr>
        <w:lastRenderedPageBreak/>
        <w:t>Transparencia declare formalmente la inexistencia, cuando del análisis a la normatividad aplicables no se desprenda obligación alguna de contar con la información solicitada, ni se advierta algún otro elemento de convicción que apunto a su existencia.</w:t>
      </w:r>
    </w:p>
    <w:p w14:paraId="50631F7B"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p>
    <w:p w14:paraId="05BB8156" w14:textId="5F60D20B"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r w:rsidRPr="00E424FA">
        <w:rPr>
          <w:rFonts w:ascii="Palatino Linotype" w:eastAsia="Palatino Linotype" w:hAnsi="Palatino Linotype" w:cs="Palatino Linotype"/>
          <w:color w:val="000000"/>
          <w:sz w:val="22"/>
          <w:szCs w:val="22"/>
          <w:lang w:eastAsia="es-MX"/>
        </w:rPr>
        <w:t xml:space="preserve">Al respecto, dicho criterio aplica al caso en concreto, ya que, no se localizó algún indicio de </w:t>
      </w:r>
      <w:r>
        <w:rPr>
          <w:rFonts w:ascii="Palatino Linotype" w:eastAsia="Palatino Linotype" w:hAnsi="Palatino Linotype" w:cs="Palatino Linotype"/>
          <w:color w:val="000000"/>
          <w:sz w:val="22"/>
          <w:szCs w:val="22"/>
          <w:lang w:eastAsia="es-MX"/>
        </w:rPr>
        <w:t>que el Sujeto Obligado tuviera otras vacantes a las señaladas en respuesta</w:t>
      </w:r>
      <w:r w:rsidRPr="00E424FA">
        <w:rPr>
          <w:rFonts w:ascii="Palatino Linotype" w:eastAsia="Palatino Linotype" w:hAnsi="Palatino Linotype" w:cs="Palatino Linotype"/>
          <w:color w:val="000000"/>
          <w:sz w:val="22"/>
          <w:szCs w:val="22"/>
          <w:lang w:eastAsia="es-MX"/>
        </w:rPr>
        <w:t xml:space="preserve">, por lo cual, se considera que el Sujeto Obligado desde respuesta, señaló las razones por las cuales no contaba con lo requerido y cumplió con el segundo párrafo, del artículo 19 de la Ley de Transparencia y Acceso a la Información Pública del Estado de México y Municipios. </w:t>
      </w:r>
    </w:p>
    <w:p w14:paraId="055D76F2"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p>
    <w:p w14:paraId="6DA8C5F4" w14:textId="77777777" w:rsidR="00E424FA" w:rsidRPr="00E424FA" w:rsidRDefault="00E424FA" w:rsidP="00E424FA">
      <w:pPr>
        <w:spacing w:line="360" w:lineRule="auto"/>
        <w:jc w:val="both"/>
        <w:rPr>
          <w:rFonts w:ascii="Palatino Linotype" w:eastAsia="Palatino Linotype" w:hAnsi="Palatino Linotype" w:cs="Palatino Linotype"/>
          <w:color w:val="000000"/>
          <w:sz w:val="22"/>
          <w:szCs w:val="22"/>
          <w:lang w:eastAsia="es-MX"/>
        </w:rPr>
      </w:pPr>
      <w:r w:rsidRPr="00E424FA">
        <w:rPr>
          <w:rFonts w:ascii="Palatino Linotype" w:eastAsia="Palatino Linotype" w:hAnsi="Palatino Linotype" w:cs="Palatino Linotype"/>
          <w:color w:val="000000"/>
          <w:sz w:val="22"/>
          <w:szCs w:val="22"/>
          <w:lang w:eastAsia="es-MX"/>
        </w:rPr>
        <w:t xml:space="preserve">De tales circunstancias, se concluye que al no existir fuente obligacional del Sujeto Obligado para contar con la información requerida el agravio resulta </w:t>
      </w:r>
      <w:r w:rsidRPr="00E424FA">
        <w:rPr>
          <w:rFonts w:ascii="Palatino Linotype" w:eastAsia="Palatino Linotype" w:hAnsi="Palatino Linotype" w:cs="Palatino Linotype"/>
          <w:b/>
          <w:color w:val="000000"/>
          <w:sz w:val="22"/>
          <w:szCs w:val="22"/>
          <w:lang w:eastAsia="es-MX"/>
        </w:rPr>
        <w:t>INFUNDADO,</w:t>
      </w:r>
      <w:r w:rsidRPr="00E424FA">
        <w:rPr>
          <w:rFonts w:ascii="Palatino Linotype" w:eastAsia="Palatino Linotype" w:hAnsi="Palatino Linotype" w:cs="Palatino Linotype"/>
          <w:color w:val="000000"/>
          <w:sz w:val="22"/>
          <w:szCs w:val="22"/>
          <w:lang w:eastAsia="es-MX"/>
        </w:rPr>
        <w:t xml:space="preserve"> pues desde respuesta el Sujeto Obligado señaló las razones por las cuales no contaba con lo peticionado.</w:t>
      </w:r>
    </w:p>
    <w:p w14:paraId="7BCE2FA6" w14:textId="77777777" w:rsidR="00D02A77" w:rsidRPr="00DD39D4" w:rsidRDefault="00D02A77" w:rsidP="000F31A3">
      <w:pPr>
        <w:pStyle w:val="Ttulo2"/>
        <w:spacing w:before="0" w:line="360" w:lineRule="auto"/>
        <w:rPr>
          <w:rFonts w:ascii="Palatino Linotype" w:hAnsi="Palatino Linotype"/>
          <w:b/>
          <w:color w:val="auto"/>
          <w:sz w:val="22"/>
        </w:rPr>
      </w:pPr>
      <w:bookmarkStart w:id="23" w:name="_Toc207885542"/>
      <w:bookmarkStart w:id="24" w:name="_Toc210751373"/>
      <w:bookmarkStart w:id="25" w:name="_Toc212733596"/>
      <w:bookmarkStart w:id="26" w:name="_Hlk191464919"/>
      <w:r w:rsidRPr="00DD39D4">
        <w:rPr>
          <w:rFonts w:ascii="Palatino Linotype" w:hAnsi="Palatino Linotype"/>
          <w:b/>
          <w:color w:val="auto"/>
          <w:sz w:val="22"/>
        </w:rPr>
        <w:t>SEXTO. Decisión</w:t>
      </w:r>
      <w:bookmarkEnd w:id="23"/>
      <w:bookmarkEnd w:id="24"/>
      <w:bookmarkEnd w:id="25"/>
      <w:r w:rsidRPr="00DD39D4">
        <w:rPr>
          <w:rFonts w:ascii="Palatino Linotype" w:hAnsi="Palatino Linotype"/>
          <w:b/>
          <w:color w:val="auto"/>
          <w:sz w:val="22"/>
        </w:rPr>
        <w:t xml:space="preserve"> </w:t>
      </w:r>
    </w:p>
    <w:p w14:paraId="3006DF81" w14:textId="77777777" w:rsidR="00D02A77" w:rsidRPr="00DD39D4" w:rsidRDefault="00D02A77" w:rsidP="000F31A3">
      <w:pPr>
        <w:tabs>
          <w:tab w:val="left" w:pos="4962"/>
        </w:tabs>
        <w:spacing w:line="360" w:lineRule="auto"/>
        <w:contextualSpacing/>
        <w:jc w:val="both"/>
        <w:rPr>
          <w:rFonts w:ascii="Palatino Linotype" w:hAnsi="Palatino Linotype" w:cs="Tahoma"/>
          <w:b/>
          <w:sz w:val="22"/>
          <w:szCs w:val="22"/>
          <w:lang w:val="es-ES"/>
        </w:rPr>
      </w:pPr>
    </w:p>
    <w:p w14:paraId="12B9166E" w14:textId="77777777" w:rsidR="00D02A77" w:rsidRPr="00DD39D4" w:rsidRDefault="00D02A77" w:rsidP="000F31A3">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619E4723" w14:textId="77777777" w:rsidR="00D02A77" w:rsidRPr="00DD39D4" w:rsidRDefault="00D02A77" w:rsidP="000F31A3">
      <w:pPr>
        <w:tabs>
          <w:tab w:val="left" w:pos="4962"/>
        </w:tabs>
        <w:spacing w:line="360" w:lineRule="auto"/>
        <w:contextualSpacing/>
        <w:jc w:val="both"/>
        <w:rPr>
          <w:rFonts w:ascii="Palatino Linotype" w:hAnsi="Palatino Linotype" w:cs="Tahoma"/>
          <w:sz w:val="22"/>
          <w:szCs w:val="22"/>
        </w:rPr>
      </w:pPr>
    </w:p>
    <w:p w14:paraId="101BE701" w14:textId="77777777" w:rsidR="00D02A77" w:rsidRPr="000C6785" w:rsidRDefault="00D02A77" w:rsidP="000F31A3">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1979CA50" w14:textId="77777777" w:rsidR="00D02A77" w:rsidRPr="00DD39D4" w:rsidRDefault="00D02A77" w:rsidP="000F31A3">
      <w:pPr>
        <w:tabs>
          <w:tab w:val="left" w:pos="4962"/>
        </w:tabs>
        <w:spacing w:line="360" w:lineRule="auto"/>
        <w:contextualSpacing/>
        <w:jc w:val="both"/>
        <w:rPr>
          <w:rFonts w:ascii="Palatino Linotype" w:hAnsi="Palatino Linotype" w:cs="Tahoma"/>
          <w:b/>
          <w:bCs/>
          <w:iCs/>
          <w:sz w:val="22"/>
          <w:szCs w:val="22"/>
          <w:u w:val="single"/>
          <w:lang w:val="es-ES"/>
        </w:rPr>
      </w:pPr>
    </w:p>
    <w:p w14:paraId="70531455" w14:textId="77777777" w:rsidR="00D02A77" w:rsidRDefault="00D02A77" w:rsidP="000F31A3">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jeto Obligado, le señaló que no contaba con la información que es de su interés.</w:t>
      </w:r>
    </w:p>
    <w:p w14:paraId="3E4006B4" w14:textId="77777777" w:rsidR="00D02A77" w:rsidRDefault="00D02A77" w:rsidP="000F31A3">
      <w:pPr>
        <w:tabs>
          <w:tab w:val="left" w:pos="4962"/>
        </w:tabs>
        <w:spacing w:line="360" w:lineRule="auto"/>
        <w:contextualSpacing/>
        <w:jc w:val="both"/>
        <w:rPr>
          <w:rFonts w:ascii="Palatino Linotype" w:hAnsi="Palatino Linotype" w:cs="Tahoma"/>
          <w:iCs/>
          <w:sz w:val="22"/>
          <w:szCs w:val="22"/>
        </w:rPr>
      </w:pPr>
    </w:p>
    <w:p w14:paraId="394DEAC0" w14:textId="77777777" w:rsidR="00D02A77" w:rsidRDefault="00D02A77" w:rsidP="000F31A3">
      <w:pPr>
        <w:tabs>
          <w:tab w:val="left" w:pos="4962"/>
        </w:tabs>
        <w:spacing w:line="360" w:lineRule="auto"/>
        <w:contextualSpacing/>
        <w:jc w:val="both"/>
        <w:rPr>
          <w:rFonts w:ascii="Palatino Linotype" w:hAnsi="Palatino Linotype" w:cs="Tahoma"/>
          <w:iCs/>
          <w:sz w:val="22"/>
          <w:szCs w:val="22"/>
        </w:rPr>
      </w:pPr>
      <w:r>
        <w:rPr>
          <w:rFonts w:ascii="Palatino Linotype" w:hAnsi="Palatino Linotype" w:cs="Tahoma"/>
          <w:iCs/>
          <w:sz w:val="22"/>
          <w:szCs w:val="22"/>
        </w:rPr>
        <w:t xml:space="preserve"> </w:t>
      </w:r>
      <w:r>
        <w:rPr>
          <w:rFonts w:ascii="Palatino Linotype" w:hAnsi="Palatino Linotype" w:cs="Tahoma"/>
          <w:sz w:val="22"/>
          <w:szCs w:val="22"/>
        </w:rPr>
        <w:t>La labor del Instituto, es apoyar a la población a acceder a la información pública y garantizar la protección de sus datos personales.</w:t>
      </w:r>
    </w:p>
    <w:p w14:paraId="7D33ACE6" w14:textId="77777777" w:rsidR="00D02A77" w:rsidRPr="00DD39D4" w:rsidRDefault="00D02A77" w:rsidP="000F31A3">
      <w:pPr>
        <w:tabs>
          <w:tab w:val="left" w:pos="4962"/>
        </w:tabs>
        <w:spacing w:line="360" w:lineRule="auto"/>
        <w:contextualSpacing/>
        <w:jc w:val="both"/>
        <w:rPr>
          <w:rFonts w:ascii="Palatino Linotype" w:hAnsi="Palatino Linotype" w:cs="Tahoma"/>
          <w:iCs/>
          <w:sz w:val="22"/>
          <w:szCs w:val="22"/>
          <w:lang w:val="es-ES"/>
        </w:rPr>
      </w:pPr>
    </w:p>
    <w:p w14:paraId="427CFC00" w14:textId="77777777" w:rsidR="00D02A77" w:rsidRDefault="00D02A77" w:rsidP="000F31A3">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4FDC5CFF" w14:textId="77777777" w:rsidR="00D02A77" w:rsidRPr="00DD39D4" w:rsidRDefault="00D02A77" w:rsidP="000F31A3">
      <w:pPr>
        <w:tabs>
          <w:tab w:val="left" w:pos="4962"/>
        </w:tabs>
        <w:spacing w:line="360" w:lineRule="auto"/>
        <w:contextualSpacing/>
        <w:jc w:val="both"/>
        <w:rPr>
          <w:rFonts w:ascii="Palatino Linotype" w:hAnsi="Palatino Linotype" w:cs="Tahoma"/>
          <w:bCs/>
          <w:iCs/>
          <w:sz w:val="22"/>
          <w:szCs w:val="22"/>
        </w:rPr>
      </w:pPr>
    </w:p>
    <w:p w14:paraId="53E88A09" w14:textId="77777777" w:rsidR="00D02A77" w:rsidRPr="00DD39D4" w:rsidRDefault="00D02A77" w:rsidP="000F31A3">
      <w:pPr>
        <w:pStyle w:val="Ttulo1"/>
        <w:spacing w:before="0" w:line="360" w:lineRule="auto"/>
        <w:jc w:val="center"/>
        <w:rPr>
          <w:rFonts w:ascii="Palatino Linotype" w:eastAsia="Calibri" w:hAnsi="Palatino Linotype"/>
          <w:b/>
          <w:color w:val="auto"/>
          <w:sz w:val="22"/>
          <w:szCs w:val="22"/>
          <w:lang w:eastAsia="en-US"/>
        </w:rPr>
      </w:pPr>
      <w:bookmarkStart w:id="27" w:name="_Toc207885543"/>
      <w:bookmarkStart w:id="28" w:name="_Toc210751374"/>
      <w:bookmarkStart w:id="29" w:name="_Toc212733597"/>
      <w:r w:rsidRPr="00DD39D4">
        <w:rPr>
          <w:rFonts w:ascii="Palatino Linotype" w:eastAsia="Calibri" w:hAnsi="Palatino Linotype"/>
          <w:b/>
          <w:color w:val="auto"/>
          <w:sz w:val="22"/>
          <w:szCs w:val="22"/>
          <w:lang w:eastAsia="en-US"/>
        </w:rPr>
        <w:t>R E S U E L V E</w:t>
      </w:r>
      <w:bookmarkEnd w:id="27"/>
      <w:bookmarkEnd w:id="28"/>
      <w:bookmarkEnd w:id="29"/>
    </w:p>
    <w:p w14:paraId="1B046E96" w14:textId="77777777" w:rsidR="00D02A77" w:rsidRPr="00DD39D4" w:rsidRDefault="00D02A77" w:rsidP="000F31A3">
      <w:pPr>
        <w:spacing w:line="360" w:lineRule="auto"/>
        <w:jc w:val="center"/>
        <w:rPr>
          <w:rFonts w:ascii="Palatino Linotype" w:hAnsi="Palatino Linotype" w:cs="Tahoma"/>
          <w:b/>
          <w:bCs/>
          <w:sz w:val="22"/>
          <w:szCs w:val="22"/>
        </w:rPr>
      </w:pPr>
    </w:p>
    <w:p w14:paraId="141338E0" w14:textId="0F9205AB" w:rsidR="00D02A77" w:rsidRPr="00DD39D4" w:rsidRDefault="00D02A77" w:rsidP="000F31A3">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B450DF" w:rsidRPr="00B450DF">
        <w:rPr>
          <w:rFonts w:ascii="Palatino Linotype" w:hAnsi="Palatino Linotype" w:cs="Tahoma"/>
          <w:b/>
          <w:bCs/>
          <w:sz w:val="22"/>
          <w:szCs w:val="22"/>
        </w:rPr>
        <w:t>00357/SSEM/IP/2025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B450DF">
        <w:rPr>
          <w:rFonts w:ascii="Palatino Linotype" w:eastAsia="Calibri" w:hAnsi="Palatino Linotype" w:cs="Tahoma"/>
          <w:b/>
          <w:bCs/>
          <w:iCs/>
          <w:sz w:val="22"/>
          <w:szCs w:val="22"/>
          <w:lang w:eastAsia="en-US"/>
        </w:rPr>
        <w:t>10376</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4079AEAF" w14:textId="77777777" w:rsidR="00D02A77" w:rsidRPr="00DD39D4" w:rsidRDefault="00D02A77" w:rsidP="000F31A3">
      <w:pPr>
        <w:spacing w:line="360" w:lineRule="auto"/>
        <w:contextualSpacing/>
        <w:jc w:val="both"/>
        <w:rPr>
          <w:rFonts w:ascii="Palatino Linotype" w:eastAsia="Calibri" w:hAnsi="Palatino Linotype" w:cs="Tahoma"/>
          <w:bCs/>
          <w:iCs/>
          <w:sz w:val="22"/>
          <w:szCs w:val="22"/>
          <w:lang w:eastAsia="en-US"/>
        </w:rPr>
      </w:pPr>
    </w:p>
    <w:p w14:paraId="172F4A17" w14:textId="77777777" w:rsidR="00D02A77" w:rsidRPr="00DD39D4" w:rsidRDefault="00D02A77" w:rsidP="000F31A3">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0C3A1805" w14:textId="77777777" w:rsidR="00D02A77" w:rsidRPr="00DD39D4" w:rsidRDefault="00D02A77" w:rsidP="000F31A3">
      <w:pPr>
        <w:spacing w:line="360" w:lineRule="auto"/>
        <w:contextualSpacing/>
        <w:jc w:val="both"/>
        <w:rPr>
          <w:rFonts w:ascii="Palatino Linotype" w:eastAsia="Calibri" w:hAnsi="Palatino Linotype" w:cs="Tahoma"/>
          <w:bCs/>
          <w:iCs/>
          <w:sz w:val="22"/>
          <w:szCs w:val="22"/>
          <w:lang w:eastAsia="en-US"/>
        </w:rPr>
      </w:pPr>
    </w:p>
    <w:p w14:paraId="2BB82C1E" w14:textId="77777777" w:rsidR="00D02A77" w:rsidRPr="00DD39D4" w:rsidRDefault="00D02A77" w:rsidP="000F31A3">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bookmarkEnd w:id="26"/>
    <w:p w14:paraId="6CF1F9A5" w14:textId="77777777" w:rsidR="00B450DF" w:rsidRDefault="00B450DF" w:rsidP="000F31A3">
      <w:pPr>
        <w:spacing w:line="360" w:lineRule="auto"/>
        <w:contextualSpacing/>
        <w:jc w:val="both"/>
        <w:rPr>
          <w:rFonts w:ascii="Palatino Linotype" w:hAnsi="Palatino Linotype" w:cs="Tahoma"/>
          <w:sz w:val="22"/>
          <w:szCs w:val="22"/>
          <w:lang w:eastAsia="es-MX"/>
        </w:rPr>
      </w:pPr>
    </w:p>
    <w:p w14:paraId="37F15D25" w14:textId="655DC480" w:rsidR="00803E3D" w:rsidRDefault="00803E3D" w:rsidP="000F31A3">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6D397F">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w:t>
      </w:r>
      <w:r w:rsidR="00B450DF">
        <w:rPr>
          <w:rFonts w:ascii="Palatino Linotype" w:hAnsi="Palatino Linotype" w:cs="Tahoma"/>
          <w:sz w:val="22"/>
          <w:szCs w:val="22"/>
          <w:lang w:eastAsia="es-MX"/>
        </w:rPr>
        <w:t>NOVENA</w:t>
      </w:r>
      <w:r w:rsidR="004A6F76">
        <w:rPr>
          <w:rFonts w:ascii="Palatino Linotype" w:hAnsi="Palatino Linotype" w:cs="Tahoma"/>
          <w:sz w:val="22"/>
          <w:szCs w:val="22"/>
          <w:lang w:eastAsia="es-MX"/>
        </w:rPr>
        <w:t xml:space="preserve"> </w:t>
      </w:r>
      <w:r w:rsidR="004A6F76" w:rsidRPr="00FB571A">
        <w:rPr>
          <w:rFonts w:ascii="Palatino Linotype" w:hAnsi="Palatino Linotype" w:cs="Tahoma"/>
          <w:sz w:val="22"/>
          <w:szCs w:val="22"/>
          <w:lang w:eastAsia="es-MX"/>
        </w:rPr>
        <w:t xml:space="preserve">SESIÓN ORDINARIA, CELEBRADA EL </w:t>
      </w:r>
      <w:r w:rsidR="003E55AD">
        <w:rPr>
          <w:rFonts w:ascii="Palatino Linotype" w:hAnsi="Palatino Linotype" w:cs="Tahoma"/>
          <w:sz w:val="22"/>
          <w:szCs w:val="22"/>
          <w:lang w:eastAsia="es-MX"/>
        </w:rPr>
        <w:t>CINCO DE NOVIEMBRE</w:t>
      </w:r>
      <w:r w:rsidR="00B450DF">
        <w:rPr>
          <w:rFonts w:ascii="Palatino Linotype" w:hAnsi="Palatino Linotype" w:cs="Tahoma"/>
          <w:sz w:val="22"/>
          <w:szCs w:val="22"/>
          <w:lang w:eastAsia="es-MX"/>
        </w:rPr>
        <w:t xml:space="preserv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418F1927" w14:textId="77777777" w:rsidR="00163BAA" w:rsidRDefault="00163BAA" w:rsidP="000F31A3">
      <w:pPr>
        <w:spacing w:line="360" w:lineRule="auto"/>
        <w:contextualSpacing/>
        <w:jc w:val="both"/>
        <w:rPr>
          <w:rFonts w:ascii="Palatino Linotype" w:hAnsi="Palatino Linotype" w:cs="Tahoma"/>
          <w:sz w:val="22"/>
          <w:szCs w:val="22"/>
        </w:rPr>
      </w:pPr>
    </w:p>
    <w:p w14:paraId="29C4B64D" w14:textId="77777777" w:rsidR="00163BAA" w:rsidRDefault="00163BAA" w:rsidP="000F31A3">
      <w:pPr>
        <w:spacing w:line="360" w:lineRule="auto"/>
        <w:contextualSpacing/>
        <w:jc w:val="both"/>
        <w:rPr>
          <w:rFonts w:ascii="Palatino Linotype" w:hAnsi="Palatino Linotype" w:cs="Tahoma"/>
          <w:sz w:val="22"/>
          <w:szCs w:val="22"/>
        </w:rPr>
      </w:pPr>
    </w:p>
    <w:p w14:paraId="7A92663C" w14:textId="77777777" w:rsidR="0089175F" w:rsidRDefault="0089175F" w:rsidP="000F31A3">
      <w:pPr>
        <w:spacing w:line="360" w:lineRule="auto"/>
        <w:contextualSpacing/>
        <w:jc w:val="both"/>
        <w:rPr>
          <w:rFonts w:ascii="Palatino Linotype" w:hAnsi="Palatino Linotype" w:cs="Tahoma"/>
          <w:sz w:val="22"/>
          <w:szCs w:val="22"/>
        </w:rPr>
      </w:pPr>
    </w:p>
    <w:p w14:paraId="5D6909D3" w14:textId="77777777" w:rsidR="0089175F" w:rsidRDefault="0089175F" w:rsidP="000F31A3">
      <w:pPr>
        <w:spacing w:line="360" w:lineRule="auto"/>
        <w:contextualSpacing/>
        <w:jc w:val="both"/>
        <w:rPr>
          <w:rFonts w:ascii="Palatino Linotype" w:hAnsi="Palatino Linotype" w:cs="Tahoma"/>
          <w:sz w:val="22"/>
          <w:szCs w:val="22"/>
        </w:rPr>
      </w:pPr>
    </w:p>
    <w:p w14:paraId="21AAD193" w14:textId="77777777" w:rsidR="0089175F" w:rsidRDefault="0089175F" w:rsidP="000F31A3">
      <w:pPr>
        <w:spacing w:line="360" w:lineRule="auto"/>
        <w:contextualSpacing/>
        <w:jc w:val="both"/>
        <w:rPr>
          <w:rFonts w:ascii="Palatino Linotype" w:hAnsi="Palatino Linotype" w:cs="Tahoma"/>
          <w:sz w:val="22"/>
          <w:szCs w:val="22"/>
        </w:rPr>
      </w:pPr>
    </w:p>
    <w:p w14:paraId="3136B9CA" w14:textId="77777777" w:rsidR="0089175F" w:rsidRDefault="0089175F" w:rsidP="000F31A3">
      <w:pPr>
        <w:spacing w:line="360" w:lineRule="auto"/>
        <w:contextualSpacing/>
        <w:jc w:val="both"/>
        <w:rPr>
          <w:rFonts w:ascii="Palatino Linotype" w:hAnsi="Palatino Linotype" w:cs="Tahoma"/>
          <w:sz w:val="22"/>
          <w:szCs w:val="22"/>
        </w:rPr>
      </w:pPr>
    </w:p>
    <w:p w14:paraId="1B823581" w14:textId="77777777" w:rsidR="001F1A77" w:rsidRDefault="001F1A77" w:rsidP="000F31A3">
      <w:pPr>
        <w:spacing w:line="360" w:lineRule="auto"/>
        <w:contextualSpacing/>
        <w:jc w:val="both"/>
        <w:rPr>
          <w:rFonts w:ascii="Palatino Linotype" w:hAnsi="Palatino Linotype" w:cs="Tahoma"/>
          <w:sz w:val="22"/>
          <w:szCs w:val="22"/>
        </w:rPr>
      </w:pPr>
    </w:p>
    <w:p w14:paraId="6D4B5566" w14:textId="77777777" w:rsidR="001F1A77" w:rsidRDefault="001F1A77" w:rsidP="000F31A3">
      <w:pPr>
        <w:spacing w:line="360" w:lineRule="auto"/>
        <w:contextualSpacing/>
        <w:jc w:val="both"/>
        <w:rPr>
          <w:rFonts w:ascii="Palatino Linotype" w:hAnsi="Palatino Linotype" w:cs="Tahoma"/>
          <w:sz w:val="22"/>
          <w:szCs w:val="22"/>
        </w:rPr>
      </w:pPr>
    </w:p>
    <w:p w14:paraId="7E182B74" w14:textId="77777777" w:rsidR="000B1059" w:rsidRDefault="000B1059" w:rsidP="000F31A3">
      <w:pPr>
        <w:spacing w:line="360" w:lineRule="auto"/>
        <w:contextualSpacing/>
        <w:jc w:val="both"/>
        <w:rPr>
          <w:rFonts w:ascii="Palatino Linotype" w:hAnsi="Palatino Linotype" w:cs="Tahoma"/>
          <w:sz w:val="22"/>
          <w:szCs w:val="22"/>
        </w:rPr>
      </w:pPr>
    </w:p>
    <w:p w14:paraId="0047F5A9" w14:textId="77777777" w:rsidR="000B1059" w:rsidRDefault="000B1059" w:rsidP="000F31A3">
      <w:pPr>
        <w:spacing w:line="360" w:lineRule="auto"/>
        <w:contextualSpacing/>
        <w:jc w:val="both"/>
        <w:rPr>
          <w:rFonts w:ascii="Palatino Linotype" w:hAnsi="Palatino Linotype" w:cs="Tahoma"/>
          <w:sz w:val="22"/>
          <w:szCs w:val="22"/>
        </w:rPr>
      </w:pPr>
    </w:p>
    <w:p w14:paraId="63A7F2E3" w14:textId="77777777" w:rsidR="000B1059" w:rsidRDefault="000B1059" w:rsidP="000F31A3">
      <w:pPr>
        <w:spacing w:line="360" w:lineRule="auto"/>
        <w:contextualSpacing/>
        <w:jc w:val="both"/>
        <w:rPr>
          <w:rFonts w:ascii="Palatino Linotype" w:hAnsi="Palatino Linotype" w:cs="Tahoma"/>
          <w:sz w:val="22"/>
          <w:szCs w:val="22"/>
        </w:rPr>
      </w:pPr>
    </w:p>
    <w:p w14:paraId="3D1DEBE6" w14:textId="77777777" w:rsidR="001F1A77" w:rsidRDefault="001F1A77" w:rsidP="000F31A3">
      <w:pPr>
        <w:spacing w:line="360" w:lineRule="auto"/>
        <w:contextualSpacing/>
        <w:jc w:val="both"/>
        <w:rPr>
          <w:rFonts w:ascii="Palatino Linotype" w:hAnsi="Palatino Linotype" w:cs="Tahoma"/>
          <w:sz w:val="22"/>
          <w:szCs w:val="22"/>
        </w:rPr>
      </w:pPr>
    </w:p>
    <w:p w14:paraId="3FEF9AF7" w14:textId="77777777" w:rsidR="001F1A77" w:rsidRDefault="001F1A77" w:rsidP="000F31A3">
      <w:pPr>
        <w:spacing w:line="360" w:lineRule="auto"/>
        <w:contextualSpacing/>
        <w:jc w:val="both"/>
        <w:rPr>
          <w:rFonts w:ascii="Palatino Linotype" w:hAnsi="Palatino Linotype" w:cs="Tahoma"/>
          <w:sz w:val="22"/>
          <w:szCs w:val="22"/>
        </w:rPr>
      </w:pPr>
    </w:p>
    <w:p w14:paraId="6618C959" w14:textId="77777777" w:rsidR="001F1A77" w:rsidRDefault="001F1A77" w:rsidP="000F31A3">
      <w:pPr>
        <w:spacing w:line="360" w:lineRule="auto"/>
        <w:contextualSpacing/>
        <w:jc w:val="both"/>
        <w:rPr>
          <w:rFonts w:ascii="Palatino Linotype" w:hAnsi="Palatino Linotype" w:cs="Tahoma"/>
          <w:sz w:val="22"/>
          <w:szCs w:val="22"/>
        </w:rPr>
      </w:pPr>
    </w:p>
    <w:p w14:paraId="5FF15071" w14:textId="77777777" w:rsidR="001F1A77" w:rsidRDefault="001F1A77" w:rsidP="000F31A3">
      <w:pPr>
        <w:spacing w:line="360" w:lineRule="auto"/>
        <w:contextualSpacing/>
        <w:jc w:val="both"/>
        <w:rPr>
          <w:rFonts w:ascii="Palatino Linotype" w:hAnsi="Palatino Linotype" w:cs="Tahoma"/>
          <w:sz w:val="22"/>
          <w:szCs w:val="22"/>
        </w:rPr>
      </w:pPr>
    </w:p>
    <w:p w14:paraId="47A7FB95" w14:textId="77777777" w:rsidR="001F1A77" w:rsidRDefault="001F1A77" w:rsidP="000F31A3">
      <w:pPr>
        <w:spacing w:line="360" w:lineRule="auto"/>
        <w:contextualSpacing/>
        <w:jc w:val="both"/>
        <w:rPr>
          <w:rFonts w:ascii="Palatino Linotype" w:hAnsi="Palatino Linotype" w:cs="Tahoma"/>
          <w:sz w:val="22"/>
          <w:szCs w:val="22"/>
        </w:rPr>
      </w:pPr>
    </w:p>
    <w:p w14:paraId="126B58A0" w14:textId="77777777" w:rsidR="001F1A77" w:rsidRDefault="001F1A77" w:rsidP="000F31A3">
      <w:pPr>
        <w:spacing w:line="360" w:lineRule="auto"/>
        <w:contextualSpacing/>
        <w:jc w:val="both"/>
        <w:rPr>
          <w:rFonts w:ascii="Palatino Linotype" w:hAnsi="Palatino Linotype" w:cs="Tahoma"/>
          <w:sz w:val="22"/>
          <w:szCs w:val="22"/>
        </w:rPr>
      </w:pPr>
    </w:p>
    <w:p w14:paraId="3B33AF44" w14:textId="77777777" w:rsidR="001F1A77" w:rsidRDefault="001F1A77" w:rsidP="000F31A3">
      <w:pPr>
        <w:spacing w:line="360" w:lineRule="auto"/>
        <w:contextualSpacing/>
        <w:jc w:val="both"/>
        <w:rPr>
          <w:rFonts w:ascii="Palatino Linotype" w:hAnsi="Palatino Linotype" w:cs="Tahoma"/>
          <w:sz w:val="22"/>
          <w:szCs w:val="22"/>
        </w:rPr>
      </w:pPr>
    </w:p>
    <w:p w14:paraId="48D7A5EF" w14:textId="77777777" w:rsidR="001F1A77" w:rsidRPr="003A1DF0" w:rsidRDefault="001F1A77" w:rsidP="000F31A3">
      <w:pPr>
        <w:spacing w:line="360" w:lineRule="auto"/>
        <w:contextualSpacing/>
        <w:jc w:val="both"/>
        <w:rPr>
          <w:rFonts w:ascii="Palatino Linotype" w:hAnsi="Palatino Linotype" w:cs="Tahoma"/>
          <w:sz w:val="22"/>
          <w:szCs w:val="22"/>
        </w:rPr>
      </w:pPr>
    </w:p>
    <w:p w14:paraId="1405A0B0" w14:textId="77777777" w:rsidR="003A1DF0" w:rsidRPr="003A1DF0" w:rsidRDefault="003A1DF0" w:rsidP="000F31A3">
      <w:pPr>
        <w:spacing w:line="360" w:lineRule="auto"/>
        <w:contextualSpacing/>
        <w:jc w:val="both"/>
        <w:rPr>
          <w:rFonts w:ascii="Palatino Linotype" w:hAnsi="Palatino Linotype" w:cs="Tahoma"/>
          <w:sz w:val="22"/>
          <w:szCs w:val="22"/>
        </w:rPr>
      </w:pPr>
    </w:p>
    <w:sectPr w:rsidR="003A1DF0" w:rsidRPr="003A1DF0" w:rsidSect="008C2B4B">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695BB" w14:textId="77777777" w:rsidR="00917ADD" w:rsidRDefault="00917ADD" w:rsidP="00B31222">
      <w:r>
        <w:separator/>
      </w:r>
    </w:p>
  </w:endnote>
  <w:endnote w:type="continuationSeparator" w:id="0">
    <w:p w14:paraId="59129DD8" w14:textId="77777777" w:rsidR="00917ADD" w:rsidRDefault="00917ADD" w:rsidP="00B31222">
      <w:r>
        <w:continuationSeparator/>
      </w:r>
    </w:p>
  </w:endnote>
  <w:endnote w:type="continuationNotice" w:id="1">
    <w:p w14:paraId="018A434E" w14:textId="77777777" w:rsidR="00917ADD" w:rsidRDefault="0091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EDE1678"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5230">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5230">
              <w:rPr>
                <w:b/>
                <w:bCs/>
                <w:noProof/>
              </w:rPr>
              <w:t>20</w:t>
            </w:r>
            <w:r>
              <w:rPr>
                <w:b/>
                <w:bCs/>
                <w:sz w:val="24"/>
                <w:szCs w:val="24"/>
              </w:rPr>
              <w:fldChar w:fldCharType="end"/>
            </w:r>
          </w:p>
        </w:sdtContent>
      </w:sdt>
    </w:sdtContent>
  </w:sdt>
  <w:p w14:paraId="6910D694"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758A406"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0EF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0EF3">
              <w:rPr>
                <w:b/>
                <w:bCs/>
                <w:noProof/>
              </w:rPr>
              <w:t>1</w:t>
            </w:r>
            <w:r>
              <w:rPr>
                <w:b/>
                <w:bCs/>
                <w:sz w:val="24"/>
                <w:szCs w:val="24"/>
              </w:rPr>
              <w:fldChar w:fldCharType="end"/>
            </w:r>
          </w:p>
        </w:sdtContent>
      </w:sdt>
    </w:sdtContent>
  </w:sdt>
  <w:p w14:paraId="6E993080"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ABE12" w14:textId="77777777" w:rsidR="00917ADD" w:rsidRDefault="00917ADD" w:rsidP="00B31222">
      <w:r>
        <w:separator/>
      </w:r>
    </w:p>
  </w:footnote>
  <w:footnote w:type="continuationSeparator" w:id="0">
    <w:p w14:paraId="02E5E042" w14:textId="77777777" w:rsidR="00917ADD" w:rsidRDefault="00917ADD" w:rsidP="00B31222">
      <w:r>
        <w:continuationSeparator/>
      </w:r>
    </w:p>
  </w:footnote>
  <w:footnote w:type="continuationNotice" w:id="1">
    <w:p w14:paraId="6A4C26CB" w14:textId="77777777" w:rsidR="00917ADD" w:rsidRDefault="0091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01D28" w14:textId="77777777" w:rsidR="00147CB6" w:rsidRDefault="00000000">
    <w:pPr>
      <w:pStyle w:val="Encabezado"/>
    </w:pPr>
    <w:r>
      <w:rPr>
        <w:noProof/>
        <w:lang w:eastAsia="es-MX"/>
      </w:rPr>
      <w:pict w14:anchorId="29A24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5C106F" w14:paraId="3D92A64C" w14:textId="77777777" w:rsidTr="00202DB8">
      <w:trPr>
        <w:trHeight w:val="1435"/>
      </w:trPr>
      <w:tc>
        <w:tcPr>
          <w:tcW w:w="2835" w:type="dxa"/>
        </w:tcPr>
        <w:p w14:paraId="6956F226"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1A12506" wp14:editId="2E1647B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7948D3F" w14:textId="77777777" w:rsidR="00147CB6" w:rsidRDefault="00147CB6" w:rsidP="005743D2"/>
        <w:tbl>
          <w:tblPr>
            <w:tblStyle w:val="Tablaconcuadrcula"/>
            <w:tblW w:w="6132"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192C5E71" w14:textId="77777777" w:rsidTr="005842F9">
            <w:trPr>
              <w:trHeight w:val="144"/>
            </w:trPr>
            <w:tc>
              <w:tcPr>
                <w:tcW w:w="2589" w:type="dxa"/>
              </w:tcPr>
              <w:p w14:paraId="28FB83E1" w14:textId="77777777" w:rsidR="005842F9" w:rsidRDefault="005842F9" w:rsidP="00E43A0F">
                <w:pPr>
                  <w:tabs>
                    <w:tab w:val="right" w:pos="8838"/>
                  </w:tabs>
                  <w:ind w:right="-105"/>
                  <w:rPr>
                    <w:rFonts w:ascii="Palatino Linotype" w:eastAsia="Calibri" w:hAnsi="Palatino Linotype" w:cs="Tahoma"/>
                    <w:b/>
                    <w:sz w:val="22"/>
                    <w:szCs w:val="22"/>
                    <w:lang w:eastAsia="en-US"/>
                  </w:rPr>
                </w:pPr>
              </w:p>
              <w:p w14:paraId="53FF07FC"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9E21FB1" w14:textId="77777777" w:rsidR="005842F9" w:rsidRDefault="005842F9" w:rsidP="004B553D">
                <w:pPr>
                  <w:tabs>
                    <w:tab w:val="right" w:pos="8838"/>
                  </w:tabs>
                  <w:ind w:left="-106" w:right="171"/>
                  <w:jc w:val="both"/>
                  <w:rPr>
                    <w:rFonts w:ascii="Palatino Linotype" w:eastAsia="Calibri" w:hAnsi="Palatino Linotype" w:cs="Tahoma"/>
                    <w:b/>
                    <w:bCs/>
                    <w:sz w:val="22"/>
                    <w:szCs w:val="22"/>
                    <w:lang w:val="es-MX" w:eastAsia="en-US"/>
                  </w:rPr>
                </w:pPr>
              </w:p>
              <w:p w14:paraId="72E6BEA3" w14:textId="79A4C316" w:rsidR="00147CB6" w:rsidRPr="005842F9" w:rsidRDefault="006F437D" w:rsidP="004B553D">
                <w:pPr>
                  <w:tabs>
                    <w:tab w:val="right" w:pos="8838"/>
                  </w:tabs>
                  <w:ind w:left="-106" w:right="171"/>
                  <w:jc w:val="both"/>
                  <w:rPr>
                    <w:rFonts w:ascii="Palatino Linotype" w:eastAsia="Calibri" w:hAnsi="Palatino Linotype" w:cs="Tahoma"/>
                    <w:sz w:val="22"/>
                    <w:szCs w:val="22"/>
                    <w:lang w:eastAsia="en-US"/>
                  </w:rPr>
                </w:pPr>
                <w:r w:rsidRPr="005842F9">
                  <w:rPr>
                    <w:rFonts w:ascii="Palatino Linotype" w:eastAsia="Calibri" w:hAnsi="Palatino Linotype" w:cs="Tahoma"/>
                    <w:sz w:val="22"/>
                    <w:szCs w:val="22"/>
                    <w:lang w:val="es-MX" w:eastAsia="en-US"/>
                  </w:rPr>
                  <w:t>10</w:t>
                </w:r>
                <w:r w:rsidR="00393920">
                  <w:rPr>
                    <w:rFonts w:ascii="Palatino Linotype" w:eastAsia="Calibri" w:hAnsi="Palatino Linotype" w:cs="Tahoma"/>
                    <w:sz w:val="22"/>
                    <w:szCs w:val="22"/>
                    <w:lang w:val="es-MX" w:eastAsia="en-US"/>
                  </w:rPr>
                  <w:t>37</w:t>
                </w:r>
                <w:r w:rsidRPr="005842F9">
                  <w:rPr>
                    <w:rFonts w:ascii="Palatino Linotype" w:eastAsia="Calibri" w:hAnsi="Palatino Linotype" w:cs="Tahoma"/>
                    <w:sz w:val="22"/>
                    <w:szCs w:val="22"/>
                    <w:lang w:val="es-MX" w:eastAsia="en-US"/>
                  </w:rPr>
                  <w:t>6</w:t>
                </w:r>
                <w:r w:rsidR="00147CB6" w:rsidRPr="005842F9">
                  <w:rPr>
                    <w:rFonts w:ascii="Palatino Linotype" w:eastAsia="Calibri" w:hAnsi="Palatino Linotype" w:cs="Tahoma"/>
                    <w:sz w:val="22"/>
                    <w:szCs w:val="22"/>
                    <w:lang w:val="es-MX" w:eastAsia="en-US"/>
                  </w:rPr>
                  <w:t>/INFOEM/IP/RR/2025</w:t>
                </w:r>
              </w:p>
            </w:tc>
          </w:tr>
          <w:tr w:rsidR="00147CB6" w14:paraId="0636C5CF" w14:textId="77777777" w:rsidTr="005842F9">
            <w:trPr>
              <w:trHeight w:val="283"/>
            </w:trPr>
            <w:tc>
              <w:tcPr>
                <w:tcW w:w="2589" w:type="dxa"/>
              </w:tcPr>
              <w:p w14:paraId="562FC5D4"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1C53960" w14:textId="3CDDD836" w:rsidR="00147CB6" w:rsidRPr="005F13CF" w:rsidRDefault="0039392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 Seguridad</w:t>
                </w:r>
              </w:p>
            </w:tc>
          </w:tr>
          <w:tr w:rsidR="00147CB6" w14:paraId="0D5022DC" w14:textId="77777777" w:rsidTr="005842F9">
            <w:trPr>
              <w:trHeight w:val="283"/>
            </w:trPr>
            <w:tc>
              <w:tcPr>
                <w:tcW w:w="2589" w:type="dxa"/>
              </w:tcPr>
              <w:p w14:paraId="7E4F56F0"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4C7239F"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6AE71CA"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5656088B"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3E02775E"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330DA7" w14:paraId="78C4AFAF" w14:textId="77777777" w:rsidTr="003B165A">
      <w:trPr>
        <w:trHeight w:val="1435"/>
      </w:trPr>
      <w:tc>
        <w:tcPr>
          <w:tcW w:w="2835" w:type="dxa"/>
        </w:tcPr>
        <w:p w14:paraId="4281E16F"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7CA574E" wp14:editId="18840FA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63ECDE38" w14:textId="77777777" w:rsidR="000F31A3" w:rsidRDefault="000F31A3"/>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426E30D6" w14:textId="77777777" w:rsidTr="000F31A3">
            <w:trPr>
              <w:trHeight w:val="144"/>
            </w:trPr>
            <w:tc>
              <w:tcPr>
                <w:tcW w:w="2589" w:type="dxa"/>
              </w:tcPr>
              <w:p w14:paraId="0BB23D4A"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FE5EAD1" w14:textId="1FD32DC6" w:rsidR="00147CB6" w:rsidRPr="000F31A3" w:rsidRDefault="006F437D" w:rsidP="004B553D">
                <w:pPr>
                  <w:tabs>
                    <w:tab w:val="right" w:pos="8838"/>
                  </w:tabs>
                  <w:ind w:left="-106" w:right="-105"/>
                  <w:jc w:val="both"/>
                  <w:rPr>
                    <w:rFonts w:ascii="Palatino Linotype" w:eastAsia="Calibri" w:hAnsi="Palatino Linotype" w:cs="Tahoma"/>
                    <w:sz w:val="22"/>
                    <w:szCs w:val="22"/>
                    <w:lang w:eastAsia="en-US"/>
                  </w:rPr>
                </w:pPr>
                <w:r w:rsidRPr="000F31A3">
                  <w:rPr>
                    <w:rFonts w:ascii="Palatino Linotype" w:eastAsia="Calibri" w:hAnsi="Palatino Linotype" w:cs="Tahoma"/>
                    <w:sz w:val="22"/>
                    <w:szCs w:val="22"/>
                    <w:lang w:val="es-MX" w:eastAsia="en-US"/>
                  </w:rPr>
                  <w:t>10</w:t>
                </w:r>
                <w:r w:rsidR="00393920" w:rsidRPr="000F31A3">
                  <w:rPr>
                    <w:rFonts w:ascii="Palatino Linotype" w:eastAsia="Calibri" w:hAnsi="Palatino Linotype" w:cs="Tahoma"/>
                    <w:sz w:val="22"/>
                    <w:szCs w:val="22"/>
                    <w:lang w:val="es-MX" w:eastAsia="en-US"/>
                  </w:rPr>
                  <w:t>37</w:t>
                </w:r>
                <w:r w:rsidRPr="000F31A3">
                  <w:rPr>
                    <w:rFonts w:ascii="Palatino Linotype" w:eastAsia="Calibri" w:hAnsi="Palatino Linotype" w:cs="Tahoma"/>
                    <w:sz w:val="22"/>
                    <w:szCs w:val="22"/>
                    <w:lang w:val="es-MX" w:eastAsia="en-US"/>
                  </w:rPr>
                  <w:t>6</w:t>
                </w:r>
                <w:r w:rsidR="00147CB6" w:rsidRPr="000F31A3">
                  <w:rPr>
                    <w:rFonts w:ascii="Palatino Linotype" w:eastAsia="Calibri" w:hAnsi="Palatino Linotype" w:cs="Tahoma"/>
                    <w:sz w:val="22"/>
                    <w:szCs w:val="22"/>
                    <w:lang w:val="es-MX" w:eastAsia="en-US"/>
                  </w:rPr>
                  <w:t>/INFOEM/IP/RR/2025</w:t>
                </w:r>
              </w:p>
            </w:tc>
          </w:tr>
          <w:tr w:rsidR="00147CB6" w:rsidRPr="00286D0C" w14:paraId="25DA18BE" w14:textId="77777777" w:rsidTr="000F31A3">
            <w:trPr>
              <w:trHeight w:val="144"/>
            </w:trPr>
            <w:tc>
              <w:tcPr>
                <w:tcW w:w="2589" w:type="dxa"/>
              </w:tcPr>
              <w:p w14:paraId="18546493"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8A32547" w14:textId="1C9C31F8" w:rsidR="00147CB6" w:rsidRPr="00286D0C" w:rsidRDefault="00BF4D2A" w:rsidP="005F13CF">
                <w:pPr>
                  <w:tabs>
                    <w:tab w:val="left" w:pos="3122"/>
                    <w:tab w:val="right" w:pos="8838"/>
                  </w:tabs>
                  <w:ind w:left="-106" w:right="-105"/>
                  <w:jc w:val="both"/>
                  <w:rPr>
                    <w:rFonts w:ascii="Palatino Linotype" w:eastAsia="Calibri" w:hAnsi="Palatino Linotype" w:cs="Tahoma"/>
                    <w:bCs/>
                    <w:sz w:val="22"/>
                    <w:szCs w:val="22"/>
                    <w:lang w:eastAsia="en-US"/>
                  </w:rPr>
                </w:pPr>
                <w:r w:rsidRPr="00BF4D2A">
                  <w:rPr>
                    <w:rFonts w:ascii="Palatino Linotype" w:eastAsia="Calibri" w:hAnsi="Palatino Linotype" w:cs="Tahoma"/>
                    <w:bCs/>
                    <w:sz w:val="22"/>
                    <w:szCs w:val="22"/>
                    <w:highlight w:val="black"/>
                    <w:lang w:eastAsia="en-US"/>
                  </w:rPr>
                  <w:t>XXXXXXXXXXXXXX</w:t>
                </w:r>
              </w:p>
            </w:tc>
          </w:tr>
          <w:tr w:rsidR="00147CB6" w:rsidRPr="00431A70" w14:paraId="4931F09C" w14:textId="77777777" w:rsidTr="000F31A3">
            <w:trPr>
              <w:trHeight w:val="283"/>
            </w:trPr>
            <w:tc>
              <w:tcPr>
                <w:tcW w:w="2589" w:type="dxa"/>
              </w:tcPr>
              <w:p w14:paraId="3AF405EB"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E93DA7E" w14:textId="4809C078" w:rsidR="00147CB6" w:rsidRPr="005F13CF" w:rsidRDefault="0039392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 Seguridad</w:t>
                </w:r>
                <w:r w:rsidR="00147CB6">
                  <w:rPr>
                    <w:rFonts w:ascii="Palatino Linotype" w:eastAsia="Calibri" w:hAnsi="Palatino Linotype" w:cs="Tahoma"/>
                    <w:bCs/>
                    <w:sz w:val="22"/>
                    <w:szCs w:val="22"/>
                    <w:lang w:val="es-MX" w:eastAsia="en-US"/>
                  </w:rPr>
                  <w:t xml:space="preserve"> </w:t>
                </w:r>
              </w:p>
            </w:tc>
          </w:tr>
          <w:tr w:rsidR="00147CB6" w:rsidRPr="00431A70" w14:paraId="7E1D0FC6" w14:textId="77777777" w:rsidTr="000F31A3">
            <w:trPr>
              <w:trHeight w:val="283"/>
            </w:trPr>
            <w:tc>
              <w:tcPr>
                <w:tcW w:w="2589" w:type="dxa"/>
              </w:tcPr>
              <w:p w14:paraId="1BE86C89"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E9891C5"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BF31DA2"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2C94B2A1"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B90001"/>
    <w:multiLevelType w:val="hybridMultilevel"/>
    <w:tmpl w:val="836AD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2F4673"/>
    <w:multiLevelType w:val="hybridMultilevel"/>
    <w:tmpl w:val="F1A8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33E1"/>
    <w:multiLevelType w:val="hybridMultilevel"/>
    <w:tmpl w:val="969ED7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9627019">
    <w:abstractNumId w:val="0"/>
  </w:num>
  <w:num w:numId="2" w16cid:durableId="1515150000">
    <w:abstractNumId w:val="13"/>
  </w:num>
  <w:num w:numId="3" w16cid:durableId="7469234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763522">
    <w:abstractNumId w:val="2"/>
  </w:num>
  <w:num w:numId="5" w16cid:durableId="1615206329">
    <w:abstractNumId w:val="44"/>
  </w:num>
  <w:num w:numId="6" w16cid:durableId="1201358272">
    <w:abstractNumId w:val="7"/>
  </w:num>
  <w:num w:numId="7" w16cid:durableId="1806776829">
    <w:abstractNumId w:val="10"/>
  </w:num>
  <w:num w:numId="8" w16cid:durableId="71857278">
    <w:abstractNumId w:val="27"/>
  </w:num>
  <w:num w:numId="9" w16cid:durableId="885481928">
    <w:abstractNumId w:val="6"/>
    <w:lvlOverride w:ilvl="0">
      <w:startOverride w:val="1"/>
    </w:lvlOverride>
    <w:lvlOverride w:ilvl="1"/>
    <w:lvlOverride w:ilvl="2"/>
    <w:lvlOverride w:ilvl="3"/>
    <w:lvlOverride w:ilvl="4"/>
    <w:lvlOverride w:ilvl="5"/>
    <w:lvlOverride w:ilvl="6"/>
    <w:lvlOverride w:ilvl="7"/>
    <w:lvlOverride w:ilvl="8"/>
  </w:num>
  <w:num w:numId="10" w16cid:durableId="161168047">
    <w:abstractNumId w:val="35"/>
    <w:lvlOverride w:ilvl="0">
      <w:startOverride w:val="1"/>
    </w:lvlOverride>
    <w:lvlOverride w:ilvl="1"/>
    <w:lvlOverride w:ilvl="2"/>
    <w:lvlOverride w:ilvl="3"/>
    <w:lvlOverride w:ilvl="4"/>
    <w:lvlOverride w:ilvl="5"/>
    <w:lvlOverride w:ilvl="6"/>
    <w:lvlOverride w:ilvl="7"/>
    <w:lvlOverride w:ilvl="8"/>
  </w:num>
  <w:num w:numId="11" w16cid:durableId="1833830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973049">
    <w:abstractNumId w:val="23"/>
  </w:num>
  <w:num w:numId="13" w16cid:durableId="625164100">
    <w:abstractNumId w:val="41"/>
  </w:num>
  <w:num w:numId="14" w16cid:durableId="1444569262">
    <w:abstractNumId w:val="20"/>
  </w:num>
  <w:num w:numId="15" w16cid:durableId="745498552">
    <w:abstractNumId w:val="22"/>
  </w:num>
  <w:num w:numId="16" w16cid:durableId="1240096069">
    <w:abstractNumId w:val="40"/>
  </w:num>
  <w:num w:numId="17" w16cid:durableId="1514152798">
    <w:abstractNumId w:val="18"/>
  </w:num>
  <w:num w:numId="18" w16cid:durableId="368264146">
    <w:abstractNumId w:val="24"/>
  </w:num>
  <w:num w:numId="19" w16cid:durableId="565456807">
    <w:abstractNumId w:val="3"/>
  </w:num>
  <w:num w:numId="20" w16cid:durableId="1928465608">
    <w:abstractNumId w:val="31"/>
  </w:num>
  <w:num w:numId="21" w16cid:durableId="182206157">
    <w:abstractNumId w:val="36"/>
  </w:num>
  <w:num w:numId="22" w16cid:durableId="792094153">
    <w:abstractNumId w:val="38"/>
  </w:num>
  <w:num w:numId="23" w16cid:durableId="2093626396">
    <w:abstractNumId w:val="26"/>
  </w:num>
  <w:num w:numId="24" w16cid:durableId="302003103">
    <w:abstractNumId w:val="19"/>
  </w:num>
  <w:num w:numId="25" w16cid:durableId="215237750">
    <w:abstractNumId w:val="33"/>
  </w:num>
  <w:num w:numId="26" w16cid:durableId="1383792739">
    <w:abstractNumId w:val="14"/>
  </w:num>
  <w:num w:numId="27" w16cid:durableId="307170860">
    <w:abstractNumId w:val="16"/>
  </w:num>
  <w:num w:numId="28" w16cid:durableId="253829394">
    <w:abstractNumId w:val="21"/>
  </w:num>
  <w:num w:numId="29" w16cid:durableId="88620761">
    <w:abstractNumId w:val="9"/>
  </w:num>
  <w:num w:numId="30" w16cid:durableId="757991562">
    <w:abstractNumId w:val="32"/>
  </w:num>
  <w:num w:numId="31" w16cid:durableId="480851846">
    <w:abstractNumId w:val="34"/>
  </w:num>
  <w:num w:numId="32" w16cid:durableId="2037610748">
    <w:abstractNumId w:val="25"/>
  </w:num>
  <w:num w:numId="33" w16cid:durableId="476604004">
    <w:abstractNumId w:val="29"/>
  </w:num>
  <w:num w:numId="34" w16cid:durableId="545799884">
    <w:abstractNumId w:val="30"/>
  </w:num>
  <w:num w:numId="35" w16cid:durableId="18900666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7886024">
    <w:abstractNumId w:val="37"/>
  </w:num>
  <w:num w:numId="37" w16cid:durableId="1000816155">
    <w:abstractNumId w:val="15"/>
  </w:num>
  <w:num w:numId="38" w16cid:durableId="595595097">
    <w:abstractNumId w:val="5"/>
  </w:num>
  <w:num w:numId="39" w16cid:durableId="1978029949">
    <w:abstractNumId w:val="8"/>
  </w:num>
  <w:num w:numId="40" w16cid:durableId="163519107">
    <w:abstractNumId w:val="43"/>
  </w:num>
  <w:num w:numId="41" w16cid:durableId="1914074450">
    <w:abstractNumId w:val="1"/>
  </w:num>
  <w:num w:numId="42" w16cid:durableId="721172848">
    <w:abstractNumId w:val="17"/>
  </w:num>
  <w:num w:numId="43" w16cid:durableId="72050297">
    <w:abstractNumId w:val="4"/>
  </w:num>
  <w:num w:numId="44" w16cid:durableId="221984370">
    <w:abstractNumId w:val="42"/>
  </w:num>
  <w:num w:numId="45" w16cid:durableId="1729722499">
    <w:abstractNumId w:val="11"/>
  </w:num>
  <w:num w:numId="46" w16cid:durableId="183876489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88D"/>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1A3"/>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268"/>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786"/>
    <w:rsid w:val="00246E9B"/>
    <w:rsid w:val="00247B17"/>
    <w:rsid w:val="00247CFF"/>
    <w:rsid w:val="00247D21"/>
    <w:rsid w:val="00250389"/>
    <w:rsid w:val="002506E8"/>
    <w:rsid w:val="00251186"/>
    <w:rsid w:val="00251517"/>
    <w:rsid w:val="00251C10"/>
    <w:rsid w:val="00251FF7"/>
    <w:rsid w:val="002520B1"/>
    <w:rsid w:val="00252669"/>
    <w:rsid w:val="00252B67"/>
    <w:rsid w:val="00252BD8"/>
    <w:rsid w:val="00252F10"/>
    <w:rsid w:val="00253937"/>
    <w:rsid w:val="00254209"/>
    <w:rsid w:val="00254288"/>
    <w:rsid w:val="0025469C"/>
    <w:rsid w:val="002552D0"/>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5BF9"/>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82"/>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644"/>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920"/>
    <w:rsid w:val="00393EB2"/>
    <w:rsid w:val="00394461"/>
    <w:rsid w:val="003948EA"/>
    <w:rsid w:val="00394CA8"/>
    <w:rsid w:val="00394D7E"/>
    <w:rsid w:val="00395355"/>
    <w:rsid w:val="003956E9"/>
    <w:rsid w:val="00395764"/>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5AD"/>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01F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2FFF"/>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5BE"/>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2F9"/>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A7FA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CBD"/>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2B7"/>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397F"/>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437D"/>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0EF3"/>
    <w:rsid w:val="007513F0"/>
    <w:rsid w:val="007515BC"/>
    <w:rsid w:val="00751953"/>
    <w:rsid w:val="00752606"/>
    <w:rsid w:val="007533B0"/>
    <w:rsid w:val="00753CF0"/>
    <w:rsid w:val="0075402E"/>
    <w:rsid w:val="00754039"/>
    <w:rsid w:val="007561A3"/>
    <w:rsid w:val="007561DA"/>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79D"/>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3F74"/>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6E8"/>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86A30"/>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3DDE"/>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ADD"/>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230"/>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2CD5"/>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3D3F"/>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3D"/>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627"/>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079"/>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59B"/>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12E2"/>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0AB0"/>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0DF"/>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438"/>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2EC"/>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8A4"/>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4D2A"/>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014"/>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30E"/>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A77"/>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171E"/>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2AB1"/>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4FA"/>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31E"/>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4F6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0904"/>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3F9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50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5868346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7618805">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eguridad.edomex.gob.mx/eventos_convocatorias" TargetMode="External"/><Relationship Id="rId13" Type="http://schemas.openxmlformats.org/officeDocument/2006/relationships/hyperlink" Target="https://sseguridad.edomex.gob.mx/eventos_convocatori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24/mayo/may281/may281c.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23/diciembre/dic201/dic201r.pdf" TargetMode="External"/><Relationship Id="rId5" Type="http://schemas.openxmlformats.org/officeDocument/2006/relationships/webSettings" Target="webSettings.xml"/><Relationship Id="rId15" Type="http://schemas.openxmlformats.org/officeDocument/2006/relationships/hyperlink" Target="https://empleo.edomex.gob.mx/cartera/login.php" TargetMode="External"/><Relationship Id="rId10" Type="http://schemas.openxmlformats.org/officeDocument/2006/relationships/hyperlink" Target="https://empleo.edomex.gob.mx/cartera/login.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ese.edomex.gob.mx/sites/tese.edomex.gob.mx/files/files/Marco%20Juridico/Leyes/Ley-del-Trabajo-de-los-Servidores-Publicos-del-Estado-de-Mexico_.pdf"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F002-3F20-48A6-9BDD-0BDA898F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4964</Words>
  <Characters>27305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inf03m_31@outlook.com</cp:lastModifiedBy>
  <cp:revision>4</cp:revision>
  <cp:lastPrinted>2025-11-07T05:46:00Z</cp:lastPrinted>
  <dcterms:created xsi:type="dcterms:W3CDTF">2025-11-07T05:46:00Z</dcterms:created>
  <dcterms:modified xsi:type="dcterms:W3CDTF">2025-12-15T19:12:00Z</dcterms:modified>
</cp:coreProperties>
</file>