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Pr="000E17EC" w:rsidRDefault="004C465F" w:rsidP="00C63600">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71B250D2" w:rsidR="00C4052B" w:rsidRPr="00793B5E" w:rsidRDefault="00C4052B" w:rsidP="00C63600">
          <w:pPr>
            <w:pStyle w:val="TtuloTDC"/>
            <w:spacing w:before="0" w:line="360" w:lineRule="auto"/>
            <w:jc w:val="center"/>
            <w:rPr>
              <w:rFonts w:ascii="Palatino Linotype" w:hAnsi="Palatino Linotype"/>
              <w:color w:val="auto"/>
              <w:sz w:val="22"/>
              <w:szCs w:val="22"/>
            </w:rPr>
          </w:pPr>
          <w:r w:rsidRPr="00793B5E">
            <w:rPr>
              <w:rFonts w:ascii="Palatino Linotype" w:hAnsi="Palatino Linotype"/>
              <w:color w:val="auto"/>
              <w:sz w:val="22"/>
              <w:szCs w:val="22"/>
              <w:lang w:val="es-ES"/>
            </w:rPr>
            <w:t xml:space="preserve">RESOLUCIÓN DEL RECURSO DE REVISIÓN </w:t>
          </w:r>
          <w:r w:rsidR="006C1E67" w:rsidRPr="00793B5E">
            <w:rPr>
              <w:rFonts w:ascii="Palatino Linotype" w:hAnsi="Palatino Linotype"/>
              <w:color w:val="auto"/>
              <w:sz w:val="22"/>
              <w:szCs w:val="22"/>
            </w:rPr>
            <w:t>0</w:t>
          </w:r>
          <w:r w:rsidR="000E17EC" w:rsidRPr="00793B5E">
            <w:rPr>
              <w:rFonts w:ascii="Palatino Linotype" w:hAnsi="Palatino Linotype"/>
              <w:color w:val="auto"/>
              <w:sz w:val="22"/>
              <w:szCs w:val="22"/>
            </w:rPr>
            <w:t>8271</w:t>
          </w:r>
          <w:r w:rsidR="000D392E" w:rsidRPr="00793B5E">
            <w:rPr>
              <w:rFonts w:ascii="Palatino Linotype" w:hAnsi="Palatino Linotype"/>
              <w:color w:val="auto"/>
              <w:sz w:val="22"/>
              <w:szCs w:val="22"/>
            </w:rPr>
            <w:t>/INFOEM/IP/RR/2025</w:t>
          </w:r>
        </w:p>
        <w:p w14:paraId="73933EFA" w14:textId="77777777" w:rsidR="00C4052B" w:rsidRPr="00793B5E" w:rsidRDefault="00C4052B" w:rsidP="00C63600">
          <w:pPr>
            <w:spacing w:after="0" w:line="360" w:lineRule="auto"/>
            <w:rPr>
              <w:color w:val="FF0000"/>
            </w:rPr>
          </w:pPr>
        </w:p>
        <w:p w14:paraId="4F0CC407" w14:textId="0A7D9C4C" w:rsidR="002713DE" w:rsidRPr="00793B5E" w:rsidRDefault="00C4052B" w:rsidP="00C63600">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793B5E">
            <w:rPr>
              <w:color w:val="FF0000"/>
            </w:rPr>
            <w:fldChar w:fldCharType="begin"/>
          </w:r>
          <w:r w:rsidRPr="00793B5E">
            <w:rPr>
              <w:color w:val="FF0000"/>
            </w:rPr>
            <w:instrText xml:space="preserve"> TOC \o "1-3" \h \z \u </w:instrText>
          </w:r>
          <w:r w:rsidRPr="00793B5E">
            <w:rPr>
              <w:color w:val="FF0000"/>
            </w:rPr>
            <w:fldChar w:fldCharType="separate"/>
          </w:r>
          <w:hyperlink w:anchor="_Toc208339771" w:history="1">
            <w:r w:rsidR="002713DE" w:rsidRPr="00793B5E">
              <w:rPr>
                <w:rStyle w:val="Hipervnculo"/>
                <w:noProof/>
              </w:rPr>
              <w:t>A N T E C E D E N T E S</w:t>
            </w:r>
            <w:r w:rsidR="002713DE" w:rsidRPr="00793B5E">
              <w:rPr>
                <w:noProof/>
                <w:webHidden/>
              </w:rPr>
              <w:tab/>
            </w:r>
            <w:r w:rsidR="002713DE" w:rsidRPr="00793B5E">
              <w:rPr>
                <w:noProof/>
                <w:webHidden/>
              </w:rPr>
              <w:fldChar w:fldCharType="begin"/>
            </w:r>
            <w:r w:rsidR="002713DE" w:rsidRPr="00793B5E">
              <w:rPr>
                <w:noProof/>
                <w:webHidden/>
              </w:rPr>
              <w:instrText xml:space="preserve"> PAGEREF _Toc208339771 \h </w:instrText>
            </w:r>
            <w:r w:rsidR="002713DE" w:rsidRPr="00793B5E">
              <w:rPr>
                <w:noProof/>
                <w:webHidden/>
              </w:rPr>
            </w:r>
            <w:r w:rsidR="002713DE" w:rsidRPr="00793B5E">
              <w:rPr>
                <w:noProof/>
                <w:webHidden/>
              </w:rPr>
              <w:fldChar w:fldCharType="separate"/>
            </w:r>
            <w:r w:rsidR="00527BF6">
              <w:rPr>
                <w:noProof/>
                <w:webHidden/>
              </w:rPr>
              <w:t>2</w:t>
            </w:r>
            <w:r w:rsidR="002713DE" w:rsidRPr="00793B5E">
              <w:rPr>
                <w:noProof/>
                <w:webHidden/>
              </w:rPr>
              <w:fldChar w:fldCharType="end"/>
            </w:r>
          </w:hyperlink>
        </w:p>
        <w:p w14:paraId="37C91A3C" w14:textId="74A11315"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2" w:history="1">
            <w:r w:rsidRPr="00793B5E">
              <w:rPr>
                <w:rStyle w:val="Hipervnculo"/>
                <w:noProof/>
                <w:lang w:eastAsia="es-ES"/>
              </w:rPr>
              <w:t>I. Presentación de la solicitud de información</w:t>
            </w:r>
            <w:r w:rsidRPr="00793B5E">
              <w:rPr>
                <w:noProof/>
                <w:webHidden/>
              </w:rPr>
              <w:tab/>
            </w:r>
            <w:r w:rsidRPr="00793B5E">
              <w:rPr>
                <w:noProof/>
                <w:webHidden/>
              </w:rPr>
              <w:fldChar w:fldCharType="begin"/>
            </w:r>
            <w:r w:rsidRPr="00793B5E">
              <w:rPr>
                <w:noProof/>
                <w:webHidden/>
              </w:rPr>
              <w:instrText xml:space="preserve"> PAGEREF _Toc208339772 \h </w:instrText>
            </w:r>
            <w:r w:rsidRPr="00793B5E">
              <w:rPr>
                <w:noProof/>
                <w:webHidden/>
              </w:rPr>
            </w:r>
            <w:r w:rsidRPr="00793B5E">
              <w:rPr>
                <w:noProof/>
                <w:webHidden/>
              </w:rPr>
              <w:fldChar w:fldCharType="separate"/>
            </w:r>
            <w:r w:rsidR="00527BF6">
              <w:rPr>
                <w:noProof/>
                <w:webHidden/>
              </w:rPr>
              <w:t>2</w:t>
            </w:r>
            <w:r w:rsidRPr="00793B5E">
              <w:rPr>
                <w:noProof/>
                <w:webHidden/>
              </w:rPr>
              <w:fldChar w:fldCharType="end"/>
            </w:r>
          </w:hyperlink>
        </w:p>
        <w:p w14:paraId="39003388" w14:textId="5D344FBD"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3" w:history="1">
            <w:r w:rsidRPr="00793B5E">
              <w:rPr>
                <w:rStyle w:val="Hipervnculo"/>
                <w:noProof/>
              </w:rPr>
              <w:t>II. Requerimiento de aclaración a la solicitud de acceso a la información</w:t>
            </w:r>
            <w:r w:rsidRPr="00793B5E">
              <w:rPr>
                <w:noProof/>
                <w:webHidden/>
              </w:rPr>
              <w:tab/>
            </w:r>
            <w:r w:rsidRPr="00793B5E">
              <w:rPr>
                <w:noProof/>
                <w:webHidden/>
              </w:rPr>
              <w:fldChar w:fldCharType="begin"/>
            </w:r>
            <w:r w:rsidRPr="00793B5E">
              <w:rPr>
                <w:noProof/>
                <w:webHidden/>
              </w:rPr>
              <w:instrText xml:space="preserve"> PAGEREF _Toc208339773 \h </w:instrText>
            </w:r>
            <w:r w:rsidRPr="00793B5E">
              <w:rPr>
                <w:noProof/>
                <w:webHidden/>
              </w:rPr>
            </w:r>
            <w:r w:rsidRPr="00793B5E">
              <w:rPr>
                <w:noProof/>
                <w:webHidden/>
              </w:rPr>
              <w:fldChar w:fldCharType="separate"/>
            </w:r>
            <w:r w:rsidR="00527BF6">
              <w:rPr>
                <w:noProof/>
                <w:webHidden/>
              </w:rPr>
              <w:t>3</w:t>
            </w:r>
            <w:r w:rsidRPr="00793B5E">
              <w:rPr>
                <w:noProof/>
                <w:webHidden/>
              </w:rPr>
              <w:fldChar w:fldCharType="end"/>
            </w:r>
          </w:hyperlink>
        </w:p>
        <w:p w14:paraId="57C5CA09" w14:textId="53C38852"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4" w:history="1">
            <w:r w:rsidRPr="00793B5E">
              <w:rPr>
                <w:rStyle w:val="Hipervnculo"/>
                <w:noProof/>
              </w:rPr>
              <w:t>III. Contestación al requerimiento de aclaración</w:t>
            </w:r>
            <w:r w:rsidRPr="00793B5E">
              <w:rPr>
                <w:noProof/>
                <w:webHidden/>
              </w:rPr>
              <w:tab/>
            </w:r>
            <w:r w:rsidRPr="00793B5E">
              <w:rPr>
                <w:noProof/>
                <w:webHidden/>
              </w:rPr>
              <w:fldChar w:fldCharType="begin"/>
            </w:r>
            <w:r w:rsidRPr="00793B5E">
              <w:rPr>
                <w:noProof/>
                <w:webHidden/>
              </w:rPr>
              <w:instrText xml:space="preserve"> PAGEREF _Toc208339774 \h </w:instrText>
            </w:r>
            <w:r w:rsidRPr="00793B5E">
              <w:rPr>
                <w:noProof/>
                <w:webHidden/>
              </w:rPr>
            </w:r>
            <w:r w:rsidRPr="00793B5E">
              <w:rPr>
                <w:noProof/>
                <w:webHidden/>
              </w:rPr>
              <w:fldChar w:fldCharType="separate"/>
            </w:r>
            <w:r w:rsidR="00527BF6">
              <w:rPr>
                <w:noProof/>
                <w:webHidden/>
              </w:rPr>
              <w:t>3</w:t>
            </w:r>
            <w:r w:rsidRPr="00793B5E">
              <w:rPr>
                <w:noProof/>
                <w:webHidden/>
              </w:rPr>
              <w:fldChar w:fldCharType="end"/>
            </w:r>
          </w:hyperlink>
        </w:p>
        <w:p w14:paraId="59E4AF1B" w14:textId="5B555DEC"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5" w:history="1">
            <w:r w:rsidRPr="00793B5E">
              <w:rPr>
                <w:rStyle w:val="Hipervnculo"/>
                <w:rFonts w:cs="Tahoma"/>
                <w:noProof/>
              </w:rPr>
              <w:t>IV.</w:t>
            </w:r>
            <w:r w:rsidRPr="00793B5E">
              <w:rPr>
                <w:rStyle w:val="Hipervnculo"/>
                <w:noProof/>
              </w:rPr>
              <w:t xml:space="preserve"> Respuesta del Sujeto Obligado</w:t>
            </w:r>
            <w:r w:rsidRPr="00793B5E">
              <w:rPr>
                <w:noProof/>
                <w:webHidden/>
              </w:rPr>
              <w:tab/>
            </w:r>
            <w:r w:rsidRPr="00793B5E">
              <w:rPr>
                <w:noProof/>
                <w:webHidden/>
              </w:rPr>
              <w:fldChar w:fldCharType="begin"/>
            </w:r>
            <w:r w:rsidRPr="00793B5E">
              <w:rPr>
                <w:noProof/>
                <w:webHidden/>
              </w:rPr>
              <w:instrText xml:space="preserve"> PAGEREF _Toc208339775 \h </w:instrText>
            </w:r>
            <w:r w:rsidRPr="00793B5E">
              <w:rPr>
                <w:noProof/>
                <w:webHidden/>
              </w:rPr>
            </w:r>
            <w:r w:rsidRPr="00793B5E">
              <w:rPr>
                <w:noProof/>
                <w:webHidden/>
              </w:rPr>
              <w:fldChar w:fldCharType="separate"/>
            </w:r>
            <w:r w:rsidR="00527BF6">
              <w:rPr>
                <w:noProof/>
                <w:webHidden/>
              </w:rPr>
              <w:t>4</w:t>
            </w:r>
            <w:r w:rsidRPr="00793B5E">
              <w:rPr>
                <w:noProof/>
                <w:webHidden/>
              </w:rPr>
              <w:fldChar w:fldCharType="end"/>
            </w:r>
          </w:hyperlink>
        </w:p>
        <w:p w14:paraId="351E97F8" w14:textId="5F43CF72"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6" w:history="1">
            <w:r w:rsidRPr="00793B5E">
              <w:rPr>
                <w:rStyle w:val="Hipervnculo"/>
                <w:noProof/>
              </w:rPr>
              <w:t>V. Interposición del Recurso de Revisión</w:t>
            </w:r>
            <w:r w:rsidRPr="00793B5E">
              <w:rPr>
                <w:noProof/>
                <w:webHidden/>
              </w:rPr>
              <w:tab/>
            </w:r>
            <w:r w:rsidRPr="00793B5E">
              <w:rPr>
                <w:noProof/>
                <w:webHidden/>
              </w:rPr>
              <w:fldChar w:fldCharType="begin"/>
            </w:r>
            <w:r w:rsidRPr="00793B5E">
              <w:rPr>
                <w:noProof/>
                <w:webHidden/>
              </w:rPr>
              <w:instrText xml:space="preserve"> PAGEREF _Toc208339776 \h </w:instrText>
            </w:r>
            <w:r w:rsidRPr="00793B5E">
              <w:rPr>
                <w:noProof/>
                <w:webHidden/>
              </w:rPr>
            </w:r>
            <w:r w:rsidRPr="00793B5E">
              <w:rPr>
                <w:noProof/>
                <w:webHidden/>
              </w:rPr>
              <w:fldChar w:fldCharType="separate"/>
            </w:r>
            <w:r w:rsidR="00527BF6">
              <w:rPr>
                <w:noProof/>
                <w:webHidden/>
              </w:rPr>
              <w:t>5</w:t>
            </w:r>
            <w:r w:rsidRPr="00793B5E">
              <w:rPr>
                <w:noProof/>
                <w:webHidden/>
              </w:rPr>
              <w:fldChar w:fldCharType="end"/>
            </w:r>
          </w:hyperlink>
        </w:p>
        <w:p w14:paraId="71B8D3EA" w14:textId="637182A6"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7" w:history="1">
            <w:r w:rsidRPr="00793B5E">
              <w:rPr>
                <w:rStyle w:val="Hipervnculo"/>
                <w:noProof/>
              </w:rPr>
              <w:t>VI. Trámite del Recurso de Revisión ante este Instituto</w:t>
            </w:r>
            <w:r w:rsidRPr="00793B5E">
              <w:rPr>
                <w:noProof/>
                <w:webHidden/>
              </w:rPr>
              <w:tab/>
            </w:r>
            <w:r w:rsidRPr="00793B5E">
              <w:rPr>
                <w:noProof/>
                <w:webHidden/>
              </w:rPr>
              <w:fldChar w:fldCharType="begin"/>
            </w:r>
            <w:r w:rsidRPr="00793B5E">
              <w:rPr>
                <w:noProof/>
                <w:webHidden/>
              </w:rPr>
              <w:instrText xml:space="preserve"> PAGEREF _Toc208339777 \h </w:instrText>
            </w:r>
            <w:r w:rsidRPr="00793B5E">
              <w:rPr>
                <w:noProof/>
                <w:webHidden/>
              </w:rPr>
            </w:r>
            <w:r w:rsidRPr="00793B5E">
              <w:rPr>
                <w:noProof/>
                <w:webHidden/>
              </w:rPr>
              <w:fldChar w:fldCharType="separate"/>
            </w:r>
            <w:r w:rsidR="00527BF6">
              <w:rPr>
                <w:noProof/>
                <w:webHidden/>
              </w:rPr>
              <w:t>7</w:t>
            </w:r>
            <w:r w:rsidRPr="00793B5E">
              <w:rPr>
                <w:noProof/>
                <w:webHidden/>
              </w:rPr>
              <w:fldChar w:fldCharType="end"/>
            </w:r>
          </w:hyperlink>
        </w:p>
        <w:p w14:paraId="5AA6BB81" w14:textId="3E790C8E" w:rsidR="002713DE" w:rsidRPr="00793B5E" w:rsidRDefault="002713DE" w:rsidP="00C63600">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8" w:history="1">
            <w:r w:rsidRPr="00793B5E">
              <w:rPr>
                <w:rStyle w:val="Hipervnculo"/>
                <w:noProof/>
              </w:rPr>
              <w:t>C O N S I D E R A N D O S</w:t>
            </w:r>
            <w:r w:rsidRPr="00793B5E">
              <w:rPr>
                <w:noProof/>
                <w:webHidden/>
              </w:rPr>
              <w:tab/>
            </w:r>
            <w:r w:rsidRPr="00793B5E">
              <w:rPr>
                <w:noProof/>
                <w:webHidden/>
              </w:rPr>
              <w:fldChar w:fldCharType="begin"/>
            </w:r>
            <w:r w:rsidRPr="00793B5E">
              <w:rPr>
                <w:noProof/>
                <w:webHidden/>
              </w:rPr>
              <w:instrText xml:space="preserve"> PAGEREF _Toc208339778 \h </w:instrText>
            </w:r>
            <w:r w:rsidRPr="00793B5E">
              <w:rPr>
                <w:noProof/>
                <w:webHidden/>
              </w:rPr>
            </w:r>
            <w:r w:rsidRPr="00793B5E">
              <w:rPr>
                <w:noProof/>
                <w:webHidden/>
              </w:rPr>
              <w:fldChar w:fldCharType="separate"/>
            </w:r>
            <w:r w:rsidR="00527BF6">
              <w:rPr>
                <w:noProof/>
                <w:webHidden/>
              </w:rPr>
              <w:t>8</w:t>
            </w:r>
            <w:r w:rsidRPr="00793B5E">
              <w:rPr>
                <w:noProof/>
                <w:webHidden/>
              </w:rPr>
              <w:fldChar w:fldCharType="end"/>
            </w:r>
          </w:hyperlink>
        </w:p>
        <w:p w14:paraId="49743BAC" w14:textId="093A796F"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79" w:history="1">
            <w:r w:rsidRPr="00793B5E">
              <w:rPr>
                <w:rStyle w:val="Hipervnculo"/>
                <w:noProof/>
              </w:rPr>
              <w:t>PRIMERO. Competencia</w:t>
            </w:r>
            <w:r w:rsidRPr="00793B5E">
              <w:rPr>
                <w:noProof/>
                <w:webHidden/>
              </w:rPr>
              <w:tab/>
            </w:r>
            <w:r w:rsidRPr="00793B5E">
              <w:rPr>
                <w:noProof/>
                <w:webHidden/>
              </w:rPr>
              <w:fldChar w:fldCharType="begin"/>
            </w:r>
            <w:r w:rsidRPr="00793B5E">
              <w:rPr>
                <w:noProof/>
                <w:webHidden/>
              </w:rPr>
              <w:instrText xml:space="preserve"> PAGEREF _Toc208339779 \h </w:instrText>
            </w:r>
            <w:r w:rsidRPr="00793B5E">
              <w:rPr>
                <w:noProof/>
                <w:webHidden/>
              </w:rPr>
            </w:r>
            <w:r w:rsidRPr="00793B5E">
              <w:rPr>
                <w:noProof/>
                <w:webHidden/>
              </w:rPr>
              <w:fldChar w:fldCharType="separate"/>
            </w:r>
            <w:r w:rsidR="00527BF6">
              <w:rPr>
                <w:noProof/>
                <w:webHidden/>
              </w:rPr>
              <w:t>8</w:t>
            </w:r>
            <w:r w:rsidRPr="00793B5E">
              <w:rPr>
                <w:noProof/>
                <w:webHidden/>
              </w:rPr>
              <w:fldChar w:fldCharType="end"/>
            </w:r>
          </w:hyperlink>
        </w:p>
        <w:p w14:paraId="0B222056" w14:textId="56AA98A2"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0" w:history="1">
            <w:r w:rsidRPr="00793B5E">
              <w:rPr>
                <w:rStyle w:val="Hipervnculo"/>
                <w:noProof/>
              </w:rPr>
              <w:t>SEGUNDO. Causales de improcedencia y sobreseimiento</w:t>
            </w:r>
            <w:r w:rsidRPr="00793B5E">
              <w:rPr>
                <w:noProof/>
                <w:webHidden/>
              </w:rPr>
              <w:tab/>
            </w:r>
            <w:r w:rsidRPr="00793B5E">
              <w:rPr>
                <w:noProof/>
                <w:webHidden/>
              </w:rPr>
              <w:fldChar w:fldCharType="begin"/>
            </w:r>
            <w:r w:rsidRPr="00793B5E">
              <w:rPr>
                <w:noProof/>
                <w:webHidden/>
              </w:rPr>
              <w:instrText xml:space="preserve"> PAGEREF _Toc208339780 \h </w:instrText>
            </w:r>
            <w:r w:rsidRPr="00793B5E">
              <w:rPr>
                <w:noProof/>
                <w:webHidden/>
              </w:rPr>
            </w:r>
            <w:r w:rsidRPr="00793B5E">
              <w:rPr>
                <w:noProof/>
                <w:webHidden/>
              </w:rPr>
              <w:fldChar w:fldCharType="separate"/>
            </w:r>
            <w:r w:rsidR="00527BF6">
              <w:rPr>
                <w:noProof/>
                <w:webHidden/>
              </w:rPr>
              <w:t>9</w:t>
            </w:r>
            <w:r w:rsidRPr="00793B5E">
              <w:rPr>
                <w:noProof/>
                <w:webHidden/>
              </w:rPr>
              <w:fldChar w:fldCharType="end"/>
            </w:r>
          </w:hyperlink>
        </w:p>
        <w:p w14:paraId="373F3778" w14:textId="136C4719"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1" w:history="1">
            <w:r w:rsidRPr="00793B5E">
              <w:rPr>
                <w:rStyle w:val="Hipervnculo"/>
                <w:noProof/>
              </w:rPr>
              <w:t>TERCERO. Determinación de la Controversia</w:t>
            </w:r>
            <w:r w:rsidRPr="00793B5E">
              <w:rPr>
                <w:noProof/>
                <w:webHidden/>
              </w:rPr>
              <w:tab/>
            </w:r>
            <w:r w:rsidRPr="00793B5E">
              <w:rPr>
                <w:noProof/>
                <w:webHidden/>
              </w:rPr>
              <w:fldChar w:fldCharType="begin"/>
            </w:r>
            <w:r w:rsidRPr="00793B5E">
              <w:rPr>
                <w:noProof/>
                <w:webHidden/>
              </w:rPr>
              <w:instrText xml:space="preserve"> PAGEREF _Toc208339781 \h </w:instrText>
            </w:r>
            <w:r w:rsidRPr="00793B5E">
              <w:rPr>
                <w:noProof/>
                <w:webHidden/>
              </w:rPr>
            </w:r>
            <w:r w:rsidRPr="00793B5E">
              <w:rPr>
                <w:noProof/>
                <w:webHidden/>
              </w:rPr>
              <w:fldChar w:fldCharType="separate"/>
            </w:r>
            <w:r w:rsidR="00527BF6">
              <w:rPr>
                <w:noProof/>
                <w:webHidden/>
              </w:rPr>
              <w:t>11</w:t>
            </w:r>
            <w:r w:rsidRPr="00793B5E">
              <w:rPr>
                <w:noProof/>
                <w:webHidden/>
              </w:rPr>
              <w:fldChar w:fldCharType="end"/>
            </w:r>
          </w:hyperlink>
        </w:p>
        <w:p w14:paraId="0F3FC13A" w14:textId="54194697"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2" w:history="1">
            <w:r w:rsidRPr="00793B5E">
              <w:rPr>
                <w:rStyle w:val="Hipervnculo"/>
                <w:noProof/>
              </w:rPr>
              <w:t>CUARTO. Marco normativo aplicable en materia de transparencia y acceso a la información pública</w:t>
            </w:r>
            <w:r w:rsidRPr="00793B5E">
              <w:rPr>
                <w:noProof/>
                <w:webHidden/>
              </w:rPr>
              <w:tab/>
            </w:r>
            <w:r w:rsidRPr="00793B5E">
              <w:rPr>
                <w:noProof/>
                <w:webHidden/>
              </w:rPr>
              <w:fldChar w:fldCharType="begin"/>
            </w:r>
            <w:r w:rsidRPr="00793B5E">
              <w:rPr>
                <w:noProof/>
                <w:webHidden/>
              </w:rPr>
              <w:instrText xml:space="preserve"> PAGEREF _Toc208339782 \h </w:instrText>
            </w:r>
            <w:r w:rsidRPr="00793B5E">
              <w:rPr>
                <w:noProof/>
                <w:webHidden/>
              </w:rPr>
            </w:r>
            <w:r w:rsidRPr="00793B5E">
              <w:rPr>
                <w:noProof/>
                <w:webHidden/>
              </w:rPr>
              <w:fldChar w:fldCharType="separate"/>
            </w:r>
            <w:r w:rsidR="00527BF6">
              <w:rPr>
                <w:noProof/>
                <w:webHidden/>
              </w:rPr>
              <w:t>12</w:t>
            </w:r>
            <w:r w:rsidRPr="00793B5E">
              <w:rPr>
                <w:noProof/>
                <w:webHidden/>
              </w:rPr>
              <w:fldChar w:fldCharType="end"/>
            </w:r>
          </w:hyperlink>
        </w:p>
        <w:p w14:paraId="1BE47E40" w14:textId="6623A4C7"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3" w:history="1">
            <w:r w:rsidRPr="00793B5E">
              <w:rPr>
                <w:rStyle w:val="Hipervnculo"/>
                <w:noProof/>
              </w:rPr>
              <w:t>QUINTO. Estudio de Fondo</w:t>
            </w:r>
            <w:r w:rsidRPr="00793B5E">
              <w:rPr>
                <w:noProof/>
                <w:webHidden/>
              </w:rPr>
              <w:tab/>
            </w:r>
            <w:r w:rsidRPr="00793B5E">
              <w:rPr>
                <w:noProof/>
                <w:webHidden/>
              </w:rPr>
              <w:fldChar w:fldCharType="begin"/>
            </w:r>
            <w:r w:rsidRPr="00793B5E">
              <w:rPr>
                <w:noProof/>
                <w:webHidden/>
              </w:rPr>
              <w:instrText xml:space="preserve"> PAGEREF _Toc208339783 \h </w:instrText>
            </w:r>
            <w:r w:rsidRPr="00793B5E">
              <w:rPr>
                <w:noProof/>
                <w:webHidden/>
              </w:rPr>
            </w:r>
            <w:r w:rsidRPr="00793B5E">
              <w:rPr>
                <w:noProof/>
                <w:webHidden/>
              </w:rPr>
              <w:fldChar w:fldCharType="separate"/>
            </w:r>
            <w:r w:rsidR="00527BF6">
              <w:rPr>
                <w:noProof/>
                <w:webHidden/>
              </w:rPr>
              <w:t>13</w:t>
            </w:r>
            <w:r w:rsidRPr="00793B5E">
              <w:rPr>
                <w:noProof/>
                <w:webHidden/>
              </w:rPr>
              <w:fldChar w:fldCharType="end"/>
            </w:r>
          </w:hyperlink>
        </w:p>
        <w:p w14:paraId="27CC2F39" w14:textId="418EFF3B" w:rsidR="002713DE" w:rsidRPr="00793B5E" w:rsidRDefault="002713DE" w:rsidP="00C63600">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4" w:history="1">
            <w:r w:rsidRPr="00793B5E">
              <w:rPr>
                <w:rStyle w:val="Hipervnculo"/>
                <w:noProof/>
              </w:rPr>
              <w:t>SEXTO. Decisión</w:t>
            </w:r>
            <w:r w:rsidRPr="00793B5E">
              <w:rPr>
                <w:noProof/>
                <w:webHidden/>
              </w:rPr>
              <w:tab/>
            </w:r>
            <w:r w:rsidRPr="00793B5E">
              <w:rPr>
                <w:noProof/>
                <w:webHidden/>
              </w:rPr>
              <w:fldChar w:fldCharType="begin"/>
            </w:r>
            <w:r w:rsidRPr="00793B5E">
              <w:rPr>
                <w:noProof/>
                <w:webHidden/>
              </w:rPr>
              <w:instrText xml:space="preserve"> PAGEREF _Toc208339784 \h </w:instrText>
            </w:r>
            <w:r w:rsidRPr="00793B5E">
              <w:rPr>
                <w:noProof/>
                <w:webHidden/>
              </w:rPr>
            </w:r>
            <w:r w:rsidRPr="00793B5E">
              <w:rPr>
                <w:noProof/>
                <w:webHidden/>
              </w:rPr>
              <w:fldChar w:fldCharType="separate"/>
            </w:r>
            <w:r w:rsidR="00527BF6">
              <w:rPr>
                <w:noProof/>
                <w:webHidden/>
              </w:rPr>
              <w:t>40</w:t>
            </w:r>
            <w:r w:rsidRPr="00793B5E">
              <w:rPr>
                <w:noProof/>
                <w:webHidden/>
              </w:rPr>
              <w:fldChar w:fldCharType="end"/>
            </w:r>
          </w:hyperlink>
        </w:p>
        <w:p w14:paraId="5F3C6C9B" w14:textId="247F8357" w:rsidR="002713DE" w:rsidRPr="00793B5E" w:rsidRDefault="002713DE" w:rsidP="00C63600">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8339785" w:history="1">
            <w:r w:rsidRPr="00793B5E">
              <w:rPr>
                <w:rStyle w:val="Hipervnculo"/>
                <w:noProof/>
              </w:rPr>
              <w:t>R E S U E L V E</w:t>
            </w:r>
            <w:r w:rsidRPr="00793B5E">
              <w:rPr>
                <w:noProof/>
                <w:webHidden/>
              </w:rPr>
              <w:tab/>
            </w:r>
            <w:r w:rsidRPr="00793B5E">
              <w:rPr>
                <w:noProof/>
                <w:webHidden/>
              </w:rPr>
              <w:fldChar w:fldCharType="begin"/>
            </w:r>
            <w:r w:rsidRPr="00793B5E">
              <w:rPr>
                <w:noProof/>
                <w:webHidden/>
              </w:rPr>
              <w:instrText xml:space="preserve"> PAGEREF _Toc208339785 \h </w:instrText>
            </w:r>
            <w:r w:rsidRPr="00793B5E">
              <w:rPr>
                <w:noProof/>
                <w:webHidden/>
              </w:rPr>
            </w:r>
            <w:r w:rsidRPr="00793B5E">
              <w:rPr>
                <w:noProof/>
                <w:webHidden/>
              </w:rPr>
              <w:fldChar w:fldCharType="separate"/>
            </w:r>
            <w:r w:rsidR="00527BF6">
              <w:rPr>
                <w:noProof/>
                <w:webHidden/>
              </w:rPr>
              <w:t>41</w:t>
            </w:r>
            <w:r w:rsidRPr="00793B5E">
              <w:rPr>
                <w:noProof/>
                <w:webHidden/>
              </w:rPr>
              <w:fldChar w:fldCharType="end"/>
            </w:r>
          </w:hyperlink>
        </w:p>
        <w:p w14:paraId="5B9D6C11" w14:textId="2C1F5A6A" w:rsidR="00C4052B" w:rsidRPr="00793B5E" w:rsidRDefault="00C4052B" w:rsidP="00C63600">
          <w:pPr>
            <w:spacing w:after="0" w:line="360" w:lineRule="auto"/>
            <w:rPr>
              <w:color w:val="FF0000"/>
            </w:rPr>
          </w:pPr>
          <w:r w:rsidRPr="00793B5E">
            <w:rPr>
              <w:b/>
              <w:bCs/>
              <w:color w:val="FF0000"/>
              <w:lang w:val="es-ES"/>
            </w:rPr>
            <w:fldChar w:fldCharType="end"/>
          </w:r>
        </w:p>
      </w:sdtContent>
    </w:sdt>
    <w:p w14:paraId="57481942" w14:textId="77777777" w:rsidR="00C4052B" w:rsidRPr="00793B5E" w:rsidRDefault="00C4052B" w:rsidP="00C63600">
      <w:pPr>
        <w:tabs>
          <w:tab w:val="left" w:pos="8931"/>
        </w:tabs>
        <w:spacing w:after="0" w:line="360" w:lineRule="auto"/>
        <w:rPr>
          <w:color w:val="FF0000"/>
        </w:rPr>
      </w:pPr>
    </w:p>
    <w:p w14:paraId="411B5995" w14:textId="77777777" w:rsidR="00C4052B" w:rsidRPr="00793B5E" w:rsidRDefault="00C4052B" w:rsidP="00C63600">
      <w:pPr>
        <w:tabs>
          <w:tab w:val="left" w:pos="8931"/>
        </w:tabs>
        <w:spacing w:after="0" w:line="360" w:lineRule="auto"/>
        <w:rPr>
          <w:color w:val="FF0000"/>
        </w:rPr>
      </w:pPr>
    </w:p>
    <w:p w14:paraId="6784625D" w14:textId="77777777" w:rsidR="00C4052B" w:rsidRPr="00793B5E" w:rsidRDefault="00C4052B" w:rsidP="00C63600">
      <w:pPr>
        <w:tabs>
          <w:tab w:val="left" w:pos="8931"/>
        </w:tabs>
        <w:spacing w:after="0" w:line="360" w:lineRule="auto"/>
        <w:rPr>
          <w:color w:val="FF0000"/>
        </w:rPr>
      </w:pPr>
    </w:p>
    <w:p w14:paraId="140888DD" w14:textId="77777777" w:rsidR="00C4052B" w:rsidRPr="00793B5E" w:rsidRDefault="00C4052B" w:rsidP="00C63600">
      <w:pPr>
        <w:tabs>
          <w:tab w:val="left" w:pos="8931"/>
        </w:tabs>
        <w:spacing w:after="0" w:line="360" w:lineRule="auto"/>
        <w:rPr>
          <w:color w:val="FF0000"/>
        </w:rPr>
      </w:pPr>
    </w:p>
    <w:p w14:paraId="46268890" w14:textId="77777777" w:rsidR="00C4052B" w:rsidRPr="00793B5E" w:rsidRDefault="00C4052B" w:rsidP="00C63600">
      <w:pPr>
        <w:tabs>
          <w:tab w:val="left" w:pos="8931"/>
        </w:tabs>
        <w:spacing w:after="0" w:line="360" w:lineRule="auto"/>
        <w:rPr>
          <w:color w:val="FF0000"/>
        </w:rPr>
      </w:pPr>
    </w:p>
    <w:p w14:paraId="147CC638" w14:textId="77777777" w:rsidR="00C4052B" w:rsidRPr="00793B5E" w:rsidRDefault="00C4052B" w:rsidP="00C63600">
      <w:pPr>
        <w:tabs>
          <w:tab w:val="left" w:pos="8931"/>
        </w:tabs>
        <w:spacing w:after="0" w:line="360" w:lineRule="auto"/>
        <w:rPr>
          <w:color w:val="FF0000"/>
        </w:rPr>
      </w:pPr>
    </w:p>
    <w:p w14:paraId="01BB5716" w14:textId="77777777" w:rsidR="00C4052B" w:rsidRPr="00793B5E" w:rsidRDefault="00C4052B" w:rsidP="00C63600">
      <w:pPr>
        <w:tabs>
          <w:tab w:val="left" w:pos="8931"/>
        </w:tabs>
        <w:spacing w:after="0" w:line="360" w:lineRule="auto"/>
        <w:rPr>
          <w:color w:val="FF0000"/>
        </w:rPr>
      </w:pPr>
    </w:p>
    <w:p w14:paraId="62C1CEC9" w14:textId="77777777" w:rsidR="00C4052B" w:rsidRPr="00793B5E" w:rsidRDefault="00C4052B" w:rsidP="00C63600">
      <w:pPr>
        <w:tabs>
          <w:tab w:val="left" w:pos="8931"/>
        </w:tabs>
        <w:spacing w:after="0" w:line="360" w:lineRule="auto"/>
        <w:rPr>
          <w:color w:val="FF0000"/>
        </w:rPr>
      </w:pPr>
    </w:p>
    <w:p w14:paraId="3FB7EB5E" w14:textId="6372C4AB" w:rsidR="005C690F" w:rsidRPr="00793B5E" w:rsidRDefault="007D6307" w:rsidP="00C63600">
      <w:pPr>
        <w:tabs>
          <w:tab w:val="left" w:pos="8931"/>
        </w:tabs>
        <w:spacing w:after="0" w:line="360" w:lineRule="auto"/>
        <w:rPr>
          <w:color w:val="auto"/>
        </w:rPr>
      </w:pPr>
      <w:r w:rsidRPr="00793B5E">
        <w:rPr>
          <w:color w:val="auto"/>
        </w:rPr>
        <w:t xml:space="preserve">Resolución del Pleno del Instituto de Transparencia, Acceso a la Información Pública y Protección de Datos Personales del Estado de México y Municipios, con domicilio en Metepec, Estado de México, de </w:t>
      </w:r>
      <w:r w:rsidR="00EF0C39" w:rsidRPr="00793B5E">
        <w:rPr>
          <w:color w:val="auto"/>
        </w:rPr>
        <w:t xml:space="preserve">fecha </w:t>
      </w:r>
      <w:r w:rsidR="00AF3EAF" w:rsidRPr="00793B5E">
        <w:rPr>
          <w:color w:val="auto"/>
        </w:rPr>
        <w:t>veinticuatro</w:t>
      </w:r>
      <w:r w:rsidR="000B40C7" w:rsidRPr="00793B5E">
        <w:rPr>
          <w:color w:val="auto"/>
        </w:rPr>
        <w:t xml:space="preserve"> de </w:t>
      </w:r>
      <w:r w:rsidR="00A02DDB" w:rsidRPr="00793B5E">
        <w:rPr>
          <w:color w:val="auto"/>
        </w:rPr>
        <w:t>septiembre</w:t>
      </w:r>
      <w:r w:rsidR="00CF7AA5" w:rsidRPr="00793B5E">
        <w:rPr>
          <w:color w:val="auto"/>
        </w:rPr>
        <w:t xml:space="preserve"> </w:t>
      </w:r>
      <w:r w:rsidR="00945CB8" w:rsidRPr="00793B5E">
        <w:rPr>
          <w:color w:val="auto"/>
        </w:rPr>
        <w:t>de dos mil veintic</w:t>
      </w:r>
      <w:r w:rsidR="00C11A18" w:rsidRPr="00793B5E">
        <w:rPr>
          <w:color w:val="auto"/>
        </w:rPr>
        <w:t>inco</w:t>
      </w:r>
      <w:r w:rsidRPr="00793B5E">
        <w:rPr>
          <w:color w:val="auto"/>
        </w:rPr>
        <w:t xml:space="preserve">. </w:t>
      </w:r>
    </w:p>
    <w:p w14:paraId="0DCD3B82" w14:textId="77777777" w:rsidR="005C690F" w:rsidRPr="00793B5E" w:rsidRDefault="005C690F" w:rsidP="00C63600">
      <w:pPr>
        <w:spacing w:after="0" w:line="360" w:lineRule="auto"/>
        <w:rPr>
          <w:b/>
          <w:color w:val="auto"/>
        </w:rPr>
      </w:pPr>
    </w:p>
    <w:p w14:paraId="1570B336" w14:textId="4C0AC3F4" w:rsidR="005C690F" w:rsidRPr="00793B5E" w:rsidRDefault="007D6307" w:rsidP="00C63600">
      <w:pPr>
        <w:spacing w:after="0" w:line="360" w:lineRule="auto"/>
        <w:rPr>
          <w:color w:val="auto"/>
        </w:rPr>
      </w:pPr>
      <w:r w:rsidRPr="00793B5E">
        <w:rPr>
          <w:b/>
          <w:color w:val="auto"/>
        </w:rPr>
        <w:t xml:space="preserve">VISTO </w:t>
      </w:r>
      <w:r w:rsidRPr="00793B5E">
        <w:rPr>
          <w:color w:val="auto"/>
        </w:rPr>
        <w:t xml:space="preserve">el expediente electrónico conformado con motivo del Recurso de Revisión </w:t>
      </w:r>
      <w:r w:rsidR="00EE1006" w:rsidRPr="00E87B59">
        <w:rPr>
          <w:b/>
          <w:bCs/>
          <w:color w:val="auto"/>
        </w:rPr>
        <w:t>0</w:t>
      </w:r>
      <w:r w:rsidR="00BD2A0A" w:rsidRPr="00E87B59">
        <w:rPr>
          <w:b/>
          <w:bCs/>
          <w:color w:val="auto"/>
        </w:rPr>
        <w:t>8271</w:t>
      </w:r>
      <w:r w:rsidR="000D392E" w:rsidRPr="00E87B59">
        <w:rPr>
          <w:b/>
          <w:bCs/>
          <w:color w:val="auto"/>
        </w:rPr>
        <w:t>/INFOEM/IP/RR/2025</w:t>
      </w:r>
      <w:r w:rsidRPr="00793B5E">
        <w:rPr>
          <w:bCs/>
          <w:color w:val="auto"/>
        </w:rPr>
        <w:t xml:space="preserve">, interpuesto </w:t>
      </w:r>
      <w:r w:rsidR="008415EA" w:rsidRPr="00793B5E">
        <w:rPr>
          <w:bCs/>
          <w:color w:val="auto"/>
        </w:rPr>
        <w:t>por</w:t>
      </w:r>
      <w:r w:rsidR="00EE1006" w:rsidRPr="00793B5E">
        <w:rPr>
          <w:bCs/>
          <w:color w:val="auto"/>
        </w:rPr>
        <w:t xml:space="preserve"> </w:t>
      </w:r>
      <w:r w:rsidR="00D906B2" w:rsidRPr="00793B5E">
        <w:rPr>
          <w:bCs/>
          <w:color w:val="auto"/>
        </w:rPr>
        <w:t>la persona</w:t>
      </w:r>
      <w:r w:rsidRPr="00793B5E">
        <w:rPr>
          <w:bCs/>
          <w:color w:val="auto"/>
        </w:rPr>
        <w:t xml:space="preserve"> Recurrente o Particular, en contra de la respuesta del Sujeto Obligado</w:t>
      </w:r>
      <w:r w:rsidR="00705FBB" w:rsidRPr="00793B5E">
        <w:rPr>
          <w:bCs/>
          <w:color w:val="auto"/>
        </w:rPr>
        <w:t xml:space="preserve">, </w:t>
      </w:r>
      <w:r w:rsidR="008246F7" w:rsidRPr="00E87B59">
        <w:rPr>
          <w:b/>
          <w:color w:val="auto"/>
        </w:rPr>
        <w:t>Ayuntamiento d</w:t>
      </w:r>
      <w:r w:rsidR="00EC7CBF" w:rsidRPr="00E87B59">
        <w:rPr>
          <w:b/>
          <w:color w:val="auto"/>
        </w:rPr>
        <w:t xml:space="preserve">e </w:t>
      </w:r>
      <w:r w:rsidR="00BD2A0A" w:rsidRPr="00E87B59">
        <w:rPr>
          <w:b/>
          <w:color w:val="auto"/>
        </w:rPr>
        <w:t>Apaxco</w:t>
      </w:r>
      <w:r w:rsidR="00EF0C39" w:rsidRPr="00793B5E">
        <w:rPr>
          <w:bCs/>
          <w:color w:val="auto"/>
        </w:rPr>
        <w:t>,</w:t>
      </w:r>
      <w:r w:rsidRPr="00793B5E">
        <w:rPr>
          <w:bCs/>
          <w:color w:val="auto"/>
        </w:rPr>
        <w:t xml:space="preserve"> </w:t>
      </w:r>
      <w:r w:rsidRPr="00793B5E">
        <w:rPr>
          <w:color w:val="auto"/>
        </w:rPr>
        <w:t>a la solicitud de acceso a la información pública</w:t>
      </w:r>
      <w:r w:rsidR="00800641" w:rsidRPr="00793B5E">
        <w:rPr>
          <w:color w:val="auto"/>
        </w:rPr>
        <w:t xml:space="preserve"> </w:t>
      </w:r>
      <w:r w:rsidR="00BD2A0A" w:rsidRPr="00793B5E">
        <w:rPr>
          <w:color w:val="auto"/>
        </w:rPr>
        <w:t>00055/APAXCO/IP/2025</w:t>
      </w:r>
      <w:r w:rsidRPr="00793B5E">
        <w:rPr>
          <w:color w:val="auto"/>
        </w:rPr>
        <w:t>, se emite la presente Resolución, con base en los Antecedentes y Considerandos que se exponen a continuación:</w:t>
      </w:r>
    </w:p>
    <w:p w14:paraId="1F97CEF3" w14:textId="77777777" w:rsidR="005C690F" w:rsidRPr="00793B5E" w:rsidRDefault="005C690F" w:rsidP="00C63600">
      <w:pPr>
        <w:spacing w:after="0" w:line="360" w:lineRule="auto"/>
        <w:rPr>
          <w:b/>
          <w:color w:val="FF0000"/>
        </w:rPr>
      </w:pPr>
    </w:p>
    <w:p w14:paraId="1DEAF9D3" w14:textId="24D35555" w:rsidR="005C690F" w:rsidRPr="00793B5E" w:rsidRDefault="00CD6238" w:rsidP="00C63600">
      <w:pPr>
        <w:pStyle w:val="Ttulo1"/>
        <w:spacing w:before="0" w:after="0" w:line="360" w:lineRule="auto"/>
        <w:jc w:val="center"/>
        <w:rPr>
          <w:color w:val="auto"/>
          <w:sz w:val="22"/>
          <w:szCs w:val="22"/>
        </w:rPr>
      </w:pPr>
      <w:bookmarkStart w:id="0" w:name="_Toc208339771"/>
      <w:r w:rsidRPr="00793B5E">
        <w:rPr>
          <w:color w:val="auto"/>
          <w:sz w:val="22"/>
          <w:szCs w:val="22"/>
        </w:rPr>
        <w:t>A N T E C E D E N T E S</w:t>
      </w:r>
      <w:bookmarkEnd w:id="0"/>
    </w:p>
    <w:p w14:paraId="5A7EDA4F" w14:textId="77777777" w:rsidR="005C690F" w:rsidRPr="00793B5E" w:rsidRDefault="005C690F" w:rsidP="00C63600">
      <w:pPr>
        <w:spacing w:after="0" w:line="360" w:lineRule="auto"/>
        <w:jc w:val="center"/>
        <w:rPr>
          <w:b/>
          <w:color w:val="auto"/>
        </w:rPr>
      </w:pPr>
    </w:p>
    <w:p w14:paraId="4930DAB9" w14:textId="701611A7" w:rsidR="00E22EA8" w:rsidRPr="00793B5E" w:rsidRDefault="009215C2" w:rsidP="00C63600">
      <w:pPr>
        <w:pStyle w:val="Ttulo2"/>
        <w:spacing w:before="0" w:after="0" w:line="360" w:lineRule="auto"/>
        <w:rPr>
          <w:color w:val="auto"/>
          <w:sz w:val="22"/>
          <w:szCs w:val="22"/>
          <w:lang w:eastAsia="es-ES"/>
        </w:rPr>
      </w:pPr>
      <w:bookmarkStart w:id="1" w:name="_Toc208339772"/>
      <w:r w:rsidRPr="00793B5E">
        <w:rPr>
          <w:color w:val="auto"/>
          <w:sz w:val="22"/>
          <w:szCs w:val="22"/>
          <w:lang w:eastAsia="es-ES"/>
        </w:rPr>
        <w:t xml:space="preserve">I. </w:t>
      </w:r>
      <w:r w:rsidR="00E22EA8" w:rsidRPr="00793B5E">
        <w:rPr>
          <w:color w:val="auto"/>
          <w:sz w:val="22"/>
          <w:szCs w:val="22"/>
          <w:lang w:eastAsia="es-ES"/>
        </w:rPr>
        <w:t>Presentación de la solicitud de información</w:t>
      </w:r>
      <w:bookmarkEnd w:id="1"/>
    </w:p>
    <w:p w14:paraId="63A20E25" w14:textId="77777777" w:rsidR="009215C2" w:rsidRPr="00793B5E" w:rsidRDefault="009215C2" w:rsidP="00C63600">
      <w:pPr>
        <w:spacing w:after="0" w:line="360" w:lineRule="auto"/>
        <w:rPr>
          <w:rFonts w:eastAsia="Times New Roman" w:cs="Tahoma"/>
          <w:color w:val="FF0000"/>
          <w:lang w:eastAsia="es-ES"/>
        </w:rPr>
      </w:pPr>
    </w:p>
    <w:p w14:paraId="301B8A4E" w14:textId="04204E3A" w:rsidR="00E22EA8" w:rsidRPr="00793B5E" w:rsidRDefault="00D906B2" w:rsidP="00C63600">
      <w:pPr>
        <w:spacing w:after="0" w:line="360" w:lineRule="auto"/>
        <w:rPr>
          <w:rFonts w:eastAsia="Times New Roman" w:cs="Tahoma"/>
          <w:color w:val="auto"/>
          <w:lang w:eastAsia="es-ES"/>
        </w:rPr>
      </w:pPr>
      <w:r w:rsidRPr="00793B5E">
        <w:rPr>
          <w:rFonts w:eastAsia="Times New Roman" w:cs="Tahoma"/>
          <w:color w:val="auto"/>
          <w:lang w:eastAsia="es-ES"/>
        </w:rPr>
        <w:t>El</w:t>
      </w:r>
      <w:r w:rsidR="00D52EC1" w:rsidRPr="00793B5E">
        <w:rPr>
          <w:rFonts w:eastAsia="Times New Roman" w:cs="Tahoma"/>
          <w:color w:val="auto"/>
          <w:lang w:eastAsia="es-ES"/>
        </w:rPr>
        <w:t xml:space="preserve"> </w:t>
      </w:r>
      <w:r w:rsidR="00BD2A0A" w:rsidRPr="00793B5E">
        <w:rPr>
          <w:rFonts w:eastAsia="Times New Roman" w:cs="Tahoma"/>
          <w:color w:val="auto"/>
          <w:lang w:eastAsia="es-ES"/>
        </w:rPr>
        <w:t xml:space="preserve">dieciséis de </w:t>
      </w:r>
      <w:r w:rsidR="00EF4D7B" w:rsidRPr="00793B5E">
        <w:rPr>
          <w:rFonts w:eastAsia="Times New Roman" w:cs="Tahoma"/>
          <w:color w:val="auto"/>
          <w:lang w:eastAsia="es-ES"/>
        </w:rPr>
        <w:t>junio</w:t>
      </w:r>
      <w:r w:rsidR="00BD2A0A" w:rsidRPr="00793B5E">
        <w:rPr>
          <w:rFonts w:eastAsia="Times New Roman" w:cs="Tahoma"/>
          <w:color w:val="auto"/>
          <w:lang w:eastAsia="es-ES"/>
        </w:rPr>
        <w:t xml:space="preserve"> </w:t>
      </w:r>
      <w:r w:rsidR="008E0DC4" w:rsidRPr="00793B5E">
        <w:rPr>
          <w:rFonts w:eastAsia="Times New Roman" w:cs="Tahoma"/>
          <w:color w:val="auto"/>
          <w:lang w:eastAsia="es-ES"/>
        </w:rPr>
        <w:t>de dos mil veinticinco</w:t>
      </w:r>
      <w:r w:rsidR="00BF362A" w:rsidRPr="00793B5E">
        <w:rPr>
          <w:rFonts w:eastAsia="Times New Roman" w:cs="Tahoma"/>
          <w:color w:val="auto"/>
          <w:lang w:eastAsia="es-ES"/>
        </w:rPr>
        <w:t xml:space="preserve">, </w:t>
      </w:r>
      <w:r w:rsidR="00BD2A0A" w:rsidRPr="00793B5E">
        <w:rPr>
          <w:rFonts w:eastAsia="Times New Roman" w:cs="Tahoma"/>
          <w:color w:val="auto"/>
          <w:lang w:eastAsia="es-ES"/>
        </w:rPr>
        <w:t xml:space="preserve">(ya que si bien se </w:t>
      </w:r>
      <w:proofErr w:type="spellStart"/>
      <w:r w:rsidR="00BD2A0A" w:rsidRPr="00793B5E">
        <w:rPr>
          <w:rFonts w:eastAsia="Times New Roman" w:cs="Tahoma"/>
          <w:color w:val="auto"/>
          <w:lang w:eastAsia="es-ES"/>
        </w:rPr>
        <w:t>registr</w:t>
      </w:r>
      <w:r w:rsidR="00D8427B" w:rsidRPr="00793B5E">
        <w:rPr>
          <w:rFonts w:eastAsia="Times New Roman" w:cs="Tahoma"/>
          <w:color w:val="auto"/>
          <w:lang w:eastAsia="es-ES"/>
        </w:rPr>
        <w:t>o</w:t>
      </w:r>
      <w:proofErr w:type="spellEnd"/>
      <w:r w:rsidR="00BD2A0A" w:rsidRPr="00793B5E">
        <w:rPr>
          <w:rFonts w:eastAsia="Times New Roman" w:cs="Tahoma"/>
          <w:color w:val="auto"/>
          <w:lang w:eastAsia="es-ES"/>
        </w:rPr>
        <w:t xml:space="preserve"> el</w:t>
      </w:r>
      <w:r w:rsidR="00BD2A0A" w:rsidRPr="00793B5E">
        <w:rPr>
          <w:rFonts w:eastAsia="Times New Roman" w:cs="Tahoma"/>
          <w:color w:val="auto"/>
          <w:lang w:eastAsia="es-ES"/>
        </w:rPr>
        <w:br/>
        <w:t>catorce de dicho mes y año, este fue inhábil, por lo que se tuvo por</w:t>
      </w:r>
      <w:r w:rsidR="00BD2A0A" w:rsidRPr="00793B5E">
        <w:rPr>
          <w:rFonts w:eastAsia="Times New Roman" w:cs="Tahoma"/>
          <w:color w:val="auto"/>
          <w:lang w:eastAsia="es-ES"/>
        </w:rPr>
        <w:br/>
        <w:t xml:space="preserve">presentado el día hábil siguiente), </w:t>
      </w:r>
      <w:r w:rsidR="00E22EA8" w:rsidRPr="00793B5E">
        <w:rPr>
          <w:rFonts w:eastAsia="Times New Roman" w:cs="Tahoma"/>
          <w:color w:val="auto"/>
          <w:lang w:eastAsia="es-ES"/>
        </w:rPr>
        <w:t>el Particular presentó una solicitud de acceso a la información pública, a través del Sistema de Acceso a la Información Mexiquense (SAIMEX), ante</w:t>
      </w:r>
      <w:r w:rsidR="000B3C56" w:rsidRPr="00793B5E">
        <w:rPr>
          <w:rFonts w:eastAsia="Times New Roman" w:cs="Tahoma"/>
          <w:color w:val="auto"/>
          <w:lang w:eastAsia="es-ES"/>
        </w:rPr>
        <w:t xml:space="preserve"> </w:t>
      </w:r>
      <w:r w:rsidR="00DC175C" w:rsidRPr="00793B5E">
        <w:rPr>
          <w:rFonts w:eastAsia="Times New Roman" w:cs="Tahoma"/>
          <w:color w:val="auto"/>
          <w:lang w:eastAsia="es-ES"/>
        </w:rPr>
        <w:t>el</w:t>
      </w:r>
      <w:r w:rsidR="008246F7" w:rsidRPr="00793B5E">
        <w:rPr>
          <w:color w:val="auto"/>
        </w:rPr>
        <w:t xml:space="preserve"> Ayuntamiento de </w:t>
      </w:r>
      <w:r w:rsidR="00BD2A0A" w:rsidRPr="00793B5E">
        <w:rPr>
          <w:color w:val="auto"/>
        </w:rPr>
        <w:t>Apaxco</w:t>
      </w:r>
      <w:r w:rsidR="008E0DC4" w:rsidRPr="00793B5E">
        <w:rPr>
          <w:rFonts w:eastAsia="Calibri" w:cs="Times New Roman"/>
          <w:color w:val="auto"/>
        </w:rPr>
        <w:t>,</w:t>
      </w:r>
      <w:r w:rsidR="00DC175C" w:rsidRPr="00793B5E">
        <w:rPr>
          <w:rFonts w:eastAsia="Calibri" w:cs="Tahoma"/>
          <w:color w:val="auto"/>
        </w:rPr>
        <w:t xml:space="preserve"> </w:t>
      </w:r>
      <w:r w:rsidR="00E22EA8" w:rsidRPr="00793B5E">
        <w:rPr>
          <w:rFonts w:eastAsia="Calibri" w:cs="Tahoma"/>
          <w:color w:val="auto"/>
        </w:rPr>
        <w:t xml:space="preserve">en los siguientes términos: </w:t>
      </w:r>
    </w:p>
    <w:p w14:paraId="2B959865" w14:textId="77777777" w:rsidR="00E22EA8" w:rsidRPr="00793B5E" w:rsidRDefault="00E22EA8" w:rsidP="00C63600">
      <w:pPr>
        <w:spacing w:after="0" w:line="360" w:lineRule="auto"/>
        <w:rPr>
          <w:rFonts w:eastAsia="Calibri" w:cs="Tahoma"/>
          <w:color w:val="FF0000"/>
        </w:rPr>
      </w:pPr>
    </w:p>
    <w:p w14:paraId="3FBC9D66" w14:textId="0F26255C" w:rsidR="00A41789" w:rsidRPr="00793B5E" w:rsidRDefault="00125F26" w:rsidP="00C63600">
      <w:pPr>
        <w:tabs>
          <w:tab w:val="left" w:pos="4667"/>
        </w:tabs>
        <w:spacing w:after="0" w:line="360" w:lineRule="auto"/>
        <w:ind w:left="567" w:right="567"/>
        <w:rPr>
          <w:rFonts w:eastAsia="Times New Roman" w:cs="Tahoma"/>
          <w:b/>
          <w:i/>
          <w:iCs/>
          <w:color w:val="auto"/>
          <w:sz w:val="20"/>
          <w:szCs w:val="20"/>
          <w:lang w:eastAsia="es-ES"/>
        </w:rPr>
      </w:pPr>
      <w:r w:rsidRPr="00793B5E">
        <w:rPr>
          <w:rFonts w:eastAsia="Times New Roman" w:cs="Tahoma"/>
          <w:b/>
          <w:i/>
          <w:iCs/>
          <w:color w:val="auto"/>
          <w:sz w:val="20"/>
          <w:szCs w:val="20"/>
          <w:lang w:eastAsia="es-ES"/>
        </w:rPr>
        <w:t>“</w:t>
      </w:r>
      <w:r w:rsidR="00E22EA8" w:rsidRPr="00793B5E">
        <w:rPr>
          <w:rFonts w:eastAsia="Times New Roman" w:cs="Tahoma"/>
          <w:b/>
          <w:i/>
          <w:iCs/>
          <w:color w:val="auto"/>
          <w:sz w:val="20"/>
          <w:szCs w:val="20"/>
          <w:lang w:eastAsia="es-ES"/>
        </w:rPr>
        <w:t>DESCRIPCIÓN CLARA Y PRECI</w:t>
      </w:r>
      <w:r w:rsidR="0084143D" w:rsidRPr="00793B5E">
        <w:rPr>
          <w:rFonts w:eastAsia="Times New Roman" w:cs="Tahoma"/>
          <w:b/>
          <w:i/>
          <w:iCs/>
          <w:color w:val="auto"/>
          <w:sz w:val="20"/>
          <w:szCs w:val="20"/>
          <w:lang w:eastAsia="es-ES"/>
        </w:rPr>
        <w:t xml:space="preserve">SA DE LA </w:t>
      </w:r>
      <w:r w:rsidR="00A41789" w:rsidRPr="00793B5E">
        <w:rPr>
          <w:rFonts w:eastAsia="Times New Roman" w:cs="Tahoma"/>
          <w:b/>
          <w:i/>
          <w:iCs/>
          <w:color w:val="auto"/>
          <w:sz w:val="20"/>
          <w:szCs w:val="20"/>
          <w:lang w:eastAsia="es-ES"/>
        </w:rPr>
        <w:t>INFORMACIÓN SOLICITADA</w:t>
      </w:r>
    </w:p>
    <w:p w14:paraId="2C6BC213" w14:textId="61B11B58" w:rsidR="00E22EA8" w:rsidRPr="00793B5E" w:rsidRDefault="00B757D5" w:rsidP="00C63600">
      <w:pPr>
        <w:tabs>
          <w:tab w:val="left" w:pos="4667"/>
        </w:tabs>
        <w:spacing w:after="0" w:line="360" w:lineRule="auto"/>
        <w:ind w:left="567" w:right="567"/>
        <w:rPr>
          <w:i/>
          <w:iCs/>
          <w:color w:val="auto"/>
          <w:sz w:val="20"/>
          <w:szCs w:val="20"/>
        </w:rPr>
      </w:pPr>
      <w:r w:rsidRPr="00793B5E">
        <w:rPr>
          <w:i/>
          <w:iCs/>
          <w:color w:val="auto"/>
          <w:sz w:val="20"/>
          <w:szCs w:val="20"/>
        </w:rPr>
        <w:t>SOLICITO EL PADRÓN VEHICULAR DEL MUNICIPIO DETALLANDO MARCA, MODELO, AÑO, ESTADO DE USO, KILOMETRAJE, RENDIMIENTO EN CONSUMO DE COMBUSTIBLES, MANTENIMIENTOS REALIZADOS, ASÍ COMO EL DESGLOSE DEL CONSUMO MENSUAL DE COMBUSTIBLES DETALLADO POR ÁREA O DIRECCIÓN</w:t>
      </w:r>
      <w:r w:rsidR="009215C2" w:rsidRPr="00793B5E">
        <w:rPr>
          <w:i/>
          <w:iCs/>
          <w:color w:val="auto"/>
          <w:sz w:val="20"/>
          <w:szCs w:val="20"/>
        </w:rPr>
        <w:t>”</w:t>
      </w:r>
      <w:r w:rsidR="00857C17" w:rsidRPr="00793B5E">
        <w:rPr>
          <w:i/>
          <w:iCs/>
          <w:color w:val="auto"/>
          <w:sz w:val="20"/>
          <w:szCs w:val="20"/>
        </w:rPr>
        <w:t xml:space="preserve"> (Sic.)</w:t>
      </w:r>
    </w:p>
    <w:p w14:paraId="5E88ED39" w14:textId="77777777" w:rsidR="00BF362A" w:rsidRPr="00793B5E" w:rsidRDefault="00BF362A" w:rsidP="00C63600">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793B5E" w:rsidRDefault="00125F26" w:rsidP="00C63600">
      <w:pPr>
        <w:tabs>
          <w:tab w:val="left" w:pos="4667"/>
        </w:tabs>
        <w:spacing w:after="0" w:line="360" w:lineRule="auto"/>
        <w:ind w:left="567" w:right="567"/>
        <w:rPr>
          <w:rFonts w:eastAsia="Times New Roman" w:cs="Tahoma"/>
          <w:b/>
          <w:bCs/>
          <w:i/>
          <w:iCs/>
          <w:color w:val="auto"/>
          <w:sz w:val="20"/>
          <w:lang w:eastAsia="es-ES"/>
        </w:rPr>
      </w:pPr>
      <w:r w:rsidRPr="00793B5E">
        <w:rPr>
          <w:rFonts w:eastAsia="Times New Roman" w:cs="Tahoma"/>
          <w:b/>
          <w:bCs/>
          <w:i/>
          <w:iCs/>
          <w:color w:val="auto"/>
          <w:sz w:val="20"/>
          <w:lang w:eastAsia="es-ES"/>
        </w:rPr>
        <w:t>“</w:t>
      </w:r>
      <w:r w:rsidR="00E22EA8" w:rsidRPr="00793B5E">
        <w:rPr>
          <w:rFonts w:eastAsia="Times New Roman" w:cs="Tahoma"/>
          <w:b/>
          <w:bCs/>
          <w:i/>
          <w:iCs/>
          <w:color w:val="auto"/>
          <w:sz w:val="20"/>
          <w:lang w:eastAsia="es-ES"/>
        </w:rPr>
        <w:t>MODALIDAD DE ENTREGA</w:t>
      </w:r>
    </w:p>
    <w:p w14:paraId="3CA8F82F" w14:textId="1B5A8200" w:rsidR="00EB386A" w:rsidRPr="00793B5E" w:rsidRDefault="00BB6693" w:rsidP="00C63600">
      <w:pPr>
        <w:spacing w:after="0" w:line="360" w:lineRule="auto"/>
        <w:ind w:left="567" w:right="567"/>
        <w:rPr>
          <w:rFonts w:eastAsia="Times New Roman" w:cs="Arial"/>
          <w:bCs/>
          <w:i/>
          <w:iCs/>
          <w:color w:val="auto"/>
          <w:sz w:val="20"/>
          <w:lang w:eastAsia="es-ES"/>
        </w:rPr>
      </w:pPr>
      <w:r w:rsidRPr="00793B5E">
        <w:rPr>
          <w:rFonts w:eastAsia="Times New Roman" w:cs="Arial"/>
          <w:bCs/>
          <w:i/>
          <w:iCs/>
          <w:color w:val="auto"/>
          <w:sz w:val="20"/>
          <w:lang w:eastAsia="es-ES"/>
        </w:rPr>
        <w:t>A través del SAIMEX</w:t>
      </w:r>
      <w:r w:rsidR="00E22EA8" w:rsidRPr="00793B5E">
        <w:rPr>
          <w:rFonts w:eastAsia="Times New Roman" w:cs="Arial"/>
          <w:bCs/>
          <w:i/>
          <w:iCs/>
          <w:color w:val="auto"/>
          <w:sz w:val="20"/>
          <w:lang w:eastAsia="es-ES"/>
        </w:rPr>
        <w:t>”</w:t>
      </w:r>
    </w:p>
    <w:p w14:paraId="50746846" w14:textId="77777777" w:rsidR="00B757D5" w:rsidRPr="00793B5E" w:rsidRDefault="00B757D5" w:rsidP="00C63600">
      <w:pPr>
        <w:pStyle w:val="Ttulo2"/>
        <w:spacing w:before="0" w:after="0" w:line="360" w:lineRule="auto"/>
        <w:rPr>
          <w:color w:val="FF0000"/>
          <w:sz w:val="22"/>
          <w:szCs w:val="22"/>
        </w:rPr>
      </w:pPr>
    </w:p>
    <w:p w14:paraId="7D2A95DA" w14:textId="0143863D" w:rsidR="002207FA" w:rsidRPr="00793B5E" w:rsidRDefault="00EF4D7B" w:rsidP="00C63600">
      <w:pPr>
        <w:pStyle w:val="Ttulo2"/>
        <w:spacing w:before="0" w:after="0" w:line="360" w:lineRule="auto"/>
        <w:rPr>
          <w:color w:val="auto"/>
          <w:sz w:val="22"/>
          <w:szCs w:val="22"/>
        </w:rPr>
      </w:pPr>
      <w:bookmarkStart w:id="2" w:name="_Toc208339773"/>
      <w:r w:rsidRPr="00793B5E">
        <w:rPr>
          <w:color w:val="auto"/>
          <w:sz w:val="22"/>
          <w:szCs w:val="22"/>
        </w:rPr>
        <w:t>II. Requerimiento de aclaración a la solicitud de acceso a la información</w:t>
      </w:r>
      <w:bookmarkEnd w:id="2"/>
    </w:p>
    <w:p w14:paraId="22F0307A" w14:textId="77777777" w:rsidR="00EF4D7B" w:rsidRPr="00793B5E" w:rsidRDefault="00EF4D7B" w:rsidP="00C63600">
      <w:pPr>
        <w:spacing w:after="0" w:line="360" w:lineRule="auto"/>
      </w:pPr>
    </w:p>
    <w:p w14:paraId="3A52DFA7" w14:textId="3C00FF86" w:rsidR="00EF4D7B" w:rsidRPr="00793B5E" w:rsidRDefault="00EF4D7B" w:rsidP="00C63600">
      <w:pPr>
        <w:spacing w:after="0" w:line="360" w:lineRule="auto"/>
        <w:rPr>
          <w:rFonts w:eastAsia="Times New Roman" w:cs="Tahoma"/>
          <w:color w:val="auto"/>
          <w:lang w:eastAsia="es-ES"/>
        </w:rPr>
      </w:pPr>
      <w:r w:rsidRPr="00793B5E">
        <w:rPr>
          <w:rFonts w:eastAsia="Times New Roman" w:cs="Tahoma"/>
          <w:color w:val="auto"/>
          <w:lang w:eastAsia="es-ES"/>
        </w:rPr>
        <w:t xml:space="preserve">El </w:t>
      </w:r>
      <w:r w:rsidR="0061690C" w:rsidRPr="00793B5E">
        <w:rPr>
          <w:rFonts w:eastAsia="Times New Roman" w:cs="Tahoma"/>
          <w:color w:val="auto"/>
          <w:lang w:eastAsia="es-ES"/>
        </w:rPr>
        <w:t xml:space="preserve">dieciocho de junio de </w:t>
      </w:r>
      <w:r w:rsidR="004402A7" w:rsidRPr="00793B5E">
        <w:rPr>
          <w:rFonts w:eastAsia="Times New Roman" w:cs="Tahoma"/>
          <w:color w:val="auto"/>
          <w:lang w:eastAsia="es-ES"/>
        </w:rPr>
        <w:t xml:space="preserve">dos mil veinticinco, la </w:t>
      </w:r>
      <w:r w:rsidRPr="00793B5E">
        <w:rPr>
          <w:rFonts w:eastAsia="Times New Roman" w:cs="Tahoma"/>
          <w:color w:val="auto"/>
          <w:lang w:eastAsia="es-ES"/>
        </w:rPr>
        <w:t>Unidad de Transparencia del Ayuntamiento de</w:t>
      </w:r>
      <w:r w:rsidR="004402A7" w:rsidRPr="00793B5E">
        <w:rPr>
          <w:rFonts w:eastAsia="Times New Roman" w:cs="Tahoma"/>
          <w:color w:val="auto"/>
          <w:lang w:eastAsia="es-ES"/>
        </w:rPr>
        <w:t xml:space="preserve"> Apaxco, </w:t>
      </w:r>
      <w:r w:rsidRPr="00793B5E">
        <w:rPr>
          <w:rFonts w:eastAsia="Times New Roman" w:cs="Tahoma"/>
          <w:color w:val="auto"/>
          <w:lang w:eastAsia="es-ES"/>
        </w:rPr>
        <w:t>notificó al Particular, mediante el Sis</w:t>
      </w:r>
      <w:r w:rsidR="004402A7" w:rsidRPr="00793B5E">
        <w:rPr>
          <w:rFonts w:eastAsia="Times New Roman" w:cs="Tahoma"/>
          <w:color w:val="auto"/>
          <w:lang w:eastAsia="es-ES"/>
        </w:rPr>
        <w:t xml:space="preserve">tema de Acceso a la Información </w:t>
      </w:r>
      <w:r w:rsidRPr="00793B5E">
        <w:rPr>
          <w:rFonts w:eastAsia="Times New Roman" w:cs="Tahoma"/>
          <w:color w:val="auto"/>
          <w:lang w:eastAsia="es-ES"/>
        </w:rPr>
        <w:t>Mexiquense (SAIMEX), un requerimiento de informac</w:t>
      </w:r>
      <w:r w:rsidR="004402A7" w:rsidRPr="00793B5E">
        <w:rPr>
          <w:rFonts w:eastAsia="Times New Roman" w:cs="Tahoma"/>
          <w:color w:val="auto"/>
          <w:lang w:eastAsia="es-ES"/>
        </w:rPr>
        <w:t xml:space="preserve">ión adicional a la solicitud de </w:t>
      </w:r>
      <w:r w:rsidRPr="00793B5E">
        <w:rPr>
          <w:rFonts w:eastAsia="Times New Roman" w:cs="Tahoma"/>
          <w:color w:val="auto"/>
          <w:lang w:eastAsia="es-ES"/>
        </w:rPr>
        <w:t>información previamente referida, en los siguientes términos:</w:t>
      </w:r>
    </w:p>
    <w:p w14:paraId="0CAD9537" w14:textId="77777777" w:rsidR="008E5A72" w:rsidRPr="00793B5E" w:rsidRDefault="008E5A72" w:rsidP="00C63600">
      <w:pPr>
        <w:spacing w:after="0" w:line="360" w:lineRule="auto"/>
        <w:rPr>
          <w:rFonts w:eastAsia="Times New Roman" w:cs="Tahoma"/>
          <w:color w:val="auto"/>
          <w:lang w:eastAsia="es-ES"/>
        </w:rPr>
      </w:pPr>
    </w:p>
    <w:p w14:paraId="0D578FF3" w14:textId="5C5373A7" w:rsidR="004402A7" w:rsidRPr="00793B5E" w:rsidRDefault="003E7FFD"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“…Con fundamento en el </w:t>
      </w:r>
      <w:proofErr w:type="spellStart"/>
      <w:r w:rsidRPr="00793B5E">
        <w:rPr>
          <w:i/>
          <w:iCs/>
          <w:color w:val="auto"/>
          <w:sz w:val="20"/>
          <w:szCs w:val="20"/>
        </w:rPr>
        <w:t>articulo</w:t>
      </w:r>
      <w:proofErr w:type="spellEnd"/>
      <w:r w:rsidRPr="00793B5E">
        <w:rPr>
          <w:i/>
          <w:iCs/>
          <w:color w:val="auto"/>
          <w:sz w:val="20"/>
          <w:szCs w:val="20"/>
        </w:rPr>
        <w:t xml:space="preserve"> 159 de la Ley de Transparencia y Acceso a la Información Pública del Estado de México y Municipios, se le requiere para que dentro del plazo de diez días hábiles realice lo siguiente:</w:t>
      </w:r>
    </w:p>
    <w:p w14:paraId="5F71F5E2" w14:textId="77777777" w:rsidR="003E7FFD" w:rsidRPr="00793B5E" w:rsidRDefault="003E7FFD" w:rsidP="00C63600">
      <w:pPr>
        <w:tabs>
          <w:tab w:val="left" w:pos="4667"/>
        </w:tabs>
        <w:spacing w:after="0" w:line="360" w:lineRule="auto"/>
        <w:ind w:left="567" w:right="567"/>
        <w:rPr>
          <w:i/>
          <w:iCs/>
          <w:color w:val="auto"/>
          <w:sz w:val="20"/>
          <w:szCs w:val="20"/>
        </w:rPr>
      </w:pPr>
    </w:p>
    <w:p w14:paraId="31F2D4F7" w14:textId="029BA32E" w:rsidR="003E7FFD" w:rsidRPr="00793B5E" w:rsidRDefault="003E7FFD" w:rsidP="00C63600">
      <w:pPr>
        <w:tabs>
          <w:tab w:val="left" w:pos="4667"/>
        </w:tabs>
        <w:spacing w:after="0" w:line="360" w:lineRule="auto"/>
        <w:ind w:left="567" w:right="567"/>
        <w:rPr>
          <w:i/>
          <w:iCs/>
          <w:color w:val="auto"/>
          <w:sz w:val="20"/>
          <w:szCs w:val="20"/>
        </w:rPr>
      </w:pPr>
      <w:r w:rsidRPr="00793B5E">
        <w:rPr>
          <w:i/>
          <w:iCs/>
          <w:color w:val="auto"/>
          <w:sz w:val="20"/>
          <w:szCs w:val="20"/>
        </w:rPr>
        <w:t>Con fundamento en lo dispuesto por el artículo 159 párrafo primero, de la Ley de Transparencia y Acceso a la Información Pública del Estado de México y Municipios, solicito proporcione más detalles para la localización de la información solicitada, así como hacer referencia si la información requerida es de este Ayuntamiento de Apaxco, Estado de México, toda vez que de su Solicitud de Información Pública no hace referencia de que municipio requiere dicha información.</w:t>
      </w:r>
    </w:p>
    <w:p w14:paraId="27CFDE79" w14:textId="77777777" w:rsidR="003E7FFD" w:rsidRPr="00793B5E" w:rsidRDefault="003E7FFD" w:rsidP="00C63600">
      <w:pPr>
        <w:tabs>
          <w:tab w:val="left" w:pos="4667"/>
        </w:tabs>
        <w:spacing w:after="0" w:line="360" w:lineRule="auto"/>
        <w:ind w:left="567" w:right="567"/>
        <w:rPr>
          <w:i/>
          <w:iCs/>
          <w:color w:val="auto"/>
          <w:sz w:val="20"/>
          <w:szCs w:val="20"/>
        </w:rPr>
      </w:pPr>
    </w:p>
    <w:p w14:paraId="6C969BBA" w14:textId="2CBA3A74" w:rsidR="003E7FFD" w:rsidRPr="00793B5E" w:rsidRDefault="003E7FFD" w:rsidP="00C63600">
      <w:pPr>
        <w:tabs>
          <w:tab w:val="left" w:pos="4667"/>
        </w:tabs>
        <w:spacing w:after="0" w:line="360" w:lineRule="auto"/>
        <w:ind w:left="567" w:right="567"/>
        <w:rPr>
          <w:i/>
          <w:iCs/>
          <w:color w:val="auto"/>
          <w:sz w:val="20"/>
          <w:szCs w:val="20"/>
        </w:rPr>
      </w:pPr>
      <w:r w:rsidRPr="00793B5E">
        <w:rPr>
          <w:i/>
          <w:iCs/>
          <w:color w:val="auto"/>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1579FA" w14:textId="77777777" w:rsidR="008E5A72" w:rsidRPr="00793B5E" w:rsidRDefault="008E5A72" w:rsidP="00C63600">
      <w:pPr>
        <w:pStyle w:val="Ttulo2"/>
        <w:spacing w:before="0" w:after="0" w:line="360" w:lineRule="auto"/>
        <w:rPr>
          <w:color w:val="auto"/>
          <w:sz w:val="22"/>
          <w:szCs w:val="22"/>
        </w:rPr>
      </w:pPr>
    </w:p>
    <w:p w14:paraId="185AD69F" w14:textId="6F65EAFF" w:rsidR="00EF4D7B" w:rsidRPr="00793B5E" w:rsidRDefault="008E5A72" w:rsidP="00C63600">
      <w:pPr>
        <w:pStyle w:val="Ttulo2"/>
        <w:spacing w:before="0" w:after="0" w:line="360" w:lineRule="auto"/>
        <w:rPr>
          <w:color w:val="auto"/>
          <w:sz w:val="22"/>
          <w:szCs w:val="22"/>
        </w:rPr>
      </w:pPr>
      <w:bookmarkStart w:id="3" w:name="_Toc208339774"/>
      <w:r w:rsidRPr="00793B5E">
        <w:rPr>
          <w:color w:val="auto"/>
          <w:sz w:val="22"/>
          <w:szCs w:val="22"/>
        </w:rPr>
        <w:t>III. Contestación al requerimiento de aclaración</w:t>
      </w:r>
      <w:bookmarkEnd w:id="3"/>
    </w:p>
    <w:p w14:paraId="44D50BE9" w14:textId="77777777" w:rsidR="008E5A72" w:rsidRPr="00793B5E" w:rsidRDefault="008E5A72" w:rsidP="00C63600">
      <w:pPr>
        <w:spacing w:after="0" w:line="360" w:lineRule="auto"/>
      </w:pPr>
    </w:p>
    <w:p w14:paraId="33F51D1E" w14:textId="31614806" w:rsidR="008E5A72" w:rsidRPr="00793B5E" w:rsidRDefault="008E5A72" w:rsidP="00C63600">
      <w:pPr>
        <w:spacing w:after="0" w:line="360" w:lineRule="auto"/>
        <w:rPr>
          <w:rFonts w:eastAsia="Times New Roman" w:cs="Tahoma"/>
          <w:color w:val="auto"/>
          <w:lang w:eastAsia="es-ES"/>
        </w:rPr>
      </w:pPr>
      <w:r w:rsidRPr="00793B5E">
        <w:lastRenderedPageBreak/>
        <w:t>E</w:t>
      </w:r>
      <w:r w:rsidRPr="00793B5E">
        <w:rPr>
          <w:rFonts w:eastAsia="Times New Roman" w:cs="Tahoma"/>
          <w:color w:val="auto"/>
          <w:lang w:eastAsia="es-ES"/>
        </w:rPr>
        <w:t>l veintiuno de junio de dos mil veinticinco, el Particular respondió al requerimiento de aclaración referido, mediante el Sistema de Acceso a la Información Mexiquense (SAIMEX), en los términos siguientes:</w:t>
      </w:r>
    </w:p>
    <w:p w14:paraId="7C14EEC2" w14:textId="77777777" w:rsidR="008E5A72" w:rsidRPr="00793B5E" w:rsidRDefault="008E5A72" w:rsidP="00C63600">
      <w:pPr>
        <w:spacing w:after="0" w:line="360" w:lineRule="auto"/>
        <w:rPr>
          <w:rFonts w:eastAsia="Times New Roman" w:cs="Tahoma"/>
          <w:color w:val="auto"/>
          <w:lang w:eastAsia="es-ES"/>
        </w:rPr>
      </w:pPr>
    </w:p>
    <w:p w14:paraId="4A188DD9" w14:textId="1451D8F3" w:rsidR="008E5A72" w:rsidRPr="00793B5E" w:rsidRDefault="00C9744D" w:rsidP="00C63600">
      <w:pPr>
        <w:tabs>
          <w:tab w:val="left" w:pos="4667"/>
        </w:tabs>
        <w:spacing w:after="0" w:line="360" w:lineRule="auto"/>
        <w:ind w:left="567" w:right="567"/>
        <w:rPr>
          <w:i/>
          <w:iCs/>
          <w:color w:val="auto"/>
          <w:sz w:val="20"/>
          <w:szCs w:val="20"/>
        </w:rPr>
      </w:pPr>
      <w:r w:rsidRPr="00793B5E">
        <w:rPr>
          <w:i/>
          <w:iCs/>
          <w:color w:val="auto"/>
          <w:sz w:val="20"/>
          <w:szCs w:val="20"/>
        </w:rPr>
        <w:t>“…LA SOLICITUD FUE PRESENTADA AL MUNICIPIO DE APAXCO, ESTADO DE MÉXICO. SOLICITA PADRÓN VEHICULAR DEL MUNICIPIO. ESTO ENGLOBA CANTIDAD TOTAL DE VEHÍCULOS, INCLUYENDO TANTO LOS QUE ESTÁN EN FUNCIONES COMO AQUELLOS QUE AUNQUE SON PROPIEDAD MUNICIPAL YA NO FUNCIONAN, MARCA, MODELO, AÑO DE ADQUISICIÓN, ÁREA ASIGNADA, CONSUMO DE COMBUSTIBLE, SERVICIOS REALIZADOS…” (Sic)</w:t>
      </w:r>
    </w:p>
    <w:p w14:paraId="266B74FE" w14:textId="77777777" w:rsidR="008E5A72" w:rsidRPr="00793B5E" w:rsidRDefault="008E5A72" w:rsidP="00C63600">
      <w:pPr>
        <w:spacing w:after="0" w:line="360" w:lineRule="auto"/>
        <w:rPr>
          <w:rFonts w:eastAsia="Times New Roman" w:cs="Tahoma"/>
          <w:color w:val="auto"/>
          <w:lang w:eastAsia="es-ES"/>
        </w:rPr>
      </w:pPr>
    </w:p>
    <w:p w14:paraId="0A604AAC" w14:textId="58A4D235" w:rsidR="00E22EA8" w:rsidRPr="00793B5E" w:rsidRDefault="000B3C56" w:rsidP="00C63600">
      <w:pPr>
        <w:pStyle w:val="Ttulo2"/>
        <w:spacing w:before="0" w:after="0" w:line="360" w:lineRule="auto"/>
        <w:rPr>
          <w:color w:val="auto"/>
          <w:sz w:val="22"/>
          <w:szCs w:val="22"/>
        </w:rPr>
      </w:pPr>
      <w:bookmarkStart w:id="4" w:name="_Toc208339775"/>
      <w:r w:rsidRPr="00793B5E">
        <w:rPr>
          <w:rFonts w:cs="Tahoma"/>
          <w:color w:val="auto"/>
          <w:sz w:val="22"/>
          <w:szCs w:val="22"/>
        </w:rPr>
        <w:t>I</w:t>
      </w:r>
      <w:r w:rsidR="005F36B6" w:rsidRPr="00793B5E">
        <w:rPr>
          <w:rFonts w:cs="Tahoma"/>
          <w:color w:val="auto"/>
          <w:sz w:val="22"/>
          <w:szCs w:val="22"/>
        </w:rPr>
        <w:t>V</w:t>
      </w:r>
      <w:r w:rsidR="00E22EA8" w:rsidRPr="00793B5E">
        <w:rPr>
          <w:rFonts w:cs="Tahoma"/>
          <w:color w:val="auto"/>
          <w:sz w:val="22"/>
          <w:szCs w:val="22"/>
        </w:rPr>
        <w:t>.</w:t>
      </w:r>
      <w:r w:rsidR="00E22EA8" w:rsidRPr="00793B5E">
        <w:rPr>
          <w:color w:val="auto"/>
          <w:sz w:val="22"/>
          <w:szCs w:val="22"/>
        </w:rPr>
        <w:t xml:space="preserve"> Respuesta del Sujeto Obligado</w:t>
      </w:r>
      <w:bookmarkEnd w:id="4"/>
    </w:p>
    <w:p w14:paraId="10CE94A9" w14:textId="77777777" w:rsidR="00C06004" w:rsidRPr="00793B5E" w:rsidRDefault="00C06004" w:rsidP="00C63600">
      <w:pPr>
        <w:autoSpaceDE w:val="0"/>
        <w:autoSpaceDN w:val="0"/>
        <w:adjustRightInd w:val="0"/>
        <w:spacing w:after="0" w:line="360" w:lineRule="auto"/>
        <w:rPr>
          <w:b/>
          <w:bCs/>
          <w:color w:val="FF0000"/>
        </w:rPr>
      </w:pPr>
    </w:p>
    <w:p w14:paraId="0378D637" w14:textId="1F566D60" w:rsidR="005F36B6" w:rsidRPr="00793B5E" w:rsidRDefault="00EB386A" w:rsidP="00C63600">
      <w:pPr>
        <w:spacing w:after="0" w:line="360" w:lineRule="auto"/>
        <w:rPr>
          <w:color w:val="auto"/>
        </w:rPr>
      </w:pPr>
      <w:r w:rsidRPr="00793B5E">
        <w:rPr>
          <w:color w:val="auto"/>
        </w:rPr>
        <w:t xml:space="preserve">El </w:t>
      </w:r>
      <w:r w:rsidR="005F36B6" w:rsidRPr="00793B5E">
        <w:rPr>
          <w:color w:val="auto"/>
        </w:rPr>
        <w:t xml:space="preserve">siete de julio de dos mil veinticinco, </w:t>
      </w:r>
      <w:r w:rsidR="00E22EA8" w:rsidRPr="00793B5E">
        <w:rPr>
          <w:color w:val="auto"/>
        </w:rPr>
        <w:t xml:space="preserve">el Sujeto Obligado notificó, a través del Sistema de Acceso a la Información Mexiquense (SAIMEX), la respuesta a la solicitud de acceso a la información pública, </w:t>
      </w:r>
      <w:r w:rsidR="00322E84" w:rsidRPr="00793B5E">
        <w:rPr>
          <w:color w:val="auto"/>
        </w:rPr>
        <w:t xml:space="preserve">a través de </w:t>
      </w:r>
      <w:r w:rsidR="005F36B6" w:rsidRPr="00793B5E">
        <w:rPr>
          <w:color w:val="auto"/>
        </w:rPr>
        <w:t>la digitalización de los siguientes documentos:</w:t>
      </w:r>
    </w:p>
    <w:p w14:paraId="51AEB592" w14:textId="7C2455CA" w:rsidR="005F36B6" w:rsidRPr="00793B5E" w:rsidRDefault="005F36B6" w:rsidP="00C63600">
      <w:pPr>
        <w:spacing w:after="0" w:line="360" w:lineRule="auto"/>
        <w:rPr>
          <w:color w:val="auto"/>
        </w:rPr>
      </w:pPr>
    </w:p>
    <w:p w14:paraId="18FC3426" w14:textId="4626D7DF" w:rsidR="009B4075" w:rsidRPr="00793B5E" w:rsidRDefault="009B4075" w:rsidP="00C63600">
      <w:pPr>
        <w:spacing w:after="0" w:line="360" w:lineRule="auto"/>
        <w:rPr>
          <w:color w:val="auto"/>
        </w:rPr>
      </w:pPr>
      <w:r w:rsidRPr="00793B5E">
        <w:rPr>
          <w:color w:val="auto"/>
        </w:rPr>
        <w:t>i. Oficio SA/DPM/0086/2025 del veintiséis de junio de dos mil veinticinco, suscrito por el Coordinador de Patrimonio Municipal, dirigido a la Titular de la Unidad de Transparencia, por medio del cual se menciona lo siguiente:</w:t>
      </w:r>
    </w:p>
    <w:p w14:paraId="5B3469AA" w14:textId="77777777" w:rsidR="009B4075" w:rsidRPr="00793B5E" w:rsidRDefault="009B4075" w:rsidP="00C63600">
      <w:pPr>
        <w:spacing w:after="0" w:line="360" w:lineRule="auto"/>
        <w:rPr>
          <w:color w:val="auto"/>
        </w:rPr>
      </w:pPr>
    </w:p>
    <w:p w14:paraId="040A2029" w14:textId="24EC9692" w:rsidR="0057387B" w:rsidRPr="00793B5E" w:rsidRDefault="0057387B"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“…Sea este el conducto para enviarle un saludo y al mismo tiempo solicitarle con fundamento en los artículos 45.47,49 fracciones I y VIII de la Ley de Transparencia y Acceso a la Información Pública del Estado de México y Municipios, solicito someter a sesión de comité de Transparencia el Proyecto de clasificación y de información clasificada solicitada mediante la solicitud </w:t>
      </w:r>
      <w:r w:rsidRPr="00793B5E">
        <w:rPr>
          <w:b/>
          <w:i/>
          <w:iCs/>
          <w:color w:val="auto"/>
          <w:sz w:val="20"/>
          <w:szCs w:val="20"/>
        </w:rPr>
        <w:t>00055/APAXCO/IP/2025</w:t>
      </w:r>
    </w:p>
    <w:p w14:paraId="2835837A" w14:textId="20D42CDD" w:rsidR="005F36B6" w:rsidRPr="00793B5E" w:rsidRDefault="0057387B" w:rsidP="00C63600">
      <w:pPr>
        <w:tabs>
          <w:tab w:val="left" w:pos="4667"/>
        </w:tabs>
        <w:spacing w:after="0" w:line="360" w:lineRule="auto"/>
        <w:ind w:left="567" w:right="567"/>
        <w:rPr>
          <w:i/>
          <w:iCs/>
          <w:color w:val="auto"/>
          <w:sz w:val="20"/>
          <w:szCs w:val="20"/>
        </w:rPr>
      </w:pPr>
      <w:r w:rsidRPr="00793B5E">
        <w:rPr>
          <w:i/>
          <w:iCs/>
          <w:color w:val="auto"/>
          <w:sz w:val="20"/>
          <w:szCs w:val="20"/>
        </w:rPr>
        <w:lastRenderedPageBreak/>
        <w:t xml:space="preserve"> En este sentido, con fundamento en lo dispuesto por los artículos 122,125,129 y 143, de la Ley de Trasparencia y Acceso a la Información Pública del Estado de México y Municipios, se solicita se apruebe un proyecto de confidencialidad…” </w:t>
      </w:r>
      <w:r w:rsidR="00E23D55" w:rsidRPr="00793B5E">
        <w:rPr>
          <w:i/>
          <w:iCs/>
          <w:color w:val="auto"/>
          <w:sz w:val="20"/>
          <w:szCs w:val="20"/>
        </w:rPr>
        <w:t>(Sic)</w:t>
      </w:r>
    </w:p>
    <w:p w14:paraId="56874DAF" w14:textId="77777777" w:rsidR="00C75BAD" w:rsidRPr="00793B5E" w:rsidRDefault="00C75BAD" w:rsidP="00C63600">
      <w:pPr>
        <w:spacing w:after="0" w:line="360" w:lineRule="auto"/>
        <w:rPr>
          <w:color w:val="auto"/>
        </w:rPr>
      </w:pPr>
    </w:p>
    <w:p w14:paraId="1E9401B3" w14:textId="33626593" w:rsidR="00492142" w:rsidRPr="00793B5E" w:rsidRDefault="00C75BAD" w:rsidP="00C63600">
      <w:pPr>
        <w:spacing w:after="0" w:line="360" w:lineRule="auto"/>
        <w:rPr>
          <w:color w:val="auto"/>
        </w:rPr>
      </w:pPr>
      <w:r w:rsidRPr="00793B5E">
        <w:rPr>
          <w:color w:val="auto"/>
        </w:rPr>
        <w:t>ii. Proyecto de Confidencialidad Clasificación Confidencial y Reserva de Información</w:t>
      </w:r>
      <w:r w:rsidR="00894E92" w:rsidRPr="00793B5E">
        <w:rPr>
          <w:color w:val="auto"/>
        </w:rPr>
        <w:t>, suscrito por el Coordinador de Patrimonio Municipal, por medio del cual se solicita al Comité de Transparencia se apruebe el proyecto de información clasificación, confidencialidad y reserva de la información solicitada por que la misma es información  sensible que debe ser reservada por poner en riesgo el patrimonio y seguridad pública, así como el interés público.</w:t>
      </w:r>
    </w:p>
    <w:p w14:paraId="30BB2C5E" w14:textId="77777777" w:rsidR="00875233" w:rsidRPr="00793B5E" w:rsidRDefault="00875233" w:rsidP="00C63600">
      <w:pPr>
        <w:spacing w:after="0" w:line="360" w:lineRule="auto"/>
        <w:rPr>
          <w:color w:val="auto"/>
        </w:rPr>
      </w:pPr>
    </w:p>
    <w:p w14:paraId="17A1E4CC" w14:textId="1F589C26" w:rsidR="00875233" w:rsidRPr="00793B5E" w:rsidRDefault="00875233" w:rsidP="00C63600">
      <w:pPr>
        <w:spacing w:after="0" w:line="360" w:lineRule="auto"/>
        <w:rPr>
          <w:color w:val="auto"/>
        </w:rPr>
      </w:pPr>
      <w:r w:rsidRPr="00793B5E">
        <w:rPr>
          <w:color w:val="auto"/>
        </w:rPr>
        <w:t>iii. Acta de la Séptima Sesión Ordinaria del Comité de Transparencia, del día cuatro de julio de dos mil veinticinco</w:t>
      </w:r>
      <w:r w:rsidR="00827799" w:rsidRPr="00793B5E">
        <w:rPr>
          <w:color w:val="auto"/>
        </w:rPr>
        <w:t>, por medio del cual se aprueba el proyecto de confidencialidad, Clasificación Confidencial y Reserva de Información, de la información para dar respuesta a la solicitud de información que nos ocupa, tal como se desprende de la siguiente captura de pantalla:</w:t>
      </w:r>
    </w:p>
    <w:p w14:paraId="18C5ABAD" w14:textId="77777777" w:rsidR="00C63600" w:rsidRPr="00793B5E" w:rsidRDefault="00C63600" w:rsidP="00C63600">
      <w:pPr>
        <w:spacing w:after="0" w:line="360" w:lineRule="auto"/>
        <w:rPr>
          <w:color w:val="auto"/>
        </w:rPr>
      </w:pPr>
    </w:p>
    <w:p w14:paraId="256B1CE5" w14:textId="0008D2FE" w:rsidR="00827799" w:rsidRPr="00793B5E" w:rsidRDefault="00F104DC" w:rsidP="00C63600">
      <w:pPr>
        <w:spacing w:after="0" w:line="360" w:lineRule="auto"/>
        <w:jc w:val="center"/>
        <w:rPr>
          <w:color w:val="auto"/>
        </w:rPr>
      </w:pPr>
      <w:r w:rsidRPr="00793B5E">
        <w:rPr>
          <w:noProof/>
          <w:color w:val="auto"/>
        </w:rPr>
        <w:drawing>
          <wp:inline distT="0" distB="0" distL="0" distR="0" wp14:anchorId="6D9311A5" wp14:editId="3E18C9B3">
            <wp:extent cx="4887007" cy="138131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7007" cy="1381318"/>
                    </a:xfrm>
                    <a:prstGeom prst="rect">
                      <a:avLst/>
                    </a:prstGeom>
                  </pic:spPr>
                </pic:pic>
              </a:graphicData>
            </a:graphic>
          </wp:inline>
        </w:drawing>
      </w:r>
    </w:p>
    <w:p w14:paraId="0E38EDA6" w14:textId="77777777" w:rsidR="00794B3F" w:rsidRPr="00793B5E" w:rsidRDefault="00794B3F" w:rsidP="00C63600">
      <w:pPr>
        <w:spacing w:after="0" w:line="360" w:lineRule="auto"/>
        <w:rPr>
          <w:i/>
          <w:iCs/>
          <w:color w:val="auto"/>
          <w:sz w:val="20"/>
          <w:szCs w:val="20"/>
        </w:rPr>
      </w:pPr>
    </w:p>
    <w:p w14:paraId="7E7FBB31" w14:textId="24B5F8D0" w:rsidR="00E22EA8" w:rsidRPr="00793B5E" w:rsidRDefault="00CC4F6B" w:rsidP="00C63600">
      <w:pPr>
        <w:pStyle w:val="Ttulo2"/>
        <w:spacing w:before="0" w:after="0" w:line="360" w:lineRule="auto"/>
        <w:rPr>
          <w:color w:val="auto"/>
          <w:sz w:val="22"/>
          <w:szCs w:val="22"/>
        </w:rPr>
      </w:pPr>
      <w:bookmarkStart w:id="5" w:name="_Toc208339776"/>
      <w:r w:rsidRPr="00793B5E">
        <w:rPr>
          <w:color w:val="auto"/>
          <w:sz w:val="22"/>
          <w:szCs w:val="22"/>
        </w:rPr>
        <w:t>V</w:t>
      </w:r>
      <w:r w:rsidR="00E22EA8" w:rsidRPr="00793B5E">
        <w:rPr>
          <w:color w:val="auto"/>
          <w:sz w:val="22"/>
          <w:szCs w:val="22"/>
        </w:rPr>
        <w:t>. Interposición del Recurso de Revisión</w:t>
      </w:r>
      <w:bookmarkEnd w:id="5"/>
    </w:p>
    <w:p w14:paraId="053D45CF" w14:textId="77777777" w:rsidR="00E22EA8" w:rsidRPr="00793B5E" w:rsidRDefault="00E22EA8" w:rsidP="00C63600">
      <w:pPr>
        <w:spacing w:after="0" w:line="360" w:lineRule="auto"/>
        <w:rPr>
          <w:b/>
          <w:color w:val="FF0000"/>
        </w:rPr>
      </w:pPr>
    </w:p>
    <w:p w14:paraId="355C8CC6" w14:textId="67C11C16" w:rsidR="009C5A71" w:rsidRPr="00793B5E" w:rsidRDefault="00083169" w:rsidP="00C63600">
      <w:pPr>
        <w:spacing w:after="0" w:line="360" w:lineRule="auto"/>
        <w:rPr>
          <w:bCs/>
          <w:color w:val="auto"/>
        </w:rPr>
      </w:pPr>
      <w:r w:rsidRPr="00793B5E">
        <w:rPr>
          <w:bCs/>
          <w:color w:val="auto"/>
        </w:rPr>
        <w:t>El</w:t>
      </w:r>
      <w:r w:rsidR="008E5E71" w:rsidRPr="00793B5E">
        <w:rPr>
          <w:bCs/>
          <w:color w:val="auto"/>
        </w:rPr>
        <w:t xml:space="preserve"> </w:t>
      </w:r>
      <w:r w:rsidR="00CC4F6B" w:rsidRPr="00793B5E">
        <w:rPr>
          <w:bCs/>
          <w:color w:val="auto"/>
        </w:rPr>
        <w:t xml:space="preserve">ocho de julio de dos mil veinticinco, </w:t>
      </w:r>
      <w:r w:rsidR="00E22EA8" w:rsidRPr="00793B5E">
        <w:rPr>
          <w:bCs/>
          <w:color w:val="auto"/>
        </w:rPr>
        <w:t xml:space="preserve">se recibió en este Instituto, a través del </w:t>
      </w:r>
      <w:r w:rsidR="00E22EA8" w:rsidRPr="00793B5E">
        <w:rPr>
          <w:bCs/>
          <w:color w:val="auto"/>
          <w:lang w:val="es-ES"/>
        </w:rPr>
        <w:t>Sistema de Acceso a la Información Mexiquense (SAIMEX)</w:t>
      </w:r>
      <w:r w:rsidR="00E22EA8" w:rsidRPr="00793B5E">
        <w:rPr>
          <w:bCs/>
          <w:color w:val="auto"/>
        </w:rPr>
        <w:t xml:space="preserve">, </w:t>
      </w:r>
      <w:r w:rsidR="009019A8" w:rsidRPr="00793B5E">
        <w:rPr>
          <w:bCs/>
          <w:color w:val="auto"/>
        </w:rPr>
        <w:t xml:space="preserve">el </w:t>
      </w:r>
      <w:r w:rsidR="00E22EA8" w:rsidRPr="00793B5E">
        <w:rPr>
          <w:bCs/>
          <w:color w:val="auto"/>
        </w:rPr>
        <w:t xml:space="preserve">Recurso de Revisión interpuesto por la </w:t>
      </w:r>
      <w:r w:rsidR="00E22EA8" w:rsidRPr="00793B5E">
        <w:rPr>
          <w:bCs/>
          <w:color w:val="auto"/>
        </w:rPr>
        <w:lastRenderedPageBreak/>
        <w:t>p</w:t>
      </w:r>
      <w:r w:rsidRPr="00793B5E">
        <w:rPr>
          <w:bCs/>
          <w:color w:val="auto"/>
        </w:rPr>
        <w:t>ersona</w:t>
      </w:r>
      <w:r w:rsidR="00E22EA8" w:rsidRPr="00793B5E">
        <w:rPr>
          <w:bCs/>
          <w:color w:val="auto"/>
        </w:rPr>
        <w:t xml:space="preserve"> Recurrente, en contra de la respuesta por el Sujeto Obligado, a la solicitud de información</w:t>
      </w:r>
      <w:r w:rsidR="00F43789" w:rsidRPr="00793B5E">
        <w:rPr>
          <w:rFonts w:eastAsia="Calibri" w:cs="Times New Roman"/>
          <w:color w:val="auto"/>
        </w:rPr>
        <w:t xml:space="preserve">, </w:t>
      </w:r>
      <w:r w:rsidR="00E22EA8" w:rsidRPr="00793B5E">
        <w:rPr>
          <w:bCs/>
          <w:color w:val="auto"/>
        </w:rPr>
        <w:t>en los siguientes términos:</w:t>
      </w:r>
    </w:p>
    <w:p w14:paraId="2FC5F19D" w14:textId="77777777" w:rsidR="00C63600" w:rsidRPr="00793B5E" w:rsidRDefault="00C63600" w:rsidP="00C63600">
      <w:pPr>
        <w:spacing w:after="0" w:line="360" w:lineRule="auto"/>
        <w:rPr>
          <w:bCs/>
          <w:color w:val="auto"/>
        </w:rPr>
      </w:pPr>
    </w:p>
    <w:p w14:paraId="1B2CCD45" w14:textId="1F34B3A9" w:rsidR="00E22EA8" w:rsidRPr="00793B5E" w:rsidRDefault="00E12804" w:rsidP="00C63600">
      <w:pPr>
        <w:spacing w:after="0" w:line="360" w:lineRule="auto"/>
        <w:ind w:left="567" w:right="567"/>
        <w:rPr>
          <w:bCs/>
          <w:i/>
          <w:color w:val="auto"/>
          <w:sz w:val="20"/>
          <w:szCs w:val="20"/>
        </w:rPr>
      </w:pPr>
      <w:r w:rsidRPr="00793B5E">
        <w:rPr>
          <w:b/>
          <w:bCs/>
          <w:i/>
          <w:color w:val="auto"/>
          <w:sz w:val="20"/>
          <w:szCs w:val="20"/>
        </w:rPr>
        <w:t>‘’</w:t>
      </w:r>
      <w:r w:rsidR="00E22EA8" w:rsidRPr="00793B5E">
        <w:rPr>
          <w:b/>
          <w:bCs/>
          <w:i/>
          <w:color w:val="auto"/>
          <w:sz w:val="20"/>
          <w:szCs w:val="20"/>
        </w:rPr>
        <w:t>ACTO IMPUGNADO</w:t>
      </w:r>
    </w:p>
    <w:p w14:paraId="20CB87D1" w14:textId="70672C41" w:rsidR="00E22EA8" w:rsidRPr="00793B5E" w:rsidRDefault="00CC4F6B" w:rsidP="00C63600">
      <w:pPr>
        <w:spacing w:after="0" w:line="360" w:lineRule="auto"/>
        <w:ind w:left="567" w:right="567"/>
        <w:rPr>
          <w:i/>
          <w:iCs/>
          <w:color w:val="auto"/>
          <w:sz w:val="20"/>
          <w:szCs w:val="20"/>
        </w:rPr>
      </w:pPr>
      <w:r w:rsidRPr="00793B5E">
        <w:rPr>
          <w:i/>
          <w:iCs/>
          <w:color w:val="auto"/>
          <w:sz w:val="20"/>
          <w:szCs w:val="20"/>
        </w:rPr>
        <w:t>LA NEGATIVA A ENTREGAR LA INFORMACIÓN SOLICITADA Y SU APRESURADA CLASIFICACIÓN COMO INFORMACIÓN RESERVADA PARA EL PADRON VEHICULAR DEL MUNICIPIO</w:t>
      </w:r>
      <w:r w:rsidR="00E22EA8" w:rsidRPr="00793B5E">
        <w:rPr>
          <w:i/>
          <w:iCs/>
          <w:color w:val="auto"/>
          <w:sz w:val="20"/>
          <w:szCs w:val="20"/>
        </w:rPr>
        <w:t>”</w:t>
      </w:r>
      <w:r w:rsidR="002D6CA6" w:rsidRPr="00793B5E">
        <w:rPr>
          <w:i/>
          <w:iCs/>
          <w:color w:val="auto"/>
          <w:sz w:val="20"/>
          <w:szCs w:val="20"/>
        </w:rPr>
        <w:t xml:space="preserve"> (Sic.)</w:t>
      </w:r>
    </w:p>
    <w:p w14:paraId="3B2615CC" w14:textId="77777777" w:rsidR="00E22EA8" w:rsidRPr="00793B5E" w:rsidRDefault="00E22EA8" w:rsidP="00C63600">
      <w:pPr>
        <w:spacing w:after="0" w:line="360" w:lineRule="auto"/>
        <w:ind w:left="567" w:right="567"/>
        <w:rPr>
          <w:i/>
          <w:color w:val="auto"/>
          <w:sz w:val="20"/>
          <w:szCs w:val="20"/>
        </w:rPr>
      </w:pPr>
    </w:p>
    <w:p w14:paraId="3F1F07C7" w14:textId="49F2AE96" w:rsidR="00E22EA8" w:rsidRPr="00793B5E" w:rsidRDefault="00E12804" w:rsidP="00C63600">
      <w:pPr>
        <w:spacing w:after="0" w:line="360" w:lineRule="auto"/>
        <w:ind w:left="567" w:right="567"/>
        <w:rPr>
          <w:b/>
          <w:i/>
          <w:color w:val="auto"/>
          <w:sz w:val="20"/>
          <w:szCs w:val="20"/>
        </w:rPr>
      </w:pPr>
      <w:r w:rsidRPr="00793B5E">
        <w:rPr>
          <w:b/>
          <w:i/>
          <w:color w:val="auto"/>
          <w:sz w:val="20"/>
          <w:szCs w:val="20"/>
        </w:rPr>
        <w:t>‘’</w:t>
      </w:r>
      <w:r w:rsidR="00E22EA8" w:rsidRPr="00793B5E">
        <w:rPr>
          <w:b/>
          <w:i/>
          <w:color w:val="auto"/>
          <w:sz w:val="20"/>
          <w:szCs w:val="20"/>
        </w:rPr>
        <w:t>RAZONES O MOTIVOS DE LA INCONFORMIDAD</w:t>
      </w:r>
    </w:p>
    <w:p w14:paraId="31B716B5" w14:textId="040673A5" w:rsidR="00E12804" w:rsidRPr="00793B5E" w:rsidRDefault="00CC4F6B" w:rsidP="00C63600">
      <w:pPr>
        <w:spacing w:after="0" w:line="360" w:lineRule="auto"/>
        <w:ind w:left="567" w:right="567"/>
        <w:rPr>
          <w:i/>
          <w:iCs/>
          <w:color w:val="auto"/>
          <w:sz w:val="20"/>
          <w:szCs w:val="20"/>
        </w:rPr>
      </w:pPr>
      <w:r w:rsidRPr="00793B5E">
        <w:rPr>
          <w:i/>
          <w:iCs/>
          <w:color w:val="auto"/>
          <w:sz w:val="20"/>
          <w:szCs w:val="20"/>
        </w:rPr>
        <w:t>AL CLASIFICAR COMO CONFIDENCIAL LA INFORMACIÓN SOBRE EL PARQUE VEHICULAR BAJO EL ARGUMENTO DE RIESGOS A LA SEGURIDAD PUBLICA, SE DEJA EN ESTADO DE INDEFENSIÓN A LA MISMA CIUDADANIA AL NO TENER CERTEZA DE CON QUE UNIDADES SE CUENTA PARA LA PROTECCIÓN, CUAL ES LA CAPÁCIDAD DE REACCIÓN ANTE UNA EMERGENCOA COMO UN INCENDIO O UN ACCIDENTE, SI ES POSIBLE LA ADECUADA DOTACIÓN DE AGUA EN EPOCA DE SEQUIA AL NO CONOCER EL TOTAL DE PIPAS, SI EL MUNICPIO TIENE LA CAPACIDAD DE REPARAR LAS LUMINARIAS PUBLICAS O LAS CAMARAS DEL C2 AL CONTAR CON DETERMINADA CANTIDAD DE GRUAS, SI LAS DIRECCIONES TIENE A SU DISPOSICIÓN ACCESO A VEHICULOS PARA DESEMPEÑAR SUS FUNCIONES O PARA USO PARTICULAR DEL PERSONAL O DE PRESIDENCIA; Y LO MAS GRAVE ES LA OPACIDAD EN LOS GASTOS DE COMBUSTIBLE QUE SE REALIZAN MES CON MES, ¿COMO PODEMOS SABER SI EL GASTO EN COMBUSTIBLES ES EL ADECUADO O POR EL CONTRARIO SE ESTA COMETIENDO UN DESVIO DE RECURSOS SI NO SE TIENE ACCESO ALA INFORMACION CLARA, PRECISA Y DETALLADA</w:t>
      </w:r>
      <w:r w:rsidR="003C5F59" w:rsidRPr="00793B5E">
        <w:rPr>
          <w:i/>
          <w:iCs/>
          <w:color w:val="auto"/>
          <w:sz w:val="20"/>
          <w:szCs w:val="20"/>
        </w:rPr>
        <w:t>”</w:t>
      </w:r>
      <w:r w:rsidR="002D6CA6" w:rsidRPr="00793B5E">
        <w:rPr>
          <w:i/>
          <w:iCs/>
          <w:color w:val="auto"/>
          <w:sz w:val="20"/>
          <w:szCs w:val="20"/>
        </w:rPr>
        <w:t xml:space="preserve"> (Sic.)</w:t>
      </w:r>
    </w:p>
    <w:p w14:paraId="19A2541F" w14:textId="77777777" w:rsidR="00875233" w:rsidRPr="00793B5E" w:rsidRDefault="00875233" w:rsidP="00C63600">
      <w:pPr>
        <w:spacing w:after="0" w:line="360" w:lineRule="auto"/>
        <w:rPr>
          <w:bCs/>
          <w:color w:val="auto"/>
          <w:lang w:val="es-ES"/>
        </w:rPr>
      </w:pPr>
    </w:p>
    <w:p w14:paraId="39D1122D" w14:textId="1AF8A14D" w:rsidR="00CC4F6B" w:rsidRPr="00793B5E" w:rsidRDefault="00875233" w:rsidP="00C63600">
      <w:pPr>
        <w:spacing w:after="0" w:line="360" w:lineRule="auto"/>
        <w:rPr>
          <w:bCs/>
          <w:color w:val="auto"/>
          <w:lang w:val="es-ES"/>
        </w:rPr>
      </w:pPr>
      <w:r w:rsidRPr="00793B5E">
        <w:rPr>
          <w:bCs/>
          <w:color w:val="auto"/>
          <w:lang w:val="es-ES"/>
        </w:rPr>
        <w:t xml:space="preserve">Así mismo, </w:t>
      </w:r>
      <w:r w:rsidR="00621F29" w:rsidRPr="00793B5E">
        <w:rPr>
          <w:bCs/>
          <w:color w:val="auto"/>
          <w:lang w:val="es-ES"/>
        </w:rPr>
        <w:t xml:space="preserve">adjunto el </w:t>
      </w:r>
      <w:r w:rsidR="00621F29" w:rsidRPr="00793B5E">
        <w:rPr>
          <w:color w:val="auto"/>
        </w:rPr>
        <w:t>Acta de la Séptima Sesión Ordinaria del Comité de Transparencia remitida en respuesta.</w:t>
      </w:r>
    </w:p>
    <w:p w14:paraId="0381FADD" w14:textId="77777777" w:rsidR="00875233" w:rsidRPr="00793B5E" w:rsidRDefault="00875233" w:rsidP="00C63600">
      <w:pPr>
        <w:spacing w:after="0" w:line="360" w:lineRule="auto"/>
        <w:ind w:right="567"/>
        <w:rPr>
          <w:iCs/>
          <w:color w:val="auto"/>
          <w:sz w:val="20"/>
          <w:szCs w:val="20"/>
        </w:rPr>
      </w:pPr>
    </w:p>
    <w:p w14:paraId="009DB65C" w14:textId="42BE3B54" w:rsidR="00E22EA8" w:rsidRPr="00793B5E" w:rsidRDefault="00E22EA8" w:rsidP="00C63600">
      <w:pPr>
        <w:pStyle w:val="Ttulo2"/>
        <w:spacing w:before="0" w:after="0" w:line="360" w:lineRule="auto"/>
        <w:rPr>
          <w:color w:val="auto"/>
          <w:sz w:val="22"/>
          <w:szCs w:val="22"/>
        </w:rPr>
      </w:pPr>
      <w:bookmarkStart w:id="6" w:name="_Toc208339777"/>
      <w:r w:rsidRPr="00793B5E">
        <w:rPr>
          <w:color w:val="auto"/>
          <w:sz w:val="22"/>
          <w:szCs w:val="22"/>
        </w:rPr>
        <w:lastRenderedPageBreak/>
        <w:t>V</w:t>
      </w:r>
      <w:r w:rsidR="00716B29" w:rsidRPr="00793B5E">
        <w:rPr>
          <w:color w:val="auto"/>
          <w:sz w:val="22"/>
          <w:szCs w:val="22"/>
        </w:rPr>
        <w:t>I</w:t>
      </w:r>
      <w:r w:rsidRPr="00793B5E">
        <w:rPr>
          <w:color w:val="auto"/>
          <w:sz w:val="22"/>
          <w:szCs w:val="22"/>
        </w:rPr>
        <w:t>. Trámite del Recurso de Revisión ante este Instituto</w:t>
      </w:r>
      <w:bookmarkEnd w:id="6"/>
    </w:p>
    <w:p w14:paraId="5C9B63F8" w14:textId="77777777" w:rsidR="009B2DAB" w:rsidRPr="00793B5E" w:rsidRDefault="009B2DAB" w:rsidP="00C63600">
      <w:pPr>
        <w:spacing w:after="0" w:line="360" w:lineRule="auto"/>
        <w:rPr>
          <w:b/>
          <w:bCs/>
          <w:color w:val="FF0000"/>
        </w:rPr>
      </w:pPr>
    </w:p>
    <w:p w14:paraId="173768ED" w14:textId="4A03836D" w:rsidR="00E22EA8" w:rsidRPr="00793B5E" w:rsidRDefault="00E22EA8" w:rsidP="00C63600">
      <w:pPr>
        <w:spacing w:after="0" w:line="360" w:lineRule="auto"/>
        <w:rPr>
          <w:bCs/>
          <w:color w:val="auto"/>
        </w:rPr>
      </w:pPr>
      <w:r w:rsidRPr="00793B5E">
        <w:rPr>
          <w:b/>
          <w:bCs/>
          <w:color w:val="auto"/>
        </w:rPr>
        <w:t>a) Turno del Medio de Impugnación.</w:t>
      </w:r>
      <w:r w:rsidR="000A706F" w:rsidRPr="00793B5E">
        <w:rPr>
          <w:bCs/>
          <w:color w:val="auto"/>
        </w:rPr>
        <w:t xml:space="preserve"> </w:t>
      </w:r>
      <w:r w:rsidR="003C5F59" w:rsidRPr="00793B5E">
        <w:rPr>
          <w:bCs/>
          <w:color w:val="auto"/>
        </w:rPr>
        <w:t xml:space="preserve">El </w:t>
      </w:r>
      <w:r w:rsidR="00997E6B" w:rsidRPr="00793B5E">
        <w:rPr>
          <w:bCs/>
          <w:color w:val="auto"/>
        </w:rPr>
        <w:t>ocho de julio</w:t>
      </w:r>
      <w:r w:rsidR="00E64E18" w:rsidRPr="00793B5E">
        <w:rPr>
          <w:color w:val="auto"/>
        </w:rPr>
        <w:t xml:space="preserve"> de dos mil veinticinco</w:t>
      </w:r>
      <w:r w:rsidRPr="00793B5E">
        <w:rPr>
          <w:bCs/>
          <w:color w:val="auto"/>
        </w:rPr>
        <w:t xml:space="preserve">, el </w:t>
      </w:r>
      <w:r w:rsidRPr="00793B5E">
        <w:rPr>
          <w:color w:val="auto"/>
          <w:lang w:val="es-ES"/>
        </w:rPr>
        <w:t>Sistema de Acceso a la Información Mexiquense (SAIMEX),</w:t>
      </w:r>
      <w:r w:rsidRPr="00793B5E">
        <w:rPr>
          <w:bCs/>
          <w:color w:val="auto"/>
        </w:rPr>
        <w:t xml:space="preserve"> asignó el número de expediente </w:t>
      </w:r>
      <w:r w:rsidR="002D6CA6" w:rsidRPr="00793B5E">
        <w:rPr>
          <w:b/>
          <w:bCs/>
          <w:color w:val="auto"/>
        </w:rPr>
        <w:t>0</w:t>
      </w:r>
      <w:r w:rsidR="00D02C4B" w:rsidRPr="00793B5E">
        <w:rPr>
          <w:b/>
          <w:bCs/>
          <w:color w:val="auto"/>
        </w:rPr>
        <w:t>8271</w:t>
      </w:r>
      <w:r w:rsidR="000D392E" w:rsidRPr="00793B5E">
        <w:rPr>
          <w:b/>
          <w:bCs/>
          <w:color w:val="auto"/>
        </w:rPr>
        <w:t>/INFOEM/IP/RR/2025</w:t>
      </w:r>
      <w:r w:rsidRPr="00793B5E">
        <w:rPr>
          <w:bCs/>
          <w:color w:val="auto"/>
        </w:rPr>
        <w:t xml:space="preserve">, al medio de impugnación que nos ocupa, con base en el sistema aprobado por el Pleno de este </w:t>
      </w:r>
      <w:r w:rsidR="00B65BCA" w:rsidRPr="00793B5E">
        <w:rPr>
          <w:bCs/>
          <w:color w:val="auto"/>
        </w:rPr>
        <w:t>Organismo</w:t>
      </w:r>
      <w:r w:rsidRPr="00793B5E">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93B5E" w:rsidRDefault="005914EE" w:rsidP="00C63600">
      <w:pPr>
        <w:spacing w:after="0" w:line="360" w:lineRule="auto"/>
        <w:rPr>
          <w:b/>
          <w:bCs/>
          <w:color w:val="FF0000"/>
        </w:rPr>
      </w:pPr>
    </w:p>
    <w:p w14:paraId="61891480" w14:textId="5353F131" w:rsidR="00E22EA8" w:rsidRPr="00793B5E" w:rsidRDefault="00E22EA8" w:rsidP="00C63600">
      <w:pPr>
        <w:spacing w:after="0" w:line="360" w:lineRule="auto"/>
        <w:rPr>
          <w:color w:val="auto"/>
        </w:rPr>
      </w:pPr>
      <w:r w:rsidRPr="00793B5E">
        <w:rPr>
          <w:b/>
          <w:bCs/>
          <w:color w:val="auto"/>
        </w:rPr>
        <w:t>b) Admisión del Recurso de Revisión</w:t>
      </w:r>
      <w:r w:rsidRPr="00793B5E">
        <w:rPr>
          <w:b/>
          <w:bCs/>
          <w:color w:val="auto"/>
          <w:lang w:val="es-ES_tradnl"/>
        </w:rPr>
        <w:t xml:space="preserve">. </w:t>
      </w:r>
      <w:r w:rsidR="003C5F59" w:rsidRPr="00793B5E">
        <w:rPr>
          <w:color w:val="auto"/>
        </w:rPr>
        <w:t xml:space="preserve">El </w:t>
      </w:r>
      <w:r w:rsidR="006C6F05" w:rsidRPr="00793B5E">
        <w:rPr>
          <w:color w:val="auto"/>
        </w:rPr>
        <w:t>once de julio de dos mil veinticinco</w:t>
      </w:r>
      <w:r w:rsidRPr="00793B5E">
        <w:rPr>
          <w:bCs/>
          <w:color w:val="auto"/>
          <w:lang w:val="es-ES_tradnl"/>
        </w:rPr>
        <w:t xml:space="preserve">, se acordó la admisión del Recurso de Revisión interpuesto por </w:t>
      </w:r>
      <w:r w:rsidR="00261B92" w:rsidRPr="00793B5E">
        <w:rPr>
          <w:bCs/>
          <w:color w:val="auto"/>
          <w:lang w:val="es-ES_tradnl"/>
        </w:rPr>
        <w:t>la persona</w:t>
      </w:r>
      <w:r w:rsidRPr="00793B5E">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93B5E">
        <w:rPr>
          <w:bCs/>
          <w:color w:val="auto"/>
          <w:lang w:val="es-ES_tradnl"/>
        </w:rPr>
        <w:t>el</w:t>
      </w:r>
      <w:r w:rsidR="007C4D4E" w:rsidRPr="00793B5E">
        <w:rPr>
          <w:bCs/>
          <w:color w:val="auto"/>
          <w:lang w:val="es-ES_tradnl"/>
        </w:rPr>
        <w:t xml:space="preserve"> mismo día</w:t>
      </w:r>
      <w:r w:rsidRPr="00793B5E">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93B5E" w:rsidRDefault="00E22EA8" w:rsidP="00C63600">
      <w:pPr>
        <w:spacing w:after="0" w:line="360" w:lineRule="auto"/>
        <w:rPr>
          <w:rFonts w:cs="Tahoma"/>
          <w:color w:val="FF0000"/>
          <w:lang w:val="es-ES_tradnl"/>
        </w:rPr>
      </w:pPr>
    </w:p>
    <w:p w14:paraId="5658D232" w14:textId="4FCB0130" w:rsidR="006C6F05" w:rsidRPr="00793B5E" w:rsidRDefault="000410E6" w:rsidP="00C63600">
      <w:pPr>
        <w:spacing w:after="0" w:line="360" w:lineRule="auto"/>
        <w:rPr>
          <w:color w:val="FF0000"/>
        </w:rPr>
      </w:pPr>
      <w:r w:rsidRPr="00793B5E">
        <w:rPr>
          <w:b/>
          <w:color w:val="auto"/>
        </w:rPr>
        <w:t>c) Informe Justificado</w:t>
      </w:r>
      <w:r w:rsidR="004A5405" w:rsidRPr="00793B5E">
        <w:rPr>
          <w:b/>
          <w:color w:val="auto"/>
        </w:rPr>
        <w:t xml:space="preserve">. </w:t>
      </w:r>
      <w:r w:rsidR="005C43CB" w:rsidRPr="00793B5E">
        <w:rPr>
          <w:bCs/>
          <w:color w:val="auto"/>
        </w:rPr>
        <w:t>El cinco de agosto</w:t>
      </w:r>
      <w:r w:rsidR="004A5405" w:rsidRPr="00793B5E">
        <w:rPr>
          <w:bCs/>
          <w:color w:val="auto"/>
        </w:rPr>
        <w:t xml:space="preserve"> de dos mil veinticinco, </w:t>
      </w:r>
      <w:r w:rsidR="004A5405" w:rsidRPr="00793B5E">
        <w:rPr>
          <w:color w:val="auto"/>
        </w:rPr>
        <w:t>se recibió, a través del Sistema de Acceso a la Información Mexiquense (SAIMEX), el Informe Justificado d</w:t>
      </w:r>
      <w:r w:rsidR="006C6F05" w:rsidRPr="00793B5E">
        <w:rPr>
          <w:color w:val="auto"/>
        </w:rPr>
        <w:t>el Sujeto Obligado, a través del oficio STP/</w:t>
      </w:r>
      <w:proofErr w:type="spellStart"/>
      <w:r w:rsidR="006C6F05" w:rsidRPr="00793B5E">
        <w:rPr>
          <w:color w:val="auto"/>
        </w:rPr>
        <w:t>UTyAIP</w:t>
      </w:r>
      <w:proofErr w:type="spellEnd"/>
      <w:r w:rsidR="006C6F05" w:rsidRPr="00793B5E">
        <w:rPr>
          <w:color w:val="auto"/>
        </w:rPr>
        <w:t xml:space="preserve">/199/2025 del primero de agosto de dos mil veinticinco, suscrito por el Titular de la Unidad de Transparencia y Acceso a la Información Pública, dirigido al Comisionado Ponente, por medio del cual </w:t>
      </w:r>
      <w:r w:rsidR="006D5DCD" w:rsidRPr="00793B5E">
        <w:rPr>
          <w:color w:val="auto"/>
        </w:rPr>
        <w:t>confirmo su respuesta.</w:t>
      </w:r>
    </w:p>
    <w:p w14:paraId="2B82BD61" w14:textId="77777777" w:rsidR="004A5405" w:rsidRPr="00793B5E" w:rsidRDefault="004A5405" w:rsidP="00C63600">
      <w:pPr>
        <w:spacing w:after="0" w:line="360" w:lineRule="auto"/>
        <w:rPr>
          <w:color w:val="FF0000"/>
        </w:rPr>
      </w:pPr>
    </w:p>
    <w:p w14:paraId="5B468EF5" w14:textId="2C8A191A" w:rsidR="004A5405" w:rsidRPr="00793B5E" w:rsidRDefault="004A5405" w:rsidP="00C63600">
      <w:pPr>
        <w:spacing w:after="0" w:line="360" w:lineRule="auto"/>
        <w:rPr>
          <w:color w:val="auto"/>
        </w:rPr>
      </w:pPr>
      <w:r w:rsidRPr="00793B5E">
        <w:rPr>
          <w:b/>
          <w:color w:val="auto"/>
        </w:rPr>
        <w:t>d) Vista del Informe Justificado.</w:t>
      </w:r>
      <w:r w:rsidR="009C6DA9" w:rsidRPr="00793B5E">
        <w:rPr>
          <w:color w:val="auto"/>
        </w:rPr>
        <w:t xml:space="preserve"> El </w:t>
      </w:r>
      <w:r w:rsidR="006D6ED9" w:rsidRPr="00793B5E">
        <w:rPr>
          <w:color w:val="auto"/>
        </w:rPr>
        <w:t xml:space="preserve">diecinueve de agosto de dos mil veinticinco, </w:t>
      </w:r>
      <w:r w:rsidRPr="00793B5E">
        <w:rPr>
          <w:color w:val="auto"/>
        </w:rPr>
        <w:t xml:space="preserve">se dictó acuerdo mediante el cual se puso a la vista del Particular el Informe Justificado, entregado por el Sujeto Obligado, así como los documentos adjuntos, el cual fue notificado a las partes, </w:t>
      </w:r>
      <w:r w:rsidRPr="00793B5E">
        <w:rPr>
          <w:color w:val="auto"/>
        </w:rPr>
        <w:lastRenderedPageBreak/>
        <w:t>a través del Sistema de Acceso a la Información Mexiquense (SAIMEX)</w:t>
      </w:r>
      <w:r w:rsidR="006D6ED9" w:rsidRPr="00793B5E">
        <w:rPr>
          <w:color w:val="auto"/>
        </w:rPr>
        <w:t>, el mismo día</w:t>
      </w:r>
      <w:r w:rsidRPr="00793B5E">
        <w:rPr>
          <w:color w:val="auto"/>
        </w:rPr>
        <w:t xml:space="preserve">. </w:t>
      </w:r>
      <w:r w:rsidRPr="00793B5E">
        <w:rPr>
          <w:b/>
          <w:color w:val="auto"/>
        </w:rPr>
        <w:t>Cabe señalar que el Particular fue omiso en realizar manifestación alguna.</w:t>
      </w:r>
    </w:p>
    <w:p w14:paraId="6EFC71EC" w14:textId="77777777" w:rsidR="003C5FE0" w:rsidRPr="00793B5E" w:rsidRDefault="003C5FE0" w:rsidP="00C63600">
      <w:pPr>
        <w:spacing w:after="0" w:line="360" w:lineRule="auto"/>
        <w:rPr>
          <w:b/>
          <w:color w:val="FF0000"/>
        </w:rPr>
      </w:pPr>
      <w:bookmarkStart w:id="7" w:name="_Hlk182976945"/>
    </w:p>
    <w:p w14:paraId="1220E37C" w14:textId="59A9B868" w:rsidR="003C5FE0" w:rsidRPr="00793B5E" w:rsidRDefault="009C6DA9" w:rsidP="00C63600">
      <w:pPr>
        <w:spacing w:after="0" w:line="360" w:lineRule="auto"/>
        <w:contextualSpacing/>
        <w:rPr>
          <w:color w:val="auto"/>
          <w:lang w:val="es-ES"/>
        </w:rPr>
      </w:pPr>
      <w:r w:rsidRPr="00793B5E">
        <w:rPr>
          <w:rFonts w:eastAsia="Batang" w:cs="Tahoma"/>
          <w:b/>
          <w:color w:val="auto"/>
        </w:rPr>
        <w:t>e</w:t>
      </w:r>
      <w:r w:rsidR="003C5FE0" w:rsidRPr="00793B5E">
        <w:rPr>
          <w:rFonts w:eastAsia="Batang" w:cs="Tahoma"/>
          <w:b/>
          <w:color w:val="auto"/>
        </w:rPr>
        <w:t xml:space="preserve">) </w:t>
      </w:r>
      <w:r w:rsidR="00002B20" w:rsidRPr="00793B5E">
        <w:rPr>
          <w:rFonts w:eastAsia="Times New Roman" w:cs="Tahoma"/>
          <w:b/>
          <w:color w:val="auto"/>
          <w:szCs w:val="24"/>
          <w:lang w:eastAsia="es-ES"/>
        </w:rPr>
        <w:t>Cierre de instrucción.</w:t>
      </w:r>
      <w:r w:rsidR="00C06C06" w:rsidRPr="00793B5E">
        <w:rPr>
          <w:rFonts w:eastAsia="Times New Roman" w:cs="Tahoma"/>
          <w:color w:val="auto"/>
          <w:szCs w:val="24"/>
          <w:lang w:eastAsia="es-ES"/>
        </w:rPr>
        <w:t xml:space="preserve"> El </w:t>
      </w:r>
      <w:r w:rsidR="006D6ED9" w:rsidRPr="00793B5E">
        <w:rPr>
          <w:rFonts w:eastAsia="Times New Roman" w:cs="Tahoma"/>
          <w:color w:val="auto"/>
          <w:szCs w:val="24"/>
          <w:lang w:eastAsia="es-ES"/>
        </w:rPr>
        <w:t>dos de septiembre de dos mil veinticinco</w:t>
      </w:r>
      <w:r w:rsidR="00002B20" w:rsidRPr="00793B5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93B5E">
        <w:rPr>
          <w:color w:val="auto"/>
          <w:lang w:val="es-ES"/>
        </w:rPr>
        <w:t>acto que fue notificado a las partes, mediante el Sistema de Acceso a la Información Mexiquense (SAIMEX), el mismo día.</w:t>
      </w:r>
    </w:p>
    <w:p w14:paraId="05AAB32F" w14:textId="77777777" w:rsidR="008655D0" w:rsidRPr="00793B5E" w:rsidRDefault="008655D0" w:rsidP="00C63600">
      <w:pPr>
        <w:spacing w:after="0" w:line="360" w:lineRule="auto"/>
        <w:contextualSpacing/>
        <w:rPr>
          <w:rFonts w:eastAsia="Times New Roman" w:cs="Tahoma"/>
          <w:color w:val="auto"/>
          <w:szCs w:val="24"/>
          <w:lang w:eastAsia="es-ES"/>
        </w:rPr>
      </w:pPr>
    </w:p>
    <w:p w14:paraId="3B1B2AF0" w14:textId="764A3E8A" w:rsidR="006D6ED9" w:rsidRPr="00793B5E" w:rsidRDefault="008655D0" w:rsidP="00C63600">
      <w:pPr>
        <w:spacing w:after="0" w:line="360" w:lineRule="auto"/>
        <w:contextualSpacing/>
        <w:rPr>
          <w:rFonts w:eastAsia="Times New Roman" w:cs="Tahoma"/>
          <w:color w:val="auto"/>
          <w:szCs w:val="24"/>
          <w:lang w:eastAsia="es-ES"/>
        </w:rPr>
      </w:pPr>
      <w:r w:rsidRPr="00793B5E">
        <w:rPr>
          <w:rFonts w:eastAsia="Times New Roman" w:cs="Tahoma"/>
          <w:b/>
          <w:color w:val="auto"/>
          <w:szCs w:val="24"/>
          <w:lang w:eastAsia="es-ES"/>
        </w:rPr>
        <w:t xml:space="preserve">f) Ampliación de plazo para resolver. </w:t>
      </w:r>
      <w:r w:rsidRPr="00793B5E">
        <w:rPr>
          <w:rFonts w:eastAsia="Times New Roman" w:cs="Tahoma"/>
          <w:color w:val="auto"/>
          <w:szCs w:val="24"/>
          <w:lang w:eastAsia="es-ES"/>
        </w:rPr>
        <w:t xml:space="preserve">El </w:t>
      </w:r>
      <w:r w:rsidR="00D8427B" w:rsidRPr="00793B5E">
        <w:rPr>
          <w:rFonts w:eastAsia="Times New Roman" w:cs="Tahoma"/>
          <w:color w:val="auto"/>
          <w:szCs w:val="24"/>
          <w:lang w:eastAsia="es-ES"/>
        </w:rPr>
        <w:t>veintitrés</w:t>
      </w:r>
      <w:r w:rsidRPr="00793B5E">
        <w:rPr>
          <w:rFonts w:eastAsia="Times New Roman" w:cs="Tahoma"/>
          <w:color w:val="auto"/>
          <w:szCs w:val="24"/>
          <w:lang w:eastAsia="es-ES"/>
        </w:rPr>
        <w:t xml:space="preserve"> de septiembre de dos mil veinticinco, el Comisionado Ponente, con fundamento en lo dispuesto por el artículo 181, párrafo tercero, de la Ley de Transparencia y Acceso a la Información Pública del Estado de México y Municipios, acordó ampliar por un periodo</w:t>
      </w:r>
      <w:r w:rsidR="00D8427B" w:rsidRPr="00793B5E">
        <w:rPr>
          <w:rFonts w:eastAsia="Times New Roman" w:cs="Tahoma"/>
          <w:color w:val="auto"/>
          <w:szCs w:val="24"/>
          <w:lang w:eastAsia="es-ES"/>
        </w:rPr>
        <w:t xml:space="preserve"> razonable</w:t>
      </w:r>
      <w:r w:rsidRPr="00793B5E">
        <w:rPr>
          <w:rFonts w:eastAsia="Times New Roman" w:cs="Tahoma"/>
          <w:color w:val="auto"/>
          <w:szCs w:val="24"/>
          <w:lang w:eastAsia="es-ES"/>
        </w:rPr>
        <w:t>, el plazo para resolver el Recurso de Revisión que nos ocupa; acto que fue notificado a las partes, mediante el Sistema de Acceso a la Información Mexiquense (SAIMEX).</w:t>
      </w:r>
    </w:p>
    <w:bookmarkEnd w:id="7"/>
    <w:p w14:paraId="08D98E1D" w14:textId="77777777" w:rsidR="000410E6" w:rsidRPr="00793B5E" w:rsidRDefault="000410E6" w:rsidP="00C63600">
      <w:pPr>
        <w:spacing w:after="0" w:line="360" w:lineRule="auto"/>
        <w:rPr>
          <w:b/>
          <w:bCs/>
          <w:color w:val="FF0000"/>
          <w:lang w:val="es-ES"/>
        </w:rPr>
      </w:pPr>
    </w:p>
    <w:p w14:paraId="1D2DAFCD" w14:textId="77777777" w:rsidR="000410E6" w:rsidRPr="00793B5E" w:rsidRDefault="000410E6" w:rsidP="00C63600">
      <w:pPr>
        <w:spacing w:after="0" w:line="360" w:lineRule="auto"/>
        <w:rPr>
          <w:color w:val="auto"/>
        </w:rPr>
      </w:pPr>
      <w:r w:rsidRPr="00793B5E">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93B5E" w:rsidRDefault="00674DAF" w:rsidP="00C63600">
      <w:pPr>
        <w:spacing w:after="0" w:line="360" w:lineRule="auto"/>
        <w:rPr>
          <w:color w:val="auto"/>
        </w:rPr>
      </w:pPr>
    </w:p>
    <w:p w14:paraId="250F6589" w14:textId="3F880C72" w:rsidR="005C690F" w:rsidRPr="00793B5E" w:rsidRDefault="00CD6238" w:rsidP="00C63600">
      <w:pPr>
        <w:pStyle w:val="Ttulo1"/>
        <w:spacing w:before="0" w:after="0" w:line="360" w:lineRule="auto"/>
        <w:jc w:val="center"/>
        <w:rPr>
          <w:color w:val="auto"/>
          <w:sz w:val="22"/>
          <w:szCs w:val="22"/>
        </w:rPr>
      </w:pPr>
      <w:bookmarkStart w:id="8" w:name="_Toc208339778"/>
      <w:r w:rsidRPr="00793B5E">
        <w:rPr>
          <w:color w:val="auto"/>
          <w:sz w:val="22"/>
          <w:szCs w:val="22"/>
        </w:rPr>
        <w:t>C O N S I D E R A N D O S</w:t>
      </w:r>
      <w:bookmarkEnd w:id="8"/>
    </w:p>
    <w:p w14:paraId="5AB6ED71" w14:textId="77777777" w:rsidR="005C690F" w:rsidRPr="00793B5E" w:rsidRDefault="005C690F" w:rsidP="00C63600">
      <w:pPr>
        <w:spacing w:after="0" w:line="360" w:lineRule="auto"/>
        <w:jc w:val="center"/>
        <w:rPr>
          <w:b/>
          <w:color w:val="auto"/>
        </w:rPr>
      </w:pPr>
    </w:p>
    <w:p w14:paraId="36BFFC7E" w14:textId="2F0F17EA" w:rsidR="005C690F" w:rsidRPr="00793B5E" w:rsidRDefault="007D6307" w:rsidP="00C63600">
      <w:pPr>
        <w:pStyle w:val="Ttulo2"/>
        <w:spacing w:before="0" w:after="0" w:line="360" w:lineRule="auto"/>
        <w:rPr>
          <w:color w:val="auto"/>
          <w:sz w:val="22"/>
          <w:szCs w:val="22"/>
        </w:rPr>
      </w:pPr>
      <w:bookmarkStart w:id="9" w:name="_Toc208339779"/>
      <w:r w:rsidRPr="00793B5E">
        <w:rPr>
          <w:color w:val="auto"/>
          <w:sz w:val="22"/>
          <w:szCs w:val="22"/>
        </w:rPr>
        <w:t xml:space="preserve">PRIMERO. </w:t>
      </w:r>
      <w:r w:rsidR="00CD6238" w:rsidRPr="00793B5E">
        <w:rPr>
          <w:color w:val="auto"/>
          <w:sz w:val="22"/>
          <w:szCs w:val="22"/>
        </w:rPr>
        <w:t>Competencia</w:t>
      </w:r>
      <w:bookmarkEnd w:id="9"/>
    </w:p>
    <w:p w14:paraId="34E42005" w14:textId="77777777" w:rsidR="0084143D" w:rsidRPr="00793B5E" w:rsidRDefault="0084143D" w:rsidP="00C63600">
      <w:pPr>
        <w:spacing w:after="0" w:line="360" w:lineRule="auto"/>
        <w:contextualSpacing/>
        <w:rPr>
          <w:rFonts w:eastAsia="Times New Roman" w:cs="Tahoma"/>
          <w:bCs/>
          <w:color w:val="auto"/>
          <w:lang w:eastAsia="es-ES"/>
        </w:rPr>
      </w:pPr>
      <w:bookmarkStart w:id="10" w:name="_heading=h.30j0zll" w:colFirst="0" w:colLast="0"/>
      <w:bookmarkEnd w:id="10"/>
    </w:p>
    <w:p w14:paraId="6DB5C24B" w14:textId="06F67911" w:rsidR="00A576F9" w:rsidRPr="00793B5E" w:rsidRDefault="00A576F9" w:rsidP="00C63600">
      <w:pPr>
        <w:spacing w:after="0" w:line="360" w:lineRule="auto"/>
        <w:contextualSpacing/>
        <w:rPr>
          <w:rFonts w:eastAsia="Times New Roman" w:cs="Tahoma"/>
          <w:bCs/>
          <w:color w:val="auto"/>
          <w:lang w:eastAsia="es-ES"/>
        </w:rPr>
      </w:pPr>
      <w:r w:rsidRPr="00793B5E">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793B5E">
        <w:rPr>
          <w:rFonts w:eastAsia="Times New Roman" w:cs="Tahoma"/>
          <w:bCs/>
          <w:color w:val="auto"/>
          <w:lang w:eastAsia="es-ES"/>
        </w:rPr>
        <w:t>noveno</w:t>
      </w:r>
      <w:r w:rsidRPr="00793B5E">
        <w:rPr>
          <w:rFonts w:eastAsia="Times New Roman" w:cs="Tahoma"/>
          <w:bCs/>
          <w:color w:val="auto"/>
          <w:lang w:eastAsia="es-ES"/>
        </w:rPr>
        <w:t xml:space="preserve">, </w:t>
      </w:r>
      <w:r w:rsidR="00384E34" w:rsidRPr="00793B5E">
        <w:rPr>
          <w:rFonts w:eastAsia="Times New Roman" w:cs="Tahoma"/>
          <w:bCs/>
          <w:color w:val="auto"/>
          <w:lang w:eastAsia="es-ES"/>
        </w:rPr>
        <w:t>cuadragésimo</w:t>
      </w:r>
      <w:r w:rsidRPr="00793B5E">
        <w:rPr>
          <w:rFonts w:eastAsia="Times New Roman" w:cs="Tahoma"/>
          <w:bCs/>
          <w:color w:val="auto"/>
          <w:lang w:eastAsia="es-ES"/>
        </w:rPr>
        <w:t xml:space="preserve"> y </w:t>
      </w:r>
      <w:r w:rsidR="00384E34" w:rsidRPr="00793B5E">
        <w:rPr>
          <w:rFonts w:eastAsia="Times New Roman" w:cs="Tahoma"/>
          <w:bCs/>
          <w:color w:val="auto"/>
          <w:lang w:eastAsia="es-ES"/>
        </w:rPr>
        <w:t>cuadragésimo primero</w:t>
      </w:r>
      <w:r w:rsidRPr="00793B5E">
        <w:rPr>
          <w:rFonts w:eastAsia="Times New Roman" w:cs="Tahoma"/>
          <w:bCs/>
          <w:color w:val="auto"/>
          <w:lang w:eastAsia="es-ES"/>
        </w:rPr>
        <w:t>, fracciones I, II, III, IV y V de la Constitución Política del Estado Libre y Soberano de México;</w:t>
      </w:r>
      <w:r w:rsidR="00384E34" w:rsidRPr="00793B5E">
        <w:rPr>
          <w:rFonts w:eastAsia="Times New Roman" w:cs="Tahoma"/>
          <w:bCs/>
          <w:color w:val="auto"/>
          <w:lang w:eastAsia="es-ES"/>
        </w:rPr>
        <w:t xml:space="preserve"> </w:t>
      </w:r>
      <w:r w:rsidRPr="00793B5E">
        <w:rPr>
          <w:rFonts w:eastAsia="Times New Roman" w:cs="Tahoma"/>
          <w:bCs/>
          <w:color w:val="auto"/>
          <w:lang w:eastAsia="es-ES"/>
        </w:rPr>
        <w:t>1°, 2°, fracciones II y IV; 13, 29</w:t>
      </w:r>
      <w:r w:rsidR="00E50794" w:rsidRPr="00793B5E">
        <w:rPr>
          <w:rFonts w:eastAsia="Times New Roman" w:cs="Tahoma"/>
          <w:bCs/>
          <w:color w:val="auto"/>
          <w:lang w:eastAsia="es-ES"/>
        </w:rPr>
        <w:t>,</w:t>
      </w:r>
      <w:r w:rsidRPr="00793B5E">
        <w:rPr>
          <w:rFonts w:eastAsia="Times New Roman" w:cs="Tahoma"/>
          <w:bCs/>
          <w:color w:val="auto"/>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93B5E" w:rsidRDefault="005C690F" w:rsidP="00C63600">
      <w:pPr>
        <w:spacing w:after="0" w:line="360" w:lineRule="auto"/>
        <w:rPr>
          <w:b/>
          <w:color w:val="auto"/>
        </w:rPr>
      </w:pPr>
    </w:p>
    <w:p w14:paraId="46691DD5" w14:textId="4C1C70AD" w:rsidR="005C690F" w:rsidRPr="00793B5E" w:rsidRDefault="007D6307" w:rsidP="00C63600">
      <w:pPr>
        <w:pStyle w:val="Ttulo2"/>
        <w:spacing w:before="0" w:after="0" w:line="360" w:lineRule="auto"/>
        <w:rPr>
          <w:color w:val="auto"/>
          <w:sz w:val="22"/>
          <w:szCs w:val="22"/>
        </w:rPr>
      </w:pPr>
      <w:bookmarkStart w:id="11" w:name="_Toc208339780"/>
      <w:r w:rsidRPr="00793B5E">
        <w:rPr>
          <w:color w:val="auto"/>
          <w:sz w:val="22"/>
          <w:szCs w:val="22"/>
        </w:rPr>
        <w:t>SEGUNDO. Causales de</w:t>
      </w:r>
      <w:r w:rsidR="00CD6238" w:rsidRPr="00793B5E">
        <w:rPr>
          <w:color w:val="auto"/>
          <w:sz w:val="22"/>
          <w:szCs w:val="22"/>
        </w:rPr>
        <w:t xml:space="preserve"> improcedencia y sobreseimiento</w:t>
      </w:r>
      <w:bookmarkEnd w:id="11"/>
    </w:p>
    <w:p w14:paraId="49AA4CDE" w14:textId="77777777" w:rsidR="005C690F" w:rsidRPr="00793B5E" w:rsidRDefault="005C690F" w:rsidP="00C63600">
      <w:pPr>
        <w:spacing w:after="0" w:line="360" w:lineRule="auto"/>
        <w:rPr>
          <w:color w:val="auto"/>
        </w:rPr>
      </w:pPr>
    </w:p>
    <w:p w14:paraId="2553CE58" w14:textId="77777777" w:rsidR="005C690F" w:rsidRPr="00793B5E" w:rsidRDefault="007D6307" w:rsidP="00C63600">
      <w:pPr>
        <w:spacing w:after="0" w:line="360" w:lineRule="auto"/>
        <w:rPr>
          <w:color w:val="auto"/>
        </w:rPr>
      </w:pPr>
      <w:r w:rsidRPr="00793B5E">
        <w:rPr>
          <w:color w:val="auto"/>
        </w:rPr>
        <w:t xml:space="preserve">De las constancias que forma parte del Recurso de Revisión que se analiza, se advierte que previo al estudio del fondo de la </w:t>
      </w:r>
      <w:r w:rsidRPr="00793B5E">
        <w:rPr>
          <w:i/>
          <w:color w:val="auto"/>
        </w:rPr>
        <w:t>litis</w:t>
      </w:r>
      <w:r w:rsidRPr="00793B5E">
        <w:rPr>
          <w:color w:val="auto"/>
        </w:rPr>
        <w:t>, es necesario estudiar las causales de improcedencia y sobreseimiento que se adviertan, para determinar lo que en Derecho proceda.</w:t>
      </w:r>
    </w:p>
    <w:p w14:paraId="35A30074" w14:textId="77777777" w:rsidR="009B2DAB" w:rsidRPr="00793B5E" w:rsidRDefault="009B2DAB" w:rsidP="00C63600">
      <w:pPr>
        <w:spacing w:after="0" w:line="360" w:lineRule="auto"/>
        <w:rPr>
          <w:color w:val="auto"/>
        </w:rPr>
      </w:pPr>
    </w:p>
    <w:p w14:paraId="3066DF0C" w14:textId="77777777" w:rsidR="005C690F" w:rsidRPr="00793B5E" w:rsidRDefault="007D6307" w:rsidP="00C63600">
      <w:pPr>
        <w:spacing w:after="0" w:line="360" w:lineRule="auto"/>
        <w:rPr>
          <w:b/>
          <w:color w:val="auto"/>
        </w:rPr>
      </w:pPr>
      <w:r w:rsidRPr="00793B5E">
        <w:rPr>
          <w:b/>
          <w:color w:val="auto"/>
        </w:rPr>
        <w:t>Causales de improcedencia</w:t>
      </w:r>
    </w:p>
    <w:p w14:paraId="706394D4" w14:textId="77777777" w:rsidR="00304DE6" w:rsidRPr="00793B5E" w:rsidRDefault="00304DE6" w:rsidP="00C63600">
      <w:pPr>
        <w:spacing w:after="0" w:line="360" w:lineRule="auto"/>
        <w:rPr>
          <w:b/>
          <w:color w:val="auto"/>
        </w:rPr>
      </w:pPr>
    </w:p>
    <w:p w14:paraId="6C56CA88" w14:textId="77777777" w:rsidR="005C690F" w:rsidRPr="00793B5E" w:rsidRDefault="007D6307" w:rsidP="00C63600">
      <w:pPr>
        <w:spacing w:after="0" w:line="360" w:lineRule="auto"/>
        <w:rPr>
          <w:color w:val="auto"/>
        </w:rPr>
      </w:pPr>
      <w:r w:rsidRPr="00793B5E">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793B5E">
        <w:rPr>
          <w:color w:val="auto"/>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793B5E" w:rsidRDefault="005C690F" w:rsidP="00C63600">
      <w:pPr>
        <w:spacing w:after="0" w:line="360" w:lineRule="auto"/>
        <w:rPr>
          <w:color w:val="auto"/>
        </w:rPr>
      </w:pPr>
    </w:p>
    <w:p w14:paraId="22563DDB" w14:textId="33D3D011" w:rsidR="008D3B3F" w:rsidRPr="00793B5E" w:rsidRDefault="007D6307" w:rsidP="00C63600">
      <w:pPr>
        <w:spacing w:after="0" w:line="360" w:lineRule="auto"/>
        <w:rPr>
          <w:color w:val="auto"/>
        </w:rPr>
      </w:pPr>
      <w:r w:rsidRPr="00793B5E">
        <w:rPr>
          <w:color w:val="auto"/>
        </w:rPr>
        <w:t>En el presente caso, </w:t>
      </w:r>
      <w:r w:rsidRPr="00793B5E">
        <w:rPr>
          <w:b/>
          <w:color w:val="auto"/>
        </w:rPr>
        <w:t>no se actualiza ninguna de las causales de improcedencia</w:t>
      </w:r>
      <w:r w:rsidRPr="00793B5E">
        <w:rPr>
          <w:color w:val="auto"/>
        </w:rPr>
        <w:t> establecidas en el ordenamiento jurídico previamente señalado, toda vez que: este Instituto no tiene conocimiento de que se encuentre en trámite algún medio de defensa presentado por la</w:t>
      </w:r>
      <w:r w:rsidR="00261B92" w:rsidRPr="00793B5E">
        <w:rPr>
          <w:color w:val="auto"/>
        </w:rPr>
        <w:t xml:space="preserve"> persona</w:t>
      </w:r>
      <w:r w:rsidRPr="00793B5E">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93B5E" w:rsidRDefault="00874D8A" w:rsidP="00C63600">
      <w:pPr>
        <w:spacing w:after="0" w:line="360" w:lineRule="auto"/>
        <w:rPr>
          <w:color w:val="FF0000"/>
        </w:rPr>
      </w:pPr>
    </w:p>
    <w:p w14:paraId="1593A12B" w14:textId="29C70EBD" w:rsidR="00304DE6" w:rsidRPr="00793B5E" w:rsidRDefault="007D6307" w:rsidP="00C63600">
      <w:pPr>
        <w:spacing w:after="0" w:line="360" w:lineRule="auto"/>
        <w:rPr>
          <w:color w:val="auto"/>
        </w:rPr>
      </w:pPr>
      <w:r w:rsidRPr="00793B5E">
        <w:rPr>
          <w:color w:val="auto"/>
        </w:rPr>
        <w:t>Por lo cual, se actualiza la causal de procedencia del Recurso de Revisión señal</w:t>
      </w:r>
      <w:r w:rsidR="00261DF6" w:rsidRPr="00793B5E">
        <w:rPr>
          <w:color w:val="auto"/>
        </w:rPr>
        <w:t>ada en el artículo 179, fracci</w:t>
      </w:r>
      <w:r w:rsidR="00383DAF" w:rsidRPr="00793B5E">
        <w:rPr>
          <w:color w:val="auto"/>
        </w:rPr>
        <w:t>ón I</w:t>
      </w:r>
      <w:r w:rsidR="002C4D41" w:rsidRPr="00793B5E">
        <w:rPr>
          <w:color w:val="auto"/>
        </w:rPr>
        <w:t>I</w:t>
      </w:r>
      <w:r w:rsidRPr="00793B5E">
        <w:rPr>
          <w:color w:val="auto"/>
        </w:rPr>
        <w:t>, de la Ley en cita, pues la p</w:t>
      </w:r>
      <w:r w:rsidR="00261B92" w:rsidRPr="00793B5E">
        <w:rPr>
          <w:color w:val="auto"/>
        </w:rPr>
        <w:t>ersona</w:t>
      </w:r>
      <w:r w:rsidRPr="00793B5E">
        <w:rPr>
          <w:color w:val="auto"/>
        </w:rPr>
        <w:t xml:space="preserve"> Recurrente se inconformó </w:t>
      </w:r>
      <w:r w:rsidR="00304DE6" w:rsidRPr="00793B5E">
        <w:rPr>
          <w:color w:val="auto"/>
        </w:rPr>
        <w:t>de la</w:t>
      </w:r>
      <w:r w:rsidR="002C4D41" w:rsidRPr="00793B5E">
        <w:rPr>
          <w:color w:val="auto"/>
        </w:rPr>
        <w:t xml:space="preserve"> </w:t>
      </w:r>
      <w:r w:rsidR="00383DAF" w:rsidRPr="00793B5E">
        <w:rPr>
          <w:color w:val="auto"/>
        </w:rPr>
        <w:t>clasificación de la información.</w:t>
      </w:r>
    </w:p>
    <w:p w14:paraId="7B59B025" w14:textId="77777777" w:rsidR="00712ED6" w:rsidRPr="00793B5E" w:rsidRDefault="00712ED6" w:rsidP="00C63600">
      <w:pPr>
        <w:spacing w:after="0" w:line="360" w:lineRule="auto"/>
        <w:rPr>
          <w:color w:val="auto"/>
        </w:rPr>
      </w:pPr>
    </w:p>
    <w:p w14:paraId="55FF691A" w14:textId="6D373E30" w:rsidR="005C690F" w:rsidRPr="00793B5E" w:rsidRDefault="007D6307" w:rsidP="00C63600">
      <w:pPr>
        <w:spacing w:after="0" w:line="360" w:lineRule="auto"/>
        <w:rPr>
          <w:color w:val="auto"/>
        </w:rPr>
      </w:pPr>
      <w:r w:rsidRPr="00793B5E">
        <w:rPr>
          <w:b/>
          <w:color w:val="auto"/>
        </w:rPr>
        <w:t>Ca</w:t>
      </w:r>
      <w:r w:rsidR="00CD6238" w:rsidRPr="00793B5E">
        <w:rPr>
          <w:b/>
          <w:color w:val="auto"/>
        </w:rPr>
        <w:t>usales de sobreseimiento</w:t>
      </w:r>
    </w:p>
    <w:p w14:paraId="426FEE7A" w14:textId="77777777" w:rsidR="005C690F" w:rsidRPr="00793B5E" w:rsidRDefault="005C690F" w:rsidP="00C63600">
      <w:pPr>
        <w:spacing w:after="0" w:line="360" w:lineRule="auto"/>
        <w:rPr>
          <w:color w:val="FF0000"/>
        </w:rPr>
      </w:pPr>
    </w:p>
    <w:p w14:paraId="5B1C849A" w14:textId="77777777" w:rsidR="005C690F" w:rsidRPr="00793B5E" w:rsidRDefault="007D6307" w:rsidP="00C63600">
      <w:pPr>
        <w:spacing w:after="0" w:line="360" w:lineRule="auto"/>
        <w:rPr>
          <w:color w:val="auto"/>
        </w:rPr>
      </w:pPr>
      <w:r w:rsidRPr="00793B5E">
        <w:rPr>
          <w:color w:val="auto"/>
        </w:rPr>
        <w:t>Por ser de previo y especial pronunciamiento, este Instituto analiza si se actualiza alguna causal de sobreseimiento.</w:t>
      </w:r>
    </w:p>
    <w:p w14:paraId="5CEDF034" w14:textId="77777777" w:rsidR="00A96A4E" w:rsidRPr="00793B5E" w:rsidRDefault="00A96A4E" w:rsidP="00C63600">
      <w:pPr>
        <w:spacing w:after="0" w:line="360" w:lineRule="auto"/>
        <w:rPr>
          <w:color w:val="auto"/>
        </w:rPr>
      </w:pPr>
    </w:p>
    <w:p w14:paraId="766AB72D" w14:textId="77777777" w:rsidR="00BC038B" w:rsidRPr="00793B5E" w:rsidRDefault="00BC038B" w:rsidP="00C63600">
      <w:pPr>
        <w:spacing w:after="0" w:line="360" w:lineRule="auto"/>
        <w:rPr>
          <w:color w:val="auto"/>
        </w:rPr>
      </w:pPr>
      <w:r w:rsidRPr="00793B5E">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793B5E">
        <w:rPr>
          <w:color w:val="auto"/>
        </w:rPr>
        <w:lastRenderedPageBreak/>
        <w:t>Obligado hubiese modificado o revocado el acto impugnado o bien, haya quedado sin materia.</w:t>
      </w:r>
    </w:p>
    <w:p w14:paraId="7702338D" w14:textId="77777777" w:rsidR="00BC038B" w:rsidRPr="00793B5E" w:rsidRDefault="00BC038B" w:rsidP="00C63600">
      <w:pPr>
        <w:spacing w:after="0" w:line="360" w:lineRule="auto"/>
        <w:rPr>
          <w:color w:val="auto"/>
        </w:rPr>
      </w:pPr>
    </w:p>
    <w:p w14:paraId="5BDF3BB4" w14:textId="2A80B251" w:rsidR="00BC038B" w:rsidRPr="00793B5E" w:rsidRDefault="00BC038B" w:rsidP="00C63600">
      <w:pPr>
        <w:spacing w:after="0" w:line="360" w:lineRule="auto"/>
        <w:rPr>
          <w:color w:val="auto"/>
        </w:rPr>
      </w:pPr>
      <w:r w:rsidRPr="00793B5E">
        <w:rPr>
          <w:color w:val="auto"/>
        </w:rPr>
        <w:t>Por tales motivos, se considera procedente entrar al fondo del presente asunto.</w:t>
      </w:r>
    </w:p>
    <w:p w14:paraId="275D3AA1" w14:textId="77777777" w:rsidR="001A44D1" w:rsidRPr="00793B5E" w:rsidRDefault="001A44D1" w:rsidP="00C63600">
      <w:pPr>
        <w:spacing w:after="0" w:line="360" w:lineRule="auto"/>
        <w:rPr>
          <w:b/>
          <w:color w:val="auto"/>
        </w:rPr>
      </w:pPr>
    </w:p>
    <w:p w14:paraId="0A6A0BAE" w14:textId="184EF292" w:rsidR="005C690F" w:rsidRPr="00793B5E" w:rsidRDefault="007D6307" w:rsidP="00C63600">
      <w:pPr>
        <w:pStyle w:val="Ttulo2"/>
        <w:spacing w:before="0" w:after="0" w:line="360" w:lineRule="auto"/>
        <w:rPr>
          <w:color w:val="auto"/>
          <w:sz w:val="22"/>
          <w:szCs w:val="22"/>
        </w:rPr>
      </w:pPr>
      <w:bookmarkStart w:id="12" w:name="_Toc208339781"/>
      <w:r w:rsidRPr="00793B5E">
        <w:rPr>
          <w:color w:val="auto"/>
          <w:sz w:val="22"/>
          <w:szCs w:val="22"/>
        </w:rPr>
        <w:t>TERCERO. De</w:t>
      </w:r>
      <w:r w:rsidR="00CD6238" w:rsidRPr="00793B5E">
        <w:rPr>
          <w:color w:val="auto"/>
          <w:sz w:val="22"/>
          <w:szCs w:val="22"/>
        </w:rPr>
        <w:t>terminación de la Controversia</w:t>
      </w:r>
      <w:bookmarkEnd w:id="12"/>
    </w:p>
    <w:p w14:paraId="4A0739CB" w14:textId="77777777" w:rsidR="00897A05" w:rsidRPr="00793B5E" w:rsidRDefault="00897A05" w:rsidP="00C63600">
      <w:pPr>
        <w:spacing w:after="0" w:line="360" w:lineRule="auto"/>
        <w:rPr>
          <w:b/>
          <w:color w:val="FF0000"/>
        </w:rPr>
      </w:pPr>
    </w:p>
    <w:p w14:paraId="031C522E" w14:textId="17F22383" w:rsidR="00D82ACC" w:rsidRPr="00793B5E" w:rsidRDefault="007C7BAF" w:rsidP="00C63600">
      <w:pPr>
        <w:spacing w:after="0" w:line="360" w:lineRule="auto"/>
        <w:rPr>
          <w:rFonts w:cs="Tahoma"/>
          <w:color w:val="auto"/>
        </w:rPr>
      </w:pPr>
      <w:r w:rsidRPr="00793B5E">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793B5E">
        <w:rPr>
          <w:rFonts w:cs="Tahoma"/>
          <w:color w:val="auto"/>
        </w:rPr>
        <w:t>requirió</w:t>
      </w:r>
      <w:r w:rsidR="003E63AC" w:rsidRPr="00793B5E">
        <w:rPr>
          <w:rFonts w:cs="Tahoma"/>
          <w:color w:val="auto"/>
        </w:rPr>
        <w:t xml:space="preserve">, </w:t>
      </w:r>
      <w:r w:rsidR="00AF1F40" w:rsidRPr="00793B5E">
        <w:rPr>
          <w:rFonts w:cs="Tahoma"/>
          <w:color w:val="auto"/>
        </w:rPr>
        <w:t xml:space="preserve">el </w:t>
      </w:r>
      <w:r w:rsidR="00D82ACC" w:rsidRPr="00793B5E">
        <w:rPr>
          <w:rFonts w:cs="Tahoma"/>
          <w:color w:val="auto"/>
        </w:rPr>
        <w:t xml:space="preserve">padrón vehicular del municipio </w:t>
      </w:r>
      <w:r w:rsidR="00C63600" w:rsidRPr="00793B5E">
        <w:rPr>
          <w:rFonts w:cs="Tahoma"/>
          <w:color w:val="auto"/>
        </w:rPr>
        <w:t xml:space="preserve">que </w:t>
      </w:r>
      <w:proofErr w:type="spellStart"/>
      <w:r w:rsidR="00C63600" w:rsidRPr="00793B5E">
        <w:rPr>
          <w:rFonts w:cs="Tahoma"/>
          <w:color w:val="auto"/>
        </w:rPr>
        <w:t>contega</w:t>
      </w:r>
      <w:proofErr w:type="spellEnd"/>
      <w:r w:rsidR="00C63600" w:rsidRPr="00793B5E">
        <w:rPr>
          <w:rFonts w:cs="Tahoma"/>
          <w:color w:val="auto"/>
        </w:rPr>
        <w:t xml:space="preserve"> la</w:t>
      </w:r>
      <w:r w:rsidR="00D82ACC" w:rsidRPr="00793B5E">
        <w:rPr>
          <w:rFonts w:cs="Tahoma"/>
          <w:color w:val="auto"/>
        </w:rPr>
        <w:t xml:space="preserve"> cantidad total de vehículos, marca</w:t>
      </w:r>
      <w:r w:rsidR="00D83837" w:rsidRPr="00793B5E">
        <w:rPr>
          <w:rFonts w:cs="Tahoma"/>
          <w:color w:val="auto"/>
        </w:rPr>
        <w:t>, modelo, año de adquisición</w:t>
      </w:r>
      <w:r w:rsidR="00D82ACC" w:rsidRPr="00793B5E">
        <w:rPr>
          <w:rFonts w:cs="Tahoma"/>
          <w:color w:val="auto"/>
        </w:rPr>
        <w:t>,</w:t>
      </w:r>
      <w:r w:rsidR="00DF261D" w:rsidRPr="00793B5E">
        <w:rPr>
          <w:rFonts w:cs="Tahoma"/>
          <w:color w:val="auto"/>
        </w:rPr>
        <w:t xml:space="preserve"> r</w:t>
      </w:r>
      <w:r w:rsidR="004A090A" w:rsidRPr="00793B5E">
        <w:rPr>
          <w:rFonts w:cs="Tahoma"/>
          <w:color w:val="auto"/>
        </w:rPr>
        <w:t>endimiento</w:t>
      </w:r>
      <w:r w:rsidR="00D82ACC" w:rsidRPr="00793B5E">
        <w:rPr>
          <w:rFonts w:cs="Tahoma"/>
          <w:color w:val="auto"/>
        </w:rPr>
        <w:t xml:space="preserve"> </w:t>
      </w:r>
      <w:r w:rsidR="00DF261D" w:rsidRPr="00793B5E">
        <w:rPr>
          <w:rFonts w:cs="Tahoma"/>
          <w:color w:val="auto"/>
        </w:rPr>
        <w:t xml:space="preserve">en </w:t>
      </w:r>
      <w:r w:rsidR="00D82ACC" w:rsidRPr="00793B5E">
        <w:rPr>
          <w:rFonts w:cs="Tahoma"/>
          <w:color w:val="auto"/>
        </w:rPr>
        <w:t>c</w:t>
      </w:r>
      <w:r w:rsidR="00D83837" w:rsidRPr="00793B5E">
        <w:rPr>
          <w:rFonts w:cs="Tahoma"/>
          <w:color w:val="auto"/>
        </w:rPr>
        <w:t>onsumo de combustible detallado por área o dirección, mantenimientos</w:t>
      </w:r>
      <w:r w:rsidR="00D82ACC" w:rsidRPr="00793B5E">
        <w:rPr>
          <w:rFonts w:cs="Tahoma"/>
          <w:color w:val="auto"/>
        </w:rPr>
        <w:t xml:space="preserve"> realizados.</w:t>
      </w:r>
    </w:p>
    <w:p w14:paraId="25847767" w14:textId="77777777" w:rsidR="001260CE" w:rsidRPr="00793B5E" w:rsidRDefault="001260CE" w:rsidP="00C63600">
      <w:pPr>
        <w:spacing w:after="0" w:line="360" w:lineRule="auto"/>
        <w:rPr>
          <w:rFonts w:cs="Tahoma"/>
          <w:color w:val="auto"/>
        </w:rPr>
      </w:pPr>
    </w:p>
    <w:p w14:paraId="28F82416" w14:textId="30180A7B" w:rsidR="00972243" w:rsidRPr="00793B5E" w:rsidRDefault="007C7BAF" w:rsidP="00C63600">
      <w:pPr>
        <w:spacing w:after="0" w:line="360" w:lineRule="auto"/>
        <w:rPr>
          <w:rFonts w:cs="Tahoma"/>
          <w:color w:val="FF0000"/>
          <w:lang w:val="es-ES"/>
        </w:rPr>
      </w:pPr>
      <w:r w:rsidRPr="00793B5E">
        <w:rPr>
          <w:color w:val="auto"/>
        </w:rPr>
        <w:t>En respuesta, el Sujeto Obligado,</w:t>
      </w:r>
      <w:r w:rsidR="005827A7" w:rsidRPr="00793B5E">
        <w:rPr>
          <w:color w:val="auto"/>
        </w:rPr>
        <w:t xml:space="preserve"> remitió el Acta de la Séptima Sesión Ordinaria del Comité de Transparencia, del día cuatro de julio de dos mil veinticinco, por medio del cual se aprueba el proyecto de confidencialidad, Clasificación Confidencial y Reserva de Información, de la información solicitada por poner en riesgo el patrimonio y seguridad pública, así como el interés público</w:t>
      </w:r>
      <w:r w:rsidR="005674EA" w:rsidRPr="00793B5E">
        <w:rPr>
          <w:color w:val="auto"/>
        </w:rPr>
        <w:t xml:space="preserve"> en términos del artículo 140 fracciones I y V numeral 1, de la Ley de Transparencia y Acceso a la Información Pública del Estado de México Y municipios</w:t>
      </w:r>
      <w:r w:rsidR="00C672CD" w:rsidRPr="00793B5E">
        <w:rPr>
          <w:color w:val="auto"/>
          <w:sz w:val="24"/>
        </w:rPr>
        <w:t>;</w:t>
      </w:r>
      <w:r w:rsidRPr="00793B5E">
        <w:rPr>
          <w:color w:val="auto"/>
        </w:rPr>
        <w:t xml:space="preserve"> </w:t>
      </w:r>
      <w:r w:rsidRPr="00793B5E">
        <w:rPr>
          <w:rFonts w:cs="Tahoma"/>
          <w:color w:val="auto"/>
          <w:lang w:val="es-ES"/>
        </w:rPr>
        <w:t>ante dicha circunstancia, el Particular se inconformó</w:t>
      </w:r>
      <w:r w:rsidR="00644832" w:rsidRPr="00793B5E">
        <w:rPr>
          <w:rFonts w:cs="Tahoma"/>
          <w:color w:val="auto"/>
          <w:lang w:val="es-ES"/>
        </w:rPr>
        <w:t xml:space="preserve"> </w:t>
      </w:r>
      <w:r w:rsidR="00966BF0" w:rsidRPr="00793B5E">
        <w:rPr>
          <w:rFonts w:cs="Tahoma"/>
          <w:color w:val="auto"/>
          <w:lang w:val="es-ES"/>
        </w:rPr>
        <w:t>de</w:t>
      </w:r>
      <w:r w:rsidR="00105B6E" w:rsidRPr="00793B5E">
        <w:rPr>
          <w:rFonts w:cs="Tahoma"/>
          <w:color w:val="auto"/>
          <w:lang w:val="es-ES"/>
        </w:rPr>
        <w:t xml:space="preserve"> la </w:t>
      </w:r>
      <w:r w:rsidR="005674EA" w:rsidRPr="00793B5E">
        <w:rPr>
          <w:rFonts w:cs="Tahoma"/>
          <w:color w:val="auto"/>
          <w:lang w:val="es-ES"/>
        </w:rPr>
        <w:t xml:space="preserve">clasificación de la información </w:t>
      </w:r>
      <w:r w:rsidR="001A7F04" w:rsidRPr="00793B5E">
        <w:rPr>
          <w:rFonts w:cs="Tahoma"/>
          <w:color w:val="auto"/>
          <w:lang w:val="es-ES"/>
        </w:rPr>
        <w:t xml:space="preserve">, </w:t>
      </w:r>
      <w:r w:rsidRPr="00793B5E">
        <w:rPr>
          <w:rFonts w:cs="Tahoma"/>
          <w:color w:val="auto"/>
          <w:lang w:val="es-ES"/>
        </w:rPr>
        <w:t xml:space="preserve">lo cual </w:t>
      </w:r>
      <w:r w:rsidRPr="00793B5E">
        <w:rPr>
          <w:rFonts w:eastAsia="Calibri" w:cs="Tahoma"/>
          <w:color w:val="auto"/>
        </w:rPr>
        <w:t>actualiza la causal de proce</w:t>
      </w:r>
      <w:r w:rsidR="00413093" w:rsidRPr="00793B5E">
        <w:rPr>
          <w:rFonts w:eastAsia="Calibri" w:cs="Tahoma"/>
          <w:color w:val="auto"/>
        </w:rPr>
        <w:t xml:space="preserve">dencia prevista en la fracción </w:t>
      </w:r>
      <w:r w:rsidR="005674EA" w:rsidRPr="00793B5E">
        <w:rPr>
          <w:rFonts w:eastAsia="Calibri" w:cs="Tahoma"/>
          <w:color w:val="auto"/>
        </w:rPr>
        <w:t>I</w:t>
      </w:r>
      <w:r w:rsidR="00105B6E" w:rsidRPr="00793B5E">
        <w:rPr>
          <w:rFonts w:eastAsia="Calibri" w:cs="Tahoma"/>
          <w:color w:val="auto"/>
        </w:rPr>
        <w:t>I</w:t>
      </w:r>
      <w:r w:rsidRPr="00793B5E">
        <w:rPr>
          <w:rFonts w:eastAsia="Calibri" w:cs="Tahoma"/>
          <w:color w:val="auto"/>
        </w:rPr>
        <w:t>, del artículo 179 de la Ley de Transparencia y Acceso a la Información Pública del Estado de México y Municipios</w:t>
      </w:r>
      <w:r w:rsidRPr="00793B5E">
        <w:rPr>
          <w:color w:val="auto"/>
        </w:rPr>
        <w:t xml:space="preserve">. </w:t>
      </w:r>
      <w:r w:rsidRPr="00793B5E">
        <w:rPr>
          <w:rFonts w:eastAsia="Calibri" w:cs="Tahoma"/>
          <w:color w:val="auto"/>
        </w:rPr>
        <w:t>Así, las cosas, una vez admitido y notificado el Recurso de Revisión</w:t>
      </w:r>
      <w:r w:rsidR="00522A47" w:rsidRPr="00793B5E">
        <w:rPr>
          <w:rFonts w:eastAsia="Calibri" w:cs="Tahoma"/>
          <w:color w:val="auto"/>
        </w:rPr>
        <w:t xml:space="preserve"> a las partes,</w:t>
      </w:r>
      <w:r w:rsidR="00D93A2A" w:rsidRPr="00793B5E">
        <w:rPr>
          <w:rFonts w:eastAsia="Calibri" w:cs="Tahoma"/>
          <w:color w:val="auto"/>
        </w:rPr>
        <w:t xml:space="preserve"> </w:t>
      </w:r>
      <w:r w:rsidR="00404B15" w:rsidRPr="00793B5E">
        <w:rPr>
          <w:rFonts w:eastAsia="Calibri" w:cs="Tahoma"/>
          <w:color w:val="auto"/>
        </w:rPr>
        <w:t>el Sujeto Obligado ratificó su respuesta.</w:t>
      </w:r>
    </w:p>
    <w:p w14:paraId="137DA036" w14:textId="77777777" w:rsidR="00AB4AC2" w:rsidRPr="00793B5E" w:rsidRDefault="00AB4AC2" w:rsidP="00C63600">
      <w:pPr>
        <w:spacing w:after="0" w:line="360" w:lineRule="auto"/>
        <w:ind w:right="567"/>
        <w:rPr>
          <w:i/>
          <w:iCs/>
          <w:color w:val="FF0000"/>
          <w:sz w:val="20"/>
          <w:szCs w:val="20"/>
        </w:rPr>
      </w:pPr>
    </w:p>
    <w:p w14:paraId="22C5958E" w14:textId="50B94A10" w:rsidR="007C7BAF" w:rsidRPr="00793B5E" w:rsidRDefault="007C7BAF" w:rsidP="00C63600">
      <w:pPr>
        <w:tabs>
          <w:tab w:val="left" w:pos="4962"/>
        </w:tabs>
        <w:spacing w:after="0" w:line="360" w:lineRule="auto"/>
        <w:rPr>
          <w:rFonts w:eastAsia="Calibri" w:cs="Tahoma"/>
          <w:bCs/>
          <w:color w:val="auto"/>
        </w:rPr>
      </w:pPr>
      <w:r w:rsidRPr="00793B5E">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793B5E">
        <w:rPr>
          <w:rFonts w:eastAsia="Calibri" w:cs="Tahoma"/>
          <w:iCs/>
          <w:color w:val="auto"/>
          <w:lang w:val="es-ES" w:eastAsia="es-ES_tradnl"/>
        </w:rPr>
        <w:t>i</w:t>
      </w:r>
      <w:r w:rsidR="0076190F" w:rsidRPr="00793B5E">
        <w:rPr>
          <w:rFonts w:eastAsia="Calibri" w:cs="Tahoma"/>
          <w:iCs/>
          <w:color w:val="auto"/>
          <w:lang w:val="es-ES" w:eastAsia="es-ES_tradnl"/>
        </w:rPr>
        <w:t xml:space="preserve">tud de acceso a </w:t>
      </w:r>
      <w:r w:rsidR="004E2EF2" w:rsidRPr="00793B5E">
        <w:rPr>
          <w:rFonts w:eastAsia="Calibri" w:cs="Tahoma"/>
          <w:iCs/>
          <w:color w:val="auto"/>
          <w:lang w:val="es-ES" w:eastAsia="es-ES_tradnl"/>
        </w:rPr>
        <w:t>la información,</w:t>
      </w:r>
      <w:r w:rsidR="0076190F" w:rsidRPr="00793B5E">
        <w:rPr>
          <w:rFonts w:eastAsia="Calibri" w:cs="Tahoma"/>
          <w:iCs/>
          <w:color w:val="auto"/>
          <w:lang w:val="es-ES" w:eastAsia="es-ES_tradnl"/>
        </w:rPr>
        <w:t xml:space="preserve"> </w:t>
      </w:r>
      <w:r w:rsidRPr="00793B5E">
        <w:rPr>
          <w:rFonts w:eastAsia="Calibri" w:cs="Tahoma"/>
          <w:iCs/>
          <w:color w:val="auto"/>
          <w:lang w:eastAsia="es-ES_tradnl"/>
        </w:rPr>
        <w:t xml:space="preserve">el escrito </w:t>
      </w:r>
      <w:proofErr w:type="spellStart"/>
      <w:r w:rsidRPr="00793B5E">
        <w:rPr>
          <w:rFonts w:eastAsia="Calibri" w:cs="Tahoma"/>
          <w:iCs/>
          <w:color w:val="auto"/>
          <w:lang w:eastAsia="es-ES_tradnl"/>
        </w:rPr>
        <w:t>recursal</w:t>
      </w:r>
      <w:proofErr w:type="spellEnd"/>
      <w:r w:rsidR="004E2EF2" w:rsidRPr="00793B5E">
        <w:rPr>
          <w:rFonts w:eastAsia="Calibri" w:cs="Tahoma"/>
          <w:iCs/>
          <w:color w:val="auto"/>
          <w:lang w:eastAsia="es-ES_tradnl"/>
        </w:rPr>
        <w:t xml:space="preserve"> y el Informe Justificado</w:t>
      </w:r>
      <w:r w:rsidRPr="00793B5E">
        <w:rPr>
          <w:rFonts w:eastAsia="Calibri" w:cs="Tahoma"/>
          <w:iCs/>
          <w:color w:val="auto"/>
          <w:lang w:eastAsia="es-ES_tradnl"/>
        </w:rPr>
        <w:t xml:space="preserve">; </w:t>
      </w:r>
      <w:r w:rsidRPr="00793B5E">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793B5E" w:rsidRDefault="00C672CD" w:rsidP="00C63600">
      <w:pPr>
        <w:pStyle w:val="Ttulo2"/>
        <w:spacing w:before="0" w:after="0" w:line="360" w:lineRule="auto"/>
        <w:rPr>
          <w:color w:val="FF0000"/>
          <w:sz w:val="22"/>
          <w:szCs w:val="22"/>
        </w:rPr>
      </w:pPr>
    </w:p>
    <w:p w14:paraId="36DCBD9D" w14:textId="0AA8912A" w:rsidR="005C690F" w:rsidRPr="00793B5E" w:rsidRDefault="007D6307" w:rsidP="00C63600">
      <w:pPr>
        <w:pStyle w:val="Ttulo2"/>
        <w:spacing w:before="0" w:after="0" w:line="360" w:lineRule="auto"/>
        <w:rPr>
          <w:color w:val="auto"/>
          <w:sz w:val="22"/>
          <w:szCs w:val="22"/>
        </w:rPr>
      </w:pPr>
      <w:bookmarkStart w:id="13" w:name="_Toc208339782"/>
      <w:r w:rsidRPr="00793B5E">
        <w:rPr>
          <w:color w:val="auto"/>
          <w:sz w:val="22"/>
          <w:szCs w:val="22"/>
        </w:rPr>
        <w:t xml:space="preserve">CUARTO. Marco normativo aplicable en materia de transparencia y </w:t>
      </w:r>
      <w:r w:rsidR="00CD6238" w:rsidRPr="00793B5E">
        <w:rPr>
          <w:color w:val="auto"/>
          <w:sz w:val="22"/>
          <w:szCs w:val="22"/>
        </w:rPr>
        <w:t>acceso a la información pública</w:t>
      </w:r>
      <w:bookmarkEnd w:id="13"/>
    </w:p>
    <w:p w14:paraId="4D62F8F1" w14:textId="77777777" w:rsidR="005C690F" w:rsidRPr="00793B5E" w:rsidRDefault="005C690F" w:rsidP="00C63600">
      <w:pPr>
        <w:spacing w:after="0" w:line="360" w:lineRule="auto"/>
        <w:rPr>
          <w:color w:val="auto"/>
        </w:rPr>
      </w:pPr>
    </w:p>
    <w:p w14:paraId="68F50546" w14:textId="77777777" w:rsidR="005C690F" w:rsidRPr="00793B5E" w:rsidRDefault="007D6307" w:rsidP="00C63600">
      <w:pPr>
        <w:spacing w:after="0" w:line="360" w:lineRule="auto"/>
        <w:rPr>
          <w:color w:val="auto"/>
        </w:rPr>
      </w:pPr>
      <w:r w:rsidRPr="00793B5E">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93B5E" w:rsidRDefault="005C690F" w:rsidP="00C63600">
      <w:pPr>
        <w:spacing w:after="0" w:line="360" w:lineRule="auto"/>
        <w:rPr>
          <w:color w:val="auto"/>
        </w:rPr>
      </w:pPr>
    </w:p>
    <w:p w14:paraId="69458899" w14:textId="77777777" w:rsidR="005C690F" w:rsidRPr="00793B5E" w:rsidRDefault="007D6307" w:rsidP="00C63600">
      <w:pPr>
        <w:spacing w:after="0" w:line="360" w:lineRule="auto"/>
        <w:rPr>
          <w:color w:val="auto"/>
        </w:rPr>
      </w:pPr>
      <w:r w:rsidRPr="00793B5E">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93B5E" w:rsidRDefault="005C690F" w:rsidP="00C63600">
      <w:pPr>
        <w:spacing w:after="0" w:line="360" w:lineRule="auto"/>
        <w:rPr>
          <w:color w:val="auto"/>
        </w:rPr>
      </w:pPr>
    </w:p>
    <w:p w14:paraId="3D8EBDEC" w14:textId="77777777" w:rsidR="005C690F" w:rsidRPr="00793B5E" w:rsidRDefault="007D6307" w:rsidP="00C63600">
      <w:pPr>
        <w:spacing w:after="0" w:line="360" w:lineRule="auto"/>
        <w:rPr>
          <w:color w:val="auto"/>
        </w:rPr>
      </w:pPr>
      <w:r w:rsidRPr="00793B5E">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793B5E" w:rsidRDefault="005C690F" w:rsidP="00C63600">
      <w:pPr>
        <w:spacing w:after="0" w:line="360" w:lineRule="auto"/>
        <w:rPr>
          <w:color w:val="auto"/>
        </w:rPr>
      </w:pPr>
    </w:p>
    <w:p w14:paraId="5BD9CB2E" w14:textId="77777777" w:rsidR="005C690F" w:rsidRPr="00793B5E" w:rsidRDefault="007D6307" w:rsidP="00C63600">
      <w:pPr>
        <w:spacing w:after="0" w:line="360" w:lineRule="auto"/>
        <w:rPr>
          <w:color w:val="auto"/>
        </w:rPr>
      </w:pPr>
      <w:r w:rsidRPr="00793B5E">
        <w:rPr>
          <w:color w:val="auto"/>
        </w:rPr>
        <w:t>El artículo 12, que, quienes generen, recopilen, administren, manejen, procesen, archiven o conserven información pública serán responsables de la misma.</w:t>
      </w:r>
    </w:p>
    <w:p w14:paraId="6BD1FFBB" w14:textId="77777777" w:rsidR="007C02D1" w:rsidRPr="00793B5E" w:rsidRDefault="007C02D1" w:rsidP="00C63600">
      <w:pPr>
        <w:spacing w:after="0" w:line="360" w:lineRule="auto"/>
        <w:rPr>
          <w:color w:val="auto"/>
        </w:rPr>
      </w:pPr>
    </w:p>
    <w:p w14:paraId="3D899A16" w14:textId="77777777" w:rsidR="005C690F" w:rsidRPr="00793B5E" w:rsidRDefault="007D6307" w:rsidP="00C63600">
      <w:pPr>
        <w:widowControl w:val="0"/>
        <w:spacing w:after="0" w:line="360" w:lineRule="auto"/>
        <w:rPr>
          <w:color w:val="auto"/>
        </w:rPr>
      </w:pPr>
      <w:r w:rsidRPr="00793B5E">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93B5E" w:rsidRDefault="00B153FA" w:rsidP="00C63600">
      <w:pPr>
        <w:widowControl w:val="0"/>
        <w:spacing w:after="0" w:line="360" w:lineRule="auto"/>
        <w:rPr>
          <w:color w:val="auto"/>
        </w:rPr>
      </w:pPr>
    </w:p>
    <w:p w14:paraId="70E5B643" w14:textId="378E2A57" w:rsidR="00B04A35" w:rsidRPr="00793B5E" w:rsidRDefault="007D6307" w:rsidP="00C63600">
      <w:pPr>
        <w:spacing w:after="0" w:line="360" w:lineRule="auto"/>
        <w:rPr>
          <w:color w:val="auto"/>
        </w:rPr>
      </w:pPr>
      <w:r w:rsidRPr="00793B5E">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93B5E" w:rsidRDefault="005C690F" w:rsidP="00C63600">
      <w:pPr>
        <w:spacing w:after="0" w:line="360" w:lineRule="auto"/>
        <w:rPr>
          <w:color w:val="auto"/>
        </w:rPr>
      </w:pPr>
    </w:p>
    <w:p w14:paraId="3AF871E5" w14:textId="6FEB966D" w:rsidR="005C690F" w:rsidRPr="00793B5E" w:rsidRDefault="00CD6238" w:rsidP="00C63600">
      <w:pPr>
        <w:pStyle w:val="Ttulo2"/>
        <w:spacing w:before="0" w:after="0" w:line="360" w:lineRule="auto"/>
        <w:rPr>
          <w:color w:val="auto"/>
          <w:sz w:val="22"/>
          <w:szCs w:val="22"/>
        </w:rPr>
      </w:pPr>
      <w:bookmarkStart w:id="14" w:name="_Toc208339783"/>
      <w:r w:rsidRPr="00793B5E">
        <w:rPr>
          <w:color w:val="auto"/>
          <w:sz w:val="22"/>
          <w:szCs w:val="22"/>
        </w:rPr>
        <w:t>Q</w:t>
      </w:r>
      <w:r w:rsidR="0044017B" w:rsidRPr="00793B5E">
        <w:rPr>
          <w:color w:val="auto"/>
          <w:sz w:val="22"/>
          <w:szCs w:val="22"/>
        </w:rPr>
        <w:t>UINTO</w:t>
      </w:r>
      <w:r w:rsidRPr="00793B5E">
        <w:rPr>
          <w:color w:val="auto"/>
          <w:sz w:val="22"/>
          <w:szCs w:val="22"/>
        </w:rPr>
        <w:t>. Estudio de Fondo</w:t>
      </w:r>
      <w:bookmarkEnd w:id="14"/>
    </w:p>
    <w:p w14:paraId="2596B212" w14:textId="77777777" w:rsidR="00A56228" w:rsidRPr="00793B5E" w:rsidRDefault="00A56228" w:rsidP="00C63600">
      <w:pPr>
        <w:spacing w:after="0" w:line="360" w:lineRule="auto"/>
        <w:rPr>
          <w:b/>
          <w:color w:val="FF0000"/>
        </w:rPr>
      </w:pPr>
    </w:p>
    <w:p w14:paraId="63BCC1E3" w14:textId="100FCE1F" w:rsidR="00A6674B" w:rsidRPr="00793B5E" w:rsidRDefault="0064067B" w:rsidP="00C63600">
      <w:pPr>
        <w:spacing w:after="0" w:line="360" w:lineRule="auto"/>
        <w:rPr>
          <w:rFonts w:eastAsia="Times New Roman" w:cs="Tahoma"/>
          <w:bCs/>
          <w:iCs/>
          <w:color w:val="auto"/>
          <w:lang w:eastAsia="es-ES"/>
        </w:rPr>
      </w:pPr>
      <w:r w:rsidRPr="00793B5E">
        <w:rPr>
          <w:color w:val="auto"/>
        </w:rPr>
        <w:t>Expuestas las posturas de las partes, se procede al análisis de los agravios hechos valer por la persona Recurrente</w:t>
      </w:r>
      <w:r w:rsidR="00731FB9" w:rsidRPr="00793B5E">
        <w:rPr>
          <w:color w:val="auto"/>
        </w:rPr>
        <w:t xml:space="preserve">, </w:t>
      </w:r>
      <w:r w:rsidR="007F4407" w:rsidRPr="00793B5E">
        <w:rPr>
          <w:rFonts w:eastAsia="Times New Roman" w:cs="Tahoma"/>
          <w:bCs/>
          <w:iCs/>
          <w:color w:val="auto"/>
          <w:lang w:eastAsia="es-ES"/>
        </w:rPr>
        <w:t>por lo que, en principio es necesario contextualizar la solicitud de información</w:t>
      </w:r>
      <w:r w:rsidR="00A6674B" w:rsidRPr="00793B5E">
        <w:rPr>
          <w:rFonts w:eastAsia="Times New Roman" w:cs="Tahoma"/>
          <w:bCs/>
          <w:iCs/>
          <w:color w:val="auto"/>
          <w:lang w:eastAsia="es-ES"/>
        </w:rPr>
        <w:t>.</w:t>
      </w:r>
    </w:p>
    <w:p w14:paraId="4FC74C35" w14:textId="77777777" w:rsidR="009B3CD8" w:rsidRPr="00793B5E" w:rsidRDefault="009B3CD8" w:rsidP="00C63600">
      <w:pPr>
        <w:spacing w:after="0" w:line="360" w:lineRule="auto"/>
        <w:rPr>
          <w:rFonts w:eastAsia="Times New Roman" w:cs="Tahoma"/>
          <w:bCs/>
          <w:iCs/>
          <w:color w:val="auto"/>
          <w:lang w:eastAsia="es-ES"/>
        </w:rPr>
      </w:pPr>
    </w:p>
    <w:p w14:paraId="2BC37F5F" w14:textId="26481614" w:rsidR="009B3CD8" w:rsidRPr="00793B5E" w:rsidRDefault="009B3CD8" w:rsidP="00C63600">
      <w:pPr>
        <w:spacing w:after="0" w:line="360" w:lineRule="auto"/>
      </w:pPr>
      <w:r w:rsidRPr="00793B5E">
        <w:rPr>
          <w:rFonts w:eastAsia="Times New Roman" w:cs="Tahoma"/>
          <w:bCs/>
          <w:iCs/>
          <w:color w:val="auto"/>
          <w:lang w:eastAsia="es-ES"/>
        </w:rPr>
        <w:t xml:space="preserve">Al respecto, </w:t>
      </w:r>
      <w:r w:rsidRPr="00793B5E">
        <w:t>los artículos 1º, 2º, fracción VII y 4º, fracción IV de la Ley de Fiscalización Superior del Estado de México, que tiene por objeto establecer disposiciones encaminadas fiscalizar, auditar y revisar las cuentas y actos relativos a la aplicación de los recursos públicos del Estado de México y de los Municipios.</w:t>
      </w:r>
    </w:p>
    <w:p w14:paraId="62E39F4D" w14:textId="77777777" w:rsidR="009B3CD8" w:rsidRPr="00793B5E" w:rsidRDefault="009B3CD8" w:rsidP="00C63600">
      <w:pPr>
        <w:spacing w:after="0" w:line="360" w:lineRule="auto"/>
        <w:rPr>
          <w:rFonts w:eastAsia="Times New Roman" w:cs="Tahoma"/>
          <w:bCs/>
          <w:iCs/>
          <w:color w:val="auto"/>
          <w:lang w:eastAsia="es-ES"/>
        </w:rPr>
      </w:pPr>
    </w:p>
    <w:p w14:paraId="230EDBF4" w14:textId="5993BBBF" w:rsidR="00DF37DE" w:rsidRPr="00793B5E" w:rsidRDefault="009B3CD8" w:rsidP="00C63600">
      <w:pPr>
        <w:spacing w:after="0" w:line="360" w:lineRule="auto"/>
      </w:pPr>
      <w:r w:rsidRPr="00793B5E">
        <w:t>Conforme a lo anterior, los Lineamientos para la Integración y Presentación de los Informes Trimestrales Estatales y Municipales del Ejercicio Fiscal dos mil veinticinco, describe en el Instructivo de Llenado del Módulo 4, se refiere que la información,</w:t>
      </w:r>
      <w:r w:rsidR="001F7AD4" w:rsidRPr="00793B5E">
        <w:t xml:space="preserve"> sobre el inventario de bienes muebles de los Ayuntamientos, se integrará de la siguiente forma:</w:t>
      </w:r>
    </w:p>
    <w:p w14:paraId="72B69EF2" w14:textId="77777777" w:rsidR="00C63600" w:rsidRPr="00793B5E" w:rsidRDefault="00C63600" w:rsidP="00C63600">
      <w:pPr>
        <w:spacing w:after="0" w:line="360" w:lineRule="auto"/>
      </w:pPr>
    </w:p>
    <w:p w14:paraId="139662E9" w14:textId="42780F2D" w:rsidR="001F7AD4" w:rsidRPr="00793B5E" w:rsidRDefault="0036756B" w:rsidP="00C63600">
      <w:pPr>
        <w:spacing w:after="0" w:line="360" w:lineRule="auto"/>
        <w:rPr>
          <w:rFonts w:eastAsia="Times New Roman" w:cs="Tahoma"/>
          <w:bCs/>
          <w:iCs/>
          <w:color w:val="FF0000"/>
          <w:lang w:eastAsia="es-ES"/>
        </w:rPr>
      </w:pPr>
      <w:r w:rsidRPr="00793B5E">
        <w:rPr>
          <w:rFonts w:eastAsia="Times New Roman" w:cs="Tahoma"/>
          <w:bCs/>
          <w:iCs/>
          <w:noProof/>
          <w:color w:val="FF0000"/>
        </w:rPr>
        <w:lastRenderedPageBreak/>
        <w:drawing>
          <wp:inline distT="0" distB="0" distL="0" distR="0" wp14:anchorId="12EAF6CF" wp14:editId="3423DC33">
            <wp:extent cx="5671185" cy="1201479"/>
            <wp:effectExtent l="0" t="0" r="571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5357"/>
                    <a:stretch/>
                  </pic:blipFill>
                  <pic:spPr bwMode="auto">
                    <a:xfrm>
                      <a:off x="0" y="0"/>
                      <a:ext cx="5671185" cy="1201479"/>
                    </a:xfrm>
                    <a:prstGeom prst="rect">
                      <a:avLst/>
                    </a:prstGeom>
                    <a:ln>
                      <a:noFill/>
                    </a:ln>
                    <a:extLst>
                      <a:ext uri="{53640926-AAD7-44D8-BBD7-CCE9431645EC}">
                        <a14:shadowObscured xmlns:a14="http://schemas.microsoft.com/office/drawing/2010/main"/>
                      </a:ext>
                    </a:extLst>
                  </pic:spPr>
                </pic:pic>
              </a:graphicData>
            </a:graphic>
          </wp:inline>
        </w:drawing>
      </w:r>
    </w:p>
    <w:p w14:paraId="76492499" w14:textId="2C35534F" w:rsidR="0036756B" w:rsidRPr="00793B5E" w:rsidRDefault="0036756B" w:rsidP="00C63600">
      <w:pPr>
        <w:tabs>
          <w:tab w:val="left" w:pos="4962"/>
        </w:tabs>
        <w:spacing w:after="0" w:line="360" w:lineRule="auto"/>
        <w:rPr>
          <w:rFonts w:eastAsia="Calibri" w:cs="Tahoma"/>
          <w:color w:val="auto"/>
        </w:rPr>
      </w:pPr>
      <w:r w:rsidRPr="00793B5E">
        <w:rPr>
          <w:rFonts w:eastAsia="Calibri" w:cs="Tahoma"/>
          <w:color w:val="auto"/>
        </w:rPr>
        <w:t>Del análisis  del inventario de bienes muebles</w:t>
      </w:r>
      <w:r w:rsidR="009639E3" w:rsidRPr="00793B5E">
        <w:rPr>
          <w:rFonts w:eastAsia="Calibri" w:cs="Tahoma"/>
          <w:color w:val="auto"/>
        </w:rPr>
        <w:t xml:space="preserve"> previamente señalado se logra advertir que constituye </w:t>
      </w:r>
      <w:r w:rsidRPr="00793B5E">
        <w:rPr>
          <w:rFonts w:eastAsia="Calibri" w:cs="Tahoma"/>
          <w:color w:val="auto"/>
        </w:rPr>
        <w:t xml:space="preserve">un documento que se realiza de manera semestral y contiene el número consecutivo dentro del inventario, cuenta, subcuenta, nombre de la cuenta contable a la que corresponde, número de inventario, nombre del </w:t>
      </w:r>
      <w:proofErr w:type="spellStart"/>
      <w:r w:rsidRPr="00793B5E">
        <w:rPr>
          <w:rFonts w:eastAsia="Calibri" w:cs="Tahoma"/>
          <w:color w:val="auto"/>
        </w:rPr>
        <w:t>resguardatario</w:t>
      </w:r>
      <w:proofErr w:type="spellEnd"/>
      <w:r w:rsidRPr="00793B5E">
        <w:rPr>
          <w:rFonts w:eastAsia="Calibri" w:cs="Tahoma"/>
          <w:color w:val="auto"/>
        </w:rPr>
        <w:t xml:space="preserve">, nombre del mueble, </w:t>
      </w:r>
      <w:r w:rsidRPr="00793B5E">
        <w:rPr>
          <w:rFonts w:eastAsia="Calibri" w:cs="Tahoma"/>
          <w:b/>
          <w:color w:val="auto"/>
        </w:rPr>
        <w:t>marca</w:t>
      </w:r>
      <w:r w:rsidRPr="00793B5E">
        <w:rPr>
          <w:rFonts w:eastAsia="Calibri" w:cs="Tahoma"/>
          <w:color w:val="auto"/>
        </w:rPr>
        <w:t xml:space="preserve">, </w:t>
      </w:r>
      <w:r w:rsidRPr="00793B5E">
        <w:rPr>
          <w:rFonts w:eastAsia="Calibri" w:cs="Tahoma"/>
          <w:b/>
          <w:color w:val="auto"/>
        </w:rPr>
        <w:t>modelo,</w:t>
      </w:r>
      <w:r w:rsidRPr="00793B5E">
        <w:rPr>
          <w:rFonts w:eastAsia="Calibri" w:cs="Tahoma"/>
          <w:color w:val="auto"/>
        </w:rPr>
        <w:t xml:space="preserve"> número de serie, número de placa, número de motor, factura o CFDI, </w:t>
      </w:r>
      <w:r w:rsidR="00A13BA4" w:rsidRPr="00793B5E">
        <w:rPr>
          <w:rFonts w:eastAsia="Calibri" w:cs="Tahoma"/>
          <w:color w:val="auto"/>
        </w:rPr>
        <w:t xml:space="preserve">póliza, fecha de movimiento de alta, </w:t>
      </w:r>
      <w:r w:rsidR="00803193" w:rsidRPr="00793B5E">
        <w:rPr>
          <w:rFonts w:eastAsia="Calibri" w:cs="Tahoma"/>
          <w:b/>
          <w:color w:val="auto"/>
        </w:rPr>
        <w:t>área responsable</w:t>
      </w:r>
      <w:r w:rsidR="00803193" w:rsidRPr="00793B5E">
        <w:rPr>
          <w:rFonts w:eastAsia="Calibri" w:cs="Tahoma"/>
          <w:color w:val="auto"/>
        </w:rPr>
        <w:t xml:space="preserve">, </w:t>
      </w:r>
      <w:r w:rsidR="00803193" w:rsidRPr="00793B5E">
        <w:rPr>
          <w:rFonts w:eastAsia="Calibri" w:cs="Tahoma"/>
          <w:b/>
          <w:color w:val="auto"/>
        </w:rPr>
        <w:t xml:space="preserve">depreciación </w:t>
      </w:r>
      <w:r w:rsidR="00803193" w:rsidRPr="00793B5E">
        <w:rPr>
          <w:rFonts w:eastAsia="Calibri" w:cs="Tahoma"/>
          <w:color w:val="auto"/>
        </w:rPr>
        <w:t xml:space="preserve">y </w:t>
      </w:r>
      <w:r w:rsidR="00803193" w:rsidRPr="00793B5E">
        <w:rPr>
          <w:rFonts w:eastAsia="Calibri" w:cs="Tahoma"/>
          <w:b/>
          <w:color w:val="auto"/>
        </w:rPr>
        <w:t>comentarios sobre aspectos relevantes del bien mueble</w:t>
      </w:r>
      <w:r w:rsidR="009639E3" w:rsidRPr="00793B5E">
        <w:rPr>
          <w:rFonts w:eastAsia="Calibri" w:cs="Tahoma"/>
          <w:b/>
          <w:color w:val="auto"/>
        </w:rPr>
        <w:t xml:space="preserve">, </w:t>
      </w:r>
      <w:r w:rsidR="009639E3" w:rsidRPr="00793B5E">
        <w:rPr>
          <w:rFonts w:eastAsia="Calibri" w:cs="Tahoma"/>
          <w:color w:val="auto"/>
        </w:rPr>
        <w:t>por lo que dicho documento pudiera colmar parte del requerimiento formulado.</w:t>
      </w:r>
    </w:p>
    <w:p w14:paraId="51CDD6D3" w14:textId="77777777" w:rsidR="0082615F" w:rsidRPr="00793B5E" w:rsidRDefault="0082615F" w:rsidP="00C63600">
      <w:pPr>
        <w:tabs>
          <w:tab w:val="left" w:pos="4962"/>
        </w:tabs>
        <w:spacing w:after="0" w:line="360" w:lineRule="auto"/>
        <w:rPr>
          <w:rFonts w:eastAsia="Calibri" w:cs="Tahoma"/>
          <w:color w:val="auto"/>
        </w:rPr>
      </w:pPr>
    </w:p>
    <w:p w14:paraId="60B73C69" w14:textId="699EE4AA" w:rsidR="0082615F" w:rsidRPr="00793B5E" w:rsidRDefault="0082615F" w:rsidP="00C63600">
      <w:pPr>
        <w:tabs>
          <w:tab w:val="left" w:pos="4962"/>
        </w:tabs>
        <w:spacing w:after="0" w:line="360" w:lineRule="auto"/>
      </w:pPr>
      <w:r w:rsidRPr="00793B5E">
        <w:t>Además, conforme al artículo 92, fracción XXXVII de la Ley de Transparencia y Acceso a la Información Pública del Estado de México y Municipios, precisa que es una obligación de Transparencia para los Sujetos Obligados, la Publicación del inventario de bienes muebles e inmuebles, por lo que cabe ceñir que no solo se trata de información pública de oficio, sino que también corresponde a información que reportan al Órgano Superior de Fiscalización.</w:t>
      </w:r>
    </w:p>
    <w:p w14:paraId="0FB743B3" w14:textId="77777777" w:rsidR="0082615F" w:rsidRPr="00793B5E" w:rsidRDefault="0082615F" w:rsidP="00C63600">
      <w:pPr>
        <w:tabs>
          <w:tab w:val="left" w:pos="4962"/>
        </w:tabs>
        <w:spacing w:after="0" w:line="360" w:lineRule="auto"/>
        <w:rPr>
          <w:rFonts w:eastAsia="Calibri" w:cs="Tahoma"/>
          <w:color w:val="auto"/>
        </w:rPr>
      </w:pPr>
    </w:p>
    <w:p w14:paraId="7A81CA95" w14:textId="4EE782D5" w:rsidR="0041418A" w:rsidRPr="00793B5E" w:rsidRDefault="0041418A" w:rsidP="00C63600">
      <w:pPr>
        <w:tabs>
          <w:tab w:val="left" w:pos="4962"/>
        </w:tabs>
        <w:spacing w:after="0" w:line="360" w:lineRule="auto"/>
        <w:rPr>
          <w:color w:val="auto"/>
        </w:rPr>
      </w:pPr>
      <w:r w:rsidRPr="00793B5E">
        <w:rPr>
          <w:rFonts w:eastAsia="Calibri" w:cs="Tahoma"/>
          <w:color w:val="auto"/>
        </w:rPr>
        <w:t xml:space="preserve">En esa misma consecución de ideas, el artículo 29 del Bando Municipal de Apaxco dos mil veinticinco refiere que  la hacienda pública municipal y el patrimonio municipal </w:t>
      </w:r>
      <w:proofErr w:type="spellStart"/>
      <w:r w:rsidRPr="00793B5E">
        <w:rPr>
          <w:rFonts w:eastAsia="Calibri" w:cs="Tahoma"/>
          <w:color w:val="auto"/>
        </w:rPr>
        <w:t>esta</w:t>
      </w:r>
      <w:proofErr w:type="spellEnd"/>
      <w:r w:rsidRPr="00793B5E">
        <w:rPr>
          <w:rFonts w:eastAsia="Calibri" w:cs="Tahoma"/>
          <w:color w:val="auto"/>
        </w:rPr>
        <w:t xml:space="preserve"> integrado entre otras cosas por los </w:t>
      </w:r>
      <w:r w:rsidRPr="00793B5E">
        <w:rPr>
          <w:b/>
          <w:color w:val="auto"/>
          <w:u w:val="single"/>
        </w:rPr>
        <w:t>bienes muebles</w:t>
      </w:r>
      <w:r w:rsidRPr="00793B5E">
        <w:rPr>
          <w:color w:val="auto"/>
        </w:rPr>
        <w:t xml:space="preserve"> e inmuebles propiedad del Municipio.</w:t>
      </w:r>
    </w:p>
    <w:p w14:paraId="22931699" w14:textId="77777777" w:rsidR="0041418A" w:rsidRPr="00793B5E" w:rsidRDefault="0041418A" w:rsidP="00C63600">
      <w:pPr>
        <w:tabs>
          <w:tab w:val="left" w:pos="4962"/>
        </w:tabs>
        <w:spacing w:after="0" w:line="360" w:lineRule="auto"/>
        <w:rPr>
          <w:color w:val="auto"/>
        </w:rPr>
      </w:pPr>
    </w:p>
    <w:p w14:paraId="7FD6B0AA" w14:textId="5FFB84DD" w:rsidR="0041418A" w:rsidRPr="00793B5E" w:rsidRDefault="0041418A" w:rsidP="00C63600">
      <w:pPr>
        <w:tabs>
          <w:tab w:val="left" w:pos="4962"/>
        </w:tabs>
        <w:spacing w:after="0" w:line="360" w:lineRule="auto"/>
        <w:rPr>
          <w:b/>
          <w:color w:val="auto"/>
        </w:rPr>
      </w:pPr>
      <w:r w:rsidRPr="00793B5E">
        <w:rPr>
          <w:color w:val="auto"/>
        </w:rPr>
        <w:t xml:space="preserve">Al respecto el artículo 46 del Bando en comento establece que la </w:t>
      </w:r>
      <w:r w:rsidRPr="00793B5E">
        <w:rPr>
          <w:b/>
          <w:color w:val="auto"/>
        </w:rPr>
        <w:t>Secretaría del Ayuntamiento</w:t>
      </w:r>
      <w:r w:rsidRPr="00793B5E">
        <w:rPr>
          <w:color w:val="auto"/>
        </w:rPr>
        <w:t xml:space="preserve"> dentro de sus atribuciones se encarga entre otras cosas de garantizar la </w:t>
      </w:r>
      <w:r w:rsidRPr="00793B5E">
        <w:rPr>
          <w:color w:val="auto"/>
        </w:rPr>
        <w:lastRenderedPageBreak/>
        <w:t xml:space="preserve">conservación del patrimonio municipal, a través del </w:t>
      </w:r>
      <w:r w:rsidRPr="00793B5E">
        <w:rPr>
          <w:b/>
          <w:color w:val="auto"/>
        </w:rPr>
        <w:t>Departamento de Patrimonio Municipal</w:t>
      </w:r>
      <w:r w:rsidR="00F2740D" w:rsidRPr="00793B5E">
        <w:rPr>
          <w:b/>
          <w:color w:val="auto"/>
        </w:rPr>
        <w:t>.</w:t>
      </w:r>
    </w:p>
    <w:p w14:paraId="4F24EB39" w14:textId="77777777" w:rsidR="00F2740D" w:rsidRPr="00793B5E" w:rsidRDefault="00F2740D" w:rsidP="00C63600">
      <w:pPr>
        <w:tabs>
          <w:tab w:val="left" w:pos="4962"/>
        </w:tabs>
        <w:spacing w:after="0" w:line="360" w:lineRule="auto"/>
        <w:rPr>
          <w:b/>
          <w:color w:val="auto"/>
        </w:rPr>
      </w:pPr>
    </w:p>
    <w:p w14:paraId="5660DAD9" w14:textId="2A71A057" w:rsidR="00F2740D" w:rsidRPr="00793B5E" w:rsidRDefault="00F2740D" w:rsidP="00C63600">
      <w:pPr>
        <w:tabs>
          <w:tab w:val="left" w:pos="4962"/>
        </w:tabs>
        <w:spacing w:after="0" w:line="360" w:lineRule="auto"/>
        <w:rPr>
          <w:rFonts w:eastAsia="Calibri" w:cs="Tahoma"/>
          <w:color w:val="auto"/>
        </w:rPr>
      </w:pPr>
      <w:r w:rsidRPr="00793B5E">
        <w:rPr>
          <w:color w:val="auto"/>
        </w:rPr>
        <w:t xml:space="preserve">En esa tesitura, el artículo 32 fracción V del Bando Municipal señala que </w:t>
      </w:r>
      <w:r w:rsidRPr="00793B5E">
        <w:rPr>
          <w:b/>
          <w:color w:val="auto"/>
        </w:rPr>
        <w:t>p</w:t>
      </w:r>
      <w:r w:rsidRPr="00793B5E">
        <w:rPr>
          <w:b/>
        </w:rPr>
        <w:t>ara el control, inventario, ubicación y adscripción de los bienes muebles</w:t>
      </w:r>
      <w:r w:rsidRPr="00793B5E">
        <w:t xml:space="preserve"> e inmuebles de propiedad municipal, </w:t>
      </w:r>
      <w:r w:rsidRPr="00793B5E">
        <w:rPr>
          <w:b/>
        </w:rPr>
        <w:t>el Ayuntamiento deberá aprobar e inscribir en un libro especial los movimientos que se registren, mismo que estará a cargo del Secretario del Ayuntamiento con intervención del Síndico Municipal</w:t>
      </w:r>
      <w:r w:rsidRPr="00793B5E">
        <w:t>, al que compete el ejercicio de tal atribución.</w:t>
      </w:r>
    </w:p>
    <w:p w14:paraId="60459E94" w14:textId="77777777" w:rsidR="0041418A" w:rsidRPr="00793B5E" w:rsidRDefault="0041418A" w:rsidP="00C63600">
      <w:pPr>
        <w:tabs>
          <w:tab w:val="left" w:pos="4962"/>
        </w:tabs>
        <w:spacing w:after="0" w:line="360" w:lineRule="auto"/>
        <w:rPr>
          <w:rFonts w:eastAsia="Calibri" w:cs="Tahoma"/>
          <w:color w:val="FF0000"/>
        </w:rPr>
      </w:pPr>
    </w:p>
    <w:p w14:paraId="77F286FD" w14:textId="0D8DDF7A" w:rsidR="00746D39" w:rsidRPr="00793B5E" w:rsidRDefault="00746D39" w:rsidP="00C63600">
      <w:pPr>
        <w:tabs>
          <w:tab w:val="left" w:pos="4962"/>
        </w:tabs>
        <w:spacing w:after="0" w:line="360" w:lineRule="auto"/>
      </w:pPr>
      <w:r w:rsidRPr="00793B5E">
        <w:rPr>
          <w:rFonts w:eastAsia="Calibri" w:cs="Tahoma"/>
          <w:color w:val="auto"/>
        </w:rPr>
        <w:t>En ese sentido, el artículo 50 del Reglamento Orgánico Municipal  de Apaxco dos mil veinticinco, dos mil veintisiete</w:t>
      </w:r>
      <w:r w:rsidR="0095304A" w:rsidRPr="00793B5E">
        <w:rPr>
          <w:rFonts w:eastAsia="Calibri" w:cs="Tahoma"/>
          <w:color w:val="auto"/>
        </w:rPr>
        <w:t xml:space="preserve">, refiere que el Departamento de Patrimonio Municipal será el encargado de llevar a cabo la </w:t>
      </w:r>
      <w:r w:rsidR="0095304A" w:rsidRPr="00793B5E">
        <w:rPr>
          <w:rFonts w:eastAsia="Calibri" w:cs="Tahoma"/>
          <w:b/>
          <w:color w:val="auto"/>
        </w:rPr>
        <w:t xml:space="preserve">organización, vigilancia y administración del patrimonio municipal, </w:t>
      </w:r>
      <w:r w:rsidR="0095304A" w:rsidRPr="00793B5E">
        <w:rPr>
          <w:rFonts w:eastAsia="Calibri" w:cs="Tahoma"/>
          <w:color w:val="auto"/>
        </w:rPr>
        <w:t xml:space="preserve">teniendo dentro de sus facultades el </w:t>
      </w:r>
      <w:r w:rsidR="0095304A" w:rsidRPr="00793B5E">
        <w:t>coordinar el levantamiento físico de los inventarios de bienes muebles e inmuebles, con la finalidad de que se mantengan actualizados</w:t>
      </w:r>
      <w:r w:rsidR="009B0F74" w:rsidRPr="00793B5E">
        <w:t>.</w:t>
      </w:r>
    </w:p>
    <w:p w14:paraId="16C30684" w14:textId="77777777" w:rsidR="009B0F74" w:rsidRPr="00793B5E" w:rsidRDefault="009B0F74" w:rsidP="00C63600">
      <w:pPr>
        <w:tabs>
          <w:tab w:val="left" w:pos="4962"/>
        </w:tabs>
        <w:spacing w:after="0" w:line="360" w:lineRule="auto"/>
      </w:pPr>
    </w:p>
    <w:p w14:paraId="52DDBC76" w14:textId="383772B4" w:rsidR="009B0F74" w:rsidRPr="00793B5E" w:rsidRDefault="009B0F74" w:rsidP="00C63600">
      <w:pPr>
        <w:tabs>
          <w:tab w:val="left" w:pos="4962"/>
        </w:tabs>
        <w:spacing w:after="0" w:line="360" w:lineRule="auto"/>
      </w:pPr>
      <w:r w:rsidRPr="00793B5E">
        <w:t xml:space="preserve">Por su parte, </w:t>
      </w:r>
      <w:r w:rsidR="006E1E4C" w:rsidRPr="00793B5E">
        <w:t xml:space="preserve">el artículo 15 del Reglamento en comento señala que </w:t>
      </w:r>
      <w:r w:rsidR="00E02372" w:rsidRPr="00793B5E">
        <w:t>corresponde a las personas titulares de las dependencias y entidades de la Administración Pública Municipal entre otras cosas el vigilar que se mantengan actualizados los inventarios de los bienes muebles que se encuentren en el área a su cargo y se practiquen inventarios físicos de los mismos, cuando menos dos veces al año, con la participación de la Sindicatura Municipal y el órgano Interno de Control Municipal</w:t>
      </w:r>
      <w:r w:rsidR="0041557C" w:rsidRPr="00793B5E">
        <w:t>.</w:t>
      </w:r>
    </w:p>
    <w:p w14:paraId="7C3847C9" w14:textId="77777777" w:rsidR="00D324B5" w:rsidRPr="00793B5E" w:rsidRDefault="00D324B5" w:rsidP="00C63600">
      <w:pPr>
        <w:tabs>
          <w:tab w:val="left" w:pos="4962"/>
        </w:tabs>
        <w:spacing w:after="0" w:line="360" w:lineRule="auto"/>
      </w:pPr>
    </w:p>
    <w:p w14:paraId="1626D518" w14:textId="2FE1D262" w:rsidR="00D324B5" w:rsidRPr="00793B5E" w:rsidRDefault="00D324B5" w:rsidP="00C63600">
      <w:pPr>
        <w:tabs>
          <w:tab w:val="left" w:pos="4962"/>
        </w:tabs>
        <w:spacing w:after="0" w:line="360" w:lineRule="auto"/>
        <w:rPr>
          <w:u w:val="single"/>
        </w:rPr>
      </w:pPr>
      <w:r w:rsidRPr="00793B5E">
        <w:t>Al respecto, el artículo 80 del R</w:t>
      </w:r>
      <w:r w:rsidRPr="00793B5E">
        <w:rPr>
          <w:rFonts w:eastAsia="Calibri" w:cs="Tahoma"/>
          <w:color w:val="auto"/>
        </w:rPr>
        <w:t xml:space="preserve">eglamento Orgánico Municipal  de Apaxco dos mil veinticinco, dos mil veintisiete refiere que la Dirección Pública de Seguridad Pública y Vialidad de Apaxco, se encarga de </w:t>
      </w:r>
      <w:r w:rsidRPr="00793B5E">
        <w:rPr>
          <w:b/>
        </w:rPr>
        <w:t xml:space="preserve">administrar, evaluar, dirigir, controlar y optimizar de </w:t>
      </w:r>
      <w:r w:rsidRPr="00793B5E">
        <w:rPr>
          <w:b/>
        </w:rPr>
        <w:lastRenderedPageBreak/>
        <w:t xml:space="preserve">manera eficiente todos y cada uno de los recursos </w:t>
      </w:r>
      <w:r w:rsidRPr="00793B5E">
        <w:t xml:space="preserve">tecnológicos, informáticos, materiales, </w:t>
      </w:r>
      <w:r w:rsidRPr="00793B5E">
        <w:rPr>
          <w:b/>
        </w:rPr>
        <w:t>vehiculares,</w:t>
      </w:r>
      <w:r w:rsidRPr="00793B5E">
        <w:t xml:space="preserve"> armamento y humanos </w:t>
      </w:r>
      <w:r w:rsidRPr="00793B5E">
        <w:rPr>
          <w:u w:val="single"/>
        </w:rPr>
        <w:t>que conformen el patrimonio del área de Vialidad.</w:t>
      </w:r>
    </w:p>
    <w:p w14:paraId="6DE13114" w14:textId="77777777" w:rsidR="004A090A" w:rsidRPr="00793B5E" w:rsidRDefault="004A090A" w:rsidP="00C63600">
      <w:pPr>
        <w:tabs>
          <w:tab w:val="left" w:pos="4962"/>
        </w:tabs>
        <w:spacing w:after="0" w:line="360" w:lineRule="auto"/>
        <w:rPr>
          <w:u w:val="single"/>
        </w:rPr>
      </w:pPr>
    </w:p>
    <w:p w14:paraId="7324C3D9" w14:textId="1D82850F" w:rsidR="004A090A" w:rsidRPr="00793B5E" w:rsidRDefault="004A090A" w:rsidP="00C63600">
      <w:pPr>
        <w:tabs>
          <w:tab w:val="left" w:pos="4962"/>
        </w:tabs>
        <w:spacing w:after="0" w:line="360" w:lineRule="auto"/>
      </w:pPr>
      <w:r w:rsidRPr="00793B5E">
        <w:t>En relación con el suministro de combustible, el artículo 18 de la Ley de Transparencia y Acceso a la Información Pública del Estado de México y Municipios, contempla que los sujetos obligados deberán documentar todo acto que derive del ejercicio de sus facultades, competencias o funciones.</w:t>
      </w:r>
    </w:p>
    <w:p w14:paraId="33376232" w14:textId="77777777" w:rsidR="004A090A" w:rsidRPr="00793B5E" w:rsidRDefault="004A090A" w:rsidP="00C63600">
      <w:pPr>
        <w:tabs>
          <w:tab w:val="left" w:pos="4962"/>
        </w:tabs>
        <w:spacing w:after="0" w:line="360" w:lineRule="auto"/>
      </w:pPr>
    </w:p>
    <w:p w14:paraId="6EBEF885" w14:textId="3A568076" w:rsidR="004A090A" w:rsidRPr="00793B5E" w:rsidRDefault="002A513F" w:rsidP="00C63600">
      <w:pPr>
        <w:tabs>
          <w:tab w:val="left" w:pos="4962"/>
        </w:tabs>
        <w:spacing w:after="0" w:line="360" w:lineRule="auto"/>
        <w:rPr>
          <w:rFonts w:eastAsia="Calibri" w:cs="Tahoma"/>
          <w:color w:val="auto"/>
        </w:rPr>
      </w:pPr>
      <w:r w:rsidRPr="00793B5E">
        <w:rPr>
          <w:rFonts w:eastAsia="Calibri" w:cs="Tahoma"/>
          <w:color w:val="auto"/>
        </w:rPr>
        <w:t xml:space="preserve">Hecho que se robustece, pues este Instituto localizo el Presupuesto de Egresos Para el Ejercicio Fiscal dos mil Veinticinco Clasificado por Objeto y Gasto del Ayuntamiento de Apaxco </w:t>
      </w:r>
      <w:hyperlink r:id="rId11" w:history="1">
        <w:r w:rsidRPr="00793B5E">
          <w:rPr>
            <w:rStyle w:val="Hipervnculo"/>
            <w:rFonts w:eastAsia="Calibri" w:cs="Tahoma"/>
          </w:rPr>
          <w:t>https://apaxco.gob.mx/tesoreria/2025/Infomes/1_tri/v_anual/B_Egresos_Armonizado.pdf</w:t>
        </w:r>
      </w:hyperlink>
      <w:r w:rsidRPr="00793B5E">
        <w:rPr>
          <w:rFonts w:eastAsia="Calibri" w:cs="Tahoma"/>
          <w:color w:val="auto"/>
        </w:rPr>
        <w:t xml:space="preserve"> , en el cual se logra advertir que el Ayuntamiento cuenta con una partida presupuestal para combustibles, lubricantes y aditivos.</w:t>
      </w:r>
    </w:p>
    <w:p w14:paraId="7AF8DBC7" w14:textId="77777777" w:rsidR="00EC5BD6" w:rsidRPr="00793B5E" w:rsidRDefault="00EC5BD6" w:rsidP="00C63600">
      <w:pPr>
        <w:tabs>
          <w:tab w:val="left" w:pos="4962"/>
        </w:tabs>
        <w:spacing w:after="0" w:line="360" w:lineRule="auto"/>
        <w:rPr>
          <w:rFonts w:eastAsia="Calibri" w:cs="Tahoma"/>
          <w:color w:val="auto"/>
        </w:rPr>
      </w:pPr>
    </w:p>
    <w:p w14:paraId="1C90DB50" w14:textId="47456019" w:rsidR="00EC5BD6" w:rsidRPr="00793B5E" w:rsidRDefault="00EC5BD6" w:rsidP="00C63600">
      <w:pPr>
        <w:tabs>
          <w:tab w:val="left" w:pos="4962"/>
        </w:tabs>
        <w:spacing w:after="0" w:line="360" w:lineRule="auto"/>
        <w:rPr>
          <w:rFonts w:eastAsia="Calibri" w:cs="Tahoma"/>
          <w:color w:val="auto"/>
        </w:rPr>
      </w:pPr>
      <w:r w:rsidRPr="00793B5E">
        <w:rPr>
          <w:rFonts w:eastAsia="Calibri" w:cs="Tahoma"/>
          <w:color w:val="auto"/>
        </w:rPr>
        <w:t>Finalmente, cabe precisar que el Particular no señaló el periodo del cual solicitó la información por lo que se estará a lo establecido en el Criterio de Interpretación, con clave de control SO/003/2019, de la Segunda Época, emitido por el Instituto Nacional de Transparencia, Acceso a la Información y Protección de Datos Personales, en lo relacionado con el consumo de combustible y mantenimiento de vehículos, que señala lo siguiente:</w:t>
      </w:r>
    </w:p>
    <w:p w14:paraId="69E175B2" w14:textId="3EA5E06A" w:rsidR="0041418A" w:rsidRPr="00793B5E" w:rsidRDefault="00EC5BD6" w:rsidP="00C63600">
      <w:pPr>
        <w:tabs>
          <w:tab w:val="left" w:pos="4667"/>
        </w:tabs>
        <w:spacing w:after="0" w:line="360" w:lineRule="auto"/>
        <w:ind w:left="567" w:right="567"/>
        <w:rPr>
          <w:rFonts w:eastAsia="Calibri" w:cs="Tahoma"/>
          <w:color w:val="auto"/>
        </w:rPr>
      </w:pPr>
      <w:r w:rsidRPr="00793B5E">
        <w:rPr>
          <w:rFonts w:eastAsia="Calibri" w:cs="Tahoma"/>
          <w:color w:val="auto"/>
        </w:rPr>
        <w:br/>
      </w:r>
      <w:r w:rsidRPr="00793B5E">
        <w:rPr>
          <w:i/>
          <w:iCs/>
          <w:color w:val="auto"/>
          <w:sz w:val="20"/>
          <w:szCs w:val="20"/>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14624A7" w14:textId="77777777" w:rsidR="00EC5BD6" w:rsidRPr="00793B5E" w:rsidRDefault="00EC5BD6" w:rsidP="00C63600">
      <w:pPr>
        <w:tabs>
          <w:tab w:val="left" w:pos="4962"/>
        </w:tabs>
        <w:spacing w:after="0" w:line="360" w:lineRule="auto"/>
        <w:rPr>
          <w:rFonts w:eastAsia="Calibri" w:cs="Tahoma"/>
          <w:color w:val="FF0000"/>
        </w:rPr>
      </w:pPr>
    </w:p>
    <w:p w14:paraId="5D98F143" w14:textId="25B9F0D3" w:rsidR="00957EA2" w:rsidRPr="00793B5E" w:rsidRDefault="00957EA2" w:rsidP="00C63600">
      <w:pPr>
        <w:tabs>
          <w:tab w:val="left" w:pos="4962"/>
        </w:tabs>
        <w:spacing w:after="0" w:line="360" w:lineRule="auto"/>
      </w:pPr>
      <w:r w:rsidRPr="00793B5E">
        <w:lastRenderedPageBreak/>
        <w:t xml:space="preserve">Conforme a lo anterior, se logra vislumbrar que la pretensión del ahora Recurrente es obtener, relacionado con el parque vehicular del Ayuntamiento de la actual administración, </w:t>
      </w:r>
      <w:r w:rsidR="00C63600" w:rsidRPr="00793B5E">
        <w:t>los documentos donde conste lo siguiente</w:t>
      </w:r>
      <w:r w:rsidRPr="00793B5E">
        <w:t>:</w:t>
      </w:r>
    </w:p>
    <w:p w14:paraId="38998719" w14:textId="77777777" w:rsidR="00957EA2" w:rsidRPr="00793B5E" w:rsidRDefault="00957EA2" w:rsidP="00C63600">
      <w:pPr>
        <w:tabs>
          <w:tab w:val="left" w:pos="4962"/>
        </w:tabs>
        <w:spacing w:after="0" w:line="360" w:lineRule="auto"/>
      </w:pPr>
    </w:p>
    <w:p w14:paraId="3894406D" w14:textId="0584A6A5" w:rsidR="00957EA2" w:rsidRPr="00793B5E" w:rsidRDefault="00C63600" w:rsidP="00C63600">
      <w:pPr>
        <w:pStyle w:val="Prrafodelista"/>
        <w:numPr>
          <w:ilvl w:val="0"/>
          <w:numId w:val="32"/>
        </w:numPr>
        <w:tabs>
          <w:tab w:val="left" w:pos="4962"/>
        </w:tabs>
        <w:spacing w:line="360" w:lineRule="auto"/>
        <w:rPr>
          <w:color w:val="auto"/>
        </w:rPr>
      </w:pPr>
      <w:r w:rsidRPr="00793B5E">
        <w:rPr>
          <w:color w:val="auto"/>
        </w:rPr>
        <w:t>L</w:t>
      </w:r>
      <w:r w:rsidR="00957EA2" w:rsidRPr="00793B5E">
        <w:rPr>
          <w:color w:val="auto"/>
        </w:rPr>
        <w:t>a marca, modelo, año, estado de uso</w:t>
      </w:r>
      <w:r w:rsidRPr="00793B5E">
        <w:rPr>
          <w:color w:val="auto"/>
        </w:rPr>
        <w:t xml:space="preserve"> y</w:t>
      </w:r>
      <w:r w:rsidR="00957EA2" w:rsidRPr="00793B5E">
        <w:rPr>
          <w:color w:val="auto"/>
        </w:rPr>
        <w:t xml:space="preserve"> kilometraje, vigente al catorce de junio de dos mil veinticinco.</w:t>
      </w:r>
    </w:p>
    <w:p w14:paraId="681B135D" w14:textId="4F130802" w:rsidR="00957EA2" w:rsidRPr="00793B5E" w:rsidRDefault="00C63600" w:rsidP="00C63600">
      <w:pPr>
        <w:pStyle w:val="Prrafodelista"/>
        <w:numPr>
          <w:ilvl w:val="0"/>
          <w:numId w:val="32"/>
        </w:numPr>
        <w:tabs>
          <w:tab w:val="left" w:pos="4962"/>
        </w:tabs>
        <w:spacing w:line="360" w:lineRule="auto"/>
        <w:rPr>
          <w:color w:val="auto"/>
        </w:rPr>
      </w:pPr>
      <w:r w:rsidRPr="00793B5E">
        <w:rPr>
          <w:color w:val="auto"/>
        </w:rPr>
        <w:t>Los mantenimientos</w:t>
      </w:r>
      <w:r w:rsidR="00957EA2" w:rsidRPr="00793B5E">
        <w:rPr>
          <w:color w:val="auto"/>
        </w:rPr>
        <w:t xml:space="preserve"> realizado</w:t>
      </w:r>
      <w:r w:rsidRPr="00793B5E">
        <w:rPr>
          <w:color w:val="auto"/>
        </w:rPr>
        <w:t>s</w:t>
      </w:r>
      <w:r w:rsidR="00957EA2" w:rsidRPr="00793B5E">
        <w:rPr>
          <w:color w:val="auto"/>
        </w:rPr>
        <w:t xml:space="preserve"> a los vehículos, del catorce de junio de dos mil veinticuatro al catorce de junio de dos mil veinticinco.</w:t>
      </w:r>
    </w:p>
    <w:p w14:paraId="36B30AD4" w14:textId="7745E299" w:rsidR="00957EA2" w:rsidRPr="00793B5E" w:rsidRDefault="00C63600" w:rsidP="00C63600">
      <w:pPr>
        <w:pStyle w:val="Prrafodelista"/>
        <w:numPr>
          <w:ilvl w:val="0"/>
          <w:numId w:val="32"/>
        </w:numPr>
        <w:tabs>
          <w:tab w:val="left" w:pos="4962"/>
        </w:tabs>
        <w:spacing w:line="360" w:lineRule="auto"/>
        <w:rPr>
          <w:rFonts w:eastAsia="Calibri" w:cs="Tahoma"/>
          <w:color w:val="auto"/>
        </w:rPr>
      </w:pPr>
      <w:r w:rsidRPr="00793B5E">
        <w:rPr>
          <w:color w:val="auto"/>
        </w:rPr>
        <w:t>E</w:t>
      </w:r>
      <w:r w:rsidR="00957EA2" w:rsidRPr="00793B5E">
        <w:rPr>
          <w:color w:val="auto"/>
        </w:rPr>
        <w:t xml:space="preserve">l consumo de combustible detallado por área </w:t>
      </w:r>
      <w:r w:rsidRPr="00793B5E">
        <w:rPr>
          <w:color w:val="auto"/>
        </w:rPr>
        <w:t>o</w:t>
      </w:r>
      <w:r w:rsidR="00957EA2" w:rsidRPr="00793B5E">
        <w:rPr>
          <w:color w:val="auto"/>
        </w:rPr>
        <w:t xml:space="preserve"> dirección, del catorce de junio de dos mil veinticuatro al catorce de junio de dos mil veinticinco.</w:t>
      </w:r>
    </w:p>
    <w:p w14:paraId="5B4BA712" w14:textId="77777777" w:rsidR="00957EA2" w:rsidRPr="00793B5E" w:rsidRDefault="00957EA2" w:rsidP="00C63600">
      <w:pPr>
        <w:tabs>
          <w:tab w:val="left" w:pos="4962"/>
        </w:tabs>
        <w:spacing w:after="0" w:line="360" w:lineRule="auto"/>
        <w:rPr>
          <w:rFonts w:eastAsia="Calibri" w:cs="Tahoma"/>
          <w:color w:val="auto"/>
        </w:rPr>
      </w:pPr>
    </w:p>
    <w:p w14:paraId="774D6D8E" w14:textId="0D522403" w:rsidR="004F62B1" w:rsidRPr="00793B5E" w:rsidRDefault="004F62B1" w:rsidP="00C63600">
      <w:pPr>
        <w:tabs>
          <w:tab w:val="left" w:pos="4962"/>
        </w:tabs>
        <w:spacing w:after="0" w:line="360" w:lineRule="auto"/>
        <w:rPr>
          <w:b/>
        </w:rPr>
      </w:pPr>
      <w:r w:rsidRPr="00793B5E">
        <w:t xml:space="preserve">Establecida dicha circunstancia, es necesario precisar que de las constancias que obran en el expediente se logra vislumbrar que el Sujeto Obligado turno la solicitud de información al </w:t>
      </w:r>
      <w:r w:rsidRPr="00793B5E">
        <w:rPr>
          <w:b/>
        </w:rPr>
        <w:t xml:space="preserve">Departamento de Patrimonio Municipal, </w:t>
      </w:r>
      <w:r w:rsidRPr="00793B5E">
        <w:t xml:space="preserve">por lo que, es necesario hacer referencia al </w:t>
      </w:r>
      <w:r w:rsidRPr="00793B5E">
        <w:rPr>
          <w:b/>
        </w:rPr>
        <w:t>procedimiento de búsqueda que deben de seguir los Sujetos Obligados para localizar la información,</w:t>
      </w:r>
      <w:r w:rsidRPr="00793B5E">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070E62E" w14:textId="77777777" w:rsidR="004F62B1" w:rsidRPr="00793B5E" w:rsidRDefault="004F62B1" w:rsidP="00C63600">
      <w:pPr>
        <w:tabs>
          <w:tab w:val="left" w:pos="4962"/>
        </w:tabs>
        <w:spacing w:after="0" w:line="360" w:lineRule="auto"/>
        <w:rPr>
          <w:rFonts w:eastAsia="Calibri" w:cs="Tahoma"/>
          <w:color w:val="auto"/>
        </w:rPr>
      </w:pPr>
    </w:p>
    <w:p w14:paraId="363B6DD2" w14:textId="3581C78A" w:rsidR="004F62B1" w:rsidRPr="00793B5E" w:rsidRDefault="00426D0D" w:rsidP="00C63600">
      <w:pPr>
        <w:tabs>
          <w:tab w:val="left" w:pos="4962"/>
        </w:tabs>
        <w:spacing w:after="0" w:line="360" w:lineRule="auto"/>
      </w:pPr>
      <w:r w:rsidRPr="00793B5E">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fue omiso en turnar el requerimiento informativo a los titulares de las dependencias </w:t>
      </w:r>
      <w:r w:rsidRPr="00793B5E">
        <w:lastRenderedPageBreak/>
        <w:t>y entidades de la Administración Pública Municipal quienes entre otras cosas  se encargan de vigilar que se mantengan actualizados los inventarios de los bienes muebles que se encuentren en el área a su cargo.</w:t>
      </w:r>
    </w:p>
    <w:p w14:paraId="4ED0C21D" w14:textId="77777777" w:rsidR="00426D0D" w:rsidRPr="00793B5E" w:rsidRDefault="00426D0D" w:rsidP="00C63600">
      <w:pPr>
        <w:tabs>
          <w:tab w:val="left" w:pos="4962"/>
        </w:tabs>
        <w:spacing w:after="0" w:line="360" w:lineRule="auto"/>
        <w:rPr>
          <w:rFonts w:eastAsia="Calibri" w:cs="Tahoma"/>
          <w:color w:val="auto"/>
        </w:rPr>
      </w:pPr>
    </w:p>
    <w:p w14:paraId="19F0D79D" w14:textId="4EF89037" w:rsidR="00E178C9" w:rsidRPr="00793B5E" w:rsidRDefault="003A15A2" w:rsidP="00C63600">
      <w:pPr>
        <w:tabs>
          <w:tab w:val="left" w:pos="4962"/>
        </w:tabs>
        <w:spacing w:after="0" w:line="360" w:lineRule="auto"/>
        <w:rPr>
          <w:b/>
        </w:rPr>
      </w:pPr>
      <w:r w:rsidRPr="00793B5E">
        <w:t>Ahora bien, el Sujeto Obligado a través del Departamento de Patrimonio Municipal señal</w:t>
      </w:r>
      <w:r w:rsidR="00C63600" w:rsidRPr="00793B5E">
        <w:t>ó</w:t>
      </w:r>
      <w:r w:rsidRPr="00793B5E">
        <w:t xml:space="preserve"> que la información </w:t>
      </w:r>
      <w:r w:rsidR="00D20DCC" w:rsidRPr="00793B5E">
        <w:t xml:space="preserve">contenida en el Padrón Vehicular Municipal </w:t>
      </w:r>
      <w:r w:rsidRPr="00793B5E">
        <w:t>era reservada de conformidad con lo dispuesto en el artículo 140 fracci</w:t>
      </w:r>
      <w:r w:rsidR="00B02A71" w:rsidRPr="00793B5E">
        <w:t>ones I y</w:t>
      </w:r>
      <w:r w:rsidRPr="00793B5E">
        <w:t xml:space="preserve"> V, inciso 1) de la Ley de Transparencia y Acceso a la Información Pública del Est</w:t>
      </w:r>
      <w:r w:rsidR="00D20DCC" w:rsidRPr="00793B5E">
        <w:t>ado de México y Municipios</w:t>
      </w:r>
      <w:r w:rsidR="00E178C9" w:rsidRPr="00793B5E">
        <w:t>;</w:t>
      </w:r>
      <w:r w:rsidR="00E37FB5" w:rsidRPr="00793B5E">
        <w:t xml:space="preserve"> al respecto, cabe precisar, que conforme al artículo 20 de la Ley de Transparencia y Acceso a la Información Pública del Estado de México y Municipios, </w:t>
      </w:r>
      <w:r w:rsidR="00E37FB5" w:rsidRPr="00793B5E">
        <w:rPr>
          <w:b/>
        </w:rPr>
        <w:t>ante la negativa de acceso a la información o su inexistencia, el sujeto obligado deberá demostrar que encuentra en alguna de las excepciones establecidas en la normatividad aplicable.</w:t>
      </w:r>
    </w:p>
    <w:p w14:paraId="7FA2215C" w14:textId="77777777" w:rsidR="00D20DCC" w:rsidRPr="00793B5E" w:rsidRDefault="00D20DCC" w:rsidP="00C63600">
      <w:pPr>
        <w:tabs>
          <w:tab w:val="left" w:pos="4962"/>
        </w:tabs>
        <w:spacing w:after="0" w:line="360" w:lineRule="auto"/>
      </w:pPr>
    </w:p>
    <w:p w14:paraId="59759089" w14:textId="4E33BCB1" w:rsidR="00DD18BF" w:rsidRPr="00793B5E" w:rsidRDefault="0020468D" w:rsidP="00C63600">
      <w:pPr>
        <w:tabs>
          <w:tab w:val="left" w:pos="4962"/>
        </w:tabs>
        <w:spacing w:after="0" w:line="360" w:lineRule="auto"/>
      </w:pPr>
      <w:r w:rsidRPr="00793B5E">
        <w:t xml:space="preserve">En ese sentido, según Trujillo, Humberto (2019), en el “Diccionario de Transparencia y Acceso a la Información Pública” (p. 201), </w:t>
      </w:r>
      <w:r w:rsidRPr="00793B5E">
        <w:rPr>
          <w:b/>
        </w:rPr>
        <w:t>la negativa de acceso a la información</w:t>
      </w:r>
      <w:r w:rsidRPr="00793B5E">
        <w:t xml:space="preserve"> ocurre cuanto de manera fundada y motivada, una autoridad la niega o la limita, por alguna de las siguientes razones:</w:t>
      </w:r>
    </w:p>
    <w:p w14:paraId="31DABCA0" w14:textId="77777777" w:rsidR="0020468D" w:rsidRPr="00793B5E" w:rsidRDefault="0020468D" w:rsidP="00C63600">
      <w:pPr>
        <w:tabs>
          <w:tab w:val="left" w:pos="4962"/>
        </w:tabs>
        <w:spacing w:after="0" w:line="360" w:lineRule="auto"/>
      </w:pPr>
    </w:p>
    <w:p w14:paraId="26688524" w14:textId="414501D7" w:rsidR="0020468D" w:rsidRPr="00793B5E" w:rsidRDefault="0020468D" w:rsidP="00C63600">
      <w:pPr>
        <w:pStyle w:val="Prrafodelista"/>
        <w:numPr>
          <w:ilvl w:val="0"/>
          <w:numId w:val="33"/>
        </w:numPr>
        <w:tabs>
          <w:tab w:val="left" w:pos="4962"/>
        </w:tabs>
        <w:spacing w:line="360" w:lineRule="auto"/>
      </w:pPr>
      <w:r w:rsidRPr="00793B5E">
        <w:rPr>
          <w:b/>
        </w:rPr>
        <w:t>La inexistencia de la información (p. 171):</w:t>
      </w:r>
      <w:r w:rsidRPr="00793B5E">
        <w:t xml:space="preserve"> Sucede cuando la información solicitada no se encuentra en los archivos públicos o clasificados de los entes sujetos a las Leyes de Transparencia. </w:t>
      </w:r>
    </w:p>
    <w:p w14:paraId="32F85F89" w14:textId="72852BEA" w:rsidR="0020468D" w:rsidRPr="00793B5E" w:rsidRDefault="0020468D" w:rsidP="00C63600">
      <w:pPr>
        <w:pStyle w:val="Prrafodelista"/>
        <w:numPr>
          <w:ilvl w:val="0"/>
          <w:numId w:val="33"/>
        </w:numPr>
        <w:tabs>
          <w:tab w:val="left" w:pos="4962"/>
        </w:tabs>
        <w:spacing w:line="360" w:lineRule="auto"/>
      </w:pPr>
      <w:r w:rsidRPr="00793B5E">
        <w:rPr>
          <w:b/>
        </w:rPr>
        <w:t>La incompetencia del Sujeto Obligado (p. 171):</w:t>
      </w:r>
      <w:r w:rsidRPr="00793B5E">
        <w:t xml:space="preserve"> Ocurre cuando el Sujeto Obligado carece de atribuciones para poseer la información peticionada. </w:t>
      </w:r>
    </w:p>
    <w:p w14:paraId="5895AA7D" w14:textId="77777777" w:rsidR="0020468D" w:rsidRPr="00793B5E" w:rsidRDefault="0020468D" w:rsidP="00C63600">
      <w:pPr>
        <w:pStyle w:val="Prrafodelista"/>
        <w:tabs>
          <w:tab w:val="left" w:pos="4962"/>
        </w:tabs>
        <w:spacing w:line="360" w:lineRule="auto"/>
      </w:pPr>
    </w:p>
    <w:p w14:paraId="2F83164D" w14:textId="6FE2A3AA" w:rsidR="0020468D" w:rsidRPr="00793B5E" w:rsidRDefault="0020468D" w:rsidP="00C63600">
      <w:pPr>
        <w:pStyle w:val="Prrafodelista"/>
        <w:numPr>
          <w:ilvl w:val="0"/>
          <w:numId w:val="33"/>
        </w:numPr>
        <w:tabs>
          <w:tab w:val="left" w:pos="4962"/>
        </w:tabs>
        <w:spacing w:line="360" w:lineRule="auto"/>
      </w:pPr>
      <w:r w:rsidRPr="00793B5E">
        <w:rPr>
          <w:b/>
        </w:rPr>
        <w:t>La clasificación de la información (p. 70):</w:t>
      </w:r>
      <w:r w:rsidRPr="00793B5E">
        <w:t xml:space="preserve"> Es el proceso o conjunto de acciones que realizan los sujetos obligados para establecer que determinada información se </w:t>
      </w:r>
      <w:r w:rsidRPr="00793B5E">
        <w:lastRenderedPageBreak/>
        <w:t>encuentra en alguno de los supuestos de reserva o confidencialidad establecidos en la legislación en materia de transparencia</w:t>
      </w:r>
    </w:p>
    <w:p w14:paraId="0E36C59E" w14:textId="77777777" w:rsidR="00DD18BF" w:rsidRPr="00793B5E" w:rsidRDefault="00DD18BF" w:rsidP="00C63600">
      <w:pPr>
        <w:tabs>
          <w:tab w:val="left" w:pos="4962"/>
        </w:tabs>
        <w:spacing w:after="0" w:line="360" w:lineRule="auto"/>
      </w:pPr>
    </w:p>
    <w:p w14:paraId="6647FCD0" w14:textId="4C3FC81B" w:rsidR="00DD18BF" w:rsidRPr="00793B5E" w:rsidRDefault="0009192F" w:rsidP="00C63600">
      <w:pPr>
        <w:tabs>
          <w:tab w:val="left" w:pos="4962"/>
        </w:tabs>
        <w:spacing w:after="0" w:line="360" w:lineRule="auto"/>
        <w:rPr>
          <w:b/>
        </w:rPr>
      </w:pPr>
      <w:r w:rsidRPr="00793B5E">
        <w:t xml:space="preserve">En ese orden de ideas y en atención a lo anterior, es de señalar que las excepciones al derecho de acceso a la información, consisten en que la documentación sea inexistente, </w:t>
      </w:r>
      <w:r w:rsidRPr="00793B5E">
        <w:rPr>
          <w:b/>
        </w:rPr>
        <w:t>se encuentre clasificada,</w:t>
      </w:r>
      <w:r w:rsidRPr="00793B5E">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793B5E">
        <w:rPr>
          <w:b/>
        </w:rPr>
        <w:t>confidenciales o reservados.</w:t>
      </w:r>
    </w:p>
    <w:p w14:paraId="50C9FAC1" w14:textId="77777777" w:rsidR="00195388" w:rsidRPr="00793B5E" w:rsidRDefault="00195388" w:rsidP="00C63600">
      <w:pPr>
        <w:tabs>
          <w:tab w:val="left" w:pos="4962"/>
        </w:tabs>
        <w:spacing w:after="0" w:line="360" w:lineRule="auto"/>
        <w:rPr>
          <w:b/>
        </w:rPr>
      </w:pPr>
    </w:p>
    <w:p w14:paraId="090F325C" w14:textId="43AFF800" w:rsidR="00790BE5" w:rsidRPr="00793B5E" w:rsidRDefault="00195388" w:rsidP="00C63600">
      <w:pPr>
        <w:tabs>
          <w:tab w:val="left" w:pos="4962"/>
        </w:tabs>
        <w:spacing w:after="0" w:line="360" w:lineRule="auto"/>
      </w:pPr>
      <w:r w:rsidRPr="00793B5E">
        <w:t xml:space="preserve">Así, en los artículos 122, 128 y 130 de la Ley Transparencia y Acceso a la Información Pública del Estado de México y Municipios, se prevé que </w:t>
      </w:r>
      <w:r w:rsidRPr="00793B5E">
        <w:rPr>
          <w:b/>
        </w:rPr>
        <w:t>la clasificación</w:t>
      </w:r>
      <w:r w:rsidRPr="00793B5E">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6FA5A763" w14:textId="77777777" w:rsidR="00195388" w:rsidRPr="00793B5E" w:rsidRDefault="00195388" w:rsidP="00C63600">
      <w:pPr>
        <w:tabs>
          <w:tab w:val="left" w:pos="4962"/>
        </w:tabs>
        <w:spacing w:after="0" w:line="360" w:lineRule="auto"/>
      </w:pPr>
    </w:p>
    <w:p w14:paraId="411362AC" w14:textId="381A2048" w:rsidR="00195388" w:rsidRPr="00793B5E" w:rsidRDefault="007F2146" w:rsidP="00C63600">
      <w:pPr>
        <w:tabs>
          <w:tab w:val="left" w:pos="4962"/>
        </w:tabs>
        <w:spacing w:after="0" w:line="360" w:lineRule="auto"/>
      </w:pPr>
      <w:r w:rsidRPr="00793B5E">
        <w:t xml:space="preserve">Por lo cual, en los casos en que se niegue el acceso a la información, por actualizarse alguno de los supuestos de clasificación, </w:t>
      </w:r>
      <w:r w:rsidRPr="00793B5E">
        <w:rPr>
          <w:b/>
        </w:rPr>
        <w:t xml:space="preserve">el Comité de Transparencia deberá confirmar, modificar o revocar la decisión; </w:t>
      </w:r>
      <w:r w:rsidRPr="00793B5E">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D554618" w14:textId="77777777" w:rsidR="007F2146" w:rsidRPr="00793B5E" w:rsidRDefault="007F2146" w:rsidP="00C63600">
      <w:pPr>
        <w:tabs>
          <w:tab w:val="left" w:pos="4962"/>
        </w:tabs>
        <w:spacing w:after="0" w:line="360" w:lineRule="auto"/>
      </w:pPr>
    </w:p>
    <w:p w14:paraId="2B6EDBB0" w14:textId="502A1EDB" w:rsidR="007F2146" w:rsidRPr="00793B5E" w:rsidRDefault="002D2A20" w:rsidP="00C63600">
      <w:pPr>
        <w:tabs>
          <w:tab w:val="left" w:pos="4962"/>
        </w:tabs>
        <w:spacing w:after="0" w:line="360" w:lineRule="auto"/>
        <w:rPr>
          <w:b/>
        </w:rPr>
      </w:pPr>
      <w:r w:rsidRPr="00793B5E">
        <w:t>Por su parte, según Bonifaz, Leticia (2016), en la “Ley General de Transparencia y Acceso a la Información Pública Comentada” (p. 342</w:t>
      </w:r>
      <w:r w:rsidRPr="00793B5E">
        <w:rPr>
          <w:b/>
        </w:rPr>
        <w:t>), la clasificación de la información</w:t>
      </w:r>
      <w:r w:rsidRPr="00793B5E">
        <w:t xml:space="preserve">, ocurre </w:t>
      </w:r>
      <w:r w:rsidRPr="00793B5E">
        <w:lastRenderedPageBreak/>
        <w:t xml:space="preserve">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93B5E">
        <w:rPr>
          <w:b/>
        </w:rPr>
        <w:t>de manera adecuada la negativa de información.</w:t>
      </w:r>
    </w:p>
    <w:p w14:paraId="7671F6DC" w14:textId="77777777" w:rsidR="00DC117C" w:rsidRPr="00793B5E" w:rsidRDefault="00DC117C" w:rsidP="00C63600">
      <w:pPr>
        <w:tabs>
          <w:tab w:val="left" w:pos="4962"/>
        </w:tabs>
        <w:spacing w:after="0" w:line="360" w:lineRule="auto"/>
        <w:rPr>
          <w:b/>
        </w:rPr>
      </w:pPr>
    </w:p>
    <w:p w14:paraId="7EC97A9F" w14:textId="276ACC0B" w:rsidR="008C1CF1" w:rsidRPr="00793B5E" w:rsidRDefault="00450282" w:rsidP="00C63600">
      <w:pPr>
        <w:tabs>
          <w:tab w:val="left" w:pos="4962"/>
        </w:tabs>
        <w:spacing w:after="0" w:line="360" w:lineRule="auto"/>
        <w:rPr>
          <w:b/>
        </w:rPr>
      </w:pPr>
      <w:r w:rsidRPr="00793B5E">
        <w:t xml:space="preserve">Conforme a lo anterior, se negó el acceso a la información peticionada por la parte Recurrente, al considerar que estaba clasificada; sobre el tema, el artículo 134 de la Ley de Transparencia y Acceso a la Información Pública del Estado de México y Municipios, precisa que los sujetos obligados no podrán emitir acuerdos de carácter general que clasifiquen documentos o expedientes; por lo que, la clasificación de información se llevará a cabo mediante un </w:t>
      </w:r>
      <w:r w:rsidRPr="00793B5E">
        <w:rPr>
          <w:b/>
        </w:rPr>
        <w:t>análisis caso por caso.</w:t>
      </w:r>
    </w:p>
    <w:p w14:paraId="74380636" w14:textId="77777777" w:rsidR="00450282" w:rsidRPr="00793B5E" w:rsidRDefault="00450282" w:rsidP="00C63600">
      <w:pPr>
        <w:tabs>
          <w:tab w:val="left" w:pos="4962"/>
        </w:tabs>
        <w:spacing w:after="0" w:line="360" w:lineRule="auto"/>
        <w:rPr>
          <w:b/>
        </w:rPr>
      </w:pPr>
    </w:p>
    <w:p w14:paraId="0D1850E2" w14:textId="09185D21" w:rsidR="00DC117C" w:rsidRPr="00793B5E" w:rsidRDefault="00652811" w:rsidP="00C63600">
      <w:pPr>
        <w:tabs>
          <w:tab w:val="left" w:pos="4962"/>
        </w:tabs>
        <w:spacing w:after="0" w:line="360" w:lineRule="auto"/>
      </w:pPr>
      <w:r w:rsidRPr="00793B5E">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1B642A7B" w14:textId="77777777" w:rsidR="00C63600" w:rsidRPr="00793B5E" w:rsidRDefault="00C63600" w:rsidP="00C63600">
      <w:pPr>
        <w:tabs>
          <w:tab w:val="left" w:pos="4962"/>
        </w:tabs>
        <w:spacing w:after="0" w:line="360" w:lineRule="auto"/>
        <w:rPr>
          <w:b/>
        </w:rPr>
      </w:pPr>
    </w:p>
    <w:p w14:paraId="78E3A46C" w14:textId="186D12DC" w:rsidR="00DC117C" w:rsidRPr="00793B5E" w:rsidRDefault="00652811" w:rsidP="00C63600">
      <w:pPr>
        <w:tabs>
          <w:tab w:val="left" w:pos="4667"/>
        </w:tabs>
        <w:spacing w:after="0" w:line="360" w:lineRule="auto"/>
        <w:ind w:left="567" w:right="567"/>
        <w:rPr>
          <w:i/>
          <w:iCs/>
          <w:color w:val="auto"/>
          <w:sz w:val="20"/>
          <w:szCs w:val="20"/>
        </w:rPr>
      </w:pPr>
      <w:r w:rsidRPr="00793B5E">
        <w:rPr>
          <w:b/>
          <w:i/>
          <w:iCs/>
          <w:color w:val="auto"/>
          <w:sz w:val="20"/>
          <w:szCs w:val="20"/>
        </w:rPr>
        <w:t>“FUNDAMENTACION Y MOTIVACION, CONCEPTO DE.</w:t>
      </w:r>
      <w:r w:rsidRPr="00793B5E">
        <w:rPr>
          <w:i/>
          <w:iCs/>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027B786" w14:textId="77777777" w:rsidR="00DC117C" w:rsidRPr="00793B5E" w:rsidRDefault="00DC117C" w:rsidP="00C63600">
      <w:pPr>
        <w:tabs>
          <w:tab w:val="left" w:pos="4962"/>
        </w:tabs>
        <w:spacing w:after="0" w:line="360" w:lineRule="auto"/>
        <w:rPr>
          <w:b/>
        </w:rPr>
      </w:pPr>
    </w:p>
    <w:p w14:paraId="1040FCA9" w14:textId="77777777" w:rsidR="00B63DAC" w:rsidRPr="00793B5E" w:rsidRDefault="00B63DAC" w:rsidP="00C63600">
      <w:pPr>
        <w:tabs>
          <w:tab w:val="left" w:pos="4962"/>
        </w:tabs>
        <w:spacing w:after="0" w:line="360" w:lineRule="auto"/>
      </w:pPr>
      <w:r w:rsidRPr="00793B5E">
        <w:lastRenderedPageBreak/>
        <w:t>Conforme a lo anterior, se advierte lo siguiente:</w:t>
      </w:r>
    </w:p>
    <w:p w14:paraId="6187EE5F" w14:textId="77777777" w:rsidR="00C63600" w:rsidRPr="00793B5E" w:rsidRDefault="00C63600" w:rsidP="00C63600">
      <w:pPr>
        <w:tabs>
          <w:tab w:val="left" w:pos="4962"/>
        </w:tabs>
        <w:spacing w:after="0" w:line="360" w:lineRule="auto"/>
      </w:pPr>
    </w:p>
    <w:p w14:paraId="091AD791" w14:textId="77777777" w:rsidR="00B63DAC" w:rsidRPr="00793B5E" w:rsidRDefault="00B63DAC" w:rsidP="00C63600">
      <w:pPr>
        <w:pStyle w:val="Prrafodelista"/>
        <w:numPr>
          <w:ilvl w:val="0"/>
          <w:numId w:val="34"/>
        </w:numPr>
        <w:tabs>
          <w:tab w:val="left" w:pos="4962"/>
        </w:tabs>
        <w:spacing w:line="360" w:lineRule="auto"/>
      </w:pPr>
      <w:r w:rsidRPr="00793B5E">
        <w:rPr>
          <w:b/>
        </w:rPr>
        <w:t>Fundamentación:</w:t>
      </w:r>
      <w:r w:rsidRPr="00793B5E">
        <w:t xml:space="preserve"> Obligación de la autoridad que emite un acto, para citar los preceptos legales, sustantivos y adjetivos, en que se apoye para la determinación tomada.</w:t>
      </w:r>
    </w:p>
    <w:p w14:paraId="1EB865ED" w14:textId="65CC87A7" w:rsidR="00DC117C" w:rsidRPr="00793B5E" w:rsidRDefault="00B63DAC" w:rsidP="00C63600">
      <w:pPr>
        <w:pStyle w:val="Prrafodelista"/>
        <w:numPr>
          <w:ilvl w:val="0"/>
          <w:numId w:val="34"/>
        </w:numPr>
        <w:tabs>
          <w:tab w:val="left" w:pos="4962"/>
        </w:tabs>
        <w:spacing w:line="360" w:lineRule="auto"/>
        <w:rPr>
          <w:b/>
        </w:rPr>
      </w:pPr>
      <w:r w:rsidRPr="00793B5E">
        <w:rPr>
          <w:b/>
        </w:rPr>
        <w:t xml:space="preserve">Motivación: </w:t>
      </w:r>
      <w:r w:rsidRPr="00793B5E">
        <w:t>Razonamientos lógico-jurídicos sobre porque se consideró en el caso en concreto, que se ajusta a la hipótesis normativa.</w:t>
      </w:r>
    </w:p>
    <w:p w14:paraId="1541A3CA" w14:textId="77777777" w:rsidR="003A20EC" w:rsidRPr="00793B5E" w:rsidRDefault="003A20EC" w:rsidP="00C63600">
      <w:pPr>
        <w:tabs>
          <w:tab w:val="left" w:pos="4962"/>
        </w:tabs>
        <w:spacing w:after="0" w:line="360" w:lineRule="auto"/>
      </w:pPr>
    </w:p>
    <w:p w14:paraId="1DC2C412" w14:textId="77777777" w:rsidR="00A212F4" w:rsidRPr="00793B5E" w:rsidRDefault="003A20EC" w:rsidP="00C63600">
      <w:pPr>
        <w:tabs>
          <w:tab w:val="left" w:pos="4962"/>
        </w:tabs>
        <w:spacing w:after="0" w:line="360" w:lineRule="auto"/>
      </w:pPr>
      <w:r w:rsidRPr="00793B5E">
        <w:t>En ese orden de ideas, el Trigésimo tercero de los Lineamientos Generales en Materia de Clasificación y Desclasificación de la Información, así como para la Elaboración de Versiones Públicas –Lineamientos Generales los cuales se traen por analogía, establece la forma en que se debe fundamentar y motivar la reserva de la información, es decir, a través de los siguientes pasos:</w:t>
      </w:r>
    </w:p>
    <w:p w14:paraId="7CEC849A" w14:textId="77777777" w:rsidR="00C63600" w:rsidRPr="00793B5E" w:rsidRDefault="00C63600" w:rsidP="00C63600">
      <w:pPr>
        <w:tabs>
          <w:tab w:val="left" w:pos="4962"/>
        </w:tabs>
        <w:spacing w:after="0" w:line="360" w:lineRule="auto"/>
      </w:pPr>
    </w:p>
    <w:p w14:paraId="0CB154C1" w14:textId="373C58F8" w:rsidR="00A212F4" w:rsidRPr="00793B5E" w:rsidRDefault="00A212F4" w:rsidP="00C63600">
      <w:pPr>
        <w:pStyle w:val="Prrafodelista"/>
        <w:numPr>
          <w:ilvl w:val="0"/>
          <w:numId w:val="35"/>
        </w:numPr>
        <w:tabs>
          <w:tab w:val="left" w:pos="4962"/>
        </w:tabs>
        <w:spacing w:line="360" w:lineRule="auto"/>
      </w:pPr>
      <w:r w:rsidRPr="00793B5E">
        <w:t>Se deberá citar la fracción y, en su caso, la causal aplicable de Ley de Transparencia y Acceso a la Información Pública del Estado de México y Municipios, vinculándola con el Lineamiento específico;</w:t>
      </w:r>
    </w:p>
    <w:p w14:paraId="1F5917E9" w14:textId="77777777" w:rsidR="00C63600" w:rsidRPr="00793B5E" w:rsidRDefault="00C63600" w:rsidP="00C63600">
      <w:pPr>
        <w:pStyle w:val="Prrafodelista"/>
        <w:tabs>
          <w:tab w:val="left" w:pos="4962"/>
        </w:tabs>
        <w:spacing w:line="360" w:lineRule="auto"/>
      </w:pPr>
    </w:p>
    <w:p w14:paraId="28556C14" w14:textId="77777777" w:rsidR="00A212F4" w:rsidRPr="00793B5E" w:rsidRDefault="00A212F4" w:rsidP="00C63600">
      <w:pPr>
        <w:pStyle w:val="Prrafodelista"/>
        <w:numPr>
          <w:ilvl w:val="0"/>
          <w:numId w:val="35"/>
        </w:numPr>
        <w:tabs>
          <w:tab w:val="left" w:pos="4962"/>
        </w:tabs>
        <w:spacing w:line="360" w:lineRule="auto"/>
      </w:pPr>
      <w:r w:rsidRPr="00793B5E">
        <w:t xml:space="preserve">Se deberá demostrar que la publicidad de la información generaría un riesgo de perjuicio, que rebasa el interés público; </w:t>
      </w:r>
    </w:p>
    <w:p w14:paraId="3C8001E4" w14:textId="77777777" w:rsidR="00A212F4" w:rsidRPr="00793B5E" w:rsidRDefault="00A212F4" w:rsidP="00C63600">
      <w:pPr>
        <w:pStyle w:val="Prrafodelista"/>
        <w:tabs>
          <w:tab w:val="left" w:pos="4962"/>
        </w:tabs>
        <w:spacing w:line="360" w:lineRule="auto"/>
      </w:pPr>
    </w:p>
    <w:p w14:paraId="6B22092E" w14:textId="77777777" w:rsidR="00A212F4" w:rsidRPr="00793B5E" w:rsidRDefault="00A212F4" w:rsidP="00C63600">
      <w:pPr>
        <w:pStyle w:val="Prrafodelista"/>
        <w:numPr>
          <w:ilvl w:val="0"/>
          <w:numId w:val="35"/>
        </w:numPr>
        <w:tabs>
          <w:tab w:val="left" w:pos="4962"/>
        </w:tabs>
        <w:spacing w:line="360" w:lineRule="auto"/>
      </w:pPr>
      <w:r w:rsidRPr="00793B5E">
        <w:t xml:space="preserve">Se acreditará el vínculo entre la difusión de la información y la afectación del interés jurídico tutelado; </w:t>
      </w:r>
    </w:p>
    <w:p w14:paraId="15D56A10" w14:textId="77777777" w:rsidR="00A212F4" w:rsidRPr="00793B5E" w:rsidRDefault="00A212F4" w:rsidP="00C63600">
      <w:pPr>
        <w:pStyle w:val="Prrafodelista"/>
        <w:tabs>
          <w:tab w:val="left" w:pos="4962"/>
        </w:tabs>
        <w:spacing w:line="360" w:lineRule="auto"/>
      </w:pPr>
    </w:p>
    <w:p w14:paraId="651AA1C0" w14:textId="77777777" w:rsidR="00A212F4" w:rsidRPr="00793B5E" w:rsidRDefault="00A212F4" w:rsidP="00C63600">
      <w:pPr>
        <w:pStyle w:val="Prrafodelista"/>
        <w:numPr>
          <w:ilvl w:val="0"/>
          <w:numId w:val="35"/>
        </w:numPr>
        <w:tabs>
          <w:tab w:val="left" w:pos="4962"/>
        </w:tabs>
        <w:spacing w:line="360" w:lineRule="auto"/>
      </w:pPr>
      <w:r w:rsidRPr="00793B5E">
        <w:t xml:space="preserve">Se precisará las razones objetivas por las que la apertura de la información generaría una afectación, por medio del riesgo real, demostrable e identificable; </w:t>
      </w:r>
    </w:p>
    <w:p w14:paraId="7B3706B5" w14:textId="77777777" w:rsidR="00A212F4" w:rsidRPr="00793B5E" w:rsidRDefault="00A212F4" w:rsidP="00C63600">
      <w:pPr>
        <w:pStyle w:val="Prrafodelista"/>
        <w:tabs>
          <w:tab w:val="left" w:pos="4962"/>
        </w:tabs>
        <w:spacing w:line="360" w:lineRule="auto"/>
      </w:pPr>
    </w:p>
    <w:p w14:paraId="69529A1B" w14:textId="77777777" w:rsidR="00A212F4" w:rsidRPr="00793B5E" w:rsidRDefault="00A212F4" w:rsidP="00C63600">
      <w:pPr>
        <w:pStyle w:val="Prrafodelista"/>
        <w:numPr>
          <w:ilvl w:val="0"/>
          <w:numId w:val="35"/>
        </w:numPr>
        <w:tabs>
          <w:tab w:val="left" w:pos="4962"/>
        </w:tabs>
        <w:spacing w:line="360" w:lineRule="auto"/>
      </w:pPr>
      <w:r w:rsidRPr="00793B5E">
        <w:t xml:space="preserve">Se deberán señalar las circunstancias de modo, tiempo y lugar del daño, y </w:t>
      </w:r>
    </w:p>
    <w:p w14:paraId="09095288" w14:textId="77777777" w:rsidR="00A212F4" w:rsidRPr="00793B5E" w:rsidRDefault="00A212F4" w:rsidP="00C63600">
      <w:pPr>
        <w:pStyle w:val="Prrafodelista"/>
        <w:tabs>
          <w:tab w:val="left" w:pos="4962"/>
        </w:tabs>
        <w:spacing w:line="360" w:lineRule="auto"/>
      </w:pPr>
    </w:p>
    <w:p w14:paraId="212FBED0" w14:textId="20EEEA15" w:rsidR="003A20EC" w:rsidRPr="00793B5E" w:rsidRDefault="00A212F4" w:rsidP="00C63600">
      <w:pPr>
        <w:pStyle w:val="Prrafodelista"/>
        <w:numPr>
          <w:ilvl w:val="0"/>
          <w:numId w:val="35"/>
        </w:numPr>
        <w:tabs>
          <w:tab w:val="left" w:pos="4962"/>
        </w:tabs>
        <w:spacing w:line="360" w:lineRule="auto"/>
      </w:pPr>
      <w:r w:rsidRPr="00793B5E">
        <w:t>Se elegirá la opción de excepción al acceso a la información que menos restrinja, la cual será adecuada y proporcional para la protección del interés público.</w:t>
      </w:r>
    </w:p>
    <w:p w14:paraId="5D470D6F" w14:textId="77777777" w:rsidR="00A212F4" w:rsidRPr="00793B5E" w:rsidRDefault="00A212F4" w:rsidP="00C63600">
      <w:pPr>
        <w:tabs>
          <w:tab w:val="left" w:pos="4962"/>
        </w:tabs>
        <w:spacing w:after="0" w:line="360" w:lineRule="auto"/>
      </w:pPr>
    </w:p>
    <w:p w14:paraId="6B86BE19" w14:textId="0968BC11" w:rsidR="00A212F4" w:rsidRPr="00793B5E" w:rsidRDefault="00A212F4" w:rsidP="00C63600">
      <w:pPr>
        <w:tabs>
          <w:tab w:val="left" w:pos="4962"/>
        </w:tabs>
        <w:spacing w:after="0" w:line="360" w:lineRule="auto"/>
      </w:pPr>
      <w:r w:rsidRPr="00793B5E">
        <w:t>Ahora bien, de las constancias que obran en el expediente, se advierte que no fundamentó, ni motivó la clasificación de la información, de manera correcta, por las siguientes consideraciones:</w:t>
      </w:r>
    </w:p>
    <w:p w14:paraId="1203A116" w14:textId="77777777" w:rsidR="00A212F4" w:rsidRPr="00793B5E" w:rsidRDefault="00A212F4" w:rsidP="00C63600">
      <w:pPr>
        <w:tabs>
          <w:tab w:val="left" w:pos="4962"/>
        </w:tabs>
        <w:spacing w:after="0" w:line="360" w:lineRule="auto"/>
      </w:pPr>
    </w:p>
    <w:p w14:paraId="30477DDB" w14:textId="7C87FEA4" w:rsidR="00A212F4" w:rsidRPr="00793B5E" w:rsidRDefault="00A212F4" w:rsidP="00C63600">
      <w:pPr>
        <w:pStyle w:val="Prrafodelista"/>
        <w:numPr>
          <w:ilvl w:val="0"/>
          <w:numId w:val="36"/>
        </w:numPr>
        <w:tabs>
          <w:tab w:val="left" w:pos="4962"/>
        </w:tabs>
        <w:spacing w:line="360" w:lineRule="auto"/>
      </w:pPr>
      <w:r w:rsidRPr="00793B5E">
        <w:t>No precisó las razones objetivas, concretas y específicas por las cuales la apertura de la información generaría una afectación que rebase el interés público, pues, el Sujeto Obligado confundió la argumentación, entre diversos supuestos de clasificación distintos.</w:t>
      </w:r>
    </w:p>
    <w:p w14:paraId="0FE24D1C" w14:textId="77777777" w:rsidR="00A212F4" w:rsidRPr="00793B5E" w:rsidRDefault="00A212F4" w:rsidP="00C63600">
      <w:pPr>
        <w:pStyle w:val="Prrafodelista"/>
        <w:tabs>
          <w:tab w:val="left" w:pos="4962"/>
        </w:tabs>
        <w:spacing w:line="360" w:lineRule="auto"/>
      </w:pPr>
    </w:p>
    <w:p w14:paraId="0840C5B4" w14:textId="5D227B93" w:rsidR="00A212F4" w:rsidRPr="00793B5E" w:rsidRDefault="00A212F4" w:rsidP="00C63600">
      <w:pPr>
        <w:pStyle w:val="Prrafodelista"/>
        <w:numPr>
          <w:ilvl w:val="0"/>
          <w:numId w:val="36"/>
        </w:numPr>
        <w:tabs>
          <w:tab w:val="left" w:pos="4962"/>
        </w:tabs>
        <w:spacing w:line="360" w:lineRule="auto"/>
      </w:pPr>
      <w:r w:rsidRPr="00793B5E">
        <w:t>No acreditó el vínculo entre la información peticionada y la afectación que podría causar, pues únicamente precisó diversos supuestos establecidos en la Ley de la materia.</w:t>
      </w:r>
    </w:p>
    <w:p w14:paraId="70303F16" w14:textId="77777777" w:rsidR="00A212F4" w:rsidRPr="00793B5E" w:rsidRDefault="00A212F4" w:rsidP="00C63600">
      <w:pPr>
        <w:pStyle w:val="Prrafodelista"/>
        <w:spacing w:line="360" w:lineRule="auto"/>
      </w:pPr>
    </w:p>
    <w:p w14:paraId="77B4DA86" w14:textId="77777777" w:rsidR="00A212F4" w:rsidRPr="00793B5E" w:rsidRDefault="00A212F4" w:rsidP="00C63600">
      <w:pPr>
        <w:pStyle w:val="Prrafodelista"/>
        <w:tabs>
          <w:tab w:val="left" w:pos="4962"/>
        </w:tabs>
        <w:spacing w:line="360" w:lineRule="auto"/>
      </w:pPr>
    </w:p>
    <w:p w14:paraId="0EEB9650" w14:textId="7B8A5DC7" w:rsidR="00A212F4" w:rsidRPr="00793B5E" w:rsidRDefault="00A212F4" w:rsidP="00C63600">
      <w:pPr>
        <w:pStyle w:val="Prrafodelista"/>
        <w:numPr>
          <w:ilvl w:val="0"/>
          <w:numId w:val="36"/>
        </w:numPr>
        <w:tabs>
          <w:tab w:val="left" w:pos="4962"/>
        </w:tabs>
        <w:spacing w:line="360" w:lineRule="auto"/>
      </w:pPr>
      <w:r w:rsidRPr="00793B5E">
        <w:t>Omitió señalar, las circunstancias de tiempo, modo y lugar del daño que produciría entregar la información peticionada.</w:t>
      </w:r>
    </w:p>
    <w:p w14:paraId="14249E88" w14:textId="77777777" w:rsidR="00A212F4" w:rsidRPr="00793B5E" w:rsidRDefault="00A212F4" w:rsidP="00C63600">
      <w:pPr>
        <w:pStyle w:val="Prrafodelista"/>
        <w:tabs>
          <w:tab w:val="left" w:pos="4962"/>
        </w:tabs>
        <w:spacing w:line="360" w:lineRule="auto"/>
      </w:pPr>
    </w:p>
    <w:p w14:paraId="063CA743" w14:textId="30022CE7" w:rsidR="00A212F4" w:rsidRPr="00793B5E" w:rsidRDefault="00A212F4" w:rsidP="00C63600">
      <w:pPr>
        <w:pStyle w:val="Prrafodelista"/>
        <w:numPr>
          <w:ilvl w:val="0"/>
          <w:numId w:val="36"/>
        </w:numPr>
        <w:tabs>
          <w:tab w:val="left" w:pos="4962"/>
        </w:tabs>
        <w:spacing w:line="360" w:lineRule="auto"/>
      </w:pPr>
      <w:r w:rsidRPr="00793B5E">
        <w:t>No se establecieron las razones, por las cuales la reserva era el medio menos restrictivo, para la protección del interés jurídico.</w:t>
      </w:r>
    </w:p>
    <w:p w14:paraId="7655E337" w14:textId="77777777" w:rsidR="00D44107" w:rsidRPr="00793B5E" w:rsidRDefault="00D44107" w:rsidP="00C63600">
      <w:pPr>
        <w:tabs>
          <w:tab w:val="left" w:pos="4962"/>
        </w:tabs>
        <w:spacing w:after="0" w:line="360" w:lineRule="auto"/>
        <w:rPr>
          <w:rFonts w:eastAsia="Calibri" w:cs="Tahoma"/>
          <w:color w:val="FF0000"/>
        </w:rPr>
      </w:pPr>
    </w:p>
    <w:p w14:paraId="1C748C90" w14:textId="59502B98" w:rsidR="00B02A71" w:rsidRPr="00793B5E" w:rsidRDefault="00D44107" w:rsidP="00C63600">
      <w:pPr>
        <w:tabs>
          <w:tab w:val="left" w:pos="4962"/>
        </w:tabs>
        <w:spacing w:after="0" w:line="360" w:lineRule="auto"/>
        <w:rPr>
          <w:b/>
          <w:bCs/>
        </w:rPr>
      </w:pPr>
      <w:r w:rsidRPr="00793B5E">
        <w:lastRenderedPageBreak/>
        <w:t>Así, se advierte que el Sujeto Obligado, no fundamentó y motivó la reserva, pues no realizó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r w:rsidR="00B02A71" w:rsidRPr="00793B5E">
        <w:t xml:space="preserve">; lo cual toma relevancia, pues el acuerdo confunde la fundamentación, entre información </w:t>
      </w:r>
      <w:proofErr w:type="spellStart"/>
      <w:r w:rsidR="00B02A71" w:rsidRPr="00793B5E">
        <w:t>confidenciale</w:t>
      </w:r>
      <w:proofErr w:type="spellEnd"/>
      <w:r w:rsidR="00B02A71" w:rsidRPr="00793B5E">
        <w:t xml:space="preserve"> y reservada, lo cual da como resultado que el agravio sea </w:t>
      </w:r>
      <w:r w:rsidR="00B02A71" w:rsidRPr="00793B5E">
        <w:rPr>
          <w:b/>
          <w:bCs/>
        </w:rPr>
        <w:t>FUNDADO.</w:t>
      </w:r>
    </w:p>
    <w:p w14:paraId="65851CDA" w14:textId="77777777" w:rsidR="00B02A71" w:rsidRPr="00793B5E" w:rsidRDefault="00B02A71" w:rsidP="00C63600">
      <w:pPr>
        <w:tabs>
          <w:tab w:val="left" w:pos="4962"/>
        </w:tabs>
        <w:spacing w:after="0" w:line="360" w:lineRule="auto"/>
      </w:pPr>
    </w:p>
    <w:p w14:paraId="371ED575" w14:textId="28299382" w:rsidR="00D44107" w:rsidRPr="00793B5E" w:rsidRDefault="00B02A71" w:rsidP="00C63600">
      <w:pPr>
        <w:tabs>
          <w:tab w:val="left" w:pos="4962"/>
        </w:tabs>
        <w:spacing w:after="0" w:line="360" w:lineRule="auto"/>
      </w:pPr>
      <w:r w:rsidRPr="00793B5E">
        <w:t>S</w:t>
      </w:r>
      <w:r w:rsidR="00D44107" w:rsidRPr="00793B5E">
        <w:t>in menospreciar lo anterior, este Instituto procederá al análisis de las causales de reserva aludidas por el Sujeto Obligado; para lo cual, es de señalar que se debe realizar una evaluación, caso por caso, a través de una prueba de daño, tomando como referencia, el principio de máxima publicidad y el interés público de dar a conocer la información requerida.</w:t>
      </w:r>
    </w:p>
    <w:p w14:paraId="521A52BB" w14:textId="77777777" w:rsidR="00B02A71" w:rsidRPr="00793B5E" w:rsidRDefault="00B02A71" w:rsidP="00C63600">
      <w:pPr>
        <w:tabs>
          <w:tab w:val="left" w:pos="4962"/>
        </w:tabs>
        <w:spacing w:after="0" w:line="360" w:lineRule="auto"/>
      </w:pPr>
    </w:p>
    <w:p w14:paraId="34EFAD2A" w14:textId="2A7E1679" w:rsidR="00D44107" w:rsidRPr="00793B5E" w:rsidRDefault="00D44107" w:rsidP="00C63600">
      <w:pPr>
        <w:tabs>
          <w:tab w:val="left" w:pos="4962"/>
        </w:tabs>
        <w:spacing w:after="0" w:line="360" w:lineRule="auto"/>
      </w:pPr>
      <w:r w:rsidRPr="00793B5E">
        <w:t>En ese contexto, respecto a los conceptos señalados, los artículos 3°, fracción XXII y 9°, fracción VII, de la Ley de Transparencia y Acceso a la Información Pública del Estado de México y Municipios, establecen lo siguiente:</w:t>
      </w:r>
    </w:p>
    <w:p w14:paraId="4230DDEC" w14:textId="77777777" w:rsidR="00D44107" w:rsidRPr="00793B5E" w:rsidRDefault="00D44107" w:rsidP="00C63600">
      <w:pPr>
        <w:tabs>
          <w:tab w:val="left" w:pos="4962"/>
        </w:tabs>
        <w:spacing w:after="0" w:line="360" w:lineRule="auto"/>
        <w:rPr>
          <w:rFonts w:eastAsia="Calibri" w:cs="Tahoma"/>
          <w:color w:val="FF0000"/>
        </w:rPr>
      </w:pPr>
    </w:p>
    <w:p w14:paraId="2EE588B3" w14:textId="77777777" w:rsidR="00185FE3" w:rsidRPr="00793B5E" w:rsidRDefault="00185FE3" w:rsidP="00C63600">
      <w:pPr>
        <w:pStyle w:val="Prrafodelista"/>
        <w:numPr>
          <w:ilvl w:val="0"/>
          <w:numId w:val="37"/>
        </w:numPr>
        <w:tabs>
          <w:tab w:val="left" w:pos="4962"/>
        </w:tabs>
        <w:spacing w:line="360" w:lineRule="auto"/>
        <w:rPr>
          <w:color w:val="auto"/>
        </w:rPr>
      </w:pPr>
      <w:r w:rsidRPr="00793B5E">
        <w:rPr>
          <w:b/>
          <w:color w:val="auto"/>
        </w:rPr>
        <w:t>Principio de Máxima Publicidad:</w:t>
      </w:r>
      <w:r w:rsidRPr="00793B5E">
        <w:rPr>
          <w:color w:val="auto"/>
        </w:rPr>
        <w:t xml:space="preserve"> Precisa que toda la información en posesión de los entes sujetos a las Leyes de Transparencia, es pública, completa, oportuna y accesible, sujeta a un claro régimen de excepciones.</w:t>
      </w:r>
    </w:p>
    <w:p w14:paraId="1835E310" w14:textId="77777777" w:rsidR="00185FE3" w:rsidRPr="00793B5E" w:rsidRDefault="00185FE3" w:rsidP="00C63600">
      <w:pPr>
        <w:tabs>
          <w:tab w:val="left" w:pos="4962"/>
        </w:tabs>
        <w:spacing w:after="0" w:line="360" w:lineRule="auto"/>
        <w:rPr>
          <w:color w:val="auto"/>
        </w:rPr>
      </w:pPr>
    </w:p>
    <w:p w14:paraId="37E2AA7C" w14:textId="36B9FD44" w:rsidR="00D44107" w:rsidRPr="00793B5E" w:rsidRDefault="00185FE3" w:rsidP="00C63600">
      <w:pPr>
        <w:pStyle w:val="Prrafodelista"/>
        <w:numPr>
          <w:ilvl w:val="0"/>
          <w:numId w:val="37"/>
        </w:numPr>
        <w:tabs>
          <w:tab w:val="left" w:pos="4962"/>
        </w:tabs>
        <w:spacing w:line="360" w:lineRule="auto"/>
        <w:rPr>
          <w:rFonts w:eastAsia="Calibri" w:cs="Tahoma"/>
          <w:color w:val="auto"/>
        </w:rPr>
      </w:pPr>
      <w:r w:rsidRPr="00793B5E">
        <w:rPr>
          <w:b/>
          <w:color w:val="auto"/>
        </w:rPr>
        <w:lastRenderedPageBreak/>
        <w:t>Información de Interés Público:</w:t>
      </w:r>
      <w:r w:rsidRPr="00793B5E">
        <w:rPr>
          <w:color w:val="auto"/>
        </w:rPr>
        <w:t xml:space="preserve"> Es aquella que resulta relevante o beneficiosa para la sociedad y no simplemente de interés individual, cuya divulgación resulta útil para que el público comprenda las actividades que llevan a cabo los sujetos obligados</w:t>
      </w:r>
    </w:p>
    <w:p w14:paraId="0DB31EC2" w14:textId="77777777" w:rsidR="00D44107" w:rsidRPr="00793B5E" w:rsidRDefault="00D44107" w:rsidP="00C63600">
      <w:pPr>
        <w:tabs>
          <w:tab w:val="left" w:pos="4962"/>
        </w:tabs>
        <w:spacing w:after="0" w:line="360" w:lineRule="auto"/>
        <w:rPr>
          <w:rFonts w:eastAsia="Calibri" w:cs="Tahoma"/>
          <w:color w:val="FF0000"/>
        </w:rPr>
      </w:pPr>
    </w:p>
    <w:p w14:paraId="31BF5742" w14:textId="16F6FD10" w:rsidR="00B02A71" w:rsidRPr="00793B5E" w:rsidRDefault="00C447A0" w:rsidP="00B02A71">
      <w:pPr>
        <w:tabs>
          <w:tab w:val="left" w:pos="4962"/>
        </w:tabs>
        <w:spacing w:after="0" w:line="360" w:lineRule="auto"/>
        <w:rPr>
          <w:rFonts w:eastAsia="Calibri" w:cs="Tahoma"/>
          <w:iCs/>
          <w:lang w:val="es-ES" w:eastAsia="es-ES_tradnl"/>
        </w:rPr>
      </w:pPr>
      <w:r w:rsidRPr="00793B5E">
        <w:t>Así, el análisis de la reserva de la información, será realizado tomando en consideración, el interés público que existe para entregar la información solicitada, con el fin dar cumplimiento cabal, al principio máxima publicidad;</w:t>
      </w:r>
      <w:r w:rsidR="00B02A71" w:rsidRPr="00793B5E">
        <w:t xml:space="preserve"> para lo cual</w:t>
      </w:r>
      <w:r w:rsidR="00B02A71" w:rsidRPr="00793B5E">
        <w:rPr>
          <w:rFonts w:eastAsia="Calibri" w:cs="Tahoma"/>
          <w:iCs/>
          <w:lang w:val="es-ES" w:eastAsia="es-ES_tradnl"/>
        </w:rPr>
        <w:t>, el artículo 140, fracción V, numeral 1, de la Ley de Transparencia y Acceso a la Información Pública del Estado de México y Municipios, prevé lo siguiente:</w:t>
      </w:r>
    </w:p>
    <w:p w14:paraId="14833C7F" w14:textId="77777777" w:rsidR="00B02A71" w:rsidRPr="00793B5E" w:rsidRDefault="00B02A71" w:rsidP="00B02A71">
      <w:pPr>
        <w:spacing w:after="0" w:line="360" w:lineRule="auto"/>
        <w:ind w:right="-93"/>
        <w:rPr>
          <w:rFonts w:eastAsia="Calibri" w:cs="Tahoma"/>
          <w:bCs/>
        </w:rPr>
      </w:pPr>
    </w:p>
    <w:p w14:paraId="09B48C7D" w14:textId="77777777" w:rsidR="00B02A71" w:rsidRPr="00793B5E" w:rsidRDefault="00B02A71" w:rsidP="00B02A71">
      <w:pPr>
        <w:tabs>
          <w:tab w:val="left" w:pos="4962"/>
        </w:tabs>
        <w:spacing w:after="0" w:line="360" w:lineRule="auto"/>
        <w:ind w:left="567" w:right="567"/>
        <w:rPr>
          <w:rFonts w:eastAsia="Calibri" w:cs="Tahoma"/>
          <w:i/>
          <w:iCs/>
          <w:sz w:val="20"/>
          <w:szCs w:val="20"/>
          <w:lang w:val="es-ES" w:eastAsia="es-ES_tradnl"/>
        </w:rPr>
      </w:pPr>
      <w:r w:rsidRPr="00793B5E">
        <w:rPr>
          <w:rFonts w:eastAsia="Calibri" w:cs="Tahoma"/>
          <w:i/>
          <w:iCs/>
          <w:sz w:val="20"/>
          <w:szCs w:val="20"/>
          <w:lang w:val="es-ES" w:eastAsia="es-ES_tradnl"/>
        </w:rPr>
        <w:t>“</w:t>
      </w:r>
      <w:r w:rsidRPr="00793B5E">
        <w:rPr>
          <w:rFonts w:eastAsia="Calibri" w:cs="Tahoma"/>
          <w:b/>
          <w:i/>
          <w:iCs/>
          <w:sz w:val="20"/>
          <w:szCs w:val="20"/>
          <w:lang w:val="es-ES" w:eastAsia="es-ES_tradnl"/>
        </w:rPr>
        <w:t>Artículo 140.</w:t>
      </w:r>
      <w:r w:rsidRPr="00793B5E">
        <w:rPr>
          <w:rFonts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6E7E3B4C" w14:textId="77777777" w:rsidR="00B02A71" w:rsidRPr="00793B5E" w:rsidRDefault="00B02A71" w:rsidP="00B02A71">
      <w:pPr>
        <w:tabs>
          <w:tab w:val="left" w:pos="4962"/>
        </w:tabs>
        <w:spacing w:after="0" w:line="360" w:lineRule="auto"/>
        <w:ind w:left="567" w:right="567"/>
        <w:rPr>
          <w:rFonts w:eastAsia="Calibri" w:cs="Tahoma"/>
          <w:i/>
          <w:iCs/>
          <w:sz w:val="20"/>
          <w:szCs w:val="20"/>
          <w:lang w:val="es-ES" w:eastAsia="es-ES_tradnl"/>
        </w:rPr>
      </w:pPr>
      <w:r w:rsidRPr="00793B5E">
        <w:rPr>
          <w:rFonts w:eastAsia="Calibri" w:cs="Tahoma"/>
          <w:i/>
          <w:iCs/>
          <w:sz w:val="20"/>
          <w:szCs w:val="20"/>
          <w:lang w:val="es-ES" w:eastAsia="es-ES_tradnl"/>
        </w:rPr>
        <w:t>…</w:t>
      </w:r>
    </w:p>
    <w:p w14:paraId="7BB5D308" w14:textId="77777777" w:rsidR="00B02A71" w:rsidRPr="00793B5E" w:rsidRDefault="00B02A71" w:rsidP="00B02A71">
      <w:pPr>
        <w:tabs>
          <w:tab w:val="left" w:pos="4962"/>
        </w:tabs>
        <w:spacing w:after="0" w:line="360" w:lineRule="auto"/>
        <w:ind w:left="567" w:right="567"/>
        <w:rPr>
          <w:rFonts w:eastAsia="Calibri" w:cs="Tahoma"/>
          <w:i/>
          <w:iCs/>
          <w:sz w:val="20"/>
          <w:szCs w:val="20"/>
          <w:lang w:eastAsia="es-ES_tradnl"/>
        </w:rPr>
      </w:pPr>
      <w:r w:rsidRPr="00793B5E">
        <w:rPr>
          <w:rFonts w:eastAsia="Calibri" w:cs="Tahoma"/>
          <w:i/>
          <w:iCs/>
          <w:sz w:val="20"/>
          <w:szCs w:val="20"/>
          <w:lang w:eastAsia="es-ES_tradnl"/>
        </w:rPr>
        <w:t>V. Aquella cuya divulgación obstruya o pueda causar un serio perjuicio a:</w:t>
      </w:r>
    </w:p>
    <w:p w14:paraId="096DE6DA" w14:textId="77777777" w:rsidR="00B02A71" w:rsidRPr="00793B5E" w:rsidRDefault="00B02A71" w:rsidP="00B02A71">
      <w:pPr>
        <w:tabs>
          <w:tab w:val="left" w:pos="4962"/>
        </w:tabs>
        <w:spacing w:after="0" w:line="360" w:lineRule="auto"/>
        <w:ind w:left="567" w:right="567"/>
        <w:rPr>
          <w:rFonts w:eastAsia="Calibri" w:cs="Tahoma"/>
          <w:i/>
          <w:iCs/>
          <w:sz w:val="20"/>
          <w:szCs w:val="20"/>
          <w:lang w:eastAsia="es-ES_tradnl"/>
        </w:rPr>
      </w:pPr>
    </w:p>
    <w:p w14:paraId="583DDFEF" w14:textId="77777777" w:rsidR="00B02A71" w:rsidRPr="00793B5E" w:rsidRDefault="00B02A71" w:rsidP="00B02A71">
      <w:pPr>
        <w:tabs>
          <w:tab w:val="left" w:pos="4962"/>
        </w:tabs>
        <w:spacing w:after="0" w:line="360" w:lineRule="auto"/>
        <w:ind w:left="567" w:right="567"/>
        <w:rPr>
          <w:rFonts w:eastAsia="Calibri" w:cs="Tahoma"/>
          <w:i/>
          <w:iCs/>
          <w:sz w:val="20"/>
          <w:szCs w:val="20"/>
          <w:lang w:eastAsia="es-ES_tradnl"/>
        </w:rPr>
      </w:pPr>
      <w:r w:rsidRPr="00793B5E">
        <w:rPr>
          <w:rFonts w:eastAsia="Calibri" w:cs="Tahoma"/>
          <w:i/>
          <w:iCs/>
          <w:sz w:val="20"/>
          <w:szCs w:val="20"/>
          <w:lang w:eastAsia="es-ES_tradnl"/>
        </w:rPr>
        <w:t>1. Las actividades de fiscalización, verificación, inspección, comprobación y auditoría sobre el cumplimiento de las Leyes; o</w:t>
      </w:r>
    </w:p>
    <w:p w14:paraId="58C4AA24" w14:textId="77777777" w:rsidR="00B02A71" w:rsidRPr="00793B5E" w:rsidRDefault="00B02A71" w:rsidP="00B02A71">
      <w:pPr>
        <w:tabs>
          <w:tab w:val="left" w:pos="4962"/>
        </w:tabs>
        <w:spacing w:after="0" w:line="360" w:lineRule="auto"/>
        <w:ind w:left="567" w:right="567"/>
        <w:rPr>
          <w:rFonts w:eastAsia="Calibri" w:cs="Tahoma"/>
          <w:i/>
          <w:iCs/>
          <w:sz w:val="20"/>
          <w:szCs w:val="20"/>
          <w:lang w:val="es-ES" w:eastAsia="es-ES_tradnl"/>
        </w:rPr>
      </w:pPr>
      <w:r w:rsidRPr="00793B5E">
        <w:rPr>
          <w:rFonts w:eastAsia="Calibri" w:cs="Tahoma"/>
          <w:i/>
          <w:iCs/>
          <w:sz w:val="20"/>
          <w:szCs w:val="20"/>
          <w:lang w:val="es-ES" w:eastAsia="es-ES_tradnl"/>
        </w:rPr>
        <w:t>…”</w:t>
      </w:r>
    </w:p>
    <w:p w14:paraId="0BC00A83" w14:textId="77777777" w:rsidR="00B02A71" w:rsidRPr="00793B5E" w:rsidRDefault="00B02A71" w:rsidP="00B02A71">
      <w:pPr>
        <w:spacing w:after="0" w:line="360" w:lineRule="auto"/>
        <w:ind w:right="-93"/>
        <w:rPr>
          <w:rFonts w:eastAsia="Calibri" w:cs="Tahoma"/>
          <w:bCs/>
        </w:rPr>
      </w:pPr>
    </w:p>
    <w:p w14:paraId="615FF87D" w14:textId="77777777" w:rsidR="00B02A71" w:rsidRPr="00793B5E" w:rsidRDefault="00B02A71" w:rsidP="00B02A71">
      <w:pPr>
        <w:spacing w:after="0" w:line="360" w:lineRule="auto"/>
        <w:ind w:right="-93"/>
        <w:rPr>
          <w:rFonts w:eastAsia="Calibri" w:cs="Tahoma"/>
          <w:bCs/>
        </w:rPr>
      </w:pPr>
      <w:r w:rsidRPr="00793B5E">
        <w:rPr>
          <w:rFonts w:eastAsia="Calibri" w:cs="Tahoma"/>
          <w:bC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39CCB664" w14:textId="77777777" w:rsidR="00B02A71" w:rsidRPr="00793B5E" w:rsidRDefault="00B02A71" w:rsidP="00B02A71">
      <w:pPr>
        <w:spacing w:after="0" w:line="360" w:lineRule="auto"/>
        <w:ind w:right="-93"/>
        <w:rPr>
          <w:rFonts w:eastAsia="Calibri" w:cs="Tahoma"/>
          <w:bCs/>
        </w:rPr>
      </w:pPr>
    </w:p>
    <w:p w14:paraId="7D7DF224" w14:textId="77777777" w:rsidR="00B02A71" w:rsidRPr="00793B5E" w:rsidRDefault="00B02A71" w:rsidP="00B02A71">
      <w:pPr>
        <w:tabs>
          <w:tab w:val="left" w:pos="4962"/>
        </w:tabs>
        <w:spacing w:after="0" w:line="360" w:lineRule="auto"/>
        <w:rPr>
          <w:rFonts w:eastAsia="Calibri" w:cs="Tahoma"/>
          <w:bCs/>
          <w:iCs/>
          <w:lang w:eastAsia="es-ES_tradnl"/>
        </w:rPr>
      </w:pPr>
      <w:r w:rsidRPr="00793B5E">
        <w:rPr>
          <w:rFonts w:eastAsia="Calibri" w:cs="Tahoma"/>
          <w:iCs/>
          <w:lang w:eastAsia="es-ES_tradnl"/>
        </w:rPr>
        <w:t xml:space="preserve">Por su parte, los </w:t>
      </w:r>
      <w:r w:rsidRPr="00793B5E">
        <w:rPr>
          <w:rFonts w:eastAsia="Calibri" w:cs="Tahoma"/>
          <w:bCs/>
          <w:iCs/>
          <w:lang w:eastAsia="es-ES_tradnl"/>
        </w:rPr>
        <w:t>Lineamientos generales en materia de clasificación y desclasificación de la información, así como para la elaboración de versiones públicas -en adelante Lineamientos Generales- disponen:</w:t>
      </w:r>
    </w:p>
    <w:p w14:paraId="63BF4AC8" w14:textId="77777777" w:rsidR="00B02A71" w:rsidRPr="00793B5E" w:rsidRDefault="00B02A71" w:rsidP="00B02A71">
      <w:pPr>
        <w:spacing w:after="0" w:line="360" w:lineRule="auto"/>
        <w:ind w:right="-93"/>
        <w:rPr>
          <w:rFonts w:eastAsia="Calibri" w:cs="Tahoma"/>
          <w:bCs/>
        </w:rPr>
      </w:pPr>
    </w:p>
    <w:p w14:paraId="3CA4D6AA" w14:textId="77777777" w:rsidR="00B02A71" w:rsidRPr="00793B5E" w:rsidRDefault="00B02A71" w:rsidP="00B02A71">
      <w:pPr>
        <w:spacing w:after="0" w:line="360" w:lineRule="auto"/>
        <w:ind w:left="567" w:right="567"/>
        <w:rPr>
          <w:rFonts w:eastAsia="Calibri" w:cs="Tahoma"/>
          <w:bCs/>
          <w:i/>
          <w:sz w:val="20"/>
          <w:szCs w:val="20"/>
          <w:lang w:val="es-ES"/>
        </w:rPr>
      </w:pPr>
      <w:r w:rsidRPr="00793B5E">
        <w:rPr>
          <w:rFonts w:eastAsia="Calibri" w:cs="Tahoma"/>
          <w:b/>
          <w:bCs/>
          <w:i/>
          <w:sz w:val="20"/>
          <w:szCs w:val="20"/>
          <w:lang w:val="es-ES"/>
        </w:rPr>
        <w:t>“Vigésimo cuarto. </w:t>
      </w:r>
      <w:r w:rsidRPr="00793B5E">
        <w:rPr>
          <w:rFonts w:eastAsia="Calibri" w:cs="Tahoma"/>
          <w:bCs/>
          <w:i/>
          <w:sz w:val="20"/>
          <w:szCs w:val="20"/>
          <w:lang w:val="es-ES"/>
        </w:rPr>
        <w:t xml:space="preserve">De conformidad con el artículo 113, fracción VI de la Ley General, podrá considerarse como </w:t>
      </w:r>
      <w:r w:rsidRPr="00793B5E">
        <w:rPr>
          <w:rFonts w:eastAsia="Calibri" w:cs="Tahoma"/>
          <w:b/>
          <w:bCs/>
          <w:i/>
          <w:sz w:val="20"/>
          <w:szCs w:val="20"/>
          <w:lang w:val="es-ES"/>
        </w:rPr>
        <w:t>reservada, aquella información que obstruya las actividades de verificación, inspección y auditoría relativas al cumplimiento de las leyes</w:t>
      </w:r>
      <w:r w:rsidRPr="00793B5E">
        <w:rPr>
          <w:rFonts w:eastAsia="Calibri" w:cs="Tahoma"/>
          <w:bCs/>
          <w:i/>
          <w:sz w:val="20"/>
          <w:szCs w:val="20"/>
          <w:lang w:val="es-ES"/>
        </w:rPr>
        <w:t>, cuando se actualicen los siguientes elementos:</w:t>
      </w:r>
    </w:p>
    <w:p w14:paraId="1ACC02D7" w14:textId="77777777" w:rsidR="00B02A71" w:rsidRPr="00793B5E" w:rsidRDefault="00B02A71" w:rsidP="00B02A71">
      <w:pPr>
        <w:spacing w:after="0" w:line="360" w:lineRule="auto"/>
        <w:ind w:left="567" w:right="567"/>
        <w:rPr>
          <w:rFonts w:eastAsia="Calibri" w:cs="Tahoma"/>
          <w:bCs/>
          <w:i/>
          <w:sz w:val="20"/>
          <w:szCs w:val="20"/>
          <w:lang w:val="es-ES"/>
        </w:rPr>
      </w:pPr>
    </w:p>
    <w:p w14:paraId="1F95A5BC" w14:textId="77777777" w:rsidR="00B02A71" w:rsidRPr="00793B5E" w:rsidRDefault="00B02A71" w:rsidP="00B02A71">
      <w:pPr>
        <w:spacing w:after="0" w:line="360" w:lineRule="auto"/>
        <w:ind w:left="567" w:right="567"/>
        <w:rPr>
          <w:rFonts w:eastAsia="Calibri" w:cs="Tahoma"/>
          <w:bCs/>
          <w:i/>
          <w:sz w:val="20"/>
          <w:szCs w:val="20"/>
          <w:lang w:val="es-ES"/>
        </w:rPr>
      </w:pPr>
      <w:r w:rsidRPr="00793B5E">
        <w:rPr>
          <w:rFonts w:eastAsia="Calibri" w:cs="Tahoma"/>
          <w:b/>
          <w:bCs/>
          <w:i/>
          <w:sz w:val="20"/>
          <w:szCs w:val="20"/>
          <w:lang w:val="es-ES"/>
        </w:rPr>
        <w:t>I.</w:t>
      </w:r>
      <w:r w:rsidRPr="00793B5E">
        <w:rPr>
          <w:rFonts w:eastAsia="Calibri" w:cs="Tahoma"/>
          <w:bCs/>
          <w:i/>
          <w:sz w:val="20"/>
          <w:szCs w:val="20"/>
          <w:lang w:val="es-ES"/>
        </w:rPr>
        <w:t> La existencia de un procedimiento de verificación del cumplimiento de las leyes;</w:t>
      </w:r>
    </w:p>
    <w:p w14:paraId="4B03D68B" w14:textId="77777777" w:rsidR="00B02A71" w:rsidRPr="00793B5E" w:rsidRDefault="00B02A71" w:rsidP="00B02A71">
      <w:pPr>
        <w:spacing w:after="0" w:line="360" w:lineRule="auto"/>
        <w:ind w:left="567" w:right="567"/>
        <w:rPr>
          <w:rFonts w:eastAsia="Calibri" w:cs="Tahoma"/>
          <w:bCs/>
          <w:i/>
          <w:sz w:val="20"/>
          <w:szCs w:val="20"/>
          <w:lang w:val="es-ES"/>
        </w:rPr>
      </w:pPr>
    </w:p>
    <w:p w14:paraId="6D4A63A4" w14:textId="77777777" w:rsidR="00B02A71" w:rsidRPr="00793B5E" w:rsidRDefault="00B02A71" w:rsidP="00B02A71">
      <w:pPr>
        <w:spacing w:after="0" w:line="360" w:lineRule="auto"/>
        <w:ind w:left="567" w:right="567"/>
        <w:rPr>
          <w:rFonts w:eastAsia="Calibri" w:cs="Tahoma"/>
          <w:bCs/>
          <w:i/>
          <w:sz w:val="20"/>
          <w:szCs w:val="20"/>
          <w:lang w:val="es-ES"/>
        </w:rPr>
      </w:pPr>
      <w:r w:rsidRPr="00793B5E">
        <w:rPr>
          <w:rFonts w:eastAsia="Calibri" w:cs="Tahoma"/>
          <w:b/>
          <w:bCs/>
          <w:i/>
          <w:sz w:val="20"/>
          <w:szCs w:val="20"/>
          <w:lang w:val="es-ES"/>
        </w:rPr>
        <w:t>II</w:t>
      </w:r>
      <w:r w:rsidRPr="00793B5E">
        <w:rPr>
          <w:rFonts w:eastAsia="Calibri" w:cs="Tahoma"/>
          <w:bCs/>
          <w:i/>
          <w:sz w:val="20"/>
          <w:szCs w:val="20"/>
          <w:lang w:val="es-ES"/>
        </w:rPr>
        <w:t>. Que el procedimiento se encuentre en trámite;</w:t>
      </w:r>
    </w:p>
    <w:p w14:paraId="59DD7FEA" w14:textId="77777777" w:rsidR="00B02A71" w:rsidRPr="00793B5E" w:rsidRDefault="00B02A71" w:rsidP="00B02A71">
      <w:pPr>
        <w:spacing w:after="0" w:line="360" w:lineRule="auto"/>
        <w:ind w:left="567" w:right="567"/>
        <w:rPr>
          <w:rFonts w:eastAsia="Calibri" w:cs="Tahoma"/>
          <w:bCs/>
          <w:i/>
          <w:sz w:val="20"/>
          <w:szCs w:val="20"/>
          <w:lang w:val="es-ES"/>
        </w:rPr>
      </w:pPr>
    </w:p>
    <w:p w14:paraId="21811F15" w14:textId="77777777" w:rsidR="00B02A71" w:rsidRPr="00793B5E" w:rsidRDefault="00B02A71" w:rsidP="00B02A71">
      <w:pPr>
        <w:spacing w:after="0" w:line="360" w:lineRule="auto"/>
        <w:ind w:left="567" w:right="567"/>
        <w:rPr>
          <w:rFonts w:eastAsia="Calibri" w:cs="Tahoma"/>
          <w:bCs/>
          <w:i/>
          <w:sz w:val="20"/>
          <w:szCs w:val="20"/>
          <w:lang w:val="es-ES"/>
        </w:rPr>
      </w:pPr>
      <w:r w:rsidRPr="00793B5E">
        <w:rPr>
          <w:rFonts w:eastAsia="Calibri" w:cs="Tahoma"/>
          <w:b/>
          <w:bCs/>
          <w:i/>
          <w:sz w:val="20"/>
          <w:szCs w:val="20"/>
          <w:lang w:val="es-ES"/>
        </w:rPr>
        <w:t>III.</w:t>
      </w:r>
      <w:r w:rsidRPr="00793B5E">
        <w:rPr>
          <w:rFonts w:eastAsia="Calibri" w:cs="Tahoma"/>
          <w:bCs/>
          <w:i/>
          <w:sz w:val="20"/>
          <w:szCs w:val="20"/>
          <w:lang w:val="es-ES"/>
        </w:rPr>
        <w:t> La vinculación directa con las actividades que realiza la autoridad en el procedimiento de verificación del cumplimiento de las leyes, y</w:t>
      </w:r>
    </w:p>
    <w:p w14:paraId="719231C2" w14:textId="77777777" w:rsidR="00B02A71" w:rsidRPr="00793B5E" w:rsidRDefault="00B02A71" w:rsidP="00B02A71">
      <w:pPr>
        <w:spacing w:after="0" w:line="360" w:lineRule="auto"/>
        <w:ind w:left="567" w:right="567"/>
        <w:rPr>
          <w:rFonts w:eastAsia="Calibri" w:cs="Tahoma"/>
          <w:bCs/>
          <w:i/>
          <w:sz w:val="20"/>
          <w:szCs w:val="20"/>
          <w:lang w:val="es-ES"/>
        </w:rPr>
      </w:pPr>
    </w:p>
    <w:p w14:paraId="108BC41C" w14:textId="77777777" w:rsidR="00B02A71" w:rsidRPr="00793B5E" w:rsidRDefault="00B02A71" w:rsidP="00B02A71">
      <w:pPr>
        <w:spacing w:after="0" w:line="360" w:lineRule="auto"/>
        <w:ind w:left="567" w:right="567"/>
        <w:rPr>
          <w:rFonts w:eastAsia="Calibri" w:cs="Tahoma"/>
          <w:bCs/>
          <w:i/>
          <w:sz w:val="20"/>
          <w:szCs w:val="20"/>
          <w:lang w:val="es-ES"/>
        </w:rPr>
      </w:pPr>
      <w:r w:rsidRPr="00793B5E">
        <w:rPr>
          <w:rFonts w:eastAsia="Calibri" w:cs="Tahoma"/>
          <w:b/>
          <w:bCs/>
          <w:i/>
          <w:sz w:val="20"/>
          <w:szCs w:val="20"/>
          <w:lang w:val="es-ES"/>
        </w:rPr>
        <w:t>IV.</w:t>
      </w:r>
      <w:r w:rsidRPr="00793B5E">
        <w:rPr>
          <w:rFonts w:eastAsia="Calibri" w:cs="Tahoma"/>
          <w:bCs/>
          <w:i/>
          <w:sz w:val="20"/>
          <w:szCs w:val="20"/>
          <w:lang w:val="es-ES"/>
        </w:rPr>
        <w:t> Que la difusión de la información impida u obstaculice las actividades de inspección, supervisión o vigilancia que realicen las autoridades en el procedimiento de verificación del cumplimiento de las leyes.”</w:t>
      </w:r>
    </w:p>
    <w:p w14:paraId="5CEF178C" w14:textId="77777777" w:rsidR="00B02A71" w:rsidRPr="00793B5E" w:rsidRDefault="00B02A71" w:rsidP="00B02A71">
      <w:pPr>
        <w:spacing w:after="0" w:line="360" w:lineRule="auto"/>
        <w:ind w:right="-93"/>
        <w:rPr>
          <w:rFonts w:eastAsia="Calibri" w:cs="Tahoma"/>
          <w:b/>
          <w:bCs/>
          <w:lang w:val="es-ES"/>
        </w:rPr>
      </w:pPr>
    </w:p>
    <w:p w14:paraId="5B674A99" w14:textId="77777777" w:rsidR="00B02A71" w:rsidRPr="00793B5E" w:rsidRDefault="00B02A71" w:rsidP="00B02A71">
      <w:pPr>
        <w:spacing w:after="0" w:line="360" w:lineRule="auto"/>
        <w:ind w:right="-93"/>
        <w:rPr>
          <w:rFonts w:eastAsia="Calibri" w:cs="Tahoma"/>
          <w:bCs/>
          <w:lang w:val="es-ES"/>
        </w:rPr>
      </w:pPr>
      <w:r w:rsidRPr="00793B5E">
        <w:rPr>
          <w:rFonts w:eastAsia="Calibri" w:cs="Tahoma"/>
          <w:bCs/>
          <w:lang w:val="es-ES"/>
        </w:rPr>
        <w:t xml:space="preserve">Del lineamiento en cita, se colige que se trata de información reservada aquella que </w:t>
      </w:r>
      <w:r w:rsidRPr="00793B5E">
        <w:rPr>
          <w:rFonts w:eastAsia="Calibri" w:cs="Tahoma"/>
          <w:b/>
          <w:bCs/>
          <w:lang w:val="es-ES"/>
        </w:rPr>
        <w:t xml:space="preserve">obstruya las actividades de </w:t>
      </w:r>
      <w:r w:rsidRPr="00793B5E">
        <w:rPr>
          <w:rFonts w:eastAsia="Calibri" w:cs="Tahoma"/>
          <w:bCs/>
          <w:lang w:val="es-ES"/>
        </w:rPr>
        <w:t xml:space="preserve">verificación, inspección y </w:t>
      </w:r>
      <w:r w:rsidRPr="00793B5E">
        <w:rPr>
          <w:rFonts w:eastAsia="Calibri" w:cs="Tahoma"/>
          <w:b/>
          <w:bCs/>
          <w:lang w:val="es-ES"/>
        </w:rPr>
        <w:t xml:space="preserve">auditoría relativas al cumplimiento de las leyes, </w:t>
      </w:r>
      <w:r w:rsidRPr="00793B5E">
        <w:rPr>
          <w:rFonts w:eastAsia="Calibri" w:cs="Tahoma"/>
          <w:bCs/>
          <w:lang w:val="es-ES"/>
        </w:rPr>
        <w:t xml:space="preserve">cuando se actualicen los siguientes elementos: </w:t>
      </w:r>
    </w:p>
    <w:p w14:paraId="24A5A946" w14:textId="77777777" w:rsidR="00B02A71" w:rsidRPr="00793B5E" w:rsidRDefault="00B02A71" w:rsidP="00B02A71">
      <w:pPr>
        <w:spacing w:after="0" w:line="360" w:lineRule="auto"/>
        <w:ind w:right="-93"/>
        <w:rPr>
          <w:rFonts w:eastAsia="Calibri" w:cs="Tahoma"/>
          <w:bCs/>
          <w:lang w:val="es-ES"/>
        </w:rPr>
      </w:pPr>
    </w:p>
    <w:p w14:paraId="025BA62B" w14:textId="77777777" w:rsidR="00B02A71" w:rsidRPr="00793B5E" w:rsidRDefault="00B02A71" w:rsidP="00B02A71">
      <w:pPr>
        <w:numPr>
          <w:ilvl w:val="0"/>
          <w:numId w:val="45"/>
        </w:numPr>
        <w:spacing w:after="0" w:line="360" w:lineRule="auto"/>
        <w:ind w:right="-93"/>
        <w:jc w:val="left"/>
        <w:rPr>
          <w:rFonts w:eastAsia="Calibri" w:cs="Tahoma"/>
          <w:bCs/>
          <w:lang w:val="es-ES"/>
        </w:rPr>
      </w:pPr>
      <w:r w:rsidRPr="00793B5E">
        <w:rPr>
          <w:rFonts w:eastAsia="Calibri" w:cs="Tahoma"/>
          <w:bCs/>
          <w:lang w:val="es-ES"/>
        </w:rPr>
        <w:t xml:space="preserve">La existencia de un procedimiento de verificación del cumplimiento de las leyes. </w:t>
      </w:r>
    </w:p>
    <w:p w14:paraId="11027AE4" w14:textId="77777777" w:rsidR="00B02A71" w:rsidRPr="00793B5E" w:rsidRDefault="00B02A71" w:rsidP="00B02A71">
      <w:pPr>
        <w:spacing w:after="0" w:line="360" w:lineRule="auto"/>
        <w:ind w:left="786" w:right="-93"/>
        <w:jc w:val="left"/>
        <w:rPr>
          <w:rFonts w:eastAsia="Calibri" w:cs="Tahoma"/>
          <w:bCs/>
          <w:lang w:val="es-ES"/>
        </w:rPr>
      </w:pPr>
    </w:p>
    <w:p w14:paraId="27314A4F" w14:textId="77777777" w:rsidR="00B02A71" w:rsidRPr="00793B5E" w:rsidRDefault="00B02A71" w:rsidP="00B02A71">
      <w:pPr>
        <w:numPr>
          <w:ilvl w:val="0"/>
          <w:numId w:val="45"/>
        </w:numPr>
        <w:spacing w:after="0" w:line="360" w:lineRule="auto"/>
        <w:ind w:right="-93"/>
        <w:jc w:val="left"/>
        <w:rPr>
          <w:rFonts w:eastAsia="Calibri" w:cs="Tahoma"/>
          <w:bCs/>
          <w:lang w:val="es-ES"/>
        </w:rPr>
      </w:pPr>
      <w:r w:rsidRPr="00793B5E">
        <w:rPr>
          <w:rFonts w:eastAsia="Calibri" w:cs="Tahoma"/>
          <w:bCs/>
          <w:lang w:val="es-ES"/>
        </w:rPr>
        <w:t xml:space="preserve">Que ese procedimiento se encuentre en trámite. </w:t>
      </w:r>
    </w:p>
    <w:p w14:paraId="28FC7C23" w14:textId="77777777" w:rsidR="00B02A71" w:rsidRPr="00793B5E" w:rsidRDefault="00B02A71" w:rsidP="00B02A71">
      <w:pPr>
        <w:spacing w:after="0" w:line="360" w:lineRule="auto"/>
        <w:ind w:right="-93"/>
        <w:jc w:val="left"/>
        <w:rPr>
          <w:rFonts w:eastAsia="Calibri" w:cs="Tahoma"/>
          <w:bCs/>
          <w:lang w:val="es-ES"/>
        </w:rPr>
      </w:pPr>
    </w:p>
    <w:p w14:paraId="79331078" w14:textId="77777777" w:rsidR="00B02A71" w:rsidRPr="00793B5E" w:rsidRDefault="00B02A71" w:rsidP="00B02A71">
      <w:pPr>
        <w:numPr>
          <w:ilvl w:val="0"/>
          <w:numId w:val="45"/>
        </w:numPr>
        <w:spacing w:after="0" w:line="360" w:lineRule="auto"/>
        <w:ind w:right="-93"/>
        <w:jc w:val="left"/>
        <w:rPr>
          <w:rFonts w:eastAsia="Calibri" w:cs="Tahoma"/>
          <w:bCs/>
          <w:lang w:val="es-ES"/>
        </w:rPr>
      </w:pPr>
      <w:r w:rsidRPr="00793B5E">
        <w:rPr>
          <w:rFonts w:eastAsia="Calibri" w:cs="Tahoma"/>
          <w:bCs/>
          <w:lang w:val="es-ES"/>
        </w:rPr>
        <w:t xml:space="preserve">La vinculación directa con las actividades que realiza la autoridad en el procedimiento de verificación del cumplimiento de las leyes. </w:t>
      </w:r>
    </w:p>
    <w:p w14:paraId="370BCFEB" w14:textId="77777777" w:rsidR="00B02A71" w:rsidRPr="00793B5E" w:rsidRDefault="00B02A71" w:rsidP="00B02A71">
      <w:pPr>
        <w:spacing w:after="0" w:line="360" w:lineRule="auto"/>
        <w:ind w:right="-93"/>
        <w:jc w:val="left"/>
        <w:rPr>
          <w:rFonts w:eastAsia="Calibri" w:cs="Tahoma"/>
          <w:bCs/>
          <w:lang w:val="es-ES"/>
        </w:rPr>
      </w:pPr>
    </w:p>
    <w:p w14:paraId="5B343BAB" w14:textId="77777777" w:rsidR="00B02A71" w:rsidRPr="00793B5E" w:rsidRDefault="00B02A71" w:rsidP="00B02A71">
      <w:pPr>
        <w:numPr>
          <w:ilvl w:val="0"/>
          <w:numId w:val="45"/>
        </w:numPr>
        <w:spacing w:after="0" w:line="360" w:lineRule="auto"/>
        <w:ind w:right="-93"/>
        <w:jc w:val="left"/>
        <w:rPr>
          <w:rFonts w:eastAsia="Calibri" w:cs="Tahoma"/>
          <w:bCs/>
          <w:lang w:val="es-ES"/>
        </w:rPr>
      </w:pPr>
      <w:r w:rsidRPr="00793B5E">
        <w:rPr>
          <w:rFonts w:eastAsia="Calibri" w:cs="Tahoma"/>
          <w:bCs/>
          <w:lang w:val="es-ES"/>
        </w:rPr>
        <w:lastRenderedPageBreak/>
        <w:t xml:space="preserve">Que la difusión de la información impida u obstaculice las actividades de inspección, supervisión o vigilancia que realicen las autoridades en el proceso de verificación del cumplimiento de las leyes. </w:t>
      </w:r>
    </w:p>
    <w:p w14:paraId="7DE1EC07" w14:textId="77777777" w:rsidR="00B02A71" w:rsidRPr="00793B5E" w:rsidRDefault="00B02A71" w:rsidP="00B02A71">
      <w:pPr>
        <w:spacing w:after="0" w:line="360" w:lineRule="auto"/>
        <w:ind w:right="-93"/>
        <w:rPr>
          <w:rFonts w:eastAsia="Calibri" w:cs="Tahoma"/>
          <w:bCs/>
          <w:lang w:val="es-ES"/>
        </w:rPr>
      </w:pPr>
    </w:p>
    <w:p w14:paraId="5F28D1BC" w14:textId="77777777" w:rsidR="00B02A71" w:rsidRPr="00793B5E" w:rsidRDefault="00B02A71" w:rsidP="00B02A71">
      <w:pPr>
        <w:spacing w:after="0" w:line="360" w:lineRule="auto"/>
        <w:ind w:right="-93"/>
        <w:rPr>
          <w:rFonts w:eastAsia="Calibri" w:cs="Tahoma"/>
          <w:bCs/>
          <w:lang w:val="es-ES"/>
        </w:rPr>
      </w:pPr>
      <w:r w:rsidRPr="00793B5E">
        <w:rPr>
          <w:rFonts w:eastAsia="Calibri" w:cs="Tahoma"/>
          <w:bCs/>
          <w:lang w:val="es-ES"/>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3C03099D" w14:textId="77777777" w:rsidR="00B02A71" w:rsidRPr="00793B5E" w:rsidRDefault="00B02A71" w:rsidP="00B02A71">
      <w:pPr>
        <w:spacing w:after="0" w:line="360" w:lineRule="auto"/>
        <w:ind w:right="-93"/>
        <w:rPr>
          <w:rFonts w:eastAsia="Calibri" w:cs="Tahoma"/>
          <w:bCs/>
          <w:lang w:val="es-ES"/>
        </w:rPr>
      </w:pPr>
    </w:p>
    <w:p w14:paraId="5B94B096" w14:textId="77777777" w:rsidR="00B02A71" w:rsidRPr="00793B5E" w:rsidRDefault="00B02A71" w:rsidP="00B02A71">
      <w:pPr>
        <w:spacing w:after="0" w:line="360" w:lineRule="auto"/>
        <w:ind w:right="-93"/>
        <w:rPr>
          <w:rFonts w:eastAsia="Calibri" w:cs="Tahoma"/>
          <w:bCs/>
          <w:lang w:val="es-ES"/>
        </w:rPr>
      </w:pPr>
      <w:r w:rsidRPr="00793B5E">
        <w:rPr>
          <w:rFonts w:eastAsia="Calibri" w:cs="Tahoma"/>
          <w:bCs/>
          <w:lang w:val="es-ES"/>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7247618D" w14:textId="77777777" w:rsidR="00B02A71" w:rsidRPr="00793B5E" w:rsidRDefault="00B02A71" w:rsidP="00B02A71">
      <w:pPr>
        <w:spacing w:after="0" w:line="360" w:lineRule="auto"/>
        <w:ind w:right="-93"/>
        <w:rPr>
          <w:rFonts w:eastAsia="Calibri" w:cs="Tahoma"/>
          <w:bCs/>
          <w:lang w:val="es-ES"/>
        </w:rPr>
      </w:pPr>
    </w:p>
    <w:p w14:paraId="3776501D" w14:textId="77777777" w:rsidR="00B02A71" w:rsidRPr="00793B5E" w:rsidRDefault="00B02A71" w:rsidP="00B02A71">
      <w:pPr>
        <w:spacing w:after="0" w:line="360" w:lineRule="auto"/>
        <w:ind w:right="-93"/>
        <w:rPr>
          <w:rFonts w:eastAsia="Calibri" w:cs="Tahoma"/>
          <w:bCs/>
          <w:lang w:val="es-ES"/>
        </w:rPr>
      </w:pPr>
      <w:r w:rsidRPr="00793B5E">
        <w:rPr>
          <w:rFonts w:eastAsia="Calibri" w:cs="Tahoma"/>
          <w:bCs/>
          <w:lang w:val="es-ES"/>
        </w:rPr>
        <w:t>Así las cosas, a continuación, se analizarán cada uno de los requisitos señalados anteriormente, con la finalidad de verificar si se configura la hipótesis de reserva en estudio:</w:t>
      </w:r>
    </w:p>
    <w:p w14:paraId="57129E2D" w14:textId="77777777" w:rsidR="00C85F7D" w:rsidRPr="00793B5E" w:rsidRDefault="00C85F7D" w:rsidP="00B02A71">
      <w:pPr>
        <w:spacing w:after="0" w:line="360" w:lineRule="auto"/>
        <w:ind w:right="-93"/>
        <w:rPr>
          <w:rFonts w:eastAsia="Calibri" w:cs="Tahoma"/>
          <w:bCs/>
          <w:lang w:val="es-ES"/>
        </w:rPr>
      </w:pPr>
    </w:p>
    <w:p w14:paraId="50EC45F8" w14:textId="77777777" w:rsidR="00B02A71" w:rsidRPr="00793B5E" w:rsidRDefault="00B02A71" w:rsidP="00B02A71">
      <w:pPr>
        <w:numPr>
          <w:ilvl w:val="0"/>
          <w:numId w:val="46"/>
        </w:numPr>
        <w:spacing w:after="0" w:line="360" w:lineRule="auto"/>
        <w:contextualSpacing/>
        <w:jc w:val="left"/>
        <w:rPr>
          <w:rFonts w:eastAsia="Times New Roman" w:cs="Tahoma"/>
          <w:b/>
          <w:iCs/>
          <w:lang w:eastAsia="es-ES"/>
        </w:rPr>
      </w:pPr>
      <w:r w:rsidRPr="00793B5E">
        <w:rPr>
          <w:rFonts w:eastAsia="Times New Roman" w:cs="Tahoma"/>
          <w:b/>
          <w:iCs/>
          <w:lang w:eastAsia="es-ES"/>
        </w:rPr>
        <w:t>La existencia de un procedimiento de verificación del cumplimiento de las leyes</w:t>
      </w:r>
    </w:p>
    <w:p w14:paraId="13452858" w14:textId="77777777" w:rsidR="00B02A71" w:rsidRPr="00793B5E" w:rsidRDefault="00B02A71" w:rsidP="00B02A71">
      <w:pPr>
        <w:spacing w:after="0" w:line="360" w:lineRule="auto"/>
        <w:rPr>
          <w:rFonts w:eastAsia="Times New Roman" w:cs="Tahoma"/>
          <w:b/>
          <w:lang w:eastAsia="es-ES"/>
        </w:rPr>
      </w:pPr>
    </w:p>
    <w:p w14:paraId="5F296500" w14:textId="065EB0EF" w:rsidR="00B02A71" w:rsidRPr="00793B5E" w:rsidRDefault="00B02A71" w:rsidP="00B02A71">
      <w:pPr>
        <w:spacing w:after="0" w:line="360" w:lineRule="auto"/>
        <w:rPr>
          <w:rFonts w:eastAsia="Times New Roman" w:cs="Tahoma"/>
          <w:bCs/>
          <w:iCs/>
          <w:lang w:eastAsia="es-ES"/>
        </w:rPr>
      </w:pPr>
      <w:r w:rsidRPr="00793B5E">
        <w:rPr>
          <w:rFonts w:eastAsia="Times New Roman" w:cs="Tahoma"/>
          <w:bCs/>
          <w:iCs/>
          <w:lang w:eastAsia="es-ES"/>
        </w:rPr>
        <w:t xml:space="preserve">En ese contexto, el Ayuntamiento de </w:t>
      </w:r>
      <w:r w:rsidR="00C85F7D" w:rsidRPr="00793B5E">
        <w:rPr>
          <w:rFonts w:eastAsia="Times New Roman" w:cs="Tahoma"/>
          <w:bCs/>
          <w:iCs/>
          <w:lang w:eastAsia="es-ES"/>
        </w:rPr>
        <w:t>Apaxco</w:t>
      </w:r>
      <w:r w:rsidRPr="00793B5E">
        <w:rPr>
          <w:rFonts w:eastAsia="Times New Roman" w:cs="Tahoma"/>
          <w:bCs/>
          <w:iCs/>
          <w:lang w:eastAsia="es-ES"/>
        </w:rPr>
        <w:t xml:space="preserve"> </w:t>
      </w:r>
      <w:r w:rsidR="00C85F7D" w:rsidRPr="00793B5E">
        <w:rPr>
          <w:rFonts w:eastAsia="Times New Roman" w:cs="Tahoma"/>
          <w:bCs/>
          <w:iCs/>
          <w:lang w:eastAsia="es-ES"/>
        </w:rPr>
        <w:t>no acreditó la existencia de algún procedimiento de verificación en trámite, ni proporcionó algún elemento que permitiera verificar que la información se encontraba en alguna auditoría, por lo que, no se acredita el primero de los requisitos, lo cual ocasiona que no se actualicen los demás.</w:t>
      </w:r>
    </w:p>
    <w:p w14:paraId="6F11380D" w14:textId="77777777" w:rsidR="00B02A71" w:rsidRPr="00793B5E" w:rsidRDefault="00B02A71" w:rsidP="00C63600">
      <w:pPr>
        <w:tabs>
          <w:tab w:val="left" w:pos="4962"/>
        </w:tabs>
        <w:spacing w:after="0" w:line="360" w:lineRule="auto"/>
      </w:pPr>
    </w:p>
    <w:p w14:paraId="5628A8BB" w14:textId="77777777" w:rsidR="00B02A71" w:rsidRPr="00793B5E" w:rsidRDefault="00B02A71" w:rsidP="00C63600">
      <w:pPr>
        <w:tabs>
          <w:tab w:val="left" w:pos="4962"/>
        </w:tabs>
        <w:spacing w:after="0" w:line="360" w:lineRule="auto"/>
      </w:pPr>
    </w:p>
    <w:p w14:paraId="7219C6E5" w14:textId="4296377F" w:rsidR="00376C3E" w:rsidRPr="00793B5E" w:rsidRDefault="00376C3E" w:rsidP="00C63600">
      <w:pPr>
        <w:tabs>
          <w:tab w:val="left" w:pos="4962"/>
        </w:tabs>
        <w:spacing w:after="0" w:line="360" w:lineRule="auto"/>
      </w:pPr>
      <w:r w:rsidRPr="00793B5E">
        <w:lastRenderedPageBreak/>
        <w:t xml:space="preserve">Por tales circunstancias, se considera que la información solicitada por el Sujeto Obligado no actualiza la causal de reserva, establecida en el artículo 140, fracción V, numeral </w:t>
      </w:r>
      <w:r w:rsidR="00C85F7D" w:rsidRPr="00793B5E">
        <w:t>1</w:t>
      </w:r>
      <w:r w:rsidRPr="00793B5E">
        <w:t xml:space="preserve"> de la Ley de Transparencia y Acceso a la Información Pública del Estado de México y Municipios, pues como se indicó </w:t>
      </w:r>
      <w:r w:rsidR="00C85F7D" w:rsidRPr="00793B5E">
        <w:t xml:space="preserve">no existe ningún procedimiento de auditoría en trámite, ni que la información del parque vehicular se </w:t>
      </w:r>
      <w:proofErr w:type="spellStart"/>
      <w:r w:rsidR="00C85F7D" w:rsidRPr="00793B5E">
        <w:t>encuente</w:t>
      </w:r>
      <w:proofErr w:type="spellEnd"/>
      <w:r w:rsidR="00C85F7D" w:rsidRPr="00793B5E">
        <w:t xml:space="preserve"> en algún procedimiento de </w:t>
      </w:r>
      <w:proofErr w:type="spellStart"/>
      <w:r w:rsidR="00C85F7D" w:rsidRPr="00793B5E">
        <w:t>veriricación</w:t>
      </w:r>
      <w:proofErr w:type="spellEnd"/>
      <w:r w:rsidR="00C85F7D" w:rsidRPr="00793B5E">
        <w:t>.</w:t>
      </w:r>
    </w:p>
    <w:p w14:paraId="0A577BA4" w14:textId="77777777" w:rsidR="00376C3E" w:rsidRPr="00793B5E" w:rsidRDefault="00376C3E" w:rsidP="00C63600">
      <w:pPr>
        <w:tabs>
          <w:tab w:val="left" w:pos="4962"/>
        </w:tabs>
        <w:spacing w:after="0" w:line="360" w:lineRule="auto"/>
      </w:pPr>
    </w:p>
    <w:p w14:paraId="76207E86" w14:textId="21A144B4" w:rsidR="001148F4" w:rsidRPr="00793B5E" w:rsidRDefault="001148F4" w:rsidP="00C63600">
      <w:pPr>
        <w:tabs>
          <w:tab w:val="left" w:pos="4962"/>
        </w:tabs>
        <w:spacing w:after="0" w:line="360" w:lineRule="auto"/>
      </w:pPr>
      <w:r w:rsidRPr="00793B5E">
        <w:t>Ahora bien, se procede analizar si procede la clasificación del padrón o parque vehicular utilizado por la Dirección de Seguridad Pública y Vialidad Municipal; por lo que, respecto al segundo dato, es necesario traer a colación el artículo 140, fracción I, de la Ley de Transparencia y Acceso a la Información Pública del Estado de México y Municipios, que prevé lo siguiente:</w:t>
      </w:r>
    </w:p>
    <w:p w14:paraId="08279C0D" w14:textId="77777777" w:rsidR="00442B6F" w:rsidRPr="00793B5E" w:rsidRDefault="00442B6F" w:rsidP="00C63600">
      <w:pPr>
        <w:tabs>
          <w:tab w:val="left" w:pos="4962"/>
        </w:tabs>
        <w:spacing w:after="0" w:line="360" w:lineRule="auto"/>
      </w:pPr>
    </w:p>
    <w:p w14:paraId="729A54D1" w14:textId="65317863" w:rsidR="00442B6F" w:rsidRPr="00793B5E" w:rsidRDefault="006700B8" w:rsidP="00C63600">
      <w:pPr>
        <w:tabs>
          <w:tab w:val="left" w:pos="4667"/>
        </w:tabs>
        <w:spacing w:after="0" w:line="360" w:lineRule="auto"/>
        <w:ind w:left="567" w:right="567"/>
        <w:rPr>
          <w:i/>
          <w:iCs/>
          <w:color w:val="auto"/>
          <w:sz w:val="20"/>
          <w:szCs w:val="20"/>
        </w:rPr>
      </w:pPr>
      <w:r w:rsidRPr="00793B5E">
        <w:rPr>
          <w:i/>
          <w:iCs/>
          <w:color w:val="auto"/>
          <w:sz w:val="20"/>
          <w:szCs w:val="20"/>
        </w:rPr>
        <w:t>“Artículo 140. El acceso a la información pública será restringido excepcionalmente, cuando por razones de interés público, ésta sea clasificada como reservada, conforme a los criterios siguientes:</w:t>
      </w:r>
    </w:p>
    <w:p w14:paraId="30F29A85" w14:textId="77777777" w:rsidR="006700B8" w:rsidRPr="00793B5E" w:rsidRDefault="006700B8" w:rsidP="00C63600">
      <w:pPr>
        <w:tabs>
          <w:tab w:val="left" w:pos="4667"/>
        </w:tabs>
        <w:spacing w:after="0" w:line="360" w:lineRule="auto"/>
        <w:ind w:left="567" w:right="567"/>
        <w:rPr>
          <w:i/>
          <w:iCs/>
          <w:color w:val="auto"/>
          <w:sz w:val="20"/>
          <w:szCs w:val="20"/>
        </w:rPr>
      </w:pPr>
    </w:p>
    <w:p w14:paraId="5C7F73CD" w14:textId="6006C56F" w:rsidR="006700B8" w:rsidRPr="00793B5E" w:rsidRDefault="006700B8" w:rsidP="00C63600">
      <w:pPr>
        <w:tabs>
          <w:tab w:val="left" w:pos="4667"/>
        </w:tabs>
        <w:spacing w:after="0" w:line="360" w:lineRule="auto"/>
        <w:ind w:left="567" w:right="567"/>
        <w:rPr>
          <w:i/>
          <w:iCs/>
          <w:color w:val="auto"/>
          <w:sz w:val="20"/>
          <w:szCs w:val="20"/>
        </w:rPr>
      </w:pPr>
      <w:r w:rsidRPr="00793B5E">
        <w:rPr>
          <w:i/>
          <w:iCs/>
          <w:color w:val="auto"/>
          <w:sz w:val="20"/>
          <w:szCs w:val="20"/>
        </w:rPr>
        <w:t>I. Comprometa la seguridad pública y cuente con un propósito genuino y un efecto demostrable</w:t>
      </w:r>
      <w:r w:rsidR="00D73C1C" w:rsidRPr="00793B5E">
        <w:rPr>
          <w:i/>
          <w:iCs/>
          <w:color w:val="auto"/>
          <w:sz w:val="20"/>
          <w:szCs w:val="20"/>
        </w:rPr>
        <w:t>;…”</w:t>
      </w:r>
    </w:p>
    <w:p w14:paraId="3783DBBD" w14:textId="77777777" w:rsidR="00D73C1C" w:rsidRPr="00793B5E" w:rsidRDefault="00D73C1C" w:rsidP="00C63600">
      <w:pPr>
        <w:tabs>
          <w:tab w:val="left" w:pos="4962"/>
        </w:tabs>
        <w:spacing w:after="0" w:line="360" w:lineRule="auto"/>
        <w:rPr>
          <w:rFonts w:eastAsia="Calibri" w:cs="Tahoma"/>
          <w:color w:val="FF0000"/>
        </w:rPr>
      </w:pPr>
    </w:p>
    <w:p w14:paraId="5891A385" w14:textId="33FEABD9" w:rsidR="00D73C1C" w:rsidRPr="00793B5E" w:rsidRDefault="00D73C1C" w:rsidP="00C63600">
      <w:pPr>
        <w:tabs>
          <w:tab w:val="left" w:pos="4962"/>
        </w:tabs>
        <w:spacing w:after="0" w:line="360" w:lineRule="auto"/>
      </w:pPr>
      <w:r w:rsidRPr="00793B5E">
        <w:t>De dicho precepto normativo se desprende que podrá clasificarse como información reservada aquella cuya publicación comprometa la seguridad pública y cuente con un propósito genuino y un efecto demostrable; por lo que, los Lineamientos Generales multicitados por analogía, disponen:</w:t>
      </w:r>
    </w:p>
    <w:p w14:paraId="7ED1176D" w14:textId="77777777" w:rsidR="00D73C1C" w:rsidRPr="00793B5E" w:rsidRDefault="00D73C1C" w:rsidP="00C63600">
      <w:pPr>
        <w:tabs>
          <w:tab w:val="left" w:pos="4962"/>
        </w:tabs>
        <w:spacing w:after="0" w:line="360" w:lineRule="auto"/>
      </w:pPr>
    </w:p>
    <w:p w14:paraId="0F9DC2EC" w14:textId="77777777" w:rsidR="004C7C66" w:rsidRPr="00793B5E" w:rsidRDefault="004C7C66"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w:t>
      </w:r>
      <w:r w:rsidRPr="00793B5E">
        <w:rPr>
          <w:i/>
          <w:iCs/>
          <w:color w:val="auto"/>
          <w:sz w:val="20"/>
          <w:szCs w:val="20"/>
        </w:rPr>
        <w:lastRenderedPageBreak/>
        <w:t xml:space="preserve">Municipios, tendientes a preservar y resguardar la vida, la salud, la integridad y el ejercicio de los derechos de las personas, así como para el mantenimiento del orden público. </w:t>
      </w:r>
    </w:p>
    <w:p w14:paraId="1A4D4415" w14:textId="77777777" w:rsidR="004C7C66" w:rsidRPr="00793B5E" w:rsidRDefault="004C7C66" w:rsidP="00C63600">
      <w:pPr>
        <w:tabs>
          <w:tab w:val="left" w:pos="4667"/>
        </w:tabs>
        <w:spacing w:after="0" w:line="360" w:lineRule="auto"/>
        <w:ind w:left="567" w:right="567"/>
        <w:rPr>
          <w:i/>
          <w:iCs/>
          <w:color w:val="auto"/>
          <w:sz w:val="20"/>
          <w:szCs w:val="20"/>
        </w:rPr>
      </w:pPr>
    </w:p>
    <w:p w14:paraId="213989A9" w14:textId="77777777" w:rsidR="004C7C66" w:rsidRPr="00793B5E" w:rsidRDefault="004C7C66"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6AF3F1A" w14:textId="77777777" w:rsidR="004C7C66" w:rsidRPr="00793B5E" w:rsidRDefault="004C7C66" w:rsidP="00C63600">
      <w:pPr>
        <w:tabs>
          <w:tab w:val="left" w:pos="4667"/>
        </w:tabs>
        <w:spacing w:after="0" w:line="360" w:lineRule="auto"/>
        <w:ind w:left="567" w:right="567"/>
        <w:rPr>
          <w:i/>
          <w:iCs/>
          <w:color w:val="auto"/>
          <w:sz w:val="20"/>
          <w:szCs w:val="20"/>
        </w:rPr>
      </w:pPr>
    </w:p>
    <w:p w14:paraId="367CA437" w14:textId="3762DC6E" w:rsidR="00D73C1C" w:rsidRPr="00793B5E" w:rsidRDefault="004C7C66" w:rsidP="00C63600">
      <w:pPr>
        <w:tabs>
          <w:tab w:val="left" w:pos="4667"/>
        </w:tabs>
        <w:spacing w:after="0" w:line="360" w:lineRule="auto"/>
        <w:ind w:left="567" w:right="567"/>
        <w:rPr>
          <w:i/>
          <w:iCs/>
          <w:color w:val="auto"/>
          <w:sz w:val="20"/>
          <w:szCs w:val="20"/>
        </w:rPr>
      </w:pPr>
      <w:r w:rsidRPr="00793B5E">
        <w:rPr>
          <w:i/>
          <w:iCs/>
          <w:color w:val="auto"/>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C14ABCC" w14:textId="77777777" w:rsidR="004C7C66" w:rsidRPr="00793B5E" w:rsidRDefault="004C7C66" w:rsidP="00C63600">
      <w:pPr>
        <w:tabs>
          <w:tab w:val="left" w:pos="4962"/>
        </w:tabs>
        <w:spacing w:after="0" w:line="360" w:lineRule="auto"/>
        <w:rPr>
          <w:rFonts w:eastAsia="Calibri" w:cs="Tahoma"/>
          <w:color w:val="FF0000"/>
        </w:rPr>
      </w:pPr>
    </w:p>
    <w:p w14:paraId="700FABC4" w14:textId="2762E05B" w:rsidR="004C7C66" w:rsidRPr="00793B5E" w:rsidRDefault="004C7C66" w:rsidP="00C63600">
      <w:pPr>
        <w:tabs>
          <w:tab w:val="left" w:pos="4962"/>
        </w:tabs>
        <w:spacing w:after="0" w:line="360" w:lineRule="auto"/>
      </w:pPr>
      <w:r w:rsidRPr="00793B5E">
        <w:t>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w:t>
      </w:r>
    </w:p>
    <w:p w14:paraId="1745CC57" w14:textId="77777777" w:rsidR="004C7C66" w:rsidRPr="00793B5E" w:rsidRDefault="004C7C66" w:rsidP="00C63600">
      <w:pPr>
        <w:tabs>
          <w:tab w:val="left" w:pos="4962"/>
        </w:tabs>
        <w:spacing w:after="0" w:line="360" w:lineRule="auto"/>
      </w:pPr>
    </w:p>
    <w:p w14:paraId="6BBCF1CE" w14:textId="21205FD4" w:rsidR="004C7C66" w:rsidRPr="00793B5E" w:rsidRDefault="004C7C66" w:rsidP="00C63600">
      <w:pPr>
        <w:tabs>
          <w:tab w:val="left" w:pos="4962"/>
        </w:tabs>
        <w:spacing w:after="0" w:line="360" w:lineRule="auto"/>
      </w:pPr>
      <w:r w:rsidRPr="00793B5E">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72091BC8" w14:textId="77777777" w:rsidR="004C7C66" w:rsidRPr="00793B5E" w:rsidRDefault="004C7C66" w:rsidP="00C63600">
      <w:pPr>
        <w:tabs>
          <w:tab w:val="left" w:pos="4962"/>
        </w:tabs>
        <w:spacing w:after="0" w:line="360" w:lineRule="auto"/>
      </w:pPr>
    </w:p>
    <w:p w14:paraId="627BCAB4" w14:textId="2CFD1D11" w:rsidR="004C7C66" w:rsidRPr="00793B5E" w:rsidRDefault="001F2A8B" w:rsidP="00C63600">
      <w:pPr>
        <w:tabs>
          <w:tab w:val="left" w:pos="4962"/>
        </w:tabs>
        <w:spacing w:after="0" w:line="360" w:lineRule="auto"/>
      </w:pPr>
      <w:r w:rsidRPr="00793B5E">
        <w:t>En ese orden de ideas, el artículo 81 de la Ley de Seguridad del Estado de México, que establece lo siguiente:</w:t>
      </w:r>
    </w:p>
    <w:p w14:paraId="0550DFBC" w14:textId="77777777" w:rsidR="001F2A8B" w:rsidRPr="00793B5E" w:rsidRDefault="001F2A8B" w:rsidP="00C63600">
      <w:pPr>
        <w:tabs>
          <w:tab w:val="left" w:pos="4962"/>
        </w:tabs>
        <w:spacing w:after="0" w:line="360" w:lineRule="auto"/>
      </w:pPr>
    </w:p>
    <w:p w14:paraId="0AA3D883" w14:textId="77777777" w:rsidR="001F2A8B" w:rsidRPr="00793B5E" w:rsidRDefault="001F2A8B" w:rsidP="00C63600">
      <w:pPr>
        <w:tabs>
          <w:tab w:val="left" w:pos="4962"/>
        </w:tabs>
        <w:spacing w:after="0" w:line="360" w:lineRule="auto"/>
        <w:rPr>
          <w:rFonts w:eastAsia="Calibri" w:cs="Tahoma"/>
          <w:color w:val="FF0000"/>
        </w:rPr>
      </w:pPr>
    </w:p>
    <w:p w14:paraId="7015AED8" w14:textId="77777777" w:rsidR="001F2A8B" w:rsidRPr="00793B5E" w:rsidRDefault="001F2A8B" w:rsidP="00C63600">
      <w:pPr>
        <w:tabs>
          <w:tab w:val="left" w:pos="4667"/>
        </w:tabs>
        <w:spacing w:after="0" w:line="360" w:lineRule="auto"/>
        <w:ind w:left="567" w:right="567"/>
        <w:rPr>
          <w:i/>
          <w:iCs/>
          <w:color w:val="auto"/>
          <w:sz w:val="20"/>
          <w:szCs w:val="20"/>
        </w:rPr>
      </w:pPr>
      <w:r w:rsidRPr="00793B5E">
        <w:rPr>
          <w:b/>
          <w:i/>
          <w:iCs/>
          <w:color w:val="auto"/>
          <w:sz w:val="20"/>
          <w:szCs w:val="20"/>
        </w:rPr>
        <w:lastRenderedPageBreak/>
        <w:t>“Artículo 81.-</w:t>
      </w:r>
      <w:r w:rsidRPr="00793B5E">
        <w:rPr>
          <w:i/>
          <w:iCs/>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8CCB65C" w14:textId="77777777" w:rsidR="001F2A8B" w:rsidRPr="00793B5E" w:rsidRDefault="001F2A8B" w:rsidP="00C63600">
      <w:pPr>
        <w:tabs>
          <w:tab w:val="left" w:pos="4667"/>
        </w:tabs>
        <w:spacing w:after="0" w:line="360" w:lineRule="auto"/>
        <w:ind w:left="567" w:right="567"/>
        <w:rPr>
          <w:i/>
          <w:iCs/>
          <w:color w:val="auto"/>
          <w:sz w:val="20"/>
          <w:szCs w:val="20"/>
        </w:rPr>
      </w:pPr>
    </w:p>
    <w:p w14:paraId="307C95E1" w14:textId="77777777" w:rsidR="001F2A8B" w:rsidRPr="00793B5E" w:rsidRDefault="001F2A8B"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193242CA" w14:textId="77777777" w:rsidR="001F2A8B" w:rsidRPr="00793B5E" w:rsidRDefault="001F2A8B" w:rsidP="00C63600">
      <w:pPr>
        <w:tabs>
          <w:tab w:val="left" w:pos="4667"/>
        </w:tabs>
        <w:spacing w:after="0" w:line="360" w:lineRule="auto"/>
        <w:ind w:left="567" w:right="567"/>
        <w:rPr>
          <w:i/>
          <w:iCs/>
          <w:color w:val="auto"/>
          <w:sz w:val="20"/>
          <w:szCs w:val="20"/>
        </w:rPr>
      </w:pPr>
    </w:p>
    <w:p w14:paraId="3838F482" w14:textId="77777777" w:rsidR="001F2A8B" w:rsidRPr="00793B5E" w:rsidRDefault="001F2A8B"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II. Aquella cuya revelación pueda ser utilizada para actualizar o potenciar una amenaza a la seguridad pública o a las instituciones del Estado de México; … </w:t>
      </w:r>
    </w:p>
    <w:p w14:paraId="7E08C133" w14:textId="77777777" w:rsidR="001F2A8B" w:rsidRPr="00793B5E" w:rsidRDefault="001F2A8B" w:rsidP="00C63600">
      <w:pPr>
        <w:tabs>
          <w:tab w:val="left" w:pos="4667"/>
        </w:tabs>
        <w:spacing w:after="0" w:line="360" w:lineRule="auto"/>
        <w:ind w:left="567" w:right="567"/>
        <w:rPr>
          <w:i/>
          <w:iCs/>
          <w:color w:val="auto"/>
          <w:sz w:val="20"/>
          <w:szCs w:val="20"/>
        </w:rPr>
      </w:pPr>
    </w:p>
    <w:p w14:paraId="30E8BE6F" w14:textId="77777777" w:rsidR="001F2A8B" w:rsidRPr="00793B5E" w:rsidRDefault="001F2A8B" w:rsidP="00C63600">
      <w:pPr>
        <w:tabs>
          <w:tab w:val="left" w:pos="4667"/>
        </w:tabs>
        <w:spacing w:after="0" w:line="360" w:lineRule="auto"/>
        <w:ind w:left="567" w:right="567"/>
        <w:rPr>
          <w:i/>
          <w:iCs/>
          <w:color w:val="auto"/>
          <w:sz w:val="20"/>
          <w:szCs w:val="20"/>
        </w:rPr>
      </w:pPr>
      <w:r w:rsidRPr="00793B5E">
        <w:rPr>
          <w:i/>
          <w:iCs/>
          <w:color w:val="auto"/>
          <w:sz w:val="20"/>
          <w:szCs w:val="20"/>
        </w:rPr>
        <w:t xml:space="preserve">IV. La que sea producto de una intervención de comunicaciones privadas autorizadas conforme a la Constitución Federal y las disposiciones legales correspondientes; y </w:t>
      </w:r>
    </w:p>
    <w:p w14:paraId="51096461" w14:textId="77777777" w:rsidR="001F2A8B" w:rsidRPr="00793B5E" w:rsidRDefault="001F2A8B" w:rsidP="00C63600">
      <w:pPr>
        <w:tabs>
          <w:tab w:val="left" w:pos="4667"/>
        </w:tabs>
        <w:spacing w:after="0" w:line="360" w:lineRule="auto"/>
        <w:ind w:left="567" w:right="567"/>
        <w:rPr>
          <w:i/>
          <w:iCs/>
          <w:color w:val="auto"/>
          <w:sz w:val="20"/>
          <w:szCs w:val="20"/>
        </w:rPr>
      </w:pPr>
    </w:p>
    <w:p w14:paraId="243D6562" w14:textId="6BDE7A5E" w:rsidR="004C7C66" w:rsidRPr="00793B5E" w:rsidRDefault="001F2A8B" w:rsidP="00C63600">
      <w:pPr>
        <w:tabs>
          <w:tab w:val="left" w:pos="4667"/>
        </w:tabs>
        <w:spacing w:after="0" w:line="360" w:lineRule="auto"/>
        <w:ind w:left="567" w:right="567"/>
        <w:rPr>
          <w:i/>
          <w:iCs/>
          <w:color w:val="auto"/>
          <w:sz w:val="20"/>
          <w:szCs w:val="20"/>
        </w:rPr>
      </w:pPr>
      <w:r w:rsidRPr="00793B5E">
        <w:rPr>
          <w:i/>
          <w:iCs/>
          <w:color w:val="auto"/>
          <w:sz w:val="20"/>
          <w:szCs w:val="20"/>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626718B9" w14:textId="77777777" w:rsidR="004C7C66" w:rsidRPr="00793B5E" w:rsidRDefault="004C7C66" w:rsidP="00C63600">
      <w:pPr>
        <w:tabs>
          <w:tab w:val="left" w:pos="4962"/>
        </w:tabs>
        <w:spacing w:after="0" w:line="360" w:lineRule="auto"/>
        <w:rPr>
          <w:rFonts w:eastAsia="Calibri" w:cs="Tahoma"/>
          <w:color w:val="FF0000"/>
        </w:rPr>
      </w:pPr>
    </w:p>
    <w:p w14:paraId="02587633" w14:textId="503100C3" w:rsidR="00266814" w:rsidRPr="00793B5E" w:rsidRDefault="00266814" w:rsidP="00C63600">
      <w:pPr>
        <w:tabs>
          <w:tab w:val="left" w:pos="4962"/>
        </w:tabs>
        <w:spacing w:after="0" w:line="360" w:lineRule="auto"/>
        <w:rPr>
          <w:rFonts w:eastAsia="Calibri" w:cs="Tahoma"/>
          <w:color w:val="FF0000"/>
        </w:rPr>
      </w:pPr>
      <w:r w:rsidRPr="00793B5E">
        <w:t>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6BB4165" w14:textId="77777777" w:rsidR="00266814" w:rsidRPr="00793B5E" w:rsidRDefault="00266814" w:rsidP="00C63600">
      <w:pPr>
        <w:tabs>
          <w:tab w:val="left" w:pos="4962"/>
        </w:tabs>
        <w:spacing w:after="0" w:line="360" w:lineRule="auto"/>
        <w:rPr>
          <w:rFonts w:eastAsia="Calibri" w:cs="Tahoma"/>
          <w:color w:val="FF0000"/>
        </w:rPr>
      </w:pPr>
    </w:p>
    <w:p w14:paraId="540129C3" w14:textId="423052CA" w:rsidR="00266814" w:rsidRPr="00793B5E" w:rsidRDefault="00266814" w:rsidP="00C63600">
      <w:pPr>
        <w:tabs>
          <w:tab w:val="left" w:pos="4962"/>
        </w:tabs>
        <w:spacing w:after="0" w:line="360" w:lineRule="auto"/>
      </w:pPr>
      <w:r w:rsidRPr="00793B5E">
        <w:t xml:space="preserve">En ese orden de ideas, no se advierte de qué forma dicha información comprometa la seguridad pública del Municipio, por las siguientes consideraciones, dar a conocer los </w:t>
      </w:r>
      <w:r w:rsidRPr="00793B5E">
        <w:lastRenderedPageBreak/>
        <w:t>documentos donde conste el parque o padrón vehicular utilizado por la Dirección de Seguridad Pública y Vialidad Municipal, toda vez que:</w:t>
      </w:r>
    </w:p>
    <w:p w14:paraId="52E4E7A6" w14:textId="77777777" w:rsidR="00266814" w:rsidRPr="00793B5E" w:rsidRDefault="00266814" w:rsidP="00C63600">
      <w:pPr>
        <w:tabs>
          <w:tab w:val="left" w:pos="4962"/>
        </w:tabs>
        <w:spacing w:after="0" w:line="360" w:lineRule="auto"/>
      </w:pPr>
    </w:p>
    <w:p w14:paraId="6B92BD74" w14:textId="61FF27BA" w:rsidR="00266814" w:rsidRPr="00793B5E" w:rsidRDefault="00266814" w:rsidP="00C85F7D">
      <w:pPr>
        <w:pStyle w:val="Prrafodelista"/>
        <w:numPr>
          <w:ilvl w:val="0"/>
          <w:numId w:val="47"/>
        </w:numPr>
        <w:tabs>
          <w:tab w:val="left" w:pos="4962"/>
        </w:tabs>
        <w:spacing w:line="360" w:lineRule="auto"/>
      </w:pPr>
      <w:r w:rsidRPr="00793B5E">
        <w:t>No entorpece los sistemas de coordinación interinstitucional en materia de seguridad pública, pues únicamente establece datos sobre los vehículos utilizados y designados a dicha Dirección.</w:t>
      </w:r>
    </w:p>
    <w:p w14:paraId="14A3E383" w14:textId="77777777" w:rsidR="00266814" w:rsidRPr="00793B5E" w:rsidRDefault="00266814" w:rsidP="00C63600">
      <w:pPr>
        <w:tabs>
          <w:tab w:val="left" w:pos="4962"/>
        </w:tabs>
        <w:spacing w:after="0" w:line="360" w:lineRule="auto"/>
      </w:pPr>
    </w:p>
    <w:p w14:paraId="27CCBB8E" w14:textId="0C4CB301" w:rsidR="00266814" w:rsidRPr="00793B5E" w:rsidRDefault="00266814" w:rsidP="00C85F7D">
      <w:pPr>
        <w:pStyle w:val="Prrafodelista"/>
        <w:numPr>
          <w:ilvl w:val="0"/>
          <w:numId w:val="47"/>
        </w:numPr>
        <w:tabs>
          <w:tab w:val="left" w:pos="4962"/>
        </w:tabs>
        <w:spacing w:line="360" w:lineRule="auto"/>
      </w:pPr>
      <w:r w:rsidRPr="00793B5E">
        <w:t>La información requerida, no es producto de la intervención de comunicaciones privadas, ni se encuentra contenida en averiguaciones previas, carpetas de investigación, expedientes y archivos de investigación o prevención de delitos.</w:t>
      </w:r>
    </w:p>
    <w:p w14:paraId="757BDCDD" w14:textId="77777777" w:rsidR="00266814" w:rsidRPr="00793B5E" w:rsidRDefault="00266814" w:rsidP="00C63600">
      <w:pPr>
        <w:tabs>
          <w:tab w:val="left" w:pos="4962"/>
        </w:tabs>
        <w:spacing w:after="0" w:line="360" w:lineRule="auto"/>
      </w:pPr>
    </w:p>
    <w:p w14:paraId="7443FA9E" w14:textId="0BDDFE3E" w:rsidR="00266814" w:rsidRPr="00793B5E" w:rsidRDefault="00266814" w:rsidP="00C85F7D">
      <w:pPr>
        <w:pStyle w:val="Prrafodelista"/>
        <w:numPr>
          <w:ilvl w:val="0"/>
          <w:numId w:val="47"/>
        </w:numPr>
        <w:tabs>
          <w:tab w:val="left" w:pos="4962"/>
        </w:tabs>
        <w:spacing w:line="360" w:lineRule="auto"/>
      </w:pPr>
      <w:r w:rsidRPr="00793B5E">
        <w:t>La información requerida,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el Área de Seguridad.</w:t>
      </w:r>
    </w:p>
    <w:p w14:paraId="5E6F457F" w14:textId="77777777" w:rsidR="00266814" w:rsidRPr="00793B5E" w:rsidRDefault="00266814" w:rsidP="00C63600">
      <w:pPr>
        <w:tabs>
          <w:tab w:val="left" w:pos="4962"/>
        </w:tabs>
        <w:spacing w:after="0" w:line="360" w:lineRule="auto"/>
      </w:pPr>
    </w:p>
    <w:p w14:paraId="6DCA0315" w14:textId="37B41CE4" w:rsidR="00266814" w:rsidRPr="00793B5E" w:rsidRDefault="004D2881" w:rsidP="00C63600">
      <w:pPr>
        <w:tabs>
          <w:tab w:val="left" w:pos="4962"/>
        </w:tabs>
        <w:spacing w:after="0" w:line="360" w:lineRule="auto"/>
      </w:pPr>
      <w:r w:rsidRPr="00793B5E">
        <w:t xml:space="preserve">Conforme a lo anterior, no advierte un riesgo real, demostrable e identificable que supere al interés público o bien perjudique la seguridad pública, proporcionar el padrón o parque vehicular de la Dirección de Seguridad Pública y Vialidad Municipal, pues como se precisó en párrafos anteriores, la información requerida no da cuenta de la forma de actuación, estrategias o equipo con el que cuenta el Área de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el </w:t>
      </w:r>
      <w:r w:rsidRPr="00793B5E">
        <w:lastRenderedPageBreak/>
        <w:t>Ayuntamiento, pues inclusive no se solicitó la información total del área, sino únicamente la relativa al parque vehicular.</w:t>
      </w:r>
    </w:p>
    <w:p w14:paraId="13C5365D" w14:textId="77777777" w:rsidR="004D2881" w:rsidRPr="00793B5E" w:rsidRDefault="004D2881" w:rsidP="00C63600">
      <w:pPr>
        <w:tabs>
          <w:tab w:val="left" w:pos="4962"/>
        </w:tabs>
        <w:spacing w:after="0" w:line="360" w:lineRule="auto"/>
      </w:pPr>
    </w:p>
    <w:p w14:paraId="0FC357F8" w14:textId="286CBE32" w:rsidR="004D2881" w:rsidRPr="00793B5E" w:rsidRDefault="004D2881" w:rsidP="00C63600">
      <w:pPr>
        <w:tabs>
          <w:tab w:val="left" w:pos="4962"/>
        </w:tabs>
        <w:spacing w:after="0" w:line="360" w:lineRule="auto"/>
      </w:pPr>
      <w:r w:rsidRPr="00793B5E">
        <w:t>Por tal circunstancia, en el presente caso, no se actualiza la causal de clasificación prevista en el artículo 140, fracción I, de la Ley de Transparencia y Acceso a la Información Pública del Estado de México y Municipios.</w:t>
      </w:r>
    </w:p>
    <w:p w14:paraId="516269AB" w14:textId="77777777" w:rsidR="004D2881" w:rsidRPr="00793B5E" w:rsidRDefault="004D2881" w:rsidP="00C63600">
      <w:pPr>
        <w:tabs>
          <w:tab w:val="left" w:pos="4962"/>
        </w:tabs>
        <w:spacing w:after="0" w:line="360" w:lineRule="auto"/>
      </w:pPr>
    </w:p>
    <w:p w14:paraId="477CAB19" w14:textId="7E79B6E4" w:rsidR="004D2881" w:rsidRPr="00793B5E" w:rsidRDefault="00E14A7C" w:rsidP="00C63600">
      <w:pPr>
        <w:tabs>
          <w:tab w:val="left" w:pos="4962"/>
        </w:tabs>
        <w:spacing w:after="0" w:line="360" w:lineRule="auto"/>
      </w:pPr>
      <w:r w:rsidRPr="00793B5E">
        <w:t>Aunado a que el artículo 148 de la Ley de Transparencia y Acceso a la Información Pública del Estado de México y Municipios y el Quincuagésimo séptimo, fracción I, de los Lineamientos Generales, precisan que es información pública que no podrá omitirse de las versiones públicas, aquella que sea una obligación de transparencia.</w:t>
      </w:r>
    </w:p>
    <w:p w14:paraId="1E6A31CE" w14:textId="77777777" w:rsidR="00E14A7C" w:rsidRPr="00793B5E" w:rsidRDefault="00E14A7C" w:rsidP="00C63600">
      <w:pPr>
        <w:tabs>
          <w:tab w:val="left" w:pos="4962"/>
        </w:tabs>
        <w:spacing w:after="0" w:line="360" w:lineRule="auto"/>
      </w:pPr>
    </w:p>
    <w:p w14:paraId="6B0571BE" w14:textId="69737A75" w:rsidR="00E14A7C" w:rsidRPr="00793B5E" w:rsidRDefault="00E14A7C" w:rsidP="00C63600">
      <w:pPr>
        <w:tabs>
          <w:tab w:val="left" w:pos="4962"/>
        </w:tabs>
        <w:spacing w:after="0" w:line="360" w:lineRule="auto"/>
      </w:pPr>
      <w:r w:rsidRPr="00793B5E">
        <w:t>En ese contexto, los artículos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0E2DB6BE" w14:textId="77777777" w:rsidR="00E14A7C" w:rsidRPr="00793B5E" w:rsidRDefault="00E14A7C" w:rsidP="00C63600">
      <w:pPr>
        <w:tabs>
          <w:tab w:val="left" w:pos="4962"/>
        </w:tabs>
        <w:spacing w:after="0" w:line="360" w:lineRule="auto"/>
      </w:pPr>
    </w:p>
    <w:p w14:paraId="0AC86181" w14:textId="35377166" w:rsidR="00E14A7C" w:rsidRPr="00793B5E" w:rsidRDefault="00E14A7C" w:rsidP="00C63600">
      <w:pPr>
        <w:tabs>
          <w:tab w:val="left" w:pos="4962"/>
        </w:tabs>
        <w:spacing w:after="0" w:line="360" w:lineRule="auto"/>
      </w:pPr>
      <w:r w:rsidRPr="00793B5E">
        <w:t xml:space="preserve">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w:t>
      </w:r>
      <w:r w:rsidRPr="00793B5E">
        <w:lastRenderedPageBreak/>
        <w:t>cuenta de la información solicitada, con lo cual se robustece que no procede la reservada aludida.</w:t>
      </w:r>
    </w:p>
    <w:p w14:paraId="79E536AF" w14:textId="77777777" w:rsidR="00266814" w:rsidRPr="00793B5E" w:rsidRDefault="00266814" w:rsidP="00C63600">
      <w:pPr>
        <w:tabs>
          <w:tab w:val="left" w:pos="4962"/>
        </w:tabs>
        <w:spacing w:after="0" w:line="360" w:lineRule="auto"/>
      </w:pPr>
    </w:p>
    <w:p w14:paraId="6EF722BA" w14:textId="352BC33B" w:rsidR="00AD0398" w:rsidRPr="00793B5E" w:rsidRDefault="00E14A7C" w:rsidP="00C63600">
      <w:pPr>
        <w:tabs>
          <w:tab w:val="left" w:pos="4962"/>
        </w:tabs>
        <w:spacing w:after="0" w:line="360" w:lineRule="auto"/>
      </w:pPr>
      <w:r w:rsidRPr="00793B5E">
        <w:t xml:space="preserve">Conforme a lo anterior, resulta procedente ordenar </w:t>
      </w:r>
      <w:bookmarkStart w:id="15" w:name="_Hlk208339157"/>
      <w:r w:rsidRPr="00793B5E">
        <w:t>relacionado con el parque vehicular del Ayuntamiento de la actual administración</w:t>
      </w:r>
      <w:r w:rsidR="00C85F7D" w:rsidRPr="00793B5E">
        <w:t xml:space="preserve">, </w:t>
      </w:r>
      <w:proofErr w:type="spellStart"/>
      <w:r w:rsidR="00C85F7D" w:rsidRPr="00793B5E">
        <w:t>incluídos</w:t>
      </w:r>
      <w:proofErr w:type="spellEnd"/>
      <w:r w:rsidR="00C85F7D" w:rsidRPr="00793B5E">
        <w:t xml:space="preserve"> los mantenimientos recibidos y el consumo de combustible; </w:t>
      </w:r>
      <w:bookmarkEnd w:id="15"/>
      <w:r w:rsidR="00C85F7D" w:rsidRPr="00793B5E">
        <w:t>d</w:t>
      </w:r>
      <w:r w:rsidR="00AD0398" w:rsidRPr="00793B5E">
        <w:t>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9FC2D6A" w14:textId="77777777" w:rsidR="00AD0398" w:rsidRPr="00793B5E" w:rsidRDefault="00AD0398" w:rsidP="00C63600">
      <w:pPr>
        <w:tabs>
          <w:tab w:val="left" w:pos="4962"/>
        </w:tabs>
        <w:spacing w:after="0" w:line="360" w:lineRule="auto"/>
      </w:pPr>
    </w:p>
    <w:p w14:paraId="7A66E816" w14:textId="77777777" w:rsidR="00AD0398" w:rsidRPr="00793B5E" w:rsidRDefault="00AD0398" w:rsidP="00C63600">
      <w:pPr>
        <w:tabs>
          <w:tab w:val="left" w:pos="4962"/>
        </w:tabs>
        <w:spacing w:after="0" w:line="360" w:lineRule="auto"/>
      </w:pPr>
      <w:r w:rsidRPr="00793B5E">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 </w:t>
      </w:r>
    </w:p>
    <w:p w14:paraId="58E2971E" w14:textId="77777777" w:rsidR="00AD0398" w:rsidRPr="00793B5E" w:rsidRDefault="00AD0398" w:rsidP="00C63600">
      <w:pPr>
        <w:tabs>
          <w:tab w:val="left" w:pos="4962"/>
        </w:tabs>
        <w:spacing w:after="0" w:line="360" w:lineRule="auto"/>
      </w:pPr>
    </w:p>
    <w:p w14:paraId="2B0637C3" w14:textId="25FFE499" w:rsidR="00E14A7C" w:rsidRPr="00793B5E" w:rsidRDefault="00AD0398" w:rsidP="00C63600">
      <w:pPr>
        <w:tabs>
          <w:tab w:val="left" w:pos="4962"/>
        </w:tabs>
        <w:spacing w:after="0" w:line="360" w:lineRule="auto"/>
      </w:pPr>
      <w:r w:rsidRPr="00793B5E">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se considera que el Sujeto Obligado deberá proporcionar los documentos que den cuenta de lo solicitado.</w:t>
      </w:r>
      <w:r w:rsidR="00C85F7D" w:rsidRPr="00793B5E">
        <w:t xml:space="preserve"> Para el caso que durante el periodo analizado, no se hayan realizado mantenimiento de vehículos deberá hacerlo del conocimiento de la parte Recurrente, de manera clara y precisa.</w:t>
      </w:r>
    </w:p>
    <w:p w14:paraId="6C32FAFF" w14:textId="77777777" w:rsidR="00CB5CD4" w:rsidRPr="00793B5E" w:rsidRDefault="00CB5CD4" w:rsidP="00C63600">
      <w:pPr>
        <w:tabs>
          <w:tab w:val="left" w:pos="4962"/>
        </w:tabs>
        <w:spacing w:after="0" w:line="360" w:lineRule="auto"/>
      </w:pPr>
    </w:p>
    <w:p w14:paraId="350513A1" w14:textId="297FD186" w:rsidR="003A421C" w:rsidRPr="00793B5E" w:rsidRDefault="006D4696" w:rsidP="00C63600">
      <w:pPr>
        <w:spacing w:after="0" w:line="360" w:lineRule="auto"/>
        <w:rPr>
          <w:rFonts w:eastAsia="Calibri" w:cs="Times New Roman"/>
          <w:color w:val="auto"/>
          <w:lang w:eastAsia="en-US"/>
        </w:rPr>
      </w:pPr>
      <w:r w:rsidRPr="00793B5E">
        <w:t xml:space="preserve">Por otra parte, no pasa desapercibido que los documentos que dan cuenta de lo solicitado </w:t>
      </w:r>
      <w:r w:rsidR="003A421C" w:rsidRPr="00793B5E">
        <w:t xml:space="preserve"> pudieran contener el </w:t>
      </w:r>
      <w:r w:rsidR="003A421C" w:rsidRPr="00793B5E">
        <w:rPr>
          <w:rFonts w:eastAsia="Calibri" w:cs="Times New Roman"/>
          <w:color w:val="auto"/>
          <w:lang w:eastAsia="en-US"/>
        </w:rPr>
        <w:t>nombre de los servidores públicos operativos en materia de seguridad</w:t>
      </w:r>
      <w:r w:rsidR="00C85F7D" w:rsidRPr="00793B5E">
        <w:rPr>
          <w:rFonts w:eastAsia="Calibri" w:cs="Times New Roman"/>
          <w:color w:val="auto"/>
          <w:lang w:eastAsia="en-US"/>
        </w:rPr>
        <w:t>, ya que alguno de estos pudiera resguardar algún vehículo</w:t>
      </w:r>
      <w:r w:rsidR="003A421C" w:rsidRPr="00793B5E">
        <w:rPr>
          <w:rFonts w:eastAsia="Calibri" w:cs="Times New Roman"/>
          <w:color w:val="auto"/>
          <w:lang w:eastAsia="en-US"/>
        </w:rPr>
        <w:t>,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1ECEDAA9" w14:textId="77777777" w:rsidR="003A421C" w:rsidRPr="00793B5E" w:rsidRDefault="003A421C" w:rsidP="00C63600">
      <w:pPr>
        <w:tabs>
          <w:tab w:val="left" w:pos="4962"/>
        </w:tabs>
        <w:spacing w:after="0" w:line="360" w:lineRule="auto"/>
        <w:ind w:left="567" w:right="567"/>
        <w:contextualSpacing/>
        <w:rPr>
          <w:rFonts w:eastAsia="Calibri" w:cs="Tahoma"/>
          <w:i/>
          <w:iCs/>
          <w:color w:val="auto"/>
          <w:sz w:val="20"/>
          <w:szCs w:val="20"/>
          <w:lang w:val="es-ES" w:eastAsia="es-ES_tradnl"/>
        </w:rPr>
      </w:pPr>
    </w:p>
    <w:p w14:paraId="00A750B4" w14:textId="77777777" w:rsidR="003A421C" w:rsidRPr="00793B5E" w:rsidRDefault="003A421C" w:rsidP="00C63600">
      <w:pPr>
        <w:tabs>
          <w:tab w:val="left" w:pos="4962"/>
        </w:tabs>
        <w:spacing w:after="0" w:line="360" w:lineRule="auto"/>
        <w:ind w:left="567" w:right="567"/>
        <w:contextualSpacing/>
        <w:rPr>
          <w:rFonts w:eastAsia="Calibri" w:cs="Tahoma"/>
          <w:i/>
          <w:iCs/>
          <w:color w:val="auto"/>
          <w:sz w:val="20"/>
          <w:szCs w:val="20"/>
          <w:lang w:val="es-ES" w:eastAsia="es-ES_tradnl"/>
        </w:rPr>
      </w:pPr>
      <w:r w:rsidRPr="00793B5E">
        <w:rPr>
          <w:rFonts w:eastAsia="Calibri" w:cs="Tahoma"/>
          <w:i/>
          <w:iCs/>
          <w:color w:val="auto"/>
          <w:sz w:val="20"/>
          <w:szCs w:val="20"/>
          <w:lang w:val="es-ES" w:eastAsia="es-ES_tradnl"/>
        </w:rPr>
        <w:t xml:space="preserve"> “</w:t>
      </w:r>
      <w:r w:rsidRPr="00793B5E">
        <w:rPr>
          <w:rFonts w:eastAsia="Calibri" w:cs="Tahoma"/>
          <w:b/>
          <w:i/>
          <w:iCs/>
          <w:color w:val="auto"/>
          <w:sz w:val="20"/>
          <w:szCs w:val="20"/>
          <w:lang w:val="es-ES" w:eastAsia="es-ES_tradnl"/>
        </w:rPr>
        <w:t>Artículo 140.</w:t>
      </w:r>
      <w:r w:rsidRPr="00793B5E">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2DCFAB8F" w14:textId="77777777" w:rsidR="003A421C" w:rsidRPr="00793B5E" w:rsidRDefault="003A421C" w:rsidP="00C63600">
      <w:pPr>
        <w:tabs>
          <w:tab w:val="left" w:pos="4962"/>
        </w:tabs>
        <w:spacing w:after="0" w:line="360" w:lineRule="auto"/>
        <w:ind w:left="567" w:right="567"/>
        <w:contextualSpacing/>
        <w:rPr>
          <w:rFonts w:eastAsia="Calibri" w:cs="Tahoma"/>
          <w:i/>
          <w:iCs/>
          <w:color w:val="auto"/>
          <w:sz w:val="20"/>
          <w:szCs w:val="20"/>
          <w:lang w:val="es-ES" w:eastAsia="es-ES_tradnl"/>
        </w:rPr>
      </w:pPr>
      <w:r w:rsidRPr="00793B5E">
        <w:rPr>
          <w:rFonts w:eastAsia="Calibri" w:cs="Tahoma"/>
          <w:i/>
          <w:iCs/>
          <w:color w:val="auto"/>
          <w:sz w:val="20"/>
          <w:szCs w:val="20"/>
          <w:lang w:val="es-ES" w:eastAsia="es-ES_tradnl"/>
        </w:rPr>
        <w:t>…</w:t>
      </w:r>
    </w:p>
    <w:p w14:paraId="12F56033" w14:textId="77777777" w:rsidR="003A421C" w:rsidRPr="00793B5E" w:rsidRDefault="003A421C" w:rsidP="00C63600">
      <w:pPr>
        <w:tabs>
          <w:tab w:val="left" w:pos="4962"/>
        </w:tabs>
        <w:spacing w:after="0" w:line="360" w:lineRule="auto"/>
        <w:ind w:left="567" w:right="567"/>
        <w:contextualSpacing/>
        <w:rPr>
          <w:rFonts w:eastAsia="Calibri" w:cs="Tahoma"/>
          <w:i/>
          <w:iCs/>
          <w:color w:val="auto"/>
          <w:sz w:val="20"/>
          <w:szCs w:val="20"/>
          <w:lang w:eastAsia="es-ES_tradnl"/>
        </w:rPr>
      </w:pPr>
      <w:r w:rsidRPr="00793B5E">
        <w:rPr>
          <w:rFonts w:eastAsia="Calibri" w:cs="Tahoma"/>
          <w:i/>
          <w:iCs/>
          <w:color w:val="auto"/>
          <w:sz w:val="20"/>
          <w:szCs w:val="20"/>
          <w:lang w:eastAsia="es-ES_tradnl"/>
        </w:rPr>
        <w:t>IV. Ponga en riesgo la vida, la seguridad o la salud de una persona física;</w:t>
      </w:r>
    </w:p>
    <w:p w14:paraId="6A783BEF" w14:textId="77777777" w:rsidR="003A421C" w:rsidRPr="00793B5E" w:rsidRDefault="003A421C" w:rsidP="00C63600">
      <w:pPr>
        <w:tabs>
          <w:tab w:val="left" w:pos="4962"/>
        </w:tabs>
        <w:spacing w:after="0" w:line="360" w:lineRule="auto"/>
        <w:ind w:left="567" w:right="567"/>
        <w:contextualSpacing/>
        <w:rPr>
          <w:rFonts w:eastAsia="Calibri" w:cs="Tahoma"/>
          <w:i/>
          <w:iCs/>
          <w:color w:val="auto"/>
          <w:sz w:val="20"/>
          <w:szCs w:val="20"/>
          <w:lang w:val="es-ES" w:eastAsia="es-ES_tradnl"/>
        </w:rPr>
      </w:pPr>
      <w:r w:rsidRPr="00793B5E">
        <w:rPr>
          <w:rFonts w:eastAsia="Calibri" w:cs="Tahoma"/>
          <w:i/>
          <w:iCs/>
          <w:color w:val="auto"/>
          <w:sz w:val="20"/>
          <w:szCs w:val="20"/>
          <w:lang w:val="es-ES" w:eastAsia="es-ES_tradnl"/>
        </w:rPr>
        <w:t xml:space="preserve">…” </w:t>
      </w:r>
    </w:p>
    <w:p w14:paraId="21A0393F" w14:textId="77777777" w:rsidR="003A421C" w:rsidRPr="00793B5E" w:rsidRDefault="003A421C" w:rsidP="00C63600">
      <w:pPr>
        <w:spacing w:after="0" w:line="360" w:lineRule="auto"/>
        <w:rPr>
          <w:rFonts w:eastAsia="Calibri" w:cs="Tahoma"/>
          <w:bCs/>
          <w:color w:val="auto"/>
          <w:lang w:eastAsia="en-US"/>
        </w:rPr>
      </w:pPr>
    </w:p>
    <w:p w14:paraId="1AC0F9F5"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793B5E">
        <w:rPr>
          <w:rFonts w:eastAsia="Calibri" w:cs="Tahoma"/>
          <w:bCs/>
          <w:color w:val="auto"/>
          <w:lang w:val="es-ES" w:eastAsia="en-US"/>
        </w:rPr>
        <w:t xml:space="preserve">Lineamientos Generales, </w:t>
      </w:r>
      <w:r w:rsidRPr="00793B5E">
        <w:rPr>
          <w:rFonts w:eastAsia="Calibri" w:cs="Tahoma"/>
          <w:bCs/>
          <w:color w:val="auto"/>
          <w:lang w:eastAsia="en-US"/>
        </w:rPr>
        <w:t>establecen lo siguiente:</w:t>
      </w:r>
    </w:p>
    <w:p w14:paraId="7841FE32" w14:textId="77777777" w:rsidR="003A421C" w:rsidRPr="00793B5E" w:rsidRDefault="003A421C" w:rsidP="00C63600">
      <w:pPr>
        <w:spacing w:after="0" w:line="360" w:lineRule="auto"/>
        <w:rPr>
          <w:rFonts w:eastAsia="Calibri" w:cs="Tahoma"/>
          <w:bCs/>
          <w:color w:val="auto"/>
          <w:lang w:eastAsia="en-US"/>
        </w:rPr>
      </w:pPr>
    </w:p>
    <w:p w14:paraId="16C1CE56"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r w:rsidRPr="00793B5E">
        <w:rPr>
          <w:rFonts w:eastAsia="Calibri" w:cs="Tahoma"/>
          <w:b/>
          <w:bCs/>
          <w:i/>
          <w:color w:val="auto"/>
          <w:sz w:val="20"/>
          <w:szCs w:val="20"/>
          <w:lang w:eastAsia="en-US"/>
        </w:rPr>
        <w:t xml:space="preserve">“Vigésimo tercero. </w:t>
      </w:r>
      <w:r w:rsidRPr="00793B5E">
        <w:rPr>
          <w:rFonts w:eastAsia="Calibri" w:cs="Tahoma"/>
          <w:bCs/>
          <w:i/>
          <w:color w:val="auto"/>
          <w:sz w:val="20"/>
          <w:szCs w:val="20"/>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4156A9F"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p>
    <w:p w14:paraId="64A82423" w14:textId="77777777" w:rsidR="003A421C" w:rsidRPr="00793B5E" w:rsidRDefault="003A421C" w:rsidP="00C63600">
      <w:pPr>
        <w:spacing w:after="0" w:line="360" w:lineRule="auto"/>
        <w:rPr>
          <w:rFonts w:eastAsia="Calibri" w:cs="Tahoma"/>
          <w:b/>
          <w:bCs/>
          <w:color w:val="auto"/>
          <w:lang w:eastAsia="en-US"/>
        </w:rPr>
      </w:pPr>
      <w:r w:rsidRPr="00793B5E">
        <w:rPr>
          <w:rFonts w:eastAsia="Calibri" w:cs="Tahoma"/>
          <w:bCs/>
          <w:color w:val="auto"/>
          <w:lang w:eastAsia="en-US"/>
        </w:rPr>
        <w:t xml:space="preserve">Del Lineamiento referido, se desprende que para clasificar la información como reservada, será necesario acreditar un vínculo, entre la persona física y la información que pueda poner </w:t>
      </w:r>
      <w:r w:rsidRPr="00793B5E">
        <w:rPr>
          <w:rFonts w:eastAsia="Calibri" w:cs="Tahoma"/>
          <w:bCs/>
          <w:color w:val="auto"/>
          <w:lang w:eastAsia="en-US"/>
        </w:rPr>
        <w:lastRenderedPageBreak/>
        <w:t>en riesgo su vida, seguridad o salud, es decir, se deben señalar el bien jurídico específico afectado y el potencial de daño o riesgo que causaría su difusión.</w:t>
      </w:r>
    </w:p>
    <w:p w14:paraId="217F2C68" w14:textId="77777777" w:rsidR="003A421C" w:rsidRPr="00793B5E" w:rsidRDefault="003A421C" w:rsidP="00C63600">
      <w:pPr>
        <w:spacing w:after="0" w:line="360" w:lineRule="auto"/>
        <w:rPr>
          <w:rFonts w:eastAsia="Calibri" w:cs="Tahoma"/>
          <w:bCs/>
          <w:color w:val="auto"/>
          <w:lang w:eastAsia="en-US"/>
        </w:rPr>
      </w:pPr>
    </w:p>
    <w:p w14:paraId="26D75585"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Además, el artículo 81, fracción III, de la Ley de Seguridad del Estado de México, establece lo siguiente:</w:t>
      </w:r>
    </w:p>
    <w:p w14:paraId="2DF88A96"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r w:rsidRPr="00793B5E">
        <w:rPr>
          <w:rFonts w:eastAsia="Calibri" w:cs="Tahoma"/>
          <w:b/>
          <w:bCs/>
          <w:i/>
          <w:color w:val="auto"/>
          <w:sz w:val="20"/>
          <w:szCs w:val="20"/>
          <w:lang w:eastAsia="en-US"/>
        </w:rPr>
        <w:t>“Artículo 81.-</w:t>
      </w:r>
      <w:r w:rsidRPr="00793B5E">
        <w:rPr>
          <w:rFonts w:eastAsia="Calibri" w:cs="Tahoma"/>
          <w:bCs/>
          <w:i/>
          <w:color w:val="auto"/>
          <w:sz w:val="20"/>
          <w:szCs w:val="20"/>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2E969F8"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r w:rsidRPr="00793B5E">
        <w:rPr>
          <w:rFonts w:eastAsia="Calibri" w:cs="Tahoma"/>
          <w:bCs/>
          <w:i/>
          <w:color w:val="auto"/>
          <w:sz w:val="20"/>
          <w:szCs w:val="20"/>
          <w:lang w:eastAsia="en-US"/>
        </w:rPr>
        <w:t>…</w:t>
      </w:r>
    </w:p>
    <w:p w14:paraId="3F9321E4"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r w:rsidRPr="00793B5E">
        <w:rPr>
          <w:rFonts w:eastAsia="Calibri" w:cs="Tahoma"/>
          <w:bCs/>
          <w:i/>
          <w:color w:val="auto"/>
          <w:sz w:val="20"/>
          <w:szCs w:val="20"/>
          <w:lang w:eastAsia="en-US"/>
        </w:rPr>
        <w:t>III. La relativa a los servidores públicos integrantes de las instituciones de seguridad pública, cuya revelación pueda poner en riesgo su vida e integridad física con motivo de sus funciones;</w:t>
      </w:r>
    </w:p>
    <w:p w14:paraId="0A87F6A8" w14:textId="77777777" w:rsidR="003A421C" w:rsidRPr="00793B5E" w:rsidRDefault="003A421C" w:rsidP="00C63600">
      <w:pPr>
        <w:spacing w:after="0" w:line="360" w:lineRule="auto"/>
        <w:ind w:left="567" w:right="567"/>
        <w:contextualSpacing/>
        <w:rPr>
          <w:rFonts w:eastAsia="Calibri" w:cs="Tahoma"/>
          <w:bCs/>
          <w:i/>
          <w:color w:val="auto"/>
          <w:sz w:val="20"/>
          <w:szCs w:val="20"/>
          <w:lang w:eastAsia="en-US"/>
        </w:rPr>
      </w:pPr>
      <w:r w:rsidRPr="00793B5E">
        <w:rPr>
          <w:rFonts w:eastAsia="Calibri" w:cs="Tahoma"/>
          <w:bCs/>
          <w:i/>
          <w:color w:val="auto"/>
          <w:sz w:val="20"/>
          <w:szCs w:val="20"/>
          <w:lang w:eastAsia="en-US"/>
        </w:rPr>
        <w:t>…”</w:t>
      </w:r>
    </w:p>
    <w:p w14:paraId="1D0E41CE" w14:textId="77777777" w:rsidR="003A421C" w:rsidRPr="00793B5E" w:rsidRDefault="003A421C" w:rsidP="00C63600">
      <w:pPr>
        <w:spacing w:after="0" w:line="360" w:lineRule="auto"/>
        <w:rPr>
          <w:rFonts w:eastAsia="Calibri" w:cs="Tahoma"/>
          <w:bCs/>
          <w:color w:val="auto"/>
          <w:sz w:val="20"/>
          <w:szCs w:val="20"/>
          <w:lang w:eastAsia="en-US"/>
        </w:rPr>
      </w:pPr>
    </w:p>
    <w:p w14:paraId="46FF4D35" w14:textId="77777777" w:rsidR="003A421C" w:rsidRPr="00793B5E" w:rsidRDefault="003A421C" w:rsidP="00C63600">
      <w:pPr>
        <w:spacing w:after="0" w:line="360" w:lineRule="auto"/>
        <w:rPr>
          <w:rFonts w:eastAsia="Times New Roman" w:cs="Tahoma"/>
          <w:color w:val="auto"/>
          <w:lang w:eastAsia="es-ES"/>
        </w:rPr>
      </w:pPr>
      <w:r w:rsidRPr="00793B5E">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B41CE22" w14:textId="77777777" w:rsidR="003A421C" w:rsidRPr="00793B5E" w:rsidRDefault="003A421C" w:rsidP="00C63600">
      <w:pPr>
        <w:spacing w:after="0" w:line="360" w:lineRule="auto"/>
        <w:rPr>
          <w:rFonts w:eastAsia="Times New Roman" w:cs="Tahoma"/>
          <w:bCs/>
          <w:iCs/>
          <w:color w:val="000000"/>
          <w:lang w:val="es-ES_tradnl" w:eastAsia="es-ES"/>
        </w:rPr>
      </w:pPr>
    </w:p>
    <w:p w14:paraId="368DCD10"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7900A910" w14:textId="77777777" w:rsidR="003A421C" w:rsidRPr="00793B5E" w:rsidRDefault="003A421C" w:rsidP="00C63600">
      <w:pPr>
        <w:spacing w:after="0" w:line="360" w:lineRule="auto"/>
        <w:rPr>
          <w:rFonts w:eastAsia="Calibri" w:cs="Tahoma"/>
          <w:bCs/>
          <w:color w:val="auto"/>
          <w:lang w:eastAsia="en-US"/>
        </w:rPr>
      </w:pPr>
    </w:p>
    <w:p w14:paraId="2962CB3E" w14:textId="77777777" w:rsidR="003A421C" w:rsidRPr="00793B5E" w:rsidRDefault="003A421C" w:rsidP="00C63600">
      <w:pPr>
        <w:spacing w:after="0" w:line="360" w:lineRule="auto"/>
        <w:rPr>
          <w:rFonts w:eastAsia="Times New Roman" w:cs="Tahoma"/>
          <w:color w:val="auto"/>
          <w:lang w:eastAsia="es-ES"/>
        </w:rPr>
      </w:pPr>
      <w:r w:rsidRPr="00793B5E">
        <w:rPr>
          <w:rFonts w:eastAsia="Calibri" w:cs="Tahoma"/>
          <w:bCs/>
          <w:color w:val="auto"/>
          <w:lang w:eastAsia="en-US"/>
        </w:rPr>
        <w:t xml:space="preserve">No obstante, resulta necesario traer a colación por analogía, el </w:t>
      </w:r>
      <w:r w:rsidRPr="00793B5E">
        <w:rPr>
          <w:rFonts w:eastAsia="Calibri" w:cs="Times New Roman"/>
          <w:color w:val="000000"/>
          <w:lang w:val="es-ES" w:eastAsia="en-US"/>
        </w:rPr>
        <w:t xml:space="preserve">Criterio de interpretación, con número de registro SO/006/2009, de la Primera Época, </w:t>
      </w:r>
      <w:r w:rsidRPr="00793B5E">
        <w:rPr>
          <w:rFonts w:eastAsia="Calibri" w:cs="Tahoma"/>
          <w:bCs/>
          <w:color w:val="auto"/>
          <w:lang w:eastAsia="en-US"/>
        </w:rPr>
        <w:t xml:space="preserve">emitido por </w:t>
      </w:r>
      <w:r w:rsidRPr="00793B5E">
        <w:rPr>
          <w:rFonts w:eastAsia="Times New Roman" w:cs="Tahoma"/>
          <w:color w:val="auto"/>
          <w:lang w:eastAsia="es-ES"/>
        </w:rPr>
        <w:t xml:space="preserve">el entonces Instituto Federal de Acceso a la Información y Protección de Datos ahora Instituto Nacional de </w:t>
      </w:r>
      <w:r w:rsidRPr="00793B5E">
        <w:rPr>
          <w:rFonts w:eastAsia="Times New Roman" w:cs="Tahoma"/>
          <w:color w:val="auto"/>
          <w:lang w:eastAsia="es-ES"/>
        </w:rPr>
        <w:lastRenderedPageBreak/>
        <w:t>Transparencia, Acceso a la Información y Protección de Datos Personales, que establece lo siguiente:</w:t>
      </w:r>
    </w:p>
    <w:p w14:paraId="4E1BC9E3" w14:textId="77777777" w:rsidR="003A421C" w:rsidRPr="00793B5E" w:rsidRDefault="003A421C" w:rsidP="00C63600">
      <w:pPr>
        <w:spacing w:after="0" w:line="360" w:lineRule="auto"/>
        <w:rPr>
          <w:rFonts w:eastAsia="Times New Roman" w:cs="Tahoma"/>
          <w:i/>
          <w:color w:val="auto"/>
          <w:lang w:eastAsia="es-ES"/>
        </w:rPr>
      </w:pPr>
    </w:p>
    <w:p w14:paraId="1B1CE46E" w14:textId="77777777" w:rsidR="003A421C" w:rsidRPr="00793B5E" w:rsidRDefault="003A421C" w:rsidP="00C63600">
      <w:pPr>
        <w:tabs>
          <w:tab w:val="left" w:pos="4962"/>
        </w:tabs>
        <w:spacing w:after="0" w:line="360" w:lineRule="auto"/>
        <w:ind w:left="567" w:right="567"/>
        <w:contextualSpacing/>
        <w:rPr>
          <w:rFonts w:eastAsia="Times New Roman" w:cs="Tahoma"/>
          <w:i/>
          <w:color w:val="auto"/>
          <w:sz w:val="20"/>
          <w:lang w:eastAsia="es-ES"/>
        </w:rPr>
      </w:pPr>
      <w:r w:rsidRPr="00793B5E">
        <w:rPr>
          <w:rFonts w:eastAsia="Times New Roman" w:cs="Tahoma"/>
          <w:b/>
          <w:i/>
          <w:color w:val="auto"/>
          <w:sz w:val="20"/>
          <w:lang w:eastAsia="es-ES"/>
        </w:rPr>
        <w:t>“Nombres de servidores públicos dedicados a actividades en materia de seguridad, por excepción pueden considerarse información reservada.</w:t>
      </w:r>
      <w:r w:rsidRPr="00793B5E">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E741711" w14:textId="77777777" w:rsidR="003A421C" w:rsidRPr="00793B5E" w:rsidRDefault="003A421C" w:rsidP="00C63600">
      <w:pPr>
        <w:spacing w:after="0" w:line="360" w:lineRule="auto"/>
        <w:rPr>
          <w:rFonts w:eastAsia="Calibri" w:cs="Tahoma"/>
          <w:bCs/>
          <w:color w:val="auto"/>
          <w:lang w:eastAsia="en-US"/>
        </w:rPr>
      </w:pPr>
    </w:p>
    <w:p w14:paraId="06A5CF7B"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793B5E">
        <w:rPr>
          <w:rFonts w:eastAsia="Calibri" w:cs="Tahoma"/>
          <w:bCs/>
          <w:color w:val="auto"/>
          <w:lang w:eastAsia="en-US"/>
        </w:rPr>
        <w:lastRenderedPageBreak/>
        <w:t>la seguridad del País, Estado y Municipio, anulando, impidiendo u obstaculizando la actuación de los servidores públicos que realizan funciones de carácter operativo.</w:t>
      </w:r>
    </w:p>
    <w:p w14:paraId="22154F2B" w14:textId="77777777" w:rsidR="003A421C" w:rsidRPr="00793B5E" w:rsidRDefault="003A421C" w:rsidP="00C63600">
      <w:pPr>
        <w:spacing w:after="0" w:line="360" w:lineRule="auto"/>
        <w:rPr>
          <w:rFonts w:eastAsia="Calibri" w:cs="Tahoma"/>
          <w:bCs/>
          <w:color w:val="auto"/>
          <w:lang w:eastAsia="en-US"/>
        </w:rPr>
      </w:pPr>
    </w:p>
    <w:p w14:paraId="268AE1EA" w14:textId="77777777" w:rsidR="003A421C" w:rsidRPr="00793B5E" w:rsidRDefault="003A421C" w:rsidP="00C63600">
      <w:pPr>
        <w:spacing w:after="0" w:line="360" w:lineRule="auto"/>
        <w:rPr>
          <w:color w:val="000000"/>
        </w:rPr>
      </w:pPr>
      <w:r w:rsidRPr="00793B5E">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390997D0" w14:textId="77777777" w:rsidR="003A421C" w:rsidRPr="00793B5E" w:rsidRDefault="003A421C" w:rsidP="00C63600">
      <w:pPr>
        <w:spacing w:after="0" w:line="360" w:lineRule="auto"/>
        <w:rPr>
          <w:rFonts w:eastAsia="Calibri" w:cs="Tahoma"/>
          <w:bCs/>
          <w:color w:val="auto"/>
          <w:lang w:eastAsia="en-US"/>
        </w:rPr>
      </w:pPr>
    </w:p>
    <w:p w14:paraId="4011DD2E"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 xml:space="preserve">En ese orden de ideas, si bien por regla general los nombres de los trabajadores gubernamentales son información pública de oficio, existe una excepción relativa a </w:t>
      </w:r>
      <w:r w:rsidRPr="00793B5E">
        <w:rPr>
          <w:rFonts w:eastAsia="Calibri" w:cs="Tahoma"/>
          <w:b/>
          <w:bCs/>
          <w:color w:val="auto"/>
          <w:lang w:eastAsia="en-US"/>
        </w:rPr>
        <w:t>aquellos que realicen actividades operativas en materia de seguridad,</w:t>
      </w:r>
      <w:r w:rsidRPr="00793B5E">
        <w:rPr>
          <w:rFonts w:eastAsia="Calibri" w:cs="Tahoma"/>
          <w:bCs/>
          <w:color w:val="auto"/>
          <w:lang w:eastAsia="en-US"/>
        </w:rPr>
        <w:t xml:space="preserve"> como es el caso de los elementos operativos y la policía municipal.</w:t>
      </w:r>
    </w:p>
    <w:p w14:paraId="085F06A8" w14:textId="77777777" w:rsidR="003A421C" w:rsidRPr="00793B5E" w:rsidRDefault="003A421C" w:rsidP="00C63600">
      <w:pPr>
        <w:spacing w:after="0" w:line="360" w:lineRule="auto"/>
        <w:rPr>
          <w:rFonts w:eastAsia="Calibri" w:cs="Tahoma"/>
          <w:bCs/>
          <w:color w:val="auto"/>
          <w:lang w:eastAsia="en-US"/>
        </w:rPr>
      </w:pPr>
    </w:p>
    <w:p w14:paraId="408EFF72"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8EA9CE5" w14:textId="77777777" w:rsidR="003A421C" w:rsidRPr="00793B5E" w:rsidRDefault="003A421C" w:rsidP="00C63600">
      <w:pPr>
        <w:spacing w:after="0" w:line="360" w:lineRule="auto"/>
        <w:rPr>
          <w:rFonts w:eastAsia="Calibri" w:cs="Tahoma"/>
          <w:bCs/>
          <w:color w:val="auto"/>
          <w:lang w:eastAsia="en-US"/>
        </w:rPr>
      </w:pPr>
    </w:p>
    <w:p w14:paraId="6B91C6EB"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En ese contexto, el artículo 6°, fracciones XI y XII de dicho ordenamiento jurídico, establece los siguientes conceptos:</w:t>
      </w:r>
    </w:p>
    <w:p w14:paraId="52891B62" w14:textId="77777777" w:rsidR="003A421C" w:rsidRPr="00793B5E" w:rsidRDefault="003A421C" w:rsidP="00C63600">
      <w:pPr>
        <w:spacing w:after="0" w:line="360" w:lineRule="auto"/>
        <w:rPr>
          <w:rFonts w:eastAsia="Calibri" w:cs="Tahoma"/>
          <w:bCs/>
          <w:color w:val="auto"/>
          <w:lang w:eastAsia="en-US"/>
        </w:rPr>
      </w:pPr>
    </w:p>
    <w:p w14:paraId="70EC5BBC" w14:textId="77777777" w:rsidR="003A421C" w:rsidRPr="00793B5E" w:rsidRDefault="003A421C" w:rsidP="00C63600">
      <w:pPr>
        <w:numPr>
          <w:ilvl w:val="0"/>
          <w:numId w:val="42"/>
        </w:numPr>
        <w:spacing w:after="0" w:line="360" w:lineRule="auto"/>
        <w:rPr>
          <w:rFonts w:eastAsia="Calibri" w:cs="Tahoma"/>
          <w:b/>
          <w:bCs/>
          <w:color w:val="auto"/>
          <w:lang w:eastAsia="en-US"/>
        </w:rPr>
      </w:pPr>
      <w:r w:rsidRPr="00793B5E">
        <w:rPr>
          <w:rFonts w:eastAsia="Calibri" w:cs="Tahoma"/>
          <w:b/>
          <w:bCs/>
          <w:color w:val="auto"/>
          <w:lang w:eastAsia="en-US"/>
        </w:rPr>
        <w:lastRenderedPageBreak/>
        <w:t xml:space="preserve">Instituciones Policiales: </w:t>
      </w:r>
      <w:r w:rsidRPr="00793B5E">
        <w:rPr>
          <w:rFonts w:eastAsia="Calibri" w:cs="Tahoma"/>
          <w:bCs/>
          <w:color w:val="auto"/>
          <w:lang w:eastAsia="en-US"/>
        </w:rPr>
        <w:t xml:space="preserve">Son los cuerpos de policía, de vigilancia y custodia de los establecimientos penitenciarios, detención preventiva, centros de arraigo y en general, </w:t>
      </w:r>
      <w:r w:rsidRPr="00793B5E">
        <w:rPr>
          <w:rFonts w:eastAsia="Calibri" w:cs="Tahoma"/>
          <w:b/>
          <w:bCs/>
          <w:color w:val="auto"/>
          <w:lang w:eastAsia="en-US"/>
        </w:rPr>
        <w:t>todas las dependencias encargadas de la seguridad pública a nivel</w:t>
      </w:r>
      <w:r w:rsidRPr="00793B5E">
        <w:rPr>
          <w:rFonts w:eastAsia="Calibri" w:cs="Tahoma"/>
          <w:bCs/>
          <w:color w:val="auto"/>
          <w:lang w:eastAsia="en-US"/>
        </w:rPr>
        <w:t xml:space="preserve"> estatal y </w:t>
      </w:r>
      <w:r w:rsidRPr="00793B5E">
        <w:rPr>
          <w:rFonts w:eastAsia="Calibri" w:cs="Tahoma"/>
          <w:b/>
          <w:bCs/>
          <w:color w:val="auto"/>
          <w:lang w:eastAsia="en-US"/>
        </w:rPr>
        <w:t>municipal.</w:t>
      </w:r>
    </w:p>
    <w:p w14:paraId="3B1AE56A" w14:textId="77777777" w:rsidR="003A421C" w:rsidRPr="00793B5E" w:rsidRDefault="003A421C" w:rsidP="00C63600">
      <w:pPr>
        <w:spacing w:after="0" w:line="360" w:lineRule="auto"/>
        <w:ind w:left="720"/>
        <w:rPr>
          <w:rFonts w:eastAsia="Calibri" w:cs="Tahoma"/>
          <w:b/>
          <w:bCs/>
          <w:color w:val="auto"/>
          <w:lang w:eastAsia="en-US"/>
        </w:rPr>
      </w:pPr>
    </w:p>
    <w:p w14:paraId="36883308" w14:textId="77777777" w:rsidR="003A421C" w:rsidRPr="00793B5E" w:rsidRDefault="003A421C" w:rsidP="00C63600">
      <w:pPr>
        <w:numPr>
          <w:ilvl w:val="0"/>
          <w:numId w:val="42"/>
        </w:numPr>
        <w:spacing w:after="0" w:line="360" w:lineRule="auto"/>
        <w:rPr>
          <w:rFonts w:eastAsia="Calibri" w:cs="Tahoma"/>
          <w:b/>
          <w:bCs/>
          <w:color w:val="auto"/>
          <w:lang w:eastAsia="en-US"/>
        </w:rPr>
      </w:pPr>
      <w:r w:rsidRPr="00793B5E">
        <w:rPr>
          <w:rFonts w:eastAsia="Calibri" w:cs="Tahoma"/>
          <w:b/>
          <w:bCs/>
          <w:color w:val="auto"/>
          <w:lang w:eastAsia="en-US"/>
        </w:rPr>
        <w:t xml:space="preserve">Instituciones de Seguridad Pública: </w:t>
      </w:r>
      <w:r w:rsidRPr="00793B5E">
        <w:rPr>
          <w:rFonts w:eastAsia="Calibri" w:cs="Tahoma"/>
          <w:bCs/>
          <w:color w:val="auto"/>
          <w:lang w:eastAsia="en-US"/>
        </w:rPr>
        <w:t xml:space="preserve">Instituciones Policiales, Procuración de Justicia, Sistema Penitenciario y </w:t>
      </w:r>
      <w:r w:rsidRPr="00793B5E">
        <w:rPr>
          <w:rFonts w:eastAsia="Calibri" w:cs="Tahoma"/>
          <w:b/>
          <w:bCs/>
          <w:color w:val="auto"/>
          <w:lang w:eastAsia="en-US"/>
        </w:rPr>
        <w:t xml:space="preserve">dependencias encargadas de la seguridad pública a nivel </w:t>
      </w:r>
      <w:r w:rsidRPr="00793B5E">
        <w:rPr>
          <w:rFonts w:eastAsia="Calibri" w:cs="Tahoma"/>
          <w:bCs/>
          <w:color w:val="auto"/>
          <w:lang w:eastAsia="en-US"/>
        </w:rPr>
        <w:t xml:space="preserve">estatal y </w:t>
      </w:r>
      <w:r w:rsidRPr="00793B5E">
        <w:rPr>
          <w:rFonts w:eastAsia="Calibri" w:cs="Tahoma"/>
          <w:b/>
          <w:bCs/>
          <w:color w:val="auto"/>
          <w:lang w:eastAsia="en-US"/>
        </w:rPr>
        <w:t>municipal.</w:t>
      </w:r>
    </w:p>
    <w:p w14:paraId="200DE2AC" w14:textId="77777777" w:rsidR="003A421C" w:rsidRPr="00793B5E" w:rsidRDefault="003A421C" w:rsidP="00C63600">
      <w:pPr>
        <w:spacing w:after="0" w:line="360" w:lineRule="auto"/>
        <w:ind w:left="720"/>
        <w:rPr>
          <w:rFonts w:eastAsia="Calibri" w:cs="Tahoma"/>
          <w:b/>
          <w:bCs/>
          <w:color w:val="auto"/>
          <w:lang w:eastAsia="en-US"/>
        </w:rPr>
      </w:pPr>
    </w:p>
    <w:p w14:paraId="221A9DF0" w14:textId="77777777" w:rsidR="003A421C" w:rsidRPr="00793B5E" w:rsidRDefault="003A421C" w:rsidP="00C63600">
      <w:pPr>
        <w:spacing w:after="0" w:line="360" w:lineRule="auto"/>
        <w:rPr>
          <w:rFonts w:eastAsia="Calibri" w:cs="Times New Roman"/>
          <w:color w:val="auto"/>
          <w:szCs w:val="20"/>
          <w:lang w:eastAsia="es-ES"/>
        </w:rPr>
      </w:pPr>
      <w:r w:rsidRPr="00793B5E">
        <w:rPr>
          <w:rFonts w:eastAsia="Calibri" w:cs="Tahoma"/>
          <w:iCs/>
          <w:color w:val="auto"/>
          <w:szCs w:val="20"/>
          <w:lang w:val="es-ES" w:eastAsia="es-ES_tradnl"/>
        </w:rPr>
        <w:t>Conforme a lo anterior</w:t>
      </w:r>
      <w:r w:rsidRPr="00793B5E">
        <w:rPr>
          <w:rFonts w:eastAsia="Calibri" w:cs="Tahoma"/>
          <w:bCs/>
          <w:color w:val="auto"/>
          <w:lang w:eastAsia="en-US"/>
        </w:rPr>
        <w:t xml:space="preserve">, se puede deducir que la </w:t>
      </w:r>
      <w:r w:rsidRPr="00793B5E">
        <w:rPr>
          <w:rFonts w:eastAsia="Calibri" w:cs="Tahoma"/>
          <w:bCs/>
          <w:color w:val="000000"/>
          <w:lang w:val="es-ES_tradnl" w:eastAsia="en-US"/>
        </w:rPr>
        <w:t>Dirección General de Seguridad y Protección</w:t>
      </w:r>
      <w:r w:rsidRPr="00793B5E">
        <w:rPr>
          <w:rFonts w:eastAsia="Calibri" w:cs="Tahoma"/>
          <w:bCs/>
          <w:color w:val="auto"/>
          <w:lang w:eastAsia="en-US"/>
        </w:rPr>
        <w:t xml:space="preserve">, es una institución de seguridad pública, pues tiene como atribución principal, la prevención de delitos </w:t>
      </w:r>
      <w:r w:rsidRPr="00793B5E">
        <w:rPr>
          <w:rFonts w:eastAsia="Calibri" w:cs="Times New Roman"/>
          <w:color w:val="auto"/>
          <w:szCs w:val="20"/>
          <w:lang w:eastAsia="es-ES"/>
        </w:rPr>
        <w:t>y proteger a las personas, sus propiedades, posesiones y derechos.</w:t>
      </w:r>
    </w:p>
    <w:p w14:paraId="7229C678" w14:textId="77777777" w:rsidR="003A421C" w:rsidRPr="00793B5E" w:rsidRDefault="003A421C" w:rsidP="00C63600">
      <w:pPr>
        <w:spacing w:after="0" w:line="360" w:lineRule="auto"/>
        <w:rPr>
          <w:rFonts w:eastAsia="Calibri" w:cs="Times New Roman"/>
          <w:color w:val="auto"/>
          <w:szCs w:val="20"/>
          <w:lang w:eastAsia="es-ES"/>
        </w:rPr>
      </w:pPr>
    </w:p>
    <w:p w14:paraId="47AFD1F8" w14:textId="77777777" w:rsidR="003A421C" w:rsidRPr="00793B5E" w:rsidRDefault="003A421C" w:rsidP="00C63600">
      <w:pPr>
        <w:tabs>
          <w:tab w:val="left" w:pos="4962"/>
        </w:tabs>
        <w:spacing w:after="0" w:line="360" w:lineRule="auto"/>
        <w:ind w:right="-28"/>
        <w:contextualSpacing/>
        <w:rPr>
          <w:rFonts w:eastAsia="Calibri" w:cs="Tahoma"/>
          <w:bCs/>
          <w:color w:val="auto"/>
          <w:lang w:eastAsia="en-US"/>
        </w:rPr>
      </w:pPr>
      <w:r w:rsidRPr="00793B5E">
        <w:rPr>
          <w:rFonts w:eastAsia="Calibri" w:cs="Tahoma"/>
          <w:bCs/>
          <w:color w:val="auto"/>
          <w:lang w:val="es-ES" w:eastAsia="en-US"/>
        </w:rPr>
        <w:t xml:space="preserve">Además, </w:t>
      </w:r>
      <w:r w:rsidRPr="00793B5E">
        <w:rPr>
          <w:rFonts w:eastAsia="Calibri" w:cs="Tahoma"/>
          <w:bCs/>
          <w:color w:val="auto"/>
          <w:lang w:eastAsia="en-US"/>
        </w:rPr>
        <w:t xml:space="preserve">el Instructivo de llenado del Formato “Personal de Seguridad Pública”, del Secretariado Ejecutivo del Sistema Nacional de Seguridad Pública (consultado el quince de junio de dos mil veintitrés, en la liga electrónica </w:t>
      </w:r>
      <w:hyperlink r:id="rId12" w:history="1">
        <w:r w:rsidRPr="00793B5E">
          <w:rPr>
            <w:rFonts w:eastAsia="Calibri" w:cs="Tahoma"/>
            <w:bCs/>
            <w:color w:val="0563C1"/>
            <w:u w:val="single"/>
            <w:lang w:eastAsia="en-US"/>
          </w:rPr>
          <w:t>http://secretariadoejecutivo.gob.mx/work/models/SecretariadoEjecutivo/Resource/328/1/images/instructivo_final_edo_fuerza(1).pdf</w:t>
        </w:r>
      </w:hyperlink>
      <w:r w:rsidRPr="00793B5E">
        <w:rPr>
          <w:rFonts w:eastAsia="Calibri" w:cs="Tahoma"/>
          <w:bCs/>
          <w:color w:val="auto"/>
          <w:lang w:eastAsia="en-US"/>
        </w:rPr>
        <w:t xml:space="preserve">), establece que los elementos operativos de seguridad pública, son aquellos que desempeñan funciones de campo (policiacas, especializadas o equivalentes y que no </w:t>
      </w:r>
      <w:r w:rsidRPr="00793B5E">
        <w:rPr>
          <w:rFonts w:eastAsia="Calibri" w:cs="Tahoma"/>
          <w:b/>
          <w:bCs/>
          <w:color w:val="auto"/>
          <w:lang w:eastAsia="en-US"/>
        </w:rPr>
        <w:t>desempeña funciones de mando</w:t>
      </w:r>
      <w:r w:rsidRPr="00793B5E">
        <w:rPr>
          <w:rFonts w:eastAsia="Calibri" w:cs="Tahoma"/>
          <w:bCs/>
          <w:color w:val="auto"/>
          <w:lang w:eastAsia="en-US"/>
        </w:rPr>
        <w:t xml:space="preserve">), entre los cuales, se encuentra </w:t>
      </w:r>
      <w:r w:rsidRPr="00793B5E">
        <w:rPr>
          <w:rFonts w:eastAsia="Calibri" w:cs="Tahoma"/>
          <w:b/>
          <w:bCs/>
          <w:color w:val="auto"/>
          <w:lang w:eastAsia="en-US"/>
        </w:rPr>
        <w:t>la Policía Municipal</w:t>
      </w:r>
      <w:r w:rsidRPr="00793B5E">
        <w:rPr>
          <w:rFonts w:eastAsia="Calibri" w:cs="Tahoma"/>
          <w:bCs/>
          <w:color w:val="auto"/>
          <w:lang w:eastAsia="en-US"/>
        </w:rPr>
        <w:t>.</w:t>
      </w:r>
    </w:p>
    <w:p w14:paraId="3F16F1FB" w14:textId="77777777" w:rsidR="003A421C" w:rsidRPr="00793B5E" w:rsidRDefault="003A421C" w:rsidP="00C63600">
      <w:pPr>
        <w:tabs>
          <w:tab w:val="left" w:pos="4962"/>
        </w:tabs>
        <w:spacing w:after="0" w:line="360" w:lineRule="auto"/>
        <w:ind w:right="-28"/>
        <w:contextualSpacing/>
        <w:rPr>
          <w:rFonts w:eastAsia="Calibri" w:cs="Tahoma"/>
          <w:bCs/>
          <w:color w:val="auto"/>
          <w:lang w:eastAsia="en-US"/>
        </w:rPr>
      </w:pPr>
    </w:p>
    <w:p w14:paraId="6E4E10AF" w14:textId="77777777" w:rsidR="003A421C" w:rsidRPr="00793B5E" w:rsidRDefault="003A421C" w:rsidP="00C63600">
      <w:pPr>
        <w:tabs>
          <w:tab w:val="left" w:pos="4962"/>
        </w:tabs>
        <w:spacing w:after="0" w:line="360" w:lineRule="auto"/>
        <w:ind w:right="-28"/>
        <w:contextualSpacing/>
        <w:rPr>
          <w:rFonts w:eastAsia="Calibri" w:cs="Tahoma"/>
          <w:bCs/>
          <w:color w:val="auto"/>
        </w:rPr>
      </w:pPr>
      <w:r w:rsidRPr="00793B5E">
        <w:rPr>
          <w:rFonts w:eastAsia="Calibri" w:cs="Tahoma"/>
          <w:bCs/>
          <w:color w:val="auto"/>
        </w:rPr>
        <w:t xml:space="preserve">Asimismo, se advierte que las Instituciones Policiales, se conforman del personal </w:t>
      </w:r>
      <w:r w:rsidRPr="00793B5E">
        <w:rPr>
          <w:rFonts w:eastAsia="Calibri" w:cs="Tahoma"/>
          <w:b/>
          <w:color w:val="auto"/>
        </w:rPr>
        <w:t>administrativo,</w:t>
      </w:r>
      <w:r w:rsidRPr="00793B5E">
        <w:rPr>
          <w:rFonts w:eastAsia="Calibri" w:cs="Tahoma"/>
          <w:bCs/>
          <w:color w:val="auto"/>
        </w:rPr>
        <w:t xml:space="preserve"> que son los trabajadores de apoyo (chofer, personal de mantenimiento, servicios generales y área secretaria); </w:t>
      </w:r>
      <w:r w:rsidRPr="00793B5E">
        <w:rPr>
          <w:rFonts w:eastAsia="Calibri" w:cs="Tahoma"/>
          <w:b/>
          <w:color w:val="auto"/>
        </w:rPr>
        <w:t>así como, el personal de mando</w:t>
      </w:r>
      <w:r w:rsidRPr="00793B5E">
        <w:rPr>
          <w:rFonts w:eastAsia="Calibri" w:cs="Tahoma"/>
          <w:bCs/>
          <w:color w:val="auto"/>
        </w:rPr>
        <w:t xml:space="preserve"> (alto, medio y </w:t>
      </w:r>
      <w:r w:rsidRPr="00793B5E">
        <w:rPr>
          <w:rFonts w:eastAsia="Calibri" w:cs="Tahoma"/>
          <w:bCs/>
          <w:color w:val="auto"/>
        </w:rPr>
        <w:lastRenderedPageBreak/>
        <w:t>superior), que es aquel que realiza funciones de dirección, coordinación y supervisión, por lo cual, corresponde a aquel que tenga trabajadores a su cargo.</w:t>
      </w:r>
    </w:p>
    <w:p w14:paraId="43E2F5FF" w14:textId="77777777" w:rsidR="003A421C" w:rsidRPr="00793B5E" w:rsidRDefault="003A421C" w:rsidP="00C63600">
      <w:pPr>
        <w:spacing w:after="0" w:line="360" w:lineRule="auto"/>
        <w:contextualSpacing/>
        <w:rPr>
          <w:rFonts w:eastAsia="Times New Roman" w:cs="Tahoma"/>
          <w:color w:val="auto"/>
          <w:szCs w:val="24"/>
          <w:lang w:eastAsia="es-ES"/>
        </w:rPr>
      </w:pPr>
    </w:p>
    <w:p w14:paraId="75040B2E" w14:textId="77777777" w:rsidR="003A421C" w:rsidRPr="00793B5E" w:rsidRDefault="003A421C" w:rsidP="00C63600">
      <w:pPr>
        <w:spacing w:after="0" w:line="360" w:lineRule="auto"/>
        <w:contextualSpacing/>
        <w:rPr>
          <w:rFonts w:eastAsia="Calibri" w:cs="Tahoma"/>
          <w:bCs/>
          <w:color w:val="auto"/>
          <w:lang w:eastAsia="en-US"/>
        </w:rPr>
      </w:pPr>
      <w:r w:rsidRPr="00793B5E">
        <w:rPr>
          <w:rFonts w:eastAsia="Calibri" w:cs="Tahoma"/>
          <w:bCs/>
          <w:color w:val="auto"/>
          <w:lang w:eastAsia="en-US"/>
        </w:rPr>
        <w:t>Así, dar a conocer el nombre y fotografía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72DD1DB" w14:textId="77777777" w:rsidR="003A421C" w:rsidRPr="00793B5E" w:rsidRDefault="003A421C" w:rsidP="00C63600">
      <w:pPr>
        <w:spacing w:after="0" w:line="360" w:lineRule="auto"/>
        <w:contextualSpacing/>
        <w:rPr>
          <w:rFonts w:eastAsia="Calibri" w:cs="Tahoma"/>
          <w:bCs/>
          <w:color w:val="auto"/>
          <w:lang w:eastAsia="en-US"/>
        </w:rPr>
      </w:pPr>
    </w:p>
    <w:p w14:paraId="73D898FF" w14:textId="77777777" w:rsidR="003A421C" w:rsidRPr="00793B5E" w:rsidRDefault="003A421C" w:rsidP="00C63600">
      <w:pPr>
        <w:spacing w:after="0" w:line="360" w:lineRule="auto"/>
        <w:contextualSpacing/>
        <w:rPr>
          <w:rFonts w:eastAsia="Calibri" w:cs="Tahoma"/>
          <w:bCs/>
          <w:color w:val="auto"/>
          <w:lang w:eastAsia="en-US"/>
        </w:rPr>
      </w:pPr>
      <w:r w:rsidRPr="00793B5E">
        <w:rPr>
          <w:rFonts w:eastAsia="Calibri" w:cs="Tahoma"/>
          <w:bCs/>
          <w:color w:val="auto"/>
          <w:lang w:eastAsia="en-U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77251B1" w14:textId="77777777" w:rsidR="003A421C" w:rsidRPr="00793B5E" w:rsidRDefault="003A421C" w:rsidP="00C63600">
      <w:pPr>
        <w:spacing w:after="0" w:line="360" w:lineRule="auto"/>
        <w:contextualSpacing/>
        <w:rPr>
          <w:rFonts w:eastAsia="Calibri" w:cs="Tahoma"/>
          <w:bCs/>
          <w:color w:val="auto"/>
          <w:lang w:eastAsia="en-US"/>
        </w:rPr>
      </w:pPr>
    </w:p>
    <w:p w14:paraId="57B4D23C"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EF226F5" w14:textId="77777777" w:rsidR="003A421C" w:rsidRPr="00793B5E" w:rsidRDefault="003A421C" w:rsidP="00C63600">
      <w:pPr>
        <w:spacing w:after="0" w:line="360" w:lineRule="auto"/>
        <w:contextualSpacing/>
        <w:rPr>
          <w:rFonts w:eastAsia="Calibri" w:cs="Tahoma"/>
          <w:bCs/>
          <w:color w:val="auto"/>
          <w:lang w:eastAsia="en-US"/>
        </w:rPr>
      </w:pPr>
    </w:p>
    <w:p w14:paraId="3ACD52B5" w14:textId="77777777" w:rsidR="003A421C" w:rsidRPr="00793B5E" w:rsidRDefault="003A421C" w:rsidP="00C63600">
      <w:pPr>
        <w:spacing w:after="0" w:line="360" w:lineRule="auto"/>
        <w:rPr>
          <w:rFonts w:eastAsia="Calibri" w:cs="Tahoma"/>
          <w:bCs/>
          <w:color w:val="auto"/>
          <w:lang w:eastAsia="en-US"/>
        </w:rPr>
      </w:pPr>
      <w:r w:rsidRPr="00793B5E">
        <w:rPr>
          <w:rFonts w:eastAsia="Calibri" w:cs="Tahoma"/>
          <w:bCs/>
          <w:color w:val="auto"/>
          <w:lang w:eastAsia="en-US"/>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71EAAB17" w14:textId="77777777" w:rsidR="003A421C" w:rsidRPr="00793B5E" w:rsidRDefault="003A421C" w:rsidP="00C63600">
      <w:pPr>
        <w:spacing w:after="0" w:line="360" w:lineRule="auto"/>
        <w:rPr>
          <w:rFonts w:eastAsia="Calibri" w:cs="Tahoma"/>
          <w:bCs/>
          <w:color w:val="auto"/>
          <w:lang w:eastAsia="en-US"/>
        </w:rPr>
      </w:pPr>
    </w:p>
    <w:p w14:paraId="52B27A2E" w14:textId="77777777" w:rsidR="003A421C" w:rsidRPr="00793B5E" w:rsidRDefault="003A421C" w:rsidP="00C63600">
      <w:pPr>
        <w:spacing w:after="0" w:line="360" w:lineRule="auto"/>
        <w:rPr>
          <w:rFonts w:eastAsia="Calibri" w:cs="Tahoma"/>
          <w:b/>
          <w:iCs/>
          <w:color w:val="auto"/>
          <w:lang w:val="es-ES" w:eastAsia="es-ES_tradnl"/>
        </w:rPr>
      </w:pPr>
      <w:r w:rsidRPr="00793B5E">
        <w:rPr>
          <w:rFonts w:eastAsia="Calibri" w:cs="Tahoma"/>
          <w:bCs/>
          <w:color w:val="auto"/>
          <w:lang w:eastAsia="en-US"/>
        </w:rPr>
        <w:t xml:space="preserve">Por tales consideraciones, </w:t>
      </w:r>
      <w:r w:rsidRPr="00793B5E">
        <w:rPr>
          <w:rFonts w:eastAsia="Calibri" w:cs="Tahoma"/>
          <w:b/>
          <w:bCs/>
          <w:color w:val="auto"/>
          <w:lang w:eastAsia="en-US"/>
        </w:rPr>
        <w:t xml:space="preserve">resulta procedente la reserva del nombre de los elementos operativos adscritos a la Dirección General de Seguridad y Protección, en términos del artículo 140, fracción IV, de </w:t>
      </w:r>
      <w:r w:rsidRPr="00793B5E">
        <w:rPr>
          <w:rFonts w:eastAsia="Calibri" w:cs="Tahoma"/>
          <w:b/>
          <w:iCs/>
          <w:color w:val="auto"/>
          <w:lang w:val="es-ES" w:eastAsia="es-ES_tradnl"/>
        </w:rPr>
        <w:t>de la Ley de Transparencia y Acceso a la Información Pública del Estado de México y Municipios.</w:t>
      </w:r>
    </w:p>
    <w:p w14:paraId="4E802A1C" w14:textId="77777777" w:rsidR="003A421C" w:rsidRPr="00793B5E" w:rsidRDefault="003A421C" w:rsidP="00C63600">
      <w:pPr>
        <w:spacing w:after="0" w:line="360" w:lineRule="auto"/>
        <w:rPr>
          <w:rFonts w:eastAsia="Calibri" w:cs="Tahoma"/>
          <w:iCs/>
          <w:color w:val="auto"/>
          <w:lang w:val="es-ES" w:eastAsia="es-ES_tradnl"/>
        </w:rPr>
      </w:pPr>
    </w:p>
    <w:p w14:paraId="4563E86B" w14:textId="43207047" w:rsidR="003A421C" w:rsidRPr="00793B5E" w:rsidRDefault="003A421C" w:rsidP="00C63600">
      <w:pPr>
        <w:spacing w:after="0" w:line="360" w:lineRule="auto"/>
        <w:rPr>
          <w:rFonts w:eastAsia="Calibri" w:cs="Tahoma"/>
          <w:bCs/>
          <w:color w:val="auto"/>
          <w:lang w:eastAsia="en-US"/>
        </w:rPr>
      </w:pPr>
      <w:r w:rsidRPr="00793B5E">
        <w:rPr>
          <w:rFonts w:eastAsia="Calibri" w:cs="Tahoma"/>
          <w:iCs/>
          <w:color w:val="auto"/>
          <w:lang w:val="es-ES" w:eastAsia="es-ES_tradnl"/>
        </w:rPr>
        <w:t xml:space="preserve">Por último, es necesario hacer la precisión que la solicitud se encuentra ceñida a conocer información de patrullas, por lo tanto el equipo policial y radios se refiere a los que obran dentro de dichos vehículos, por lo que las características del equipo policial y radios, </w:t>
      </w:r>
      <w:r w:rsidRPr="00793B5E">
        <w:rPr>
          <w:rFonts w:eastAsia="Times New Roman" w:cs="Tahoma"/>
          <w:color w:val="auto"/>
          <w:lang w:val="es-ES" w:eastAsia="es-ES"/>
        </w:rPr>
        <w:t>es</w:t>
      </w:r>
      <w:r w:rsidRPr="00793B5E">
        <w:rPr>
          <w:rFonts w:eastAsia="Calibri" w:cs="Tahoma"/>
          <w:b/>
          <w:bCs/>
          <w:color w:val="auto"/>
          <w:lang w:eastAsia="en-US"/>
        </w:rPr>
        <w:t xml:space="preserve"> </w:t>
      </w:r>
      <w:r w:rsidRPr="00793B5E">
        <w:rPr>
          <w:rFonts w:eastAsia="Calibri" w:cs="Tahoma"/>
          <w:bCs/>
          <w:color w:val="auto"/>
          <w:lang w:eastAsia="en-US"/>
        </w:rPr>
        <w:t xml:space="preserve">información que actualiza la causal de reserva, establecida en el artículo 140, fracción I, de la Ley de Transparencia y Acceso a la Información Pública del Estado de México y Municipios, de conformidad con lo precisado en párrafos anteriores. </w:t>
      </w:r>
    </w:p>
    <w:p w14:paraId="24D83307" w14:textId="77777777" w:rsidR="003A421C" w:rsidRPr="00793B5E" w:rsidRDefault="003A421C" w:rsidP="00C63600">
      <w:pPr>
        <w:spacing w:after="0" w:line="360" w:lineRule="auto"/>
        <w:rPr>
          <w:bCs/>
          <w:color w:val="auto"/>
          <w:lang w:eastAsia="en-US"/>
        </w:rPr>
      </w:pPr>
    </w:p>
    <w:p w14:paraId="152A6B70" w14:textId="11198A36" w:rsidR="003A421C" w:rsidRPr="00793B5E" w:rsidRDefault="003A421C" w:rsidP="00C63600">
      <w:pPr>
        <w:spacing w:after="0" w:line="360" w:lineRule="auto"/>
        <w:rPr>
          <w:rFonts w:eastAsia="Times New Roman" w:cs="Tahoma"/>
          <w:bCs/>
          <w:color w:val="auto"/>
          <w:lang w:val="es-ES" w:eastAsia="es-ES"/>
        </w:rPr>
      </w:pPr>
      <w:r w:rsidRPr="00793B5E">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793B5E">
        <w:rPr>
          <w:rFonts w:eastAsia="Times New Roman" w:cs="Tahoma"/>
          <w:b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793B5E">
        <w:rPr>
          <w:rFonts w:eastAsia="Times New Roman" w:cs="Tahoma"/>
          <w:bCs/>
          <w:color w:val="auto"/>
          <w:lang w:val="es-ES" w:eastAsia="es-ES"/>
        </w:rPr>
        <w:lastRenderedPageBreak/>
        <w:t xml:space="preserve">clasificadas, indicando su contenido de manera genérica y fundando y motivando su clasificación. </w:t>
      </w:r>
    </w:p>
    <w:p w14:paraId="17685DA4" w14:textId="77777777" w:rsidR="003A421C" w:rsidRPr="00793B5E" w:rsidRDefault="003A421C" w:rsidP="00C63600">
      <w:pPr>
        <w:spacing w:after="0" w:line="360" w:lineRule="auto"/>
        <w:rPr>
          <w:rFonts w:eastAsia="Times New Roman" w:cs="Tahoma"/>
          <w:bCs/>
          <w:color w:val="auto"/>
          <w:lang w:val="es-ES" w:eastAsia="es-ES"/>
        </w:rPr>
      </w:pPr>
    </w:p>
    <w:p w14:paraId="19DD07AA" w14:textId="77777777" w:rsidR="003A421C" w:rsidRPr="00793B5E" w:rsidRDefault="003A421C" w:rsidP="00C63600">
      <w:pPr>
        <w:spacing w:after="0" w:line="360" w:lineRule="auto"/>
        <w:rPr>
          <w:rFonts w:eastAsia="Times New Roman" w:cs="Tahoma"/>
          <w:bCs/>
          <w:color w:val="auto"/>
          <w:lang w:val="es-ES" w:eastAsia="es-ES"/>
        </w:rPr>
      </w:pPr>
      <w:r w:rsidRPr="00793B5E">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793B5E" w:rsidRDefault="00DA2C1D" w:rsidP="00C63600">
      <w:pPr>
        <w:spacing w:after="0" w:line="360" w:lineRule="auto"/>
        <w:rPr>
          <w:rFonts w:cs="Tahoma"/>
          <w:bCs/>
          <w:iCs/>
          <w:color w:val="FF0000"/>
        </w:rPr>
      </w:pPr>
    </w:p>
    <w:p w14:paraId="0CCF70E8" w14:textId="77777777" w:rsidR="00D1318A" w:rsidRPr="00793B5E" w:rsidRDefault="00D1318A" w:rsidP="00C63600">
      <w:pPr>
        <w:pStyle w:val="Ttulo2"/>
        <w:spacing w:before="0" w:after="0" w:line="360" w:lineRule="auto"/>
        <w:rPr>
          <w:color w:val="auto"/>
          <w:sz w:val="22"/>
          <w:szCs w:val="22"/>
        </w:rPr>
      </w:pPr>
      <w:bookmarkStart w:id="16" w:name="_Toc208339784"/>
      <w:r w:rsidRPr="00793B5E">
        <w:rPr>
          <w:color w:val="auto"/>
          <w:sz w:val="22"/>
          <w:szCs w:val="22"/>
        </w:rPr>
        <w:t>SEXTO. Decisión</w:t>
      </w:r>
      <w:bookmarkEnd w:id="16"/>
    </w:p>
    <w:p w14:paraId="0D2B29DC" w14:textId="77777777" w:rsidR="00D1318A" w:rsidRPr="00793B5E" w:rsidRDefault="00D1318A" w:rsidP="00C63600">
      <w:pPr>
        <w:spacing w:after="0" w:line="360" w:lineRule="auto"/>
        <w:contextualSpacing/>
        <w:rPr>
          <w:rFonts w:eastAsia="Calibri" w:cs="Tahoma"/>
          <w:b/>
          <w:color w:val="auto"/>
        </w:rPr>
      </w:pPr>
    </w:p>
    <w:p w14:paraId="4BF18B87" w14:textId="7D1E0665" w:rsidR="00D1318A" w:rsidRPr="00793B5E" w:rsidRDefault="00D1318A" w:rsidP="00C63600">
      <w:pPr>
        <w:spacing w:after="0" w:line="360" w:lineRule="auto"/>
        <w:rPr>
          <w:color w:val="auto"/>
        </w:rPr>
      </w:pPr>
      <w:r w:rsidRPr="00793B5E">
        <w:rPr>
          <w:color w:val="auto"/>
        </w:rPr>
        <w:t xml:space="preserve">De acuerdo con lo expuesto y, con fundamento en el artículo 186, fracción III, de la Ley de Transparencia y Acceso a la Información Pública del Estado de México y Municipios, este Instituto considera procedente </w:t>
      </w:r>
      <w:r w:rsidR="00BF460D" w:rsidRPr="00793B5E">
        <w:rPr>
          <w:b/>
          <w:color w:val="auto"/>
        </w:rPr>
        <w:t>REVOCAR</w:t>
      </w:r>
      <w:r w:rsidRPr="00793B5E">
        <w:rPr>
          <w:b/>
          <w:color w:val="auto"/>
        </w:rPr>
        <w:t xml:space="preserve"> </w:t>
      </w:r>
      <w:r w:rsidRPr="00793B5E">
        <w:rPr>
          <w:color w:val="auto"/>
        </w:rPr>
        <w:t>la resp</w:t>
      </w:r>
      <w:r w:rsidR="00655068" w:rsidRPr="00793B5E">
        <w:rPr>
          <w:color w:val="auto"/>
        </w:rPr>
        <w:t>uesta del</w:t>
      </w:r>
      <w:r w:rsidR="00F66940" w:rsidRPr="00793B5E">
        <w:rPr>
          <w:color w:val="auto"/>
        </w:rPr>
        <w:t xml:space="preserve"> Ayuntamiento de </w:t>
      </w:r>
      <w:r w:rsidR="003A421C" w:rsidRPr="00793B5E">
        <w:rPr>
          <w:color w:val="auto"/>
        </w:rPr>
        <w:t>Apaxco</w:t>
      </w:r>
      <w:r w:rsidRPr="00793B5E">
        <w:rPr>
          <w:b/>
          <w:color w:val="auto"/>
        </w:rPr>
        <w:t xml:space="preserve">, </w:t>
      </w:r>
      <w:r w:rsidRPr="00793B5E">
        <w:rPr>
          <w:color w:val="auto"/>
        </w:rPr>
        <w:t xml:space="preserve">a efecto de que </w:t>
      </w:r>
      <w:r w:rsidR="004076BD" w:rsidRPr="00793B5E">
        <w:rPr>
          <w:color w:val="auto"/>
        </w:rPr>
        <w:t>entregue</w:t>
      </w:r>
      <w:r w:rsidR="00287797" w:rsidRPr="00793B5E">
        <w:rPr>
          <w:color w:val="auto"/>
        </w:rPr>
        <w:t xml:space="preserve"> la información </w:t>
      </w:r>
      <w:r w:rsidR="003A421C" w:rsidRPr="00793B5E">
        <w:rPr>
          <w:color w:val="auto"/>
        </w:rPr>
        <w:t xml:space="preserve">que </w:t>
      </w:r>
      <w:proofErr w:type="spellStart"/>
      <w:r w:rsidR="003A421C" w:rsidRPr="00793B5E">
        <w:rPr>
          <w:color w:val="auto"/>
        </w:rPr>
        <w:t>de</w:t>
      </w:r>
      <w:proofErr w:type="spellEnd"/>
      <w:r w:rsidR="003A421C" w:rsidRPr="00793B5E">
        <w:rPr>
          <w:color w:val="auto"/>
        </w:rPr>
        <w:t xml:space="preserve"> cuenta de lo solicitado.</w:t>
      </w:r>
    </w:p>
    <w:p w14:paraId="13D4A44D" w14:textId="77777777" w:rsidR="004306AC" w:rsidRPr="00793B5E" w:rsidRDefault="004306AC" w:rsidP="00C63600">
      <w:pPr>
        <w:spacing w:after="0" w:line="360" w:lineRule="auto"/>
        <w:rPr>
          <w:color w:val="FF0000"/>
        </w:rPr>
      </w:pPr>
    </w:p>
    <w:p w14:paraId="0C829323" w14:textId="77777777" w:rsidR="00D1318A" w:rsidRPr="00793B5E" w:rsidRDefault="00D1318A" w:rsidP="00C63600">
      <w:pPr>
        <w:spacing w:after="0" w:line="360" w:lineRule="auto"/>
        <w:contextualSpacing/>
        <w:rPr>
          <w:rFonts w:eastAsia="Calibri" w:cs="Tahoma"/>
          <w:b/>
          <w:bCs/>
          <w:color w:val="auto"/>
        </w:rPr>
      </w:pPr>
      <w:r w:rsidRPr="00793B5E">
        <w:rPr>
          <w:rFonts w:eastAsia="Calibri" w:cs="Tahoma"/>
          <w:b/>
          <w:bCs/>
          <w:color w:val="auto"/>
        </w:rPr>
        <w:t>Términos de la Resolución para conocimiento del Particular</w:t>
      </w:r>
    </w:p>
    <w:p w14:paraId="08535812" w14:textId="77777777" w:rsidR="00D1318A" w:rsidRPr="00793B5E" w:rsidRDefault="00D1318A" w:rsidP="00C63600">
      <w:pPr>
        <w:spacing w:after="0" w:line="360" w:lineRule="auto"/>
        <w:contextualSpacing/>
        <w:rPr>
          <w:rFonts w:eastAsia="Calibri" w:cs="Tahoma"/>
          <w:b/>
          <w:bCs/>
          <w:color w:val="auto"/>
        </w:rPr>
      </w:pPr>
    </w:p>
    <w:p w14:paraId="2B949059" w14:textId="7D83994E" w:rsidR="00282C2E" w:rsidRPr="00793B5E" w:rsidRDefault="00D1318A" w:rsidP="00C63600">
      <w:pPr>
        <w:spacing w:after="0" w:line="360" w:lineRule="auto"/>
        <w:rPr>
          <w:color w:val="auto"/>
        </w:rPr>
      </w:pPr>
      <w:r w:rsidRPr="00793B5E">
        <w:rPr>
          <w:color w:val="auto"/>
        </w:rPr>
        <w:t xml:space="preserve">Se le hace del conocimiento a la persona Recurrente que, en el presente asunto, se le da </w:t>
      </w:r>
      <w:r w:rsidR="001C6B7A" w:rsidRPr="00793B5E">
        <w:rPr>
          <w:color w:val="auto"/>
        </w:rPr>
        <w:t xml:space="preserve">parcialmente </w:t>
      </w:r>
      <w:r w:rsidRPr="00793B5E">
        <w:rPr>
          <w:color w:val="auto"/>
        </w:rPr>
        <w:t xml:space="preserve">la razón, pues </w:t>
      </w:r>
      <w:r w:rsidR="00715343" w:rsidRPr="00793B5E">
        <w:rPr>
          <w:color w:val="auto"/>
        </w:rPr>
        <w:t xml:space="preserve">si bien </w:t>
      </w:r>
      <w:r w:rsidR="004076BD" w:rsidRPr="00793B5E">
        <w:rPr>
          <w:color w:val="auto"/>
        </w:rPr>
        <w:t>el Sujeto Obligado</w:t>
      </w:r>
      <w:r w:rsidR="00BF460D" w:rsidRPr="00793B5E">
        <w:rPr>
          <w:color w:val="auto"/>
        </w:rPr>
        <w:t xml:space="preserve"> dio respuesta,</w:t>
      </w:r>
      <w:r w:rsidR="00903582" w:rsidRPr="00793B5E">
        <w:rPr>
          <w:color w:val="auto"/>
        </w:rPr>
        <w:t xml:space="preserve"> clasifico información de naturaleza pública, </w:t>
      </w:r>
      <w:r w:rsidRPr="00793B5E">
        <w:rPr>
          <w:color w:val="auto"/>
        </w:rPr>
        <w:t xml:space="preserve">por lo que, deberá </w:t>
      </w:r>
      <w:r w:rsidR="00903582" w:rsidRPr="00793B5E">
        <w:rPr>
          <w:color w:val="auto"/>
        </w:rPr>
        <w:t>realizar búsqueda exhaustiva y razonable en todas las áreas competentes, a efecto de proporcionar la información solicitada</w:t>
      </w:r>
    </w:p>
    <w:p w14:paraId="27C6A20B" w14:textId="77777777" w:rsidR="00282C2E" w:rsidRPr="00793B5E" w:rsidRDefault="00282C2E" w:rsidP="00C63600">
      <w:pPr>
        <w:spacing w:after="0" w:line="360" w:lineRule="auto"/>
        <w:rPr>
          <w:color w:val="FF0000"/>
        </w:rPr>
      </w:pPr>
    </w:p>
    <w:p w14:paraId="3B668E85" w14:textId="7D725F80" w:rsidR="00D1318A" w:rsidRPr="00793B5E" w:rsidRDefault="00D1318A" w:rsidP="00C63600">
      <w:pPr>
        <w:spacing w:after="0" w:line="360" w:lineRule="auto"/>
        <w:rPr>
          <w:color w:val="auto"/>
        </w:rPr>
      </w:pPr>
      <w:r w:rsidRPr="00793B5E">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793B5E" w:rsidRDefault="00E50794" w:rsidP="00C63600">
      <w:pPr>
        <w:spacing w:after="0" w:line="360" w:lineRule="auto"/>
        <w:rPr>
          <w:color w:val="FF0000"/>
        </w:rPr>
      </w:pPr>
    </w:p>
    <w:p w14:paraId="1C805ED0" w14:textId="77777777" w:rsidR="00D1318A" w:rsidRPr="00793B5E" w:rsidRDefault="00D1318A" w:rsidP="00C63600">
      <w:pPr>
        <w:spacing w:after="0" w:line="360" w:lineRule="auto"/>
        <w:contextualSpacing/>
        <w:rPr>
          <w:rFonts w:eastAsia="Calibri"/>
          <w:color w:val="auto"/>
        </w:rPr>
      </w:pPr>
      <w:r w:rsidRPr="00793B5E">
        <w:rPr>
          <w:rFonts w:eastAsia="Calibri"/>
          <w:color w:val="auto"/>
        </w:rPr>
        <w:t>Por lo expuesto y fundado, este Pleno:</w:t>
      </w:r>
    </w:p>
    <w:p w14:paraId="7E4B6E8F" w14:textId="77777777" w:rsidR="00057905" w:rsidRPr="00793B5E" w:rsidRDefault="00057905" w:rsidP="00C63600">
      <w:pPr>
        <w:spacing w:after="0" w:line="360" w:lineRule="auto"/>
        <w:contextualSpacing/>
        <w:rPr>
          <w:rFonts w:eastAsia="Calibri"/>
          <w:color w:val="auto"/>
        </w:rPr>
      </w:pPr>
    </w:p>
    <w:p w14:paraId="4969F2B6" w14:textId="77777777" w:rsidR="00D1318A" w:rsidRPr="00793B5E" w:rsidRDefault="00D1318A" w:rsidP="00C63600">
      <w:pPr>
        <w:pStyle w:val="Ttulo1"/>
        <w:spacing w:before="0" w:after="0" w:line="360" w:lineRule="auto"/>
        <w:jc w:val="center"/>
        <w:rPr>
          <w:color w:val="auto"/>
          <w:sz w:val="22"/>
          <w:szCs w:val="22"/>
        </w:rPr>
      </w:pPr>
      <w:bookmarkStart w:id="17" w:name="_Toc208339785"/>
      <w:r w:rsidRPr="00793B5E">
        <w:rPr>
          <w:color w:val="auto"/>
          <w:sz w:val="22"/>
          <w:szCs w:val="22"/>
        </w:rPr>
        <w:t>R E S U E L V E</w:t>
      </w:r>
      <w:bookmarkEnd w:id="17"/>
    </w:p>
    <w:p w14:paraId="00911B7E" w14:textId="77777777" w:rsidR="00D1318A" w:rsidRPr="00793B5E" w:rsidRDefault="00D1318A" w:rsidP="00C63600">
      <w:pPr>
        <w:spacing w:after="0" w:line="360" w:lineRule="auto"/>
        <w:contextualSpacing/>
        <w:rPr>
          <w:rFonts w:eastAsia="Calibri"/>
          <w:b/>
          <w:bCs/>
          <w:color w:val="FF0000"/>
        </w:rPr>
      </w:pPr>
    </w:p>
    <w:p w14:paraId="59D86F6A" w14:textId="1CEF2EB9" w:rsidR="00D1318A" w:rsidRPr="00793B5E" w:rsidRDefault="00D1318A" w:rsidP="00C63600">
      <w:pPr>
        <w:spacing w:after="0" w:line="360" w:lineRule="auto"/>
        <w:contextualSpacing/>
        <w:rPr>
          <w:rFonts w:cs="Tahoma"/>
          <w:bCs/>
          <w:color w:val="auto"/>
        </w:rPr>
      </w:pPr>
      <w:r w:rsidRPr="00793B5E">
        <w:rPr>
          <w:rFonts w:cs="Tahoma"/>
          <w:b/>
          <w:bCs/>
          <w:color w:val="auto"/>
        </w:rPr>
        <w:t xml:space="preserve">PRIMERO. </w:t>
      </w:r>
      <w:r w:rsidRPr="00793B5E">
        <w:rPr>
          <w:rFonts w:cs="Tahoma"/>
          <w:bCs/>
          <w:color w:val="auto"/>
        </w:rPr>
        <w:t xml:space="preserve">Se </w:t>
      </w:r>
      <w:r w:rsidR="00BF460D" w:rsidRPr="00793B5E">
        <w:rPr>
          <w:rFonts w:cs="Tahoma"/>
          <w:b/>
          <w:bCs/>
          <w:color w:val="auto"/>
        </w:rPr>
        <w:t>REVOCA</w:t>
      </w:r>
      <w:r w:rsidRPr="00793B5E">
        <w:rPr>
          <w:rFonts w:cs="Tahoma"/>
          <w:b/>
          <w:bCs/>
          <w:color w:val="auto"/>
        </w:rPr>
        <w:t xml:space="preserve"> </w:t>
      </w:r>
      <w:r w:rsidRPr="00793B5E">
        <w:rPr>
          <w:rFonts w:cs="Tahoma"/>
          <w:bCs/>
          <w:color w:val="auto"/>
        </w:rPr>
        <w:t>la respuesta entrega</w:t>
      </w:r>
      <w:r w:rsidR="00655068" w:rsidRPr="00793B5E">
        <w:rPr>
          <w:rFonts w:cs="Tahoma"/>
          <w:bCs/>
          <w:color w:val="auto"/>
        </w:rPr>
        <w:t>da por el</w:t>
      </w:r>
      <w:r w:rsidR="004076BD" w:rsidRPr="00793B5E">
        <w:rPr>
          <w:rFonts w:cs="Tahoma"/>
          <w:bCs/>
          <w:color w:val="auto"/>
        </w:rPr>
        <w:t xml:space="preserve"> Ayuntamiento de </w:t>
      </w:r>
      <w:r w:rsidR="00903582" w:rsidRPr="00793B5E">
        <w:rPr>
          <w:rFonts w:cs="Tahoma"/>
          <w:bCs/>
          <w:color w:val="auto"/>
        </w:rPr>
        <w:t>Apaxco</w:t>
      </w:r>
      <w:r w:rsidRPr="00793B5E">
        <w:rPr>
          <w:rFonts w:cs="Tahoma"/>
          <w:bCs/>
          <w:color w:val="auto"/>
        </w:rPr>
        <w:t>, a la solicitud de información</w:t>
      </w:r>
      <w:r w:rsidR="00903582" w:rsidRPr="00793B5E">
        <w:rPr>
          <w:rFonts w:ascii="Arial" w:hAnsi="Arial" w:cs="Arial"/>
          <w:b/>
          <w:bCs/>
          <w:color w:val="auto"/>
          <w:sz w:val="15"/>
          <w:szCs w:val="15"/>
        </w:rPr>
        <w:t xml:space="preserve"> </w:t>
      </w:r>
      <w:r w:rsidR="00903582" w:rsidRPr="00793B5E">
        <w:rPr>
          <w:color w:val="auto"/>
        </w:rPr>
        <w:t>00055/APAXCO/IP/2025</w:t>
      </w:r>
      <w:r w:rsidRPr="00793B5E">
        <w:rPr>
          <w:bCs/>
          <w:color w:val="auto"/>
        </w:rPr>
        <w:t xml:space="preserve">, por resultar </w:t>
      </w:r>
      <w:r w:rsidRPr="00793B5E">
        <w:rPr>
          <w:b/>
          <w:bCs/>
          <w:color w:val="auto"/>
        </w:rPr>
        <w:t>FUNDADAS</w:t>
      </w:r>
      <w:r w:rsidRPr="00793B5E">
        <w:rPr>
          <w:rFonts w:cs="Tahoma"/>
          <w:b/>
          <w:bCs/>
          <w:color w:val="auto"/>
        </w:rPr>
        <w:t xml:space="preserve"> </w:t>
      </w:r>
      <w:r w:rsidRPr="00793B5E">
        <w:rPr>
          <w:rFonts w:eastAsia="Calibri" w:cs="Tahoma"/>
          <w:bCs/>
          <w:color w:val="auto"/>
        </w:rPr>
        <w:t>las razones o motivos de inconformidad hechos valer por el Recurrente</w:t>
      </w:r>
      <w:r w:rsidRPr="00793B5E">
        <w:rPr>
          <w:rFonts w:cs="Tahoma"/>
          <w:bCs/>
          <w:color w:val="auto"/>
        </w:rPr>
        <w:t xml:space="preserve">, </w:t>
      </w:r>
      <w:r w:rsidRPr="00793B5E">
        <w:rPr>
          <w:rFonts w:eastAsia="Calibri" w:cs="Tahoma"/>
          <w:bCs/>
          <w:color w:val="auto"/>
        </w:rPr>
        <w:t>en términos de los considerandos QUINTO y SEXTO de la presente Resolución.</w:t>
      </w:r>
    </w:p>
    <w:p w14:paraId="5F3709A7" w14:textId="77777777" w:rsidR="00D1318A" w:rsidRPr="00793B5E" w:rsidRDefault="00D1318A" w:rsidP="00C63600">
      <w:pPr>
        <w:spacing w:after="0" w:line="360" w:lineRule="auto"/>
        <w:contextualSpacing/>
        <w:rPr>
          <w:rFonts w:eastAsia="Times New Roman" w:cs="Tahoma"/>
          <w:bCs/>
          <w:color w:val="FF0000"/>
          <w:lang w:eastAsia="es-ES"/>
        </w:rPr>
      </w:pPr>
    </w:p>
    <w:p w14:paraId="394D236C" w14:textId="5FE9E03B" w:rsidR="00C85F7D" w:rsidRPr="00793B5E" w:rsidRDefault="00D1318A" w:rsidP="00C63600">
      <w:pPr>
        <w:tabs>
          <w:tab w:val="left" w:pos="4962"/>
        </w:tabs>
        <w:spacing w:after="0" w:line="360" w:lineRule="auto"/>
      </w:pPr>
      <w:r w:rsidRPr="00793B5E">
        <w:rPr>
          <w:rFonts w:cs="Tahoma"/>
          <w:b/>
          <w:bCs/>
          <w:color w:val="auto"/>
        </w:rPr>
        <w:t xml:space="preserve">SEGUNDO. </w:t>
      </w:r>
      <w:r w:rsidRPr="00793B5E">
        <w:rPr>
          <w:color w:val="auto"/>
        </w:rPr>
        <w:t xml:space="preserve">Se </w:t>
      </w:r>
      <w:r w:rsidRPr="00793B5E">
        <w:rPr>
          <w:b/>
          <w:color w:val="auto"/>
        </w:rPr>
        <w:t>ORDENA</w:t>
      </w:r>
      <w:r w:rsidRPr="00793B5E">
        <w:rPr>
          <w:color w:val="auto"/>
        </w:rPr>
        <w:t xml:space="preserve"> al Ente Recurrido</w:t>
      </w:r>
      <w:r w:rsidRPr="00793B5E">
        <w:rPr>
          <w:b/>
          <w:color w:val="auto"/>
        </w:rPr>
        <w:t xml:space="preserve">, </w:t>
      </w:r>
      <w:r w:rsidR="004068E7" w:rsidRPr="00793B5E">
        <w:rPr>
          <w:color w:val="auto"/>
        </w:rPr>
        <w:t>a efecto de que</w:t>
      </w:r>
      <w:r w:rsidR="00287797" w:rsidRPr="00793B5E">
        <w:rPr>
          <w:color w:val="auto"/>
        </w:rPr>
        <w:t xml:space="preserve"> previa búsqueda exhaustiva</w:t>
      </w:r>
      <w:r w:rsidR="004068E7" w:rsidRPr="00793B5E">
        <w:rPr>
          <w:color w:val="auto"/>
        </w:rPr>
        <w:t xml:space="preserve"> </w:t>
      </w:r>
      <w:r w:rsidRPr="00793B5E">
        <w:rPr>
          <w:color w:val="auto"/>
        </w:rPr>
        <w:t>entregue</w:t>
      </w:r>
      <w:r w:rsidR="001C6B7A" w:rsidRPr="00793B5E">
        <w:rPr>
          <w:color w:val="auto"/>
        </w:rPr>
        <w:t xml:space="preserve">, </w:t>
      </w:r>
      <w:r w:rsidRPr="00793B5E">
        <w:rPr>
          <w:color w:val="auto"/>
        </w:rPr>
        <w:t>a través del Sistema de Acceso a la I</w:t>
      </w:r>
      <w:r w:rsidR="00715343" w:rsidRPr="00793B5E">
        <w:rPr>
          <w:color w:val="auto"/>
        </w:rPr>
        <w:t>nformación Mexiquense (SAIMEX)</w:t>
      </w:r>
      <w:r w:rsidR="004068E7" w:rsidRPr="00793B5E">
        <w:rPr>
          <w:color w:val="auto"/>
        </w:rPr>
        <w:t xml:space="preserve">, </w:t>
      </w:r>
      <w:r w:rsidR="00B17B55" w:rsidRPr="00793B5E">
        <w:rPr>
          <w:color w:val="auto"/>
        </w:rPr>
        <w:t xml:space="preserve">en </w:t>
      </w:r>
      <w:r w:rsidR="00282C2E" w:rsidRPr="00793B5E">
        <w:rPr>
          <w:color w:val="auto"/>
        </w:rPr>
        <w:t xml:space="preserve">su caso, en </w:t>
      </w:r>
      <w:r w:rsidR="00B17B55" w:rsidRPr="00793B5E">
        <w:rPr>
          <w:color w:val="auto"/>
        </w:rPr>
        <w:t>versión pública,</w:t>
      </w:r>
      <w:r w:rsidR="00903582" w:rsidRPr="00793B5E">
        <w:t xml:space="preserve"> </w:t>
      </w:r>
      <w:r w:rsidR="00C85F7D" w:rsidRPr="00793B5E">
        <w:t>respecto al parque vehicular con el que contaba al catorce de junio de do mil veinticinco, los documentos donde conste lo siguiente:</w:t>
      </w:r>
    </w:p>
    <w:p w14:paraId="511FED29" w14:textId="77777777" w:rsidR="00C85F7D" w:rsidRPr="00793B5E" w:rsidRDefault="00C85F7D" w:rsidP="00C63600">
      <w:pPr>
        <w:tabs>
          <w:tab w:val="left" w:pos="4962"/>
        </w:tabs>
        <w:spacing w:after="0" w:line="360" w:lineRule="auto"/>
      </w:pPr>
    </w:p>
    <w:p w14:paraId="7B828317" w14:textId="1FD651CF" w:rsidR="002713DE" w:rsidRPr="00793B5E" w:rsidRDefault="00C85F7D" w:rsidP="001E6F56">
      <w:pPr>
        <w:pStyle w:val="Prrafodelista"/>
        <w:numPr>
          <w:ilvl w:val="0"/>
          <w:numId w:val="44"/>
        </w:numPr>
        <w:tabs>
          <w:tab w:val="left" w:pos="4962"/>
        </w:tabs>
        <w:spacing w:line="360" w:lineRule="auto"/>
        <w:rPr>
          <w:color w:val="auto"/>
        </w:rPr>
      </w:pPr>
      <w:r w:rsidRPr="00793B5E">
        <w:rPr>
          <w:color w:val="auto"/>
        </w:rPr>
        <w:t>L</w:t>
      </w:r>
      <w:r w:rsidR="00903582" w:rsidRPr="00793B5E">
        <w:rPr>
          <w:color w:val="auto"/>
        </w:rPr>
        <w:t>a marca, modelo, año, estado de uso, kilometraje</w:t>
      </w:r>
      <w:r w:rsidRPr="00793B5E">
        <w:rPr>
          <w:color w:val="auto"/>
        </w:rPr>
        <w:t xml:space="preserve"> de cada uno de los vehículos;</w:t>
      </w:r>
    </w:p>
    <w:p w14:paraId="23FA3B04" w14:textId="77777777" w:rsidR="00C85F7D" w:rsidRPr="00793B5E" w:rsidRDefault="00C85F7D" w:rsidP="00C85F7D">
      <w:pPr>
        <w:pStyle w:val="Prrafodelista"/>
        <w:tabs>
          <w:tab w:val="left" w:pos="4962"/>
        </w:tabs>
        <w:spacing w:line="360" w:lineRule="auto"/>
        <w:rPr>
          <w:color w:val="auto"/>
        </w:rPr>
      </w:pPr>
    </w:p>
    <w:p w14:paraId="523F84DE" w14:textId="533EF146" w:rsidR="00903582" w:rsidRPr="00793B5E" w:rsidRDefault="00C85F7D" w:rsidP="00C63600">
      <w:pPr>
        <w:pStyle w:val="Prrafodelista"/>
        <w:numPr>
          <w:ilvl w:val="0"/>
          <w:numId w:val="44"/>
        </w:numPr>
        <w:tabs>
          <w:tab w:val="left" w:pos="4962"/>
        </w:tabs>
        <w:spacing w:line="360" w:lineRule="auto"/>
        <w:rPr>
          <w:color w:val="auto"/>
        </w:rPr>
      </w:pPr>
      <w:r w:rsidRPr="00793B5E">
        <w:rPr>
          <w:color w:val="auto"/>
        </w:rPr>
        <w:t xml:space="preserve">Los mantenimientos </w:t>
      </w:r>
      <w:r w:rsidR="00903582" w:rsidRPr="00793B5E">
        <w:rPr>
          <w:color w:val="auto"/>
        </w:rPr>
        <w:t>realizado</w:t>
      </w:r>
      <w:r w:rsidRPr="00793B5E">
        <w:rPr>
          <w:color w:val="auto"/>
        </w:rPr>
        <w:t>s</w:t>
      </w:r>
      <w:r w:rsidR="00903582" w:rsidRPr="00793B5E">
        <w:rPr>
          <w:color w:val="auto"/>
        </w:rPr>
        <w:t xml:space="preserve"> a los vehículos, del catorce de junio de dos mil veinticuatro al catorce de junio de dos mil veinticinco</w:t>
      </w:r>
    </w:p>
    <w:p w14:paraId="6F660514" w14:textId="77777777" w:rsidR="002713DE" w:rsidRPr="00793B5E" w:rsidRDefault="002713DE" w:rsidP="00C63600">
      <w:pPr>
        <w:pStyle w:val="Prrafodelista"/>
        <w:tabs>
          <w:tab w:val="left" w:pos="4962"/>
        </w:tabs>
        <w:spacing w:line="360" w:lineRule="auto"/>
        <w:rPr>
          <w:color w:val="auto"/>
        </w:rPr>
      </w:pPr>
    </w:p>
    <w:p w14:paraId="69D918DB" w14:textId="64FC0618" w:rsidR="00903582" w:rsidRPr="00793B5E" w:rsidRDefault="00C85F7D" w:rsidP="00F03F2A">
      <w:pPr>
        <w:pStyle w:val="Prrafodelista"/>
        <w:numPr>
          <w:ilvl w:val="0"/>
          <w:numId w:val="44"/>
        </w:numPr>
        <w:tabs>
          <w:tab w:val="left" w:pos="4962"/>
        </w:tabs>
        <w:spacing w:line="360" w:lineRule="auto"/>
        <w:rPr>
          <w:rFonts w:eastAsia="Calibri" w:cs="Tahoma"/>
          <w:color w:val="auto"/>
        </w:rPr>
      </w:pPr>
      <w:r w:rsidRPr="00793B5E">
        <w:rPr>
          <w:color w:val="auto"/>
        </w:rPr>
        <w:t>E</w:t>
      </w:r>
      <w:r w:rsidR="00903582" w:rsidRPr="00793B5E">
        <w:rPr>
          <w:color w:val="auto"/>
        </w:rPr>
        <w:t xml:space="preserve">l consumo de combustible por </w:t>
      </w:r>
      <w:r w:rsidRPr="00793B5E">
        <w:rPr>
          <w:color w:val="auto"/>
        </w:rPr>
        <w:t>unidad administrativa</w:t>
      </w:r>
      <w:r w:rsidR="00903582" w:rsidRPr="00793B5E">
        <w:rPr>
          <w:color w:val="auto"/>
        </w:rPr>
        <w:t>, del catorce de junio de dos mil veinticuatro al catorce de junio de dos mil veinticinco.</w:t>
      </w:r>
    </w:p>
    <w:p w14:paraId="50A72759" w14:textId="7B236D20" w:rsidR="001C6B7A" w:rsidRPr="00793B5E" w:rsidRDefault="001C6B7A" w:rsidP="00C63600">
      <w:pPr>
        <w:spacing w:after="0" w:line="360" w:lineRule="auto"/>
        <w:rPr>
          <w:rFonts w:cs="Tahoma"/>
          <w:bCs/>
          <w:iCs/>
          <w:color w:val="FF0000"/>
        </w:rPr>
      </w:pPr>
    </w:p>
    <w:p w14:paraId="6605D457" w14:textId="49671A04" w:rsidR="00A46E2C" w:rsidRPr="00793B5E" w:rsidRDefault="00A46E2C" w:rsidP="00C63600">
      <w:pPr>
        <w:spacing w:after="0" w:line="360" w:lineRule="auto"/>
        <w:rPr>
          <w:rFonts w:cs="Tahoma"/>
          <w:bCs/>
          <w:iCs/>
          <w:color w:val="auto"/>
        </w:rPr>
      </w:pPr>
      <w:r w:rsidRPr="00793B5E">
        <w:rPr>
          <w:rFonts w:cs="Tahoma"/>
          <w:bCs/>
          <w:iCs/>
          <w:color w:val="auto"/>
        </w:rPr>
        <w:t xml:space="preserve">Además, </w:t>
      </w:r>
      <w:r w:rsidR="004C5FBB" w:rsidRPr="00793B5E">
        <w:rPr>
          <w:rFonts w:cs="Tahoma"/>
          <w:bCs/>
          <w:iCs/>
          <w:color w:val="auto"/>
        </w:rPr>
        <w:t xml:space="preserve">de ser necesario, </w:t>
      </w:r>
      <w:r w:rsidRPr="00793B5E">
        <w:rPr>
          <w:rFonts w:cs="Tahoma"/>
          <w:bCs/>
          <w:iCs/>
          <w:color w:val="auto"/>
        </w:rPr>
        <w:t xml:space="preserve">deberá proporcionar el Acuerdo de Clasificación donde el Comité de Transparencia, confirme la eliminación de los datos o información clasificada, en la versión pública, de conformidad con los artículos 49, fracciones II y VIII y 132, fracción II de </w:t>
      </w:r>
      <w:r w:rsidRPr="00793B5E">
        <w:rPr>
          <w:rFonts w:cs="Tahoma"/>
          <w:bCs/>
          <w:iCs/>
          <w:color w:val="auto"/>
        </w:rPr>
        <w:lastRenderedPageBreak/>
        <w:t>la Ley de Transparencia y Acceso a la Información Pública del Estado de México y Municipios.</w:t>
      </w:r>
    </w:p>
    <w:p w14:paraId="1B5E0855" w14:textId="77777777" w:rsidR="00903582" w:rsidRPr="00793B5E" w:rsidRDefault="00903582" w:rsidP="00C63600">
      <w:pPr>
        <w:spacing w:after="0" w:line="360" w:lineRule="auto"/>
        <w:rPr>
          <w:rFonts w:cs="Tahoma"/>
          <w:bCs/>
          <w:iCs/>
          <w:color w:val="auto"/>
        </w:rPr>
      </w:pPr>
    </w:p>
    <w:p w14:paraId="1EDBFCE2" w14:textId="3382A2F5" w:rsidR="00903582" w:rsidRPr="00793B5E" w:rsidRDefault="00903582" w:rsidP="00C63600">
      <w:pPr>
        <w:spacing w:after="0" w:line="360" w:lineRule="auto"/>
      </w:pPr>
      <w:r w:rsidRPr="00793B5E">
        <w:t xml:space="preserve">Para el caso, de que no se cuente con </w:t>
      </w:r>
      <w:r w:rsidR="002713DE" w:rsidRPr="00793B5E">
        <w:t>la información señalada en los b) por no haberse generado</w:t>
      </w:r>
      <w:r w:rsidRPr="00793B5E">
        <w:t>, deberá hacerlo de conocimiento de manera clara y precisa.</w:t>
      </w:r>
    </w:p>
    <w:p w14:paraId="0DBD03E8" w14:textId="77777777" w:rsidR="00903582" w:rsidRPr="00793B5E" w:rsidRDefault="00903582" w:rsidP="00C63600">
      <w:pPr>
        <w:spacing w:after="0" w:line="360" w:lineRule="auto"/>
        <w:rPr>
          <w:rFonts w:cs="Tahoma"/>
          <w:bCs/>
          <w:iCs/>
          <w:color w:val="FF0000"/>
        </w:rPr>
      </w:pPr>
    </w:p>
    <w:p w14:paraId="166C6CA8" w14:textId="77777777" w:rsidR="00C85F7D" w:rsidRPr="00793B5E" w:rsidRDefault="00D1318A" w:rsidP="00C63600">
      <w:pPr>
        <w:spacing w:after="0" w:line="360" w:lineRule="auto"/>
        <w:ind w:right="-28"/>
        <w:contextualSpacing/>
        <w:rPr>
          <w:rFonts w:cs="Tahoma"/>
          <w:bCs/>
          <w:iCs/>
          <w:color w:val="auto"/>
        </w:rPr>
      </w:pPr>
      <w:r w:rsidRPr="00793B5E">
        <w:rPr>
          <w:rFonts w:eastAsia="Calibri" w:cs="Tahoma"/>
          <w:b/>
          <w:bCs/>
          <w:color w:val="auto"/>
        </w:rPr>
        <w:t xml:space="preserve">TERCERO. </w:t>
      </w:r>
      <w:r w:rsidRPr="00793B5E">
        <w:rPr>
          <w:rFonts w:cs="Tahoma"/>
          <w:b/>
          <w:bCs/>
          <w:iCs/>
          <w:color w:val="auto"/>
        </w:rPr>
        <w:t xml:space="preserve">NOTIFÍQUESE POR SAIMEX </w:t>
      </w:r>
      <w:r w:rsidRPr="00793B5E">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793B5E">
        <w:rPr>
          <w:rFonts w:cs="Tahoma"/>
          <w:bCs/>
          <w:iCs/>
          <w:color w:val="auto"/>
        </w:rPr>
        <w:t xml:space="preserve"> </w:t>
      </w:r>
    </w:p>
    <w:p w14:paraId="520DD840" w14:textId="77777777" w:rsidR="00C85F7D" w:rsidRPr="00793B5E" w:rsidRDefault="00C85F7D" w:rsidP="00C63600">
      <w:pPr>
        <w:spacing w:after="0" w:line="360" w:lineRule="auto"/>
        <w:ind w:right="-28"/>
        <w:contextualSpacing/>
        <w:rPr>
          <w:rFonts w:cs="Tahoma"/>
          <w:bCs/>
          <w:iCs/>
          <w:color w:val="auto"/>
        </w:rPr>
      </w:pPr>
    </w:p>
    <w:p w14:paraId="3EAE0142" w14:textId="58911CE1" w:rsidR="00D1318A" w:rsidRPr="00793B5E" w:rsidRDefault="00D1318A" w:rsidP="00C63600">
      <w:pPr>
        <w:spacing w:after="0" w:line="360" w:lineRule="auto"/>
        <w:ind w:right="-28"/>
        <w:contextualSpacing/>
        <w:rPr>
          <w:rFonts w:eastAsia="Calibri" w:cs="Tahoma"/>
          <w:iCs/>
          <w:color w:val="auto"/>
        </w:rPr>
      </w:pPr>
      <w:r w:rsidRPr="00793B5E">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793B5E" w:rsidRDefault="00D1318A" w:rsidP="00C63600">
      <w:pPr>
        <w:spacing w:after="0" w:line="360" w:lineRule="auto"/>
        <w:contextualSpacing/>
        <w:rPr>
          <w:rFonts w:eastAsia="Calibri" w:cs="Tahoma"/>
          <w:color w:val="auto"/>
          <w:lang w:val="es-ES"/>
        </w:rPr>
      </w:pPr>
    </w:p>
    <w:p w14:paraId="3F59EFC7" w14:textId="77777777" w:rsidR="00D1318A" w:rsidRPr="00793B5E" w:rsidRDefault="00D1318A" w:rsidP="00C63600">
      <w:pPr>
        <w:spacing w:after="0" w:line="360" w:lineRule="auto"/>
        <w:contextualSpacing/>
        <w:rPr>
          <w:rFonts w:cs="Tahoma"/>
          <w:color w:val="auto"/>
        </w:rPr>
      </w:pPr>
      <w:r w:rsidRPr="00793B5E">
        <w:rPr>
          <w:rFonts w:eastAsia="Calibri" w:cs="Tahoma"/>
          <w:b/>
          <w:color w:val="auto"/>
        </w:rPr>
        <w:t>CUARTO</w:t>
      </w:r>
      <w:r w:rsidRPr="00793B5E">
        <w:rPr>
          <w:rFonts w:eastAsia="Calibri" w:cs="Tahoma"/>
          <w:b/>
          <w:bCs/>
          <w:color w:val="auto"/>
        </w:rPr>
        <w:t xml:space="preserve">. </w:t>
      </w:r>
      <w:r w:rsidRPr="00793B5E">
        <w:rPr>
          <w:rFonts w:cs="Tahoma"/>
          <w:b/>
          <w:color w:val="auto"/>
        </w:rPr>
        <w:t>NOTIFÍQUESE POR SAIMEX</w:t>
      </w:r>
      <w:r w:rsidRPr="00793B5E">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93B5E" w:rsidRDefault="00D1318A" w:rsidP="00C63600">
      <w:pPr>
        <w:spacing w:after="0" w:line="360" w:lineRule="auto"/>
        <w:contextualSpacing/>
        <w:rPr>
          <w:rFonts w:cs="Arial"/>
          <w:b/>
          <w:bCs/>
          <w:color w:val="auto"/>
        </w:rPr>
      </w:pPr>
    </w:p>
    <w:p w14:paraId="440D22CF" w14:textId="0065A38D" w:rsidR="00D1318A" w:rsidRPr="002713DE" w:rsidRDefault="00D1318A" w:rsidP="00C63600">
      <w:pPr>
        <w:spacing w:after="0" w:line="360" w:lineRule="auto"/>
        <w:contextualSpacing/>
        <w:rPr>
          <w:rFonts w:cs="Tahoma"/>
          <w:b/>
          <w:bCs/>
          <w:color w:val="auto"/>
        </w:rPr>
      </w:pPr>
      <w:r w:rsidRPr="00793B5E">
        <w:rPr>
          <w:rFonts w:eastAsia="Calibri" w:cs="Tahoma"/>
          <w:bCs/>
          <w:color w:val="auto"/>
        </w:rPr>
        <w:lastRenderedPageBreak/>
        <w:t>ASÍ LO RESUELVE, POR </w:t>
      </w:r>
      <w:r w:rsidRPr="00793B5E">
        <w:rPr>
          <w:rFonts w:eastAsia="Calibri" w:cs="Tahoma"/>
          <w:b/>
          <w:bCs/>
          <w:color w:val="auto"/>
        </w:rPr>
        <w:t>UNANIMIDAD</w:t>
      </w:r>
      <w:r w:rsidRPr="00793B5E">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5259C">
        <w:rPr>
          <w:rFonts w:eastAsia="Calibri" w:cs="Tahoma"/>
          <w:bCs/>
          <w:color w:val="auto"/>
        </w:rPr>
        <w:t xml:space="preserve"> </w:t>
      </w:r>
      <w:r w:rsidR="00E87B59">
        <w:rPr>
          <w:rFonts w:eastAsia="Calibri" w:cs="Tahoma"/>
          <w:bCs/>
          <w:color w:val="auto"/>
        </w:rPr>
        <w:t xml:space="preserve">CON VOTO PARTICULAR Y </w:t>
      </w:r>
      <w:r w:rsidRPr="00793B5E">
        <w:rPr>
          <w:rFonts w:eastAsia="Calibri" w:cs="Tahoma"/>
          <w:bCs/>
          <w:color w:val="auto"/>
        </w:rPr>
        <w:t>GUADALUPE RAMÍREZ PEÑA</w:t>
      </w:r>
      <w:r w:rsidR="00E87B59">
        <w:rPr>
          <w:rFonts w:eastAsia="Calibri" w:cs="Tahoma"/>
          <w:bCs/>
          <w:color w:val="auto"/>
        </w:rPr>
        <w:t xml:space="preserve"> </w:t>
      </w:r>
      <w:r w:rsidR="00E5259C">
        <w:rPr>
          <w:rFonts w:eastAsia="Calibri" w:cs="Tahoma"/>
          <w:bCs/>
          <w:color w:val="auto"/>
        </w:rPr>
        <w:t>CON VOTO PARTICULAR</w:t>
      </w:r>
      <w:r w:rsidR="00CF7AA5" w:rsidRPr="00793B5E">
        <w:rPr>
          <w:rFonts w:eastAsia="Calibri" w:cs="Tahoma"/>
          <w:bCs/>
          <w:color w:val="auto"/>
        </w:rPr>
        <w:t xml:space="preserve">, EN LA </w:t>
      </w:r>
      <w:r w:rsidR="00DA2C1D" w:rsidRPr="00793B5E">
        <w:rPr>
          <w:rFonts w:eastAsia="Calibri" w:cs="Tahoma"/>
          <w:bCs/>
          <w:color w:val="auto"/>
        </w:rPr>
        <w:t xml:space="preserve">TRIGÉSIMA </w:t>
      </w:r>
      <w:r w:rsidR="00F61322" w:rsidRPr="00793B5E">
        <w:rPr>
          <w:rFonts w:eastAsia="Calibri" w:cs="Tahoma"/>
          <w:bCs/>
          <w:color w:val="auto"/>
        </w:rPr>
        <w:t xml:space="preserve">CUARTA </w:t>
      </w:r>
      <w:r w:rsidRPr="00793B5E">
        <w:rPr>
          <w:rFonts w:eastAsia="Calibri" w:cs="Tahoma"/>
          <w:bCs/>
          <w:color w:val="auto"/>
        </w:rPr>
        <w:t>SESIÓN ORDINA</w:t>
      </w:r>
      <w:r w:rsidR="00715343" w:rsidRPr="00793B5E">
        <w:rPr>
          <w:rFonts w:eastAsia="Calibri" w:cs="Tahoma"/>
          <w:bCs/>
          <w:color w:val="auto"/>
        </w:rPr>
        <w:t>RIA, C</w:t>
      </w:r>
      <w:r w:rsidR="0052714E" w:rsidRPr="00793B5E">
        <w:rPr>
          <w:rFonts w:eastAsia="Calibri" w:cs="Tahoma"/>
          <w:bCs/>
          <w:color w:val="auto"/>
        </w:rPr>
        <w:t xml:space="preserve">ELEBRADA EL </w:t>
      </w:r>
      <w:r w:rsidR="00AF3EAF" w:rsidRPr="00793B5E">
        <w:rPr>
          <w:rFonts w:eastAsia="Calibri" w:cs="Tahoma"/>
          <w:bCs/>
          <w:color w:val="auto"/>
        </w:rPr>
        <w:t>VEINTICUATRO</w:t>
      </w:r>
      <w:r w:rsidR="002713DE" w:rsidRPr="00793B5E">
        <w:rPr>
          <w:rFonts w:eastAsia="Calibri" w:cs="Tahoma"/>
          <w:bCs/>
          <w:color w:val="auto"/>
        </w:rPr>
        <w:t xml:space="preserve"> DE SEPTIEMBRE </w:t>
      </w:r>
      <w:r w:rsidRPr="00793B5E">
        <w:rPr>
          <w:rFonts w:eastAsia="Calibri" w:cs="Tahoma"/>
          <w:bCs/>
          <w:color w:val="auto"/>
        </w:rPr>
        <w:t>DE DOS MIL VEINTICINCO, ANTE EL SECRETARIO TÉCNICO DEL PLENO, ALEXIS TAPIA RAMÍREZ.</w:t>
      </w:r>
    </w:p>
    <w:p w14:paraId="2BA380C7" w14:textId="77777777" w:rsidR="00D1318A" w:rsidRPr="002713DE" w:rsidRDefault="00D1318A" w:rsidP="00C63600">
      <w:pPr>
        <w:spacing w:after="0" w:line="360" w:lineRule="auto"/>
        <w:ind w:right="-28"/>
        <w:rPr>
          <w:color w:val="auto"/>
        </w:rPr>
      </w:pPr>
    </w:p>
    <w:p w14:paraId="1FFCF4F3" w14:textId="77777777" w:rsidR="00B02499" w:rsidRPr="002713DE" w:rsidRDefault="00B02499" w:rsidP="00C63600">
      <w:pPr>
        <w:spacing w:after="0" w:line="360" w:lineRule="auto"/>
        <w:rPr>
          <w:rFonts w:eastAsia="Calibri" w:cs="Times New Roman"/>
          <w:b/>
          <w:bCs/>
          <w:color w:val="auto"/>
        </w:rPr>
      </w:pPr>
    </w:p>
    <w:p w14:paraId="654C889D" w14:textId="77777777" w:rsidR="00B02499" w:rsidRPr="002713DE" w:rsidRDefault="00B02499" w:rsidP="00C63600">
      <w:pPr>
        <w:spacing w:after="0" w:line="360" w:lineRule="auto"/>
        <w:rPr>
          <w:rFonts w:eastAsia="Calibri" w:cs="Times New Roman"/>
          <w:b/>
          <w:bCs/>
          <w:color w:val="auto"/>
        </w:rPr>
      </w:pPr>
    </w:p>
    <w:p w14:paraId="097C707A" w14:textId="77777777" w:rsidR="004A10B0" w:rsidRPr="002713DE" w:rsidRDefault="004A10B0" w:rsidP="00C63600">
      <w:pPr>
        <w:spacing w:after="0" w:line="360" w:lineRule="auto"/>
        <w:contextualSpacing/>
        <w:rPr>
          <w:rFonts w:eastAsia="Calibri" w:cs="Times New Roman"/>
          <w:color w:val="auto"/>
        </w:rPr>
      </w:pPr>
    </w:p>
    <w:p w14:paraId="3677DBED" w14:textId="77777777" w:rsidR="004A10B0" w:rsidRPr="002713DE" w:rsidRDefault="004A10B0" w:rsidP="00C63600">
      <w:pPr>
        <w:spacing w:after="0" w:line="360" w:lineRule="auto"/>
        <w:contextualSpacing/>
        <w:rPr>
          <w:color w:val="auto"/>
        </w:rPr>
      </w:pPr>
    </w:p>
    <w:p w14:paraId="74E8DB3F" w14:textId="77777777" w:rsidR="00C556AB" w:rsidRPr="002713DE" w:rsidRDefault="00C556AB" w:rsidP="00C63600">
      <w:pPr>
        <w:spacing w:after="0" w:line="360" w:lineRule="auto"/>
        <w:rPr>
          <w:color w:val="auto"/>
        </w:rPr>
      </w:pPr>
    </w:p>
    <w:p w14:paraId="1A555613" w14:textId="77777777" w:rsidR="00023BBD" w:rsidRPr="002713DE" w:rsidRDefault="00023BBD" w:rsidP="00C63600">
      <w:pPr>
        <w:spacing w:after="0" w:line="360" w:lineRule="auto"/>
        <w:rPr>
          <w:color w:val="auto"/>
        </w:rPr>
      </w:pPr>
    </w:p>
    <w:p w14:paraId="2DB71CAF" w14:textId="49BEE08C" w:rsidR="001D4F21" w:rsidRPr="000E17EC" w:rsidRDefault="001D4F21" w:rsidP="00C63600">
      <w:pPr>
        <w:spacing w:after="0" w:line="360" w:lineRule="auto"/>
        <w:rPr>
          <w:color w:val="FF0000"/>
        </w:rPr>
      </w:pPr>
    </w:p>
    <w:p w14:paraId="38B4EF2E" w14:textId="77777777" w:rsidR="001D4F21" w:rsidRPr="000E17EC" w:rsidRDefault="001D4F21" w:rsidP="00C63600">
      <w:pPr>
        <w:spacing w:after="0" w:line="360" w:lineRule="auto"/>
        <w:rPr>
          <w:color w:val="FF0000"/>
        </w:rPr>
      </w:pPr>
    </w:p>
    <w:p w14:paraId="4201A0A0" w14:textId="77777777" w:rsidR="00E864E9" w:rsidRPr="000E17EC" w:rsidRDefault="00E864E9" w:rsidP="00C63600">
      <w:pPr>
        <w:tabs>
          <w:tab w:val="right" w:pos="8931"/>
        </w:tabs>
        <w:spacing w:after="0" w:line="360" w:lineRule="auto"/>
        <w:rPr>
          <w:color w:val="FF0000"/>
        </w:rPr>
      </w:pPr>
    </w:p>
    <w:p w14:paraId="543728D1" w14:textId="77777777" w:rsidR="00E864E9" w:rsidRDefault="00E864E9" w:rsidP="00C63600">
      <w:pPr>
        <w:tabs>
          <w:tab w:val="right" w:pos="8931"/>
        </w:tabs>
        <w:spacing w:after="0" w:line="360" w:lineRule="auto"/>
        <w:rPr>
          <w:color w:val="FF0000"/>
        </w:rPr>
      </w:pPr>
    </w:p>
    <w:p w14:paraId="563FFB5D" w14:textId="77777777" w:rsidR="00E87B59" w:rsidRDefault="00E87B59" w:rsidP="00C63600">
      <w:pPr>
        <w:tabs>
          <w:tab w:val="right" w:pos="8931"/>
        </w:tabs>
        <w:spacing w:after="0" w:line="360" w:lineRule="auto"/>
        <w:rPr>
          <w:color w:val="FF0000"/>
        </w:rPr>
      </w:pPr>
    </w:p>
    <w:p w14:paraId="6F9AFFE4" w14:textId="77777777" w:rsidR="00E87B59" w:rsidRDefault="00E87B59" w:rsidP="00C63600">
      <w:pPr>
        <w:tabs>
          <w:tab w:val="right" w:pos="8931"/>
        </w:tabs>
        <w:spacing w:after="0" w:line="360" w:lineRule="auto"/>
        <w:rPr>
          <w:color w:val="FF0000"/>
        </w:rPr>
      </w:pPr>
    </w:p>
    <w:p w14:paraId="2857C5A4" w14:textId="77777777" w:rsidR="00E87B59" w:rsidRDefault="00E87B59" w:rsidP="00C63600">
      <w:pPr>
        <w:tabs>
          <w:tab w:val="right" w:pos="8931"/>
        </w:tabs>
        <w:spacing w:after="0" w:line="360" w:lineRule="auto"/>
        <w:rPr>
          <w:color w:val="FF0000"/>
        </w:rPr>
      </w:pPr>
    </w:p>
    <w:p w14:paraId="4A45E923" w14:textId="77777777" w:rsidR="00E87B59" w:rsidRDefault="00E87B59" w:rsidP="00C63600">
      <w:pPr>
        <w:tabs>
          <w:tab w:val="right" w:pos="8931"/>
        </w:tabs>
        <w:spacing w:after="0" w:line="360" w:lineRule="auto"/>
        <w:rPr>
          <w:color w:val="FF0000"/>
        </w:rPr>
      </w:pPr>
    </w:p>
    <w:p w14:paraId="770DC545" w14:textId="77777777" w:rsidR="00E87B59" w:rsidRDefault="00E87B59" w:rsidP="00C63600">
      <w:pPr>
        <w:tabs>
          <w:tab w:val="right" w:pos="8931"/>
        </w:tabs>
        <w:spacing w:after="0" w:line="360" w:lineRule="auto"/>
        <w:rPr>
          <w:color w:val="FF0000"/>
        </w:rPr>
      </w:pPr>
    </w:p>
    <w:p w14:paraId="6655D4EF" w14:textId="77777777" w:rsidR="00E87B59" w:rsidRDefault="00E87B59" w:rsidP="00C63600">
      <w:pPr>
        <w:tabs>
          <w:tab w:val="right" w:pos="8931"/>
        </w:tabs>
        <w:spacing w:after="0" w:line="360" w:lineRule="auto"/>
        <w:rPr>
          <w:color w:val="FF0000"/>
        </w:rPr>
      </w:pPr>
    </w:p>
    <w:p w14:paraId="05D6D22F" w14:textId="77777777" w:rsidR="00E87B59" w:rsidRDefault="00E87B59" w:rsidP="00C63600">
      <w:pPr>
        <w:tabs>
          <w:tab w:val="right" w:pos="8931"/>
        </w:tabs>
        <w:spacing w:after="0" w:line="360" w:lineRule="auto"/>
        <w:rPr>
          <w:color w:val="FF0000"/>
        </w:rPr>
      </w:pPr>
    </w:p>
    <w:p w14:paraId="1D4A0422" w14:textId="77777777" w:rsidR="00E87B59" w:rsidRDefault="00E87B59" w:rsidP="00C63600">
      <w:pPr>
        <w:tabs>
          <w:tab w:val="right" w:pos="8931"/>
        </w:tabs>
        <w:spacing w:after="0" w:line="360" w:lineRule="auto"/>
        <w:rPr>
          <w:color w:val="FF0000"/>
        </w:rPr>
      </w:pPr>
    </w:p>
    <w:p w14:paraId="3B8D4286" w14:textId="77777777" w:rsidR="00E87B59" w:rsidRPr="000E17EC" w:rsidRDefault="00E87B59" w:rsidP="00C63600">
      <w:pPr>
        <w:tabs>
          <w:tab w:val="right" w:pos="8931"/>
        </w:tabs>
        <w:spacing w:after="0" w:line="360" w:lineRule="auto"/>
        <w:rPr>
          <w:color w:val="FF0000"/>
        </w:rPr>
      </w:pPr>
    </w:p>
    <w:p w14:paraId="0E4439D0" w14:textId="5248D3C9" w:rsidR="007B58B9" w:rsidRPr="000E17EC" w:rsidRDefault="007B58B9" w:rsidP="00C63600">
      <w:pPr>
        <w:spacing w:after="0" w:line="360" w:lineRule="auto"/>
        <w:rPr>
          <w:color w:val="FF0000"/>
        </w:rPr>
      </w:pPr>
    </w:p>
    <w:p w14:paraId="26916C77" w14:textId="77777777" w:rsidR="00A37EDE" w:rsidRPr="000E17EC" w:rsidRDefault="00A37EDE" w:rsidP="00C63600">
      <w:pPr>
        <w:spacing w:after="0" w:line="360" w:lineRule="auto"/>
        <w:rPr>
          <w:color w:val="FF0000"/>
        </w:rPr>
      </w:pPr>
    </w:p>
    <w:sectPr w:rsidR="00A37EDE" w:rsidRPr="000E17EC"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95C5" w14:textId="77777777" w:rsidR="00564CE6" w:rsidRDefault="00564CE6">
      <w:pPr>
        <w:spacing w:after="0" w:line="240" w:lineRule="auto"/>
      </w:pPr>
      <w:r>
        <w:separator/>
      </w:r>
    </w:p>
  </w:endnote>
  <w:endnote w:type="continuationSeparator" w:id="0">
    <w:p w14:paraId="651B1831" w14:textId="77777777" w:rsidR="00564CE6" w:rsidRDefault="0056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875233" w:rsidRDefault="0087523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7BF6">
      <w:rPr>
        <w:b/>
        <w:noProof/>
        <w:color w:val="000000"/>
        <w:sz w:val="24"/>
        <w:szCs w:val="24"/>
      </w:rPr>
      <w:t>44</w:t>
    </w:r>
    <w:r>
      <w:rPr>
        <w:b/>
        <w:color w:val="000000"/>
        <w:sz w:val="24"/>
        <w:szCs w:val="24"/>
      </w:rPr>
      <w:fldChar w:fldCharType="end"/>
    </w:r>
  </w:p>
  <w:p w14:paraId="7EB9860B" w14:textId="77777777" w:rsidR="00875233" w:rsidRDefault="0087523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875233" w:rsidRDefault="0087523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7BF6">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7BF6">
      <w:rPr>
        <w:b/>
        <w:noProof/>
        <w:color w:val="000000"/>
        <w:sz w:val="24"/>
        <w:szCs w:val="24"/>
      </w:rPr>
      <w:t>44</w:t>
    </w:r>
    <w:r>
      <w:rPr>
        <w:b/>
        <w:color w:val="000000"/>
        <w:sz w:val="24"/>
        <w:szCs w:val="24"/>
      </w:rPr>
      <w:fldChar w:fldCharType="end"/>
    </w:r>
  </w:p>
  <w:p w14:paraId="0D7FA8D9" w14:textId="77777777" w:rsidR="00875233" w:rsidRDefault="0087523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875233" w:rsidRDefault="0087523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27B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27BF6">
      <w:rPr>
        <w:b/>
        <w:noProof/>
        <w:color w:val="000000"/>
        <w:sz w:val="24"/>
        <w:szCs w:val="24"/>
      </w:rPr>
      <w:t>44</w:t>
    </w:r>
    <w:r>
      <w:rPr>
        <w:b/>
        <w:color w:val="000000"/>
        <w:sz w:val="24"/>
        <w:szCs w:val="24"/>
      </w:rPr>
      <w:fldChar w:fldCharType="end"/>
    </w:r>
  </w:p>
  <w:p w14:paraId="6796AF5F" w14:textId="77777777" w:rsidR="00875233" w:rsidRDefault="008752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C2FE" w14:textId="77777777" w:rsidR="00564CE6" w:rsidRDefault="00564CE6">
      <w:pPr>
        <w:spacing w:after="0" w:line="240" w:lineRule="auto"/>
      </w:pPr>
      <w:r>
        <w:separator/>
      </w:r>
    </w:p>
  </w:footnote>
  <w:footnote w:type="continuationSeparator" w:id="0">
    <w:p w14:paraId="23762B54" w14:textId="77777777" w:rsidR="00564CE6" w:rsidRDefault="0056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875233" w:rsidRDefault="0087523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75233" w14:paraId="10C29E94" w14:textId="77777777">
      <w:trPr>
        <w:trHeight w:val="132"/>
      </w:trPr>
      <w:tc>
        <w:tcPr>
          <w:tcW w:w="2691" w:type="dxa"/>
        </w:tcPr>
        <w:p w14:paraId="7D85A4B8" w14:textId="77777777" w:rsidR="00875233" w:rsidRDefault="00875233">
          <w:pPr>
            <w:tabs>
              <w:tab w:val="right" w:pos="8838"/>
            </w:tabs>
            <w:ind w:right="-105"/>
            <w:rPr>
              <w:b/>
            </w:rPr>
          </w:pPr>
          <w:r>
            <w:rPr>
              <w:b/>
            </w:rPr>
            <w:t>Recurso de Revisión:</w:t>
          </w:r>
        </w:p>
      </w:tc>
      <w:tc>
        <w:tcPr>
          <w:tcW w:w="3405" w:type="dxa"/>
        </w:tcPr>
        <w:p w14:paraId="0B0D1A9D" w14:textId="77777777" w:rsidR="00875233" w:rsidRDefault="00875233">
          <w:pPr>
            <w:tabs>
              <w:tab w:val="right" w:pos="8838"/>
            </w:tabs>
            <w:ind w:left="-28" w:right="-32"/>
          </w:pPr>
          <w:r>
            <w:t>03846/INFOEM/IP/RR/2020</w:t>
          </w:r>
        </w:p>
      </w:tc>
    </w:tr>
    <w:tr w:rsidR="00875233" w14:paraId="2F47AC72" w14:textId="77777777">
      <w:trPr>
        <w:trHeight w:val="261"/>
      </w:trPr>
      <w:tc>
        <w:tcPr>
          <w:tcW w:w="2691" w:type="dxa"/>
        </w:tcPr>
        <w:p w14:paraId="154A4752" w14:textId="77777777" w:rsidR="00875233" w:rsidRDefault="00875233">
          <w:pPr>
            <w:tabs>
              <w:tab w:val="right" w:pos="8838"/>
            </w:tabs>
            <w:ind w:right="-105"/>
            <w:rPr>
              <w:b/>
            </w:rPr>
          </w:pPr>
          <w:r>
            <w:rPr>
              <w:b/>
            </w:rPr>
            <w:t>Sujeto Obligado:</w:t>
          </w:r>
        </w:p>
      </w:tc>
      <w:tc>
        <w:tcPr>
          <w:tcW w:w="3405" w:type="dxa"/>
        </w:tcPr>
        <w:p w14:paraId="5D9EC711" w14:textId="77777777" w:rsidR="00875233" w:rsidRDefault="00875233">
          <w:pPr>
            <w:tabs>
              <w:tab w:val="right" w:pos="8838"/>
            </w:tabs>
            <w:ind w:right="-32"/>
          </w:pPr>
          <w:r>
            <w:t>Ayuntamiento de Temascalcingo</w:t>
          </w:r>
        </w:p>
      </w:tc>
    </w:tr>
    <w:tr w:rsidR="00875233" w14:paraId="11FBB450" w14:textId="77777777">
      <w:trPr>
        <w:trHeight w:val="261"/>
      </w:trPr>
      <w:tc>
        <w:tcPr>
          <w:tcW w:w="2691" w:type="dxa"/>
        </w:tcPr>
        <w:p w14:paraId="6BAF6003" w14:textId="77777777" w:rsidR="00875233" w:rsidRDefault="00875233">
          <w:pPr>
            <w:tabs>
              <w:tab w:val="right" w:pos="8838"/>
            </w:tabs>
            <w:ind w:right="-105"/>
            <w:rPr>
              <w:b/>
            </w:rPr>
          </w:pPr>
          <w:r>
            <w:rPr>
              <w:b/>
            </w:rPr>
            <w:t>Comisionado Ponente:</w:t>
          </w:r>
        </w:p>
      </w:tc>
      <w:tc>
        <w:tcPr>
          <w:tcW w:w="3405" w:type="dxa"/>
        </w:tcPr>
        <w:p w14:paraId="420341AF" w14:textId="77777777" w:rsidR="00875233" w:rsidRDefault="00875233">
          <w:pPr>
            <w:tabs>
              <w:tab w:val="right" w:pos="8838"/>
            </w:tabs>
            <w:ind w:right="-32"/>
            <w:rPr>
              <w:b/>
            </w:rPr>
          </w:pPr>
          <w:r>
            <w:t>Luis Gustavo Parra Noriega</w:t>
          </w:r>
        </w:p>
      </w:tc>
    </w:tr>
  </w:tbl>
  <w:p w14:paraId="00411D75" w14:textId="77777777" w:rsidR="0087523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E012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875233" w:rsidRDefault="00000000">
    <w:pPr>
      <w:widowControl w:val="0"/>
      <w:pBdr>
        <w:top w:val="nil"/>
        <w:left w:val="nil"/>
        <w:bottom w:val="nil"/>
        <w:right w:val="nil"/>
        <w:between w:val="nil"/>
      </w:pBdr>
      <w:spacing w:after="0" w:line="276" w:lineRule="auto"/>
      <w:jc w:val="left"/>
    </w:pPr>
    <w:r>
      <w:rPr>
        <w:color w:val="000000"/>
      </w:rPr>
      <w:pict w14:anchorId="65DAE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75233" w14:paraId="40D5D5A3" w14:textId="77777777" w:rsidTr="00AE7B9D">
      <w:trPr>
        <w:trHeight w:val="138"/>
      </w:trPr>
      <w:tc>
        <w:tcPr>
          <w:tcW w:w="2693" w:type="dxa"/>
          <w:vAlign w:val="center"/>
        </w:tcPr>
        <w:p w14:paraId="43377EBE" w14:textId="77777777" w:rsidR="00875233" w:rsidRDefault="00875233" w:rsidP="008C266D">
          <w:pPr>
            <w:tabs>
              <w:tab w:val="right" w:pos="8838"/>
            </w:tabs>
            <w:ind w:left="-108" w:right="-105"/>
            <w:jc w:val="left"/>
            <w:rPr>
              <w:b/>
            </w:rPr>
          </w:pPr>
        </w:p>
        <w:p w14:paraId="1DB5C8D0" w14:textId="7E98B3D2" w:rsidR="00875233" w:rsidRDefault="00875233" w:rsidP="008C266D">
          <w:pPr>
            <w:tabs>
              <w:tab w:val="right" w:pos="8838"/>
            </w:tabs>
            <w:ind w:left="-108" w:right="-105"/>
            <w:jc w:val="left"/>
            <w:rPr>
              <w:b/>
            </w:rPr>
          </w:pPr>
          <w:r>
            <w:rPr>
              <w:b/>
            </w:rPr>
            <w:t>Recurso de Revisión:</w:t>
          </w:r>
        </w:p>
      </w:tc>
      <w:tc>
        <w:tcPr>
          <w:tcW w:w="3969" w:type="dxa"/>
        </w:tcPr>
        <w:p w14:paraId="5BCC69C4" w14:textId="77777777" w:rsidR="00875233" w:rsidRPr="00EF0C39" w:rsidRDefault="00875233" w:rsidP="008C266D">
          <w:pPr>
            <w:tabs>
              <w:tab w:val="right" w:pos="8838"/>
            </w:tabs>
            <w:ind w:right="57"/>
          </w:pPr>
        </w:p>
        <w:p w14:paraId="61E59D71" w14:textId="5B3C52FE" w:rsidR="00875233" w:rsidRPr="00EF0C39" w:rsidRDefault="00875233" w:rsidP="008C266D">
          <w:pPr>
            <w:tabs>
              <w:tab w:val="right" w:pos="8838"/>
            </w:tabs>
            <w:ind w:right="57"/>
          </w:pPr>
          <w:r w:rsidRPr="000E17EC">
            <w:t>08271/INFOEM/IP/RR/2025</w:t>
          </w:r>
        </w:p>
      </w:tc>
    </w:tr>
    <w:tr w:rsidR="00875233" w14:paraId="7A281F30" w14:textId="77777777" w:rsidTr="00AE7B9D">
      <w:trPr>
        <w:trHeight w:val="273"/>
      </w:trPr>
      <w:tc>
        <w:tcPr>
          <w:tcW w:w="2693" w:type="dxa"/>
        </w:tcPr>
        <w:p w14:paraId="6671A308" w14:textId="77777777" w:rsidR="00875233" w:rsidRDefault="00875233" w:rsidP="008C266D">
          <w:pPr>
            <w:tabs>
              <w:tab w:val="right" w:pos="8838"/>
            </w:tabs>
            <w:ind w:left="-108" w:right="-105"/>
            <w:rPr>
              <w:b/>
            </w:rPr>
          </w:pPr>
          <w:r>
            <w:rPr>
              <w:b/>
            </w:rPr>
            <w:t>Sujeto Obligado:</w:t>
          </w:r>
        </w:p>
      </w:tc>
      <w:tc>
        <w:tcPr>
          <w:tcW w:w="3969" w:type="dxa"/>
        </w:tcPr>
        <w:p w14:paraId="30885B6D" w14:textId="36BBE987" w:rsidR="00875233" w:rsidRPr="00EF0C39" w:rsidRDefault="00875233" w:rsidP="007B4717">
          <w:pPr>
            <w:tabs>
              <w:tab w:val="right" w:pos="8838"/>
            </w:tabs>
            <w:ind w:right="180"/>
          </w:pPr>
          <w:r w:rsidRPr="000E17EC">
            <w:t>Ayuntamiento de Apaxco</w:t>
          </w:r>
        </w:p>
      </w:tc>
    </w:tr>
    <w:tr w:rsidR="00875233" w14:paraId="00C22F2F" w14:textId="77777777" w:rsidTr="00AE7B9D">
      <w:trPr>
        <w:trHeight w:val="273"/>
      </w:trPr>
      <w:tc>
        <w:tcPr>
          <w:tcW w:w="2693" w:type="dxa"/>
        </w:tcPr>
        <w:p w14:paraId="70417649" w14:textId="77777777" w:rsidR="00875233" w:rsidRDefault="00875233" w:rsidP="008C266D">
          <w:pPr>
            <w:tabs>
              <w:tab w:val="right" w:pos="8838"/>
            </w:tabs>
            <w:ind w:left="-108" w:right="-105"/>
            <w:rPr>
              <w:b/>
            </w:rPr>
          </w:pPr>
          <w:r>
            <w:rPr>
              <w:b/>
            </w:rPr>
            <w:t>Comisionado Ponente:</w:t>
          </w:r>
        </w:p>
      </w:tc>
      <w:tc>
        <w:tcPr>
          <w:tcW w:w="3969" w:type="dxa"/>
        </w:tcPr>
        <w:p w14:paraId="5E6EB38B" w14:textId="77777777" w:rsidR="00875233" w:rsidRPr="00EF0C39" w:rsidRDefault="00875233" w:rsidP="008C266D">
          <w:pPr>
            <w:tabs>
              <w:tab w:val="right" w:pos="8838"/>
            </w:tabs>
            <w:ind w:right="-170"/>
          </w:pPr>
          <w:r w:rsidRPr="00EF0C39">
            <w:t>Luis Gustavo Parra Noriega</w:t>
          </w:r>
        </w:p>
        <w:p w14:paraId="1A63C67B" w14:textId="77777777" w:rsidR="00875233" w:rsidRPr="00EF0C39" w:rsidRDefault="00875233" w:rsidP="008C266D">
          <w:pPr>
            <w:tabs>
              <w:tab w:val="right" w:pos="8838"/>
            </w:tabs>
            <w:ind w:right="-170"/>
            <w:rPr>
              <w:b/>
            </w:rPr>
          </w:pPr>
        </w:p>
      </w:tc>
    </w:tr>
  </w:tbl>
  <w:p w14:paraId="3498D107" w14:textId="7E17876C" w:rsidR="00875233" w:rsidRDefault="0087523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875233" w:rsidRDefault="00875233">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75233" w14:paraId="6B3232BD" w14:textId="77777777" w:rsidTr="00AE7B9D">
      <w:trPr>
        <w:trHeight w:val="132"/>
      </w:trPr>
      <w:tc>
        <w:tcPr>
          <w:tcW w:w="2551" w:type="dxa"/>
        </w:tcPr>
        <w:p w14:paraId="38F16E2F" w14:textId="77777777" w:rsidR="00875233" w:rsidRDefault="00875233">
          <w:pPr>
            <w:tabs>
              <w:tab w:val="right" w:pos="8838"/>
            </w:tabs>
            <w:ind w:right="-105"/>
            <w:rPr>
              <w:b/>
            </w:rPr>
          </w:pPr>
          <w:r>
            <w:rPr>
              <w:b/>
            </w:rPr>
            <w:t>Recurso de Revisión:</w:t>
          </w:r>
        </w:p>
      </w:tc>
      <w:tc>
        <w:tcPr>
          <w:tcW w:w="4253" w:type="dxa"/>
        </w:tcPr>
        <w:p w14:paraId="211CDC0A" w14:textId="7A2A6F8F" w:rsidR="00875233" w:rsidRPr="00026C6B" w:rsidRDefault="00875233" w:rsidP="00026C6B">
          <w:r w:rsidRPr="000E17EC">
            <w:t>08271/INFOEM/IP/RR/2025</w:t>
          </w:r>
        </w:p>
      </w:tc>
    </w:tr>
    <w:tr w:rsidR="00875233" w14:paraId="6AA3CC58" w14:textId="77777777" w:rsidTr="00AE7B9D">
      <w:trPr>
        <w:trHeight w:val="132"/>
      </w:trPr>
      <w:tc>
        <w:tcPr>
          <w:tcW w:w="2551" w:type="dxa"/>
        </w:tcPr>
        <w:p w14:paraId="7FD164F5" w14:textId="77777777" w:rsidR="00875233" w:rsidRDefault="00875233">
          <w:pPr>
            <w:tabs>
              <w:tab w:val="left" w:pos="1875"/>
            </w:tabs>
            <w:ind w:right="-105"/>
            <w:rPr>
              <w:b/>
            </w:rPr>
          </w:pPr>
          <w:r>
            <w:rPr>
              <w:b/>
            </w:rPr>
            <w:t>Recurrente:</w:t>
          </w:r>
          <w:r>
            <w:rPr>
              <w:b/>
            </w:rPr>
            <w:tab/>
          </w:r>
        </w:p>
      </w:tc>
      <w:tc>
        <w:tcPr>
          <w:tcW w:w="4253" w:type="dxa"/>
        </w:tcPr>
        <w:p w14:paraId="1F1B0537" w14:textId="7625CBBA" w:rsidR="00875233" w:rsidRPr="00EF0C39" w:rsidRDefault="0032592F" w:rsidP="000E17EC">
          <w:r w:rsidRPr="0032592F">
            <w:rPr>
              <w:highlight w:val="black"/>
            </w:rPr>
            <w:t>XXXXXXXXXXXXXXXXXXXXX</w:t>
          </w:r>
        </w:p>
      </w:tc>
    </w:tr>
    <w:tr w:rsidR="00875233" w14:paraId="5113CAA6" w14:textId="77777777" w:rsidTr="00AE7B9D">
      <w:trPr>
        <w:trHeight w:val="261"/>
      </w:trPr>
      <w:tc>
        <w:tcPr>
          <w:tcW w:w="2551" w:type="dxa"/>
        </w:tcPr>
        <w:p w14:paraId="28E3431B" w14:textId="30EC7C18" w:rsidR="00875233" w:rsidRDefault="00875233">
          <w:pPr>
            <w:tabs>
              <w:tab w:val="right" w:pos="8838"/>
            </w:tabs>
            <w:ind w:right="-105"/>
            <w:rPr>
              <w:b/>
            </w:rPr>
          </w:pPr>
          <w:r>
            <w:rPr>
              <w:b/>
            </w:rPr>
            <w:t>Sujeto Obligado:</w:t>
          </w:r>
        </w:p>
      </w:tc>
      <w:tc>
        <w:tcPr>
          <w:tcW w:w="4253" w:type="dxa"/>
        </w:tcPr>
        <w:p w14:paraId="3192354E" w14:textId="6C9AFAAB" w:rsidR="00875233" w:rsidRPr="00026C6B" w:rsidRDefault="00875233" w:rsidP="00026C6B">
          <w:r w:rsidRPr="000E17EC">
            <w:t>Ayuntamiento de Apaxco</w:t>
          </w:r>
        </w:p>
      </w:tc>
    </w:tr>
    <w:tr w:rsidR="00875233" w14:paraId="5D4C2A35" w14:textId="77777777" w:rsidTr="00AE7B9D">
      <w:trPr>
        <w:trHeight w:val="261"/>
      </w:trPr>
      <w:tc>
        <w:tcPr>
          <w:tcW w:w="2551" w:type="dxa"/>
        </w:tcPr>
        <w:p w14:paraId="7F522FEC" w14:textId="77777777" w:rsidR="00875233" w:rsidRDefault="00875233">
          <w:pPr>
            <w:tabs>
              <w:tab w:val="right" w:pos="8838"/>
            </w:tabs>
            <w:ind w:right="-105"/>
            <w:rPr>
              <w:b/>
            </w:rPr>
          </w:pPr>
          <w:r>
            <w:rPr>
              <w:b/>
            </w:rPr>
            <w:t>Comisionado Ponente:</w:t>
          </w:r>
        </w:p>
      </w:tc>
      <w:tc>
        <w:tcPr>
          <w:tcW w:w="4253" w:type="dxa"/>
        </w:tcPr>
        <w:p w14:paraId="0F0566F9" w14:textId="77777777" w:rsidR="00875233" w:rsidRPr="00EF0C39" w:rsidRDefault="00875233" w:rsidP="00C46A25">
          <w:pPr>
            <w:tabs>
              <w:tab w:val="right" w:pos="8838"/>
            </w:tabs>
            <w:ind w:right="-32"/>
            <w:rPr>
              <w:b/>
            </w:rPr>
          </w:pPr>
          <w:r w:rsidRPr="00EF0C39">
            <w:t>Luis Gustavo Parra Noriega</w:t>
          </w:r>
        </w:p>
      </w:tc>
    </w:tr>
  </w:tbl>
  <w:p w14:paraId="4DFC2598" w14:textId="77777777" w:rsidR="0087523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641A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962114"/>
    <w:multiLevelType w:val="hybridMultilevel"/>
    <w:tmpl w:val="88EEA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E763F"/>
    <w:multiLevelType w:val="hybridMultilevel"/>
    <w:tmpl w:val="1E82B2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627E1"/>
    <w:multiLevelType w:val="hybridMultilevel"/>
    <w:tmpl w:val="1E82B2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A4175C"/>
    <w:multiLevelType w:val="hybridMultilevel"/>
    <w:tmpl w:val="97B8E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512A01"/>
    <w:multiLevelType w:val="hybridMultilevel"/>
    <w:tmpl w:val="C0DC4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DD92080"/>
    <w:multiLevelType w:val="hybridMultilevel"/>
    <w:tmpl w:val="F92CD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2AA513E"/>
    <w:multiLevelType w:val="hybridMultilevel"/>
    <w:tmpl w:val="EF70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1D6919"/>
    <w:multiLevelType w:val="hybridMultilevel"/>
    <w:tmpl w:val="5B3C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BB36F8"/>
    <w:multiLevelType w:val="hybridMultilevel"/>
    <w:tmpl w:val="C0DC4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9D2D94"/>
    <w:multiLevelType w:val="hybridMultilevel"/>
    <w:tmpl w:val="8A6CC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80251A"/>
    <w:multiLevelType w:val="hybridMultilevel"/>
    <w:tmpl w:val="1DBAB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53542F"/>
    <w:multiLevelType w:val="hybridMultilevel"/>
    <w:tmpl w:val="BEF44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925072C"/>
    <w:multiLevelType w:val="hybridMultilevel"/>
    <w:tmpl w:val="0282A3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2136096">
    <w:abstractNumId w:val="14"/>
  </w:num>
  <w:num w:numId="2" w16cid:durableId="974917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920162">
    <w:abstractNumId w:val="29"/>
  </w:num>
  <w:num w:numId="4" w16cid:durableId="1165509733">
    <w:abstractNumId w:val="18"/>
  </w:num>
  <w:num w:numId="5" w16cid:durableId="1398817505">
    <w:abstractNumId w:val="9"/>
  </w:num>
  <w:num w:numId="6" w16cid:durableId="1494223555">
    <w:abstractNumId w:val="6"/>
  </w:num>
  <w:num w:numId="7" w16cid:durableId="1394353307">
    <w:abstractNumId w:val="15"/>
  </w:num>
  <w:num w:numId="8" w16cid:durableId="1716932069">
    <w:abstractNumId w:val="0"/>
  </w:num>
  <w:num w:numId="9" w16cid:durableId="993683236">
    <w:abstractNumId w:val="7"/>
  </w:num>
  <w:num w:numId="10" w16cid:durableId="1673798915">
    <w:abstractNumId w:val="26"/>
  </w:num>
  <w:num w:numId="11" w16cid:durableId="905258974">
    <w:abstractNumId w:val="32"/>
  </w:num>
  <w:num w:numId="12" w16cid:durableId="530723566">
    <w:abstractNumId w:val="1"/>
  </w:num>
  <w:num w:numId="13" w16cid:durableId="1345859916">
    <w:abstractNumId w:val="34"/>
  </w:num>
  <w:num w:numId="14" w16cid:durableId="1576475035">
    <w:abstractNumId w:val="39"/>
  </w:num>
  <w:num w:numId="15" w16cid:durableId="1743721623">
    <w:abstractNumId w:val="10"/>
  </w:num>
  <w:num w:numId="16" w16cid:durableId="382951980">
    <w:abstractNumId w:val="44"/>
  </w:num>
  <w:num w:numId="17" w16cid:durableId="541484574">
    <w:abstractNumId w:val="42"/>
  </w:num>
  <w:num w:numId="18" w16cid:durableId="1948148022">
    <w:abstractNumId w:val="16"/>
  </w:num>
  <w:num w:numId="19" w16cid:durableId="388460408">
    <w:abstractNumId w:val="31"/>
  </w:num>
  <w:num w:numId="20" w16cid:durableId="858471564">
    <w:abstractNumId w:val="27"/>
  </w:num>
  <w:num w:numId="21" w16cid:durableId="122964396">
    <w:abstractNumId w:val="13"/>
  </w:num>
  <w:num w:numId="22" w16cid:durableId="153495947">
    <w:abstractNumId w:val="38"/>
  </w:num>
  <w:num w:numId="23" w16cid:durableId="1554848836">
    <w:abstractNumId w:val="2"/>
  </w:num>
  <w:num w:numId="24" w16cid:durableId="1415590045">
    <w:abstractNumId w:val="23"/>
  </w:num>
  <w:num w:numId="25" w16cid:durableId="844905454">
    <w:abstractNumId w:val="36"/>
  </w:num>
  <w:num w:numId="26" w16cid:durableId="2071493452">
    <w:abstractNumId w:val="8"/>
  </w:num>
  <w:num w:numId="27" w16cid:durableId="722558972">
    <w:abstractNumId w:val="12"/>
  </w:num>
  <w:num w:numId="28" w16cid:durableId="773018435">
    <w:abstractNumId w:val="43"/>
  </w:num>
  <w:num w:numId="29" w16cid:durableId="1647706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348017">
    <w:abstractNumId w:val="28"/>
  </w:num>
  <w:num w:numId="31" w16cid:durableId="2069759325">
    <w:abstractNumId w:val="35"/>
  </w:num>
  <w:num w:numId="32" w16cid:durableId="123934244">
    <w:abstractNumId w:val="25"/>
  </w:num>
  <w:num w:numId="33" w16cid:durableId="1362821805">
    <w:abstractNumId w:val="24"/>
  </w:num>
  <w:num w:numId="34" w16cid:durableId="1765615470">
    <w:abstractNumId w:val="19"/>
  </w:num>
  <w:num w:numId="35" w16cid:durableId="1844083996">
    <w:abstractNumId w:val="3"/>
  </w:num>
  <w:num w:numId="36" w16cid:durableId="1844082209">
    <w:abstractNumId w:val="37"/>
  </w:num>
  <w:num w:numId="37" w16cid:durableId="1158880350">
    <w:abstractNumId w:val="40"/>
  </w:num>
  <w:num w:numId="38" w16cid:durableId="757101329">
    <w:abstractNumId w:val="11"/>
  </w:num>
  <w:num w:numId="39" w16cid:durableId="1743020780">
    <w:abstractNumId w:val="30"/>
  </w:num>
  <w:num w:numId="40" w16cid:durableId="903836471">
    <w:abstractNumId w:val="41"/>
  </w:num>
  <w:num w:numId="41" w16cid:durableId="261914472">
    <w:abstractNumId w:val="5"/>
  </w:num>
  <w:num w:numId="42" w16cid:durableId="1533956940">
    <w:abstractNumId w:val="45"/>
  </w:num>
  <w:num w:numId="43" w16cid:durableId="711266314">
    <w:abstractNumId w:val="17"/>
  </w:num>
  <w:num w:numId="44" w16cid:durableId="343020285">
    <w:abstractNumId w:val="4"/>
  </w:num>
  <w:num w:numId="45" w16cid:durableId="1144127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9799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215393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4074"/>
    <w:rsid w:val="0006571A"/>
    <w:rsid w:val="000709AA"/>
    <w:rsid w:val="000735F0"/>
    <w:rsid w:val="00073949"/>
    <w:rsid w:val="00075996"/>
    <w:rsid w:val="00075A71"/>
    <w:rsid w:val="00075CAF"/>
    <w:rsid w:val="00080524"/>
    <w:rsid w:val="00081D01"/>
    <w:rsid w:val="0008295C"/>
    <w:rsid w:val="00082B5B"/>
    <w:rsid w:val="00083169"/>
    <w:rsid w:val="00084273"/>
    <w:rsid w:val="00085D44"/>
    <w:rsid w:val="000866B0"/>
    <w:rsid w:val="00087074"/>
    <w:rsid w:val="00087EDB"/>
    <w:rsid w:val="0009167E"/>
    <w:rsid w:val="0009192F"/>
    <w:rsid w:val="00092501"/>
    <w:rsid w:val="000946F3"/>
    <w:rsid w:val="00095FB6"/>
    <w:rsid w:val="00096C21"/>
    <w:rsid w:val="00096CFE"/>
    <w:rsid w:val="00097C52"/>
    <w:rsid w:val="000A2B9F"/>
    <w:rsid w:val="000A2EA2"/>
    <w:rsid w:val="000A3910"/>
    <w:rsid w:val="000A4DC8"/>
    <w:rsid w:val="000A5B44"/>
    <w:rsid w:val="000A706F"/>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7EC"/>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48F4"/>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85FE3"/>
    <w:rsid w:val="00192C48"/>
    <w:rsid w:val="00193CE3"/>
    <w:rsid w:val="00195388"/>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2A8B"/>
    <w:rsid w:val="001F5043"/>
    <w:rsid w:val="001F5610"/>
    <w:rsid w:val="001F6FD5"/>
    <w:rsid w:val="001F7AD4"/>
    <w:rsid w:val="00200E63"/>
    <w:rsid w:val="002019AA"/>
    <w:rsid w:val="002025F4"/>
    <w:rsid w:val="00203520"/>
    <w:rsid w:val="00203F8C"/>
    <w:rsid w:val="0020468D"/>
    <w:rsid w:val="00204DE3"/>
    <w:rsid w:val="0020727C"/>
    <w:rsid w:val="002075C1"/>
    <w:rsid w:val="00211522"/>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814"/>
    <w:rsid w:val="00266E26"/>
    <w:rsid w:val="00267457"/>
    <w:rsid w:val="002713DE"/>
    <w:rsid w:val="00271E85"/>
    <w:rsid w:val="00273A4E"/>
    <w:rsid w:val="00274745"/>
    <w:rsid w:val="00274EC1"/>
    <w:rsid w:val="002779C0"/>
    <w:rsid w:val="00280625"/>
    <w:rsid w:val="00280CF8"/>
    <w:rsid w:val="00282176"/>
    <w:rsid w:val="002822A3"/>
    <w:rsid w:val="0028277C"/>
    <w:rsid w:val="00282C2E"/>
    <w:rsid w:val="00287374"/>
    <w:rsid w:val="00287797"/>
    <w:rsid w:val="0029130B"/>
    <w:rsid w:val="00291318"/>
    <w:rsid w:val="0029310D"/>
    <w:rsid w:val="00293A22"/>
    <w:rsid w:val="00294C03"/>
    <w:rsid w:val="00295482"/>
    <w:rsid w:val="00296B19"/>
    <w:rsid w:val="0029784D"/>
    <w:rsid w:val="002A02CD"/>
    <w:rsid w:val="002A376A"/>
    <w:rsid w:val="002A3A8E"/>
    <w:rsid w:val="002A513F"/>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20"/>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06F7C"/>
    <w:rsid w:val="00310366"/>
    <w:rsid w:val="00310A3F"/>
    <w:rsid w:val="00310AF4"/>
    <w:rsid w:val="00311CAF"/>
    <w:rsid w:val="0031200F"/>
    <w:rsid w:val="00312EFE"/>
    <w:rsid w:val="003131F2"/>
    <w:rsid w:val="00313684"/>
    <w:rsid w:val="00314919"/>
    <w:rsid w:val="003155C2"/>
    <w:rsid w:val="00316458"/>
    <w:rsid w:val="00320D4E"/>
    <w:rsid w:val="0032276A"/>
    <w:rsid w:val="00322E84"/>
    <w:rsid w:val="0032438A"/>
    <w:rsid w:val="0032470F"/>
    <w:rsid w:val="0032592F"/>
    <w:rsid w:val="00325B13"/>
    <w:rsid w:val="00325D1E"/>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6756B"/>
    <w:rsid w:val="00376AEF"/>
    <w:rsid w:val="00376C3E"/>
    <w:rsid w:val="00381132"/>
    <w:rsid w:val="003814AE"/>
    <w:rsid w:val="0038398F"/>
    <w:rsid w:val="00383DAF"/>
    <w:rsid w:val="00384E34"/>
    <w:rsid w:val="00384E94"/>
    <w:rsid w:val="00385DD2"/>
    <w:rsid w:val="003860AA"/>
    <w:rsid w:val="0038731F"/>
    <w:rsid w:val="003876F1"/>
    <w:rsid w:val="00390A24"/>
    <w:rsid w:val="00391317"/>
    <w:rsid w:val="003949BA"/>
    <w:rsid w:val="0039615C"/>
    <w:rsid w:val="00396517"/>
    <w:rsid w:val="00397991"/>
    <w:rsid w:val="003A103F"/>
    <w:rsid w:val="003A15A2"/>
    <w:rsid w:val="003A20EC"/>
    <w:rsid w:val="003A2B31"/>
    <w:rsid w:val="003A421C"/>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3AC"/>
    <w:rsid w:val="003E6941"/>
    <w:rsid w:val="003E7FFD"/>
    <w:rsid w:val="003F0A87"/>
    <w:rsid w:val="003F18D5"/>
    <w:rsid w:val="003F1D74"/>
    <w:rsid w:val="003F2BF4"/>
    <w:rsid w:val="003F2C8E"/>
    <w:rsid w:val="003F47E1"/>
    <w:rsid w:val="003F4C6D"/>
    <w:rsid w:val="003F5F91"/>
    <w:rsid w:val="003F6C55"/>
    <w:rsid w:val="0040398B"/>
    <w:rsid w:val="00404B15"/>
    <w:rsid w:val="004068E7"/>
    <w:rsid w:val="004076BD"/>
    <w:rsid w:val="0041096D"/>
    <w:rsid w:val="004111B6"/>
    <w:rsid w:val="00413093"/>
    <w:rsid w:val="0041418A"/>
    <w:rsid w:val="0041557C"/>
    <w:rsid w:val="00417AAE"/>
    <w:rsid w:val="00417C0D"/>
    <w:rsid w:val="00417F3A"/>
    <w:rsid w:val="00420209"/>
    <w:rsid w:val="004214D5"/>
    <w:rsid w:val="00422311"/>
    <w:rsid w:val="00426D0D"/>
    <w:rsid w:val="0043065C"/>
    <w:rsid w:val="004306AC"/>
    <w:rsid w:val="00430DD8"/>
    <w:rsid w:val="004326F9"/>
    <w:rsid w:val="00434B43"/>
    <w:rsid w:val="004352C6"/>
    <w:rsid w:val="00436F80"/>
    <w:rsid w:val="0044017B"/>
    <w:rsid w:val="004402A7"/>
    <w:rsid w:val="004415DA"/>
    <w:rsid w:val="00442432"/>
    <w:rsid w:val="00442B6F"/>
    <w:rsid w:val="0044320C"/>
    <w:rsid w:val="0044451C"/>
    <w:rsid w:val="00445A40"/>
    <w:rsid w:val="00446CA3"/>
    <w:rsid w:val="004475C6"/>
    <w:rsid w:val="004479B9"/>
    <w:rsid w:val="00450282"/>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2EDF"/>
    <w:rsid w:val="00483320"/>
    <w:rsid w:val="00484E27"/>
    <w:rsid w:val="00487556"/>
    <w:rsid w:val="00492142"/>
    <w:rsid w:val="00492333"/>
    <w:rsid w:val="0049696B"/>
    <w:rsid w:val="0049788F"/>
    <w:rsid w:val="004A090A"/>
    <w:rsid w:val="004A10B0"/>
    <w:rsid w:val="004A10E6"/>
    <w:rsid w:val="004A45A2"/>
    <w:rsid w:val="004A5405"/>
    <w:rsid w:val="004B0C65"/>
    <w:rsid w:val="004B27E7"/>
    <w:rsid w:val="004B33EF"/>
    <w:rsid w:val="004B58D3"/>
    <w:rsid w:val="004B7343"/>
    <w:rsid w:val="004B73FB"/>
    <w:rsid w:val="004C21E6"/>
    <w:rsid w:val="004C465F"/>
    <w:rsid w:val="004C56AA"/>
    <w:rsid w:val="004C5FBB"/>
    <w:rsid w:val="004C60FE"/>
    <w:rsid w:val="004C6321"/>
    <w:rsid w:val="004C689B"/>
    <w:rsid w:val="004C7C66"/>
    <w:rsid w:val="004D1D8F"/>
    <w:rsid w:val="004D243B"/>
    <w:rsid w:val="004D2881"/>
    <w:rsid w:val="004D63D9"/>
    <w:rsid w:val="004E0AD6"/>
    <w:rsid w:val="004E22FF"/>
    <w:rsid w:val="004E2EF2"/>
    <w:rsid w:val="004E3063"/>
    <w:rsid w:val="004E47CC"/>
    <w:rsid w:val="004F0490"/>
    <w:rsid w:val="004F2DE2"/>
    <w:rsid w:val="004F525F"/>
    <w:rsid w:val="004F56D3"/>
    <w:rsid w:val="004F59FB"/>
    <w:rsid w:val="004F62B1"/>
    <w:rsid w:val="004F76F4"/>
    <w:rsid w:val="004F7F19"/>
    <w:rsid w:val="00500B4F"/>
    <w:rsid w:val="005018D0"/>
    <w:rsid w:val="00501B98"/>
    <w:rsid w:val="00506126"/>
    <w:rsid w:val="0050621A"/>
    <w:rsid w:val="005072F4"/>
    <w:rsid w:val="0051107B"/>
    <w:rsid w:val="00511E76"/>
    <w:rsid w:val="00512046"/>
    <w:rsid w:val="00512879"/>
    <w:rsid w:val="0051497B"/>
    <w:rsid w:val="00515399"/>
    <w:rsid w:val="00521DBE"/>
    <w:rsid w:val="00521DE5"/>
    <w:rsid w:val="00521F1D"/>
    <w:rsid w:val="00521F47"/>
    <w:rsid w:val="00522A47"/>
    <w:rsid w:val="00523008"/>
    <w:rsid w:val="00524283"/>
    <w:rsid w:val="00525A14"/>
    <w:rsid w:val="00526EC4"/>
    <w:rsid w:val="0052714E"/>
    <w:rsid w:val="00527563"/>
    <w:rsid w:val="00527BF6"/>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4CE6"/>
    <w:rsid w:val="00565861"/>
    <w:rsid w:val="005673D1"/>
    <w:rsid w:val="005674EA"/>
    <w:rsid w:val="00572946"/>
    <w:rsid w:val="005732F8"/>
    <w:rsid w:val="0057387B"/>
    <w:rsid w:val="00580345"/>
    <w:rsid w:val="005816DE"/>
    <w:rsid w:val="005827A7"/>
    <w:rsid w:val="00582FC0"/>
    <w:rsid w:val="00585C29"/>
    <w:rsid w:val="005867A9"/>
    <w:rsid w:val="0058767A"/>
    <w:rsid w:val="00590FB7"/>
    <w:rsid w:val="005914EE"/>
    <w:rsid w:val="00595FCC"/>
    <w:rsid w:val="005A0A77"/>
    <w:rsid w:val="005A381E"/>
    <w:rsid w:val="005A39F4"/>
    <w:rsid w:val="005A79D9"/>
    <w:rsid w:val="005A7C36"/>
    <w:rsid w:val="005B0203"/>
    <w:rsid w:val="005B21C9"/>
    <w:rsid w:val="005B6BFA"/>
    <w:rsid w:val="005C03D2"/>
    <w:rsid w:val="005C20B7"/>
    <w:rsid w:val="005C3BAC"/>
    <w:rsid w:val="005C43CB"/>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B6"/>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14D46"/>
    <w:rsid w:val="0061690C"/>
    <w:rsid w:val="006206A1"/>
    <w:rsid w:val="006207EF"/>
    <w:rsid w:val="00621F29"/>
    <w:rsid w:val="00621F2D"/>
    <w:rsid w:val="00622401"/>
    <w:rsid w:val="00622CFB"/>
    <w:rsid w:val="00623733"/>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2811"/>
    <w:rsid w:val="00654DE3"/>
    <w:rsid w:val="00655068"/>
    <w:rsid w:val="00655B7F"/>
    <w:rsid w:val="006573B9"/>
    <w:rsid w:val="00660AAD"/>
    <w:rsid w:val="00661603"/>
    <w:rsid w:val="0066178F"/>
    <w:rsid w:val="00661B94"/>
    <w:rsid w:val="00662C70"/>
    <w:rsid w:val="00662D89"/>
    <w:rsid w:val="0066640F"/>
    <w:rsid w:val="006664D4"/>
    <w:rsid w:val="00667F81"/>
    <w:rsid w:val="006700B8"/>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1AFE"/>
    <w:rsid w:val="00691B61"/>
    <w:rsid w:val="00692763"/>
    <w:rsid w:val="00692CEE"/>
    <w:rsid w:val="00694971"/>
    <w:rsid w:val="0069657C"/>
    <w:rsid w:val="006A0CDD"/>
    <w:rsid w:val="006A40F4"/>
    <w:rsid w:val="006A4B1F"/>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6F05"/>
    <w:rsid w:val="006C7CD1"/>
    <w:rsid w:val="006C7E76"/>
    <w:rsid w:val="006D16BD"/>
    <w:rsid w:val="006D1CE7"/>
    <w:rsid w:val="006D2366"/>
    <w:rsid w:val="006D2960"/>
    <w:rsid w:val="006D2DF0"/>
    <w:rsid w:val="006D4696"/>
    <w:rsid w:val="006D49E4"/>
    <w:rsid w:val="006D5DCD"/>
    <w:rsid w:val="006D65A5"/>
    <w:rsid w:val="006D6790"/>
    <w:rsid w:val="006D6ED9"/>
    <w:rsid w:val="006D7FDA"/>
    <w:rsid w:val="006E1E4C"/>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B29"/>
    <w:rsid w:val="00716DFD"/>
    <w:rsid w:val="007179C4"/>
    <w:rsid w:val="00717D87"/>
    <w:rsid w:val="00720109"/>
    <w:rsid w:val="007248C4"/>
    <w:rsid w:val="007279D2"/>
    <w:rsid w:val="0073003B"/>
    <w:rsid w:val="00730D6D"/>
    <w:rsid w:val="00731FB9"/>
    <w:rsid w:val="007331D2"/>
    <w:rsid w:val="0073611B"/>
    <w:rsid w:val="00736B03"/>
    <w:rsid w:val="00741DC7"/>
    <w:rsid w:val="007428C7"/>
    <w:rsid w:val="00743915"/>
    <w:rsid w:val="0074523A"/>
    <w:rsid w:val="00746D39"/>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0BE5"/>
    <w:rsid w:val="00792220"/>
    <w:rsid w:val="00792309"/>
    <w:rsid w:val="00792DF8"/>
    <w:rsid w:val="00793B5E"/>
    <w:rsid w:val="00794774"/>
    <w:rsid w:val="00794B3F"/>
    <w:rsid w:val="00796030"/>
    <w:rsid w:val="007962A6"/>
    <w:rsid w:val="00796712"/>
    <w:rsid w:val="007A097D"/>
    <w:rsid w:val="007A0BC3"/>
    <w:rsid w:val="007A0D80"/>
    <w:rsid w:val="007A1ACB"/>
    <w:rsid w:val="007A2872"/>
    <w:rsid w:val="007A2971"/>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2146"/>
    <w:rsid w:val="007F4407"/>
    <w:rsid w:val="007F6273"/>
    <w:rsid w:val="007F75BA"/>
    <w:rsid w:val="00800641"/>
    <w:rsid w:val="008027F2"/>
    <w:rsid w:val="00802C8A"/>
    <w:rsid w:val="00803119"/>
    <w:rsid w:val="00803193"/>
    <w:rsid w:val="00803884"/>
    <w:rsid w:val="0081186D"/>
    <w:rsid w:val="00812FF1"/>
    <w:rsid w:val="0081681D"/>
    <w:rsid w:val="0081756A"/>
    <w:rsid w:val="008201FA"/>
    <w:rsid w:val="008234EA"/>
    <w:rsid w:val="008246F7"/>
    <w:rsid w:val="00826071"/>
    <w:rsid w:val="0082615F"/>
    <w:rsid w:val="00826E84"/>
    <w:rsid w:val="00827799"/>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058A"/>
    <w:rsid w:val="008614CC"/>
    <w:rsid w:val="0086265B"/>
    <w:rsid w:val="0086309F"/>
    <w:rsid w:val="008638A5"/>
    <w:rsid w:val="00864ADF"/>
    <w:rsid w:val="00864C7E"/>
    <w:rsid w:val="008655D0"/>
    <w:rsid w:val="008659B7"/>
    <w:rsid w:val="008659CE"/>
    <w:rsid w:val="00865C80"/>
    <w:rsid w:val="0087213E"/>
    <w:rsid w:val="00874D8A"/>
    <w:rsid w:val="00875233"/>
    <w:rsid w:val="008758D4"/>
    <w:rsid w:val="00877B42"/>
    <w:rsid w:val="00877D7C"/>
    <w:rsid w:val="00881288"/>
    <w:rsid w:val="0088400C"/>
    <w:rsid w:val="00884148"/>
    <w:rsid w:val="00884812"/>
    <w:rsid w:val="00884B61"/>
    <w:rsid w:val="008870EB"/>
    <w:rsid w:val="008932E1"/>
    <w:rsid w:val="00894181"/>
    <w:rsid w:val="00894E92"/>
    <w:rsid w:val="008956AA"/>
    <w:rsid w:val="00897A05"/>
    <w:rsid w:val="008A0C5A"/>
    <w:rsid w:val="008A1159"/>
    <w:rsid w:val="008A1573"/>
    <w:rsid w:val="008A233A"/>
    <w:rsid w:val="008A460F"/>
    <w:rsid w:val="008A60AE"/>
    <w:rsid w:val="008A64DD"/>
    <w:rsid w:val="008A78EA"/>
    <w:rsid w:val="008B21BC"/>
    <w:rsid w:val="008B270A"/>
    <w:rsid w:val="008B4F0B"/>
    <w:rsid w:val="008B5C71"/>
    <w:rsid w:val="008B7D4E"/>
    <w:rsid w:val="008C1CF1"/>
    <w:rsid w:val="008C1F18"/>
    <w:rsid w:val="008C266D"/>
    <w:rsid w:val="008C37E8"/>
    <w:rsid w:val="008C40B1"/>
    <w:rsid w:val="008D28E1"/>
    <w:rsid w:val="008D3B3F"/>
    <w:rsid w:val="008D43A8"/>
    <w:rsid w:val="008D46FC"/>
    <w:rsid w:val="008D58F4"/>
    <w:rsid w:val="008D7C22"/>
    <w:rsid w:val="008E0D53"/>
    <w:rsid w:val="008E0DC4"/>
    <w:rsid w:val="008E5A72"/>
    <w:rsid w:val="008E5E71"/>
    <w:rsid w:val="008E736C"/>
    <w:rsid w:val="008E7959"/>
    <w:rsid w:val="008F0749"/>
    <w:rsid w:val="008F1C32"/>
    <w:rsid w:val="008F4E82"/>
    <w:rsid w:val="008F5691"/>
    <w:rsid w:val="008F5A51"/>
    <w:rsid w:val="00900916"/>
    <w:rsid w:val="009019A8"/>
    <w:rsid w:val="0090220A"/>
    <w:rsid w:val="00903582"/>
    <w:rsid w:val="00903BBE"/>
    <w:rsid w:val="00903E21"/>
    <w:rsid w:val="0090431D"/>
    <w:rsid w:val="009048A7"/>
    <w:rsid w:val="00905638"/>
    <w:rsid w:val="00905684"/>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304A"/>
    <w:rsid w:val="0095477E"/>
    <w:rsid w:val="0095571A"/>
    <w:rsid w:val="00956E0E"/>
    <w:rsid w:val="00957EA2"/>
    <w:rsid w:val="00960DEA"/>
    <w:rsid w:val="00960E46"/>
    <w:rsid w:val="00962C51"/>
    <w:rsid w:val="009639E3"/>
    <w:rsid w:val="00963E6F"/>
    <w:rsid w:val="009643D0"/>
    <w:rsid w:val="009644D7"/>
    <w:rsid w:val="00965741"/>
    <w:rsid w:val="0096639A"/>
    <w:rsid w:val="00966BF0"/>
    <w:rsid w:val="00971778"/>
    <w:rsid w:val="00972243"/>
    <w:rsid w:val="009739BA"/>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0F74"/>
    <w:rsid w:val="009B17D1"/>
    <w:rsid w:val="009B19D8"/>
    <w:rsid w:val="009B1B0E"/>
    <w:rsid w:val="009B2DAB"/>
    <w:rsid w:val="009B356F"/>
    <w:rsid w:val="009B3CD8"/>
    <w:rsid w:val="009B3CF8"/>
    <w:rsid w:val="009B3E17"/>
    <w:rsid w:val="009B4075"/>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2DF3"/>
    <w:rsid w:val="00A1369B"/>
    <w:rsid w:val="00A13BA4"/>
    <w:rsid w:val="00A1415D"/>
    <w:rsid w:val="00A15402"/>
    <w:rsid w:val="00A16D8E"/>
    <w:rsid w:val="00A20875"/>
    <w:rsid w:val="00A212F4"/>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342D"/>
    <w:rsid w:val="00A84E9B"/>
    <w:rsid w:val="00A85D07"/>
    <w:rsid w:val="00A87E91"/>
    <w:rsid w:val="00A90159"/>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0398"/>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3EAF"/>
    <w:rsid w:val="00AF4BF2"/>
    <w:rsid w:val="00AF4DA4"/>
    <w:rsid w:val="00AF592A"/>
    <w:rsid w:val="00AF7546"/>
    <w:rsid w:val="00B0019F"/>
    <w:rsid w:val="00B00C4E"/>
    <w:rsid w:val="00B02499"/>
    <w:rsid w:val="00B02773"/>
    <w:rsid w:val="00B02796"/>
    <w:rsid w:val="00B02A3F"/>
    <w:rsid w:val="00B02A71"/>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7131"/>
    <w:rsid w:val="00B27951"/>
    <w:rsid w:val="00B301CE"/>
    <w:rsid w:val="00B31892"/>
    <w:rsid w:val="00B32602"/>
    <w:rsid w:val="00B32689"/>
    <w:rsid w:val="00B331EC"/>
    <w:rsid w:val="00B35DA2"/>
    <w:rsid w:val="00B35F83"/>
    <w:rsid w:val="00B36A30"/>
    <w:rsid w:val="00B37A6D"/>
    <w:rsid w:val="00B42F31"/>
    <w:rsid w:val="00B43C12"/>
    <w:rsid w:val="00B43D92"/>
    <w:rsid w:val="00B51050"/>
    <w:rsid w:val="00B52CAD"/>
    <w:rsid w:val="00B53EAF"/>
    <w:rsid w:val="00B554D6"/>
    <w:rsid w:val="00B560A4"/>
    <w:rsid w:val="00B63DAC"/>
    <w:rsid w:val="00B6454E"/>
    <w:rsid w:val="00B65BCA"/>
    <w:rsid w:val="00B6639B"/>
    <w:rsid w:val="00B66F84"/>
    <w:rsid w:val="00B675A3"/>
    <w:rsid w:val="00B67947"/>
    <w:rsid w:val="00B7570D"/>
    <w:rsid w:val="00B757D5"/>
    <w:rsid w:val="00B75C77"/>
    <w:rsid w:val="00B76F9D"/>
    <w:rsid w:val="00B771D6"/>
    <w:rsid w:val="00B80E36"/>
    <w:rsid w:val="00B83D05"/>
    <w:rsid w:val="00B84F6E"/>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A0A"/>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788"/>
    <w:rsid w:val="00C2045C"/>
    <w:rsid w:val="00C218B8"/>
    <w:rsid w:val="00C227D3"/>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47A0"/>
    <w:rsid w:val="00C45AE6"/>
    <w:rsid w:val="00C46A25"/>
    <w:rsid w:val="00C47E88"/>
    <w:rsid w:val="00C500A8"/>
    <w:rsid w:val="00C51B7F"/>
    <w:rsid w:val="00C529B0"/>
    <w:rsid w:val="00C52E9B"/>
    <w:rsid w:val="00C53D9F"/>
    <w:rsid w:val="00C540CA"/>
    <w:rsid w:val="00C556AB"/>
    <w:rsid w:val="00C56B62"/>
    <w:rsid w:val="00C57D4C"/>
    <w:rsid w:val="00C60D14"/>
    <w:rsid w:val="00C63600"/>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BAD"/>
    <w:rsid w:val="00C75DFF"/>
    <w:rsid w:val="00C77CA9"/>
    <w:rsid w:val="00C77D00"/>
    <w:rsid w:val="00C8054F"/>
    <w:rsid w:val="00C8214A"/>
    <w:rsid w:val="00C822FB"/>
    <w:rsid w:val="00C825E5"/>
    <w:rsid w:val="00C8345C"/>
    <w:rsid w:val="00C849B4"/>
    <w:rsid w:val="00C85CD7"/>
    <w:rsid w:val="00C85F7D"/>
    <w:rsid w:val="00C8729E"/>
    <w:rsid w:val="00C91A6F"/>
    <w:rsid w:val="00C91E33"/>
    <w:rsid w:val="00C930C8"/>
    <w:rsid w:val="00C95611"/>
    <w:rsid w:val="00C9744D"/>
    <w:rsid w:val="00C97FC1"/>
    <w:rsid w:val="00CA45CB"/>
    <w:rsid w:val="00CA4C3A"/>
    <w:rsid w:val="00CA4E57"/>
    <w:rsid w:val="00CA7AA6"/>
    <w:rsid w:val="00CA7ADA"/>
    <w:rsid w:val="00CA7C07"/>
    <w:rsid w:val="00CA7EAE"/>
    <w:rsid w:val="00CA7F1D"/>
    <w:rsid w:val="00CB19C6"/>
    <w:rsid w:val="00CB5C38"/>
    <w:rsid w:val="00CB5CD4"/>
    <w:rsid w:val="00CC1C87"/>
    <w:rsid w:val="00CC1F8C"/>
    <w:rsid w:val="00CC29B3"/>
    <w:rsid w:val="00CC2EA8"/>
    <w:rsid w:val="00CC442F"/>
    <w:rsid w:val="00CC4F6B"/>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2C4B"/>
    <w:rsid w:val="00D03CED"/>
    <w:rsid w:val="00D04C47"/>
    <w:rsid w:val="00D0654C"/>
    <w:rsid w:val="00D0655C"/>
    <w:rsid w:val="00D069F8"/>
    <w:rsid w:val="00D07E4B"/>
    <w:rsid w:val="00D1305D"/>
    <w:rsid w:val="00D1318A"/>
    <w:rsid w:val="00D13CEA"/>
    <w:rsid w:val="00D13F20"/>
    <w:rsid w:val="00D144B1"/>
    <w:rsid w:val="00D15014"/>
    <w:rsid w:val="00D15AA1"/>
    <w:rsid w:val="00D164BC"/>
    <w:rsid w:val="00D203E4"/>
    <w:rsid w:val="00D20DCC"/>
    <w:rsid w:val="00D23481"/>
    <w:rsid w:val="00D25C63"/>
    <w:rsid w:val="00D279F0"/>
    <w:rsid w:val="00D324B5"/>
    <w:rsid w:val="00D3496C"/>
    <w:rsid w:val="00D36A13"/>
    <w:rsid w:val="00D36A9F"/>
    <w:rsid w:val="00D42E23"/>
    <w:rsid w:val="00D43A3A"/>
    <w:rsid w:val="00D44107"/>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3C1C"/>
    <w:rsid w:val="00D74D06"/>
    <w:rsid w:val="00D7768F"/>
    <w:rsid w:val="00D82691"/>
    <w:rsid w:val="00D82ACC"/>
    <w:rsid w:val="00D837B0"/>
    <w:rsid w:val="00D83837"/>
    <w:rsid w:val="00D839F9"/>
    <w:rsid w:val="00D83FBA"/>
    <w:rsid w:val="00D8427B"/>
    <w:rsid w:val="00D86931"/>
    <w:rsid w:val="00D906B2"/>
    <w:rsid w:val="00D91F3E"/>
    <w:rsid w:val="00D92325"/>
    <w:rsid w:val="00D93A2A"/>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17C"/>
    <w:rsid w:val="00DC175C"/>
    <w:rsid w:val="00DC69D9"/>
    <w:rsid w:val="00DC7159"/>
    <w:rsid w:val="00DC7C06"/>
    <w:rsid w:val="00DC7E08"/>
    <w:rsid w:val="00DD0CD5"/>
    <w:rsid w:val="00DD18BF"/>
    <w:rsid w:val="00DD1932"/>
    <w:rsid w:val="00DD1CC7"/>
    <w:rsid w:val="00DD2423"/>
    <w:rsid w:val="00DD4191"/>
    <w:rsid w:val="00DD732B"/>
    <w:rsid w:val="00DE00CB"/>
    <w:rsid w:val="00DE02CA"/>
    <w:rsid w:val="00DE224D"/>
    <w:rsid w:val="00DE41C5"/>
    <w:rsid w:val="00DF261D"/>
    <w:rsid w:val="00DF277D"/>
    <w:rsid w:val="00DF37DE"/>
    <w:rsid w:val="00DF43D9"/>
    <w:rsid w:val="00DF59CE"/>
    <w:rsid w:val="00DF60BC"/>
    <w:rsid w:val="00DF7F84"/>
    <w:rsid w:val="00E00BC4"/>
    <w:rsid w:val="00E022A1"/>
    <w:rsid w:val="00E02372"/>
    <w:rsid w:val="00E0245B"/>
    <w:rsid w:val="00E02A52"/>
    <w:rsid w:val="00E0447A"/>
    <w:rsid w:val="00E052B8"/>
    <w:rsid w:val="00E10780"/>
    <w:rsid w:val="00E11168"/>
    <w:rsid w:val="00E12804"/>
    <w:rsid w:val="00E134FA"/>
    <w:rsid w:val="00E14594"/>
    <w:rsid w:val="00E14A7C"/>
    <w:rsid w:val="00E16729"/>
    <w:rsid w:val="00E178C9"/>
    <w:rsid w:val="00E21EC5"/>
    <w:rsid w:val="00E22006"/>
    <w:rsid w:val="00E22EA8"/>
    <w:rsid w:val="00E23058"/>
    <w:rsid w:val="00E23D55"/>
    <w:rsid w:val="00E25D40"/>
    <w:rsid w:val="00E275EC"/>
    <w:rsid w:val="00E319EF"/>
    <w:rsid w:val="00E31CB8"/>
    <w:rsid w:val="00E332FF"/>
    <w:rsid w:val="00E354BF"/>
    <w:rsid w:val="00E35B2A"/>
    <w:rsid w:val="00E361ED"/>
    <w:rsid w:val="00E368CF"/>
    <w:rsid w:val="00E37FB5"/>
    <w:rsid w:val="00E40395"/>
    <w:rsid w:val="00E40CA6"/>
    <w:rsid w:val="00E41747"/>
    <w:rsid w:val="00E44D06"/>
    <w:rsid w:val="00E46240"/>
    <w:rsid w:val="00E47AB2"/>
    <w:rsid w:val="00E50794"/>
    <w:rsid w:val="00E5259C"/>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990"/>
    <w:rsid w:val="00E87B59"/>
    <w:rsid w:val="00E909E3"/>
    <w:rsid w:val="00E91C8A"/>
    <w:rsid w:val="00E91D41"/>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BD6"/>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4D7B"/>
    <w:rsid w:val="00EF6C8B"/>
    <w:rsid w:val="00F028A5"/>
    <w:rsid w:val="00F02ACE"/>
    <w:rsid w:val="00F03463"/>
    <w:rsid w:val="00F03E2D"/>
    <w:rsid w:val="00F05082"/>
    <w:rsid w:val="00F056AD"/>
    <w:rsid w:val="00F06AF6"/>
    <w:rsid w:val="00F104DC"/>
    <w:rsid w:val="00F104DF"/>
    <w:rsid w:val="00F10AC0"/>
    <w:rsid w:val="00F1561E"/>
    <w:rsid w:val="00F16F36"/>
    <w:rsid w:val="00F20567"/>
    <w:rsid w:val="00F21BA6"/>
    <w:rsid w:val="00F25709"/>
    <w:rsid w:val="00F26C65"/>
    <w:rsid w:val="00F2740D"/>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1322"/>
    <w:rsid w:val="00F62018"/>
    <w:rsid w:val="00F62E83"/>
    <w:rsid w:val="00F65096"/>
    <w:rsid w:val="00F65D8D"/>
    <w:rsid w:val="00F66486"/>
    <w:rsid w:val="00F66940"/>
    <w:rsid w:val="00F70847"/>
    <w:rsid w:val="00F70A2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5611"/>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82"/>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il">
    <w:name w:val="il"/>
    <w:basedOn w:val="Fuentedeprrafopredeter"/>
    <w:rsid w:val="00BD2A0A"/>
  </w:style>
  <w:style w:type="paragraph" w:styleId="Textodeglobo">
    <w:name w:val="Balloon Text"/>
    <w:basedOn w:val="Normal"/>
    <w:link w:val="TextodegloboCar"/>
    <w:uiPriority w:val="99"/>
    <w:semiHidden/>
    <w:unhideWhenUsed/>
    <w:rsid w:val="00D065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655C"/>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1020490">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xco.gob.mx/tesoreria/2025/Infomes/1_tri/v_anual/B_Egresos_Armonizado.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D26DF8-CAA9-4E91-BE54-90136D45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10616</Words>
  <Characters>58389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4</cp:revision>
  <cp:lastPrinted>2025-09-25T23:01:00Z</cp:lastPrinted>
  <dcterms:created xsi:type="dcterms:W3CDTF">2025-09-25T23:01:00Z</dcterms:created>
  <dcterms:modified xsi:type="dcterms:W3CDTF">2025-11-28T05:37:00Z</dcterms:modified>
</cp:coreProperties>
</file>