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CB3C"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13A05">
        <w:rPr>
          <w:rFonts w:ascii="Palatino Linotype" w:eastAsia="Palatino Linotype" w:hAnsi="Palatino Linotype" w:cs="Palatino Linotype"/>
          <w:b/>
          <w:sz w:val="22"/>
          <w:szCs w:val="22"/>
        </w:rPr>
        <w:t>veintiséis de marzo de dos mil veinticinco.</w:t>
      </w:r>
      <w:r w:rsidRPr="00B13A05">
        <w:rPr>
          <w:rFonts w:ascii="Palatino Linotype" w:eastAsia="Palatino Linotype" w:hAnsi="Palatino Linotype" w:cs="Palatino Linotype"/>
          <w:sz w:val="22"/>
          <w:szCs w:val="22"/>
        </w:rPr>
        <w:t xml:space="preserve"> </w:t>
      </w:r>
    </w:p>
    <w:p w14:paraId="70148553"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5E4BBAC2"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Visto</w:t>
      </w:r>
      <w:r w:rsidRPr="00B13A05">
        <w:rPr>
          <w:rFonts w:ascii="Palatino Linotype" w:eastAsia="Palatino Linotype" w:hAnsi="Palatino Linotype" w:cs="Palatino Linotype"/>
          <w:sz w:val="22"/>
          <w:szCs w:val="22"/>
        </w:rPr>
        <w:t xml:space="preserve"> el expediente formado con motivo del recurso de revisión </w:t>
      </w:r>
      <w:r w:rsidRPr="00B13A05">
        <w:rPr>
          <w:rFonts w:ascii="Palatino Linotype" w:eastAsia="Palatino Linotype" w:hAnsi="Palatino Linotype" w:cs="Palatino Linotype"/>
          <w:b/>
          <w:sz w:val="22"/>
          <w:szCs w:val="22"/>
        </w:rPr>
        <w:t>01449/INFOEM/IP/RR/2025</w:t>
      </w:r>
      <w:r w:rsidRPr="00B13A05">
        <w:rPr>
          <w:rFonts w:ascii="Palatino Linotype" w:eastAsia="Palatino Linotype" w:hAnsi="Palatino Linotype" w:cs="Palatino Linotype"/>
          <w:sz w:val="22"/>
          <w:szCs w:val="22"/>
        </w:rPr>
        <w:t xml:space="preserve">, interpuesto por </w:t>
      </w:r>
      <w:r w:rsidRPr="00B13A05">
        <w:rPr>
          <w:rFonts w:ascii="Palatino Linotype" w:eastAsia="Palatino Linotype" w:hAnsi="Palatino Linotype" w:cs="Palatino Linotype"/>
          <w:b/>
          <w:sz w:val="22"/>
          <w:szCs w:val="22"/>
        </w:rPr>
        <w:t>un particular de manera anónima</w:t>
      </w:r>
      <w:r w:rsidRPr="00B13A05">
        <w:rPr>
          <w:rFonts w:ascii="Palatino Linotype" w:eastAsia="Palatino Linotype" w:hAnsi="Palatino Linotype" w:cs="Palatino Linotype"/>
          <w:sz w:val="22"/>
          <w:szCs w:val="22"/>
        </w:rPr>
        <w:t>, en lo sucesivo</w:t>
      </w:r>
      <w:r w:rsidRPr="00B13A05">
        <w:rPr>
          <w:rFonts w:ascii="Palatino Linotype" w:eastAsia="Palatino Linotype" w:hAnsi="Palatino Linotype" w:cs="Palatino Linotype"/>
          <w:b/>
          <w:sz w:val="22"/>
          <w:szCs w:val="22"/>
        </w:rPr>
        <w:t xml:space="preserve"> la parte</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Recurrente</w:t>
      </w:r>
      <w:r w:rsidRPr="00B13A05">
        <w:rPr>
          <w:rFonts w:ascii="Palatino Linotype" w:eastAsia="Palatino Linotype" w:hAnsi="Palatino Linotype" w:cs="Palatino Linotype"/>
          <w:sz w:val="22"/>
          <w:szCs w:val="22"/>
        </w:rPr>
        <w:t xml:space="preserve">, en contra de la falta de respuesta a su solicitud por parte del </w:t>
      </w:r>
      <w:r w:rsidRPr="00B13A05">
        <w:rPr>
          <w:rFonts w:ascii="Palatino Linotype" w:eastAsia="Palatino Linotype" w:hAnsi="Palatino Linotype" w:cs="Palatino Linotype"/>
          <w:b/>
          <w:sz w:val="22"/>
          <w:szCs w:val="22"/>
        </w:rPr>
        <w:t>Ayuntamiento de Toluca</w:t>
      </w:r>
      <w:r w:rsidRPr="00B13A05">
        <w:rPr>
          <w:rFonts w:ascii="Palatino Linotype" w:eastAsia="Palatino Linotype" w:hAnsi="Palatino Linotype" w:cs="Palatino Linotype"/>
          <w:sz w:val="22"/>
          <w:szCs w:val="22"/>
        </w:rPr>
        <w:t>,</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 xml:space="preserve">en lo sucesivo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 xml:space="preserve">se procede a dictar la presente resolución con base en los siguientes: </w:t>
      </w:r>
    </w:p>
    <w:p w14:paraId="1A489D30"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6EC305D0" w14:textId="77777777" w:rsidR="000F238D" w:rsidRPr="00B13A05" w:rsidRDefault="00ED6B18">
      <w:pPr>
        <w:numPr>
          <w:ilvl w:val="0"/>
          <w:numId w:val="3"/>
        </w:numPr>
        <w:pBdr>
          <w:top w:val="nil"/>
          <w:left w:val="nil"/>
          <w:bottom w:val="nil"/>
          <w:right w:val="nil"/>
          <w:between w:val="nil"/>
        </w:pBdr>
        <w:spacing w:line="360" w:lineRule="auto"/>
        <w:ind w:left="142" w:hanging="426"/>
        <w:jc w:val="center"/>
        <w:rPr>
          <w:rFonts w:ascii="Palatino Linotype" w:eastAsia="Palatino Linotype" w:hAnsi="Palatino Linotype" w:cs="Palatino Linotype"/>
          <w:b/>
          <w:sz w:val="22"/>
          <w:szCs w:val="22"/>
        </w:rPr>
      </w:pPr>
      <w:r w:rsidRPr="00B13A05">
        <w:rPr>
          <w:rFonts w:ascii="Palatino Linotype" w:eastAsia="Palatino Linotype" w:hAnsi="Palatino Linotype" w:cs="Palatino Linotype"/>
          <w:b/>
          <w:sz w:val="22"/>
          <w:szCs w:val="22"/>
        </w:rPr>
        <w:t>A N T E C E D E N T E S</w:t>
      </w:r>
    </w:p>
    <w:p w14:paraId="4AC2F26D" w14:textId="77777777" w:rsidR="000F238D" w:rsidRPr="00B13A05" w:rsidRDefault="00ED6B18">
      <w:pPr>
        <w:numPr>
          <w:ilvl w:val="0"/>
          <w:numId w:val="5"/>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Solicitud de acceso a la información.</w:t>
      </w:r>
      <w:r w:rsidRPr="00B13A05">
        <w:rPr>
          <w:rFonts w:ascii="Palatino Linotype" w:eastAsia="Palatino Linotype" w:hAnsi="Palatino Linotype" w:cs="Palatino Linotype"/>
          <w:sz w:val="22"/>
          <w:szCs w:val="22"/>
        </w:rPr>
        <w:t xml:space="preserve"> El </w:t>
      </w:r>
      <w:r w:rsidRPr="00B13A05">
        <w:rPr>
          <w:rFonts w:ascii="Palatino Linotype" w:eastAsia="Palatino Linotype" w:hAnsi="Palatino Linotype" w:cs="Palatino Linotype"/>
          <w:b/>
          <w:sz w:val="22"/>
          <w:szCs w:val="22"/>
        </w:rPr>
        <w:t>veintidós de enero de dos mil veinticinco</w:t>
      </w:r>
      <w:r w:rsidRPr="00B13A05">
        <w:rPr>
          <w:rFonts w:ascii="Palatino Linotype" w:eastAsia="Palatino Linotype" w:hAnsi="Palatino Linotype" w:cs="Palatino Linotype"/>
          <w:sz w:val="22"/>
          <w:szCs w:val="22"/>
        </w:rPr>
        <w:t xml:space="preserve">, se presentó a través del Sistema de Acceso a la Información Mexiquense, en lo subsecuente el </w:t>
      </w:r>
      <w:r w:rsidRPr="00B13A05">
        <w:rPr>
          <w:rFonts w:ascii="Palatino Linotype" w:eastAsia="Palatino Linotype" w:hAnsi="Palatino Linotype" w:cs="Palatino Linotype"/>
          <w:b/>
          <w:sz w:val="22"/>
          <w:szCs w:val="22"/>
        </w:rPr>
        <w:t>SAIMEX</w:t>
      </w:r>
      <w:r w:rsidRPr="00B13A05">
        <w:rPr>
          <w:rFonts w:ascii="Palatino Linotype" w:eastAsia="Palatino Linotype" w:hAnsi="Palatino Linotype" w:cs="Palatino Linotype"/>
          <w:sz w:val="22"/>
          <w:szCs w:val="22"/>
        </w:rPr>
        <w:t xml:space="preserve">, ante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la solicitud de acceso a la información pública a la que se le asignó el número</w:t>
      </w:r>
      <w:r w:rsidRPr="00B13A05">
        <w:rPr>
          <w:rFonts w:ascii="Palatino Linotype" w:eastAsia="Palatino Linotype" w:hAnsi="Palatino Linotype" w:cs="Palatino Linotype"/>
          <w:b/>
          <w:sz w:val="22"/>
          <w:szCs w:val="22"/>
        </w:rPr>
        <w:t xml:space="preserve"> 00443/TOLUCA/IP/2025, </w:t>
      </w:r>
      <w:r w:rsidRPr="00B13A05">
        <w:rPr>
          <w:rFonts w:ascii="Palatino Linotype" w:eastAsia="Palatino Linotype" w:hAnsi="Palatino Linotype" w:cs="Palatino Linotype"/>
          <w:sz w:val="22"/>
          <w:szCs w:val="22"/>
        </w:rPr>
        <w:t xml:space="preserve">mediante la cual requirió la información siguiente: </w:t>
      </w:r>
    </w:p>
    <w:p w14:paraId="33DB0ECC" w14:textId="77777777" w:rsidR="000F238D" w:rsidRPr="00B13A05" w:rsidRDefault="000F238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D381B8" w14:textId="77777777" w:rsidR="000F238D" w:rsidRPr="00B13A05" w:rsidRDefault="00ED6B18">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u w:val="single"/>
        </w:rPr>
        <w:t>Plantilla completa del Personal con cargo sueldo y área de adscripción</w:t>
      </w:r>
      <w:r w:rsidRPr="00B13A05">
        <w:rPr>
          <w:rFonts w:ascii="Palatino Linotype" w:eastAsia="Palatino Linotype" w:hAnsi="Palatino Linotype" w:cs="Palatino Linotype"/>
          <w:i/>
          <w:sz w:val="22"/>
          <w:szCs w:val="22"/>
        </w:rPr>
        <w:t xml:space="preserve"> para ver </w:t>
      </w:r>
      <w:proofErr w:type="spellStart"/>
      <w:r w:rsidRPr="00B13A05">
        <w:rPr>
          <w:rFonts w:ascii="Palatino Linotype" w:eastAsia="Palatino Linotype" w:hAnsi="Palatino Linotype" w:cs="Palatino Linotype"/>
          <w:i/>
          <w:sz w:val="22"/>
          <w:szCs w:val="22"/>
        </w:rPr>
        <w:t>donde</w:t>
      </w:r>
      <w:proofErr w:type="spellEnd"/>
      <w:r w:rsidRPr="00B13A05">
        <w:rPr>
          <w:rFonts w:ascii="Palatino Linotype" w:eastAsia="Palatino Linotype" w:hAnsi="Palatino Linotype" w:cs="Palatino Linotype"/>
          <w:i/>
          <w:sz w:val="22"/>
          <w:szCs w:val="22"/>
        </w:rPr>
        <w:t xml:space="preserve"> están los protegidos de RAY y ahora de Ricardo y a hacerlo público en </w:t>
      </w:r>
      <w:proofErr w:type="spellStart"/>
      <w:r w:rsidRPr="00B13A05">
        <w:rPr>
          <w:rFonts w:ascii="Palatino Linotype" w:eastAsia="Palatino Linotype" w:hAnsi="Palatino Linotype" w:cs="Palatino Linotype"/>
          <w:i/>
          <w:sz w:val="22"/>
          <w:szCs w:val="22"/>
        </w:rPr>
        <w:t>lo</w:t>
      </w:r>
      <w:proofErr w:type="spellEnd"/>
      <w:r w:rsidRPr="00B13A05">
        <w:rPr>
          <w:rFonts w:ascii="Palatino Linotype" w:eastAsia="Palatino Linotype" w:hAnsi="Palatino Linotype" w:cs="Palatino Linotype"/>
          <w:i/>
          <w:sz w:val="22"/>
          <w:szCs w:val="22"/>
        </w:rPr>
        <w:t xml:space="preserve"> medios de Comunicación será que también Normita también estará escondida en su administración y sus aviadores como Sergio Pichardo que como dice Rober sabemos </w:t>
      </w:r>
      <w:proofErr w:type="spellStart"/>
      <w:r w:rsidRPr="00B13A05">
        <w:rPr>
          <w:rFonts w:ascii="Palatino Linotype" w:eastAsia="Palatino Linotype" w:hAnsi="Palatino Linotype" w:cs="Palatino Linotype"/>
          <w:i/>
          <w:sz w:val="22"/>
          <w:szCs w:val="22"/>
        </w:rPr>
        <w:t>dodne</w:t>
      </w:r>
      <w:proofErr w:type="spellEnd"/>
      <w:r w:rsidRPr="00B13A05">
        <w:rPr>
          <w:rFonts w:ascii="Palatino Linotype" w:eastAsia="Palatino Linotype" w:hAnsi="Palatino Linotype" w:cs="Palatino Linotype"/>
          <w:i/>
          <w:sz w:val="22"/>
          <w:szCs w:val="22"/>
        </w:rPr>
        <w:t xml:space="preserve"> </w:t>
      </w:r>
      <w:proofErr w:type="gramStart"/>
      <w:r w:rsidRPr="00B13A05">
        <w:rPr>
          <w:rFonts w:ascii="Palatino Linotype" w:eastAsia="Palatino Linotype" w:hAnsi="Palatino Linotype" w:cs="Palatino Linotype"/>
          <w:i/>
          <w:sz w:val="22"/>
          <w:szCs w:val="22"/>
        </w:rPr>
        <w:t>cobra</w:t>
      </w:r>
      <w:proofErr w:type="gramEnd"/>
      <w:r w:rsidRPr="00B13A05">
        <w:rPr>
          <w:rFonts w:ascii="Palatino Linotype" w:eastAsia="Palatino Linotype" w:hAnsi="Palatino Linotype" w:cs="Palatino Linotype"/>
          <w:i/>
          <w:sz w:val="22"/>
          <w:szCs w:val="22"/>
        </w:rPr>
        <w:t xml:space="preserve"> pero no </w:t>
      </w:r>
      <w:proofErr w:type="spellStart"/>
      <w:r w:rsidRPr="00B13A05">
        <w:rPr>
          <w:rFonts w:ascii="Palatino Linotype" w:eastAsia="Palatino Linotype" w:hAnsi="Palatino Linotype" w:cs="Palatino Linotype"/>
          <w:i/>
          <w:sz w:val="22"/>
          <w:szCs w:val="22"/>
        </w:rPr>
        <w:t>dodne</w:t>
      </w:r>
      <w:proofErr w:type="spellEnd"/>
      <w:r w:rsidRPr="00B13A05">
        <w:rPr>
          <w:rFonts w:ascii="Palatino Linotype" w:eastAsia="Palatino Linotype" w:hAnsi="Palatino Linotype" w:cs="Palatino Linotype"/>
          <w:i/>
          <w:sz w:val="22"/>
          <w:szCs w:val="22"/>
        </w:rPr>
        <w:t xml:space="preserve"> esta o que hace y </w:t>
      </w:r>
      <w:proofErr w:type="spellStart"/>
      <w:r w:rsidRPr="00B13A05">
        <w:rPr>
          <w:rFonts w:ascii="Palatino Linotype" w:eastAsia="Palatino Linotype" w:hAnsi="Palatino Linotype" w:cs="Palatino Linotype"/>
          <w:i/>
          <w:sz w:val="22"/>
          <w:szCs w:val="22"/>
        </w:rPr>
        <w:t>Andreita</w:t>
      </w:r>
      <w:proofErr w:type="spellEnd"/>
      <w:r w:rsidRPr="00B13A05">
        <w:rPr>
          <w:rFonts w:ascii="Palatino Linotype" w:eastAsia="Palatino Linotype" w:hAnsi="Palatino Linotype" w:cs="Palatino Linotype"/>
          <w:i/>
          <w:sz w:val="22"/>
          <w:szCs w:val="22"/>
        </w:rPr>
        <w:t xml:space="preserve"> Sánchez su protegida. esta escondida en esa Administración.” (Sic)</w:t>
      </w:r>
    </w:p>
    <w:p w14:paraId="4E247956" w14:textId="77777777" w:rsidR="000F238D" w:rsidRPr="00B13A05" w:rsidRDefault="00ED6B18">
      <w:pPr>
        <w:spacing w:line="360" w:lineRule="auto"/>
        <w:ind w:left="567" w:right="616"/>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i/>
          <w:sz w:val="22"/>
          <w:szCs w:val="22"/>
        </w:rPr>
        <w:t xml:space="preserve"> </w:t>
      </w:r>
    </w:p>
    <w:p w14:paraId="684FBE11"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Modalidad de Entrega:</w:t>
      </w:r>
      <w:r w:rsidRPr="00B13A05">
        <w:rPr>
          <w:rFonts w:ascii="Palatino Linotype" w:eastAsia="Palatino Linotype" w:hAnsi="Palatino Linotype" w:cs="Palatino Linotype"/>
          <w:sz w:val="22"/>
          <w:szCs w:val="22"/>
        </w:rPr>
        <w:t xml:space="preserve"> A través de </w:t>
      </w:r>
      <w:r w:rsidRPr="00B13A05">
        <w:rPr>
          <w:rFonts w:ascii="Palatino Linotype" w:eastAsia="Palatino Linotype" w:hAnsi="Palatino Linotype" w:cs="Palatino Linotype"/>
          <w:b/>
          <w:sz w:val="22"/>
          <w:szCs w:val="22"/>
        </w:rPr>
        <w:t>Sistema de Acceso a la Información Mexiquense</w:t>
      </w:r>
      <w:r w:rsidRPr="00B13A05">
        <w:rPr>
          <w:rFonts w:ascii="Palatino Linotype" w:eastAsia="Palatino Linotype" w:hAnsi="Palatino Linotype" w:cs="Palatino Linotype"/>
          <w:sz w:val="22"/>
          <w:szCs w:val="22"/>
        </w:rPr>
        <w:t xml:space="preserve"> (SAIMEX).</w:t>
      </w:r>
    </w:p>
    <w:p w14:paraId="563B8C9C" w14:textId="77777777" w:rsidR="000F238D" w:rsidRPr="00B13A05" w:rsidRDefault="000F238D">
      <w:pPr>
        <w:spacing w:line="360" w:lineRule="auto"/>
        <w:ind w:right="616"/>
        <w:jc w:val="both"/>
        <w:rPr>
          <w:rFonts w:ascii="Palatino Linotype" w:eastAsia="Palatino Linotype" w:hAnsi="Palatino Linotype" w:cs="Palatino Linotype"/>
          <w:sz w:val="22"/>
          <w:szCs w:val="22"/>
        </w:rPr>
      </w:pPr>
    </w:p>
    <w:p w14:paraId="458E0EDE" w14:textId="77777777" w:rsidR="000F238D" w:rsidRPr="00B13A05" w:rsidRDefault="00ED6B18">
      <w:pPr>
        <w:numPr>
          <w:ilvl w:val="0"/>
          <w:numId w:val="5"/>
        </w:numPr>
        <w:pBdr>
          <w:top w:val="nil"/>
          <w:left w:val="nil"/>
          <w:bottom w:val="nil"/>
          <w:right w:val="nil"/>
          <w:between w:val="nil"/>
        </w:pBdr>
        <w:spacing w:line="360" w:lineRule="auto"/>
        <w:ind w:left="0" w:hanging="284"/>
        <w:jc w:val="both"/>
        <w:rPr>
          <w:rFonts w:ascii="Palatino Linotype" w:eastAsia="Palatino Linotype" w:hAnsi="Palatino Linotype" w:cs="Palatino Linotype"/>
          <w:b/>
          <w:sz w:val="22"/>
          <w:szCs w:val="22"/>
        </w:rPr>
      </w:pPr>
      <w:r w:rsidRPr="00B13A05">
        <w:rPr>
          <w:rFonts w:ascii="Palatino Linotype" w:eastAsia="Palatino Linotype" w:hAnsi="Palatino Linotype" w:cs="Palatino Linotype"/>
          <w:b/>
          <w:sz w:val="22"/>
          <w:szCs w:val="22"/>
        </w:rPr>
        <w:lastRenderedPageBreak/>
        <w:t xml:space="preserve">Respuesta. </w:t>
      </w:r>
      <w:r w:rsidRPr="00B13A05">
        <w:rPr>
          <w:rFonts w:ascii="Palatino Linotype" w:eastAsia="Palatino Linotype" w:hAnsi="Palatino Linotype" w:cs="Palatino Linotype"/>
          <w:sz w:val="22"/>
          <w:szCs w:val="22"/>
        </w:rPr>
        <w:t xml:space="preserve">De las constancias que obran en Sistema de Acceso a la Información Mexiquense, se observa que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no emitió respuesta a la solicitud de información formulada por la persona solicitante.</w:t>
      </w:r>
    </w:p>
    <w:p w14:paraId="75DD3E73" w14:textId="77777777" w:rsidR="000F238D" w:rsidRPr="00B13A05" w:rsidRDefault="000F238D">
      <w:pPr>
        <w:pBdr>
          <w:top w:val="nil"/>
          <w:left w:val="nil"/>
          <w:bottom w:val="nil"/>
          <w:right w:val="nil"/>
          <w:between w:val="nil"/>
        </w:pBdr>
        <w:spacing w:line="360" w:lineRule="auto"/>
        <w:jc w:val="both"/>
        <w:rPr>
          <w:rFonts w:ascii="Palatino Linotype" w:eastAsia="Palatino Linotype" w:hAnsi="Palatino Linotype" w:cs="Palatino Linotype"/>
        </w:rPr>
      </w:pPr>
    </w:p>
    <w:p w14:paraId="43B1BFE2" w14:textId="77777777" w:rsidR="000F238D" w:rsidRPr="00B13A05" w:rsidRDefault="00ED6B18">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sz w:val="22"/>
          <w:szCs w:val="22"/>
        </w:rPr>
      </w:pPr>
      <w:r w:rsidRPr="00B13A05">
        <w:rPr>
          <w:rFonts w:ascii="Palatino Linotype" w:eastAsia="Palatino Linotype" w:hAnsi="Palatino Linotype" w:cs="Palatino Linotype"/>
          <w:b/>
          <w:sz w:val="22"/>
          <w:szCs w:val="22"/>
        </w:rPr>
        <w:t>Interposición del recurso de revisión</w:t>
      </w:r>
      <w:r w:rsidRPr="00B13A05">
        <w:rPr>
          <w:rFonts w:ascii="Palatino Linotype" w:eastAsia="Palatino Linotype" w:hAnsi="Palatino Linotype" w:cs="Palatino Linotype"/>
          <w:sz w:val="22"/>
          <w:szCs w:val="22"/>
        </w:rPr>
        <w:t xml:space="preserve">. Inconforme la persona solicitante con la falta de respuesta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el </w:t>
      </w:r>
      <w:r w:rsidRPr="00B13A05">
        <w:rPr>
          <w:rFonts w:ascii="Palatino Linotype" w:eastAsia="Palatino Linotype" w:hAnsi="Palatino Linotype" w:cs="Palatino Linotype"/>
          <w:b/>
          <w:sz w:val="22"/>
          <w:szCs w:val="22"/>
        </w:rPr>
        <w:t>catorce de febrero de dos mil veinticinco</w:t>
      </w:r>
      <w:r w:rsidRPr="00B13A05">
        <w:rPr>
          <w:rFonts w:ascii="Palatino Linotype" w:eastAsia="Palatino Linotype" w:hAnsi="Palatino Linotype" w:cs="Palatino Linotype"/>
          <w:sz w:val="22"/>
          <w:szCs w:val="22"/>
        </w:rPr>
        <w:t xml:space="preserve"> interpuso recurso de revisión a través de SAIMEX, expresando lo siguiente:</w:t>
      </w:r>
    </w:p>
    <w:p w14:paraId="151B0F8E" w14:textId="77777777" w:rsidR="000F238D" w:rsidRPr="00B13A05" w:rsidRDefault="00ED6B18">
      <w:pPr>
        <w:numPr>
          <w:ilvl w:val="0"/>
          <w:numId w:val="2"/>
        </w:numPr>
        <w:pBdr>
          <w:top w:val="nil"/>
          <w:left w:val="nil"/>
          <w:bottom w:val="nil"/>
          <w:right w:val="nil"/>
          <w:between w:val="nil"/>
        </w:pBdr>
        <w:ind w:left="567" w:hanging="141"/>
        <w:rPr>
          <w:rFonts w:ascii="Palatino Linotype" w:eastAsia="Palatino Linotype" w:hAnsi="Palatino Linotype" w:cs="Palatino Linotype"/>
          <w:i/>
          <w:sz w:val="22"/>
          <w:szCs w:val="22"/>
        </w:rPr>
      </w:pPr>
      <w:bookmarkStart w:id="1" w:name="_heading=h.tyjcwt" w:colFirst="0" w:colLast="0"/>
      <w:bookmarkEnd w:id="1"/>
      <w:r w:rsidRPr="00B13A05">
        <w:rPr>
          <w:rFonts w:ascii="Palatino Linotype" w:eastAsia="Palatino Linotype" w:hAnsi="Palatino Linotype" w:cs="Palatino Linotype"/>
          <w:b/>
          <w:sz w:val="22"/>
          <w:szCs w:val="22"/>
        </w:rPr>
        <w:t xml:space="preserve">Acto impugnado: </w:t>
      </w:r>
      <w:r w:rsidRPr="00B13A05">
        <w:rPr>
          <w:rFonts w:ascii="Palatino Linotype" w:eastAsia="Palatino Linotype" w:hAnsi="Palatino Linotype" w:cs="Palatino Linotype"/>
          <w:i/>
          <w:sz w:val="22"/>
          <w:szCs w:val="22"/>
        </w:rPr>
        <w:t>“No dieron respuesta” (sic)</w:t>
      </w:r>
    </w:p>
    <w:p w14:paraId="4A3074E1" w14:textId="77777777" w:rsidR="000F238D" w:rsidRPr="00B13A05" w:rsidRDefault="00ED6B18">
      <w:pPr>
        <w:numPr>
          <w:ilvl w:val="0"/>
          <w:numId w:val="2"/>
        </w:numPr>
        <w:pBdr>
          <w:top w:val="nil"/>
          <w:left w:val="nil"/>
          <w:bottom w:val="nil"/>
          <w:right w:val="nil"/>
          <w:between w:val="nil"/>
        </w:pBdr>
        <w:ind w:left="567" w:hanging="141"/>
        <w:rPr>
          <w:rFonts w:ascii="Palatino Linotype" w:eastAsia="Palatino Linotype" w:hAnsi="Palatino Linotype" w:cs="Palatino Linotype"/>
          <w:sz w:val="22"/>
          <w:szCs w:val="22"/>
        </w:rPr>
      </w:pPr>
      <w:bookmarkStart w:id="2" w:name="_heading=h.30j0zll" w:colFirst="0" w:colLast="0"/>
      <w:bookmarkEnd w:id="2"/>
      <w:r w:rsidRPr="00B13A05">
        <w:rPr>
          <w:rFonts w:ascii="Palatino Linotype" w:eastAsia="Palatino Linotype" w:hAnsi="Palatino Linotype" w:cs="Palatino Linotype"/>
          <w:b/>
          <w:sz w:val="22"/>
          <w:szCs w:val="22"/>
        </w:rPr>
        <w:t>Razones o motivos de inconformidad</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i/>
          <w:sz w:val="22"/>
          <w:szCs w:val="22"/>
        </w:rPr>
        <w:t>“No dieron respuesta " (sic)</w:t>
      </w:r>
    </w:p>
    <w:p w14:paraId="4000C1B7" w14:textId="77777777" w:rsidR="000F238D" w:rsidRPr="00B13A05" w:rsidRDefault="000F238D">
      <w:pPr>
        <w:spacing w:line="360" w:lineRule="auto"/>
        <w:ind w:right="51"/>
        <w:jc w:val="both"/>
        <w:rPr>
          <w:rFonts w:ascii="Palatino Linotype" w:eastAsia="Palatino Linotype" w:hAnsi="Palatino Linotype" w:cs="Palatino Linotype"/>
        </w:rPr>
      </w:pPr>
    </w:p>
    <w:p w14:paraId="78146B7C" w14:textId="77777777" w:rsidR="000F238D" w:rsidRPr="00B13A05" w:rsidRDefault="00ED6B18">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 xml:space="preserve">Turno. </w:t>
      </w:r>
      <w:r w:rsidRPr="00B13A0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13A05">
        <w:rPr>
          <w:rFonts w:ascii="Palatino Linotype" w:eastAsia="Palatino Linotype" w:hAnsi="Palatino Linotype" w:cs="Palatino Linotype"/>
          <w:b/>
          <w:sz w:val="22"/>
          <w:szCs w:val="22"/>
        </w:rPr>
        <w:t>Comisionada</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 xml:space="preserve">Guadalupe Ramírez Peña, </w:t>
      </w:r>
      <w:r w:rsidRPr="00B13A05">
        <w:rPr>
          <w:rFonts w:ascii="Palatino Linotype" w:eastAsia="Palatino Linotype" w:hAnsi="Palatino Linotype" w:cs="Palatino Linotype"/>
          <w:sz w:val="22"/>
          <w:szCs w:val="22"/>
        </w:rPr>
        <w:t xml:space="preserve">a efecto de que analizara sobre su admisión o su </w:t>
      </w:r>
      <w:proofErr w:type="spellStart"/>
      <w:r w:rsidRPr="00B13A05">
        <w:rPr>
          <w:rFonts w:ascii="Palatino Linotype" w:eastAsia="Palatino Linotype" w:hAnsi="Palatino Linotype" w:cs="Palatino Linotype"/>
          <w:sz w:val="22"/>
          <w:szCs w:val="22"/>
        </w:rPr>
        <w:t>desechamiento</w:t>
      </w:r>
      <w:proofErr w:type="spellEnd"/>
      <w:r w:rsidRPr="00B13A05">
        <w:rPr>
          <w:rFonts w:ascii="Palatino Linotype" w:eastAsia="Palatino Linotype" w:hAnsi="Palatino Linotype" w:cs="Palatino Linotype"/>
          <w:sz w:val="22"/>
          <w:szCs w:val="22"/>
        </w:rPr>
        <w:t>.</w:t>
      </w:r>
    </w:p>
    <w:p w14:paraId="426C645D"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5353286A" w14:textId="77777777" w:rsidR="000F238D" w:rsidRPr="00B13A05" w:rsidRDefault="00ED6B18">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B13A05">
        <w:rPr>
          <w:rFonts w:ascii="Palatino Linotype" w:eastAsia="Palatino Linotype" w:hAnsi="Palatino Linotype" w:cs="Palatino Linotype"/>
          <w:b/>
          <w:sz w:val="22"/>
          <w:szCs w:val="22"/>
        </w:rPr>
        <w:t>Admisión del Recurso de revisión.</w:t>
      </w:r>
      <w:r w:rsidRPr="00B13A05">
        <w:rPr>
          <w:rFonts w:ascii="Palatino Linotype" w:eastAsia="Palatino Linotype" w:hAnsi="Palatino Linotype" w:cs="Palatino Linotype"/>
          <w:sz w:val="22"/>
          <w:szCs w:val="22"/>
        </w:rPr>
        <w:t xml:space="preserve"> El </w:t>
      </w:r>
      <w:r w:rsidRPr="00B13A05">
        <w:rPr>
          <w:rFonts w:ascii="Palatino Linotype" w:eastAsia="Palatino Linotype" w:hAnsi="Palatino Linotype" w:cs="Palatino Linotype"/>
          <w:b/>
          <w:sz w:val="22"/>
          <w:szCs w:val="22"/>
        </w:rPr>
        <w:t>diecisiete de febrero de dos mil veinticinco</w:t>
      </w:r>
      <w:r w:rsidRPr="00B13A05">
        <w:rPr>
          <w:rFonts w:ascii="Palatino Linotype" w:eastAsia="Palatino Linotype" w:hAnsi="Palatino Linotype" w:cs="Palatino Linotype"/>
          <w:sz w:val="22"/>
          <w:szCs w:val="22"/>
        </w:rPr>
        <w:t>,</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13A05">
        <w:rPr>
          <w:rFonts w:ascii="Palatino Linotype" w:eastAsia="Palatino Linotype" w:hAnsi="Palatino Linotype" w:cs="Palatino Linotype"/>
          <w:b/>
          <w:sz w:val="22"/>
          <w:szCs w:val="22"/>
        </w:rPr>
        <w:t xml:space="preserve">Sujeto Obligado </w:t>
      </w:r>
      <w:r w:rsidRPr="00B13A05">
        <w:rPr>
          <w:rFonts w:ascii="Palatino Linotype" w:eastAsia="Palatino Linotype" w:hAnsi="Palatino Linotype" w:cs="Palatino Linotype"/>
          <w:sz w:val="22"/>
          <w:szCs w:val="22"/>
        </w:rPr>
        <w:t>presentara su informe justificado.</w:t>
      </w:r>
    </w:p>
    <w:p w14:paraId="3842422D" w14:textId="77777777" w:rsidR="000F238D" w:rsidRPr="00B13A05" w:rsidRDefault="000F238D">
      <w:pPr>
        <w:pBdr>
          <w:top w:val="nil"/>
          <w:left w:val="nil"/>
          <w:bottom w:val="nil"/>
          <w:right w:val="nil"/>
          <w:between w:val="nil"/>
        </w:pBdr>
        <w:ind w:left="720"/>
        <w:rPr>
          <w:rFonts w:ascii="Palatino Linotype" w:eastAsia="Palatino Linotype" w:hAnsi="Palatino Linotype" w:cs="Palatino Linotype"/>
          <w:b/>
          <w:sz w:val="22"/>
          <w:szCs w:val="22"/>
        </w:rPr>
      </w:pPr>
    </w:p>
    <w:p w14:paraId="60F17FC1" w14:textId="77777777" w:rsidR="000F238D" w:rsidRPr="00B13A05" w:rsidRDefault="00ED6B18">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Manifestaciones</w:t>
      </w:r>
      <w:r w:rsidRPr="00B13A05">
        <w:rPr>
          <w:rFonts w:ascii="Palatino Linotype" w:eastAsia="Palatino Linotype" w:hAnsi="Palatino Linotype" w:cs="Palatino Linotype"/>
          <w:sz w:val="22"/>
          <w:szCs w:val="22"/>
        </w:rPr>
        <w:t xml:space="preserve">. El </w:t>
      </w:r>
      <w:r w:rsidRPr="00B13A05">
        <w:rPr>
          <w:rFonts w:ascii="Palatino Linotype" w:eastAsia="Palatino Linotype" w:hAnsi="Palatino Linotype" w:cs="Palatino Linotype"/>
          <w:b/>
          <w:sz w:val="22"/>
          <w:szCs w:val="22"/>
        </w:rPr>
        <w:t>veintiséis de febrero de dos mil veinticinco</w:t>
      </w:r>
      <w:r w:rsidRPr="00B13A05">
        <w:rPr>
          <w:rFonts w:ascii="Palatino Linotype" w:eastAsia="Palatino Linotype" w:hAnsi="Palatino Linotype" w:cs="Palatino Linotype"/>
          <w:sz w:val="22"/>
          <w:szCs w:val="22"/>
        </w:rPr>
        <w:t xml:space="preserv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presentó su informe justificado mediante el archivo electrónico que se describe a continuación:</w:t>
      </w:r>
    </w:p>
    <w:p w14:paraId="2BBEECED" w14:textId="77777777" w:rsidR="000F238D" w:rsidRPr="00B13A05" w:rsidRDefault="000F238D">
      <w:pPr>
        <w:pBdr>
          <w:top w:val="nil"/>
          <w:left w:val="nil"/>
          <w:bottom w:val="nil"/>
          <w:right w:val="nil"/>
          <w:between w:val="nil"/>
        </w:pBdr>
        <w:ind w:left="720"/>
        <w:rPr>
          <w:rFonts w:ascii="Palatino Linotype" w:eastAsia="Palatino Linotype" w:hAnsi="Palatino Linotype" w:cs="Palatino Linotype"/>
          <w:sz w:val="22"/>
          <w:szCs w:val="22"/>
        </w:rPr>
      </w:pPr>
    </w:p>
    <w:p w14:paraId="56940375" w14:textId="77777777" w:rsidR="000F238D" w:rsidRPr="00B13A05" w:rsidRDefault="00ED6B18">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i/>
          <w:sz w:val="22"/>
          <w:szCs w:val="22"/>
        </w:rPr>
        <w:t xml:space="preserve">“Informe Justificado 1449.pdf”: </w:t>
      </w:r>
      <w:r w:rsidRPr="00B13A05">
        <w:rPr>
          <w:rFonts w:ascii="Palatino Linotype" w:eastAsia="Palatino Linotype" w:hAnsi="Palatino Linotype" w:cs="Palatino Linotype"/>
          <w:sz w:val="22"/>
          <w:szCs w:val="22"/>
        </w:rPr>
        <w:t xml:space="preserve">Documento que se compone de diez fojas y en él,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vierte las siguientes consideraciones:</w:t>
      </w:r>
    </w:p>
    <w:p w14:paraId="075584A9" w14:textId="77777777" w:rsidR="000F238D" w:rsidRPr="00B13A05" w:rsidRDefault="00ED6B18">
      <w:pPr>
        <w:numPr>
          <w:ilvl w:val="0"/>
          <w:numId w:val="4"/>
        </w:num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Que, el trece de febrero de dos mil veinticinco,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debió enviar la respuesta a la solicitud de información, materia del presente recurso de revisión, sin embargo, se registraron fallas en el Sistema SAIMEX. </w:t>
      </w:r>
    </w:p>
    <w:p w14:paraId="76CF031C" w14:textId="77777777" w:rsidR="000F238D" w:rsidRPr="00B13A05" w:rsidRDefault="00ED6B18">
      <w:pPr>
        <w:numPr>
          <w:ilvl w:val="0"/>
          <w:numId w:val="4"/>
        </w:num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Que, dicha Unidad de Transparencia, tuvo a bien informar mediante correo electrónico a la Dirección General de Informática de este Instituto ya que la solicitud fue turnada el veintidós de enero de dos mil veinticinco y no quedó registrado en el sistema. </w:t>
      </w:r>
    </w:p>
    <w:p w14:paraId="7EB74074" w14:textId="77777777" w:rsidR="000F238D" w:rsidRPr="00B13A05" w:rsidRDefault="00ED6B18">
      <w:pPr>
        <w:numPr>
          <w:ilvl w:val="0"/>
          <w:numId w:val="4"/>
        </w:num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Que,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se vio imposibilitado de subir la respuesta en tiempo y forma por las fallas señaladas anteriormente, ya que el turno no se vio reflejado, que había sido turnada a la Dirección General de Administración. </w:t>
      </w:r>
    </w:p>
    <w:p w14:paraId="5730A8EF" w14:textId="77777777" w:rsidR="000F238D" w:rsidRPr="00B13A05" w:rsidRDefault="00ED6B18">
      <w:pPr>
        <w:numPr>
          <w:ilvl w:val="0"/>
          <w:numId w:val="4"/>
        </w:num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Que, asevera adjuntar un oficio mediante el cual, la Dirección General de Administración, da respuesta a lo solicitado por la hoy parte Recurrente.</w:t>
      </w:r>
    </w:p>
    <w:p w14:paraId="00CDD057" w14:textId="77777777" w:rsidR="000F238D" w:rsidRPr="00B13A05" w:rsidRDefault="00ED6B18">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Cabe señalar </w:t>
      </w:r>
      <w:proofErr w:type="gramStart"/>
      <w:r w:rsidRPr="00B13A05">
        <w:rPr>
          <w:rFonts w:ascii="Palatino Linotype" w:eastAsia="Palatino Linotype" w:hAnsi="Palatino Linotype" w:cs="Palatino Linotype"/>
          <w:sz w:val="22"/>
          <w:szCs w:val="22"/>
        </w:rPr>
        <w:t>que</w:t>
      </w:r>
      <w:proofErr w:type="gramEnd"/>
      <w:r w:rsidRPr="00B13A05">
        <w:rPr>
          <w:rFonts w:ascii="Palatino Linotype" w:eastAsia="Palatino Linotype" w:hAnsi="Palatino Linotype" w:cs="Palatino Linotype"/>
          <w:sz w:val="22"/>
          <w:szCs w:val="22"/>
        </w:rPr>
        <w:t xml:space="preserve"> de la revisión al informe justificado, no se aprecia que se hubiere cargado el documento referido por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w:t>
      </w:r>
    </w:p>
    <w:p w14:paraId="72BE4237" w14:textId="77777777" w:rsidR="000F238D" w:rsidRPr="00B13A05" w:rsidRDefault="00ED6B18">
      <w:pPr>
        <w:numPr>
          <w:ilvl w:val="0"/>
          <w:numId w:val="4"/>
        </w:num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Que,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otorgó respuesta a la presente solicitud, por lo que solicita la confirmación del presente recurso de revisión.</w:t>
      </w:r>
    </w:p>
    <w:p w14:paraId="07FF230F"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61F0A4D4"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Una vez analizados este documento, se determinó ponerlo a la vista de </w:t>
      </w:r>
      <w:r w:rsidRPr="00B13A05">
        <w:rPr>
          <w:rFonts w:ascii="Palatino Linotype" w:eastAsia="Palatino Linotype" w:hAnsi="Palatino Linotype" w:cs="Palatino Linotype"/>
          <w:b/>
          <w:sz w:val="22"/>
          <w:szCs w:val="22"/>
        </w:rPr>
        <w:t>la parte Recurrente</w:t>
      </w:r>
      <w:r w:rsidRPr="00B13A05">
        <w:rPr>
          <w:rFonts w:ascii="Palatino Linotype" w:eastAsia="Palatino Linotype" w:hAnsi="Palatino Linotype" w:cs="Palatino Linotype"/>
          <w:sz w:val="22"/>
          <w:szCs w:val="22"/>
        </w:rPr>
        <w:t xml:space="preserve"> mediante acuerdo signado por la Comisionada Ponente el </w:t>
      </w:r>
      <w:r w:rsidRPr="00B13A05">
        <w:rPr>
          <w:rFonts w:ascii="Palatino Linotype" w:eastAsia="Palatino Linotype" w:hAnsi="Palatino Linotype" w:cs="Palatino Linotype"/>
          <w:b/>
          <w:sz w:val="22"/>
          <w:szCs w:val="22"/>
        </w:rPr>
        <w:t>catorce de marzo de dos mil veinticinco</w:t>
      </w:r>
      <w:r w:rsidRPr="00B13A05">
        <w:rPr>
          <w:rFonts w:ascii="Palatino Linotype" w:eastAsia="Palatino Linotype" w:hAnsi="Palatino Linotype" w:cs="Palatino Linotype"/>
          <w:sz w:val="22"/>
          <w:szCs w:val="22"/>
        </w:rPr>
        <w:t xml:space="preserve">, teniendo constancia de que </w:t>
      </w:r>
      <w:r w:rsidRPr="00B13A05">
        <w:rPr>
          <w:rFonts w:ascii="Palatino Linotype" w:eastAsia="Palatino Linotype" w:hAnsi="Palatino Linotype" w:cs="Palatino Linotype"/>
          <w:b/>
          <w:sz w:val="22"/>
          <w:szCs w:val="22"/>
        </w:rPr>
        <w:t>la parte Recurrente fue omisa</w:t>
      </w:r>
      <w:r w:rsidRPr="00B13A05">
        <w:rPr>
          <w:rFonts w:ascii="Palatino Linotype" w:eastAsia="Palatino Linotype" w:hAnsi="Palatino Linotype" w:cs="Palatino Linotype"/>
          <w:sz w:val="22"/>
          <w:szCs w:val="22"/>
        </w:rPr>
        <w:t xml:space="preserve"> en pronunciarse respecto de esta documental.</w:t>
      </w:r>
    </w:p>
    <w:p w14:paraId="67F04390"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075CD065"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noProof/>
          <w:sz w:val="22"/>
          <w:szCs w:val="22"/>
        </w:rPr>
        <w:lastRenderedPageBreak/>
        <w:drawing>
          <wp:inline distT="0" distB="0" distL="0" distR="0" wp14:anchorId="2C9CF1BC" wp14:editId="1BF27E88">
            <wp:extent cx="5490845" cy="2001520"/>
            <wp:effectExtent l="0" t="0" r="0" b="0"/>
            <wp:docPr id="21401318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90845" cy="2001520"/>
                    </a:xfrm>
                    <a:prstGeom prst="rect">
                      <a:avLst/>
                    </a:prstGeom>
                    <a:ln/>
                  </pic:spPr>
                </pic:pic>
              </a:graphicData>
            </a:graphic>
          </wp:inline>
        </w:drawing>
      </w:r>
    </w:p>
    <w:p w14:paraId="0EB36772" w14:textId="77777777" w:rsidR="000F238D" w:rsidRPr="00B13A05" w:rsidRDefault="00ED6B18">
      <w:p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B13A05">
        <w:rPr>
          <w:rFonts w:ascii="Palatino Linotype" w:eastAsia="Palatino Linotype" w:hAnsi="Palatino Linotype" w:cs="Palatino Linotype"/>
          <w:b/>
          <w:sz w:val="22"/>
        </w:rPr>
        <w:t>7</w:t>
      </w:r>
      <w:r w:rsidRPr="00B13A05">
        <w:rPr>
          <w:rFonts w:ascii="Palatino Linotype" w:eastAsia="Palatino Linotype" w:hAnsi="Palatino Linotype" w:cs="Palatino Linotype"/>
        </w:rPr>
        <w:t xml:space="preserve">. </w:t>
      </w:r>
      <w:r w:rsidRPr="00B13A05">
        <w:rPr>
          <w:rFonts w:ascii="Palatino Linotype" w:eastAsia="Palatino Linotype" w:hAnsi="Palatino Linotype" w:cs="Palatino Linotype"/>
          <w:b/>
          <w:sz w:val="22"/>
          <w:szCs w:val="22"/>
        </w:rPr>
        <w:t xml:space="preserve">Cierre de instrucción. </w:t>
      </w:r>
      <w:r w:rsidRPr="00B13A0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13A05">
        <w:rPr>
          <w:rFonts w:ascii="Palatino Linotype" w:eastAsia="Palatino Linotype" w:hAnsi="Palatino Linotype" w:cs="Palatino Linotype"/>
          <w:b/>
          <w:sz w:val="22"/>
          <w:szCs w:val="22"/>
        </w:rPr>
        <w:t>veinticuatro</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de marzo de dos mil veinticinco</w:t>
      </w:r>
      <w:r w:rsidRPr="00B13A0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3942F19" w14:textId="77777777" w:rsidR="000F238D" w:rsidRPr="00B13A05" w:rsidRDefault="000F238D">
      <w:pPr>
        <w:pBdr>
          <w:top w:val="nil"/>
          <w:left w:val="nil"/>
          <w:bottom w:val="nil"/>
          <w:right w:val="nil"/>
          <w:between w:val="nil"/>
        </w:pBdr>
        <w:spacing w:line="360" w:lineRule="auto"/>
        <w:jc w:val="both"/>
        <w:rPr>
          <w:rFonts w:ascii="Palatino Linotype" w:eastAsia="Palatino Linotype" w:hAnsi="Palatino Linotype" w:cs="Palatino Linotype"/>
        </w:rPr>
      </w:pPr>
    </w:p>
    <w:p w14:paraId="36DF8BC7" w14:textId="77777777" w:rsidR="000F238D" w:rsidRPr="00B13A05" w:rsidRDefault="00ED6B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90225E3" w14:textId="77777777" w:rsidR="000F238D" w:rsidRPr="00B13A05" w:rsidRDefault="00ED6B18">
      <w:pPr>
        <w:widowControl w:val="0"/>
        <w:spacing w:line="360" w:lineRule="auto"/>
        <w:jc w:val="center"/>
        <w:rPr>
          <w:rFonts w:ascii="Palatino Linotype" w:eastAsia="Palatino Linotype" w:hAnsi="Palatino Linotype" w:cs="Palatino Linotype"/>
          <w:b/>
        </w:rPr>
      </w:pPr>
      <w:r w:rsidRPr="00B13A05">
        <w:rPr>
          <w:rFonts w:ascii="Palatino Linotype" w:eastAsia="Palatino Linotype" w:hAnsi="Palatino Linotype" w:cs="Palatino Linotype"/>
          <w:b/>
        </w:rPr>
        <w:t>II. C O N S I D E R A N D O S</w:t>
      </w:r>
    </w:p>
    <w:p w14:paraId="22745214" w14:textId="77777777" w:rsidR="000F238D" w:rsidRPr="00B13A05" w:rsidRDefault="00ED6B18">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B13A05">
        <w:rPr>
          <w:rFonts w:ascii="Palatino Linotype" w:eastAsia="Palatino Linotype" w:hAnsi="Palatino Linotype" w:cs="Palatino Linotype"/>
          <w:b/>
          <w:sz w:val="22"/>
          <w:szCs w:val="22"/>
        </w:rPr>
        <w:t>Primero. Competencia.</w:t>
      </w:r>
      <w:r w:rsidRPr="00B13A0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w:t>
      </w:r>
      <w:r w:rsidRPr="00B13A05">
        <w:rPr>
          <w:rFonts w:ascii="Palatino Linotype" w:eastAsia="Palatino Linotype" w:hAnsi="Palatino Linotype" w:cs="Palatino Linotype"/>
          <w:sz w:val="22"/>
          <w:szCs w:val="22"/>
        </w:rPr>
        <w:lastRenderedPageBreak/>
        <w:t>a la Información Pública y Protección de Datos Personales del Estado de México y Municipios.</w:t>
      </w:r>
    </w:p>
    <w:p w14:paraId="637D9039" w14:textId="77777777" w:rsidR="000F238D" w:rsidRPr="00B13A05" w:rsidRDefault="000F238D">
      <w:pPr>
        <w:spacing w:line="360" w:lineRule="auto"/>
        <w:jc w:val="both"/>
        <w:rPr>
          <w:rFonts w:ascii="Palatino Linotype" w:eastAsia="Palatino Linotype" w:hAnsi="Palatino Linotype" w:cs="Palatino Linotype"/>
        </w:rPr>
      </w:pPr>
    </w:p>
    <w:p w14:paraId="6312B512"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 xml:space="preserve">Segundo. Oportunidad y Procedibilidad. </w:t>
      </w:r>
      <w:r w:rsidRPr="00B13A05">
        <w:rPr>
          <w:rFonts w:ascii="Palatino Linotype" w:eastAsia="Palatino Linotype" w:hAnsi="Palatino Linotype" w:cs="Palatino Linotype"/>
          <w:sz w:val="22"/>
          <w:szCs w:val="22"/>
        </w:rPr>
        <w:t>Es de precisar que la</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FB94FA0" w14:textId="77777777" w:rsidR="000F238D" w:rsidRPr="00B13A05" w:rsidRDefault="000F238D">
      <w:pPr>
        <w:spacing w:line="360" w:lineRule="auto"/>
        <w:jc w:val="both"/>
        <w:rPr>
          <w:rFonts w:ascii="Palatino Linotype" w:eastAsia="Palatino Linotype" w:hAnsi="Palatino Linotype" w:cs="Palatino Linotype"/>
        </w:rPr>
      </w:pPr>
    </w:p>
    <w:p w14:paraId="63309007" w14:textId="77777777" w:rsidR="000F238D" w:rsidRPr="00B13A05" w:rsidRDefault="00ED6B18">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“Artículo 163. </w:t>
      </w:r>
      <w:r w:rsidRPr="00B13A05">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91253C1" w14:textId="77777777" w:rsidR="000F238D" w:rsidRPr="00B13A05" w:rsidRDefault="00ED6B18">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Artículo 166.</w:t>
      </w:r>
    </w:p>
    <w:p w14:paraId="2F23EC94" w14:textId="77777777" w:rsidR="000F238D" w:rsidRPr="00B13A05" w:rsidRDefault="00ED6B18">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1037BEF6" w14:textId="77777777" w:rsidR="000F238D" w:rsidRPr="00B13A05" w:rsidRDefault="00ED6B18">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5A5AB00" w14:textId="77777777" w:rsidR="000F238D" w:rsidRPr="00B13A05" w:rsidRDefault="00ED6B18">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7F9DEB59" w14:textId="77777777" w:rsidR="000F238D" w:rsidRPr="00B13A05" w:rsidRDefault="000F238D">
      <w:pPr>
        <w:spacing w:line="360" w:lineRule="auto"/>
        <w:ind w:left="-426"/>
        <w:jc w:val="both"/>
        <w:rPr>
          <w:rFonts w:ascii="Palatino Linotype" w:eastAsia="Palatino Linotype" w:hAnsi="Palatino Linotype" w:cs="Palatino Linotype"/>
        </w:rPr>
      </w:pPr>
    </w:p>
    <w:p w14:paraId="685AB90E"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B7A3482"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1A3D6B0C"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41405CBD"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5D328D09"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Por su parte, el artículo 178 del citado ordenamiento, establece:</w:t>
      </w:r>
    </w:p>
    <w:p w14:paraId="77596BF5" w14:textId="77777777" w:rsidR="000F238D" w:rsidRPr="00B13A05" w:rsidRDefault="00ED6B18">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 xml:space="preserve">“Artículo 178. </w:t>
      </w:r>
      <w:r w:rsidRPr="00B13A05">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13A05">
        <w:rPr>
          <w:rFonts w:ascii="Palatino Linotype" w:eastAsia="Palatino Linotype" w:hAnsi="Palatino Linotype" w:cs="Palatino Linotype"/>
          <w:b/>
          <w:i/>
          <w:sz w:val="22"/>
          <w:szCs w:val="22"/>
        </w:rPr>
        <w:t>.</w:t>
      </w:r>
    </w:p>
    <w:p w14:paraId="3C8F801A" w14:textId="77777777" w:rsidR="000F238D" w:rsidRPr="00B13A05" w:rsidRDefault="00ED6B18">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B13A05">
        <w:rPr>
          <w:rFonts w:ascii="Palatino Linotype" w:eastAsia="Palatino Linotype" w:hAnsi="Palatino Linotype" w:cs="Palatino Linotype"/>
          <w:b/>
          <w:i/>
          <w:sz w:val="22"/>
          <w:szCs w:val="22"/>
        </w:rPr>
        <w:t>.</w:t>
      </w:r>
    </w:p>
    <w:p w14:paraId="68324713" w14:textId="77777777" w:rsidR="000F238D" w:rsidRPr="00B13A05" w:rsidRDefault="00ED6B18">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w:t>
      </w:r>
    </w:p>
    <w:p w14:paraId="6BDD97BD"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B13A05">
        <w:rPr>
          <w:rFonts w:ascii="Palatino Linotype" w:eastAsia="Palatino Linotype" w:hAnsi="Palatino Linotype" w:cs="Palatino Linotype"/>
          <w:b/>
          <w:sz w:val="22"/>
          <w:szCs w:val="22"/>
        </w:rPr>
        <w:t xml:space="preserve">el Sujeto Obligado </w:t>
      </w:r>
      <w:r w:rsidRPr="00B13A05">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B13A05">
        <w:rPr>
          <w:rFonts w:ascii="Palatino Linotype" w:eastAsia="Palatino Linotype" w:hAnsi="Palatino Linotype" w:cs="Palatino Linotype"/>
          <w:b/>
          <w:sz w:val="22"/>
          <w:szCs w:val="22"/>
          <w:u w:val="single"/>
        </w:rPr>
        <w:t>la interposición del recurso de revisión puede ser en cualquier momento.</w:t>
      </w:r>
    </w:p>
    <w:p w14:paraId="2F1326D2"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0CC51531"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B13A05">
        <w:rPr>
          <w:rFonts w:ascii="Palatino Linotype" w:eastAsia="Palatino Linotype" w:hAnsi="Palatino Linotype" w:cs="Palatino Linotype"/>
          <w:b/>
          <w:sz w:val="22"/>
          <w:szCs w:val="22"/>
        </w:rPr>
        <w:t xml:space="preserve">Sujeto Obligado, </w:t>
      </w:r>
      <w:r w:rsidRPr="00B13A05">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w:t>
      </w:r>
      <w:r w:rsidRPr="00B13A05">
        <w:rPr>
          <w:rFonts w:ascii="Palatino Linotype" w:eastAsia="Palatino Linotype" w:hAnsi="Palatino Linotype" w:cs="Palatino Linotype"/>
          <w:sz w:val="22"/>
          <w:szCs w:val="22"/>
        </w:rPr>
        <w:lastRenderedPageBreak/>
        <w:t>Derecho en el que, el particular, tiene siempre una vía de defensa en contra de los actos autoritarios que le perjudican.</w:t>
      </w:r>
    </w:p>
    <w:p w14:paraId="7FCAB68A"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1EC9BFC0"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B13A05">
        <w:rPr>
          <w:rFonts w:ascii="Palatino Linotype" w:eastAsia="Palatino Linotype" w:hAnsi="Palatino Linotype" w:cs="Palatino Linotype"/>
          <w:sz w:val="22"/>
          <w:szCs w:val="22"/>
        </w:rPr>
        <w:t>desechamiento</w:t>
      </w:r>
      <w:proofErr w:type="spellEnd"/>
      <w:r w:rsidRPr="00B13A05">
        <w:rPr>
          <w:rFonts w:ascii="Palatino Linotype" w:eastAsia="Palatino Linotype" w:hAnsi="Palatino Linotype" w:cs="Palatino Linotype"/>
          <w:sz w:val="22"/>
          <w:szCs w:val="22"/>
        </w:rPr>
        <w:t xml:space="preserve"> del mismo.</w:t>
      </w:r>
    </w:p>
    <w:p w14:paraId="3CCDE6B7" w14:textId="77777777" w:rsidR="000F238D" w:rsidRPr="00B13A05" w:rsidRDefault="000F238D">
      <w:pPr>
        <w:spacing w:line="360" w:lineRule="auto"/>
        <w:jc w:val="both"/>
        <w:rPr>
          <w:rFonts w:ascii="Palatino Linotype" w:eastAsia="Palatino Linotype" w:hAnsi="Palatino Linotype" w:cs="Palatino Linotype"/>
          <w:sz w:val="22"/>
          <w:szCs w:val="22"/>
        </w:rPr>
      </w:pPr>
    </w:p>
    <w:p w14:paraId="4218DCA3"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ED5311B" w14:textId="77777777" w:rsidR="000F238D" w:rsidRPr="00B13A05" w:rsidRDefault="000F238D">
      <w:pPr>
        <w:spacing w:line="360" w:lineRule="auto"/>
        <w:jc w:val="both"/>
        <w:rPr>
          <w:rFonts w:ascii="Palatino Linotype" w:eastAsia="Palatino Linotype" w:hAnsi="Palatino Linotype" w:cs="Palatino Linotype"/>
          <w:i/>
        </w:rPr>
      </w:pPr>
    </w:p>
    <w:p w14:paraId="63C9B51E" w14:textId="77777777" w:rsidR="000F238D" w:rsidRPr="00B13A05" w:rsidRDefault="00ED6B18">
      <w:pPr>
        <w:tabs>
          <w:tab w:val="left" w:pos="1276"/>
        </w:tabs>
        <w:spacing w:after="160" w:line="276" w:lineRule="auto"/>
        <w:ind w:left="567" w:right="616"/>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CRITERIO 0001-15. NEGATIVA FICTA. PLAZO PARA INTERPONER EL RECURSO DE REVISIÓN TRATÁNDOSE DE</w:t>
      </w:r>
      <w:r w:rsidRPr="00B13A05">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w:t>
      </w:r>
      <w:r w:rsidRPr="00B13A05">
        <w:rPr>
          <w:rFonts w:ascii="Palatino Linotype" w:eastAsia="Palatino Linotype" w:hAnsi="Palatino Linotype" w:cs="Palatino Linotype"/>
          <w:i/>
          <w:sz w:val="22"/>
          <w:szCs w:val="22"/>
        </w:rPr>
        <w:lastRenderedPageBreak/>
        <w:t>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C3637B5"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B13A05">
        <w:rPr>
          <w:rFonts w:ascii="Palatino Linotype" w:eastAsia="Palatino Linotype" w:hAnsi="Palatino Linotype" w:cs="Palatino Linotype"/>
          <w:b/>
          <w:sz w:val="22"/>
          <w:szCs w:val="22"/>
        </w:rPr>
        <w:t>la parte</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Recurrente</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no</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 xml:space="preserve">proporcionó nombre o seudónimo con el que desee ser identificado, </w:t>
      </w:r>
      <w:r w:rsidRPr="00B13A05">
        <w:rPr>
          <w:rFonts w:ascii="Palatino Linotype" w:eastAsia="Palatino Linotype" w:hAnsi="Palatino Linotype" w:cs="Palatino Linotype"/>
          <w:sz w:val="22"/>
          <w:szCs w:val="22"/>
        </w:rPr>
        <w:t>como se advierte en el detalle de seguimiento del SAIMEX, no obstante lo anterior,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704059A" w14:textId="77777777" w:rsidR="000F238D" w:rsidRPr="00B13A05" w:rsidRDefault="000F238D">
      <w:pPr>
        <w:spacing w:line="276" w:lineRule="auto"/>
        <w:ind w:left="851" w:right="900"/>
        <w:jc w:val="both"/>
        <w:rPr>
          <w:rFonts w:ascii="Palatino Linotype" w:eastAsia="Palatino Linotype" w:hAnsi="Palatino Linotype" w:cs="Palatino Linotype"/>
          <w:i/>
          <w:sz w:val="22"/>
          <w:szCs w:val="22"/>
        </w:rPr>
      </w:pPr>
    </w:p>
    <w:p w14:paraId="5057BF88" w14:textId="77777777" w:rsidR="000F238D" w:rsidRPr="00B13A05" w:rsidRDefault="00ED6B18">
      <w:pPr>
        <w:spacing w:line="276" w:lineRule="auto"/>
        <w:ind w:left="851"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Las solicitudes anónimas</w:t>
      </w:r>
      <w:r w:rsidRPr="00B13A05">
        <w:rPr>
          <w:rFonts w:ascii="Palatino Linotype" w:eastAsia="Palatino Linotype" w:hAnsi="Palatino Linotype" w:cs="Palatino Linotype"/>
          <w:i/>
          <w:sz w:val="22"/>
          <w:szCs w:val="22"/>
        </w:rPr>
        <w:t xml:space="preserve">, con nombre incompleto o seudónimo </w:t>
      </w:r>
      <w:r w:rsidRPr="00B13A05">
        <w:rPr>
          <w:rFonts w:ascii="Palatino Linotype" w:eastAsia="Palatino Linotype" w:hAnsi="Palatino Linotype" w:cs="Palatino Linotype"/>
          <w:b/>
          <w:i/>
          <w:sz w:val="22"/>
          <w:szCs w:val="22"/>
        </w:rPr>
        <w:t>serán procedentes para su trámite por parte del sujeto obligado ante quien se presente</w:t>
      </w:r>
      <w:r w:rsidRPr="00B13A05">
        <w:rPr>
          <w:rFonts w:ascii="Palatino Linotype" w:eastAsia="Palatino Linotype" w:hAnsi="Palatino Linotype" w:cs="Palatino Linotype"/>
          <w:i/>
          <w:sz w:val="22"/>
          <w:szCs w:val="22"/>
        </w:rPr>
        <w:t>. No podrá requerirse información adicional con motivo del nombre proporcionado por el solicitante."</w:t>
      </w:r>
    </w:p>
    <w:p w14:paraId="515BB566" w14:textId="77777777" w:rsidR="000F238D" w:rsidRPr="00B13A05" w:rsidRDefault="000F238D">
      <w:pPr>
        <w:spacing w:line="360" w:lineRule="auto"/>
        <w:ind w:right="-147"/>
        <w:jc w:val="both"/>
        <w:rPr>
          <w:rFonts w:ascii="Palatino Linotype" w:eastAsia="Palatino Linotype" w:hAnsi="Palatino Linotype" w:cs="Palatino Linotype"/>
        </w:rPr>
      </w:pPr>
    </w:p>
    <w:p w14:paraId="464AE099" w14:textId="77777777" w:rsidR="000F238D" w:rsidRPr="00B13A05" w:rsidRDefault="00ED6B18">
      <w:pPr>
        <w:spacing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13A05">
        <w:rPr>
          <w:rFonts w:ascii="Palatino Linotype" w:eastAsia="Palatino Linotype" w:hAnsi="Palatino Linotype" w:cs="Palatino Linotype"/>
          <w:b/>
          <w:sz w:val="22"/>
          <w:szCs w:val="22"/>
        </w:rPr>
        <w:t>el</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SAIMEX</w:t>
      </w:r>
      <w:r w:rsidRPr="00B13A05">
        <w:rPr>
          <w:rFonts w:ascii="Palatino Linotype" w:eastAsia="Palatino Linotype" w:hAnsi="Palatino Linotype" w:cs="Palatino Linotype"/>
          <w:sz w:val="22"/>
          <w:szCs w:val="22"/>
        </w:rPr>
        <w:t>.</w:t>
      </w:r>
    </w:p>
    <w:p w14:paraId="41971F8E" w14:textId="77777777" w:rsidR="000F238D" w:rsidRPr="00B13A05" w:rsidRDefault="000F238D">
      <w:pPr>
        <w:spacing w:line="360" w:lineRule="auto"/>
        <w:rPr>
          <w:rFonts w:ascii="Calibri" w:eastAsia="Calibri" w:hAnsi="Calibri" w:cs="Calibri"/>
          <w:sz w:val="22"/>
          <w:szCs w:val="22"/>
        </w:rPr>
      </w:pPr>
    </w:p>
    <w:p w14:paraId="5DA2597C"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w:t>
      </w:r>
      <w:r w:rsidRPr="00B13A05">
        <w:rPr>
          <w:rFonts w:ascii="Palatino Linotype" w:eastAsia="Palatino Linotype" w:hAnsi="Palatino Linotype" w:cs="Palatino Linotype"/>
          <w:sz w:val="22"/>
          <w:szCs w:val="22"/>
        </w:rPr>
        <w:lastRenderedPageBreak/>
        <w:t xml:space="preserve">hipótesis prevista en la </w:t>
      </w:r>
      <w:r w:rsidRPr="00B13A05">
        <w:rPr>
          <w:rFonts w:ascii="Palatino Linotype" w:eastAsia="Palatino Linotype" w:hAnsi="Palatino Linotype" w:cs="Palatino Linotype"/>
          <w:b/>
          <w:sz w:val="22"/>
          <w:szCs w:val="22"/>
        </w:rPr>
        <w:t>fracción VII del artículo 179</w:t>
      </w:r>
      <w:r w:rsidRPr="00B13A05">
        <w:rPr>
          <w:rFonts w:ascii="Palatino Linotype" w:eastAsia="Palatino Linotype" w:hAnsi="Palatino Linotype" w:cs="Palatino Linotype"/>
          <w:sz w:val="22"/>
          <w:szCs w:val="22"/>
        </w:rPr>
        <w:t xml:space="preserve"> de la ley de la materia, que a la letra dice:</w:t>
      </w:r>
    </w:p>
    <w:p w14:paraId="384FCE27" w14:textId="77777777" w:rsidR="000F238D" w:rsidRPr="00B13A05" w:rsidRDefault="00ED6B18">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“Artículo 179. </w:t>
      </w:r>
      <w:r w:rsidRPr="00B13A0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8A47B6B" w14:textId="77777777" w:rsidR="000F238D" w:rsidRPr="00B13A05" w:rsidRDefault="00ED6B18">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091F9C21" w14:textId="77777777" w:rsidR="000F238D" w:rsidRPr="00B13A05" w:rsidRDefault="00ED6B18">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VII. </w:t>
      </w:r>
      <w:r w:rsidRPr="00B13A05">
        <w:rPr>
          <w:rFonts w:ascii="Palatino Linotype" w:eastAsia="Palatino Linotype" w:hAnsi="Palatino Linotype" w:cs="Palatino Linotype"/>
          <w:i/>
          <w:sz w:val="22"/>
          <w:szCs w:val="22"/>
        </w:rPr>
        <w:t>La falta de respuesta a una solicitud de acceso a la información;</w:t>
      </w:r>
    </w:p>
    <w:p w14:paraId="1CB552D1" w14:textId="77777777" w:rsidR="000F238D" w:rsidRPr="00B13A05" w:rsidRDefault="00ED6B18">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7336D192" w14:textId="77777777" w:rsidR="000F238D" w:rsidRPr="00B13A05" w:rsidRDefault="00ED6B18">
      <w:pP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B13A05">
        <w:rPr>
          <w:rFonts w:ascii="Palatino Linotype" w:eastAsia="Palatino Linotype" w:hAnsi="Palatino Linotype" w:cs="Palatino Linotype"/>
          <w:b/>
          <w:sz w:val="22"/>
          <w:szCs w:val="22"/>
        </w:rPr>
        <w:t xml:space="preserve">la parte Recurrente </w:t>
      </w:r>
      <w:r w:rsidRPr="00B13A05">
        <w:rPr>
          <w:rFonts w:ascii="Palatino Linotype" w:eastAsia="Palatino Linotype" w:hAnsi="Palatino Linotype" w:cs="Palatino Linotype"/>
          <w:sz w:val="22"/>
          <w:szCs w:val="22"/>
        </w:rPr>
        <w:t xml:space="preserve">estime negado el acceso a la información por la falta de respuesta por </w:t>
      </w:r>
      <w:r w:rsidRPr="00B13A05">
        <w:rPr>
          <w:rFonts w:ascii="Palatino Linotype" w:eastAsia="Palatino Linotype" w:hAnsi="Palatino Linotype" w:cs="Palatino Linotype"/>
          <w:b/>
          <w:sz w:val="22"/>
          <w:szCs w:val="22"/>
        </w:rPr>
        <w:t>el Sujeto Obligado,</w:t>
      </w:r>
      <w:r w:rsidRPr="00B13A05">
        <w:rPr>
          <w:rFonts w:ascii="Palatino Linotype" w:eastAsia="Palatino Linotype" w:hAnsi="Palatino Linotype" w:cs="Palatino Linotype"/>
          <w:sz w:val="22"/>
          <w:szCs w:val="22"/>
        </w:rPr>
        <w:t xml:space="preserve"> en este asunto se actualiza la hipótesis jurídica citada, en atención a que </w:t>
      </w:r>
      <w:r w:rsidRPr="00B13A05">
        <w:rPr>
          <w:rFonts w:ascii="Palatino Linotype" w:eastAsia="Palatino Linotype" w:hAnsi="Palatino Linotype" w:cs="Palatino Linotype"/>
          <w:b/>
          <w:sz w:val="22"/>
          <w:szCs w:val="22"/>
        </w:rPr>
        <w:t xml:space="preserve">la parte Recurrente </w:t>
      </w:r>
      <w:r w:rsidRPr="00B13A05">
        <w:rPr>
          <w:rFonts w:ascii="Palatino Linotype" w:eastAsia="Palatino Linotype" w:hAnsi="Palatino Linotype" w:cs="Palatino Linotype"/>
          <w:sz w:val="22"/>
          <w:szCs w:val="22"/>
        </w:rPr>
        <w:t xml:space="preserve">combate la falta de respuesta por </w:t>
      </w:r>
      <w:r w:rsidRPr="00B13A05">
        <w:rPr>
          <w:rFonts w:ascii="Palatino Linotype" w:eastAsia="Palatino Linotype" w:hAnsi="Palatino Linotype" w:cs="Palatino Linotype"/>
          <w:b/>
          <w:sz w:val="22"/>
          <w:szCs w:val="22"/>
        </w:rPr>
        <w:t>el Sujeto Obligado</w:t>
      </w:r>
      <w:r w:rsidRPr="00B13A05">
        <w:rPr>
          <w:rFonts w:ascii="Palatino Linotype" w:eastAsia="Palatino Linotype" w:hAnsi="Palatino Linotype" w:cs="Palatino Linotype"/>
          <w:sz w:val="22"/>
          <w:szCs w:val="22"/>
        </w:rPr>
        <w:t xml:space="preserve"> y expresa motivos de inconformidad en contra de dicha circunstancia.</w:t>
      </w:r>
    </w:p>
    <w:p w14:paraId="1912D058" w14:textId="77777777" w:rsidR="000F238D" w:rsidRPr="00B13A05" w:rsidRDefault="000F238D">
      <w:pPr>
        <w:spacing w:line="360" w:lineRule="auto"/>
        <w:jc w:val="both"/>
        <w:rPr>
          <w:rFonts w:ascii="Palatino Linotype" w:eastAsia="Palatino Linotype" w:hAnsi="Palatino Linotype" w:cs="Palatino Linotype"/>
        </w:rPr>
      </w:pPr>
    </w:p>
    <w:p w14:paraId="01CF6EA7" w14:textId="77777777" w:rsidR="000F238D" w:rsidRPr="00B13A05" w:rsidRDefault="00ED6B18">
      <w:pPr>
        <w:tabs>
          <w:tab w:val="left" w:pos="8647"/>
        </w:tabs>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 xml:space="preserve">Tercero. Materia de la Revisión. </w:t>
      </w:r>
      <w:r w:rsidRPr="00B13A05">
        <w:rPr>
          <w:rFonts w:ascii="Palatino Linotype" w:eastAsia="Palatino Linotype" w:hAnsi="Palatino Linotype" w:cs="Palatino Linotype"/>
          <w:sz w:val="22"/>
          <w:szCs w:val="22"/>
        </w:rPr>
        <w:t xml:space="preserve">Este Organismo Garante procede del análisis de los agravios hechos valer por </w:t>
      </w:r>
      <w:r w:rsidRPr="00B13A05">
        <w:rPr>
          <w:rFonts w:ascii="Palatino Linotype" w:eastAsia="Palatino Linotype" w:hAnsi="Palatino Linotype" w:cs="Palatino Linotype"/>
          <w:b/>
          <w:sz w:val="22"/>
          <w:szCs w:val="22"/>
        </w:rPr>
        <w:t>la parte Recurrente,</w:t>
      </w:r>
      <w:r w:rsidRPr="00B13A05">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DD4B65E" w14:textId="77777777" w:rsidR="000F238D" w:rsidRPr="00B13A05" w:rsidRDefault="00ED6B18">
      <w:pPr>
        <w:pBdr>
          <w:top w:val="nil"/>
          <w:left w:val="nil"/>
          <w:bottom w:val="nil"/>
          <w:right w:val="nil"/>
          <w:between w:val="nil"/>
        </w:pBdr>
        <w:spacing w:before="240" w:line="360" w:lineRule="auto"/>
        <w:jc w:val="both"/>
        <w:rPr>
          <w:sz w:val="22"/>
          <w:szCs w:val="22"/>
        </w:rPr>
      </w:pPr>
      <w:r w:rsidRPr="00B13A05">
        <w:rPr>
          <w:rFonts w:ascii="Palatino Linotype" w:eastAsia="Palatino Linotype" w:hAnsi="Palatino Linotype" w:cs="Palatino Linotype"/>
          <w:b/>
          <w:sz w:val="22"/>
          <w:szCs w:val="22"/>
        </w:rPr>
        <w:t xml:space="preserve">Cuarto. Estudio del Asunto. </w:t>
      </w:r>
      <w:r w:rsidRPr="00B13A05">
        <w:rPr>
          <w:rFonts w:ascii="Palatino Linotype" w:eastAsia="Palatino Linotype" w:hAnsi="Palatino Linotype" w:cs="Palatino Linotype"/>
          <w:sz w:val="22"/>
          <w:szCs w:val="22"/>
        </w:rPr>
        <w:t xml:space="preserve">Acotado lo anterior, con el fin de no dejar en estado de indefensión a </w:t>
      </w:r>
      <w:r w:rsidRPr="00B13A05">
        <w:rPr>
          <w:rFonts w:ascii="Palatino Linotype" w:eastAsia="Palatino Linotype" w:hAnsi="Palatino Linotype" w:cs="Palatino Linotype"/>
          <w:b/>
          <w:sz w:val="22"/>
          <w:szCs w:val="22"/>
        </w:rPr>
        <w:t>la parte</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Recurrent</w:t>
      </w:r>
      <w:r w:rsidRPr="00B13A05">
        <w:rPr>
          <w:rFonts w:ascii="Palatino Linotype" w:eastAsia="Palatino Linotype" w:hAnsi="Palatino Linotype" w:cs="Palatino Linotype"/>
          <w:sz w:val="22"/>
          <w:szCs w:val="22"/>
        </w:rPr>
        <w:t xml:space="preserve">e, resulta oportuno señalar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w:t>
      </w:r>
      <w:r w:rsidRPr="00B13A05">
        <w:rPr>
          <w:rFonts w:ascii="Palatino Linotype" w:eastAsia="Palatino Linotype" w:hAnsi="Palatino Linotype" w:cs="Palatino Linotype"/>
          <w:sz w:val="22"/>
          <w:szCs w:val="22"/>
        </w:rPr>
        <w:lastRenderedPageBreak/>
        <w:t>los sujetos obligados, es pública y accesible, de manera permanente a cualquier persona, privilegiando el principio de máxima publicidad, como así lo establece dicha determinación, que a continuación se trascribe para un mejor entendimiento:</w:t>
      </w:r>
    </w:p>
    <w:p w14:paraId="3464E262" w14:textId="77777777" w:rsidR="000F238D" w:rsidRPr="00B13A05" w:rsidRDefault="000F238D"/>
    <w:p w14:paraId="1D4D96DB" w14:textId="77777777" w:rsidR="000F238D" w:rsidRPr="00B13A05" w:rsidRDefault="00ED6B18">
      <w:pPr>
        <w:pBdr>
          <w:top w:val="nil"/>
          <w:left w:val="nil"/>
          <w:bottom w:val="nil"/>
          <w:right w:val="nil"/>
          <w:between w:val="nil"/>
        </w:pBdr>
        <w:ind w:left="709" w:right="760"/>
        <w:jc w:val="both"/>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Artículo 4</w:t>
      </w:r>
      <w:r w:rsidRPr="00B13A05">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4A10D73" w14:textId="77777777" w:rsidR="000F238D" w:rsidRPr="00B13A05" w:rsidRDefault="00ED6B18">
      <w:pPr>
        <w:pBdr>
          <w:top w:val="nil"/>
          <w:left w:val="nil"/>
          <w:bottom w:val="nil"/>
          <w:right w:val="nil"/>
          <w:between w:val="nil"/>
        </w:pBdr>
        <w:ind w:left="709" w:right="760"/>
        <w:jc w:val="both"/>
      </w:pPr>
      <w:r w:rsidRPr="00B13A0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8DCFF6" w14:textId="77777777" w:rsidR="000F238D" w:rsidRPr="00B13A05" w:rsidRDefault="00ED6B18">
      <w:pPr>
        <w:pBdr>
          <w:top w:val="nil"/>
          <w:left w:val="nil"/>
          <w:bottom w:val="nil"/>
          <w:right w:val="nil"/>
          <w:between w:val="nil"/>
        </w:pBdr>
        <w:ind w:left="709" w:right="760"/>
        <w:jc w:val="both"/>
      </w:pPr>
      <w:r w:rsidRPr="00B13A05">
        <w:rPr>
          <w:rFonts w:ascii="Palatino Linotype" w:eastAsia="Palatino Linotype" w:hAnsi="Palatino Linotype" w:cs="Palatino Linotype"/>
          <w:i/>
          <w:sz w:val="22"/>
          <w:szCs w:val="22"/>
        </w:rPr>
        <w:t xml:space="preserve">Los sujetos obligados deben poner en práctica, políticas y programas de acceso a la información que se apeguen a criterios de publicidad, veracidad, oportunidad, precisión y suficiencia en beneficio de los solicitantes.” </w:t>
      </w:r>
    </w:p>
    <w:p w14:paraId="687012BE" w14:textId="77777777" w:rsidR="000F238D" w:rsidRPr="00B13A05" w:rsidRDefault="000F238D"/>
    <w:p w14:paraId="2E8BDEF6" w14:textId="77777777" w:rsidR="000F238D" w:rsidRPr="00B13A05" w:rsidRDefault="00ED6B18">
      <w:pPr>
        <w:pBdr>
          <w:top w:val="nil"/>
          <w:left w:val="nil"/>
          <w:bottom w:val="nil"/>
          <w:right w:val="nil"/>
          <w:between w:val="nil"/>
        </w:pBdr>
        <w:spacing w:line="360" w:lineRule="auto"/>
        <w:jc w:val="both"/>
        <w:rPr>
          <w:sz w:val="22"/>
          <w:szCs w:val="22"/>
        </w:rPr>
      </w:pPr>
      <w:r w:rsidRPr="00B13A05">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B13A05">
        <w:rPr>
          <w:rFonts w:ascii="Palatino Linotype" w:eastAsia="Palatino Linotype" w:hAnsi="Palatino Linotype" w:cs="Palatino Linotype"/>
          <w:b/>
          <w:sz w:val="22"/>
          <w:szCs w:val="22"/>
        </w:rPr>
        <w:t>artículo 12</w:t>
      </w:r>
      <w:r w:rsidRPr="00B13A05">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46F55856" w14:textId="77777777" w:rsidR="000F238D" w:rsidRPr="00B13A05" w:rsidRDefault="000F238D"/>
    <w:p w14:paraId="4D4AB455" w14:textId="77777777" w:rsidR="000F238D" w:rsidRPr="00B13A05" w:rsidRDefault="00ED6B18">
      <w:pPr>
        <w:pBdr>
          <w:top w:val="nil"/>
          <w:left w:val="nil"/>
          <w:bottom w:val="nil"/>
          <w:right w:val="nil"/>
          <w:between w:val="nil"/>
        </w:pBdr>
        <w:ind w:left="567" w:right="758"/>
        <w:jc w:val="both"/>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Artículo 12</w:t>
      </w:r>
      <w:r w:rsidRPr="00B13A05">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45F4F998" w14:textId="77777777" w:rsidR="000F238D" w:rsidRPr="00B13A05" w:rsidRDefault="000F238D"/>
    <w:p w14:paraId="62181874" w14:textId="77777777" w:rsidR="000F238D" w:rsidRPr="00B13A05" w:rsidRDefault="00ED6B18">
      <w:pPr>
        <w:pBdr>
          <w:top w:val="nil"/>
          <w:left w:val="nil"/>
          <w:bottom w:val="nil"/>
          <w:right w:val="nil"/>
          <w:between w:val="nil"/>
        </w:pBdr>
        <w:ind w:left="567" w:right="758"/>
        <w:jc w:val="both"/>
      </w:pPr>
      <w:r w:rsidRPr="00B13A05">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B13A05">
        <w:rPr>
          <w:rFonts w:ascii="Palatino Linotype" w:eastAsia="Palatino Linotype" w:hAnsi="Palatino Linotype" w:cs="Palatino Linotype"/>
          <w:i/>
          <w:sz w:val="22"/>
          <w:szCs w:val="22"/>
        </w:rPr>
        <w:lastRenderedPageBreak/>
        <w:t>presentarla conforme al interés del solicitante; no estarán obligados a generarla, resumirla, efectuar cálculos o practicar investigaciones.” (Sic)</w:t>
      </w:r>
    </w:p>
    <w:p w14:paraId="516F0AFB" w14:textId="77777777" w:rsidR="000F238D" w:rsidRPr="00B13A05" w:rsidRDefault="000F238D"/>
    <w:p w14:paraId="2C052E27" w14:textId="77777777" w:rsidR="000F238D" w:rsidRPr="00B13A05" w:rsidRDefault="00ED6B18">
      <w:pPr>
        <w:pBdr>
          <w:top w:val="nil"/>
          <w:left w:val="nil"/>
          <w:bottom w:val="nil"/>
          <w:right w:val="nil"/>
          <w:between w:val="nil"/>
        </w:pBdr>
        <w:spacing w:line="360" w:lineRule="auto"/>
        <w:jc w:val="both"/>
        <w:rPr>
          <w:sz w:val="22"/>
          <w:szCs w:val="22"/>
        </w:rPr>
      </w:pPr>
      <w:r w:rsidRPr="00B13A05">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B13A05">
        <w:rPr>
          <w:rFonts w:ascii="Palatino Linotype" w:eastAsia="Palatino Linotype" w:hAnsi="Palatino Linotype" w:cs="Palatino Linotype"/>
          <w:i/>
          <w:sz w:val="22"/>
          <w:szCs w:val="22"/>
        </w:rPr>
        <w:t>ad hoc</w:t>
      </w:r>
      <w:r w:rsidRPr="00B13A05">
        <w:rPr>
          <w:rFonts w:ascii="Palatino Linotype" w:eastAsia="Palatino Linotype" w:hAnsi="Palatino Linotype" w:cs="Palatino Linotype"/>
          <w:sz w:val="22"/>
          <w:szCs w:val="22"/>
        </w:rPr>
        <w:t>, para satisfacer el derecho de acceso a la información pública, como así lo establece los criterios 09/10 y 03/17 emitidos por el Instituto Nacional de Transparencia, Acceso a la Información Pública y Protección de Datos Personales, los cuales señalan lo siguiente:</w:t>
      </w:r>
    </w:p>
    <w:p w14:paraId="5DC86861" w14:textId="77777777" w:rsidR="000F238D" w:rsidRPr="00B13A05" w:rsidRDefault="000F238D"/>
    <w:p w14:paraId="6C5945C0" w14:textId="77777777" w:rsidR="000F238D" w:rsidRPr="00B13A05" w:rsidRDefault="00ED6B18">
      <w:pPr>
        <w:pBdr>
          <w:top w:val="nil"/>
          <w:left w:val="nil"/>
          <w:bottom w:val="nil"/>
          <w:right w:val="nil"/>
          <w:between w:val="nil"/>
        </w:pBdr>
        <w:spacing w:before="120" w:after="240"/>
        <w:ind w:left="1134" w:right="902"/>
        <w:jc w:val="both"/>
      </w:pPr>
      <w:r w:rsidRPr="00B13A05">
        <w:rPr>
          <w:rFonts w:ascii="Palatino Linotype" w:eastAsia="Palatino Linotype" w:hAnsi="Palatino Linotype" w:cs="Palatino Linotype"/>
          <w:b/>
          <w:i/>
          <w:sz w:val="22"/>
          <w:szCs w:val="22"/>
        </w:rPr>
        <w:t>09/10</w:t>
      </w:r>
    </w:p>
    <w:p w14:paraId="37D5C1E6" w14:textId="77777777" w:rsidR="000F238D" w:rsidRPr="00B13A05" w:rsidRDefault="00ED6B18">
      <w:pPr>
        <w:pBdr>
          <w:top w:val="nil"/>
          <w:left w:val="nil"/>
          <w:bottom w:val="nil"/>
          <w:right w:val="nil"/>
          <w:between w:val="nil"/>
        </w:pBdr>
        <w:spacing w:before="120" w:after="240"/>
        <w:ind w:left="1134" w:right="902"/>
        <w:jc w:val="both"/>
      </w:pPr>
      <w:r w:rsidRPr="00B13A05">
        <w:rPr>
          <w:rFonts w:ascii="Palatino Linotype" w:eastAsia="Palatino Linotype" w:hAnsi="Palatino Linotype" w:cs="Palatino Linotype"/>
          <w:b/>
          <w:i/>
          <w:sz w:val="22"/>
          <w:szCs w:val="22"/>
        </w:rPr>
        <w:t>"LAS DEPENDENCIAS Y ENTIDADES NO ESTÁN OBLIGADAS A GENERAR DOCUMENTOS AD HOC PARA RESPONDER UNA SOLICITUD DE ACC ESO A LA INFORMACIÓN.</w:t>
      </w:r>
    </w:p>
    <w:p w14:paraId="1E7C64CE" w14:textId="77777777" w:rsidR="000F238D" w:rsidRPr="00B13A05" w:rsidRDefault="00ED6B18">
      <w:pPr>
        <w:pBdr>
          <w:top w:val="nil"/>
          <w:left w:val="nil"/>
          <w:bottom w:val="nil"/>
          <w:right w:val="nil"/>
          <w:between w:val="nil"/>
        </w:pBdr>
        <w:spacing w:before="120" w:after="240"/>
        <w:ind w:left="1134" w:right="902"/>
        <w:jc w:val="both"/>
      </w:pPr>
      <w:r w:rsidRPr="00B13A05">
        <w:rPr>
          <w:rFonts w:ascii="Palatino Linotype" w:eastAsia="Palatino Linotype" w:hAnsi="Palatino Linotype" w:cs="Palatino Linotype"/>
          <w:i/>
          <w:sz w:val="22"/>
          <w:szCs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533FAEB" w14:textId="77777777" w:rsidR="000F238D" w:rsidRPr="00B13A05" w:rsidRDefault="00ED6B18">
      <w:pPr>
        <w:pBdr>
          <w:top w:val="nil"/>
          <w:left w:val="nil"/>
          <w:bottom w:val="nil"/>
          <w:right w:val="nil"/>
          <w:between w:val="nil"/>
        </w:pBdr>
        <w:spacing w:before="120" w:after="240"/>
        <w:ind w:left="1134" w:right="902"/>
        <w:jc w:val="both"/>
      </w:pPr>
      <w:r w:rsidRPr="00B13A05">
        <w:rPr>
          <w:rFonts w:ascii="Palatino Linotype" w:eastAsia="Palatino Linotype" w:hAnsi="Palatino Linotype" w:cs="Palatino Linotype"/>
          <w:b/>
          <w:i/>
          <w:sz w:val="22"/>
          <w:szCs w:val="22"/>
        </w:rPr>
        <w:t>03/17</w:t>
      </w:r>
    </w:p>
    <w:p w14:paraId="562DD92B" w14:textId="77777777" w:rsidR="000F238D" w:rsidRPr="00B13A05" w:rsidRDefault="00ED6B18">
      <w:pPr>
        <w:pBdr>
          <w:top w:val="nil"/>
          <w:left w:val="nil"/>
          <w:bottom w:val="nil"/>
          <w:right w:val="nil"/>
          <w:between w:val="nil"/>
        </w:pBdr>
        <w:spacing w:before="120" w:after="240"/>
        <w:ind w:left="1134" w:right="902"/>
        <w:jc w:val="both"/>
      </w:pPr>
      <w:r w:rsidRPr="00B13A05">
        <w:rPr>
          <w:rFonts w:ascii="Palatino Linotype" w:eastAsia="Palatino Linotype" w:hAnsi="Palatino Linotype" w:cs="Palatino Linotype"/>
          <w:b/>
          <w:i/>
          <w:sz w:val="22"/>
          <w:szCs w:val="22"/>
        </w:rPr>
        <w:t>“NO EXISTE OBLIGACIÓN DE ELABORAR DOCUM ENTOS AD HOC PARA ATENDER LAS SOLICITUDES DE ACCESO A LA INFORM ACIÓN.</w:t>
      </w:r>
    </w:p>
    <w:p w14:paraId="37F1319F" w14:textId="77777777" w:rsidR="000F238D" w:rsidRPr="00B13A05" w:rsidRDefault="00ED6B18">
      <w:pPr>
        <w:pBdr>
          <w:top w:val="nil"/>
          <w:left w:val="nil"/>
          <w:bottom w:val="nil"/>
          <w:right w:val="nil"/>
          <w:between w:val="nil"/>
        </w:pBdr>
        <w:spacing w:before="120" w:after="240"/>
        <w:ind w:left="1134" w:right="902"/>
        <w:jc w:val="both"/>
      </w:pPr>
      <w:r w:rsidRPr="00B13A05">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B13A05">
        <w:rPr>
          <w:rFonts w:ascii="Palatino Linotype" w:eastAsia="Palatino Linotype" w:hAnsi="Palatino Linotype" w:cs="Palatino Linotype"/>
          <w:i/>
          <w:sz w:val="22"/>
          <w:szCs w:val="22"/>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B0962ED" w14:textId="77777777" w:rsidR="000F238D" w:rsidRPr="00B13A05" w:rsidRDefault="00ED6B18">
      <w:pPr>
        <w:pBdr>
          <w:top w:val="nil"/>
          <w:left w:val="nil"/>
          <w:bottom w:val="nil"/>
          <w:right w:val="nil"/>
          <w:between w:val="nil"/>
        </w:pBdr>
        <w:spacing w:line="360" w:lineRule="auto"/>
        <w:jc w:val="both"/>
        <w:rPr>
          <w:sz w:val="22"/>
          <w:szCs w:val="22"/>
        </w:rPr>
      </w:pPr>
      <w:r w:rsidRPr="00B13A05">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224E07B" w14:textId="77777777" w:rsidR="000F238D" w:rsidRPr="00B13A05" w:rsidRDefault="00ED6B18">
      <w:pPr>
        <w:pBdr>
          <w:top w:val="nil"/>
          <w:left w:val="nil"/>
          <w:bottom w:val="nil"/>
          <w:right w:val="nil"/>
          <w:between w:val="nil"/>
        </w:pBdr>
        <w:spacing w:line="360" w:lineRule="auto"/>
        <w:ind w:right="49"/>
        <w:jc w:val="both"/>
        <w:rPr>
          <w:sz w:val="22"/>
          <w:szCs w:val="22"/>
        </w:rPr>
      </w:pPr>
      <w:r w:rsidRPr="00B13A05">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BC4CC58" w14:textId="77777777" w:rsidR="000F238D" w:rsidRPr="00B13A05" w:rsidRDefault="000F238D">
      <w:pPr>
        <w:spacing w:line="360" w:lineRule="auto"/>
        <w:rPr>
          <w:sz w:val="22"/>
          <w:szCs w:val="22"/>
        </w:rPr>
      </w:pPr>
    </w:p>
    <w:p w14:paraId="17DFF09D" w14:textId="77777777" w:rsidR="000F238D" w:rsidRPr="00B13A05" w:rsidRDefault="00ED6B18">
      <w:pPr>
        <w:pBdr>
          <w:top w:val="nil"/>
          <w:left w:val="nil"/>
          <w:bottom w:val="nil"/>
          <w:right w:val="nil"/>
          <w:between w:val="nil"/>
        </w:pBdr>
        <w:spacing w:line="360" w:lineRule="auto"/>
        <w:jc w:val="both"/>
        <w:rPr>
          <w:sz w:val="22"/>
          <w:szCs w:val="22"/>
        </w:rPr>
      </w:pPr>
      <w:r w:rsidRPr="00B13A05">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51E63B2" w14:textId="77777777" w:rsidR="000F238D" w:rsidRPr="00B13A05" w:rsidRDefault="000F238D">
      <w:pPr>
        <w:spacing w:line="360" w:lineRule="auto"/>
      </w:pPr>
    </w:p>
    <w:p w14:paraId="79E36107"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 xml:space="preserve">Artículo 3. </w:t>
      </w:r>
      <w:r w:rsidRPr="00B13A05">
        <w:rPr>
          <w:rFonts w:ascii="Palatino Linotype" w:eastAsia="Palatino Linotype" w:hAnsi="Palatino Linotype" w:cs="Palatino Linotype"/>
          <w:i/>
          <w:sz w:val="22"/>
          <w:szCs w:val="22"/>
        </w:rPr>
        <w:t>Para los efectos de la presente Ley se entenderá por:</w:t>
      </w:r>
    </w:p>
    <w:p w14:paraId="230E40AE"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i/>
          <w:sz w:val="22"/>
          <w:szCs w:val="22"/>
        </w:rPr>
        <w:t>…</w:t>
      </w:r>
    </w:p>
    <w:p w14:paraId="74D425DB"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b/>
          <w:i/>
          <w:sz w:val="22"/>
          <w:szCs w:val="22"/>
        </w:rPr>
        <w:t>XI. Documento:</w:t>
      </w:r>
      <w:r w:rsidRPr="00B13A05">
        <w:rPr>
          <w:rFonts w:ascii="Palatino Linotype" w:eastAsia="Palatino Linotype" w:hAnsi="Palatino Linotype" w:cs="Palatino Linotype"/>
          <w:i/>
          <w:sz w:val="22"/>
          <w:szCs w:val="22"/>
        </w:rPr>
        <w:t xml:space="preserve"> Los expedientes, reportes, estudios, </w:t>
      </w:r>
      <w:r w:rsidRPr="00B13A05">
        <w:rPr>
          <w:rFonts w:ascii="Palatino Linotype" w:eastAsia="Palatino Linotype" w:hAnsi="Palatino Linotype" w:cs="Palatino Linotype"/>
          <w:b/>
          <w:i/>
          <w:sz w:val="22"/>
          <w:szCs w:val="22"/>
        </w:rPr>
        <w:t>actas,</w:t>
      </w:r>
      <w:r w:rsidRPr="00B13A0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13A05">
        <w:rPr>
          <w:rFonts w:ascii="Palatino Linotype" w:eastAsia="Palatino Linotype" w:hAnsi="Palatino Linotype" w:cs="Palatino Linotype"/>
          <w:b/>
          <w:i/>
          <w:sz w:val="22"/>
          <w:szCs w:val="22"/>
        </w:rPr>
        <w:t>…</w:t>
      </w:r>
      <w:r w:rsidRPr="00B13A05">
        <w:rPr>
          <w:rFonts w:ascii="Palatino Linotype" w:eastAsia="Palatino Linotype" w:hAnsi="Palatino Linotype" w:cs="Palatino Linotype"/>
          <w:i/>
          <w:sz w:val="22"/>
          <w:szCs w:val="22"/>
        </w:rPr>
        <w:t xml:space="preserve">” </w:t>
      </w:r>
    </w:p>
    <w:p w14:paraId="09BD29D0" w14:textId="77777777" w:rsidR="000F238D" w:rsidRPr="00B13A05" w:rsidRDefault="000F238D"/>
    <w:p w14:paraId="38F9CFBA" w14:textId="77777777" w:rsidR="000F238D" w:rsidRPr="00B13A05" w:rsidRDefault="00ED6B18">
      <w:pPr>
        <w:pBdr>
          <w:top w:val="nil"/>
          <w:left w:val="nil"/>
          <w:bottom w:val="nil"/>
          <w:right w:val="nil"/>
          <w:between w:val="nil"/>
        </w:pBdr>
        <w:spacing w:line="360" w:lineRule="auto"/>
        <w:jc w:val="both"/>
        <w:rPr>
          <w:sz w:val="22"/>
          <w:szCs w:val="22"/>
        </w:rPr>
      </w:pPr>
      <w:r w:rsidRPr="00B13A0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2A2F121" w14:textId="77777777" w:rsidR="000F238D" w:rsidRPr="00B13A05" w:rsidRDefault="000F238D"/>
    <w:p w14:paraId="200961AC"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b/>
          <w:sz w:val="22"/>
          <w:szCs w:val="22"/>
        </w:rPr>
        <w:t>“</w:t>
      </w:r>
      <w:r w:rsidRPr="00B13A05">
        <w:rPr>
          <w:rFonts w:ascii="Palatino Linotype" w:eastAsia="Palatino Linotype" w:hAnsi="Palatino Linotype" w:cs="Palatino Linotype"/>
          <w:b/>
          <w:i/>
          <w:sz w:val="22"/>
          <w:szCs w:val="22"/>
        </w:rPr>
        <w:t>CRITERIO 0002-11</w:t>
      </w:r>
    </w:p>
    <w:p w14:paraId="22F4BF6E"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13A0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2609E6D"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i/>
          <w:sz w:val="22"/>
          <w:szCs w:val="22"/>
        </w:rPr>
        <w:t xml:space="preserve">En </w:t>
      </w:r>
      <w:proofErr w:type="gramStart"/>
      <w:r w:rsidRPr="00B13A05">
        <w:rPr>
          <w:rFonts w:ascii="Palatino Linotype" w:eastAsia="Palatino Linotype" w:hAnsi="Palatino Linotype" w:cs="Palatino Linotype"/>
          <w:i/>
          <w:sz w:val="22"/>
          <w:szCs w:val="22"/>
        </w:rPr>
        <w:t>consecuencia</w:t>
      </w:r>
      <w:proofErr w:type="gramEnd"/>
      <w:r w:rsidRPr="00B13A05">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FAA8FAA"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b/>
          <w:i/>
          <w:sz w:val="22"/>
          <w:szCs w:val="22"/>
        </w:rPr>
        <w:t xml:space="preserve">1) Que se trate de información registrada en cualquier soporte documental, </w:t>
      </w:r>
      <w:proofErr w:type="gramStart"/>
      <w:r w:rsidRPr="00B13A05">
        <w:rPr>
          <w:rFonts w:ascii="Palatino Linotype" w:eastAsia="Palatino Linotype" w:hAnsi="Palatino Linotype" w:cs="Palatino Linotype"/>
          <w:b/>
          <w:i/>
          <w:sz w:val="22"/>
          <w:szCs w:val="22"/>
        </w:rPr>
        <w:t>que</w:t>
      </w:r>
      <w:proofErr w:type="gramEnd"/>
      <w:r w:rsidRPr="00B13A05">
        <w:rPr>
          <w:rFonts w:ascii="Palatino Linotype" w:eastAsia="Palatino Linotype" w:hAnsi="Palatino Linotype" w:cs="Palatino Linotype"/>
          <w:b/>
          <w:i/>
          <w:sz w:val="22"/>
          <w:szCs w:val="22"/>
        </w:rPr>
        <w:t xml:space="preserve"> en ejercicio de las atribuciones conferidas, sea generada por los Sujetos Obligados;</w:t>
      </w:r>
    </w:p>
    <w:p w14:paraId="7D566550"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i/>
          <w:sz w:val="22"/>
          <w:szCs w:val="22"/>
        </w:rPr>
        <w:t xml:space="preserve">2) Que se trate de información registrada en cualquier soporte documental, </w:t>
      </w:r>
      <w:proofErr w:type="gramStart"/>
      <w:r w:rsidRPr="00B13A05">
        <w:rPr>
          <w:rFonts w:ascii="Palatino Linotype" w:eastAsia="Palatino Linotype" w:hAnsi="Palatino Linotype" w:cs="Palatino Linotype"/>
          <w:i/>
          <w:sz w:val="22"/>
          <w:szCs w:val="22"/>
        </w:rPr>
        <w:t>que</w:t>
      </w:r>
      <w:proofErr w:type="gramEnd"/>
      <w:r w:rsidRPr="00B13A05">
        <w:rPr>
          <w:rFonts w:ascii="Palatino Linotype" w:eastAsia="Palatino Linotype" w:hAnsi="Palatino Linotype" w:cs="Palatino Linotype"/>
          <w:i/>
          <w:sz w:val="22"/>
          <w:szCs w:val="22"/>
        </w:rPr>
        <w:t xml:space="preserve"> en ejercicio de las atribuciones conferidas, sea administrada por los Sujetos Obligados, y</w:t>
      </w:r>
    </w:p>
    <w:p w14:paraId="7679B84D" w14:textId="77777777" w:rsidR="000F238D" w:rsidRPr="00B13A05" w:rsidRDefault="00ED6B18">
      <w:pPr>
        <w:pBdr>
          <w:top w:val="nil"/>
          <w:left w:val="nil"/>
          <w:bottom w:val="nil"/>
          <w:right w:val="nil"/>
          <w:between w:val="nil"/>
        </w:pBdr>
        <w:ind w:left="567" w:right="709"/>
        <w:jc w:val="both"/>
      </w:pPr>
      <w:r w:rsidRPr="00B13A05">
        <w:rPr>
          <w:rFonts w:ascii="Palatino Linotype" w:eastAsia="Palatino Linotype" w:hAnsi="Palatino Linotype" w:cs="Palatino Linotype"/>
          <w:i/>
          <w:sz w:val="22"/>
          <w:szCs w:val="22"/>
        </w:rPr>
        <w:t xml:space="preserve">3) Que se trate de información registrada en cualquier soporte documental, </w:t>
      </w:r>
      <w:proofErr w:type="gramStart"/>
      <w:r w:rsidRPr="00B13A05">
        <w:rPr>
          <w:rFonts w:ascii="Palatino Linotype" w:eastAsia="Palatino Linotype" w:hAnsi="Palatino Linotype" w:cs="Palatino Linotype"/>
          <w:i/>
          <w:sz w:val="22"/>
          <w:szCs w:val="22"/>
        </w:rPr>
        <w:t>que</w:t>
      </w:r>
      <w:proofErr w:type="gramEnd"/>
      <w:r w:rsidRPr="00B13A05">
        <w:rPr>
          <w:rFonts w:ascii="Palatino Linotype" w:eastAsia="Palatino Linotype" w:hAnsi="Palatino Linotype" w:cs="Palatino Linotype"/>
          <w:i/>
          <w:sz w:val="22"/>
          <w:szCs w:val="22"/>
        </w:rPr>
        <w:t xml:space="preserve"> en ejercicio de las atribuciones conferidas, se encuentre en posesión de los Sujetos Obligados.” </w:t>
      </w:r>
    </w:p>
    <w:p w14:paraId="36A0671F" w14:textId="77777777" w:rsidR="000F238D" w:rsidRPr="00B13A05" w:rsidRDefault="00ED6B18">
      <w:pPr>
        <w:pBdr>
          <w:top w:val="nil"/>
          <w:left w:val="nil"/>
          <w:bottom w:val="nil"/>
          <w:right w:val="nil"/>
          <w:between w:val="nil"/>
        </w:pBdr>
        <w:spacing w:before="280" w:after="280" w:line="360" w:lineRule="auto"/>
        <w:jc w:val="both"/>
        <w:rPr>
          <w:sz w:val="22"/>
          <w:szCs w:val="22"/>
        </w:rPr>
      </w:pPr>
      <w:r w:rsidRPr="00B13A05">
        <w:rPr>
          <w:rFonts w:ascii="Palatino Linotype" w:eastAsia="Palatino Linotype" w:hAnsi="Palatino Linotype" w:cs="Palatino Linotype"/>
          <w:sz w:val="22"/>
          <w:szCs w:val="22"/>
        </w:rPr>
        <w:lastRenderedPageBreak/>
        <w:t xml:space="preserve">De ahí que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42A0E18F" w14:textId="77777777" w:rsidR="000F238D" w:rsidRPr="00B13A05" w:rsidRDefault="00ED6B18">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Así, del análisis a las solicitudes de información motivo del recurso de revisión que ahora se resuelve, este Instituto advierte que la parte solicitante requirió al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le proporcionara la siguiente información:</w:t>
      </w:r>
    </w:p>
    <w:p w14:paraId="30FA07DD"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030C65C2" w14:textId="77777777" w:rsidR="000F238D" w:rsidRPr="00B13A05" w:rsidRDefault="00ED6B18">
      <w:pPr>
        <w:numPr>
          <w:ilvl w:val="0"/>
          <w:numId w:val="4"/>
        </w:numPr>
        <w:pBdr>
          <w:top w:val="nil"/>
          <w:left w:val="nil"/>
          <w:bottom w:val="nil"/>
          <w:right w:val="nil"/>
          <w:between w:val="nil"/>
        </w:pBdr>
        <w:spacing w:line="360" w:lineRule="auto"/>
        <w:ind w:left="567" w:right="709" w:firstLine="0"/>
        <w:jc w:val="both"/>
        <w:rPr>
          <w:rFonts w:ascii="Palatino Linotype" w:eastAsia="Palatino Linotype" w:hAnsi="Palatino Linotype" w:cs="Palatino Linotype"/>
          <w:b/>
          <w:sz w:val="22"/>
          <w:szCs w:val="22"/>
        </w:rPr>
      </w:pPr>
      <w:r w:rsidRPr="00B13A05">
        <w:rPr>
          <w:rFonts w:ascii="Palatino Linotype" w:eastAsia="Palatino Linotype" w:hAnsi="Palatino Linotype" w:cs="Palatino Linotype"/>
          <w:b/>
          <w:sz w:val="22"/>
          <w:szCs w:val="22"/>
        </w:rPr>
        <w:t>Plantilla completa del personal con cargo sueldo y área de adscripción</w:t>
      </w:r>
    </w:p>
    <w:p w14:paraId="0DA866FF" w14:textId="77777777" w:rsidR="000F238D" w:rsidRPr="00B13A05" w:rsidRDefault="000F238D">
      <w:pPr>
        <w:pBdr>
          <w:top w:val="nil"/>
          <w:left w:val="nil"/>
          <w:bottom w:val="nil"/>
          <w:right w:val="nil"/>
          <w:between w:val="nil"/>
        </w:pBdr>
        <w:spacing w:line="360" w:lineRule="auto"/>
        <w:ind w:left="927" w:right="51"/>
        <w:jc w:val="both"/>
        <w:rPr>
          <w:rFonts w:ascii="Palatino Linotype" w:eastAsia="Palatino Linotype" w:hAnsi="Palatino Linotype" w:cs="Palatino Linotype"/>
          <w:b/>
          <w:sz w:val="22"/>
          <w:szCs w:val="22"/>
        </w:rPr>
      </w:pPr>
    </w:p>
    <w:p w14:paraId="1083FBDD" w14:textId="77777777" w:rsidR="000F238D" w:rsidRPr="00B13A05" w:rsidRDefault="00ED6B1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Tal como se refirió en antecedentes,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omitió dar respuesta al requerimiento del particular, por lo </w:t>
      </w:r>
      <w:proofErr w:type="gramStart"/>
      <w:r w:rsidRPr="00B13A05">
        <w:rPr>
          <w:rFonts w:ascii="Palatino Linotype" w:eastAsia="Palatino Linotype" w:hAnsi="Palatino Linotype" w:cs="Palatino Linotype"/>
          <w:sz w:val="22"/>
          <w:szCs w:val="22"/>
        </w:rPr>
        <w:t>que</w:t>
      </w:r>
      <w:proofErr w:type="gramEnd"/>
      <w:r w:rsidRPr="00B13A05">
        <w:rPr>
          <w:rFonts w:ascii="Palatino Linotype" w:eastAsia="Palatino Linotype" w:hAnsi="Palatino Linotype" w:cs="Palatino Linotype"/>
          <w:sz w:val="22"/>
          <w:szCs w:val="22"/>
        </w:rPr>
        <w:t xml:space="preserve"> ante tal circunstancia, </w:t>
      </w:r>
      <w:r w:rsidRPr="00B13A05">
        <w:rPr>
          <w:rFonts w:ascii="Palatino Linotype" w:eastAsia="Palatino Linotype" w:hAnsi="Palatino Linotype" w:cs="Palatino Linotype"/>
          <w:b/>
          <w:sz w:val="22"/>
          <w:szCs w:val="22"/>
        </w:rPr>
        <w:t>la parte Recurrente</w:t>
      </w:r>
      <w:r w:rsidRPr="00B13A05">
        <w:rPr>
          <w:rFonts w:ascii="Palatino Linotype" w:eastAsia="Palatino Linotype" w:hAnsi="Palatino Linotype" w:cs="Palatino Linotype"/>
          <w:sz w:val="22"/>
          <w:szCs w:val="22"/>
        </w:rPr>
        <w:t xml:space="preserve"> presentó el recurso de revisión que nos ocupa, inconformándose precisamente por la falta de respuesta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w:t>
      </w:r>
    </w:p>
    <w:p w14:paraId="326212BF" w14:textId="77777777" w:rsidR="000F238D" w:rsidRPr="00B13A05" w:rsidRDefault="000F238D">
      <w:pPr>
        <w:spacing w:line="360" w:lineRule="auto"/>
      </w:pPr>
    </w:p>
    <w:p w14:paraId="7775EB78" w14:textId="77777777" w:rsidR="000F238D" w:rsidRPr="00B13A05" w:rsidRDefault="00ED6B1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Una vez admitido el recurso de revisión, se tiene constancia en el SAIMEX </w:t>
      </w:r>
      <w:proofErr w:type="gramStart"/>
      <w:r w:rsidRPr="00B13A05">
        <w:rPr>
          <w:rFonts w:ascii="Palatino Linotype" w:eastAsia="Palatino Linotype" w:hAnsi="Palatino Linotype" w:cs="Palatino Linotype"/>
          <w:sz w:val="22"/>
          <w:szCs w:val="22"/>
        </w:rPr>
        <w:t>que</w:t>
      </w:r>
      <w:proofErr w:type="gramEnd"/>
      <w:r w:rsidRPr="00B13A05">
        <w:rPr>
          <w:rFonts w:ascii="Palatino Linotype" w:eastAsia="Palatino Linotype" w:hAnsi="Palatino Linotype" w:cs="Palatino Linotype"/>
          <w:sz w:val="22"/>
          <w:szCs w:val="22"/>
        </w:rPr>
        <w:t xml:space="preserve"> mediante informe justificado, el </w:t>
      </w:r>
      <w:r w:rsidRPr="00B13A05">
        <w:rPr>
          <w:rFonts w:ascii="Palatino Linotype" w:eastAsia="Palatino Linotype" w:hAnsi="Palatino Linotype" w:cs="Palatino Linotype"/>
          <w:b/>
          <w:sz w:val="22"/>
          <w:szCs w:val="22"/>
        </w:rPr>
        <w:t xml:space="preserve">Sujeto Obligado justifica las razones por las que no fue posible </w:t>
      </w:r>
      <w:r w:rsidRPr="00B13A05">
        <w:rPr>
          <w:rFonts w:ascii="Palatino Linotype" w:eastAsia="Palatino Linotype" w:hAnsi="Palatino Linotype" w:cs="Palatino Linotype"/>
          <w:sz w:val="22"/>
          <w:szCs w:val="22"/>
        </w:rPr>
        <w:t xml:space="preserve">otorgar respuesta en tiempo y forma a la presente solicitud de información, ello en virtud de que se registraron fallas en el Sistema SAIMEX. </w:t>
      </w:r>
    </w:p>
    <w:p w14:paraId="01D762BE" w14:textId="77777777" w:rsidR="000F238D" w:rsidRPr="00B13A05" w:rsidRDefault="00ED6B18">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Asimismo, precisa que dicha Unidad de Transparencia, tuvo a bien informar mediante correo electrónico a la Dirección General de Informática de este Instituto ya que la </w:t>
      </w:r>
      <w:r w:rsidRPr="00B13A05">
        <w:rPr>
          <w:rFonts w:ascii="Palatino Linotype" w:eastAsia="Palatino Linotype" w:hAnsi="Palatino Linotype" w:cs="Palatino Linotype"/>
          <w:sz w:val="22"/>
          <w:szCs w:val="22"/>
        </w:rPr>
        <w:lastRenderedPageBreak/>
        <w:t xml:space="preserve">solicitud fue turnada el veintidós de enero de dos mil veinticinco y no quedó registrado en el sistema. </w:t>
      </w:r>
    </w:p>
    <w:p w14:paraId="3EF3C826" w14:textId="77777777" w:rsidR="000F238D" w:rsidRPr="00B13A05" w:rsidRDefault="00ED6B18">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Asimismo,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refiere que adjunta el pronunciamiento de la Dirección General de Administración, sin embargo, de una revisión exhaustiva practicada a las constancias que conforman el expediente electrónico, este Instituto no advirtió documento adicional alguno al ya descrito en el apartado de antecedentes. </w:t>
      </w:r>
    </w:p>
    <w:p w14:paraId="29522B55" w14:textId="77777777" w:rsidR="000F238D" w:rsidRPr="00B13A05" w:rsidRDefault="00ED6B18">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Expuestas las posturas de las partes, se procede al análisis de las constancias que obran en el expediente electrónico, para ello resulta de vital importancia traer a colación el siguiente esquema de análisis: </w:t>
      </w:r>
    </w:p>
    <w:tbl>
      <w:tblPr>
        <w:tblStyle w:val="af9"/>
        <w:tblW w:w="8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879"/>
        <w:gridCol w:w="2879"/>
      </w:tblGrid>
      <w:tr w:rsidR="00BC2B1D" w:rsidRPr="00B13A05" w14:paraId="431EA7B2" w14:textId="77777777">
        <w:tc>
          <w:tcPr>
            <w:tcW w:w="2879" w:type="dxa"/>
            <w:shd w:val="clear" w:color="auto" w:fill="EEECE1"/>
          </w:tcPr>
          <w:p w14:paraId="505517F9" w14:textId="77777777" w:rsidR="000F238D" w:rsidRPr="00B13A05" w:rsidRDefault="00ED6B18">
            <w:pPr>
              <w:spacing w:line="276" w:lineRule="auto"/>
              <w:ind w:right="51"/>
              <w:jc w:val="center"/>
              <w:rPr>
                <w:rFonts w:ascii="Palatino Linotype" w:eastAsia="Palatino Linotype" w:hAnsi="Palatino Linotype" w:cs="Palatino Linotype"/>
                <w:b/>
                <w:sz w:val="18"/>
                <w:szCs w:val="18"/>
              </w:rPr>
            </w:pPr>
            <w:r w:rsidRPr="00B13A05">
              <w:rPr>
                <w:rFonts w:ascii="Palatino Linotype" w:eastAsia="Palatino Linotype" w:hAnsi="Palatino Linotype" w:cs="Palatino Linotype"/>
                <w:b/>
                <w:sz w:val="18"/>
                <w:szCs w:val="18"/>
              </w:rPr>
              <w:t>Requerimiento de información</w:t>
            </w:r>
          </w:p>
        </w:tc>
        <w:tc>
          <w:tcPr>
            <w:tcW w:w="2879" w:type="dxa"/>
            <w:shd w:val="clear" w:color="auto" w:fill="EEECE1"/>
          </w:tcPr>
          <w:p w14:paraId="6B8578DB" w14:textId="77777777" w:rsidR="000F238D" w:rsidRPr="00B13A05" w:rsidRDefault="00ED6B18">
            <w:pPr>
              <w:spacing w:line="276" w:lineRule="auto"/>
              <w:ind w:right="51"/>
              <w:jc w:val="center"/>
              <w:rPr>
                <w:rFonts w:ascii="Palatino Linotype" w:eastAsia="Palatino Linotype" w:hAnsi="Palatino Linotype" w:cs="Palatino Linotype"/>
                <w:b/>
                <w:sz w:val="18"/>
                <w:szCs w:val="18"/>
              </w:rPr>
            </w:pPr>
            <w:r w:rsidRPr="00B13A05">
              <w:rPr>
                <w:rFonts w:ascii="Palatino Linotype" w:eastAsia="Palatino Linotype" w:hAnsi="Palatino Linotype" w:cs="Palatino Linotype"/>
                <w:b/>
                <w:sz w:val="18"/>
                <w:szCs w:val="18"/>
              </w:rPr>
              <w:t>Informe Justificado</w:t>
            </w:r>
          </w:p>
        </w:tc>
        <w:tc>
          <w:tcPr>
            <w:tcW w:w="2879" w:type="dxa"/>
            <w:shd w:val="clear" w:color="auto" w:fill="EEECE1"/>
          </w:tcPr>
          <w:p w14:paraId="7A7A5BBF" w14:textId="77777777" w:rsidR="000F238D" w:rsidRPr="00B13A05" w:rsidRDefault="00ED6B18">
            <w:pPr>
              <w:spacing w:line="276" w:lineRule="auto"/>
              <w:ind w:right="51"/>
              <w:jc w:val="center"/>
              <w:rPr>
                <w:rFonts w:ascii="Palatino Linotype" w:eastAsia="Palatino Linotype" w:hAnsi="Palatino Linotype" w:cs="Palatino Linotype"/>
                <w:b/>
                <w:sz w:val="18"/>
                <w:szCs w:val="18"/>
              </w:rPr>
            </w:pPr>
            <w:r w:rsidRPr="00B13A05">
              <w:rPr>
                <w:rFonts w:ascii="Palatino Linotype" w:eastAsia="Palatino Linotype" w:hAnsi="Palatino Linotype" w:cs="Palatino Linotype"/>
                <w:b/>
                <w:sz w:val="18"/>
                <w:szCs w:val="18"/>
              </w:rPr>
              <w:t xml:space="preserve">¿El pronunciamiento emitido en informe justificado </w:t>
            </w:r>
            <w:proofErr w:type="gramStart"/>
            <w:r w:rsidRPr="00B13A05">
              <w:rPr>
                <w:rFonts w:ascii="Palatino Linotype" w:eastAsia="Palatino Linotype" w:hAnsi="Palatino Linotype" w:cs="Palatino Linotype"/>
                <w:b/>
                <w:sz w:val="18"/>
                <w:szCs w:val="18"/>
              </w:rPr>
              <w:t>satisface  el</w:t>
            </w:r>
            <w:proofErr w:type="gramEnd"/>
            <w:r w:rsidRPr="00B13A05">
              <w:rPr>
                <w:rFonts w:ascii="Palatino Linotype" w:eastAsia="Palatino Linotype" w:hAnsi="Palatino Linotype" w:cs="Palatino Linotype"/>
                <w:b/>
                <w:sz w:val="18"/>
                <w:szCs w:val="18"/>
              </w:rPr>
              <w:t xml:space="preserve"> requerimiento de información?</w:t>
            </w:r>
          </w:p>
        </w:tc>
      </w:tr>
      <w:tr w:rsidR="000F238D" w:rsidRPr="00B13A05" w14:paraId="214CB633" w14:textId="77777777">
        <w:tc>
          <w:tcPr>
            <w:tcW w:w="2879" w:type="dxa"/>
          </w:tcPr>
          <w:p w14:paraId="0A143481" w14:textId="77777777" w:rsidR="000F238D" w:rsidRPr="00B13A05" w:rsidRDefault="00ED6B18">
            <w:pPr>
              <w:pBdr>
                <w:top w:val="nil"/>
                <w:left w:val="nil"/>
                <w:bottom w:val="nil"/>
                <w:right w:val="nil"/>
                <w:between w:val="nil"/>
              </w:pBdr>
              <w:ind w:right="59"/>
              <w:jc w:val="both"/>
              <w:rPr>
                <w:rFonts w:ascii="Palatino Linotype" w:eastAsia="Palatino Linotype" w:hAnsi="Palatino Linotype" w:cs="Palatino Linotype"/>
                <w:b/>
                <w:sz w:val="18"/>
                <w:szCs w:val="18"/>
              </w:rPr>
            </w:pPr>
            <w:r w:rsidRPr="00B13A05">
              <w:rPr>
                <w:rFonts w:ascii="Palatino Linotype" w:eastAsia="Palatino Linotype" w:hAnsi="Palatino Linotype" w:cs="Palatino Linotype"/>
                <w:b/>
                <w:sz w:val="18"/>
                <w:szCs w:val="18"/>
              </w:rPr>
              <w:t>-Plantilla completa del Personal con cargo sueldo y área de adscripción</w:t>
            </w:r>
          </w:p>
        </w:tc>
        <w:tc>
          <w:tcPr>
            <w:tcW w:w="2879" w:type="dxa"/>
          </w:tcPr>
          <w:p w14:paraId="442EEE5D" w14:textId="77777777" w:rsidR="000F238D" w:rsidRPr="00B13A05" w:rsidRDefault="00ED6B18">
            <w:pPr>
              <w:ind w:left="-15" w:right="51"/>
              <w:jc w:val="both"/>
              <w:rPr>
                <w:rFonts w:ascii="Palatino Linotype" w:eastAsia="Palatino Linotype" w:hAnsi="Palatino Linotype" w:cs="Palatino Linotype"/>
                <w:b/>
                <w:sz w:val="18"/>
                <w:szCs w:val="18"/>
              </w:rPr>
            </w:pPr>
            <w:r w:rsidRPr="00B13A05">
              <w:rPr>
                <w:rFonts w:ascii="Palatino Linotype" w:eastAsia="Palatino Linotype" w:hAnsi="Palatino Linotype" w:cs="Palatino Linotype"/>
                <w:b/>
                <w:sz w:val="18"/>
                <w:szCs w:val="18"/>
              </w:rPr>
              <w:t>Titular de la Unidad de Transparencia:</w:t>
            </w:r>
          </w:p>
          <w:p w14:paraId="577B33C9" w14:textId="77777777" w:rsidR="000F238D" w:rsidRPr="00B13A05" w:rsidRDefault="00ED6B18">
            <w:pPr>
              <w:ind w:left="-15" w:right="51"/>
              <w:jc w:val="both"/>
              <w:rPr>
                <w:rFonts w:ascii="Palatino Linotype" w:eastAsia="Palatino Linotype" w:hAnsi="Palatino Linotype" w:cs="Palatino Linotype"/>
                <w:sz w:val="18"/>
                <w:szCs w:val="18"/>
              </w:rPr>
            </w:pPr>
            <w:r w:rsidRPr="00B13A05">
              <w:rPr>
                <w:rFonts w:ascii="Palatino Linotype" w:eastAsia="Palatino Linotype" w:hAnsi="Palatino Linotype" w:cs="Palatino Linotype"/>
                <w:b/>
                <w:sz w:val="18"/>
                <w:szCs w:val="18"/>
              </w:rPr>
              <w:t xml:space="preserve"> </w:t>
            </w:r>
            <w:r w:rsidRPr="00B13A05">
              <w:rPr>
                <w:rFonts w:ascii="Palatino Linotype" w:eastAsia="Palatino Linotype" w:hAnsi="Palatino Linotype" w:cs="Palatino Linotype"/>
                <w:sz w:val="18"/>
                <w:szCs w:val="18"/>
              </w:rPr>
              <w:t xml:space="preserve">-Que, el trece de febrero de dos mil veinticinco, el Sujeto Obligado debió enviar la respuesta a la solicitud de información, materia del presente recurso de revisión, sin embargo, se registraron fallas en el Sistema SAIMEX. </w:t>
            </w:r>
          </w:p>
          <w:p w14:paraId="2C7E833B" w14:textId="77777777" w:rsidR="000F238D" w:rsidRPr="00B13A05" w:rsidRDefault="000F238D">
            <w:pPr>
              <w:ind w:left="-15" w:right="51"/>
              <w:jc w:val="both"/>
              <w:rPr>
                <w:rFonts w:ascii="Palatino Linotype" w:eastAsia="Palatino Linotype" w:hAnsi="Palatino Linotype" w:cs="Palatino Linotype"/>
                <w:sz w:val="18"/>
                <w:szCs w:val="18"/>
              </w:rPr>
            </w:pPr>
          </w:p>
          <w:p w14:paraId="0C7D46C7" w14:textId="77777777" w:rsidR="000F238D" w:rsidRPr="00B13A05" w:rsidRDefault="00ED6B18">
            <w:pPr>
              <w:ind w:left="-15" w:right="51"/>
              <w:jc w:val="both"/>
              <w:rPr>
                <w:rFonts w:ascii="Palatino Linotype" w:eastAsia="Palatino Linotype" w:hAnsi="Palatino Linotype" w:cs="Palatino Linotype"/>
                <w:sz w:val="18"/>
                <w:szCs w:val="18"/>
              </w:rPr>
            </w:pPr>
            <w:r w:rsidRPr="00B13A05">
              <w:rPr>
                <w:rFonts w:ascii="Palatino Linotype" w:eastAsia="Palatino Linotype" w:hAnsi="Palatino Linotype" w:cs="Palatino Linotype"/>
                <w:sz w:val="18"/>
                <w:szCs w:val="18"/>
              </w:rPr>
              <w:t xml:space="preserve">-Que, dicha Unidad de Transparencia, tuvo a bien informar mediante correo electrónico a la Dirección General de Informática de este Instituto ya que la solicitud fue turnada el veintidós de enero de dos mil veinticinco y no quedó registrado en el sistema. </w:t>
            </w:r>
          </w:p>
          <w:p w14:paraId="3D10F9B0" w14:textId="77777777" w:rsidR="000F238D" w:rsidRPr="00B13A05" w:rsidRDefault="000F238D">
            <w:pPr>
              <w:ind w:left="-15" w:right="51"/>
              <w:jc w:val="both"/>
              <w:rPr>
                <w:rFonts w:ascii="Palatino Linotype" w:eastAsia="Palatino Linotype" w:hAnsi="Palatino Linotype" w:cs="Palatino Linotype"/>
                <w:sz w:val="18"/>
                <w:szCs w:val="18"/>
              </w:rPr>
            </w:pPr>
          </w:p>
          <w:p w14:paraId="4F47B405" w14:textId="77777777" w:rsidR="000F238D" w:rsidRPr="00B13A05" w:rsidRDefault="00ED6B18">
            <w:pPr>
              <w:ind w:left="-15" w:right="51"/>
              <w:jc w:val="both"/>
              <w:rPr>
                <w:rFonts w:ascii="Palatino Linotype" w:eastAsia="Palatino Linotype" w:hAnsi="Palatino Linotype" w:cs="Palatino Linotype"/>
                <w:sz w:val="18"/>
                <w:szCs w:val="18"/>
              </w:rPr>
            </w:pPr>
            <w:r w:rsidRPr="00B13A05">
              <w:rPr>
                <w:rFonts w:ascii="Palatino Linotype" w:eastAsia="Palatino Linotype" w:hAnsi="Palatino Linotype" w:cs="Palatino Linotype"/>
                <w:sz w:val="18"/>
                <w:szCs w:val="18"/>
              </w:rPr>
              <w:t xml:space="preserve">-Que, el Sujeto Obligado se vio imposibilitado de subir la respuesta en tiempo y forma por las fallas señaladas </w:t>
            </w:r>
            <w:r w:rsidRPr="00B13A05">
              <w:rPr>
                <w:rFonts w:ascii="Palatino Linotype" w:eastAsia="Palatino Linotype" w:hAnsi="Palatino Linotype" w:cs="Palatino Linotype"/>
                <w:sz w:val="18"/>
                <w:szCs w:val="18"/>
              </w:rPr>
              <w:lastRenderedPageBreak/>
              <w:t xml:space="preserve">anteriormente, ya que el turno no se vio reflejado, que había sido turnada a la Dirección General de Administración. </w:t>
            </w:r>
          </w:p>
          <w:p w14:paraId="0CD210EA" w14:textId="77777777" w:rsidR="000F238D" w:rsidRPr="00B13A05" w:rsidRDefault="000F238D">
            <w:pPr>
              <w:ind w:left="-15" w:right="51"/>
              <w:jc w:val="both"/>
              <w:rPr>
                <w:rFonts w:ascii="Palatino Linotype" w:eastAsia="Palatino Linotype" w:hAnsi="Palatino Linotype" w:cs="Palatino Linotype"/>
                <w:sz w:val="18"/>
                <w:szCs w:val="18"/>
              </w:rPr>
            </w:pPr>
          </w:p>
          <w:p w14:paraId="71DFA677" w14:textId="77777777" w:rsidR="000F238D" w:rsidRPr="00B13A05" w:rsidRDefault="00ED6B18">
            <w:pPr>
              <w:ind w:left="-15" w:right="51"/>
              <w:jc w:val="both"/>
              <w:rPr>
                <w:rFonts w:ascii="Palatino Linotype" w:eastAsia="Palatino Linotype" w:hAnsi="Palatino Linotype" w:cs="Palatino Linotype"/>
                <w:sz w:val="18"/>
                <w:szCs w:val="18"/>
              </w:rPr>
            </w:pPr>
            <w:r w:rsidRPr="00B13A05">
              <w:rPr>
                <w:rFonts w:ascii="Palatino Linotype" w:eastAsia="Palatino Linotype" w:hAnsi="Palatino Linotype" w:cs="Palatino Linotype"/>
                <w:sz w:val="18"/>
                <w:szCs w:val="18"/>
              </w:rPr>
              <w:t>-Que, asevera adjuntar un oficio mediante el cual, la Dirección General de Administración, da respuesta a lo solicitado por la hoy parte Recurrente.</w:t>
            </w:r>
          </w:p>
          <w:p w14:paraId="2C020BAF" w14:textId="77777777" w:rsidR="000F238D" w:rsidRPr="00B13A05" w:rsidRDefault="000F238D">
            <w:pPr>
              <w:ind w:left="-15" w:right="51"/>
              <w:jc w:val="both"/>
              <w:rPr>
                <w:rFonts w:ascii="Palatino Linotype" w:eastAsia="Palatino Linotype" w:hAnsi="Palatino Linotype" w:cs="Palatino Linotype"/>
                <w:sz w:val="18"/>
                <w:szCs w:val="18"/>
              </w:rPr>
            </w:pPr>
          </w:p>
          <w:p w14:paraId="6586F424" w14:textId="77777777" w:rsidR="000F238D" w:rsidRPr="00B13A05" w:rsidRDefault="00ED6B18">
            <w:pPr>
              <w:ind w:left="-15" w:right="51"/>
              <w:jc w:val="both"/>
              <w:rPr>
                <w:rFonts w:ascii="Palatino Linotype" w:eastAsia="Palatino Linotype" w:hAnsi="Palatino Linotype" w:cs="Palatino Linotype"/>
                <w:sz w:val="18"/>
                <w:szCs w:val="18"/>
              </w:rPr>
            </w:pPr>
            <w:r w:rsidRPr="00B13A05">
              <w:rPr>
                <w:rFonts w:ascii="Palatino Linotype" w:eastAsia="Palatino Linotype" w:hAnsi="Palatino Linotype" w:cs="Palatino Linotype"/>
                <w:sz w:val="18"/>
                <w:szCs w:val="18"/>
              </w:rPr>
              <w:t xml:space="preserve">Cabe señalar </w:t>
            </w:r>
            <w:proofErr w:type="gramStart"/>
            <w:r w:rsidRPr="00B13A05">
              <w:rPr>
                <w:rFonts w:ascii="Palatino Linotype" w:eastAsia="Palatino Linotype" w:hAnsi="Palatino Linotype" w:cs="Palatino Linotype"/>
                <w:sz w:val="18"/>
                <w:szCs w:val="18"/>
              </w:rPr>
              <w:t>que</w:t>
            </w:r>
            <w:proofErr w:type="gramEnd"/>
            <w:r w:rsidRPr="00B13A05">
              <w:rPr>
                <w:rFonts w:ascii="Palatino Linotype" w:eastAsia="Palatino Linotype" w:hAnsi="Palatino Linotype" w:cs="Palatino Linotype"/>
                <w:sz w:val="18"/>
                <w:szCs w:val="18"/>
              </w:rPr>
              <w:t xml:space="preserve"> de la revisión al informe justificado, no se aprecia que se hubiere cargado el documento referido por el Sujeto Obligado.</w:t>
            </w:r>
          </w:p>
          <w:p w14:paraId="0550F26E" w14:textId="77777777" w:rsidR="000F238D" w:rsidRPr="00B13A05" w:rsidRDefault="000F238D">
            <w:pPr>
              <w:ind w:left="-15" w:right="51"/>
              <w:jc w:val="both"/>
              <w:rPr>
                <w:rFonts w:ascii="Palatino Linotype" w:eastAsia="Palatino Linotype" w:hAnsi="Palatino Linotype" w:cs="Palatino Linotype"/>
                <w:sz w:val="18"/>
                <w:szCs w:val="18"/>
              </w:rPr>
            </w:pPr>
          </w:p>
          <w:p w14:paraId="0D712847" w14:textId="77777777" w:rsidR="000F238D" w:rsidRPr="00B13A05" w:rsidRDefault="00ED6B18">
            <w:pPr>
              <w:ind w:left="-15" w:right="51"/>
              <w:jc w:val="both"/>
              <w:rPr>
                <w:rFonts w:ascii="Palatino Linotype" w:eastAsia="Palatino Linotype" w:hAnsi="Palatino Linotype" w:cs="Palatino Linotype"/>
                <w:sz w:val="18"/>
                <w:szCs w:val="18"/>
              </w:rPr>
            </w:pPr>
            <w:r w:rsidRPr="00B13A05">
              <w:rPr>
                <w:rFonts w:ascii="Palatino Linotype" w:eastAsia="Palatino Linotype" w:hAnsi="Palatino Linotype" w:cs="Palatino Linotype"/>
                <w:sz w:val="18"/>
                <w:szCs w:val="18"/>
              </w:rPr>
              <w:t xml:space="preserve">-Que, el </w:t>
            </w:r>
            <w:r w:rsidRPr="00B13A05">
              <w:rPr>
                <w:rFonts w:ascii="Palatino Linotype" w:eastAsia="Palatino Linotype" w:hAnsi="Palatino Linotype" w:cs="Palatino Linotype"/>
                <w:b/>
                <w:sz w:val="18"/>
                <w:szCs w:val="18"/>
              </w:rPr>
              <w:t>Sujeto Obligado</w:t>
            </w:r>
            <w:r w:rsidRPr="00B13A05">
              <w:rPr>
                <w:rFonts w:ascii="Palatino Linotype" w:eastAsia="Palatino Linotype" w:hAnsi="Palatino Linotype" w:cs="Palatino Linotype"/>
                <w:sz w:val="18"/>
                <w:szCs w:val="18"/>
              </w:rPr>
              <w:t xml:space="preserve"> otorgó respuesta a la presente solicitud, por lo que solicita la confirmación del presente recurso de revisión.</w:t>
            </w:r>
          </w:p>
        </w:tc>
        <w:tc>
          <w:tcPr>
            <w:tcW w:w="2879" w:type="dxa"/>
          </w:tcPr>
          <w:p w14:paraId="4922D5C1" w14:textId="77777777" w:rsidR="000F238D" w:rsidRPr="00B13A05" w:rsidRDefault="00ED6B18">
            <w:pPr>
              <w:ind w:right="51"/>
              <w:jc w:val="center"/>
              <w:rPr>
                <w:rFonts w:ascii="Palatino Linotype" w:eastAsia="Palatino Linotype" w:hAnsi="Palatino Linotype" w:cs="Palatino Linotype"/>
                <w:b/>
                <w:sz w:val="22"/>
                <w:szCs w:val="22"/>
              </w:rPr>
            </w:pPr>
            <w:r w:rsidRPr="00B13A05">
              <w:rPr>
                <w:rFonts w:ascii="Palatino Linotype" w:eastAsia="Palatino Linotype" w:hAnsi="Palatino Linotype" w:cs="Palatino Linotype"/>
                <w:b/>
                <w:sz w:val="22"/>
                <w:szCs w:val="22"/>
              </w:rPr>
              <w:lastRenderedPageBreak/>
              <w:t>NO</w:t>
            </w:r>
          </w:p>
          <w:p w14:paraId="586F1C29" w14:textId="77777777" w:rsidR="000F238D" w:rsidRPr="00B13A05" w:rsidRDefault="000F238D">
            <w:pPr>
              <w:ind w:right="51"/>
              <w:jc w:val="center"/>
              <w:rPr>
                <w:rFonts w:ascii="Palatino Linotype" w:eastAsia="Palatino Linotype" w:hAnsi="Palatino Linotype" w:cs="Palatino Linotype"/>
                <w:b/>
                <w:sz w:val="22"/>
                <w:szCs w:val="22"/>
              </w:rPr>
            </w:pPr>
          </w:p>
          <w:p w14:paraId="399842F0" w14:textId="77777777" w:rsidR="000F238D" w:rsidRPr="00B13A05" w:rsidRDefault="000F238D">
            <w:pPr>
              <w:ind w:right="51"/>
              <w:rPr>
                <w:rFonts w:ascii="Palatino Linotype" w:eastAsia="Palatino Linotype" w:hAnsi="Palatino Linotype" w:cs="Palatino Linotype"/>
                <w:b/>
                <w:sz w:val="22"/>
                <w:szCs w:val="22"/>
              </w:rPr>
            </w:pPr>
          </w:p>
        </w:tc>
      </w:tr>
    </w:tbl>
    <w:p w14:paraId="16F6812C"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09C622C5" w14:textId="77777777" w:rsidR="000F238D" w:rsidRPr="00B13A05" w:rsidRDefault="00ED6B18">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De lo anteriormente esquematizado, se tiene que, de las constancias que obran en el expediente electrónico, el </w:t>
      </w:r>
      <w:r w:rsidRPr="00B13A05">
        <w:rPr>
          <w:rFonts w:ascii="Palatino Linotype" w:eastAsia="Palatino Linotype" w:hAnsi="Palatino Linotype" w:cs="Palatino Linotype"/>
          <w:b/>
          <w:sz w:val="22"/>
          <w:szCs w:val="22"/>
        </w:rPr>
        <w:t xml:space="preserve">Sujeto Obligado </w:t>
      </w:r>
      <w:r w:rsidRPr="00B13A05">
        <w:rPr>
          <w:rFonts w:ascii="Palatino Linotype" w:eastAsia="Palatino Linotype" w:hAnsi="Palatino Linotype" w:cs="Palatino Linotype"/>
          <w:sz w:val="22"/>
          <w:szCs w:val="22"/>
        </w:rPr>
        <w:t xml:space="preserve">omitió proporcionar respuesta a la solicitud de información, sin embargo, contaba con la etapa de informe justificado para poder otorgar la documental solicitada, lo cual parcialmente aconteció pues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aseveró adjuntar el pronunciamiento vertido por la Dirección General de Administración, no obstante, de una revisión practicada al expediente electrónico, este Organismo Garante advierte que no se remitió documentación adicional a la ya referida previamente, luego entonces, este Instituto determina que no se atendió a cabalidad el requerimiento de información del particular.</w:t>
      </w:r>
    </w:p>
    <w:p w14:paraId="1130925F"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0F6BFFD6" w14:textId="77777777" w:rsidR="000F238D" w:rsidRPr="00B13A05" w:rsidRDefault="00ED6B18">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Establecido lo anterior, resulta pertinente analizar el ámbito competencial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para ello debemos recordar que en su informe justificado manifiesta que turnó la presente solicitud a la Dirección General de Administración, la </w:t>
      </w:r>
      <w:proofErr w:type="gramStart"/>
      <w:r w:rsidRPr="00B13A05">
        <w:rPr>
          <w:rFonts w:ascii="Palatino Linotype" w:eastAsia="Palatino Linotype" w:hAnsi="Palatino Linotype" w:cs="Palatino Linotype"/>
          <w:sz w:val="22"/>
          <w:szCs w:val="22"/>
        </w:rPr>
        <w:t>cual</w:t>
      </w:r>
      <w:proofErr w:type="gramEnd"/>
      <w:r w:rsidRPr="00B13A05">
        <w:rPr>
          <w:rFonts w:ascii="Palatino Linotype" w:eastAsia="Palatino Linotype" w:hAnsi="Palatino Linotype" w:cs="Palatino Linotype"/>
          <w:sz w:val="22"/>
          <w:szCs w:val="22"/>
        </w:rPr>
        <w:t xml:space="preserve"> de conformidad </w:t>
      </w:r>
      <w:r w:rsidRPr="00B13A05">
        <w:rPr>
          <w:rFonts w:ascii="Palatino Linotype" w:eastAsia="Palatino Linotype" w:hAnsi="Palatino Linotype" w:cs="Palatino Linotype"/>
          <w:sz w:val="22"/>
          <w:szCs w:val="22"/>
        </w:rPr>
        <w:lastRenderedPageBreak/>
        <w:t>con el Código Reglamentario vigente a la fecha de la solicitud, cuenta con las siguientes atribuciones:</w:t>
      </w:r>
    </w:p>
    <w:p w14:paraId="3D42667F"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762E0FE"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“SECCIÓN OCTAVA</w:t>
      </w:r>
    </w:p>
    <w:p w14:paraId="675E355B"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DE LA DIRECCIÓN GENERAL DE ADMINISTRACIÓN</w:t>
      </w:r>
    </w:p>
    <w:p w14:paraId="2431D008"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Artículo 3.40. La o el titular de la Dirección General de Administración, tiene las siguientes atribuciones:</w:t>
      </w:r>
    </w:p>
    <w:p w14:paraId="260692EE"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653F8E00"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III. Autorizar las altas, bajas, cambios, permisos, licencias, comisiones del personal, entre otras, para su trámite y efectos;</w:t>
      </w:r>
    </w:p>
    <w:p w14:paraId="52377229"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IV. Autorizar la elaboración y distribución oportuna de la nómina al personal que labora en el Ayuntamiento, apegándose a la normatividad en la materia y al presupuesto autorizado;”</w:t>
      </w:r>
    </w:p>
    <w:p w14:paraId="342378C5" w14:textId="77777777" w:rsidR="000F238D" w:rsidRPr="00B13A05" w:rsidRDefault="00ED6B18">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Asimismo, el Manual General de Organización del Sector Central de la Administración Pública Municipal de Toluca, vigente a la fecha de la solicitud, contempla lo siguiente:</w:t>
      </w:r>
    </w:p>
    <w:p w14:paraId="4FDCEA4B" w14:textId="77777777" w:rsidR="000F238D" w:rsidRPr="00B13A05" w:rsidRDefault="000F238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69151915" w14:textId="77777777" w:rsidR="000F238D" w:rsidRPr="00B13A05" w:rsidRDefault="00ED6B18">
      <w:pPr>
        <w:pBdr>
          <w:top w:val="nil"/>
          <w:left w:val="nil"/>
          <w:bottom w:val="nil"/>
          <w:right w:val="nil"/>
          <w:between w:val="nil"/>
        </w:pBdr>
        <w:spacing w:line="276" w:lineRule="auto"/>
        <w:ind w:left="567" w:right="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“206010000 Dirección General de Administración</w:t>
      </w:r>
    </w:p>
    <w:p w14:paraId="697032A9" w14:textId="77777777" w:rsidR="000F238D" w:rsidRPr="00B13A05" w:rsidRDefault="00ED6B18">
      <w:pPr>
        <w:pBdr>
          <w:top w:val="nil"/>
          <w:left w:val="nil"/>
          <w:bottom w:val="nil"/>
          <w:right w:val="nil"/>
          <w:between w:val="nil"/>
        </w:pBdr>
        <w:spacing w:line="276" w:lineRule="auto"/>
        <w:ind w:left="567" w:right="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Objetivo</w:t>
      </w:r>
    </w:p>
    <w:p w14:paraId="10547D27" w14:textId="77777777" w:rsidR="000F238D" w:rsidRPr="00B13A05" w:rsidRDefault="00ED6B18">
      <w:pPr>
        <w:pBdr>
          <w:top w:val="nil"/>
          <w:left w:val="nil"/>
          <w:bottom w:val="nil"/>
          <w:right w:val="nil"/>
          <w:between w:val="nil"/>
        </w:pBdr>
        <w:spacing w:line="276" w:lineRule="auto"/>
        <w:ind w:left="567" w:right="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Definir, establecer, difundir y aplicar la normatividad para la administración de personal, adquisición, uso y mantenimiento de bienes, contratación y prestación de servicios, de la tecnología de la información y comunicaciones que requieran las diferentes dependencias y órganos que integran la administración pública municipal, para la ejecución de sus funciones, privilegiando las mejores condiciones de oportunidad, precio, calidad y financiamiento, en un esquema de transparencia, a fin de optimizar los recursos humanos, materiales, técnicos y tecnológicos, así como el adecuado control del parque vehicular y de bienes muebles e inmuebles.</w:t>
      </w:r>
    </w:p>
    <w:p w14:paraId="1451E908" w14:textId="77777777" w:rsidR="000F238D" w:rsidRPr="00B13A05" w:rsidRDefault="00ED6B18">
      <w:pPr>
        <w:pBdr>
          <w:top w:val="nil"/>
          <w:left w:val="nil"/>
          <w:bottom w:val="nil"/>
          <w:right w:val="nil"/>
          <w:between w:val="nil"/>
        </w:pBdr>
        <w:spacing w:line="276" w:lineRule="auto"/>
        <w:ind w:left="567" w:right="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Funciones:</w:t>
      </w:r>
    </w:p>
    <w:p w14:paraId="2565A3A9" w14:textId="77777777" w:rsidR="000F238D" w:rsidRPr="00B13A05" w:rsidRDefault="00ED6B18">
      <w:pPr>
        <w:pBdr>
          <w:top w:val="nil"/>
          <w:left w:val="nil"/>
          <w:bottom w:val="nil"/>
          <w:right w:val="nil"/>
          <w:between w:val="nil"/>
        </w:pBdr>
        <w:spacing w:line="276" w:lineRule="auto"/>
        <w:ind w:left="567" w:right="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4744565F" w14:textId="77777777" w:rsidR="000F238D" w:rsidRPr="00B13A05" w:rsidRDefault="00ED6B18">
      <w:pPr>
        <w:pBdr>
          <w:top w:val="nil"/>
          <w:left w:val="nil"/>
          <w:bottom w:val="nil"/>
          <w:right w:val="nil"/>
          <w:between w:val="nil"/>
        </w:pBdr>
        <w:spacing w:line="276" w:lineRule="auto"/>
        <w:ind w:left="567" w:right="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25. Planear, organizar, coordinar, tramitar y controlar las acciones en cuanto a recursos humanos</w:t>
      </w:r>
      <w:r w:rsidRPr="00B13A05">
        <w:rPr>
          <w:rFonts w:ascii="Palatino Linotype" w:eastAsia="Palatino Linotype" w:hAnsi="Palatino Linotype" w:cs="Palatino Linotype"/>
          <w:i/>
          <w:sz w:val="22"/>
          <w:szCs w:val="22"/>
        </w:rPr>
        <w:t>, financieros, materiales, servicios generales y tecnologías de la información para el eficiente y eficaz funcionamiento de las unidades administrativas de la Dirección General de Administración;”</w:t>
      </w:r>
    </w:p>
    <w:p w14:paraId="23B25B65" w14:textId="77777777" w:rsidR="000F238D" w:rsidRPr="00B13A05" w:rsidRDefault="00ED6B18">
      <w:pPr>
        <w:spacing w:line="360" w:lineRule="auto"/>
        <w:ind w:right="49"/>
        <w:jc w:val="both"/>
        <w:rPr>
          <w:rFonts w:ascii="Palatino Linotype" w:eastAsia="Palatino Linotype" w:hAnsi="Palatino Linotype" w:cs="Palatino Linotype"/>
          <w:sz w:val="20"/>
          <w:szCs w:val="20"/>
        </w:rPr>
      </w:pPr>
      <w:r w:rsidRPr="00B13A05">
        <w:rPr>
          <w:rFonts w:ascii="Palatino Linotype" w:eastAsia="Palatino Linotype" w:hAnsi="Palatino Linotype" w:cs="Palatino Linotype"/>
          <w:sz w:val="22"/>
          <w:szCs w:val="22"/>
        </w:rPr>
        <w:lastRenderedPageBreak/>
        <w:t xml:space="preserve">Por lo anteriormente citado, se aborda a la conclusión de que la </w:t>
      </w:r>
      <w:r w:rsidRPr="00B13A05">
        <w:rPr>
          <w:rFonts w:ascii="Palatino Linotype" w:eastAsia="Palatino Linotype" w:hAnsi="Palatino Linotype" w:cs="Palatino Linotype"/>
          <w:b/>
          <w:sz w:val="22"/>
          <w:szCs w:val="22"/>
        </w:rPr>
        <w:t xml:space="preserve">Dirección General de Administración </w:t>
      </w:r>
      <w:r w:rsidRPr="00B13A05">
        <w:rPr>
          <w:rFonts w:ascii="Palatino Linotype" w:eastAsia="Palatino Linotype" w:hAnsi="Palatino Linotype" w:cs="Palatino Linotype"/>
          <w:sz w:val="22"/>
          <w:szCs w:val="22"/>
        </w:rPr>
        <w:t>es la unidad administrativa encargada de</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manejar lo relativo a los recursos humanos, en consecuencia es pertinente referir que el turno se realizó a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C690637" w14:textId="77777777" w:rsidR="000F238D" w:rsidRPr="00B13A05" w:rsidRDefault="000F238D"/>
    <w:p w14:paraId="34201B43" w14:textId="77777777" w:rsidR="000F238D" w:rsidRPr="00B13A05" w:rsidRDefault="00ED6B18">
      <w:pPr>
        <w:pBdr>
          <w:top w:val="nil"/>
          <w:left w:val="nil"/>
          <w:bottom w:val="nil"/>
          <w:right w:val="nil"/>
          <w:between w:val="nil"/>
        </w:pBdr>
        <w:ind w:left="864" w:right="864"/>
        <w:jc w:val="both"/>
      </w:pPr>
      <w:r w:rsidRPr="00B13A05">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EC2A46B" w14:textId="77777777" w:rsidR="000F238D" w:rsidRPr="00B13A05" w:rsidRDefault="000F238D">
      <w:pPr>
        <w:pBdr>
          <w:top w:val="nil"/>
          <w:left w:val="nil"/>
          <w:bottom w:val="nil"/>
          <w:right w:val="nil"/>
          <w:between w:val="nil"/>
        </w:pBdr>
        <w:ind w:left="864" w:right="864"/>
        <w:jc w:val="both"/>
      </w:pPr>
    </w:p>
    <w:p w14:paraId="1C2A76DD" w14:textId="77777777" w:rsidR="000F238D" w:rsidRPr="00B13A05" w:rsidRDefault="00ED6B18">
      <w:pPr>
        <w:spacing w:after="24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Por lo anterior, se tiene por atendido el procedimiento de búsqueda pues se observa con claridad que quien se pronunció es la unidad administrativa competente.</w:t>
      </w:r>
    </w:p>
    <w:p w14:paraId="241EB588" w14:textId="77777777" w:rsidR="000F238D" w:rsidRPr="00B13A05" w:rsidRDefault="00ED6B18">
      <w:pPr>
        <w:spacing w:after="240" w:line="360" w:lineRule="auto"/>
        <w:ind w:right="49"/>
        <w:jc w:val="both"/>
        <w:rPr>
          <w:rFonts w:ascii="Palatino Linotype" w:eastAsia="Palatino Linotype" w:hAnsi="Palatino Linotype" w:cs="Palatino Linotype"/>
          <w:b/>
          <w:sz w:val="22"/>
          <w:szCs w:val="22"/>
        </w:rPr>
      </w:pPr>
      <w:r w:rsidRPr="00B13A05">
        <w:rPr>
          <w:rFonts w:ascii="Palatino Linotype" w:eastAsia="Palatino Linotype" w:hAnsi="Palatino Linotype" w:cs="Palatino Linotype"/>
          <w:sz w:val="22"/>
          <w:szCs w:val="22"/>
        </w:rPr>
        <w:t xml:space="preserve">Una vez acotado lo concerniente al ámbito competencial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resulta pertinente señalar </w:t>
      </w:r>
      <w:proofErr w:type="gramStart"/>
      <w:r w:rsidRPr="00B13A05">
        <w:rPr>
          <w:rFonts w:ascii="Palatino Linotype" w:eastAsia="Palatino Linotype" w:hAnsi="Palatino Linotype" w:cs="Palatino Linotype"/>
          <w:sz w:val="22"/>
          <w:szCs w:val="22"/>
        </w:rPr>
        <w:t>que</w:t>
      </w:r>
      <w:proofErr w:type="gramEnd"/>
      <w:r w:rsidRPr="00B13A05">
        <w:rPr>
          <w:rFonts w:ascii="Palatino Linotype" w:eastAsia="Palatino Linotype" w:hAnsi="Palatino Linotype" w:cs="Palatino Linotype"/>
          <w:sz w:val="22"/>
          <w:szCs w:val="22"/>
        </w:rPr>
        <w:t xml:space="preserve"> del análisis al requerimiento de información del particular, se advierte que requiere </w:t>
      </w:r>
      <w:r w:rsidRPr="00B13A05">
        <w:rPr>
          <w:rFonts w:ascii="Palatino Linotype" w:eastAsia="Palatino Linotype" w:hAnsi="Palatino Linotype" w:cs="Palatino Linotype"/>
          <w:b/>
          <w:sz w:val="22"/>
          <w:szCs w:val="22"/>
        </w:rPr>
        <w:t xml:space="preserve">una plantilla de personal con elementos específicos tales como, cargo, sueldo y área de adscripción. </w:t>
      </w:r>
    </w:p>
    <w:p w14:paraId="4926F38E" w14:textId="77777777" w:rsidR="000F238D" w:rsidRPr="00B13A05" w:rsidRDefault="00ED6B18">
      <w:pPr>
        <w:spacing w:after="240" w:line="360" w:lineRule="auto"/>
        <w:ind w:right="49"/>
        <w:jc w:val="both"/>
        <w:rPr>
          <w:rFonts w:ascii="Palatino Linotype" w:eastAsia="Palatino Linotype" w:hAnsi="Palatino Linotype" w:cs="Palatino Linotype"/>
          <w:sz w:val="20"/>
          <w:szCs w:val="20"/>
        </w:rPr>
      </w:pPr>
      <w:r w:rsidRPr="00B13A05">
        <w:rPr>
          <w:rFonts w:ascii="Palatino Linotype" w:eastAsia="Palatino Linotype" w:hAnsi="Palatino Linotype" w:cs="Palatino Linotype"/>
          <w:sz w:val="22"/>
          <w:szCs w:val="22"/>
        </w:rPr>
        <w:t xml:space="preserve">En atención a lo anterior, este Instituto no advirtió fuente obligacional para generar una plantilla de personal con determinados elementos, no obstante, en términos del artículo 12 de la Ley de Transparencia Local, el documento que de manera enunciativa más no limitativa pudiera dar cumplimiento a lo solicitado es la conciliación de nómina que es parte de los informes trimestrales que el </w:t>
      </w:r>
      <w:r w:rsidRPr="00B13A05">
        <w:rPr>
          <w:rFonts w:ascii="Palatino Linotype" w:eastAsia="Palatino Linotype" w:hAnsi="Palatino Linotype" w:cs="Palatino Linotype"/>
          <w:b/>
          <w:sz w:val="22"/>
          <w:szCs w:val="22"/>
        </w:rPr>
        <w:t xml:space="preserve">Sujeto Obligado </w:t>
      </w:r>
      <w:r w:rsidRPr="00B13A05">
        <w:rPr>
          <w:rFonts w:ascii="Palatino Linotype" w:eastAsia="Palatino Linotype" w:hAnsi="Palatino Linotype" w:cs="Palatino Linotype"/>
          <w:sz w:val="22"/>
          <w:szCs w:val="22"/>
        </w:rPr>
        <w:t xml:space="preserve">se encuentra constreñido a entregar al Órgano Superior de Fiscalización del Estado de México, de conformidad con </w:t>
      </w:r>
      <w:r w:rsidRPr="00B13A05">
        <w:rPr>
          <w:rFonts w:ascii="Palatino Linotype" w:eastAsia="Palatino Linotype" w:hAnsi="Palatino Linotype" w:cs="Palatino Linotype"/>
          <w:sz w:val="22"/>
          <w:szCs w:val="22"/>
        </w:rPr>
        <w:lastRenderedPageBreak/>
        <w:t>los Lineamientos para la integración, presentación y envío de los informes trimestrales municipales, del ejercicio 2024 y los Instructivos de llenado correspondientes, mismos que se encuentran disponibles en su sitio de internet</w:t>
      </w:r>
      <w:r w:rsidRPr="00B13A05">
        <w:rPr>
          <w:rFonts w:ascii="Palatino Linotype" w:eastAsia="Palatino Linotype" w:hAnsi="Palatino Linotype" w:cs="Palatino Linotype"/>
          <w:sz w:val="22"/>
          <w:szCs w:val="22"/>
          <w:vertAlign w:val="superscript"/>
        </w:rPr>
        <w:footnoteReference w:id="1"/>
      </w:r>
      <w:r w:rsidRPr="00B13A05">
        <w:rPr>
          <w:rFonts w:ascii="Palatino Linotype" w:eastAsia="Palatino Linotype" w:hAnsi="Palatino Linotype" w:cs="Palatino Linotype"/>
          <w:sz w:val="22"/>
          <w:szCs w:val="22"/>
        </w:rPr>
        <w:t>.</w:t>
      </w:r>
    </w:p>
    <w:p w14:paraId="765A5D8F" w14:textId="77777777" w:rsidR="000F238D" w:rsidRPr="00B13A05" w:rsidRDefault="00ED6B18">
      <w:pPr>
        <w:spacing w:before="240" w:after="20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Es de precisar que 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p>
    <w:p w14:paraId="03C42207" w14:textId="77777777" w:rsidR="000F238D" w:rsidRPr="00B13A05" w:rsidRDefault="00ED6B18">
      <w:pPr>
        <w:spacing w:before="240" w:after="20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La conciliación de nómina debe presentarse a través de los formatos XLSX y TXT, siendo el primero el siguiente:</w:t>
      </w:r>
    </w:p>
    <w:p w14:paraId="165A0963" w14:textId="77777777" w:rsidR="000F238D" w:rsidRPr="00B13A05" w:rsidRDefault="00ED6B18">
      <w:pPr>
        <w:spacing w:before="240" w:after="200" w:line="360" w:lineRule="auto"/>
        <w:ind w:right="49"/>
        <w:jc w:val="center"/>
        <w:rPr>
          <w:rFonts w:ascii="Palatino Linotype" w:eastAsia="Palatino Linotype" w:hAnsi="Palatino Linotype" w:cs="Palatino Linotype"/>
        </w:rPr>
      </w:pPr>
      <w:r w:rsidRPr="00B13A05">
        <w:rPr>
          <w:rFonts w:ascii="Palatino Linotype" w:eastAsia="Palatino Linotype" w:hAnsi="Palatino Linotype" w:cs="Palatino Linotype"/>
          <w:noProof/>
        </w:rPr>
        <w:lastRenderedPageBreak/>
        <w:drawing>
          <wp:inline distT="0" distB="0" distL="0" distR="0" wp14:anchorId="40ECFAF4" wp14:editId="5E642A6C">
            <wp:extent cx="5028721" cy="4896553"/>
            <wp:effectExtent l="0" t="0" r="0" b="0"/>
            <wp:docPr id="21401318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b="20862"/>
                    <a:stretch>
                      <a:fillRect/>
                    </a:stretch>
                  </pic:blipFill>
                  <pic:spPr>
                    <a:xfrm>
                      <a:off x="0" y="0"/>
                      <a:ext cx="5028721" cy="4896553"/>
                    </a:xfrm>
                    <a:prstGeom prst="rect">
                      <a:avLst/>
                    </a:prstGeom>
                    <a:ln/>
                  </pic:spPr>
                </pic:pic>
              </a:graphicData>
            </a:graphic>
          </wp:inline>
        </w:drawing>
      </w:r>
    </w:p>
    <w:p w14:paraId="1726E034" w14:textId="77777777" w:rsidR="000F238D" w:rsidRPr="00B13A05" w:rsidRDefault="00ED6B18">
      <w:pPr>
        <w:spacing w:before="240" w:after="200" w:line="360" w:lineRule="auto"/>
        <w:ind w:right="49"/>
        <w:jc w:val="both"/>
        <w:rPr>
          <w:rFonts w:ascii="Palatino Linotype" w:eastAsia="Palatino Linotype" w:hAnsi="Palatino Linotype" w:cs="Palatino Linotype"/>
        </w:rPr>
      </w:pPr>
      <w:r w:rsidRPr="00B13A05">
        <w:rPr>
          <w:rFonts w:ascii="Palatino Linotype" w:eastAsia="Palatino Linotype" w:hAnsi="Palatino Linotype" w:cs="Palatino Linotype"/>
          <w:noProof/>
        </w:rPr>
        <w:drawing>
          <wp:inline distT="0" distB="0" distL="0" distR="0" wp14:anchorId="43BC4B86" wp14:editId="29AA28CD">
            <wp:extent cx="5292081" cy="1076912"/>
            <wp:effectExtent l="0" t="0" r="0" b="0"/>
            <wp:docPr id="21401318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79868"/>
                    <a:stretch>
                      <a:fillRect/>
                    </a:stretch>
                  </pic:blipFill>
                  <pic:spPr>
                    <a:xfrm>
                      <a:off x="0" y="0"/>
                      <a:ext cx="5292081" cy="1076912"/>
                    </a:xfrm>
                    <a:prstGeom prst="rect">
                      <a:avLst/>
                    </a:prstGeom>
                    <a:ln/>
                  </pic:spPr>
                </pic:pic>
              </a:graphicData>
            </a:graphic>
          </wp:inline>
        </w:drawing>
      </w:r>
    </w:p>
    <w:p w14:paraId="4973D812" w14:textId="77777777" w:rsidR="000F238D" w:rsidRPr="00B13A05" w:rsidRDefault="00ED6B18">
      <w:pPr>
        <w:spacing w:before="240" w:after="20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Para el llenado de dicho formato se deben observar las siguientes consideraciones:</w:t>
      </w:r>
    </w:p>
    <w:p w14:paraId="7C3518AE" w14:textId="77777777" w:rsidR="000F238D" w:rsidRPr="00B13A05" w:rsidRDefault="00ED6B18">
      <w:pPr>
        <w:spacing w:before="240" w:after="200" w:line="360" w:lineRule="auto"/>
        <w:ind w:right="49"/>
        <w:jc w:val="both"/>
        <w:rPr>
          <w:rFonts w:ascii="Palatino Linotype" w:eastAsia="Palatino Linotype" w:hAnsi="Palatino Linotype" w:cs="Palatino Linotype"/>
        </w:rPr>
      </w:pPr>
      <w:r w:rsidRPr="00B13A05">
        <w:rPr>
          <w:rFonts w:ascii="Palatino Linotype" w:eastAsia="Palatino Linotype" w:hAnsi="Palatino Linotype" w:cs="Palatino Linotype"/>
          <w:noProof/>
        </w:rPr>
        <w:lastRenderedPageBreak/>
        <w:drawing>
          <wp:inline distT="0" distB="0" distL="0" distR="0" wp14:anchorId="7FEC0122" wp14:editId="1BF46C31">
            <wp:extent cx="5612130" cy="1139190"/>
            <wp:effectExtent l="0" t="0" r="0" b="0"/>
            <wp:docPr id="21401318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1139190"/>
                    </a:xfrm>
                    <a:prstGeom prst="rect">
                      <a:avLst/>
                    </a:prstGeom>
                    <a:ln/>
                  </pic:spPr>
                </pic:pic>
              </a:graphicData>
            </a:graphic>
          </wp:inline>
        </w:drawing>
      </w:r>
    </w:p>
    <w:p w14:paraId="1C00CBDE" w14:textId="77777777" w:rsidR="000F238D" w:rsidRPr="00B13A05" w:rsidRDefault="00ED6B18">
      <w:pPr>
        <w:spacing w:before="240" w:after="200" w:line="360" w:lineRule="auto"/>
        <w:ind w:right="49"/>
        <w:jc w:val="both"/>
        <w:rPr>
          <w:rFonts w:ascii="Palatino Linotype" w:eastAsia="Palatino Linotype" w:hAnsi="Palatino Linotype" w:cs="Palatino Linotype"/>
        </w:rPr>
      </w:pPr>
      <w:r w:rsidRPr="00B13A05">
        <w:rPr>
          <w:rFonts w:ascii="Palatino Linotype" w:eastAsia="Palatino Linotype" w:hAnsi="Palatino Linotype" w:cs="Palatino Linotype"/>
          <w:noProof/>
        </w:rPr>
        <w:drawing>
          <wp:inline distT="0" distB="0" distL="0" distR="0" wp14:anchorId="0AE74A94" wp14:editId="6624BAC6">
            <wp:extent cx="5612130" cy="3479483"/>
            <wp:effectExtent l="0" t="0" r="0" b="0"/>
            <wp:docPr id="21401318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b="51914"/>
                    <a:stretch>
                      <a:fillRect/>
                    </a:stretch>
                  </pic:blipFill>
                  <pic:spPr>
                    <a:xfrm>
                      <a:off x="0" y="0"/>
                      <a:ext cx="5612130" cy="3479483"/>
                    </a:xfrm>
                    <a:prstGeom prst="rect">
                      <a:avLst/>
                    </a:prstGeom>
                    <a:ln/>
                  </pic:spPr>
                </pic:pic>
              </a:graphicData>
            </a:graphic>
          </wp:inline>
        </w:drawing>
      </w:r>
    </w:p>
    <w:p w14:paraId="6599B27A" w14:textId="77777777" w:rsidR="000F238D" w:rsidRPr="00B13A05" w:rsidRDefault="00ED6B18">
      <w:pPr>
        <w:spacing w:before="240" w:after="200" w:line="360" w:lineRule="auto"/>
        <w:ind w:right="49"/>
        <w:jc w:val="both"/>
        <w:rPr>
          <w:rFonts w:ascii="Palatino Linotype" w:eastAsia="Palatino Linotype" w:hAnsi="Palatino Linotype" w:cs="Palatino Linotype"/>
        </w:rPr>
      </w:pPr>
      <w:r w:rsidRPr="00B13A05">
        <w:rPr>
          <w:rFonts w:ascii="Palatino Linotype" w:eastAsia="Palatino Linotype" w:hAnsi="Palatino Linotype" w:cs="Palatino Linotype"/>
          <w:noProof/>
        </w:rPr>
        <w:lastRenderedPageBreak/>
        <w:drawing>
          <wp:inline distT="0" distB="0" distL="0" distR="0" wp14:anchorId="2A1E21D0" wp14:editId="6103E0E8">
            <wp:extent cx="5612130" cy="3687544"/>
            <wp:effectExtent l="0" t="0" r="0" b="0"/>
            <wp:docPr id="21401318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t="48910" b="126"/>
                    <a:stretch>
                      <a:fillRect/>
                    </a:stretch>
                  </pic:blipFill>
                  <pic:spPr>
                    <a:xfrm>
                      <a:off x="0" y="0"/>
                      <a:ext cx="5612130" cy="3687544"/>
                    </a:xfrm>
                    <a:prstGeom prst="rect">
                      <a:avLst/>
                    </a:prstGeom>
                    <a:ln/>
                  </pic:spPr>
                </pic:pic>
              </a:graphicData>
            </a:graphic>
          </wp:inline>
        </w:drawing>
      </w:r>
      <w:r w:rsidRPr="00B13A05">
        <w:rPr>
          <w:rFonts w:ascii="Palatino Linotype" w:eastAsia="Palatino Linotype" w:hAnsi="Palatino Linotype" w:cs="Palatino Linotype"/>
          <w:noProof/>
        </w:rPr>
        <w:drawing>
          <wp:inline distT="0" distB="0" distL="0" distR="0" wp14:anchorId="6CD814E5" wp14:editId="38A6959F">
            <wp:extent cx="5612130" cy="1405255"/>
            <wp:effectExtent l="0" t="0" r="0" b="0"/>
            <wp:docPr id="21401318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1405255"/>
                    </a:xfrm>
                    <a:prstGeom prst="rect">
                      <a:avLst/>
                    </a:prstGeom>
                    <a:ln/>
                  </pic:spPr>
                </pic:pic>
              </a:graphicData>
            </a:graphic>
          </wp:inline>
        </w:drawing>
      </w:r>
    </w:p>
    <w:p w14:paraId="5460E050" w14:textId="77777777" w:rsidR="000F238D" w:rsidRPr="00B13A05" w:rsidRDefault="00ED6B18">
      <w:pPr>
        <w:spacing w:after="24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De tal suerte </w:t>
      </w:r>
      <w:proofErr w:type="gramStart"/>
      <w:r w:rsidRPr="00B13A05">
        <w:rPr>
          <w:rFonts w:ascii="Palatino Linotype" w:eastAsia="Palatino Linotype" w:hAnsi="Palatino Linotype" w:cs="Palatino Linotype"/>
          <w:sz w:val="22"/>
          <w:szCs w:val="22"/>
        </w:rPr>
        <w:t>que</w:t>
      </w:r>
      <w:proofErr w:type="gramEnd"/>
      <w:r w:rsidRPr="00B13A05">
        <w:rPr>
          <w:rFonts w:ascii="Palatino Linotype" w:eastAsia="Palatino Linotype" w:hAnsi="Palatino Linotype" w:cs="Palatino Linotype"/>
          <w:sz w:val="22"/>
          <w:szCs w:val="22"/>
        </w:rPr>
        <w:t xml:space="preserve"> con la entrega de este documento, el particular podrá advertir el personal que a la fecha de la solicitud se encuentra laborando para el Ayuntamiento de Toluca, asimismo podrá advertir el puesto, sueldo bruto y neto, así como el área de adscripción, tal como fue solicitado.</w:t>
      </w:r>
    </w:p>
    <w:p w14:paraId="238A4FC8" w14:textId="77777777" w:rsidR="000F238D" w:rsidRPr="00B13A05" w:rsidRDefault="00ED6B18">
      <w:pPr>
        <w:spacing w:after="240" w:line="360" w:lineRule="auto"/>
        <w:ind w:right="49"/>
        <w:jc w:val="both"/>
        <w:rPr>
          <w:rFonts w:ascii="Palatino Linotype" w:eastAsia="Palatino Linotype" w:hAnsi="Palatino Linotype" w:cs="Palatino Linotype"/>
          <w:sz w:val="20"/>
          <w:szCs w:val="20"/>
        </w:rPr>
      </w:pPr>
      <w:r w:rsidRPr="00B13A05">
        <w:rPr>
          <w:rFonts w:ascii="Palatino Linotype" w:eastAsia="Palatino Linotype" w:hAnsi="Palatino Linotype" w:cs="Palatino Linotype"/>
          <w:sz w:val="22"/>
          <w:szCs w:val="22"/>
        </w:rPr>
        <w:t xml:space="preserve">Por todo lo anteriormente expuesto es que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mediante informe justificado no atendió a cabalidad los requerimientos de información de la persona solicitante, por lo que después de un análisis pormenorizado, este Instituto determina </w:t>
      </w:r>
      <w:r w:rsidRPr="00B13A05">
        <w:rPr>
          <w:rFonts w:ascii="Palatino Linotype" w:eastAsia="Palatino Linotype" w:hAnsi="Palatino Linotype" w:cs="Palatino Linotype"/>
          <w:sz w:val="22"/>
          <w:szCs w:val="22"/>
        </w:rPr>
        <w:lastRenderedPageBreak/>
        <w:t xml:space="preserve">ordenar la entrega </w:t>
      </w:r>
      <w:proofErr w:type="gramStart"/>
      <w:r w:rsidRPr="00B13A05">
        <w:rPr>
          <w:rFonts w:ascii="Palatino Linotype" w:eastAsia="Palatino Linotype" w:hAnsi="Palatino Linotype" w:cs="Palatino Linotype"/>
          <w:sz w:val="22"/>
          <w:szCs w:val="22"/>
        </w:rPr>
        <w:t>de la siguiente documental</w:t>
      </w:r>
      <w:proofErr w:type="gramEnd"/>
      <w:r w:rsidRPr="00B13A05">
        <w:rPr>
          <w:rFonts w:ascii="Palatino Linotype" w:eastAsia="Palatino Linotype" w:hAnsi="Palatino Linotype" w:cs="Palatino Linotype"/>
          <w:sz w:val="22"/>
          <w:szCs w:val="22"/>
        </w:rPr>
        <w:t>, en versión pública de ser procedente, conforme a lo establecido en el considerando quinto:</w:t>
      </w:r>
    </w:p>
    <w:p w14:paraId="0C2362A8" w14:textId="77777777" w:rsidR="000F238D" w:rsidRPr="00B13A05" w:rsidRDefault="00ED6B18">
      <w:pPr>
        <w:pBdr>
          <w:top w:val="nil"/>
          <w:left w:val="nil"/>
          <w:bottom w:val="nil"/>
          <w:right w:val="nil"/>
          <w:between w:val="nil"/>
        </w:pBdr>
        <w:spacing w:line="276" w:lineRule="auto"/>
        <w:ind w:left="567" w:right="709"/>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Último documento generado al veintidós de enero de dos mil veinticinco, donde conste el Personal adscrito al Ayuntamiento de Toluca, con cargo, sueldo bruto y neto y área de adscripción.</w:t>
      </w:r>
    </w:p>
    <w:p w14:paraId="448C86F2" w14:textId="77777777" w:rsidR="000F238D" w:rsidRPr="00B13A05" w:rsidRDefault="00ED6B18">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Por otra parte, respecto a las manifestaciones vertidas en la solicitud de información, relativas a </w:t>
      </w:r>
      <w:r w:rsidRPr="00B13A05">
        <w:rPr>
          <w:rFonts w:ascii="Palatino Linotype" w:eastAsia="Palatino Linotype" w:hAnsi="Palatino Linotype" w:cs="Palatino Linotype"/>
          <w:i/>
          <w:sz w:val="22"/>
          <w:szCs w:val="22"/>
        </w:rPr>
        <w:t xml:space="preserve">“para ver </w:t>
      </w:r>
      <w:proofErr w:type="spellStart"/>
      <w:r w:rsidRPr="00B13A05">
        <w:rPr>
          <w:rFonts w:ascii="Palatino Linotype" w:eastAsia="Palatino Linotype" w:hAnsi="Palatino Linotype" w:cs="Palatino Linotype"/>
          <w:i/>
          <w:sz w:val="22"/>
          <w:szCs w:val="22"/>
        </w:rPr>
        <w:t>donde</w:t>
      </w:r>
      <w:proofErr w:type="spellEnd"/>
      <w:r w:rsidRPr="00B13A05">
        <w:rPr>
          <w:rFonts w:ascii="Palatino Linotype" w:eastAsia="Palatino Linotype" w:hAnsi="Palatino Linotype" w:cs="Palatino Linotype"/>
          <w:i/>
          <w:sz w:val="22"/>
          <w:szCs w:val="22"/>
        </w:rPr>
        <w:t xml:space="preserve"> están los protegidos de RAY y ahora de Ricardo y a hacerlo público en </w:t>
      </w:r>
      <w:proofErr w:type="spellStart"/>
      <w:r w:rsidRPr="00B13A05">
        <w:rPr>
          <w:rFonts w:ascii="Palatino Linotype" w:eastAsia="Palatino Linotype" w:hAnsi="Palatino Linotype" w:cs="Palatino Linotype"/>
          <w:i/>
          <w:sz w:val="22"/>
          <w:szCs w:val="22"/>
        </w:rPr>
        <w:t>lo</w:t>
      </w:r>
      <w:proofErr w:type="spellEnd"/>
      <w:r w:rsidRPr="00B13A05">
        <w:rPr>
          <w:rFonts w:ascii="Palatino Linotype" w:eastAsia="Palatino Linotype" w:hAnsi="Palatino Linotype" w:cs="Palatino Linotype"/>
          <w:i/>
          <w:sz w:val="22"/>
          <w:szCs w:val="22"/>
        </w:rPr>
        <w:t xml:space="preserve"> medios de Comunicación será que también Normita también estará escondida en su administración y sus aviadores como Sergio Pichardo que como dice Rober sabemos </w:t>
      </w:r>
      <w:proofErr w:type="spellStart"/>
      <w:r w:rsidRPr="00B13A05">
        <w:rPr>
          <w:rFonts w:ascii="Palatino Linotype" w:eastAsia="Palatino Linotype" w:hAnsi="Palatino Linotype" w:cs="Palatino Linotype"/>
          <w:i/>
          <w:sz w:val="22"/>
          <w:szCs w:val="22"/>
        </w:rPr>
        <w:t>dodne</w:t>
      </w:r>
      <w:proofErr w:type="spellEnd"/>
      <w:r w:rsidRPr="00B13A05">
        <w:rPr>
          <w:rFonts w:ascii="Palatino Linotype" w:eastAsia="Palatino Linotype" w:hAnsi="Palatino Linotype" w:cs="Palatino Linotype"/>
          <w:i/>
          <w:sz w:val="22"/>
          <w:szCs w:val="22"/>
        </w:rPr>
        <w:t xml:space="preserve"> </w:t>
      </w:r>
      <w:proofErr w:type="gramStart"/>
      <w:r w:rsidRPr="00B13A05">
        <w:rPr>
          <w:rFonts w:ascii="Palatino Linotype" w:eastAsia="Palatino Linotype" w:hAnsi="Palatino Linotype" w:cs="Palatino Linotype"/>
          <w:i/>
          <w:sz w:val="22"/>
          <w:szCs w:val="22"/>
        </w:rPr>
        <w:t>cobra</w:t>
      </w:r>
      <w:proofErr w:type="gramEnd"/>
      <w:r w:rsidRPr="00B13A05">
        <w:rPr>
          <w:rFonts w:ascii="Palatino Linotype" w:eastAsia="Palatino Linotype" w:hAnsi="Palatino Linotype" w:cs="Palatino Linotype"/>
          <w:i/>
          <w:sz w:val="22"/>
          <w:szCs w:val="22"/>
        </w:rPr>
        <w:t xml:space="preserve"> pero no </w:t>
      </w:r>
      <w:proofErr w:type="spellStart"/>
      <w:r w:rsidRPr="00B13A05">
        <w:rPr>
          <w:rFonts w:ascii="Palatino Linotype" w:eastAsia="Palatino Linotype" w:hAnsi="Palatino Linotype" w:cs="Palatino Linotype"/>
          <w:i/>
          <w:sz w:val="22"/>
          <w:szCs w:val="22"/>
        </w:rPr>
        <w:t>dodne</w:t>
      </w:r>
      <w:proofErr w:type="spellEnd"/>
      <w:r w:rsidRPr="00B13A05">
        <w:rPr>
          <w:rFonts w:ascii="Palatino Linotype" w:eastAsia="Palatino Linotype" w:hAnsi="Palatino Linotype" w:cs="Palatino Linotype"/>
          <w:i/>
          <w:sz w:val="22"/>
          <w:szCs w:val="22"/>
        </w:rPr>
        <w:t xml:space="preserve"> esta o que hace y </w:t>
      </w:r>
      <w:proofErr w:type="spellStart"/>
      <w:r w:rsidRPr="00B13A05">
        <w:rPr>
          <w:rFonts w:ascii="Palatino Linotype" w:eastAsia="Palatino Linotype" w:hAnsi="Palatino Linotype" w:cs="Palatino Linotype"/>
          <w:i/>
          <w:sz w:val="22"/>
          <w:szCs w:val="22"/>
        </w:rPr>
        <w:t>Andreita</w:t>
      </w:r>
      <w:proofErr w:type="spellEnd"/>
      <w:r w:rsidRPr="00B13A05">
        <w:rPr>
          <w:rFonts w:ascii="Palatino Linotype" w:eastAsia="Palatino Linotype" w:hAnsi="Palatino Linotype" w:cs="Palatino Linotype"/>
          <w:i/>
          <w:sz w:val="22"/>
          <w:szCs w:val="22"/>
        </w:rPr>
        <w:t xml:space="preserve"> Sánchez su protegida. esta escondida en esa Administración.”, </w:t>
      </w:r>
      <w:r w:rsidRPr="00B13A05">
        <w:rPr>
          <w:rFonts w:ascii="Palatino Linotype" w:eastAsia="Palatino Linotype" w:hAnsi="Palatino Linotype" w:cs="Palatino Linotype"/>
          <w:sz w:val="22"/>
          <w:szCs w:val="22"/>
        </w:rPr>
        <w:t>este Instituto no quiere dejar de mencionar que este no constituye un derecho de acceso a la información y por lo tanto no es atendible mediante una solicitud de acceso a la información pública, toda vez que el particular está haciendo uso de su derecho a la libre expresión, por consiguiente, no resulta procedente realizar análisis alguno.</w:t>
      </w:r>
    </w:p>
    <w:p w14:paraId="5E21C96E" w14:textId="77777777" w:rsidR="000F238D" w:rsidRPr="00B13A05" w:rsidRDefault="00ED6B1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Finalmente, es de señalar que, como ya se mencionó </w:t>
      </w:r>
      <w:r w:rsidRPr="00B13A05">
        <w:rPr>
          <w:rFonts w:ascii="Palatino Linotype" w:eastAsia="Palatino Linotype" w:hAnsi="Palatino Linotype" w:cs="Palatino Linotype"/>
          <w:b/>
          <w:sz w:val="22"/>
          <w:szCs w:val="22"/>
        </w:rPr>
        <w:t>el Sujeto Obligado,</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sz w:val="22"/>
          <w:szCs w:val="22"/>
          <w:u w:val="single"/>
        </w:rPr>
        <w:t>omitió proporcionar la respuesta a la solicitud de acceso a la información pública,</w:t>
      </w:r>
      <w:r w:rsidRPr="00B13A05">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B13A05">
        <w:rPr>
          <w:rFonts w:ascii="Palatino Linotype" w:eastAsia="Palatino Linotype" w:hAnsi="Palatino Linotype" w:cs="Palatino Linotype"/>
          <w:b/>
          <w:sz w:val="22"/>
          <w:szCs w:val="22"/>
        </w:rPr>
        <w:t xml:space="preserve">ORDENA </w:t>
      </w:r>
      <w:r w:rsidRPr="00B13A05">
        <w:rPr>
          <w:rFonts w:ascii="Palatino Linotype" w:eastAsia="Palatino Linotype" w:hAnsi="Palatino Linotype" w:cs="Palatino Linotype"/>
          <w:sz w:val="22"/>
          <w:szCs w:val="22"/>
        </w:rPr>
        <w:t xml:space="preserve">dar vista a la </w:t>
      </w:r>
      <w:r w:rsidRPr="00B13A05">
        <w:rPr>
          <w:rFonts w:ascii="Palatino Linotype" w:eastAsia="Palatino Linotype" w:hAnsi="Palatino Linotype" w:cs="Palatino Linotype"/>
          <w:b/>
          <w:sz w:val="22"/>
          <w:szCs w:val="22"/>
        </w:rPr>
        <w:t>Secretaría Técnica del Pleno</w:t>
      </w:r>
      <w:r w:rsidRPr="00B13A05">
        <w:rPr>
          <w:rFonts w:ascii="Palatino Linotype" w:eastAsia="Palatino Linotype" w:hAnsi="Palatino Linotype" w:cs="Palatino Linotype"/>
          <w:sz w:val="22"/>
          <w:szCs w:val="22"/>
        </w:rPr>
        <w:t xml:space="preserve"> a efecto de que ejerza las atribuciones previstas en la normatividad aplicable y comunique al </w:t>
      </w:r>
      <w:r w:rsidRPr="00B13A05">
        <w:rPr>
          <w:rFonts w:ascii="Palatino Linotype" w:eastAsia="Palatino Linotype" w:hAnsi="Palatino Linotype" w:cs="Palatino Linotype"/>
          <w:b/>
          <w:sz w:val="22"/>
          <w:szCs w:val="22"/>
        </w:rPr>
        <w:t>Órgano Interno de Control Competente</w:t>
      </w:r>
      <w:r w:rsidRPr="00B13A05">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513960CB" w14:textId="77777777" w:rsidR="000F238D" w:rsidRPr="00B13A05" w:rsidRDefault="00ED6B18">
      <w:pPr>
        <w:spacing w:before="240" w:after="240"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lastRenderedPageBreak/>
        <w:t xml:space="preserve">Quinto. Versión Pública. </w:t>
      </w:r>
      <w:r w:rsidRPr="00B13A05">
        <w:rPr>
          <w:rFonts w:ascii="Palatino Linotype" w:eastAsia="Palatino Linotype" w:hAnsi="Palatino Linotype" w:cs="Palatino Linotype"/>
          <w:sz w:val="22"/>
          <w:szCs w:val="22"/>
        </w:rPr>
        <w:t>Como fue debidamente apuntado,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214331CD" w14:textId="77777777" w:rsidR="000F238D" w:rsidRPr="00B13A05" w:rsidRDefault="00ED6B18">
      <w:pPr>
        <w:spacing w:before="240" w:after="24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29DA4816" w14:textId="77777777" w:rsidR="000F238D" w:rsidRPr="00B13A05" w:rsidRDefault="00ED6B18">
      <w:pPr>
        <w:spacing w:before="240" w:after="24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60C39D4" w14:textId="77777777" w:rsidR="000F238D" w:rsidRPr="00B13A05" w:rsidRDefault="00ED6B18">
      <w:pPr>
        <w:spacing w:before="240" w:after="240"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Al respecto, los artículos 3, fracciones IX, XX, XXI, XXXII, XLV; 6, 91, 132, 137, 143, fracción I, de la Ley de Transparencia y Acceso a la Información Pública del Estado de México y Municipios vigente establecen:</w:t>
      </w:r>
    </w:p>
    <w:p w14:paraId="0E133896"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sz w:val="22"/>
          <w:szCs w:val="22"/>
        </w:rPr>
        <w:t> </w:t>
      </w: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Artículo 3.</w:t>
      </w:r>
      <w:r w:rsidRPr="00B13A05">
        <w:rPr>
          <w:rFonts w:ascii="Palatino Linotype" w:eastAsia="Palatino Linotype" w:hAnsi="Palatino Linotype" w:cs="Palatino Linotype"/>
          <w:i/>
          <w:sz w:val="22"/>
          <w:szCs w:val="22"/>
        </w:rPr>
        <w:t xml:space="preserve"> Para los efectos de la presente Ley se entenderá por:</w:t>
      </w:r>
    </w:p>
    <w:p w14:paraId="126E794F"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3330829F"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IX. Datos personales</w:t>
      </w:r>
      <w:r w:rsidRPr="00B13A05">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670FED12"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6906A72D"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XX. Información clasificada</w:t>
      </w:r>
      <w:r w:rsidRPr="00B13A05">
        <w:rPr>
          <w:rFonts w:ascii="Palatino Linotype" w:eastAsia="Palatino Linotype" w:hAnsi="Palatino Linotype" w:cs="Palatino Linotype"/>
          <w:i/>
          <w:sz w:val="22"/>
          <w:szCs w:val="22"/>
        </w:rPr>
        <w:t>: Aquella considerada por la presente Ley como reservada o confidencial;</w:t>
      </w:r>
    </w:p>
    <w:p w14:paraId="3F4848CF"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lastRenderedPageBreak/>
        <w:t>XXI. Información confidencial</w:t>
      </w:r>
      <w:r w:rsidRPr="00B13A05">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1DF069"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3E9CC35D"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XXXII. Protección de Datos Personales</w:t>
      </w:r>
      <w:r w:rsidRPr="00B13A05">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1EFF8ABF"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4C7A918F" w14:textId="77777777" w:rsidR="000F238D" w:rsidRPr="00B13A05" w:rsidRDefault="00ED6B18">
      <w:pPr>
        <w:tabs>
          <w:tab w:val="left" w:pos="1276"/>
        </w:tabs>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XLV. Versión pública</w:t>
      </w:r>
      <w:r w:rsidRPr="00B13A05">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52F026E"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Artículo 6</w:t>
      </w:r>
      <w:r w:rsidRPr="00B13A05">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77CE38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1D31299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Artículo 91.</w:t>
      </w:r>
      <w:r w:rsidRPr="00B13A0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B13A05">
        <w:rPr>
          <w:rFonts w:ascii="Palatino Linotype" w:eastAsia="Palatino Linotype" w:hAnsi="Palatino Linotype" w:cs="Palatino Linotype"/>
          <w:i/>
          <w:sz w:val="22"/>
          <w:szCs w:val="22"/>
        </w:rPr>
        <w:br/>
        <w:t>…</w:t>
      </w:r>
    </w:p>
    <w:p w14:paraId="0214D87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Artículo 132.</w:t>
      </w:r>
      <w:r w:rsidRPr="00B13A05">
        <w:rPr>
          <w:rFonts w:ascii="Palatino Linotype" w:eastAsia="Palatino Linotype" w:hAnsi="Palatino Linotype" w:cs="Palatino Linotype"/>
          <w:i/>
          <w:sz w:val="22"/>
          <w:szCs w:val="22"/>
        </w:rPr>
        <w:t xml:space="preserve"> La clasificación de la información se llevará a cabo en el momento en que:</w:t>
      </w:r>
    </w:p>
    <w:p w14:paraId="74C08AC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Se reciba una solicitud de acceso a la información;</w:t>
      </w:r>
    </w:p>
    <w:p w14:paraId="19987CFD"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w:t>
      </w:r>
      <w:r w:rsidRPr="00B13A05">
        <w:rPr>
          <w:rFonts w:ascii="Palatino Linotype" w:eastAsia="Palatino Linotype" w:hAnsi="Palatino Linotype" w:cs="Palatino Linotype"/>
          <w:i/>
          <w:sz w:val="22"/>
          <w:szCs w:val="22"/>
        </w:rPr>
        <w:t xml:space="preserve"> Se determine mediante resolución de autoridad competente; o</w:t>
      </w:r>
    </w:p>
    <w:p w14:paraId="09FFC32A"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III.</w:t>
      </w:r>
      <w:r w:rsidRPr="00B13A05">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3EEE026"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w:t>
      </w:r>
    </w:p>
    <w:p w14:paraId="6E19ECFD"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Artículo 137.</w:t>
      </w:r>
      <w:r w:rsidRPr="00B13A0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3A5A848"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lastRenderedPageBreak/>
        <w:t> Artículo 143.</w:t>
      </w:r>
      <w:r w:rsidRPr="00B13A05">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535D475"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D24618C" w14:textId="77777777" w:rsidR="000F238D" w:rsidRPr="00B13A05" w:rsidRDefault="00ED6B18">
      <w:pPr>
        <w:spacing w:before="240" w:after="240" w:line="360" w:lineRule="auto"/>
        <w:ind w:right="50"/>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7BF17EB" w14:textId="77777777" w:rsidR="000F238D" w:rsidRPr="00B13A05" w:rsidRDefault="00ED6B18">
      <w:pPr>
        <w:spacing w:before="240" w:after="240" w:line="360" w:lineRule="auto"/>
        <w:ind w:right="50"/>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905671D"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En el caso específico, la información que se ordena si bien tiene el carácter información pública en razón de que se trata de documentos que se encuentran en posesión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w:t>
      </w:r>
      <w:r w:rsidRPr="00B13A05">
        <w:rPr>
          <w:rFonts w:ascii="Palatino Linotype" w:eastAsia="Palatino Linotype" w:hAnsi="Palatino Linotype" w:cs="Palatino Linotype"/>
          <w:sz w:val="22"/>
          <w:szCs w:val="22"/>
        </w:rPr>
        <w:lastRenderedPageBreak/>
        <w:t xml:space="preserve">Ley de Transparencia y Acceso a la Información Pública del Estado de México y Municipios, se consideran confidenciales y por tanto deben testarse al momento de la elaboración de versiones públicas el </w:t>
      </w:r>
      <w:r w:rsidRPr="00B13A05">
        <w:rPr>
          <w:rFonts w:ascii="Palatino Linotype" w:eastAsia="Palatino Linotype" w:hAnsi="Palatino Linotype" w:cs="Palatino Linotype"/>
          <w:b/>
          <w:sz w:val="22"/>
          <w:szCs w:val="22"/>
        </w:rPr>
        <w:t>Registro Federal de Contribuyentes</w:t>
      </w:r>
      <w:r w:rsidRPr="00B13A05">
        <w:rPr>
          <w:rFonts w:ascii="Palatino Linotype" w:eastAsia="Palatino Linotype" w:hAnsi="Palatino Linotype" w:cs="Palatino Linotype"/>
          <w:sz w:val="22"/>
          <w:szCs w:val="22"/>
        </w:rPr>
        <w:t xml:space="preserve"> (RFC), la </w:t>
      </w:r>
      <w:r w:rsidRPr="00B13A05">
        <w:rPr>
          <w:rFonts w:ascii="Palatino Linotype" w:eastAsia="Palatino Linotype" w:hAnsi="Palatino Linotype" w:cs="Palatino Linotype"/>
          <w:b/>
          <w:sz w:val="22"/>
          <w:szCs w:val="22"/>
        </w:rPr>
        <w:t>Clave Única de Registro de Población</w:t>
      </w:r>
      <w:r w:rsidRPr="00B13A05">
        <w:rPr>
          <w:rFonts w:ascii="Palatino Linotype" w:eastAsia="Palatino Linotype" w:hAnsi="Palatino Linotype" w:cs="Palatino Linotype"/>
          <w:sz w:val="22"/>
          <w:szCs w:val="22"/>
        </w:rPr>
        <w:t xml:space="preserve"> (CURP), la </w:t>
      </w:r>
      <w:r w:rsidRPr="00B13A05">
        <w:rPr>
          <w:rFonts w:ascii="Palatino Linotype" w:eastAsia="Palatino Linotype" w:hAnsi="Palatino Linotype" w:cs="Palatino Linotype"/>
          <w:b/>
          <w:sz w:val="22"/>
          <w:szCs w:val="22"/>
        </w:rPr>
        <w:t>Clave de cualquier tipo de seguridad social</w:t>
      </w:r>
      <w:r w:rsidRPr="00B13A05">
        <w:rPr>
          <w:rFonts w:ascii="Palatino Linotype" w:eastAsia="Palatino Linotype" w:hAnsi="Palatino Linotype" w:cs="Palatino Linotype"/>
          <w:sz w:val="22"/>
          <w:szCs w:val="22"/>
        </w:rPr>
        <w:t xml:space="preserve"> (ISSEMYM, u otros), los </w:t>
      </w:r>
      <w:r w:rsidRPr="00B13A05">
        <w:rPr>
          <w:rFonts w:ascii="Palatino Linotype" w:eastAsia="Palatino Linotype" w:hAnsi="Palatino Linotype" w:cs="Palatino Linotype"/>
          <w:b/>
          <w:sz w:val="22"/>
          <w:szCs w:val="22"/>
        </w:rPr>
        <w:t>números de cuentas bancarias</w:t>
      </w:r>
      <w:r w:rsidRPr="00B13A05">
        <w:rPr>
          <w:rFonts w:ascii="Palatino Linotype" w:eastAsia="Palatino Linotype" w:hAnsi="Palatino Linotype" w:cs="Palatino Linotype"/>
          <w:sz w:val="22"/>
          <w:szCs w:val="22"/>
        </w:rPr>
        <w:t xml:space="preserve">, claves estandarizadas – interbancarias - (CLABES) y de tarjetas, los </w:t>
      </w:r>
      <w:r w:rsidRPr="00B13A05">
        <w:rPr>
          <w:rFonts w:ascii="Palatino Linotype" w:eastAsia="Palatino Linotype" w:hAnsi="Palatino Linotype" w:cs="Palatino Linotype"/>
          <w:b/>
          <w:sz w:val="22"/>
          <w:szCs w:val="22"/>
        </w:rPr>
        <w:t>préstamos o descuentos</w:t>
      </w:r>
      <w:r w:rsidRPr="00B13A05">
        <w:rPr>
          <w:rFonts w:ascii="Palatino Linotype" w:eastAsia="Palatino Linotype" w:hAnsi="Palatino Linotype" w:cs="Palatino Linotype"/>
          <w:sz w:val="22"/>
          <w:szCs w:val="22"/>
        </w:rPr>
        <w:t xml:space="preserve"> que se le hagan a la persona y que no tengan relación con los impuestos o la cuota por seguridad social, el</w:t>
      </w:r>
      <w:r w:rsidRPr="00B13A05">
        <w:rPr>
          <w:rFonts w:ascii="Palatino Linotype" w:eastAsia="Palatino Linotype" w:hAnsi="Palatino Linotype" w:cs="Palatino Linotype"/>
          <w:b/>
          <w:sz w:val="22"/>
          <w:szCs w:val="22"/>
        </w:rPr>
        <w:t xml:space="preserve"> número de empleado, </w:t>
      </w:r>
      <w:r w:rsidRPr="00B13A05">
        <w:rPr>
          <w:rFonts w:ascii="Palatino Linotype" w:eastAsia="Palatino Linotype" w:hAnsi="Palatino Linotype" w:cs="Palatino Linotype"/>
          <w:sz w:val="22"/>
          <w:szCs w:val="22"/>
        </w:rPr>
        <w:t>y cualquier información de carácter fiscal.</w:t>
      </w:r>
    </w:p>
    <w:p w14:paraId="0F51AE16" w14:textId="77777777" w:rsidR="000F238D" w:rsidRPr="00B13A05" w:rsidRDefault="00ED6B18">
      <w:pPr>
        <w:spacing w:before="240" w:after="240" w:line="360" w:lineRule="auto"/>
        <w:ind w:right="50"/>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B9040B5"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Por cuanto hace al </w:t>
      </w:r>
      <w:r w:rsidRPr="00B13A05">
        <w:rPr>
          <w:rFonts w:ascii="Palatino Linotype" w:eastAsia="Palatino Linotype" w:hAnsi="Palatino Linotype" w:cs="Palatino Linotype"/>
          <w:b/>
          <w:sz w:val="22"/>
          <w:szCs w:val="22"/>
        </w:rPr>
        <w:t>Registro Federal de Contribuyentes, RFC,</w:t>
      </w:r>
      <w:r w:rsidRPr="00B13A05">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B13A05">
        <w:rPr>
          <w:rFonts w:ascii="Palatino Linotype" w:eastAsia="Palatino Linotype" w:hAnsi="Palatino Linotype" w:cs="Palatino Linotype"/>
          <w:sz w:val="22"/>
          <w:szCs w:val="22"/>
        </w:rPr>
        <w:t>homoclave</w:t>
      </w:r>
      <w:proofErr w:type="spellEnd"/>
      <w:r w:rsidRPr="00B13A05">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780F3ADD"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B522BB0"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bookmarkStart w:id="5" w:name="_heading=h.26in1rg" w:colFirst="0" w:colLast="0"/>
      <w:bookmarkEnd w:id="5"/>
      <w:r w:rsidRPr="00B13A05">
        <w:rPr>
          <w:rFonts w:ascii="Palatino Linotype" w:eastAsia="Palatino Linotype" w:hAnsi="Palatino Linotype" w:cs="Palatino Linotype"/>
          <w:sz w:val="22"/>
          <w:szCs w:val="22"/>
        </w:rPr>
        <w:t xml:space="preserve">Lo anterior es compartido por el </w:t>
      </w:r>
      <w:r w:rsidR="00C41EFB" w:rsidRPr="00B13A05">
        <w:rPr>
          <w:rFonts w:ascii="Palatino Linotype" w:eastAsia="Palatino Linotype" w:hAnsi="Palatino Linotype" w:cs="Palatino Linotype"/>
          <w:sz w:val="22"/>
          <w:szCs w:val="22"/>
        </w:rPr>
        <w:t xml:space="preserve">entonces </w:t>
      </w:r>
      <w:r w:rsidRPr="00B13A05">
        <w:rPr>
          <w:rFonts w:ascii="Palatino Linotype" w:eastAsia="Palatino Linotype" w:hAnsi="Palatino Linotype" w:cs="Palatino Linotype"/>
          <w:sz w:val="22"/>
          <w:szCs w:val="22"/>
        </w:rPr>
        <w:t>Instituto Nacional de Transparencia, Acceso a la Información y Protección de Datos Personales, INAI, a través del Criterio de interpretación con clave de control SO/019/2017, el cual es del tenor literal siguiente:</w:t>
      </w:r>
    </w:p>
    <w:p w14:paraId="1A630570" w14:textId="77777777" w:rsidR="000F238D" w:rsidRPr="00B13A05" w:rsidRDefault="00ED6B18">
      <w:pPr>
        <w:spacing w:before="120" w:after="120"/>
        <w:ind w:left="851"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lastRenderedPageBreak/>
        <w:t xml:space="preserve"> “Registro Federal de Contribuyentes (RFC) de personas físicas</w:t>
      </w:r>
      <w:r w:rsidRPr="00B13A05">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63D44EF6" w14:textId="77777777" w:rsidR="000F238D" w:rsidRPr="00B13A05" w:rsidRDefault="00ED6B1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B13A05">
        <w:rPr>
          <w:rFonts w:ascii="Palatino Linotype" w:eastAsia="Palatino Linotype" w:hAnsi="Palatino Linotype" w:cs="Palatino Linotype"/>
          <w:sz w:val="22"/>
          <w:szCs w:val="22"/>
        </w:rPr>
        <w:t>homoclave</w:t>
      </w:r>
      <w:proofErr w:type="spellEnd"/>
      <w:r w:rsidRPr="00B13A05">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2E612D3" w14:textId="77777777" w:rsidR="000F238D" w:rsidRPr="00B13A05" w:rsidRDefault="00ED6B1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6" w:name="_heading=h.lnxbz9" w:colFirst="0" w:colLast="0"/>
      <w:bookmarkEnd w:id="6"/>
      <w:r w:rsidRPr="00B13A05">
        <w:rPr>
          <w:rFonts w:ascii="Palatino Linotype" w:eastAsia="Palatino Linotype" w:hAnsi="Palatino Linotype" w:cs="Palatino Linotype"/>
          <w:sz w:val="22"/>
          <w:szCs w:val="22"/>
        </w:rPr>
        <w:t xml:space="preserve">De igual manera la </w:t>
      </w:r>
      <w:r w:rsidRPr="00B13A05">
        <w:rPr>
          <w:rFonts w:ascii="Palatino Linotype" w:eastAsia="Palatino Linotype" w:hAnsi="Palatino Linotype" w:cs="Palatino Linotype"/>
          <w:b/>
          <w:sz w:val="22"/>
          <w:szCs w:val="22"/>
        </w:rPr>
        <w:t>Clave Única de Registro de Población</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CURP,</w:t>
      </w:r>
      <w:r w:rsidRPr="00B13A05">
        <w:rPr>
          <w:rFonts w:ascii="Palatino Linotype" w:eastAsia="Palatino Linotype" w:hAnsi="Palatino Linotype" w:cs="Palatino Linotype"/>
          <w:sz w:val="22"/>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F6D123A" w14:textId="77777777" w:rsidR="000F238D" w:rsidRPr="00B13A05" w:rsidRDefault="00ED6B1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Argumento que es compartido por el </w:t>
      </w:r>
      <w:r w:rsidR="00C41EFB" w:rsidRPr="00B13A05">
        <w:rPr>
          <w:rFonts w:ascii="Palatino Linotype" w:eastAsia="Palatino Linotype" w:hAnsi="Palatino Linotype" w:cs="Palatino Linotype"/>
          <w:sz w:val="22"/>
          <w:szCs w:val="22"/>
        </w:rPr>
        <w:t xml:space="preserve">entonces </w:t>
      </w:r>
      <w:r w:rsidRPr="00B13A05">
        <w:rPr>
          <w:rFonts w:ascii="Palatino Linotype" w:eastAsia="Palatino Linotype" w:hAnsi="Palatino Linotype" w:cs="Palatino Linotype"/>
          <w:sz w:val="22"/>
          <w:szCs w:val="22"/>
        </w:rPr>
        <w:t>Instituto Nacional de Transparencia, Acceso a la Información y Protección de Datos Personales, INAI, conforme al Criterio de interpretación con Clave de control SO/018/2017, el cual refiere:</w:t>
      </w:r>
    </w:p>
    <w:p w14:paraId="0661124A" w14:textId="77777777" w:rsidR="000F238D" w:rsidRPr="00B13A05" w:rsidRDefault="00ED6B18">
      <w:pPr>
        <w:spacing w:before="120" w:after="120"/>
        <w:ind w:left="851" w:right="851"/>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 “Clave Única de Registro de Población (CURP). </w:t>
      </w:r>
      <w:r w:rsidRPr="00B13A05">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50764D8"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lastRenderedPageBreak/>
        <w:t xml:space="preserve">Por lo que respecta a la </w:t>
      </w:r>
      <w:r w:rsidRPr="00B13A05">
        <w:rPr>
          <w:rFonts w:ascii="Palatino Linotype" w:eastAsia="Palatino Linotype" w:hAnsi="Palatino Linotype" w:cs="Palatino Linotype"/>
          <w:b/>
          <w:sz w:val="22"/>
          <w:szCs w:val="22"/>
        </w:rPr>
        <w:t>clave de seguridad social</w:t>
      </w:r>
      <w:r w:rsidRPr="00B13A05">
        <w:rPr>
          <w:rFonts w:ascii="Palatino Linotype" w:eastAsia="Palatino Linotype" w:hAnsi="Palatino Linotype" w:cs="Palatino Linotype"/>
          <w:sz w:val="22"/>
          <w:szCs w:val="22"/>
        </w:rPr>
        <w:t>, en virtud de que su divulgación no aporta a la transparencia o a la rendición de cuentas y sí provoca una transgresión a la vida privada e intimidad de la persona, esta información también resulta ser de carácter confidencial.</w:t>
      </w:r>
    </w:p>
    <w:p w14:paraId="17B482A5"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Respecto de los </w:t>
      </w:r>
      <w:r w:rsidRPr="00B13A05">
        <w:rPr>
          <w:rFonts w:ascii="Palatino Linotype" w:eastAsia="Palatino Linotype" w:hAnsi="Palatino Linotype" w:cs="Palatino Linotype"/>
          <w:b/>
          <w:sz w:val="22"/>
          <w:szCs w:val="22"/>
        </w:rPr>
        <w:t>números de cuentas bancari</w:t>
      </w:r>
      <w:r w:rsidRPr="00B13A05">
        <w:rPr>
          <w:rFonts w:ascii="Palatino Linotype" w:eastAsia="Palatino Linotype" w:hAnsi="Palatino Linotype" w:cs="Palatino Linotype"/>
          <w:sz w:val="22"/>
          <w:szCs w:val="22"/>
        </w:rPr>
        <w:t xml:space="preserve">as, </w:t>
      </w:r>
      <w:r w:rsidRPr="00B13A05">
        <w:rPr>
          <w:rFonts w:ascii="Palatino Linotype" w:eastAsia="Palatino Linotype" w:hAnsi="Palatino Linotype" w:cs="Palatino Linotype"/>
          <w:b/>
          <w:sz w:val="22"/>
          <w:szCs w:val="22"/>
        </w:rPr>
        <w:t>claves estandarizadas –interbancarias- (CLABES) y de tarjetas</w:t>
      </w:r>
      <w:r w:rsidRPr="00B13A05">
        <w:rPr>
          <w:rFonts w:ascii="Palatino Linotype" w:eastAsia="Palatino Linotype" w:hAnsi="Palatino Linotype" w:cs="Palatino Linotype"/>
          <w:sz w:val="22"/>
          <w:szCs w:val="22"/>
        </w:rPr>
        <w:t>, el Pleno de este Instituto ha determinado que esa información debe clasificarse como confidencial, y elaborarse una versión pública en la que se teste la misma.</w:t>
      </w:r>
    </w:p>
    <w:p w14:paraId="0304B50F"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6A2AE01"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09FA46FE" w14:textId="77777777" w:rsidR="000F238D" w:rsidRPr="00B13A05" w:rsidRDefault="00ED6B1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61823498"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5B289F82"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lastRenderedPageBreak/>
        <w:t xml:space="preserve">Lo argumentado encuentra sustento en los Criterios de interpretación </w:t>
      </w:r>
      <w:proofErr w:type="gramStart"/>
      <w:r w:rsidRPr="00B13A05">
        <w:rPr>
          <w:rFonts w:ascii="Palatino Linotype" w:eastAsia="Palatino Linotype" w:hAnsi="Palatino Linotype" w:cs="Palatino Linotype"/>
          <w:sz w:val="22"/>
          <w:szCs w:val="22"/>
        </w:rPr>
        <w:t>con  Clave</w:t>
      </w:r>
      <w:proofErr w:type="gramEnd"/>
      <w:r w:rsidRPr="00B13A05">
        <w:rPr>
          <w:rFonts w:ascii="Palatino Linotype" w:eastAsia="Palatino Linotype" w:hAnsi="Palatino Linotype" w:cs="Palatino Linotype"/>
          <w:sz w:val="22"/>
          <w:szCs w:val="22"/>
        </w:rPr>
        <w:t xml:space="preserve"> de control SO/010/2017 y SO/011/2017, emitidos por el</w:t>
      </w:r>
      <w:r w:rsidR="00C41EFB" w:rsidRPr="00B13A05">
        <w:rPr>
          <w:rFonts w:ascii="Palatino Linotype" w:eastAsia="Palatino Linotype" w:hAnsi="Palatino Linotype" w:cs="Palatino Linotype"/>
          <w:sz w:val="22"/>
          <w:szCs w:val="22"/>
        </w:rPr>
        <w:t xml:space="preserve"> entonces</w:t>
      </w:r>
      <w:r w:rsidRPr="00B13A05">
        <w:rPr>
          <w:rFonts w:ascii="Palatino Linotype" w:eastAsia="Palatino Linotype" w:hAnsi="Palatino Linotype" w:cs="Palatino Linotype"/>
          <w:sz w:val="22"/>
          <w:szCs w:val="22"/>
        </w:rPr>
        <w:t xml:space="preserve"> Instituto Nacional de Transparencia, Acceso a la Información y Protección de Datos Personales, INAI, que llevan por rubro y texto los siguientes:</w:t>
      </w:r>
    </w:p>
    <w:p w14:paraId="407C1478" w14:textId="77777777" w:rsidR="000F238D" w:rsidRPr="00B13A05" w:rsidRDefault="00ED6B18">
      <w:pPr>
        <w:spacing w:before="120" w:after="120"/>
        <w:ind w:left="851"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Cuentas bancarias y/o CLABE interbancaria de personas físicas y morales privadas.</w:t>
      </w:r>
      <w:r w:rsidRPr="00B13A05">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32A1C0D" w14:textId="77777777" w:rsidR="000F238D" w:rsidRPr="00B13A05" w:rsidRDefault="00ED6B18">
      <w:pPr>
        <w:spacing w:before="120" w:after="120"/>
        <w:ind w:left="851"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B13A05">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1832479"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bookmarkStart w:id="7" w:name="_heading=h.35nkun2" w:colFirst="0" w:colLast="0"/>
      <w:bookmarkEnd w:id="7"/>
      <w:r w:rsidRPr="00B13A05">
        <w:rPr>
          <w:rFonts w:ascii="Palatino Linotype" w:eastAsia="Palatino Linotype" w:hAnsi="Palatino Linotype" w:cs="Palatino Linotype"/>
          <w:sz w:val="22"/>
          <w:szCs w:val="22"/>
        </w:rPr>
        <w:t xml:space="preserve">Por cuanto hace a los </w:t>
      </w:r>
      <w:r w:rsidRPr="00B13A05">
        <w:rPr>
          <w:rFonts w:ascii="Palatino Linotype" w:eastAsia="Palatino Linotype" w:hAnsi="Palatino Linotype" w:cs="Palatino Linotype"/>
          <w:b/>
          <w:sz w:val="22"/>
          <w:szCs w:val="22"/>
        </w:rPr>
        <w:t>préstamos o descuentos de carácter personal</w:t>
      </w:r>
      <w:r w:rsidRPr="00B13A05">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14:paraId="0F1AF247"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Para entender los límites y alcances de esta restricción, es oportuno recurrir al artículo 84 de la Ley del Trabajo de los Servidores Públicos del Estado y Municipios:</w:t>
      </w:r>
    </w:p>
    <w:p w14:paraId="17CD49BD" w14:textId="77777777" w:rsidR="000F238D" w:rsidRPr="00B13A05" w:rsidRDefault="00ED6B18">
      <w:pPr>
        <w:spacing w:before="120" w:after="120"/>
        <w:ind w:left="851" w:right="900"/>
        <w:jc w:val="both"/>
        <w:rPr>
          <w:rFonts w:ascii="Palatino Linotype" w:eastAsia="Palatino Linotype" w:hAnsi="Palatino Linotype" w:cs="Palatino Linotype"/>
          <w:b/>
          <w:i/>
          <w:sz w:val="22"/>
          <w:szCs w:val="22"/>
        </w:rPr>
      </w:pPr>
      <w:bookmarkStart w:id="8" w:name="_heading=h.1ksv4uv" w:colFirst="0" w:colLast="0"/>
      <w:bookmarkEnd w:id="8"/>
      <w:r w:rsidRPr="00B13A05">
        <w:rPr>
          <w:rFonts w:ascii="Palatino Linotype" w:eastAsia="Palatino Linotype" w:hAnsi="Palatino Linotype" w:cs="Palatino Linotype"/>
          <w:b/>
          <w:i/>
          <w:sz w:val="22"/>
          <w:szCs w:val="22"/>
        </w:rPr>
        <w:t xml:space="preserve">“ARTÍCULO 84. </w:t>
      </w:r>
      <w:r w:rsidRPr="00B13A05">
        <w:rPr>
          <w:rFonts w:ascii="Palatino Linotype" w:eastAsia="Palatino Linotype" w:hAnsi="Palatino Linotype" w:cs="Palatino Linotype"/>
          <w:i/>
          <w:sz w:val="22"/>
          <w:szCs w:val="22"/>
        </w:rPr>
        <w:t>Sólo podrán hacerse retenciones, descuentos o deducciones al sueldo de los servidores públicos por concepto de:</w:t>
      </w:r>
    </w:p>
    <w:p w14:paraId="39929720"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xml:space="preserve"> Gravámenes fiscales relacionados con el sueldo;</w:t>
      </w:r>
    </w:p>
    <w:p w14:paraId="47BC7AB2"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w:t>
      </w:r>
      <w:r w:rsidRPr="00B13A05">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24BBD0DD"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III.</w:t>
      </w:r>
      <w:r w:rsidRPr="00B13A05">
        <w:rPr>
          <w:rFonts w:ascii="Palatino Linotype" w:eastAsia="Palatino Linotype" w:hAnsi="Palatino Linotype" w:cs="Palatino Linotype"/>
          <w:i/>
          <w:sz w:val="22"/>
          <w:szCs w:val="22"/>
        </w:rPr>
        <w:t xml:space="preserve"> </w:t>
      </w:r>
      <w:r w:rsidRPr="00B13A05">
        <w:rPr>
          <w:rFonts w:ascii="Palatino Linotype" w:eastAsia="Palatino Linotype" w:hAnsi="Palatino Linotype" w:cs="Palatino Linotype"/>
          <w:b/>
          <w:i/>
          <w:sz w:val="22"/>
          <w:szCs w:val="22"/>
        </w:rPr>
        <w:t>Cuotas sindicales</w:t>
      </w:r>
      <w:r w:rsidRPr="00B13A05">
        <w:rPr>
          <w:rFonts w:ascii="Palatino Linotype" w:eastAsia="Palatino Linotype" w:hAnsi="Palatino Linotype" w:cs="Palatino Linotype"/>
          <w:i/>
          <w:sz w:val="22"/>
          <w:szCs w:val="22"/>
        </w:rPr>
        <w:t>;</w:t>
      </w:r>
    </w:p>
    <w:p w14:paraId="54486BBA"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lastRenderedPageBreak/>
        <w:t>IV.</w:t>
      </w:r>
      <w:r w:rsidRPr="00B13A05">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7959964F"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w:t>
      </w:r>
      <w:r w:rsidRPr="00B13A05">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7CE8496F"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VI.</w:t>
      </w:r>
      <w:r w:rsidRPr="00B13A05">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76562786"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VII.</w:t>
      </w:r>
      <w:r w:rsidRPr="00B13A05">
        <w:rPr>
          <w:rFonts w:ascii="Palatino Linotype" w:eastAsia="Palatino Linotype" w:hAnsi="Palatino Linotype" w:cs="Palatino Linotype"/>
          <w:i/>
          <w:sz w:val="22"/>
          <w:szCs w:val="22"/>
        </w:rPr>
        <w:t xml:space="preserve"> Faltas de puntualidad o de asistencia injustificadas;</w:t>
      </w:r>
    </w:p>
    <w:p w14:paraId="623737CA" w14:textId="77777777" w:rsidR="000F238D" w:rsidRPr="00B13A05" w:rsidRDefault="00ED6B18">
      <w:pPr>
        <w:spacing w:before="120" w:after="120"/>
        <w:ind w:left="1134"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VIII. Pensiones alimenticias ordenadas por la autoridad judicial;</w:t>
      </w:r>
      <w:r w:rsidRPr="00B13A05">
        <w:rPr>
          <w:rFonts w:ascii="Palatino Linotype" w:eastAsia="Palatino Linotype" w:hAnsi="Palatino Linotype" w:cs="Palatino Linotype"/>
          <w:i/>
          <w:sz w:val="22"/>
          <w:szCs w:val="22"/>
        </w:rPr>
        <w:t xml:space="preserve"> o</w:t>
      </w:r>
    </w:p>
    <w:p w14:paraId="7B6420D0" w14:textId="77777777" w:rsidR="000F238D" w:rsidRPr="00B13A05" w:rsidRDefault="00ED6B18">
      <w:pPr>
        <w:spacing w:before="120" w:after="120"/>
        <w:ind w:left="1134" w:right="902"/>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IX. Cualquier otro convenido con instituciones de servicios y aceptado por el servidor público.</w:t>
      </w:r>
    </w:p>
    <w:p w14:paraId="4B4BC2FF" w14:textId="77777777" w:rsidR="000F238D" w:rsidRPr="00B13A05" w:rsidRDefault="00ED6B18">
      <w:pPr>
        <w:spacing w:before="120" w:after="120"/>
        <w:ind w:left="851"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4849F28"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5EDA984C"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De este modo, los </w:t>
      </w:r>
      <w:r w:rsidRPr="00B13A05">
        <w:rPr>
          <w:rFonts w:ascii="Palatino Linotype" w:eastAsia="Palatino Linotype" w:hAnsi="Palatino Linotype" w:cs="Palatino Linotype"/>
          <w:b/>
          <w:sz w:val="22"/>
          <w:szCs w:val="22"/>
        </w:rPr>
        <w:t>descuentos o deducciones por cuotas sindicales</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pensiones alimenticias</w:t>
      </w:r>
      <w:r w:rsidRPr="00B13A05">
        <w:rPr>
          <w:rFonts w:ascii="Palatino Linotype" w:eastAsia="Palatino Linotype" w:hAnsi="Palatino Linotype" w:cs="Palatino Linotype"/>
          <w:sz w:val="22"/>
          <w:szCs w:val="22"/>
        </w:rPr>
        <w:t xml:space="preserve"> o </w:t>
      </w:r>
      <w:r w:rsidRPr="00B13A05">
        <w:rPr>
          <w:rFonts w:ascii="Palatino Linotype" w:eastAsia="Palatino Linotype" w:hAnsi="Palatino Linotype" w:cs="Palatino Linotype"/>
          <w:b/>
          <w:sz w:val="22"/>
          <w:szCs w:val="22"/>
        </w:rPr>
        <w:t>créditos adquiridos con instituciones privadas</w:t>
      </w:r>
      <w:r w:rsidRPr="00B13A05">
        <w:rPr>
          <w:rFonts w:ascii="Palatino Linotype" w:eastAsia="Palatino Linotype" w:hAnsi="Palatino Linotype" w:cs="Palatino Linotype"/>
          <w:sz w:val="22"/>
          <w:szCs w:val="22"/>
        </w:rPr>
        <w:t xml:space="preserve">, entre otros que no se relacionen con el gasto público, al revelar parte de las decisiones que adopta una persona respecto del uso y destino de su remuneración salarial, lo cual incide en la manera en que se integra su patrimonio, </w:t>
      </w:r>
      <w:r w:rsidRPr="00B13A05">
        <w:rPr>
          <w:rFonts w:ascii="Palatino Linotype" w:eastAsia="Palatino Linotype" w:hAnsi="Palatino Linotype" w:cs="Palatino Linotype"/>
          <w:b/>
          <w:sz w:val="22"/>
          <w:szCs w:val="22"/>
        </w:rPr>
        <w:t>es información que no es de carácter público, sino que constituye información confidencial</w:t>
      </w:r>
      <w:r w:rsidRPr="00B13A05">
        <w:rPr>
          <w:rFonts w:ascii="Palatino Linotype" w:eastAsia="Palatino Linotype" w:hAnsi="Palatino Linotype" w:cs="Palatino Linotype"/>
          <w:sz w:val="22"/>
          <w:szCs w:val="22"/>
        </w:rPr>
        <w:t xml:space="preserve"> en virtud de que corresponde con decisiones personales, y por tanto, se debe clasificar.</w:t>
      </w:r>
    </w:p>
    <w:p w14:paraId="0311827D" w14:textId="77777777" w:rsidR="000F238D" w:rsidRPr="00B13A05" w:rsidRDefault="00ED6B18">
      <w:p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lastRenderedPageBreak/>
        <w:t xml:space="preserve">Las claves y conceptos de los descuentos personales guardan también la misma naturaleza que los importes, </w:t>
      </w:r>
      <w:proofErr w:type="gramStart"/>
      <w:r w:rsidRPr="00B13A05">
        <w:rPr>
          <w:rFonts w:ascii="Palatino Linotype" w:eastAsia="Palatino Linotype" w:hAnsi="Palatino Linotype" w:cs="Palatino Linotype"/>
          <w:sz w:val="22"/>
          <w:szCs w:val="22"/>
        </w:rPr>
        <w:t>ya que</w:t>
      </w:r>
      <w:proofErr w:type="gramEnd"/>
      <w:r w:rsidRPr="00B13A05">
        <w:rPr>
          <w:rFonts w:ascii="Palatino Linotype" w:eastAsia="Palatino Linotype" w:hAnsi="Palatino Linotype" w:cs="Palatino Linotype"/>
          <w:sz w:val="22"/>
          <w:szCs w:val="22"/>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51C7B7F2" w14:textId="77777777" w:rsidR="000F238D" w:rsidRPr="00B13A05" w:rsidRDefault="00ED6B1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75E8A424"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Con relación al </w:t>
      </w:r>
      <w:r w:rsidRPr="00B13A05">
        <w:rPr>
          <w:rFonts w:ascii="Palatino Linotype" w:eastAsia="Palatino Linotype" w:hAnsi="Palatino Linotype" w:cs="Palatino Linotype"/>
          <w:b/>
          <w:sz w:val="22"/>
          <w:szCs w:val="22"/>
        </w:rPr>
        <w:t>número de empleado</w:t>
      </w:r>
      <w:r w:rsidRPr="00B13A05">
        <w:rPr>
          <w:rFonts w:ascii="Palatino Linotype" w:eastAsia="Palatino Linotype" w:hAnsi="Palatino Linotype" w:cs="Palatino Linotype"/>
          <w:sz w:val="22"/>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B13A05">
        <w:rPr>
          <w:rFonts w:ascii="Palatino Linotype" w:eastAsia="Palatino Linotype" w:hAnsi="Palatino Linotype" w:cs="Palatino Linotype"/>
          <w:sz w:val="22"/>
          <w:szCs w:val="22"/>
          <w:vertAlign w:val="superscript"/>
        </w:rPr>
        <w:footnoteReference w:id="2"/>
      </w:r>
      <w:r w:rsidRPr="00B13A05">
        <w:rPr>
          <w:rFonts w:ascii="Palatino Linotype" w:eastAsia="Palatino Linotype" w:hAnsi="Palatino Linotype" w:cs="Palatino Linotype"/>
          <w:sz w:val="22"/>
          <w:szCs w:val="22"/>
        </w:rPr>
        <w:t>.</w:t>
      </w:r>
    </w:p>
    <w:p w14:paraId="78EDF921"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Bajo esos argumentos, se entendería que la información relativa al número de empleado constituye información confidencial al tratarse de un número de identificación personal a través del cual se puede consultar la situación laboral p</w:t>
      </w:r>
      <w:r w:rsidR="00C41EFB" w:rsidRPr="00B13A05">
        <w:rPr>
          <w:rFonts w:ascii="Palatino Linotype" w:eastAsia="Palatino Linotype" w:hAnsi="Palatino Linotype" w:cs="Palatino Linotype"/>
          <w:sz w:val="22"/>
          <w:szCs w:val="22"/>
        </w:rPr>
        <w:t xml:space="preserve">ersonal, empero el Pleno del entonces </w:t>
      </w:r>
      <w:r w:rsidRPr="00B13A05">
        <w:rPr>
          <w:rFonts w:ascii="Palatino Linotype" w:eastAsia="Palatino Linotype" w:hAnsi="Palatino Linotype" w:cs="Palatino Linotype"/>
          <w:sz w:val="22"/>
          <w:szCs w:val="22"/>
        </w:rPr>
        <w:t>Instituto Nacional de Transparencia, Acceso a la Información, y Protección de Datos Personales, INAI  se ha pronunciado sobre su publicidad, a través del Criterio de interpretación con Clave de control SO/006/2019, que indica lo siguiente:</w:t>
      </w:r>
    </w:p>
    <w:p w14:paraId="5C7B5129" w14:textId="77777777" w:rsidR="000F238D" w:rsidRPr="00B13A05" w:rsidRDefault="00ED6B18">
      <w:pPr>
        <w:tabs>
          <w:tab w:val="left" w:pos="7655"/>
        </w:tabs>
        <w:spacing w:before="120" w:after="120"/>
        <w:ind w:left="992" w:right="99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“Número de empleado. </w:t>
      </w:r>
      <w:r w:rsidRPr="00B13A05">
        <w:rPr>
          <w:rFonts w:ascii="Palatino Linotype" w:eastAsia="Palatino Linotype" w:hAnsi="Palatino Linotype" w:cs="Palatino Linotype"/>
          <w:i/>
          <w:sz w:val="22"/>
          <w:szCs w:val="22"/>
        </w:rPr>
        <w:t xml:space="preserve">Cuando el número de empleado o su equivalente, se integra con datos personales de los trabajadores o funciona como una clave de acceso que no requiere adicionalmente de una contraseña para ingresar a </w:t>
      </w:r>
      <w:r w:rsidRPr="00B13A05">
        <w:rPr>
          <w:rFonts w:ascii="Palatino Linotype" w:eastAsia="Palatino Linotype" w:hAnsi="Palatino Linotype" w:cs="Palatino Linotype"/>
          <w:i/>
          <w:sz w:val="22"/>
          <w:szCs w:val="22"/>
        </w:rPr>
        <w:lastRenderedPageBreak/>
        <w:t>sistemas o bases de datos personales, procede su clasificación como información confidencial.”</w:t>
      </w:r>
    </w:p>
    <w:p w14:paraId="01E57A93"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5B9C035C"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De la información fiscal</w:t>
      </w:r>
      <w:r w:rsidRPr="00B13A05">
        <w:rPr>
          <w:rFonts w:ascii="Palatino Linotype" w:eastAsia="Palatino Linotype" w:hAnsi="Palatino Linotype" w:cs="Palatino Linotype"/>
          <w:sz w:val="22"/>
          <w:szCs w:val="22"/>
        </w:rPr>
        <w:t xml:space="preserve">: si derivado del análisis efectuado por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0B39D5D7"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w:t>
      </w:r>
      <w:r w:rsidRPr="00B13A05">
        <w:rPr>
          <w:rFonts w:ascii="Palatino Linotype" w:eastAsia="Palatino Linotype" w:hAnsi="Palatino Linotype" w:cs="Palatino Linotype"/>
          <w:sz w:val="22"/>
          <w:szCs w:val="22"/>
        </w:rPr>
        <w:lastRenderedPageBreak/>
        <w:t xml:space="preserve">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B13A05">
        <w:rPr>
          <w:rFonts w:ascii="Palatino Linotype" w:eastAsia="Palatino Linotype" w:hAnsi="Palatino Linotype" w:cs="Palatino Linotype"/>
          <w:b/>
          <w:sz w:val="22"/>
          <w:szCs w:val="22"/>
          <w:u w:val="single"/>
        </w:rPr>
        <w:t xml:space="preserve">sólo por cuanto hace al nombre, </w:t>
      </w:r>
      <w:r w:rsidRPr="00B13A05">
        <w:rPr>
          <w:rFonts w:ascii="Palatino Linotype" w:eastAsia="Palatino Linotype" w:hAnsi="Palatino Linotype" w:cs="Palatino Linotype"/>
          <w:sz w:val="22"/>
          <w:szCs w:val="22"/>
        </w:rPr>
        <w:t xml:space="preserve">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B13A05">
        <w:rPr>
          <w:rFonts w:ascii="Palatino Linotype" w:eastAsia="Palatino Linotype" w:hAnsi="Palatino Linotype" w:cs="Palatino Linotype"/>
          <w:b/>
          <w:sz w:val="22"/>
          <w:szCs w:val="22"/>
        </w:rPr>
        <w:t>que desempeñen funciones operativas</w:t>
      </w:r>
      <w:r w:rsidRPr="00B13A05">
        <w:rPr>
          <w:rFonts w:ascii="Palatino Linotype" w:eastAsia="Palatino Linotype" w:hAnsi="Palatino Linotype" w:cs="Palatino Linotype"/>
          <w:sz w:val="22"/>
          <w:szCs w:val="22"/>
        </w:rPr>
        <w:t>.</w:t>
      </w:r>
    </w:p>
    <w:p w14:paraId="44CD556C"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Al respecto, la información </w:t>
      </w:r>
      <w:r w:rsidRPr="00B13A05">
        <w:rPr>
          <w:rFonts w:ascii="Palatino Linotype" w:eastAsia="Palatino Linotype" w:hAnsi="Palatino Linotype" w:cs="Palatino Linotype"/>
          <w:b/>
          <w:sz w:val="22"/>
          <w:szCs w:val="22"/>
        </w:rPr>
        <w:t>de los elementos que realizan funciones operativas, entre ellos su nombre</w:t>
      </w:r>
      <w:r w:rsidR="00C41EFB" w:rsidRPr="00B13A05">
        <w:rPr>
          <w:rFonts w:ascii="Palatino Linotype" w:eastAsia="Palatino Linotype" w:hAnsi="Palatino Linotype" w:cs="Palatino Linotype"/>
          <w:b/>
          <w:sz w:val="22"/>
          <w:szCs w:val="22"/>
        </w:rPr>
        <w:t>, debe ser protegido</w:t>
      </w:r>
      <w:r w:rsidRPr="00B13A05">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1452F28B"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w:t>
      </w:r>
      <w:r w:rsidR="00C41EFB" w:rsidRPr="00B13A05">
        <w:rPr>
          <w:rFonts w:ascii="Palatino Linotype" w:eastAsia="Palatino Linotype" w:hAnsi="Palatino Linotype" w:cs="Palatino Linotype"/>
          <w:sz w:val="22"/>
          <w:szCs w:val="22"/>
        </w:rPr>
        <w:t xml:space="preserve">vigente a la fecha de la solicitud, </w:t>
      </w:r>
      <w:r w:rsidRPr="00B13A05">
        <w:rPr>
          <w:rFonts w:ascii="Palatino Linotype" w:eastAsia="Palatino Linotype" w:hAnsi="Palatino Linotype" w:cs="Palatino Linotype"/>
          <w:sz w:val="22"/>
          <w:szCs w:val="22"/>
        </w:rPr>
        <w:t xml:space="preserve">así como los requisitos previstos por los numerales Vigésimo tercero y Trigésimo tercero, de los Lineamientos generales en </w:t>
      </w:r>
      <w:r w:rsidRPr="00B13A05">
        <w:rPr>
          <w:rFonts w:ascii="Palatino Linotype" w:eastAsia="Palatino Linotype" w:hAnsi="Palatino Linotype" w:cs="Palatino Linotype"/>
          <w:sz w:val="22"/>
          <w:szCs w:val="22"/>
        </w:rPr>
        <w:lastRenderedPageBreak/>
        <w:t>materia de clasificación y desclasificación de la información, así como para la elaboración de versiones públicas, al aplicar la prueba de daño correspondiente.</w:t>
      </w:r>
    </w:p>
    <w:p w14:paraId="4D2F7DF6"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32001A70"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49030CE2" w14:textId="77777777" w:rsidR="000F238D" w:rsidRPr="00B13A05" w:rsidRDefault="00ED6B18">
      <w:pPr>
        <w:spacing w:before="120" w:after="12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Nacional de Transparencia, Acceso a la Información y Protección de Datos Personales, INAI, que establece lo siguiente:</w:t>
      </w:r>
    </w:p>
    <w:p w14:paraId="15121DE9" w14:textId="77777777" w:rsidR="000F238D" w:rsidRPr="00B13A05" w:rsidRDefault="00ED6B18">
      <w:pPr>
        <w:tabs>
          <w:tab w:val="left" w:pos="4962"/>
        </w:tabs>
        <w:spacing w:before="120" w:after="120"/>
        <w:ind w:left="851"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B13A05">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B13A05">
        <w:rPr>
          <w:rFonts w:ascii="Palatino Linotype" w:eastAsia="Palatino Linotype" w:hAnsi="Palatino Linotype" w:cs="Palatino Linotype"/>
          <w:i/>
          <w:sz w:val="22"/>
          <w:szCs w:val="22"/>
        </w:rPr>
        <w:t>obstante</w:t>
      </w:r>
      <w:proofErr w:type="gramEnd"/>
      <w:r w:rsidRPr="00B13A05">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w:t>
      </w:r>
      <w:r w:rsidRPr="00B13A05">
        <w:rPr>
          <w:rFonts w:ascii="Palatino Linotype" w:eastAsia="Palatino Linotype" w:hAnsi="Palatino Linotype" w:cs="Palatino Linotype"/>
          <w:i/>
          <w:sz w:val="22"/>
          <w:szCs w:val="22"/>
        </w:rPr>
        <w:lastRenderedPageBreak/>
        <w:t>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3122505"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B13A05">
        <w:rPr>
          <w:rFonts w:ascii="Palatino Linotype" w:eastAsia="Palatino Linotype" w:hAnsi="Palatino Linotype" w:cs="Palatino Linotype"/>
          <w:b/>
          <w:sz w:val="22"/>
          <w:szCs w:val="22"/>
        </w:rPr>
        <w:t>funciones de carácter operativo.</w:t>
      </w:r>
    </w:p>
    <w:p w14:paraId="1A23258F" w14:textId="77777777" w:rsidR="000F238D" w:rsidRPr="00B13A05" w:rsidRDefault="00ED6B18">
      <w:pPr>
        <w:spacing w:before="240" w:after="36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5164926D" w14:textId="77777777" w:rsidR="000F238D" w:rsidRPr="00B13A05" w:rsidRDefault="00ED6B18">
      <w:pPr>
        <w:spacing w:before="120" w:after="120"/>
        <w:ind w:left="851" w:right="760"/>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B13A05">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w:t>
      </w:r>
      <w:r w:rsidRPr="00B13A05">
        <w:rPr>
          <w:rFonts w:ascii="Palatino Linotype" w:eastAsia="Palatino Linotype" w:hAnsi="Palatino Linotype" w:cs="Palatino Linotype"/>
          <w:i/>
          <w:sz w:val="22"/>
          <w:szCs w:val="22"/>
        </w:rPr>
        <w:lastRenderedPageBreak/>
        <w:t xml:space="preserve">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B13A05">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B13A05">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B13A05">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B13A05">
        <w:rPr>
          <w:rFonts w:ascii="Palatino Linotype" w:eastAsia="Palatino Linotype" w:hAnsi="Palatino Linotype" w:cs="Palatino Linotype"/>
          <w:i/>
          <w:sz w:val="22"/>
          <w:szCs w:val="22"/>
        </w:rPr>
        <w:t>”</w:t>
      </w:r>
    </w:p>
    <w:p w14:paraId="1A523146" w14:textId="77777777" w:rsidR="000F238D" w:rsidRPr="00B13A05" w:rsidRDefault="00ED6B18">
      <w:pPr>
        <w:spacing w:before="120" w:after="120"/>
        <w:ind w:left="851" w:right="76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B13A05">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B13A05">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B13A05">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w:t>
      </w:r>
      <w:r w:rsidRPr="00B13A05">
        <w:rPr>
          <w:rFonts w:ascii="Palatino Linotype" w:eastAsia="Palatino Linotype" w:hAnsi="Palatino Linotype" w:cs="Palatino Linotype"/>
          <w:i/>
          <w:sz w:val="22"/>
          <w:szCs w:val="22"/>
        </w:rPr>
        <w:lastRenderedPageBreak/>
        <w:t>compensen el sacrificio que ésta implique para los titulares de la garantía individual mencionada o para la sociedad en general.”</w:t>
      </w:r>
    </w:p>
    <w:p w14:paraId="5E38FD74" w14:textId="77777777" w:rsidR="000F238D" w:rsidRPr="00B13A05" w:rsidRDefault="00ED6B18">
      <w:pPr>
        <w:widowControl w:val="0"/>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B13A05">
        <w:rPr>
          <w:rFonts w:ascii="Palatino Linotype" w:eastAsia="Palatino Linotype" w:hAnsi="Palatino Linotype" w:cs="Palatino Linotype"/>
          <w:b/>
          <w:sz w:val="22"/>
          <w:szCs w:val="22"/>
          <w:u w:val="single"/>
        </w:rPr>
        <w:t>razones, motivos o circunstancias especiales</w:t>
      </w:r>
      <w:r w:rsidRPr="00B13A05">
        <w:rPr>
          <w:rFonts w:ascii="Palatino Linotype" w:eastAsia="Palatino Linotype" w:hAnsi="Palatino Linotype" w:cs="Palatino Linotype"/>
          <w:sz w:val="22"/>
          <w:szCs w:val="22"/>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4B603FBB" w14:textId="77777777" w:rsidR="000F238D" w:rsidRPr="00B13A05" w:rsidRDefault="00ED6B18">
      <w:pPr>
        <w:spacing w:before="240" w:after="240" w:line="360" w:lineRule="auto"/>
        <w:ind w:right="50"/>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B13A05">
        <w:rPr>
          <w:rFonts w:ascii="Palatino Linotype" w:eastAsia="Palatino Linotype" w:hAnsi="Palatino Linotype" w:cs="Palatino Linotype"/>
          <w:sz w:val="22"/>
          <w:szCs w:val="22"/>
        </w:rPr>
        <w:t>Responsable</w:t>
      </w:r>
      <w:proofErr w:type="gramEnd"/>
      <w:r w:rsidRPr="00B13A05">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4679B4B0"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lastRenderedPageBreak/>
        <w:t>“Artículo 49.</w:t>
      </w:r>
      <w:r w:rsidRPr="00B13A05">
        <w:rPr>
          <w:rFonts w:ascii="Palatino Linotype" w:eastAsia="Palatino Linotype" w:hAnsi="Palatino Linotype" w:cs="Palatino Linotype"/>
          <w:i/>
          <w:sz w:val="22"/>
          <w:szCs w:val="22"/>
        </w:rPr>
        <w:t xml:space="preserve"> </w:t>
      </w:r>
      <w:r w:rsidRPr="00B13A05">
        <w:rPr>
          <w:rFonts w:ascii="Palatino Linotype" w:eastAsia="Palatino Linotype" w:hAnsi="Palatino Linotype" w:cs="Palatino Linotype"/>
          <w:b/>
          <w:i/>
          <w:sz w:val="22"/>
          <w:szCs w:val="22"/>
        </w:rPr>
        <w:t>Los Comités de Transparencia</w:t>
      </w:r>
      <w:r w:rsidRPr="00B13A05">
        <w:rPr>
          <w:rFonts w:ascii="Palatino Linotype" w:eastAsia="Palatino Linotype" w:hAnsi="Palatino Linotype" w:cs="Palatino Linotype"/>
          <w:i/>
          <w:sz w:val="22"/>
          <w:szCs w:val="22"/>
        </w:rPr>
        <w:t xml:space="preserve"> tendrán las siguientes atribuciones:</w:t>
      </w:r>
    </w:p>
    <w:p w14:paraId="46158FEA"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VIII. Aprobar, modificar o revocar la clasificación de la información</w:t>
      </w:r>
      <w:r w:rsidRPr="00B13A05">
        <w:rPr>
          <w:rFonts w:ascii="Palatino Linotype" w:eastAsia="Palatino Linotype" w:hAnsi="Palatino Linotype" w:cs="Palatino Linotype"/>
          <w:i/>
          <w:sz w:val="22"/>
          <w:szCs w:val="22"/>
        </w:rPr>
        <w:t>…”</w:t>
      </w:r>
    </w:p>
    <w:p w14:paraId="443EE4E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Artículo 53.</w:t>
      </w:r>
      <w:r w:rsidRPr="00B13A05">
        <w:rPr>
          <w:rFonts w:ascii="Palatino Linotype" w:eastAsia="Palatino Linotype" w:hAnsi="Palatino Linotype" w:cs="Palatino Linotype"/>
          <w:i/>
          <w:sz w:val="22"/>
          <w:szCs w:val="22"/>
        </w:rPr>
        <w:t xml:space="preserve"> Las </w:t>
      </w:r>
      <w:r w:rsidRPr="00B13A05">
        <w:rPr>
          <w:rFonts w:ascii="Palatino Linotype" w:eastAsia="Palatino Linotype" w:hAnsi="Palatino Linotype" w:cs="Palatino Linotype"/>
          <w:b/>
          <w:i/>
          <w:sz w:val="22"/>
          <w:szCs w:val="22"/>
        </w:rPr>
        <w:t>Unidades de Transparencia</w:t>
      </w:r>
      <w:r w:rsidRPr="00B13A05">
        <w:rPr>
          <w:rFonts w:ascii="Palatino Linotype" w:eastAsia="Palatino Linotype" w:hAnsi="Palatino Linotype" w:cs="Palatino Linotype"/>
          <w:i/>
          <w:sz w:val="22"/>
          <w:szCs w:val="22"/>
        </w:rPr>
        <w:t xml:space="preserve"> tendrán las siguientes </w:t>
      </w:r>
      <w:r w:rsidRPr="00B13A05">
        <w:rPr>
          <w:rFonts w:ascii="Palatino Linotype" w:eastAsia="Palatino Linotype" w:hAnsi="Palatino Linotype" w:cs="Palatino Linotype"/>
          <w:b/>
          <w:i/>
          <w:sz w:val="22"/>
          <w:szCs w:val="22"/>
        </w:rPr>
        <w:t>funciones</w:t>
      </w:r>
      <w:r w:rsidRPr="00B13A05">
        <w:rPr>
          <w:rFonts w:ascii="Palatino Linotype" w:eastAsia="Palatino Linotype" w:hAnsi="Palatino Linotype" w:cs="Palatino Linotype"/>
          <w:i/>
          <w:sz w:val="22"/>
          <w:szCs w:val="22"/>
        </w:rPr>
        <w:t>:</w:t>
      </w:r>
    </w:p>
    <w:p w14:paraId="3BDFD359"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X. Presentar ante el Comité, el proyecto de clasificación de información</w:t>
      </w:r>
      <w:r w:rsidRPr="00B13A05">
        <w:rPr>
          <w:rFonts w:ascii="Palatino Linotype" w:eastAsia="Palatino Linotype" w:hAnsi="Palatino Linotype" w:cs="Palatino Linotype"/>
          <w:i/>
          <w:sz w:val="22"/>
          <w:szCs w:val="22"/>
        </w:rPr>
        <w:t xml:space="preserve">…” </w:t>
      </w:r>
    </w:p>
    <w:p w14:paraId="14BBD2FA"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“Artículo 59.</w:t>
      </w:r>
      <w:r w:rsidRPr="00B13A05">
        <w:rPr>
          <w:rFonts w:ascii="Palatino Linotype" w:eastAsia="Palatino Linotype" w:hAnsi="Palatino Linotype" w:cs="Palatino Linotype"/>
          <w:i/>
          <w:sz w:val="22"/>
          <w:szCs w:val="22"/>
        </w:rPr>
        <w:t xml:space="preserve"> Los </w:t>
      </w:r>
      <w:r w:rsidRPr="00B13A05">
        <w:rPr>
          <w:rFonts w:ascii="Palatino Linotype" w:eastAsia="Palatino Linotype" w:hAnsi="Palatino Linotype" w:cs="Palatino Linotype"/>
          <w:b/>
          <w:i/>
          <w:sz w:val="22"/>
          <w:szCs w:val="22"/>
        </w:rPr>
        <w:t>servidores públicos habilitados</w:t>
      </w:r>
      <w:r w:rsidRPr="00B13A05">
        <w:rPr>
          <w:rFonts w:ascii="Palatino Linotype" w:eastAsia="Palatino Linotype" w:hAnsi="Palatino Linotype" w:cs="Palatino Linotype"/>
          <w:i/>
          <w:sz w:val="22"/>
          <w:szCs w:val="22"/>
        </w:rPr>
        <w:t xml:space="preserve"> tendrán las </w:t>
      </w:r>
      <w:r w:rsidRPr="00B13A05">
        <w:rPr>
          <w:rFonts w:ascii="Palatino Linotype" w:eastAsia="Palatino Linotype" w:hAnsi="Palatino Linotype" w:cs="Palatino Linotype"/>
          <w:b/>
          <w:i/>
          <w:sz w:val="22"/>
          <w:szCs w:val="22"/>
        </w:rPr>
        <w:t>funciones</w:t>
      </w:r>
      <w:r w:rsidRPr="00B13A05">
        <w:rPr>
          <w:rFonts w:ascii="Palatino Linotype" w:eastAsia="Palatino Linotype" w:hAnsi="Palatino Linotype" w:cs="Palatino Linotype"/>
          <w:i/>
          <w:sz w:val="22"/>
          <w:szCs w:val="22"/>
        </w:rPr>
        <w:t xml:space="preserve"> siguientes:</w:t>
      </w:r>
    </w:p>
    <w:p w14:paraId="04998BE7"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13A05">
        <w:rPr>
          <w:rFonts w:ascii="Palatino Linotype" w:eastAsia="Palatino Linotype" w:hAnsi="Palatino Linotype" w:cs="Palatino Linotype"/>
          <w:i/>
          <w:sz w:val="22"/>
          <w:szCs w:val="22"/>
        </w:rPr>
        <w:t>, la cual tendrá los fundamentos y argumentos en que se basa dicha propuesta…”</w:t>
      </w:r>
    </w:p>
    <w:p w14:paraId="1198D08C"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E85441B"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99290F5"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Artículo 149.</w:t>
      </w:r>
      <w:r w:rsidRPr="00B13A05">
        <w:rPr>
          <w:rFonts w:ascii="Palatino Linotype" w:eastAsia="Palatino Linotype" w:hAnsi="Palatino Linotype" w:cs="Palatino Linotype"/>
          <w:i/>
          <w:sz w:val="22"/>
          <w:szCs w:val="22"/>
        </w:rPr>
        <w:t xml:space="preserve"> El </w:t>
      </w:r>
      <w:r w:rsidRPr="00B13A05">
        <w:rPr>
          <w:rFonts w:ascii="Palatino Linotype" w:eastAsia="Palatino Linotype" w:hAnsi="Palatino Linotype" w:cs="Palatino Linotype"/>
          <w:b/>
          <w:i/>
          <w:sz w:val="22"/>
          <w:szCs w:val="22"/>
        </w:rPr>
        <w:t>acuerdo que clasifique la información como confidencial</w:t>
      </w:r>
      <w:r w:rsidRPr="00B13A05">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16CFD5FB" w14:textId="77777777" w:rsidR="000F238D" w:rsidRPr="00B13A05" w:rsidRDefault="00ED6B18">
      <w:pPr>
        <w:spacing w:before="240" w:after="240"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Es decir,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w:t>
      </w:r>
      <w:r w:rsidRPr="00B13A05">
        <w:rPr>
          <w:rFonts w:ascii="Palatino Linotype" w:eastAsia="Palatino Linotype" w:hAnsi="Palatino Linotype" w:cs="Palatino Linotype"/>
          <w:sz w:val="22"/>
          <w:szCs w:val="22"/>
        </w:rPr>
        <w:lastRenderedPageBreak/>
        <w:t>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3E50C2E5" w14:textId="77777777" w:rsidR="000F238D" w:rsidRPr="00B13A05" w:rsidRDefault="00ED6B18">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 xml:space="preserve">Asimismo, respecto a las formalidades que deberá llevar el acuerdo de clasificación que deberá emitir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B519452"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 “Quincuagésimo. </w:t>
      </w:r>
      <w:r w:rsidRPr="00B13A0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3B3F26B"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Quincuagésimo primero. </w:t>
      </w:r>
      <w:r w:rsidRPr="00B13A05">
        <w:rPr>
          <w:rFonts w:ascii="Palatino Linotype" w:eastAsia="Palatino Linotype" w:hAnsi="Palatino Linotype" w:cs="Palatino Linotype"/>
          <w:i/>
          <w:sz w:val="22"/>
          <w:szCs w:val="22"/>
        </w:rPr>
        <w:t xml:space="preserve">Toda acta del Comité de Transparencia deberá contener: </w:t>
      </w:r>
    </w:p>
    <w:p w14:paraId="6967CA89"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xml:space="preserve"> El número de sesión y fecha; </w:t>
      </w:r>
    </w:p>
    <w:p w14:paraId="4DD1D78A"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w:t>
      </w:r>
      <w:r w:rsidRPr="00B13A05">
        <w:rPr>
          <w:rFonts w:ascii="Palatino Linotype" w:eastAsia="Palatino Linotype" w:hAnsi="Palatino Linotype" w:cs="Palatino Linotype"/>
          <w:i/>
          <w:sz w:val="22"/>
          <w:szCs w:val="22"/>
        </w:rPr>
        <w:t xml:space="preserve">. El nombre del área que solicitó la clasificación de información; </w:t>
      </w:r>
    </w:p>
    <w:p w14:paraId="0646A6F2"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III</w:t>
      </w:r>
      <w:r w:rsidRPr="00B13A05">
        <w:rPr>
          <w:rFonts w:ascii="Palatino Linotype" w:eastAsia="Palatino Linotype" w:hAnsi="Palatino Linotype" w:cs="Palatino Linotype"/>
          <w:i/>
          <w:sz w:val="22"/>
          <w:szCs w:val="22"/>
        </w:rPr>
        <w:t xml:space="preserve">. La fundamentación legal y motivación correspondiente; </w:t>
      </w:r>
    </w:p>
    <w:p w14:paraId="5F7F5546"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IV</w:t>
      </w:r>
      <w:r w:rsidRPr="00B13A05">
        <w:rPr>
          <w:rFonts w:ascii="Palatino Linotype" w:eastAsia="Palatino Linotype" w:hAnsi="Palatino Linotype" w:cs="Palatino Linotype"/>
          <w:i/>
          <w:sz w:val="22"/>
          <w:szCs w:val="22"/>
        </w:rPr>
        <w:t xml:space="preserve">. La resolución o resoluciones aprobadas; y </w:t>
      </w:r>
    </w:p>
    <w:p w14:paraId="32F74396"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V</w:t>
      </w:r>
      <w:r w:rsidRPr="00B13A05">
        <w:rPr>
          <w:rFonts w:ascii="Palatino Linotype" w:eastAsia="Palatino Linotype" w:hAnsi="Palatino Linotype" w:cs="Palatino Linotype"/>
          <w:i/>
          <w:sz w:val="22"/>
          <w:szCs w:val="22"/>
        </w:rPr>
        <w:t xml:space="preserve">. La rúbrica o firma digital de cada integrante del Comité de Transparencia. </w:t>
      </w:r>
    </w:p>
    <w:p w14:paraId="52E88D36"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E7E218A"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07D98B92"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II</w:t>
      </w:r>
      <w:r w:rsidRPr="00B13A05">
        <w:rPr>
          <w:rFonts w:ascii="Palatino Linotype" w:eastAsia="Palatino Linotype" w:hAnsi="Palatino Linotype" w:cs="Palatino Linotype"/>
          <w:i/>
          <w:sz w:val="22"/>
          <w:szCs w:val="22"/>
        </w:rPr>
        <w:t>. Descripción de las partes o secciones reservadas, en caso de clasificación parcial</w:t>
      </w:r>
      <w:r w:rsidRPr="00B13A05">
        <w:rPr>
          <w:rFonts w:ascii="Palatino Linotype" w:eastAsia="Palatino Linotype" w:hAnsi="Palatino Linotype" w:cs="Palatino Linotype"/>
          <w:b/>
          <w:i/>
          <w:sz w:val="22"/>
          <w:szCs w:val="22"/>
        </w:rPr>
        <w:t xml:space="preserve">; </w:t>
      </w:r>
    </w:p>
    <w:p w14:paraId="3FCC0AC0"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III.</w:t>
      </w:r>
      <w:r w:rsidRPr="00B13A05">
        <w:rPr>
          <w:rFonts w:ascii="Palatino Linotype" w:eastAsia="Palatino Linotype" w:hAnsi="Palatino Linotype" w:cs="Palatino Linotype"/>
          <w:i/>
          <w:sz w:val="22"/>
          <w:szCs w:val="22"/>
        </w:rPr>
        <w:t xml:space="preserve"> El periodo por el que mantendrá su clasificación y fecha de expiración; y </w:t>
      </w:r>
    </w:p>
    <w:p w14:paraId="11C52FC2"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lastRenderedPageBreak/>
        <w:t>IV.</w:t>
      </w:r>
      <w:r w:rsidRPr="00B13A0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4C5EE4E"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8541574" w14:textId="77777777" w:rsidR="000F238D" w:rsidRPr="00B13A05" w:rsidRDefault="00ED6B18">
      <w:pPr>
        <w:pBdr>
          <w:top w:val="nil"/>
          <w:left w:val="nil"/>
          <w:bottom w:val="nil"/>
          <w:right w:val="nil"/>
          <w:between w:val="nil"/>
        </w:pBd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CC7EB4A" w14:textId="77777777" w:rsidR="000F238D" w:rsidRPr="00B13A05" w:rsidRDefault="00ED6B18">
      <w:pPr>
        <w:spacing w:before="240" w:after="240" w:line="360" w:lineRule="auto"/>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sz w:val="22"/>
          <w:szCs w:val="22"/>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7C9A6227" w14:textId="77777777" w:rsidR="000F238D" w:rsidRPr="00B13A05" w:rsidRDefault="00ED6B18">
      <w:pP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r w:rsidRPr="00B13A05">
        <w:rPr>
          <w:rFonts w:ascii="Palatino Linotype" w:eastAsia="Palatino Linotype" w:hAnsi="Palatino Linotype" w:cs="Palatino Linotype"/>
          <w:b/>
          <w:i/>
          <w:sz w:val="22"/>
          <w:szCs w:val="22"/>
        </w:rPr>
        <w:t>Quincuagésimo segundo</w:t>
      </w:r>
      <w:r w:rsidRPr="00B13A0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9B45E10" w14:textId="77777777" w:rsidR="000F238D" w:rsidRPr="00B13A05" w:rsidRDefault="00ED6B18">
      <w:pP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7897B3C" w14:textId="77777777" w:rsidR="000F238D" w:rsidRPr="00B13A05" w:rsidRDefault="00ED6B18">
      <w:pP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60496418" w14:textId="77777777" w:rsidR="000F238D" w:rsidRPr="00B13A05" w:rsidRDefault="00ED6B18">
      <w:pP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w:t>
      </w:r>
      <w:r w:rsidRPr="00B13A0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A91C881" w14:textId="77777777" w:rsidR="000F238D" w:rsidRPr="00B13A05" w:rsidRDefault="00ED6B18">
      <w:pP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III.</w:t>
      </w:r>
      <w:r w:rsidRPr="00B13A05">
        <w:rPr>
          <w:rFonts w:ascii="Palatino Linotype" w:eastAsia="Palatino Linotype" w:hAnsi="Palatino Linotype" w:cs="Palatino Linotype"/>
          <w:i/>
          <w:sz w:val="22"/>
          <w:szCs w:val="22"/>
        </w:rPr>
        <w:t xml:space="preserve"> Señalar las personas o instancias autorizadas a acceder a la información clasificada.</w:t>
      </w:r>
    </w:p>
    <w:p w14:paraId="45C5EA42" w14:textId="77777777" w:rsidR="000F238D" w:rsidRPr="00B13A05" w:rsidRDefault="00ED6B18">
      <w:pP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4B8C74F" w14:textId="77777777" w:rsidR="000F238D" w:rsidRPr="00B13A05" w:rsidRDefault="00ED6B18">
      <w:pPr>
        <w:pBdr>
          <w:top w:val="nil"/>
          <w:left w:val="nil"/>
          <w:bottom w:val="nil"/>
          <w:right w:val="nil"/>
          <w:between w:val="nil"/>
        </w:pBdr>
        <w:spacing w:before="120" w:after="120"/>
        <w:ind w:left="567" w:right="900"/>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w:t>
      </w:r>
    </w:p>
    <w:p w14:paraId="4FC2F9AA" w14:textId="77777777" w:rsidR="000F238D" w:rsidRPr="00B13A05" w:rsidRDefault="00ED6B18">
      <w:pPr>
        <w:pBdr>
          <w:top w:val="nil"/>
          <w:left w:val="nil"/>
          <w:bottom w:val="nil"/>
          <w:right w:val="nil"/>
          <w:between w:val="nil"/>
        </w:pBdr>
        <w:spacing w:before="120" w:after="120"/>
        <w:ind w:left="567" w:right="900"/>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 xml:space="preserve">Quincuagésimo cuarto. </w:t>
      </w:r>
      <w:r w:rsidRPr="00B13A05">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w:t>
      </w:r>
      <w:r w:rsidRPr="00B13A05">
        <w:rPr>
          <w:rFonts w:ascii="Palatino Linotype" w:eastAsia="Palatino Linotype" w:hAnsi="Palatino Linotype" w:cs="Palatino Linotype"/>
          <w:i/>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r w:rsidRPr="00B13A05">
        <w:rPr>
          <w:rFonts w:ascii="Palatino Linotype" w:eastAsia="Palatino Linotype" w:hAnsi="Palatino Linotype" w:cs="Palatino Linotype"/>
          <w:b/>
          <w:i/>
          <w:sz w:val="22"/>
          <w:szCs w:val="22"/>
        </w:rPr>
        <w:t xml:space="preserve"> </w:t>
      </w:r>
    </w:p>
    <w:p w14:paraId="05F0D20B"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 xml:space="preserve">Quincuagésimo quinto. </w:t>
      </w:r>
      <w:r w:rsidRPr="00B13A0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B13A05">
        <w:rPr>
          <w:rFonts w:ascii="Palatino Linotype" w:eastAsia="Palatino Linotype" w:hAnsi="Palatino Linotype" w:cs="Palatino Linotype"/>
          <w:i/>
          <w:sz w:val="22"/>
          <w:szCs w:val="22"/>
        </w:rPr>
        <w:t>testado</w:t>
      </w:r>
      <w:proofErr w:type="spellEnd"/>
      <w:r w:rsidRPr="00B13A0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2B696F6" w14:textId="77777777" w:rsidR="000F238D" w:rsidRPr="00B13A05" w:rsidRDefault="00ED6B18">
      <w:pPr>
        <w:spacing w:before="120" w:after="120"/>
        <w:ind w:left="567" w:right="902"/>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w:t>
      </w:r>
    </w:p>
    <w:p w14:paraId="31CA203A"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Quincuagésimo séptimo</w:t>
      </w:r>
      <w:r w:rsidRPr="00B13A0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243282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w:t>
      </w:r>
      <w:r w:rsidRPr="00B13A0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567BA1A"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w:t>
      </w:r>
      <w:r w:rsidRPr="00B13A0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75B6D29"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III</w:t>
      </w:r>
      <w:r w:rsidRPr="00B13A0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9777F15"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8532384" w14:textId="77777777" w:rsidR="000F238D" w:rsidRPr="00B13A05" w:rsidRDefault="00ED6B18">
      <w:pPr>
        <w:spacing w:before="120" w:after="120"/>
        <w:ind w:left="567" w:right="902"/>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b/>
          <w:i/>
          <w:sz w:val="22"/>
          <w:szCs w:val="22"/>
        </w:rPr>
        <w:t>Quincuagésimo octavo</w:t>
      </w:r>
      <w:r w:rsidRPr="00B13A0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8866575" w14:textId="77777777" w:rsidR="000F238D" w:rsidRPr="00B13A05" w:rsidRDefault="00ED6B18">
      <w:pPr>
        <w:pBdr>
          <w:top w:val="nil"/>
          <w:left w:val="nil"/>
          <w:bottom w:val="nil"/>
          <w:right w:val="nil"/>
          <w:between w:val="nil"/>
        </w:pBdr>
        <w:shd w:val="clear" w:color="auto" w:fill="FFFFFF"/>
        <w:spacing w:after="200" w:line="360" w:lineRule="auto"/>
        <w:jc w:val="both"/>
        <w:rPr>
          <w:sz w:val="22"/>
          <w:szCs w:val="22"/>
        </w:rPr>
      </w:pPr>
      <w:bookmarkStart w:id="9" w:name="_heading=h.bwqk41blyplf" w:colFirst="0" w:colLast="0"/>
      <w:bookmarkEnd w:id="9"/>
      <w:r w:rsidRPr="00B13A05">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IV de la Ley de Transparencia y Acceso a la Información Pública del Estado de México y Municipios, este Pleno:</w:t>
      </w:r>
    </w:p>
    <w:p w14:paraId="26EEFF90" w14:textId="77777777" w:rsidR="000F238D" w:rsidRPr="00B13A05" w:rsidRDefault="00ED6B18">
      <w:pPr>
        <w:numPr>
          <w:ilvl w:val="0"/>
          <w:numId w:val="1"/>
        </w:numPr>
        <w:pBdr>
          <w:top w:val="nil"/>
          <w:left w:val="nil"/>
          <w:bottom w:val="nil"/>
          <w:right w:val="nil"/>
          <w:between w:val="nil"/>
        </w:pBdr>
        <w:spacing w:before="240" w:after="240"/>
        <w:jc w:val="center"/>
        <w:rPr>
          <w:rFonts w:ascii="Palatino Linotype" w:eastAsia="Palatino Linotype" w:hAnsi="Palatino Linotype" w:cs="Palatino Linotype"/>
          <w:b/>
        </w:rPr>
      </w:pPr>
      <w:r w:rsidRPr="00B13A05">
        <w:rPr>
          <w:rFonts w:ascii="Palatino Linotype" w:eastAsia="Palatino Linotype" w:hAnsi="Palatino Linotype" w:cs="Palatino Linotype"/>
          <w:b/>
        </w:rPr>
        <w:t>R E S U E L V E:</w:t>
      </w:r>
    </w:p>
    <w:p w14:paraId="39CF0AC9" w14:textId="77777777" w:rsidR="000F238D" w:rsidRPr="00B13A05" w:rsidRDefault="00ED6B18">
      <w:pPr>
        <w:pBdr>
          <w:top w:val="nil"/>
          <w:left w:val="nil"/>
          <w:bottom w:val="nil"/>
          <w:right w:val="nil"/>
          <w:between w:val="nil"/>
        </w:pBdr>
        <w:spacing w:before="240" w:after="240" w:line="360" w:lineRule="auto"/>
        <w:ind w:right="49"/>
        <w:jc w:val="both"/>
        <w:rPr>
          <w:sz w:val="22"/>
          <w:szCs w:val="22"/>
        </w:rPr>
      </w:pPr>
      <w:r w:rsidRPr="00B13A05">
        <w:rPr>
          <w:rFonts w:ascii="Palatino Linotype" w:eastAsia="Palatino Linotype" w:hAnsi="Palatino Linotype" w:cs="Palatino Linotype"/>
          <w:b/>
          <w:sz w:val="22"/>
          <w:szCs w:val="22"/>
        </w:rPr>
        <w:lastRenderedPageBreak/>
        <w:t xml:space="preserve">Primero. </w:t>
      </w:r>
      <w:r w:rsidRPr="00B13A05">
        <w:rPr>
          <w:rFonts w:ascii="Palatino Linotype" w:eastAsia="Palatino Linotype" w:hAnsi="Palatino Linotype" w:cs="Palatino Linotype"/>
          <w:sz w:val="22"/>
          <w:szCs w:val="22"/>
        </w:rPr>
        <w:t xml:space="preserve">Resultan </w:t>
      </w:r>
      <w:r w:rsidRPr="00B13A05">
        <w:rPr>
          <w:rFonts w:ascii="Palatino Linotype" w:eastAsia="Palatino Linotype" w:hAnsi="Palatino Linotype" w:cs="Palatino Linotype"/>
          <w:b/>
          <w:sz w:val="22"/>
          <w:szCs w:val="22"/>
        </w:rPr>
        <w:t>fundados</w:t>
      </w:r>
      <w:r w:rsidRPr="00B13A05">
        <w:rPr>
          <w:rFonts w:ascii="Palatino Linotype" w:eastAsia="Palatino Linotype" w:hAnsi="Palatino Linotype" w:cs="Palatino Linotype"/>
          <w:sz w:val="22"/>
          <w:szCs w:val="22"/>
        </w:rPr>
        <w:t xml:space="preserve"> los motivos de inconformidad de </w:t>
      </w:r>
      <w:r w:rsidRPr="00B13A05">
        <w:rPr>
          <w:rFonts w:ascii="Palatino Linotype" w:eastAsia="Palatino Linotype" w:hAnsi="Palatino Linotype" w:cs="Palatino Linotype"/>
          <w:b/>
          <w:sz w:val="22"/>
          <w:szCs w:val="22"/>
        </w:rPr>
        <w:t>la parte</w:t>
      </w:r>
      <w:r w:rsidRPr="00B13A05">
        <w:rPr>
          <w:rFonts w:ascii="Palatino Linotype" w:eastAsia="Palatino Linotype" w:hAnsi="Palatino Linotype" w:cs="Palatino Linotype"/>
          <w:sz w:val="22"/>
          <w:szCs w:val="22"/>
        </w:rPr>
        <w:t xml:space="preserve"> </w:t>
      </w:r>
      <w:r w:rsidRPr="00B13A05">
        <w:rPr>
          <w:rFonts w:ascii="Palatino Linotype" w:eastAsia="Palatino Linotype" w:hAnsi="Palatino Linotype" w:cs="Palatino Linotype"/>
          <w:b/>
          <w:sz w:val="22"/>
          <w:szCs w:val="22"/>
        </w:rPr>
        <w:t>Recurrente</w:t>
      </w:r>
      <w:r w:rsidRPr="00B13A05">
        <w:rPr>
          <w:rFonts w:ascii="Palatino Linotype" w:eastAsia="Palatino Linotype" w:hAnsi="Palatino Linotype" w:cs="Palatino Linotype"/>
          <w:sz w:val="22"/>
          <w:szCs w:val="22"/>
        </w:rPr>
        <w:t xml:space="preserve">, en el recurso de revisión </w:t>
      </w:r>
      <w:r w:rsidRPr="00B13A05">
        <w:rPr>
          <w:rFonts w:ascii="Palatino Linotype" w:eastAsia="Palatino Linotype" w:hAnsi="Palatino Linotype" w:cs="Palatino Linotype"/>
          <w:b/>
          <w:sz w:val="22"/>
          <w:szCs w:val="22"/>
        </w:rPr>
        <w:t xml:space="preserve">01449/INFOEM/IP/RR/2025, </w:t>
      </w:r>
      <w:r w:rsidRPr="00B13A05">
        <w:rPr>
          <w:rFonts w:ascii="Palatino Linotype" w:eastAsia="Palatino Linotype" w:hAnsi="Palatino Linotype" w:cs="Palatino Linotype"/>
          <w:sz w:val="22"/>
          <w:szCs w:val="22"/>
        </w:rPr>
        <w:t xml:space="preserve">en términos del </w:t>
      </w:r>
      <w:r w:rsidRPr="00B13A05">
        <w:rPr>
          <w:rFonts w:ascii="Palatino Linotype" w:eastAsia="Palatino Linotype" w:hAnsi="Palatino Linotype" w:cs="Palatino Linotype"/>
          <w:b/>
          <w:sz w:val="22"/>
          <w:szCs w:val="22"/>
        </w:rPr>
        <w:t>Considerando Cuarto</w:t>
      </w:r>
      <w:r w:rsidRPr="00B13A05">
        <w:rPr>
          <w:rFonts w:ascii="Palatino Linotype" w:eastAsia="Palatino Linotype" w:hAnsi="Palatino Linotype" w:cs="Palatino Linotype"/>
          <w:sz w:val="22"/>
          <w:szCs w:val="22"/>
        </w:rPr>
        <w:t xml:space="preserve"> de la presente resolución.</w:t>
      </w:r>
    </w:p>
    <w:p w14:paraId="56DD81D5" w14:textId="77777777" w:rsidR="000F238D" w:rsidRPr="00B13A05" w:rsidRDefault="00ED6B1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13A05">
        <w:rPr>
          <w:rFonts w:ascii="Palatino Linotype" w:eastAsia="Palatino Linotype" w:hAnsi="Palatino Linotype" w:cs="Palatino Linotype"/>
          <w:b/>
          <w:sz w:val="22"/>
          <w:szCs w:val="22"/>
        </w:rPr>
        <w:t xml:space="preserve">Segundo. </w:t>
      </w:r>
      <w:r w:rsidRPr="00B13A05">
        <w:rPr>
          <w:rFonts w:ascii="Palatino Linotype" w:eastAsia="Palatino Linotype" w:hAnsi="Palatino Linotype" w:cs="Palatino Linotype"/>
          <w:sz w:val="22"/>
          <w:szCs w:val="22"/>
        </w:rPr>
        <w:t>Se</w:t>
      </w:r>
      <w:r w:rsidRPr="00B13A05">
        <w:rPr>
          <w:rFonts w:ascii="Palatino Linotype" w:eastAsia="Palatino Linotype" w:hAnsi="Palatino Linotype" w:cs="Palatino Linotype"/>
          <w:b/>
          <w:sz w:val="22"/>
          <w:szCs w:val="22"/>
        </w:rPr>
        <w:t xml:space="preserve"> ORDENA </w:t>
      </w:r>
      <w:r w:rsidRPr="00B13A05">
        <w:rPr>
          <w:rFonts w:ascii="Palatino Linotype" w:eastAsia="Palatino Linotype" w:hAnsi="Palatino Linotype" w:cs="Palatino Linotype"/>
          <w:sz w:val="22"/>
          <w:szCs w:val="22"/>
        </w:rPr>
        <w:t xml:space="preserve">al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a que,</w:t>
      </w:r>
      <w:r w:rsidRPr="00B13A05">
        <w:rPr>
          <w:rFonts w:ascii="Palatino Linotype" w:eastAsia="Palatino Linotype" w:hAnsi="Palatino Linotype" w:cs="Palatino Linotype"/>
          <w:b/>
          <w:sz w:val="22"/>
          <w:szCs w:val="22"/>
        </w:rPr>
        <w:t xml:space="preserve"> </w:t>
      </w:r>
      <w:r w:rsidRPr="00B13A05">
        <w:rPr>
          <w:rFonts w:ascii="Palatino Linotype" w:eastAsia="Palatino Linotype" w:hAnsi="Palatino Linotype" w:cs="Palatino Linotype"/>
          <w:sz w:val="22"/>
          <w:szCs w:val="22"/>
        </w:rPr>
        <w:t xml:space="preserve">en términos de los Considerandos </w:t>
      </w:r>
      <w:r w:rsidRPr="00B13A05">
        <w:rPr>
          <w:rFonts w:ascii="Palatino Linotype" w:eastAsia="Palatino Linotype" w:hAnsi="Palatino Linotype" w:cs="Palatino Linotype"/>
          <w:b/>
          <w:sz w:val="22"/>
          <w:szCs w:val="22"/>
        </w:rPr>
        <w:t>Cuarto y Quinto</w:t>
      </w:r>
      <w:r w:rsidRPr="00B13A05">
        <w:rPr>
          <w:rFonts w:ascii="Palatino Linotype" w:eastAsia="Palatino Linotype" w:hAnsi="Palatino Linotype" w:cs="Palatino Linotype"/>
          <w:sz w:val="22"/>
          <w:szCs w:val="22"/>
        </w:rPr>
        <w:t xml:space="preserve">, haga entrega vía Sistema de Acceso a la Información Mexiquense (SAIMEX), en versión pública de ser procedente, de lo siguiente: </w:t>
      </w:r>
    </w:p>
    <w:p w14:paraId="0ACAA6CB" w14:textId="77777777" w:rsidR="00ED6B18" w:rsidRPr="00B13A05" w:rsidRDefault="00ED6B18" w:rsidP="00ED6B18">
      <w:pPr>
        <w:pStyle w:val="Prrafodelista"/>
        <w:numPr>
          <w:ilvl w:val="0"/>
          <w:numId w:val="6"/>
        </w:numPr>
        <w:pBdr>
          <w:top w:val="nil"/>
          <w:left w:val="nil"/>
          <w:bottom w:val="nil"/>
          <w:right w:val="nil"/>
          <w:between w:val="nil"/>
        </w:pBdr>
        <w:spacing w:before="280" w:after="280" w:line="276" w:lineRule="auto"/>
        <w:ind w:left="567" w:right="709" w:hanging="141"/>
        <w:jc w:val="both"/>
        <w:rPr>
          <w:rFonts w:ascii="Palatino Linotype" w:eastAsia="Palatino Linotype" w:hAnsi="Palatino Linotype" w:cs="Palatino Linotype"/>
          <w:b/>
          <w:i/>
          <w:sz w:val="22"/>
          <w:szCs w:val="22"/>
        </w:rPr>
      </w:pPr>
      <w:r w:rsidRPr="00B13A05">
        <w:rPr>
          <w:rFonts w:ascii="Palatino Linotype" w:eastAsia="Palatino Linotype" w:hAnsi="Palatino Linotype" w:cs="Palatino Linotype"/>
          <w:b/>
          <w:i/>
          <w:sz w:val="22"/>
          <w:szCs w:val="22"/>
        </w:rPr>
        <w:t xml:space="preserve">Último documento generado al veintidós de enero de dos mil veinticinco, donde conste el Personal adscrito al Ayuntamiento de Toluca, su cargo, sueldo bruto y neto y su área de adscripción. </w:t>
      </w:r>
    </w:p>
    <w:p w14:paraId="1B6D6821" w14:textId="77777777" w:rsidR="000F238D" w:rsidRPr="00B13A05" w:rsidRDefault="00ED6B18">
      <w:pPr>
        <w:pBdr>
          <w:top w:val="nil"/>
          <w:left w:val="nil"/>
          <w:bottom w:val="nil"/>
          <w:right w:val="nil"/>
          <w:between w:val="nil"/>
        </w:pBdr>
        <w:spacing w:before="280" w:after="280" w:line="276" w:lineRule="auto"/>
        <w:ind w:left="567" w:right="709"/>
        <w:jc w:val="both"/>
        <w:rPr>
          <w:rFonts w:ascii="Palatino Linotype" w:eastAsia="Palatino Linotype" w:hAnsi="Palatino Linotype" w:cs="Palatino Linotype"/>
          <w:i/>
          <w:sz w:val="22"/>
          <w:szCs w:val="22"/>
        </w:rPr>
      </w:pPr>
      <w:r w:rsidRPr="00B13A05">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B13A05">
        <w:rPr>
          <w:rFonts w:ascii="Palatino Linotype" w:eastAsia="Palatino Linotype" w:hAnsi="Palatino Linotype" w:cs="Palatino Linotype"/>
          <w:b/>
          <w:i/>
          <w:sz w:val="22"/>
          <w:szCs w:val="22"/>
        </w:rPr>
        <w:t>la parte Recurrente</w:t>
      </w:r>
      <w:r w:rsidRPr="00B13A05">
        <w:rPr>
          <w:rFonts w:ascii="Palatino Linotype" w:eastAsia="Palatino Linotype" w:hAnsi="Palatino Linotype" w:cs="Palatino Linotype"/>
          <w:i/>
          <w:sz w:val="22"/>
          <w:szCs w:val="22"/>
        </w:rPr>
        <w:t>.</w:t>
      </w:r>
    </w:p>
    <w:p w14:paraId="4F407E2C" w14:textId="77777777" w:rsidR="000F238D" w:rsidRPr="00B13A05" w:rsidRDefault="00ED6B18">
      <w:pPr>
        <w:pBdr>
          <w:top w:val="nil"/>
          <w:left w:val="nil"/>
          <w:bottom w:val="nil"/>
          <w:right w:val="nil"/>
          <w:between w:val="nil"/>
        </w:pBdr>
        <w:spacing w:before="280" w:after="280" w:line="360" w:lineRule="auto"/>
        <w:jc w:val="both"/>
        <w:rPr>
          <w:sz w:val="22"/>
          <w:szCs w:val="22"/>
        </w:rPr>
      </w:pPr>
      <w:r w:rsidRPr="00B13A05">
        <w:rPr>
          <w:rFonts w:ascii="Palatino Linotype" w:eastAsia="Palatino Linotype" w:hAnsi="Palatino Linotype" w:cs="Palatino Linotype"/>
          <w:b/>
          <w:sz w:val="22"/>
          <w:szCs w:val="22"/>
        </w:rPr>
        <w:t>Tercero. Notifíquese vía SAIMEX</w:t>
      </w:r>
      <w:r w:rsidRPr="00B13A05">
        <w:rPr>
          <w:rFonts w:ascii="Palatino Linotype" w:eastAsia="Palatino Linotype" w:hAnsi="Palatino Linotype" w:cs="Palatino Linotype"/>
          <w:sz w:val="22"/>
          <w:szCs w:val="22"/>
        </w:rPr>
        <w:t xml:space="preserve"> la presente resolución al Titular de la Unidad de Transparencia del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35430F" w14:textId="77777777" w:rsidR="000F238D" w:rsidRPr="00B13A05" w:rsidRDefault="00ED6B18">
      <w:pPr>
        <w:pBdr>
          <w:top w:val="nil"/>
          <w:left w:val="nil"/>
          <w:bottom w:val="nil"/>
          <w:right w:val="nil"/>
          <w:between w:val="nil"/>
        </w:pBdr>
        <w:spacing w:line="360" w:lineRule="auto"/>
        <w:ind w:right="49"/>
        <w:jc w:val="both"/>
        <w:rPr>
          <w:sz w:val="22"/>
          <w:szCs w:val="22"/>
        </w:rPr>
      </w:pPr>
      <w:r w:rsidRPr="00B13A05">
        <w:rPr>
          <w:rFonts w:ascii="Palatino Linotype" w:eastAsia="Palatino Linotype" w:hAnsi="Palatino Linotype" w:cs="Palatino Linotype"/>
          <w:b/>
          <w:sz w:val="22"/>
          <w:szCs w:val="22"/>
        </w:rPr>
        <w:t xml:space="preserve">Cuarto. Notifíquese vía SAIMEX a la parte Recurrente, </w:t>
      </w:r>
      <w:r w:rsidRPr="00B13A05">
        <w:rPr>
          <w:rFonts w:ascii="Palatino Linotype" w:eastAsia="Palatino Linotype" w:hAnsi="Palatino Linotype" w:cs="Palatino Linotype"/>
          <w:sz w:val="22"/>
          <w:szCs w:val="22"/>
        </w:rPr>
        <w:t xml:space="preserve">la presente resolución, así como, que de conformidad con lo establecido en el artículo 196 de la Ley de Transparencia y </w:t>
      </w:r>
      <w:r w:rsidRPr="00B13A05">
        <w:rPr>
          <w:rFonts w:ascii="Palatino Linotype" w:eastAsia="Palatino Linotype" w:hAnsi="Palatino Linotype" w:cs="Palatino Linotype"/>
          <w:sz w:val="22"/>
          <w:szCs w:val="22"/>
        </w:rPr>
        <w:lastRenderedPageBreak/>
        <w:t>Acceso a la Información Pública del Estado de México y Municipios, o bien, vía Juicio de Amparo en los términos de las leyes aplicables. </w:t>
      </w:r>
    </w:p>
    <w:p w14:paraId="2E5A97ED" w14:textId="77777777" w:rsidR="000F238D" w:rsidRPr="00B13A05" w:rsidRDefault="00ED6B18">
      <w:pPr>
        <w:pBdr>
          <w:top w:val="nil"/>
          <w:left w:val="nil"/>
          <w:bottom w:val="nil"/>
          <w:right w:val="nil"/>
          <w:between w:val="nil"/>
        </w:pBdr>
        <w:spacing w:before="240" w:after="240" w:line="360" w:lineRule="auto"/>
        <w:jc w:val="both"/>
        <w:rPr>
          <w:sz w:val="22"/>
          <w:szCs w:val="22"/>
        </w:rPr>
      </w:pPr>
      <w:r w:rsidRPr="00B13A05">
        <w:rPr>
          <w:rFonts w:ascii="Palatino Linotype" w:eastAsia="Palatino Linotype" w:hAnsi="Palatino Linotype" w:cs="Palatino Linotype"/>
          <w:b/>
          <w:sz w:val="22"/>
          <w:szCs w:val="22"/>
        </w:rPr>
        <w:t xml:space="preserve">Quinto. Notifíquese vía SAIMEX a la parte Recurrente </w:t>
      </w:r>
      <w:r w:rsidRPr="00B13A05">
        <w:rPr>
          <w:rFonts w:ascii="Palatino Linotype" w:eastAsia="Palatino Linotype" w:hAnsi="Palatino Linotype" w:cs="Palatino Linotype"/>
          <w:sz w:val="22"/>
          <w:szCs w:val="22"/>
        </w:rPr>
        <w:t xml:space="preserve">que la respuesta que dé el </w:t>
      </w:r>
      <w:r w:rsidRPr="00B13A05">
        <w:rPr>
          <w:rFonts w:ascii="Palatino Linotype" w:eastAsia="Palatino Linotype" w:hAnsi="Palatino Linotype" w:cs="Palatino Linotype"/>
          <w:b/>
          <w:sz w:val="22"/>
          <w:szCs w:val="22"/>
        </w:rPr>
        <w:t>Sujeto Obligado</w:t>
      </w:r>
      <w:r w:rsidRPr="00B13A05">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4833424" w14:textId="77777777" w:rsidR="000F238D" w:rsidRPr="00B13A05" w:rsidRDefault="00ED6B18">
      <w:pPr>
        <w:pBdr>
          <w:top w:val="nil"/>
          <w:left w:val="nil"/>
          <w:bottom w:val="nil"/>
          <w:right w:val="nil"/>
          <w:between w:val="nil"/>
        </w:pBdr>
        <w:spacing w:line="360" w:lineRule="auto"/>
        <w:jc w:val="both"/>
        <w:rPr>
          <w:sz w:val="22"/>
          <w:szCs w:val="22"/>
        </w:rPr>
      </w:pPr>
      <w:r w:rsidRPr="00B13A05">
        <w:rPr>
          <w:rFonts w:ascii="Palatino Linotype" w:eastAsia="Palatino Linotype" w:hAnsi="Palatino Linotype" w:cs="Palatino Linotype"/>
          <w:b/>
          <w:sz w:val="22"/>
          <w:szCs w:val="22"/>
        </w:rPr>
        <w:t>Sexto.</w:t>
      </w:r>
      <w:r w:rsidRPr="00B13A05">
        <w:rPr>
          <w:rFonts w:ascii="Palatino Linotype" w:eastAsia="Palatino Linotype" w:hAnsi="Palatino Linotype" w:cs="Palatino Linotype"/>
          <w:sz w:val="22"/>
          <w:szCs w:val="22"/>
        </w:rPr>
        <w:t xml:space="preserve"> Gírese oficio a la </w:t>
      </w:r>
      <w:r w:rsidRPr="00B13A05">
        <w:rPr>
          <w:rFonts w:ascii="Palatino Linotype" w:eastAsia="Palatino Linotype" w:hAnsi="Palatino Linotype" w:cs="Palatino Linotype"/>
          <w:b/>
          <w:sz w:val="22"/>
          <w:szCs w:val="22"/>
        </w:rPr>
        <w:t>Secretaría Técnica del Pleno</w:t>
      </w:r>
      <w:r w:rsidRPr="00B13A05">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18742924" w14:textId="77777777" w:rsidR="000F238D" w:rsidRPr="00B13A05" w:rsidRDefault="000F238D">
      <w:pPr>
        <w:spacing w:line="360" w:lineRule="auto"/>
        <w:jc w:val="both"/>
        <w:rPr>
          <w:rFonts w:ascii="Palatino Linotype" w:eastAsia="Palatino Linotype" w:hAnsi="Palatino Linotype" w:cs="Palatino Linotype"/>
          <w:b/>
        </w:rPr>
      </w:pPr>
    </w:p>
    <w:p w14:paraId="3B5AF84F" w14:textId="77777777" w:rsidR="000F238D" w:rsidRPr="00BC2B1D" w:rsidRDefault="00ED6B18">
      <w:pPr>
        <w:spacing w:line="360" w:lineRule="auto"/>
        <w:jc w:val="both"/>
        <w:rPr>
          <w:rFonts w:ascii="Palatino Linotype" w:eastAsia="Palatino Linotype" w:hAnsi="Palatino Linotype" w:cs="Palatino Linotype"/>
        </w:rPr>
      </w:pPr>
      <w:bookmarkStart w:id="10" w:name="_heading=h.1t3h5sf" w:colFirst="0" w:colLast="0"/>
      <w:bookmarkEnd w:id="10"/>
      <w:r w:rsidRPr="00B13A0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41EFB" w:rsidRPr="00B13A05">
        <w:rPr>
          <w:rFonts w:ascii="Palatino Linotype" w:eastAsia="Palatino Linotype" w:hAnsi="Palatino Linotype" w:cs="Palatino Linotype"/>
        </w:rPr>
        <w:t xml:space="preserve"> (EMITIENDO VOTO PARTICULAR)</w:t>
      </w:r>
      <w:r w:rsidRPr="00B13A05">
        <w:rPr>
          <w:rFonts w:ascii="Palatino Linotype" w:eastAsia="Palatino Linotype" w:hAnsi="Palatino Linotype" w:cs="Palatino Linotype"/>
        </w:rPr>
        <w:t xml:space="preserve"> Y GUADALUPE RAMÍREZ PEÑA</w:t>
      </w:r>
      <w:r w:rsidR="00C41EFB" w:rsidRPr="00B13A05">
        <w:rPr>
          <w:rFonts w:ascii="Palatino Linotype" w:eastAsia="Palatino Linotype" w:hAnsi="Palatino Linotype" w:cs="Palatino Linotype"/>
        </w:rPr>
        <w:t xml:space="preserve"> (EMITIENDO VOTO PARTICULAR)</w:t>
      </w:r>
      <w:r w:rsidRPr="00B13A05">
        <w:rPr>
          <w:rFonts w:ascii="Palatino Linotype" w:eastAsia="Palatino Linotype" w:hAnsi="Palatino Linotype" w:cs="Palatino Linotype"/>
        </w:rPr>
        <w:t>; EN LA DÉCIMA PRIMERA SESIÓN ORDINARIA CELEBRADA EL VEINTISÉIS DE MARZO DE DOS MIL VEINTICINCO, ANTE EL SECRETARIO TÉCNICO DEL PLENO ALEXIS TAPIA RAMÍREZ.</w:t>
      </w:r>
    </w:p>
    <w:p w14:paraId="2BF4CB50" w14:textId="77777777" w:rsidR="000F238D" w:rsidRPr="00BC2B1D" w:rsidRDefault="000F238D">
      <w:pPr>
        <w:spacing w:line="360" w:lineRule="auto"/>
        <w:jc w:val="both"/>
        <w:rPr>
          <w:rFonts w:ascii="Palatino Linotype" w:eastAsia="Palatino Linotype" w:hAnsi="Palatino Linotype" w:cs="Palatino Linotype"/>
        </w:rPr>
      </w:pPr>
    </w:p>
    <w:p w14:paraId="69288304" w14:textId="77777777" w:rsidR="000F238D" w:rsidRPr="00BC2B1D" w:rsidRDefault="000F238D">
      <w:pPr>
        <w:spacing w:line="360" w:lineRule="auto"/>
        <w:jc w:val="both"/>
        <w:rPr>
          <w:rFonts w:ascii="Palatino Linotype" w:eastAsia="Palatino Linotype" w:hAnsi="Palatino Linotype" w:cs="Palatino Linotype"/>
        </w:rPr>
      </w:pPr>
    </w:p>
    <w:p w14:paraId="5237312E" w14:textId="77777777" w:rsidR="000F238D" w:rsidRPr="00BC2B1D" w:rsidRDefault="000F238D">
      <w:pPr>
        <w:spacing w:line="360" w:lineRule="auto"/>
        <w:jc w:val="both"/>
        <w:rPr>
          <w:rFonts w:ascii="Palatino Linotype" w:eastAsia="Palatino Linotype" w:hAnsi="Palatino Linotype" w:cs="Palatino Linotype"/>
        </w:rPr>
      </w:pPr>
    </w:p>
    <w:p w14:paraId="2A668DCD" w14:textId="77777777" w:rsidR="000F238D" w:rsidRPr="00BC2B1D" w:rsidRDefault="000F238D">
      <w:pPr>
        <w:spacing w:line="360" w:lineRule="auto"/>
        <w:jc w:val="both"/>
        <w:rPr>
          <w:rFonts w:ascii="Palatino Linotype" w:eastAsia="Palatino Linotype" w:hAnsi="Palatino Linotype" w:cs="Palatino Linotype"/>
        </w:rPr>
      </w:pPr>
    </w:p>
    <w:p w14:paraId="3B5AAE04" w14:textId="77777777" w:rsidR="000F238D" w:rsidRPr="00BC2B1D" w:rsidRDefault="000F238D">
      <w:pPr>
        <w:spacing w:line="360" w:lineRule="auto"/>
        <w:jc w:val="both"/>
        <w:rPr>
          <w:rFonts w:ascii="Palatino Linotype" w:eastAsia="Palatino Linotype" w:hAnsi="Palatino Linotype" w:cs="Palatino Linotype"/>
        </w:rPr>
      </w:pPr>
    </w:p>
    <w:p w14:paraId="20D2A04E" w14:textId="77777777" w:rsidR="000F238D" w:rsidRPr="00BC2B1D" w:rsidRDefault="000F238D">
      <w:pPr>
        <w:spacing w:line="360" w:lineRule="auto"/>
        <w:jc w:val="both"/>
        <w:rPr>
          <w:rFonts w:ascii="Palatino Linotype" w:eastAsia="Palatino Linotype" w:hAnsi="Palatino Linotype" w:cs="Palatino Linotype"/>
        </w:rPr>
      </w:pPr>
    </w:p>
    <w:p w14:paraId="4B5C8370" w14:textId="77777777" w:rsidR="000F238D" w:rsidRPr="00BC2B1D" w:rsidRDefault="000F238D">
      <w:pPr>
        <w:spacing w:line="360" w:lineRule="auto"/>
        <w:jc w:val="both"/>
        <w:rPr>
          <w:rFonts w:ascii="Palatino Linotype" w:eastAsia="Palatino Linotype" w:hAnsi="Palatino Linotype" w:cs="Palatino Linotype"/>
        </w:rPr>
      </w:pPr>
    </w:p>
    <w:p w14:paraId="372B34E2" w14:textId="77777777" w:rsidR="000F238D" w:rsidRPr="00BC2B1D" w:rsidRDefault="000F238D">
      <w:pPr>
        <w:spacing w:line="360" w:lineRule="auto"/>
        <w:jc w:val="both"/>
        <w:rPr>
          <w:rFonts w:ascii="Palatino Linotype" w:eastAsia="Palatino Linotype" w:hAnsi="Palatino Linotype" w:cs="Palatino Linotype"/>
        </w:rPr>
      </w:pPr>
    </w:p>
    <w:p w14:paraId="0F9889BC" w14:textId="77777777" w:rsidR="000F238D" w:rsidRPr="00BC2B1D" w:rsidRDefault="000F238D">
      <w:pPr>
        <w:spacing w:line="360" w:lineRule="auto"/>
        <w:jc w:val="both"/>
        <w:rPr>
          <w:rFonts w:ascii="Palatino Linotype" w:eastAsia="Palatino Linotype" w:hAnsi="Palatino Linotype" w:cs="Palatino Linotype"/>
        </w:rPr>
      </w:pPr>
    </w:p>
    <w:p w14:paraId="69E8BDA6" w14:textId="77777777" w:rsidR="000F238D" w:rsidRPr="00BC2B1D" w:rsidRDefault="000F238D">
      <w:pPr>
        <w:spacing w:line="360" w:lineRule="auto"/>
        <w:jc w:val="both"/>
        <w:rPr>
          <w:rFonts w:ascii="Palatino Linotype" w:eastAsia="Palatino Linotype" w:hAnsi="Palatino Linotype" w:cs="Palatino Linotype"/>
        </w:rPr>
      </w:pPr>
    </w:p>
    <w:p w14:paraId="20C066AB" w14:textId="77777777" w:rsidR="000F238D" w:rsidRPr="00BC2B1D" w:rsidRDefault="000F238D">
      <w:pPr>
        <w:spacing w:line="360" w:lineRule="auto"/>
        <w:jc w:val="both"/>
        <w:rPr>
          <w:rFonts w:ascii="Palatino Linotype" w:eastAsia="Palatino Linotype" w:hAnsi="Palatino Linotype" w:cs="Palatino Linotype"/>
        </w:rPr>
      </w:pPr>
    </w:p>
    <w:p w14:paraId="102F6E0A" w14:textId="77777777" w:rsidR="000F238D" w:rsidRPr="00BC2B1D" w:rsidRDefault="000F238D">
      <w:pPr>
        <w:spacing w:line="360" w:lineRule="auto"/>
        <w:jc w:val="both"/>
        <w:rPr>
          <w:rFonts w:ascii="Palatino Linotype" w:eastAsia="Palatino Linotype" w:hAnsi="Palatino Linotype" w:cs="Palatino Linotype"/>
        </w:rPr>
      </w:pPr>
    </w:p>
    <w:p w14:paraId="069D26CA" w14:textId="77777777" w:rsidR="000F238D" w:rsidRPr="00BC2B1D" w:rsidRDefault="000F238D">
      <w:pPr>
        <w:spacing w:line="360" w:lineRule="auto"/>
        <w:jc w:val="both"/>
        <w:rPr>
          <w:rFonts w:ascii="Palatino Linotype" w:eastAsia="Palatino Linotype" w:hAnsi="Palatino Linotype" w:cs="Palatino Linotype"/>
        </w:rPr>
      </w:pPr>
    </w:p>
    <w:p w14:paraId="55E5CCDA" w14:textId="77777777" w:rsidR="000F238D" w:rsidRPr="00BC2B1D" w:rsidRDefault="000F238D">
      <w:pPr>
        <w:spacing w:line="360" w:lineRule="auto"/>
        <w:jc w:val="both"/>
        <w:rPr>
          <w:rFonts w:ascii="Palatino Linotype" w:eastAsia="Palatino Linotype" w:hAnsi="Palatino Linotype" w:cs="Palatino Linotype"/>
        </w:rPr>
      </w:pPr>
    </w:p>
    <w:p w14:paraId="6BF0AD3F" w14:textId="77777777" w:rsidR="000F238D" w:rsidRPr="00BC2B1D" w:rsidRDefault="000F238D">
      <w:pPr>
        <w:spacing w:line="360" w:lineRule="auto"/>
        <w:jc w:val="both"/>
        <w:rPr>
          <w:rFonts w:ascii="Palatino Linotype" w:eastAsia="Palatino Linotype" w:hAnsi="Palatino Linotype" w:cs="Palatino Linotype"/>
        </w:rPr>
      </w:pPr>
    </w:p>
    <w:p w14:paraId="0B3332DD" w14:textId="77777777" w:rsidR="000F238D" w:rsidRPr="00BC2B1D" w:rsidRDefault="000F238D">
      <w:pPr>
        <w:spacing w:line="360" w:lineRule="auto"/>
        <w:jc w:val="both"/>
        <w:rPr>
          <w:rFonts w:ascii="Palatino Linotype" w:eastAsia="Palatino Linotype" w:hAnsi="Palatino Linotype" w:cs="Palatino Linotype"/>
        </w:rPr>
      </w:pPr>
    </w:p>
    <w:p w14:paraId="46330E31" w14:textId="77777777" w:rsidR="000F238D" w:rsidRPr="00BC2B1D" w:rsidRDefault="000F238D">
      <w:pPr>
        <w:spacing w:line="360" w:lineRule="auto"/>
        <w:jc w:val="both"/>
        <w:rPr>
          <w:rFonts w:ascii="Palatino Linotype" w:eastAsia="Palatino Linotype" w:hAnsi="Palatino Linotype" w:cs="Palatino Linotype"/>
        </w:rPr>
      </w:pPr>
    </w:p>
    <w:p w14:paraId="2FB459B3" w14:textId="77777777" w:rsidR="000F238D" w:rsidRPr="00BC2B1D" w:rsidRDefault="000F238D">
      <w:pPr>
        <w:spacing w:line="360" w:lineRule="auto"/>
        <w:jc w:val="both"/>
        <w:rPr>
          <w:rFonts w:ascii="Palatino Linotype" w:eastAsia="Palatino Linotype" w:hAnsi="Palatino Linotype" w:cs="Palatino Linotype"/>
        </w:rPr>
      </w:pPr>
    </w:p>
    <w:p w14:paraId="34E1F115" w14:textId="77777777" w:rsidR="000F238D" w:rsidRPr="00BC2B1D" w:rsidRDefault="000F238D">
      <w:pPr>
        <w:spacing w:line="360" w:lineRule="auto"/>
        <w:jc w:val="both"/>
        <w:rPr>
          <w:rFonts w:ascii="Palatino Linotype" w:eastAsia="Palatino Linotype" w:hAnsi="Palatino Linotype" w:cs="Palatino Linotype"/>
        </w:rPr>
      </w:pPr>
    </w:p>
    <w:p w14:paraId="5AEA904A" w14:textId="77777777" w:rsidR="000F238D" w:rsidRPr="00BC2B1D" w:rsidRDefault="000F238D">
      <w:pPr>
        <w:spacing w:line="360" w:lineRule="auto"/>
        <w:jc w:val="both"/>
        <w:rPr>
          <w:rFonts w:ascii="Palatino Linotype" w:eastAsia="Palatino Linotype" w:hAnsi="Palatino Linotype" w:cs="Palatino Linotype"/>
        </w:rPr>
      </w:pPr>
    </w:p>
    <w:p w14:paraId="73AE42AB" w14:textId="77777777" w:rsidR="000F238D" w:rsidRPr="00BC2B1D" w:rsidRDefault="000F238D">
      <w:pPr>
        <w:spacing w:line="360" w:lineRule="auto"/>
        <w:jc w:val="both"/>
        <w:rPr>
          <w:rFonts w:ascii="Palatino Linotype" w:eastAsia="Palatino Linotype" w:hAnsi="Palatino Linotype" w:cs="Palatino Linotype"/>
        </w:rPr>
      </w:pPr>
    </w:p>
    <w:p w14:paraId="7F408783" w14:textId="77777777" w:rsidR="000F238D" w:rsidRPr="00BC2B1D" w:rsidRDefault="000F238D">
      <w:pPr>
        <w:spacing w:line="360" w:lineRule="auto"/>
        <w:jc w:val="both"/>
        <w:rPr>
          <w:rFonts w:ascii="Palatino Linotype" w:eastAsia="Palatino Linotype" w:hAnsi="Palatino Linotype" w:cs="Palatino Linotype"/>
        </w:rPr>
      </w:pPr>
    </w:p>
    <w:p w14:paraId="699BB448" w14:textId="77777777" w:rsidR="000F238D" w:rsidRPr="00BC2B1D" w:rsidRDefault="000F238D">
      <w:pPr>
        <w:spacing w:line="360" w:lineRule="auto"/>
        <w:jc w:val="both"/>
        <w:rPr>
          <w:rFonts w:ascii="Palatino Linotype" w:eastAsia="Palatino Linotype" w:hAnsi="Palatino Linotype" w:cs="Palatino Linotype"/>
        </w:rPr>
      </w:pPr>
    </w:p>
    <w:p w14:paraId="15602C90" w14:textId="77777777" w:rsidR="000F238D" w:rsidRPr="00BC2B1D" w:rsidRDefault="000F238D">
      <w:pPr>
        <w:spacing w:line="360" w:lineRule="auto"/>
        <w:jc w:val="both"/>
        <w:rPr>
          <w:rFonts w:ascii="Palatino Linotype" w:eastAsia="Palatino Linotype" w:hAnsi="Palatino Linotype" w:cs="Palatino Linotype"/>
        </w:rPr>
      </w:pPr>
    </w:p>
    <w:p w14:paraId="259A5433" w14:textId="77777777" w:rsidR="000F238D" w:rsidRPr="00BC2B1D" w:rsidRDefault="000F238D">
      <w:pPr>
        <w:spacing w:line="360" w:lineRule="auto"/>
        <w:jc w:val="both"/>
        <w:rPr>
          <w:rFonts w:ascii="Palatino Linotype" w:eastAsia="Palatino Linotype" w:hAnsi="Palatino Linotype" w:cs="Palatino Linotype"/>
        </w:rPr>
      </w:pPr>
    </w:p>
    <w:sectPr w:rsidR="000F238D" w:rsidRPr="00BC2B1D">
      <w:headerReference w:type="default" r:id="rId14"/>
      <w:footerReference w:type="default" r:id="rId15"/>
      <w:headerReference w:type="first" r:id="rId16"/>
      <w:footerReference w:type="first" r:id="rId17"/>
      <w:pgSz w:w="12240" w:h="15840"/>
      <w:pgMar w:top="1985" w:right="1892"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379B" w14:textId="77777777" w:rsidR="00472F48" w:rsidRDefault="00472F48">
      <w:r>
        <w:separator/>
      </w:r>
    </w:p>
  </w:endnote>
  <w:endnote w:type="continuationSeparator" w:id="0">
    <w:p w14:paraId="658FF66B" w14:textId="77777777" w:rsidR="00472F48" w:rsidRDefault="0047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159A" w14:textId="77777777" w:rsidR="000F238D" w:rsidRDefault="00ED6B1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3A05">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3A05">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1EF97742" w14:textId="77777777" w:rsidR="000F238D" w:rsidRDefault="000F238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9FA" w14:textId="77777777" w:rsidR="000F238D" w:rsidRDefault="00ED6B1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3A0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3A05">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1C1CD7F5" w14:textId="77777777" w:rsidR="000F238D" w:rsidRDefault="000F238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9593" w14:textId="77777777" w:rsidR="00472F48" w:rsidRDefault="00472F48">
      <w:r>
        <w:separator/>
      </w:r>
    </w:p>
  </w:footnote>
  <w:footnote w:type="continuationSeparator" w:id="0">
    <w:p w14:paraId="62893FE5" w14:textId="77777777" w:rsidR="00472F48" w:rsidRDefault="00472F48">
      <w:r>
        <w:continuationSeparator/>
      </w:r>
    </w:p>
  </w:footnote>
  <w:footnote w:id="1">
    <w:p w14:paraId="2736C041" w14:textId="77777777" w:rsidR="000F238D" w:rsidRDefault="00ED6B1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hyperlink r:id="rId1">
        <w:r>
          <w:rPr>
            <w:rFonts w:ascii="Palatino Linotype" w:eastAsia="Palatino Linotype" w:hAnsi="Palatino Linotype" w:cs="Palatino Linotype"/>
            <w:color w:val="0563C1"/>
            <w:sz w:val="16"/>
            <w:szCs w:val="16"/>
            <w:u w:val="single"/>
          </w:rPr>
          <w:t>https://www.osfem.gob.mx/assets/conocenos/marco_normativo/acuerdos/2024/acuerdo_04_anexodos.pdf</w:t>
        </w:r>
      </w:hyperlink>
    </w:p>
  </w:footnote>
  <w:footnote w:id="2">
    <w:p w14:paraId="7A7A3AE7" w14:textId="77777777" w:rsidR="000F238D" w:rsidRDefault="00ED6B18">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7003" w14:textId="77777777" w:rsidR="000F238D" w:rsidRDefault="00ED6B1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99E4437" wp14:editId="57ABBD95">
          <wp:simplePos x="0" y="0"/>
          <wp:positionH relativeFrom="column">
            <wp:posOffset>-1080122</wp:posOffset>
          </wp:positionH>
          <wp:positionV relativeFrom="paragraph">
            <wp:posOffset>-488300</wp:posOffset>
          </wp:positionV>
          <wp:extent cx="7809865" cy="10165715"/>
          <wp:effectExtent l="0" t="0" r="0" b="0"/>
          <wp:wrapNone/>
          <wp:docPr id="21401318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a"/>
      <w:tblW w:w="5953" w:type="dxa"/>
      <w:tblInd w:w="3261" w:type="dxa"/>
      <w:tblLayout w:type="fixed"/>
      <w:tblLook w:val="0400" w:firstRow="0" w:lastRow="0" w:firstColumn="0" w:lastColumn="0" w:noHBand="0" w:noVBand="1"/>
    </w:tblPr>
    <w:tblGrid>
      <w:gridCol w:w="2489"/>
      <w:gridCol w:w="3464"/>
    </w:tblGrid>
    <w:tr w:rsidR="000F238D" w14:paraId="4A717DBD" w14:textId="77777777">
      <w:tc>
        <w:tcPr>
          <w:tcW w:w="2489" w:type="dxa"/>
          <w:shd w:val="clear" w:color="auto" w:fill="auto"/>
        </w:tcPr>
        <w:p w14:paraId="5D0F143B" w14:textId="77777777" w:rsidR="000F238D" w:rsidRDefault="00ED6B18">
          <w:pPr>
            <w:ind w:right="-177"/>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2687FFEA" w14:textId="77777777" w:rsidR="000F238D" w:rsidRDefault="00ED6B18">
          <w:pPr>
            <w:ind w:left="89"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01449/INFOEM/IP/RR/2025</w:t>
          </w:r>
        </w:p>
      </w:tc>
    </w:tr>
    <w:tr w:rsidR="000F238D" w14:paraId="51FA2D65" w14:textId="77777777">
      <w:trPr>
        <w:trHeight w:val="228"/>
      </w:trPr>
      <w:tc>
        <w:tcPr>
          <w:tcW w:w="2489" w:type="dxa"/>
          <w:shd w:val="clear" w:color="auto" w:fill="auto"/>
          <w:vAlign w:val="center"/>
        </w:tcPr>
        <w:p w14:paraId="7EF18B4E" w14:textId="77777777" w:rsidR="000F238D" w:rsidRDefault="00ED6B18">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137A32C3" w14:textId="77777777" w:rsidR="000F238D" w:rsidRDefault="00ED6B18">
          <w:pPr>
            <w:ind w:left="89" w:right="4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Toluca</w:t>
          </w:r>
        </w:p>
      </w:tc>
    </w:tr>
    <w:tr w:rsidR="000F238D" w14:paraId="7A1271A2" w14:textId="77777777">
      <w:tc>
        <w:tcPr>
          <w:tcW w:w="2489" w:type="dxa"/>
          <w:shd w:val="clear" w:color="auto" w:fill="auto"/>
          <w:vAlign w:val="center"/>
        </w:tcPr>
        <w:p w14:paraId="05AC4B45" w14:textId="77777777" w:rsidR="000F238D" w:rsidRDefault="00ED6B1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DD045CC" w14:textId="77777777" w:rsidR="000F238D" w:rsidRDefault="00ED6B18">
          <w:pPr>
            <w:ind w:left="89"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9E3B7B" w14:textId="77777777" w:rsidR="000F238D" w:rsidRDefault="00ED6B1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2C06" w14:textId="77777777" w:rsidR="000F238D" w:rsidRDefault="00ED6B18">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294E188" wp14:editId="549D0788">
          <wp:simplePos x="0" y="0"/>
          <wp:positionH relativeFrom="column">
            <wp:posOffset>-1080134</wp:posOffset>
          </wp:positionH>
          <wp:positionV relativeFrom="paragraph">
            <wp:posOffset>-346540</wp:posOffset>
          </wp:positionV>
          <wp:extent cx="7809865" cy="10165715"/>
          <wp:effectExtent l="0" t="0" r="0" b="0"/>
          <wp:wrapNone/>
          <wp:docPr id="21401318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5670" w:type="dxa"/>
      <w:tblInd w:w="3261" w:type="dxa"/>
      <w:tblLayout w:type="fixed"/>
      <w:tblLook w:val="0400" w:firstRow="0" w:lastRow="0" w:firstColumn="0" w:lastColumn="0" w:noHBand="0" w:noVBand="1"/>
    </w:tblPr>
    <w:tblGrid>
      <w:gridCol w:w="2551"/>
      <w:gridCol w:w="3119"/>
    </w:tblGrid>
    <w:tr w:rsidR="000F238D" w14:paraId="1770B08B" w14:textId="77777777">
      <w:tc>
        <w:tcPr>
          <w:tcW w:w="2551" w:type="dxa"/>
          <w:shd w:val="clear" w:color="auto" w:fill="auto"/>
          <w:vAlign w:val="center"/>
        </w:tcPr>
        <w:p w14:paraId="78AAADDB" w14:textId="77777777" w:rsidR="000F238D" w:rsidRDefault="00ED6B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6DC95EE" w14:textId="77777777" w:rsidR="000F238D" w:rsidRDefault="00ED6B18">
          <w:pPr>
            <w:tabs>
              <w:tab w:val="left" w:pos="3153"/>
            </w:tabs>
            <w:ind w:lef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01449/INFOEM/IP/RR/2025</w:t>
          </w:r>
        </w:p>
      </w:tc>
    </w:tr>
    <w:tr w:rsidR="000F238D" w14:paraId="15B29C86" w14:textId="77777777">
      <w:trPr>
        <w:trHeight w:val="130"/>
      </w:trPr>
      <w:tc>
        <w:tcPr>
          <w:tcW w:w="2551" w:type="dxa"/>
          <w:shd w:val="clear" w:color="auto" w:fill="auto"/>
          <w:vAlign w:val="center"/>
        </w:tcPr>
        <w:p w14:paraId="5931793F" w14:textId="77777777" w:rsidR="000F238D" w:rsidRDefault="00ED6B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A053AEE" w14:textId="77777777" w:rsidR="000F238D" w:rsidRDefault="000F238D">
          <w:pPr>
            <w:ind w:left="27"/>
            <w:jc w:val="both"/>
            <w:rPr>
              <w:rFonts w:ascii="Palatino Linotype" w:eastAsia="Palatino Linotype" w:hAnsi="Palatino Linotype" w:cs="Palatino Linotype"/>
              <w:b/>
              <w:sz w:val="22"/>
              <w:szCs w:val="22"/>
            </w:rPr>
          </w:pPr>
        </w:p>
      </w:tc>
    </w:tr>
    <w:tr w:rsidR="000F238D" w14:paraId="574B53EF" w14:textId="77777777">
      <w:trPr>
        <w:trHeight w:val="228"/>
      </w:trPr>
      <w:tc>
        <w:tcPr>
          <w:tcW w:w="2551" w:type="dxa"/>
          <w:shd w:val="clear" w:color="auto" w:fill="auto"/>
          <w:vAlign w:val="center"/>
        </w:tcPr>
        <w:p w14:paraId="002B6EEA" w14:textId="77777777" w:rsidR="000F238D" w:rsidRDefault="00ED6B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D4ABD42" w14:textId="77777777" w:rsidR="000F238D" w:rsidRDefault="00ED6B18">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F238D" w14:paraId="72ECFDAA" w14:textId="77777777">
      <w:tc>
        <w:tcPr>
          <w:tcW w:w="2551" w:type="dxa"/>
          <w:shd w:val="clear" w:color="auto" w:fill="auto"/>
          <w:vAlign w:val="center"/>
        </w:tcPr>
        <w:p w14:paraId="7FDFE092" w14:textId="77777777" w:rsidR="000F238D" w:rsidRDefault="00ED6B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AB73EB2" w14:textId="77777777" w:rsidR="000F238D" w:rsidRDefault="00ED6B18">
          <w:pPr>
            <w:ind w:left="27"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CC5C25" w14:textId="77777777" w:rsidR="000F238D" w:rsidRDefault="000F238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B0824"/>
    <w:multiLevelType w:val="multilevel"/>
    <w:tmpl w:val="20AE1BE0"/>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50327AD"/>
    <w:multiLevelType w:val="multilevel"/>
    <w:tmpl w:val="A87C1326"/>
    <w:lvl w:ilvl="0">
      <w:start w:val="2"/>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4A736B8C"/>
    <w:multiLevelType w:val="hybridMultilevel"/>
    <w:tmpl w:val="3612D90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5CAC0E3C"/>
    <w:multiLevelType w:val="multilevel"/>
    <w:tmpl w:val="9426F6E2"/>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7000DB4"/>
    <w:multiLevelType w:val="multilevel"/>
    <w:tmpl w:val="C9E4A3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9633CC"/>
    <w:multiLevelType w:val="multilevel"/>
    <w:tmpl w:val="B34C04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8D"/>
    <w:rsid w:val="000F238D"/>
    <w:rsid w:val="003A6432"/>
    <w:rsid w:val="00472F48"/>
    <w:rsid w:val="008C4E15"/>
    <w:rsid w:val="009E6D85"/>
    <w:rsid w:val="00B13A05"/>
    <w:rsid w:val="00BC2B1D"/>
    <w:rsid w:val="00C41EFB"/>
    <w:rsid w:val="00ED6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137B"/>
  <w15:docId w15:val="{EB95D7EA-4EB2-4263-B710-270AD050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83"/>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15" w:type="dxa"/>
        <w:right w:w="115" w:type="dxa"/>
      </w:tblCellMar>
    </w:tblPr>
  </w:style>
  <w:style w:type="table" w:customStyle="1" w:styleId="a9">
    <w:basedOn w:val="TableNormal8"/>
    <w:tblPr>
      <w:tblStyleRowBandSize w:val="1"/>
      <w:tblStyleColBandSize w:val="1"/>
      <w:tblCellMar>
        <w:left w:w="115" w:type="dxa"/>
        <w:right w:w="115" w:type="dxa"/>
      </w:tblCellMar>
    </w:tblPr>
  </w:style>
  <w:style w:type="table" w:customStyle="1" w:styleId="aa">
    <w:basedOn w:val="TableNormal8"/>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7"/>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586633"/>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assets/conocenos/marco_normativo/acuerdos/2024/acuerdo_04_anexo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DCMZMFmSQEn8JwneKpksUZT+g==">CgMxLjAyCGguZ2pkZ3hzMghoLnR5amN3dDIJaC4zMGowemxsMgloLjJzOGV5bzEyDWgucTlhNXBxc3Q2c28yCWguMjZpbjFyZzIIaC5sbnhiejkyCWguMzVua3VuMjIJaC4xa3N2NHV2Mg5oLmJ3cWs0MWJseXBsZjIJaC4xdDNoNXNmOAByITFZVGNTZ09jd0dZLWFxbENqYk1qcTNKM09SS1UxTGVXYg==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853AA4-454B-4B0C-A473-A6FBD9EB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12159</Words>
  <Characters>66877</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2025-03-31T16:00:00Z</cp:lastPrinted>
  <dcterms:created xsi:type="dcterms:W3CDTF">2025-04-07T23:44:00Z</dcterms:created>
  <dcterms:modified xsi:type="dcterms:W3CDTF">2025-04-07T23:44:00Z</dcterms:modified>
</cp:coreProperties>
</file>