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8A3B92"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Resolución del Pleno del Instituto de Transparencia, Acceso a la Información Pública y Protección de Datos Personales del Estado de México y Municipios, con domicilio en Metepec, Estado de México, a doce de noviembre de dos mil veinticinco. </w:t>
      </w:r>
    </w:p>
    <w:p w14:paraId="4A1C25AF" w14:textId="7C190851"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VISTO</w:t>
      </w:r>
      <w:r w:rsidRPr="00EE5F32">
        <w:rPr>
          <w:rFonts w:ascii="Palatino Linotype" w:eastAsia="Palatino Linotype" w:hAnsi="Palatino Linotype" w:cs="Palatino Linotype"/>
          <w:sz w:val="22"/>
          <w:szCs w:val="22"/>
        </w:rPr>
        <w:t xml:space="preserve"> el expediente formado con motivo del recurso de revisión </w:t>
      </w:r>
      <w:r w:rsidRPr="00EE5F32">
        <w:rPr>
          <w:rFonts w:ascii="Palatino Linotype" w:eastAsia="Palatino Linotype" w:hAnsi="Palatino Linotype" w:cs="Palatino Linotype"/>
          <w:b/>
          <w:sz w:val="22"/>
          <w:szCs w:val="22"/>
        </w:rPr>
        <w:t>07804/INFOEM/IP/RR/2025</w:t>
      </w:r>
      <w:r w:rsidRPr="00EE5F32">
        <w:rPr>
          <w:rFonts w:ascii="Palatino Linotype" w:eastAsia="Palatino Linotype" w:hAnsi="Palatino Linotype" w:cs="Palatino Linotype"/>
          <w:sz w:val="22"/>
          <w:szCs w:val="22"/>
        </w:rPr>
        <w:t xml:space="preserve">, interpuesto por </w:t>
      </w:r>
      <w:r w:rsidR="00F60FAF" w:rsidRPr="00F60FAF">
        <w:rPr>
          <w:rFonts w:ascii="Palatino Linotype" w:eastAsia="Palatino Linotype" w:hAnsi="Palatino Linotype" w:cs="Palatino Linotype"/>
          <w:b/>
          <w:sz w:val="22"/>
          <w:szCs w:val="22"/>
        </w:rPr>
        <w:t>XXXXXXXXX XX XXXXXX</w:t>
      </w:r>
      <w:r w:rsidRPr="00F60FAF">
        <w:rPr>
          <w:rFonts w:ascii="Palatino Linotype" w:eastAsia="Palatino Linotype" w:hAnsi="Palatino Linotype" w:cs="Palatino Linotype"/>
          <w:b/>
          <w:sz w:val="22"/>
          <w:szCs w:val="22"/>
        </w:rPr>
        <w:t>,</w:t>
      </w:r>
      <w:bookmarkStart w:id="0" w:name="_GoBack"/>
      <w:bookmarkEnd w:id="0"/>
      <w:r w:rsidRPr="00EE5F32">
        <w:rPr>
          <w:rFonts w:ascii="Palatino Linotype" w:eastAsia="Palatino Linotype" w:hAnsi="Palatino Linotype" w:cs="Palatino Linotype"/>
          <w:b/>
          <w:sz w:val="22"/>
          <w:szCs w:val="22"/>
        </w:rPr>
        <w:t xml:space="preserve"> </w:t>
      </w:r>
      <w:r w:rsidRPr="00EE5F32">
        <w:rPr>
          <w:rFonts w:ascii="Palatino Linotype" w:eastAsia="Palatino Linotype" w:hAnsi="Palatino Linotype" w:cs="Palatino Linotype"/>
          <w:sz w:val="22"/>
          <w:szCs w:val="22"/>
        </w:rPr>
        <w:t>en lo sucesivo</w:t>
      </w:r>
      <w:r w:rsidRPr="00EE5F32">
        <w:rPr>
          <w:rFonts w:ascii="Palatino Linotype" w:eastAsia="Palatino Linotype" w:hAnsi="Palatino Linotype" w:cs="Palatino Linotype"/>
          <w:b/>
          <w:sz w:val="22"/>
          <w:szCs w:val="22"/>
        </w:rPr>
        <w:t xml:space="preserve"> </w:t>
      </w:r>
      <w:r w:rsidRPr="00EE5F32">
        <w:rPr>
          <w:rFonts w:ascii="Palatino Linotype" w:eastAsia="Palatino Linotype" w:hAnsi="Palatino Linotype" w:cs="Palatino Linotype"/>
          <w:sz w:val="22"/>
          <w:szCs w:val="22"/>
        </w:rPr>
        <w:t xml:space="preserve">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en contra de la respuesta a la solicitud de información con número de folio </w:t>
      </w:r>
      <w:r w:rsidRPr="00EE5F32">
        <w:rPr>
          <w:rFonts w:ascii="Palatino Linotype" w:eastAsia="Palatino Linotype" w:hAnsi="Palatino Linotype" w:cs="Palatino Linotype"/>
          <w:b/>
          <w:sz w:val="22"/>
          <w:szCs w:val="22"/>
        </w:rPr>
        <w:t xml:space="preserve">00435/INFOEM/IP/2025, </w:t>
      </w:r>
      <w:r w:rsidRPr="00EE5F32">
        <w:rPr>
          <w:rFonts w:ascii="Palatino Linotype" w:eastAsia="Palatino Linotype" w:hAnsi="Palatino Linotype" w:cs="Palatino Linotype"/>
          <w:sz w:val="22"/>
          <w:szCs w:val="22"/>
        </w:rPr>
        <w:t xml:space="preserve">por parte del </w:t>
      </w:r>
      <w:r w:rsidRPr="00EE5F32">
        <w:rPr>
          <w:rFonts w:ascii="Palatino Linotype" w:eastAsia="Palatino Linotype" w:hAnsi="Palatino Linotype" w:cs="Palatino Linotype"/>
          <w:b/>
          <w:sz w:val="22"/>
          <w:szCs w:val="22"/>
        </w:rPr>
        <w:t xml:space="preserve">Instituto de Transparencia, Acceso a la Información Pública y Protección de Datos Personales del Estado de México y Municipios, </w:t>
      </w:r>
      <w:r w:rsidRPr="00EE5F32">
        <w:rPr>
          <w:rFonts w:ascii="Palatino Linotype" w:eastAsia="Palatino Linotype" w:hAnsi="Palatino Linotype" w:cs="Palatino Linotype"/>
          <w:sz w:val="22"/>
          <w:szCs w:val="22"/>
        </w:rPr>
        <w:t xml:space="preserve">en lo sucesivo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 xml:space="preserve">se procede a dictar la presente resolución con base en los siguientes: </w:t>
      </w:r>
    </w:p>
    <w:p w14:paraId="34DE75A7" w14:textId="77777777" w:rsidR="00D84ACA" w:rsidRPr="00EE5F32" w:rsidRDefault="001B26A8">
      <w:pPr>
        <w:spacing w:before="240" w:after="240" w:line="360" w:lineRule="auto"/>
        <w:jc w:val="center"/>
        <w:rPr>
          <w:rFonts w:ascii="Palatino Linotype" w:eastAsia="Palatino Linotype" w:hAnsi="Palatino Linotype" w:cs="Palatino Linotype"/>
          <w:b/>
          <w:sz w:val="22"/>
          <w:szCs w:val="22"/>
        </w:rPr>
      </w:pPr>
      <w:r w:rsidRPr="00EE5F32">
        <w:rPr>
          <w:rFonts w:ascii="Palatino Linotype" w:eastAsia="Palatino Linotype" w:hAnsi="Palatino Linotype" w:cs="Palatino Linotype"/>
          <w:b/>
          <w:sz w:val="22"/>
          <w:szCs w:val="22"/>
        </w:rPr>
        <w:t>I. A N T E C E D E N T E S</w:t>
      </w:r>
    </w:p>
    <w:p w14:paraId="555461A8"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b/>
          <w:sz w:val="22"/>
          <w:szCs w:val="22"/>
        </w:rPr>
        <w:t>1. Solicitud de acceso a la información.</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quince de mayo de dos mil veinticinco,</w:t>
      </w:r>
      <w:r w:rsidRPr="00EE5F32">
        <w:rPr>
          <w:rFonts w:ascii="Palatino Linotype" w:eastAsia="Palatino Linotype" w:hAnsi="Palatino Linotype" w:cs="Palatino Linotype"/>
          <w:sz w:val="22"/>
          <w:szCs w:val="22"/>
        </w:rPr>
        <w:t xml:space="preserve"> la persona solicitante presentó la solicitud de acceso a la información pública ante 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través del Sistema de Acceso a la Información Mexiquense, en lo subsecuente el </w:t>
      </w:r>
      <w:r w:rsidRPr="00EE5F32">
        <w:rPr>
          <w:rFonts w:ascii="Palatino Linotype" w:eastAsia="Palatino Linotype" w:hAnsi="Palatino Linotype" w:cs="Palatino Linotype"/>
          <w:b/>
          <w:sz w:val="22"/>
          <w:szCs w:val="22"/>
        </w:rPr>
        <w:t>SAIMEX;</w:t>
      </w:r>
      <w:r w:rsidRPr="00EE5F32">
        <w:rPr>
          <w:rFonts w:ascii="Palatino Linotype" w:eastAsia="Palatino Linotype" w:hAnsi="Palatino Linotype" w:cs="Palatino Linotype"/>
          <w:sz w:val="22"/>
          <w:szCs w:val="22"/>
        </w:rPr>
        <w:t xml:space="preserve"> mediante la cual requirió lo siguiente:</w:t>
      </w:r>
    </w:p>
    <w:p w14:paraId="213349A4" w14:textId="77777777" w:rsidR="00D84ACA" w:rsidRPr="00EE5F32" w:rsidRDefault="001B26A8">
      <w:pPr>
        <w:spacing w:before="120" w:after="120"/>
        <w:ind w:left="851" w:right="902"/>
        <w:jc w:val="both"/>
        <w:rPr>
          <w:rFonts w:ascii="Palatino Linotype" w:eastAsia="Palatino Linotype" w:hAnsi="Palatino Linotype" w:cs="Palatino Linotype"/>
          <w:b/>
          <w:i/>
          <w:sz w:val="22"/>
          <w:szCs w:val="22"/>
        </w:rPr>
      </w:pPr>
      <w:bookmarkStart w:id="1" w:name="_heading=h.62arw6sn5m6p" w:colFirst="0" w:colLast="0"/>
      <w:bookmarkEnd w:id="1"/>
      <w:r w:rsidRPr="00EE5F32">
        <w:rPr>
          <w:rFonts w:ascii="Palatino Linotype" w:eastAsia="Palatino Linotype" w:hAnsi="Palatino Linotype" w:cs="Palatino Linotype"/>
          <w:i/>
          <w:sz w:val="22"/>
          <w:szCs w:val="22"/>
        </w:rPr>
        <w:t xml:space="preserve">“ASUNTO: </w:t>
      </w:r>
      <w:r w:rsidRPr="00EE5F32">
        <w:rPr>
          <w:rFonts w:ascii="Palatino Linotype" w:eastAsia="Palatino Linotype" w:hAnsi="Palatino Linotype" w:cs="Palatino Linotype"/>
          <w:b/>
          <w:i/>
          <w:sz w:val="22"/>
          <w:szCs w:val="22"/>
        </w:rPr>
        <w:t>Solicitud de alineamiento, investigación y eventual sanción al Ayuntamiento de Toluca por obstaculizar el acceso a la información pública, violar el principio de máxima publicidad y restringir la participación ciudadana en medios oficiales digitales</w:t>
      </w:r>
      <w:r w:rsidRPr="00EE5F32">
        <w:rPr>
          <w:rFonts w:ascii="Palatino Linotype" w:eastAsia="Palatino Linotype" w:hAnsi="Palatino Linotype" w:cs="Palatino Linotype"/>
          <w:i/>
          <w:sz w:val="22"/>
          <w:szCs w:val="22"/>
        </w:rPr>
        <w:t xml:space="preserve">. EXPONGO: Con fundamento en los artículos 6º y 7º de la Constitución Política de los Estados Unidos Mexicanos, 4º y 5º de la Constitución del Estado de México, 5, 11, 75, 79 y 140 de la Ley de Transparencia y Acceso a la Información Pública del Estado de México y Municipios, y 28 de la Ley Orgánica Municipal del Estado de </w:t>
      </w:r>
      <w:r w:rsidRPr="00EE5F32">
        <w:rPr>
          <w:rFonts w:ascii="Palatino Linotype" w:eastAsia="Palatino Linotype" w:hAnsi="Palatino Linotype" w:cs="Palatino Linotype"/>
          <w:i/>
          <w:sz w:val="22"/>
          <w:szCs w:val="22"/>
        </w:rPr>
        <w:lastRenderedPageBreak/>
        <w:t>México, comparezco a solicitar formalmente: Que este Instituto inicie las investigaciones correspondientes sobre el manejo restrictivo y discrecional de los espacios digitales oficiales del Ayuntamiento de Toluca, particularmente en la red social Facebook, you tube donde: Se transmiten las sesiones de Cabildo, conferencias de prensa y difusion de obras y acciones pero no se permite el uso del chat para opinar o preguntar, aun cuando se trata de actos públicos y deliberativos. Se eliminan comentarios críticos o incómodos para la administración, aún si no contienen lenguaje ofensivo ni violan términos legales. Se bloquea a ciudadanos de la página oficial, impidiendo así su participación, consulta y expresión. Que se determine si estas acciones constituyen una violación sistemática al derecho de acceso a la información pública, a la libertad de expresión y a la rendición de cuentas, al impedir que la ciudadanía: Intervenga de manera activa en las sesiones públicas. (sesiones de cabildo, conferencias de prensa) Tenga certeza de que sus observaciones u opiniones serán respetadas y respondidas. Pueda dar seguimiento continuo a los asuntos del gobierno municipal. Que, de acreditarse la existencia de estas restricciones injustificadas, se emita un alineamiento obligatorio al Ayuntamiento para que: Garantice la apertura plena de los espacios oficiales de comunicación institucional. Se abstenga de eliminar o bloquear arbitrariamente a usuarios que ejercen su derecho de opinión. Se habilite el chat en vivo en transmisiones públicas, como mínimo durante las sesiones de Cabildo y conferencias de prensa o transmisiones en vivo de actos publicos, pagados con recursos publicos, o difusion de obras y acciones. Que se evalúe si procede imponer una sanción administrativa al Ayuntamiento y/o a los responsables de gestionar sus medios digitales, por contravenir los principios de máxima publicidad, accesibilidad, legalidad y no discriminación. PRUEBA INICIAL: Basta navegar desde distintos perfiles o comparar visualmente la interacción permitida en dichas transmisiones para advertir la restricción sistemática de opiniones críticas y bloqueos arbitrarios. PETICIÓN FINAL: Solicito que esta denuncia se turne al área correspondiente del INFOEM para su análisis, seguimiento y resolución formal, conforme a las facultades establecidas en la ley.</w:t>
      </w:r>
      <w:r w:rsidRPr="00EE5F32">
        <w:rPr>
          <w:rFonts w:ascii="Palatino Linotype" w:eastAsia="Palatino Linotype" w:hAnsi="Palatino Linotype" w:cs="Palatino Linotype"/>
          <w:b/>
          <w:i/>
          <w:sz w:val="22"/>
          <w:szCs w:val="22"/>
        </w:rPr>
        <w:t>”</w:t>
      </w:r>
      <w:r w:rsidRPr="00EE5F32">
        <w:rPr>
          <w:rFonts w:ascii="Palatino Linotype" w:eastAsia="Palatino Linotype" w:hAnsi="Palatino Linotype" w:cs="Palatino Linotype"/>
          <w:i/>
          <w:sz w:val="22"/>
          <w:szCs w:val="22"/>
        </w:rPr>
        <w:t xml:space="preserve"> (sic) </w:t>
      </w:r>
    </w:p>
    <w:p w14:paraId="479CE9BA"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bookmarkStart w:id="2" w:name="_heading=h.3dy6vkm" w:colFirst="0" w:colLast="0"/>
      <w:bookmarkEnd w:id="2"/>
      <w:r w:rsidRPr="00EE5F32">
        <w:rPr>
          <w:rFonts w:ascii="Palatino Linotype" w:eastAsia="Palatino Linotype" w:hAnsi="Palatino Linotype" w:cs="Palatino Linotype"/>
          <w:b/>
          <w:sz w:val="22"/>
          <w:szCs w:val="22"/>
        </w:rPr>
        <w:t>Modalidad de Entrega:</w:t>
      </w:r>
      <w:r w:rsidRPr="00EE5F32">
        <w:rPr>
          <w:rFonts w:ascii="Palatino Linotype" w:eastAsia="Palatino Linotype" w:hAnsi="Palatino Linotype" w:cs="Palatino Linotype"/>
          <w:sz w:val="22"/>
          <w:szCs w:val="22"/>
        </w:rPr>
        <w:t xml:space="preserve"> a través </w:t>
      </w:r>
      <w:r w:rsidRPr="00EE5F32">
        <w:rPr>
          <w:rFonts w:ascii="Palatino Linotype" w:eastAsia="Palatino Linotype" w:hAnsi="Palatino Linotype" w:cs="Palatino Linotype"/>
          <w:b/>
          <w:sz w:val="22"/>
          <w:szCs w:val="22"/>
        </w:rPr>
        <w:t>de SAIMEX</w:t>
      </w:r>
    </w:p>
    <w:p w14:paraId="69BF538B" w14:textId="77777777" w:rsidR="00D84ACA" w:rsidRPr="00EE5F32" w:rsidRDefault="001B26A8">
      <w:pPr>
        <w:pBdr>
          <w:top w:val="nil"/>
          <w:left w:val="nil"/>
          <w:bottom w:val="nil"/>
          <w:right w:val="nil"/>
          <w:between w:val="nil"/>
        </w:pBdr>
        <w:tabs>
          <w:tab w:val="left" w:pos="3119"/>
        </w:tabs>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lastRenderedPageBreak/>
        <w:t xml:space="preserve">2. Solicitud de aclaración: </w:t>
      </w:r>
      <w:r w:rsidRPr="00EE5F32">
        <w:rPr>
          <w:rFonts w:ascii="Palatino Linotype" w:eastAsia="Palatino Linotype" w:hAnsi="Palatino Linotype" w:cs="Palatino Linotype"/>
          <w:sz w:val="22"/>
          <w:szCs w:val="22"/>
        </w:rPr>
        <w:t xml:space="preserve">El </w:t>
      </w:r>
      <w:r w:rsidRPr="00EE5F32">
        <w:rPr>
          <w:rFonts w:ascii="Palatino Linotype" w:eastAsia="Palatino Linotype" w:hAnsi="Palatino Linotype" w:cs="Palatino Linotype"/>
          <w:b/>
          <w:sz w:val="22"/>
          <w:szCs w:val="22"/>
        </w:rPr>
        <w:t>dieciséis de mayo dos mil veinticinco</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solicito una aclaración de la siguiente manera:     </w:t>
      </w:r>
    </w:p>
    <w:p w14:paraId="6BF4E691"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“Con fundamento en el artículo 159 de la Ley de Transparencia y Acceso a la Información Pública del Estado de México y Municipios, se formula el requerimiento de aclaración en términos del documento adjunto.</w:t>
      </w:r>
    </w:p>
    <w:p w14:paraId="2D3E382C"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 xml:space="preserve">En caso de que no se desahogue el requerimiento señalado dentro del plazo citado se tendrá por no presentada la solicitud de información, quedando a salvo sus derechos para volver a presentar la solicitud, lo anterior con fundamento en el artículo 159 de la Ley invocada.” (sic)        </w:t>
      </w:r>
    </w:p>
    <w:p w14:paraId="46FDAE40" w14:textId="77777777" w:rsidR="00D84ACA" w:rsidRPr="00EE5F32" w:rsidRDefault="001B26A8">
      <w:pPr>
        <w:widowControl w:val="0"/>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 xml:space="preserve"> adjuntó el escrito mediante el cual la Titular de la Unidad de Transparencia de este Instituto, una vez analizada la solicitud de acceso a la información, advirtió la necesidad de requerir a la persona solicitante, de conformidad con lo previsto en el artículo 159 de la Ley de Transparencia y Acceso a la Información Pública del Estado de México y Municipios, a efecto de que, en un término de diez días hábiles contados a partir de la notificación, indicara de manera detallada el o los documentos a los cuales desea acceder, al no ser posible identificar la documentación o información pública generada, poseída o administrada por 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que pretende obtener, en el ejercicio de las funciones y/o atribuciones que tiene conferidas, asimismo, precisó que una solicitud de acceso a la información pública se concibe como la presentación de un requerimiento de información ante cualquier Sujeto Obligado cuyo objeto consiste en ejercer el derecho de acceso a información pública gubernamental y tiene una expresión documental, y, finalmente, le apercibió que en caso de no desahogar la solicitud de aclaración dentro del término indicado, la solicitud de información se tendría por no presentada, quedando a salvo su derecho de solicitar nuevamente la información.</w:t>
      </w:r>
    </w:p>
    <w:p w14:paraId="0D12A4EB" w14:textId="77777777" w:rsidR="00D84ACA" w:rsidRPr="00EE5F32" w:rsidRDefault="001B26A8">
      <w:pPr>
        <w:widowControl w:val="0"/>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3. Contestación a la solicitud de aclaración. </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veinte de mayo de dos mil veinticinco</w:t>
      </w:r>
      <w:r w:rsidRPr="00EE5F32">
        <w:rPr>
          <w:rFonts w:ascii="Palatino Linotype" w:eastAsia="Palatino Linotype" w:hAnsi="Palatino Linotype" w:cs="Palatino Linotype"/>
          <w:sz w:val="22"/>
          <w:szCs w:val="22"/>
        </w:rPr>
        <w:t>, la persona solicitante dio contestación a la aclaración de la siguiente manera:</w:t>
      </w:r>
    </w:p>
    <w:p w14:paraId="1F4D92C8"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bookmarkStart w:id="3" w:name="_heading=h.k045251bwe9a" w:colFirst="0" w:colLast="0"/>
      <w:bookmarkEnd w:id="3"/>
      <w:r w:rsidRPr="00EE5F32">
        <w:rPr>
          <w:rFonts w:ascii="Palatino Linotype" w:eastAsia="Palatino Linotype" w:hAnsi="Palatino Linotype" w:cs="Palatino Linotype"/>
          <w:i/>
          <w:sz w:val="22"/>
          <w:szCs w:val="22"/>
        </w:rPr>
        <w:t>“</w:t>
      </w:r>
      <w:r w:rsidRPr="00EE5F32">
        <w:rPr>
          <w:rFonts w:ascii="Segoe UI Emoji" w:eastAsia="Quattrocento Sans" w:hAnsi="Segoe UI Emoji" w:cs="Segoe UI Emoji"/>
          <w:i/>
          <w:sz w:val="22"/>
          <w:szCs w:val="22"/>
        </w:rPr>
        <w:t>📄</w:t>
      </w:r>
      <w:r w:rsidRPr="00EE5F32">
        <w:rPr>
          <w:rFonts w:ascii="Palatino Linotype" w:eastAsia="Palatino Linotype" w:hAnsi="Palatino Linotype" w:cs="Palatino Linotype"/>
          <w:i/>
          <w:sz w:val="22"/>
          <w:szCs w:val="22"/>
        </w:rPr>
        <w:t xml:space="preserve"> RESPUESTA AL REQUERIMIENTO DE ACLARACIÓN Expediente: SIP00435/2025UT Dirigido a: Unidad de Transparencia del INFOEM Fundamento invocado por el sujeto obligado: Artículo 159 de la LTAIPEMyM Medio de presentación: Plataforma SAIMEX RESPUESTA: En atención al requerimiento emitido con fundamento en el artículo 159 de la Ley de Transparencia y Acceso a la Información Pública del Estado de México y Municipios, me permito formular la presente aclaración: </w:t>
      </w:r>
      <w:sdt>
        <w:sdtPr>
          <w:rPr>
            <w:rFonts w:ascii="Palatino Linotype" w:hAnsi="Palatino Linotype"/>
          </w:rPr>
          <w:tag w:val="goog_rdk_0"/>
          <w:id w:val="-1259536148"/>
        </w:sdtPr>
        <w:sdtEndPr/>
        <w:sdtContent>
          <w:r w:rsidRPr="00EE5F32">
            <w:rPr>
              <w:rFonts w:ascii="Segoe UI Emoji" w:eastAsia="Arial Unicode MS" w:hAnsi="Segoe UI Emoji" w:cs="Segoe UI Emoji"/>
              <w:i/>
              <w:sz w:val="22"/>
              <w:szCs w:val="22"/>
            </w:rPr>
            <w:t>❌</w:t>
          </w:r>
        </w:sdtContent>
      </w:sdt>
      <w:r w:rsidRPr="00EE5F32">
        <w:rPr>
          <w:rFonts w:ascii="Palatino Linotype" w:eastAsia="Palatino Linotype" w:hAnsi="Palatino Linotype" w:cs="Palatino Linotype"/>
          <w:i/>
          <w:sz w:val="22"/>
          <w:szCs w:val="22"/>
        </w:rPr>
        <w:t xml:space="preserve"> Precisión sobre la interpretación errónea del sujeto obligado: </w:t>
      </w:r>
      <w:r w:rsidRPr="00EE5F32">
        <w:rPr>
          <w:rFonts w:ascii="Palatino Linotype" w:eastAsia="Palatino Linotype" w:hAnsi="Palatino Linotype" w:cs="Palatino Linotype"/>
          <w:b/>
          <w:i/>
          <w:sz w:val="22"/>
          <w:szCs w:val="22"/>
        </w:rPr>
        <w:t>La solicitud presentada no requiere identificar un documento específico con folio o título, ni es confusa, como sugiere el requerimiento</w:t>
      </w:r>
      <w:r w:rsidRPr="00EE5F32">
        <w:rPr>
          <w:rFonts w:ascii="Palatino Linotype" w:eastAsia="Palatino Linotype" w:hAnsi="Palatino Linotype" w:cs="Palatino Linotype"/>
          <w:i/>
          <w:sz w:val="22"/>
          <w:szCs w:val="22"/>
        </w:rPr>
        <w:t xml:space="preserve">. </w:t>
      </w:r>
      <w:r w:rsidRPr="00EE5F32">
        <w:rPr>
          <w:rFonts w:ascii="Palatino Linotype" w:eastAsia="Palatino Linotype" w:hAnsi="Palatino Linotype" w:cs="Palatino Linotype"/>
          <w:b/>
          <w:i/>
          <w:sz w:val="22"/>
          <w:szCs w:val="22"/>
          <w:u w:val="single"/>
        </w:rPr>
        <w:t>Lo solicitado no es un documento, sino una serie de acciones verificables por parte del INFOEM en su calidad de organismo garante del derecho de acceso a la información pública</w:t>
      </w:r>
      <w:r w:rsidRPr="00EE5F32">
        <w:rPr>
          <w:rFonts w:ascii="Palatino Linotype" w:eastAsia="Palatino Linotype" w:hAnsi="Palatino Linotype" w:cs="Palatino Linotype"/>
          <w:i/>
          <w:sz w:val="22"/>
          <w:szCs w:val="22"/>
        </w:rPr>
        <w:t xml:space="preserve">. </w:t>
      </w:r>
      <w:sdt>
        <w:sdtPr>
          <w:rPr>
            <w:rFonts w:ascii="Palatino Linotype" w:hAnsi="Palatino Linotype"/>
          </w:rPr>
          <w:tag w:val="goog_rdk_1"/>
          <w:id w:val="597806717"/>
        </w:sdtPr>
        <w:sdtEndPr/>
        <w:sdtContent>
          <w:r w:rsidRPr="00EE5F32">
            <w:rPr>
              <w:rFonts w:ascii="Segoe UI Emoji" w:eastAsia="Arial Unicode MS" w:hAnsi="Segoe UI Emoji" w:cs="Segoe UI Emoji"/>
              <w:i/>
              <w:sz w:val="22"/>
              <w:szCs w:val="22"/>
            </w:rPr>
            <w:t>✅</w:t>
          </w:r>
        </w:sdtContent>
      </w:sdt>
      <w:r w:rsidRPr="00EE5F32">
        <w:rPr>
          <w:rFonts w:ascii="Palatino Linotype" w:eastAsia="Palatino Linotype" w:hAnsi="Palatino Linotype" w:cs="Palatino Linotype"/>
          <w:i/>
          <w:sz w:val="22"/>
          <w:szCs w:val="22"/>
        </w:rPr>
        <w:t xml:space="preserve"> ¿Qué sí se solicitó? Se pidió saber si el INFOEM ha emitido alguna medida, oficio, pronunciamiento, acuerdo, recomendación o acción documentada, sobre el hecho de que los Ayuntamientos del Estado de México (incluido Toluca): Transmiten sesiones de Cabildo en redes sociales sin habilitar el uso del chat en vivo. Bloquean o restringen la participación ciudadana en dichas transmisiones. Eliminaron comentarios u opiniones legítimas de los ciudadanos en sus páginas oficiales. Se solicitó saber si el INFOEM ha tomado conocimiento, ha iniciado alguna acción institucional, o tiene previsto hacerlo, para garantizar el acceso pleno, abierto y participativo a esas transmisiones oficiales, ya que constituyen un medio por el cual se difunde información pública y se ejerce el principio de máxima publicidad</w:t>
      </w:r>
      <w:r w:rsidRPr="00EE5F32">
        <w:rPr>
          <w:rFonts w:ascii="Palatino Linotype" w:eastAsia="Palatino Linotype" w:hAnsi="Palatino Linotype" w:cs="Palatino Linotype"/>
          <w:b/>
          <w:i/>
          <w:sz w:val="22"/>
          <w:szCs w:val="22"/>
        </w:rPr>
        <w:t>.</w:t>
      </w:r>
      <w:r w:rsidRPr="00EE5F32">
        <w:rPr>
          <w:rFonts w:ascii="Palatino Linotype" w:eastAsia="Palatino Linotype" w:hAnsi="Palatino Linotype" w:cs="Palatino Linotype"/>
          <w:i/>
          <w:sz w:val="22"/>
          <w:szCs w:val="22"/>
        </w:rPr>
        <w:t xml:space="preserve"> </w:t>
      </w:r>
      <w:r w:rsidRPr="00EE5F32">
        <w:rPr>
          <w:rFonts w:ascii="Segoe UI Emoji" w:eastAsia="Quattrocento Sans" w:hAnsi="Segoe UI Emoji" w:cs="Segoe UI Emoji"/>
          <w:i/>
          <w:sz w:val="22"/>
          <w:szCs w:val="22"/>
        </w:rPr>
        <w:t>📌</w:t>
      </w:r>
      <w:r w:rsidRPr="00EE5F32">
        <w:rPr>
          <w:rFonts w:ascii="Palatino Linotype" w:eastAsia="Palatino Linotype" w:hAnsi="Palatino Linotype" w:cs="Palatino Linotype"/>
          <w:i/>
          <w:sz w:val="22"/>
          <w:szCs w:val="22"/>
        </w:rPr>
        <w:t xml:space="preserve"> Fundamento jurídico específico: Artículo 11 de la Ley de Transparencia: “En la generación, publicación y entrega de información se deberá garantizar que esta sea accesible, actualizada, completa, congruente, confiable, verificable, veraz, integral, oportuna y expedita...” </w:t>
      </w:r>
      <w:r w:rsidRPr="00EE5F32">
        <w:rPr>
          <w:rFonts w:ascii="Segoe UI Emoji" w:eastAsia="Quattrocento Sans" w:hAnsi="Segoe UI Emoji" w:cs="Segoe UI Emoji"/>
          <w:i/>
          <w:sz w:val="22"/>
          <w:szCs w:val="22"/>
        </w:rPr>
        <w:t>📍</w:t>
      </w:r>
      <w:r w:rsidRPr="00EE5F32">
        <w:rPr>
          <w:rFonts w:ascii="Palatino Linotype" w:eastAsia="Palatino Linotype" w:hAnsi="Palatino Linotype" w:cs="Palatino Linotype"/>
          <w:i/>
          <w:sz w:val="22"/>
          <w:szCs w:val="22"/>
        </w:rPr>
        <w:t xml:space="preserve"> Bloquear ciudadanos o eliminar su posibilidad de interactuar en transmisiones oficiales vulnera los principios de accesibilidad y verificabilidad de la información pública. Artículo 12, segundo párrafo: “Los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r w:rsidRPr="00EE5F32">
        <w:rPr>
          <w:rFonts w:ascii="Segoe UI Emoji" w:eastAsia="Quattrocento Sans" w:hAnsi="Segoe UI Emoji" w:cs="Segoe UI Emoji"/>
          <w:i/>
          <w:sz w:val="22"/>
          <w:szCs w:val="22"/>
        </w:rPr>
        <w:t>📍</w:t>
      </w:r>
      <w:r w:rsidRPr="00EE5F32">
        <w:rPr>
          <w:rFonts w:ascii="Palatino Linotype" w:eastAsia="Palatino Linotype" w:hAnsi="Palatino Linotype" w:cs="Palatino Linotype"/>
          <w:i/>
          <w:sz w:val="22"/>
          <w:szCs w:val="22"/>
        </w:rPr>
        <w:t xml:space="preserve"> Por lo tanto, </w:t>
      </w:r>
      <w:r w:rsidRPr="00EE5F32">
        <w:rPr>
          <w:rFonts w:ascii="Palatino Linotype" w:eastAsia="Palatino Linotype" w:hAnsi="Palatino Linotype" w:cs="Palatino Linotype"/>
          <w:b/>
          <w:i/>
          <w:sz w:val="22"/>
          <w:szCs w:val="22"/>
          <w:u w:val="single"/>
        </w:rPr>
        <w:t>no se requiere que el INFOEM cree información nueva, sino que informe si ha documentado actuaciones institucionales sobre el tema, y entregue copia en el estado en que obren en sus archivos</w:t>
      </w:r>
      <w:r w:rsidRPr="00EE5F32">
        <w:rPr>
          <w:rFonts w:ascii="Palatino Linotype" w:eastAsia="Palatino Linotype" w:hAnsi="Palatino Linotype" w:cs="Palatino Linotype"/>
          <w:i/>
          <w:sz w:val="22"/>
          <w:szCs w:val="22"/>
        </w:rPr>
        <w:t xml:space="preserve">. Artículo 24, fracción V: “Promover la generación, documentación y publicación de la información en formatos abiertos y accesibles.” </w:t>
      </w:r>
      <w:r w:rsidRPr="00EE5F32">
        <w:rPr>
          <w:rFonts w:ascii="Segoe UI Emoji" w:eastAsia="Quattrocento Sans" w:hAnsi="Segoe UI Emoji" w:cs="Segoe UI Emoji"/>
          <w:i/>
          <w:sz w:val="22"/>
          <w:szCs w:val="22"/>
        </w:rPr>
        <w:t>📍</w:t>
      </w:r>
      <w:r w:rsidRPr="00EE5F32">
        <w:rPr>
          <w:rFonts w:ascii="Palatino Linotype" w:eastAsia="Palatino Linotype" w:hAnsi="Palatino Linotype" w:cs="Palatino Linotype"/>
          <w:i/>
          <w:sz w:val="22"/>
          <w:szCs w:val="22"/>
        </w:rPr>
        <w:t xml:space="preserve"> Al tratarse de sesiones públicas y conferencias transmitidas por redes institucionales (como Facebook), la información ahí contenida debe garantizarse de forma abierta, completa y sin barreras digitales selectivas. </w:t>
      </w:r>
      <w:r w:rsidRPr="00EE5F32">
        <w:rPr>
          <w:rFonts w:ascii="Segoe UI Emoji" w:eastAsia="Quattrocento Sans" w:hAnsi="Segoe UI Emoji" w:cs="Segoe UI Emoji"/>
          <w:i/>
          <w:sz w:val="22"/>
          <w:szCs w:val="22"/>
        </w:rPr>
        <w:t>⚠️</w:t>
      </w:r>
      <w:r w:rsidRPr="00EE5F32">
        <w:rPr>
          <w:rFonts w:ascii="Palatino Linotype" w:eastAsia="Palatino Linotype" w:hAnsi="Palatino Linotype" w:cs="Palatino Linotype"/>
          <w:i/>
          <w:sz w:val="22"/>
          <w:szCs w:val="22"/>
        </w:rPr>
        <w:t xml:space="preserve"> Sobre la naturaleza de lo solicitado: No se pidió acta de Cabildo ni documento específico. </w:t>
      </w:r>
      <w:r w:rsidRPr="00EE5F32">
        <w:rPr>
          <w:rFonts w:ascii="Palatino Linotype" w:eastAsia="Palatino Linotype" w:hAnsi="Palatino Linotype" w:cs="Palatino Linotype"/>
          <w:b/>
          <w:i/>
          <w:sz w:val="22"/>
          <w:szCs w:val="22"/>
          <w:u w:val="single"/>
        </w:rPr>
        <w:t>Se planteó que el INFOEM se posicione institucionalmente respecto a las prácticas de censura indirecta y restricción digital que están afectando la rendición de cuentas y el ejercicio pleno del derecho a la información.</w:t>
      </w:r>
      <w:r w:rsidRPr="00EE5F32">
        <w:rPr>
          <w:rFonts w:ascii="Palatino Linotype" w:eastAsia="Palatino Linotype" w:hAnsi="Palatino Linotype" w:cs="Palatino Linotype"/>
          <w:i/>
          <w:sz w:val="22"/>
          <w:szCs w:val="22"/>
        </w:rPr>
        <w:t xml:space="preserve"> </w:t>
      </w:r>
      <w:r w:rsidRPr="00EE5F32">
        <w:rPr>
          <w:rFonts w:ascii="Segoe UI Emoji" w:eastAsia="Quattrocento Sans" w:hAnsi="Segoe UI Emoji" w:cs="Segoe UI Emoji"/>
          <w:i/>
          <w:sz w:val="22"/>
          <w:szCs w:val="22"/>
        </w:rPr>
        <w:t>🛡️</w:t>
      </w:r>
      <w:r w:rsidRPr="00EE5F32">
        <w:rPr>
          <w:rFonts w:ascii="Palatino Linotype" w:eastAsia="Palatino Linotype" w:hAnsi="Palatino Linotype" w:cs="Palatino Linotype"/>
          <w:i/>
          <w:sz w:val="22"/>
          <w:szCs w:val="22"/>
        </w:rPr>
        <w:t xml:space="preserve"> </w:t>
      </w:r>
      <w:r w:rsidRPr="00EE5F32">
        <w:rPr>
          <w:rFonts w:ascii="Palatino Linotype" w:eastAsia="Palatino Linotype" w:hAnsi="Palatino Linotype" w:cs="Palatino Linotype"/>
          <w:b/>
          <w:i/>
          <w:sz w:val="22"/>
          <w:szCs w:val="22"/>
          <w:u w:val="single"/>
        </w:rPr>
        <w:t>Petición final: Se solicita que:</w:t>
      </w:r>
      <w:r w:rsidRPr="00EE5F32">
        <w:rPr>
          <w:rFonts w:ascii="Palatino Linotype" w:eastAsia="Palatino Linotype" w:hAnsi="Palatino Linotype" w:cs="Palatino Linotype"/>
          <w:i/>
          <w:sz w:val="22"/>
          <w:szCs w:val="22"/>
        </w:rPr>
        <w:t xml:space="preserve"> Se tenga por debidamente aclarada la solicitud SIP00435/2025UT. Se reconduzca el trámite al análisis de fondo. </w:t>
      </w:r>
      <w:r w:rsidRPr="00EE5F32">
        <w:rPr>
          <w:rFonts w:ascii="Palatino Linotype" w:eastAsia="Palatino Linotype" w:hAnsi="Palatino Linotype" w:cs="Palatino Linotype"/>
          <w:b/>
          <w:i/>
          <w:sz w:val="22"/>
          <w:szCs w:val="22"/>
          <w:u w:val="single"/>
        </w:rPr>
        <w:t>El INFOEM emita respuesta sustantiva sobre lo solicitado: acciones institucionales que ha realizado o tiene previstas frente a la obstrucción ciudadana en redes oficiales utilizadas para difundir información pública.</w:t>
      </w:r>
      <w:r w:rsidRPr="00EE5F32">
        <w:rPr>
          <w:rFonts w:ascii="Palatino Linotype" w:eastAsia="Palatino Linotype" w:hAnsi="Palatino Linotype" w:cs="Palatino Linotype"/>
          <w:i/>
          <w:sz w:val="22"/>
          <w:szCs w:val="22"/>
        </w:rPr>
        <w:t xml:space="preserve"> Se solicita que: Se tenga por debidamente aclarada la solicitud SIP00435/2025UT. Se reconduzca el trámite al análisis de fondo. El INFOEM emita respuesta sustantiva sobre lo solicitado: acciones institucionales que ha realizado o tiene previstas frente a la obstrucción ciudadana en redes oficiales utilizadas para difundir información pública. Asimismo, </w:t>
      </w:r>
      <w:r w:rsidRPr="00EE5F32">
        <w:rPr>
          <w:rFonts w:ascii="Palatino Linotype" w:eastAsia="Palatino Linotype" w:hAnsi="Palatino Linotype" w:cs="Palatino Linotype"/>
          <w:b/>
          <w:i/>
          <w:sz w:val="22"/>
          <w:szCs w:val="22"/>
          <w:u w:val="single"/>
        </w:rPr>
        <w:t>se informe si el INFOEM ha detectado omisiones por parte del Ayuntamiento correspondiente, y en su caso, si ya se le ha emitido alguna recomendación, medida de apremio o apercibimiento, o bien si el INFOEM se encuentra en proceso de análisis para determinar tales omisiones</w:t>
      </w:r>
      <w:r w:rsidRPr="00EE5F32">
        <w:rPr>
          <w:rFonts w:ascii="Palatino Linotype" w:eastAsia="Palatino Linotype" w:hAnsi="Palatino Linotype" w:cs="Palatino Linotype"/>
          <w:i/>
          <w:sz w:val="22"/>
          <w:szCs w:val="22"/>
        </w:rPr>
        <w:t>.” (sic)</w:t>
      </w:r>
    </w:p>
    <w:p w14:paraId="7E04BA1A" w14:textId="77777777" w:rsidR="00D84ACA" w:rsidRPr="00EE5F32" w:rsidRDefault="001B26A8">
      <w:pPr>
        <w:pBdr>
          <w:top w:val="nil"/>
          <w:left w:val="nil"/>
          <w:bottom w:val="nil"/>
          <w:right w:val="nil"/>
          <w:between w:val="nil"/>
        </w:pBdr>
        <w:tabs>
          <w:tab w:val="left" w:pos="3119"/>
        </w:tabs>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4. Respuesta. </w:t>
      </w:r>
      <w:r w:rsidRPr="00EE5F32">
        <w:rPr>
          <w:rFonts w:ascii="Palatino Linotype" w:eastAsia="Palatino Linotype" w:hAnsi="Palatino Linotype" w:cs="Palatino Linotype"/>
          <w:sz w:val="22"/>
          <w:szCs w:val="22"/>
        </w:rPr>
        <w:t xml:space="preserve">El </w:t>
      </w:r>
      <w:r w:rsidRPr="00EE5F32">
        <w:rPr>
          <w:rFonts w:ascii="Palatino Linotype" w:eastAsia="Palatino Linotype" w:hAnsi="Palatino Linotype" w:cs="Palatino Linotype"/>
          <w:b/>
          <w:sz w:val="22"/>
          <w:szCs w:val="22"/>
        </w:rPr>
        <w:t>nueve de junio de dos mil veinticinco</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 xml:space="preserve">envió su respuesta a la solicitud de acceso a la información a través de SAIMEX, sustancialmente en los términos siguientes:   </w:t>
      </w:r>
    </w:p>
    <w:p w14:paraId="1664612C" w14:textId="77777777" w:rsidR="00D84ACA" w:rsidRPr="00EE5F32" w:rsidRDefault="001B26A8">
      <w:pPr>
        <w:spacing w:before="240" w:after="24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“…Con fundamento en el artículo 53 fracción II de la Ley de Transparencia y Acceso a la Información Pública del Estado de México y Municipios, se adjunta la respuesta a su solicitud de información pública...” (sic)</w:t>
      </w:r>
    </w:p>
    <w:p w14:paraId="23F093DA"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adjuntó lo siguiente:</w:t>
      </w:r>
    </w:p>
    <w:p w14:paraId="5F64D4E1"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Memorandum número INFOEM/UT/350/2025, mediante el cual la Titular de la Unidad de Transparencia, notificó la respuesta proporcionada por la Secretaría Técnica del Pleno a través de la Dirección de Cumplimientos y el Departamento de Seguimiento de Acuerdos y Estadísticas del Pleno.</w:t>
      </w:r>
    </w:p>
    <w:p w14:paraId="3A47AEE7" w14:textId="4231BE08"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 Memorandum número INFOEM/STP/MEM/078/2025, mediante el cual el Secretario Técnico del Pleno, en atención a la solicitud, manifestó que la petición realizada por la persona solicitante  no se relaciona con las funciones y/o atribuciones de la Secretaría Técnica, ya que no existe marco normativo que permita contar con documentación sobre investigaciones, medidas de apremio o acuerdos relacionados con la posible obstaculización del acceso a la información pública que señala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por la restricción de la participación ciudadana en medios oficiales digitales. Asimismo, en aras de privilegiar el derecho de acceso a la información pública y en observancia al principio de máxima publicidad y expresión documental, contenido en el artículo 4° de la Ley de Transparencia y Acceso a la Información Púbica del Estado de México y Municipios, refirió adjuntar las respuestas emitidas por el Departamento de Seguimiento de Acuerdos y Estadistica del Pleno y la Dirección de Cumplimientos adscritas a esta Secretar</w:t>
      </w:r>
      <w:r w:rsidR="00A860BD" w:rsidRPr="00EE5F32">
        <w:rPr>
          <w:rFonts w:ascii="Palatino Linotype" w:eastAsia="Palatino Linotype" w:hAnsi="Palatino Linotype" w:cs="Palatino Linotype"/>
          <w:sz w:val="22"/>
          <w:szCs w:val="22"/>
        </w:rPr>
        <w:t>í</w:t>
      </w:r>
      <w:r w:rsidRPr="00EE5F32">
        <w:rPr>
          <w:rFonts w:ascii="Palatino Linotype" w:eastAsia="Palatino Linotype" w:hAnsi="Palatino Linotype" w:cs="Palatino Linotype"/>
          <w:sz w:val="22"/>
          <w:szCs w:val="22"/>
        </w:rPr>
        <w:t>a Técnica del Pleno.</w:t>
      </w:r>
    </w:p>
    <w:p w14:paraId="6B0DB4B9"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Memorandum número INFOEM/STP-DSAyEP/MEM/012/2025, mediante el cual el Jefe de Departamento de Seguimiento de Acuerdos y Estadísticas del Pleno, en atención a la solicitud de información, manifestó, en términos de los artículos 4, 12, segundo párrafo, 18, 24 último párrafo, y 160, primer párrafo de la Ley de Transparencia y Acceso a la Información Pública del Estado de México y Municipios, que los sujetos obligados sólo proporcionarán la información pública que se les requiera, tal como obre en sus archivos y en el estado en que se encuentre y que hayan generado previo a la recepción de la solicitud de información; para lo cual, la existencia de la misma se presumirá cuando se refiera a las facultades, competencias o funciones del Sujeto Obligado que recibió la solicitud de información, por lo que, en concordancia con las facultades competencias o funciones legales conferidas al Departamento a su cargo en términos del artículo 19 del Reglamento Interior del Instituto de Transparencia, Acceso a La Información Pública y Protección de Datos Personales del Estado de México y Municipios, que le confiere, entre otras atribuciones, las de mantener actualizada la información relativa a las sesiones celebradas; las actas y versiones estenográficas de las sesiones; el dar seguimiento a los acuerdos aprobados por el Pleno, los acuerdos concluidos; así como el sentido de las resoluciones de los recursos de revisión; admitidos y desechados; returnados, acumulados y separados; el sentido de la votación; votos particulares, disidentes y opiniones particulares; derivado de la búsqueda exhaustiva y razonable realizada en el Seguimiento de Acuerdos que lleva el Departamento, no se localizó Acuerdo aprobado por el Pleno que dé cuenta de lo requerido por la persona solicitante.</w:t>
      </w:r>
    </w:p>
    <w:p w14:paraId="07DB1120"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Memorandum número INFOEM/STP/DC/MEM/0022/2025, mediante el cual el Director de Cumplimientos, en atención a la solicitud, manifestó, de conformidad con las atribuciones que le confiere el artículo 19, fracciones XXIV y XXV del Reglamento Interior del Instituto de Transparencia, Acceso a La Información Pública y Protección de Datos Personales del Estado de México y Municipios, respecto a las diversas acciones generadas en relación al manejo del Ayuntamiento de Toluca sobre los espacios digitales en redes sociales, que estas no se encuentran dentro de las facultades conferidas a al área administrativa a su cargo, sin embargo, bajo el principio de máxima publicidad, y de conformidad con lo previsto en el artículo 190 de la Ley de Transparencia y Acceso a la Información Pública del Estado de México y Municipios, refirió que si durante la sustanciación del recurso de revisión pudo haberse incurrido en una probable responsabilidad por el incumplimiento a las obligaciones previstas en la Ley de la materia, se debe hacer de conocimiento del Órgano Interno de Control del Sujeto Obligado implicado, y es dicha instancia la encargada de iniciar de oficio la investigación, esto conforme a lo establecido en el artículo 95, fracción I, de la Ley de Responsabilidades Administrativas del Estado de México y Municipios. En este tenor, dentro del año previo a la recepción de la solicitud de información, se desprende que la Secretaría Técnica del Pleno no recibió solicitudes por parte del Pleno de este Instituto para notificar al Órgano Interno de Control del Sujeto Obligado implicado.</w:t>
      </w:r>
    </w:p>
    <w:p w14:paraId="7A2CAC19"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Por otro lado, respecto a las medidas de apremio o apercibimientos requeridos, informó que el Departamento de Medidas de Apremio de la Dirección de Cumplimientos de la Secretaría Técnica del Pleno tiene como función la de proponer e integrar la calificación de la gravedad de las faltas en que incurran los Sujetos Obligados por el incumplimiento a las resoluciones emitidas por el Pleno en materia de recursos de revisión; y proponer a éste, las medidas de apremio que correspondan, de conformidad con las leyes de la materia. En tal contexto, bajo el principio de máxima publicidad y derivado de una búsqueda minuciosa dentro de los archivos que conforman a esta área, dentro del año previo a la recepción de la solicitud de información, se desprende que el Pleno de este Instituto no ha impuesto medidas de apremio al Sujeto Obligado en cuestión. </w:t>
      </w:r>
    </w:p>
    <w:p w14:paraId="1ED3331F"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Y, finalmente, en relación con los demás requerimientos de información, indicó que no se advierte que se refieran a las facultades o atribuciones de esta área administrativa, por lo que no se está en aptitud de emitir un pronunciamiento al respecto.</w:t>
      </w:r>
    </w:p>
    <w:p w14:paraId="275CDF71" w14:textId="77777777" w:rsidR="00D84ACA" w:rsidRPr="00EE5F32" w:rsidRDefault="001B26A8">
      <w:pPr>
        <w:spacing w:before="240" w:after="240" w:line="360" w:lineRule="auto"/>
        <w:ind w:right="51"/>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5. Interposición del recurso de revisión. </w:t>
      </w:r>
      <w:r w:rsidRPr="00EE5F32">
        <w:rPr>
          <w:rFonts w:ascii="Palatino Linotype" w:eastAsia="Palatino Linotype" w:hAnsi="Palatino Linotype" w:cs="Palatino Linotype"/>
          <w:sz w:val="22"/>
          <w:szCs w:val="22"/>
        </w:rPr>
        <w:t xml:space="preserve">Inconforme con los términos de la respuesta emitida por parte del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veintiséis de junio de dos mil veinticinco,</w:t>
      </w:r>
      <w:r w:rsidRPr="00EE5F32">
        <w:rPr>
          <w:rFonts w:ascii="Palatino Linotype" w:eastAsia="Palatino Linotype" w:hAnsi="Palatino Linotype" w:cs="Palatino Linotype"/>
          <w:sz w:val="22"/>
          <w:szCs w:val="22"/>
        </w:rPr>
        <w:t xml:space="preserve">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interpuso el recurso de revisión a través de </w:t>
      </w:r>
      <w:r w:rsidRPr="00EE5F32">
        <w:rPr>
          <w:rFonts w:ascii="Palatino Linotype" w:eastAsia="Palatino Linotype" w:hAnsi="Palatino Linotype" w:cs="Palatino Linotype"/>
          <w:b/>
          <w:sz w:val="22"/>
          <w:szCs w:val="22"/>
        </w:rPr>
        <w:t xml:space="preserve">SAIMEX, </w:t>
      </w:r>
      <w:r w:rsidRPr="00EE5F32">
        <w:rPr>
          <w:rFonts w:ascii="Palatino Linotype" w:eastAsia="Palatino Linotype" w:hAnsi="Palatino Linotype" w:cs="Palatino Linotype"/>
          <w:sz w:val="22"/>
          <w:szCs w:val="22"/>
        </w:rPr>
        <w:t>en donde se manifestó de la siguiente manera:</w:t>
      </w:r>
    </w:p>
    <w:p w14:paraId="30F4A7DA" w14:textId="77777777" w:rsidR="00D84ACA" w:rsidRPr="00EE5F32" w:rsidRDefault="001B26A8">
      <w:pPr>
        <w:tabs>
          <w:tab w:val="left" w:pos="2400"/>
        </w:tabs>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b/>
          <w:sz w:val="22"/>
          <w:szCs w:val="22"/>
        </w:rPr>
        <w:t xml:space="preserve">Acto impugnado: </w:t>
      </w:r>
      <w:r w:rsidRPr="00EE5F32">
        <w:rPr>
          <w:rFonts w:ascii="Palatino Linotype" w:eastAsia="Palatino Linotype" w:hAnsi="Palatino Linotype" w:cs="Palatino Linotype"/>
          <w:b/>
          <w:sz w:val="22"/>
          <w:szCs w:val="22"/>
        </w:rPr>
        <w:tab/>
      </w:r>
    </w:p>
    <w:p w14:paraId="34D819B5" w14:textId="77777777" w:rsidR="00D84ACA" w:rsidRPr="00EE5F32" w:rsidRDefault="001B26A8">
      <w:pPr>
        <w:tabs>
          <w:tab w:val="left" w:pos="2745"/>
        </w:tabs>
        <w:spacing w:before="240" w:after="240"/>
        <w:ind w:left="851" w:right="900"/>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“solciitud 0435” (sic)</w:t>
      </w:r>
    </w:p>
    <w:p w14:paraId="615F017B" w14:textId="77777777" w:rsidR="00D84ACA" w:rsidRPr="00EE5F32" w:rsidRDefault="001B26A8">
      <w:pPr>
        <w:spacing w:line="360" w:lineRule="auto"/>
        <w:jc w:val="both"/>
        <w:rPr>
          <w:rFonts w:ascii="Palatino Linotype" w:eastAsia="Palatino Linotype" w:hAnsi="Palatino Linotype" w:cs="Palatino Linotype"/>
          <w:sz w:val="22"/>
          <w:szCs w:val="22"/>
        </w:rPr>
      </w:pPr>
      <w:bookmarkStart w:id="4" w:name="_heading=h.30j0zll" w:colFirst="0" w:colLast="0"/>
      <w:bookmarkEnd w:id="4"/>
      <w:r w:rsidRPr="00EE5F32">
        <w:rPr>
          <w:rFonts w:ascii="Palatino Linotype" w:eastAsia="Palatino Linotype" w:hAnsi="Palatino Linotype" w:cs="Palatino Linotype"/>
          <w:b/>
          <w:sz w:val="22"/>
          <w:szCs w:val="22"/>
        </w:rPr>
        <w:t>Y, Razones o motivos de inconformidad</w:t>
      </w:r>
      <w:r w:rsidRPr="00EE5F32">
        <w:rPr>
          <w:rFonts w:ascii="Palatino Linotype" w:eastAsia="Palatino Linotype" w:hAnsi="Palatino Linotype" w:cs="Palatino Linotype"/>
          <w:sz w:val="22"/>
          <w:szCs w:val="22"/>
        </w:rPr>
        <w:t>:</w:t>
      </w:r>
    </w:p>
    <w:p w14:paraId="14C8A587" w14:textId="77777777" w:rsidR="00D84ACA" w:rsidRPr="00EE5F32" w:rsidRDefault="001B26A8">
      <w:pPr>
        <w:tabs>
          <w:tab w:val="left" w:pos="2745"/>
        </w:tabs>
        <w:spacing w:before="240" w:after="240"/>
        <w:ind w:left="851" w:right="900"/>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“AGRAVIOS: Evasión de responsabilidad institucional. El Instituto no analizó ni canalizó adecuadamente la solicitud como un caso de posible violación sistemática a derechos fundamentales, lo cual constituye una negativa fáctica de tutela. Violación al principio de máxima publicidad. Al permitir que el Ayuntamiento restrinja deliberadamente la interacción ciudadana en medios oficiales, se tolera una práctica censora y discriminatoria. Negativa tácita a ejercer su competencia en términos del artículo 140 de la Ley. El INFOEM está obligado a investigar actos u omisiones de los sujetos obligados que vulneren el acceso a la información, incluso cuando no se solicite un documento en específico, sino cuando se denuncie una práctica institucional contraria al derecho. Que se admita el presente recurso de revisión. Que se ordene al INFOEM emitir pronunciamiento formal sobre las violaciones denunciadas. Que se determine la existencia de actos de censura institucional digital y, en consecuencia, se emita alineamiento obligatorio al Ayuntamiento de Toluca para que: Cese de manera inmediata el bloqueo de cualquier ciudadano en sus plataformas digitales institucionales, sin excusa de no conocer nombres específicos. Se garantice la apertura permanente del chat en transmisiones en vivo de sesiones de Cabildo, conferencias de prensa, actos públicos y demás eventos financiados con recursos públicos. Se prohíba expresamente la eliminación de comentarios críticos mientras no violen términos legales. Que se inicie una investigación formal al Ayuntamiento de Toluca por incurrir presuntamente en prácticas violatorias a los principios de máxima publicidad, legalidad y no discriminación digital. Que se establezca, desde el INFOEM, un mecanismo de supervisión permanente sobre el uso de medios digitales oficiales en todos los municipios del Estado de México, particularmente en redes sociales donde se transmiten actos públicos, a fin de evitar la censura sistemática y garantizar la interacción ciudadana. Que se remita copia de este expediente al área de verificación o vigilancia del INFOEM, para el inicio del procedimiento sancionador correspondiente. Que la resolución que recaiga al presente asunto se publique íntegramente en la Plataforma SAIMEX.” (sic)</w:t>
      </w:r>
    </w:p>
    <w:p w14:paraId="7082D759" w14:textId="77777777" w:rsidR="00D84ACA" w:rsidRPr="00EE5F32" w:rsidRDefault="001B26A8">
      <w:pPr>
        <w:spacing w:before="240" w:after="240" w:line="360" w:lineRule="auto"/>
        <w:ind w:right="51"/>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6. Turno. </w:t>
      </w:r>
      <w:r w:rsidRPr="00EE5F32">
        <w:rPr>
          <w:rFonts w:ascii="Palatino Linotype" w:eastAsia="Palatino Linotype" w:hAnsi="Palatino Linotype" w:cs="Palatino Linotype"/>
          <w:sz w:val="22"/>
          <w:szCs w:val="22"/>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sidRPr="00EE5F32">
        <w:rPr>
          <w:rFonts w:ascii="Palatino Linotype" w:eastAsia="Palatino Linotype" w:hAnsi="Palatino Linotype" w:cs="Palatino Linotype"/>
          <w:b/>
          <w:sz w:val="22"/>
          <w:szCs w:val="22"/>
        </w:rPr>
        <w:t xml:space="preserve">Guadalupe Ramírez Peña, </w:t>
      </w:r>
      <w:r w:rsidRPr="00EE5F32">
        <w:rPr>
          <w:rFonts w:ascii="Palatino Linotype" w:eastAsia="Palatino Linotype" w:hAnsi="Palatino Linotype" w:cs="Palatino Linotype"/>
          <w:sz w:val="22"/>
          <w:szCs w:val="22"/>
        </w:rPr>
        <w:t>a efecto de que analizara sobre su admisión o su desechamiento.</w:t>
      </w:r>
    </w:p>
    <w:p w14:paraId="668C7115"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7. Admisión del Recurso de revisión.</w:t>
      </w:r>
      <w:r w:rsidRPr="00EE5F32">
        <w:rPr>
          <w:rFonts w:ascii="Palatino Linotype" w:eastAsia="Palatino Linotype" w:hAnsi="Palatino Linotype" w:cs="Palatino Linotype"/>
          <w:sz w:val="22"/>
          <w:szCs w:val="22"/>
        </w:rPr>
        <w:t xml:space="preserve"> El</w:t>
      </w:r>
      <w:r w:rsidRPr="00EE5F32">
        <w:rPr>
          <w:rFonts w:ascii="Palatino Linotype" w:eastAsia="Palatino Linotype" w:hAnsi="Palatino Linotype" w:cs="Palatino Linotype"/>
          <w:b/>
          <w:sz w:val="22"/>
          <w:szCs w:val="22"/>
        </w:rPr>
        <w:t xml:space="preserve"> uno de julio de dos mil veinticinco, </w:t>
      </w:r>
      <w:r w:rsidRPr="00EE5F32">
        <w:rPr>
          <w:rFonts w:ascii="Palatino Linotype" w:eastAsia="Palatino Linotype" w:hAnsi="Palatino Linotype" w:cs="Palatino Linotype"/>
          <w:sz w:val="22"/>
          <w:szCs w:val="22"/>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presentara su informe justificado.</w:t>
      </w:r>
    </w:p>
    <w:p w14:paraId="34DB274B"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bookmarkStart w:id="5" w:name="_heading=h.2s8eyo1" w:colFirst="0" w:colLast="0"/>
      <w:bookmarkEnd w:id="5"/>
      <w:r w:rsidRPr="00EE5F32">
        <w:rPr>
          <w:rFonts w:ascii="Palatino Linotype" w:eastAsia="Palatino Linotype" w:hAnsi="Palatino Linotype" w:cs="Palatino Linotype"/>
          <w:b/>
          <w:sz w:val="22"/>
          <w:szCs w:val="22"/>
        </w:rPr>
        <w:t>8. Manifestaciones</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diez de julio dos mil veinticinco</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remitió, a través de SAIMEX, lo siguiente</w:t>
      </w:r>
    </w:p>
    <w:p w14:paraId="567F3AF7"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Memorándum número INFOEM/STP/MEM/102/2025, mediante el cual el cual el Secretario Técnico del Pleno ratificó en lo sustancial la respuesta proporcionada en primera instancia, reiterando que la petición realizada por la persona solicitante no se relaciona con las funciones y/o atribuciones de esta Secretaría Técnica, ya que no existe marco normativo que permita contar con documentación sobre investigaciones, medidas de apremio o acuerdos relacionados con la posible obstaculización del acceso a la información pública que señala el recurrente por la restricción de la participación ciudadana en medios oficiales digitales, asimismo, indicó que del análisis a las razones de inconformidad emitidas por la parte Recurrente, no se identifica agravio o inconformidad con la respuesta emitida por la unidad administrativa a su cargo, así como de las respuestas emitidas por el Departamento de Seguimiento de Acuerdos y Estadística del Pleno y la Dirección de Cumplimientos adscritas a la Secretaria Técnica del Pleno. Asimismo, puntualizó que la parte Recurrente solicita que se realicen acciones que por un lado constituyen derecho de petición y no acceso a información pública generada o poseída, además de no relacionarse con atribuciones de la Unidad administrativa a su cargo.</w:t>
      </w:r>
    </w:p>
    <w:p w14:paraId="6A0603F3"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Memorándum número INFOEM/STP/DC/MEM/0027/2025. mediante el cual el Director de Cumplimientos ratificó en sus términos la respuesta emitida en primera instancia.</w:t>
      </w:r>
    </w:p>
    <w:p w14:paraId="03D2628A"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Memorándum número INFOEM/STP-DSAyEP/MEM/017/2025, mediante el cual el Jefe del Departamento de Seguimiento de Acuerdos y Estadísticas del Pleno, ratificó en sus términos la respuesta proporcionada en primera instancia.</w:t>
      </w:r>
    </w:p>
    <w:p w14:paraId="391AF2C5"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Una vez analizada la información, se hizo del conocimiento de la persona solicitante a efecto de que manifestara lo que a su derecho estimara conveniente, siendo omisa en ejercer dicha prerrogativa.</w:t>
      </w:r>
    </w:p>
    <w:p w14:paraId="59E0309A"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9. Cierre de instrucción. </w:t>
      </w:r>
      <w:r w:rsidRPr="00EE5F32">
        <w:rPr>
          <w:rFonts w:ascii="Palatino Linotype" w:eastAsia="Palatino Linotype" w:hAnsi="Palatino Linotype" w:cs="Palatino Linotype"/>
          <w:sz w:val="22"/>
          <w:szCs w:val="22"/>
        </w:rPr>
        <w:t xml:space="preserve">Una vez transcurrido el periodo otorgado a las partes para realizar sus manifestaciones y no habiendo documentos que integrar al expediente, el </w:t>
      </w:r>
      <w:r w:rsidRPr="00EE5F32">
        <w:rPr>
          <w:rFonts w:ascii="Palatino Linotype" w:eastAsia="Palatino Linotype" w:hAnsi="Palatino Linotype" w:cs="Palatino Linotype"/>
          <w:b/>
          <w:sz w:val="22"/>
          <w:szCs w:val="22"/>
        </w:rPr>
        <w:t>cuatro de noviembre de dos mil veinticinco</w:t>
      </w:r>
      <w:r w:rsidRPr="00EE5F32">
        <w:rPr>
          <w:rFonts w:ascii="Palatino Linotype" w:eastAsia="Palatino Linotype" w:hAnsi="Palatino Linotype" w:cs="Palatino Linotype"/>
          <w:sz w:val="22"/>
          <w:szCs w:val="22"/>
        </w:rPr>
        <w:t>, la Comisionada Ponente determinó el cierre de instrucción en términos de la fracción VI del artículo 185 de la Ley de Transparencia y Acceso a la Información Pública del Estado de México y Municipios</w:t>
      </w:r>
    </w:p>
    <w:p w14:paraId="08B57743"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b/>
          <w:sz w:val="22"/>
          <w:szCs w:val="22"/>
        </w:rPr>
        <w:t>10</w:t>
      </w:r>
      <w:r w:rsidRPr="00EE5F32">
        <w:rPr>
          <w:rFonts w:ascii="Palatino Linotype" w:eastAsia="Palatino Linotype" w:hAnsi="Palatino Linotype" w:cs="Palatino Linotype"/>
          <w:sz w:val="22"/>
          <w:szCs w:val="22"/>
        </w:rPr>
        <w:t xml:space="preserve">. </w:t>
      </w:r>
      <w:r w:rsidRPr="00EE5F32">
        <w:rPr>
          <w:rFonts w:ascii="Palatino Linotype" w:eastAsia="Palatino Linotype" w:hAnsi="Palatino Linotype" w:cs="Palatino Linotype"/>
          <w:b/>
          <w:sz w:val="22"/>
          <w:szCs w:val="22"/>
        </w:rPr>
        <w:t>Ampliación del término para resolver</w:t>
      </w:r>
      <w:r w:rsidRPr="00EE5F32">
        <w:rPr>
          <w:rFonts w:ascii="Palatino Linotype" w:eastAsia="Palatino Linotype" w:hAnsi="Palatino Linotype" w:cs="Palatino Linotype"/>
          <w:sz w:val="22"/>
          <w:szCs w:val="22"/>
        </w:rPr>
        <w:t xml:space="preserve">. El </w:t>
      </w:r>
      <w:r w:rsidRPr="00EE5F32">
        <w:rPr>
          <w:rFonts w:ascii="Palatino Linotype" w:eastAsia="Palatino Linotype" w:hAnsi="Palatino Linotype" w:cs="Palatino Linotype"/>
          <w:b/>
          <w:sz w:val="22"/>
          <w:szCs w:val="22"/>
        </w:rPr>
        <w:t>cuatro de noviembre de octubre de dos mil veinticinco</w:t>
      </w:r>
      <w:r w:rsidRPr="00EE5F32">
        <w:rPr>
          <w:rFonts w:ascii="Palatino Linotype" w:eastAsia="Palatino Linotype" w:hAnsi="Palatino Linotype" w:cs="Palatino Linotype"/>
          <w:sz w:val="22"/>
          <w:szCs w:val="22"/>
        </w:rPr>
        <w:t>, se amplió el término para resolver el recurso de revisión en términos del artículo 181 párrafo tercero de la Ley de Transparencia y Acceso a la Información Pública del Estado de México y Municipios.</w:t>
      </w:r>
    </w:p>
    <w:p w14:paraId="34AD0DB9"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Este Organismo Garante no pasa por alto justificar, que el plazo para emitir la resolución en el presente asunto encuentra justificación en el alto número de recursos de revisión recibidos, circunstancia atípica que ha rebasado las capacidades técnicas y humanas del personal encargado de la proyección de las resoluciones a dichos medios de impugnación.</w:t>
      </w:r>
    </w:p>
    <w:p w14:paraId="6DF43783"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4D029D77"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785FC840"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0D924048" w14:textId="77777777" w:rsidR="00D84ACA" w:rsidRPr="00EE5F32" w:rsidRDefault="001B26A8">
      <w:pPr>
        <w:spacing w:before="240" w:after="240" w:line="360" w:lineRule="auto"/>
        <w:jc w:val="both"/>
        <w:rPr>
          <w:rFonts w:ascii="Palatino Linotype" w:eastAsia="Palatino Linotype" w:hAnsi="Palatino Linotype" w:cs="Palatino Linotype"/>
          <w:strike/>
          <w:sz w:val="22"/>
          <w:szCs w:val="22"/>
        </w:rPr>
      </w:pPr>
      <w:r w:rsidRPr="00EE5F32">
        <w:rPr>
          <w:rFonts w:ascii="Palatino Linotype" w:eastAsia="Palatino Linotype" w:hAnsi="Palatino Linotype" w:cs="Palatino Linotype"/>
          <w:sz w:val="22"/>
          <w:szCs w:val="22"/>
        </w:rPr>
        <w:t xml:space="preserve">Por ello, excepcionalmente, si un asunto es resuelto con posterioridad a los plazos señalados por la norma debe analizarse la razonabilidad del tiempo necesario para su resolución, atentos a los siguientes criterios: </w:t>
      </w:r>
    </w:p>
    <w:p w14:paraId="3EB8B58A" w14:textId="77777777" w:rsidR="00D84ACA" w:rsidRPr="00EE5F32" w:rsidRDefault="001B26A8">
      <w:pPr>
        <w:numPr>
          <w:ilvl w:val="0"/>
          <w:numId w:val="1"/>
        </w:numPr>
        <w:tabs>
          <w:tab w:val="left" w:pos="567"/>
        </w:tabs>
        <w:spacing w:before="240" w:after="240" w:line="360" w:lineRule="auto"/>
        <w:ind w:left="284" w:firstLine="0"/>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Complejidad del Asunto: La complejidad de la prueba, la pluralidad de sujetos procesales, el tiempo transcurrido, las características y contexto del recurso. </w:t>
      </w:r>
    </w:p>
    <w:p w14:paraId="4F194F7D" w14:textId="77777777" w:rsidR="00D84ACA" w:rsidRPr="00EE5F32" w:rsidRDefault="001B26A8">
      <w:pPr>
        <w:numPr>
          <w:ilvl w:val="0"/>
          <w:numId w:val="1"/>
        </w:numPr>
        <w:tabs>
          <w:tab w:val="left" w:pos="567"/>
        </w:tabs>
        <w:spacing w:before="240" w:after="240" w:line="360" w:lineRule="auto"/>
        <w:ind w:left="284" w:firstLine="0"/>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Actividad Procesal del interesado. Acciones u omisiones del interesado.</w:t>
      </w:r>
    </w:p>
    <w:p w14:paraId="190B5EE1" w14:textId="77777777" w:rsidR="00D84ACA" w:rsidRPr="00EE5F32" w:rsidRDefault="001B26A8">
      <w:pPr>
        <w:numPr>
          <w:ilvl w:val="0"/>
          <w:numId w:val="1"/>
        </w:numPr>
        <w:tabs>
          <w:tab w:val="left" w:pos="567"/>
        </w:tabs>
        <w:spacing w:before="240" w:after="240" w:line="360" w:lineRule="auto"/>
        <w:ind w:left="284" w:firstLine="0"/>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Conducta de la Autoridad: Las Acciones u omisiones realizadas en el procedimiento. Así como si la autoridad actuó con la debida diligencia.</w:t>
      </w:r>
    </w:p>
    <w:p w14:paraId="6443A9DD" w14:textId="77777777" w:rsidR="00D84ACA" w:rsidRPr="00EE5F32" w:rsidRDefault="001B26A8">
      <w:pPr>
        <w:tabs>
          <w:tab w:val="left" w:pos="567"/>
        </w:tabs>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d) La afectación generada en la situación jurídica de la persona involucrada en el proceso: Violación a sus derechos humanos.</w:t>
      </w:r>
    </w:p>
    <w:p w14:paraId="12D8721B"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149E4217"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sz w:val="22"/>
          <w:szCs w:val="22"/>
        </w:rPr>
        <w:t xml:space="preserve">Argumento que encuentra sustento en la jurisprudencia P./J. 32/92 emitida por el Pleno de la Suprema Corte de Justicia de la Nación de rubro </w:t>
      </w:r>
      <w:r w:rsidRPr="00EE5F32">
        <w:rPr>
          <w:rFonts w:ascii="Palatino Linotype" w:eastAsia="Palatino Linotype" w:hAnsi="Palatino Linotype" w:cs="Palatino Linotype"/>
          <w:i/>
          <w:sz w:val="22"/>
          <w:szCs w:val="22"/>
        </w:rPr>
        <w:t>“TÉRMINOS PROCESALES. PARA DETERMINAR SI UN FUNCIONARIO JUDICIAL ACTUÓ INDEBIDAMENTE POR NO RESPETARLOS SE DEBE ATENDER AL PRESUPUESTO QUE CONSIDERÓ EL LEGISLADOR AL FIJARLOS Y LAS CARACTERÍSTICAS DEL CASO.”</w:t>
      </w:r>
      <w:r w:rsidRPr="00EE5F32">
        <w:rPr>
          <w:rFonts w:ascii="Palatino Linotype" w:eastAsia="Palatino Linotype" w:hAnsi="Palatino Linotype" w:cs="Palatino Linotype"/>
          <w:sz w:val="22"/>
          <w:szCs w:val="22"/>
        </w:rPr>
        <w:t>, visible en la Gaceta del Seminario Judicial de la Federación con el registro digital 205635.</w:t>
      </w:r>
    </w:p>
    <w:p w14:paraId="165A1C63"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19FFC601"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Al respecto, también son de considerar los criterios sostenidos por el Cuarto Tribunal Colegiado en Materia Administrativa del Primer Circuito, cuyos rubros y datos de identificación son los siguientes:</w:t>
      </w:r>
    </w:p>
    <w:p w14:paraId="045BC525" w14:textId="77777777" w:rsidR="00D84ACA" w:rsidRPr="00EE5F32" w:rsidRDefault="001B26A8">
      <w:pPr>
        <w:spacing w:before="120" w:after="120"/>
        <w:ind w:left="851" w:right="902"/>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 </w:t>
      </w: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PLAZO RAZONABLE PARA RESOLVER. DIMENSIÓN Y EFECTOS DE ESTE CONCEPTO CUANDO SE ADUCE EXCESIVA CARGA DE TRABAJO</w:t>
      </w: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sz w:val="22"/>
          <w:szCs w:val="22"/>
        </w:rPr>
        <w:t xml:space="preserve"> consultable en el Seminario Judicial de la Federación y su gaceta, con el registro digital 2002351.</w:t>
      </w:r>
    </w:p>
    <w:p w14:paraId="4FA6D96F" w14:textId="77777777" w:rsidR="00D84ACA" w:rsidRPr="00EE5F32" w:rsidRDefault="001B26A8">
      <w:pPr>
        <w:spacing w:before="120" w:after="120"/>
        <w:ind w:left="851" w:right="902"/>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PLAZO RAZONABLE PARA RESOLVER. CONCEPTO Y ELEMENTOS QUE LO INTEGRAN A LA LUZ DEL DERECHO INTERNACIONAL DE LOS DERECHOS HUMANOS</w:t>
      </w: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sz w:val="22"/>
          <w:szCs w:val="22"/>
        </w:rPr>
        <w:t>, visible en el Seminario Judicial de la Federación y su gaceta, con el registro digital 2002350.</w:t>
      </w:r>
    </w:p>
    <w:p w14:paraId="4EF04B9E"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Por ello, este Organismo Garante comprometido con la tutela de los derechos humanos confiados, señala que este exceso del plazo legal para resolver el presente asunto, resulta de carácter excepcional.</w:t>
      </w:r>
    </w:p>
    <w:p w14:paraId="7391D37F"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razón de que fue debidamente sustanciado el expediente electrónico y no existe diligencia pendiente de desahogo, se emite la Resolución que conforme a Derecho proceda, de acuerdo con los siguientes: </w:t>
      </w:r>
    </w:p>
    <w:p w14:paraId="3C6BACF1" w14:textId="77777777" w:rsidR="00D84ACA" w:rsidRPr="00EE5F32" w:rsidRDefault="001B26A8">
      <w:pPr>
        <w:widowControl w:val="0"/>
        <w:spacing w:before="240" w:after="240" w:line="360" w:lineRule="auto"/>
        <w:jc w:val="center"/>
        <w:rPr>
          <w:rFonts w:ascii="Palatino Linotype" w:eastAsia="Palatino Linotype" w:hAnsi="Palatino Linotype" w:cs="Palatino Linotype"/>
          <w:b/>
          <w:sz w:val="22"/>
          <w:szCs w:val="22"/>
        </w:rPr>
      </w:pPr>
      <w:r w:rsidRPr="00EE5F32">
        <w:rPr>
          <w:rFonts w:ascii="Palatino Linotype" w:eastAsia="Palatino Linotype" w:hAnsi="Palatino Linotype" w:cs="Palatino Linotype"/>
          <w:b/>
          <w:sz w:val="22"/>
          <w:szCs w:val="22"/>
        </w:rPr>
        <w:t>II. C O N S I D E R A N D O S</w:t>
      </w:r>
    </w:p>
    <w:p w14:paraId="09D6727F"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Primero. Competencia.</w:t>
      </w:r>
      <w:r w:rsidRPr="00EE5F32">
        <w:rPr>
          <w:rFonts w:ascii="Palatino Linotype" w:eastAsia="Palatino Linotype" w:hAnsi="Palatino Linotype" w:cs="Palatino Linotype"/>
          <w:sz w:val="22"/>
          <w:szCs w:val="22"/>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cuadragésimo cuarto, cuadragésimo quinto y cuadragésimo sexto, fracciones IV y V de la Constitución Política del Estado Libre y Soberano de México; Transitorio Cuarto, párrafo segundo del Decreto número 198 de la “LXII” Legislatura del Estado de México; 2, fracción II; 29, 36 fracciones I y II; 176, 178, 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14:paraId="02F3168E"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bookmarkStart w:id="6" w:name="_heading=h.tyjcwt" w:colFirst="0" w:colLast="0"/>
      <w:bookmarkEnd w:id="6"/>
      <w:r w:rsidRPr="00EE5F32">
        <w:rPr>
          <w:rFonts w:ascii="Palatino Linotype" w:eastAsia="Palatino Linotype" w:hAnsi="Palatino Linotype" w:cs="Palatino Linotype"/>
          <w:b/>
          <w:sz w:val="22"/>
          <w:szCs w:val="22"/>
        </w:rPr>
        <w:t>Segundo. Oportunidad y Procedibilidad del Recurso de Revisión</w:t>
      </w:r>
      <w:r w:rsidRPr="00EE5F32">
        <w:rPr>
          <w:rFonts w:ascii="Palatino Linotype" w:eastAsia="Palatino Linotype" w:hAnsi="Palatino Linotype" w:cs="Palatino Linotype"/>
          <w:sz w:val="22"/>
          <w:szCs w:val="22"/>
        </w:rPr>
        <w:t>. 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42B503B4"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El recurso de revisión fue interpuesto dentro del plazo de quince días hábiles, previsto en el artículo 178 de la Ley de Transparencia y Acceso a la Información Pública del Estado de México y Municipios, toda vez que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 xml:space="preserve">remitió la respuesta a la solicitud de información el día </w:t>
      </w:r>
      <w:r w:rsidRPr="00EE5F32">
        <w:rPr>
          <w:rFonts w:ascii="Palatino Linotype" w:eastAsia="Palatino Linotype" w:hAnsi="Palatino Linotype" w:cs="Palatino Linotype"/>
          <w:b/>
          <w:sz w:val="22"/>
          <w:szCs w:val="22"/>
        </w:rPr>
        <w:t xml:space="preserve">nueve de junio de dos mil veinticinco, </w:t>
      </w:r>
      <w:r w:rsidRPr="00EE5F32">
        <w:rPr>
          <w:rFonts w:ascii="Palatino Linotype" w:eastAsia="Palatino Linotype" w:hAnsi="Palatino Linotype" w:cs="Palatino Linotype"/>
          <w:sz w:val="22"/>
          <w:szCs w:val="22"/>
        </w:rPr>
        <w:t xml:space="preserve">mientras que el recurso de revisión interpuesto por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se tuvo por presentado el día </w:t>
      </w:r>
      <w:r w:rsidRPr="00EE5F32">
        <w:rPr>
          <w:rFonts w:ascii="Palatino Linotype" w:eastAsia="Palatino Linotype" w:hAnsi="Palatino Linotype" w:cs="Palatino Linotype"/>
          <w:b/>
          <w:sz w:val="22"/>
          <w:szCs w:val="22"/>
        </w:rPr>
        <w:t>veintiséis de junio de dos mil veinticinco</w:t>
      </w:r>
      <w:r w:rsidRPr="00EE5F32">
        <w:rPr>
          <w:rFonts w:ascii="Palatino Linotype" w:eastAsia="Palatino Linotype" w:hAnsi="Palatino Linotype" w:cs="Palatino Linotype"/>
          <w:sz w:val="22"/>
          <w:szCs w:val="22"/>
        </w:rPr>
        <w:t>, esto es al décimo cuarto día hábil posterior a aquel en que tuvo conocimiento de la respuesta impugnada. En este sentido, se concluye que el presente recurso de revisión se encuentra dentro de los márgenes temporales previstos en las disposiciones legales referidas.</w:t>
      </w:r>
    </w:p>
    <w:p w14:paraId="355BDA20"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bookmarkStart w:id="7" w:name="_heading=h.3znysh7" w:colFirst="0" w:colLast="0"/>
      <w:bookmarkEnd w:id="7"/>
      <w:r w:rsidRPr="00EE5F32">
        <w:rPr>
          <w:rFonts w:ascii="Palatino Linotype" w:eastAsia="Palatino Linotype" w:hAnsi="Palatino Linotype" w:cs="Palatino Linotype"/>
          <w:sz w:val="22"/>
          <w:szCs w:val="22"/>
        </w:rPr>
        <w:t>Al mismo tiempo,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14:paraId="1FCBBDEA"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A efecto de sustentar lo anterior, es de suma importancia mencionar que si bien la persona solicitante</w:t>
      </w:r>
      <w:r w:rsidRPr="00EE5F32">
        <w:rPr>
          <w:rFonts w:ascii="Palatino Linotype" w:eastAsia="Palatino Linotype" w:hAnsi="Palatino Linotype" w:cs="Palatino Linotype"/>
          <w:b/>
          <w:sz w:val="22"/>
          <w:szCs w:val="22"/>
        </w:rPr>
        <w:t xml:space="preserve"> proporcionó un seudónimo, </w:t>
      </w:r>
      <w:r w:rsidRPr="00EE5F32">
        <w:rPr>
          <w:rFonts w:ascii="Palatino Linotype" w:eastAsia="Palatino Linotype" w:hAnsi="Palatino Linotype" w:cs="Palatino Linotype"/>
          <w:sz w:val="22"/>
          <w:szCs w:val="22"/>
        </w:rPr>
        <w:t>como se advierte en el detalle de seguimiento del SAIMEX, el no proporcionar un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66418E00" w14:textId="77777777" w:rsidR="00D84ACA" w:rsidRPr="00EE5F32" w:rsidRDefault="001B26A8">
      <w:pPr>
        <w:spacing w:before="120" w:after="120"/>
        <w:ind w:left="851" w:right="902"/>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Las solicitudes anónimas</w:t>
      </w:r>
      <w:r w:rsidRPr="00EE5F32">
        <w:rPr>
          <w:rFonts w:ascii="Palatino Linotype" w:eastAsia="Palatino Linotype" w:hAnsi="Palatino Linotype" w:cs="Palatino Linotype"/>
          <w:i/>
          <w:sz w:val="22"/>
          <w:szCs w:val="22"/>
        </w:rPr>
        <w:t xml:space="preserve">, con nombre incompleto o seudónimo </w:t>
      </w:r>
      <w:r w:rsidRPr="00EE5F32">
        <w:rPr>
          <w:rFonts w:ascii="Palatino Linotype" w:eastAsia="Palatino Linotype" w:hAnsi="Palatino Linotype" w:cs="Palatino Linotype"/>
          <w:b/>
          <w:i/>
          <w:sz w:val="22"/>
          <w:szCs w:val="22"/>
        </w:rPr>
        <w:t>serán procedentes para su trámite por parte del sujeto obligado ante quien se presente</w:t>
      </w:r>
      <w:r w:rsidRPr="00EE5F32">
        <w:rPr>
          <w:rFonts w:ascii="Palatino Linotype" w:eastAsia="Palatino Linotype" w:hAnsi="Palatino Linotype" w:cs="Palatino Linotype"/>
          <w:i/>
          <w:sz w:val="22"/>
          <w:szCs w:val="22"/>
        </w:rPr>
        <w:t>. No podrá requerirse información adicional con motivo del nombre proporcionado por el solicitante."</w:t>
      </w:r>
    </w:p>
    <w:p w14:paraId="7BF18797"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el mismo tenor, el propio artículo 180 de la Ley de Transparencia local citado, en su último párrafo establece que cuando el recurso se interponga de manera electrónica, no será indispensable que contenga determinados requisitos, entre ellos, el nombre de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por lo que, en el presente caso, al haber sido presentado el recurso de revisión vía SAIMEX, dicho requisito resulta innecesario.</w:t>
      </w:r>
    </w:p>
    <w:p w14:paraId="7BEB93C7"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Finalmente, se advierte que resulta procedente la interposición del recurso, según lo manifestado por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en sus motivos de inconformidad, de acuerdo al artículo 179, fracción I del ordenamiento legal citado, que a la letra dice: </w:t>
      </w:r>
    </w:p>
    <w:p w14:paraId="1791371A"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Artículo 179.</w:t>
      </w:r>
      <w:r w:rsidRPr="00EE5F32">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38FB9306" w14:textId="77777777" w:rsidR="00D84ACA" w:rsidRPr="00EE5F32" w:rsidRDefault="001B26A8">
      <w:pPr>
        <w:spacing w:before="120" w:after="120"/>
        <w:ind w:left="851" w:right="900"/>
        <w:jc w:val="both"/>
        <w:rPr>
          <w:rFonts w:ascii="Palatino Linotype" w:eastAsia="Palatino Linotype" w:hAnsi="Palatino Linotype" w:cs="Palatino Linotype"/>
          <w:b/>
          <w:i/>
          <w:sz w:val="22"/>
          <w:szCs w:val="22"/>
        </w:rPr>
      </w:pPr>
      <w:r w:rsidRPr="00EE5F32">
        <w:rPr>
          <w:rFonts w:ascii="Palatino Linotype" w:eastAsia="Palatino Linotype" w:hAnsi="Palatino Linotype" w:cs="Palatino Linotype"/>
          <w:b/>
          <w:i/>
          <w:sz w:val="22"/>
          <w:szCs w:val="22"/>
        </w:rPr>
        <w:t>…</w:t>
      </w:r>
    </w:p>
    <w:p w14:paraId="264417F6" w14:textId="77777777" w:rsidR="00D84ACA" w:rsidRPr="00EE5F32" w:rsidRDefault="001B26A8">
      <w:pPr>
        <w:spacing w:before="120" w:after="120"/>
        <w:ind w:left="851" w:right="900"/>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 xml:space="preserve">I. </w:t>
      </w:r>
      <w:r w:rsidRPr="00EE5F32">
        <w:rPr>
          <w:rFonts w:ascii="Palatino Linotype" w:eastAsia="Palatino Linotype" w:hAnsi="Palatino Linotype" w:cs="Palatino Linotype"/>
          <w:i/>
          <w:sz w:val="22"/>
          <w:szCs w:val="22"/>
        </w:rPr>
        <w:t>La negativa a la información solicitada;”</w:t>
      </w:r>
    </w:p>
    <w:p w14:paraId="1D57F67C" w14:textId="77777777" w:rsidR="00D84ACA" w:rsidRPr="00EE5F32" w:rsidRDefault="00D84ACA">
      <w:pPr>
        <w:spacing w:before="240" w:after="240" w:line="360" w:lineRule="auto"/>
        <w:jc w:val="both"/>
        <w:rPr>
          <w:rFonts w:ascii="Palatino Linotype" w:eastAsia="Palatino Linotype" w:hAnsi="Palatino Linotype" w:cs="Palatino Linotype"/>
          <w:b/>
          <w:sz w:val="22"/>
          <w:szCs w:val="22"/>
        </w:rPr>
      </w:pPr>
    </w:p>
    <w:p w14:paraId="5297BCC7" w14:textId="77777777" w:rsidR="00D84ACA" w:rsidRPr="00EE5F32" w:rsidRDefault="001B26A8">
      <w:pPr>
        <w:spacing w:before="240" w:after="240" w:line="360" w:lineRule="auto"/>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sz w:val="22"/>
          <w:szCs w:val="22"/>
        </w:rPr>
        <w:t xml:space="preserve">Tercero. Análisis de las causales de sobreseimiento del recurso de revisión. </w:t>
      </w:r>
      <w:r w:rsidRPr="00EE5F32">
        <w:rPr>
          <w:rFonts w:ascii="Palatino Linotype" w:eastAsia="Palatino Linotype" w:hAnsi="Palatino Linotype" w:cs="Palatino Linotype"/>
          <w:sz w:val="22"/>
          <w:szCs w:val="22"/>
        </w:rPr>
        <w:t xml:space="preserve">Previo al análisis de las actuaciones que integran el expediente en el Sistema de Acceso a la Información Mexiquense, en importante primeramente enfatizar que el Derecho de Acceso a la Información Pública consiste en que la </w:t>
      </w:r>
      <w:r w:rsidRPr="00EE5F32">
        <w:rPr>
          <w:rFonts w:ascii="Palatino Linotype" w:eastAsia="Palatino Linotype" w:hAnsi="Palatino Linotype" w:cs="Palatino Linotype"/>
          <w:b/>
          <w:sz w:val="22"/>
          <w:szCs w:val="22"/>
          <w:u w:val="single"/>
        </w:rPr>
        <w:t>información solicitada conste en un soporte documental</w:t>
      </w:r>
      <w:r w:rsidRPr="00EE5F32">
        <w:rPr>
          <w:rFonts w:ascii="Palatino Linotype" w:eastAsia="Palatino Linotype" w:hAnsi="Palatino Linotype" w:cs="Palatino Linotype"/>
          <w:sz w:val="22"/>
          <w:szCs w:val="22"/>
        </w:rPr>
        <w:t xml:space="preserve">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14:paraId="2231EDF2" w14:textId="77777777" w:rsidR="00D84ACA" w:rsidRPr="00EE5F32" w:rsidRDefault="001B26A8">
      <w:pPr>
        <w:ind w:left="851" w:right="901"/>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 xml:space="preserve">Artículo 3. </w:t>
      </w:r>
      <w:r w:rsidRPr="00EE5F32">
        <w:rPr>
          <w:rFonts w:ascii="Palatino Linotype" w:eastAsia="Palatino Linotype" w:hAnsi="Palatino Linotype" w:cs="Palatino Linotype"/>
          <w:i/>
          <w:sz w:val="22"/>
          <w:szCs w:val="22"/>
        </w:rPr>
        <w:t>Para los efectos de la presente Ley se entenderá por:</w:t>
      </w:r>
    </w:p>
    <w:p w14:paraId="7082139C" w14:textId="77777777" w:rsidR="00D84ACA" w:rsidRPr="00EE5F32" w:rsidRDefault="001B26A8">
      <w:pPr>
        <w:ind w:left="851" w:right="850"/>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49373870" w14:textId="77777777" w:rsidR="00D84ACA" w:rsidRPr="00EE5F32" w:rsidRDefault="001B26A8">
      <w:pPr>
        <w:ind w:left="851" w:right="901"/>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XI. Documento:</w:t>
      </w:r>
      <w:r w:rsidRPr="00EE5F32">
        <w:rPr>
          <w:rFonts w:ascii="Palatino Linotype" w:eastAsia="Palatino Linotype" w:hAnsi="Palatino Linotype" w:cs="Palatino Linotype"/>
          <w:i/>
          <w:sz w:val="22"/>
          <w:szCs w:val="22"/>
        </w:rPr>
        <w:t xml:space="preserve"> Los expedientes, reportes, estudios, actas, resoluciones,</w:t>
      </w:r>
      <w:r w:rsidRPr="00EE5F32">
        <w:rPr>
          <w:rFonts w:ascii="Palatino Linotype" w:eastAsia="Palatino Linotype" w:hAnsi="Palatino Linotype" w:cs="Palatino Linotype"/>
          <w:b/>
          <w:i/>
          <w:sz w:val="22"/>
          <w:szCs w:val="22"/>
        </w:rPr>
        <w:t xml:space="preserve"> </w:t>
      </w:r>
      <w:r w:rsidRPr="00EE5F32">
        <w:rPr>
          <w:rFonts w:ascii="Palatino Linotype" w:eastAsia="Palatino Linotype" w:hAnsi="Palatino Linotype" w:cs="Palatino Linotype"/>
          <w:i/>
          <w:sz w:val="22"/>
          <w:szCs w:val="22"/>
        </w:rPr>
        <w:t>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r w:rsidRPr="00EE5F32">
        <w:rPr>
          <w:rFonts w:ascii="Palatino Linotype" w:eastAsia="Palatino Linotype" w:hAnsi="Palatino Linotype" w:cs="Palatino Linotype"/>
          <w:b/>
          <w:i/>
          <w:sz w:val="22"/>
          <w:szCs w:val="22"/>
        </w:rPr>
        <w:t>…</w:t>
      </w:r>
      <w:r w:rsidRPr="00EE5F32">
        <w:rPr>
          <w:rFonts w:ascii="Palatino Linotype" w:eastAsia="Palatino Linotype" w:hAnsi="Palatino Linotype" w:cs="Palatino Linotype"/>
          <w:i/>
          <w:sz w:val="22"/>
          <w:szCs w:val="22"/>
        </w:rPr>
        <w:t>”</w:t>
      </w:r>
    </w:p>
    <w:p w14:paraId="667D08C3"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Es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65C60624" w14:textId="77777777" w:rsidR="00D84ACA" w:rsidRPr="00EE5F32" w:rsidRDefault="001B26A8">
      <w:pPr>
        <w:spacing w:before="120" w:after="120"/>
        <w:ind w:left="851" w:right="901"/>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sz w:val="22"/>
          <w:szCs w:val="22"/>
        </w:rPr>
        <w:t>“</w:t>
      </w:r>
      <w:r w:rsidRPr="00EE5F32">
        <w:rPr>
          <w:rFonts w:ascii="Palatino Linotype" w:eastAsia="Palatino Linotype" w:hAnsi="Palatino Linotype" w:cs="Palatino Linotype"/>
          <w:b/>
          <w:i/>
          <w:sz w:val="22"/>
          <w:szCs w:val="22"/>
          <w:u w:val="single"/>
        </w:rPr>
        <w:t>INFORMACIÓN PÚBLICA, CONCEPTO DE, EN MATERIA DE TRANSPARENCIA. INTERPRETACIÓN SISTEMÁTICA DE LOS ARTÍCULOS 2°, FRACCIÓN V, XV, Y XVI, 3°, 4°, 11 Y 41.</w:t>
      </w:r>
      <w:r w:rsidRPr="00EE5F32">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78E68318" w14:textId="77777777" w:rsidR="00D84ACA" w:rsidRPr="00EE5F32" w:rsidRDefault="001B26A8">
      <w:pPr>
        <w:spacing w:before="120" w:after="120"/>
        <w:ind w:left="851" w:right="850"/>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En consecuencia el acceso a la información se refiere a que se cumplan cualquiera de los siguientes tres supuestos:</w:t>
      </w:r>
    </w:p>
    <w:p w14:paraId="3E401EC3" w14:textId="77777777" w:rsidR="00D84ACA" w:rsidRPr="00EE5F32" w:rsidRDefault="001B26A8">
      <w:pPr>
        <w:spacing w:before="120" w:after="120"/>
        <w:ind w:left="851" w:right="901"/>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 xml:space="preserve">1) Que se trate de información </w:t>
      </w:r>
      <w:r w:rsidRPr="00EE5F32">
        <w:rPr>
          <w:rFonts w:ascii="Palatino Linotype" w:eastAsia="Palatino Linotype" w:hAnsi="Palatino Linotype" w:cs="Palatino Linotype"/>
          <w:b/>
          <w:i/>
          <w:sz w:val="22"/>
          <w:szCs w:val="22"/>
          <w:u w:val="single"/>
        </w:rPr>
        <w:t>registrada en cualquier soporte documental</w:t>
      </w:r>
      <w:r w:rsidRPr="00EE5F32">
        <w:rPr>
          <w:rFonts w:ascii="Palatino Linotype" w:eastAsia="Palatino Linotype" w:hAnsi="Palatino Linotype" w:cs="Palatino Linotype"/>
          <w:i/>
          <w:sz w:val="22"/>
          <w:szCs w:val="22"/>
        </w:rPr>
        <w:t>, que en ejercicio de las atribuciones conferidas, sea generada por los Sujetos Obligados;</w:t>
      </w:r>
    </w:p>
    <w:p w14:paraId="3CE9002C" w14:textId="77777777" w:rsidR="00D84ACA" w:rsidRPr="00EE5F32" w:rsidRDefault="001B26A8">
      <w:pPr>
        <w:spacing w:before="120" w:after="120"/>
        <w:ind w:left="851" w:right="901"/>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 xml:space="preserve">2) Que se trate de información </w:t>
      </w:r>
      <w:r w:rsidRPr="00EE5F32">
        <w:rPr>
          <w:rFonts w:ascii="Palatino Linotype" w:eastAsia="Palatino Linotype" w:hAnsi="Palatino Linotype" w:cs="Palatino Linotype"/>
          <w:b/>
          <w:i/>
          <w:sz w:val="22"/>
          <w:szCs w:val="22"/>
          <w:u w:val="single"/>
        </w:rPr>
        <w:t>registrada en cualquier soporte documental</w:t>
      </w:r>
      <w:r w:rsidRPr="00EE5F32">
        <w:rPr>
          <w:rFonts w:ascii="Palatino Linotype" w:eastAsia="Palatino Linotype" w:hAnsi="Palatino Linotype" w:cs="Palatino Linotype"/>
          <w:i/>
          <w:sz w:val="22"/>
          <w:szCs w:val="22"/>
        </w:rPr>
        <w:t>, que en ejercicio de las atribuciones conferidas, sea administrada por los Sujetos Obligados, y</w:t>
      </w:r>
    </w:p>
    <w:p w14:paraId="51B86FF3" w14:textId="77777777" w:rsidR="00D84ACA" w:rsidRPr="00EE5F32" w:rsidRDefault="001B26A8">
      <w:pPr>
        <w:spacing w:before="120" w:after="120"/>
        <w:ind w:left="851" w:right="901"/>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 xml:space="preserve">3) Que se trate de información </w:t>
      </w:r>
      <w:r w:rsidRPr="00EE5F32">
        <w:rPr>
          <w:rFonts w:ascii="Palatino Linotype" w:eastAsia="Palatino Linotype" w:hAnsi="Palatino Linotype" w:cs="Palatino Linotype"/>
          <w:b/>
          <w:i/>
          <w:sz w:val="22"/>
          <w:szCs w:val="22"/>
          <w:u w:val="single"/>
        </w:rPr>
        <w:t>registrada en cualquier soporte documental</w:t>
      </w:r>
      <w:r w:rsidRPr="00EE5F32">
        <w:rPr>
          <w:rFonts w:ascii="Palatino Linotype" w:eastAsia="Palatino Linotype" w:hAnsi="Palatino Linotype" w:cs="Palatino Linotype"/>
          <w:i/>
          <w:sz w:val="22"/>
          <w:szCs w:val="22"/>
        </w:rPr>
        <w:t>, que en ejercicio de las atribuciones conferidas, se encuentre en posesión de los Sujetos Obligados.” (Sic)</w:t>
      </w:r>
    </w:p>
    <w:p w14:paraId="2BABA08F"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Lo anterior encuentra sustento en el artículo 4 de la Ley de Transparencia y Acceso a la Información Pública del Estado de México y Municipios, que dispone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14:paraId="723B5B46"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Artículo 4</w:t>
      </w:r>
      <w:r w:rsidRPr="00EE5F32">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6A2977A6"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EE5F32">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53E018CF"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sidRPr="00EE5F32">
        <w:rPr>
          <w:rFonts w:ascii="Palatino Linotype" w:eastAsia="Palatino Linotype" w:hAnsi="Palatino Linotype" w:cs="Palatino Linotype"/>
          <w:i/>
          <w:sz w:val="22"/>
          <w:szCs w:val="22"/>
        </w:rPr>
        <w:t>.”(Sic)</w:t>
      </w:r>
    </w:p>
    <w:p w14:paraId="5724A08E"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Esto es, que los Sujetos Obligados tiene la obligación o deber de atender las solicitudes de acceso a la información pública que se les hagan de su conocimiento y proporcionar la información pública que obre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14:paraId="33303BE2"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“Artículo 12.-</w:t>
      </w:r>
      <w:r w:rsidRPr="00EE5F32">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5C760DD7"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EE5F32">
        <w:rPr>
          <w:rFonts w:ascii="Palatino Linotype" w:eastAsia="Palatino Linotype" w:hAnsi="Palatino Linotype" w:cs="Palatino Linotype"/>
          <w:i/>
          <w:sz w:val="22"/>
          <w:szCs w:val="22"/>
        </w:rPr>
        <w:t xml:space="preserve">. </w:t>
      </w:r>
      <w:r w:rsidRPr="00EE5F32">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14:paraId="37FDC88C" w14:textId="77777777" w:rsidR="00D84ACA" w:rsidRPr="00EE5F32" w:rsidRDefault="001B26A8">
      <w:pPr>
        <w:spacing w:before="240" w:after="240" w:line="360" w:lineRule="auto"/>
        <w:ind w:right="-93"/>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solo se concretaran a proporcionar la información solicitada que tengan en su poder en el estado que se encuentran, sin necesidad de concretarse al interés o términos específicos del solicitante.</w:t>
      </w:r>
    </w:p>
    <w:p w14:paraId="1E037BBA"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sz w:val="22"/>
          <w:szCs w:val="22"/>
        </w:rPr>
        <w:t>Sirve de apoyo a lo anterior, el criterio orientador con clave de control SO/003/2017, emitido por el entonces Instituto Nacional de Transparencia, Acceso a la Información y Protección de Datos Personales, que, por rubro y texto, dispone lo siguiente:</w:t>
      </w:r>
      <w:r w:rsidRPr="00EE5F32">
        <w:rPr>
          <w:rFonts w:ascii="Palatino Linotype" w:eastAsia="Palatino Linotype" w:hAnsi="Palatino Linotype" w:cs="Palatino Linotype"/>
          <w:b/>
          <w:sz w:val="22"/>
          <w:szCs w:val="22"/>
        </w:rPr>
        <w:t xml:space="preserve"> </w:t>
      </w:r>
    </w:p>
    <w:p w14:paraId="06AE5262" w14:textId="77777777" w:rsidR="00D84ACA" w:rsidRPr="00EE5F32" w:rsidRDefault="001B26A8">
      <w:pPr>
        <w:spacing w:before="120" w:after="120"/>
        <w:ind w:left="1134"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No existe obligación de elaborar documentos ad hoc para atender las solicitudes de acceso a la información.</w:t>
      </w:r>
      <w:r w:rsidRPr="00EE5F32">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 (Sic)</w:t>
      </w:r>
    </w:p>
    <w:p w14:paraId="689B3BD6"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sz w:val="22"/>
          <w:szCs w:val="22"/>
        </w:rPr>
        <w:t xml:space="preserve">En este orden de ideas, del análisis de la solicitud de información, motivo del recurso de revisión que ahora se resuelve, se advierte que la persona solicitante requirió al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le proporcione información que consiste en lo siguiente:</w:t>
      </w:r>
    </w:p>
    <w:p w14:paraId="26537076"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1. </w:t>
      </w:r>
      <w:r w:rsidRPr="00EE5F32">
        <w:rPr>
          <w:rFonts w:ascii="Palatino Linotype" w:eastAsia="Palatino Linotype" w:hAnsi="Palatino Linotype" w:cs="Palatino Linotype"/>
          <w:b/>
          <w:sz w:val="22"/>
          <w:szCs w:val="22"/>
          <w:u w:val="single"/>
        </w:rPr>
        <w:t>Que este Instituto inicie las investigaciones correspondientes sobre el manejo restrictivo y discrecional de los espacios digitales oficiales del Ayuntamiento de Toluca, particularmente en la red social Facebook y Youtube,</w:t>
      </w:r>
      <w:r w:rsidRPr="00EE5F32">
        <w:rPr>
          <w:rFonts w:ascii="Palatino Linotype" w:eastAsia="Palatino Linotype" w:hAnsi="Palatino Linotype" w:cs="Palatino Linotype"/>
          <w:b/>
          <w:sz w:val="22"/>
          <w:szCs w:val="22"/>
        </w:rPr>
        <w:t xml:space="preserve"> </w:t>
      </w:r>
      <w:r w:rsidRPr="00EE5F32">
        <w:rPr>
          <w:rFonts w:ascii="Palatino Linotype" w:eastAsia="Palatino Linotype" w:hAnsi="Palatino Linotype" w:cs="Palatino Linotype"/>
          <w:sz w:val="22"/>
          <w:szCs w:val="22"/>
        </w:rPr>
        <w:t>donde se transmiten las sesiones de Cabildo, conferencias de prensa y difusión de obras y acciones, pero no se permite el uso del chat para opinar o preguntar, aun cuando se trata de actos públicos y deliberativos; se eliminan comentarios críticos o incómodos para la administración, aun cuando estos no contienen lenguaje ofensivo ni violan términos legales; se bloquea a ciudadanos de la página oficial, impidiendo así su participación, consulta y expresión.</w:t>
      </w:r>
    </w:p>
    <w:p w14:paraId="6A0E3209"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2. </w:t>
      </w:r>
      <w:r w:rsidRPr="00EE5F32">
        <w:rPr>
          <w:rFonts w:ascii="Palatino Linotype" w:eastAsia="Palatino Linotype" w:hAnsi="Palatino Linotype" w:cs="Palatino Linotype"/>
          <w:b/>
          <w:sz w:val="22"/>
          <w:szCs w:val="22"/>
          <w:u w:val="single"/>
        </w:rPr>
        <w:t>Que se determine si estas acciones constituyen una violación sistemática al Derecho de acceso a la información pública, a la libertad de expresión y a la rendición de cuentas</w:t>
      </w:r>
      <w:r w:rsidRPr="00EE5F32">
        <w:rPr>
          <w:rFonts w:ascii="Palatino Linotype" w:eastAsia="Palatino Linotype" w:hAnsi="Palatino Linotype" w:cs="Palatino Linotype"/>
          <w:sz w:val="22"/>
          <w:szCs w:val="22"/>
        </w:rPr>
        <w:t xml:space="preserve">, al impedir que la ciudadanía: intervenga de manera activa en las sesiones públicas (Sesiones de Cabildo, conferencias de prensa); tenga certeza de que sus observaciones u opiniones serán respetadas y respondidas; pueda dar seguimiento continuo a los asuntos del gobierno municipal. </w:t>
      </w:r>
      <w:r w:rsidRPr="00EE5F32">
        <w:rPr>
          <w:rFonts w:ascii="Palatino Linotype" w:eastAsia="Palatino Linotype" w:hAnsi="Palatino Linotype" w:cs="Palatino Linotype"/>
          <w:b/>
          <w:sz w:val="22"/>
          <w:szCs w:val="22"/>
        </w:rPr>
        <w:t>De acreditarse la existencia de estas restricciones injustificadas</w:t>
      </w:r>
      <w:r w:rsidRPr="00EE5F32">
        <w:rPr>
          <w:rFonts w:ascii="Palatino Linotype" w:eastAsia="Palatino Linotype" w:hAnsi="Palatino Linotype" w:cs="Palatino Linotype"/>
          <w:sz w:val="22"/>
          <w:szCs w:val="22"/>
        </w:rPr>
        <w:t xml:space="preserve">, </w:t>
      </w:r>
      <w:r w:rsidRPr="00EE5F32">
        <w:rPr>
          <w:rFonts w:ascii="Palatino Linotype" w:eastAsia="Palatino Linotype" w:hAnsi="Palatino Linotype" w:cs="Palatino Linotype"/>
          <w:b/>
          <w:sz w:val="22"/>
          <w:szCs w:val="22"/>
          <w:u w:val="single"/>
        </w:rPr>
        <w:t xml:space="preserve">se emita un alineamiento obligatorio al Ayuntamiento. </w:t>
      </w:r>
      <w:r w:rsidRPr="00EE5F32">
        <w:rPr>
          <w:rFonts w:ascii="Palatino Linotype" w:eastAsia="Palatino Linotype" w:hAnsi="Palatino Linotype" w:cs="Palatino Linotype"/>
          <w:sz w:val="22"/>
          <w:szCs w:val="22"/>
        </w:rPr>
        <w:t>para que: garantice la apertura plena de los espacios oficiales de comunicación institucional: se abstenga de eliminar o bloquear arbitrariamente a usuarios que ejercen su derecho de opinión; se habilite el chat en vivo en transmisiones públicas, como mínimo durante las Sesiones de Cabildo y conferencias de prensa o transmisiones en vivo de actos públicos, pagados con recursos públicos, o difusión de obras y acciones.</w:t>
      </w:r>
    </w:p>
    <w:p w14:paraId="3DA274F0"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3. Que se evalúe si procede imponer una sanción administrativa al Ayuntamiento y/o a los responsables de gestionar sus medios digitales, por contravenir los principios de máxima publicidad, accesibilidad, legalidad y no discriminación.</w:t>
      </w:r>
    </w:p>
    <w:p w14:paraId="1C6CE3B8" w14:textId="77777777" w:rsidR="00D84ACA" w:rsidRPr="00EE5F32" w:rsidRDefault="001B26A8">
      <w:pPr>
        <w:tabs>
          <w:tab w:val="left" w:pos="709"/>
        </w:tabs>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ejercicio de la facultad conferida en el artículo 159 primer párrafo de la Ley de Transparencia y Acceso a la Información Pública del Estado de México, 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requirió a la persona solicitante a través de la Titular de la Unidad de Transparencia, al quinto día hábil posterior a la presentación de la solicitud, a efecto de que, dentro de los diez días hábiles siguientes a la notificación indicara de manera detallada el o los documentos a los cuales desea acceder, al no ser posible identificar la documentación o información pública generada, poseída o administrada por 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que pretende obtener, en el ejercicio de las funciones y/o atribuciones que tiene conferidas, asimismo, precisó que una solicitud de acceso a la información pública se concibe como la presentación de un requerimiento de información ante cualquier Sujeto Obligado cuyo objeto consiste en ejercer el derecho de acceso a información pública gubernamental y tiene una expresión documental.</w:t>
      </w:r>
    </w:p>
    <w:p w14:paraId="1868DD18" w14:textId="77777777" w:rsidR="00D84ACA" w:rsidRPr="00EE5F32" w:rsidRDefault="001B26A8">
      <w:pPr>
        <w:tabs>
          <w:tab w:val="left" w:pos="709"/>
        </w:tabs>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Como resultado de lo anterior, la persona solicitante dio contestación a la aclaración, señalado en lo medular que la solicitud presentada no requería identificar un documento específico con folio o título, al no ser confusa, ya que </w:t>
      </w:r>
      <w:r w:rsidRPr="00EE5F32">
        <w:rPr>
          <w:rFonts w:ascii="Palatino Linotype" w:eastAsia="Palatino Linotype" w:hAnsi="Palatino Linotype" w:cs="Palatino Linotype"/>
          <w:b/>
          <w:sz w:val="22"/>
          <w:szCs w:val="22"/>
        </w:rPr>
        <w:t>lo solicitado no es un documento</w:t>
      </w:r>
      <w:r w:rsidRPr="00EE5F32">
        <w:rPr>
          <w:rFonts w:ascii="Palatino Linotype" w:eastAsia="Palatino Linotype" w:hAnsi="Palatino Linotype" w:cs="Palatino Linotype"/>
          <w:sz w:val="22"/>
          <w:szCs w:val="22"/>
        </w:rPr>
        <w:t xml:space="preserve">, </w:t>
      </w:r>
      <w:r w:rsidRPr="00EE5F32">
        <w:rPr>
          <w:rFonts w:ascii="Palatino Linotype" w:eastAsia="Palatino Linotype" w:hAnsi="Palatino Linotype" w:cs="Palatino Linotype"/>
          <w:b/>
          <w:sz w:val="22"/>
          <w:szCs w:val="22"/>
          <w:u w:val="single"/>
        </w:rPr>
        <w:t>sino una serie de acciones verificables por parte de este Instituto</w:t>
      </w:r>
      <w:r w:rsidRPr="00EE5F32">
        <w:rPr>
          <w:rFonts w:ascii="Palatino Linotype" w:eastAsia="Palatino Linotype" w:hAnsi="Palatino Linotype" w:cs="Palatino Linotype"/>
          <w:b/>
          <w:sz w:val="22"/>
          <w:szCs w:val="22"/>
        </w:rPr>
        <w:t xml:space="preserve"> en su calidad de Organismo Garante del Derecho de acceso a la información pública, </w:t>
      </w:r>
      <w:r w:rsidRPr="00EE5F32">
        <w:rPr>
          <w:rFonts w:ascii="Palatino Linotype" w:eastAsia="Palatino Linotype" w:hAnsi="Palatino Linotype" w:cs="Palatino Linotype"/>
          <w:sz w:val="22"/>
          <w:szCs w:val="22"/>
        </w:rPr>
        <w:t>en consecuencia, precisó que “</w:t>
      </w:r>
      <w:r w:rsidRPr="00EE5F32">
        <w:rPr>
          <w:rFonts w:ascii="Palatino Linotype" w:eastAsia="Palatino Linotype" w:hAnsi="Palatino Linotype" w:cs="Palatino Linotype"/>
          <w:i/>
          <w:sz w:val="22"/>
          <w:szCs w:val="22"/>
        </w:rPr>
        <w:t>lo solicitado no es un documento, sino una serie de acciones verificables por parte de este Instituto</w:t>
      </w:r>
      <w:r w:rsidRPr="00EE5F32">
        <w:rPr>
          <w:rFonts w:ascii="Palatino Linotype" w:eastAsia="Palatino Linotype" w:hAnsi="Palatino Linotype" w:cs="Palatino Linotype"/>
          <w:sz w:val="22"/>
          <w:szCs w:val="22"/>
        </w:rPr>
        <w:t>” consistiendo en lo siguiente:</w:t>
      </w:r>
    </w:p>
    <w:p w14:paraId="09F68DA1" w14:textId="77777777" w:rsidR="00D84ACA" w:rsidRPr="00EE5F32" w:rsidRDefault="001B26A8">
      <w:pPr>
        <w:tabs>
          <w:tab w:val="left" w:pos="709"/>
        </w:tabs>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1. Se indique si el INFOEM ha emitido alguna medida, oficio, pronunciamiento, acuerdo, recomendación o acción documentada, sobre el hecho de que los Ayuntamientos del Estado de México (incluido Toluca): transmiten sesiones de Cabildo en redes sociales sin habilitar el uso del chat en vivo; bloquean o restringen la participación ciudadana en dichas transmisiones; eliminaron comentarios u opiniones legítimas de los ciudadanos en sus páginas oficiales;</w:t>
      </w:r>
    </w:p>
    <w:p w14:paraId="52A41DE6" w14:textId="77777777" w:rsidR="00D84ACA" w:rsidRPr="00EE5F32" w:rsidRDefault="001B26A8">
      <w:pPr>
        <w:tabs>
          <w:tab w:val="left" w:pos="709"/>
        </w:tabs>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2. Se indique si el INFOEM ha tomado conocimiento, ha iniciado alguna acción institucional, o tiene previsto hacerlo, para garantizar el acceso pleno, abierto y participativo a esas transmisiones oficiales, ya que constituyen un medio por el cual se difunde información pública y se ejerce el principio de máxima publicidad.</w:t>
      </w:r>
    </w:p>
    <w:p w14:paraId="7D1BD42C" w14:textId="77777777" w:rsidR="00D84ACA" w:rsidRPr="00EE5F32" w:rsidRDefault="001B26A8">
      <w:pPr>
        <w:tabs>
          <w:tab w:val="left" w:pos="709"/>
        </w:tabs>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3. Que el INFOEM se posicione institucionalmente respecto a las prácticas de censura indirecta y restricción digital que afectan la rendición de cuentas y el ejercicio pleno del Derecho a la información.</w:t>
      </w:r>
    </w:p>
    <w:p w14:paraId="2FA79119" w14:textId="77777777" w:rsidR="00D84ACA" w:rsidRPr="00EE5F32" w:rsidRDefault="001B26A8">
      <w:pPr>
        <w:tabs>
          <w:tab w:val="left" w:pos="709"/>
        </w:tabs>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4. Se informe si el INFOEM ha detectado omisiones por parte del Ayuntamiento de Toluca, y en su caso, si ya se le ha emitido alguna recomendación, medida de apremio o apercibimiento, o bien si el INFOEM se encuentra en proceso de análisis para determinar tales omisiones.</w:t>
      </w:r>
    </w:p>
    <w:p w14:paraId="4A764253"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respuesta a la solicitud,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 xml:space="preserve">por conducto de la Secretaría Técnica del Pleno, informó que la petición realizada por la persona solicitante no se relaciona con las funciones y/o atribuciones de dicha Secretaría, ya que no existe marco normativo que permita contar con documentación sobre investigaciones, medidas de apremio o acuerdos relacionados con la posible obstaculización del acceso a la información pública que señala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por la restricción de la participación ciudadana en medios oficiales digitales. </w:t>
      </w:r>
    </w:p>
    <w:p w14:paraId="35DB469D"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Sin embargo, en aras de privilegiar el derecho de acceso a la información pública y en observancia al principio de máxima publicidad y expresión documental, contenido en el artículo 4° de la Ley de Transparencia y Acceso a la Información Púbica del Estado de México y Municipios, solicitó la búsqueda de la información en el Departamento de Seguimiento de Acuerdos y Estadística del Pleno y la Dirección de Cumplimientos adscritas a la Secretaria Técnica del Pleno, las cuales refirieron lo siguiente:</w:t>
      </w:r>
    </w:p>
    <w:p w14:paraId="3830D46B"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Departamento de Seguimiento de Acuerdos y Estadísticas del Pleno: </w:t>
      </w:r>
      <w:r w:rsidRPr="00EE5F32">
        <w:rPr>
          <w:rFonts w:ascii="Palatino Linotype" w:eastAsia="Palatino Linotype" w:hAnsi="Palatino Linotype" w:cs="Palatino Linotype"/>
          <w:sz w:val="22"/>
          <w:szCs w:val="22"/>
        </w:rPr>
        <w:t>en concordancia con las facultades competencias o funciones legales conferidas a dicho Departamento en términos del artículo 19 del Reglamento Interior del Instituto de Transparencia, Acceso a La Información Pública y Protección de Datos Personales del Estado de México y Municipios, que le confiere, entre otras atribuciones, las de mantener actualizada la información relativa a las sesiones celebradas; las actas y versiones estenográficas de las sesiones; el dar seguimiento a los acuerdos aprobados por el Pleno, los acuerdos concluidos; así como el sentido de las resoluciones de los recursos de revisión; admitidos y desechados; returnados, acumulados y separados; el sentido de la votación; votos particulares, disidentes y opiniones particulares; derivado de la búsqueda exhaustiva y razonable realizada en el Seguimiento de Acuerdos que lleva el Departamento, no se localizó Acuerdo aprobado por el Pleno que dé cuenta de lo requerido por la persona solicitante.</w:t>
      </w:r>
    </w:p>
    <w:p w14:paraId="4451EF7A"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Dirección de Cumplimientos</w:t>
      </w:r>
      <w:r w:rsidRPr="00EE5F32">
        <w:rPr>
          <w:rFonts w:ascii="Palatino Linotype" w:eastAsia="Palatino Linotype" w:hAnsi="Palatino Linotype" w:cs="Palatino Linotype"/>
          <w:sz w:val="22"/>
          <w:szCs w:val="22"/>
        </w:rPr>
        <w:t>: de conformidad con las atribuciones que le confiere el artículo 19, fracciones XXIV y XXV del Reglamento Interior del Instituto de Transparencia, Acceso a La Información Pública y Protección de Datos Personales del Estado de México y Municipios, respecto a las diversas acciones generadas en relación al manejo del Ayuntamiento de Toluca sobre los espacios digitales en redes sociales, que estas no se encuentran dentro de las facultades conferidas a dicha área administrativa, sin embargo, bajo el principio de máxima publicidad, y de conformidad con lo previsto en el artículo 190 de la Ley de Transparencia y Acceso a la Información Pública del Estado de México y Municipios, refirió que si durante la sustanciación del recurso de revisión pudo haberse incurrido en una probable responsabilidad por el incumplimiento a las obligaciones previstas en la Ley de la materia, se debe hacer de conocimiento del Órgano Interno de Control del Sujeto Obligado implicado, y es dicha instancia la encargada de iniciar de oficio la investigación, esto conforme a lo establecido en el artículo 95, fracción I, de la Ley de Responsabilidades Administrativas del Estado de México y Municipios. En este tenor, dentro del año previo a la recepción de la solicitud de información, se desprende que la Secretaría Técnica del Pleno no recibió solicitudes por parte del Pleno de este Instituto para notificar al Órgano Interno de Control del Sujeto Obligado implicado.</w:t>
      </w:r>
    </w:p>
    <w:p w14:paraId="165CF6A9"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Por otro lado, respecto a las medidas de apremio o apercibimientos requeridos, informó que el Departamento de Medidas de Apremio de la Dirección de Cumplimientos de la Secretaría Técnica del Pleno tiene como función la de proponer e integrar la calificación de la gravedad de las faltas en que incurran los Sujetos Obligados por el incumplimiento a las resoluciones emitidas por el Pleno en materia de recursos de revisión; y proponer a éste, las medidas de apremio que correspondan, de conformidad con las leyes de la materia. En tal contexto, bajo el principio de máxima publicidad y derivado de una búsqueda minuciosa dentro de los archivos que conforman a esta área, dentro del año previo a la recepción de la solicitud de información, se desprende que el Pleno de este Instituto no ha impuesto medidas de apremio al Sujeto Obligado en cuestión. </w:t>
      </w:r>
    </w:p>
    <w:p w14:paraId="076F74FC"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Al no estar conforme con dichos argumentos la persona solicitante interpuso el recurso de revisión que nos ocupa, en el cual señaló como motivo de inconformidad que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evadió su responsabilidad institucional, al no haber analizado y canalizado adecuadamente la solicitud de información solicitud como un caso de posible violación sistemática a derechos fundamentales, lo cual, a su parecer, constituye una negativa fáctica de tutela, al permitir que el Ayuntamiento restrinja la interacción ciudadana en medios oficiales, tolerando una práctica censora y discriminatoria, asimismo, manifestó que este Instituto está obligado a investigar actos u omisiones de los Sujetos Obligados que vulneren el acceso a la información, incluso cuando no se solicite un documento en específico, sino cuando se denuncie una práctica institucional contraria al derecho, por lo tanto, reiteró su interés en obtener:</w:t>
      </w:r>
    </w:p>
    <w:p w14:paraId="59E794E1"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bookmarkStart w:id="8" w:name="_heading=h.eyedlgfrdtms" w:colFirst="0" w:colLast="0"/>
      <w:bookmarkEnd w:id="8"/>
      <w:r w:rsidRPr="00EE5F32">
        <w:rPr>
          <w:rFonts w:ascii="Palatino Linotype" w:eastAsia="Palatino Linotype" w:hAnsi="Palatino Linotype" w:cs="Palatino Linotype"/>
          <w:sz w:val="22"/>
          <w:szCs w:val="22"/>
        </w:rPr>
        <w:t>- Un pronunciamiento formal de este Instituto sobre las violaciones denunciadas; que se determine la existencia de actos de censura institucional digital;</w:t>
      </w:r>
    </w:p>
    <w:p w14:paraId="24475175"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Se emita alineamiento obligatorio al Ayuntamiento de Toluca, a efecto de que: cese de manera inmediata el bloqueo de cualquier ciudadano en sus plataformas digitales institucionales, sin excusa de no conocer nombres específicos, se garantice la apertura permanente del chat en transmisiones en vivo de sesiones de Cabildo, conferencias de prensa, actos públicos y demás eventos financiados con recursos públicos y se prohíba expresamente la eliminación de comentarios críticos mientras no violen términos legales; asimismo;</w:t>
      </w:r>
    </w:p>
    <w:p w14:paraId="5F0CC78C"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 Se inicie una investigación formal al Ayuntamiento de Toluca por incurrir presuntamente en prácticas violatorias a los principios de máxima publicidad, legalidad y no discriminación digital; </w:t>
      </w:r>
    </w:p>
    <w:p w14:paraId="08504218"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Se establezca en este Instituto, un mecanismo de supervisión permanente sobre el uso de medios digitales oficiales en todos los municipios del Estado de México, particularmente en redes sociales donde se transmiten actos públicos, a fin de evitar la censura sistemática y garantizar la interacción ciudadana;</w:t>
      </w:r>
    </w:p>
    <w:p w14:paraId="0A044C58"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Se remita copia de este expediente al área de verificación o vigilancia de este Instituto para el inicio del procedimiento sancionador correspondiente; y finalmente,</w:t>
      </w:r>
    </w:p>
    <w:p w14:paraId="61F1733B" w14:textId="77777777" w:rsidR="00D84ACA" w:rsidRPr="00EE5F32" w:rsidRDefault="001B26A8">
      <w:pPr>
        <w:spacing w:before="240" w:after="240" w:line="360" w:lineRule="auto"/>
        <w:ind w:left="284"/>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Que la resolución que recaiga al presente asunto se publique íntegramente en la Plataforma SAIMEX.</w:t>
      </w:r>
    </w:p>
    <w:p w14:paraId="06DE7F2B"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la etapa de manifestaciones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 xml:space="preserve">ratificó en lo sustancial la respuesta proporcionada en primera instancia, reiterando que la petición realizada por la parte </w:t>
      </w:r>
      <w:r w:rsidRPr="00EE5F32">
        <w:rPr>
          <w:rFonts w:ascii="Palatino Linotype" w:eastAsia="Palatino Linotype" w:hAnsi="Palatino Linotype" w:cs="Palatino Linotype"/>
          <w:b/>
          <w:sz w:val="22"/>
          <w:szCs w:val="22"/>
        </w:rPr>
        <w:t xml:space="preserve">Recurrente </w:t>
      </w:r>
      <w:r w:rsidRPr="00EE5F32">
        <w:rPr>
          <w:rFonts w:ascii="Palatino Linotype" w:eastAsia="Palatino Linotype" w:hAnsi="Palatino Linotype" w:cs="Palatino Linotype"/>
          <w:sz w:val="22"/>
          <w:szCs w:val="22"/>
        </w:rPr>
        <w:t>no se relaciona con las funciones y/o atribuciones de la Secretaría Técnica, ya que no existe marco normativo que permita contar con documentación sobre investigaciones, medidas de apremio o acuerdos relacionados con la posible obstaculización del acceso a la información pública que señala la persona solicitante</w:t>
      </w:r>
      <w:r w:rsidRPr="00EE5F32">
        <w:rPr>
          <w:rFonts w:ascii="Palatino Linotype" w:eastAsia="Palatino Linotype" w:hAnsi="Palatino Linotype" w:cs="Palatino Linotype"/>
          <w:b/>
          <w:sz w:val="22"/>
          <w:szCs w:val="22"/>
        </w:rPr>
        <w:t xml:space="preserve"> </w:t>
      </w:r>
      <w:r w:rsidRPr="00EE5F32">
        <w:rPr>
          <w:rFonts w:ascii="Palatino Linotype" w:eastAsia="Palatino Linotype" w:hAnsi="Palatino Linotype" w:cs="Palatino Linotype"/>
          <w:sz w:val="22"/>
          <w:szCs w:val="22"/>
        </w:rPr>
        <w:t xml:space="preserve"> por la restricción de la participación ciudadana en medios oficiales digitales, asimismo, indicó que del análisis a las razones de inconformidad, no se identifica agravio o inconformidad con la respuesta emitida por la Secretaría Técnica del Pleno, así como de las respuestas emitidas por el Departamento de Seguimiento de Acuerdos y Estadística del Pleno y la Dirección de Cumplimientos adscritas a dicha Secretaría, sino que solicita que se realicen acciones que constituyen derecho de petición y no acceso a información pública generada o poseída, además de no relacionarse con atribuciones de la Secretaría Técnica del Pleno.</w:t>
      </w:r>
    </w:p>
    <w:p w14:paraId="20C15B35"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Mientras que la parte </w:t>
      </w:r>
      <w:r w:rsidRPr="00EE5F32">
        <w:rPr>
          <w:rFonts w:ascii="Palatino Linotype" w:eastAsia="Palatino Linotype" w:hAnsi="Palatino Linotype" w:cs="Palatino Linotype"/>
          <w:b/>
          <w:sz w:val="22"/>
          <w:szCs w:val="22"/>
        </w:rPr>
        <w:t xml:space="preserve">Recurrente </w:t>
      </w:r>
      <w:r w:rsidRPr="00EE5F32">
        <w:rPr>
          <w:rFonts w:ascii="Palatino Linotype" w:eastAsia="Palatino Linotype" w:hAnsi="Palatino Linotype" w:cs="Palatino Linotype"/>
          <w:sz w:val="22"/>
          <w:szCs w:val="22"/>
        </w:rPr>
        <w:t>fue omisa en hacer valer manifestaciones o rendir alegatos que conforme a derecho resultaran procedentes, por lo tanto, se tiene por precluido su derecho.</w:t>
      </w:r>
    </w:p>
    <w:p w14:paraId="34D4B7C7"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Una vez establecidas las posturas de las partes, en primer lugar, debe apuntarse que del análisis de los requerimientos de información, así como de los motivos de inconformidad alegados por la parte </w:t>
      </w:r>
      <w:r w:rsidRPr="00EE5F32">
        <w:rPr>
          <w:rFonts w:ascii="Palatino Linotype" w:eastAsia="Palatino Linotype" w:hAnsi="Palatino Linotype" w:cs="Palatino Linotype"/>
          <w:b/>
          <w:sz w:val="22"/>
          <w:szCs w:val="22"/>
        </w:rPr>
        <w:t xml:space="preserve">Recurrente, </w:t>
      </w:r>
      <w:r w:rsidRPr="00EE5F32">
        <w:rPr>
          <w:rFonts w:ascii="Palatino Linotype" w:eastAsia="Palatino Linotype" w:hAnsi="Palatino Linotype" w:cs="Palatino Linotype"/>
          <w:sz w:val="22"/>
          <w:szCs w:val="22"/>
        </w:rPr>
        <w:t xml:space="preserve">se advirtió que, a través de los mismos, la persona solicitante pretende que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responda o se pronuncie sobre una situación en concreto, siendo esta el manejo restrictivo y discrecional de los ayuntamientos del Estado de México, en concreto, el Ayuntamiento de Toluca, de sus cuentas oficiales en redes sociales como Facebook y Youtube, en las cuales se difunden obras y acciones, se transmiten las Sesiones de Cabildo, conferencias de prensa, entre otras actividades, pero no se permite  el uso del chat para opinar o preguntar, aun cuando se trata de actos públicos y deliberativos; se eliminan comentarios críticos o incómodos para la administración, aún si no contienen lenguaje ofensivo ni violan términos legales y  se bloquea a ciudadanos de la página oficial, impidiendo así su participación, consulta y expresión, y en atención a ello,  solicitó a este Instituto informara si ha emitido alguna medida de apremio, oficio, pronunciamiento, acuerdo, recomendación o acción documentada sobre dicha situación; si ha tomado conocimiento, ha iniciado alguna acción institucional, o si tiene previsto hacerlo, para garantizar el acceso pleno, abierto y participativo a esas transmisiones oficiales; si ha detectado omisiones por parte del Ayuntamiento de Toluca, y en su caso, si ya se le ha emitido alguna recomendación, medida de apremio o apercibimiento, o bien si se encuentra en proceso de análisis para determinar tales omisiones; que se posicione institucionalmente respecto a las prácticas de censura indirecta y restricción digital en las cuentas oficiales de redes sociales de los Sujetos Obligados utilizadas para difundir información pública, entre ellos el ayuntamiento de Toluca, sobre el cual se emita un pronunciamiento sobre las violaciones denunciadas, donde se determine la existencia de actos de censura institucional digital; se le emita un alineamiento obligatorio a efecto de que: cese de manera inmediata el bloqueo de cualquier ciudadano en sus plataformas digitales institucionales, sin excusa de no conocer nombres específicos, se garantice la apertura permanente del chat en transmisiones en vivo de sesiones de Cabildo, conferencias de prensa, actos públicos y demás eventos financiados con recursos públicos y se prohíba expresamente la eliminación de comentarios críticos mientras no violen términos legales; y se inicie una investigación formal al Ayuntamiento de Toluca por incurrir presuntamente en prácticas violatorias a los principios de máxima publicidad, legalidad y no discriminación digital; y, finalmente, que establezca en este Instituto, un mecanismo de supervisión permanente sobre el uso de medios digitales oficiales en todos los municipios del Estado de México, particularmente en redes sociales donde se transmiten actos públicos, a fin de evitar la censura sistemática y garantizar la interacción ciudadana.</w:t>
      </w:r>
    </w:p>
    <w:p w14:paraId="5F9B179F" w14:textId="77777777" w:rsidR="00D84ACA" w:rsidRPr="00EE5F32" w:rsidRDefault="001B26A8">
      <w:pPr>
        <w:spacing w:before="240" w:after="240"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Situación que conlleva a precisar que con tales planteamientos no se pretendió ejercer el Derecho de acceso a la información pública; sino que por este medio se presentaron una serie de interrogantes o inquietudes, cuya finalidad consiste en obligar a la autoridad a que actúe en el sentido de contestar lo solicitado o bien que </w:t>
      </w:r>
      <w:r w:rsidRPr="00EE5F32">
        <w:rPr>
          <w:rFonts w:ascii="Palatino Linotype" w:eastAsia="Palatino Linotype" w:hAnsi="Palatino Linotype" w:cs="Palatino Linotype"/>
          <w:b/>
          <w:sz w:val="22"/>
          <w:szCs w:val="22"/>
        </w:rPr>
        <w:t>a través de la solicitud se lleven a cabo acciones para atender su petición</w:t>
      </w:r>
      <w:r w:rsidRPr="00EE5F32">
        <w:rPr>
          <w:rFonts w:ascii="Palatino Linotype" w:eastAsia="Palatino Linotype" w:hAnsi="Palatino Linotype" w:cs="Palatino Linotype"/>
          <w:sz w:val="22"/>
          <w:szCs w:val="22"/>
        </w:rPr>
        <w:t xml:space="preserve">, lo cual no es factible atenderse vía acceso a la información pública, toda vez, que la atención a dichos cuestionamientos y acciones a desarrollar,  no se pueden colmar con documentos que obren en los archivos del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w:t>
      </w:r>
    </w:p>
    <w:p w14:paraId="5BE60FCB"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sz w:val="22"/>
          <w:szCs w:val="22"/>
        </w:rPr>
        <w:t xml:space="preserve">En este sentido, se logra vislumbrar </w:t>
      </w:r>
      <w:r w:rsidRPr="00EE5F32">
        <w:rPr>
          <w:rFonts w:ascii="Palatino Linotype" w:eastAsia="Palatino Linotype" w:hAnsi="Palatino Linotype" w:cs="Palatino Linotype"/>
          <w:b/>
          <w:sz w:val="22"/>
          <w:szCs w:val="22"/>
        </w:rPr>
        <w:t xml:space="preserve">que la solicitud </w:t>
      </w:r>
      <w:r w:rsidRPr="00EE5F32">
        <w:rPr>
          <w:rFonts w:ascii="Palatino Linotype" w:eastAsia="Palatino Linotype" w:hAnsi="Palatino Linotype" w:cs="Palatino Linotype"/>
          <w:b/>
          <w:sz w:val="22"/>
          <w:szCs w:val="22"/>
          <w:u w:val="single"/>
        </w:rPr>
        <w:t>NO constituye un Derecho de acceso a la información</w:t>
      </w:r>
      <w:r w:rsidRPr="00EE5F32">
        <w:rPr>
          <w:rFonts w:ascii="Palatino Linotype" w:eastAsia="Palatino Linotype" w:hAnsi="Palatino Linotype" w:cs="Palatino Linotype"/>
          <w:b/>
          <w:sz w:val="22"/>
          <w:szCs w:val="22"/>
        </w:rPr>
        <w:t xml:space="preserve"> y por lo tanto no es atendible mediante una solicitud de acceso a la información pública,</w:t>
      </w:r>
      <w:r w:rsidRPr="00EE5F32">
        <w:rPr>
          <w:rFonts w:ascii="Palatino Linotype" w:eastAsia="Palatino Linotype" w:hAnsi="Palatino Linotype" w:cs="Palatino Linotype"/>
          <w:sz w:val="22"/>
          <w:szCs w:val="22"/>
        </w:rPr>
        <w:t xml:space="preserve"> porque se trata de planteamientos, interrogantes, declaraciones, solicitud de acciones, vertidos por la persona solicitante, lo cual conlleva a afirmar que </w:t>
      </w:r>
      <w:r w:rsidRPr="00EE5F32">
        <w:rPr>
          <w:rFonts w:ascii="Palatino Linotype" w:eastAsia="Palatino Linotype" w:hAnsi="Palatino Linotype" w:cs="Palatino Linotype"/>
          <w:b/>
          <w:sz w:val="22"/>
          <w:szCs w:val="22"/>
        </w:rPr>
        <w:t xml:space="preserve">se está en presencia del ejercicio del Derecho a la libre expresión y en todo caso a un Derecho de petición. </w:t>
      </w:r>
    </w:p>
    <w:p w14:paraId="23F8C134" w14:textId="77777777" w:rsidR="00D84ACA" w:rsidRPr="00EE5F32" w:rsidRDefault="001B26A8">
      <w:pPr>
        <w:spacing w:before="240" w:after="240" w:line="360" w:lineRule="auto"/>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sz w:val="22"/>
          <w:szCs w:val="22"/>
        </w:rPr>
        <w:t xml:space="preserve">A efecto de sustentar lo anterior, es preciso mencionar que David Cienfuegos Salgado, concibe al derecho de petición como </w:t>
      </w: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u w:val="single"/>
        </w:rPr>
        <w:t>el derecho de toda persona a ser escuchado por quienes ejercen el poder públic</w:t>
      </w:r>
      <w:r w:rsidRPr="00EE5F32">
        <w:rPr>
          <w:rFonts w:ascii="Palatino Linotype" w:eastAsia="Palatino Linotype" w:hAnsi="Palatino Linotype" w:cs="Palatino Linotype"/>
          <w:i/>
          <w:sz w:val="22"/>
          <w:szCs w:val="22"/>
        </w:rPr>
        <w:t>o.</w:t>
      </w:r>
      <w:r w:rsidRPr="00EE5F32">
        <w:rPr>
          <w:rFonts w:ascii="Palatino Linotype" w:eastAsia="Palatino Linotype" w:hAnsi="Palatino Linotype" w:cs="Palatino Linotype"/>
          <w:i/>
          <w:sz w:val="22"/>
          <w:szCs w:val="22"/>
          <w:vertAlign w:val="superscript"/>
        </w:rPr>
        <w:t xml:space="preserve"> </w:t>
      </w:r>
      <w:r w:rsidRPr="00EE5F32">
        <w:rPr>
          <w:rFonts w:ascii="Palatino Linotype" w:eastAsia="Palatino Linotype" w:hAnsi="Palatino Linotype" w:cs="Palatino Linotype"/>
          <w:i/>
          <w:sz w:val="22"/>
          <w:szCs w:val="22"/>
          <w:vertAlign w:val="superscript"/>
        </w:rPr>
        <w:footnoteReference w:id="1"/>
      </w:r>
      <w:r w:rsidRPr="00EE5F32">
        <w:rPr>
          <w:rFonts w:ascii="Palatino Linotype" w:eastAsia="Palatino Linotype" w:hAnsi="Palatino Linotype" w:cs="Palatino Linotype"/>
          <w:i/>
          <w:sz w:val="22"/>
          <w:szCs w:val="22"/>
        </w:rPr>
        <w:t xml:space="preserve">” (Sic) </w:t>
      </w:r>
    </w:p>
    <w:p w14:paraId="1918B54B"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De la misma manera, Miguel Carbonell en su libro “Los derechos fundamentales” refiere que el </w:t>
      </w:r>
      <w:r w:rsidRPr="00EE5F32">
        <w:rPr>
          <w:rFonts w:ascii="Palatino Linotype" w:eastAsia="Palatino Linotype" w:hAnsi="Palatino Linotype" w:cs="Palatino Linotype"/>
          <w:sz w:val="22"/>
          <w:szCs w:val="22"/>
          <w:u w:val="single"/>
        </w:rPr>
        <w:t>derecho de petición se ha entendido de dos distintitas maneras</w:t>
      </w:r>
      <w:r w:rsidRPr="00EE5F32">
        <w:rPr>
          <w:rFonts w:ascii="Palatino Linotype" w:eastAsia="Palatino Linotype" w:hAnsi="Palatino Linotype" w:cs="Palatino Linotype"/>
          <w:sz w:val="22"/>
          <w:szCs w:val="22"/>
        </w:rPr>
        <w:t xml:space="preserve">, a saber: como un derecho fundamental de participación política ya que </w:t>
      </w:r>
      <w:r w:rsidRPr="00EE5F32">
        <w:rPr>
          <w:rFonts w:ascii="Palatino Linotype" w:eastAsia="Palatino Linotype" w:hAnsi="Palatino Linotype" w:cs="Palatino Linotype"/>
          <w:sz w:val="22"/>
          <w:szCs w:val="22"/>
          <w:u w:val="single"/>
        </w:rPr>
        <w:t xml:space="preserve">permite a los particulares trasladar a las autoridades sus </w:t>
      </w:r>
      <w:r w:rsidRPr="00EE5F32">
        <w:rPr>
          <w:rFonts w:ascii="Palatino Linotype" w:eastAsia="Palatino Linotype" w:hAnsi="Palatino Linotype" w:cs="Palatino Linotype"/>
          <w:b/>
          <w:sz w:val="22"/>
          <w:szCs w:val="22"/>
          <w:u w:val="single"/>
        </w:rPr>
        <w:t>inquietudes, quejas</w:t>
      </w:r>
      <w:r w:rsidRPr="00EE5F32">
        <w:rPr>
          <w:rFonts w:ascii="Palatino Linotype" w:eastAsia="Palatino Linotype" w:hAnsi="Palatino Linotype" w:cs="Palatino Linotype"/>
          <w:sz w:val="22"/>
          <w:szCs w:val="22"/>
          <w:u w:val="single"/>
        </w:rPr>
        <w:t>, sugerencias</w:t>
      </w:r>
      <w:r w:rsidRPr="00EE5F32">
        <w:rPr>
          <w:rFonts w:ascii="Palatino Linotype" w:eastAsia="Palatino Linotype" w:hAnsi="Palatino Linotype" w:cs="Palatino Linotype"/>
          <w:sz w:val="22"/>
          <w:szCs w:val="22"/>
        </w:rPr>
        <w:t xml:space="preserve"> y requerimientos en cualquier materia o asunto; y como una </w:t>
      </w:r>
      <w:r w:rsidRPr="00EE5F32">
        <w:rPr>
          <w:rFonts w:ascii="Palatino Linotype" w:eastAsia="Palatino Linotype" w:hAnsi="Palatino Linotype" w:cs="Palatino Linotype"/>
          <w:b/>
          <w:sz w:val="22"/>
          <w:szCs w:val="22"/>
        </w:rPr>
        <w:t>forma específica de la libertad de expresión</w:t>
      </w:r>
      <w:r w:rsidRPr="00EE5F32">
        <w:rPr>
          <w:rFonts w:ascii="Palatino Linotype" w:eastAsia="Palatino Linotype" w:hAnsi="Palatino Linotype" w:cs="Palatino Linotype"/>
          <w:sz w:val="22"/>
          <w:szCs w:val="22"/>
        </w:rPr>
        <w:t>, en tanto que permite expresarse frente a las autoridades. De igual manera que el derecho de petición se traduce en la obligación de todos los funcionarios y autoridades de permitir a los ciudadanos de dirigirse a ellos en demanda de lo que deseen expresar o solicitar y responder de dicha demanda por escrito, de forma congruente y en un plazo breve.</w:t>
      </w:r>
      <w:r w:rsidRPr="00EE5F32">
        <w:rPr>
          <w:rFonts w:ascii="Palatino Linotype" w:eastAsia="Palatino Linotype" w:hAnsi="Palatino Linotype" w:cs="Palatino Linotype"/>
          <w:sz w:val="22"/>
          <w:szCs w:val="22"/>
          <w:vertAlign w:val="superscript"/>
        </w:rPr>
        <w:footnoteReference w:id="2"/>
      </w:r>
    </w:p>
    <w:p w14:paraId="63EFCA12"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b/>
          <w:sz w:val="22"/>
          <w:szCs w:val="22"/>
          <w:u w:val="single"/>
        </w:rPr>
      </w:pPr>
      <w:r w:rsidRPr="00EE5F32">
        <w:rPr>
          <w:rFonts w:ascii="Palatino Linotype" w:eastAsia="Palatino Linotype" w:hAnsi="Palatino Linotype" w:cs="Palatino Linotype"/>
          <w:sz w:val="22"/>
          <w:szCs w:val="22"/>
        </w:rPr>
        <w:t xml:space="preserve">Por otro lado, el autor anteriormente citado, indica que el </w:t>
      </w:r>
      <w:r w:rsidRPr="00EE5F32">
        <w:rPr>
          <w:rFonts w:ascii="Palatino Linotype" w:eastAsia="Palatino Linotype" w:hAnsi="Palatino Linotype" w:cs="Palatino Linotype"/>
          <w:b/>
          <w:sz w:val="22"/>
          <w:szCs w:val="22"/>
          <w:u w:val="single"/>
        </w:rPr>
        <w:t>Derecho de acceso a la información pública</w:t>
      </w:r>
      <w:r w:rsidRPr="00EE5F32">
        <w:rPr>
          <w:rFonts w:ascii="Palatino Linotype" w:eastAsia="Palatino Linotype" w:hAnsi="Palatino Linotype" w:cs="Palatino Linotype"/>
          <w:sz w:val="22"/>
          <w:szCs w:val="22"/>
        </w:rPr>
        <w:t xml:space="preserve"> es el Derecho de conocer la </w:t>
      </w:r>
      <w:r w:rsidRPr="00EE5F32">
        <w:rPr>
          <w:rFonts w:ascii="Palatino Linotype" w:eastAsia="Palatino Linotype" w:hAnsi="Palatino Linotype" w:cs="Palatino Linotype"/>
          <w:b/>
          <w:sz w:val="22"/>
          <w:szCs w:val="22"/>
          <w:u w:val="single"/>
        </w:rPr>
        <w:t>información de carácter público que se genera o está en posesión de los órganos del poder público</w:t>
      </w:r>
      <w:r w:rsidRPr="00EE5F32">
        <w:rPr>
          <w:rFonts w:ascii="Palatino Linotype" w:eastAsia="Palatino Linotype" w:hAnsi="Palatino Linotype" w:cs="Palatino Linotype"/>
          <w:sz w:val="22"/>
          <w:szCs w:val="22"/>
        </w:rPr>
        <w:t xml:space="preserve"> o de los sujetos que utilizan o se benefician con recursos provenientes del Estado, es el derecho que tienen los ciudadanos </w:t>
      </w:r>
      <w:r w:rsidRPr="00EE5F32">
        <w:rPr>
          <w:rFonts w:ascii="Palatino Linotype" w:eastAsia="Palatino Linotype" w:hAnsi="Palatino Linotype" w:cs="Palatino Linotype"/>
          <w:b/>
          <w:sz w:val="22"/>
          <w:szCs w:val="22"/>
          <w:u w:val="single"/>
        </w:rPr>
        <w:t>para acceder a documentos y datos que obren en el poder del gobierno.</w:t>
      </w:r>
    </w:p>
    <w:p w14:paraId="01280DDA"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Por su parte, Ernesto Villanueva define al </w:t>
      </w:r>
      <w:r w:rsidRPr="00EE5F32">
        <w:rPr>
          <w:rFonts w:ascii="Palatino Linotype" w:eastAsia="Palatino Linotype" w:hAnsi="Palatino Linotype" w:cs="Palatino Linotype"/>
          <w:b/>
          <w:sz w:val="22"/>
          <w:szCs w:val="22"/>
        </w:rPr>
        <w:t>Derecho de acceso a la información</w:t>
      </w:r>
      <w:r w:rsidRPr="00EE5F32">
        <w:rPr>
          <w:rFonts w:ascii="Palatino Linotype" w:eastAsia="Palatino Linotype" w:hAnsi="Palatino Linotype" w:cs="Palatino Linotype"/>
          <w:sz w:val="22"/>
          <w:szCs w:val="22"/>
        </w:rPr>
        <w:t xml:space="preserve"> pública como </w:t>
      </w:r>
      <w:r w:rsidRPr="00EE5F32">
        <w:rPr>
          <w:rFonts w:ascii="Palatino Linotype" w:eastAsia="Palatino Linotype" w:hAnsi="Palatino Linotype" w:cs="Palatino Linotype"/>
          <w:b/>
          <w:sz w:val="22"/>
          <w:szCs w:val="22"/>
          <w:u w:val="single"/>
        </w:rPr>
        <w:t>la prerrogativa de la persona para acceder a datos, registros y todo tipo de informaciones en poder de las entidades públicas</w:t>
      </w:r>
      <w:r w:rsidRPr="00EE5F32">
        <w:rPr>
          <w:rFonts w:ascii="Palatino Linotype" w:eastAsia="Palatino Linotype" w:hAnsi="Palatino Linotype" w:cs="Palatino Linotype"/>
          <w:sz w:val="22"/>
          <w:szCs w:val="22"/>
        </w:rPr>
        <w:t xml:space="preserve"> y empresas privadas que ejercen gasto público o cumplen funciones de autoridad, con las excepciones taxativas que establezca la ley en una sociedad democrática.</w:t>
      </w:r>
      <w:r w:rsidRPr="00EE5F32">
        <w:rPr>
          <w:rFonts w:ascii="Palatino Linotype" w:eastAsia="Palatino Linotype" w:hAnsi="Palatino Linotype" w:cs="Palatino Linotype"/>
          <w:sz w:val="22"/>
          <w:szCs w:val="22"/>
          <w:vertAlign w:val="superscript"/>
        </w:rPr>
        <w:footnoteReference w:id="3"/>
      </w:r>
    </w:p>
    <w:p w14:paraId="78A81A97"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De lo anterior se puede concluir que la distinción entre el </w:t>
      </w:r>
      <w:r w:rsidRPr="00EE5F32">
        <w:rPr>
          <w:rFonts w:ascii="Palatino Linotype" w:eastAsia="Palatino Linotype" w:hAnsi="Palatino Linotype" w:cs="Palatino Linotype"/>
          <w:b/>
          <w:sz w:val="22"/>
          <w:szCs w:val="22"/>
          <w:u w:val="single"/>
        </w:rPr>
        <w:t>Derecho de petición</w:t>
      </w:r>
      <w:r w:rsidRPr="00EE5F32">
        <w:rPr>
          <w:rFonts w:ascii="Palatino Linotype" w:eastAsia="Palatino Linotype" w:hAnsi="Palatino Linotype" w:cs="Palatino Linotype"/>
          <w:sz w:val="22"/>
          <w:szCs w:val="22"/>
        </w:rPr>
        <w:t xml:space="preserve"> y el Derecho de acceso a la información descansa principalmente, en que </w:t>
      </w:r>
      <w:r w:rsidRPr="00EE5F32">
        <w:rPr>
          <w:rFonts w:ascii="Palatino Linotype" w:eastAsia="Palatino Linotype" w:hAnsi="Palatino Linotype" w:cs="Palatino Linotype"/>
          <w:b/>
          <w:sz w:val="22"/>
          <w:szCs w:val="22"/>
        </w:rPr>
        <w:t>la pretensión del peticionario consiste generalmente en obligar a la autoridad responsable a que actúe</w:t>
      </w:r>
      <w:r w:rsidRPr="00EE5F32">
        <w:rPr>
          <w:rFonts w:ascii="Palatino Linotype" w:eastAsia="Palatino Linotype" w:hAnsi="Palatino Linotype" w:cs="Palatino Linotype"/>
          <w:sz w:val="22"/>
          <w:szCs w:val="22"/>
        </w:rPr>
        <w:t xml:space="preserve"> </w:t>
      </w:r>
      <w:r w:rsidRPr="00EE5F32">
        <w:rPr>
          <w:rFonts w:ascii="Palatino Linotype" w:eastAsia="Palatino Linotype" w:hAnsi="Palatino Linotype" w:cs="Palatino Linotype"/>
          <w:b/>
          <w:sz w:val="22"/>
          <w:szCs w:val="22"/>
        </w:rPr>
        <w:t>en el sentido de contestar lo solicitado</w:t>
      </w:r>
      <w:r w:rsidRPr="00EE5F32">
        <w:rPr>
          <w:rFonts w:ascii="Palatino Linotype" w:eastAsia="Palatino Linotype" w:hAnsi="Palatino Linotype" w:cs="Palatino Linotype"/>
          <w:sz w:val="22"/>
          <w:szCs w:val="22"/>
        </w:rPr>
        <w:t xml:space="preserve">, mientras que </w:t>
      </w:r>
      <w:r w:rsidRPr="00EE5F32">
        <w:rPr>
          <w:rFonts w:ascii="Palatino Linotype" w:eastAsia="Palatino Linotype" w:hAnsi="Palatino Linotype" w:cs="Palatino Linotype"/>
          <w:b/>
          <w:sz w:val="22"/>
          <w:szCs w:val="22"/>
          <w:u w:val="single"/>
        </w:rPr>
        <w:t>en el derecho de acceso a la información pública,</w:t>
      </w:r>
      <w:r w:rsidRPr="00EE5F32">
        <w:rPr>
          <w:rFonts w:ascii="Palatino Linotype" w:eastAsia="Palatino Linotype" w:hAnsi="Palatino Linotype" w:cs="Palatino Linotype"/>
          <w:b/>
          <w:sz w:val="22"/>
          <w:szCs w:val="22"/>
        </w:rPr>
        <w:t xml:space="preserve"> la pretensión radica en que se permita el acceso a datos y todo tipo de documentación que tenga el carácter de información pública, que sea generada, administrada o se encuentre en posesión de los</w:t>
      </w:r>
      <w:r w:rsidRPr="00EE5F32">
        <w:rPr>
          <w:rFonts w:ascii="Palatino Linotype" w:eastAsia="Palatino Linotype" w:hAnsi="Palatino Linotype" w:cs="Palatino Linotype"/>
          <w:sz w:val="22"/>
          <w:szCs w:val="22"/>
        </w:rPr>
        <w:t xml:space="preserve"> considerados </w:t>
      </w:r>
      <w:r w:rsidRPr="00EE5F32">
        <w:rPr>
          <w:rFonts w:ascii="Palatino Linotype" w:eastAsia="Palatino Linotype" w:hAnsi="Palatino Linotype" w:cs="Palatino Linotype"/>
          <w:b/>
          <w:sz w:val="22"/>
          <w:szCs w:val="22"/>
        </w:rPr>
        <w:t>Sujetos Obligados</w:t>
      </w:r>
      <w:r w:rsidRPr="00EE5F32">
        <w:rPr>
          <w:rFonts w:ascii="Palatino Linotype" w:eastAsia="Palatino Linotype" w:hAnsi="Palatino Linotype" w:cs="Palatino Linotype"/>
          <w:sz w:val="22"/>
          <w:szCs w:val="22"/>
        </w:rPr>
        <w:t xml:space="preserve"> por la Ley de la Materia.</w:t>
      </w:r>
    </w:p>
    <w:p w14:paraId="64110E1D"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Con base a lo anterior, se insiste que de la lectura de los requerimientos de información  y los motivos de inconformidad alegados, </w:t>
      </w:r>
      <w:r w:rsidRPr="00EE5F32">
        <w:rPr>
          <w:rFonts w:ascii="Palatino Linotype" w:eastAsia="Palatino Linotype" w:hAnsi="Palatino Linotype" w:cs="Palatino Linotype"/>
          <w:b/>
          <w:sz w:val="22"/>
          <w:szCs w:val="22"/>
          <w:u w:val="single"/>
        </w:rPr>
        <w:t>no se advierte que la persona solicitante pretenda el acceso a documentos previamente generados</w:t>
      </w:r>
      <w:r w:rsidRPr="00EE5F32">
        <w:rPr>
          <w:rFonts w:ascii="Palatino Linotype" w:eastAsia="Palatino Linotype" w:hAnsi="Palatino Linotype" w:cs="Palatino Linotype"/>
          <w:b/>
          <w:sz w:val="22"/>
          <w:szCs w:val="22"/>
        </w:rPr>
        <w:t>, s</w:t>
      </w:r>
      <w:r w:rsidRPr="00EE5F32">
        <w:rPr>
          <w:rFonts w:ascii="Palatino Linotype" w:eastAsia="Palatino Linotype" w:hAnsi="Palatino Linotype" w:cs="Palatino Linotype"/>
          <w:sz w:val="22"/>
          <w:szCs w:val="22"/>
        </w:rPr>
        <w:t xml:space="preserve">ino más bien, </w:t>
      </w:r>
      <w:r w:rsidRPr="00EE5F32">
        <w:rPr>
          <w:rFonts w:ascii="Palatino Linotype" w:eastAsia="Palatino Linotype" w:hAnsi="Palatino Linotype" w:cs="Palatino Linotype"/>
          <w:b/>
          <w:sz w:val="22"/>
          <w:szCs w:val="22"/>
          <w:u w:val="single"/>
        </w:rPr>
        <w:t>requiere un pronunciamiento y que se lleven a cabo acciones específicas por parte del Sujeto Obligado que dé respuesta a la situación que plantea,</w:t>
      </w:r>
      <w:r w:rsidRPr="00EE5F32">
        <w:rPr>
          <w:rFonts w:ascii="Palatino Linotype" w:eastAsia="Palatino Linotype" w:hAnsi="Palatino Linotype" w:cs="Palatino Linotype"/>
          <w:sz w:val="22"/>
          <w:szCs w:val="22"/>
        </w:rPr>
        <w:t xml:space="preserve"> toda vez que </w:t>
      </w:r>
      <w:r w:rsidRPr="00EE5F32">
        <w:rPr>
          <w:rFonts w:ascii="Palatino Linotype" w:eastAsia="Palatino Linotype" w:hAnsi="Palatino Linotype" w:cs="Palatino Linotype"/>
          <w:b/>
          <w:sz w:val="22"/>
          <w:szCs w:val="22"/>
        </w:rPr>
        <w:t xml:space="preserve">lo que cuestiona es </w:t>
      </w:r>
      <w:r w:rsidRPr="00EE5F32">
        <w:rPr>
          <w:rFonts w:ascii="Palatino Linotype" w:eastAsia="Palatino Linotype" w:hAnsi="Palatino Linotype" w:cs="Palatino Linotype"/>
          <w:b/>
          <w:sz w:val="22"/>
          <w:szCs w:val="22"/>
          <w:u w:val="single"/>
        </w:rPr>
        <w:t>el manejo restrictivo y discrecional de los ayuntamientos del Estado de México, entre ellos el Ayuntamiento de Toluca, de sus cuentas oficiales en redes sociales como Facebook y Youtube</w:t>
      </w:r>
      <w:r w:rsidRPr="00EE5F32">
        <w:rPr>
          <w:rFonts w:ascii="Palatino Linotype" w:eastAsia="Palatino Linotype" w:hAnsi="Palatino Linotype" w:cs="Palatino Linotype"/>
          <w:b/>
          <w:sz w:val="22"/>
          <w:szCs w:val="22"/>
        </w:rPr>
        <w:t xml:space="preserve">, en las cuales se difunden obras y acciones, se transmiten las Sesiones de Cabildo, conferencias de prensa, entre otras actividades, </w:t>
      </w:r>
      <w:r w:rsidRPr="00EE5F32">
        <w:rPr>
          <w:rFonts w:ascii="Palatino Linotype" w:eastAsia="Palatino Linotype" w:hAnsi="Palatino Linotype" w:cs="Palatino Linotype"/>
          <w:b/>
          <w:sz w:val="22"/>
          <w:szCs w:val="22"/>
          <w:u w:val="single"/>
        </w:rPr>
        <w:t>al no permitir el uso del chat para opinar o preguntar, al eliminarse comentarios críticos o incómodos para la administración, y bloquearse a ciudadanos en las cuentas oficiales,</w:t>
      </w:r>
      <w:r w:rsidRPr="00EE5F32">
        <w:rPr>
          <w:rFonts w:ascii="Palatino Linotype" w:eastAsia="Palatino Linotype" w:hAnsi="Palatino Linotype" w:cs="Palatino Linotype"/>
          <w:b/>
          <w:sz w:val="22"/>
          <w:szCs w:val="22"/>
        </w:rPr>
        <w:t xml:space="preserve"> lo cual impide la participación ciudadana, la consulta y la libre expresión, </w:t>
      </w:r>
      <w:r w:rsidRPr="00EE5F32">
        <w:rPr>
          <w:rFonts w:ascii="Palatino Linotype" w:eastAsia="Palatino Linotype" w:hAnsi="Palatino Linotype" w:cs="Palatino Linotype"/>
          <w:sz w:val="22"/>
          <w:szCs w:val="22"/>
        </w:rPr>
        <w:t>y derivado de dicha situación, las acciones documentadas que este Instituto ha llevado a cabo o tiene previstas llevar a cabo, así como su posicionamiento institucional respecto a dichas prácticas de censura indirecta y restricción digital en las cuentas oficiales de redes sociales digitales de los Sujetos Obligados utilizadas para difundir información pública.</w:t>
      </w:r>
    </w:p>
    <w:p w14:paraId="7D574C44" w14:textId="7B76A300"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No obstante, bajo el principio de máxima publicidad, la Unidad de Transparencia turnó la solicitud a la dependencia de este Instituto responsable de supervisar el cumplimiento de los acuerdos del Pleno, como como el órgano máximo de decisión del Instituto, el cual toma sus decisiones, acuerdos y desarrolla sus funciones de manera colegiada, así como de vigilar la notificación y ejecución de las medidas de apremio impuestas por el Pleno, siendo esta la Secretaría Técnica, de conformidad con las atribuciones se encuentran enmarcadas en el </w:t>
      </w:r>
      <w:r w:rsidR="00A860BD" w:rsidRPr="00EE5F32">
        <w:rPr>
          <w:rFonts w:ascii="Palatino Linotype" w:eastAsia="Palatino Linotype" w:hAnsi="Palatino Linotype" w:cs="Palatino Linotype"/>
          <w:sz w:val="22"/>
          <w:szCs w:val="22"/>
        </w:rPr>
        <w:t>artículo</w:t>
      </w:r>
      <w:r w:rsidRPr="00EE5F32">
        <w:rPr>
          <w:rFonts w:ascii="Palatino Linotype" w:eastAsia="Palatino Linotype" w:hAnsi="Palatino Linotype" w:cs="Palatino Linotype"/>
          <w:sz w:val="22"/>
          <w:szCs w:val="22"/>
        </w:rPr>
        <w:t xml:space="preserve"> 19 del Reglamento Interior del Instituto de Transparencia, Acceso a la Información Pública y Protección de Datos Personales del Estado de México y Municipios, a saber:</w:t>
      </w:r>
    </w:p>
    <w:p w14:paraId="1915D5D3"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Artículo 19</w:t>
      </w:r>
      <w:r w:rsidRPr="00EE5F32">
        <w:rPr>
          <w:rFonts w:ascii="Palatino Linotype" w:eastAsia="Palatino Linotype" w:hAnsi="Palatino Linotype" w:cs="Palatino Linotype"/>
          <w:i/>
          <w:sz w:val="22"/>
          <w:szCs w:val="22"/>
        </w:rPr>
        <w:t xml:space="preserve">. Corresponde a la </w:t>
      </w:r>
      <w:r w:rsidRPr="00EE5F32">
        <w:rPr>
          <w:rFonts w:ascii="Palatino Linotype" w:eastAsia="Palatino Linotype" w:hAnsi="Palatino Linotype" w:cs="Palatino Linotype"/>
          <w:b/>
          <w:i/>
          <w:sz w:val="22"/>
          <w:szCs w:val="22"/>
        </w:rPr>
        <w:t>Secretaría Técnica del Pleno</w:t>
      </w:r>
      <w:r w:rsidRPr="00EE5F32">
        <w:rPr>
          <w:rFonts w:ascii="Palatino Linotype" w:eastAsia="Palatino Linotype" w:hAnsi="Palatino Linotype" w:cs="Palatino Linotype"/>
          <w:i/>
          <w:sz w:val="22"/>
          <w:szCs w:val="22"/>
        </w:rPr>
        <w:t xml:space="preserve"> ejercer las atribuciones siguientes:</w:t>
      </w:r>
    </w:p>
    <w:p w14:paraId="75B8C2B6"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4C12AFC3"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 xml:space="preserve">II. </w:t>
      </w:r>
      <w:r w:rsidRPr="00EE5F32">
        <w:rPr>
          <w:rFonts w:ascii="Palatino Linotype" w:eastAsia="Palatino Linotype" w:hAnsi="Palatino Linotype" w:cs="Palatino Linotype"/>
          <w:i/>
          <w:sz w:val="22"/>
          <w:szCs w:val="22"/>
        </w:rPr>
        <w:t xml:space="preserve">Notificar, ejecutar, dar seguimiento y supervisar el cumplimiento de los acuerdos del Pleno; </w:t>
      </w:r>
    </w:p>
    <w:p w14:paraId="03ED9832"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III</w:t>
      </w:r>
      <w:r w:rsidRPr="00EE5F32">
        <w:rPr>
          <w:rFonts w:ascii="Palatino Linotype" w:eastAsia="Palatino Linotype" w:hAnsi="Palatino Linotype" w:cs="Palatino Linotype"/>
          <w:i/>
          <w:sz w:val="22"/>
          <w:szCs w:val="22"/>
        </w:rPr>
        <w:t xml:space="preserve">. Elaborar el proyecto del orden del día de las sesiones ordinarias y extraordinarias del Pleno, previo acuerdo con la o el Comisionado Presidente; </w:t>
      </w:r>
    </w:p>
    <w:p w14:paraId="4CF46D29"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IV</w:t>
      </w:r>
      <w:r w:rsidRPr="00EE5F32">
        <w:rPr>
          <w:rFonts w:ascii="Palatino Linotype" w:eastAsia="Palatino Linotype" w:hAnsi="Palatino Linotype" w:cs="Palatino Linotype"/>
          <w:i/>
          <w:sz w:val="22"/>
          <w:szCs w:val="22"/>
        </w:rPr>
        <w:t>. Previa instrucción de la o el Comisionado Presidente, convocar al Pleno a las sesiones ordinarias o extraordinarias, remitiendo el orden del día de la sesión y en su caso, los documentos necesarios para el estudio y discusión de los asuntos contenidos en el mismo, y conforme a los plazos establecidos en los lineamientos para el funcionamiento del Pleno;</w:t>
      </w:r>
    </w:p>
    <w:p w14:paraId="580CA42C"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VI</w:t>
      </w:r>
      <w:r w:rsidRPr="00EE5F32">
        <w:rPr>
          <w:rFonts w:ascii="Palatino Linotype" w:eastAsia="Palatino Linotype" w:hAnsi="Palatino Linotype" w:cs="Palatino Linotype"/>
          <w:i/>
          <w:sz w:val="22"/>
          <w:szCs w:val="22"/>
        </w:rPr>
        <w:t>. Recabar la votación de las y los Comisionados en orden alfabético y registrarla en el acta de sesión correspondiente;</w:t>
      </w:r>
    </w:p>
    <w:p w14:paraId="7803037F"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26AA2556"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VIII</w:t>
      </w:r>
      <w:r w:rsidRPr="00EE5F32">
        <w:rPr>
          <w:rFonts w:ascii="Palatino Linotype" w:eastAsia="Palatino Linotype" w:hAnsi="Palatino Linotype" w:cs="Palatino Linotype"/>
          <w:i/>
          <w:sz w:val="22"/>
          <w:szCs w:val="22"/>
        </w:rPr>
        <w:t>. Levantar y firmar las actas, acuerdos y resoluciones del Pleno, con la finalidad de dar fe de los actos ahí contenidos;</w:t>
      </w:r>
    </w:p>
    <w:p w14:paraId="68671401"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55775A4E"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XII.</w:t>
      </w:r>
      <w:r w:rsidRPr="00EE5F32">
        <w:rPr>
          <w:rFonts w:ascii="Palatino Linotype" w:eastAsia="Palatino Linotype" w:hAnsi="Palatino Linotype" w:cs="Palatino Linotype"/>
          <w:i/>
          <w:sz w:val="22"/>
          <w:szCs w:val="22"/>
        </w:rPr>
        <w:t xml:space="preserve"> Llevar a cabo la administración, organización y conservación de los archivos físicos y electrónicos de los recursos de revisión resueltos, acuerdos, actas y demás documentación y estadística emitida por el Pleno del Instituto, así como cualquier documentación entregada por las ponencias para dichos efectos;</w:t>
      </w:r>
    </w:p>
    <w:p w14:paraId="5ED04A69"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77C38372"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 xml:space="preserve">XV. </w:t>
      </w:r>
      <w:r w:rsidRPr="00EE5F32">
        <w:rPr>
          <w:rFonts w:ascii="Palatino Linotype" w:eastAsia="Palatino Linotype" w:hAnsi="Palatino Linotype" w:cs="Palatino Linotype"/>
          <w:i/>
          <w:sz w:val="22"/>
          <w:szCs w:val="22"/>
        </w:rPr>
        <w:t>Mantener actualizada la información relativa a las sesiones celebradas en los registros correspondientes; las actas y versiones estenográficas de las sesiones; los acuerdos concluidos; así como el sentido de las resoluciones de los recursos de revisión; admitidos y desechados; returnados, acumulados y separados; el sentido de la votación; votos particulares, disidentes y opiniones particulares;</w:t>
      </w:r>
    </w:p>
    <w:p w14:paraId="22969C6F"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06FC1715"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 xml:space="preserve">XXIV. </w:t>
      </w:r>
      <w:r w:rsidRPr="00EE5F32">
        <w:rPr>
          <w:rFonts w:ascii="Palatino Linotype" w:eastAsia="Palatino Linotype" w:hAnsi="Palatino Linotype" w:cs="Palatino Linotype"/>
          <w:i/>
          <w:sz w:val="22"/>
          <w:szCs w:val="22"/>
        </w:rPr>
        <w:t xml:space="preserve">Vigilar el cumplimiento que los Sujetos Obligados deben observar en la atención de las resoluciones de los recursos de revisión y emitir los acuerdos correspondientes; </w:t>
      </w:r>
    </w:p>
    <w:p w14:paraId="100E426B"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XXV.</w:t>
      </w:r>
      <w:r w:rsidRPr="00EE5F32">
        <w:rPr>
          <w:rFonts w:ascii="Palatino Linotype" w:eastAsia="Palatino Linotype" w:hAnsi="Palatino Linotype" w:cs="Palatino Linotype"/>
          <w:i/>
          <w:sz w:val="22"/>
          <w:szCs w:val="22"/>
        </w:rPr>
        <w:t xml:space="preserve"> Calificar la gravedad de las faltas derivadas del incumplimiento de los sujetos obligados a las resoluciones emitidas por el Pleno en materia de recursos de revisión; y proponer a éste, las medidas de apremio que correspondan, de conformidad con las leyes de la materia y los lineamientos que para tal efecto se emitan. </w:t>
      </w:r>
    </w:p>
    <w:p w14:paraId="0E16C8C8"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XXVI.</w:t>
      </w:r>
      <w:r w:rsidRPr="00EE5F32">
        <w:rPr>
          <w:rFonts w:ascii="Palatino Linotype" w:eastAsia="Palatino Linotype" w:hAnsi="Palatino Linotype" w:cs="Palatino Linotype"/>
          <w:i/>
          <w:sz w:val="22"/>
          <w:szCs w:val="22"/>
        </w:rPr>
        <w:t xml:space="preserve"> Notificar, gestionar y, en su caso, ejecutar las medidas de apremio impuestas por el Pleno del Instituto en materia de recursos de revisión; </w:t>
      </w:r>
    </w:p>
    <w:p w14:paraId="1B216631" w14:textId="77777777" w:rsidR="00D84ACA" w:rsidRPr="00EE5F32" w:rsidRDefault="001B26A8">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XXVII.</w:t>
      </w:r>
      <w:r w:rsidRPr="00EE5F32">
        <w:rPr>
          <w:rFonts w:ascii="Palatino Linotype" w:eastAsia="Palatino Linotype" w:hAnsi="Palatino Linotype" w:cs="Palatino Linotype"/>
          <w:i/>
          <w:sz w:val="22"/>
          <w:szCs w:val="22"/>
        </w:rPr>
        <w:t xml:space="preserve"> Remitir al Órgano Interno de Control de los Sujetos Obligados o, en su caso, a la autoridad que corresponda, el expediente que contenga las presuntas infracciones cometidas en el marco de la Ley de Transparencia, para la promoción de responsabilidades y sanciones, así como dar seguimiento al resultado de los procedimientos instaurados;”</w:t>
      </w:r>
    </w:p>
    <w:p w14:paraId="6B5A2EDB"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Para el cumplimiento de sus atribuciones la Secretaría Técnica del Pleno se auxilia de las siguientes áreas:</w:t>
      </w:r>
    </w:p>
    <w:p w14:paraId="7DC46537" w14:textId="77777777" w:rsidR="00D84ACA" w:rsidRPr="00EE5F32" w:rsidRDefault="001B26A8">
      <w:pPr>
        <w:pBdr>
          <w:top w:val="nil"/>
          <w:left w:val="nil"/>
          <w:bottom w:val="nil"/>
          <w:right w:val="nil"/>
          <w:between w:val="nil"/>
        </w:pBdr>
        <w:spacing w:before="240" w:after="240" w:line="360" w:lineRule="auto"/>
        <w:ind w:right="99"/>
        <w:jc w:val="center"/>
        <w:rPr>
          <w:rFonts w:ascii="Palatino Linotype" w:eastAsia="Palatino Linotype" w:hAnsi="Palatino Linotype" w:cs="Palatino Linotype"/>
          <w:sz w:val="22"/>
          <w:szCs w:val="22"/>
        </w:rPr>
      </w:pPr>
      <w:r w:rsidRPr="00EE5F32">
        <w:rPr>
          <w:rFonts w:ascii="Palatino Linotype" w:eastAsia="Palatino Linotype" w:hAnsi="Palatino Linotype" w:cs="Palatino Linotype"/>
          <w:noProof/>
          <w:sz w:val="22"/>
          <w:szCs w:val="22"/>
        </w:rPr>
        <w:drawing>
          <wp:inline distT="0" distB="0" distL="0" distR="0" wp14:anchorId="6C628999" wp14:editId="1B4596EA">
            <wp:extent cx="2880000" cy="2526795"/>
            <wp:effectExtent l="0" t="0" r="0" b="0"/>
            <wp:docPr id="20111805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2880000" cy="2526795"/>
                    </a:xfrm>
                    <a:prstGeom prst="rect">
                      <a:avLst/>
                    </a:prstGeom>
                    <a:ln/>
                  </pic:spPr>
                </pic:pic>
              </a:graphicData>
            </a:graphic>
          </wp:inline>
        </w:drawing>
      </w:r>
    </w:p>
    <w:p w14:paraId="726BF147" w14:textId="0CB5122A"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este tenor, la Secretaría Técnica del Pleno, informó que lo solicitado NO se relaciona con funciones y/o atribuciones que la normativa le confiera, al no existir marco normativo que le permita contar con documentos relacionados con investigaciones, medidas de apremio o acuerdos relacionados con la posible obstaculización del acceso a la información pública que señala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por la restricción de la participación ciudadana en medios oficiales digitales, sin embargo, en un ejercicio de máxima publicidad, se realizó la búsqueda exhaustiva en los archivos que obran en el Departamento de Seguimiento de Acuerdos y Estadísticas del Pleno y la Dirección de Cumplimientos, de documentos que dieran cuenta de lo solicitado, sin embargo, no se localizó documento alguno relacionado con investigaciones, posicionamientos, acciones, recomendaciones, medidas de apremio, o sanciones por parte de este Instituto, realizadas o a realizarse, referentes al manejo de los ayuntamientos del Estado, entre ellos el Ayuntamiento de Toluca sobre los espacios digitales en redes sociales, al no encontrarse dentro de las facultades conferidas a este Instituto.</w:t>
      </w:r>
    </w:p>
    <w:p w14:paraId="32142C33" w14:textId="45DF0834" w:rsidR="00D84ACA" w:rsidRPr="00EE5F32" w:rsidRDefault="00A860BD">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w:t>
      </w:r>
      <w:r w:rsidR="001B26A8" w:rsidRPr="00EE5F32">
        <w:rPr>
          <w:rFonts w:ascii="Palatino Linotype" w:eastAsia="Palatino Linotype" w:hAnsi="Palatino Linotype" w:cs="Palatino Linotype"/>
          <w:sz w:val="22"/>
          <w:szCs w:val="22"/>
        </w:rPr>
        <w:t>s de resaltar que este Instituto de Transparencia como Organismo Garante de difusión, protección y respeto al derecho de acceso a la información pública y a la protección de datos personales, conforme a su naturaleza jurídica y a sus atribuciones previstas en los artículos 5, párrafo cuadragésimo sexto, fracciones I y VIII de la Constitución Política de los Estados Unidos Mexicanos, 29, 36 y 179 de la Ley de Transparencia y Acceso a la Información Pública del Estado de México y Municipios, es competente para conocer de los asuntos relacionados con la transparencia y el acceso a la información pública en posesión de cualquier autoridad, entidad, órgano y organismos de los Poderes Ejecutivo, Legislativo y Judicial, órganos autónomos, partidos políticos, fideicomisos y fondos públicos estatales y municipales; del gobierno y de la administración pública municipal y sus organismos descentralizados, y de cualquier persona física, jurídica colectiva o sindicato que reciba y ejerza recursos públicos o realice actos de autoridad en el ámbito estatal y municipal, para lo cual se le confieren las siguientes atribuciones:</w:t>
      </w:r>
    </w:p>
    <w:p w14:paraId="4AF080A9"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I. Interpretar los ordenamientos que les resulten aplicables y que deriven de la Constitución Federal, la Constitución Local, la Ley General y esta Ley; </w:t>
      </w:r>
    </w:p>
    <w:p w14:paraId="0784AEF6"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II. Conocer y resolver los recursos de revisión interpuestos por los particulares en contra de las resoluciones de los sujetos obligados en el ámbito estatal en términos de lo dispuesto en el Capítulo I del Título Octavo de la presente Ley;</w:t>
      </w:r>
    </w:p>
    <w:p w14:paraId="0838C57F"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III. Tramitar, en el ámbito de su competencia, los recursos de inconformidad que interpongan los particulares, en los supuestos previstos en la presente Ley; </w:t>
      </w:r>
    </w:p>
    <w:p w14:paraId="04FD6079"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IV. Establecer lineamientos y criterios administrativos o por reiteración en materia de acceso a la información pública para todos los sujetos obligados de la Ley y vigilar su cumplimiento; </w:t>
      </w:r>
    </w:p>
    <w:p w14:paraId="076AB270"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V. Emitir criterios para la clasificación de la información pública y vigilar su cumplimiento; </w:t>
      </w:r>
    </w:p>
    <w:p w14:paraId="234C3A2C"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VI. Solicitar a los sujetos obligados los datos para la integración de su informe anual, incluidas la atención de solicitudes de información presentadas verbalmente; </w:t>
      </w:r>
    </w:p>
    <w:p w14:paraId="3E606866"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VII. Capacitar y proporcionar asesoría y apoyo técnico a los sujetos obligados para la elaboración y ejecución de programas de información, así como, en materia de transparencia y acceso a la información;</w:t>
      </w:r>
    </w:p>
    <w:p w14:paraId="1391F6A9"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VIII. Proporcionar a los sujetos obligados un sitio web dentro de sus ordenadores o servidores, el cual deberá contener cuando menos las obligaciones de transparencia comunes y específicas que correspondan, así como cualquier otra información que considere conveniente difundir en materia de transparencia y acceso a la información;</w:t>
      </w:r>
    </w:p>
    <w:p w14:paraId="61B0708F"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IX. Apoyar a los sujetos obligados en el cumplimiento de las obligaciones que les impone la presente Ley; </w:t>
      </w:r>
    </w:p>
    <w:p w14:paraId="48DAFC82"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 Hacer del conocimiento del órgano interno de control o equivalente de cada sujeto obligado las infracciones a esta Ley; </w:t>
      </w:r>
    </w:p>
    <w:p w14:paraId="1415E9E9"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XI. Certificar las competencias de los titulares de las unidades de transparencia;</w:t>
      </w:r>
    </w:p>
    <w:p w14:paraId="27BB4B97"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XII. Elaborar formatos de solicitudes de acceso a la información pública y orientar a los particulares; </w:t>
      </w:r>
    </w:p>
    <w:p w14:paraId="574F9F52"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XIII. Coadyuvar a la elaboración y aplicación de los criterios para la conservación y archivo de la información pública; </w:t>
      </w:r>
    </w:p>
    <w:p w14:paraId="249FE0DC"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XIV. Podrá actuar subsidiariamente para que los municipios den cumplimiento a sus obligaciones en materia de transparencia y acceso a la información, en los términos de lo señalado por la Ley General; </w:t>
      </w:r>
    </w:p>
    <w:p w14:paraId="24822A1F"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XV. Realizar y publicar estudios e investigaciones para difundir y ampliar el conocimiento sobre la transparencia y el derecho de acceso a la información; </w:t>
      </w:r>
    </w:p>
    <w:p w14:paraId="3096A4B4"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XVI. Difundir entre los servidores públicos y los particulares los beneficios del manejo público de la información, así como sus responsabilidades en el buen uso y conservación de aquélla; </w:t>
      </w:r>
    </w:p>
    <w:p w14:paraId="1E396522"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XVII. Designar, a través de la o el Comisionado Presidente, a los servidores públicos de su adscripción para administrar sus recursos materiales y financieros; </w:t>
      </w:r>
    </w:p>
    <w:p w14:paraId="1AE997BB"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XVIII. Elaborar y remitir a la Secretaría de Finanzas su proyecto de presupuesto anual para que sea integrado al proyecto de presupuesto del Gobierno del Estado; </w:t>
      </w:r>
    </w:p>
    <w:p w14:paraId="0E6E9443"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XIX. Expedir su Reglamento Interior y demás normas de operación; </w:t>
      </w:r>
    </w:p>
    <w:p w14:paraId="433A9213"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 Administrar los recursos humanos, bienes y patrimonio del Instituto, así como determinar y autorizar su estructura orgánica y su personal; </w:t>
      </w:r>
    </w:p>
    <w:p w14:paraId="3902C489"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XXI. Realizar de oficio y a petición de parte, análisis y recomendaciones o en su caso, lineamientos en relación con presuntos incumplimientos a las disposiciones de la Ley, cuando existan elementos suficientes a juicio del Pleno del Instituto; </w:t>
      </w:r>
    </w:p>
    <w:p w14:paraId="3A3A893F"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XXII. Emitir comunicados públicos sobre el incumplimiento de sus resoluciones o por infracciones reiteradas a la Ley, en el ámbito de su competencia;</w:t>
      </w:r>
    </w:p>
    <w:p w14:paraId="72B008AE"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XXIII. Ordenar a los sujetos obligados la ejecutoría en la entrega de información en términos de la presente Ley; </w:t>
      </w:r>
    </w:p>
    <w:p w14:paraId="6649F066"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XXIV. Revisar los criterios de clasificación, desclasificación y custodia de la información reservada y confidencial en el ámbito de su competencia;</w:t>
      </w:r>
    </w:p>
    <w:p w14:paraId="3D985631"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XXV. Establecer procedimientos para verificar las acciones realizadas por los sujetos obligados en el cumplimiento de sus obligaciones en términos de la presente Ley; XXVI. Derogada. </w:t>
      </w:r>
    </w:p>
    <w:p w14:paraId="182F672D"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XXVII. Imponer las medidas de apremio para asegurar el cumplimiento de sus determinaciones;</w:t>
      </w:r>
    </w:p>
    <w:p w14:paraId="6D95E6DD"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XXVIII. Presentar petición fundada al Instituto Nacional, para que conozca de los recursos de revisión que por su interés y trascendencia así lo ameriten; </w:t>
      </w:r>
    </w:p>
    <w:p w14:paraId="2AC68AFF"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XXIX. Promover y difundir el ejercicio del derecho de acceso a la información; </w:t>
      </w:r>
    </w:p>
    <w:p w14:paraId="1DCF22E5"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 Promover la cultura de la transparencia en el sistema educativo; </w:t>
      </w:r>
    </w:p>
    <w:p w14:paraId="2E7A5EE5"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XXXI. Establecer políticas de transparencia proactiva atendiendo a las condiciones económicas, sociales y culturales; </w:t>
      </w:r>
    </w:p>
    <w:p w14:paraId="27973768"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XXXII. Suscribir convenios con los sujetos obligados que propicien la publicación de información en el marco de las políticas de transparencia proactiva; </w:t>
      </w:r>
    </w:p>
    <w:p w14:paraId="6F355DCE"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XXXIII. Suscribir convenios de colaboración con particulares o sectores de la sociedad cuando sus actividades o productos resulten de interés público o relevancia social;</w:t>
      </w:r>
    </w:p>
    <w:p w14:paraId="6D5C9D8C"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XXXIV. Suscribir convenios de colaboración con otros organismos garantes para el cumplimiento de sus atribuciones y promover mejores prácticas en la materia; </w:t>
      </w:r>
    </w:p>
    <w:p w14:paraId="1514EB7D"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XXXV. Eliminar toda forma de discriminación en el ejercicio del derecho de acceso a la información; </w:t>
      </w:r>
    </w:p>
    <w:p w14:paraId="5E9AD5FA"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XXXVI. Coordinarse con las autoridades competentes para que en los procedimientos de acceso a la información, así como en los medios de impugnación, se contemple contar con la información necesaria en lenguas indígenas y formatos accesibles, para que sean sustanciados y atendidos en la misma lengua y en su caso, se promuevan los ajustes razonables necesarios si se tratara de personas con discapacidad; </w:t>
      </w:r>
    </w:p>
    <w:p w14:paraId="750FC12B"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XXXVII. Garantizar condiciones de accesibilidad para que los grupos vulnerables puedan ejercer, en igualdad de circunstancias, su derecho de acceso a la información; </w:t>
      </w:r>
    </w:p>
    <w:p w14:paraId="7872774B"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XXXVIII. Hacer del conocimiento de la instancia competente la probable responsabilidad por el incumplimiento de las obligaciones previstas en la presente Ley y en las demás disposiciones aplicables; </w:t>
      </w:r>
    </w:p>
    <w:p w14:paraId="5A576F02"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XXXIX. Determinar y ejecutar según corresponda las sanciones por el incumplimiento a las disposiciones de la presente Ley;</w:t>
      </w:r>
    </w:p>
    <w:p w14:paraId="674A75D1"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XL. Promover la participación y colaboración con organismos internacionales, en el análisis y mejores prácticas en materia de acceso a la información pública; </w:t>
      </w:r>
    </w:p>
    <w:p w14:paraId="2E96C7D1"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XLI. Fomentar los principios de gobierno abierto, la transparencia, la rendición de cuentas, la participación ciudadana, la accesibilidad y la innovación tecnológica; </w:t>
      </w:r>
    </w:p>
    <w:p w14:paraId="697C5E30"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XLII. Emitir recomendaciones a los sujetos obligados para diseñar, implementar y evaluar acciones de apertura gubernamental que permitan orientar las políticas internas en la materia; </w:t>
      </w:r>
    </w:p>
    <w:p w14:paraId="6336394B"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XLIII. Vigilar el cumplimiento de la presente Ley;</w:t>
      </w:r>
    </w:p>
    <w:p w14:paraId="3240D4A1"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XLIV. Interponer acciones de inconstitucionalidad en contra de leyes expedidas por la Legislatura del Estado de México, que vulneren el derecho de acceso a la información pública y la protección de datos personales; </w:t>
      </w:r>
    </w:p>
    <w:p w14:paraId="7C29EAEB"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XLV. Rendir informe anual de actividades a través de su presidente ante el Pleno de la Legislatura, dentro del primer periodo ordinario de sesiones del año;</w:t>
      </w:r>
    </w:p>
    <w:p w14:paraId="6F262FAE"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XLVI. Expedir los lineamientos que regulen el servicio profesional en materia de transparencia, acceso a la información pública y protección de datos personales; y </w:t>
      </w:r>
    </w:p>
    <w:p w14:paraId="27001F39"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XLVII. Proponer Iniciativas de Ley y Decreto sobre los asuntos de su competencia a cualquiera de los facultados para iniciar leyes, por la Constitución del Estado, y </w:t>
      </w:r>
    </w:p>
    <w:p w14:paraId="4ABA8EAB" w14:textId="77777777" w:rsidR="00D84ACA" w:rsidRPr="00EE5F32" w:rsidRDefault="001B26A8">
      <w:pPr>
        <w:pBdr>
          <w:top w:val="nil"/>
          <w:left w:val="nil"/>
          <w:bottom w:val="nil"/>
          <w:right w:val="nil"/>
          <w:between w:val="nil"/>
        </w:pBdr>
        <w:spacing w:before="240" w:after="240" w:line="360" w:lineRule="auto"/>
        <w:ind w:left="142"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XLVIII. Las demás que les confieran esta Ley y otras disposiciones jurídicas aplicables.</w:t>
      </w:r>
    </w:p>
    <w:p w14:paraId="72002277"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Asimismo, es competente para resolver los recursos de revisión, cuando se niegue la información solicitada, se clasifique la información solicitada, se declare la inexistencia de lo solicitado, el Sujeto Obligado se declare incompetente para atender la solicitud de información, se entregue la información incompleta, se entregue información que no corresponda a lo solicitado, no se dé respuesta a la solicitud, se notifique o se ponga a disposición la información en un formato o modalidad distinto al solicitado, incomprensible o no accesible, respecto de los costos o tiempos de entrega de la información, cuando no se dé trámite a la solicitud, no se permita la consulta directa de la solicitud, se fundamente o motive deficientemente, y/o cuando se oriente a un trámite en específico; todo en ejercicio del derecho de acceso a la información pública, no así cuando se trate de un derecho de petición ejercido por un gobernado; en consecuencia, este Instinto no tiene atribuciones para ordenar que a través de una solicitud de información o vía recurso de revisión se realicen acciones, se impongan  sanciones o medidas de apremio, o se inicien investigaciones o se emitan pronunciamientos sobre situaciones en concreto, como pretende hacer valer la persona solicitante, al no ser la vía para tales efectos, reiterando que el Derecho de acceso a la información consiste en la prerrogativa de las personas para acceder a información que los Sujetos Obligados generen, administren y/o posean como resultado del ejercicio de sus atribuciones, a la fecha de presentación de la solicitudes, por lo que no están obligados a generar información, practicar investigaciones o generar documentos </w:t>
      </w:r>
      <w:r w:rsidRPr="00EE5F32">
        <w:rPr>
          <w:rFonts w:ascii="Palatino Linotype" w:eastAsia="Palatino Linotype" w:hAnsi="Palatino Linotype" w:cs="Palatino Linotype"/>
          <w:i/>
          <w:sz w:val="22"/>
          <w:szCs w:val="22"/>
        </w:rPr>
        <w:t>ad hoc</w:t>
      </w:r>
      <w:r w:rsidRPr="00EE5F32">
        <w:rPr>
          <w:rFonts w:ascii="Palatino Linotype" w:eastAsia="Palatino Linotype" w:hAnsi="Palatino Linotype" w:cs="Palatino Linotype"/>
          <w:sz w:val="22"/>
          <w:szCs w:val="22"/>
        </w:rPr>
        <w:t xml:space="preserve"> para atender las solicitudes conforme al interés de los solicitantes, tal y como se hizo valer en respuesta a la solicitud de información que dio origen al recurso de revisión que nos ocupa, en la cual se señaló además, que se hizo una búsqueda exhaustiva en las áreas que pudieran ser competentes sin localizar documento alguno relacionado con lo solicitado.</w:t>
      </w:r>
    </w:p>
    <w:p w14:paraId="0A372219"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Por otro lado, es cierto que las redes sociales digitales se han convertido en una herramienta de comunicación que ha permeado a nuestra sociedad, pues son uno de los principales medios de interacción social y de intercambio de información, por lo que una de las grandes cuestiones que se han tenido que abordar y tratar de responder es si se puede difundir “información pública” desde las redes sociales,  debate que ha concluido en sentido afirmativo, derivado de la interpretación de diversos ordenamientos, como la Declaración Universal de los Derechos Humanos y por el Pacto Internacional de Derechos Civiles y Políticos, donde se plasma lo siguiente: </w:t>
      </w:r>
    </w:p>
    <w:p w14:paraId="0023DE18" w14:textId="77777777" w:rsidR="00D84ACA" w:rsidRPr="00EE5F32" w:rsidRDefault="00D84ACA">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p>
    <w:p w14:paraId="7B0BFD5B"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a) Declaración Universal de los Derechos Humanos</w:t>
      </w:r>
      <w:r w:rsidRPr="00EE5F32">
        <w:rPr>
          <w:rFonts w:ascii="Palatino Linotype" w:eastAsia="Palatino Linotype" w:hAnsi="Palatino Linotype" w:cs="Palatino Linotype"/>
          <w:sz w:val="22"/>
          <w:szCs w:val="22"/>
        </w:rPr>
        <w:t xml:space="preserve"> </w:t>
      </w:r>
    </w:p>
    <w:p w14:paraId="16038692"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b/>
          <w:sz w:val="22"/>
          <w:szCs w:val="22"/>
          <w:u w:val="single"/>
        </w:rPr>
      </w:pPr>
      <w:r w:rsidRPr="00EE5F32">
        <w:rPr>
          <w:rFonts w:ascii="Palatino Linotype" w:eastAsia="Palatino Linotype" w:hAnsi="Palatino Linotype" w:cs="Palatino Linotype"/>
          <w:b/>
          <w:sz w:val="22"/>
          <w:szCs w:val="22"/>
        </w:rPr>
        <w:t>Artículo 19.</w:t>
      </w:r>
      <w:r w:rsidRPr="00EE5F32">
        <w:rPr>
          <w:rFonts w:ascii="Palatino Linotype" w:eastAsia="Palatino Linotype" w:hAnsi="Palatino Linotype" w:cs="Palatino Linotype"/>
          <w:sz w:val="22"/>
          <w:szCs w:val="22"/>
        </w:rPr>
        <w:t xml:space="preserve"> Todo individuo tiene derecho a la libertad de opinión y de expresión; este derecho incluye el no ser molestado a causa de sus opiniones, el de investigar y recibir informaciones y opiniones, y el de difundirlas, sin limitación de fronteras, </w:t>
      </w:r>
      <w:r w:rsidRPr="00EE5F32">
        <w:rPr>
          <w:rFonts w:ascii="Palatino Linotype" w:eastAsia="Palatino Linotype" w:hAnsi="Palatino Linotype" w:cs="Palatino Linotype"/>
          <w:b/>
          <w:sz w:val="22"/>
          <w:szCs w:val="22"/>
          <w:u w:val="single"/>
        </w:rPr>
        <w:t>por cualquier medio de expresión.</w:t>
      </w:r>
    </w:p>
    <w:p w14:paraId="204E504E"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b/>
          <w:sz w:val="22"/>
          <w:szCs w:val="22"/>
        </w:rPr>
        <w:t xml:space="preserve">b) Pacto Internacional de Derechos Civiles y Políticos </w:t>
      </w:r>
    </w:p>
    <w:p w14:paraId="776B7BD3"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Artículo 19.2. </w:t>
      </w:r>
      <w:r w:rsidRPr="00EE5F32">
        <w:rPr>
          <w:rFonts w:ascii="Palatino Linotype" w:eastAsia="Palatino Linotype" w:hAnsi="Palatino Linotype" w:cs="Palatino Linotype"/>
          <w:sz w:val="22"/>
          <w:szCs w:val="22"/>
        </w:rPr>
        <w:t xml:space="preserve">Toda persona tiene derecho a la libertad de expresión; </w:t>
      </w:r>
      <w:r w:rsidRPr="00EE5F32">
        <w:rPr>
          <w:rFonts w:ascii="Palatino Linotype" w:eastAsia="Palatino Linotype" w:hAnsi="Palatino Linotype" w:cs="Palatino Linotype"/>
          <w:b/>
          <w:sz w:val="22"/>
          <w:szCs w:val="22"/>
        </w:rPr>
        <w:t>este derecho comprende la libertad de buscar, recibir y difundir informaciones e ideas de toda índole,</w:t>
      </w:r>
      <w:r w:rsidRPr="00EE5F32">
        <w:rPr>
          <w:rFonts w:ascii="Palatino Linotype" w:eastAsia="Palatino Linotype" w:hAnsi="Palatino Linotype" w:cs="Palatino Linotype"/>
          <w:sz w:val="22"/>
          <w:szCs w:val="22"/>
        </w:rPr>
        <w:t xml:space="preserve"> </w:t>
      </w:r>
      <w:r w:rsidRPr="00EE5F32">
        <w:rPr>
          <w:rFonts w:ascii="Palatino Linotype" w:eastAsia="Palatino Linotype" w:hAnsi="Palatino Linotype" w:cs="Palatino Linotype"/>
          <w:b/>
          <w:sz w:val="22"/>
          <w:szCs w:val="22"/>
          <w:u w:val="single"/>
        </w:rPr>
        <w:t>sin consideración de fronteras</w:t>
      </w:r>
      <w:r w:rsidRPr="00EE5F32">
        <w:rPr>
          <w:rFonts w:ascii="Palatino Linotype" w:eastAsia="Palatino Linotype" w:hAnsi="Palatino Linotype" w:cs="Palatino Linotype"/>
          <w:sz w:val="22"/>
          <w:szCs w:val="22"/>
        </w:rPr>
        <w:t xml:space="preserve">, ya sea oralmente, por escrito o en forma impresa o artística, </w:t>
      </w:r>
      <w:r w:rsidRPr="00EE5F32">
        <w:rPr>
          <w:rFonts w:ascii="Palatino Linotype" w:eastAsia="Palatino Linotype" w:hAnsi="Palatino Linotype" w:cs="Palatino Linotype"/>
          <w:b/>
          <w:sz w:val="22"/>
          <w:szCs w:val="22"/>
          <w:u w:val="single"/>
        </w:rPr>
        <w:t>o por cualquier otro procedimiento de su elección.</w:t>
      </w:r>
    </w:p>
    <w:p w14:paraId="717A5665"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Sin embargo, llegar a dicha conclusión no ha sido una tarea sencilla, derivado de </w:t>
      </w:r>
      <w:r w:rsidRPr="00EE5F32">
        <w:rPr>
          <w:rFonts w:ascii="Palatino Linotype" w:eastAsia="Palatino Linotype" w:hAnsi="Palatino Linotype" w:cs="Palatino Linotype"/>
          <w:b/>
          <w:sz w:val="22"/>
          <w:szCs w:val="22"/>
        </w:rPr>
        <w:t>la falta de regulación en materia de redes sociales digitales, tanto legislativa, como reglamentaria o administrativa,</w:t>
      </w:r>
      <w:r w:rsidRPr="00EE5F32">
        <w:rPr>
          <w:rFonts w:ascii="Palatino Linotype" w:eastAsia="Palatino Linotype" w:hAnsi="Palatino Linotype" w:cs="Palatino Linotype"/>
          <w:sz w:val="22"/>
          <w:szCs w:val="22"/>
        </w:rPr>
        <w:t xml:space="preserve"> lo cual ha generado un total desconcierto sobre los alcances y responsabilidad en el uso de dichas herramientas por parte de autoridades y funcionarios públicos, y a su vez una total anarquía al momento de tratar de acotar dichos alcances, ante la falta de rendición de cuentas y reglas claras sobre el uso y manejo de dichas redes por  parte de autoridades y servidores públicos.</w:t>
      </w:r>
    </w:p>
    <w:p w14:paraId="7D514D8F" w14:textId="19869CE5"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En este contexto de incertidumbre, es donde se han presentado diversos antecedentes que trataron de afrontar y resolver diversas cuestiones relacionadas con el tema, y que han permitido una mejor comprensión de la naturaleza y alcances de las redes sociales digitales, y su relación con los derechos humanos a la información y a la libre expresión, entre los que destacan los siguientes a nivel nacional:</w:t>
      </w:r>
    </w:p>
    <w:p w14:paraId="3319644E"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1. El amparo contra el bloqueo de un usuario en Twitter por parte del entonces alcalde de Nogales, Sonora, siendo el primer antecedente sobre esta materia se tuvo en México en el año 2017, en el cual el juzgador concluyó que el bloqueo a una persona de la cuenta de Twitter del Alcalde de Nogales, Sonora, lo privaba de acceder a información de interés público, y por lo tanto, constituía una violación a su derecho humano a la información, en su vertiente de acceso, debidamente previsto y protegido por el artículo 6 de la Constitución Política Mexicana, por lo tanto, con el fin de restituirle en el goce y disfrute de dicho derecho humano, ordenó al funcionario público responsable, por primera vez en la historia del país, que se desbloqueara al quejoso de dicha cuenta personal de Twitter.</w:t>
      </w:r>
    </w:p>
    <w:p w14:paraId="7029D9D4" w14:textId="27F39F1D"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2. El Amparo en Revisión 1005/2018, cuyo tema a resolver gir</w:t>
      </w:r>
      <w:r w:rsidR="00A860BD" w:rsidRPr="00EE5F32">
        <w:rPr>
          <w:rFonts w:ascii="Palatino Linotype" w:eastAsia="Palatino Linotype" w:hAnsi="Palatino Linotype" w:cs="Palatino Linotype"/>
          <w:sz w:val="22"/>
          <w:szCs w:val="22"/>
        </w:rPr>
        <w:t>ó</w:t>
      </w:r>
      <w:r w:rsidRPr="00EE5F32">
        <w:rPr>
          <w:rFonts w:ascii="Palatino Linotype" w:eastAsia="Palatino Linotype" w:hAnsi="Palatino Linotype" w:cs="Palatino Linotype"/>
          <w:sz w:val="22"/>
          <w:szCs w:val="22"/>
        </w:rPr>
        <w:t xml:space="preserve"> en torno al bloqueo del entonces Fiscal General del Estado de Veracruz en su cuenta de Twitter</w:t>
      </w:r>
      <w:r w:rsidR="00A860BD" w:rsidRPr="00EE5F32">
        <w:rPr>
          <w:rFonts w:ascii="Palatino Linotype" w:eastAsia="Palatino Linotype" w:hAnsi="Palatino Linotype" w:cs="Palatino Linotype"/>
          <w:sz w:val="22"/>
          <w:szCs w:val="22"/>
        </w:rPr>
        <w:t xml:space="preserve"> de un periodista</w:t>
      </w:r>
      <w:r w:rsidRPr="00EE5F32">
        <w:rPr>
          <w:rFonts w:ascii="Palatino Linotype" w:eastAsia="Palatino Linotype" w:hAnsi="Palatino Linotype" w:cs="Palatino Linotype"/>
          <w:sz w:val="22"/>
          <w:szCs w:val="22"/>
        </w:rPr>
        <w:t xml:space="preserve">, que tuvo por antecedente el amparo  1249/2017, </w:t>
      </w:r>
      <w:r w:rsidRPr="00EE5F32">
        <w:rPr>
          <w:rFonts w:ascii="Palatino Linotype" w:eastAsia="Palatino Linotype" w:hAnsi="Palatino Linotype" w:cs="Palatino Linotype"/>
          <w:b/>
          <w:sz w:val="22"/>
          <w:szCs w:val="22"/>
        </w:rPr>
        <w:t>por violaciones a la libertad de expresión y acceso a la información del periodista</w:t>
      </w:r>
      <w:r w:rsidRPr="00EE5F32">
        <w:rPr>
          <w:rFonts w:ascii="Palatino Linotype" w:eastAsia="Palatino Linotype" w:hAnsi="Palatino Linotype" w:cs="Palatino Linotype"/>
          <w:sz w:val="22"/>
          <w:szCs w:val="22"/>
        </w:rPr>
        <w:t>, al tratarse de un funcionario que difunde información de naturaleza pública en su carácter de Fiscal e impedirle dicho acceso a partir del bloqueo que realizó, lo cual además impacta en su labor periodística, coartando con ello la posibilidad de buscar, recibir y difundir información de interés público, y constituye un acto discriminatorio al excluirlo para conocer dicha información; en cuya resolución, la Segunda Sala de la Suprema Corte de Justicia de la Nación, derivado de la ponderación entre el Derecho humano de acceso a la información de los usuarios de la red social, en particular del periodista, y el Derecho humano a la privacidad del servidor público, otorgo el amparo y protección al periodista, confirmando la sentencia del Juzgado Decimoctavo de Distrito en Veracruz, y ordeno al entonces Fiscal General restituir al periodista en el goce de su derecho de acceso a la información, debiendo desbloquear al periodista para permitirle el acceso permanente a su cuenta en Twitter.</w:t>
      </w:r>
    </w:p>
    <w:p w14:paraId="10967D86"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Lo anterior al concluir que:</w:t>
      </w:r>
    </w:p>
    <w:p w14:paraId="785A398B" w14:textId="77777777" w:rsidR="00D84ACA" w:rsidRPr="00EE5F32" w:rsidRDefault="001B26A8" w:rsidP="00A860BD">
      <w:pPr>
        <w:numPr>
          <w:ilvl w:val="0"/>
          <w:numId w:val="2"/>
        </w:numPr>
        <w:pBdr>
          <w:top w:val="nil"/>
          <w:left w:val="nil"/>
          <w:bottom w:val="nil"/>
          <w:right w:val="nil"/>
          <w:between w:val="nil"/>
        </w:pBdr>
        <w:tabs>
          <w:tab w:val="left" w:pos="709"/>
          <w:tab w:val="left" w:pos="851"/>
          <w:tab w:val="left" w:pos="993"/>
        </w:tabs>
        <w:spacing w:before="240" w:after="240" w:line="360" w:lineRule="auto"/>
        <w:ind w:left="567" w:right="99" w:firstLine="0"/>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La información contenida en la cuenta en Twitter del Fiscal General de Veracruz es de interés general para la sociedad, tiene relevancia pública “en cuanto puede contribuir al debate en una sociedad democrática al proyectar las actividades y expresiones que realiza este personaje público”.</w:t>
      </w:r>
    </w:p>
    <w:p w14:paraId="385E8EB8" w14:textId="77777777" w:rsidR="00D84ACA" w:rsidRPr="00EE5F32" w:rsidRDefault="001B26A8" w:rsidP="00A860BD">
      <w:pPr>
        <w:numPr>
          <w:ilvl w:val="0"/>
          <w:numId w:val="2"/>
        </w:numPr>
        <w:pBdr>
          <w:top w:val="nil"/>
          <w:left w:val="nil"/>
          <w:bottom w:val="nil"/>
          <w:right w:val="nil"/>
          <w:between w:val="nil"/>
        </w:pBdr>
        <w:tabs>
          <w:tab w:val="left" w:pos="709"/>
          <w:tab w:val="left" w:pos="993"/>
        </w:tabs>
        <w:spacing w:before="240" w:after="240" w:line="360" w:lineRule="auto"/>
        <w:ind w:left="567" w:right="99" w:firstLine="0"/>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El derecho a la información debe prevalecer sobre el derecho a la intimidad. En este sentido, el bloqueo del Fiscal General de Veracruz implicó una restricción indebida al derecho de acceso a la información del periodista. “Fue él mismo quien voluntariamente se colocó en esa posición de mayor escrutinio público y decidió utilizar ese medio digital como canal de comunicación con la ciudadanía”.</w:t>
      </w:r>
    </w:p>
    <w:p w14:paraId="1E960130" w14:textId="77777777" w:rsidR="00D84ACA" w:rsidRPr="00EE5F32" w:rsidRDefault="001B26A8" w:rsidP="00A860BD">
      <w:pPr>
        <w:numPr>
          <w:ilvl w:val="0"/>
          <w:numId w:val="2"/>
        </w:numPr>
        <w:pBdr>
          <w:top w:val="nil"/>
          <w:left w:val="nil"/>
          <w:bottom w:val="nil"/>
          <w:right w:val="nil"/>
          <w:between w:val="nil"/>
        </w:pBdr>
        <w:tabs>
          <w:tab w:val="left" w:pos="709"/>
          <w:tab w:val="left" w:pos="993"/>
        </w:tabs>
        <w:spacing w:before="240" w:after="240" w:line="360" w:lineRule="auto"/>
        <w:ind w:left="567" w:right="99" w:firstLine="0"/>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La publicidad de la cuenta de Twitter del Fiscal de Veracruz está justificada. Su cuenta es visible no sólo para los usuarios de la red social, sino para cualquier persona con acceso a internet.</w:t>
      </w:r>
    </w:p>
    <w:p w14:paraId="7BB847D4"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Ahora bien, la libertad de expresión requiere del derecho a la información para existir, por lo que inhibir el acceso a una cuenta en una red social desde la cual se difunda información de interés público es un atentado a dicho derecho en esencia.</w:t>
      </w:r>
    </w:p>
    <w:p w14:paraId="67A89576" w14:textId="6DE40B82"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En este tenor, los bloqueos a usuarios, o la supresión de comentarios vertidos por los usuarios de las cuentas oficiales de autoridades o servidores públicos redes sociales digitales puede considerarse un atentado a su libertad de expresión.</w:t>
      </w:r>
    </w:p>
    <w:p w14:paraId="497ABD0A" w14:textId="609A7B54"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Como sustento a lo anterior, se trae a colación la resolución contra el bloqueo en Twitter y Facebook realizado por la presidencia de Costa Rica, en la cual la Sala Constitucional de la Corte Suprema de Justicia de Costa Rica ordenó el desbloqueo de un usuario </w:t>
      </w:r>
      <w:r w:rsidR="009018D2" w:rsidRPr="00EE5F32">
        <w:rPr>
          <w:rFonts w:ascii="Palatino Linotype" w:eastAsia="Palatino Linotype" w:hAnsi="Palatino Linotype" w:cs="Palatino Linotype"/>
          <w:sz w:val="22"/>
          <w:szCs w:val="22"/>
        </w:rPr>
        <w:t>d</w:t>
      </w:r>
      <w:r w:rsidRPr="00EE5F32">
        <w:rPr>
          <w:rFonts w:ascii="Palatino Linotype" w:eastAsia="Palatino Linotype" w:hAnsi="Palatino Linotype" w:cs="Palatino Linotype"/>
          <w:sz w:val="22"/>
          <w:szCs w:val="22"/>
        </w:rPr>
        <w:t xml:space="preserve">e las cuentas oficiales de la Casa Presidencial Costarricense en Twitter y de Facebook, al considerar que con dicho </w:t>
      </w:r>
      <w:r w:rsidRPr="00EE5F32">
        <w:rPr>
          <w:rFonts w:ascii="Palatino Linotype" w:eastAsia="Palatino Linotype" w:hAnsi="Palatino Linotype" w:cs="Palatino Linotype"/>
          <w:b/>
          <w:sz w:val="22"/>
          <w:szCs w:val="22"/>
          <w:u w:val="single"/>
        </w:rPr>
        <w:t>bloqueo sí se presentaba una afectación a la libertad de expresión del usuario recurrente</w:t>
      </w:r>
      <w:r w:rsidRPr="00EE5F32">
        <w:rPr>
          <w:rFonts w:ascii="Palatino Linotype" w:eastAsia="Palatino Linotype" w:hAnsi="Palatino Linotype" w:cs="Palatino Linotype"/>
          <w:sz w:val="22"/>
          <w:szCs w:val="22"/>
        </w:rPr>
        <w:t>, principalmente por los siguientes motivos:</w:t>
      </w:r>
    </w:p>
    <w:p w14:paraId="04B2F510"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a) Los artículos 28 y 29 de la Constitución Política de Costa Rica protegen la libre manifestación de las ideas y pensamientos, así como cualquier tipo de persecución derivada del ejercicio de dicho derecho constitucional. De igual manera reconoce que es un derecho protegido por el artículo 19 de la Declaración Universal de los Derechos Humanos y por el artículo 13 del Pacto de San José en Costa Rica.</w:t>
      </w:r>
    </w:p>
    <w:p w14:paraId="607024C7"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b) Reconoce que existen limitaciones para el ejercicio de dicho derecho a la libertad de expresión, consistentes en los abusos que se pudieran cometer al ejercerlo, tales como propagar falsedades, difamar o promover cualquier tipo de desórdenes y escándalos, así como violentar el respeto al orden público, la moral y las buenas costumbres. </w:t>
      </w:r>
    </w:p>
    <w:p w14:paraId="493FC873"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c) No obstante lo anterior, se reconoce también que la libertad de expresión comprende la posibilidad de: </w:t>
      </w:r>
      <w:r w:rsidRPr="00EE5F32">
        <w:rPr>
          <w:rFonts w:ascii="Palatino Linotype" w:eastAsia="Palatino Linotype" w:hAnsi="Palatino Linotype" w:cs="Palatino Linotype"/>
          <w:i/>
          <w:sz w:val="22"/>
          <w:szCs w:val="22"/>
        </w:rPr>
        <w:t>“… formular críticas contra la conducta o funcionamiento de otras personas físicas o jurídicas aunque le disguste e incomode a sus destinatarios. Esa posibilidad se ve reforzada cuando se trata de la crítica a la gestión o funcionamiento de un ente u órgano público, a un personaje público o a una persona con notoriedad pública</w:t>
      </w:r>
      <w:r w:rsidRPr="00EE5F32">
        <w:rPr>
          <w:rFonts w:ascii="Palatino Linotype" w:eastAsia="Palatino Linotype" w:hAnsi="Palatino Linotype" w:cs="Palatino Linotype"/>
          <w:sz w:val="22"/>
          <w:szCs w:val="22"/>
        </w:rPr>
        <w:t>.”</w:t>
      </w:r>
    </w:p>
    <w:p w14:paraId="2EF9BBAB" w14:textId="77777777" w:rsidR="00D84ACA" w:rsidRPr="00EE5F32" w:rsidRDefault="001B26A8">
      <w:pPr>
        <w:pBdr>
          <w:top w:val="nil"/>
          <w:left w:val="nil"/>
          <w:bottom w:val="nil"/>
          <w:right w:val="nil"/>
          <w:between w:val="nil"/>
        </w:pBdr>
        <w:spacing w:before="240" w:after="240" w:line="360" w:lineRule="auto"/>
        <w:ind w:left="284" w:right="99"/>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sz w:val="22"/>
          <w:szCs w:val="22"/>
        </w:rPr>
        <w:t xml:space="preserve">d) Se consideró que en el espacio digital de las plataformas de redes sociales digitales deben existir una extensión de los </w:t>
      </w:r>
      <w:r w:rsidRPr="00EE5F32">
        <w:rPr>
          <w:rFonts w:ascii="Palatino Linotype" w:eastAsia="Palatino Linotype" w:hAnsi="Palatino Linotype" w:cs="Palatino Linotype"/>
          <w:i/>
          <w:sz w:val="22"/>
          <w:szCs w:val="22"/>
        </w:rPr>
        <w:t>“…principios que rigen el libre acceso a la información de carácter público, que consta físicamente en las dependencias administrativas, sino también, de una prolongación de los principios que protegen la libertad de expresión de los administrados, no en los medios de comunicación físicos o tradicionales, sino en los presentes en ese mundo cibernético.”</w:t>
      </w:r>
    </w:p>
    <w:p w14:paraId="3DA16B6F"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Por todo lo anterior, la Sala Constitucional de la Corte Suprema de Justicia de Costa Rica concluye que </w:t>
      </w:r>
      <w:r w:rsidRPr="00EE5F32">
        <w:rPr>
          <w:rFonts w:ascii="Palatino Linotype" w:eastAsia="Palatino Linotype" w:hAnsi="Palatino Linotype" w:cs="Palatino Linotype"/>
          <w:b/>
          <w:sz w:val="22"/>
          <w:szCs w:val="22"/>
          <w:u w:val="single"/>
        </w:rPr>
        <w:t xml:space="preserve">la libertad de expresión debe de estar garantizada por el Estado también en el espacio digital o cibernético, y que ello debe de incluir también el acceso completo –con posibilidad de interacción- a todas las cuentas oficiales de redes sociales digitales, </w:t>
      </w:r>
      <w:r w:rsidRPr="00EE5F32">
        <w:rPr>
          <w:rFonts w:ascii="Palatino Linotype" w:eastAsia="Palatino Linotype" w:hAnsi="Palatino Linotype" w:cs="Palatino Linotype"/>
          <w:sz w:val="22"/>
          <w:szCs w:val="22"/>
        </w:rPr>
        <w:t>administradas por las autoridades gubernamentales.</w:t>
      </w:r>
    </w:p>
    <w:p w14:paraId="74A352C5"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Cabe señalar que en dicho asunto no se abordó ni se mencionó el tema del derecho a la privacidad, toda vez que nunca se argumentó que la cuenta fuera “personal”, sino que desde un primer momento se reconoció que era una cuenta oficial de la Presidencia, y que si bien la presidente misma podía tener o no injerencia directa en la cuenta (y por consecuencia en los bloqueos), nunca se planteó que conceder el acceso a dicha cuenta pudiera atentar contra su privacidad o la de cualquier otro servidor público, a diferencia de los casos nacionales referidos con antelación.</w:t>
      </w:r>
    </w:p>
    <w:p w14:paraId="1BECCF40" w14:textId="4D4AED22"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b/>
          <w:sz w:val="22"/>
          <w:szCs w:val="22"/>
          <w:u w:val="single"/>
        </w:rPr>
      </w:pPr>
      <w:r w:rsidRPr="00EE5F32">
        <w:rPr>
          <w:rFonts w:ascii="Palatino Linotype" w:eastAsia="Palatino Linotype" w:hAnsi="Palatino Linotype" w:cs="Palatino Linotype"/>
          <w:sz w:val="22"/>
          <w:szCs w:val="22"/>
        </w:rPr>
        <w:t>No obstante</w:t>
      </w:r>
      <w:r w:rsidR="009018D2" w:rsidRPr="00EE5F32">
        <w:rPr>
          <w:rFonts w:ascii="Palatino Linotype" w:eastAsia="Palatino Linotype" w:hAnsi="Palatino Linotype" w:cs="Palatino Linotype"/>
          <w:sz w:val="22"/>
          <w:szCs w:val="22"/>
        </w:rPr>
        <w:t xml:space="preserve">, </w:t>
      </w:r>
      <w:r w:rsidRPr="00EE5F32">
        <w:rPr>
          <w:rFonts w:ascii="Palatino Linotype" w:eastAsia="Palatino Linotype" w:hAnsi="Palatino Linotype" w:cs="Palatino Linotype"/>
          <w:sz w:val="22"/>
          <w:szCs w:val="22"/>
        </w:rPr>
        <w:t xml:space="preserve">se reitera que el uso de las redes sociales digitales por parte de las autoridades y de los servidores públicos para establecer canales de difusión de información y de comunicación con la sociedad en los estados democráticos es un tema pendiente por analizar, desarrollar y/o legislar, ya que prácticamente </w:t>
      </w:r>
      <w:r w:rsidRPr="00EE5F32">
        <w:rPr>
          <w:rFonts w:ascii="Palatino Linotype" w:eastAsia="Palatino Linotype" w:hAnsi="Palatino Linotype" w:cs="Palatino Linotype"/>
          <w:b/>
          <w:sz w:val="22"/>
          <w:szCs w:val="22"/>
          <w:u w:val="single"/>
        </w:rPr>
        <w:t>en ninguna ley mexicana se ha establecido la regulación sobre las redes sociales digitales y su relación con el derecho a la información, la libertad de expresión y el derecho a la privacidad, así como los criterios para su administración, para el bloqueo de usuarios y la supresión de comentario u opiniones.</w:t>
      </w:r>
    </w:p>
    <w:p w14:paraId="66D77C73" w14:textId="7777777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Y, si bien es cierto que el entonces Sistema Nacional de Transparencia, Acceso a la Información Pública y Protección de Datos Personales, emitió en el año 2019 </w:t>
      </w:r>
      <w:r w:rsidRPr="00EE5F32">
        <w:rPr>
          <w:rFonts w:ascii="Palatino Linotype" w:eastAsia="Palatino Linotype" w:hAnsi="Palatino Linotype" w:cs="Palatino Linotype"/>
          <w:i/>
          <w:sz w:val="22"/>
          <w:szCs w:val="22"/>
        </w:rPr>
        <w:t xml:space="preserve">las Políticas Generales para la difusión de información pública mediante las redes sociales digitales, </w:t>
      </w:r>
      <w:r w:rsidRPr="00EE5F32">
        <w:rPr>
          <w:rFonts w:ascii="Palatino Linotype" w:eastAsia="Palatino Linotype" w:hAnsi="Palatino Linotype" w:cs="Palatino Linotype"/>
          <w:sz w:val="22"/>
          <w:szCs w:val="22"/>
        </w:rPr>
        <w:t xml:space="preserve">entre cuyos objetivos se encuentra el de </w:t>
      </w:r>
      <w:r w:rsidRPr="00EE5F32">
        <w:rPr>
          <w:rFonts w:ascii="Palatino Linotype" w:eastAsia="Palatino Linotype" w:hAnsi="Palatino Linotype" w:cs="Palatino Linotype"/>
          <w:b/>
          <w:sz w:val="22"/>
          <w:szCs w:val="22"/>
        </w:rPr>
        <w:t xml:space="preserve">establecer </w:t>
      </w:r>
      <w:r w:rsidRPr="00EE5F32">
        <w:rPr>
          <w:rFonts w:ascii="Palatino Linotype" w:eastAsia="Palatino Linotype" w:hAnsi="Palatino Linotype" w:cs="Palatino Linotype"/>
          <w:b/>
          <w:sz w:val="22"/>
          <w:szCs w:val="22"/>
          <w:u w:val="single"/>
        </w:rPr>
        <w:t>recomendaciones y buenas prácticas</w:t>
      </w:r>
      <w:r w:rsidRPr="00EE5F32">
        <w:rPr>
          <w:rFonts w:ascii="Palatino Linotype" w:eastAsia="Palatino Linotype" w:hAnsi="Palatino Linotype" w:cs="Palatino Linotype"/>
          <w:b/>
          <w:sz w:val="22"/>
          <w:szCs w:val="22"/>
        </w:rPr>
        <w:t xml:space="preserve"> a los sujetos obligados </w:t>
      </w:r>
      <w:r w:rsidRPr="00EE5F32">
        <w:rPr>
          <w:rFonts w:ascii="Palatino Linotype" w:eastAsia="Palatino Linotype" w:hAnsi="Palatino Linotype" w:cs="Palatino Linotype"/>
          <w:b/>
          <w:sz w:val="22"/>
          <w:szCs w:val="22"/>
          <w:u w:val="single"/>
        </w:rPr>
        <w:t>respecto a la utilización y manejo de las redes sociales digitales como mecanismos para la difusión de información pública</w:t>
      </w:r>
      <w:r w:rsidRPr="00EE5F32">
        <w:rPr>
          <w:rFonts w:ascii="Palatino Linotype" w:eastAsia="Palatino Linotype" w:hAnsi="Palatino Linotype" w:cs="Palatino Linotype"/>
          <w:b/>
          <w:sz w:val="22"/>
          <w:szCs w:val="22"/>
        </w:rPr>
        <w:t xml:space="preserve">, </w:t>
      </w:r>
      <w:r w:rsidRPr="00EE5F32">
        <w:rPr>
          <w:rFonts w:ascii="Palatino Linotype" w:eastAsia="Palatino Linotype" w:hAnsi="Palatino Linotype" w:cs="Palatino Linotype"/>
          <w:sz w:val="22"/>
          <w:szCs w:val="22"/>
        </w:rPr>
        <w:t>cuya política Cuarta establece lo siguiente:</w:t>
      </w:r>
    </w:p>
    <w:p w14:paraId="73CE3C70" w14:textId="77777777" w:rsidR="00D84ACA" w:rsidRPr="00EE5F32" w:rsidRDefault="001B26A8">
      <w:pPr>
        <w:pBdr>
          <w:top w:val="nil"/>
          <w:left w:val="nil"/>
          <w:bottom w:val="nil"/>
          <w:right w:val="nil"/>
          <w:between w:val="nil"/>
        </w:pBdr>
        <w:spacing w:before="120" w:after="120"/>
        <w:ind w:left="851" w:right="758"/>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sz w:val="22"/>
          <w:szCs w:val="22"/>
        </w:rPr>
        <w:t>“</w:t>
      </w:r>
      <w:r w:rsidRPr="00EE5F32">
        <w:rPr>
          <w:rFonts w:ascii="Palatino Linotype" w:eastAsia="Palatino Linotype" w:hAnsi="Palatino Linotype" w:cs="Palatino Linotype"/>
          <w:b/>
          <w:i/>
          <w:sz w:val="22"/>
          <w:szCs w:val="22"/>
        </w:rPr>
        <w:t>Cuarta</w:t>
      </w:r>
      <w:r w:rsidRPr="00EE5F32">
        <w:rPr>
          <w:rFonts w:ascii="Palatino Linotype" w:eastAsia="Palatino Linotype" w:hAnsi="Palatino Linotype" w:cs="Palatino Linotype"/>
          <w:i/>
          <w:sz w:val="22"/>
          <w:szCs w:val="22"/>
        </w:rPr>
        <w:t>. Cuando los sujetos obligados determinen utilizar las redes sociales digitales para difundir información pública, se sujetarán, en lo aplicable, a la normatividad en materia de transparencia, acceso a la información pública, protección de datos personales, de archivos, de comunicación social y electoral.</w:t>
      </w:r>
    </w:p>
    <w:p w14:paraId="49F18DC5" w14:textId="77777777" w:rsidR="00D84ACA" w:rsidRPr="00EE5F32" w:rsidRDefault="001B26A8">
      <w:pPr>
        <w:pBdr>
          <w:top w:val="nil"/>
          <w:left w:val="nil"/>
          <w:bottom w:val="nil"/>
          <w:right w:val="nil"/>
          <w:between w:val="nil"/>
        </w:pBdr>
        <w:spacing w:before="120" w:after="120"/>
        <w:ind w:left="851" w:right="758"/>
        <w:jc w:val="both"/>
        <w:rPr>
          <w:rFonts w:ascii="Palatino Linotype" w:eastAsia="Palatino Linotype" w:hAnsi="Palatino Linotype" w:cs="Palatino Linotype"/>
          <w:b/>
          <w:i/>
          <w:sz w:val="22"/>
          <w:szCs w:val="22"/>
        </w:rPr>
      </w:pPr>
      <w:r w:rsidRPr="00EE5F32">
        <w:rPr>
          <w:rFonts w:ascii="Palatino Linotype" w:eastAsia="Palatino Linotype" w:hAnsi="Palatino Linotype" w:cs="Palatino Linotype"/>
          <w:b/>
          <w:i/>
          <w:sz w:val="22"/>
          <w:szCs w:val="22"/>
          <w:u w:val="single"/>
        </w:rPr>
        <w:t>Los sujetos obligados procurarán establecer las medidas necesarias para garantizar a todos los usuarios el acceso</w:t>
      </w:r>
      <w:r w:rsidRPr="00EE5F32">
        <w:rPr>
          <w:rFonts w:ascii="Palatino Linotype" w:eastAsia="Palatino Linotype" w:hAnsi="Palatino Linotype" w:cs="Palatino Linotype"/>
          <w:b/>
          <w:i/>
          <w:sz w:val="22"/>
          <w:szCs w:val="22"/>
        </w:rPr>
        <w:t xml:space="preserve"> a las cuentas de redes sociales oficiales desde las que se difunda información pública.</w:t>
      </w:r>
    </w:p>
    <w:p w14:paraId="52D8ACC9" w14:textId="77777777" w:rsidR="00D84ACA" w:rsidRPr="00EE5F32" w:rsidRDefault="001B26A8">
      <w:pPr>
        <w:pBdr>
          <w:top w:val="nil"/>
          <w:left w:val="nil"/>
          <w:bottom w:val="nil"/>
          <w:right w:val="nil"/>
          <w:between w:val="nil"/>
        </w:pBdr>
        <w:spacing w:before="120" w:after="120"/>
        <w:ind w:left="851" w:right="758"/>
        <w:jc w:val="both"/>
        <w:rPr>
          <w:rFonts w:ascii="Palatino Linotype" w:eastAsia="Palatino Linotype" w:hAnsi="Palatino Linotype" w:cs="Palatino Linotype"/>
          <w:b/>
          <w:i/>
          <w:sz w:val="22"/>
          <w:szCs w:val="22"/>
          <w:u w:val="single"/>
        </w:rPr>
      </w:pPr>
      <w:r w:rsidRPr="00EE5F32">
        <w:rPr>
          <w:rFonts w:ascii="Palatino Linotype" w:eastAsia="Palatino Linotype" w:hAnsi="Palatino Linotype" w:cs="Palatino Linotype"/>
          <w:b/>
          <w:i/>
          <w:sz w:val="22"/>
          <w:szCs w:val="22"/>
          <w:u w:val="single"/>
        </w:rPr>
        <w:t>En el caso de que existan comportamientos abusivos por parte de algún usuario de dichas plataformas, se procurará tomar las medidas pertinentes, en los términos que cada sujeto obligado determine establecer.</w:t>
      </w:r>
    </w:p>
    <w:p w14:paraId="5D697C46" w14:textId="3E9C4857" w:rsidR="00D84ACA" w:rsidRPr="00EE5F32" w:rsidRDefault="001B26A8">
      <w:pPr>
        <w:pBdr>
          <w:top w:val="nil"/>
          <w:left w:val="nil"/>
          <w:bottom w:val="nil"/>
          <w:right w:val="nil"/>
          <w:between w:val="nil"/>
        </w:pBdr>
        <w:spacing w:before="240" w:after="240" w:line="360" w:lineRule="auto"/>
        <w:ind w:right="9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Como se logra vislumbrar, se pretendió prohibir que se bloquearan a usuarios de las redes sociales, para acceder a las cuentas de redes sociales digitales empleada para difundir información y actividades derivadas del ejercicio de las atribuciones que la normativa les confiere a las entidades públicas o a los servidores públicos derivado de  su cargo, </w:t>
      </w:r>
      <w:r w:rsidRPr="00EE5F32">
        <w:rPr>
          <w:rFonts w:ascii="Palatino Linotype" w:eastAsia="Palatino Linotype" w:hAnsi="Palatino Linotype" w:cs="Palatino Linotype"/>
          <w:b/>
          <w:sz w:val="22"/>
          <w:szCs w:val="22"/>
          <w:u w:val="single"/>
        </w:rPr>
        <w:t>salvo la existencia de comportamientos abusivos u ofensivos debidamente acreditados</w:t>
      </w:r>
      <w:r w:rsidRPr="00EE5F32">
        <w:rPr>
          <w:rFonts w:ascii="Palatino Linotype" w:eastAsia="Palatino Linotype" w:hAnsi="Palatino Linotype" w:cs="Palatino Linotype"/>
          <w:sz w:val="22"/>
          <w:szCs w:val="22"/>
          <w:u w:val="single"/>
        </w:rPr>
        <w:t>,</w:t>
      </w:r>
      <w:r w:rsidRPr="00EE5F32">
        <w:rPr>
          <w:rFonts w:ascii="Palatino Linotype" w:eastAsia="Palatino Linotype" w:hAnsi="Palatino Linotype" w:cs="Palatino Linotype"/>
          <w:sz w:val="22"/>
          <w:szCs w:val="22"/>
        </w:rPr>
        <w:t xml:space="preserve"> por lo que cada caso de bloqueo o supresión de comentarios u opiniones debe de ser analizado de manera independiente y exhaustiva para determinar si se configuran o no dichos elementos, debiéndose por tanto hacer la ponderación de derechos correspondiente, no obstante, qued</w:t>
      </w:r>
      <w:r w:rsidR="009018D2" w:rsidRPr="00EE5F32">
        <w:rPr>
          <w:rFonts w:ascii="Palatino Linotype" w:eastAsia="Palatino Linotype" w:hAnsi="Palatino Linotype" w:cs="Palatino Linotype"/>
          <w:sz w:val="22"/>
          <w:szCs w:val="22"/>
        </w:rPr>
        <w:t>ó</w:t>
      </w:r>
      <w:r w:rsidRPr="00EE5F32">
        <w:rPr>
          <w:rFonts w:ascii="Palatino Linotype" w:eastAsia="Palatino Linotype" w:hAnsi="Palatino Linotype" w:cs="Palatino Linotype"/>
          <w:sz w:val="22"/>
          <w:szCs w:val="22"/>
        </w:rPr>
        <w:t xml:space="preserve"> al arbitrio de cada sujeto obligado establecer los términos para tomar las medidas pertinentes, por lo tanto, el carácter de dicha determinación no tiene carácter  vinculante, esto es, no tiene fuerza legal obligatoria.</w:t>
      </w:r>
    </w:p>
    <w:p w14:paraId="4577DF8F" w14:textId="04AEE55A" w:rsidR="009018D2" w:rsidRPr="00EE5F32" w:rsidRDefault="001B26A8" w:rsidP="009018D2">
      <w:pPr>
        <w:pBdr>
          <w:top w:val="nil"/>
          <w:left w:val="nil"/>
          <w:bottom w:val="nil"/>
          <w:right w:val="nil"/>
          <w:between w:val="nil"/>
        </w:pBdr>
        <w:spacing w:before="240" w:after="240" w:line="360" w:lineRule="auto"/>
        <w:ind w:right="96"/>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 xml:space="preserve">En tal contexto, en virtud </w:t>
      </w:r>
      <w:r w:rsidR="009018D2" w:rsidRPr="00EE5F32">
        <w:rPr>
          <w:rFonts w:ascii="Palatino Linotype" w:eastAsia="Palatino Linotype" w:hAnsi="Palatino Linotype" w:cs="Palatino Linotype"/>
          <w:sz w:val="22"/>
          <w:szCs w:val="22"/>
        </w:rPr>
        <w:t xml:space="preserve">de los argumentos expuestos con anterioridad así como del análisis realizado a las constancias que obran en el expediente electrónico del SAIMEX, dado </w:t>
      </w:r>
      <w:r w:rsidRPr="00EE5F32">
        <w:rPr>
          <w:rFonts w:ascii="Palatino Linotype" w:eastAsia="Palatino Linotype" w:hAnsi="Palatino Linotype" w:cs="Palatino Linotype"/>
          <w:sz w:val="22"/>
          <w:szCs w:val="22"/>
        </w:rPr>
        <w:t xml:space="preserve">que la parte </w:t>
      </w:r>
      <w:r w:rsidRPr="00EE5F32">
        <w:rPr>
          <w:rFonts w:ascii="Palatino Linotype" w:eastAsia="Palatino Linotype" w:hAnsi="Palatino Linotype" w:cs="Palatino Linotype"/>
          <w:b/>
          <w:sz w:val="22"/>
          <w:szCs w:val="22"/>
        </w:rPr>
        <w:t xml:space="preserve">Recurrente </w:t>
      </w:r>
      <w:r w:rsidRPr="00EE5F32">
        <w:rPr>
          <w:rFonts w:ascii="Palatino Linotype" w:eastAsia="Palatino Linotype" w:hAnsi="Palatino Linotype" w:cs="Palatino Linotype"/>
          <w:sz w:val="22"/>
          <w:szCs w:val="22"/>
        </w:rPr>
        <w:t xml:space="preserve">pretende que el </w:t>
      </w:r>
      <w:r w:rsidRPr="00EE5F32">
        <w:rPr>
          <w:rFonts w:ascii="Palatino Linotype" w:eastAsia="Palatino Linotype" w:hAnsi="Palatino Linotype" w:cs="Palatino Linotype"/>
          <w:b/>
          <w:sz w:val="22"/>
          <w:szCs w:val="22"/>
        </w:rPr>
        <w:t xml:space="preserve">Sujeto Obligado </w:t>
      </w:r>
      <w:r w:rsidRPr="00EE5F32">
        <w:rPr>
          <w:rFonts w:ascii="Palatino Linotype" w:eastAsia="Palatino Linotype" w:hAnsi="Palatino Linotype" w:cs="Palatino Linotype"/>
          <w:sz w:val="22"/>
          <w:szCs w:val="22"/>
        </w:rPr>
        <w:t>se pronuncie o realice acciones en relación con el manejo restrictivo y discrecional de los ayuntamientos del Estado de México, en concreto, el Ayuntamiento de Toluca, de sus cuentas oficiales en redes sociales como Facebook y Youtube, en las cuales se difunden obras y acciones, se transmiten las Sesiones de Cabildo, conferencias de prensa, entre otras actividades, la imposición de sanciones, y establezca un mecanismo de supervisión permanente sobre el uso de medios digitales oficiales en todos los municipios del Estado de México, particularmente en redes sociales donde se transmiten actos públicos, a fin de evitar la censura sistemática y garantizar la interacción ciudadana, no obstante, se trata de cuestiones que no son atendibles mediante una solicitud de acceso o vía recurso de revisión al no relacionarse con el ejercicio del Derecho de acceso a la Información, sino con un Derecho de petición</w:t>
      </w:r>
      <w:r w:rsidR="009018D2" w:rsidRPr="00EE5F32">
        <w:rPr>
          <w:rFonts w:ascii="Palatino Linotype" w:eastAsia="Palatino Linotype" w:hAnsi="Palatino Linotype" w:cs="Palatino Linotype"/>
          <w:sz w:val="22"/>
          <w:szCs w:val="22"/>
        </w:rPr>
        <w:t xml:space="preserve">, se determina </w:t>
      </w:r>
      <w:r w:rsidR="009018D2" w:rsidRPr="00EE5F32">
        <w:rPr>
          <w:rFonts w:ascii="Palatino Linotype" w:eastAsia="Palatino Linotype" w:hAnsi="Palatino Linotype" w:cs="Palatino Linotype"/>
          <w:i/>
          <w:iCs/>
          <w:sz w:val="22"/>
          <w:szCs w:val="22"/>
        </w:rPr>
        <w:t>sobreseer</w:t>
      </w:r>
      <w:r w:rsidR="009018D2" w:rsidRPr="00EE5F32">
        <w:rPr>
          <w:rFonts w:ascii="Palatino Linotype" w:eastAsia="Palatino Linotype" w:hAnsi="Palatino Linotype" w:cs="Palatino Linotype"/>
          <w:sz w:val="22"/>
          <w:szCs w:val="22"/>
        </w:rPr>
        <w:t xml:space="preserve"> el presente recurso de revisión por actualizarse la causal de sobreseimiento prevista en la fracción IV del artículo 192 de la Ley de Transparencia y Acceso a la Información Pública del Estado de México y Municipios en su correlación con la causal de improcedencia contemplada en la fracción IV del artículo 191 del ordenamiento legal en cita, los que se transcriben a continuación, para un mejor entendimiento:</w:t>
      </w:r>
    </w:p>
    <w:p w14:paraId="22C83A28" w14:textId="77777777" w:rsidR="009018D2" w:rsidRPr="00EE5F32" w:rsidRDefault="009018D2" w:rsidP="009018D2">
      <w:pPr>
        <w:pBdr>
          <w:top w:val="nil"/>
          <w:left w:val="nil"/>
          <w:bottom w:val="nil"/>
          <w:right w:val="nil"/>
          <w:between w:val="nil"/>
        </w:pBdr>
        <w:tabs>
          <w:tab w:val="left" w:pos="7938"/>
        </w:tabs>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Artículo 191</w:t>
      </w:r>
      <w:r w:rsidRPr="00EE5F32">
        <w:rPr>
          <w:rFonts w:ascii="Palatino Linotype" w:eastAsia="Palatino Linotype" w:hAnsi="Palatino Linotype" w:cs="Palatino Linotype"/>
          <w:i/>
          <w:sz w:val="22"/>
          <w:szCs w:val="22"/>
        </w:rPr>
        <w:t xml:space="preserve">. </w:t>
      </w:r>
      <w:r w:rsidRPr="00EE5F32">
        <w:rPr>
          <w:rFonts w:ascii="Palatino Linotype" w:eastAsia="Palatino Linotype" w:hAnsi="Palatino Linotype" w:cs="Palatino Linotype"/>
          <w:b/>
          <w:i/>
          <w:sz w:val="22"/>
          <w:szCs w:val="22"/>
        </w:rPr>
        <w:t>El recurso</w:t>
      </w:r>
      <w:r w:rsidRPr="00EE5F32">
        <w:rPr>
          <w:rFonts w:ascii="Palatino Linotype" w:eastAsia="Palatino Linotype" w:hAnsi="Palatino Linotype" w:cs="Palatino Linotype"/>
          <w:i/>
          <w:sz w:val="22"/>
          <w:szCs w:val="22"/>
        </w:rPr>
        <w:t xml:space="preserve"> </w:t>
      </w:r>
      <w:r w:rsidRPr="00EE5F32">
        <w:rPr>
          <w:rFonts w:ascii="Palatino Linotype" w:eastAsia="Palatino Linotype" w:hAnsi="Palatino Linotype" w:cs="Palatino Linotype"/>
          <w:b/>
          <w:i/>
          <w:sz w:val="22"/>
          <w:szCs w:val="22"/>
        </w:rPr>
        <w:t xml:space="preserve">será </w:t>
      </w:r>
      <w:r w:rsidRPr="00EE5F32">
        <w:rPr>
          <w:rFonts w:ascii="Palatino Linotype" w:eastAsia="Palatino Linotype" w:hAnsi="Palatino Linotype" w:cs="Palatino Linotype"/>
          <w:i/>
          <w:sz w:val="22"/>
          <w:szCs w:val="22"/>
        </w:rPr>
        <w:t xml:space="preserve">desechado por </w:t>
      </w:r>
      <w:r w:rsidRPr="00EE5F32">
        <w:rPr>
          <w:rFonts w:ascii="Palatino Linotype" w:eastAsia="Palatino Linotype" w:hAnsi="Palatino Linotype" w:cs="Palatino Linotype"/>
          <w:b/>
          <w:i/>
          <w:sz w:val="22"/>
          <w:szCs w:val="22"/>
        </w:rPr>
        <w:t>improcedente cuando</w:t>
      </w:r>
      <w:r w:rsidRPr="00EE5F32">
        <w:rPr>
          <w:rFonts w:ascii="Palatino Linotype" w:eastAsia="Palatino Linotype" w:hAnsi="Palatino Linotype" w:cs="Palatino Linotype"/>
          <w:i/>
          <w:sz w:val="22"/>
          <w:szCs w:val="22"/>
        </w:rPr>
        <w:t>:</w:t>
      </w:r>
    </w:p>
    <w:p w14:paraId="766BD5C3" w14:textId="77777777" w:rsidR="009018D2" w:rsidRPr="00EE5F32" w:rsidRDefault="009018D2" w:rsidP="009018D2">
      <w:pPr>
        <w:pBdr>
          <w:top w:val="nil"/>
          <w:left w:val="nil"/>
          <w:bottom w:val="nil"/>
          <w:right w:val="nil"/>
          <w:between w:val="nil"/>
        </w:pBdr>
        <w:tabs>
          <w:tab w:val="left" w:pos="7938"/>
        </w:tabs>
        <w:spacing w:before="120" w:after="120"/>
        <w:ind w:left="1134"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21F493C0" w14:textId="77777777" w:rsidR="009018D2" w:rsidRPr="00EE5F32" w:rsidRDefault="009018D2" w:rsidP="009018D2">
      <w:pPr>
        <w:tabs>
          <w:tab w:val="left" w:pos="7938"/>
        </w:tabs>
        <w:spacing w:before="120" w:line="360" w:lineRule="auto"/>
        <w:ind w:left="1134" w:right="902"/>
        <w:jc w:val="both"/>
        <w:rPr>
          <w:rFonts w:ascii="Palatino Linotype" w:eastAsia="Palatino Linotype" w:hAnsi="Palatino Linotype" w:cs="Palatino Linotype"/>
          <w:b/>
          <w:i/>
          <w:sz w:val="22"/>
          <w:szCs w:val="22"/>
        </w:rPr>
      </w:pPr>
      <w:r w:rsidRPr="00EE5F32">
        <w:rPr>
          <w:rFonts w:ascii="Palatino Linotype" w:eastAsia="Palatino Linotype" w:hAnsi="Palatino Linotype" w:cs="Palatino Linotype"/>
          <w:b/>
          <w:i/>
          <w:sz w:val="22"/>
          <w:szCs w:val="22"/>
        </w:rPr>
        <w:t>VI. Se trate de una consulta</w:t>
      </w:r>
      <w:r w:rsidRPr="00EE5F32">
        <w:rPr>
          <w:rFonts w:ascii="Palatino Linotype" w:eastAsia="Palatino Linotype" w:hAnsi="Palatino Linotype" w:cs="Palatino Linotype"/>
          <w:i/>
          <w:sz w:val="22"/>
          <w:szCs w:val="22"/>
        </w:rPr>
        <w:t>, o trámite en específico</w:t>
      </w:r>
      <w:r w:rsidRPr="00EE5F32">
        <w:rPr>
          <w:rFonts w:ascii="Palatino Linotype" w:eastAsia="Palatino Linotype" w:hAnsi="Palatino Linotype" w:cs="Palatino Linotype"/>
          <w:b/>
          <w:i/>
          <w:sz w:val="22"/>
          <w:szCs w:val="22"/>
        </w:rPr>
        <w:t xml:space="preserve">; </w:t>
      </w:r>
    </w:p>
    <w:p w14:paraId="3ED4F49B" w14:textId="77777777" w:rsidR="009018D2" w:rsidRPr="00EE5F32" w:rsidRDefault="009018D2" w:rsidP="009018D2">
      <w:pPr>
        <w:pBdr>
          <w:top w:val="nil"/>
          <w:left w:val="nil"/>
          <w:bottom w:val="nil"/>
          <w:right w:val="nil"/>
          <w:between w:val="nil"/>
        </w:pBdr>
        <w:tabs>
          <w:tab w:val="left" w:pos="7938"/>
        </w:tabs>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0AB8BF92" w14:textId="77777777" w:rsidR="009018D2" w:rsidRPr="00EE5F32" w:rsidRDefault="009018D2" w:rsidP="009018D2">
      <w:pPr>
        <w:pBdr>
          <w:top w:val="nil"/>
          <w:left w:val="nil"/>
          <w:bottom w:val="nil"/>
          <w:right w:val="nil"/>
          <w:between w:val="nil"/>
        </w:pBdr>
        <w:tabs>
          <w:tab w:val="left" w:pos="7938"/>
        </w:tabs>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Artículo 192.</w:t>
      </w:r>
      <w:r w:rsidRPr="00EE5F32">
        <w:rPr>
          <w:rFonts w:ascii="Palatino Linotype" w:eastAsia="Palatino Linotype" w:hAnsi="Palatino Linotype" w:cs="Palatino Linotype"/>
          <w:i/>
          <w:sz w:val="22"/>
          <w:szCs w:val="22"/>
        </w:rPr>
        <w:t xml:space="preserve"> El recurso será sobreseído, en todo o en parte, cuando una vez admitido, se actualicen alguno de los siguientes supuestos:</w:t>
      </w:r>
    </w:p>
    <w:p w14:paraId="6C99EEAC" w14:textId="77777777" w:rsidR="009018D2" w:rsidRPr="00EE5F32" w:rsidRDefault="009018D2" w:rsidP="009018D2">
      <w:pPr>
        <w:pBdr>
          <w:top w:val="nil"/>
          <w:left w:val="nil"/>
          <w:bottom w:val="nil"/>
          <w:right w:val="nil"/>
          <w:between w:val="nil"/>
        </w:pBdr>
        <w:tabs>
          <w:tab w:val="left" w:pos="7938"/>
        </w:tabs>
        <w:spacing w:before="120" w:after="120"/>
        <w:ind w:left="1134"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p>
    <w:p w14:paraId="686623E2" w14:textId="77777777" w:rsidR="009018D2" w:rsidRPr="00EE5F32" w:rsidRDefault="009018D2" w:rsidP="009018D2">
      <w:pPr>
        <w:pBdr>
          <w:top w:val="nil"/>
          <w:left w:val="nil"/>
          <w:bottom w:val="nil"/>
          <w:right w:val="nil"/>
          <w:between w:val="nil"/>
        </w:pBdr>
        <w:tabs>
          <w:tab w:val="left" w:pos="7938"/>
        </w:tabs>
        <w:spacing w:before="120" w:after="120"/>
        <w:ind w:left="1134"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IV</w:t>
      </w:r>
      <w:r w:rsidRPr="00EE5F32">
        <w:rPr>
          <w:rFonts w:ascii="Palatino Linotype" w:eastAsia="Palatino Linotype" w:hAnsi="Palatino Linotype" w:cs="Palatino Linotype"/>
          <w:i/>
          <w:sz w:val="22"/>
          <w:szCs w:val="22"/>
        </w:rPr>
        <w:t xml:space="preserve">. Admitido el recurso de revisión, </w:t>
      </w:r>
      <w:r w:rsidRPr="00EE5F32">
        <w:rPr>
          <w:rFonts w:ascii="Palatino Linotype" w:eastAsia="Palatino Linotype" w:hAnsi="Palatino Linotype" w:cs="Palatino Linotype"/>
          <w:b/>
          <w:i/>
          <w:sz w:val="22"/>
          <w:szCs w:val="22"/>
        </w:rPr>
        <w:t>aparezca alguna causal de improcedencia</w:t>
      </w:r>
      <w:r w:rsidRPr="00EE5F32">
        <w:rPr>
          <w:rFonts w:ascii="Palatino Linotype" w:eastAsia="Palatino Linotype" w:hAnsi="Palatino Linotype" w:cs="Palatino Linotype"/>
          <w:i/>
          <w:sz w:val="22"/>
          <w:szCs w:val="22"/>
        </w:rPr>
        <w:t xml:space="preserve"> en los términos de la presente Ley. “</w:t>
      </w:r>
    </w:p>
    <w:p w14:paraId="2718FE7E" w14:textId="760DCC75" w:rsidR="00D84ACA" w:rsidRPr="00EE5F32" w:rsidRDefault="009018D2">
      <w:pPr>
        <w:spacing w:before="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Cabe destacar que e</w:t>
      </w:r>
      <w:r w:rsidR="001B26A8" w:rsidRPr="00EE5F32">
        <w:rPr>
          <w:rFonts w:ascii="Palatino Linotype" w:eastAsia="Palatino Linotype" w:hAnsi="Palatino Linotype" w:cs="Palatino Linotype"/>
          <w:sz w:val="22"/>
          <w:szCs w:val="22"/>
        </w:rPr>
        <w:t xml:space="preserve">l </w:t>
      </w:r>
      <w:r w:rsidR="001B26A8" w:rsidRPr="00EE5F32">
        <w:rPr>
          <w:rFonts w:ascii="Palatino Linotype" w:eastAsia="Palatino Linotype" w:hAnsi="Palatino Linotype" w:cs="Palatino Linotype"/>
          <w:i/>
          <w:sz w:val="22"/>
          <w:szCs w:val="22"/>
        </w:rPr>
        <w:t>sobreseimiento</w:t>
      </w:r>
      <w:r w:rsidR="001B26A8" w:rsidRPr="00EE5F32">
        <w:rPr>
          <w:rFonts w:ascii="Palatino Linotype" w:eastAsia="Palatino Linotype" w:hAnsi="Palatino Linotype" w:cs="Palatino Linotype"/>
          <w:sz w:val="22"/>
          <w:szCs w:val="22"/>
        </w:rPr>
        <w:t xml:space="preserve"> es un acto que da por terminado el procedimiento administrativo de impugnación sin resolver el fondo de la cuestión planteada, por presentarse causas que impiden a la autoridad referirse a lo sustancial de lo planteado por el recurrente, los efectos del sobreseimiento consisten en dar por concluido el recurso administrativo sin entrar al estudio de fondo del asunto de que se trate; lo anterior con apoyo en el criterio del Poder Judicial de la Federación con rubro:</w:t>
      </w:r>
    </w:p>
    <w:p w14:paraId="04E7FE05" w14:textId="77777777" w:rsidR="00D84ACA" w:rsidRPr="00EE5F32" w:rsidRDefault="001B26A8">
      <w:pPr>
        <w:spacing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i/>
          <w:sz w:val="22"/>
          <w:szCs w:val="22"/>
        </w:rPr>
        <w:t>“</w:t>
      </w:r>
      <w:r w:rsidRPr="00EE5F32">
        <w:rPr>
          <w:rFonts w:ascii="Palatino Linotype" w:eastAsia="Palatino Linotype" w:hAnsi="Palatino Linotype" w:cs="Palatino Linotype"/>
          <w:b/>
          <w:i/>
          <w:sz w:val="22"/>
          <w:szCs w:val="22"/>
        </w:rPr>
        <w:t xml:space="preserve">SOBRESEIMIENTO, NO PERMITE ENTRAR AL ESTUDIO DE LAS CUESTIONES DE FONDO. </w:t>
      </w:r>
      <w:r w:rsidRPr="00EE5F32">
        <w:rPr>
          <w:rFonts w:ascii="Palatino Linotype" w:eastAsia="Palatino Linotype" w:hAnsi="Palatino Linotype" w:cs="Palatino Linotype"/>
          <w:i/>
          <w:sz w:val="22"/>
          <w:szCs w:val="22"/>
        </w:rPr>
        <w:t>No causa agravio la sentencia que no se ocupa de los razonamientos tendientes a demostrar la inconstitucionalidad de los actos reclamados de las autoridades responsables, que constituyen el problema de fondo, si se decreta el sobreseimiento del juicio.”</w:t>
      </w:r>
    </w:p>
    <w:p w14:paraId="5308BBEA"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Cabe destacar que la decisión de este Organismo Colegiado de sobreseer el recurso de revisión no implica una limitación o negación a la justicia, según lo ha establecido el Poder Judicial Federal, en el criterio que es aplicable por analogía, con rubro:</w:t>
      </w:r>
    </w:p>
    <w:p w14:paraId="111DDF65" w14:textId="77777777" w:rsidR="00D84ACA" w:rsidRPr="00EE5F32" w:rsidRDefault="001B26A8">
      <w:pPr>
        <w:spacing w:before="120" w:after="120"/>
        <w:ind w:left="851" w:right="902"/>
        <w:jc w:val="both"/>
        <w:rPr>
          <w:rFonts w:ascii="Palatino Linotype" w:eastAsia="Palatino Linotype" w:hAnsi="Palatino Linotype" w:cs="Palatino Linotype"/>
          <w:i/>
          <w:sz w:val="22"/>
          <w:szCs w:val="22"/>
        </w:rPr>
      </w:pPr>
      <w:r w:rsidRPr="00EE5F32">
        <w:rPr>
          <w:rFonts w:ascii="Palatino Linotype" w:eastAsia="Palatino Linotype" w:hAnsi="Palatino Linotype" w:cs="Palatino Linotype"/>
          <w:b/>
          <w:i/>
          <w:sz w:val="22"/>
          <w:szCs w:val="22"/>
        </w:rPr>
        <w:t>“DESECHAMIENTO O SOBRESEIMIENTO EN EL JUICIO DE AMPARO. NO IMPLICA DENEGACIÓN DE JUSTICIA NI GENERA INSEGURIDAD JURÍDICA</w:t>
      </w:r>
      <w:r w:rsidRPr="00EE5F32">
        <w:rPr>
          <w:rFonts w:ascii="Palatino Linotype" w:eastAsia="Palatino Linotype" w:hAnsi="Palatino Linotype" w:cs="Palatino Linotype"/>
          <w:i/>
          <w:sz w:val="22"/>
          <w:szCs w:val="22"/>
        </w:rPr>
        <w:t xml:space="preserve"> Cuando se desecha una demanda de amparo o se sobresee en el juicio, ello no implica denegar justicia ni genera inseguridad jurídica, ya que la obligación de los tribunales no es tramitar y resolver en el fondo todos los asuntos sometidos a su consideración en forma favorable a los intereses del solicitante, sino que se circunscribe a la posibilidad que tiene cualquier individuo de acudir ante los órganos jurisdiccionales, con su promoción (demanda), a la cual debe darse el trámite acorde a las formalidades rectoras del procedimiento respectivo, dentro de las cuales el legislador previó las causales de improcedencia y sobreseimiento. Así, cuando el juzgador o tribunal de amparo se funda en una de ellas para desechar o sobreseer en un juicio, imparte justicia, puesto que el acceso a ella no se ve menoscabado, sino que es efectivo, ni se deja en estado de indefensión al promovente, no obstante sea desfavorable, al no poder negar que se da respuesta a la petición de amparo, con independencia de que no comparta el sentido de la resolución, dado que de esa forma quien imparte justicia se pronuncia sobre la acción, diciendo así el derecho y permitiendo que impere el orden jurídico.”</w:t>
      </w:r>
    </w:p>
    <w:p w14:paraId="420FE1EF"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Finalmente, se reitera que el Derecho de acceso a la información no tiene como finalidad presentar quejas o denuncias, o reportar hechos indebidos, sino que este consiste en la prerrogativa de toda persona de solicitar y recibir información que esté en poder de las autoridades o entes que desempeñen funciones públicas y/o ejerzan recursos públicos.</w:t>
      </w:r>
    </w:p>
    <w:p w14:paraId="765B6929"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u w:val="single"/>
        </w:rPr>
      </w:pPr>
      <w:r w:rsidRPr="00EE5F32">
        <w:rPr>
          <w:rFonts w:ascii="Palatino Linotype" w:eastAsia="Palatino Linotype" w:hAnsi="Palatino Linotype" w:cs="Palatino Linotype"/>
          <w:b/>
          <w:sz w:val="22"/>
          <w:szCs w:val="22"/>
          <w:u w:val="single"/>
        </w:rPr>
        <w:t>Por consiguiente, al no ser el Derecho de acceso a la información la vía para iniciar investigaciones o imponer sanciones, se sugiere a la persona solicitante interponer su queja o denuncia ante la autoridad competente.</w:t>
      </w:r>
    </w:p>
    <w:p w14:paraId="2BDE33D8" w14:textId="77777777" w:rsidR="00D84ACA" w:rsidRPr="00EE5F32" w:rsidRDefault="001B26A8">
      <w:pPr>
        <w:spacing w:before="240" w:after="240" w:line="360" w:lineRule="auto"/>
        <w:jc w:val="both"/>
        <w:rPr>
          <w:rFonts w:ascii="Palatino Linotype" w:eastAsia="Palatino Linotype" w:hAnsi="Palatino Linotype" w:cs="Palatino Linotype"/>
          <w:b/>
          <w:sz w:val="22"/>
          <w:szCs w:val="22"/>
        </w:rPr>
      </w:pPr>
      <w:r w:rsidRPr="00EE5F32">
        <w:rPr>
          <w:rFonts w:ascii="Palatino Linotype" w:eastAsia="Palatino Linotype" w:hAnsi="Palatino Linotype" w:cs="Palatino Linotype"/>
          <w:sz w:val="22"/>
          <w:szCs w:val="22"/>
        </w:rPr>
        <w:t xml:space="preserve">Bajo ese tenor con fundamento en la segunda hipótesis de la fracción I del artículo 186, de la Ley de Transparencia y Acceso a la Información Pública del Estado de México y Municipios, se </w:t>
      </w:r>
      <w:r w:rsidRPr="00EE5F32">
        <w:rPr>
          <w:rFonts w:ascii="Palatino Linotype" w:eastAsia="Palatino Linotype" w:hAnsi="Palatino Linotype" w:cs="Palatino Linotype"/>
          <w:b/>
          <w:sz w:val="22"/>
          <w:szCs w:val="22"/>
        </w:rPr>
        <w:t xml:space="preserve">Sobresee </w:t>
      </w:r>
      <w:r w:rsidRPr="00EE5F32">
        <w:rPr>
          <w:rFonts w:ascii="Palatino Linotype" w:eastAsia="Palatino Linotype" w:hAnsi="Palatino Linotype" w:cs="Palatino Linotype"/>
          <w:sz w:val="22"/>
          <w:szCs w:val="22"/>
        </w:rPr>
        <w:t xml:space="preserve">el recurso de revisión </w:t>
      </w:r>
      <w:r w:rsidRPr="00EE5F32">
        <w:rPr>
          <w:rFonts w:ascii="Palatino Linotype" w:eastAsia="Palatino Linotype" w:hAnsi="Palatino Linotype" w:cs="Palatino Linotype"/>
          <w:b/>
          <w:sz w:val="22"/>
          <w:szCs w:val="22"/>
        </w:rPr>
        <w:t>07804/INFOEM/IP/RR/2025</w:t>
      </w:r>
      <w:r w:rsidRPr="00EE5F32">
        <w:rPr>
          <w:rFonts w:ascii="Palatino Linotype" w:eastAsia="Palatino Linotype" w:hAnsi="Palatino Linotype" w:cs="Palatino Linotype"/>
          <w:sz w:val="22"/>
          <w:szCs w:val="22"/>
        </w:rPr>
        <w:t>, que ha sido materia del presente fallo.</w:t>
      </w:r>
    </w:p>
    <w:p w14:paraId="0677B951" w14:textId="77777777" w:rsidR="00D84ACA" w:rsidRPr="00EE5F32" w:rsidRDefault="001B26A8">
      <w:pPr>
        <w:spacing w:line="360" w:lineRule="auto"/>
        <w:jc w:val="both"/>
        <w:rPr>
          <w:rFonts w:ascii="Palatino Linotype" w:eastAsia="Palatino Linotype" w:hAnsi="Palatino Linotype" w:cs="Palatino Linotype"/>
          <w:sz w:val="22"/>
          <w:szCs w:val="22"/>
        </w:rPr>
      </w:pPr>
      <w:bookmarkStart w:id="9" w:name="_heading=h.9cc9n8chjy3w" w:colFirst="0" w:colLast="0"/>
      <w:bookmarkEnd w:id="9"/>
      <w:r w:rsidRPr="00EE5F32">
        <w:rPr>
          <w:rFonts w:ascii="Palatino Linotype" w:eastAsia="Palatino Linotype" w:hAnsi="Palatino Linotype" w:cs="Palatino Linotype"/>
          <w:sz w:val="22"/>
          <w:szCs w:val="22"/>
        </w:rPr>
        <w:t>Así, con fundamento en lo prescrito en los artículos 5 párrafos cuadragésimo cuarto, cuadragésimo quinto y cuadragésimo sexto de la Constitución Política del Estado Libre y Soberano de México; Transitorio Cuarto, párrafo segundo del Decreto número 198 de la “LXII” Legislatura del Estado de México; 2, fracción II; 29, 36 fracciones I y II; 176, 178, 181, 185 y 186 fracción II de la Ley de Transparencia y Acceso a la Información Pública del Estado de México y Municipios, este Pleno:</w:t>
      </w:r>
    </w:p>
    <w:p w14:paraId="3A0D15B8" w14:textId="77777777" w:rsidR="00D84ACA" w:rsidRPr="00EE5F32" w:rsidRDefault="001B26A8">
      <w:pPr>
        <w:pBdr>
          <w:top w:val="nil"/>
          <w:left w:val="nil"/>
          <w:bottom w:val="nil"/>
          <w:right w:val="nil"/>
          <w:between w:val="nil"/>
        </w:pBdr>
        <w:spacing w:before="240" w:after="240" w:line="360" w:lineRule="auto"/>
        <w:jc w:val="center"/>
        <w:rPr>
          <w:rFonts w:ascii="Palatino Linotype" w:eastAsia="Palatino Linotype" w:hAnsi="Palatino Linotype" w:cs="Palatino Linotype"/>
          <w:b/>
          <w:sz w:val="22"/>
          <w:szCs w:val="22"/>
        </w:rPr>
      </w:pPr>
      <w:r w:rsidRPr="00EE5F32">
        <w:rPr>
          <w:rFonts w:ascii="Palatino Linotype" w:eastAsia="Palatino Linotype" w:hAnsi="Palatino Linotype" w:cs="Palatino Linotype"/>
          <w:b/>
          <w:sz w:val="22"/>
          <w:szCs w:val="22"/>
        </w:rPr>
        <w:t>III. R E S U E L V E</w:t>
      </w:r>
    </w:p>
    <w:p w14:paraId="2306FDA6"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bookmarkStart w:id="10" w:name="_heading=h.462l75rbq3j2" w:colFirst="0" w:colLast="0"/>
      <w:bookmarkEnd w:id="10"/>
      <w:r w:rsidRPr="00EE5F32">
        <w:rPr>
          <w:rFonts w:ascii="Palatino Linotype" w:eastAsia="Palatino Linotype" w:hAnsi="Palatino Linotype" w:cs="Palatino Linotype"/>
          <w:b/>
          <w:sz w:val="22"/>
          <w:szCs w:val="22"/>
        </w:rPr>
        <w:t xml:space="preserve">Primero. </w:t>
      </w:r>
      <w:r w:rsidRPr="00EE5F32">
        <w:rPr>
          <w:rFonts w:ascii="Palatino Linotype" w:eastAsia="Palatino Linotype" w:hAnsi="Palatino Linotype" w:cs="Palatino Linotype"/>
          <w:sz w:val="22"/>
          <w:szCs w:val="22"/>
        </w:rPr>
        <w:t>Se</w:t>
      </w:r>
      <w:r w:rsidRPr="00EE5F32">
        <w:rPr>
          <w:rFonts w:ascii="Palatino Linotype" w:eastAsia="Palatino Linotype" w:hAnsi="Palatino Linotype" w:cs="Palatino Linotype"/>
          <w:b/>
          <w:sz w:val="22"/>
          <w:szCs w:val="22"/>
        </w:rPr>
        <w:t xml:space="preserve"> Sobresee </w:t>
      </w:r>
      <w:r w:rsidRPr="00EE5F32">
        <w:rPr>
          <w:rFonts w:ascii="Palatino Linotype" w:eastAsia="Palatino Linotype" w:hAnsi="Palatino Linotype" w:cs="Palatino Linotype"/>
          <w:sz w:val="22"/>
          <w:szCs w:val="22"/>
        </w:rPr>
        <w:t xml:space="preserve">el recurso de revisión </w:t>
      </w:r>
      <w:r w:rsidRPr="00EE5F32">
        <w:rPr>
          <w:rFonts w:ascii="Palatino Linotype" w:eastAsia="Palatino Linotype" w:hAnsi="Palatino Linotype" w:cs="Palatino Linotype"/>
          <w:b/>
          <w:sz w:val="22"/>
          <w:szCs w:val="22"/>
        </w:rPr>
        <w:t xml:space="preserve">07804/INFOEM/IP/RR/2025, </w:t>
      </w:r>
      <w:r w:rsidRPr="00EE5F32">
        <w:rPr>
          <w:rFonts w:ascii="Palatino Linotype" w:eastAsia="Palatino Linotype" w:hAnsi="Palatino Linotype" w:cs="Palatino Linotype"/>
          <w:sz w:val="22"/>
          <w:szCs w:val="22"/>
        </w:rPr>
        <w:t xml:space="preserve">porque una vez admitido se actualizó la causal de improcedencia prevista en artículo 192, fracción IV, en relación con el artículo 191, fracción VI, ambos de la Ley de Transparencia y Acceso a la Información Pública del Estado de México y Municipios, que lo dejó sin materia en términos del considerando </w:t>
      </w:r>
      <w:r w:rsidRPr="00EE5F32">
        <w:rPr>
          <w:rFonts w:ascii="Palatino Linotype" w:eastAsia="Palatino Linotype" w:hAnsi="Palatino Linotype" w:cs="Palatino Linotype"/>
          <w:b/>
          <w:sz w:val="22"/>
          <w:szCs w:val="22"/>
        </w:rPr>
        <w:t xml:space="preserve">Tercero </w:t>
      </w:r>
      <w:r w:rsidRPr="00EE5F32">
        <w:rPr>
          <w:rFonts w:ascii="Palatino Linotype" w:eastAsia="Palatino Linotype" w:hAnsi="Palatino Linotype" w:cs="Palatino Linotype"/>
          <w:sz w:val="22"/>
          <w:szCs w:val="22"/>
        </w:rPr>
        <w:t>de la presente Resolución.</w:t>
      </w:r>
    </w:p>
    <w:p w14:paraId="5E3D9FEC" w14:textId="77777777" w:rsidR="00D84ACA" w:rsidRPr="00EE5F32" w:rsidRDefault="001B26A8">
      <w:pPr>
        <w:spacing w:line="360" w:lineRule="auto"/>
        <w:ind w:right="49"/>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Segundo. Notifíquese, </w:t>
      </w:r>
      <w:r w:rsidRPr="00EE5F32">
        <w:rPr>
          <w:rFonts w:ascii="Palatino Linotype" w:eastAsia="Palatino Linotype" w:hAnsi="Palatino Linotype" w:cs="Palatino Linotype"/>
          <w:sz w:val="22"/>
          <w:szCs w:val="22"/>
        </w:rPr>
        <w:t xml:space="preserve">vía </w:t>
      </w:r>
      <w:r w:rsidRPr="00EE5F32">
        <w:rPr>
          <w:rFonts w:ascii="Palatino Linotype" w:eastAsia="Palatino Linotype" w:hAnsi="Palatino Linotype" w:cs="Palatino Linotype"/>
          <w:b/>
          <w:sz w:val="22"/>
          <w:szCs w:val="22"/>
        </w:rPr>
        <w:t xml:space="preserve">SAIMEX, </w:t>
      </w:r>
      <w:r w:rsidRPr="00EE5F32">
        <w:rPr>
          <w:rFonts w:ascii="Palatino Linotype" w:eastAsia="Palatino Linotype" w:hAnsi="Palatino Linotype" w:cs="Palatino Linotype"/>
          <w:sz w:val="22"/>
          <w:szCs w:val="22"/>
        </w:rPr>
        <w:t xml:space="preserve">la presente resolución a la persona Titular de la Unidad de Transparencia del </w:t>
      </w:r>
      <w:r w:rsidRPr="00EE5F32">
        <w:rPr>
          <w:rFonts w:ascii="Palatino Linotype" w:eastAsia="Palatino Linotype" w:hAnsi="Palatino Linotype" w:cs="Palatino Linotype"/>
          <w:b/>
          <w:sz w:val="22"/>
          <w:szCs w:val="22"/>
        </w:rPr>
        <w:t>Sujeto Obligado</w:t>
      </w:r>
      <w:r w:rsidRPr="00EE5F32">
        <w:rPr>
          <w:rFonts w:ascii="Palatino Linotype" w:eastAsia="Palatino Linotype" w:hAnsi="Palatino Linotype" w:cs="Palatino Linotype"/>
          <w:sz w:val="22"/>
          <w:szCs w:val="22"/>
        </w:rPr>
        <w:t xml:space="preserve"> para su conocimiento, </w:t>
      </w:r>
    </w:p>
    <w:p w14:paraId="7D2CF9AC" w14:textId="77777777" w:rsidR="00D84ACA" w:rsidRPr="00EE5F32" w:rsidRDefault="001B26A8">
      <w:pPr>
        <w:spacing w:before="240" w:after="240"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b/>
          <w:sz w:val="22"/>
          <w:szCs w:val="22"/>
        </w:rPr>
        <w:t xml:space="preserve">Tercero.  Notifíquese, </w:t>
      </w:r>
      <w:r w:rsidRPr="00EE5F32">
        <w:rPr>
          <w:rFonts w:ascii="Palatino Linotype" w:eastAsia="Palatino Linotype" w:hAnsi="Palatino Linotype" w:cs="Palatino Linotype"/>
          <w:sz w:val="22"/>
          <w:szCs w:val="22"/>
        </w:rPr>
        <w:t xml:space="preserve">vía </w:t>
      </w:r>
      <w:r w:rsidRPr="00EE5F32">
        <w:rPr>
          <w:rFonts w:ascii="Palatino Linotype" w:eastAsia="Palatino Linotype" w:hAnsi="Palatino Linotype" w:cs="Palatino Linotype"/>
          <w:b/>
          <w:sz w:val="22"/>
          <w:szCs w:val="22"/>
        </w:rPr>
        <w:t xml:space="preserve">SAIMEX, </w:t>
      </w:r>
      <w:r w:rsidRPr="00EE5F32">
        <w:rPr>
          <w:rFonts w:ascii="Palatino Linotype" w:eastAsia="Palatino Linotype" w:hAnsi="Palatino Linotype" w:cs="Palatino Linotype"/>
          <w:sz w:val="22"/>
          <w:szCs w:val="22"/>
        </w:rPr>
        <w:t xml:space="preserve">a la parte </w:t>
      </w:r>
      <w:r w:rsidRPr="00EE5F32">
        <w:rPr>
          <w:rFonts w:ascii="Palatino Linotype" w:eastAsia="Palatino Linotype" w:hAnsi="Palatino Linotype" w:cs="Palatino Linotype"/>
          <w:b/>
          <w:sz w:val="22"/>
          <w:szCs w:val="22"/>
        </w:rPr>
        <w:t>Recurrente</w:t>
      </w:r>
      <w:r w:rsidRPr="00EE5F32">
        <w:rPr>
          <w:rFonts w:ascii="Palatino Linotype" w:eastAsia="Palatino Linotype" w:hAnsi="Palatino Linotype" w:cs="Palatino Linotype"/>
          <w:sz w:val="22"/>
          <w:szCs w:val="22"/>
        </w:rPr>
        <w:t xml:space="preserve"> 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41732CA0" w14:textId="77777777" w:rsidR="00D84ACA" w:rsidRPr="00C86E2A" w:rsidRDefault="001B26A8">
      <w:pPr>
        <w:spacing w:line="360" w:lineRule="auto"/>
        <w:jc w:val="both"/>
        <w:rPr>
          <w:rFonts w:ascii="Palatino Linotype" w:eastAsia="Palatino Linotype" w:hAnsi="Palatino Linotype" w:cs="Palatino Linotype"/>
          <w:sz w:val="22"/>
          <w:szCs w:val="22"/>
        </w:rPr>
      </w:pPr>
      <w:r w:rsidRPr="00EE5F32">
        <w:rPr>
          <w:rFonts w:ascii="Palatino Linotype" w:eastAsia="Palatino Linotype" w:hAnsi="Palatino Linotype" w:cs="Palatino Linotype"/>
          <w:sz w:val="22"/>
          <w:szCs w:val="22"/>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CUADRAGÉSIMA SESIÓN ORDINARIA CELEBRADA EL DOCE DE NOVIEMBRE DOS MIL VEINTICINCO, ANTE EL SECRETARIO TÉCNICO DEL PLENO ALEXIS TAPIA RAMÍREZ.</w:t>
      </w:r>
    </w:p>
    <w:p w14:paraId="7A83DAC0" w14:textId="77777777" w:rsidR="00D84ACA" w:rsidRPr="00C86E2A" w:rsidRDefault="00D84ACA">
      <w:pPr>
        <w:spacing w:line="360" w:lineRule="auto"/>
        <w:jc w:val="both"/>
        <w:rPr>
          <w:rFonts w:ascii="Palatino Linotype" w:eastAsia="Palatino Linotype" w:hAnsi="Palatino Linotype" w:cs="Palatino Linotype"/>
          <w:sz w:val="22"/>
          <w:szCs w:val="22"/>
        </w:rPr>
      </w:pPr>
      <w:bookmarkStart w:id="11" w:name="_heading=h.1fob9te" w:colFirst="0" w:colLast="0"/>
      <w:bookmarkEnd w:id="11"/>
    </w:p>
    <w:p w14:paraId="2F6BF5C8" w14:textId="77777777" w:rsidR="00D84ACA" w:rsidRPr="00C86E2A" w:rsidRDefault="00D84ACA">
      <w:pPr>
        <w:rPr>
          <w:rFonts w:ascii="Palatino Linotype" w:eastAsia="Palatino Linotype" w:hAnsi="Palatino Linotype" w:cs="Palatino Linotype"/>
          <w:sz w:val="22"/>
          <w:szCs w:val="22"/>
        </w:rPr>
      </w:pPr>
    </w:p>
    <w:p w14:paraId="5BC0C136" w14:textId="77777777" w:rsidR="00D84ACA" w:rsidRPr="00C86E2A" w:rsidRDefault="00D84ACA">
      <w:pPr>
        <w:rPr>
          <w:rFonts w:ascii="Palatino Linotype" w:eastAsia="Palatino Linotype" w:hAnsi="Palatino Linotype" w:cs="Palatino Linotype"/>
          <w:sz w:val="22"/>
          <w:szCs w:val="22"/>
        </w:rPr>
      </w:pPr>
    </w:p>
    <w:p w14:paraId="0CC1205E" w14:textId="77777777" w:rsidR="00D84ACA" w:rsidRPr="00C86E2A" w:rsidRDefault="00D84ACA">
      <w:pPr>
        <w:rPr>
          <w:rFonts w:ascii="Palatino Linotype" w:eastAsia="Palatino Linotype" w:hAnsi="Palatino Linotype" w:cs="Palatino Linotype"/>
          <w:sz w:val="22"/>
          <w:szCs w:val="22"/>
        </w:rPr>
      </w:pPr>
    </w:p>
    <w:p w14:paraId="68037144" w14:textId="77777777" w:rsidR="00D84ACA" w:rsidRPr="00C86E2A" w:rsidRDefault="00D84ACA">
      <w:pPr>
        <w:rPr>
          <w:rFonts w:ascii="Palatino Linotype" w:eastAsia="Palatino Linotype" w:hAnsi="Palatino Linotype" w:cs="Palatino Linotype"/>
          <w:sz w:val="22"/>
          <w:szCs w:val="22"/>
        </w:rPr>
      </w:pPr>
    </w:p>
    <w:p w14:paraId="671D239B" w14:textId="77777777" w:rsidR="00D84ACA" w:rsidRPr="00C86E2A" w:rsidRDefault="00D84ACA">
      <w:pPr>
        <w:rPr>
          <w:rFonts w:ascii="Palatino Linotype" w:eastAsia="Palatino Linotype" w:hAnsi="Palatino Linotype" w:cs="Palatino Linotype"/>
          <w:sz w:val="22"/>
          <w:szCs w:val="22"/>
        </w:rPr>
      </w:pPr>
    </w:p>
    <w:p w14:paraId="63EBCC58" w14:textId="77777777" w:rsidR="00D84ACA" w:rsidRPr="00C86E2A" w:rsidRDefault="00D84ACA">
      <w:pPr>
        <w:rPr>
          <w:rFonts w:ascii="Palatino Linotype" w:eastAsia="Palatino Linotype" w:hAnsi="Palatino Linotype" w:cs="Palatino Linotype"/>
          <w:sz w:val="22"/>
          <w:szCs w:val="22"/>
        </w:rPr>
      </w:pPr>
    </w:p>
    <w:p w14:paraId="680B4068" w14:textId="77777777" w:rsidR="00D84ACA" w:rsidRPr="00C86E2A" w:rsidRDefault="00D84ACA">
      <w:pPr>
        <w:rPr>
          <w:rFonts w:ascii="Palatino Linotype" w:eastAsia="Palatino Linotype" w:hAnsi="Palatino Linotype" w:cs="Palatino Linotype"/>
          <w:sz w:val="22"/>
          <w:szCs w:val="22"/>
        </w:rPr>
      </w:pPr>
    </w:p>
    <w:p w14:paraId="12B2B9F7" w14:textId="77777777" w:rsidR="00D84ACA" w:rsidRPr="00C86E2A" w:rsidRDefault="00D84ACA">
      <w:pPr>
        <w:rPr>
          <w:rFonts w:ascii="Palatino Linotype" w:eastAsia="Palatino Linotype" w:hAnsi="Palatino Linotype" w:cs="Palatino Linotype"/>
          <w:sz w:val="22"/>
          <w:szCs w:val="22"/>
        </w:rPr>
      </w:pPr>
    </w:p>
    <w:p w14:paraId="6D94E696" w14:textId="77777777" w:rsidR="00D84ACA" w:rsidRPr="00C86E2A" w:rsidRDefault="00D84ACA">
      <w:pPr>
        <w:rPr>
          <w:rFonts w:ascii="Palatino Linotype" w:eastAsia="Palatino Linotype" w:hAnsi="Palatino Linotype" w:cs="Palatino Linotype"/>
          <w:sz w:val="22"/>
          <w:szCs w:val="22"/>
        </w:rPr>
      </w:pPr>
    </w:p>
    <w:p w14:paraId="045EE8A1" w14:textId="77777777" w:rsidR="00D84ACA" w:rsidRPr="00C86E2A" w:rsidRDefault="00D84ACA">
      <w:pPr>
        <w:spacing w:line="360" w:lineRule="auto"/>
        <w:jc w:val="both"/>
        <w:rPr>
          <w:rFonts w:ascii="Palatino Linotype" w:eastAsia="Palatino Linotype" w:hAnsi="Palatino Linotype" w:cs="Palatino Linotype"/>
          <w:sz w:val="22"/>
          <w:szCs w:val="22"/>
        </w:rPr>
      </w:pPr>
      <w:bookmarkStart w:id="12" w:name="_heading=h.3rdcrjn" w:colFirst="0" w:colLast="0"/>
      <w:bookmarkEnd w:id="12"/>
    </w:p>
    <w:p w14:paraId="480F1DC3"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06F5A14D"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1839CA30" w14:textId="77777777" w:rsidR="00D84ACA" w:rsidRPr="00C86E2A" w:rsidRDefault="00D84ACA">
      <w:pPr>
        <w:spacing w:line="360" w:lineRule="auto"/>
        <w:jc w:val="both"/>
        <w:rPr>
          <w:rFonts w:ascii="Palatino Linotype" w:eastAsia="Palatino Linotype" w:hAnsi="Palatino Linotype" w:cs="Palatino Linotype"/>
          <w:sz w:val="22"/>
          <w:szCs w:val="22"/>
        </w:rPr>
      </w:pPr>
      <w:bookmarkStart w:id="13" w:name="_heading=h.1t3h5sf" w:colFirst="0" w:colLast="0"/>
      <w:bookmarkEnd w:id="13"/>
    </w:p>
    <w:p w14:paraId="7C0E444A"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4A5EB535"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2E5A8281"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614D56F1"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6F0D51B6"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6D049E1D"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6532A70F"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633FD346"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229902B1" w14:textId="77777777" w:rsidR="00D84ACA" w:rsidRPr="00C86E2A" w:rsidRDefault="00D84ACA">
      <w:pPr>
        <w:spacing w:line="360" w:lineRule="auto"/>
        <w:jc w:val="both"/>
        <w:rPr>
          <w:rFonts w:ascii="Palatino Linotype" w:eastAsia="Palatino Linotype" w:hAnsi="Palatino Linotype" w:cs="Palatino Linotype"/>
          <w:sz w:val="22"/>
          <w:szCs w:val="22"/>
        </w:rPr>
      </w:pPr>
    </w:p>
    <w:p w14:paraId="6309071B" w14:textId="77777777" w:rsidR="00D84ACA" w:rsidRPr="00C86E2A" w:rsidRDefault="00D84ACA">
      <w:pPr>
        <w:spacing w:line="360" w:lineRule="auto"/>
        <w:jc w:val="both"/>
        <w:rPr>
          <w:rFonts w:ascii="Palatino Linotype" w:eastAsia="Palatino Linotype" w:hAnsi="Palatino Linotype" w:cs="Palatino Linotype"/>
          <w:sz w:val="22"/>
          <w:szCs w:val="22"/>
        </w:rPr>
      </w:pPr>
    </w:p>
    <w:sectPr w:rsidR="00D84ACA" w:rsidRPr="00C86E2A">
      <w:headerReference w:type="default" r:id="rId9"/>
      <w:footerReference w:type="default" r:id="rId10"/>
      <w:headerReference w:type="first" r:id="rId11"/>
      <w:footerReference w:type="first" r:id="rId12"/>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1DFA63" w14:textId="77777777" w:rsidR="002E2CAD" w:rsidRDefault="002E2CAD">
      <w:r>
        <w:separator/>
      </w:r>
    </w:p>
  </w:endnote>
  <w:endnote w:type="continuationSeparator" w:id="0">
    <w:p w14:paraId="79E9ED1F" w14:textId="77777777" w:rsidR="002E2CAD" w:rsidRDefault="002E2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panose1 w:val="02040502050505030304"/>
    <w:charset w:val="00"/>
    <w:family w:val="roman"/>
    <w:pitch w:val="variable"/>
    <w:sig w:usb0="E0000287" w:usb1="40000013" w:usb2="00000000" w:usb3="00000000" w:csb0="0000019F" w:csb1="00000000"/>
    <w:embedRegular r:id="rId1" w:fontKey="{174CF53A-2D93-4485-BC18-D1A76BF6348D}"/>
    <w:embedBold r:id="rId2" w:fontKey="{2B391EA4-A986-4612-84B8-04B5C88105B7}"/>
    <w:embedItalic r:id="rId3" w:fontKey="{16F5FF26-AA04-4703-AD34-58D0D3CAC68A}"/>
    <w:embedBoldItalic r:id="rId4" w:fontKey="{B025F164-F456-4C4C-9BCD-CF58EA031E21}"/>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1EF3B380-5E59-48B2-9FCA-A694D2CB1278}"/>
    <w:embedBold r:id="rId6" w:fontKey="{6E79AD68-B7B2-449D-9B3E-22204C9B3849}"/>
  </w:font>
  <w:font w:name="Cambria">
    <w:panose1 w:val="02040503050406030204"/>
    <w:charset w:val="00"/>
    <w:family w:val="roman"/>
    <w:pitch w:val="variable"/>
    <w:sig w:usb0="E00006FF" w:usb1="420024FF" w:usb2="02000000" w:usb3="00000000" w:csb0="0000019F" w:csb1="00000000"/>
    <w:embedRegular r:id="rId7" w:fontKey="{351E329E-730A-475B-8B3B-6B347E648FF9}"/>
    <w:embedBold r:id="rId8" w:fontKey="{5021D248-CD93-441E-B2B2-D5924AAB8D34}"/>
    <w:embedItalic r:id="rId9" w:fontKey="{0ABA05BE-D281-4106-917B-368639302832}"/>
    <w:embedBoldItalic r:id="rId10" w:fontKey="{42265F1E-4EA2-4683-A728-D562B2042C25}"/>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1" w:fontKey="{BD6093F9-8FEF-4E3A-AFC7-7D8006F2A7A6}"/>
    <w:embedItalic r:id="rId12" w:fontKey="{B84E088B-070D-4FF6-BD06-82E87E8B4AFE}"/>
  </w:font>
  <w:font w:name="Segoe UI Emoji">
    <w:panose1 w:val="020B0502040204020203"/>
    <w:charset w:val="00"/>
    <w:family w:val="swiss"/>
    <w:pitch w:val="variable"/>
    <w:sig w:usb0="00000003" w:usb1="02000000" w:usb2="08000000" w:usb3="00000000" w:csb0="00000001" w:csb1="00000000"/>
    <w:embedRegular r:id="rId13" w:fontKey="{A69892A8-1CD8-4760-87A4-6BABF0C178B7}"/>
    <w:embedItalic r:id="rId14" w:fontKey="{48AE712C-F9BB-4605-A4D2-346350BE069F}"/>
  </w:font>
  <w:font w:name="Quattrocento Sans">
    <w:charset w:val="00"/>
    <w:family w:val="swiss"/>
    <w:pitch w:val="variable"/>
    <w:sig w:usb0="800000BF" w:usb1="4000005B" w:usb2="00000000" w:usb3="00000000" w:csb0="00000001" w:csb1="00000000"/>
    <w:embedItalic r:id="rId15" w:fontKey="{2A0458B1-417E-435B-B336-1572BE19C989}"/>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EF113" w14:textId="32A12E05" w:rsidR="00D84ACA" w:rsidRDefault="001B26A8">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F813EA">
      <w:rPr>
        <w:rFonts w:ascii="Palatino Linotype" w:eastAsia="Palatino Linotype" w:hAnsi="Palatino Linotype" w:cs="Palatino Linotype"/>
        <w:b/>
        <w:noProof/>
        <w:color w:val="000000"/>
        <w:sz w:val="20"/>
        <w:szCs w:val="20"/>
      </w:rPr>
      <w:t>54</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F813EA">
      <w:rPr>
        <w:rFonts w:ascii="Palatino Linotype" w:eastAsia="Palatino Linotype" w:hAnsi="Palatino Linotype" w:cs="Palatino Linotype"/>
        <w:b/>
        <w:noProof/>
        <w:color w:val="000000"/>
        <w:sz w:val="20"/>
        <w:szCs w:val="20"/>
      </w:rPr>
      <w:t>55</w:t>
    </w:r>
    <w:r>
      <w:rPr>
        <w:rFonts w:ascii="Palatino Linotype" w:eastAsia="Palatino Linotype" w:hAnsi="Palatino Linotype" w:cs="Palatino Linotype"/>
        <w:b/>
        <w:color w:val="000000"/>
        <w:sz w:val="20"/>
        <w:szCs w:val="20"/>
      </w:rPr>
      <w:fldChar w:fldCharType="end"/>
    </w:r>
  </w:p>
  <w:p w14:paraId="3BC3437D" w14:textId="77777777" w:rsidR="00D84ACA" w:rsidRDefault="00D84ACA">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68BE9" w14:textId="3CCFDE44" w:rsidR="00D84ACA" w:rsidRDefault="001B26A8">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F813EA">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F813EA">
      <w:rPr>
        <w:rFonts w:ascii="Palatino Linotype" w:eastAsia="Palatino Linotype" w:hAnsi="Palatino Linotype" w:cs="Palatino Linotype"/>
        <w:b/>
        <w:noProof/>
        <w:color w:val="000000"/>
        <w:sz w:val="20"/>
        <w:szCs w:val="20"/>
      </w:rPr>
      <w:t>55</w:t>
    </w:r>
    <w:r>
      <w:rPr>
        <w:rFonts w:ascii="Palatino Linotype" w:eastAsia="Palatino Linotype" w:hAnsi="Palatino Linotype" w:cs="Palatino Linotype"/>
        <w:b/>
        <w:color w:val="000000"/>
        <w:sz w:val="20"/>
        <w:szCs w:val="20"/>
      </w:rPr>
      <w:fldChar w:fldCharType="end"/>
    </w:r>
  </w:p>
  <w:p w14:paraId="3CC235C6" w14:textId="77777777" w:rsidR="00D84ACA" w:rsidRDefault="00D84ACA">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56FB28" w14:textId="77777777" w:rsidR="002E2CAD" w:rsidRDefault="002E2CAD">
      <w:r>
        <w:separator/>
      </w:r>
    </w:p>
  </w:footnote>
  <w:footnote w:type="continuationSeparator" w:id="0">
    <w:p w14:paraId="054AEAFA" w14:textId="77777777" w:rsidR="002E2CAD" w:rsidRDefault="002E2CAD">
      <w:r>
        <w:continuationSeparator/>
      </w:r>
    </w:p>
  </w:footnote>
  <w:footnote w:id="1">
    <w:p w14:paraId="331A4CAD" w14:textId="77777777" w:rsidR="00D84ACA" w:rsidRDefault="001B26A8">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CIENFUEGOS SALGADO David. El Derecho de Petición en México. Ed. Instituto de Investigaciones Jurídica UNAM. México 2004. p. 31</w:t>
      </w:r>
    </w:p>
  </w:footnote>
  <w:footnote w:id="2">
    <w:p w14:paraId="12FC47DE" w14:textId="77777777" w:rsidR="00D84ACA" w:rsidRDefault="001B26A8">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Carbonell, M. (2004). Los Derechos Fundamentales (Primera Edición ed.), México: Instituto de investigaciones Jurídicas.</w:t>
      </w:r>
    </w:p>
  </w:footnote>
  <w:footnote w:id="3">
    <w:p w14:paraId="735DB9E8" w14:textId="77777777" w:rsidR="00D84ACA" w:rsidRDefault="001B26A8">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VILLANUEVA VILLANUEVA Ernesto, Derecho de la Información, Ed, Porrúa S.A., México. 2006, pág.270.</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AB9DA2" w14:textId="77777777" w:rsidR="00D84ACA" w:rsidRDefault="001B26A8">
    <w:pPr>
      <w:rPr>
        <w:rFonts w:ascii="Cambria" w:eastAsia="Cambria" w:hAnsi="Cambria" w:cs="Cambria"/>
        <w:color w:val="000000"/>
      </w:rPr>
    </w:pPr>
    <w:r>
      <w:rPr>
        <w:noProof/>
      </w:rPr>
      <w:drawing>
        <wp:anchor distT="0" distB="0" distL="0" distR="0" simplePos="0" relativeHeight="251658240" behindDoc="1" locked="0" layoutInCell="1" hidden="0" allowOverlap="1" wp14:anchorId="5E5817EA" wp14:editId="749A61DE">
          <wp:simplePos x="0" y="0"/>
          <wp:positionH relativeFrom="column">
            <wp:posOffset>-1080105</wp:posOffset>
          </wp:positionH>
          <wp:positionV relativeFrom="paragraph">
            <wp:posOffset>-488281</wp:posOffset>
          </wp:positionV>
          <wp:extent cx="7809865" cy="10165715"/>
          <wp:effectExtent l="0" t="0" r="0" b="0"/>
          <wp:wrapNone/>
          <wp:docPr id="20111805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7"/>
      <w:tblW w:w="5953" w:type="dxa"/>
      <w:tblInd w:w="3261" w:type="dxa"/>
      <w:tblLayout w:type="fixed"/>
      <w:tblLook w:val="0400" w:firstRow="0" w:lastRow="0" w:firstColumn="0" w:lastColumn="0" w:noHBand="0" w:noVBand="1"/>
    </w:tblPr>
    <w:tblGrid>
      <w:gridCol w:w="2489"/>
      <w:gridCol w:w="3464"/>
    </w:tblGrid>
    <w:tr w:rsidR="00D84ACA" w14:paraId="291B4E2D" w14:textId="77777777">
      <w:tc>
        <w:tcPr>
          <w:tcW w:w="2489" w:type="dxa"/>
        </w:tcPr>
        <w:p w14:paraId="26CB4A5C" w14:textId="77777777" w:rsidR="00D84ACA" w:rsidRDefault="001B26A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vAlign w:val="center"/>
        </w:tcPr>
        <w:p w14:paraId="5FF08496" w14:textId="77777777" w:rsidR="00D84ACA" w:rsidRDefault="001B26A8">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07804/INFOEM/IP/RR/2025</w:t>
          </w:r>
        </w:p>
      </w:tc>
    </w:tr>
    <w:tr w:rsidR="00D84ACA" w14:paraId="0F877D14" w14:textId="77777777">
      <w:trPr>
        <w:trHeight w:val="228"/>
      </w:trPr>
      <w:tc>
        <w:tcPr>
          <w:tcW w:w="2489" w:type="dxa"/>
          <w:vAlign w:val="center"/>
        </w:tcPr>
        <w:p w14:paraId="1792EC77" w14:textId="77777777" w:rsidR="00D84ACA" w:rsidRDefault="001B26A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vAlign w:val="center"/>
        </w:tcPr>
        <w:p w14:paraId="7A865C15" w14:textId="77777777" w:rsidR="00D84ACA" w:rsidRDefault="001B26A8">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Transparencia, Acceso a la Información Pública y Protección de Datos Personales del Estado de México y Municipios</w:t>
          </w:r>
        </w:p>
      </w:tc>
    </w:tr>
    <w:tr w:rsidR="00D84ACA" w14:paraId="074A8861" w14:textId="77777777">
      <w:tc>
        <w:tcPr>
          <w:tcW w:w="2489" w:type="dxa"/>
          <w:vAlign w:val="center"/>
        </w:tcPr>
        <w:p w14:paraId="5BD62E06" w14:textId="77777777" w:rsidR="00D84ACA" w:rsidRDefault="001B26A8">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vAlign w:val="center"/>
        </w:tcPr>
        <w:p w14:paraId="42B07A24" w14:textId="77777777" w:rsidR="00D84ACA" w:rsidRDefault="001B26A8">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515EA7C9" w14:textId="77777777" w:rsidR="00D84ACA" w:rsidRDefault="00D84ACA">
    <w:pPr>
      <w:rPr>
        <w:rFonts w:ascii="Cambria" w:eastAsia="Cambria" w:hAnsi="Cambria" w:cs="Cambria"/>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38D96" w14:textId="77777777" w:rsidR="00D84ACA" w:rsidRDefault="00D84ACA">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p>
  <w:tbl>
    <w:tblPr>
      <w:tblStyle w:val="a8"/>
      <w:tblW w:w="5953" w:type="dxa"/>
      <w:tblInd w:w="3261" w:type="dxa"/>
      <w:tblLayout w:type="fixed"/>
      <w:tblLook w:val="0400" w:firstRow="0" w:lastRow="0" w:firstColumn="0" w:lastColumn="0" w:noHBand="0" w:noVBand="1"/>
    </w:tblPr>
    <w:tblGrid>
      <w:gridCol w:w="2489"/>
      <w:gridCol w:w="3464"/>
    </w:tblGrid>
    <w:tr w:rsidR="00D84ACA" w14:paraId="490A913A" w14:textId="77777777">
      <w:tc>
        <w:tcPr>
          <w:tcW w:w="2489" w:type="dxa"/>
        </w:tcPr>
        <w:p w14:paraId="214B9474" w14:textId="77777777" w:rsidR="00D84ACA" w:rsidRDefault="001B26A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vAlign w:val="center"/>
        </w:tcPr>
        <w:p w14:paraId="6B8ADB43" w14:textId="77777777" w:rsidR="00D84ACA" w:rsidRDefault="001B26A8">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07804/INFOEM/IP/RR/2025</w:t>
          </w:r>
        </w:p>
      </w:tc>
    </w:tr>
    <w:tr w:rsidR="00D84ACA" w14:paraId="2ED10CCF" w14:textId="77777777">
      <w:tc>
        <w:tcPr>
          <w:tcW w:w="2489" w:type="dxa"/>
        </w:tcPr>
        <w:p w14:paraId="35722986" w14:textId="77777777" w:rsidR="00D84ACA" w:rsidRDefault="001B26A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464" w:type="dxa"/>
          <w:vAlign w:val="center"/>
        </w:tcPr>
        <w:p w14:paraId="77AFD025" w14:textId="23302100" w:rsidR="00D84ACA" w:rsidRDefault="00F60FAF" w:rsidP="00F60FAF">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XXXXXXXXX XX XXXXXX </w:t>
          </w:r>
          <w:r w:rsidR="001B26A8">
            <w:rPr>
              <w:noProof/>
            </w:rPr>
            <w:drawing>
              <wp:anchor distT="0" distB="0" distL="0" distR="0" simplePos="0" relativeHeight="251659264" behindDoc="1" locked="0" layoutInCell="1" hidden="0" allowOverlap="1" wp14:anchorId="61A97722" wp14:editId="3D4C4C5C">
                <wp:simplePos x="0" y="0"/>
                <wp:positionH relativeFrom="column">
                  <wp:posOffset>-4800599</wp:posOffset>
                </wp:positionH>
                <wp:positionV relativeFrom="paragraph">
                  <wp:posOffset>-683259</wp:posOffset>
                </wp:positionV>
                <wp:extent cx="7809865" cy="10165715"/>
                <wp:effectExtent l="0" t="0" r="0" b="0"/>
                <wp:wrapNone/>
                <wp:docPr id="20111805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c>
    </w:tr>
    <w:tr w:rsidR="00D84ACA" w14:paraId="041B0F92" w14:textId="77777777">
      <w:trPr>
        <w:trHeight w:val="228"/>
      </w:trPr>
      <w:tc>
        <w:tcPr>
          <w:tcW w:w="2489" w:type="dxa"/>
          <w:vAlign w:val="center"/>
        </w:tcPr>
        <w:p w14:paraId="24E5344C" w14:textId="77777777" w:rsidR="00D84ACA" w:rsidRDefault="001B26A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vAlign w:val="center"/>
        </w:tcPr>
        <w:p w14:paraId="08140BF3" w14:textId="77777777" w:rsidR="00D84ACA" w:rsidRDefault="001B26A8">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Transparencia, Acceso a la Información Pública y Protección de Datos Personales del Estado de México y Municipios</w:t>
          </w:r>
        </w:p>
      </w:tc>
    </w:tr>
    <w:tr w:rsidR="00D84ACA" w14:paraId="13C76FB0" w14:textId="77777777">
      <w:tc>
        <w:tcPr>
          <w:tcW w:w="2489" w:type="dxa"/>
          <w:vAlign w:val="center"/>
        </w:tcPr>
        <w:p w14:paraId="1D31008D" w14:textId="77777777" w:rsidR="00D84ACA" w:rsidRDefault="001B26A8">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vAlign w:val="center"/>
        </w:tcPr>
        <w:p w14:paraId="7BEED0A6" w14:textId="77777777" w:rsidR="00D84ACA" w:rsidRDefault="001B26A8">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65145E52" w14:textId="77777777" w:rsidR="00D84ACA" w:rsidRDefault="00D84ACA"/>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CE54B0"/>
    <w:multiLevelType w:val="multilevel"/>
    <w:tmpl w:val="62D60EAA"/>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15:restartNumberingAfterBreak="0">
    <w:nsid w:val="42D51907"/>
    <w:multiLevelType w:val="multilevel"/>
    <w:tmpl w:val="D1262E66"/>
    <w:lvl w:ilvl="0">
      <w:start w:val="1"/>
      <w:numFmt w:val="decimal"/>
      <w:pStyle w:val="Listaconvietas3"/>
      <w:lvlText w:val="%1."/>
      <w:lvlJc w:val="left"/>
      <w:pPr>
        <w:ind w:left="720" w:hanging="360"/>
      </w:pPr>
      <w:rPr>
        <w:rFonts w:ascii="Palatino Linotype" w:eastAsia="Palatino Linotype" w:hAnsi="Palatino Linotype" w:cs="Palatino Linotype"/>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4ACA"/>
    <w:rsid w:val="00075022"/>
    <w:rsid w:val="001B26A8"/>
    <w:rsid w:val="0022119C"/>
    <w:rsid w:val="002E2CAD"/>
    <w:rsid w:val="009018D2"/>
    <w:rsid w:val="00A860BD"/>
    <w:rsid w:val="00C86E2A"/>
    <w:rsid w:val="00D279AA"/>
    <w:rsid w:val="00D84ACA"/>
    <w:rsid w:val="00EE5F32"/>
    <w:rsid w:val="00F60FAF"/>
    <w:rsid w:val="00F813EA"/>
    <w:rsid w:val="00FE4C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B623C"/>
  <w15:docId w15:val="{6B872DF9-F8B8-48A8-8BB8-62F3F7926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240"/>
      <w:outlineLvl w:val="0"/>
    </w:pPr>
    <w:rPr>
      <w:rFonts w:ascii="Calibri" w:eastAsia="Calibri" w:hAnsi="Calibri" w:cs="Calibri"/>
      <w:color w:val="366091"/>
      <w:sz w:val="32"/>
      <w:szCs w:val="32"/>
    </w:rPr>
  </w:style>
  <w:style w:type="paragraph" w:styleId="Ttulo2">
    <w:name w:val="heading 2"/>
    <w:basedOn w:val="Normal"/>
    <w:next w:val="Normal"/>
    <w:uiPriority w:val="9"/>
    <w:semiHidden/>
    <w:unhideWhenUsed/>
    <w:qFormat/>
    <w:pPr>
      <w:keepNext/>
      <w:keepLines/>
      <w:spacing w:before="40"/>
      <w:outlineLvl w:val="1"/>
    </w:pPr>
    <w:rPr>
      <w:rFonts w:ascii="Calibri" w:eastAsia="Calibri" w:hAnsi="Calibri" w:cs="Calibri"/>
      <w:color w:val="366091"/>
      <w:sz w:val="26"/>
      <w:szCs w:val="26"/>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mbria" w:eastAsia="Cambria" w:hAnsi="Cambria" w:cs="Cambria"/>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mbria" w:eastAsia="Cambria" w:hAnsi="Cambria" w:cs="Cambria"/>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a">
    <w:basedOn w:val="TableNormal3"/>
    <w:tblPr>
      <w:tblStyleRowBandSize w:val="1"/>
      <w:tblStyleColBandSize w:val="1"/>
      <w:tblCellMar>
        <w:left w:w="115" w:type="dxa"/>
        <w:right w:w="115" w:type="dxa"/>
      </w:tblCellMar>
    </w:tblPr>
  </w:style>
  <w:style w:type="table" w:customStyle="1" w:styleId="a0">
    <w:basedOn w:val="TableNormal3"/>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0D197B"/>
    <w:pPr>
      <w:tabs>
        <w:tab w:val="center" w:pos="4419"/>
        <w:tab w:val="right" w:pos="8838"/>
      </w:tabs>
    </w:pPr>
  </w:style>
  <w:style w:type="character" w:customStyle="1" w:styleId="EncabezadoCar">
    <w:name w:val="Encabezado Car"/>
    <w:basedOn w:val="Fuentedeprrafopredeter"/>
    <w:link w:val="Encabezado"/>
    <w:uiPriority w:val="99"/>
    <w:rsid w:val="000D197B"/>
  </w:style>
  <w:style w:type="paragraph" w:styleId="Piedepgina">
    <w:name w:val="footer"/>
    <w:basedOn w:val="Normal"/>
    <w:link w:val="PiedepginaCar"/>
    <w:uiPriority w:val="99"/>
    <w:unhideWhenUsed/>
    <w:rsid w:val="000D197B"/>
    <w:pPr>
      <w:tabs>
        <w:tab w:val="center" w:pos="4419"/>
        <w:tab w:val="right" w:pos="8838"/>
      </w:tabs>
    </w:pPr>
  </w:style>
  <w:style w:type="character" w:customStyle="1" w:styleId="PiedepginaCar">
    <w:name w:val="Pie de página Car"/>
    <w:basedOn w:val="Fuentedeprrafopredeter"/>
    <w:link w:val="Piedepgina"/>
    <w:uiPriority w:val="99"/>
    <w:rsid w:val="000D197B"/>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C43334"/>
    <w:pPr>
      <w:ind w:left="720"/>
      <w:contextualSpacing/>
    </w:pPr>
  </w:style>
  <w:style w:type="paragraph" w:styleId="NormalWeb">
    <w:name w:val="Normal (Web)"/>
    <w:basedOn w:val="Normal"/>
    <w:uiPriority w:val="99"/>
    <w:unhideWhenUsed/>
    <w:rsid w:val="00476335"/>
    <w:pPr>
      <w:spacing w:before="100" w:beforeAutospacing="1" w:after="100" w:afterAutospacing="1"/>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806B5C"/>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06B5C"/>
    <w:rPr>
      <w:rFonts w:asciiTheme="minorHAnsi" w:eastAsiaTheme="minorHAnsi" w:hAnsiTheme="minorHAnsi" w:cstheme="minorBidi"/>
      <w:sz w:val="20"/>
      <w:szCs w:val="20"/>
      <w:lang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806B5C"/>
    <w:rPr>
      <w:vertAlign w:val="superscript"/>
    </w:rPr>
  </w:style>
  <w:style w:type="table" w:customStyle="1" w:styleId="a1">
    <w:basedOn w:val="TableNormal3"/>
    <w:tblPr>
      <w:tblStyleRowBandSize w:val="1"/>
      <w:tblStyleColBandSize w:val="1"/>
      <w:tblCellMar>
        <w:left w:w="115" w:type="dxa"/>
        <w:right w:w="115" w:type="dxa"/>
      </w:tblCellMar>
    </w:tblPr>
  </w:style>
  <w:style w:type="table" w:customStyle="1" w:styleId="a2">
    <w:basedOn w:val="TableNormal3"/>
    <w:tblPr>
      <w:tblStyleRowBandSize w:val="1"/>
      <w:tblStyleColBandSize w:val="1"/>
      <w:tblCellMar>
        <w:left w:w="115" w:type="dxa"/>
        <w:right w:w="115" w:type="dxa"/>
      </w:tblCellMar>
    </w:tblPr>
  </w:style>
  <w:style w:type="character" w:styleId="Hipervnculo">
    <w:name w:val="Hyperlink"/>
    <w:basedOn w:val="Fuentedeprrafopredeter"/>
    <w:uiPriority w:val="99"/>
    <w:unhideWhenUsed/>
    <w:rsid w:val="00504D6C"/>
    <w:rPr>
      <w:color w:val="0000FF" w:themeColor="hyperlink"/>
      <w:u w:val="single"/>
    </w:rPr>
  </w:style>
  <w:style w:type="character" w:styleId="Hipervnculovisitado">
    <w:name w:val="FollowedHyperlink"/>
    <w:basedOn w:val="Fuentedeprrafopredeter"/>
    <w:uiPriority w:val="99"/>
    <w:semiHidden/>
    <w:unhideWhenUsed/>
    <w:rsid w:val="00504D6C"/>
    <w:rPr>
      <w:color w:val="800080" w:themeColor="followedHyperlink"/>
      <w:u w:val="single"/>
    </w:rPr>
  </w:style>
  <w:style w:type="table" w:styleId="Tablaconcuadrcula">
    <w:name w:val="Table Grid"/>
    <w:basedOn w:val="Tablanormal"/>
    <w:uiPriority w:val="39"/>
    <w:rsid w:val="00134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3">
    <w:basedOn w:val="TableNormal2"/>
    <w:tblPr>
      <w:tblStyleRowBandSize w:val="1"/>
      <w:tblStyleColBandSize w:val="1"/>
      <w:tblCellMar>
        <w:left w:w="115" w:type="dxa"/>
        <w:right w:w="115" w:type="dxa"/>
      </w:tblCellMar>
    </w:tblPr>
  </w:style>
  <w:style w:type="table" w:customStyle="1" w:styleId="a4">
    <w:basedOn w:val="TableNormal2"/>
    <w:tblPr>
      <w:tblStyleRowBandSize w:val="1"/>
      <w:tblStyleColBandSize w:val="1"/>
      <w:tblCellMar>
        <w:left w:w="115" w:type="dxa"/>
        <w:right w:w="115" w:type="dxa"/>
      </w:tblCellMar>
    </w:tblPr>
  </w:style>
  <w:style w:type="paragraph" w:styleId="Listaconvietas3">
    <w:name w:val="List Bullet 3"/>
    <w:basedOn w:val="Normal"/>
    <w:uiPriority w:val="99"/>
    <w:unhideWhenUsed/>
    <w:rsid w:val="005E017B"/>
    <w:pPr>
      <w:numPr>
        <w:numId w:val="2"/>
      </w:numPr>
      <w:contextualSpacing/>
    </w:pPr>
  </w:style>
  <w:style w:type="character" w:customStyle="1" w:styleId="yt-core-attributed-string--link-inherit-color">
    <w:name w:val="yt-core-attributed-string--link-inherit-color"/>
    <w:basedOn w:val="Fuentedeprrafopredeter"/>
    <w:rsid w:val="00EA0BEF"/>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72"/>
    <w:qFormat/>
    <w:locked/>
    <w:rsid w:val="00452086"/>
  </w:style>
  <w:style w:type="character" w:customStyle="1" w:styleId="Mencinsinresolver1">
    <w:name w:val="Mención sin resolver1"/>
    <w:basedOn w:val="Fuentedeprrafopredeter"/>
    <w:uiPriority w:val="99"/>
    <w:semiHidden/>
    <w:unhideWhenUsed/>
    <w:rsid w:val="00C64B15"/>
    <w:rPr>
      <w:color w:val="605E5C"/>
      <w:shd w:val="clear" w:color="auto" w:fill="E1DFDD"/>
    </w:rPr>
  </w:style>
  <w:style w:type="paragraph" w:customStyle="1" w:styleId="Default">
    <w:name w:val="Default"/>
    <w:rsid w:val="00B92077"/>
    <w:pPr>
      <w:autoSpaceDE w:val="0"/>
      <w:autoSpaceDN w:val="0"/>
      <w:adjustRightInd w:val="0"/>
    </w:pPr>
    <w:rPr>
      <w:rFonts w:ascii="Arial" w:hAnsi="Arial" w:cs="Arial"/>
      <w:color w:val="000000"/>
    </w:rPr>
  </w:style>
  <w:style w:type="paragraph" w:styleId="Sinespaciado">
    <w:name w:val="No Spacing"/>
    <w:aliases w:val="Francesa"/>
    <w:link w:val="SinespaciadoCar"/>
    <w:uiPriority w:val="1"/>
    <w:qFormat/>
    <w:rsid w:val="00CB152B"/>
    <w:rPr>
      <w:rFonts w:asciiTheme="minorHAnsi" w:eastAsiaTheme="minorHAnsi" w:hAnsiTheme="minorHAnsi" w:cstheme="minorBidi"/>
      <w:sz w:val="22"/>
      <w:szCs w:val="22"/>
      <w:lang w:eastAsia="en-US"/>
    </w:rPr>
  </w:style>
  <w:style w:type="character" w:customStyle="1" w:styleId="SinespaciadoCar">
    <w:name w:val="Sin espaciado Car"/>
    <w:aliases w:val="Francesa Car"/>
    <w:link w:val="Sinespaciado"/>
    <w:uiPriority w:val="1"/>
    <w:locked/>
    <w:rsid w:val="00CB152B"/>
    <w:rPr>
      <w:rFonts w:asciiTheme="minorHAnsi" w:eastAsiaTheme="minorHAnsi" w:hAnsiTheme="minorHAnsi" w:cstheme="minorBidi"/>
      <w:sz w:val="22"/>
      <w:szCs w:val="22"/>
      <w:lang w:eastAsia="en-US"/>
    </w:rPr>
  </w:style>
  <w:style w:type="paragraph" w:customStyle="1" w:styleId="Citas">
    <w:name w:val="Citas"/>
    <w:basedOn w:val="Normal"/>
    <w:qFormat/>
    <w:rsid w:val="006A4CB6"/>
    <w:pPr>
      <w:spacing w:before="240" w:after="160" w:line="360" w:lineRule="auto"/>
      <w:ind w:left="851" w:right="851"/>
      <w:jc w:val="both"/>
    </w:pPr>
    <w:rPr>
      <w:rFonts w:ascii="Palatino Linotype" w:eastAsiaTheme="minorHAnsi" w:hAnsi="Palatino Linotype" w:cs="Arial"/>
      <w:i/>
      <w:sz w:val="22"/>
      <w:szCs w:val="22"/>
      <w:lang w:eastAsia="en-US"/>
    </w:r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style>
  <w:style w:type="character" w:customStyle="1" w:styleId="Mencinsinresolver2">
    <w:name w:val="Mención sin resolver2"/>
    <w:basedOn w:val="Fuentedeprrafopredeter"/>
    <w:uiPriority w:val="99"/>
    <w:semiHidden/>
    <w:unhideWhenUsed/>
    <w:rsid w:val="00D0207F"/>
    <w:rPr>
      <w:color w:val="605E5C"/>
      <w:shd w:val="clear" w:color="auto" w:fill="E1DFDD"/>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2GPXYnZIV52SEh3I7RFgn+yf0tQ==">CgMxLjAaMAoBMBIrCikIB0IlChFRdWF0dHJvY2VudG8gU2FucxIQQXJpYWwgVW5pY29kZSBNUxowCgExEisKKQgHQiUKEVF1YXR0cm9jZW50byBTYW5zEhBBcmlhbCBVbmljb2RlIE1TMg5oLjYyYXJ3NnNuNW02cDIJaC4zZHk2dmttMg5oLmswNDUyNTFid2U5YTIJaC4zMGowemxsMgloLjJzOGV5bzEyCGgudHlqY3d0MgloLjN6bnlzaDcyDmguZXllZGxnZnJkdG1zMg5oLjljYzluOGNoankzdzIOaC40NjJsNzVyYnEzajIyCWguMWZvYjl0ZTIJaC4zcmRjcmpuMgloLjF0M2g1c2Y4AHIhMXY1N24yemJKb3JZSWpoSEdheEZ3OENIQXJWMi1zbk9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14626</Words>
  <Characters>80445</Characters>
  <Application>Microsoft Office Word</Application>
  <DocSecurity>0</DocSecurity>
  <Lines>670</Lines>
  <Paragraphs>189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Maricela Villagómez Martínez</cp:lastModifiedBy>
  <cp:revision>2</cp:revision>
  <cp:lastPrinted>2025-11-14T19:34:00Z</cp:lastPrinted>
  <dcterms:created xsi:type="dcterms:W3CDTF">2025-12-10T22:16:00Z</dcterms:created>
  <dcterms:modified xsi:type="dcterms:W3CDTF">2025-12-10T22:16:00Z</dcterms:modified>
</cp:coreProperties>
</file>