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BB9B9" w14:textId="77777777" w:rsidR="00D53536" w:rsidRDefault="0045373D">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veintiséis de marzo de dos mil veinticinco. </w:t>
      </w:r>
    </w:p>
    <w:p w14:paraId="6350C400" w14:textId="274CCAB0" w:rsidR="00D53536" w:rsidRDefault="0045373D">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Vistos</w:t>
      </w:r>
      <w:r>
        <w:rPr>
          <w:rFonts w:ascii="Palatino Linotype" w:eastAsia="Palatino Linotype" w:hAnsi="Palatino Linotype" w:cs="Palatino Linotype"/>
          <w:sz w:val="22"/>
          <w:szCs w:val="22"/>
        </w:rPr>
        <w:t xml:space="preserve"> los expedientes formados con motivo de los recursos de revisión </w:t>
      </w:r>
      <w:r>
        <w:rPr>
          <w:rFonts w:ascii="Palatino Linotype" w:eastAsia="Palatino Linotype" w:hAnsi="Palatino Linotype" w:cs="Palatino Linotype"/>
          <w:b/>
          <w:sz w:val="22"/>
          <w:szCs w:val="22"/>
        </w:rPr>
        <w:t xml:space="preserve">01499/INFOEM/IP/RR/2025 y 01503/INFOEM/IP/RR/2025 acumulados, </w:t>
      </w:r>
      <w:r>
        <w:rPr>
          <w:rFonts w:ascii="Palatino Linotype" w:eastAsia="Palatino Linotype" w:hAnsi="Palatino Linotype" w:cs="Palatino Linotype"/>
          <w:sz w:val="22"/>
          <w:szCs w:val="22"/>
        </w:rPr>
        <w:t>interpuestos por</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la </w:t>
      </w:r>
      <w:r>
        <w:rPr>
          <w:rFonts w:ascii="Palatino Linotype" w:eastAsia="Palatino Linotype" w:hAnsi="Palatino Linotype" w:cs="Palatino Linotype"/>
          <w:b/>
          <w:sz w:val="22"/>
          <w:szCs w:val="22"/>
        </w:rPr>
        <w:t xml:space="preserve">C. </w:t>
      </w:r>
      <w:r w:rsidRPr="0045373D">
        <w:rPr>
          <w:rFonts w:ascii="Palatino Linotype" w:eastAsia="Palatino Linotype" w:hAnsi="Palatino Linotype" w:cs="Palatino Linotype"/>
          <w:b/>
          <w:sz w:val="22"/>
          <w:szCs w:val="22"/>
        </w:rPr>
        <w:t>XXXXXXXX XXXXXXX XXXXXXXX</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quien en lo sucesivo</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será identificada como la parte</w:t>
      </w:r>
      <w:r>
        <w:rPr>
          <w:rFonts w:ascii="Palatino Linotype" w:eastAsia="Palatino Linotype" w:hAnsi="Palatino Linotype" w:cs="Palatino Linotype"/>
          <w:b/>
          <w:sz w:val="22"/>
          <w:szCs w:val="22"/>
        </w:rPr>
        <w:t xml:space="preserve"> Recurrente,</w:t>
      </w:r>
      <w:r>
        <w:rPr>
          <w:rFonts w:ascii="Palatino Linotype" w:eastAsia="Palatino Linotype" w:hAnsi="Palatino Linotype" w:cs="Palatino Linotype"/>
          <w:sz w:val="22"/>
          <w:szCs w:val="22"/>
        </w:rPr>
        <w:t xml:space="preserve"> en contra de las respuestas en las solicitudes de información con número de folio </w:t>
      </w:r>
      <w:r>
        <w:rPr>
          <w:rFonts w:ascii="Palatino Linotype" w:eastAsia="Palatino Linotype" w:hAnsi="Palatino Linotype" w:cs="Palatino Linotype"/>
          <w:b/>
          <w:sz w:val="22"/>
          <w:szCs w:val="22"/>
        </w:rPr>
        <w:t xml:space="preserve">00021/MEXICAL/IP/2025 y 00022/MEXICAL/IP/2025, </w:t>
      </w:r>
      <w:r>
        <w:rPr>
          <w:rFonts w:ascii="Palatino Linotype" w:eastAsia="Palatino Linotype" w:hAnsi="Palatino Linotype" w:cs="Palatino Linotype"/>
          <w:sz w:val="22"/>
          <w:szCs w:val="22"/>
        </w:rPr>
        <w:t>por parte</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del </w:t>
      </w:r>
      <w:r>
        <w:rPr>
          <w:rFonts w:ascii="Palatino Linotype" w:eastAsia="Palatino Linotype" w:hAnsi="Palatino Linotype" w:cs="Palatino Linotype"/>
          <w:b/>
          <w:sz w:val="22"/>
          <w:szCs w:val="22"/>
        </w:rPr>
        <w:t xml:space="preserve">Ayuntamiento de Mexicaltzingo, </w:t>
      </w:r>
      <w:r>
        <w:rPr>
          <w:rFonts w:ascii="Palatino Linotype" w:eastAsia="Palatino Linotype" w:hAnsi="Palatino Linotype" w:cs="Palatino Linotype"/>
          <w:sz w:val="22"/>
          <w:szCs w:val="22"/>
        </w:rPr>
        <w:t xml:space="preserve">en lo sucesivo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se procede a dictar la presente resolución con base en los siguientes: </w:t>
      </w:r>
    </w:p>
    <w:p w14:paraId="2C7C0D04" w14:textId="77777777" w:rsidR="00D53536" w:rsidRDefault="0045373D">
      <w:pPr>
        <w:spacing w:before="240" w:after="240"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 A N T E C E D E N T E S</w:t>
      </w:r>
    </w:p>
    <w:p w14:paraId="2E0C2434" w14:textId="77777777" w:rsidR="00D53536" w:rsidRDefault="0045373D">
      <w:pPr>
        <w:spacing w:before="240" w:after="240" w:line="360" w:lineRule="auto"/>
        <w:jc w:val="both"/>
        <w:rPr>
          <w:rFonts w:ascii="Palatino Linotype" w:eastAsia="Palatino Linotype" w:hAnsi="Palatino Linotype" w:cs="Palatino Linotype"/>
          <w:sz w:val="22"/>
          <w:szCs w:val="22"/>
        </w:rPr>
      </w:pPr>
      <w:bookmarkStart w:id="0" w:name="_heading=h.gjdgxs" w:colFirst="0" w:colLast="0"/>
      <w:bookmarkEnd w:id="0"/>
      <w:r>
        <w:rPr>
          <w:rFonts w:ascii="Palatino Linotype" w:eastAsia="Palatino Linotype" w:hAnsi="Palatino Linotype" w:cs="Palatino Linotype"/>
          <w:b/>
          <w:sz w:val="22"/>
          <w:szCs w:val="22"/>
        </w:rPr>
        <w:t>1. Solicitudes de acceso a la información.</w:t>
      </w:r>
      <w:r>
        <w:rPr>
          <w:rFonts w:ascii="Palatino Linotype" w:eastAsia="Palatino Linotype" w:hAnsi="Palatino Linotype" w:cs="Palatino Linotype"/>
          <w:sz w:val="22"/>
          <w:szCs w:val="22"/>
        </w:rPr>
        <w:t xml:space="preserve"> En fecha </w:t>
      </w:r>
      <w:r>
        <w:rPr>
          <w:rFonts w:ascii="Palatino Linotype" w:eastAsia="Palatino Linotype" w:hAnsi="Palatino Linotype" w:cs="Palatino Linotype"/>
          <w:b/>
          <w:sz w:val="22"/>
          <w:szCs w:val="22"/>
        </w:rPr>
        <w:t>dieciséis de enero de dos mil veinticinco,</w:t>
      </w:r>
      <w:r>
        <w:rPr>
          <w:rFonts w:ascii="Palatino Linotype" w:eastAsia="Palatino Linotype" w:hAnsi="Palatino Linotype" w:cs="Palatino Linotype"/>
          <w:sz w:val="22"/>
          <w:szCs w:val="22"/>
        </w:rPr>
        <w:t xml:space="preserve"> la parte</w:t>
      </w:r>
      <w:r>
        <w:rPr>
          <w:rFonts w:ascii="Palatino Linotype" w:eastAsia="Palatino Linotype" w:hAnsi="Palatino Linotype" w:cs="Palatino Linotype"/>
          <w:b/>
          <w:sz w:val="22"/>
          <w:szCs w:val="22"/>
        </w:rPr>
        <w:t xml:space="preserve"> Recurrente </w:t>
      </w:r>
      <w:r>
        <w:rPr>
          <w:rFonts w:ascii="Palatino Linotype" w:eastAsia="Palatino Linotype" w:hAnsi="Palatino Linotype" w:cs="Palatino Linotype"/>
          <w:sz w:val="22"/>
          <w:szCs w:val="22"/>
        </w:rPr>
        <w:t xml:space="preserve">formuló solicitudes de acceso a información pública a través del Sistema de Acceso a la Información Mexiquense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 xml:space="preserve"> en las que requirió lo siguiente:</w:t>
      </w:r>
    </w:p>
    <w:tbl>
      <w:tblPr>
        <w:tblStyle w:val="aff9"/>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098"/>
      </w:tblGrid>
      <w:tr w:rsidR="00D53536" w14:paraId="60A3DB2A" w14:textId="77777777">
        <w:tc>
          <w:tcPr>
            <w:tcW w:w="3823" w:type="dxa"/>
            <w:shd w:val="clear" w:color="auto" w:fill="DBEEF3"/>
          </w:tcPr>
          <w:p w14:paraId="22D598E3" w14:textId="77777777" w:rsidR="00D53536" w:rsidRDefault="0045373D">
            <w:pPr>
              <w:spacing w:before="240" w:after="240"/>
              <w:jc w:val="center"/>
              <w:rPr>
                <w:rFonts w:ascii="Palatino Linotype" w:eastAsia="Palatino Linotype" w:hAnsi="Palatino Linotype" w:cs="Palatino Linotype"/>
                <w:b/>
              </w:rPr>
            </w:pPr>
            <w:r>
              <w:rPr>
                <w:rFonts w:ascii="Palatino Linotype" w:eastAsia="Palatino Linotype" w:hAnsi="Palatino Linotype" w:cs="Palatino Linotype"/>
                <w:b/>
              </w:rPr>
              <w:t>Número de solicitud y recurso de revisión</w:t>
            </w:r>
          </w:p>
        </w:tc>
        <w:tc>
          <w:tcPr>
            <w:tcW w:w="5098" w:type="dxa"/>
            <w:shd w:val="clear" w:color="auto" w:fill="DBEEF3"/>
          </w:tcPr>
          <w:p w14:paraId="77570691" w14:textId="77777777" w:rsidR="00D53536" w:rsidRDefault="0045373D">
            <w:pP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Información requerida</w:t>
            </w:r>
          </w:p>
        </w:tc>
      </w:tr>
      <w:tr w:rsidR="00D53536" w14:paraId="69363AE3" w14:textId="77777777">
        <w:tc>
          <w:tcPr>
            <w:tcW w:w="3823" w:type="dxa"/>
          </w:tcPr>
          <w:p w14:paraId="091BC915" w14:textId="77777777" w:rsidR="00D53536" w:rsidRDefault="0045373D">
            <w:pPr>
              <w:spacing w:before="240" w:after="240"/>
              <w:jc w:val="center"/>
              <w:rPr>
                <w:rFonts w:ascii="Palatino Linotype" w:eastAsia="Palatino Linotype" w:hAnsi="Palatino Linotype" w:cs="Palatino Linotype"/>
                <w:b/>
              </w:rPr>
            </w:pPr>
            <w:r>
              <w:rPr>
                <w:rFonts w:ascii="Palatino Linotype" w:eastAsia="Palatino Linotype" w:hAnsi="Palatino Linotype" w:cs="Palatino Linotype"/>
                <w:b/>
              </w:rPr>
              <w:t xml:space="preserve">00021/MEXICAL/IP/2025, </w:t>
            </w:r>
            <w:r>
              <w:rPr>
                <w:rFonts w:ascii="Palatino Linotype" w:eastAsia="Palatino Linotype" w:hAnsi="Palatino Linotype" w:cs="Palatino Linotype"/>
              </w:rPr>
              <w:t>correspondiente al Recurso de Revisión</w:t>
            </w:r>
            <w:r>
              <w:rPr>
                <w:rFonts w:ascii="Palatino Linotype" w:eastAsia="Palatino Linotype" w:hAnsi="Palatino Linotype" w:cs="Palatino Linotype"/>
                <w:b/>
              </w:rPr>
              <w:t xml:space="preserve"> 01499/INFOEM/IP/RR/2025</w:t>
            </w:r>
          </w:p>
        </w:tc>
        <w:tc>
          <w:tcPr>
            <w:tcW w:w="5098" w:type="dxa"/>
          </w:tcPr>
          <w:p w14:paraId="09FDD08C" w14:textId="77777777" w:rsidR="00D53536" w:rsidRDefault="0045373D">
            <w:pPr>
              <w:spacing w:before="240" w:after="240"/>
              <w:jc w:val="both"/>
              <w:rPr>
                <w:rFonts w:ascii="Palatino Linotype" w:eastAsia="Palatino Linotype" w:hAnsi="Palatino Linotype" w:cs="Palatino Linotype"/>
                <w:i/>
              </w:rPr>
            </w:pPr>
            <w:r>
              <w:rPr>
                <w:rFonts w:ascii="Palatino Linotype" w:eastAsia="Palatino Linotype" w:hAnsi="Palatino Linotype" w:cs="Palatino Linotype"/>
                <w:i/>
              </w:rPr>
              <w:t xml:space="preserve">“ORGANIGRAMA APROBADO DEL OIC” (Sic) </w:t>
            </w:r>
          </w:p>
        </w:tc>
      </w:tr>
      <w:tr w:rsidR="00D53536" w14:paraId="161B39F5" w14:textId="77777777">
        <w:tc>
          <w:tcPr>
            <w:tcW w:w="3823" w:type="dxa"/>
          </w:tcPr>
          <w:p w14:paraId="607E00DD" w14:textId="77777777" w:rsidR="00D53536" w:rsidRDefault="0045373D">
            <w:pPr>
              <w:spacing w:before="240" w:after="240"/>
              <w:jc w:val="center"/>
              <w:rPr>
                <w:rFonts w:ascii="Palatino Linotype" w:eastAsia="Palatino Linotype" w:hAnsi="Palatino Linotype" w:cs="Palatino Linotype"/>
                <w:b/>
              </w:rPr>
            </w:pPr>
            <w:r>
              <w:rPr>
                <w:rFonts w:ascii="Palatino Linotype" w:eastAsia="Palatino Linotype" w:hAnsi="Palatino Linotype" w:cs="Palatino Linotype"/>
                <w:b/>
              </w:rPr>
              <w:lastRenderedPageBreak/>
              <w:t xml:space="preserve">00022/MEXICAL/IP/2025, </w:t>
            </w:r>
            <w:r>
              <w:rPr>
                <w:rFonts w:ascii="Palatino Linotype" w:eastAsia="Palatino Linotype" w:hAnsi="Palatino Linotype" w:cs="Palatino Linotype"/>
              </w:rPr>
              <w:t>correspondiente al Recurso de Revisión</w:t>
            </w:r>
            <w:r>
              <w:rPr>
                <w:rFonts w:ascii="Palatino Linotype" w:eastAsia="Palatino Linotype" w:hAnsi="Palatino Linotype" w:cs="Palatino Linotype"/>
                <w:b/>
              </w:rPr>
              <w:t xml:space="preserve"> 01503/INFOEM/IP/RR/2025</w:t>
            </w:r>
          </w:p>
        </w:tc>
        <w:tc>
          <w:tcPr>
            <w:tcW w:w="5098" w:type="dxa"/>
          </w:tcPr>
          <w:p w14:paraId="5CF3F56D" w14:textId="77777777" w:rsidR="00D53536" w:rsidRDefault="0045373D">
            <w:pPr>
              <w:spacing w:before="240" w:after="240"/>
              <w:jc w:val="both"/>
              <w:rPr>
                <w:rFonts w:ascii="Palatino Linotype" w:eastAsia="Palatino Linotype" w:hAnsi="Palatino Linotype" w:cs="Palatino Linotype"/>
                <w:i/>
              </w:rPr>
            </w:pPr>
            <w:r>
              <w:rPr>
                <w:rFonts w:ascii="Palatino Linotype" w:eastAsia="Palatino Linotype" w:hAnsi="Palatino Linotype" w:cs="Palatino Linotype"/>
                <w:i/>
              </w:rPr>
              <w:t xml:space="preserve">“ORGANIGRAMA APROBADO DEL OIC” (Sic) </w:t>
            </w:r>
          </w:p>
        </w:tc>
      </w:tr>
    </w:tbl>
    <w:p w14:paraId="2D8B19F0" w14:textId="77777777" w:rsidR="00D53536" w:rsidRDefault="0045373D">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Modalidad elegida para la entrega de la información: </w:t>
      </w:r>
      <w:r>
        <w:rPr>
          <w:rFonts w:ascii="Palatino Linotype" w:eastAsia="Palatino Linotype" w:hAnsi="Palatino Linotype" w:cs="Palatino Linotype"/>
          <w:sz w:val="22"/>
          <w:szCs w:val="22"/>
        </w:rPr>
        <w:t xml:space="preserve">a través del </w:t>
      </w:r>
      <w:r>
        <w:rPr>
          <w:rFonts w:ascii="Palatino Linotype" w:eastAsia="Palatino Linotype" w:hAnsi="Palatino Linotype" w:cs="Palatino Linotype"/>
          <w:b/>
          <w:sz w:val="22"/>
          <w:szCs w:val="22"/>
        </w:rPr>
        <w:t xml:space="preserve">SAIMEX </w:t>
      </w:r>
    </w:p>
    <w:p w14:paraId="4C6ECCED" w14:textId="77777777" w:rsidR="00D53536" w:rsidRDefault="0045373D">
      <w:pPr>
        <w:spacing w:before="240" w:after="240"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2. Respuestas. </w:t>
      </w:r>
      <w:r>
        <w:rPr>
          <w:rFonts w:ascii="Palatino Linotype" w:eastAsia="Palatino Linotype" w:hAnsi="Palatino Linotype" w:cs="Palatino Linotype"/>
          <w:sz w:val="22"/>
          <w:szCs w:val="22"/>
        </w:rPr>
        <w:t xml:space="preserve">En fechas </w:t>
      </w:r>
      <w:r>
        <w:rPr>
          <w:rFonts w:ascii="Palatino Linotype" w:eastAsia="Palatino Linotype" w:hAnsi="Palatino Linotype" w:cs="Palatino Linotype"/>
          <w:b/>
          <w:sz w:val="22"/>
          <w:szCs w:val="22"/>
        </w:rPr>
        <w:t>siete de febrero de dos mil veinticinco</w:t>
      </w:r>
      <w:r>
        <w:rPr>
          <w:rFonts w:ascii="Palatino Linotype" w:eastAsia="Palatino Linotype" w:hAnsi="Palatino Linotype" w:cs="Palatino Linotype"/>
          <w:sz w:val="22"/>
          <w:szCs w:val="22"/>
        </w:rPr>
        <w:t xml:space="preserv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notificó a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en ambos expedientes, las respuestas a sus solicitudes de información, en los términos siguientes: </w:t>
      </w:r>
    </w:p>
    <w:tbl>
      <w:tblPr>
        <w:tblStyle w:val="aff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4961"/>
      </w:tblGrid>
      <w:tr w:rsidR="00D53536" w14:paraId="12F53DD0" w14:textId="77777777">
        <w:tc>
          <w:tcPr>
            <w:tcW w:w="3823" w:type="dxa"/>
            <w:shd w:val="clear" w:color="auto" w:fill="DBEEF3"/>
          </w:tcPr>
          <w:p w14:paraId="51B8778A" w14:textId="77777777" w:rsidR="00D53536" w:rsidRDefault="0045373D">
            <w:pPr>
              <w:spacing w:before="240" w:after="240"/>
              <w:jc w:val="center"/>
              <w:rPr>
                <w:rFonts w:ascii="Palatino Linotype" w:eastAsia="Palatino Linotype" w:hAnsi="Palatino Linotype" w:cs="Palatino Linotype"/>
                <w:b/>
              </w:rPr>
            </w:pPr>
            <w:r>
              <w:rPr>
                <w:rFonts w:ascii="Palatino Linotype" w:eastAsia="Palatino Linotype" w:hAnsi="Palatino Linotype" w:cs="Palatino Linotype"/>
                <w:b/>
              </w:rPr>
              <w:t>Número de recurso de revisión</w:t>
            </w:r>
          </w:p>
        </w:tc>
        <w:tc>
          <w:tcPr>
            <w:tcW w:w="4961" w:type="dxa"/>
            <w:shd w:val="clear" w:color="auto" w:fill="DBEEF3"/>
          </w:tcPr>
          <w:p w14:paraId="2CCEC200" w14:textId="77777777" w:rsidR="00D53536" w:rsidRDefault="0045373D">
            <w:pP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Descripción de las respuestas</w:t>
            </w:r>
          </w:p>
        </w:tc>
      </w:tr>
      <w:tr w:rsidR="00D53536" w14:paraId="3F520E9D" w14:textId="77777777">
        <w:tc>
          <w:tcPr>
            <w:tcW w:w="3823" w:type="dxa"/>
          </w:tcPr>
          <w:p w14:paraId="655116CC" w14:textId="77777777" w:rsidR="00D53536" w:rsidRDefault="0045373D">
            <w:pPr>
              <w:spacing w:before="240" w:after="240"/>
              <w:jc w:val="center"/>
              <w:rPr>
                <w:rFonts w:ascii="Palatino Linotype" w:eastAsia="Palatino Linotype" w:hAnsi="Palatino Linotype" w:cs="Palatino Linotype"/>
                <w:b/>
              </w:rPr>
            </w:pPr>
            <w:r>
              <w:rPr>
                <w:rFonts w:ascii="Palatino Linotype" w:eastAsia="Palatino Linotype" w:hAnsi="Palatino Linotype" w:cs="Palatino Linotype"/>
                <w:b/>
              </w:rPr>
              <w:t xml:space="preserve">00021/MEXICAL/IP/2025, </w:t>
            </w:r>
            <w:r>
              <w:rPr>
                <w:rFonts w:ascii="Palatino Linotype" w:eastAsia="Palatino Linotype" w:hAnsi="Palatino Linotype" w:cs="Palatino Linotype"/>
              </w:rPr>
              <w:t>correspondiente al Recurso de Revisión</w:t>
            </w:r>
            <w:r>
              <w:rPr>
                <w:rFonts w:ascii="Palatino Linotype" w:eastAsia="Palatino Linotype" w:hAnsi="Palatino Linotype" w:cs="Palatino Linotype"/>
                <w:b/>
              </w:rPr>
              <w:t xml:space="preserve"> 01499/INFOEM/IP/RR/2025</w:t>
            </w:r>
          </w:p>
        </w:tc>
        <w:tc>
          <w:tcPr>
            <w:tcW w:w="4961" w:type="dxa"/>
          </w:tcPr>
          <w:p w14:paraId="72E47FD3" w14:textId="77777777" w:rsidR="00D53536" w:rsidRDefault="0045373D">
            <w:pPr>
              <w:spacing w:line="276" w:lineRule="auto"/>
              <w:jc w:val="both"/>
              <w:rPr>
                <w:rFonts w:ascii="Palatino Linotype" w:eastAsia="Palatino Linotype" w:hAnsi="Palatino Linotype" w:cs="Palatino Linotype"/>
                <w:i/>
              </w:rPr>
            </w:pPr>
            <w:r>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308BB30" w14:textId="77777777" w:rsidR="00D53536" w:rsidRDefault="0045373D">
            <w:pPr>
              <w:spacing w:line="276" w:lineRule="auto"/>
              <w:jc w:val="both"/>
              <w:rPr>
                <w:rFonts w:ascii="Palatino Linotype" w:eastAsia="Palatino Linotype" w:hAnsi="Palatino Linotype" w:cs="Palatino Linotype"/>
                <w:i/>
              </w:rPr>
            </w:pPr>
            <w:r>
              <w:rPr>
                <w:rFonts w:ascii="Palatino Linotype" w:eastAsia="Palatino Linotype" w:hAnsi="Palatino Linotype" w:cs="Palatino Linotype"/>
                <w:i/>
              </w:rPr>
              <w:t xml:space="preserve">A LA FECHA EN QUE SE RECIBIO LA SOLITUD DE INFORMACIÓN 20 DE ENERO DEL 2025, Y HASTA EL DÍA DE HOY QUE ESTA SIENDO ATENDIDA, </w:t>
            </w:r>
            <w:r>
              <w:rPr>
                <w:rFonts w:ascii="Palatino Linotype" w:eastAsia="Palatino Linotype" w:hAnsi="Palatino Linotype" w:cs="Palatino Linotype"/>
                <w:b/>
                <w:i/>
              </w:rPr>
              <w:t>ESTA CONTRALORÍA INTERNA MUNICIPAL AÚN NO CUENTA EL ORGANIGRAMA INTERNO APROBADO PARA LA ADMINSTRACIÓN 2025-2027</w:t>
            </w:r>
            <w:r>
              <w:rPr>
                <w:rFonts w:ascii="Palatino Linotype" w:eastAsia="Palatino Linotype" w:hAnsi="Palatino Linotype" w:cs="Palatino Linotype"/>
                <w:i/>
              </w:rPr>
              <w:t>.</w:t>
            </w:r>
          </w:p>
          <w:p w14:paraId="4101EBE4" w14:textId="77777777" w:rsidR="00D53536" w:rsidRDefault="0045373D">
            <w:pPr>
              <w:spacing w:line="276" w:lineRule="auto"/>
              <w:jc w:val="both"/>
              <w:rPr>
                <w:rFonts w:ascii="Palatino Linotype" w:eastAsia="Palatino Linotype" w:hAnsi="Palatino Linotype" w:cs="Palatino Linotype"/>
                <w:i/>
              </w:rPr>
            </w:pPr>
            <w:r>
              <w:rPr>
                <w:rFonts w:ascii="Palatino Linotype" w:eastAsia="Palatino Linotype" w:hAnsi="Palatino Linotype" w:cs="Palatino Linotype"/>
                <w:i/>
              </w:rPr>
              <w:t>ATENTAMENTE</w:t>
            </w:r>
          </w:p>
          <w:p w14:paraId="01C3604D" w14:textId="77777777" w:rsidR="00D53536" w:rsidRDefault="0045373D">
            <w:pPr>
              <w:spacing w:line="276" w:lineRule="auto"/>
              <w:jc w:val="both"/>
              <w:rPr>
                <w:rFonts w:ascii="Palatino Linotype" w:eastAsia="Palatino Linotype" w:hAnsi="Palatino Linotype" w:cs="Palatino Linotype"/>
                <w:i/>
              </w:rPr>
            </w:pPr>
            <w:r>
              <w:rPr>
                <w:rFonts w:ascii="Palatino Linotype" w:eastAsia="Palatino Linotype" w:hAnsi="Palatino Linotype" w:cs="Palatino Linotype"/>
                <w:i/>
              </w:rPr>
              <w:t>C. Bertha López Sánchez”</w:t>
            </w:r>
          </w:p>
        </w:tc>
      </w:tr>
      <w:tr w:rsidR="00D53536" w14:paraId="445A002D" w14:textId="77777777">
        <w:tc>
          <w:tcPr>
            <w:tcW w:w="3823" w:type="dxa"/>
          </w:tcPr>
          <w:p w14:paraId="4A07700F" w14:textId="77777777" w:rsidR="00D53536" w:rsidRDefault="0045373D">
            <w:pPr>
              <w:spacing w:before="240" w:after="240"/>
              <w:jc w:val="center"/>
              <w:rPr>
                <w:rFonts w:ascii="Palatino Linotype" w:eastAsia="Palatino Linotype" w:hAnsi="Palatino Linotype" w:cs="Palatino Linotype"/>
                <w:b/>
              </w:rPr>
            </w:pPr>
            <w:r>
              <w:rPr>
                <w:rFonts w:ascii="Palatino Linotype" w:eastAsia="Palatino Linotype" w:hAnsi="Palatino Linotype" w:cs="Palatino Linotype"/>
                <w:b/>
              </w:rPr>
              <w:t xml:space="preserve">00022/MEXICAL/IP/2025, </w:t>
            </w:r>
            <w:r>
              <w:rPr>
                <w:rFonts w:ascii="Palatino Linotype" w:eastAsia="Palatino Linotype" w:hAnsi="Palatino Linotype" w:cs="Palatino Linotype"/>
              </w:rPr>
              <w:t xml:space="preserve">correspondiente al Recurso de </w:t>
            </w:r>
            <w:r>
              <w:rPr>
                <w:rFonts w:ascii="Palatino Linotype" w:eastAsia="Palatino Linotype" w:hAnsi="Palatino Linotype" w:cs="Palatino Linotype"/>
              </w:rPr>
              <w:lastRenderedPageBreak/>
              <w:t>Revisión</w:t>
            </w:r>
            <w:r>
              <w:rPr>
                <w:rFonts w:ascii="Palatino Linotype" w:eastAsia="Palatino Linotype" w:hAnsi="Palatino Linotype" w:cs="Palatino Linotype"/>
                <w:b/>
              </w:rPr>
              <w:t xml:space="preserve"> 01503/INFOEM/IP/RR/2025</w:t>
            </w:r>
          </w:p>
        </w:tc>
        <w:tc>
          <w:tcPr>
            <w:tcW w:w="4961" w:type="dxa"/>
          </w:tcPr>
          <w:p w14:paraId="1A62C3D2" w14:textId="77777777" w:rsidR="00D53536" w:rsidRDefault="0045373D">
            <w:pPr>
              <w:spacing w:line="276" w:lineRule="auto"/>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“En respuesta a la solicitud recibida, nos permitimos hacer de su conocimiento que con fundamento en el artículo 53, Fracciones: II, V y VI de la Ley de </w:t>
            </w:r>
            <w:r>
              <w:rPr>
                <w:rFonts w:ascii="Palatino Linotype" w:eastAsia="Palatino Linotype" w:hAnsi="Palatino Linotype" w:cs="Palatino Linotype"/>
                <w:i/>
              </w:rPr>
              <w:lastRenderedPageBreak/>
              <w:t>Transparencia y Acceso a la Información Pública del Estado de México y Municipios, le contestamos que:</w:t>
            </w:r>
          </w:p>
          <w:p w14:paraId="59FF16FF" w14:textId="77777777" w:rsidR="00D53536" w:rsidRDefault="0045373D">
            <w:pPr>
              <w:spacing w:line="276" w:lineRule="auto"/>
              <w:jc w:val="both"/>
              <w:rPr>
                <w:rFonts w:ascii="Palatino Linotype" w:eastAsia="Palatino Linotype" w:hAnsi="Palatino Linotype" w:cs="Palatino Linotype"/>
                <w:i/>
              </w:rPr>
            </w:pPr>
            <w:r>
              <w:rPr>
                <w:rFonts w:ascii="Palatino Linotype" w:eastAsia="Palatino Linotype" w:hAnsi="Palatino Linotype" w:cs="Palatino Linotype"/>
                <w:i/>
              </w:rPr>
              <w:t xml:space="preserve">A LA FECHA EN QUE SE RECIBIO LA SOLITUD DE INFORMACIÓN 20 DE ENERO DEL 2025, Y HASTA EL DÍA DE HOY QUE ESTA SIENDO ATENDIDA, </w:t>
            </w:r>
            <w:r>
              <w:rPr>
                <w:rFonts w:ascii="Palatino Linotype" w:eastAsia="Palatino Linotype" w:hAnsi="Palatino Linotype" w:cs="Palatino Linotype"/>
                <w:b/>
                <w:i/>
              </w:rPr>
              <w:t>ESTA CONTRALORÍA INTERNA MUNICIPAL AÚN NO CUENTA EL ORGANIGRAMA INTERNO APROBADO PARA LA ADMINSTRACIÓN 2025-2027.</w:t>
            </w:r>
          </w:p>
          <w:p w14:paraId="2A2207F5" w14:textId="77777777" w:rsidR="00D53536" w:rsidRDefault="0045373D">
            <w:pPr>
              <w:spacing w:line="276" w:lineRule="auto"/>
              <w:jc w:val="both"/>
              <w:rPr>
                <w:rFonts w:ascii="Palatino Linotype" w:eastAsia="Palatino Linotype" w:hAnsi="Palatino Linotype" w:cs="Palatino Linotype"/>
                <w:i/>
              </w:rPr>
            </w:pPr>
            <w:r>
              <w:rPr>
                <w:rFonts w:ascii="Palatino Linotype" w:eastAsia="Palatino Linotype" w:hAnsi="Palatino Linotype" w:cs="Palatino Linotype"/>
                <w:i/>
              </w:rPr>
              <w:t>ATENTAMENTE</w:t>
            </w:r>
          </w:p>
          <w:p w14:paraId="76981B3E" w14:textId="77777777" w:rsidR="00D53536" w:rsidRDefault="0045373D">
            <w:pPr>
              <w:spacing w:line="276" w:lineRule="auto"/>
              <w:jc w:val="both"/>
              <w:rPr>
                <w:rFonts w:ascii="Palatino Linotype" w:eastAsia="Palatino Linotype" w:hAnsi="Palatino Linotype" w:cs="Palatino Linotype"/>
                <w:i/>
              </w:rPr>
            </w:pPr>
            <w:r>
              <w:rPr>
                <w:rFonts w:ascii="Palatino Linotype" w:eastAsia="Palatino Linotype" w:hAnsi="Palatino Linotype" w:cs="Palatino Linotype"/>
                <w:i/>
              </w:rPr>
              <w:t>C. Bertha López Sánchez”</w:t>
            </w:r>
          </w:p>
        </w:tc>
      </w:tr>
    </w:tbl>
    <w:p w14:paraId="4BC5927E" w14:textId="77777777" w:rsidR="00D53536" w:rsidRDefault="0045373D">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 xml:space="preserve">3. Interposición de los recursos de revisión.  </w:t>
      </w:r>
      <w:r>
        <w:rPr>
          <w:rFonts w:ascii="Palatino Linotype" w:eastAsia="Palatino Linotype" w:hAnsi="Palatino Linotype" w:cs="Palatino Linotype"/>
          <w:sz w:val="22"/>
          <w:szCs w:val="22"/>
        </w:rPr>
        <w:t xml:space="preserve">En fecha </w:t>
      </w:r>
      <w:r>
        <w:rPr>
          <w:rFonts w:ascii="Palatino Linotype" w:eastAsia="Palatino Linotype" w:hAnsi="Palatino Linotype" w:cs="Palatino Linotype"/>
          <w:b/>
          <w:sz w:val="22"/>
          <w:szCs w:val="22"/>
        </w:rPr>
        <w:t xml:space="preserve">diecisiete de febrero de dos mil veinticinco, </w:t>
      </w:r>
      <w:r>
        <w:rPr>
          <w:rFonts w:ascii="Palatino Linotype" w:eastAsia="Palatino Linotype" w:hAnsi="Palatino Linotype" w:cs="Palatino Linotype"/>
          <w:sz w:val="22"/>
          <w:szCs w:val="22"/>
        </w:rPr>
        <w:t>la parte</w:t>
      </w:r>
      <w:r>
        <w:rPr>
          <w:rFonts w:ascii="Palatino Linotype" w:eastAsia="Palatino Linotype" w:hAnsi="Palatino Linotype" w:cs="Palatino Linotype"/>
          <w:b/>
          <w:sz w:val="22"/>
          <w:szCs w:val="22"/>
        </w:rPr>
        <w:t xml:space="preserve"> Recurrente, </w:t>
      </w:r>
      <w:r>
        <w:rPr>
          <w:rFonts w:ascii="Palatino Linotype" w:eastAsia="Palatino Linotype" w:hAnsi="Palatino Linotype" w:cs="Palatino Linotype"/>
          <w:sz w:val="22"/>
          <w:szCs w:val="22"/>
        </w:rPr>
        <w:t xml:space="preserve">inconforme con las respuestas, interpuso los recursos de revisión que nos ocupan, expresando en ambos casos, lo siguiente: </w:t>
      </w:r>
    </w:p>
    <w:tbl>
      <w:tblPr>
        <w:tblStyle w:val="affb"/>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4"/>
        <w:gridCol w:w="2943"/>
        <w:gridCol w:w="3180"/>
      </w:tblGrid>
      <w:tr w:rsidR="00D53536" w14:paraId="2323CDCA" w14:textId="77777777">
        <w:tc>
          <w:tcPr>
            <w:tcW w:w="2944" w:type="dxa"/>
            <w:shd w:val="clear" w:color="auto" w:fill="DBEEF3"/>
          </w:tcPr>
          <w:p w14:paraId="7591C4EF" w14:textId="77777777" w:rsidR="00D53536" w:rsidRDefault="0045373D">
            <w:pP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2943" w:type="dxa"/>
            <w:shd w:val="clear" w:color="auto" w:fill="DBEEF3"/>
          </w:tcPr>
          <w:p w14:paraId="743D0ADE" w14:textId="77777777" w:rsidR="00D53536" w:rsidRDefault="0045373D">
            <w:pP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Acto impugnado</w:t>
            </w:r>
          </w:p>
        </w:tc>
        <w:tc>
          <w:tcPr>
            <w:tcW w:w="3180" w:type="dxa"/>
            <w:shd w:val="clear" w:color="auto" w:fill="DBEEF3"/>
          </w:tcPr>
          <w:p w14:paraId="64D6E533" w14:textId="77777777" w:rsidR="00D53536" w:rsidRDefault="0045373D">
            <w:pPr>
              <w:spacing w:before="240" w:after="240" w:line="276" w:lineRule="auto"/>
              <w:jc w:val="center"/>
              <w:rPr>
                <w:rFonts w:ascii="Palatino Linotype" w:eastAsia="Palatino Linotype" w:hAnsi="Palatino Linotype" w:cs="Palatino Linotype"/>
                <w:b/>
              </w:rPr>
            </w:pPr>
            <w:r>
              <w:rPr>
                <w:rFonts w:ascii="Palatino Linotype" w:eastAsia="Palatino Linotype" w:hAnsi="Palatino Linotype" w:cs="Palatino Linotype"/>
                <w:b/>
              </w:rPr>
              <w:t>Razones o Motivos de Inconformidad</w:t>
            </w:r>
          </w:p>
        </w:tc>
      </w:tr>
      <w:tr w:rsidR="00D53536" w14:paraId="7C40730A" w14:textId="77777777">
        <w:tc>
          <w:tcPr>
            <w:tcW w:w="2944" w:type="dxa"/>
          </w:tcPr>
          <w:p w14:paraId="2F9A8651" w14:textId="77777777" w:rsidR="00D53536" w:rsidRDefault="0045373D">
            <w:pP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01499/INFOEM/IP/RR/2025</w:t>
            </w:r>
          </w:p>
          <w:p w14:paraId="561F9349" w14:textId="77777777" w:rsidR="00D53536" w:rsidRDefault="00D53536">
            <w:pPr>
              <w:spacing w:before="240" w:after="240" w:line="360" w:lineRule="auto"/>
              <w:jc w:val="center"/>
              <w:rPr>
                <w:rFonts w:ascii="Palatino Linotype" w:eastAsia="Palatino Linotype" w:hAnsi="Palatino Linotype" w:cs="Palatino Linotype"/>
                <w:b/>
              </w:rPr>
            </w:pPr>
          </w:p>
        </w:tc>
        <w:tc>
          <w:tcPr>
            <w:tcW w:w="2943" w:type="dxa"/>
          </w:tcPr>
          <w:p w14:paraId="14624AC3" w14:textId="77777777" w:rsidR="00D53536" w:rsidRDefault="0045373D">
            <w:pPr>
              <w:spacing w:before="240" w:after="240"/>
              <w:jc w:val="both"/>
              <w:rPr>
                <w:rFonts w:ascii="Palatino Linotype" w:eastAsia="Palatino Linotype" w:hAnsi="Palatino Linotype" w:cs="Palatino Linotype"/>
                <w:i/>
              </w:rPr>
            </w:pPr>
            <w:r>
              <w:rPr>
                <w:rFonts w:ascii="Palatino Linotype" w:eastAsia="Palatino Linotype" w:hAnsi="Palatino Linotype" w:cs="Palatino Linotype"/>
                <w:i/>
              </w:rPr>
              <w:t>Información negada</w:t>
            </w:r>
          </w:p>
        </w:tc>
        <w:tc>
          <w:tcPr>
            <w:tcW w:w="3180" w:type="dxa"/>
          </w:tcPr>
          <w:p w14:paraId="19DADC41" w14:textId="77777777" w:rsidR="00D53536" w:rsidRDefault="0045373D">
            <w:pPr>
              <w:spacing w:before="240" w:after="240"/>
              <w:jc w:val="both"/>
              <w:rPr>
                <w:rFonts w:ascii="Palatino Linotype" w:eastAsia="Palatino Linotype" w:hAnsi="Palatino Linotype" w:cs="Palatino Linotype"/>
                <w:i/>
              </w:rPr>
            </w:pPr>
            <w:r>
              <w:rPr>
                <w:rFonts w:ascii="Palatino Linotype" w:eastAsia="Palatino Linotype" w:hAnsi="Palatino Linotype" w:cs="Palatino Linotype"/>
                <w:i/>
              </w:rPr>
              <w:t>Falsedad</w:t>
            </w:r>
          </w:p>
        </w:tc>
      </w:tr>
      <w:tr w:rsidR="00D53536" w14:paraId="5111787B" w14:textId="77777777">
        <w:tc>
          <w:tcPr>
            <w:tcW w:w="2944" w:type="dxa"/>
          </w:tcPr>
          <w:p w14:paraId="4F8A4722" w14:textId="77777777" w:rsidR="00D53536" w:rsidRDefault="0045373D">
            <w:pP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01503/INFOEM/IP/RR/2025</w:t>
            </w:r>
          </w:p>
        </w:tc>
        <w:tc>
          <w:tcPr>
            <w:tcW w:w="2943" w:type="dxa"/>
          </w:tcPr>
          <w:p w14:paraId="06D7D0FA" w14:textId="77777777" w:rsidR="00D53536" w:rsidRDefault="0045373D">
            <w:pPr>
              <w:spacing w:before="240" w:after="240"/>
              <w:jc w:val="both"/>
              <w:rPr>
                <w:rFonts w:ascii="Palatino Linotype" w:eastAsia="Palatino Linotype" w:hAnsi="Palatino Linotype" w:cs="Palatino Linotype"/>
                <w:i/>
              </w:rPr>
            </w:pPr>
            <w:r>
              <w:rPr>
                <w:rFonts w:ascii="Palatino Linotype" w:eastAsia="Palatino Linotype" w:hAnsi="Palatino Linotype" w:cs="Palatino Linotype"/>
                <w:i/>
              </w:rPr>
              <w:t>No fue lo solicitado</w:t>
            </w:r>
          </w:p>
        </w:tc>
        <w:tc>
          <w:tcPr>
            <w:tcW w:w="3180" w:type="dxa"/>
          </w:tcPr>
          <w:p w14:paraId="2078B055" w14:textId="77777777" w:rsidR="00D53536" w:rsidRDefault="0045373D">
            <w:pPr>
              <w:spacing w:before="240" w:after="240"/>
              <w:jc w:val="both"/>
              <w:rPr>
                <w:rFonts w:ascii="Palatino Linotype" w:eastAsia="Palatino Linotype" w:hAnsi="Palatino Linotype" w:cs="Palatino Linotype"/>
                <w:i/>
              </w:rPr>
            </w:pPr>
            <w:r>
              <w:rPr>
                <w:rFonts w:ascii="Palatino Linotype" w:eastAsia="Palatino Linotype" w:hAnsi="Palatino Linotype" w:cs="Palatino Linotype"/>
                <w:i/>
              </w:rPr>
              <w:t>Negativa</w:t>
            </w:r>
          </w:p>
        </w:tc>
      </w:tr>
    </w:tbl>
    <w:p w14:paraId="2647EB17" w14:textId="77777777" w:rsidR="00D53536" w:rsidRDefault="0045373D">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4. Turnos. </w:t>
      </w:r>
      <w:r>
        <w:rPr>
          <w:rFonts w:ascii="Palatino Linotype" w:eastAsia="Palatino Linotype" w:hAnsi="Palatino Linotype" w:cs="Palatino Linotype"/>
          <w:sz w:val="22"/>
          <w:szCs w:val="22"/>
        </w:rPr>
        <w:t>De conformidad con el artículo 185 fracción I de la Ley Transparencia y Acceso a la Información Pública, los recursos de revisión fueron</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turnados de la siguiente manera a efecto de presentar al Pleno los proyectos de resolución correspondientes: </w:t>
      </w:r>
    </w:p>
    <w:tbl>
      <w:tblPr>
        <w:tblStyle w:val="affc"/>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4461"/>
      </w:tblGrid>
      <w:tr w:rsidR="00D53536" w14:paraId="64777ACE" w14:textId="77777777">
        <w:tc>
          <w:tcPr>
            <w:tcW w:w="4460" w:type="dxa"/>
            <w:shd w:val="clear" w:color="auto" w:fill="DBEEF3"/>
          </w:tcPr>
          <w:p w14:paraId="3012941E" w14:textId="77777777" w:rsidR="00D53536" w:rsidRDefault="0045373D">
            <w:pP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lastRenderedPageBreak/>
              <w:t>Recurso de Revisión</w:t>
            </w:r>
          </w:p>
        </w:tc>
        <w:tc>
          <w:tcPr>
            <w:tcW w:w="4461" w:type="dxa"/>
            <w:shd w:val="clear" w:color="auto" w:fill="DBEEF3"/>
          </w:tcPr>
          <w:p w14:paraId="53C916AB" w14:textId="77777777" w:rsidR="00D53536" w:rsidRDefault="0045373D">
            <w:pPr>
              <w:spacing w:before="240" w:after="24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Comisionada</w:t>
            </w:r>
          </w:p>
        </w:tc>
      </w:tr>
      <w:tr w:rsidR="00D53536" w14:paraId="0750AB1D" w14:textId="77777777">
        <w:tc>
          <w:tcPr>
            <w:tcW w:w="4460" w:type="dxa"/>
          </w:tcPr>
          <w:p w14:paraId="56AF2520" w14:textId="77777777" w:rsidR="00D53536" w:rsidRDefault="0045373D">
            <w:pPr>
              <w:spacing w:before="240" w:after="240" w:line="276" w:lineRule="auto"/>
              <w:jc w:val="center"/>
              <w:rPr>
                <w:rFonts w:ascii="Palatino Linotype" w:eastAsia="Palatino Linotype" w:hAnsi="Palatino Linotype" w:cs="Palatino Linotype"/>
                <w:b/>
              </w:rPr>
            </w:pPr>
            <w:r>
              <w:rPr>
                <w:rFonts w:ascii="Palatino Linotype" w:eastAsia="Palatino Linotype" w:hAnsi="Palatino Linotype" w:cs="Palatino Linotype"/>
                <w:b/>
              </w:rPr>
              <w:t>01499/INFOEM/IP/RR/2025</w:t>
            </w:r>
          </w:p>
        </w:tc>
        <w:tc>
          <w:tcPr>
            <w:tcW w:w="4461" w:type="dxa"/>
          </w:tcPr>
          <w:p w14:paraId="183012DF" w14:textId="77777777" w:rsidR="00D53536" w:rsidRDefault="0045373D">
            <w:pPr>
              <w:spacing w:before="240" w:after="240"/>
              <w:jc w:val="center"/>
              <w:rPr>
                <w:rFonts w:ascii="Palatino Linotype" w:eastAsia="Palatino Linotype" w:hAnsi="Palatino Linotype" w:cs="Palatino Linotype"/>
                <w:b/>
              </w:rPr>
            </w:pPr>
            <w:r>
              <w:rPr>
                <w:rFonts w:ascii="Palatino Linotype" w:eastAsia="Palatino Linotype" w:hAnsi="Palatino Linotype" w:cs="Palatino Linotype"/>
                <w:b/>
              </w:rPr>
              <w:t>Comisionada Guadalupe Ramírez Peña</w:t>
            </w:r>
          </w:p>
        </w:tc>
      </w:tr>
      <w:tr w:rsidR="00D53536" w14:paraId="2CD82524" w14:textId="77777777">
        <w:tc>
          <w:tcPr>
            <w:tcW w:w="4460" w:type="dxa"/>
          </w:tcPr>
          <w:p w14:paraId="3CC1308E" w14:textId="77777777" w:rsidR="00D53536" w:rsidRDefault="0045373D">
            <w:pPr>
              <w:spacing w:before="240" w:after="240" w:line="276" w:lineRule="auto"/>
              <w:jc w:val="center"/>
              <w:rPr>
                <w:rFonts w:ascii="Palatino Linotype" w:eastAsia="Palatino Linotype" w:hAnsi="Palatino Linotype" w:cs="Palatino Linotype"/>
                <w:b/>
              </w:rPr>
            </w:pPr>
            <w:r>
              <w:rPr>
                <w:rFonts w:ascii="Palatino Linotype" w:eastAsia="Palatino Linotype" w:hAnsi="Palatino Linotype" w:cs="Palatino Linotype"/>
                <w:b/>
              </w:rPr>
              <w:t>01503/INFOEM/IP/RR/2025</w:t>
            </w:r>
          </w:p>
        </w:tc>
        <w:tc>
          <w:tcPr>
            <w:tcW w:w="4461" w:type="dxa"/>
          </w:tcPr>
          <w:p w14:paraId="5A709A31" w14:textId="77777777" w:rsidR="00D53536" w:rsidRDefault="0045373D">
            <w:pPr>
              <w:spacing w:before="240" w:after="240"/>
              <w:jc w:val="center"/>
              <w:rPr>
                <w:rFonts w:ascii="Palatino Linotype" w:eastAsia="Palatino Linotype" w:hAnsi="Palatino Linotype" w:cs="Palatino Linotype"/>
                <w:b/>
              </w:rPr>
            </w:pPr>
            <w:r>
              <w:rPr>
                <w:rFonts w:ascii="Palatino Linotype" w:eastAsia="Palatino Linotype" w:hAnsi="Palatino Linotype" w:cs="Palatino Linotype"/>
                <w:b/>
              </w:rPr>
              <w:t xml:space="preserve">Comisionada María del Rosario Mejía Ayala </w:t>
            </w:r>
          </w:p>
        </w:tc>
      </w:tr>
    </w:tbl>
    <w:p w14:paraId="7B1599A9" w14:textId="77777777" w:rsidR="00D53536" w:rsidRDefault="0045373D">
      <w:pPr>
        <w:spacing w:before="240" w:after="240" w:line="360" w:lineRule="auto"/>
        <w:jc w:val="both"/>
        <w:rPr>
          <w:rFonts w:ascii="Palatino Linotype" w:eastAsia="Palatino Linotype" w:hAnsi="Palatino Linotype" w:cs="Palatino Linotype"/>
          <w:sz w:val="22"/>
          <w:szCs w:val="22"/>
        </w:rPr>
      </w:pPr>
      <w:bookmarkStart w:id="1" w:name="_heading=h.2et92p0" w:colFirst="0" w:colLast="0"/>
      <w:bookmarkEnd w:id="1"/>
      <w:r>
        <w:rPr>
          <w:rFonts w:ascii="Palatino Linotype" w:eastAsia="Palatino Linotype" w:hAnsi="Palatino Linotype" w:cs="Palatino Linotype"/>
          <w:b/>
          <w:sz w:val="22"/>
          <w:szCs w:val="22"/>
        </w:rPr>
        <w:t xml:space="preserve">5. Admisiones. </w:t>
      </w:r>
      <w:r>
        <w:rPr>
          <w:rFonts w:ascii="Palatino Linotype" w:eastAsia="Palatino Linotype" w:hAnsi="Palatino Linotype" w:cs="Palatino Linotype"/>
          <w:sz w:val="22"/>
          <w:szCs w:val="22"/>
        </w:rPr>
        <w:t xml:space="preserve">Los días </w:t>
      </w:r>
      <w:r>
        <w:rPr>
          <w:rFonts w:ascii="Palatino Linotype" w:eastAsia="Palatino Linotype" w:hAnsi="Palatino Linotype" w:cs="Palatino Linotype"/>
          <w:b/>
          <w:sz w:val="22"/>
          <w:szCs w:val="22"/>
        </w:rPr>
        <w:t>diecinueve y veinte de febrero de dos mil veinticinco,</w:t>
      </w:r>
      <w:r>
        <w:rPr>
          <w:rFonts w:ascii="Palatino Linotype" w:eastAsia="Palatino Linotype" w:hAnsi="Palatino Linotype" w:cs="Palatino Linotype"/>
          <w:sz w:val="22"/>
          <w:szCs w:val="22"/>
        </w:rPr>
        <w:t xml:space="preserve"> en términos de lo dispuesto en el artículo 185 fracciones I, II y IV de la Ley de Transparencia y Acceso a la Información Pública del Estado de México y Municipios, se admitieron a trámite los recursos de revisión.</w:t>
      </w:r>
    </w:p>
    <w:p w14:paraId="06B4E275" w14:textId="77777777" w:rsidR="00D53536" w:rsidRDefault="0045373D">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6. Acumulación. </w:t>
      </w:r>
      <w:r>
        <w:rPr>
          <w:rFonts w:ascii="Palatino Linotype" w:eastAsia="Palatino Linotype" w:hAnsi="Palatino Linotype" w:cs="Palatino Linotype"/>
          <w:sz w:val="22"/>
          <w:szCs w:val="22"/>
        </w:rPr>
        <w:t xml:space="preserve">En la </w:t>
      </w:r>
      <w:r>
        <w:rPr>
          <w:rFonts w:ascii="Palatino Linotype" w:eastAsia="Palatino Linotype" w:hAnsi="Palatino Linotype" w:cs="Palatino Linotype"/>
          <w:b/>
          <w:sz w:val="22"/>
          <w:szCs w:val="22"/>
        </w:rPr>
        <w:t>Séptima Sesión Ordinaria</w:t>
      </w:r>
      <w:r>
        <w:rPr>
          <w:rFonts w:ascii="Palatino Linotype" w:eastAsia="Palatino Linotype" w:hAnsi="Palatino Linotype" w:cs="Palatino Linotype"/>
          <w:sz w:val="22"/>
          <w:szCs w:val="22"/>
        </w:rPr>
        <w:t xml:space="preserve"> celebrada el </w:t>
      </w:r>
      <w:r>
        <w:rPr>
          <w:rFonts w:ascii="Palatino Linotype" w:eastAsia="Palatino Linotype" w:hAnsi="Palatino Linotype" w:cs="Palatino Linotype"/>
          <w:b/>
          <w:sz w:val="22"/>
          <w:szCs w:val="22"/>
        </w:rPr>
        <w:t>veintiséis de febrero de dos mil veinticinco</w:t>
      </w:r>
      <w:r>
        <w:rPr>
          <w:rFonts w:ascii="Palatino Linotype" w:eastAsia="Palatino Linotype" w:hAnsi="Palatino Linotype" w:cs="Palatino Linotype"/>
          <w:sz w:val="22"/>
          <w:szCs w:val="22"/>
        </w:rPr>
        <w:t xml:space="preserve">, al advertir la conexidad de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se acordó la acumulación de los recursos antes señalados, acordando que fuera Ponente la </w:t>
      </w:r>
      <w:r>
        <w:rPr>
          <w:rFonts w:ascii="Palatino Linotype" w:eastAsia="Palatino Linotype" w:hAnsi="Palatino Linotype" w:cs="Palatino Linotype"/>
          <w:b/>
          <w:sz w:val="22"/>
          <w:szCs w:val="22"/>
        </w:rPr>
        <w:t>Comisionada</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Guadalupe Ramírez Peña</w:t>
      </w:r>
      <w:r>
        <w:rPr>
          <w:rFonts w:ascii="Palatino Linotype" w:eastAsia="Palatino Linotype" w:hAnsi="Palatino Linotype" w:cs="Palatino Linotype"/>
          <w:sz w:val="22"/>
          <w:szCs w:val="22"/>
        </w:rPr>
        <w:t xml:space="preserve">; que mediante acuerdo se notificó a las partes vía SAIMEX el </w:t>
      </w:r>
      <w:r>
        <w:rPr>
          <w:rFonts w:ascii="Palatino Linotype" w:eastAsia="Palatino Linotype" w:hAnsi="Palatino Linotype" w:cs="Palatino Linotype"/>
          <w:b/>
          <w:sz w:val="22"/>
          <w:szCs w:val="22"/>
        </w:rPr>
        <w:t>diecinueve de marzo de dos mil veinticinco</w:t>
      </w:r>
      <w:r>
        <w:rPr>
          <w:rFonts w:ascii="Palatino Linotype" w:eastAsia="Palatino Linotype" w:hAnsi="Palatino Linotype" w:cs="Palatino Linotype"/>
          <w:sz w:val="22"/>
          <w:szCs w:val="22"/>
        </w:rPr>
        <w:t xml:space="preserve">. </w:t>
      </w:r>
    </w:p>
    <w:p w14:paraId="646051EE" w14:textId="77777777" w:rsidR="00D53536" w:rsidRDefault="0045373D">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7. Manifestaciones. </w:t>
      </w:r>
      <w:r>
        <w:rPr>
          <w:rFonts w:ascii="Palatino Linotype" w:eastAsia="Palatino Linotype" w:hAnsi="Palatino Linotype" w:cs="Palatino Linotype"/>
          <w:sz w:val="22"/>
          <w:szCs w:val="22"/>
        </w:rPr>
        <w:t xml:space="preserve">De las constancias que obran en los expedientes electrónicos del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 xml:space="preserve"> se desprende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en fecha </w:t>
      </w:r>
      <w:r>
        <w:rPr>
          <w:rFonts w:ascii="Palatino Linotype" w:eastAsia="Palatino Linotype" w:hAnsi="Palatino Linotype" w:cs="Palatino Linotype"/>
          <w:b/>
          <w:sz w:val="22"/>
          <w:szCs w:val="22"/>
        </w:rPr>
        <w:t xml:space="preserve">veintiocho de febrero de dos mil veinticinco, </w:t>
      </w:r>
      <w:r>
        <w:rPr>
          <w:rFonts w:ascii="Palatino Linotype" w:eastAsia="Palatino Linotype" w:hAnsi="Palatino Linotype" w:cs="Palatino Linotype"/>
          <w:sz w:val="22"/>
          <w:szCs w:val="22"/>
        </w:rPr>
        <w:t xml:space="preserve">rindió sus informes justificados a través de los siguientes archivos electrónicos: </w:t>
      </w:r>
    </w:p>
    <w:p w14:paraId="5E3416D6" w14:textId="77777777" w:rsidR="00D53536" w:rsidRDefault="0045373D">
      <w:pPr>
        <w:numPr>
          <w:ilvl w:val="0"/>
          <w:numId w:val="1"/>
        </w:numPr>
        <w:pBdr>
          <w:top w:val="nil"/>
          <w:left w:val="nil"/>
          <w:bottom w:val="nil"/>
          <w:right w:val="nil"/>
          <w:between w:val="nil"/>
        </w:pBdr>
        <w:spacing w:before="240" w:line="360" w:lineRule="auto"/>
        <w:jc w:val="both"/>
        <w:rPr>
          <w:rFonts w:ascii="Palatino Linotype" w:eastAsia="Palatino Linotype" w:hAnsi="Palatino Linotype" w:cs="Palatino Linotype"/>
          <w:b/>
          <w:color w:val="000000"/>
          <w:sz w:val="22"/>
          <w:szCs w:val="22"/>
          <w:u w:val="single"/>
        </w:rPr>
      </w:pPr>
      <w:r>
        <w:rPr>
          <w:rFonts w:ascii="Palatino Linotype" w:eastAsia="Palatino Linotype" w:hAnsi="Palatino Linotype" w:cs="Palatino Linotype"/>
          <w:b/>
          <w:color w:val="000000"/>
          <w:sz w:val="22"/>
          <w:szCs w:val="22"/>
          <w:u w:val="single"/>
        </w:rPr>
        <w:t xml:space="preserve">Del Recurso de Revisión 01499/INFOEM/IP/RR/2025: </w:t>
      </w:r>
    </w:p>
    <w:p w14:paraId="0F5D07DB" w14:textId="77777777" w:rsidR="00D53536" w:rsidRDefault="0045373D">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lastRenderedPageBreak/>
        <w:t>INF. JUST. RR 1499.pdf</w:t>
      </w:r>
      <w:r>
        <w:rPr>
          <w:rFonts w:ascii="Palatino Linotype" w:eastAsia="Palatino Linotype" w:hAnsi="Palatino Linotype" w:cs="Palatino Linotype"/>
          <w:color w:val="000000"/>
          <w:sz w:val="22"/>
          <w:szCs w:val="22"/>
        </w:rPr>
        <w:t xml:space="preserve">: Oficio número PMM/CTAI/244/2025 de fecha veintisiete de febrero de dos mil veinticinco, signado por la Coordinadora de Transparencia y Acceso a la Información, mediante el cual informó: </w:t>
      </w:r>
    </w:p>
    <w:p w14:paraId="7F03168D" w14:textId="77777777" w:rsidR="00D53536" w:rsidRDefault="00D53536">
      <w:pPr>
        <w:pBdr>
          <w:top w:val="nil"/>
          <w:left w:val="nil"/>
          <w:bottom w:val="nil"/>
          <w:right w:val="nil"/>
          <w:between w:val="nil"/>
        </w:pBdr>
        <w:spacing w:line="360" w:lineRule="auto"/>
        <w:ind w:left="1440"/>
        <w:jc w:val="both"/>
        <w:rPr>
          <w:rFonts w:ascii="Palatino Linotype" w:eastAsia="Palatino Linotype" w:hAnsi="Palatino Linotype" w:cs="Palatino Linotype"/>
          <w:b/>
          <w:i/>
          <w:color w:val="000000"/>
          <w:sz w:val="22"/>
          <w:szCs w:val="22"/>
        </w:rPr>
      </w:pPr>
    </w:p>
    <w:p w14:paraId="34850FB1" w14:textId="77777777" w:rsidR="00D53536" w:rsidRDefault="0045373D">
      <w:pPr>
        <w:pBdr>
          <w:top w:val="nil"/>
          <w:left w:val="nil"/>
          <w:bottom w:val="nil"/>
          <w:right w:val="nil"/>
          <w:between w:val="nil"/>
        </w:pBdr>
        <w:spacing w:line="276" w:lineRule="auto"/>
        <w:ind w:left="1701" w:right="47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 xml:space="preserve">“Que si bien es cierto que en la contestación se manifestó que a la fecha en que se recibió la solicitud de información, la contraloría interna municipal no contaba con organigrama interna aprobada para la administración 2025-2027. También es cierto que </w:t>
      </w:r>
      <w:r>
        <w:rPr>
          <w:rFonts w:ascii="Palatino Linotype" w:eastAsia="Palatino Linotype" w:hAnsi="Palatino Linotype" w:cs="Palatino Linotype"/>
          <w:b/>
          <w:i/>
          <w:color w:val="000000"/>
          <w:sz w:val="22"/>
          <w:szCs w:val="22"/>
        </w:rPr>
        <w:t>no se señaló temporalidad de la información solicitada</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 xml:space="preserve">por lo que trae a colación el criterio orientador 03/19 </w:t>
      </w:r>
      <w:r>
        <w:rPr>
          <w:rFonts w:ascii="Palatino Linotype" w:eastAsia="Palatino Linotype" w:hAnsi="Palatino Linotype" w:cs="Palatino Linotype"/>
          <w:i/>
          <w:color w:val="000000"/>
          <w:sz w:val="22"/>
          <w:szCs w:val="22"/>
        </w:rPr>
        <w:t>que refiere que cuando la persona solicitante no señale el periodo respecto del cual requiere la información se considerará que el requerimiento se refleje al año inmediato anterior</w:t>
      </w: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 xml:space="preserve"> contado a partir de la fecha de recepción de la solicitud, </w:t>
      </w:r>
      <w:r>
        <w:rPr>
          <w:rFonts w:ascii="Palatino Linotype" w:eastAsia="Palatino Linotype" w:hAnsi="Palatino Linotype" w:cs="Palatino Linotype"/>
          <w:b/>
          <w:i/>
          <w:color w:val="000000"/>
          <w:sz w:val="22"/>
          <w:szCs w:val="22"/>
        </w:rPr>
        <w:t xml:space="preserve">por lo que del dieciséis de enero de dos mil veinticuatro al dieciséis de enero de dos mil veinticinco, fecha en que ingreso la solicitud, </w:t>
      </w:r>
      <w:r>
        <w:rPr>
          <w:rFonts w:ascii="Palatino Linotype" w:eastAsia="Palatino Linotype" w:hAnsi="Palatino Linotype" w:cs="Palatino Linotype"/>
          <w:b/>
          <w:i/>
          <w:color w:val="000000"/>
          <w:sz w:val="22"/>
          <w:szCs w:val="22"/>
          <w:u w:val="single"/>
        </w:rPr>
        <w:t>el organigrama vigente es el que se encuentra en la página 36 del Manual</w:t>
      </w:r>
      <w:r>
        <w:rPr>
          <w:rFonts w:ascii="Palatino Linotype" w:eastAsia="Palatino Linotype" w:hAnsi="Palatino Linotype" w:cs="Palatino Linotype"/>
          <w:i/>
          <w:color w:val="000000"/>
          <w:sz w:val="22"/>
          <w:szCs w:val="22"/>
          <w:u w:val="single"/>
        </w:rPr>
        <w:t xml:space="preserve"> </w:t>
      </w:r>
      <w:r>
        <w:rPr>
          <w:rFonts w:ascii="Palatino Linotype" w:eastAsia="Palatino Linotype" w:hAnsi="Palatino Linotype" w:cs="Palatino Linotype"/>
          <w:b/>
          <w:i/>
          <w:color w:val="000000"/>
          <w:sz w:val="22"/>
          <w:szCs w:val="22"/>
          <w:u w:val="single"/>
        </w:rPr>
        <w:t>de Organización de la Contraloría Interna Municipal</w:t>
      </w:r>
      <w:r>
        <w:rPr>
          <w:rFonts w:ascii="Palatino Linotype" w:eastAsia="Palatino Linotype" w:hAnsi="Palatino Linotype" w:cs="Palatino Linotype"/>
          <w:i/>
          <w:color w:val="000000"/>
          <w:sz w:val="22"/>
          <w:szCs w:val="22"/>
        </w:rPr>
        <w:t>, la cual fue aprobado en la Trigésima Octava Sesión Ordinaria de Cabildo, celebrada en fecha siete de octubre de dos mil veintidós, en el punto número ocho del orden del día con el ACUERDO/MEXGOAYU/003-2022, misma que se adjunta al presente documento.”</w:t>
      </w:r>
    </w:p>
    <w:p w14:paraId="6FB7C580" w14:textId="77777777" w:rsidR="00D53536" w:rsidRDefault="0045373D">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ANEXO I MANUAL DE ORGANIZACIÓN CONTRALORIA MUNICIPAL MEXICALTZINGO PDF.pdf</w:t>
      </w:r>
      <w:r>
        <w:rPr>
          <w:rFonts w:ascii="Palatino Linotype" w:eastAsia="Palatino Linotype" w:hAnsi="Palatino Linotype" w:cs="Palatino Linotype"/>
          <w:color w:val="000000"/>
          <w:sz w:val="22"/>
          <w:szCs w:val="22"/>
        </w:rPr>
        <w:t xml:space="preserve">: Contiene el Manual de Organización de la Contraloría Interna Municipal de Mexicaltzingo. </w:t>
      </w:r>
    </w:p>
    <w:p w14:paraId="7820B549" w14:textId="77777777" w:rsidR="00D53536" w:rsidRDefault="00D53536">
      <w:pPr>
        <w:spacing w:line="360" w:lineRule="auto"/>
        <w:jc w:val="both"/>
        <w:rPr>
          <w:rFonts w:ascii="Palatino Linotype" w:eastAsia="Palatino Linotype" w:hAnsi="Palatino Linotype" w:cs="Palatino Linotype"/>
          <w:sz w:val="22"/>
          <w:szCs w:val="22"/>
        </w:rPr>
      </w:pPr>
    </w:p>
    <w:p w14:paraId="19D7A00B" w14:textId="77777777" w:rsidR="00D53536" w:rsidRDefault="0045373D">
      <w:pPr>
        <w:numPr>
          <w:ilvl w:val="0"/>
          <w:numId w:val="1"/>
        </w:numPr>
        <w:pBdr>
          <w:top w:val="nil"/>
          <w:left w:val="nil"/>
          <w:bottom w:val="nil"/>
          <w:right w:val="nil"/>
          <w:between w:val="nil"/>
        </w:pBdr>
        <w:spacing w:before="240" w:line="360" w:lineRule="auto"/>
        <w:jc w:val="both"/>
        <w:rPr>
          <w:rFonts w:ascii="Palatino Linotype" w:eastAsia="Palatino Linotype" w:hAnsi="Palatino Linotype" w:cs="Palatino Linotype"/>
          <w:b/>
          <w:color w:val="000000"/>
          <w:sz w:val="22"/>
          <w:szCs w:val="22"/>
          <w:u w:val="single"/>
        </w:rPr>
      </w:pPr>
      <w:r>
        <w:rPr>
          <w:rFonts w:ascii="Palatino Linotype" w:eastAsia="Palatino Linotype" w:hAnsi="Palatino Linotype" w:cs="Palatino Linotype"/>
          <w:b/>
          <w:color w:val="000000"/>
          <w:sz w:val="22"/>
          <w:szCs w:val="22"/>
          <w:u w:val="single"/>
        </w:rPr>
        <w:t>Del Recurso de Revisión</w:t>
      </w:r>
      <w:r>
        <w:rPr>
          <w:rFonts w:ascii="Palatino Linotype" w:eastAsia="Palatino Linotype" w:hAnsi="Palatino Linotype" w:cs="Palatino Linotype"/>
          <w:color w:val="000000"/>
          <w:sz w:val="22"/>
          <w:szCs w:val="22"/>
          <w:u w:val="single"/>
        </w:rPr>
        <w:t xml:space="preserve"> </w:t>
      </w:r>
      <w:r>
        <w:rPr>
          <w:rFonts w:ascii="Palatino Linotype" w:eastAsia="Palatino Linotype" w:hAnsi="Palatino Linotype" w:cs="Palatino Linotype"/>
          <w:b/>
          <w:color w:val="000000"/>
          <w:sz w:val="22"/>
          <w:szCs w:val="22"/>
          <w:u w:val="single"/>
        </w:rPr>
        <w:t xml:space="preserve">01503/INFOEM/IP/RR/2025: </w:t>
      </w:r>
    </w:p>
    <w:p w14:paraId="0023767B" w14:textId="77777777" w:rsidR="00D53536" w:rsidRDefault="0045373D">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INF. JUST. RR 1503.pdf</w:t>
      </w:r>
      <w:r>
        <w:rPr>
          <w:rFonts w:ascii="Palatino Linotype" w:eastAsia="Palatino Linotype" w:hAnsi="Palatino Linotype" w:cs="Palatino Linotype"/>
          <w:color w:val="000000"/>
          <w:sz w:val="22"/>
          <w:szCs w:val="22"/>
        </w:rPr>
        <w:t xml:space="preserve">: Oficio número PMM/CTAI/243/2025 de fecha veintisiete de febrero de dos mil veinticinco, signado por la Coordinadora de Transparencia y Acceso a la Información, mediante el cual informó: </w:t>
      </w:r>
    </w:p>
    <w:p w14:paraId="6B84EDCD" w14:textId="77777777" w:rsidR="00D53536" w:rsidRDefault="00D53536">
      <w:pPr>
        <w:pBdr>
          <w:top w:val="nil"/>
          <w:left w:val="nil"/>
          <w:bottom w:val="nil"/>
          <w:right w:val="nil"/>
          <w:between w:val="nil"/>
        </w:pBdr>
        <w:spacing w:line="360" w:lineRule="auto"/>
        <w:ind w:left="1440"/>
        <w:jc w:val="both"/>
        <w:rPr>
          <w:rFonts w:ascii="Palatino Linotype" w:eastAsia="Palatino Linotype" w:hAnsi="Palatino Linotype" w:cs="Palatino Linotype"/>
          <w:b/>
          <w:i/>
          <w:color w:val="000000"/>
          <w:sz w:val="22"/>
          <w:szCs w:val="22"/>
        </w:rPr>
      </w:pPr>
    </w:p>
    <w:p w14:paraId="65A3B640" w14:textId="77777777" w:rsidR="00D53536" w:rsidRDefault="0045373D">
      <w:pPr>
        <w:pBdr>
          <w:top w:val="nil"/>
          <w:left w:val="nil"/>
          <w:bottom w:val="nil"/>
          <w:right w:val="nil"/>
          <w:between w:val="nil"/>
        </w:pBdr>
        <w:spacing w:line="276" w:lineRule="auto"/>
        <w:ind w:left="1701" w:right="47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 xml:space="preserve">“Que si bien es cierto que en la contestación se manifestó que a la fecha en que se recibió la solicitud de información, la contraloría interna municipal no contaba con organigrama interna aprobada para la administración 2025-2027. También es cierto que </w:t>
      </w:r>
      <w:r>
        <w:rPr>
          <w:rFonts w:ascii="Palatino Linotype" w:eastAsia="Palatino Linotype" w:hAnsi="Palatino Linotype" w:cs="Palatino Linotype"/>
          <w:b/>
          <w:i/>
          <w:color w:val="000000"/>
          <w:sz w:val="22"/>
          <w:szCs w:val="22"/>
        </w:rPr>
        <w:t>no se señaló temporalidad de la información solicitada</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 xml:space="preserve">por lo que trae a colación el criterio orientador 03/19 </w:t>
      </w:r>
      <w:r>
        <w:rPr>
          <w:rFonts w:ascii="Palatino Linotype" w:eastAsia="Palatino Linotype" w:hAnsi="Palatino Linotype" w:cs="Palatino Linotype"/>
          <w:i/>
          <w:color w:val="000000"/>
          <w:sz w:val="22"/>
          <w:szCs w:val="22"/>
        </w:rPr>
        <w:t>que refiere que cuando la persona solicitante no señale el periodo respecto del cual requiere la información se considerará que el requerimiento se refleje al año inmediato anterior</w:t>
      </w: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 xml:space="preserve"> contado a partir de la fecha de recepción de la solicitud, </w:t>
      </w:r>
      <w:r>
        <w:rPr>
          <w:rFonts w:ascii="Palatino Linotype" w:eastAsia="Palatino Linotype" w:hAnsi="Palatino Linotype" w:cs="Palatino Linotype"/>
          <w:b/>
          <w:i/>
          <w:color w:val="000000"/>
          <w:sz w:val="22"/>
          <w:szCs w:val="22"/>
        </w:rPr>
        <w:t xml:space="preserve">por lo que del dieciséis de enero de dos mil veinticuatro al dieciséis de enero de dos mil veinticinco, fecha en que ingreso la solicitud, </w:t>
      </w:r>
      <w:r>
        <w:rPr>
          <w:rFonts w:ascii="Palatino Linotype" w:eastAsia="Palatino Linotype" w:hAnsi="Palatino Linotype" w:cs="Palatino Linotype"/>
          <w:b/>
          <w:i/>
          <w:color w:val="000000"/>
          <w:sz w:val="22"/>
          <w:szCs w:val="22"/>
          <w:u w:val="single"/>
        </w:rPr>
        <w:t>el organigrama vigente es el que se encuentra en la página 36</w:t>
      </w:r>
      <w:r>
        <w:rPr>
          <w:rFonts w:ascii="Palatino Linotype" w:eastAsia="Palatino Linotype" w:hAnsi="Palatino Linotype" w:cs="Palatino Linotype"/>
          <w:b/>
          <w:i/>
          <w:color w:val="000000"/>
          <w:sz w:val="22"/>
          <w:szCs w:val="22"/>
        </w:rPr>
        <w:t xml:space="preserve"> </w:t>
      </w:r>
      <w:r>
        <w:rPr>
          <w:rFonts w:ascii="Palatino Linotype" w:eastAsia="Palatino Linotype" w:hAnsi="Palatino Linotype" w:cs="Palatino Linotype"/>
          <w:b/>
          <w:i/>
          <w:color w:val="000000"/>
          <w:sz w:val="22"/>
          <w:szCs w:val="22"/>
          <w:u w:val="single"/>
        </w:rPr>
        <w:t>del Manual</w:t>
      </w:r>
      <w:r>
        <w:rPr>
          <w:rFonts w:ascii="Palatino Linotype" w:eastAsia="Palatino Linotype" w:hAnsi="Palatino Linotype" w:cs="Palatino Linotype"/>
          <w:i/>
          <w:color w:val="000000"/>
          <w:sz w:val="22"/>
          <w:szCs w:val="22"/>
          <w:u w:val="single"/>
        </w:rPr>
        <w:t xml:space="preserve"> </w:t>
      </w:r>
      <w:r>
        <w:rPr>
          <w:rFonts w:ascii="Palatino Linotype" w:eastAsia="Palatino Linotype" w:hAnsi="Palatino Linotype" w:cs="Palatino Linotype"/>
          <w:b/>
          <w:i/>
          <w:color w:val="000000"/>
          <w:sz w:val="22"/>
          <w:szCs w:val="22"/>
          <w:u w:val="single"/>
        </w:rPr>
        <w:t>de Organización de la Contraloría Interna Municipal</w:t>
      </w:r>
      <w:r>
        <w:rPr>
          <w:rFonts w:ascii="Palatino Linotype" w:eastAsia="Palatino Linotype" w:hAnsi="Palatino Linotype" w:cs="Palatino Linotype"/>
          <w:i/>
          <w:color w:val="000000"/>
          <w:sz w:val="22"/>
          <w:szCs w:val="22"/>
        </w:rPr>
        <w:t>, la cual fue aprobado en la Trigésima Octava Sesión Ordinaria de Cabildo, celebrada en fecha siete de octubre de dos mil veintidós, en el punto número ocho del orden del día con el ACUERDO/MEXGOAYU/003-2022, misma que se adjunta al presente documento.”</w:t>
      </w:r>
    </w:p>
    <w:p w14:paraId="5493A950" w14:textId="77777777" w:rsidR="00D53536" w:rsidRDefault="0045373D">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ANEXO I MANUAL DE ORGANIZACIÓN CONTRALORIA MUNICIPAL MEXICALTZINGO PDF.pdf</w:t>
      </w:r>
      <w:r>
        <w:rPr>
          <w:rFonts w:ascii="Palatino Linotype" w:eastAsia="Palatino Linotype" w:hAnsi="Palatino Linotype" w:cs="Palatino Linotype"/>
          <w:color w:val="000000"/>
          <w:sz w:val="22"/>
          <w:szCs w:val="22"/>
        </w:rPr>
        <w:t xml:space="preserve">: Contiene el Manual de Organización de la Contraloría Interna Municipal de Mexicaltzingo. </w:t>
      </w:r>
    </w:p>
    <w:p w14:paraId="3FD349C3" w14:textId="77777777" w:rsidR="00D53536" w:rsidRDefault="00D53536">
      <w:pPr>
        <w:pBdr>
          <w:top w:val="nil"/>
          <w:left w:val="nil"/>
          <w:bottom w:val="nil"/>
          <w:right w:val="nil"/>
          <w:between w:val="nil"/>
        </w:pBdr>
        <w:spacing w:after="240" w:line="360" w:lineRule="auto"/>
        <w:ind w:left="720"/>
        <w:jc w:val="both"/>
        <w:rPr>
          <w:rFonts w:ascii="Palatino Linotype" w:eastAsia="Palatino Linotype" w:hAnsi="Palatino Linotype" w:cs="Palatino Linotype"/>
          <w:color w:val="000000"/>
          <w:sz w:val="22"/>
          <w:szCs w:val="22"/>
        </w:rPr>
      </w:pPr>
    </w:p>
    <w:p w14:paraId="27C1A6AB" w14:textId="77777777" w:rsidR="00D53536" w:rsidRDefault="0045373D">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Documentos que fueron puestos a la vista de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en fecha </w:t>
      </w:r>
      <w:r>
        <w:rPr>
          <w:rFonts w:ascii="Palatino Linotype" w:eastAsia="Palatino Linotype" w:hAnsi="Palatino Linotype" w:cs="Palatino Linotype"/>
          <w:b/>
          <w:sz w:val="22"/>
          <w:szCs w:val="22"/>
        </w:rPr>
        <w:t>diecinueve de marzo de dos mil veinticinco</w:t>
      </w:r>
      <w:r>
        <w:rPr>
          <w:rFonts w:ascii="Palatino Linotype" w:eastAsia="Palatino Linotype" w:hAnsi="Palatino Linotype" w:cs="Palatino Linotype"/>
          <w:sz w:val="22"/>
          <w:szCs w:val="22"/>
        </w:rPr>
        <w:t xml:space="preserve">, para que manifestara lo que a su derecho resultara conveniente; no obstante, fue omisa en ejercer dicha prerrogativa. </w:t>
      </w:r>
    </w:p>
    <w:p w14:paraId="4B23A604" w14:textId="77777777" w:rsidR="00D53536" w:rsidRDefault="0045373D">
      <w:pPr>
        <w:spacing w:before="240" w:after="240"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9. Cierres de instrucción. </w:t>
      </w:r>
      <w:r>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 los expedientes, el </w:t>
      </w:r>
      <w:r>
        <w:rPr>
          <w:rFonts w:ascii="Palatino Linotype" w:eastAsia="Palatino Linotype" w:hAnsi="Palatino Linotype" w:cs="Palatino Linotype"/>
          <w:b/>
          <w:sz w:val="22"/>
          <w:szCs w:val="22"/>
        </w:rPr>
        <w:t>veintiséis de marzo de dos mil veinticinco</w:t>
      </w:r>
      <w:r>
        <w:rPr>
          <w:rFonts w:ascii="Palatino Linotype" w:eastAsia="Palatino Linotype" w:hAnsi="Palatino Linotype" w:cs="Palatino Linotype"/>
          <w:sz w:val="22"/>
          <w:szCs w:val="22"/>
        </w:rPr>
        <w:t xml:space="preserve">, la Comisionada Ponente determinó los cierres de </w:t>
      </w:r>
      <w:r>
        <w:rPr>
          <w:rFonts w:ascii="Palatino Linotype" w:eastAsia="Palatino Linotype" w:hAnsi="Palatino Linotype" w:cs="Palatino Linotype"/>
          <w:sz w:val="22"/>
          <w:szCs w:val="22"/>
        </w:rPr>
        <w:lastRenderedPageBreak/>
        <w:t>instrucción en términos de la fracción VI del artículo 185 de la Ley de Transparencia y Acceso a la Información Pública del Estados de México y Municipios.</w:t>
      </w:r>
    </w:p>
    <w:p w14:paraId="31A4D4A0" w14:textId="77777777" w:rsidR="00D53536" w:rsidRDefault="0045373D">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razón de que fueron debidamente sustanciados los expedientes electrónicos y no existen diligencias pendientes de desahogo, se emite la Resolución que conforme a Derecho proceda, de acuerdo con los siguientes: </w:t>
      </w:r>
    </w:p>
    <w:p w14:paraId="1B7DCA8E" w14:textId="77777777" w:rsidR="00D53536" w:rsidRDefault="0045373D">
      <w:pPr>
        <w:widowControl w:val="0"/>
        <w:spacing w:before="240" w:after="240"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 C O N S I D E R A N D O</w:t>
      </w:r>
    </w:p>
    <w:p w14:paraId="43D0678D" w14:textId="77777777" w:rsidR="00D53536" w:rsidRDefault="0045373D">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Primero. Competencia.</w:t>
      </w:r>
      <w:r>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los presentes recursos de revisión interpuestos por la parte</w:t>
      </w:r>
      <w:r>
        <w:rPr>
          <w:rFonts w:ascii="Palatino Linotype" w:eastAsia="Palatino Linotype" w:hAnsi="Palatino Linotype" w:cs="Palatino Linotype"/>
          <w:b/>
          <w:sz w:val="22"/>
          <w:szCs w:val="22"/>
        </w:rPr>
        <w:t xml:space="preserve"> Recurrente</w:t>
      </w:r>
      <w:r>
        <w:rPr>
          <w:rFonts w:ascii="Palatino Linotype" w:eastAsia="Palatino Linotype" w:hAnsi="Palatino Linotype" w:cs="Palatino Linotype"/>
          <w:sz w:val="22"/>
          <w:szCs w:val="22"/>
        </w:rPr>
        <w:t>,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XXIII y XXIII  y 11 del Reglamento Interior del Instituto de Transparencia, Acceso a la Información Pública y Protección de Datos Personales del Estado de México y Municipios.</w:t>
      </w:r>
    </w:p>
    <w:p w14:paraId="2D216E61" w14:textId="77777777" w:rsidR="00D53536" w:rsidRDefault="0045373D">
      <w:pPr>
        <w:spacing w:before="240" w:after="240" w:line="360" w:lineRule="auto"/>
        <w:jc w:val="both"/>
        <w:rPr>
          <w:rFonts w:ascii="Palatino Linotype" w:eastAsia="Palatino Linotype" w:hAnsi="Palatino Linotype" w:cs="Palatino Linotype"/>
          <w:sz w:val="22"/>
          <w:szCs w:val="22"/>
        </w:rPr>
      </w:pPr>
      <w:bookmarkStart w:id="2" w:name="_heading=h.30j0zll" w:colFirst="0" w:colLast="0"/>
      <w:bookmarkEnd w:id="2"/>
      <w:r>
        <w:rPr>
          <w:rFonts w:ascii="Palatino Linotype" w:eastAsia="Palatino Linotype" w:hAnsi="Palatino Linotype" w:cs="Palatino Linotype"/>
          <w:b/>
          <w:sz w:val="22"/>
          <w:szCs w:val="22"/>
        </w:rPr>
        <w:t>Segundo. Oportunidad y Procedibilidad de los Recursos de Revisión</w:t>
      </w:r>
      <w:r>
        <w:rPr>
          <w:rFonts w:ascii="Palatino Linotype" w:eastAsia="Palatino Linotype" w:hAnsi="Palatino Linotype" w:cs="Palatino Linotype"/>
          <w:sz w:val="22"/>
          <w:szCs w:val="22"/>
        </w:rPr>
        <w:t>.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76945720" w14:textId="77777777" w:rsidR="00D53536" w:rsidRDefault="0045373D">
      <w:pPr>
        <w:spacing w:before="240" w:after="240"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lastRenderedPageBreak/>
        <w:t xml:space="preserve">Los recursos de revisión fueron interpuestos dentro del plazo de quince días hábiles, previsto en el artículo 178 de la Ley de Transparencia y Acceso a la Información Pública del Estado de México y Municipios, toda vez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respondió a las solicitudes de información que aperturaron los recursos de revisión, el </w:t>
      </w:r>
      <w:r>
        <w:rPr>
          <w:rFonts w:ascii="Palatino Linotype" w:eastAsia="Palatino Linotype" w:hAnsi="Palatino Linotype" w:cs="Palatino Linotype"/>
          <w:b/>
          <w:sz w:val="22"/>
          <w:szCs w:val="22"/>
        </w:rPr>
        <w:t>siete de febrero de dos mil veinticinco</w:t>
      </w:r>
      <w:r>
        <w:rPr>
          <w:rFonts w:ascii="Palatino Linotype" w:eastAsia="Palatino Linotype" w:hAnsi="Palatino Linotype" w:cs="Palatino Linotype"/>
          <w:sz w:val="22"/>
          <w:szCs w:val="22"/>
        </w:rPr>
        <w:t xml:space="preserve">, por su parte, los recursos de revisión se interpusieron el día </w:t>
      </w:r>
      <w:r>
        <w:rPr>
          <w:rFonts w:ascii="Palatino Linotype" w:eastAsia="Palatino Linotype" w:hAnsi="Palatino Linotype" w:cs="Palatino Linotype"/>
          <w:b/>
          <w:sz w:val="22"/>
          <w:szCs w:val="22"/>
        </w:rPr>
        <w:t>diecisiete de febrero de dos mil veinticinco</w:t>
      </w:r>
      <w:r>
        <w:rPr>
          <w:rFonts w:ascii="Palatino Linotype" w:eastAsia="Palatino Linotype" w:hAnsi="Palatino Linotype" w:cs="Palatino Linotype"/>
          <w:sz w:val="22"/>
          <w:szCs w:val="22"/>
        </w:rPr>
        <w:t xml:space="preserve">, esto es en el </w:t>
      </w:r>
      <w:r>
        <w:rPr>
          <w:rFonts w:ascii="Palatino Linotype" w:eastAsia="Palatino Linotype" w:hAnsi="Palatino Linotype" w:cs="Palatino Linotype"/>
          <w:b/>
          <w:sz w:val="22"/>
          <w:szCs w:val="22"/>
        </w:rPr>
        <w:t>sexto día hábil</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después de conocerse las respuestas.</w:t>
      </w:r>
    </w:p>
    <w:p w14:paraId="33DF694D" w14:textId="77777777" w:rsidR="00D53536" w:rsidRDefault="0045373D">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sentido, al considerar las fechas en que se formularon las solicitudes y las fechas en que respondieron a estas; así como la fecha en que se interpusieron los recursos de revisión, se concluye que los presentes recursos de revisión se encuentran dentro de los márgenes temporales previstos las disposiciones legales referidas.</w:t>
      </w:r>
    </w:p>
    <w:p w14:paraId="1CD7806C" w14:textId="77777777" w:rsidR="00D53536" w:rsidRDefault="0045373D">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126673B9" w14:textId="77777777" w:rsidR="00D53536" w:rsidRDefault="0045373D">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Finalmente, se advierte que resulta procedente la interposición de los recursos, según lo manifestado por la parte recurrente en sus motivos de inconformidad, de acuerdo al artículo 179, fracción I del ordenamiento legal citado, que a la letra dice: </w:t>
      </w:r>
    </w:p>
    <w:p w14:paraId="7F72346E" w14:textId="77777777" w:rsidR="00D53536" w:rsidRDefault="0045373D">
      <w:pPr>
        <w:tabs>
          <w:tab w:val="left" w:pos="7088"/>
        </w:tabs>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179.</w:t>
      </w:r>
      <w:r>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5B5250F4" w14:textId="77777777" w:rsidR="00D53536" w:rsidRDefault="0045373D">
      <w:pPr>
        <w:tabs>
          <w:tab w:val="left" w:pos="7088"/>
        </w:tabs>
        <w:spacing w:line="276" w:lineRule="auto"/>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u w:val="single"/>
        </w:rPr>
        <w:t>I. La negativa a la información solicitada;</w:t>
      </w:r>
      <w:r>
        <w:rPr>
          <w:rFonts w:ascii="Palatino Linotype" w:eastAsia="Palatino Linotype" w:hAnsi="Palatino Linotype" w:cs="Palatino Linotype"/>
          <w:b/>
          <w:i/>
          <w:sz w:val="22"/>
          <w:szCs w:val="22"/>
          <w:u w:val="single"/>
        </w:rPr>
        <w:br/>
      </w: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 </w:t>
      </w:r>
    </w:p>
    <w:p w14:paraId="7FF8772E" w14:textId="77777777" w:rsidR="00D53536" w:rsidRDefault="0045373D">
      <w:pPr>
        <w:tabs>
          <w:tab w:val="left" w:pos="7088"/>
        </w:tabs>
        <w:spacing w:line="276" w:lineRule="auto"/>
        <w:ind w:left="851" w:right="616"/>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i/>
          <w:sz w:val="22"/>
          <w:szCs w:val="22"/>
        </w:rPr>
        <w:lastRenderedPageBreak/>
        <w:t>(Énfasis añadido)</w:t>
      </w:r>
    </w:p>
    <w:p w14:paraId="7A01180B" w14:textId="77777777" w:rsidR="00D53536" w:rsidRDefault="00D5353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7045369" w14:textId="77777777" w:rsidR="00D53536" w:rsidRDefault="0045373D">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Tercero. Análisis de las causales de sobreseimiento del recurso de revisión. </w:t>
      </w:r>
      <w:r>
        <w:rPr>
          <w:rFonts w:ascii="Palatino Linotype" w:eastAsia="Palatino Linotype" w:hAnsi="Palatino Linotype" w:cs="Palatino Linotype"/>
          <w:sz w:val="22"/>
          <w:szCs w:val="22"/>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C00AEE6" w14:textId="77777777" w:rsidR="00D53536" w:rsidRDefault="0045373D">
      <w:pPr>
        <w:spacing w:before="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61427988" w14:textId="77777777" w:rsidR="00D53536" w:rsidRDefault="00D53536">
      <w:pPr>
        <w:spacing w:line="360" w:lineRule="auto"/>
        <w:jc w:val="both"/>
        <w:rPr>
          <w:rFonts w:ascii="Palatino Linotype" w:eastAsia="Palatino Linotype" w:hAnsi="Palatino Linotype" w:cs="Palatino Linotype"/>
          <w:sz w:val="22"/>
          <w:szCs w:val="22"/>
        </w:rPr>
      </w:pPr>
    </w:p>
    <w:p w14:paraId="4E3D374A" w14:textId="77777777" w:rsidR="00D53536" w:rsidRDefault="0045373D">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manera preliminar en el caso concreto conviene analizar si se actualiza alguna de las causales de sobreseimiento del recurso de revisión.</w:t>
      </w:r>
    </w:p>
    <w:p w14:paraId="1D7EE668" w14:textId="77777777" w:rsidR="00D53536" w:rsidRDefault="0045373D">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del análisis de la solicitud de información pública que motivó el recurso de revisión que ahora se resuelve, se advierte que el particular requirió al Ayuntamiento de Mexicaltzingo, el Organigrama aprobado del Órgano Interno de Control.</w:t>
      </w:r>
    </w:p>
    <w:p w14:paraId="2859D310" w14:textId="77777777" w:rsidR="00D53536" w:rsidRDefault="0045373D">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En respuesta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 través de la Titular de la Unidad de Transparencia, informó que a la fecha en que se recibió la solitud de información y hasta el día en que está siendo atendida, la contraloría interna municipal aún no cuenta con el organigrama interno aprobado para la administración 2025-2027. </w:t>
      </w:r>
    </w:p>
    <w:p w14:paraId="1902D7E5" w14:textId="77777777" w:rsidR="00D53536" w:rsidRDefault="00D53536">
      <w:pPr>
        <w:spacing w:line="360" w:lineRule="auto"/>
        <w:ind w:right="49"/>
        <w:jc w:val="both"/>
        <w:rPr>
          <w:rFonts w:ascii="Palatino Linotype" w:eastAsia="Palatino Linotype" w:hAnsi="Palatino Linotype" w:cs="Palatino Linotype"/>
          <w:sz w:val="22"/>
          <w:szCs w:val="22"/>
        </w:rPr>
      </w:pPr>
    </w:p>
    <w:p w14:paraId="1D211FD2" w14:textId="77777777" w:rsidR="00D53536" w:rsidRDefault="0045373D">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No conforme con la respuesta, el hoy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interpuso los recursos de revisión que se analizan en el presente asunto, inconformándose por la negativa a entregar la información solicitada. </w:t>
      </w:r>
    </w:p>
    <w:p w14:paraId="1ACE7489" w14:textId="77777777" w:rsidR="00D53536" w:rsidRDefault="00D53536">
      <w:pPr>
        <w:spacing w:line="360" w:lineRule="auto"/>
        <w:ind w:right="49"/>
        <w:jc w:val="both"/>
        <w:rPr>
          <w:rFonts w:ascii="Palatino Linotype" w:eastAsia="Palatino Linotype" w:hAnsi="Palatino Linotype" w:cs="Palatino Linotype"/>
          <w:sz w:val="22"/>
          <w:szCs w:val="22"/>
        </w:rPr>
      </w:pPr>
    </w:p>
    <w:p w14:paraId="7D597CEA" w14:textId="77777777" w:rsidR="00D53536" w:rsidRDefault="0045373D">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Ante la interposición de los recursos de revisión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rindió sus informes justificados, en los cuales manifestó que si bien a la fecha en que se recibió la solicitud de información, la contraloría interna municipal no contaba con organigrama interno aprobada para la administración 2025-2027, también es cierto que, el particular no señaló temporalidad de la información solicitada, por lo que en atención al criterio orientador 03/19 que refiere que cuando la persona solicitante no señale el periodo respecto del cual requiere la información se considerará que el requerimiento se refleje al año inmediato anterior, contado a partir de la fecha de recepción de la solicitud, por lo que del dieciséis de enero de dos mil veinticuatro al dieciséis de enero de dos mil veinticinco, fecha en que ingreso la solicitud, el organigrama vigente es el que se encuentra en la página 36 del Manual de Organización de la Contraloría Interna Municipal, la cual fue aprobado en la Trigésima Octava Sesión Ordinaria de Cabildo, celebrada en fecha siete de octubre de dos mil veintidós, en el punto número ocho del orden del día con el ACUERDO/MEXGOAYU/003-2022, mismo que adjuntó para su conocimiento.</w:t>
      </w:r>
    </w:p>
    <w:p w14:paraId="6D1A1258" w14:textId="77777777" w:rsidR="00D53536" w:rsidRDefault="00D53536">
      <w:pPr>
        <w:spacing w:line="360" w:lineRule="auto"/>
        <w:ind w:right="49"/>
        <w:jc w:val="both"/>
        <w:rPr>
          <w:rFonts w:ascii="Palatino Linotype" w:eastAsia="Palatino Linotype" w:hAnsi="Palatino Linotype" w:cs="Palatino Linotype"/>
          <w:sz w:val="22"/>
          <w:szCs w:val="22"/>
        </w:rPr>
      </w:pPr>
    </w:p>
    <w:p w14:paraId="1C3EA532" w14:textId="77777777" w:rsidR="00D53536" w:rsidRDefault="0045373D">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Expuesto lo anterior, es imprescindible mencionar, que las Unidades de Transparencia, son el área responsable en cada Sujeto Obligado para dar atención a las solicitudes de información que se realicen al amparo de la Ley, el responsable de dicha área funge como enlace entre el Sujeto Obligado y los solicitantes, y tiene bajo su responsabilidad el tramitar internamente la solicitud de información.</w:t>
      </w:r>
    </w:p>
    <w:p w14:paraId="2A541FF2" w14:textId="77777777" w:rsidR="00D53536" w:rsidRDefault="00D53536">
      <w:pPr>
        <w:spacing w:line="360" w:lineRule="auto"/>
        <w:ind w:right="49"/>
        <w:jc w:val="both"/>
        <w:rPr>
          <w:rFonts w:ascii="Palatino Linotype" w:eastAsia="Palatino Linotype" w:hAnsi="Palatino Linotype" w:cs="Palatino Linotype"/>
          <w:sz w:val="22"/>
          <w:szCs w:val="22"/>
        </w:rPr>
      </w:pPr>
    </w:p>
    <w:p w14:paraId="785A43E7" w14:textId="77777777" w:rsidR="00D53536" w:rsidRDefault="0045373D">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tal manera que, si bien el Titular de la Unidad de Transparencia no tiene bajo su resguardo el archivo que contiene la documentación en donde consta la información solicitada, esta puede obrar en las distintas áreas que conforman la estructura orgánica del Sujeto Obligado, es por ello que debe turnar la solicitud al servidor público habilitado que tiene bajo su resguardo la misma, de conformidad con los artículos 53, fracciones II y IV y 162 de la Ley de Transparencia y Acceso a la Información Pública del Estado de México y Municipios.</w:t>
      </w:r>
    </w:p>
    <w:p w14:paraId="39EBEF94" w14:textId="77777777" w:rsidR="00D53536" w:rsidRDefault="00D53536">
      <w:pPr>
        <w:spacing w:line="360" w:lineRule="auto"/>
        <w:ind w:right="49"/>
        <w:jc w:val="both"/>
        <w:rPr>
          <w:rFonts w:ascii="Palatino Linotype" w:eastAsia="Palatino Linotype" w:hAnsi="Palatino Linotype" w:cs="Palatino Linotype"/>
          <w:sz w:val="22"/>
          <w:szCs w:val="22"/>
        </w:rPr>
      </w:pPr>
    </w:p>
    <w:p w14:paraId="2B52C195" w14:textId="77777777" w:rsidR="00D53536" w:rsidRDefault="0045373D">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su parte, los servidores públicos habilitados, quienes son designados por el titular de cada Sujeto Obligado derivado de la propuesta del responsable de la Unidad de Transparencia, son las personas encargadas dentro de las diversas unidades administrativas o áreas de los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teniendo como función buscar, localizar y en su caso entregar la información solicitada, así como integrar y presentar al responsable de la Unidad de Transparencia la propuesta de clasificación de información, la cual tendrá los fundamentos y argumentos en que se basa dicha propuesta y verificar, una vez analizado el contenido de la información, que no se encuentre en los </w:t>
      </w:r>
      <w:r>
        <w:rPr>
          <w:rFonts w:ascii="Palatino Linotype" w:eastAsia="Palatino Linotype" w:hAnsi="Palatino Linotype" w:cs="Palatino Linotype"/>
          <w:sz w:val="22"/>
          <w:szCs w:val="22"/>
        </w:rPr>
        <w:lastRenderedPageBreak/>
        <w:t>supuestos de información clasificada, de conformidad con los artículos 3, fracción XXXIX, 58 y 59, de la Ley de Transparencia y Acceso a la Información Pública del Estado de México y Municipios.</w:t>
      </w:r>
    </w:p>
    <w:p w14:paraId="20D9292D" w14:textId="77777777" w:rsidR="00D53536" w:rsidRDefault="00D53536">
      <w:pPr>
        <w:spacing w:line="360" w:lineRule="auto"/>
        <w:ind w:right="49"/>
        <w:jc w:val="both"/>
        <w:rPr>
          <w:rFonts w:ascii="Palatino Linotype" w:eastAsia="Palatino Linotype" w:hAnsi="Palatino Linotype" w:cs="Palatino Linotype"/>
          <w:sz w:val="22"/>
          <w:szCs w:val="22"/>
        </w:rPr>
      </w:pPr>
    </w:p>
    <w:p w14:paraId="460D7817" w14:textId="77777777" w:rsidR="00D53536" w:rsidRDefault="0045373D">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lo manifestado con antelación se advierte que la persona Titular de la Unidad de Transparencia debe garantizar que las solicitudes se turnen a todas las áreas competentes que puedan contar con la información, con el objeto de que los servidores públicos habilitados realicen la búsqueda exhaustiva y razonable de la información solicitada, y que una vez localizada, la misma sea proporcionada a las personas solicitantes atendiendo a la naturaleza jurídica de la misma.</w:t>
      </w:r>
    </w:p>
    <w:p w14:paraId="0DC4F4E8" w14:textId="77777777" w:rsidR="00D53536" w:rsidRDefault="00D53536">
      <w:pPr>
        <w:spacing w:line="360" w:lineRule="auto"/>
        <w:ind w:right="49"/>
        <w:jc w:val="both"/>
        <w:rPr>
          <w:rFonts w:ascii="Palatino Linotype" w:eastAsia="Palatino Linotype" w:hAnsi="Palatino Linotype" w:cs="Palatino Linotype"/>
          <w:sz w:val="22"/>
          <w:szCs w:val="22"/>
        </w:rPr>
      </w:pPr>
    </w:p>
    <w:p w14:paraId="57F426FF" w14:textId="77777777" w:rsidR="00D53536" w:rsidRDefault="0045373D">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esta línea de pensamiento, derivado del análisis de las constancias que obran en el expediente electrónico en el que se actúa, se advirtió que la Unidad de Transparencia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turnó la solicitud al Contralor Interno Municipal, como se ilustra a continuación para mejor referencia:</w:t>
      </w:r>
    </w:p>
    <w:p w14:paraId="4C88DFC0" w14:textId="77777777" w:rsidR="00D53536" w:rsidRDefault="0045373D">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rPr>
        <w:drawing>
          <wp:inline distT="0" distB="0" distL="0" distR="0" wp14:anchorId="4E8716D5" wp14:editId="2F83D3B4">
            <wp:extent cx="5634870" cy="608096"/>
            <wp:effectExtent l="0" t="0" r="0" b="0"/>
            <wp:docPr id="21226798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34870" cy="608096"/>
                    </a:xfrm>
                    <a:prstGeom prst="rect">
                      <a:avLst/>
                    </a:prstGeom>
                    <a:ln/>
                  </pic:spPr>
                </pic:pic>
              </a:graphicData>
            </a:graphic>
          </wp:inline>
        </w:drawing>
      </w:r>
    </w:p>
    <w:p w14:paraId="39FC9DCB" w14:textId="77777777" w:rsidR="00D53536" w:rsidRDefault="00D53536">
      <w:pPr>
        <w:spacing w:line="360" w:lineRule="auto"/>
        <w:ind w:right="49"/>
        <w:jc w:val="both"/>
        <w:rPr>
          <w:rFonts w:ascii="Palatino Linotype" w:eastAsia="Palatino Linotype" w:hAnsi="Palatino Linotype" w:cs="Palatino Linotype"/>
          <w:sz w:val="22"/>
          <w:szCs w:val="22"/>
        </w:rPr>
      </w:pPr>
    </w:p>
    <w:p w14:paraId="2B3E54CE" w14:textId="77777777" w:rsidR="00D53536" w:rsidRDefault="0045373D">
      <w:pPr>
        <w:spacing w:line="360" w:lineRule="auto"/>
        <w:ind w:right="49"/>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rPr>
        <w:drawing>
          <wp:inline distT="0" distB="0" distL="0" distR="0" wp14:anchorId="6F5D7090" wp14:editId="6EB42BC9">
            <wp:extent cx="3683340" cy="1390318"/>
            <wp:effectExtent l="0" t="0" r="0" b="0"/>
            <wp:docPr id="2122679872" name="image2.png" descr="Diagrama, Text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2.png" descr="Diagrama, Texto&#10;&#10;El contenido generado por IA puede ser incorrecto."/>
                    <pic:cNvPicPr preferRelativeResize="0"/>
                  </pic:nvPicPr>
                  <pic:blipFill>
                    <a:blip r:embed="rId9"/>
                    <a:srcRect/>
                    <a:stretch>
                      <a:fillRect/>
                    </a:stretch>
                  </pic:blipFill>
                  <pic:spPr>
                    <a:xfrm>
                      <a:off x="0" y="0"/>
                      <a:ext cx="3683340" cy="1390318"/>
                    </a:xfrm>
                    <a:prstGeom prst="rect">
                      <a:avLst/>
                    </a:prstGeom>
                    <a:ln/>
                  </pic:spPr>
                </pic:pic>
              </a:graphicData>
            </a:graphic>
          </wp:inline>
        </w:drawing>
      </w:r>
    </w:p>
    <w:p w14:paraId="1148376F" w14:textId="77777777" w:rsidR="00D53536" w:rsidRDefault="0045373D">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este sentido, se colige que la Unidad de Transparencia cumplió con el procedimiento de búsqueda, el cual se constituye como la garantía primaria del derecho humano de acceso a la información pública, el cual se rige por los principios de simplicidad, rapidez, gratuidad del procedimiento, auxilio y orientación a las personas solicitantes con el fin de otorgar la protección más amplia de éste derecho.</w:t>
      </w:r>
    </w:p>
    <w:p w14:paraId="1A835393" w14:textId="77777777" w:rsidR="00D53536" w:rsidRDefault="00D53536">
      <w:pPr>
        <w:spacing w:line="360" w:lineRule="auto"/>
        <w:ind w:right="49"/>
        <w:jc w:val="both"/>
        <w:rPr>
          <w:rFonts w:ascii="Palatino Linotype" w:eastAsia="Palatino Linotype" w:hAnsi="Palatino Linotype" w:cs="Palatino Linotype"/>
          <w:sz w:val="22"/>
          <w:szCs w:val="22"/>
        </w:rPr>
      </w:pPr>
    </w:p>
    <w:p w14:paraId="3B29F55C" w14:textId="77777777" w:rsidR="00D53536" w:rsidRDefault="0045373D">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Expuesto lo anterior, tomando en consideración el pronunciamiento emitido por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en respuesta a la solicitud, es oportuno partir de las atribuciones que la normativa le confiere, para lo cual es necesario traer a colación, lo dispuesto por el artículo 92, fracción II de la Ley de Transparencia y Acceso a la Información Pública del Estado de México y Municipios, el cual establece la obligación de mantener a disposición del público en general la información relativa a su </w:t>
      </w:r>
      <w:r>
        <w:rPr>
          <w:rFonts w:ascii="Palatino Linotype" w:eastAsia="Palatino Linotype" w:hAnsi="Palatino Linotype" w:cs="Palatino Linotype"/>
          <w:b/>
          <w:sz w:val="22"/>
          <w:szCs w:val="22"/>
        </w:rPr>
        <w:t>estructura orgánica</w:t>
      </w:r>
      <w:r>
        <w:rPr>
          <w:rFonts w:ascii="Palatino Linotype" w:eastAsia="Palatino Linotype" w:hAnsi="Palatino Linotype" w:cs="Palatino Linotype"/>
          <w:sz w:val="22"/>
          <w:szCs w:val="22"/>
        </w:rPr>
        <w:t>, refiriendo que ello debe ser en un formato que permita, vincular cada parte de la estructura, las atribuciones y responsabilidades que le corresponden a cada servidor público, tal y como se lee enseguida:</w:t>
      </w:r>
    </w:p>
    <w:p w14:paraId="53B6A4C9" w14:textId="77777777" w:rsidR="00D53536" w:rsidRDefault="00D53536">
      <w:pPr>
        <w:spacing w:line="360" w:lineRule="auto"/>
        <w:ind w:right="49"/>
        <w:jc w:val="both"/>
        <w:rPr>
          <w:rFonts w:ascii="Palatino Linotype" w:eastAsia="Palatino Linotype" w:hAnsi="Palatino Linotype" w:cs="Palatino Linotype"/>
          <w:sz w:val="22"/>
          <w:szCs w:val="22"/>
        </w:rPr>
      </w:pPr>
    </w:p>
    <w:p w14:paraId="20DC8F1C" w14:textId="77777777" w:rsidR="00D53536" w:rsidRDefault="0045373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92</w:t>
      </w:r>
      <w:r>
        <w:rPr>
          <w:rFonts w:ascii="Palatino Linotype" w:eastAsia="Palatino Linotype" w:hAnsi="Palatino Linotype" w:cs="Palatino Linotype"/>
          <w:i/>
          <w:sz w:val="22"/>
          <w:szCs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86AE1B7" w14:textId="77777777" w:rsidR="00D53536" w:rsidRDefault="0045373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i/>
          <w:sz w:val="22"/>
          <w:szCs w:val="22"/>
        </w:rPr>
        <w:br/>
      </w: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Su estructura orgánica completa</w:t>
      </w:r>
      <w:r>
        <w:rPr>
          <w:rFonts w:ascii="Palatino Linotype" w:eastAsia="Palatino Linotype" w:hAnsi="Palatino Linotype" w:cs="Palatino Linotype"/>
          <w:i/>
          <w:sz w:val="22"/>
          <w:szCs w:val="22"/>
        </w:rPr>
        <w:t xml:space="preserve">, en un </w:t>
      </w:r>
      <w:r>
        <w:rPr>
          <w:rFonts w:ascii="Palatino Linotype" w:eastAsia="Palatino Linotype" w:hAnsi="Palatino Linotype" w:cs="Palatino Linotype"/>
          <w:b/>
          <w:i/>
          <w:sz w:val="22"/>
          <w:szCs w:val="22"/>
        </w:rPr>
        <w:t>formato que permita vincular cada parte de la estructura</w:t>
      </w:r>
      <w:r>
        <w:rPr>
          <w:rFonts w:ascii="Palatino Linotype" w:eastAsia="Palatino Linotype" w:hAnsi="Palatino Linotype" w:cs="Palatino Linotype"/>
          <w:i/>
          <w:sz w:val="22"/>
          <w:szCs w:val="22"/>
        </w:rPr>
        <w:t>, las atribuciones y responsabilidades que le corresponden a cada servidor público, prestador de servicios profesionales o miembro de los sujetos obligados, de conformidad con las disposiciones jurídicas aplicables…” (Sic)</w:t>
      </w:r>
    </w:p>
    <w:p w14:paraId="4761FA54" w14:textId="77777777" w:rsidR="00D53536" w:rsidRDefault="0045373D">
      <w:pPr>
        <w:ind w:left="851"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(Énfasis añadido).</w:t>
      </w:r>
    </w:p>
    <w:p w14:paraId="14CD41FC" w14:textId="77777777" w:rsidR="00D53536" w:rsidRDefault="0045373D">
      <w:pPr>
        <w:spacing w:before="280" w:after="280" w:line="360" w:lineRule="auto"/>
        <w:jc w:val="both"/>
        <w:rPr>
          <w:rFonts w:ascii="Palatino Linotype" w:eastAsia="Palatino Linotype" w:hAnsi="Palatino Linotype" w:cs="Palatino Linotype"/>
          <w:sz w:val="22"/>
          <w:szCs w:val="22"/>
          <w:highlight w:val="white"/>
        </w:rPr>
      </w:pPr>
      <w:r>
        <w:rPr>
          <w:rFonts w:ascii="Palatino Linotype" w:eastAsia="Palatino Linotype" w:hAnsi="Palatino Linotype" w:cs="Palatino Linotype"/>
          <w:sz w:val="22"/>
          <w:szCs w:val="22"/>
        </w:rPr>
        <w:lastRenderedPageBreak/>
        <w:t xml:space="preserve">Dicha disposición, recoge de lo establecido por la Ley General de Transparencia y Acceso a la Información Pública en su artículo 70, fracción II que refiere en los mismos términos </w:t>
      </w:r>
      <w:r>
        <w:rPr>
          <w:rFonts w:ascii="Palatino Linotype" w:eastAsia="Palatino Linotype" w:hAnsi="Palatino Linotype" w:cs="Palatino Linotype"/>
          <w:b/>
          <w:sz w:val="22"/>
          <w:szCs w:val="22"/>
        </w:rPr>
        <w:t>la obligación de transparentar la estructura orgánica de parte de cada uno de los Sujetos Obligados</w:t>
      </w:r>
      <w:r>
        <w:rPr>
          <w:rFonts w:ascii="Palatino Linotype" w:eastAsia="Palatino Linotype" w:hAnsi="Palatino Linotype" w:cs="Palatino Linotype"/>
          <w:sz w:val="22"/>
          <w:szCs w:val="22"/>
        </w:rPr>
        <w:t xml:space="preserve">; por lo que, resulta aplicable en la entidad lo dispuesto por los </w:t>
      </w:r>
      <w:r>
        <w:rPr>
          <w:rFonts w:ascii="Palatino Linotype" w:eastAsia="Palatino Linotype" w:hAnsi="Palatino Linotype" w:cs="Palatino Linotype"/>
          <w:i/>
          <w:sz w:val="22"/>
          <w:szCs w:val="22"/>
          <w:highlight w:val="white"/>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Pr>
          <w:rFonts w:ascii="Palatino Linotype" w:eastAsia="Palatino Linotype" w:hAnsi="Palatino Linotype" w:cs="Palatino Linotype"/>
          <w:sz w:val="22"/>
          <w:szCs w:val="22"/>
          <w:highlight w:val="white"/>
        </w:rPr>
        <w:t xml:space="preserve">, </w:t>
      </w:r>
      <w:r>
        <w:rPr>
          <w:rFonts w:ascii="Palatino Linotype" w:eastAsia="Palatino Linotype" w:hAnsi="Palatino Linotype" w:cs="Palatino Linotype"/>
          <w:sz w:val="22"/>
          <w:szCs w:val="22"/>
        </w:rPr>
        <w:t xml:space="preserve">publicados en el Diario Oficial de la Federación; de los cuales, se desprende </w:t>
      </w:r>
      <w:r>
        <w:rPr>
          <w:rFonts w:ascii="Palatino Linotype" w:eastAsia="Palatino Linotype" w:hAnsi="Palatino Linotype" w:cs="Palatino Linotype"/>
          <w:sz w:val="22"/>
          <w:szCs w:val="22"/>
          <w:highlight w:val="white"/>
        </w:rPr>
        <w:t>la estructura orgánica que se encuentran constreñidos a publicar los Sujetos Obligados, en los que se debe permitir la visualización de los niveles jerárquicos y sus relaciones de dependencia, de acuerdo con el estatuto orgánico u ordenamiento que les aplique, debiendo ser vigente, es decir la que esté en operación y haya sido aprobada o dictaminada por la autoridad competente.</w:t>
      </w:r>
    </w:p>
    <w:p w14:paraId="21690F61" w14:textId="77777777" w:rsidR="00D53536" w:rsidRDefault="0045373D">
      <w:pPr>
        <w:spacing w:before="280" w:after="28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Asimismo, dichos Lineamientos Técnico Generales indican que la estructura orgánica debe incluir al titular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y todos los servidores públicos adscritos a las Unidades Administrativas, Áreas, Institutos o las que correspondan, incluyendo el personal de gabinete de apoyo u homólogo, prestadores de servicios profesionales, miembros de los Sujetos Obligados; así como, los respectivos niveles de adjunto, homólogo o cualquier otro equivalente, según la denominación que se les dé. </w:t>
      </w:r>
    </w:p>
    <w:p w14:paraId="567FC3DE" w14:textId="77777777" w:rsidR="00D53536" w:rsidRDefault="0045373D">
      <w:pPr>
        <w:spacing w:before="280" w:after="28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Igualmente, refieren que cada nivel de la estructura deberá desplegar un listado de las áreas que le están subordinadas jerárquicamente; así como, las atribuciones, responsabilidades y/o funciones conferidas por las disposiciones aplicables a los servidores públicos y/o toda </w:t>
      </w:r>
      <w:r>
        <w:rPr>
          <w:rFonts w:ascii="Palatino Linotype" w:eastAsia="Palatino Linotype" w:hAnsi="Palatino Linotype" w:cs="Palatino Linotype"/>
          <w:sz w:val="22"/>
          <w:szCs w:val="22"/>
        </w:rPr>
        <w:lastRenderedPageBreak/>
        <w:t>persona que desempeñe un empleo, cargo o comisión y/o ejerza actos de autoridad, además de los prestadores de servicios profesionales contratados en cada una de esas áreas.</w:t>
      </w:r>
    </w:p>
    <w:p w14:paraId="7E8A0E5C" w14:textId="77777777" w:rsidR="00D53536" w:rsidRDefault="0045373D">
      <w:pPr>
        <w:spacing w:before="280" w:after="28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que, establecen los siguientes criterios de contenido para la publicación de dicha información, a saber:</w:t>
      </w:r>
    </w:p>
    <w:p w14:paraId="1155E326" w14:textId="77777777" w:rsidR="00D53536" w:rsidRDefault="0045373D">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Criterios sustantivos de contenido</w:t>
      </w:r>
      <w:r>
        <w:rPr>
          <w:rFonts w:ascii="Palatino Linotype" w:eastAsia="Palatino Linotype" w:hAnsi="Palatino Linotype" w:cs="Palatino Linotype"/>
          <w:i/>
          <w:sz w:val="22"/>
          <w:szCs w:val="22"/>
        </w:rPr>
        <w:t xml:space="preserve"> </w:t>
      </w:r>
    </w:p>
    <w:p w14:paraId="26F7E8DF" w14:textId="77777777" w:rsidR="00D53536" w:rsidRDefault="0045373D">
      <w:pPr>
        <w:ind w:left="1843" w:right="902" w:hanging="99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Criterio 1</w:t>
      </w:r>
      <w:r>
        <w:rPr>
          <w:rFonts w:ascii="Palatino Linotype" w:eastAsia="Palatino Linotype" w:hAnsi="Palatino Linotype" w:cs="Palatino Linotype"/>
          <w:i/>
          <w:sz w:val="22"/>
          <w:szCs w:val="22"/>
        </w:rPr>
        <w:t xml:space="preserve"> Ejercicio</w:t>
      </w:r>
    </w:p>
    <w:p w14:paraId="0FAD721B" w14:textId="77777777" w:rsidR="00D53536" w:rsidRDefault="0045373D">
      <w:pPr>
        <w:ind w:left="1843" w:right="902" w:hanging="99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Criterio 2</w:t>
      </w:r>
      <w:r>
        <w:rPr>
          <w:rFonts w:ascii="Palatino Linotype" w:eastAsia="Palatino Linotype" w:hAnsi="Palatino Linotype" w:cs="Palatino Linotype"/>
          <w:i/>
          <w:sz w:val="22"/>
          <w:szCs w:val="22"/>
        </w:rPr>
        <w:t xml:space="preserve"> Periodo que se informa (fecha de inicio y fecha de término con el formato día/mes/año) </w:t>
      </w:r>
    </w:p>
    <w:p w14:paraId="0BFF270A" w14:textId="77777777" w:rsidR="00D53536" w:rsidRDefault="0045373D">
      <w:pPr>
        <w:ind w:left="1843" w:right="902" w:hanging="99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Criterio 3</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Denominación del área</w:t>
      </w:r>
      <w:r>
        <w:rPr>
          <w:rFonts w:ascii="Palatino Linotype" w:eastAsia="Palatino Linotype" w:hAnsi="Palatino Linotype" w:cs="Palatino Linotype"/>
          <w:i/>
          <w:sz w:val="22"/>
          <w:szCs w:val="22"/>
        </w:rPr>
        <w:t xml:space="preserve"> (de acuerdo con el catálogo que en su caso regule la actividad del sujeto obligado)</w:t>
      </w:r>
    </w:p>
    <w:p w14:paraId="56896B12" w14:textId="77777777" w:rsidR="00D53536" w:rsidRDefault="0045373D">
      <w:pPr>
        <w:ind w:left="1843" w:right="902" w:hanging="99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Criterio 4</w:t>
      </w:r>
      <w:r>
        <w:rPr>
          <w:rFonts w:ascii="Palatino Linotype" w:eastAsia="Palatino Linotype" w:hAnsi="Palatino Linotype" w:cs="Palatino Linotype"/>
          <w:i/>
          <w:sz w:val="22"/>
          <w:szCs w:val="22"/>
        </w:rPr>
        <w:t xml:space="preserve"> Denominación del puesto (de acuerdo con el catálogo que en su caso regule la actividad del sujeto obligado). La información deberá estar ordenada de tal forma que sea posible visualizar los niveles de jerarquía y sus relaciones de dependencia. La información debe publicarse con perspectiva de género5, en caso de que el catálogo que regule al sujeto obligado no contenga redacción con perspectiva de género, se incluirá la alternativa incluyente y no sexista entre paréntesis o corchetes. </w:t>
      </w:r>
    </w:p>
    <w:p w14:paraId="70DD7378" w14:textId="77777777" w:rsidR="00D53536" w:rsidRDefault="00D53536">
      <w:pPr>
        <w:ind w:left="1843" w:right="902" w:hanging="992"/>
        <w:jc w:val="both"/>
        <w:rPr>
          <w:rFonts w:ascii="Palatino Linotype" w:eastAsia="Palatino Linotype" w:hAnsi="Palatino Linotype" w:cs="Palatino Linotype"/>
          <w:i/>
          <w:sz w:val="22"/>
          <w:szCs w:val="22"/>
        </w:rPr>
      </w:pPr>
    </w:p>
    <w:p w14:paraId="7AA3ABF1" w14:textId="77777777" w:rsidR="00D53536" w:rsidRDefault="0045373D">
      <w:pPr>
        <w:ind w:left="1843" w:right="902" w:hanging="99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Criterio 5</w:t>
      </w:r>
      <w:r>
        <w:rPr>
          <w:rFonts w:ascii="Palatino Linotype" w:eastAsia="Palatino Linotype" w:hAnsi="Palatino Linotype" w:cs="Palatino Linotype"/>
          <w:i/>
          <w:sz w:val="22"/>
          <w:szCs w:val="22"/>
        </w:rPr>
        <w:t xml:space="preserve"> Denominación del cargo (de conformidad con nombramiento otorgado)</w:t>
      </w:r>
    </w:p>
    <w:p w14:paraId="7408255F" w14:textId="77777777" w:rsidR="00D53536" w:rsidRDefault="0045373D">
      <w:pPr>
        <w:ind w:left="1843" w:right="902" w:hanging="99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Criterio 6 Área de adscripción inmediata superior </w:t>
      </w:r>
    </w:p>
    <w:p w14:paraId="778EB235" w14:textId="77777777" w:rsidR="00D53536" w:rsidRDefault="0045373D">
      <w:pPr>
        <w:ind w:left="1843" w:right="902" w:hanging="99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Criterio 7</w:t>
      </w:r>
      <w:r>
        <w:rPr>
          <w:rFonts w:ascii="Palatino Linotype" w:eastAsia="Palatino Linotype" w:hAnsi="Palatino Linotype" w:cs="Palatino Linotype"/>
          <w:i/>
          <w:sz w:val="22"/>
          <w:szCs w:val="22"/>
        </w:rPr>
        <w:t xml:space="preserve"> Por cada puesto y/o cargo de la estructura se deberá especificar la denominación de la norma que establece sus atribuciones, responsabilidades y/o funciones, según sea el caso y el fundamento legal (artículo y/o fracción) que sustenta el puesto </w:t>
      </w:r>
    </w:p>
    <w:p w14:paraId="38578F78" w14:textId="77777777" w:rsidR="00D53536" w:rsidRDefault="0045373D">
      <w:pPr>
        <w:ind w:left="1843" w:right="902" w:hanging="99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Criterio 8 </w:t>
      </w:r>
      <w:r>
        <w:rPr>
          <w:rFonts w:ascii="Palatino Linotype" w:eastAsia="Palatino Linotype" w:hAnsi="Palatino Linotype" w:cs="Palatino Linotype"/>
          <w:i/>
          <w:sz w:val="22"/>
          <w:szCs w:val="22"/>
        </w:rPr>
        <w:t xml:space="preserve">Por cada puesto o cargo deben registrarse las atribuciones, responsabilidades y/o funciones, según sea el caso, haciendo uso de lenguaje incluyente y no sexista, en caso de que la información no contenga redacción con perspectiva de género, se incluirá la alternativa incluyente y no sexista entre paréntesis o corchetes </w:t>
      </w:r>
    </w:p>
    <w:p w14:paraId="1227BDF2" w14:textId="77777777" w:rsidR="00D53536" w:rsidRDefault="00D53536">
      <w:pPr>
        <w:ind w:left="1843" w:right="902" w:hanging="992"/>
        <w:jc w:val="both"/>
        <w:rPr>
          <w:rFonts w:ascii="Palatino Linotype" w:eastAsia="Palatino Linotype" w:hAnsi="Palatino Linotype" w:cs="Palatino Linotype"/>
          <w:i/>
          <w:sz w:val="22"/>
          <w:szCs w:val="22"/>
        </w:rPr>
      </w:pPr>
    </w:p>
    <w:p w14:paraId="19AEAE1B" w14:textId="77777777" w:rsidR="00D53536" w:rsidRDefault="0045373D">
      <w:pPr>
        <w:ind w:left="1843" w:right="902" w:hanging="99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Criterio 9</w:t>
      </w:r>
      <w:r>
        <w:rPr>
          <w:rFonts w:ascii="Palatino Linotype" w:eastAsia="Palatino Linotype" w:hAnsi="Palatino Linotype" w:cs="Palatino Linotype"/>
          <w:i/>
          <w:sz w:val="22"/>
          <w:szCs w:val="22"/>
        </w:rPr>
        <w:t xml:space="preserve"> Hipervínculo al perfil y/o requerimientos del puesto o cargo, en caso de existir de acuerdo con la normatividad que aplique. La información debe publicarse con perspectiva de género, en caso de que los documentos que regulen al sujeto obligado no contengan redacción con perspectiva de género, se incluirá la alternativa incluyente y no sexista entre paréntesis o corchetes. </w:t>
      </w:r>
    </w:p>
    <w:p w14:paraId="5D59F655" w14:textId="77777777" w:rsidR="00D53536" w:rsidRDefault="0045373D">
      <w:pPr>
        <w:ind w:left="1843" w:right="902" w:hanging="99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Criterio 10</w:t>
      </w:r>
      <w:r>
        <w:rPr>
          <w:rFonts w:ascii="Palatino Linotype" w:eastAsia="Palatino Linotype" w:hAnsi="Palatino Linotype" w:cs="Palatino Linotype"/>
          <w:i/>
          <w:sz w:val="22"/>
          <w:szCs w:val="22"/>
        </w:rPr>
        <w:t xml:space="preserve"> Por cada área del sujeto obligado se debe incluir, en su caso, el número total de prestadores de servicios profesionales o miembros que integren el sujeto obligado de conformidad con las disposiciones aplicables (por ejemplo, en puestos honoríficos) </w:t>
      </w:r>
    </w:p>
    <w:p w14:paraId="5F4C0161" w14:textId="77777777" w:rsidR="00D53536" w:rsidRDefault="00D53536">
      <w:pPr>
        <w:ind w:left="1843" w:right="902" w:hanging="992"/>
        <w:jc w:val="both"/>
        <w:rPr>
          <w:rFonts w:ascii="Palatino Linotype" w:eastAsia="Palatino Linotype" w:hAnsi="Palatino Linotype" w:cs="Palatino Linotype"/>
          <w:i/>
          <w:sz w:val="22"/>
          <w:szCs w:val="22"/>
        </w:rPr>
      </w:pPr>
    </w:p>
    <w:p w14:paraId="01DDD2AA" w14:textId="77777777" w:rsidR="00D53536" w:rsidRDefault="0045373D">
      <w:pPr>
        <w:ind w:left="1843" w:right="902" w:hanging="99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Adicionalmente, el sujeto obligado publicará el organigrama completo del sujeto obligado: </w:t>
      </w:r>
    </w:p>
    <w:p w14:paraId="35E770DE" w14:textId="77777777" w:rsidR="00D53536" w:rsidRDefault="0045373D">
      <w:pPr>
        <w:ind w:left="1843" w:right="902" w:hanging="99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Criterio 11</w:t>
      </w:r>
      <w:r>
        <w:rPr>
          <w:rFonts w:ascii="Palatino Linotype" w:eastAsia="Palatino Linotype" w:hAnsi="Palatino Linotype" w:cs="Palatino Linotype"/>
          <w:i/>
          <w:sz w:val="22"/>
          <w:szCs w:val="22"/>
        </w:rPr>
        <w:t xml:space="preserve"> Ejercicio</w:t>
      </w:r>
    </w:p>
    <w:p w14:paraId="0AE1B578" w14:textId="77777777" w:rsidR="00D53536" w:rsidRDefault="0045373D">
      <w:pPr>
        <w:ind w:left="1843" w:right="902" w:hanging="99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Criterio 12</w:t>
      </w:r>
      <w:r>
        <w:rPr>
          <w:rFonts w:ascii="Palatino Linotype" w:eastAsia="Palatino Linotype" w:hAnsi="Palatino Linotype" w:cs="Palatino Linotype"/>
          <w:i/>
          <w:sz w:val="22"/>
          <w:szCs w:val="22"/>
        </w:rPr>
        <w:t xml:space="preserve"> Periodo que se informa (fecha de inicio y fecha de término con el formato día/mes/año) </w:t>
      </w:r>
    </w:p>
    <w:p w14:paraId="0FFB6548" w14:textId="77777777" w:rsidR="00D53536" w:rsidRDefault="00D53536">
      <w:pPr>
        <w:ind w:left="1843" w:right="902" w:hanging="992"/>
        <w:jc w:val="both"/>
        <w:rPr>
          <w:rFonts w:ascii="Palatino Linotype" w:eastAsia="Palatino Linotype" w:hAnsi="Palatino Linotype" w:cs="Palatino Linotype"/>
          <w:i/>
          <w:sz w:val="22"/>
          <w:szCs w:val="22"/>
        </w:rPr>
      </w:pPr>
    </w:p>
    <w:p w14:paraId="3A6946D6" w14:textId="77777777" w:rsidR="00D53536" w:rsidRDefault="0045373D">
      <w:pPr>
        <w:ind w:left="1843" w:right="902" w:hanging="99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Criterio 13 Hipervínculo al organigrama completo del sujeto obligado</w:t>
      </w:r>
      <w:r>
        <w:rPr>
          <w:rFonts w:ascii="Palatino Linotype" w:eastAsia="Palatino Linotype" w:hAnsi="Palatino Linotype" w:cs="Palatino Linotype"/>
          <w:i/>
          <w:sz w:val="22"/>
          <w:szCs w:val="22"/>
        </w:rPr>
        <w:t xml:space="preserve"> (forma gráfica de la estructura orgánica), acorde a su normatividad, el cual deberá contener el número de dictamen o similar. </w:t>
      </w:r>
    </w:p>
    <w:p w14:paraId="73CF44C0" w14:textId="77777777" w:rsidR="00D53536" w:rsidRDefault="0045373D">
      <w:pPr>
        <w:ind w:left="1843" w:right="902" w:hanging="99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w:t>
      </w:r>
    </w:p>
    <w:p w14:paraId="718D5EC0" w14:textId="77777777" w:rsidR="00D53536" w:rsidRDefault="0045373D">
      <w:pPr>
        <w:ind w:left="1843" w:right="902" w:hanging="992"/>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Criterios adjetivos de actualización </w:t>
      </w:r>
    </w:p>
    <w:p w14:paraId="5778E642" w14:textId="77777777" w:rsidR="00D53536" w:rsidRDefault="00D53536">
      <w:pPr>
        <w:ind w:left="1843" w:right="902" w:hanging="992"/>
        <w:jc w:val="both"/>
        <w:rPr>
          <w:rFonts w:ascii="Palatino Linotype" w:eastAsia="Palatino Linotype" w:hAnsi="Palatino Linotype" w:cs="Palatino Linotype"/>
          <w:i/>
          <w:sz w:val="22"/>
          <w:szCs w:val="22"/>
        </w:rPr>
      </w:pPr>
    </w:p>
    <w:p w14:paraId="54264B37" w14:textId="77777777" w:rsidR="00D53536" w:rsidRDefault="0045373D">
      <w:pPr>
        <w:ind w:left="1843" w:right="902" w:hanging="99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Criterio 17</w:t>
      </w:r>
      <w:r>
        <w:rPr>
          <w:rFonts w:ascii="Palatino Linotype" w:eastAsia="Palatino Linotype" w:hAnsi="Palatino Linotype" w:cs="Palatino Linotype"/>
          <w:i/>
          <w:sz w:val="22"/>
          <w:szCs w:val="22"/>
        </w:rPr>
        <w:t xml:space="preserve"> Periodo de actualización de la información</w:t>
      </w:r>
      <w:r>
        <w:rPr>
          <w:rFonts w:ascii="Palatino Linotype" w:eastAsia="Palatino Linotype" w:hAnsi="Palatino Linotype" w:cs="Palatino Linotype"/>
          <w:b/>
          <w:i/>
          <w:sz w:val="22"/>
          <w:szCs w:val="22"/>
        </w:rPr>
        <w:t>: trimestral. En su caso, 15 días hábiles después de la aprobación de alguna modificación</w:t>
      </w:r>
      <w:r>
        <w:rPr>
          <w:rFonts w:ascii="Palatino Linotype" w:eastAsia="Palatino Linotype" w:hAnsi="Palatino Linotype" w:cs="Palatino Linotype"/>
          <w:i/>
          <w:sz w:val="22"/>
          <w:szCs w:val="22"/>
        </w:rPr>
        <w:t xml:space="preserve"> a la estructura orgánica </w:t>
      </w:r>
    </w:p>
    <w:p w14:paraId="5C2063A1" w14:textId="77777777" w:rsidR="00D53536" w:rsidRDefault="0045373D">
      <w:pPr>
        <w:ind w:left="1843" w:right="902" w:hanging="99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Criterio 18</w:t>
      </w:r>
      <w:r>
        <w:rPr>
          <w:rFonts w:ascii="Palatino Linotype" w:eastAsia="Palatino Linotype" w:hAnsi="Palatino Linotype" w:cs="Palatino Linotype"/>
          <w:i/>
          <w:sz w:val="22"/>
          <w:szCs w:val="22"/>
        </w:rPr>
        <w:t xml:space="preserve"> La información publicada deberá estar actualizada al periodo que corresponde, de acuerdo con la Tabla de actualización y conservación de la información </w:t>
      </w:r>
    </w:p>
    <w:p w14:paraId="619B11D8" w14:textId="77777777" w:rsidR="00D53536" w:rsidRDefault="0045373D">
      <w:pPr>
        <w:ind w:left="1843" w:right="902" w:hanging="992"/>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Criterio 19</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i/>
          <w:sz w:val="22"/>
          <w:szCs w:val="22"/>
          <w:u w:val="single"/>
        </w:rPr>
        <w:t>Conservar en el sitio de Internet y a través de la Plataforma Nacional la información vigente</w:t>
      </w:r>
      <w:r>
        <w:rPr>
          <w:rFonts w:ascii="Palatino Linotype" w:eastAsia="Palatino Linotype" w:hAnsi="Palatino Linotype" w:cs="Palatino Linotype"/>
          <w:i/>
          <w:sz w:val="22"/>
          <w:szCs w:val="22"/>
        </w:rPr>
        <w:t>, de acuerdo con la Tabla de actualización y conservación de la información</w:t>
      </w:r>
    </w:p>
    <w:p w14:paraId="15087D10" w14:textId="77777777" w:rsidR="00D53536" w:rsidRDefault="0045373D">
      <w:pPr>
        <w:ind w:left="1843" w:right="902" w:hanging="99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01B29061" w14:textId="77777777" w:rsidR="00D53536" w:rsidRDefault="0045373D">
      <w:pPr>
        <w:spacing w:before="280" w:after="28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lo expuesto, se colige que cada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deberá publicar su estructura orgánica vigente, conforme a criterios de jerarquía y especialización, ordenados y </w:t>
      </w:r>
      <w:r>
        <w:rPr>
          <w:rFonts w:ascii="Palatino Linotype" w:eastAsia="Palatino Linotype" w:hAnsi="Palatino Linotype" w:cs="Palatino Linotype"/>
          <w:sz w:val="22"/>
          <w:szCs w:val="22"/>
        </w:rPr>
        <w:lastRenderedPageBreak/>
        <w:t>codificados, cuando así corresponda, mediante los catálogos de Áreas y de clave o nivel del puesto; cada nivel de estructura deberá desplegar un listado de las áreas que le están subordinadas jerárquicamente; así como, las atribuciones, responsabilidades y/o funciones conferidas por las disposiciones aplicables a los(as) servidores(as) públicos(as) y/o toda persona que desempeñe un empleo, cargo o comisión y/o ejerza actos de autoridad; asimismo, un hipervínculo al organigrama completo, con el objetivo de visualizar la representación gráfica de la estructura orgánica, desde el puesto del titular del Sujeto Obligado hasta el nivel de jefatura de departamento u homólogo y, en su caso, los prestadores de servicios profesionales y/o cualquier otro tipo de personal adscrito.</w:t>
      </w:r>
    </w:p>
    <w:p w14:paraId="3A598A3E" w14:textId="77777777" w:rsidR="00D53536" w:rsidRDefault="0045373D">
      <w:pPr>
        <w:spacing w:before="280" w:after="28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Aunado a ello, establece que su periodo de actualización será trimestralmente o en su caso quince días hábiles después de la aprobación de alguna modificación a la estructura orgánica.</w:t>
      </w:r>
    </w:p>
    <w:p w14:paraId="18193E6D" w14:textId="77777777" w:rsidR="00D53536" w:rsidRDefault="0045373D">
      <w:pPr>
        <w:spacing w:before="280" w:after="28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Hasta este punto conviene recordar que si bien en un primer momento,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informó que a la fecha en que se recibió la solicitud de información, la contraloría interna municipal no contaba con el organigrama interno aprobado para la administración 2025-2027, lo cierto es que en Informe Justificado informó que al dieciséis de enero de dos mil veinticinco, fecha en que ingreso la solicitud, el organigrama vigente es el que se encuentra en la página 36 del Manual de Organización de la Contraloría Interna Municipal, la cual fue aprobado en la Trigésima Octava Sesión Ordinaria de Cabildo, celebrada en fecha siete de octubre de dos mil veintidós, en el punto número ocho del orden del día con el ACUERDO/MEXGOAYU/003-2022, Manual que adjuntó a su informe para su consulta y del cual se advierte lo siguiente: </w:t>
      </w:r>
    </w:p>
    <w:p w14:paraId="1B7C942C" w14:textId="77777777" w:rsidR="00D53536" w:rsidRDefault="0045373D">
      <w:pPr>
        <w:spacing w:before="280" w:after="280" w:line="360"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rPr>
        <w:lastRenderedPageBreak/>
        <w:drawing>
          <wp:inline distT="0" distB="0" distL="0" distR="0" wp14:anchorId="1100B861" wp14:editId="63AE2C8A">
            <wp:extent cx="4256926" cy="3457849"/>
            <wp:effectExtent l="0" t="0" r="0" b="0"/>
            <wp:docPr id="2122679871" name="image4.png" descr="Diagram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4.png" descr="Diagrama&#10;&#10;El contenido generado por IA puede ser incorrecto."/>
                    <pic:cNvPicPr preferRelativeResize="0"/>
                  </pic:nvPicPr>
                  <pic:blipFill>
                    <a:blip r:embed="rId10"/>
                    <a:srcRect/>
                    <a:stretch>
                      <a:fillRect/>
                    </a:stretch>
                  </pic:blipFill>
                  <pic:spPr>
                    <a:xfrm>
                      <a:off x="0" y="0"/>
                      <a:ext cx="4256926" cy="3457849"/>
                    </a:xfrm>
                    <a:prstGeom prst="rect">
                      <a:avLst/>
                    </a:prstGeom>
                    <a:ln/>
                  </pic:spPr>
                </pic:pic>
              </a:graphicData>
            </a:graphic>
          </wp:inline>
        </w:drawing>
      </w:r>
    </w:p>
    <w:p w14:paraId="154D14C8" w14:textId="77777777" w:rsidR="00D53536" w:rsidRDefault="00D53536">
      <w:pPr>
        <w:spacing w:line="360" w:lineRule="auto"/>
        <w:ind w:right="49"/>
        <w:jc w:val="both"/>
        <w:rPr>
          <w:rFonts w:ascii="Palatino Linotype" w:eastAsia="Palatino Linotype" w:hAnsi="Palatino Linotype" w:cs="Palatino Linotype"/>
          <w:sz w:val="22"/>
          <w:szCs w:val="22"/>
        </w:rPr>
      </w:pPr>
    </w:p>
    <w:p w14:paraId="49230A5B" w14:textId="77777777" w:rsidR="00D53536" w:rsidRDefault="0045373D">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esa virtud, este Instituto, como órgano garante del derecho de acceso a la información, se dio a la tarea de confrontar el organigrama remitido en Informe Justificado; así como, con aquel organigrama igualmente publicado en el Portal de Internet Oficial del Ayuntamiento de Mexicaltzingo (consultable en https://mexicaltzingo.gob.mx/wp-content/uploads/2024/12/MANUAL-DE-ORGANIZACION-CONTRALORIA-MUNICIPAL-MEXICALTZINGO.pdf), establecido dentro del Manual de Organización de la Contraloría Interna Municipal que tiene vigente y se advirtió que los dos son coincidentes entre sí. </w:t>
      </w:r>
    </w:p>
    <w:p w14:paraId="60512CC2" w14:textId="77777777" w:rsidR="00D53536" w:rsidRDefault="00D53536">
      <w:pPr>
        <w:spacing w:line="360" w:lineRule="auto"/>
        <w:ind w:right="49"/>
        <w:jc w:val="both"/>
        <w:rPr>
          <w:rFonts w:ascii="Palatino Linotype" w:eastAsia="Palatino Linotype" w:hAnsi="Palatino Linotype" w:cs="Palatino Linotype"/>
          <w:sz w:val="22"/>
          <w:szCs w:val="22"/>
        </w:rPr>
      </w:pPr>
    </w:p>
    <w:p w14:paraId="252EF74E" w14:textId="77777777" w:rsidR="00D53536" w:rsidRDefault="0045373D">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Lo anterior toma sentido, en razón a que como fue señalado en párrafos que anteceden los Lineamientos Técnicos Generales para la Publicación, Homologación y Estandarización de </w:t>
      </w:r>
      <w:r>
        <w:rPr>
          <w:rFonts w:ascii="Palatino Linotype" w:eastAsia="Palatino Linotype" w:hAnsi="Palatino Linotype" w:cs="Palatino Linotype"/>
          <w:sz w:val="22"/>
          <w:szCs w:val="22"/>
        </w:rPr>
        <w:lastRenderedPageBreak/>
        <w:t xml:space="preserve">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que el periodo de actualización será trimestralmente o en su caso quince días hábiles después de la aprobación de alguna modificación a la estructura orgánica, por lo que al encontrarse publicado el Manual de Organización de la Contraloría Interna Municipal en su página oficial se entiende que es el que actualmente se encuentra vigente, aunado a que como ya lo refirió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es el que se encuentra vigente; circunstancias con las que atiende y otorga el derecho de acceso a la información de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w:t>
      </w:r>
    </w:p>
    <w:p w14:paraId="15D2233C" w14:textId="77777777" w:rsidR="00D53536" w:rsidRDefault="00D53536">
      <w:pPr>
        <w:spacing w:line="360" w:lineRule="auto"/>
        <w:jc w:val="both"/>
        <w:rPr>
          <w:rFonts w:ascii="Palatino Linotype" w:eastAsia="Palatino Linotype" w:hAnsi="Palatino Linotype" w:cs="Palatino Linotype"/>
          <w:sz w:val="22"/>
          <w:szCs w:val="22"/>
        </w:rPr>
      </w:pPr>
    </w:p>
    <w:p w14:paraId="399E7B9B" w14:textId="77777777" w:rsidR="00D53536" w:rsidRDefault="0045373D">
      <w:pPr>
        <w:spacing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Precisado todo lo anterior, este Pleno considera necesario dejar claro que, al haber existido un pronunciamiento por parte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a fin de dar respuesta a la solicitud planteada, este no está facultado para manifestarse sobre la veracidad de la información proporcionada, pues no existe precepto legal alguno en la Ley de la Materia que permita que, vía recurso de revisión, se pronuncie al respecto. Sirve de apoyo a lo anterior por analogía el criterio 31-10 emitido por el entonces Instituto Federal de Acceso a la Información y Protección de Datos, que a la letra dice:</w:t>
      </w:r>
    </w:p>
    <w:p w14:paraId="0FF8B5BD" w14:textId="77777777" w:rsidR="00D53536" w:rsidRDefault="0045373D">
      <w:pPr>
        <w:pBdr>
          <w:top w:val="nil"/>
          <w:left w:val="nil"/>
          <w:bottom w:val="nil"/>
          <w:right w:val="nil"/>
          <w:between w:val="nil"/>
        </w:pBdr>
        <w:spacing w:line="276" w:lineRule="auto"/>
        <w:ind w:left="860" w:right="56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w:t>
      </w:r>
      <w:r>
        <w:rPr>
          <w:rFonts w:ascii="Palatino Linotype" w:eastAsia="Palatino Linotype" w:hAnsi="Palatino Linotype" w:cs="Palatino Linotype"/>
          <w:i/>
          <w:color w:val="000000"/>
          <w:sz w:val="22"/>
          <w:szCs w:val="22"/>
        </w:rPr>
        <w:lastRenderedPageBreak/>
        <w:t>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360D1A0" w14:textId="77777777" w:rsidR="00D53536" w:rsidRDefault="00D53536">
      <w:pPr>
        <w:pBdr>
          <w:top w:val="nil"/>
          <w:left w:val="nil"/>
          <w:bottom w:val="nil"/>
          <w:right w:val="nil"/>
          <w:between w:val="nil"/>
        </w:pBdr>
        <w:spacing w:line="360" w:lineRule="auto"/>
        <w:ind w:left="860" w:right="560"/>
        <w:jc w:val="both"/>
        <w:rPr>
          <w:rFonts w:ascii="Palatino Linotype" w:eastAsia="Palatino Linotype" w:hAnsi="Palatino Linotype" w:cs="Palatino Linotype"/>
          <w:color w:val="000000"/>
          <w:sz w:val="22"/>
          <w:szCs w:val="22"/>
        </w:rPr>
      </w:pPr>
    </w:p>
    <w:p w14:paraId="4456C948" w14:textId="77777777" w:rsidR="00D53536" w:rsidRDefault="0045373D">
      <w:pPr>
        <w:spacing w:line="360" w:lineRule="auto"/>
        <w:ind w:right="1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esta tesitura, se estima que la información remitida por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en la etapa de manifestaciones</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es suficiente para tener por atendido el derecho de acceso a la información de la persona solicitante.</w:t>
      </w:r>
    </w:p>
    <w:p w14:paraId="5074A70C" w14:textId="77777777" w:rsidR="00D53536" w:rsidRDefault="00D53536">
      <w:pPr>
        <w:spacing w:line="360" w:lineRule="auto"/>
        <w:ind w:right="49"/>
        <w:jc w:val="both"/>
        <w:rPr>
          <w:rFonts w:ascii="Palatino Linotype" w:eastAsia="Palatino Linotype" w:hAnsi="Palatino Linotype" w:cs="Palatino Linotype"/>
          <w:sz w:val="22"/>
          <w:szCs w:val="22"/>
        </w:rPr>
      </w:pPr>
    </w:p>
    <w:p w14:paraId="263953AC" w14:textId="77777777" w:rsidR="00D53536" w:rsidRDefault="0045373D">
      <w:pPr>
        <w:spacing w:line="360" w:lineRule="auto"/>
        <w:ind w:right="1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ende, se estima que se actualiza el artículo 192, fracción III de la Ley de Transparencia y Acceso a la Información Pública del Estado de México y Municipios vigente, a saber:</w:t>
      </w:r>
    </w:p>
    <w:p w14:paraId="004BBEF0" w14:textId="77777777" w:rsidR="00D53536" w:rsidRDefault="0045373D">
      <w:pPr>
        <w:pBdr>
          <w:top w:val="nil"/>
          <w:left w:val="nil"/>
          <w:bottom w:val="nil"/>
          <w:right w:val="nil"/>
          <w:between w:val="nil"/>
        </w:pBdr>
        <w:spacing w:before="240" w:line="360" w:lineRule="auto"/>
        <w:ind w:left="851"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192</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El recurso será sobreseído</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en todo o en parte,</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cuando una vez admitido, se actualicen alguno de los siguientes supuestos</w:t>
      </w:r>
      <w:r>
        <w:rPr>
          <w:rFonts w:ascii="Palatino Linotype" w:eastAsia="Palatino Linotype" w:hAnsi="Palatino Linotype" w:cs="Palatino Linotype"/>
          <w:i/>
          <w:color w:val="000000"/>
          <w:sz w:val="22"/>
          <w:szCs w:val="22"/>
        </w:rPr>
        <w:t>: </w:t>
      </w:r>
    </w:p>
    <w:p w14:paraId="74E89B4E" w14:textId="77777777" w:rsidR="00D53536" w:rsidRDefault="0045373D">
      <w:pPr>
        <w:pBdr>
          <w:top w:val="nil"/>
          <w:left w:val="nil"/>
          <w:bottom w:val="nil"/>
          <w:right w:val="nil"/>
          <w:between w:val="nil"/>
        </w:pBdr>
        <w:spacing w:after="240" w:line="360" w:lineRule="auto"/>
        <w:ind w:left="1134"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w:t>
      </w:r>
    </w:p>
    <w:p w14:paraId="1A9B004B" w14:textId="77777777" w:rsidR="00D53536" w:rsidRDefault="0045373D">
      <w:pPr>
        <w:pBdr>
          <w:top w:val="nil"/>
          <w:left w:val="nil"/>
          <w:bottom w:val="nil"/>
          <w:right w:val="nil"/>
          <w:between w:val="nil"/>
        </w:pBdr>
        <w:spacing w:before="240" w:after="240" w:line="360" w:lineRule="auto"/>
        <w:ind w:left="1134"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i/>
          <w:color w:val="000000"/>
          <w:sz w:val="22"/>
          <w:szCs w:val="22"/>
        </w:rPr>
        <w:t>III. El sujeto obligado responsable del acto, lo modifique o revoque de tal manera que el recurso de revisión quede sin materia...</w:t>
      </w:r>
      <w:r>
        <w:rPr>
          <w:rFonts w:ascii="Palatino Linotype" w:eastAsia="Palatino Linotype" w:hAnsi="Palatino Linotype" w:cs="Palatino Linotype"/>
          <w:i/>
          <w:color w:val="000000"/>
          <w:sz w:val="22"/>
          <w:szCs w:val="22"/>
        </w:rPr>
        <w:t>”</w:t>
      </w:r>
    </w:p>
    <w:p w14:paraId="4766EFF9" w14:textId="77777777" w:rsidR="00D53536" w:rsidRDefault="0045373D">
      <w:pPr>
        <w:spacing w:before="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lo establecido en el precepto legal citado se advierte que el sobreseimiento del recurso de revisión procede en los siguientes casos:</w:t>
      </w:r>
    </w:p>
    <w:p w14:paraId="5310FC2C" w14:textId="77777777" w:rsidR="00D53536" w:rsidRDefault="00D53536">
      <w:pPr>
        <w:spacing w:line="360" w:lineRule="auto"/>
        <w:jc w:val="both"/>
        <w:rPr>
          <w:rFonts w:ascii="Palatino Linotype" w:eastAsia="Palatino Linotype" w:hAnsi="Palatino Linotype" w:cs="Palatino Linotype"/>
          <w:sz w:val="22"/>
          <w:szCs w:val="22"/>
        </w:rPr>
      </w:pPr>
    </w:p>
    <w:p w14:paraId="4DA70038" w14:textId="77777777" w:rsidR="00D53536" w:rsidRDefault="0045373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 Cuando el sujeto obligado modifique el acto impugnado.</w:t>
      </w:r>
    </w:p>
    <w:p w14:paraId="1AC05530" w14:textId="77777777" w:rsidR="00D53536" w:rsidRDefault="0045373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b) Cuando el sujeto obligado revoque el acto impugnado.</w:t>
      </w:r>
    </w:p>
    <w:p w14:paraId="5F90DB0B" w14:textId="77777777" w:rsidR="00D53536" w:rsidRDefault="0045373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Quedando en ambos casos el acto combatido sin materia o sin efectos.</w:t>
      </w:r>
    </w:p>
    <w:p w14:paraId="53300F35" w14:textId="77777777" w:rsidR="00D53536" w:rsidRDefault="00D53536">
      <w:pPr>
        <w:spacing w:line="360" w:lineRule="auto"/>
        <w:jc w:val="both"/>
        <w:rPr>
          <w:rFonts w:ascii="Palatino Linotype" w:eastAsia="Palatino Linotype" w:hAnsi="Palatino Linotype" w:cs="Palatino Linotype"/>
          <w:sz w:val="22"/>
          <w:szCs w:val="22"/>
        </w:rPr>
      </w:pPr>
    </w:p>
    <w:p w14:paraId="75C458C4" w14:textId="77777777" w:rsidR="00D53536" w:rsidRDefault="0045373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Como se observa de lo anterior, un acto impugnado es modificado en aquellos casos en los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ante la omisión de dar una respuesta, emite una respuesta de manera posterior y en ésta subsana las deficiencias que hubiera tenido, quedando satisfecho el derecho subjetivo accionado por la parte recurrente.</w:t>
      </w:r>
    </w:p>
    <w:p w14:paraId="088E425B" w14:textId="77777777" w:rsidR="00D53536" w:rsidRDefault="00D53536">
      <w:pPr>
        <w:spacing w:line="360" w:lineRule="auto"/>
        <w:jc w:val="both"/>
        <w:rPr>
          <w:rFonts w:ascii="Palatino Linotype" w:eastAsia="Palatino Linotype" w:hAnsi="Palatino Linotype" w:cs="Palatino Linotype"/>
          <w:sz w:val="22"/>
          <w:szCs w:val="22"/>
        </w:rPr>
      </w:pPr>
    </w:p>
    <w:p w14:paraId="549446F1" w14:textId="77777777" w:rsidR="00D53536" w:rsidRDefault="0045373D">
      <w:pPr>
        <w:spacing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que hace a la revocación, esta se actualiza cuando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deja sin efectos la omisión de dar respuesta y en su lugar emite una respuesta con las características y cualidades suficientes para dejar satisfecho el ejercicio del derecho al acceso a la información pública.</w:t>
      </w:r>
    </w:p>
    <w:p w14:paraId="577279FE" w14:textId="77777777" w:rsidR="00D53536" w:rsidRDefault="0045373D">
      <w:pPr>
        <w:pBdr>
          <w:top w:val="nil"/>
          <w:left w:val="nil"/>
          <w:bottom w:val="nil"/>
          <w:right w:val="nil"/>
          <w:between w:val="nil"/>
        </w:pBdr>
        <w:spacing w:line="360" w:lineRule="auto"/>
        <w:ind w:right="9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lo establecido en el precepto legal citado, se advierte que el sobreseimiento del recurso de revisión procede cuando se presente un motivo por el cual se tenga sin materia el Recurso de Revisión y en el presente caso el motivo por el cual se sobresee el presente medio de impugnación, es porque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otorgó respuesta al requerimiento formulado por el particular con la información enviada en Informe Justificado; colmando con ello el derecho de acceso a la información del particular.</w:t>
      </w:r>
    </w:p>
    <w:p w14:paraId="5DBEFB6F" w14:textId="77777777" w:rsidR="00D53536" w:rsidRDefault="00D53536">
      <w:pPr>
        <w:pBdr>
          <w:top w:val="nil"/>
          <w:left w:val="nil"/>
          <w:bottom w:val="nil"/>
          <w:right w:val="nil"/>
          <w:between w:val="nil"/>
        </w:pBdr>
        <w:spacing w:line="360" w:lineRule="auto"/>
        <w:ind w:right="96"/>
        <w:jc w:val="both"/>
        <w:rPr>
          <w:rFonts w:ascii="Palatino Linotype" w:eastAsia="Palatino Linotype" w:hAnsi="Palatino Linotype" w:cs="Palatino Linotype"/>
          <w:color w:val="000000"/>
          <w:sz w:val="22"/>
          <w:szCs w:val="22"/>
        </w:rPr>
      </w:pPr>
    </w:p>
    <w:p w14:paraId="02C0BC53" w14:textId="77777777" w:rsidR="00D53536" w:rsidRDefault="0045373D">
      <w:pPr>
        <w:pBdr>
          <w:top w:val="nil"/>
          <w:left w:val="nil"/>
          <w:bottom w:val="nil"/>
          <w:right w:val="nil"/>
          <w:between w:val="nil"/>
        </w:pBdr>
        <w:spacing w:line="360" w:lineRule="auto"/>
        <w:ind w:right="9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ese tenor, un acto impugnado queda sin efectos, cuando aun existiendo jurídicamente (esto es, que no se ha modificado, ni revocado) ya no genera ninguna consecuencia legal.</w:t>
      </w:r>
    </w:p>
    <w:p w14:paraId="37057E51" w14:textId="77777777" w:rsidR="00D53536" w:rsidRDefault="00D53536">
      <w:pPr>
        <w:pBdr>
          <w:top w:val="nil"/>
          <w:left w:val="nil"/>
          <w:bottom w:val="nil"/>
          <w:right w:val="nil"/>
          <w:between w:val="nil"/>
        </w:pBdr>
        <w:spacing w:line="360" w:lineRule="auto"/>
        <w:ind w:right="96"/>
        <w:jc w:val="both"/>
        <w:rPr>
          <w:rFonts w:ascii="Palatino Linotype" w:eastAsia="Palatino Linotype" w:hAnsi="Palatino Linotype" w:cs="Palatino Linotype"/>
          <w:color w:val="000000"/>
          <w:sz w:val="22"/>
          <w:szCs w:val="22"/>
        </w:rPr>
      </w:pPr>
    </w:p>
    <w:p w14:paraId="68CBABD0" w14:textId="77777777" w:rsidR="00D53536" w:rsidRDefault="0045373D">
      <w:pPr>
        <w:pBdr>
          <w:top w:val="nil"/>
          <w:left w:val="nil"/>
          <w:bottom w:val="nil"/>
          <w:right w:val="nil"/>
          <w:between w:val="nil"/>
        </w:pBdr>
        <w:spacing w:line="360" w:lineRule="auto"/>
        <w:ind w:right="9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tanto que, un acto impugnado queda sin materia, cuando ha sido satisfecha la pretensión de la </w:t>
      </w:r>
      <w:r>
        <w:rPr>
          <w:rFonts w:ascii="Palatino Linotype" w:eastAsia="Palatino Linotype" w:hAnsi="Palatino Linotype" w:cs="Palatino Linotype"/>
          <w:b/>
          <w:color w:val="000000"/>
          <w:sz w:val="22"/>
          <w:szCs w:val="22"/>
        </w:rPr>
        <w:t>RECURRENTE</w:t>
      </w:r>
      <w:r>
        <w:rPr>
          <w:rFonts w:ascii="Palatino Linotype" w:eastAsia="Palatino Linotype" w:hAnsi="Palatino Linotype" w:cs="Palatino Linotype"/>
          <w:color w:val="000000"/>
          <w:sz w:val="22"/>
          <w:szCs w:val="22"/>
        </w:rPr>
        <w:t xml:space="preserve"> de manera que el </w:t>
      </w:r>
      <w:r>
        <w:rPr>
          <w:rFonts w:ascii="Palatino Linotype" w:eastAsia="Palatino Linotype" w:hAnsi="Palatino Linotype" w:cs="Palatino Linotype"/>
          <w:b/>
          <w:color w:val="000000"/>
          <w:sz w:val="22"/>
          <w:szCs w:val="22"/>
        </w:rPr>
        <w:t>SUJETO OBLIGADO</w:t>
      </w:r>
      <w:r>
        <w:rPr>
          <w:rFonts w:ascii="Palatino Linotype" w:eastAsia="Palatino Linotype" w:hAnsi="Palatino Linotype" w:cs="Palatino Linotype"/>
          <w:color w:val="000000"/>
          <w:sz w:val="22"/>
          <w:szCs w:val="22"/>
        </w:rPr>
        <w:t xml:space="preserve"> entrega una respuesta en los términos previstos en la ley, ya que a través de su informe justificado concede la totalidad de la información solicitada.</w:t>
      </w:r>
    </w:p>
    <w:p w14:paraId="688B38DB" w14:textId="77777777" w:rsidR="00D53536" w:rsidRDefault="00D53536">
      <w:pPr>
        <w:pBdr>
          <w:top w:val="nil"/>
          <w:left w:val="nil"/>
          <w:bottom w:val="nil"/>
          <w:right w:val="nil"/>
          <w:between w:val="nil"/>
        </w:pBdr>
        <w:spacing w:line="360" w:lineRule="auto"/>
        <w:ind w:right="96"/>
        <w:jc w:val="both"/>
        <w:rPr>
          <w:rFonts w:ascii="Palatino Linotype" w:eastAsia="Palatino Linotype" w:hAnsi="Palatino Linotype" w:cs="Palatino Linotype"/>
          <w:color w:val="000000"/>
          <w:sz w:val="22"/>
          <w:szCs w:val="22"/>
        </w:rPr>
      </w:pPr>
    </w:p>
    <w:p w14:paraId="401111C9" w14:textId="77777777" w:rsidR="00D53536" w:rsidRDefault="0045373D">
      <w:pPr>
        <w:pBdr>
          <w:top w:val="nil"/>
          <w:left w:val="nil"/>
          <w:bottom w:val="nil"/>
          <w:right w:val="nil"/>
          <w:between w:val="nil"/>
        </w:pBdr>
        <w:spacing w:after="120" w:line="360" w:lineRule="auto"/>
        <w:ind w:right="9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De tal manera, es evidente que con ello queda sin materia el presente recurso de revisión, ya que la inconformidad sobre la negativa a la información solicitada, se subsanó con la información entregada en informe justificado dentro del apartado de manifestaciones del SAIMEX, que fue puesto a la vista del </w:t>
      </w:r>
      <w:r>
        <w:rPr>
          <w:rFonts w:ascii="Palatino Linotype" w:eastAsia="Palatino Linotype" w:hAnsi="Palatino Linotype" w:cs="Palatino Linotype"/>
          <w:b/>
          <w:color w:val="000000"/>
          <w:sz w:val="22"/>
          <w:szCs w:val="22"/>
        </w:rPr>
        <w:t>RECURRENTE</w:t>
      </w:r>
      <w:r>
        <w:rPr>
          <w:rFonts w:ascii="Palatino Linotype" w:eastAsia="Palatino Linotype" w:hAnsi="Palatino Linotype" w:cs="Palatino Linotype"/>
          <w:color w:val="000000"/>
          <w:sz w:val="22"/>
          <w:szCs w:val="22"/>
        </w:rPr>
        <w:t>; y si respecto de la misma no formuló alegato alguno dentro del plazo concedido para tal efecto se entiende que se encuentra satisfecho.</w:t>
      </w:r>
    </w:p>
    <w:p w14:paraId="69E418E5" w14:textId="77777777" w:rsidR="00D53536" w:rsidRDefault="00D53536">
      <w:pPr>
        <w:spacing w:line="360" w:lineRule="auto"/>
        <w:jc w:val="both"/>
        <w:rPr>
          <w:rFonts w:ascii="Palatino Linotype" w:eastAsia="Palatino Linotype" w:hAnsi="Palatino Linotype" w:cs="Palatino Linotype"/>
          <w:sz w:val="22"/>
          <w:szCs w:val="22"/>
        </w:rPr>
      </w:pPr>
    </w:p>
    <w:p w14:paraId="6E9BF0F7" w14:textId="77777777" w:rsidR="00D53536" w:rsidRDefault="0045373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resumen,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dio respuesta a las solicitudes de acceso a la información pública de la ahora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aunque ello haya sido de manera posterior; dejando con ello sin materia el presente recurso de revisión, actualizándose entonces la causal prevista en la fracción III del artículo 192 de la Ley de la Materia vigente en la Entidad, antes transcrita. </w:t>
      </w:r>
    </w:p>
    <w:p w14:paraId="6F782385" w14:textId="77777777" w:rsidR="00D53536" w:rsidRDefault="00D53536">
      <w:pPr>
        <w:spacing w:line="360" w:lineRule="auto"/>
        <w:jc w:val="both"/>
        <w:rPr>
          <w:rFonts w:ascii="Palatino Linotype" w:eastAsia="Palatino Linotype" w:hAnsi="Palatino Linotype" w:cs="Palatino Linotype"/>
          <w:sz w:val="22"/>
          <w:szCs w:val="22"/>
        </w:rPr>
      </w:pPr>
    </w:p>
    <w:p w14:paraId="6EF7A5D1" w14:textId="77777777" w:rsidR="00D53536" w:rsidRDefault="0045373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Siendo el </w:t>
      </w:r>
      <w:r>
        <w:rPr>
          <w:rFonts w:ascii="Palatino Linotype" w:eastAsia="Palatino Linotype" w:hAnsi="Palatino Linotype" w:cs="Palatino Linotype"/>
          <w:i/>
          <w:sz w:val="22"/>
          <w:szCs w:val="22"/>
        </w:rPr>
        <w:t>sobreseimiento</w:t>
      </w:r>
      <w:r>
        <w:rPr>
          <w:rFonts w:ascii="Palatino Linotype" w:eastAsia="Palatino Linotype" w:hAnsi="Palatino Linotype" w:cs="Palatino Linotype"/>
          <w:sz w:val="22"/>
          <w:szCs w:val="22"/>
        </w:rPr>
        <w:t xml:space="preserve"> un acto que da por terminado el procedimiento administrativo de impugnación sin resolver el fondo de la cuestión planteada, por presentarse causas que impiden a la autoridad referirse a lo sustancial de lo planteado por la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los efectos del sobreseimiento son los dar por concluido los recursos administrativos sin entrar al estudio de fondo de los asuntos de que se trate; lo anterior con apoyo en el criterio del Poder Judicial de la Federación con rubro:</w:t>
      </w:r>
    </w:p>
    <w:p w14:paraId="2DA1308C" w14:textId="77777777" w:rsidR="00D53536" w:rsidRDefault="00D53536">
      <w:pPr>
        <w:spacing w:line="360" w:lineRule="auto"/>
        <w:jc w:val="both"/>
        <w:rPr>
          <w:rFonts w:ascii="Palatino Linotype" w:eastAsia="Palatino Linotype" w:hAnsi="Palatino Linotype" w:cs="Palatino Linotype"/>
          <w:sz w:val="22"/>
          <w:szCs w:val="22"/>
        </w:rPr>
      </w:pPr>
    </w:p>
    <w:p w14:paraId="1BD03ACF" w14:textId="77777777" w:rsidR="00D53536" w:rsidRDefault="0045373D">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SOBRESEIMIENTO, NO PERMITE ENTRAR AL ESTUDIO DE LAS CUESTIONES DE FONDO</w:t>
      </w:r>
    </w:p>
    <w:p w14:paraId="1E6CE9C6" w14:textId="77777777" w:rsidR="00D53536" w:rsidRDefault="0045373D">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Localización: 213609. II.2o.183 K. Tribunales Colegiados de Circuito. Octava Época. Semanario Judicial de la Federación. Tomo XIII, Febrero de 1994, Pág. 420</w:t>
      </w:r>
    </w:p>
    <w:p w14:paraId="53510AD9" w14:textId="77777777" w:rsidR="00D53536" w:rsidRDefault="0045373D">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 xml:space="preserve">Cuerpo de tesis: No causa agravio la sentencia que no se ocupa de los razonamientos tendientes a demostrar la inconstitucionalidad de los actos reclamados de las autoridades </w:t>
      </w:r>
      <w:r>
        <w:rPr>
          <w:rFonts w:ascii="Palatino Linotype" w:eastAsia="Palatino Linotype" w:hAnsi="Palatino Linotype" w:cs="Palatino Linotype"/>
          <w:i/>
          <w:sz w:val="22"/>
          <w:szCs w:val="22"/>
        </w:rPr>
        <w:lastRenderedPageBreak/>
        <w:t>responsables, que constituyen el problema de fondo, si se decreta el sobreseimiento del juicio.” (Sic)</w:t>
      </w:r>
    </w:p>
    <w:p w14:paraId="671A1054" w14:textId="77777777" w:rsidR="00D53536" w:rsidRDefault="00D53536">
      <w:pPr>
        <w:spacing w:line="360" w:lineRule="auto"/>
        <w:rPr>
          <w:rFonts w:ascii="Palatino Linotype" w:eastAsia="Palatino Linotype" w:hAnsi="Palatino Linotype" w:cs="Palatino Linotype"/>
          <w:sz w:val="22"/>
          <w:szCs w:val="22"/>
        </w:rPr>
      </w:pPr>
    </w:p>
    <w:p w14:paraId="6DF15D20" w14:textId="77777777" w:rsidR="00D53536" w:rsidRDefault="0045373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Cabe destacar que la decisión de este órgano colegiado de sobreseer los recursos de revisión no implica una limitación o negación a la justicia, según lo ha establecido el Poder Judicial Federal, en el criterio que es aplicable por analogía, con rubro:</w:t>
      </w:r>
    </w:p>
    <w:p w14:paraId="5F8E8311" w14:textId="77777777" w:rsidR="00D53536" w:rsidRDefault="00D53536">
      <w:pPr>
        <w:spacing w:line="360" w:lineRule="auto"/>
        <w:jc w:val="both"/>
        <w:rPr>
          <w:rFonts w:ascii="Palatino Linotype" w:eastAsia="Palatino Linotype" w:hAnsi="Palatino Linotype" w:cs="Palatino Linotype"/>
          <w:sz w:val="22"/>
          <w:szCs w:val="22"/>
        </w:rPr>
      </w:pPr>
    </w:p>
    <w:p w14:paraId="7947197C" w14:textId="77777777" w:rsidR="00D53536" w:rsidRDefault="0045373D">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w:t>
      </w:r>
      <w:r>
        <w:rPr>
          <w:rFonts w:ascii="Palatino Linotype" w:eastAsia="Palatino Linotype" w:hAnsi="Palatino Linotype" w:cs="Palatino Linotype"/>
          <w:i/>
          <w:sz w:val="22"/>
          <w:szCs w:val="22"/>
        </w:rPr>
        <w:t>“DESECHAMIENTO O SOBRESEIMIENTO EN EL JUICIO DE AMPARO. NO IMPLICA DENEGACIÓN DE JUSTICIA NI GENERA INSEGURIDAD JURÍDICA”</w:t>
      </w:r>
    </w:p>
    <w:p w14:paraId="37A9A2FB" w14:textId="77777777" w:rsidR="00D53536" w:rsidRDefault="0045373D">
      <w:pPr>
        <w:ind w:left="567" w:right="567"/>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p>
    <w:p w14:paraId="01DE579F" w14:textId="77777777" w:rsidR="00D53536" w:rsidRDefault="00D53536">
      <w:pPr>
        <w:pBdr>
          <w:top w:val="nil"/>
          <w:left w:val="nil"/>
          <w:bottom w:val="nil"/>
          <w:right w:val="nil"/>
          <w:between w:val="nil"/>
        </w:pBdr>
        <w:spacing w:before="240" w:line="360" w:lineRule="auto"/>
        <w:jc w:val="both"/>
        <w:rPr>
          <w:rFonts w:ascii="Palatino Linotype" w:eastAsia="Palatino Linotype" w:hAnsi="Palatino Linotype" w:cs="Palatino Linotype"/>
          <w:color w:val="000000"/>
          <w:sz w:val="22"/>
          <w:szCs w:val="22"/>
        </w:rPr>
      </w:pPr>
    </w:p>
    <w:p w14:paraId="49D41978" w14:textId="77777777" w:rsidR="00D53536" w:rsidRDefault="0045373D">
      <w:pPr>
        <w:pBdr>
          <w:top w:val="nil"/>
          <w:left w:val="nil"/>
          <w:bottom w:val="nil"/>
          <w:right w:val="nil"/>
          <w:between w:val="nil"/>
        </w:pBdr>
        <w:spacing w:after="240"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Así, con fundamento en lo prescrito en los artículos 5 párrafos trigésimo, trigésimo primero y trigésimo segundo de la Constitución Política del Estado Libre y Soberano de México; 2, fracción II; 29, 36 fracciones I y II; 176, 178, 181, 185 y 186 fracción II de la Ley de Transparencia y Acceso a la Información Pública del Estado de México y Municipios, este Pleno:</w:t>
      </w:r>
    </w:p>
    <w:p w14:paraId="68E1FEF7" w14:textId="77777777" w:rsidR="00D53536" w:rsidRDefault="0045373D">
      <w:pPr>
        <w:spacing w:line="360" w:lineRule="auto"/>
        <w:ind w:left="-142" w:right="49"/>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R E S U E L V E:</w:t>
      </w:r>
    </w:p>
    <w:p w14:paraId="40FF2990" w14:textId="77777777" w:rsidR="00D53536" w:rsidRDefault="00D53536">
      <w:pPr>
        <w:spacing w:line="360" w:lineRule="auto"/>
        <w:ind w:left="-142" w:right="49"/>
        <w:jc w:val="center"/>
        <w:rPr>
          <w:rFonts w:ascii="Palatino Linotype" w:eastAsia="Palatino Linotype" w:hAnsi="Palatino Linotype" w:cs="Palatino Linotype"/>
          <w:b/>
          <w:sz w:val="22"/>
          <w:szCs w:val="22"/>
        </w:rPr>
      </w:pPr>
    </w:p>
    <w:p w14:paraId="17EA5F5E" w14:textId="77777777" w:rsidR="00D53536" w:rsidRDefault="0045373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PRIMERO</w:t>
      </w:r>
      <w:r>
        <w:rPr>
          <w:rFonts w:ascii="Palatino Linotype" w:eastAsia="Palatino Linotype" w:hAnsi="Palatino Linotype" w:cs="Palatino Linotype"/>
          <w:sz w:val="22"/>
          <w:szCs w:val="22"/>
        </w:rPr>
        <w:t xml:space="preserve"> Se </w:t>
      </w:r>
      <w:r>
        <w:rPr>
          <w:rFonts w:ascii="Palatino Linotype" w:eastAsia="Palatino Linotype" w:hAnsi="Palatino Linotype" w:cs="Palatino Linotype"/>
          <w:b/>
          <w:sz w:val="22"/>
          <w:szCs w:val="22"/>
        </w:rPr>
        <w:t xml:space="preserve">SOBRESEEN </w:t>
      </w:r>
      <w:r>
        <w:rPr>
          <w:rFonts w:ascii="Palatino Linotype" w:eastAsia="Palatino Linotype" w:hAnsi="Palatino Linotype" w:cs="Palatino Linotype"/>
          <w:sz w:val="22"/>
          <w:szCs w:val="22"/>
        </w:rPr>
        <w:t xml:space="preserve">los recursos de revisión </w:t>
      </w:r>
      <w:r>
        <w:rPr>
          <w:rFonts w:ascii="Palatino Linotype" w:eastAsia="Palatino Linotype" w:hAnsi="Palatino Linotype" w:cs="Palatino Linotype"/>
          <w:b/>
          <w:sz w:val="22"/>
          <w:szCs w:val="22"/>
        </w:rPr>
        <w:t xml:space="preserve">01499/INFOEM/IP/RR/2025 </w:t>
      </w:r>
      <w:r>
        <w:rPr>
          <w:rFonts w:ascii="Palatino Linotype" w:eastAsia="Palatino Linotype" w:hAnsi="Palatino Linotype" w:cs="Palatino Linotype"/>
          <w:sz w:val="22"/>
          <w:szCs w:val="22"/>
        </w:rPr>
        <w:t>y</w:t>
      </w:r>
      <w:r>
        <w:rPr>
          <w:rFonts w:ascii="Palatino Linotype" w:eastAsia="Palatino Linotype" w:hAnsi="Palatino Linotype" w:cs="Palatino Linotype"/>
          <w:b/>
          <w:sz w:val="22"/>
          <w:szCs w:val="22"/>
        </w:rPr>
        <w:t xml:space="preserve"> 01503/INFOEM/IP/RR/2025 acumulados</w:t>
      </w:r>
      <w:r>
        <w:rPr>
          <w:rFonts w:ascii="Palatino Linotype" w:eastAsia="Palatino Linotype" w:hAnsi="Palatino Linotype" w:cs="Palatino Linotype"/>
          <w:sz w:val="22"/>
          <w:szCs w:val="22"/>
        </w:rPr>
        <w:t xml:space="preserve">, de conformidad con lo dispuesto en la fracción III del artículo 192 de la Ley de Transparencia de la Entidad, porque al modificar las respuestas a las solicitudes de acceso a la información </w:t>
      </w:r>
      <w:r>
        <w:rPr>
          <w:rFonts w:ascii="Palatino Linotype" w:eastAsia="Palatino Linotype" w:hAnsi="Palatino Linotype" w:cs="Palatino Linotype"/>
          <w:b/>
          <w:sz w:val="22"/>
          <w:szCs w:val="22"/>
        </w:rPr>
        <w:t xml:space="preserve">00021/MEXICAL/IP/2025 y 00022/MEXICAL/IP/2025, </w:t>
      </w:r>
      <w:r>
        <w:rPr>
          <w:rFonts w:ascii="Palatino Linotype" w:eastAsia="Palatino Linotype" w:hAnsi="Palatino Linotype" w:cs="Palatino Linotype"/>
          <w:sz w:val="22"/>
          <w:szCs w:val="22"/>
        </w:rPr>
        <w:t xml:space="preserve">los recursos de revisión quedaron sin materia en términos del </w:t>
      </w:r>
      <w:r>
        <w:rPr>
          <w:rFonts w:ascii="Palatino Linotype" w:eastAsia="Palatino Linotype" w:hAnsi="Palatino Linotype" w:cs="Palatino Linotype"/>
          <w:b/>
          <w:sz w:val="22"/>
          <w:szCs w:val="22"/>
        </w:rPr>
        <w:t>Considerando Tercero</w:t>
      </w:r>
      <w:r>
        <w:rPr>
          <w:rFonts w:ascii="Palatino Linotype" w:eastAsia="Palatino Linotype" w:hAnsi="Palatino Linotype" w:cs="Palatino Linotype"/>
          <w:sz w:val="22"/>
          <w:szCs w:val="22"/>
        </w:rPr>
        <w:t xml:space="preserve"> de la presente resolución.</w:t>
      </w:r>
    </w:p>
    <w:p w14:paraId="15595BC3" w14:textId="77777777" w:rsidR="00D53536" w:rsidRDefault="00D53536">
      <w:pPr>
        <w:spacing w:line="360" w:lineRule="auto"/>
        <w:jc w:val="both"/>
        <w:rPr>
          <w:rFonts w:ascii="Palatino Linotype" w:eastAsia="Palatino Linotype" w:hAnsi="Palatino Linotype" w:cs="Palatino Linotype"/>
          <w:b/>
          <w:sz w:val="22"/>
          <w:szCs w:val="22"/>
        </w:rPr>
      </w:pPr>
    </w:p>
    <w:p w14:paraId="20220DAD" w14:textId="77777777" w:rsidR="00D53536" w:rsidRDefault="0045373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SEGUNDO. Notifíquese</w:t>
      </w:r>
      <w:r>
        <w:rPr>
          <w:rFonts w:ascii="Palatino Linotype" w:eastAsia="Palatino Linotype" w:hAnsi="Palatino Linotype" w:cs="Palatino Linotype"/>
          <w:sz w:val="22"/>
          <w:szCs w:val="22"/>
        </w:rPr>
        <w:t>,</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vía </w:t>
      </w:r>
      <w:r>
        <w:rPr>
          <w:rFonts w:ascii="Palatino Linotype" w:eastAsia="Palatino Linotype" w:hAnsi="Palatino Linotype" w:cs="Palatino Linotype"/>
          <w:b/>
          <w:sz w:val="22"/>
          <w:szCs w:val="22"/>
        </w:rPr>
        <w:t xml:space="preserve">SAIMEX, </w:t>
      </w:r>
      <w:r>
        <w:rPr>
          <w:rFonts w:ascii="Palatino Linotype" w:eastAsia="Palatino Linotype" w:hAnsi="Palatino Linotype" w:cs="Palatino Linotype"/>
          <w:sz w:val="22"/>
          <w:szCs w:val="22"/>
        </w:rPr>
        <w:t xml:space="preserve">al Titular de la Unidad de Transparencia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la presente resolución, para su conocimiento.</w:t>
      </w:r>
    </w:p>
    <w:p w14:paraId="55736469" w14:textId="77777777" w:rsidR="00D53536" w:rsidRDefault="00D53536">
      <w:pPr>
        <w:spacing w:line="360" w:lineRule="auto"/>
        <w:jc w:val="both"/>
        <w:rPr>
          <w:rFonts w:ascii="Palatino Linotype" w:eastAsia="Palatino Linotype" w:hAnsi="Palatino Linotype" w:cs="Palatino Linotype"/>
          <w:b/>
          <w:sz w:val="22"/>
          <w:szCs w:val="22"/>
        </w:rPr>
      </w:pPr>
    </w:p>
    <w:p w14:paraId="46E003AF" w14:textId="77777777" w:rsidR="00D53536" w:rsidRDefault="0045373D">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TERCERO. Notifíquese </w:t>
      </w:r>
      <w:r>
        <w:rPr>
          <w:rFonts w:ascii="Palatino Linotype" w:eastAsia="Palatino Linotype" w:hAnsi="Palatino Linotype" w:cs="Palatino Linotype"/>
          <w:sz w:val="22"/>
          <w:szCs w:val="22"/>
        </w:rPr>
        <w:t>vía</w:t>
      </w:r>
      <w:r>
        <w:rPr>
          <w:rFonts w:ascii="Palatino Linotype" w:eastAsia="Palatino Linotype" w:hAnsi="Palatino Linotype" w:cs="Palatino Linotype"/>
          <w:b/>
          <w:sz w:val="22"/>
          <w:szCs w:val="22"/>
        </w:rPr>
        <w:t xml:space="preserve"> SAIMEX</w:t>
      </w:r>
      <w:r>
        <w:rPr>
          <w:rFonts w:ascii="Palatino Linotype" w:eastAsia="Palatino Linotype" w:hAnsi="Palatino Linotype" w:cs="Palatino Linotype"/>
          <w:sz w:val="22"/>
          <w:szCs w:val="22"/>
        </w:rPr>
        <w:t xml:space="preserve"> a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 vía Juicio de Amparo en los términos de las leyes aplicables.</w:t>
      </w:r>
    </w:p>
    <w:p w14:paraId="1AFA2DDD" w14:textId="77777777" w:rsidR="00D53536" w:rsidRDefault="00D53536">
      <w:pPr>
        <w:spacing w:line="360" w:lineRule="auto"/>
        <w:jc w:val="both"/>
        <w:rPr>
          <w:rFonts w:ascii="Palatino Linotype" w:eastAsia="Palatino Linotype" w:hAnsi="Palatino Linotype" w:cs="Palatino Linotype"/>
          <w:sz w:val="22"/>
          <w:szCs w:val="22"/>
        </w:rPr>
      </w:pPr>
    </w:p>
    <w:p w14:paraId="0ABE303C" w14:textId="77777777" w:rsidR="00D53536" w:rsidRDefault="00D53536">
      <w:pPr>
        <w:spacing w:line="360" w:lineRule="auto"/>
        <w:jc w:val="both"/>
        <w:rPr>
          <w:rFonts w:ascii="Palatino Linotype" w:eastAsia="Palatino Linotype" w:hAnsi="Palatino Linotype" w:cs="Palatino Linotype"/>
          <w:sz w:val="22"/>
          <w:szCs w:val="22"/>
        </w:rPr>
      </w:pPr>
    </w:p>
    <w:p w14:paraId="3D4D2312" w14:textId="77777777" w:rsidR="00D53536" w:rsidRDefault="0045373D">
      <w:pPr>
        <w:spacing w:after="240" w:line="360" w:lineRule="auto"/>
        <w:jc w:val="both"/>
        <w:rPr>
          <w:rFonts w:ascii="Palatino Linotype" w:eastAsia="Palatino Linotype" w:hAnsi="Palatino Linotype" w:cs="Palatino Linotype"/>
          <w:sz w:val="22"/>
          <w:szCs w:val="22"/>
        </w:rPr>
        <w:sectPr w:rsidR="00D53536">
          <w:headerReference w:type="even" r:id="rId11"/>
          <w:headerReference w:type="default" r:id="rId12"/>
          <w:footerReference w:type="even" r:id="rId13"/>
          <w:footerReference w:type="default" r:id="rId14"/>
          <w:headerReference w:type="first" r:id="rId15"/>
          <w:footerReference w:type="first" r:id="rId16"/>
          <w:pgSz w:w="12240" w:h="15840"/>
          <w:pgMar w:top="621" w:right="1701" w:bottom="1701" w:left="1701" w:header="618" w:footer="709" w:gutter="0"/>
          <w:pgNumType w:start="1"/>
          <w:cols w:space="720"/>
          <w:titlePg/>
        </w:sectPr>
      </w:pPr>
      <w:bookmarkStart w:id="3" w:name="_heading=h.3w63xksg55lq" w:colFirst="0" w:colLast="0"/>
      <w:bookmarkEnd w:id="3"/>
      <w:r>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DECIMA PRIMERA SESIÓN </w:t>
      </w:r>
      <w:r>
        <w:rPr>
          <w:rFonts w:ascii="Palatino Linotype" w:eastAsia="Palatino Linotype" w:hAnsi="Palatino Linotype" w:cs="Palatino Linotype"/>
          <w:sz w:val="22"/>
          <w:szCs w:val="22"/>
        </w:rPr>
        <w:lastRenderedPageBreak/>
        <w:t>ORDINARIA CELEBRADA EL VEINTISÉIS DE MARZO DE DOS MIL VEINTICINCO, ANTE EL SECRETARIO TÉCNICO DEL PLENO, ALEXIS TAPIA RAMÍREZ.</w:t>
      </w:r>
    </w:p>
    <w:p w14:paraId="534748FF" w14:textId="77777777" w:rsidR="00D53536" w:rsidRDefault="00D53536">
      <w:pPr>
        <w:spacing w:before="240" w:after="240"/>
        <w:jc w:val="both"/>
        <w:rPr>
          <w:rFonts w:ascii="Palatino Linotype" w:eastAsia="Palatino Linotype" w:hAnsi="Palatino Linotype" w:cs="Palatino Linotype"/>
          <w:sz w:val="22"/>
          <w:szCs w:val="22"/>
        </w:rPr>
      </w:pPr>
    </w:p>
    <w:p w14:paraId="70C84835" w14:textId="77777777" w:rsidR="00D53536" w:rsidRDefault="00D53536">
      <w:pPr>
        <w:spacing w:before="240" w:after="240"/>
        <w:jc w:val="both"/>
        <w:rPr>
          <w:rFonts w:ascii="Palatino Linotype" w:eastAsia="Palatino Linotype" w:hAnsi="Palatino Linotype" w:cs="Palatino Linotype"/>
          <w:sz w:val="22"/>
          <w:szCs w:val="22"/>
        </w:rPr>
      </w:pPr>
      <w:bookmarkStart w:id="4" w:name="_heading=h.1fob9te" w:colFirst="0" w:colLast="0"/>
      <w:bookmarkEnd w:id="4"/>
    </w:p>
    <w:sectPr w:rsidR="00D53536">
      <w:headerReference w:type="first" r:id="rId17"/>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91B6B" w14:textId="77777777" w:rsidR="00274829" w:rsidRDefault="00274829">
      <w:r>
        <w:separator/>
      </w:r>
    </w:p>
  </w:endnote>
  <w:endnote w:type="continuationSeparator" w:id="0">
    <w:p w14:paraId="011EEC71" w14:textId="77777777" w:rsidR="00274829" w:rsidRDefault="0027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9D8A" w14:textId="77777777" w:rsidR="00D53536" w:rsidRDefault="00D53536">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5200" w14:textId="77777777" w:rsidR="00D53536" w:rsidRDefault="0045373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p>
  <w:p w14:paraId="5AEA9F44" w14:textId="77777777" w:rsidR="00D53536" w:rsidRDefault="00D53536">
    <w:pPr>
      <w:pBdr>
        <w:top w:val="nil"/>
        <w:left w:val="nil"/>
        <w:bottom w:val="nil"/>
        <w:right w:val="nil"/>
        <w:between w:val="nil"/>
      </w:pBdr>
      <w:tabs>
        <w:tab w:val="center" w:pos="4252"/>
        <w:tab w:val="right" w:pos="8504"/>
      </w:tabs>
      <w:ind w:firstLine="708"/>
      <w:rPr>
        <w:rFonts w:ascii="Cambria" w:eastAsia="Cambria" w:hAnsi="Cambria" w:cs="Cambria"/>
        <w:color w:val="000000"/>
      </w:rPr>
    </w:pPr>
  </w:p>
  <w:p w14:paraId="75ECE8AA" w14:textId="77777777" w:rsidR="00D53536" w:rsidRDefault="00D53536"/>
  <w:p w14:paraId="1CA6B05B" w14:textId="77777777" w:rsidR="00D53536" w:rsidRDefault="00D5353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9C8E" w14:textId="77777777" w:rsidR="00D53536" w:rsidRDefault="0045373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Pr>
        <w:rFonts w:ascii="Palatino Linotype" w:eastAsia="Palatino Linotype" w:hAnsi="Palatino Linotype" w:cs="Palatino Linotype"/>
        <w:b/>
        <w:noProof/>
        <w:color w:val="000000"/>
        <w:sz w:val="20"/>
        <w:szCs w:val="20"/>
      </w:rPr>
      <w:t>2</w:t>
    </w:r>
    <w:r>
      <w:rPr>
        <w:rFonts w:ascii="Palatino Linotype" w:eastAsia="Palatino Linotype" w:hAnsi="Palatino Linotype" w:cs="Palatino Linotype"/>
        <w:b/>
        <w:color w:val="000000"/>
        <w:sz w:val="20"/>
        <w:szCs w:val="20"/>
      </w:rPr>
      <w:fldChar w:fldCharType="end"/>
    </w:r>
  </w:p>
  <w:p w14:paraId="0B37CCAE" w14:textId="77777777" w:rsidR="00D53536" w:rsidRDefault="00D53536">
    <w:pPr>
      <w:pBdr>
        <w:top w:val="nil"/>
        <w:left w:val="nil"/>
        <w:bottom w:val="nil"/>
        <w:right w:val="nil"/>
        <w:between w:val="nil"/>
      </w:pBdr>
      <w:tabs>
        <w:tab w:val="center" w:pos="4252"/>
        <w:tab w:val="right" w:pos="8504"/>
      </w:tabs>
      <w:rPr>
        <w:rFonts w:ascii="Cambria" w:eastAsia="Cambria" w:hAnsi="Cambria" w:cs="Cambria"/>
        <w:color w:val="000000"/>
      </w:rPr>
    </w:pPr>
  </w:p>
  <w:p w14:paraId="76B3E18F" w14:textId="77777777" w:rsidR="00D53536" w:rsidRDefault="00D53536"/>
  <w:p w14:paraId="6DE12D8C" w14:textId="77777777" w:rsidR="00D53536" w:rsidRDefault="00D535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E8335" w14:textId="77777777" w:rsidR="00274829" w:rsidRDefault="00274829">
      <w:r>
        <w:separator/>
      </w:r>
    </w:p>
  </w:footnote>
  <w:footnote w:type="continuationSeparator" w:id="0">
    <w:p w14:paraId="2144086B" w14:textId="77777777" w:rsidR="00274829" w:rsidRDefault="00274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831A" w14:textId="77777777" w:rsidR="00D53536" w:rsidRDefault="00D53536">
    <w:pPr>
      <w:pBdr>
        <w:top w:val="nil"/>
        <w:left w:val="nil"/>
        <w:bottom w:val="nil"/>
        <w:right w:val="nil"/>
        <w:between w:val="nil"/>
      </w:pBdr>
      <w:tabs>
        <w:tab w:val="center" w:pos="4252"/>
        <w:tab w:val="right" w:pos="8504"/>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B5110" w14:textId="77777777" w:rsidR="00D53536" w:rsidRDefault="0045373D">
    <w:pPr>
      <w:rPr>
        <w:rFonts w:ascii="Cambria" w:eastAsia="Cambria" w:hAnsi="Cambria" w:cs="Cambria"/>
        <w:color w:val="000000"/>
      </w:rPr>
    </w:pPr>
    <w:r>
      <w:rPr>
        <w:noProof/>
      </w:rPr>
      <w:drawing>
        <wp:anchor distT="0" distB="0" distL="0" distR="0" simplePos="0" relativeHeight="251658240" behindDoc="1" locked="0" layoutInCell="1" hidden="0" allowOverlap="1" wp14:anchorId="32FF7A94" wp14:editId="0E0E5E7A">
          <wp:simplePos x="0" y="0"/>
          <wp:positionH relativeFrom="column">
            <wp:posOffset>-1080128</wp:posOffset>
          </wp:positionH>
          <wp:positionV relativeFrom="paragraph">
            <wp:posOffset>-234306</wp:posOffset>
          </wp:positionV>
          <wp:extent cx="7809865" cy="10165715"/>
          <wp:effectExtent l="0" t="0" r="0" b="0"/>
          <wp:wrapNone/>
          <wp:docPr id="21226798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d"/>
      <w:tblW w:w="5811" w:type="dxa"/>
      <w:tblInd w:w="3261" w:type="dxa"/>
      <w:tblLayout w:type="fixed"/>
      <w:tblLook w:val="0400" w:firstRow="0" w:lastRow="0" w:firstColumn="0" w:lastColumn="0" w:noHBand="0" w:noVBand="1"/>
    </w:tblPr>
    <w:tblGrid>
      <w:gridCol w:w="2390"/>
      <w:gridCol w:w="3421"/>
    </w:tblGrid>
    <w:tr w:rsidR="00D53536" w14:paraId="7AE48D77" w14:textId="77777777">
      <w:trPr>
        <w:trHeight w:val="502"/>
      </w:trPr>
      <w:tc>
        <w:tcPr>
          <w:tcW w:w="2390" w:type="dxa"/>
          <w:shd w:val="clear" w:color="auto" w:fill="auto"/>
        </w:tcPr>
        <w:p w14:paraId="58619666" w14:textId="77777777" w:rsidR="00D53536" w:rsidRDefault="0045373D">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21" w:type="dxa"/>
          <w:shd w:val="clear" w:color="auto" w:fill="auto"/>
          <w:vAlign w:val="center"/>
        </w:tcPr>
        <w:p w14:paraId="32D39AC0" w14:textId="77777777" w:rsidR="00D53536" w:rsidRDefault="0045373D">
          <w:pPr>
            <w:ind w:right="184"/>
            <w:jc w:val="both"/>
            <w:rPr>
              <w:rFonts w:ascii="Palatino Linotype" w:eastAsia="Palatino Linotype" w:hAnsi="Palatino Linotype" w:cs="Palatino Linotype"/>
              <w:b/>
            </w:rPr>
          </w:pPr>
          <w:r>
            <w:rPr>
              <w:rFonts w:ascii="Palatino Linotype" w:eastAsia="Palatino Linotype" w:hAnsi="Palatino Linotype" w:cs="Palatino Linotype"/>
              <w:b/>
            </w:rPr>
            <w:t>01499/INFOEM/IP/RR/2025 y acumulado</w:t>
          </w:r>
        </w:p>
      </w:tc>
    </w:tr>
    <w:tr w:rsidR="00D53536" w14:paraId="2C74B045" w14:textId="77777777">
      <w:trPr>
        <w:trHeight w:val="190"/>
      </w:trPr>
      <w:tc>
        <w:tcPr>
          <w:tcW w:w="2390" w:type="dxa"/>
          <w:shd w:val="clear" w:color="auto" w:fill="auto"/>
          <w:vAlign w:val="center"/>
        </w:tcPr>
        <w:p w14:paraId="2D1406A4" w14:textId="77777777" w:rsidR="00D53536" w:rsidRDefault="0045373D">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21" w:type="dxa"/>
          <w:shd w:val="clear" w:color="auto" w:fill="auto"/>
          <w:vAlign w:val="center"/>
        </w:tcPr>
        <w:p w14:paraId="744F9785" w14:textId="77777777" w:rsidR="00D53536" w:rsidRDefault="0045373D">
          <w:pPr>
            <w:ind w:left="27" w:right="169"/>
            <w:jc w:val="both"/>
            <w:rPr>
              <w:rFonts w:ascii="Palatino Linotype" w:eastAsia="Palatino Linotype" w:hAnsi="Palatino Linotype" w:cs="Palatino Linotype"/>
              <w:b/>
            </w:rPr>
          </w:pPr>
          <w:r>
            <w:rPr>
              <w:rFonts w:ascii="Palatino Linotype" w:eastAsia="Palatino Linotype" w:hAnsi="Palatino Linotype" w:cs="Palatino Linotype"/>
              <w:b/>
            </w:rPr>
            <w:t>Ayuntamiento de Mexicaltzingo</w:t>
          </w:r>
        </w:p>
      </w:tc>
    </w:tr>
    <w:tr w:rsidR="00D53536" w14:paraId="4B9B52A5" w14:textId="77777777">
      <w:trPr>
        <w:trHeight w:val="251"/>
      </w:trPr>
      <w:tc>
        <w:tcPr>
          <w:tcW w:w="2390" w:type="dxa"/>
          <w:shd w:val="clear" w:color="auto" w:fill="auto"/>
          <w:vAlign w:val="center"/>
        </w:tcPr>
        <w:p w14:paraId="139B10B9" w14:textId="77777777" w:rsidR="00D53536" w:rsidRDefault="0045373D">
          <w:pPr>
            <w:ind w:right="-108"/>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21" w:type="dxa"/>
          <w:shd w:val="clear" w:color="auto" w:fill="auto"/>
          <w:vAlign w:val="center"/>
        </w:tcPr>
        <w:p w14:paraId="3EDD51E3" w14:textId="77777777" w:rsidR="00D53536" w:rsidRDefault="0045373D">
          <w:pPr>
            <w:ind w:right="175"/>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20BE7456" w14:textId="77777777" w:rsidR="00D53536" w:rsidRDefault="0045373D">
    <w:pPr>
      <w:rPr>
        <w:rFonts w:ascii="Cambria" w:eastAsia="Cambria" w:hAnsi="Cambria" w:cs="Cambria"/>
        <w:color w:val="000000"/>
      </w:rPr>
    </w:pPr>
    <w:r>
      <w:tab/>
    </w:r>
  </w:p>
  <w:p w14:paraId="4581CC67" w14:textId="77777777" w:rsidR="00D53536" w:rsidRDefault="0045373D">
    <w:pPr>
      <w:tabs>
        <w:tab w:val="left" w:pos="7560"/>
        <w:tab w:val="right" w:pos="8838"/>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C40B8" w14:textId="77777777" w:rsidR="00D53536" w:rsidRDefault="0045373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584B3893" wp14:editId="58C63977">
          <wp:simplePos x="0" y="0"/>
          <wp:positionH relativeFrom="column">
            <wp:posOffset>-1073781</wp:posOffset>
          </wp:positionH>
          <wp:positionV relativeFrom="paragraph">
            <wp:posOffset>-198751</wp:posOffset>
          </wp:positionV>
          <wp:extent cx="7809865" cy="10165715"/>
          <wp:effectExtent l="0" t="0" r="0" b="0"/>
          <wp:wrapNone/>
          <wp:docPr id="21226798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e"/>
      <w:tblW w:w="6378" w:type="dxa"/>
      <w:tblInd w:w="3261" w:type="dxa"/>
      <w:tblLayout w:type="fixed"/>
      <w:tblLook w:val="0400" w:firstRow="0" w:lastRow="0" w:firstColumn="0" w:lastColumn="0" w:noHBand="0" w:noVBand="1"/>
    </w:tblPr>
    <w:tblGrid>
      <w:gridCol w:w="2512"/>
      <w:gridCol w:w="3866"/>
    </w:tblGrid>
    <w:tr w:rsidR="00D53536" w14:paraId="2F82C2BC" w14:textId="77777777">
      <w:trPr>
        <w:trHeight w:val="442"/>
      </w:trPr>
      <w:tc>
        <w:tcPr>
          <w:tcW w:w="2512" w:type="dxa"/>
          <w:shd w:val="clear" w:color="auto" w:fill="auto"/>
          <w:vAlign w:val="center"/>
        </w:tcPr>
        <w:p w14:paraId="0BAB95C2" w14:textId="77777777" w:rsidR="00D53536" w:rsidRDefault="0045373D">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866" w:type="dxa"/>
          <w:shd w:val="clear" w:color="auto" w:fill="auto"/>
          <w:vAlign w:val="center"/>
        </w:tcPr>
        <w:p w14:paraId="509CEED2" w14:textId="77777777" w:rsidR="00D53536" w:rsidRDefault="0045373D">
          <w:pPr>
            <w:tabs>
              <w:tab w:val="left" w:pos="2334"/>
            </w:tabs>
            <w:ind w:left="-45" w:right="877"/>
            <w:jc w:val="both"/>
            <w:rPr>
              <w:rFonts w:ascii="Palatino Linotype" w:eastAsia="Palatino Linotype" w:hAnsi="Palatino Linotype" w:cs="Palatino Linotype"/>
              <w:b/>
            </w:rPr>
          </w:pPr>
          <w:r>
            <w:rPr>
              <w:rFonts w:ascii="Palatino Linotype" w:eastAsia="Palatino Linotype" w:hAnsi="Palatino Linotype" w:cs="Palatino Linotype"/>
              <w:b/>
            </w:rPr>
            <w:t>01499/INFOEM/IP/RR/2025y acumulado</w:t>
          </w:r>
        </w:p>
      </w:tc>
    </w:tr>
    <w:tr w:rsidR="00D53536" w14:paraId="01D15DA6" w14:textId="77777777">
      <w:trPr>
        <w:trHeight w:val="95"/>
      </w:trPr>
      <w:tc>
        <w:tcPr>
          <w:tcW w:w="2512" w:type="dxa"/>
          <w:shd w:val="clear" w:color="auto" w:fill="auto"/>
          <w:vAlign w:val="center"/>
        </w:tcPr>
        <w:p w14:paraId="467574F9" w14:textId="77777777" w:rsidR="00D53536" w:rsidRDefault="0045373D">
          <w:pPr>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66" w:type="dxa"/>
          <w:shd w:val="clear" w:color="auto" w:fill="auto"/>
          <w:vAlign w:val="center"/>
        </w:tcPr>
        <w:p w14:paraId="231543A9" w14:textId="244C60C0" w:rsidR="00D53536" w:rsidRDefault="0045373D">
          <w:pPr>
            <w:jc w:val="both"/>
            <w:rPr>
              <w:rFonts w:ascii="Palatino Linotype" w:eastAsia="Palatino Linotype" w:hAnsi="Palatino Linotype" w:cs="Palatino Linotype"/>
              <w:b/>
            </w:rPr>
          </w:pPr>
          <w:r>
            <w:rPr>
              <w:rFonts w:ascii="Palatino Linotype" w:eastAsia="Palatino Linotype" w:hAnsi="Palatino Linotype" w:cs="Palatino Linotype"/>
              <w:b/>
            </w:rPr>
            <w:t xml:space="preserve">XXXXXXXX XXXXXXX XXXXXXXX </w:t>
          </w:r>
        </w:p>
      </w:tc>
    </w:tr>
    <w:tr w:rsidR="00D53536" w14:paraId="39826F5A" w14:textId="77777777">
      <w:trPr>
        <w:trHeight w:val="168"/>
      </w:trPr>
      <w:tc>
        <w:tcPr>
          <w:tcW w:w="2512" w:type="dxa"/>
          <w:shd w:val="clear" w:color="auto" w:fill="auto"/>
          <w:vAlign w:val="center"/>
        </w:tcPr>
        <w:p w14:paraId="58026612" w14:textId="77777777" w:rsidR="00D53536" w:rsidRDefault="0045373D">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66" w:type="dxa"/>
          <w:shd w:val="clear" w:color="auto" w:fill="auto"/>
          <w:vAlign w:val="center"/>
        </w:tcPr>
        <w:p w14:paraId="6F12A64B" w14:textId="77777777" w:rsidR="00D53536" w:rsidRDefault="0045373D">
          <w:pPr>
            <w:ind w:left="-45" w:right="593"/>
            <w:jc w:val="both"/>
            <w:rPr>
              <w:rFonts w:ascii="Palatino Linotype" w:eastAsia="Palatino Linotype" w:hAnsi="Palatino Linotype" w:cs="Palatino Linotype"/>
              <w:b/>
            </w:rPr>
          </w:pPr>
          <w:r>
            <w:rPr>
              <w:rFonts w:ascii="Palatino Linotype" w:eastAsia="Palatino Linotype" w:hAnsi="Palatino Linotype" w:cs="Palatino Linotype"/>
              <w:b/>
            </w:rPr>
            <w:t>Ayuntamiento de Mexicaltzingo</w:t>
          </w:r>
        </w:p>
      </w:tc>
    </w:tr>
    <w:tr w:rsidR="00D53536" w14:paraId="71AB50CE" w14:textId="77777777">
      <w:trPr>
        <w:trHeight w:val="221"/>
      </w:trPr>
      <w:tc>
        <w:tcPr>
          <w:tcW w:w="2512" w:type="dxa"/>
          <w:shd w:val="clear" w:color="auto" w:fill="auto"/>
          <w:vAlign w:val="center"/>
        </w:tcPr>
        <w:p w14:paraId="5BF69CF2" w14:textId="77777777" w:rsidR="00D53536" w:rsidRDefault="0045373D">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866" w:type="dxa"/>
          <w:shd w:val="clear" w:color="auto" w:fill="auto"/>
          <w:vAlign w:val="center"/>
        </w:tcPr>
        <w:p w14:paraId="1EEFD42C" w14:textId="77777777" w:rsidR="00D53536" w:rsidRDefault="0045373D">
          <w:pPr>
            <w:ind w:left="-45"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5447F136" w14:textId="77777777" w:rsidR="00D53536" w:rsidRDefault="00D5353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55F2" w14:textId="77777777" w:rsidR="00D53536" w:rsidRDefault="00D53536">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73452"/>
    <w:multiLevelType w:val="multilevel"/>
    <w:tmpl w:val="E94A7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E932418"/>
    <w:multiLevelType w:val="multilevel"/>
    <w:tmpl w:val="B1A8FAE2"/>
    <w:lvl w:ilvl="0">
      <w:start w:val="1"/>
      <w:numFmt w:val="bullet"/>
      <w:pStyle w:val="Listaconvietas3"/>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457532222">
    <w:abstractNumId w:val="0"/>
  </w:num>
  <w:num w:numId="2" w16cid:durableId="1377197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536"/>
    <w:rsid w:val="00274829"/>
    <w:rsid w:val="0045373D"/>
    <w:rsid w:val="005C6A56"/>
    <w:rsid w:val="0084608B"/>
    <w:rsid w:val="00D535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F823A"/>
  <w15:docId w15:val="{57670012-9B05-41CF-951A-87476AB0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51E"/>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0">
    <w:name w:val="Table Normal6"/>
    <w:tblPr>
      <w:tblCellMar>
        <w:top w:w="0" w:type="dxa"/>
        <w:left w:w="0" w:type="dxa"/>
        <w:bottom w:w="0" w:type="dxa"/>
        <w:right w:w="0" w:type="dxa"/>
      </w:tblCellMar>
    </w:tblPr>
  </w:style>
  <w:style w:type="table" w:customStyle="1" w:styleId="TableNormal50">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Revisin">
    <w:name w:val="Revision"/>
    <w:hidden/>
    <w:uiPriority w:val="99"/>
    <w:semiHidden/>
    <w:rsid w:val="00564B24"/>
  </w:style>
  <w:style w:type="table" w:customStyle="1" w:styleId="Tablanormal11">
    <w:name w:val="Tabla normal 11"/>
    <w:basedOn w:val="Tablanormal"/>
    <w:next w:val="Tablanormal1"/>
    <w:uiPriority w:val="41"/>
    <w:rsid w:val="007A5E15"/>
    <w:rPr>
      <w:rFonts w:eastAsia="Calibri"/>
      <w:sz w:val="22"/>
      <w:szCs w:val="22"/>
      <w:lang w:val="es-MX"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7A5E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notapieCar1">
    <w:name w:val="Texto nota pie Car1"/>
    <w:uiPriority w:val="99"/>
    <w:rsid w:val="006233E2"/>
    <w:rPr>
      <w:rFonts w:ascii="Times New Roman" w:eastAsia="Times New Roman" w:hAnsi="Times New Roman" w:cs="Times New Roman"/>
      <w:sz w:val="20"/>
      <w:szCs w:val="20"/>
      <w:lang w:val="es-ES" w:eastAsia="es-ES"/>
    </w:rPr>
  </w:style>
  <w:style w:type="paragraph" w:styleId="Subttulo">
    <w:name w:val="Subtitle"/>
    <w:basedOn w:val="Normal"/>
    <w:next w:val="Normal"/>
    <w:link w:val="SubttuloCar"/>
    <w:uiPriority w:val="11"/>
    <w:qFormat/>
    <w:pPr>
      <w:spacing w:after="160"/>
    </w:pPr>
    <w:rPr>
      <w:rFonts w:ascii="Cambria" w:eastAsia="Cambria" w:hAnsi="Cambria" w:cs="Cambria"/>
      <w:color w:val="5A5A5A"/>
      <w:sz w:val="22"/>
      <w:szCs w:val="22"/>
    </w:rPr>
  </w:style>
  <w:style w:type="character" w:customStyle="1" w:styleId="SubttuloCar">
    <w:name w:val="Subtítulo Car"/>
    <w:basedOn w:val="Fuentedeprrafopredeter"/>
    <w:link w:val="Subttulo"/>
    <w:uiPriority w:val="11"/>
    <w:rsid w:val="00D91005"/>
    <w:rPr>
      <w:color w:val="5A5A5A" w:themeColor="text1" w:themeTint="A5"/>
      <w:spacing w:val="15"/>
      <w:sz w:val="22"/>
      <w:szCs w:val="22"/>
      <w:lang w:val="es-ES"/>
    </w:rPr>
  </w:style>
  <w:style w:type="table" w:customStyle="1" w:styleId="44">
    <w:name w:val="44"/>
    <w:basedOn w:val="TableNormal20"/>
    <w:tblPr>
      <w:tblStyleRowBandSize w:val="1"/>
      <w:tblStyleColBandSize w:val="1"/>
      <w:tblCellMar>
        <w:left w:w="115" w:type="dxa"/>
        <w:right w:w="115" w:type="dxa"/>
      </w:tblCellMar>
    </w:tblPr>
  </w:style>
  <w:style w:type="table" w:customStyle="1" w:styleId="43">
    <w:name w:val="43"/>
    <w:basedOn w:val="TableNormal20"/>
    <w:tblPr>
      <w:tblStyleRowBandSize w:val="1"/>
      <w:tblStyleColBandSize w:val="1"/>
      <w:tblCellMar>
        <w:left w:w="115" w:type="dxa"/>
        <w:right w:w="115" w:type="dxa"/>
      </w:tblCellMar>
    </w:tblPr>
  </w:style>
  <w:style w:type="table" w:customStyle="1" w:styleId="42">
    <w:name w:val="42"/>
    <w:basedOn w:val="TableNormal20"/>
    <w:tblPr>
      <w:tblStyleRowBandSize w:val="1"/>
      <w:tblStyleColBandSize w:val="1"/>
      <w:tblCellMar>
        <w:left w:w="115" w:type="dxa"/>
        <w:right w:w="115" w:type="dxa"/>
      </w:tblCellMar>
    </w:tblPr>
  </w:style>
  <w:style w:type="table" w:customStyle="1" w:styleId="41">
    <w:name w:val="41"/>
    <w:basedOn w:val="TableNormal20"/>
    <w:tblPr>
      <w:tblStyleRowBandSize w:val="1"/>
      <w:tblStyleColBandSize w:val="1"/>
      <w:tblCellMar>
        <w:left w:w="115" w:type="dxa"/>
        <w:right w:w="115" w:type="dxa"/>
      </w:tblCellMar>
    </w:tblPr>
  </w:style>
  <w:style w:type="table" w:customStyle="1" w:styleId="40">
    <w:name w:val="40"/>
    <w:basedOn w:val="TableNormal20"/>
    <w:rPr>
      <w:sz w:val="22"/>
      <w:szCs w:val="22"/>
    </w:rPr>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9">
    <w:name w:val="39"/>
    <w:basedOn w:val="TableNormal20"/>
    <w:tblPr>
      <w:tblStyleRowBandSize w:val="1"/>
      <w:tblStyleColBandSize w:val="1"/>
      <w:tblCellMar>
        <w:left w:w="115" w:type="dxa"/>
        <w:right w:w="115" w:type="dxa"/>
      </w:tblCellMar>
    </w:tblPr>
  </w:style>
  <w:style w:type="table" w:customStyle="1" w:styleId="38">
    <w:name w:val="38"/>
    <w:basedOn w:val="TableNormal20"/>
    <w:tblPr>
      <w:tblStyleRowBandSize w:val="1"/>
      <w:tblStyleColBandSize w:val="1"/>
      <w:tblCellMar>
        <w:left w:w="115" w:type="dxa"/>
        <w:right w:w="115" w:type="dxa"/>
      </w:tblCellMar>
    </w:tblPr>
  </w:style>
  <w:style w:type="table" w:customStyle="1" w:styleId="37">
    <w:name w:val="37"/>
    <w:basedOn w:val="TableNormal20"/>
    <w:rPr>
      <w:sz w:val="22"/>
      <w:szCs w:val="22"/>
    </w:rPr>
    <w:tblPr>
      <w:tblStyleRowBandSize w:val="1"/>
      <w:tblStyleColBandSize w:val="1"/>
      <w:tblCellMar>
        <w:left w:w="115" w:type="dxa"/>
        <w:right w:w="115" w:type="dxa"/>
      </w:tblCellMar>
    </w:tblPr>
  </w:style>
  <w:style w:type="table" w:customStyle="1" w:styleId="36">
    <w:name w:val="36"/>
    <w:basedOn w:val="TableNormal20"/>
    <w:rPr>
      <w:sz w:val="22"/>
      <w:szCs w:val="22"/>
    </w:rPr>
    <w:tblPr>
      <w:tblStyleRowBandSize w:val="1"/>
      <w:tblStyleColBandSize w:val="1"/>
      <w:tblCellMar>
        <w:left w:w="115" w:type="dxa"/>
        <w:right w:w="115" w:type="dxa"/>
      </w:tblCellMar>
    </w:tblPr>
  </w:style>
  <w:style w:type="table" w:customStyle="1" w:styleId="35">
    <w:name w:val="35"/>
    <w:basedOn w:val="TableNormal20"/>
    <w:rPr>
      <w:sz w:val="22"/>
      <w:szCs w:val="22"/>
    </w:rPr>
    <w:tblPr>
      <w:tblStyleRowBandSize w:val="1"/>
      <w:tblStyleColBandSize w:val="1"/>
      <w:tblCellMar>
        <w:left w:w="115" w:type="dxa"/>
        <w:right w:w="115" w:type="dxa"/>
      </w:tblCellMar>
    </w:tblPr>
  </w:style>
  <w:style w:type="table" w:customStyle="1" w:styleId="34">
    <w:name w:val="34"/>
    <w:basedOn w:val="TableNormal20"/>
    <w:tblPr>
      <w:tblStyleRowBandSize w:val="1"/>
      <w:tblStyleColBandSize w:val="1"/>
      <w:tblCellMar>
        <w:left w:w="115" w:type="dxa"/>
        <w:right w:w="115" w:type="dxa"/>
      </w:tblCellMar>
    </w:tblPr>
  </w:style>
  <w:style w:type="table" w:customStyle="1" w:styleId="33">
    <w:name w:val="33"/>
    <w:basedOn w:val="TableNormal20"/>
    <w:tblPr>
      <w:tblStyleRowBandSize w:val="1"/>
      <w:tblStyleColBandSize w:val="1"/>
      <w:tblCellMar>
        <w:left w:w="115" w:type="dxa"/>
        <w:right w:w="115" w:type="dxa"/>
      </w:tblCellMar>
    </w:tblPr>
  </w:style>
  <w:style w:type="table" w:customStyle="1" w:styleId="32">
    <w:name w:val="32"/>
    <w:basedOn w:val="TableNormal20"/>
    <w:tblPr>
      <w:tblStyleRowBandSize w:val="1"/>
      <w:tblStyleColBandSize w:val="1"/>
      <w:tblCellMar>
        <w:left w:w="115" w:type="dxa"/>
        <w:right w:w="115" w:type="dxa"/>
      </w:tblCellMar>
    </w:tblPr>
  </w:style>
  <w:style w:type="table" w:customStyle="1" w:styleId="31">
    <w:name w:val="31"/>
    <w:basedOn w:val="TableNormal20"/>
    <w:tblPr>
      <w:tblStyleRowBandSize w:val="1"/>
      <w:tblStyleColBandSize w:val="1"/>
      <w:tblCellMar>
        <w:left w:w="115" w:type="dxa"/>
        <w:right w:w="115" w:type="dxa"/>
      </w:tblCellMar>
    </w:tblPr>
  </w:style>
  <w:style w:type="table" w:customStyle="1" w:styleId="30">
    <w:name w:val="30"/>
    <w:basedOn w:val="TableNormal20"/>
    <w:rPr>
      <w:sz w:val="22"/>
      <w:szCs w:val="22"/>
    </w:rPr>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9">
    <w:name w:val="29"/>
    <w:basedOn w:val="TableNormal20"/>
    <w:rPr>
      <w:sz w:val="22"/>
      <w:szCs w:val="22"/>
    </w:rPr>
    <w:tblPr>
      <w:tblStyleRowBandSize w:val="1"/>
      <w:tblStyleColBandSize w:val="1"/>
      <w:tblCellMar>
        <w:left w:w="115" w:type="dxa"/>
        <w:right w:w="115" w:type="dxa"/>
      </w:tblCellMar>
    </w:tblPr>
  </w:style>
  <w:style w:type="table" w:customStyle="1" w:styleId="28">
    <w:name w:val="28"/>
    <w:basedOn w:val="TableNormal20"/>
    <w:rPr>
      <w:sz w:val="22"/>
      <w:szCs w:val="22"/>
    </w:rPr>
    <w:tblPr>
      <w:tblStyleRowBandSize w:val="1"/>
      <w:tblStyleColBandSize w:val="1"/>
      <w:tblCellMar>
        <w:left w:w="115" w:type="dxa"/>
        <w:right w:w="115" w:type="dxa"/>
      </w:tblCellMar>
    </w:tblPr>
  </w:style>
  <w:style w:type="table" w:customStyle="1" w:styleId="27">
    <w:name w:val="27"/>
    <w:basedOn w:val="TableNormal30"/>
    <w:rPr>
      <w:sz w:val="22"/>
      <w:szCs w:val="22"/>
    </w:rPr>
    <w:tblPr>
      <w:tblStyleRowBandSize w:val="1"/>
      <w:tblStyleColBandSize w:val="1"/>
      <w:tblCellMar>
        <w:left w:w="115" w:type="dxa"/>
        <w:right w:w="115" w:type="dxa"/>
      </w:tblCellMar>
    </w:tblPr>
  </w:style>
  <w:style w:type="table" w:customStyle="1" w:styleId="26">
    <w:name w:val="26"/>
    <w:basedOn w:val="TableNormal30"/>
    <w:rPr>
      <w:sz w:val="22"/>
      <w:szCs w:val="22"/>
    </w:rPr>
    <w:tblPr>
      <w:tblStyleRowBandSize w:val="1"/>
      <w:tblStyleColBandSize w:val="1"/>
      <w:tblCellMar>
        <w:left w:w="115" w:type="dxa"/>
        <w:right w:w="115" w:type="dxa"/>
      </w:tblCellMar>
    </w:tblPr>
  </w:style>
  <w:style w:type="table" w:customStyle="1" w:styleId="25">
    <w:name w:val="25"/>
    <w:basedOn w:val="TableNormal30"/>
    <w:tblPr>
      <w:tblStyleRowBandSize w:val="1"/>
      <w:tblStyleColBandSize w:val="1"/>
      <w:tblCellMar>
        <w:left w:w="115" w:type="dxa"/>
        <w:right w:w="115" w:type="dxa"/>
      </w:tblCellMar>
    </w:tblPr>
  </w:style>
  <w:style w:type="table" w:customStyle="1" w:styleId="24">
    <w:name w:val="24"/>
    <w:basedOn w:val="TableNormal30"/>
    <w:rPr>
      <w:sz w:val="22"/>
      <w:szCs w:val="22"/>
    </w:rPr>
    <w:tblPr>
      <w:tblStyleRowBandSize w:val="1"/>
      <w:tblStyleColBandSize w:val="1"/>
      <w:tblCellMar>
        <w:left w:w="115" w:type="dxa"/>
        <w:right w:w="115" w:type="dxa"/>
      </w:tblCellMar>
    </w:tblPr>
  </w:style>
  <w:style w:type="table" w:customStyle="1" w:styleId="23">
    <w:name w:val="23"/>
    <w:basedOn w:val="TableNormal30"/>
    <w:rPr>
      <w:sz w:val="22"/>
      <w:szCs w:val="22"/>
    </w:rPr>
    <w:tblPr>
      <w:tblStyleRowBandSize w:val="1"/>
      <w:tblStyleColBandSize w:val="1"/>
      <w:tblCellMar>
        <w:left w:w="115" w:type="dxa"/>
        <w:right w:w="115" w:type="dxa"/>
      </w:tblCellMar>
    </w:tblPr>
  </w:style>
  <w:style w:type="table" w:customStyle="1" w:styleId="22">
    <w:name w:val="22"/>
    <w:basedOn w:val="TableNormal40"/>
    <w:rPr>
      <w:sz w:val="22"/>
      <w:szCs w:val="22"/>
    </w:rPr>
    <w:tblPr>
      <w:tblStyleRowBandSize w:val="1"/>
      <w:tblStyleColBandSize w:val="1"/>
      <w:tblCellMar>
        <w:left w:w="115" w:type="dxa"/>
        <w:right w:w="115" w:type="dxa"/>
      </w:tblCellMar>
    </w:tblPr>
  </w:style>
  <w:style w:type="table" w:customStyle="1" w:styleId="21">
    <w:name w:val="21"/>
    <w:basedOn w:val="TableNormal40"/>
    <w:rPr>
      <w:sz w:val="22"/>
      <w:szCs w:val="22"/>
    </w:rPr>
    <w:tblPr>
      <w:tblStyleRowBandSize w:val="1"/>
      <w:tblStyleColBandSize w:val="1"/>
      <w:tblCellMar>
        <w:left w:w="115" w:type="dxa"/>
        <w:right w:w="115" w:type="dxa"/>
      </w:tblCellMar>
    </w:tblPr>
  </w:style>
  <w:style w:type="table" w:customStyle="1" w:styleId="20">
    <w:name w:val="20"/>
    <w:basedOn w:val="TableNormal40"/>
    <w:rPr>
      <w:sz w:val="22"/>
      <w:szCs w:val="22"/>
    </w:rPr>
    <w:tblPr>
      <w:tblStyleRowBandSize w:val="1"/>
      <w:tblStyleColBandSize w:val="1"/>
      <w:tblCellMar>
        <w:left w:w="115" w:type="dxa"/>
        <w:right w:w="115" w:type="dxa"/>
      </w:tblCellMar>
    </w:tblPr>
  </w:style>
  <w:style w:type="table" w:customStyle="1" w:styleId="19">
    <w:name w:val="19"/>
    <w:basedOn w:val="TableNormal40"/>
    <w:rPr>
      <w:sz w:val="22"/>
      <w:szCs w:val="22"/>
    </w:rPr>
    <w:tblPr>
      <w:tblStyleRowBandSize w:val="1"/>
      <w:tblStyleColBandSize w:val="1"/>
      <w:tblCellMar>
        <w:left w:w="115" w:type="dxa"/>
        <w:right w:w="115" w:type="dxa"/>
      </w:tblCellMar>
    </w:tblPr>
  </w:style>
  <w:style w:type="table" w:customStyle="1" w:styleId="18">
    <w:name w:val="18"/>
    <w:basedOn w:val="TableNormal40"/>
    <w:rPr>
      <w:sz w:val="22"/>
      <w:szCs w:val="22"/>
    </w:rPr>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E144A5"/>
    <w:rPr>
      <w:rFonts w:ascii="Calibri" w:hAnsi="Calibr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166DE3"/>
    <w:tblPr>
      <w:tblCellMar>
        <w:top w:w="0" w:type="dxa"/>
        <w:left w:w="0" w:type="dxa"/>
        <w:bottom w:w="0" w:type="dxa"/>
        <w:right w:w="0" w:type="dxa"/>
      </w:tblCellMar>
    </w:tblPr>
  </w:style>
  <w:style w:type="table" w:customStyle="1" w:styleId="17">
    <w:name w:val="17"/>
    <w:basedOn w:val="TableNormal50"/>
    <w:tblPr>
      <w:tblStyleRowBandSize w:val="1"/>
      <w:tblStyleColBandSize w:val="1"/>
      <w:tblCellMar>
        <w:left w:w="115" w:type="dxa"/>
        <w:right w:w="115" w:type="dxa"/>
      </w:tblCellMar>
    </w:tblPr>
  </w:style>
  <w:style w:type="table" w:customStyle="1" w:styleId="16">
    <w:name w:val="16"/>
    <w:basedOn w:val="TableNormal50"/>
    <w:tblPr>
      <w:tblStyleRowBandSize w:val="1"/>
      <w:tblStyleColBandSize w:val="1"/>
      <w:tblCellMar>
        <w:left w:w="115" w:type="dxa"/>
        <w:right w:w="115" w:type="dxa"/>
      </w:tblCellMar>
    </w:tblPr>
  </w:style>
  <w:style w:type="table" w:customStyle="1" w:styleId="15">
    <w:name w:val="15"/>
    <w:basedOn w:val="TableNormal50"/>
    <w:rPr>
      <w:sz w:val="22"/>
      <w:szCs w:val="22"/>
    </w:rPr>
    <w:tblPr>
      <w:tblStyleRowBandSize w:val="1"/>
      <w:tblStyleColBandSize w:val="1"/>
      <w:tblCellMar>
        <w:left w:w="115" w:type="dxa"/>
        <w:right w:w="115" w:type="dxa"/>
      </w:tblCellMar>
    </w:tblPr>
  </w:style>
  <w:style w:type="table" w:customStyle="1" w:styleId="14">
    <w:name w:val="14"/>
    <w:basedOn w:val="TableNormal50"/>
    <w:rPr>
      <w:sz w:val="22"/>
      <w:szCs w:val="22"/>
    </w:rPr>
    <w:tblPr>
      <w:tblStyleRowBandSize w:val="1"/>
      <w:tblStyleColBandSize w:val="1"/>
      <w:tblCellMar>
        <w:left w:w="115" w:type="dxa"/>
        <w:right w:w="115" w:type="dxa"/>
      </w:tblCellMar>
    </w:tblPr>
  </w:style>
  <w:style w:type="table" w:customStyle="1" w:styleId="13">
    <w:name w:val="13"/>
    <w:basedOn w:val="TableNormal60"/>
    <w:rPr>
      <w:sz w:val="22"/>
      <w:szCs w:val="22"/>
    </w:rPr>
    <w:tblPr>
      <w:tblStyleRowBandSize w:val="1"/>
      <w:tblStyleColBandSize w:val="1"/>
      <w:tblCellMar>
        <w:left w:w="115" w:type="dxa"/>
        <w:right w:w="115" w:type="dxa"/>
      </w:tblCellMar>
    </w:tblPr>
  </w:style>
  <w:style w:type="table" w:customStyle="1" w:styleId="12">
    <w:name w:val="12"/>
    <w:basedOn w:val="TableNormal60"/>
    <w:rPr>
      <w:sz w:val="22"/>
      <w:szCs w:val="22"/>
    </w:rPr>
    <w:tblPr>
      <w:tblStyleRowBandSize w:val="1"/>
      <w:tblStyleColBandSize w:val="1"/>
      <w:tblCellMar>
        <w:left w:w="115" w:type="dxa"/>
        <w:right w:w="115" w:type="dxa"/>
      </w:tblCellMar>
    </w:tblPr>
  </w:style>
  <w:style w:type="table" w:customStyle="1" w:styleId="11">
    <w:name w:val="11"/>
    <w:basedOn w:val="TableNormal60"/>
    <w:rPr>
      <w:sz w:val="22"/>
      <w:szCs w:val="22"/>
    </w:rPr>
    <w:tblPr>
      <w:tblStyleRowBandSize w:val="1"/>
      <w:tblStyleColBandSize w:val="1"/>
      <w:tblCellMar>
        <w:left w:w="115" w:type="dxa"/>
        <w:right w:w="115" w:type="dxa"/>
      </w:tblCellMar>
    </w:tblPr>
  </w:style>
  <w:style w:type="table" w:customStyle="1" w:styleId="10">
    <w:name w:val="10"/>
    <w:basedOn w:val="TableNormal60"/>
    <w:rPr>
      <w:sz w:val="22"/>
      <w:szCs w:val="22"/>
    </w:rPr>
    <w:tblPr>
      <w:tblStyleRowBandSize w:val="1"/>
      <w:tblStyleColBandSize w:val="1"/>
      <w:tblCellMar>
        <w:left w:w="115" w:type="dxa"/>
        <w:right w:w="115" w:type="dxa"/>
      </w:tblCellMar>
    </w:tblPr>
  </w:style>
  <w:style w:type="table" w:customStyle="1" w:styleId="9">
    <w:name w:val="9"/>
    <w:basedOn w:val="TableNormal7"/>
    <w:rPr>
      <w:sz w:val="22"/>
      <w:szCs w:val="22"/>
    </w:rPr>
    <w:tblPr>
      <w:tblStyleRowBandSize w:val="1"/>
      <w:tblStyleColBandSize w:val="1"/>
      <w:tblCellMar>
        <w:left w:w="115" w:type="dxa"/>
        <w:right w:w="115" w:type="dxa"/>
      </w:tblCellMar>
    </w:tblPr>
  </w:style>
  <w:style w:type="table" w:customStyle="1" w:styleId="8">
    <w:name w:val="8"/>
    <w:basedOn w:val="TableNormal7"/>
    <w:rPr>
      <w:sz w:val="22"/>
      <w:szCs w:val="22"/>
    </w:rPr>
    <w:tblPr>
      <w:tblStyleRowBandSize w:val="1"/>
      <w:tblStyleColBandSize w:val="1"/>
      <w:tblCellMar>
        <w:left w:w="115" w:type="dxa"/>
        <w:right w:w="115" w:type="dxa"/>
      </w:tblCellMar>
    </w:tblPr>
  </w:style>
  <w:style w:type="table" w:customStyle="1" w:styleId="7">
    <w:name w:val="7"/>
    <w:basedOn w:val="TableNormal7"/>
    <w:rPr>
      <w:sz w:val="22"/>
      <w:szCs w:val="22"/>
    </w:rPr>
    <w:tblPr>
      <w:tblStyleRowBandSize w:val="1"/>
      <w:tblStyleColBandSize w:val="1"/>
      <w:tblCellMar>
        <w:left w:w="115" w:type="dxa"/>
        <w:right w:w="115" w:type="dxa"/>
      </w:tblCellMar>
    </w:tblPr>
  </w:style>
  <w:style w:type="table" w:customStyle="1" w:styleId="6">
    <w:name w:val="6"/>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5">
    <w:name w:val="5"/>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4">
    <w:name w:val="4"/>
    <w:basedOn w:val="TableNormal7"/>
    <w:rPr>
      <w:sz w:val="22"/>
      <w:szCs w:val="22"/>
    </w:rPr>
    <w:tblPr>
      <w:tblStyleRowBandSize w:val="1"/>
      <w:tblStyleColBandSize w:val="1"/>
      <w:tblCellMar>
        <w:left w:w="115" w:type="dxa"/>
        <w:right w:w="115" w:type="dxa"/>
      </w:tblCellMar>
    </w:tblPr>
  </w:style>
  <w:style w:type="table" w:customStyle="1" w:styleId="3">
    <w:name w:val="3"/>
    <w:basedOn w:val="TableNormal7"/>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2">
    <w:name w:val="2"/>
    <w:basedOn w:val="TableNormal7"/>
    <w:rPr>
      <w:sz w:val="22"/>
      <w:szCs w:val="22"/>
    </w:rPr>
    <w:tblPr>
      <w:tblStyleRowBandSize w:val="1"/>
      <w:tblStyleColBandSize w:val="1"/>
      <w:tblCellMar>
        <w:left w:w="115" w:type="dxa"/>
        <w:right w:w="115" w:type="dxa"/>
      </w:tblCellMar>
    </w:tblPr>
  </w:style>
  <w:style w:type="table" w:customStyle="1" w:styleId="1">
    <w:name w:val="1"/>
    <w:basedOn w:val="TableNormal7"/>
    <w:rPr>
      <w:sz w:val="22"/>
      <w:szCs w:val="22"/>
    </w:rPr>
    <w:tblPr>
      <w:tblStyleRowBandSize w:val="1"/>
      <w:tblStyleColBandSize w:val="1"/>
      <w:tblCellMar>
        <w:left w:w="115" w:type="dxa"/>
        <w:right w:w="115" w:type="dxa"/>
      </w:tblCellMar>
    </w:tblPr>
  </w:style>
  <w:style w:type="table" w:customStyle="1" w:styleId="a">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6"/>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6"/>
    <w:rPr>
      <w:rFonts w:ascii="Calibri" w:eastAsia="Calibri" w:hAnsi="Calibri" w:cs="Calibri"/>
      <w:sz w:val="22"/>
      <w:szCs w:val="22"/>
    </w:rPr>
    <w:tblPr>
      <w:tblStyleRowBandSize w:val="1"/>
      <w:tblStyleColBandSize w:val="1"/>
      <w:tblCellMar>
        <w:left w:w="115" w:type="dxa"/>
        <w:right w:w="115" w:type="dxa"/>
      </w:tblCellMar>
    </w:tblPr>
  </w:style>
  <w:style w:type="character" w:customStyle="1" w:styleId="eop">
    <w:name w:val="eop"/>
    <w:basedOn w:val="Fuentedeprrafopredeter"/>
    <w:rsid w:val="00652AFE"/>
  </w:style>
  <w:style w:type="table" w:customStyle="1" w:styleId="a6">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7">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8">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9">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a">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b">
    <w:basedOn w:val="TableNormal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c">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d">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e">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
    <w:basedOn w:val="TableNormal4"/>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0">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1">
    <w:basedOn w:val="TableNormal4"/>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2">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3">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4">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5">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6">
    <w:basedOn w:val="TableNormal3"/>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7">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8">
    <w:basedOn w:val="TableNormal3"/>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9">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a">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b">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c">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d">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e">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1">
    <w:basedOn w:val="TableNormal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2">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3">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4">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5">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6">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7">
    <w:basedOn w:val="TableNormal1"/>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8">
    <w:basedOn w:val="TableNormal1"/>
    <w:rPr>
      <w:rFonts w:ascii="Calibri" w:eastAsia="Calibri" w:hAnsi="Calibri" w:cs="Calibri"/>
      <w:sz w:val="22"/>
      <w:szCs w:val="22"/>
    </w:rPr>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8F61EB"/>
    <w:rPr>
      <w:color w:val="605E5C"/>
      <w:shd w:val="clear" w:color="auto" w:fill="E1DFDD"/>
    </w:rPr>
  </w:style>
  <w:style w:type="character" w:customStyle="1" w:styleId="Mencinsinresolver4">
    <w:name w:val="Mención sin resolver4"/>
    <w:basedOn w:val="Fuentedeprrafopredeter"/>
    <w:uiPriority w:val="99"/>
    <w:semiHidden/>
    <w:unhideWhenUsed/>
    <w:rsid w:val="00751528"/>
    <w:rPr>
      <w:color w:val="605E5C"/>
      <w:shd w:val="clear" w:color="auto" w:fill="E1DFDD"/>
    </w:rPr>
  </w:style>
  <w:style w:type="character" w:customStyle="1" w:styleId="Mencinsinresolver5">
    <w:name w:val="Mención sin resolver5"/>
    <w:basedOn w:val="Fuentedeprrafopredeter"/>
    <w:uiPriority w:val="99"/>
    <w:semiHidden/>
    <w:unhideWhenUsed/>
    <w:rsid w:val="00271234"/>
    <w:rPr>
      <w:color w:val="605E5C"/>
      <w:shd w:val="clear" w:color="auto" w:fill="E1DFDD"/>
    </w:rPr>
  </w:style>
  <w:style w:type="table" w:customStyle="1" w:styleId="aff9">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a">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b">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c">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d">
    <w:basedOn w:val="TableNormal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e">
    <w:basedOn w:val="TableNormal0"/>
    <w:rPr>
      <w:rFonts w:ascii="Calibri" w:eastAsia="Calibri" w:hAnsi="Calibri" w:cs="Calibri"/>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BqhFjOWgfNty6HFMsw1DxbntDQ==">CgMxLjAyCGguZ2pkZ3hzMgloLjJldDkycDAyCWguMzBqMHpsbDIOaC4zdzYzeGtzZzU1bHEyCWguMWZvYjl0ZTgAciExMXh5aWVFZGFyR2VIWldhUGdEQldRbzRGc1JfVlNOT0k=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5959</Words>
  <Characters>32775</Characters>
  <Application>Microsoft Office Word</Application>
  <DocSecurity>0</DocSecurity>
  <Lines>273</Lines>
  <Paragraphs>77</Paragraphs>
  <ScaleCrop>false</ScaleCrop>
  <Company/>
  <LinksUpToDate>false</LinksUpToDate>
  <CharactersWithSpaces>38657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 Soporte</cp:lastModifiedBy>
  <cp:revision>2</cp:revision>
  <dcterms:created xsi:type="dcterms:W3CDTF">2025-06-24T20:36:00Z</dcterms:created>
  <dcterms:modified xsi:type="dcterms:W3CDTF">2025-06-24T20:36:00Z</dcterms:modified>
</cp:coreProperties>
</file>