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27" w:rsidRPr="00534B1F" w:rsidRDefault="00AF3127">
      <w:pPr>
        <w:widowControl w:val="0"/>
        <w:pBdr>
          <w:top w:val="nil"/>
          <w:left w:val="nil"/>
          <w:bottom w:val="nil"/>
          <w:right w:val="nil"/>
          <w:between w:val="nil"/>
        </w:pBdr>
        <w:spacing w:line="276" w:lineRule="auto"/>
        <w:rPr>
          <w:rFonts w:ascii="Palatino Linotype" w:hAnsi="Palatino Linotype"/>
          <w:sz w:val="22"/>
          <w:szCs w:val="22"/>
        </w:rPr>
      </w:pPr>
    </w:p>
    <w:p w:rsidR="00AF3127" w:rsidRPr="006E5A4D" w:rsidRDefault="00EF59E3">
      <w:pPr>
        <w:tabs>
          <w:tab w:val="left" w:pos="3465"/>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Resolución del Pleno del Instituto de Transparencia, Acceso a la Información Pública y Protección de Datos Personales del Estado de México y Municipios, con domicilio en Metepec, Estado de México; de dos de abril de dos mil veinticinco.</w:t>
      </w:r>
    </w:p>
    <w:p w:rsidR="00AF3127" w:rsidRPr="006E5A4D" w:rsidRDefault="00AF3127">
      <w:pPr>
        <w:tabs>
          <w:tab w:val="left" w:pos="3465"/>
        </w:tabs>
        <w:spacing w:line="360" w:lineRule="auto"/>
        <w:jc w:val="both"/>
        <w:rPr>
          <w:rFonts w:ascii="Palatino Linotype" w:eastAsia="Palatino Linotype" w:hAnsi="Palatino Linotype" w:cs="Palatino Linotype"/>
          <w:color w:val="000000"/>
          <w:sz w:val="22"/>
          <w:szCs w:val="22"/>
        </w:rPr>
      </w:pPr>
    </w:p>
    <w:p w:rsidR="00AF3127" w:rsidRPr="006E5A4D" w:rsidRDefault="00EF59E3">
      <w:pPr>
        <w:spacing w:line="360" w:lineRule="auto"/>
        <w:jc w:val="both"/>
        <w:rPr>
          <w:rFonts w:ascii="Palatino Linotype" w:eastAsia="Palatino Linotype" w:hAnsi="Palatino Linotype" w:cs="Palatino Linotype"/>
          <w:b/>
          <w:sz w:val="22"/>
          <w:szCs w:val="22"/>
        </w:rPr>
      </w:pPr>
      <w:r w:rsidRPr="006E5A4D">
        <w:rPr>
          <w:rFonts w:ascii="Palatino Linotype" w:eastAsia="Palatino Linotype" w:hAnsi="Palatino Linotype" w:cs="Palatino Linotype"/>
          <w:b/>
          <w:color w:val="000000"/>
          <w:sz w:val="22"/>
          <w:szCs w:val="22"/>
        </w:rPr>
        <w:t>VISTO</w:t>
      </w:r>
      <w:r w:rsidRPr="006E5A4D">
        <w:rPr>
          <w:rFonts w:ascii="Palatino Linotype" w:eastAsia="Palatino Linotype" w:hAnsi="Palatino Linotype" w:cs="Palatino Linotype"/>
          <w:color w:val="000000"/>
          <w:sz w:val="22"/>
          <w:szCs w:val="22"/>
        </w:rPr>
        <w:t xml:space="preserve"> el expediente electrónico formado con motivo del recurso de revisión </w:t>
      </w:r>
      <w:r w:rsidRPr="006E5A4D">
        <w:rPr>
          <w:rFonts w:ascii="Palatino Linotype" w:eastAsia="Palatino Linotype" w:hAnsi="Palatino Linotype" w:cs="Palatino Linotype"/>
          <w:b/>
          <w:sz w:val="22"/>
          <w:szCs w:val="22"/>
        </w:rPr>
        <w:t>02713/INFOEM/IP/RR/2025</w:t>
      </w:r>
      <w:r w:rsidRPr="006E5A4D">
        <w:rPr>
          <w:rFonts w:ascii="Palatino Linotype" w:eastAsia="Palatino Linotype" w:hAnsi="Palatino Linotype" w:cs="Palatino Linotype"/>
          <w:color w:val="000000"/>
          <w:sz w:val="22"/>
          <w:szCs w:val="22"/>
        </w:rPr>
        <w:t>, interpuesto por</w:t>
      </w:r>
      <w:r w:rsidRPr="006E5A4D">
        <w:rPr>
          <w:rFonts w:ascii="Palatino Linotype" w:eastAsia="Palatino Linotype" w:hAnsi="Palatino Linotype" w:cs="Palatino Linotype"/>
          <w:b/>
          <w:color w:val="000000"/>
          <w:sz w:val="22"/>
          <w:szCs w:val="22"/>
        </w:rPr>
        <w:t xml:space="preserve"> una persona que no proporciona datos de</w:t>
      </w:r>
      <w:r w:rsidRPr="006E5A4D">
        <w:rPr>
          <w:rFonts w:ascii="Palatino Linotype" w:eastAsia="Palatino Linotype" w:hAnsi="Palatino Linotype" w:cs="Palatino Linotype"/>
          <w:b/>
          <w:sz w:val="22"/>
          <w:szCs w:val="22"/>
        </w:rPr>
        <w:t xml:space="preserve"> </w:t>
      </w:r>
      <w:r w:rsidRPr="006E5A4D">
        <w:rPr>
          <w:rFonts w:ascii="Palatino Linotype" w:eastAsia="Palatino Linotype" w:hAnsi="Palatino Linotype" w:cs="Palatino Linotype"/>
          <w:b/>
          <w:color w:val="000000"/>
          <w:sz w:val="22"/>
          <w:szCs w:val="22"/>
        </w:rPr>
        <w:t>identificación</w:t>
      </w:r>
      <w:r w:rsidRPr="006E5A4D">
        <w:rPr>
          <w:rFonts w:ascii="Palatino Linotype" w:eastAsia="Palatino Linotype" w:hAnsi="Palatino Linotype" w:cs="Palatino Linotype"/>
          <w:color w:val="000000"/>
          <w:sz w:val="22"/>
          <w:szCs w:val="22"/>
        </w:rPr>
        <w:t>, a través del Sistema de Acceso a la Información Mexiquense (SAIMEX),</w:t>
      </w:r>
      <w:r w:rsidRPr="006E5A4D">
        <w:rPr>
          <w:rFonts w:ascii="Palatino Linotype" w:eastAsia="Palatino Linotype" w:hAnsi="Palatino Linotype" w:cs="Palatino Linotype"/>
          <w:b/>
          <w:color w:val="000000"/>
          <w:sz w:val="22"/>
          <w:szCs w:val="22"/>
        </w:rPr>
        <w:t xml:space="preserve"> </w:t>
      </w:r>
      <w:r w:rsidRPr="006E5A4D">
        <w:rPr>
          <w:rFonts w:ascii="Palatino Linotype" w:eastAsia="Palatino Linotype" w:hAnsi="Palatino Linotype" w:cs="Palatino Linotype"/>
          <w:color w:val="000000"/>
          <w:sz w:val="22"/>
          <w:szCs w:val="22"/>
        </w:rPr>
        <w:t>quien en lo sucesivo se le identificará como el</w:t>
      </w:r>
      <w:r w:rsidRPr="006E5A4D">
        <w:rPr>
          <w:rFonts w:ascii="Palatino Linotype" w:eastAsia="Palatino Linotype" w:hAnsi="Palatino Linotype" w:cs="Palatino Linotype"/>
          <w:b/>
          <w:color w:val="000000"/>
          <w:sz w:val="22"/>
          <w:szCs w:val="22"/>
        </w:rPr>
        <w:t xml:space="preserve"> RECURRENTE,</w:t>
      </w:r>
      <w:r w:rsidRPr="006E5A4D">
        <w:rPr>
          <w:rFonts w:ascii="Palatino Linotype" w:eastAsia="Palatino Linotype" w:hAnsi="Palatino Linotype" w:cs="Palatino Linotype"/>
          <w:color w:val="000000"/>
          <w:sz w:val="22"/>
          <w:szCs w:val="22"/>
        </w:rPr>
        <w:t xml:space="preserve"> en contra de la respuesta del </w:t>
      </w:r>
      <w:r w:rsidRPr="006E5A4D">
        <w:rPr>
          <w:rFonts w:ascii="Palatino Linotype" w:eastAsia="Palatino Linotype" w:hAnsi="Palatino Linotype" w:cs="Palatino Linotype"/>
          <w:b/>
          <w:color w:val="000000"/>
          <w:sz w:val="22"/>
          <w:szCs w:val="22"/>
        </w:rPr>
        <w:t>Ayuntamiento de Ixtapan de la Sal</w:t>
      </w:r>
      <w:r w:rsidRPr="006E5A4D">
        <w:rPr>
          <w:rFonts w:ascii="Palatino Linotype" w:eastAsia="Palatino Linotype" w:hAnsi="Palatino Linotype" w:cs="Palatino Linotype"/>
          <w:color w:val="000000"/>
          <w:sz w:val="22"/>
          <w:szCs w:val="22"/>
        </w:rPr>
        <w:t>, en lo sucesivo el</w:t>
      </w:r>
      <w:r w:rsidRPr="006E5A4D">
        <w:rPr>
          <w:rFonts w:ascii="Palatino Linotype" w:eastAsia="Palatino Linotype" w:hAnsi="Palatino Linotype" w:cs="Palatino Linotype"/>
          <w:b/>
          <w:color w:val="000000"/>
          <w:sz w:val="22"/>
          <w:szCs w:val="22"/>
        </w:rPr>
        <w:t xml:space="preserve"> SUJETO OBLIGADO, </w:t>
      </w:r>
      <w:r w:rsidRPr="006E5A4D">
        <w:rPr>
          <w:rFonts w:ascii="Palatino Linotype" w:eastAsia="Palatino Linotype" w:hAnsi="Palatino Linotype" w:cs="Palatino Linotype"/>
          <w:color w:val="000000"/>
          <w:sz w:val="22"/>
          <w:szCs w:val="22"/>
        </w:rPr>
        <w:t>se procede a dictar la presente resolución, con base en los siguientes:</w:t>
      </w:r>
    </w:p>
    <w:p w:rsidR="00AF3127" w:rsidRPr="006E5A4D" w:rsidRDefault="00AF3127">
      <w:pPr>
        <w:spacing w:line="360" w:lineRule="auto"/>
        <w:jc w:val="both"/>
        <w:rPr>
          <w:rFonts w:ascii="Palatino Linotype" w:eastAsia="Palatino Linotype" w:hAnsi="Palatino Linotype" w:cs="Palatino Linotype"/>
          <w:color w:val="000000"/>
          <w:sz w:val="22"/>
          <w:szCs w:val="22"/>
        </w:rPr>
      </w:pPr>
    </w:p>
    <w:p w:rsidR="00AF3127" w:rsidRPr="006E5A4D" w:rsidRDefault="00EF59E3">
      <w:pPr>
        <w:pStyle w:val="Ttulo1"/>
        <w:spacing w:before="0" w:line="360" w:lineRule="auto"/>
        <w:jc w:val="center"/>
        <w:rPr>
          <w:b/>
          <w:color w:val="000000"/>
          <w:sz w:val="22"/>
          <w:szCs w:val="22"/>
        </w:rPr>
      </w:pPr>
      <w:bookmarkStart w:id="0" w:name="_heading=h.8v0zpmbei3v1" w:colFirst="0" w:colLast="0"/>
      <w:bookmarkEnd w:id="0"/>
      <w:r w:rsidRPr="006E5A4D">
        <w:rPr>
          <w:b/>
          <w:color w:val="000000"/>
          <w:sz w:val="22"/>
          <w:szCs w:val="22"/>
        </w:rPr>
        <w:t>A N T E C E D E N T E S</w:t>
      </w:r>
    </w:p>
    <w:p w:rsidR="00AF3127" w:rsidRPr="006E5A4D" w:rsidRDefault="00AF3127">
      <w:pPr>
        <w:rPr>
          <w:rFonts w:ascii="Palatino Linotype" w:eastAsia="Palatino Linotype" w:hAnsi="Palatino Linotype" w:cs="Palatino Linotype"/>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El once de febrero de dos mil veinticinco, el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 xml:space="preserve"> presentó</w:t>
      </w:r>
      <w:r w:rsidRPr="006E5A4D">
        <w:rPr>
          <w:rFonts w:ascii="Palatino Linotype" w:eastAsia="Palatino Linotype" w:hAnsi="Palatino Linotype" w:cs="Palatino Linotype"/>
          <w:b/>
          <w:color w:val="000000"/>
          <w:sz w:val="22"/>
          <w:szCs w:val="22"/>
        </w:rPr>
        <w:t xml:space="preserve"> </w:t>
      </w:r>
      <w:r w:rsidRPr="006E5A4D">
        <w:rPr>
          <w:rFonts w:ascii="Palatino Linotype" w:eastAsia="Palatino Linotype" w:hAnsi="Palatino Linotype" w:cs="Palatino Linotype"/>
          <w:color w:val="000000"/>
          <w:sz w:val="22"/>
          <w:szCs w:val="22"/>
        </w:rPr>
        <w:t xml:space="preserve">a través del Sistema de Acceso a la Información Mexiquense </w:t>
      </w:r>
      <w:r w:rsidRPr="006E5A4D">
        <w:rPr>
          <w:rFonts w:ascii="Palatino Linotype" w:eastAsia="Palatino Linotype" w:hAnsi="Palatino Linotype" w:cs="Palatino Linotype"/>
          <w:b/>
          <w:color w:val="000000"/>
          <w:sz w:val="22"/>
          <w:szCs w:val="22"/>
        </w:rPr>
        <w:t>(SAIMEX),</w:t>
      </w:r>
      <w:r w:rsidRPr="006E5A4D">
        <w:rPr>
          <w:rFonts w:ascii="Palatino Linotype" w:eastAsia="Palatino Linotype" w:hAnsi="Palatino Linotype" w:cs="Palatino Linotype"/>
          <w:color w:val="000000"/>
          <w:sz w:val="22"/>
          <w:szCs w:val="22"/>
        </w:rPr>
        <w:t xml:space="preserve"> la solicitud de información pública registrada con el número</w:t>
      </w:r>
      <w:r w:rsidRPr="006E5A4D">
        <w:rPr>
          <w:rFonts w:ascii="Palatino Linotype" w:eastAsia="Palatino Linotype" w:hAnsi="Palatino Linotype" w:cs="Palatino Linotype"/>
          <w:b/>
          <w:color w:val="000000"/>
          <w:sz w:val="22"/>
          <w:szCs w:val="22"/>
        </w:rPr>
        <w:t xml:space="preserve"> 00226/IXTASAL/IP/2025,</w:t>
      </w:r>
      <w:r w:rsidRPr="006E5A4D">
        <w:rPr>
          <w:rFonts w:ascii="Palatino Linotype" w:eastAsia="Palatino Linotype" w:hAnsi="Palatino Linotype" w:cs="Palatino Linotype"/>
          <w:color w:val="000000"/>
          <w:sz w:val="22"/>
          <w:szCs w:val="22"/>
        </w:rPr>
        <w:t xml:space="preserve"> mediante la cual, requirió lo siguiente:</w:t>
      </w:r>
    </w:p>
    <w:p w:rsidR="00AF3127" w:rsidRPr="006E5A4D" w:rsidRDefault="00AF3127">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rsidR="00AF3127" w:rsidRPr="006E5A4D" w:rsidRDefault="00EF59E3">
      <w:pPr>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color w:val="000000"/>
          <w:sz w:val="22"/>
          <w:szCs w:val="22"/>
        </w:rPr>
        <w:t xml:space="preserve">“se solicita explique la presidenta municipal Jessica </w:t>
      </w:r>
      <w:proofErr w:type="spellStart"/>
      <w:r w:rsidRPr="006E5A4D">
        <w:rPr>
          <w:rFonts w:ascii="Palatino Linotype" w:eastAsia="Palatino Linotype" w:hAnsi="Palatino Linotype" w:cs="Palatino Linotype"/>
          <w:i/>
          <w:color w:val="000000"/>
          <w:sz w:val="22"/>
          <w:szCs w:val="22"/>
        </w:rPr>
        <w:t>Rosalio</w:t>
      </w:r>
      <w:proofErr w:type="spellEnd"/>
      <w:r w:rsidRPr="006E5A4D">
        <w:rPr>
          <w:rFonts w:ascii="Palatino Linotype" w:eastAsia="Palatino Linotype" w:hAnsi="Palatino Linotype" w:cs="Palatino Linotype"/>
          <w:i/>
          <w:color w:val="000000"/>
          <w:sz w:val="22"/>
          <w:szCs w:val="22"/>
        </w:rPr>
        <w:t xml:space="preserve">, la Directora de Administración (ROCIO ANAID BERNALDEZ JARDON) y la jefa de Recursos Humanos </w:t>
      </w:r>
      <w:proofErr w:type="gramStart"/>
      <w:r w:rsidRPr="006E5A4D">
        <w:rPr>
          <w:rFonts w:ascii="Palatino Linotype" w:eastAsia="Palatino Linotype" w:hAnsi="Palatino Linotype" w:cs="Palatino Linotype"/>
          <w:i/>
          <w:color w:val="000000"/>
          <w:sz w:val="22"/>
          <w:szCs w:val="22"/>
        </w:rPr>
        <w:t>( Daniela</w:t>
      </w:r>
      <w:proofErr w:type="gramEnd"/>
      <w:r w:rsidRPr="006E5A4D">
        <w:rPr>
          <w:rFonts w:ascii="Palatino Linotype" w:eastAsia="Palatino Linotype" w:hAnsi="Palatino Linotype" w:cs="Palatino Linotype"/>
          <w:i/>
          <w:color w:val="000000"/>
          <w:sz w:val="22"/>
          <w:szCs w:val="22"/>
        </w:rPr>
        <w:t xml:space="preserve"> del Valle) el motivo, causa o razón del por cual la presidenta </w:t>
      </w:r>
      <w:proofErr w:type="spellStart"/>
      <w:r w:rsidRPr="006E5A4D">
        <w:rPr>
          <w:rFonts w:ascii="Palatino Linotype" w:eastAsia="Palatino Linotype" w:hAnsi="Palatino Linotype" w:cs="Palatino Linotype"/>
          <w:i/>
          <w:color w:val="000000"/>
          <w:sz w:val="22"/>
          <w:szCs w:val="22"/>
        </w:rPr>
        <w:t>esta</w:t>
      </w:r>
      <w:proofErr w:type="spellEnd"/>
      <w:r w:rsidRPr="006E5A4D">
        <w:rPr>
          <w:rFonts w:ascii="Palatino Linotype" w:eastAsia="Palatino Linotype" w:hAnsi="Palatino Linotype" w:cs="Palatino Linotype"/>
          <w:i/>
          <w:color w:val="000000"/>
          <w:sz w:val="22"/>
          <w:szCs w:val="22"/>
        </w:rPr>
        <w:t xml:space="preserve"> realizando el delito de NEPOTISMO, al tener a su familiar en un puesto y/o cargo de mando superior, en </w:t>
      </w:r>
      <w:proofErr w:type="spellStart"/>
      <w:r w:rsidRPr="006E5A4D">
        <w:rPr>
          <w:rFonts w:ascii="Palatino Linotype" w:eastAsia="Palatino Linotype" w:hAnsi="Palatino Linotype" w:cs="Palatino Linotype"/>
          <w:i/>
          <w:color w:val="000000"/>
          <w:sz w:val="22"/>
          <w:szCs w:val="22"/>
        </w:rPr>
        <w:t>sintesis</w:t>
      </w:r>
      <w:proofErr w:type="spellEnd"/>
      <w:r w:rsidRPr="006E5A4D">
        <w:rPr>
          <w:rFonts w:ascii="Palatino Linotype" w:eastAsia="Palatino Linotype" w:hAnsi="Palatino Linotype" w:cs="Palatino Linotype"/>
          <w:i/>
          <w:color w:val="000000"/>
          <w:sz w:val="22"/>
          <w:szCs w:val="22"/>
        </w:rPr>
        <w:t xml:space="preserve"> a su </w:t>
      </w:r>
      <w:proofErr w:type="spellStart"/>
      <w:r w:rsidRPr="006E5A4D">
        <w:rPr>
          <w:rFonts w:ascii="Palatino Linotype" w:eastAsia="Palatino Linotype" w:hAnsi="Palatino Linotype" w:cs="Palatino Linotype"/>
          <w:i/>
          <w:color w:val="000000"/>
          <w:sz w:val="22"/>
          <w:szCs w:val="22"/>
        </w:rPr>
        <w:t>tio</w:t>
      </w:r>
      <w:proofErr w:type="spellEnd"/>
      <w:r w:rsidRPr="006E5A4D">
        <w:rPr>
          <w:rFonts w:ascii="Palatino Linotype" w:eastAsia="Palatino Linotype" w:hAnsi="Palatino Linotype" w:cs="Palatino Linotype"/>
          <w:i/>
          <w:color w:val="000000"/>
          <w:sz w:val="22"/>
          <w:szCs w:val="22"/>
        </w:rPr>
        <w:t xml:space="preserve"> JOSUE ROSALIO EMBRIZ... EN EL PUESTO DE FACILITADOR DEL AYUNTAMIENTO DE IXTAPAN DE LA SAL.” (Sic)</w:t>
      </w:r>
    </w:p>
    <w:p w:rsidR="00AF3127" w:rsidRPr="006E5A4D" w:rsidRDefault="00AF31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Se eligió como modalidad de entrega de la información: </w:t>
      </w:r>
      <w:r w:rsidRPr="006E5A4D">
        <w:rPr>
          <w:rFonts w:ascii="Palatino Linotype" w:eastAsia="Palatino Linotype" w:hAnsi="Palatino Linotype" w:cs="Palatino Linotype"/>
          <w:b/>
          <w:color w:val="000000"/>
          <w:sz w:val="22"/>
          <w:szCs w:val="22"/>
        </w:rPr>
        <w:t>A través del SAIMEX.</w:t>
      </w:r>
    </w:p>
    <w:p w:rsidR="00AF3127" w:rsidRPr="006E5A4D" w:rsidRDefault="00AF31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 xml:space="preserve">El cinco de marzo de dos mil veinticinco, el </w:t>
      </w:r>
      <w:r w:rsidRPr="006E5A4D">
        <w:rPr>
          <w:rFonts w:ascii="Palatino Linotype" w:eastAsia="Palatino Linotype" w:hAnsi="Palatino Linotype" w:cs="Palatino Linotype"/>
          <w:b/>
          <w:color w:val="000000"/>
          <w:sz w:val="22"/>
          <w:szCs w:val="22"/>
        </w:rPr>
        <w:t>SUJETO OBLIGADO</w:t>
      </w:r>
      <w:r w:rsidRPr="006E5A4D">
        <w:rPr>
          <w:rFonts w:ascii="Palatino Linotype" w:eastAsia="Palatino Linotype" w:hAnsi="Palatino Linotype" w:cs="Palatino Linotype"/>
          <w:color w:val="000000"/>
          <w:sz w:val="22"/>
          <w:szCs w:val="22"/>
        </w:rPr>
        <w:t xml:space="preserve"> dio respuesta, en los siguientes términos:</w:t>
      </w:r>
    </w:p>
    <w:p w:rsidR="00AF3127" w:rsidRPr="006E5A4D" w:rsidRDefault="00AF3127">
      <w:pPr>
        <w:pBdr>
          <w:top w:val="nil"/>
          <w:left w:val="nil"/>
          <w:bottom w:val="nil"/>
          <w:right w:val="nil"/>
          <w:between w:val="nil"/>
        </w:pBdr>
        <w:ind w:left="567" w:right="616"/>
        <w:rPr>
          <w:rFonts w:ascii="Palatino Linotype" w:eastAsia="Palatino Linotype" w:hAnsi="Palatino Linotype" w:cs="Palatino Linotype"/>
          <w:i/>
          <w:color w:val="000000"/>
          <w:sz w:val="22"/>
          <w:szCs w:val="22"/>
        </w:rPr>
      </w:pPr>
    </w:p>
    <w:p w:rsidR="00AF3127" w:rsidRPr="006E5A4D" w:rsidRDefault="00EF59E3">
      <w:pPr>
        <w:ind w:left="567" w:right="616"/>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“…Con fundamento en los artículos 3 fracciones XLIV, 12, 19, 23 fracción IV, 50, 52, 53, fracción II y VI, 163 de la Ley de Transparencia y Acceso a la Información Pública del Estado de México y Municipios, y en atención a la solicitud de información número 00226/IXTASAL/IP/2025, presentada mediante el Sistema de Acceso a la Información Mexiquense (SAIMEX); adjunto al presente encontrara la respuesta a su solicitud; misma que fue proporcionada por el Servidor Público Habilitado de la </w:t>
      </w:r>
      <w:proofErr w:type="spellStart"/>
      <w:r w:rsidRPr="006E5A4D">
        <w:rPr>
          <w:rFonts w:ascii="Palatino Linotype" w:eastAsia="Palatino Linotype" w:hAnsi="Palatino Linotype" w:cs="Palatino Linotype"/>
          <w:i/>
          <w:color w:val="000000"/>
          <w:sz w:val="22"/>
          <w:szCs w:val="22"/>
        </w:rPr>
        <w:t>la</w:t>
      </w:r>
      <w:proofErr w:type="spellEnd"/>
      <w:r w:rsidRPr="006E5A4D">
        <w:rPr>
          <w:rFonts w:ascii="Palatino Linotype" w:eastAsia="Palatino Linotype" w:hAnsi="Palatino Linotype" w:cs="Palatino Linotype"/>
          <w:i/>
          <w:color w:val="000000"/>
          <w:sz w:val="22"/>
          <w:szCs w:val="22"/>
        </w:rPr>
        <w:t xml:space="preserve"> Dirección de Administración del Municipio de Ixtapan de la Sal. Asimismo, se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(Sic)</w:t>
      </w:r>
    </w:p>
    <w:p w:rsidR="00AF3127" w:rsidRPr="006E5A4D" w:rsidRDefault="00AF3127">
      <w:pPr>
        <w:pBdr>
          <w:top w:val="nil"/>
          <w:left w:val="nil"/>
          <w:bottom w:val="nil"/>
          <w:right w:val="nil"/>
          <w:between w:val="nil"/>
        </w:pBdr>
        <w:ind w:right="567"/>
        <w:jc w:val="both"/>
        <w:rPr>
          <w:rFonts w:ascii="Palatino Linotype" w:eastAsia="Palatino Linotype" w:hAnsi="Palatino Linotype" w:cs="Palatino Linotype"/>
          <w:i/>
          <w:color w:val="000000"/>
          <w:sz w:val="22"/>
          <w:szCs w:val="22"/>
        </w:rPr>
      </w:pPr>
    </w:p>
    <w:p w:rsidR="00AF3127" w:rsidRPr="006E5A4D" w:rsidRDefault="00EF59E3">
      <w:pPr>
        <w:pBdr>
          <w:top w:val="nil"/>
          <w:left w:val="nil"/>
          <w:bottom w:val="nil"/>
          <w:right w:val="nil"/>
          <w:between w:val="nil"/>
        </w:pBdr>
        <w:ind w:right="49"/>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Archivos electrónicos adjuntos:</w:t>
      </w:r>
    </w:p>
    <w:p w:rsidR="00AF3127" w:rsidRPr="006E5A4D" w:rsidRDefault="00AF3127">
      <w:pPr>
        <w:pBdr>
          <w:top w:val="nil"/>
          <w:left w:val="nil"/>
          <w:bottom w:val="nil"/>
          <w:right w:val="nil"/>
          <w:between w:val="nil"/>
        </w:pBdr>
        <w:ind w:right="49"/>
        <w:jc w:val="both"/>
        <w:rPr>
          <w:rFonts w:ascii="Palatino Linotype" w:eastAsia="Palatino Linotype" w:hAnsi="Palatino Linotype" w:cs="Palatino Linotype"/>
          <w:color w:val="000000"/>
          <w:sz w:val="22"/>
          <w:szCs w:val="22"/>
        </w:rPr>
      </w:pPr>
    </w:p>
    <w:p w:rsidR="00AF3127" w:rsidRPr="006E5A4D" w:rsidRDefault="00EF59E3">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proofErr w:type="spellStart"/>
      <w:r w:rsidRPr="006E5A4D">
        <w:rPr>
          <w:rFonts w:ascii="Palatino Linotype" w:eastAsia="Palatino Linotype" w:hAnsi="Palatino Linotype" w:cs="Palatino Linotype"/>
          <w:b/>
          <w:color w:val="000000"/>
          <w:sz w:val="22"/>
          <w:szCs w:val="22"/>
        </w:rPr>
        <w:t>Contestacion</w:t>
      </w:r>
      <w:proofErr w:type="spellEnd"/>
      <w:r w:rsidRPr="006E5A4D">
        <w:rPr>
          <w:rFonts w:ascii="Palatino Linotype" w:eastAsia="Palatino Linotype" w:hAnsi="Palatino Linotype" w:cs="Palatino Linotype"/>
          <w:b/>
          <w:color w:val="000000"/>
          <w:sz w:val="22"/>
          <w:szCs w:val="22"/>
        </w:rPr>
        <w:t xml:space="preserve"> ADMON SOL 226.pdf: </w:t>
      </w:r>
      <w:r w:rsidRPr="006E5A4D">
        <w:rPr>
          <w:rFonts w:ascii="Palatino Linotype" w:eastAsia="Palatino Linotype" w:hAnsi="Palatino Linotype" w:cs="Palatino Linotype"/>
          <w:color w:val="000000"/>
          <w:sz w:val="22"/>
          <w:szCs w:val="22"/>
        </w:rPr>
        <w:t>Oficio suscrito por la Directora de Administración, por medio del cual, refirió que después de haber realizado una búsqueda exhaustiva y minuciosa dentro de los archivos que obran en el archivo del Departamento de Recursos Humanos y Profesionalización de la Dirección de Administración, el Servidor Público referido en la solicitud de información, tiene como fecha de ingreso a la plantilla laboral del Ayuntamiento el 01 de enero de 2022, con el cargo de Oficial Mediador Conciliador y posteriormente como Facilitador de Juzgado Cívico, derivado del nombramiento emitido en su momento, siguiendo a la fecha como encargado del despacho de Facilitador del Juzgado Cívico, en espera de que salga la convocatoria de selección para el nuevo Titular del área.</w:t>
      </w:r>
    </w:p>
    <w:p w:rsidR="00AF3127" w:rsidRPr="006E5A4D" w:rsidRDefault="00AF3127">
      <w:pPr>
        <w:pBdr>
          <w:top w:val="nil"/>
          <w:left w:val="nil"/>
          <w:bottom w:val="nil"/>
          <w:right w:val="nil"/>
          <w:between w:val="nil"/>
        </w:pBdr>
        <w:ind w:right="49"/>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Derivado de la respuesta emitida por el </w:t>
      </w:r>
      <w:r w:rsidRPr="006E5A4D">
        <w:rPr>
          <w:rFonts w:ascii="Palatino Linotype" w:eastAsia="Palatino Linotype" w:hAnsi="Palatino Linotype" w:cs="Palatino Linotype"/>
          <w:b/>
          <w:color w:val="000000"/>
          <w:sz w:val="22"/>
          <w:szCs w:val="22"/>
        </w:rPr>
        <w:t>SUJETO OBLIGADO</w:t>
      </w:r>
      <w:r w:rsidRPr="006E5A4D">
        <w:rPr>
          <w:rFonts w:ascii="Palatino Linotype" w:eastAsia="Palatino Linotype" w:hAnsi="Palatino Linotype" w:cs="Palatino Linotype"/>
          <w:color w:val="000000"/>
          <w:sz w:val="22"/>
          <w:szCs w:val="22"/>
        </w:rPr>
        <w:t xml:space="preserve">, el diez de marzo de dos mil veinticinco, el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 xml:space="preserve"> interpuso el recurso de revisión </w:t>
      </w:r>
      <w:r w:rsidRPr="006E5A4D">
        <w:rPr>
          <w:rFonts w:ascii="Palatino Linotype" w:eastAsia="Palatino Linotype" w:hAnsi="Palatino Linotype" w:cs="Palatino Linotype"/>
          <w:b/>
          <w:color w:val="000000"/>
          <w:sz w:val="22"/>
          <w:szCs w:val="22"/>
        </w:rPr>
        <w:t>02713/INFOEM/IP/RR/2025;</w:t>
      </w:r>
      <w:r w:rsidRPr="006E5A4D">
        <w:rPr>
          <w:rFonts w:ascii="Palatino Linotype" w:eastAsia="Palatino Linotype" w:hAnsi="Palatino Linotype" w:cs="Palatino Linotype"/>
          <w:color w:val="000000"/>
          <w:sz w:val="22"/>
          <w:szCs w:val="22"/>
        </w:rPr>
        <w:t xml:space="preserve"> impugnación en la que refirió lo siguiente:</w:t>
      </w:r>
    </w:p>
    <w:p w:rsidR="00AF3127" w:rsidRPr="006E5A4D" w:rsidRDefault="00AF3127">
      <w:pPr>
        <w:pBdr>
          <w:top w:val="nil"/>
          <w:left w:val="nil"/>
          <w:bottom w:val="nil"/>
          <w:right w:val="nil"/>
          <w:between w:val="nil"/>
        </w:pBdr>
        <w:tabs>
          <w:tab w:val="left" w:pos="426"/>
        </w:tabs>
        <w:spacing w:line="360" w:lineRule="auto"/>
        <w:ind w:left="284"/>
        <w:jc w:val="both"/>
        <w:rPr>
          <w:rFonts w:ascii="Palatino Linotype" w:eastAsia="Palatino Linotype" w:hAnsi="Palatino Linotype" w:cs="Palatino Linotype"/>
          <w:color w:val="000000"/>
          <w:sz w:val="22"/>
          <w:szCs w:val="22"/>
        </w:rPr>
      </w:pPr>
    </w:p>
    <w:p w:rsidR="00AF3127" w:rsidRPr="006E5A4D" w:rsidRDefault="00EF59E3">
      <w:pPr>
        <w:ind w:left="567" w:right="616"/>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b/>
          <w:color w:val="000000"/>
          <w:sz w:val="22"/>
          <w:szCs w:val="22"/>
        </w:rPr>
        <w:lastRenderedPageBreak/>
        <w:t>Acto impugnado:</w:t>
      </w:r>
      <w:r w:rsidRPr="006E5A4D">
        <w:rPr>
          <w:rFonts w:ascii="Palatino Linotype" w:eastAsia="Palatino Linotype" w:hAnsi="Palatino Linotype" w:cs="Palatino Linotype"/>
          <w:color w:val="000000"/>
          <w:sz w:val="22"/>
          <w:szCs w:val="22"/>
        </w:rPr>
        <w:t xml:space="preserve"> </w:t>
      </w:r>
      <w:r w:rsidRPr="006E5A4D">
        <w:rPr>
          <w:rFonts w:ascii="Palatino Linotype" w:eastAsia="Palatino Linotype" w:hAnsi="Palatino Linotype" w:cs="Palatino Linotype"/>
          <w:i/>
          <w:color w:val="000000"/>
          <w:sz w:val="22"/>
          <w:szCs w:val="22"/>
        </w:rPr>
        <w:t xml:space="preserve">“no es un respuesta prudente, derivado a que manifiesta que fue una ratificación derivado de la designación de puestos de la administración; sin embargo es hacer de su conocimiento que conforme a la ley orgánica municipal es atribución de la presidenta municipal designar a las personas titulares de las área, en razón de lo anterior se configura que ella </w:t>
      </w:r>
      <w:proofErr w:type="spellStart"/>
      <w:r w:rsidRPr="006E5A4D">
        <w:rPr>
          <w:rFonts w:ascii="Palatino Linotype" w:eastAsia="Palatino Linotype" w:hAnsi="Palatino Linotype" w:cs="Palatino Linotype"/>
          <w:i/>
          <w:color w:val="000000"/>
          <w:sz w:val="22"/>
          <w:szCs w:val="22"/>
        </w:rPr>
        <w:t>omitio</w:t>
      </w:r>
      <w:proofErr w:type="spellEnd"/>
      <w:r w:rsidRPr="006E5A4D">
        <w:rPr>
          <w:rFonts w:ascii="Palatino Linotype" w:eastAsia="Palatino Linotype" w:hAnsi="Palatino Linotype" w:cs="Palatino Linotype"/>
          <w:i/>
          <w:color w:val="000000"/>
          <w:sz w:val="22"/>
          <w:szCs w:val="22"/>
        </w:rPr>
        <w:t xml:space="preserve"> o </w:t>
      </w:r>
      <w:proofErr w:type="spellStart"/>
      <w:r w:rsidRPr="006E5A4D">
        <w:rPr>
          <w:rFonts w:ascii="Palatino Linotype" w:eastAsia="Palatino Linotype" w:hAnsi="Palatino Linotype" w:cs="Palatino Linotype"/>
          <w:i/>
          <w:color w:val="000000"/>
          <w:sz w:val="22"/>
          <w:szCs w:val="22"/>
        </w:rPr>
        <w:t>mas</w:t>
      </w:r>
      <w:proofErr w:type="spellEnd"/>
      <w:r w:rsidRPr="006E5A4D">
        <w:rPr>
          <w:rFonts w:ascii="Palatino Linotype" w:eastAsia="Palatino Linotype" w:hAnsi="Palatino Linotype" w:cs="Palatino Linotype"/>
          <w:i/>
          <w:color w:val="000000"/>
          <w:sz w:val="22"/>
          <w:szCs w:val="22"/>
        </w:rPr>
        <w:t xml:space="preserve"> bien quiso no ver el acto de nepotismo que </w:t>
      </w:r>
      <w:proofErr w:type="spellStart"/>
      <w:r w:rsidRPr="006E5A4D">
        <w:rPr>
          <w:rFonts w:ascii="Palatino Linotype" w:eastAsia="Palatino Linotype" w:hAnsi="Palatino Linotype" w:cs="Palatino Linotype"/>
          <w:i/>
          <w:color w:val="000000"/>
          <w:sz w:val="22"/>
          <w:szCs w:val="22"/>
        </w:rPr>
        <w:t>esta</w:t>
      </w:r>
      <w:proofErr w:type="spellEnd"/>
      <w:r w:rsidRPr="006E5A4D">
        <w:rPr>
          <w:rFonts w:ascii="Palatino Linotype" w:eastAsia="Palatino Linotype" w:hAnsi="Palatino Linotype" w:cs="Palatino Linotype"/>
          <w:i/>
          <w:color w:val="000000"/>
          <w:sz w:val="22"/>
          <w:szCs w:val="22"/>
        </w:rPr>
        <w:t xml:space="preserve"> realizando; para lo cual se solicita al órgano de transparencia su intervención ante una probable delito." (Sic)</w:t>
      </w:r>
    </w:p>
    <w:p w:rsidR="00AF3127" w:rsidRPr="006E5A4D" w:rsidRDefault="00AF3127">
      <w:pPr>
        <w:ind w:left="567" w:right="616"/>
        <w:jc w:val="both"/>
        <w:rPr>
          <w:rFonts w:ascii="Palatino Linotype" w:eastAsia="Palatino Linotype" w:hAnsi="Palatino Linotype" w:cs="Palatino Linotype"/>
          <w:sz w:val="22"/>
          <w:szCs w:val="22"/>
        </w:rPr>
      </w:pPr>
    </w:p>
    <w:p w:rsidR="00AF3127" w:rsidRPr="006E5A4D" w:rsidRDefault="00EF59E3">
      <w:pPr>
        <w:tabs>
          <w:tab w:val="left" w:pos="851"/>
        </w:tabs>
        <w:ind w:left="567" w:right="616"/>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b/>
          <w:color w:val="000000"/>
          <w:sz w:val="22"/>
          <w:szCs w:val="22"/>
        </w:rPr>
        <w:t>Motivos o razones de inconformidad:</w:t>
      </w:r>
      <w:r w:rsidRPr="006E5A4D">
        <w:rPr>
          <w:rFonts w:ascii="Palatino Linotype" w:eastAsia="Palatino Linotype" w:hAnsi="Palatino Linotype" w:cs="Palatino Linotype"/>
          <w:color w:val="000000"/>
          <w:sz w:val="22"/>
          <w:szCs w:val="22"/>
        </w:rPr>
        <w:t xml:space="preserve"> </w:t>
      </w:r>
      <w:r w:rsidRPr="006E5A4D">
        <w:rPr>
          <w:rFonts w:ascii="Palatino Linotype" w:eastAsia="Palatino Linotype" w:hAnsi="Palatino Linotype" w:cs="Palatino Linotype"/>
          <w:i/>
          <w:color w:val="000000"/>
          <w:sz w:val="22"/>
          <w:szCs w:val="22"/>
        </w:rPr>
        <w:t xml:space="preserve">“la clara incompetencia del personal que labora en el ayuntamiento, se precisa su falta de conocimientos, no solo se requiere salir </w:t>
      </w:r>
      <w:proofErr w:type="spellStart"/>
      <w:r w:rsidRPr="006E5A4D">
        <w:rPr>
          <w:rFonts w:ascii="Palatino Linotype" w:eastAsia="Palatino Linotype" w:hAnsi="Palatino Linotype" w:cs="Palatino Linotype"/>
          <w:i/>
          <w:color w:val="000000"/>
          <w:sz w:val="22"/>
          <w:szCs w:val="22"/>
        </w:rPr>
        <w:t>banitos</w:t>
      </w:r>
      <w:proofErr w:type="spellEnd"/>
      <w:r w:rsidRPr="006E5A4D">
        <w:rPr>
          <w:rFonts w:ascii="Palatino Linotype" w:eastAsia="Palatino Linotype" w:hAnsi="Palatino Linotype" w:cs="Palatino Linotype"/>
          <w:i/>
          <w:color w:val="000000"/>
          <w:sz w:val="22"/>
          <w:szCs w:val="22"/>
        </w:rPr>
        <w:t xml:space="preserve"> en las fotos" (Sic)</w:t>
      </w:r>
    </w:p>
    <w:p w:rsidR="00AF3127" w:rsidRPr="006E5A4D" w:rsidRDefault="00AF3127">
      <w:pPr>
        <w:tabs>
          <w:tab w:val="left" w:pos="426"/>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6E5A4D">
        <w:rPr>
          <w:rFonts w:ascii="Palatino Linotype" w:eastAsia="Palatino Linotype" w:hAnsi="Palatino Linotype" w:cs="Palatino Linotype"/>
          <w:b/>
          <w:color w:val="000000"/>
          <w:sz w:val="22"/>
          <w:szCs w:val="22"/>
        </w:rPr>
        <w:t>Comisionada María del Rosario Mejía Ayala</w:t>
      </w:r>
      <w:r w:rsidRPr="006E5A4D">
        <w:rPr>
          <w:rFonts w:ascii="Palatino Linotype" w:eastAsia="Palatino Linotype" w:hAnsi="Palatino Linotype" w:cs="Palatino Linotype"/>
          <w:color w:val="000000"/>
          <w:sz w:val="22"/>
          <w:szCs w:val="22"/>
        </w:rPr>
        <w:t>, con el objeto de su análisis.</w:t>
      </w:r>
    </w:p>
    <w:p w:rsidR="00AF3127" w:rsidRPr="006E5A4D" w:rsidRDefault="00AF31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La Comisionada Ponente, con fundamento en lo dispuesto por el artículo 185 fracción II de la Ley de Transparencia y Acceso a la Información Pública del Estado de México y Municipios, a través del acuerdo de admisión de doce de marzo de dos mil veinticinco, puso a disposición de las partes el expediente electrónico vía Sistema de Acceso a la Información Mexiquense</w:t>
      </w:r>
      <w:r w:rsidRPr="006E5A4D">
        <w:rPr>
          <w:rFonts w:ascii="Palatino Linotype" w:eastAsia="Palatino Linotype" w:hAnsi="Palatino Linotype" w:cs="Palatino Linotype"/>
          <w:b/>
          <w:color w:val="000000"/>
          <w:sz w:val="22"/>
          <w:szCs w:val="22"/>
        </w:rPr>
        <w:t xml:space="preserve"> (SAIMEX) </w:t>
      </w:r>
      <w:r w:rsidRPr="006E5A4D">
        <w:rPr>
          <w:rFonts w:ascii="Palatino Linotype" w:eastAsia="Palatino Linotype" w:hAnsi="Palatino Linotype" w:cs="Palatino Linotype"/>
          <w:color w:val="000000"/>
          <w:sz w:val="22"/>
          <w:szCs w:val="22"/>
        </w:rPr>
        <w:t xml:space="preserve">a efecto de que en un plazo máximo de siete días manifestaran lo que a su derecho convinieran, ofrecieran pruebas y alegatos según corresponda a los casos concretos, de esta forma para que el </w:t>
      </w:r>
      <w:r w:rsidRPr="006E5A4D">
        <w:rPr>
          <w:rFonts w:ascii="Palatino Linotype" w:eastAsia="Palatino Linotype" w:hAnsi="Palatino Linotype" w:cs="Palatino Linotype"/>
          <w:b/>
          <w:color w:val="000000"/>
          <w:sz w:val="22"/>
          <w:szCs w:val="22"/>
        </w:rPr>
        <w:t>SUJETO OBLIGADO</w:t>
      </w:r>
      <w:r w:rsidRPr="006E5A4D">
        <w:rPr>
          <w:rFonts w:ascii="Palatino Linotype" w:eastAsia="Palatino Linotype" w:hAnsi="Palatino Linotype" w:cs="Palatino Linotype"/>
          <w:color w:val="000000"/>
          <w:sz w:val="22"/>
          <w:szCs w:val="22"/>
        </w:rPr>
        <w:t xml:space="preserve"> presentara el informe justificado procedente.</w:t>
      </w:r>
    </w:p>
    <w:p w:rsidR="00AF3127" w:rsidRPr="006E5A4D" w:rsidRDefault="00AF3127">
      <w:pPr>
        <w:spacing w:line="360" w:lineRule="auto"/>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bookmarkStart w:id="1" w:name="_heading=h.rczk5vz3itzn" w:colFirst="0" w:colLast="0"/>
      <w:bookmarkEnd w:id="1"/>
      <w:r w:rsidRPr="006E5A4D">
        <w:rPr>
          <w:rFonts w:ascii="Palatino Linotype" w:eastAsia="Palatino Linotype" w:hAnsi="Palatino Linotype" w:cs="Palatino Linotype"/>
          <w:color w:val="000000"/>
          <w:sz w:val="22"/>
          <w:szCs w:val="22"/>
        </w:rPr>
        <w:t xml:space="preserve">El </w:t>
      </w:r>
      <w:r w:rsidRPr="006E5A4D">
        <w:rPr>
          <w:rFonts w:ascii="Palatino Linotype" w:eastAsia="Palatino Linotype" w:hAnsi="Palatino Linotype" w:cs="Palatino Linotype"/>
          <w:b/>
          <w:color w:val="000000"/>
          <w:sz w:val="22"/>
          <w:szCs w:val="22"/>
        </w:rPr>
        <w:t xml:space="preserve">SUJETO OBLIGADO </w:t>
      </w:r>
      <w:r w:rsidRPr="006E5A4D">
        <w:rPr>
          <w:rFonts w:ascii="Palatino Linotype" w:eastAsia="Palatino Linotype" w:hAnsi="Palatino Linotype" w:cs="Palatino Linotype"/>
          <w:color w:val="000000"/>
          <w:sz w:val="22"/>
          <w:szCs w:val="22"/>
        </w:rPr>
        <w:t xml:space="preserve">omitió rendir el informe justificado correspondiente, por su parte, el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 xml:space="preserve"> no realizó manifestaciones que a su derecho convinieran.</w:t>
      </w:r>
    </w:p>
    <w:p w:rsidR="00AF3127" w:rsidRPr="006E5A4D" w:rsidRDefault="00AF31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El veintisiete de marzo de dos mil veinticinco, la Comisionada Ponente decretó el cierre del periodo de instrucción, por lo que ordenó turnar el expediente para su resolución, misma que ahora se pronuncia.-------------------------------------------------------------------------------</w:t>
      </w:r>
    </w:p>
    <w:p w:rsidR="00AF3127" w:rsidRPr="006E5A4D" w:rsidRDefault="00AF31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sz w:val="22"/>
          <w:szCs w:val="22"/>
        </w:rPr>
      </w:pPr>
    </w:p>
    <w:p w:rsidR="00AF3127" w:rsidRPr="006E5A4D" w:rsidRDefault="00EF59E3">
      <w:pPr>
        <w:pStyle w:val="Ttulo1"/>
        <w:spacing w:before="0" w:line="360" w:lineRule="auto"/>
        <w:jc w:val="center"/>
        <w:rPr>
          <w:b/>
          <w:color w:val="000000"/>
          <w:sz w:val="22"/>
          <w:szCs w:val="22"/>
        </w:rPr>
      </w:pPr>
      <w:bookmarkStart w:id="2" w:name="_heading=h.2jfvbayqf1iq" w:colFirst="0" w:colLast="0"/>
      <w:bookmarkEnd w:id="2"/>
      <w:r w:rsidRPr="006E5A4D">
        <w:rPr>
          <w:b/>
          <w:color w:val="000000"/>
          <w:sz w:val="22"/>
          <w:szCs w:val="22"/>
        </w:rPr>
        <w:t>CONSIDERANDO</w:t>
      </w:r>
    </w:p>
    <w:p w:rsidR="00AF3127" w:rsidRPr="006E5A4D" w:rsidRDefault="00AF3127">
      <w:pPr>
        <w:spacing w:line="360" w:lineRule="auto"/>
        <w:rPr>
          <w:rFonts w:ascii="Palatino Linotype" w:eastAsia="Palatino Linotype" w:hAnsi="Palatino Linotype" w:cs="Palatino Linotype"/>
          <w:color w:val="000000"/>
          <w:sz w:val="22"/>
          <w:szCs w:val="22"/>
        </w:rPr>
      </w:pPr>
    </w:p>
    <w:p w:rsidR="00AF3127" w:rsidRPr="006E5A4D" w:rsidRDefault="00EF59E3">
      <w:pPr>
        <w:pStyle w:val="Ttulo2"/>
        <w:spacing w:before="0" w:line="360" w:lineRule="auto"/>
        <w:rPr>
          <w:rFonts w:ascii="Palatino Linotype" w:eastAsia="Palatino Linotype" w:hAnsi="Palatino Linotype" w:cs="Palatino Linotype"/>
          <w:b/>
          <w:color w:val="000000"/>
          <w:sz w:val="22"/>
          <w:szCs w:val="22"/>
        </w:rPr>
      </w:pPr>
      <w:bookmarkStart w:id="3" w:name="_heading=h.v07grwjtcjj4" w:colFirst="0" w:colLast="0"/>
      <w:bookmarkEnd w:id="3"/>
      <w:r w:rsidRPr="006E5A4D">
        <w:rPr>
          <w:rFonts w:ascii="Palatino Linotype" w:eastAsia="Palatino Linotype" w:hAnsi="Palatino Linotype" w:cs="Palatino Linotype"/>
          <w:b/>
          <w:color w:val="000000"/>
          <w:sz w:val="22"/>
          <w:szCs w:val="22"/>
        </w:rPr>
        <w:t>PRIMERO. De la competencia</w:t>
      </w:r>
    </w:p>
    <w:p w:rsidR="00AF3127" w:rsidRPr="006E5A4D" w:rsidRDefault="00AF3127">
      <w:pPr>
        <w:spacing w:line="360" w:lineRule="auto"/>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r w:rsidRPr="006E5A4D">
        <w:rPr>
          <w:rFonts w:ascii="Palatino Linotype" w:eastAsia="Palatino Linotype" w:hAnsi="Palatino Linotype" w:cs="Palatino Linotype"/>
          <w:color w:val="000000"/>
          <w:sz w:val="22"/>
          <w:szCs w:val="22"/>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F3127" w:rsidRPr="006E5A4D" w:rsidRDefault="00AF3127">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p>
    <w:p w:rsidR="00AF3127" w:rsidRPr="006E5A4D" w:rsidRDefault="00EF59E3">
      <w:pPr>
        <w:pStyle w:val="Ttulo2"/>
        <w:tabs>
          <w:tab w:val="left" w:pos="426"/>
        </w:tabs>
        <w:spacing w:before="0" w:line="360" w:lineRule="auto"/>
        <w:rPr>
          <w:rFonts w:ascii="Palatino Linotype" w:eastAsia="Palatino Linotype" w:hAnsi="Palatino Linotype" w:cs="Palatino Linotype"/>
          <w:b/>
          <w:color w:val="000000"/>
          <w:sz w:val="22"/>
          <w:szCs w:val="22"/>
        </w:rPr>
      </w:pPr>
      <w:bookmarkStart w:id="4" w:name="_heading=h.qklog1i6b39y" w:colFirst="0" w:colLast="0"/>
      <w:bookmarkEnd w:id="4"/>
      <w:r w:rsidRPr="006E5A4D">
        <w:rPr>
          <w:rFonts w:ascii="Palatino Linotype" w:eastAsia="Palatino Linotype" w:hAnsi="Palatino Linotype" w:cs="Palatino Linotype"/>
          <w:b/>
          <w:color w:val="000000"/>
          <w:sz w:val="22"/>
          <w:szCs w:val="22"/>
        </w:rPr>
        <w:t>SEGUNDO. De la oportunidad y procedencia.</w:t>
      </w:r>
    </w:p>
    <w:p w:rsidR="00AF3127" w:rsidRPr="006E5A4D" w:rsidRDefault="00AF3127">
      <w:pPr>
        <w:spacing w:line="360" w:lineRule="auto"/>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El medio de impugnación fue presentado a través del SAIMEX en el formato previamente aprobado para tal efecto y dentro del plazo legal de quince días hábiles otorgados; siendo así que el </w:t>
      </w:r>
      <w:r w:rsidRPr="006E5A4D">
        <w:rPr>
          <w:rFonts w:ascii="Palatino Linotype" w:eastAsia="Palatino Linotype" w:hAnsi="Palatino Linotype" w:cs="Palatino Linotype"/>
          <w:b/>
          <w:color w:val="000000"/>
          <w:sz w:val="22"/>
          <w:szCs w:val="22"/>
        </w:rPr>
        <w:t>SUJETO OBLIGADO</w:t>
      </w:r>
      <w:r w:rsidRPr="006E5A4D">
        <w:rPr>
          <w:rFonts w:ascii="Palatino Linotype" w:eastAsia="Palatino Linotype" w:hAnsi="Palatino Linotype" w:cs="Palatino Linotype"/>
          <w:color w:val="000000"/>
          <w:sz w:val="22"/>
          <w:szCs w:val="22"/>
        </w:rPr>
        <w:t xml:space="preserve"> entregó respuesta el cinco de marzo de dos mil veinticinco, de tal forma que el plazo para interponer el recurso de revisión transcurrió del seis al veintisiete de marzo de dos mil veinticinco, el recurso de revisión fue </w:t>
      </w:r>
      <w:r w:rsidRPr="006E5A4D">
        <w:rPr>
          <w:rFonts w:ascii="Palatino Linotype" w:eastAsia="Palatino Linotype" w:hAnsi="Palatino Linotype" w:cs="Palatino Linotype"/>
          <w:color w:val="000000"/>
          <w:sz w:val="22"/>
          <w:szCs w:val="22"/>
        </w:rPr>
        <w:lastRenderedPageBreak/>
        <w:t>interpuesto el diez de marzo de dos mil veinticinco, éste se encuentra dentro de los márgenes temporales previstos en el artículo 178 de la Ley de Transparencia y Acceso a la Información Pública del Estado de México y Municipios</w:t>
      </w:r>
      <w:r w:rsidRPr="006E5A4D">
        <w:rPr>
          <w:rFonts w:ascii="Palatino Linotype" w:eastAsia="Palatino Linotype" w:hAnsi="Palatino Linotype" w:cs="Palatino Linotype"/>
          <w:b/>
          <w:color w:val="000000"/>
          <w:sz w:val="22"/>
          <w:szCs w:val="22"/>
        </w:rPr>
        <w:t xml:space="preserve"> </w:t>
      </w:r>
      <w:r w:rsidRPr="006E5A4D">
        <w:rPr>
          <w:rFonts w:ascii="Palatino Linotype" w:eastAsia="Palatino Linotype" w:hAnsi="Palatino Linotype" w:cs="Palatino Linotype"/>
          <w:color w:val="000000"/>
          <w:sz w:val="22"/>
          <w:szCs w:val="22"/>
        </w:rPr>
        <w:t>vigente.</w:t>
      </w:r>
    </w:p>
    <w:p w:rsidR="00AF3127" w:rsidRPr="006E5A4D" w:rsidRDefault="00AF312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F3127" w:rsidRPr="006E5A4D" w:rsidRDefault="00AF3127">
      <w:pPr>
        <w:rPr>
          <w:rFonts w:ascii="Palatino Linotype" w:eastAsia="Palatino Linotype" w:hAnsi="Palatino Linotype" w:cs="Palatino Linotype"/>
          <w:sz w:val="22"/>
          <w:szCs w:val="22"/>
        </w:rPr>
      </w:pPr>
    </w:p>
    <w:p w:rsidR="00AF3127" w:rsidRPr="006E5A4D" w:rsidRDefault="00EF59E3">
      <w:pPr>
        <w:pStyle w:val="Ttulo1"/>
        <w:spacing w:line="360" w:lineRule="auto"/>
        <w:rPr>
          <w:b/>
          <w:sz w:val="22"/>
          <w:szCs w:val="22"/>
        </w:rPr>
      </w:pPr>
      <w:bookmarkStart w:id="5" w:name="_heading=h.nbehc3aekx8x" w:colFirst="0" w:colLast="0"/>
      <w:bookmarkEnd w:id="5"/>
      <w:r w:rsidRPr="006E5A4D">
        <w:rPr>
          <w:b/>
          <w:sz w:val="22"/>
          <w:szCs w:val="22"/>
        </w:rPr>
        <w:t>TERCERO. De las causales del sobreseimiento.</w:t>
      </w:r>
    </w:p>
    <w:p w:rsidR="00AF3127" w:rsidRPr="006E5A4D" w:rsidRDefault="00EF59E3">
      <w:pPr>
        <w:pStyle w:val="Ttulo2"/>
        <w:numPr>
          <w:ilvl w:val="0"/>
          <w:numId w:val="2"/>
        </w:numPr>
        <w:spacing w:line="360" w:lineRule="auto"/>
        <w:rPr>
          <w:rFonts w:ascii="Palatino Linotype" w:eastAsia="Palatino Linotype" w:hAnsi="Palatino Linotype" w:cs="Palatino Linotype"/>
          <w:b/>
          <w:color w:val="000000"/>
          <w:sz w:val="22"/>
          <w:szCs w:val="22"/>
        </w:rPr>
      </w:pPr>
      <w:bookmarkStart w:id="6" w:name="_heading=h.eml4j4v95n98" w:colFirst="0" w:colLast="0"/>
      <w:bookmarkEnd w:id="6"/>
      <w:r w:rsidRPr="006E5A4D">
        <w:rPr>
          <w:rFonts w:ascii="Palatino Linotype" w:eastAsia="Palatino Linotype" w:hAnsi="Palatino Linotype" w:cs="Palatino Linotype"/>
          <w:b/>
          <w:color w:val="000000"/>
          <w:sz w:val="22"/>
          <w:szCs w:val="22"/>
        </w:rPr>
        <w:t>De las actuaciones de las partes.</w:t>
      </w:r>
    </w:p>
    <w:p w:rsidR="00AF3127" w:rsidRPr="006E5A4D" w:rsidRDefault="00AF3127">
      <w:pPr>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b/>
          <w:i/>
          <w:color w:val="000000"/>
          <w:sz w:val="22"/>
          <w:szCs w:val="22"/>
        </w:rPr>
      </w:pPr>
      <w:bookmarkStart w:id="7" w:name="_heading=h.vj897jniq2gr" w:colFirst="0" w:colLast="0"/>
      <w:bookmarkEnd w:id="7"/>
      <w:r w:rsidRPr="006E5A4D">
        <w:rPr>
          <w:rFonts w:ascii="Palatino Linotype" w:eastAsia="Palatino Linotype" w:hAnsi="Palatino Linotype" w:cs="Palatino Linotype"/>
          <w:color w:val="000000"/>
          <w:sz w:val="22"/>
          <w:szCs w:val="22"/>
        </w:rPr>
        <w:t xml:space="preserve">El </w:t>
      </w:r>
      <w:r w:rsidRPr="006E5A4D">
        <w:rPr>
          <w:rFonts w:ascii="Palatino Linotype" w:eastAsia="Palatino Linotype" w:hAnsi="Palatino Linotype" w:cs="Palatino Linotype"/>
          <w:b/>
          <w:color w:val="000000"/>
          <w:sz w:val="22"/>
          <w:szCs w:val="22"/>
        </w:rPr>
        <w:t xml:space="preserve">RECURRENTE </w:t>
      </w:r>
      <w:r w:rsidRPr="006E5A4D">
        <w:rPr>
          <w:rFonts w:ascii="Palatino Linotype" w:eastAsia="Palatino Linotype" w:hAnsi="Palatino Linotype" w:cs="Palatino Linotype"/>
          <w:color w:val="000000"/>
          <w:sz w:val="22"/>
          <w:szCs w:val="22"/>
        </w:rPr>
        <w:t xml:space="preserve">solicitó lo siguiente: </w:t>
      </w:r>
      <w:r w:rsidRPr="006E5A4D">
        <w:rPr>
          <w:rFonts w:ascii="Palatino Linotype" w:eastAsia="Palatino Linotype" w:hAnsi="Palatino Linotype" w:cs="Palatino Linotype"/>
          <w:b/>
          <w:i/>
          <w:color w:val="000000"/>
          <w:sz w:val="22"/>
          <w:szCs w:val="22"/>
        </w:rPr>
        <w:t xml:space="preserve">“se solicita explique la presidenta municipal Jessica </w:t>
      </w:r>
      <w:proofErr w:type="spellStart"/>
      <w:r w:rsidRPr="006E5A4D">
        <w:rPr>
          <w:rFonts w:ascii="Palatino Linotype" w:eastAsia="Palatino Linotype" w:hAnsi="Palatino Linotype" w:cs="Palatino Linotype"/>
          <w:b/>
          <w:i/>
          <w:color w:val="000000"/>
          <w:sz w:val="22"/>
          <w:szCs w:val="22"/>
        </w:rPr>
        <w:t>Rosalio</w:t>
      </w:r>
      <w:proofErr w:type="spellEnd"/>
      <w:r w:rsidRPr="006E5A4D">
        <w:rPr>
          <w:rFonts w:ascii="Palatino Linotype" w:eastAsia="Palatino Linotype" w:hAnsi="Palatino Linotype" w:cs="Palatino Linotype"/>
          <w:b/>
          <w:i/>
          <w:color w:val="000000"/>
          <w:sz w:val="22"/>
          <w:szCs w:val="22"/>
        </w:rPr>
        <w:t xml:space="preserve">, la Directora de Administración (ROCIO ANAID BERNALDEZ JARDON) y la jefa de Recursos Humanos </w:t>
      </w:r>
      <w:proofErr w:type="gramStart"/>
      <w:r w:rsidRPr="006E5A4D">
        <w:rPr>
          <w:rFonts w:ascii="Palatino Linotype" w:eastAsia="Palatino Linotype" w:hAnsi="Palatino Linotype" w:cs="Palatino Linotype"/>
          <w:b/>
          <w:i/>
          <w:color w:val="000000"/>
          <w:sz w:val="22"/>
          <w:szCs w:val="22"/>
        </w:rPr>
        <w:t>( Daniela</w:t>
      </w:r>
      <w:proofErr w:type="gramEnd"/>
      <w:r w:rsidRPr="006E5A4D">
        <w:rPr>
          <w:rFonts w:ascii="Palatino Linotype" w:eastAsia="Palatino Linotype" w:hAnsi="Palatino Linotype" w:cs="Palatino Linotype"/>
          <w:b/>
          <w:i/>
          <w:color w:val="000000"/>
          <w:sz w:val="22"/>
          <w:szCs w:val="22"/>
        </w:rPr>
        <w:t xml:space="preserve"> del Valle) el motivo, causa o razón del por cual la presidenta </w:t>
      </w:r>
      <w:proofErr w:type="spellStart"/>
      <w:r w:rsidRPr="006E5A4D">
        <w:rPr>
          <w:rFonts w:ascii="Palatino Linotype" w:eastAsia="Palatino Linotype" w:hAnsi="Palatino Linotype" w:cs="Palatino Linotype"/>
          <w:b/>
          <w:i/>
          <w:color w:val="000000"/>
          <w:sz w:val="22"/>
          <w:szCs w:val="22"/>
        </w:rPr>
        <w:t>esta</w:t>
      </w:r>
      <w:proofErr w:type="spellEnd"/>
      <w:r w:rsidRPr="006E5A4D">
        <w:rPr>
          <w:rFonts w:ascii="Palatino Linotype" w:eastAsia="Palatino Linotype" w:hAnsi="Palatino Linotype" w:cs="Palatino Linotype"/>
          <w:b/>
          <w:i/>
          <w:color w:val="000000"/>
          <w:sz w:val="22"/>
          <w:szCs w:val="22"/>
        </w:rPr>
        <w:t xml:space="preserve"> realizando el delito de NEPOTISMO, al tener a su familiar en un puesto y/o cargo de mando superior, en </w:t>
      </w:r>
      <w:proofErr w:type="spellStart"/>
      <w:r w:rsidRPr="006E5A4D">
        <w:rPr>
          <w:rFonts w:ascii="Palatino Linotype" w:eastAsia="Palatino Linotype" w:hAnsi="Palatino Linotype" w:cs="Palatino Linotype"/>
          <w:b/>
          <w:i/>
          <w:color w:val="000000"/>
          <w:sz w:val="22"/>
          <w:szCs w:val="22"/>
        </w:rPr>
        <w:t>sintesis</w:t>
      </w:r>
      <w:proofErr w:type="spellEnd"/>
      <w:r w:rsidRPr="006E5A4D">
        <w:rPr>
          <w:rFonts w:ascii="Palatino Linotype" w:eastAsia="Palatino Linotype" w:hAnsi="Palatino Linotype" w:cs="Palatino Linotype"/>
          <w:b/>
          <w:i/>
          <w:color w:val="000000"/>
          <w:sz w:val="22"/>
          <w:szCs w:val="22"/>
        </w:rPr>
        <w:t xml:space="preserve"> a su </w:t>
      </w:r>
      <w:proofErr w:type="spellStart"/>
      <w:r w:rsidRPr="006E5A4D">
        <w:rPr>
          <w:rFonts w:ascii="Palatino Linotype" w:eastAsia="Palatino Linotype" w:hAnsi="Palatino Linotype" w:cs="Palatino Linotype"/>
          <w:b/>
          <w:i/>
          <w:color w:val="000000"/>
          <w:sz w:val="22"/>
          <w:szCs w:val="22"/>
        </w:rPr>
        <w:t>tio</w:t>
      </w:r>
      <w:proofErr w:type="spellEnd"/>
      <w:r w:rsidRPr="006E5A4D">
        <w:rPr>
          <w:rFonts w:ascii="Palatino Linotype" w:eastAsia="Palatino Linotype" w:hAnsi="Palatino Linotype" w:cs="Palatino Linotype"/>
          <w:b/>
          <w:i/>
          <w:color w:val="000000"/>
          <w:sz w:val="22"/>
          <w:szCs w:val="22"/>
        </w:rPr>
        <w:t xml:space="preserve"> JOSUE ROSALIO EMBRIZ... EN EL PUESTO DE FACILITADOR DEL AYUNTAMIENTO DE IXTAPAN DE LA SAL.” (Sic)</w:t>
      </w:r>
    </w:p>
    <w:p w:rsidR="00AF3127" w:rsidRPr="006E5A4D" w:rsidRDefault="00AF312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En respuesta, el </w:t>
      </w:r>
      <w:r w:rsidRPr="006E5A4D">
        <w:rPr>
          <w:rFonts w:ascii="Palatino Linotype" w:eastAsia="Palatino Linotype" w:hAnsi="Palatino Linotype" w:cs="Palatino Linotype"/>
          <w:b/>
          <w:color w:val="000000"/>
          <w:sz w:val="22"/>
          <w:szCs w:val="22"/>
        </w:rPr>
        <w:t xml:space="preserve">SUJETO OBLIGADO </w:t>
      </w:r>
      <w:r w:rsidRPr="006E5A4D">
        <w:rPr>
          <w:rFonts w:ascii="Palatino Linotype" w:eastAsia="Palatino Linotype" w:hAnsi="Palatino Linotype" w:cs="Palatino Linotype"/>
          <w:color w:val="000000"/>
          <w:sz w:val="22"/>
          <w:szCs w:val="22"/>
        </w:rPr>
        <w:t xml:space="preserve">por medio de la Directora de Administración, refirió que después de haber realizado una búsqueda exhaustiva y minuciosa dentro de los archivos que obran en el archivo del Departamento de Recursos Humanos y Profesionalización de la Dirección de Administración, el Servidor Público referido en la solicitud de información, tiene como fecha de ingreso a la plantilla laboral del </w:t>
      </w:r>
      <w:r w:rsidRPr="006E5A4D">
        <w:rPr>
          <w:rFonts w:ascii="Palatino Linotype" w:eastAsia="Palatino Linotype" w:hAnsi="Palatino Linotype" w:cs="Palatino Linotype"/>
          <w:color w:val="000000"/>
          <w:sz w:val="22"/>
          <w:szCs w:val="22"/>
        </w:rPr>
        <w:lastRenderedPageBreak/>
        <w:t>Ayuntamiento el 01 de enero de 2022, con el cargo de Oficial Mediador Conciliador y posteriormente como Facilitador de Juzgado Cívico, derivado del nombramiento emitido en su momento, siguiendo a la fecha como encargado del despacho de Facilitador del Juzgado Cívico, en espera de que salga la convocatoria de selección para el nuevo Titular del área.</w:t>
      </w:r>
    </w:p>
    <w:p w:rsidR="00534B1F" w:rsidRPr="006E5A4D" w:rsidRDefault="00534B1F" w:rsidP="00534B1F">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6E5A4D">
        <w:rPr>
          <w:rFonts w:ascii="Palatino Linotype" w:eastAsia="Palatino Linotype" w:hAnsi="Palatino Linotype" w:cs="Palatino Linotype"/>
          <w:color w:val="000000"/>
          <w:sz w:val="22"/>
          <w:szCs w:val="22"/>
        </w:rPr>
        <w:t xml:space="preserve">En consecuencia, a través del recurso de revisión, el </w:t>
      </w:r>
      <w:r w:rsidRPr="006E5A4D">
        <w:rPr>
          <w:rFonts w:ascii="Palatino Linotype" w:eastAsia="Palatino Linotype" w:hAnsi="Palatino Linotype" w:cs="Palatino Linotype"/>
          <w:b/>
          <w:color w:val="000000"/>
          <w:sz w:val="22"/>
          <w:szCs w:val="22"/>
        </w:rPr>
        <w:t xml:space="preserve">RECURRENTE </w:t>
      </w:r>
      <w:r w:rsidRPr="006E5A4D">
        <w:rPr>
          <w:rFonts w:ascii="Palatino Linotype" w:eastAsia="Palatino Linotype" w:hAnsi="Palatino Linotype" w:cs="Palatino Linotype"/>
          <w:color w:val="000000"/>
          <w:sz w:val="22"/>
          <w:szCs w:val="22"/>
        </w:rPr>
        <w:t>se inconformó</w:t>
      </w:r>
      <w:r w:rsidRPr="006E5A4D">
        <w:rPr>
          <w:rFonts w:ascii="Palatino Linotype" w:eastAsia="Palatino Linotype" w:hAnsi="Palatino Linotype" w:cs="Palatino Linotype"/>
          <w:b/>
          <w:color w:val="000000"/>
          <w:sz w:val="22"/>
          <w:szCs w:val="22"/>
        </w:rPr>
        <w:t xml:space="preserve">, </w:t>
      </w:r>
      <w:r w:rsidRPr="006E5A4D">
        <w:rPr>
          <w:rFonts w:ascii="Palatino Linotype" w:eastAsia="Palatino Linotype" w:hAnsi="Palatino Linotype" w:cs="Palatino Linotype"/>
          <w:color w:val="000000"/>
          <w:sz w:val="22"/>
          <w:szCs w:val="22"/>
        </w:rPr>
        <w:t xml:space="preserve">en los siguientes términos: </w:t>
      </w:r>
      <w:r w:rsidRPr="006E5A4D">
        <w:rPr>
          <w:rFonts w:ascii="Palatino Linotype" w:eastAsia="Palatino Linotype" w:hAnsi="Palatino Linotype" w:cs="Palatino Linotype"/>
          <w:i/>
          <w:color w:val="000000"/>
          <w:sz w:val="22"/>
          <w:szCs w:val="22"/>
        </w:rPr>
        <w:t xml:space="preserve">“la clara incompetencia del personal que labora en el ayuntamiento, se precisa su falta de conocimientos, no solo se requiere salir </w:t>
      </w:r>
      <w:proofErr w:type="spellStart"/>
      <w:r w:rsidRPr="006E5A4D">
        <w:rPr>
          <w:rFonts w:ascii="Palatino Linotype" w:eastAsia="Palatino Linotype" w:hAnsi="Palatino Linotype" w:cs="Palatino Linotype"/>
          <w:i/>
          <w:color w:val="000000"/>
          <w:sz w:val="22"/>
          <w:szCs w:val="22"/>
        </w:rPr>
        <w:t>banitos</w:t>
      </w:r>
      <w:proofErr w:type="spellEnd"/>
      <w:r w:rsidRPr="006E5A4D">
        <w:rPr>
          <w:rFonts w:ascii="Palatino Linotype" w:eastAsia="Palatino Linotype" w:hAnsi="Palatino Linotype" w:cs="Palatino Linotype"/>
          <w:i/>
          <w:color w:val="000000"/>
          <w:sz w:val="22"/>
          <w:szCs w:val="22"/>
        </w:rPr>
        <w:t xml:space="preserve"> en las fotos" (Sic)</w:t>
      </w:r>
    </w:p>
    <w:p w:rsidR="00AF3127" w:rsidRPr="006E5A4D" w:rsidRDefault="00AF3127">
      <w:pPr>
        <w:rPr>
          <w:rFonts w:ascii="Palatino Linotype" w:eastAsia="Palatino Linotype" w:hAnsi="Palatino Linotype" w:cs="Palatino Linotype"/>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Expuesto lo anterior, este Órgano Garante advierte que el</w:t>
      </w:r>
      <w:r w:rsidRPr="006E5A4D">
        <w:rPr>
          <w:rFonts w:ascii="Palatino Linotype" w:eastAsia="Palatino Linotype" w:hAnsi="Palatino Linotype" w:cs="Palatino Linotype"/>
          <w:b/>
          <w:color w:val="000000"/>
          <w:sz w:val="22"/>
          <w:szCs w:val="22"/>
        </w:rPr>
        <w:t xml:space="preserve"> RECURRENTE</w:t>
      </w:r>
      <w:r w:rsidRPr="006E5A4D">
        <w:rPr>
          <w:rFonts w:ascii="Palatino Linotype" w:eastAsia="Palatino Linotype" w:hAnsi="Palatino Linotype" w:cs="Palatino Linotype"/>
          <w:color w:val="000000"/>
          <w:sz w:val="22"/>
          <w:szCs w:val="22"/>
        </w:rPr>
        <w:t xml:space="preserve"> requirió una razón, o bien, un razonamiento por parte del</w:t>
      </w:r>
      <w:r w:rsidRPr="006E5A4D">
        <w:rPr>
          <w:rFonts w:ascii="Palatino Linotype" w:eastAsia="Palatino Linotype" w:hAnsi="Palatino Linotype" w:cs="Palatino Linotype"/>
          <w:b/>
          <w:color w:val="000000"/>
          <w:sz w:val="22"/>
          <w:szCs w:val="22"/>
        </w:rPr>
        <w:t xml:space="preserve"> SUJETO OBLIGADO</w:t>
      </w:r>
      <w:r w:rsidRPr="006E5A4D">
        <w:rPr>
          <w:rFonts w:ascii="Palatino Linotype" w:eastAsia="Palatino Linotype" w:hAnsi="Palatino Linotype" w:cs="Palatino Linotype"/>
          <w:color w:val="000000"/>
          <w:sz w:val="22"/>
          <w:szCs w:val="22"/>
        </w:rPr>
        <w:t xml:space="preserve"> mediante la realización de un cuestionamiento específico, en este sentido, </w:t>
      </w:r>
      <w:r w:rsidRPr="006E5A4D">
        <w:rPr>
          <w:rFonts w:ascii="Palatino Linotype" w:eastAsia="Palatino Linotype" w:hAnsi="Palatino Linotype" w:cs="Palatino Linotype"/>
          <w:b/>
          <w:color w:val="000000"/>
          <w:sz w:val="22"/>
          <w:szCs w:val="22"/>
        </w:rPr>
        <w:t>lo solicitado no constituye un derecho de acceso a la información pública</w:t>
      </w:r>
      <w:r w:rsidRPr="006E5A4D">
        <w:rPr>
          <w:rFonts w:ascii="Palatino Linotype" w:eastAsia="Palatino Linotype" w:hAnsi="Palatino Linotype" w:cs="Palatino Linotype"/>
          <w:color w:val="000000"/>
          <w:sz w:val="22"/>
          <w:szCs w:val="22"/>
        </w:rPr>
        <w:t xml:space="preserve">, es decir, dicha información no consta en un documento derivado del ejercicio de facultades, atribuciones o competencias del </w:t>
      </w:r>
      <w:r w:rsidRPr="006E5A4D">
        <w:rPr>
          <w:rFonts w:ascii="Palatino Linotype" w:eastAsia="Palatino Linotype" w:hAnsi="Palatino Linotype" w:cs="Palatino Linotype"/>
          <w:b/>
          <w:color w:val="000000"/>
          <w:sz w:val="22"/>
          <w:szCs w:val="22"/>
        </w:rPr>
        <w:t>SUJETO OBLIGADO</w:t>
      </w:r>
      <w:r w:rsidRPr="006E5A4D">
        <w:rPr>
          <w:rFonts w:ascii="Palatino Linotype" w:eastAsia="Palatino Linotype" w:hAnsi="Palatino Linotype" w:cs="Palatino Linotype"/>
          <w:color w:val="000000"/>
          <w:sz w:val="22"/>
          <w:szCs w:val="22"/>
        </w:rPr>
        <w:t>, o bien, dentro de una base de datos o medio electrónico, que éste tuviera obligación de generar, poseer y administrar.</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En este orden de ideas, es importante dejar en claro lo que debe entenderse por </w:t>
      </w:r>
      <w:r w:rsidRPr="006E5A4D">
        <w:rPr>
          <w:rFonts w:ascii="Palatino Linotype" w:eastAsia="Palatino Linotype" w:hAnsi="Palatino Linotype" w:cs="Palatino Linotype"/>
          <w:b/>
          <w:color w:val="000000"/>
          <w:sz w:val="22"/>
          <w:szCs w:val="22"/>
        </w:rPr>
        <w:t>derecho de petición</w:t>
      </w:r>
      <w:r w:rsidRPr="006E5A4D">
        <w:rPr>
          <w:rFonts w:ascii="Palatino Linotype" w:eastAsia="Palatino Linotype" w:hAnsi="Palatino Linotype" w:cs="Palatino Linotype"/>
          <w:color w:val="000000"/>
          <w:sz w:val="22"/>
          <w:szCs w:val="22"/>
        </w:rPr>
        <w:t>, así como por derecho de acceso a la información pública, con el objeto de distinguir el ejercicio de ambos derechos.</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Por lo que respecta a la definición de </w:t>
      </w:r>
      <w:r w:rsidRPr="006E5A4D">
        <w:rPr>
          <w:rFonts w:ascii="Palatino Linotype" w:eastAsia="Palatino Linotype" w:hAnsi="Palatino Linotype" w:cs="Palatino Linotype"/>
          <w:b/>
          <w:color w:val="000000"/>
          <w:sz w:val="22"/>
          <w:szCs w:val="22"/>
        </w:rPr>
        <w:t>Derecho de Petición</w:t>
      </w:r>
      <w:r w:rsidRPr="006E5A4D">
        <w:rPr>
          <w:rFonts w:ascii="Palatino Linotype" w:eastAsia="Palatino Linotype" w:hAnsi="Palatino Linotype" w:cs="Palatino Linotype"/>
          <w:color w:val="000000"/>
          <w:sz w:val="22"/>
          <w:szCs w:val="22"/>
        </w:rPr>
        <w:t xml:space="preserve">, el Maestro Ignacio Burgoa Orihuela refiere: </w:t>
      </w:r>
    </w:p>
    <w:p w:rsidR="00AF3127" w:rsidRPr="006E5A4D" w:rsidRDefault="00AF3127">
      <w:pPr>
        <w:pBdr>
          <w:top w:val="nil"/>
          <w:left w:val="nil"/>
          <w:bottom w:val="nil"/>
          <w:right w:val="nil"/>
          <w:between w:val="nil"/>
        </w:pBdr>
        <w:jc w:val="both"/>
        <w:rPr>
          <w:rFonts w:ascii="Palatino Linotype" w:eastAsia="Palatino Linotype" w:hAnsi="Palatino Linotype" w:cs="Palatino Linotype"/>
          <w:color w:val="000000"/>
          <w:sz w:val="22"/>
          <w:szCs w:val="22"/>
        </w:rPr>
      </w:pPr>
    </w:p>
    <w:p w:rsidR="00AF3127" w:rsidRPr="006E5A4D" w:rsidRDefault="00EF59E3">
      <w:pPr>
        <w:tabs>
          <w:tab w:val="left" w:pos="9214"/>
        </w:tabs>
        <w:ind w:left="567" w:right="616"/>
        <w:jc w:val="both"/>
        <w:rPr>
          <w:rFonts w:ascii="Palatino Linotype" w:eastAsia="Palatino Linotype" w:hAnsi="Palatino Linotype" w:cs="Palatino Linotype"/>
          <w:sz w:val="22"/>
          <w:szCs w:val="22"/>
        </w:rPr>
      </w:pPr>
      <w:r w:rsidRPr="006E5A4D">
        <w:rPr>
          <w:rFonts w:ascii="Palatino Linotype" w:eastAsia="Palatino Linotype" w:hAnsi="Palatino Linotype" w:cs="Palatino Linotype"/>
          <w:i/>
          <w:sz w:val="22"/>
          <w:szCs w:val="22"/>
        </w:rPr>
        <w:t xml:space="preserve">“… es un Derecho Público subjetivo individual de la Garantía Respectiva Consagrada en el Artículo 8 de la Ley Fundamental. En tal virtud, la persona tiene la facultad de </w:t>
      </w:r>
      <w:r w:rsidRPr="006E5A4D">
        <w:rPr>
          <w:rFonts w:ascii="Palatino Linotype" w:eastAsia="Palatino Linotype" w:hAnsi="Palatino Linotype" w:cs="Palatino Linotype"/>
          <w:i/>
          <w:sz w:val="22"/>
          <w:szCs w:val="22"/>
        </w:rPr>
        <w:lastRenderedPageBreak/>
        <w:t xml:space="preserve">acudir a cualquier autoridad, formulando una solicitud o instancia escrito de cualquier índole, la cual adopta, específicamente, el carácter de simple petición administrativa, acción o recurso, </w:t>
      </w:r>
      <w:proofErr w:type="spellStart"/>
      <w:proofErr w:type="gramStart"/>
      <w:r w:rsidRPr="006E5A4D">
        <w:rPr>
          <w:rFonts w:ascii="Palatino Linotype" w:eastAsia="Palatino Linotype" w:hAnsi="Palatino Linotype" w:cs="Palatino Linotype"/>
          <w:i/>
          <w:sz w:val="22"/>
          <w:szCs w:val="22"/>
        </w:rPr>
        <w:t>etc</w:t>
      </w:r>
      <w:proofErr w:type="spellEnd"/>
      <w:r w:rsidRPr="006E5A4D">
        <w:rPr>
          <w:rFonts w:ascii="Palatino Linotype" w:eastAsia="Palatino Linotype" w:hAnsi="Palatino Linotype" w:cs="Palatino Linotype"/>
          <w:i/>
          <w:sz w:val="22"/>
          <w:szCs w:val="22"/>
        </w:rPr>
        <w:t xml:space="preserve"> …“</w:t>
      </w:r>
      <w:proofErr w:type="gramEnd"/>
    </w:p>
    <w:p w:rsidR="00AF3127" w:rsidRPr="006E5A4D" w:rsidRDefault="00AF3127">
      <w:pPr>
        <w:tabs>
          <w:tab w:val="left" w:pos="9214"/>
        </w:tabs>
        <w:ind w:right="709"/>
        <w:jc w:val="both"/>
        <w:rPr>
          <w:rFonts w:ascii="Palatino Linotype" w:eastAsia="Palatino Linotype" w:hAnsi="Palatino Linotype" w:cs="Palatino Linotype"/>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Por su parte, David Cienfuegos Salgado, concibe al derecho de petición como: </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tabs>
          <w:tab w:val="left" w:pos="9214"/>
        </w:tabs>
        <w:ind w:left="567" w:right="616"/>
        <w:jc w:val="both"/>
        <w:rPr>
          <w:rFonts w:ascii="Palatino Linotype" w:eastAsia="Palatino Linotype" w:hAnsi="Palatino Linotype" w:cs="Palatino Linotype"/>
          <w:sz w:val="22"/>
          <w:szCs w:val="22"/>
        </w:rPr>
      </w:pPr>
      <w:r w:rsidRPr="006E5A4D">
        <w:rPr>
          <w:rFonts w:ascii="Palatino Linotype" w:eastAsia="Palatino Linotype" w:hAnsi="Palatino Linotype" w:cs="Palatino Linotype"/>
          <w:i/>
          <w:sz w:val="22"/>
          <w:szCs w:val="22"/>
        </w:rPr>
        <w:t>“… el derecho de toda persona a ser escuchado por quienes ejercen el poder público...”</w:t>
      </w:r>
    </w:p>
    <w:p w:rsidR="00AF3127" w:rsidRPr="006E5A4D" w:rsidRDefault="00AF3127">
      <w:pPr>
        <w:tabs>
          <w:tab w:val="left" w:pos="9214"/>
        </w:tabs>
        <w:spacing w:line="360" w:lineRule="auto"/>
        <w:ind w:right="709"/>
        <w:jc w:val="both"/>
        <w:rPr>
          <w:rFonts w:ascii="Palatino Linotype" w:eastAsia="Palatino Linotype" w:hAnsi="Palatino Linotype" w:cs="Palatino Linotype"/>
          <w:i/>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A este respecto, para diferenciar el derecho de petición del derecho de acceso a la información, resulta conducente señalar que José Guadalupe Robles, conceptualiza al derecho a la información como: </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tabs>
          <w:tab w:val="left" w:pos="9214"/>
        </w:tabs>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p>
    <w:p w:rsidR="00AF3127" w:rsidRPr="006E5A4D" w:rsidRDefault="00AF3127">
      <w:pPr>
        <w:tabs>
          <w:tab w:val="left" w:pos="9214"/>
        </w:tabs>
        <w:ind w:right="709"/>
        <w:jc w:val="both"/>
        <w:rPr>
          <w:rFonts w:ascii="Palatino Linotype" w:eastAsia="Palatino Linotype" w:hAnsi="Palatino Linotype" w:cs="Palatino Linotype"/>
          <w:i/>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Ahora bien,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AF3127" w:rsidRPr="006E5A4D" w:rsidRDefault="00AF3127">
      <w:p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2"/>
          <w:szCs w:val="22"/>
        </w:rPr>
      </w:pP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sz w:val="22"/>
          <w:szCs w:val="22"/>
        </w:rPr>
        <w:t>“</w:t>
      </w:r>
      <w:r w:rsidRPr="006E5A4D">
        <w:rPr>
          <w:rFonts w:ascii="Palatino Linotype" w:eastAsia="Palatino Linotype" w:hAnsi="Palatino Linotype" w:cs="Palatino Linotype"/>
          <w:b/>
          <w:i/>
          <w:sz w:val="22"/>
          <w:szCs w:val="22"/>
        </w:rPr>
        <w:t>Artículo 4.</w:t>
      </w:r>
      <w:r w:rsidRPr="006E5A4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6E5A4D">
        <w:rPr>
          <w:rFonts w:ascii="Palatino Linotype" w:eastAsia="Palatino Linotype" w:hAnsi="Palatino Linotype" w:cs="Palatino Linotype"/>
          <w:i/>
          <w:color w:val="000000"/>
          <w:sz w:val="22"/>
          <w:szCs w:val="22"/>
        </w:rPr>
        <w:t>mexicano</w:t>
      </w:r>
      <w:r w:rsidRPr="006E5A4D">
        <w:rPr>
          <w:rFonts w:ascii="Palatino Linotype" w:eastAsia="Palatino Linotype" w:hAnsi="Palatino Linotype" w:cs="Palatino Linotype"/>
          <w:i/>
          <w:sz w:val="22"/>
          <w:szCs w:val="22"/>
        </w:rPr>
        <w:t xml:space="preserve"> sea parte, en la Ley General, la presente Ley y demás disposiciones de la materia, privilegiando el principio de máxima publicidad </w:t>
      </w:r>
      <w:r w:rsidRPr="006E5A4D">
        <w:rPr>
          <w:rFonts w:ascii="Palatino Linotype" w:eastAsia="Palatino Linotype" w:hAnsi="Palatino Linotype" w:cs="Palatino Linotype"/>
          <w:i/>
          <w:sz w:val="22"/>
          <w:szCs w:val="22"/>
        </w:rPr>
        <w:lastRenderedPageBreak/>
        <w:t>de la información. Solo podrá ser clasificada excepcionalmente como reservada temporalmente por razones de interés público, en los términos de las causas legítimas y estrictamente necesarias previstas por esta Ley.</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Los sujetos obligados deben poner en práctica, políticas y programas de acceso a la información</w:t>
      </w:r>
      <w:r w:rsidRPr="006E5A4D">
        <w:rPr>
          <w:rFonts w:ascii="Palatino Linotype" w:eastAsia="Palatino Linotype" w:hAnsi="Palatino Linotype" w:cs="Palatino Linotype"/>
          <w:sz w:val="22"/>
          <w:szCs w:val="22"/>
        </w:rPr>
        <w:t xml:space="preserve"> </w:t>
      </w:r>
      <w:r w:rsidRPr="006E5A4D">
        <w:rPr>
          <w:rFonts w:ascii="Palatino Linotype" w:eastAsia="Palatino Linotype" w:hAnsi="Palatino Linotype" w:cs="Palatino Linotype"/>
          <w:i/>
          <w:sz w:val="22"/>
          <w:szCs w:val="22"/>
        </w:rPr>
        <w:t>que se apeguen a criterios de publicidad, veracidad, oportunidad, precisión y suficiencia en beneficio de los solicitantes.”</w:t>
      </w:r>
    </w:p>
    <w:p w:rsidR="00AF3127" w:rsidRPr="006E5A4D" w:rsidRDefault="00AF3127" w:rsidP="00534B1F">
      <w:pPr>
        <w:spacing w:before="120" w:after="120"/>
        <w:ind w:right="709"/>
        <w:jc w:val="both"/>
        <w:rPr>
          <w:rFonts w:ascii="Palatino Linotype" w:eastAsia="Palatino Linotype" w:hAnsi="Palatino Linotype" w:cs="Palatino Linotype"/>
          <w:i/>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En esa tesitura, los Sujetos Obligados deberán poner en práctica, políticas y programas de acceso a la información que se apeguen a criterios de publicidad, veracidad, oportunidad, precisión y suficiencia en beneficio de los solicitantes.</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rsidP="00534B1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Lo anterior tiene sustento en los artículos 3 fracciones XI y XXII; 4; 11 y 41 de la Ley de Transparencia y Acceso a la Información Pública del Estado de México y Municipios:</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b/>
          <w:i/>
          <w:sz w:val="22"/>
          <w:szCs w:val="22"/>
        </w:rPr>
        <w:lastRenderedPageBreak/>
        <w:t xml:space="preserve">“Artículo 3. Para los efectos de la presente Ley se entenderá por: </w:t>
      </w:r>
      <w:r w:rsidRPr="006E5A4D">
        <w:rPr>
          <w:rFonts w:ascii="Palatino Linotype" w:eastAsia="Palatino Linotype" w:hAnsi="Palatino Linotype" w:cs="Palatino Linotype"/>
          <w:i/>
          <w:sz w:val="22"/>
          <w:szCs w:val="22"/>
        </w:rPr>
        <w:t>…</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b/>
          <w:i/>
          <w:sz w:val="22"/>
          <w:szCs w:val="22"/>
        </w:rPr>
        <w:t>XI. Documento:</w:t>
      </w:r>
      <w:r w:rsidRPr="006E5A4D">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6E5A4D">
        <w:rPr>
          <w:rFonts w:ascii="Palatino Linotype" w:eastAsia="Palatino Linotype" w:hAnsi="Palatino Linotype" w:cs="Palatino Linotype"/>
          <w:i/>
          <w:color w:val="000000"/>
          <w:sz w:val="22"/>
          <w:szCs w:val="22"/>
        </w:rPr>
        <w:t>servidores</w:t>
      </w:r>
      <w:r w:rsidRPr="006E5A4D">
        <w:rPr>
          <w:rFonts w:ascii="Palatino Linotype" w:eastAsia="Palatino Linotype" w:hAnsi="Palatino Linotype" w:cs="Palatino Linotype"/>
          <w:i/>
          <w:sz w:val="22"/>
          <w:szCs w:val="22"/>
        </w:rPr>
        <w:t xml:space="preserve"> públicos e integrantes, sin importar su fuente o fecha de elaboración. Los documentos podrán estar en cualquier medio, sea escrito, impreso, sonoro, visual, electrónico, informático u holográfico; </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b/>
          <w:i/>
          <w:sz w:val="22"/>
          <w:szCs w:val="22"/>
        </w:rPr>
        <w:t>Artículo 4.</w:t>
      </w:r>
      <w:r w:rsidRPr="006E5A4D">
        <w:rPr>
          <w:rFonts w:ascii="Palatino Linotype" w:eastAsia="Palatino Linotype" w:hAnsi="Palatino Linotype" w:cs="Palatino Linotype"/>
          <w:i/>
          <w:sz w:val="22"/>
          <w:szCs w:val="22"/>
        </w:rPr>
        <w:t xml:space="preserve"> </w:t>
      </w:r>
      <w:r w:rsidRPr="006E5A4D">
        <w:rPr>
          <w:rFonts w:ascii="Palatino Linotype" w:eastAsia="Palatino Linotype" w:hAnsi="Palatino Linotype" w:cs="Palatino Linotype"/>
          <w:b/>
          <w:i/>
          <w:sz w:val="22"/>
          <w:szCs w:val="22"/>
        </w:rPr>
        <w:t>El derecho humano de acceso a la información pública es la prerrogativa de las personas para buscar, difundir, investigar, recabar, recibir y solicitar información pública</w:t>
      </w:r>
      <w:r w:rsidRPr="006E5A4D">
        <w:rPr>
          <w:rFonts w:ascii="Palatino Linotype" w:eastAsia="Palatino Linotype" w:hAnsi="Palatino Linotype" w:cs="Palatino Linotype"/>
          <w:i/>
          <w:sz w:val="22"/>
          <w:szCs w:val="22"/>
        </w:rPr>
        <w:t xml:space="preserve">, sin necesidad de acreditar personalidad ni interés jurídico. </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6E5A4D">
        <w:rPr>
          <w:rFonts w:ascii="Palatino Linotype" w:eastAsia="Palatino Linotype" w:hAnsi="Palatino Linotype" w:cs="Palatino Linotype"/>
          <w:i/>
          <w:color w:val="000000"/>
          <w:sz w:val="22"/>
          <w:szCs w:val="22"/>
        </w:rPr>
        <w:t>información</w:t>
      </w:r>
      <w:r w:rsidRPr="006E5A4D">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b/>
          <w:i/>
          <w:sz w:val="22"/>
          <w:szCs w:val="22"/>
        </w:rPr>
        <w:t>Artículo 11.-</w:t>
      </w:r>
      <w:r w:rsidRPr="006E5A4D">
        <w:rPr>
          <w:rFonts w:ascii="Palatino Linotype" w:eastAsia="Palatino Linotype" w:hAnsi="Palatino Linotype" w:cs="Palatino Linotype"/>
          <w:i/>
          <w:sz w:val="22"/>
          <w:szCs w:val="22"/>
        </w:rPr>
        <w:t xml:space="preserve"> </w:t>
      </w:r>
      <w:r w:rsidRPr="006E5A4D">
        <w:rPr>
          <w:rFonts w:ascii="Palatino Linotype" w:eastAsia="Palatino Linotype" w:hAnsi="Palatino Linotype" w:cs="Palatino Linotype"/>
          <w:b/>
          <w:i/>
          <w:sz w:val="22"/>
          <w:szCs w:val="22"/>
        </w:rPr>
        <w:t>Los Sujetos Obligados sólo proporcionarán la información que generen en el ejercicio de sus atribuciones</w:t>
      </w:r>
      <w:r w:rsidRPr="006E5A4D">
        <w:rPr>
          <w:rFonts w:ascii="Palatino Linotype" w:eastAsia="Palatino Linotype" w:hAnsi="Palatino Linotype" w:cs="Palatino Linotype"/>
          <w:i/>
          <w:sz w:val="22"/>
          <w:szCs w:val="22"/>
        </w:rPr>
        <w:t>.</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b/>
          <w:i/>
          <w:sz w:val="22"/>
          <w:szCs w:val="22"/>
        </w:rPr>
        <w:t>Artículo 12.</w:t>
      </w:r>
      <w:r w:rsidRPr="006E5A4D">
        <w:rPr>
          <w:rFonts w:ascii="Palatino Linotype" w:eastAsia="Palatino Linotype" w:hAnsi="Palatino Linotype" w:cs="Palatino Linotype"/>
          <w:i/>
          <w:sz w:val="22"/>
          <w:szCs w:val="22"/>
        </w:rPr>
        <w:t xml:space="preserve"> Quienes generen, recopilen, administren, manejen, procesen, archiven o conserven información pública</w:t>
      </w:r>
      <w:r w:rsidRPr="006E5A4D">
        <w:rPr>
          <w:rFonts w:ascii="Palatino Linotype" w:eastAsia="Palatino Linotype" w:hAnsi="Palatino Linotype" w:cs="Palatino Linotype"/>
          <w:b/>
          <w:i/>
          <w:sz w:val="22"/>
          <w:szCs w:val="22"/>
        </w:rPr>
        <w:t xml:space="preserve"> </w:t>
      </w:r>
      <w:r w:rsidRPr="006E5A4D">
        <w:rPr>
          <w:rFonts w:ascii="Palatino Linotype" w:eastAsia="Palatino Linotype" w:hAnsi="Palatino Linotype" w:cs="Palatino Linotype"/>
          <w:i/>
          <w:sz w:val="22"/>
          <w:szCs w:val="22"/>
        </w:rPr>
        <w:t xml:space="preserve">serán responsables de la misma en los términos de las disposiciones jurídicas </w:t>
      </w:r>
      <w:r w:rsidRPr="006E5A4D">
        <w:rPr>
          <w:rFonts w:ascii="Palatino Linotype" w:eastAsia="Palatino Linotype" w:hAnsi="Palatino Linotype" w:cs="Palatino Linotype"/>
          <w:i/>
          <w:color w:val="000000"/>
          <w:sz w:val="22"/>
          <w:szCs w:val="22"/>
        </w:rPr>
        <w:t>aplicables</w:t>
      </w:r>
      <w:r w:rsidRPr="006E5A4D">
        <w:rPr>
          <w:rFonts w:ascii="Palatino Linotype" w:eastAsia="Palatino Linotype" w:hAnsi="Palatino Linotype" w:cs="Palatino Linotype"/>
          <w:i/>
          <w:sz w:val="22"/>
          <w:szCs w:val="22"/>
        </w:rPr>
        <w:t xml:space="preserve">. </w:t>
      </w:r>
    </w:p>
    <w:p w:rsidR="00AF3127" w:rsidRPr="006E5A4D" w:rsidRDefault="00EF59E3">
      <w:pPr>
        <w:spacing w:before="120" w:after="120"/>
        <w:ind w:left="567" w:right="616"/>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b/>
          <w:i/>
          <w:sz w:val="22"/>
          <w:szCs w:val="22"/>
        </w:rPr>
        <w:t>Los sujetos obligados sólo proporcionarán la información pública que se les requiera y que obre en sus archivos</w:t>
      </w:r>
      <w:r w:rsidRPr="006E5A4D">
        <w:rPr>
          <w:rFonts w:ascii="Palatino Linotype" w:eastAsia="Palatino Linotype" w:hAnsi="Palatino Linotype" w:cs="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F3127" w:rsidRPr="006E5A4D" w:rsidRDefault="00AF3127">
      <w:pPr>
        <w:spacing w:before="120" w:after="120" w:line="360" w:lineRule="auto"/>
        <w:ind w:right="709"/>
        <w:jc w:val="both"/>
        <w:rPr>
          <w:rFonts w:ascii="Palatino Linotype" w:eastAsia="Palatino Linotype" w:hAnsi="Palatino Linotype" w:cs="Palatino Linotype"/>
          <w:i/>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rsidP="00534B1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En síntesis, el derecho de acceso a la información pública se satisface en aquellos casos en que se entregue el soporte documental en que conste la información pública, toda vez que los Sujetos Obligados</w:t>
      </w:r>
      <w:r w:rsidRPr="006E5A4D">
        <w:rPr>
          <w:rFonts w:ascii="Palatino Linotype" w:eastAsia="Palatino Linotype" w:hAnsi="Palatino Linotype" w:cs="Palatino Linotype"/>
          <w:b/>
          <w:color w:val="000000"/>
          <w:sz w:val="22"/>
          <w:szCs w:val="22"/>
        </w:rPr>
        <w:t xml:space="preserve"> </w:t>
      </w:r>
      <w:r w:rsidRPr="006E5A4D">
        <w:rPr>
          <w:rFonts w:ascii="Palatino Linotype" w:eastAsia="Palatino Linotype" w:hAnsi="Palatino Linotype" w:cs="Palatino Linotype"/>
          <w:color w:val="000000"/>
          <w:sz w:val="22"/>
          <w:szCs w:val="22"/>
        </w:rPr>
        <w:t xml:space="preserve">no tienen el deber de generar, poseer o administrar la información pública con el grado de detalle que se señala en la solicitud de información pública; esto es, que no tienen el deber de generar un documento </w:t>
      </w:r>
      <w:r w:rsidRPr="006E5A4D">
        <w:rPr>
          <w:rFonts w:ascii="Palatino Linotype" w:eastAsia="Palatino Linotype" w:hAnsi="Palatino Linotype" w:cs="Palatino Linotype"/>
          <w:b/>
          <w:i/>
          <w:color w:val="000000"/>
          <w:sz w:val="22"/>
          <w:szCs w:val="22"/>
        </w:rPr>
        <w:t>ad hoc</w:t>
      </w:r>
      <w:r w:rsidRPr="006E5A4D">
        <w:rPr>
          <w:rFonts w:ascii="Palatino Linotype" w:eastAsia="Palatino Linotype" w:hAnsi="Palatino Linotype" w:cs="Palatino Linotype"/>
          <w:color w:val="000000"/>
          <w:sz w:val="22"/>
          <w:szCs w:val="22"/>
        </w:rPr>
        <w:t>, para satisfacer el derecho de acceso a la información pública.</w:t>
      </w:r>
    </w:p>
    <w:p w:rsidR="00AF3127" w:rsidRPr="006E5A4D" w:rsidRDefault="00EF59E3">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 xml:space="preserve">Lo anterior se traduce en que el documento o documentos a que se hizo referencia, podrán ser entregados al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 xml:space="preserve">, tal y como hayan sido generados por el </w:t>
      </w:r>
      <w:r w:rsidRPr="006E5A4D">
        <w:rPr>
          <w:rFonts w:ascii="Palatino Linotype" w:eastAsia="Palatino Linotype" w:hAnsi="Palatino Linotype" w:cs="Palatino Linotype"/>
          <w:b/>
          <w:color w:val="000000"/>
          <w:sz w:val="22"/>
          <w:szCs w:val="22"/>
        </w:rPr>
        <w:t>SUJETO OBLIGADO</w:t>
      </w:r>
      <w:r w:rsidRPr="006E5A4D">
        <w:rPr>
          <w:rFonts w:ascii="Palatino Linotype" w:eastAsia="Palatino Linotype" w:hAnsi="Palatino Linotype" w:cs="Palatino Linotype"/>
          <w:color w:val="000000"/>
          <w:sz w:val="22"/>
          <w:szCs w:val="22"/>
        </w:rPr>
        <w:t xml:space="preserve">, sin que subsista la obligación para éste último de generar un documento </w:t>
      </w:r>
      <w:r w:rsidRPr="006E5A4D">
        <w:rPr>
          <w:rFonts w:ascii="Palatino Linotype" w:eastAsia="Palatino Linotype" w:hAnsi="Palatino Linotype" w:cs="Palatino Linotype"/>
          <w:b/>
          <w:i/>
          <w:color w:val="000000"/>
          <w:sz w:val="22"/>
          <w:szCs w:val="22"/>
        </w:rPr>
        <w:t>ad hoc</w:t>
      </w:r>
      <w:r w:rsidRPr="006E5A4D">
        <w:rPr>
          <w:rFonts w:ascii="Palatino Linotype" w:eastAsia="Palatino Linotype" w:hAnsi="Palatino Linotype" w:cs="Palatino Linotype"/>
          <w:color w:val="000000"/>
          <w:sz w:val="22"/>
          <w:szCs w:val="22"/>
        </w:rPr>
        <w:t xml:space="preserve">, para satisfacer el derecho de acceso a la información pública del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w:t>
      </w:r>
    </w:p>
    <w:p w:rsidR="00AF3127" w:rsidRPr="006E5A4D" w:rsidRDefault="00AF3127" w:rsidP="00534B1F">
      <w:pPr>
        <w:ind w:right="709"/>
        <w:jc w:val="both"/>
        <w:rPr>
          <w:rFonts w:ascii="Palatino Linotype" w:eastAsia="Palatino Linotype" w:hAnsi="Palatino Linotype" w:cs="Palatino Linotype"/>
          <w:i/>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Al respecto, es conveniente señalar que los Sujetos Obligados, no están constreñidos a generar documentos </w:t>
      </w:r>
      <w:r w:rsidRPr="006E5A4D">
        <w:rPr>
          <w:rFonts w:ascii="Palatino Linotype" w:eastAsia="Palatino Linotype" w:hAnsi="Palatino Linotype" w:cs="Palatino Linotype"/>
          <w:b/>
          <w:i/>
          <w:color w:val="000000"/>
          <w:sz w:val="22"/>
          <w:szCs w:val="22"/>
        </w:rPr>
        <w:t>ad hoc</w:t>
      </w:r>
      <w:r w:rsidRPr="006E5A4D">
        <w:rPr>
          <w:rFonts w:ascii="Palatino Linotype" w:eastAsia="Palatino Linotype" w:hAnsi="Palatino Linotype" w:cs="Palatino Linotype"/>
          <w:color w:val="000000"/>
          <w:sz w:val="22"/>
          <w:szCs w:val="22"/>
        </w:rPr>
        <w:t>, para responder a las solicitud de información que les sean formuladas.</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Corolario a lo anterior, el doctrinario Ernesto Villanueva </w:t>
      </w:r>
      <w:proofErr w:type="spellStart"/>
      <w:r w:rsidRPr="006E5A4D">
        <w:rPr>
          <w:rFonts w:ascii="Palatino Linotype" w:eastAsia="Palatino Linotype" w:hAnsi="Palatino Linotype" w:cs="Palatino Linotype"/>
          <w:color w:val="000000"/>
          <w:sz w:val="22"/>
          <w:szCs w:val="22"/>
        </w:rPr>
        <w:t>Villanueva</w:t>
      </w:r>
      <w:proofErr w:type="spellEnd"/>
      <w:r w:rsidRPr="006E5A4D">
        <w:rPr>
          <w:rFonts w:ascii="Palatino Linotype" w:eastAsia="Palatino Linotype" w:hAnsi="Palatino Linotype" w:cs="Palatino Linotype"/>
          <w:color w:val="000000"/>
          <w:sz w:val="22"/>
          <w:szCs w:val="22"/>
        </w:rPr>
        <w:t xml:space="preserve"> define al derecho de acceso a la información como: </w:t>
      </w:r>
    </w:p>
    <w:p w:rsidR="00AF3127" w:rsidRPr="006E5A4D" w:rsidRDefault="00AF3127">
      <w:p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2"/>
          <w:szCs w:val="22"/>
        </w:rPr>
      </w:pPr>
    </w:p>
    <w:p w:rsidR="00AF3127" w:rsidRPr="006E5A4D" w:rsidRDefault="00EF59E3">
      <w:pPr>
        <w:spacing w:before="120" w:after="120"/>
        <w:ind w:left="567" w:right="616"/>
        <w:jc w:val="both"/>
        <w:rPr>
          <w:rFonts w:ascii="Palatino Linotype" w:eastAsia="Palatino Linotype" w:hAnsi="Palatino Linotype" w:cs="Palatino Linotype"/>
          <w:sz w:val="22"/>
          <w:szCs w:val="22"/>
        </w:rPr>
      </w:pPr>
      <w:r w:rsidRPr="006E5A4D">
        <w:rPr>
          <w:rFonts w:ascii="Palatino Linotype" w:eastAsia="Palatino Linotype" w:hAnsi="Palatino Linotype" w:cs="Palatino Linotype"/>
          <w:i/>
          <w:sz w:val="22"/>
          <w:szCs w:val="22"/>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rsidR="00AF3127" w:rsidRPr="006E5A4D" w:rsidRDefault="00AF3127">
      <w:pPr>
        <w:spacing w:before="120" w:after="120" w:line="360" w:lineRule="auto"/>
        <w:ind w:right="709"/>
        <w:jc w:val="both"/>
        <w:rPr>
          <w:rFonts w:ascii="Palatino Linotype" w:eastAsia="Palatino Linotype" w:hAnsi="Palatino Linotype" w:cs="Palatino Linotype"/>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b/>
          <w:color w:val="000000"/>
          <w:sz w:val="22"/>
          <w:szCs w:val="22"/>
        </w:rPr>
      </w:pPr>
      <w:r w:rsidRPr="006E5A4D">
        <w:rPr>
          <w:rFonts w:ascii="Palatino Linotype" w:eastAsia="Palatino Linotype" w:hAnsi="Palatino Linotype" w:cs="Palatino Linotype"/>
          <w:color w:val="000000"/>
          <w:sz w:val="22"/>
          <w:szCs w:val="22"/>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w:t>
      </w:r>
      <w:r w:rsidRPr="006E5A4D">
        <w:rPr>
          <w:rFonts w:ascii="Palatino Linotype" w:eastAsia="Palatino Linotype" w:hAnsi="Palatino Linotype" w:cs="Palatino Linotype"/>
          <w:b/>
          <w:color w:val="000000"/>
          <w:sz w:val="22"/>
          <w:szCs w:val="22"/>
        </w:rPr>
        <w:t xml:space="preserve">la solicitud de acceso a la información pública se encamina primordialmente a permitir el acceso a datos, registros y todo tipo de información pública que conste en documentos, sea generada o se encuentre en posesión de la autoridad. </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rsidR="00AF3127" w:rsidRPr="006E5A4D" w:rsidRDefault="00EF59E3">
      <w:pPr>
        <w:numPr>
          <w:ilvl w:val="0"/>
          <w:numId w:val="1"/>
        </w:numPr>
        <w:pBdr>
          <w:top w:val="nil"/>
          <w:left w:val="nil"/>
          <w:bottom w:val="nil"/>
          <w:right w:val="nil"/>
          <w:between w:val="nil"/>
        </w:pBdr>
        <w:spacing w:after="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Así las cosas, debe señalarse que en la solicitud de información presentada en el</w:t>
      </w:r>
      <w:r w:rsidRPr="006E5A4D">
        <w:rPr>
          <w:rFonts w:ascii="Palatino Linotype" w:eastAsia="Palatino Linotype" w:hAnsi="Palatino Linotype" w:cs="Palatino Linotype"/>
          <w:b/>
          <w:color w:val="000000"/>
          <w:sz w:val="22"/>
          <w:szCs w:val="22"/>
        </w:rPr>
        <w:t xml:space="preserve"> SAIMEX,</w:t>
      </w:r>
      <w:r w:rsidRPr="006E5A4D">
        <w:rPr>
          <w:rFonts w:ascii="Palatino Linotype" w:eastAsia="Palatino Linotype" w:hAnsi="Palatino Linotype" w:cs="Palatino Linotype"/>
          <w:color w:val="000000"/>
          <w:sz w:val="22"/>
          <w:szCs w:val="22"/>
        </w:rPr>
        <w:t xml:space="preserve"> </w:t>
      </w:r>
      <w:r w:rsidRPr="006E5A4D">
        <w:rPr>
          <w:rFonts w:ascii="Palatino Linotype" w:eastAsia="Palatino Linotype" w:hAnsi="Palatino Linotype" w:cs="Palatino Linotype"/>
          <w:b/>
          <w:color w:val="000000"/>
          <w:sz w:val="22"/>
          <w:szCs w:val="22"/>
        </w:rPr>
        <w:t>el RECURRENTE</w:t>
      </w:r>
      <w:r w:rsidRPr="006E5A4D">
        <w:rPr>
          <w:rFonts w:ascii="Palatino Linotype" w:eastAsia="Palatino Linotype" w:hAnsi="Palatino Linotype" w:cs="Palatino Linotype"/>
          <w:color w:val="000000"/>
          <w:sz w:val="22"/>
          <w:szCs w:val="22"/>
        </w:rPr>
        <w:t xml:space="preserve"> requiere una razón, o bien, un razonamiento por parte del</w:t>
      </w:r>
      <w:r w:rsidRPr="006E5A4D">
        <w:rPr>
          <w:rFonts w:ascii="Palatino Linotype" w:eastAsia="Palatino Linotype" w:hAnsi="Palatino Linotype" w:cs="Palatino Linotype"/>
          <w:b/>
          <w:color w:val="000000"/>
          <w:sz w:val="22"/>
          <w:szCs w:val="22"/>
        </w:rPr>
        <w:t xml:space="preserve"> SUJETO OBLIGADO</w:t>
      </w:r>
      <w:r w:rsidRPr="006E5A4D">
        <w:rPr>
          <w:rFonts w:ascii="Palatino Linotype" w:eastAsia="Palatino Linotype" w:hAnsi="Palatino Linotype" w:cs="Palatino Linotype"/>
          <w:color w:val="000000"/>
          <w:sz w:val="22"/>
          <w:szCs w:val="22"/>
        </w:rPr>
        <w:t xml:space="preserve"> mediante la realización de un </w:t>
      </w:r>
      <w:r w:rsidRPr="006E5A4D">
        <w:rPr>
          <w:rFonts w:ascii="Palatino Linotype" w:eastAsia="Palatino Linotype" w:hAnsi="Palatino Linotype" w:cs="Palatino Linotype"/>
          <w:b/>
          <w:color w:val="000000"/>
          <w:sz w:val="22"/>
          <w:szCs w:val="22"/>
        </w:rPr>
        <w:t>cuestionamiento</w:t>
      </w:r>
      <w:r w:rsidRPr="006E5A4D">
        <w:rPr>
          <w:rFonts w:ascii="Palatino Linotype" w:eastAsia="Palatino Linotype" w:hAnsi="Palatino Linotype" w:cs="Palatino Linotype"/>
          <w:color w:val="000000"/>
          <w:sz w:val="22"/>
          <w:szCs w:val="22"/>
        </w:rPr>
        <w:t>.</w:t>
      </w:r>
    </w:p>
    <w:p w:rsidR="00AF3127" w:rsidRPr="006E5A4D" w:rsidRDefault="00AF3127">
      <w:pPr>
        <w:rPr>
          <w:rFonts w:ascii="Palatino Linotype" w:eastAsia="Palatino Linotype" w:hAnsi="Palatino Linotype" w:cs="Palatino Linotype"/>
          <w:sz w:val="22"/>
          <w:szCs w:val="22"/>
        </w:rPr>
      </w:pPr>
    </w:p>
    <w:p w:rsidR="00AF3127" w:rsidRPr="006E5A4D" w:rsidRDefault="00EF59E3">
      <w:pPr>
        <w:numPr>
          <w:ilvl w:val="0"/>
          <w:numId w:val="1"/>
        </w:numPr>
        <w:pBdr>
          <w:top w:val="nil"/>
          <w:left w:val="nil"/>
          <w:bottom w:val="nil"/>
          <w:right w:val="nil"/>
          <w:between w:val="nil"/>
        </w:pBdr>
        <w:spacing w:before="12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Por lo que, la entrega de una razón o un razonamiento por parte del</w:t>
      </w:r>
      <w:r w:rsidRPr="006E5A4D">
        <w:rPr>
          <w:rFonts w:ascii="Palatino Linotype" w:eastAsia="Palatino Linotype" w:hAnsi="Palatino Linotype" w:cs="Palatino Linotype"/>
          <w:b/>
          <w:color w:val="000000"/>
          <w:sz w:val="22"/>
          <w:szCs w:val="22"/>
        </w:rPr>
        <w:t xml:space="preserve"> SUJETO OBLIGADO</w:t>
      </w:r>
      <w:r w:rsidRPr="006E5A4D">
        <w:rPr>
          <w:rFonts w:ascii="Palatino Linotype" w:eastAsia="Palatino Linotype" w:hAnsi="Palatino Linotype" w:cs="Palatino Linotype"/>
          <w:color w:val="000000"/>
          <w:sz w:val="22"/>
          <w:szCs w:val="22"/>
        </w:rPr>
        <w:t xml:space="preserve"> no es algo que la ley establezca como atribución, derecho, o facultad; pues ello implicaría </w:t>
      </w:r>
      <w:r w:rsidRPr="006E5A4D">
        <w:rPr>
          <w:rFonts w:ascii="Palatino Linotype" w:eastAsia="Palatino Linotype" w:hAnsi="Palatino Linotype" w:cs="Palatino Linotype"/>
          <w:b/>
          <w:color w:val="000000"/>
          <w:sz w:val="22"/>
          <w:szCs w:val="22"/>
        </w:rPr>
        <w:t>un juicio de valor</w:t>
      </w:r>
      <w:r w:rsidRPr="006E5A4D">
        <w:rPr>
          <w:rFonts w:ascii="Palatino Linotype" w:eastAsia="Palatino Linotype" w:hAnsi="Palatino Linotype" w:cs="Palatino Linotype"/>
          <w:color w:val="000000"/>
          <w:sz w:val="22"/>
          <w:szCs w:val="22"/>
        </w:rPr>
        <w:t xml:space="preserve"> referente a un cuestionamiento realizado, los cuales, al constituir interrogantes, inquietudes y manifestaciones se satisfacen vía derecho de petición, y no así, a través del ejercicio del derecho a acceder a información pública.</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Entonces, al tratarse de un derecho de petición estamos en presencia de una consulta que se aleja del derecho de acceso a la información pública, actualizando lo dispuesto en el artículo 191 fracción VI de la Ley de Transparencia y Acceso a la Información Pública del Estado de México y Municipios, el cual dispone lo siguiente:</w:t>
      </w:r>
    </w:p>
    <w:p w:rsidR="00AF3127" w:rsidRPr="006E5A4D" w:rsidRDefault="00AF312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b/>
          <w:i/>
          <w:color w:val="000000"/>
          <w:sz w:val="22"/>
          <w:szCs w:val="22"/>
        </w:rPr>
        <w:t>“Artículo 191.</w:t>
      </w:r>
      <w:r w:rsidRPr="006E5A4D">
        <w:rPr>
          <w:rFonts w:ascii="Palatino Linotype" w:eastAsia="Palatino Linotype" w:hAnsi="Palatino Linotype" w:cs="Palatino Linotype"/>
          <w:i/>
          <w:color w:val="000000"/>
          <w:sz w:val="22"/>
          <w:szCs w:val="22"/>
        </w:rPr>
        <w:t xml:space="preserve"> El recurso será desechado por improcedente cuando:</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III. No actualice alguno de los supuestos previstos en la presente Ley;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IV. No se haya desahogado la prevención en los términos establecidos en la presente Ley;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V. Se impugne la veracidad de la información proporcionada;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b/>
          <w:i/>
          <w:color w:val="000000"/>
          <w:sz w:val="22"/>
          <w:szCs w:val="22"/>
        </w:rPr>
      </w:pPr>
      <w:r w:rsidRPr="006E5A4D">
        <w:rPr>
          <w:rFonts w:ascii="Palatino Linotype" w:eastAsia="Palatino Linotype" w:hAnsi="Palatino Linotype" w:cs="Palatino Linotype"/>
          <w:b/>
          <w:i/>
          <w:color w:val="000000"/>
          <w:sz w:val="22"/>
          <w:szCs w:val="22"/>
        </w:rPr>
        <w:t xml:space="preserve">VI. Se trate de una consulta, o trámite en específico; y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rsidR="00AF3127" w:rsidRPr="006E5A4D" w:rsidRDefault="00AF312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La fracción VI del citado precepto legal, contempla la improcedencia del recurso de revisión cuando se trate de una consulta, lo cual se relaciona con la solicitud de acceso a la información pública.</w:t>
      </w:r>
    </w:p>
    <w:p w:rsidR="00AF3127" w:rsidRPr="006E5A4D" w:rsidRDefault="00AF312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Sin embargo, al haber sido admitido el recurso de revisión, aún y cuando actualiza una causal de improcedencia, es necesario traer a contexto el artículo 192 fracción IV, de la multicitada Ley de Transparencia:</w:t>
      </w:r>
    </w:p>
    <w:p w:rsidR="00AF3127" w:rsidRPr="006E5A4D" w:rsidRDefault="00AF312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w:t>
      </w:r>
      <w:r w:rsidRPr="006E5A4D">
        <w:rPr>
          <w:rFonts w:ascii="Palatino Linotype" w:eastAsia="Palatino Linotype" w:hAnsi="Palatino Linotype" w:cs="Palatino Linotype"/>
          <w:b/>
          <w:i/>
          <w:color w:val="000000"/>
          <w:sz w:val="22"/>
          <w:szCs w:val="22"/>
        </w:rPr>
        <w:t>Artículo 192.</w:t>
      </w:r>
      <w:r w:rsidRPr="006E5A4D">
        <w:rPr>
          <w:rFonts w:ascii="Palatino Linotype" w:eastAsia="Palatino Linotype" w:hAnsi="Palatino Linotype" w:cs="Palatino Linotype"/>
          <w:i/>
          <w:color w:val="000000"/>
          <w:sz w:val="22"/>
          <w:szCs w:val="22"/>
        </w:rPr>
        <w:t xml:space="preserve"> El recurso será sobreseído, en todo o en parte, cuando una vez admitido, se actualicen alguno de los siguientes supuestos:</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 El recurrente se desista expresamente del recurso;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II. El recurrente fallezca o, tratándose de personas jurídicas colectivas, se disuelva;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 xml:space="preserve">III. El sujeto obligado responsable del acto lo modifique o revoque de tal manera que el recurso de revisión quede sin materia;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b/>
          <w:i/>
          <w:color w:val="000000"/>
          <w:sz w:val="22"/>
          <w:szCs w:val="22"/>
        </w:rPr>
      </w:pPr>
      <w:r w:rsidRPr="006E5A4D">
        <w:rPr>
          <w:rFonts w:ascii="Palatino Linotype" w:eastAsia="Palatino Linotype" w:hAnsi="Palatino Linotype" w:cs="Palatino Linotype"/>
          <w:b/>
          <w:i/>
          <w:color w:val="000000"/>
          <w:sz w:val="22"/>
          <w:szCs w:val="22"/>
        </w:rPr>
        <w:t xml:space="preserve">IV. Admitido el recurso de revisión, aparezca alguna causal de improcedencia en los términos de la presente Ley; y </w:t>
      </w:r>
    </w:p>
    <w:p w:rsidR="00AF3127" w:rsidRPr="006E5A4D" w:rsidRDefault="00EF59E3">
      <w:pPr>
        <w:pBdr>
          <w:top w:val="nil"/>
          <w:left w:val="nil"/>
          <w:bottom w:val="nil"/>
          <w:right w:val="nil"/>
          <w:between w:val="nil"/>
        </w:pBdr>
        <w:tabs>
          <w:tab w:val="left" w:pos="567"/>
        </w:tabs>
        <w:ind w:left="567" w:right="822"/>
        <w:jc w:val="both"/>
        <w:rPr>
          <w:rFonts w:ascii="Palatino Linotype" w:eastAsia="Palatino Linotype" w:hAnsi="Palatino Linotype" w:cs="Palatino Linotype"/>
          <w:i/>
          <w:color w:val="000000"/>
          <w:sz w:val="22"/>
          <w:szCs w:val="22"/>
        </w:rPr>
      </w:pPr>
      <w:r w:rsidRPr="006E5A4D">
        <w:rPr>
          <w:rFonts w:ascii="Palatino Linotype" w:eastAsia="Palatino Linotype" w:hAnsi="Palatino Linotype" w:cs="Palatino Linotype"/>
          <w:i/>
          <w:color w:val="000000"/>
          <w:sz w:val="22"/>
          <w:szCs w:val="22"/>
        </w:rPr>
        <w:t>V. Cuando por cualquier motivo quede sin materia el recurso.”</w:t>
      </w:r>
    </w:p>
    <w:p w:rsidR="00AF3127" w:rsidRPr="006E5A4D" w:rsidRDefault="00AF312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Es así que, el recurso de revisión actualiza la causal de sobreseimiento establecida en la fracción IV del artículo 192, en relación a la fracción VI del artículo 191, ambos de la Ley de Transparencia y Acceso a la Información Pública del Estado de México y Municipios.</w:t>
      </w:r>
    </w:p>
    <w:p w:rsidR="00534B1F" w:rsidRPr="006E5A4D" w:rsidRDefault="00534B1F" w:rsidP="00534B1F">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AF3127" w:rsidRPr="006E5A4D" w:rsidRDefault="00EF59E3">
      <w:pPr>
        <w:ind w:left="567" w:right="567"/>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w:t>
      </w:r>
      <w:r w:rsidRPr="006E5A4D">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6E5A4D">
        <w:rPr>
          <w:rFonts w:ascii="Palatino Linotype" w:eastAsia="Palatino Linotype" w:hAnsi="Palatino Linotype" w:cs="Palatino Linotype"/>
          <w:i/>
          <w:sz w:val="22"/>
          <w:szCs w:val="22"/>
        </w:rPr>
        <w:t xml:space="preserve"> El sobreseimiento en el juicio de amparo directo </w:t>
      </w:r>
      <w:r w:rsidRPr="006E5A4D">
        <w:rPr>
          <w:rFonts w:ascii="Palatino Linotype" w:eastAsia="Palatino Linotype" w:hAnsi="Palatino Linotype" w:cs="Palatino Linotype"/>
          <w:i/>
          <w:sz w:val="22"/>
          <w:szCs w:val="22"/>
        </w:rPr>
        <w:lastRenderedPageBreak/>
        <w:t>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AF3127" w:rsidRPr="006E5A4D" w:rsidRDefault="00EF59E3">
      <w:pPr>
        <w:ind w:left="567" w:right="567"/>
        <w:jc w:val="both"/>
        <w:rPr>
          <w:rFonts w:ascii="Palatino Linotype" w:eastAsia="Palatino Linotype" w:hAnsi="Palatino Linotype" w:cs="Palatino Linotype"/>
          <w:i/>
          <w:sz w:val="22"/>
          <w:szCs w:val="22"/>
        </w:rPr>
      </w:pPr>
      <w:r w:rsidRPr="006E5A4D">
        <w:rPr>
          <w:rFonts w:ascii="Palatino Linotype" w:eastAsia="Palatino Linotype" w:hAnsi="Palatino Linotype" w:cs="Palatino Linotype"/>
          <w:i/>
          <w:sz w:val="22"/>
          <w:szCs w:val="22"/>
        </w:rPr>
        <w:t>SEPTIMO TRIBUNAL COLEGIADO EN MATERIA CIVIL DEL PRIMER CIRCUITO</w:t>
      </w:r>
    </w:p>
    <w:p w:rsidR="00AF3127" w:rsidRPr="006E5A4D" w:rsidRDefault="00EF59E3">
      <w:pPr>
        <w:ind w:left="567" w:right="567"/>
        <w:jc w:val="both"/>
        <w:rPr>
          <w:rFonts w:ascii="Palatino Linotype" w:eastAsia="Palatino Linotype" w:hAnsi="Palatino Linotype" w:cs="Palatino Linotype"/>
          <w:i/>
          <w:sz w:val="22"/>
          <w:szCs w:val="22"/>
        </w:rPr>
      </w:pPr>
      <w:bookmarkStart w:id="8" w:name="_heading=h.o7ec1q6xrzoa" w:colFirst="0" w:colLast="0"/>
      <w:bookmarkEnd w:id="8"/>
      <w:r w:rsidRPr="006E5A4D">
        <w:rPr>
          <w:rFonts w:ascii="Palatino Linotype" w:eastAsia="Palatino Linotype" w:hAnsi="Palatino Linotype" w:cs="Palatino Linotype"/>
          <w:i/>
          <w:sz w:val="22"/>
          <w:szCs w:val="22"/>
        </w:rPr>
        <w:t xml:space="preserve">Amparo directo 699/2008. Mariana Leticia González </w:t>
      </w:r>
      <w:proofErr w:type="spellStart"/>
      <w:r w:rsidRPr="006E5A4D">
        <w:rPr>
          <w:rFonts w:ascii="Palatino Linotype" w:eastAsia="Palatino Linotype" w:hAnsi="Palatino Linotype" w:cs="Palatino Linotype"/>
          <w:i/>
          <w:sz w:val="22"/>
          <w:szCs w:val="22"/>
        </w:rPr>
        <w:t>Steele</w:t>
      </w:r>
      <w:proofErr w:type="spellEnd"/>
      <w:r w:rsidRPr="006E5A4D">
        <w:rPr>
          <w:rFonts w:ascii="Palatino Linotype" w:eastAsia="Palatino Linotype" w:hAnsi="Palatino Linotype" w:cs="Palatino Linotype"/>
          <w:i/>
          <w:sz w:val="22"/>
          <w:szCs w:val="22"/>
        </w:rPr>
        <w:t>. 13 de noviembre de 2008. Unanimidad de votos. Ponente: Sara Judith Montalvo Trejo. Secretario: Arnulfo Mateos García.”</w:t>
      </w:r>
    </w:p>
    <w:p w:rsidR="00AF3127" w:rsidRPr="006E5A4D" w:rsidRDefault="00AF3127">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No obstante, a efecto de no vulnerar los derechos del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 este Órgano Garante deja a salvo sus derechos para que, si así lo desea, presente una nueva solicitud de acceso a la información requiriendo información que sea de su interés.</w:t>
      </w:r>
    </w:p>
    <w:p w:rsidR="00AF3127" w:rsidRPr="006E5A4D" w:rsidRDefault="00AF3127">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AF3127" w:rsidRPr="006E5A4D" w:rsidRDefault="00EF59E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Bajo esas consideraciones, se afirma que en el recurso de revisión sujeto a estudio se actualiza la hipótesis jurídica citada, toda vez que quedó probado que la solicitud de acceso a la información que promovió el </w:t>
      </w:r>
      <w:r w:rsidRPr="006E5A4D">
        <w:rPr>
          <w:rFonts w:ascii="Palatino Linotype" w:eastAsia="Palatino Linotype" w:hAnsi="Palatino Linotype" w:cs="Palatino Linotype"/>
          <w:b/>
          <w:color w:val="000000"/>
          <w:sz w:val="22"/>
          <w:szCs w:val="22"/>
        </w:rPr>
        <w:t>RECURRENTE</w:t>
      </w:r>
      <w:r w:rsidRPr="006E5A4D">
        <w:rPr>
          <w:rFonts w:ascii="Palatino Linotype" w:eastAsia="Palatino Linotype" w:hAnsi="Palatino Linotype" w:cs="Palatino Linotype"/>
          <w:color w:val="000000"/>
          <w:sz w:val="22"/>
          <w:szCs w:val="22"/>
        </w:rPr>
        <w:t xml:space="preserve"> corresponde al ejercicio de un derecho de petición y no al derecho de acceso a la información pública.</w:t>
      </w:r>
    </w:p>
    <w:p w:rsidR="00534B1F" w:rsidRPr="006E5A4D" w:rsidRDefault="00534B1F" w:rsidP="00534B1F">
      <w:pPr>
        <w:pStyle w:val="Prrafodelista"/>
        <w:rPr>
          <w:rFonts w:ascii="Palatino Linotype" w:eastAsia="Palatino Linotype" w:hAnsi="Palatino Linotype" w:cs="Palatino Linotype"/>
          <w:color w:val="000000"/>
          <w:sz w:val="22"/>
          <w:szCs w:val="22"/>
        </w:rPr>
      </w:pPr>
    </w:p>
    <w:p w:rsidR="00534B1F" w:rsidRPr="006E5A4D" w:rsidRDefault="00534B1F" w:rsidP="00B8641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Por </w:t>
      </w:r>
      <w:r w:rsidRPr="006E5A4D">
        <w:rPr>
          <w:rFonts w:ascii="Palatino Linotype" w:hAnsi="Palatino Linotype"/>
          <w:sz w:val="22"/>
          <w:szCs w:val="22"/>
        </w:rPr>
        <w:t xml:space="preserve">último y no menos importante, no pasa desapercibido que el </w:t>
      </w:r>
      <w:r w:rsidRPr="006E5A4D">
        <w:rPr>
          <w:rFonts w:ascii="Palatino Linotype" w:hAnsi="Palatino Linotype"/>
          <w:b/>
          <w:sz w:val="22"/>
          <w:szCs w:val="22"/>
        </w:rPr>
        <w:t>RECURRENTE</w:t>
      </w:r>
      <w:r w:rsidRPr="006E5A4D">
        <w:rPr>
          <w:rFonts w:ascii="Palatino Linotype" w:hAnsi="Palatino Linotype"/>
          <w:sz w:val="22"/>
          <w:szCs w:val="22"/>
        </w:rPr>
        <w:t xml:space="preserve"> a través del escrito de recurso de revisión manifestó: </w:t>
      </w:r>
    </w:p>
    <w:p w:rsidR="00534B1F" w:rsidRPr="006E5A4D" w:rsidRDefault="00534B1F" w:rsidP="00534B1F">
      <w:pPr>
        <w:pStyle w:val="Prrafodelista"/>
        <w:rPr>
          <w:rFonts w:ascii="Palatino Linotype" w:eastAsia="Palatino Linotype" w:hAnsi="Palatino Linotype" w:cs="Palatino Linotype"/>
          <w:i/>
          <w:color w:val="000000"/>
          <w:sz w:val="22"/>
          <w:szCs w:val="22"/>
        </w:rPr>
      </w:pPr>
    </w:p>
    <w:p w:rsidR="00534B1F" w:rsidRPr="006E5A4D" w:rsidRDefault="00534B1F" w:rsidP="00B86413">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i/>
          <w:color w:val="000000"/>
          <w:sz w:val="22"/>
          <w:szCs w:val="22"/>
        </w:rPr>
        <w:t xml:space="preserve">“no es un respuesta prudente, derivado a que manifiesta que fue una ratificación derivado de la designación de puestos de la administración; sin embargo es hacer de su conocimiento que conforme a la ley orgánica municipal es atribución de la presidenta municipal designar a las personas titulares de las área, </w:t>
      </w:r>
      <w:r w:rsidRPr="006E5A4D">
        <w:rPr>
          <w:rFonts w:ascii="Palatino Linotype" w:eastAsia="Palatino Linotype" w:hAnsi="Palatino Linotype" w:cs="Palatino Linotype"/>
          <w:b/>
          <w:i/>
          <w:color w:val="000000"/>
          <w:sz w:val="22"/>
          <w:szCs w:val="22"/>
        </w:rPr>
        <w:t xml:space="preserve">en razón de lo anterior se configura que ella </w:t>
      </w:r>
      <w:proofErr w:type="spellStart"/>
      <w:r w:rsidRPr="006E5A4D">
        <w:rPr>
          <w:rFonts w:ascii="Palatino Linotype" w:eastAsia="Palatino Linotype" w:hAnsi="Palatino Linotype" w:cs="Palatino Linotype"/>
          <w:b/>
          <w:i/>
          <w:color w:val="000000"/>
          <w:sz w:val="22"/>
          <w:szCs w:val="22"/>
        </w:rPr>
        <w:t>omitio</w:t>
      </w:r>
      <w:proofErr w:type="spellEnd"/>
      <w:r w:rsidRPr="006E5A4D">
        <w:rPr>
          <w:rFonts w:ascii="Palatino Linotype" w:eastAsia="Palatino Linotype" w:hAnsi="Palatino Linotype" w:cs="Palatino Linotype"/>
          <w:b/>
          <w:i/>
          <w:color w:val="000000"/>
          <w:sz w:val="22"/>
          <w:szCs w:val="22"/>
        </w:rPr>
        <w:t xml:space="preserve"> o </w:t>
      </w:r>
      <w:proofErr w:type="spellStart"/>
      <w:r w:rsidRPr="006E5A4D">
        <w:rPr>
          <w:rFonts w:ascii="Palatino Linotype" w:eastAsia="Palatino Linotype" w:hAnsi="Palatino Linotype" w:cs="Palatino Linotype"/>
          <w:b/>
          <w:i/>
          <w:color w:val="000000"/>
          <w:sz w:val="22"/>
          <w:szCs w:val="22"/>
        </w:rPr>
        <w:t>mas</w:t>
      </w:r>
      <w:proofErr w:type="spellEnd"/>
      <w:r w:rsidRPr="006E5A4D">
        <w:rPr>
          <w:rFonts w:ascii="Palatino Linotype" w:eastAsia="Palatino Linotype" w:hAnsi="Palatino Linotype" w:cs="Palatino Linotype"/>
          <w:b/>
          <w:i/>
          <w:color w:val="000000"/>
          <w:sz w:val="22"/>
          <w:szCs w:val="22"/>
        </w:rPr>
        <w:t xml:space="preserve"> bien quiso no ver el acto de nepotismo que </w:t>
      </w:r>
      <w:proofErr w:type="spellStart"/>
      <w:r w:rsidRPr="006E5A4D">
        <w:rPr>
          <w:rFonts w:ascii="Palatino Linotype" w:eastAsia="Palatino Linotype" w:hAnsi="Palatino Linotype" w:cs="Palatino Linotype"/>
          <w:b/>
          <w:i/>
          <w:color w:val="000000"/>
          <w:sz w:val="22"/>
          <w:szCs w:val="22"/>
        </w:rPr>
        <w:t>esta</w:t>
      </w:r>
      <w:proofErr w:type="spellEnd"/>
      <w:r w:rsidRPr="006E5A4D">
        <w:rPr>
          <w:rFonts w:ascii="Palatino Linotype" w:eastAsia="Palatino Linotype" w:hAnsi="Palatino Linotype" w:cs="Palatino Linotype"/>
          <w:b/>
          <w:i/>
          <w:color w:val="000000"/>
          <w:sz w:val="22"/>
          <w:szCs w:val="22"/>
        </w:rPr>
        <w:t xml:space="preserve"> realizando; para lo cual se solicita al órgano de transparencia su intervención ante una probable delito</w:t>
      </w:r>
      <w:r w:rsidRPr="006E5A4D">
        <w:rPr>
          <w:rFonts w:ascii="Palatino Linotype" w:eastAsia="Palatino Linotype" w:hAnsi="Palatino Linotype" w:cs="Palatino Linotype"/>
          <w:i/>
          <w:color w:val="000000"/>
          <w:sz w:val="22"/>
          <w:szCs w:val="22"/>
        </w:rPr>
        <w:t>." (Sic)</w:t>
      </w:r>
    </w:p>
    <w:p w:rsidR="003E6DB2" w:rsidRPr="006E5A4D" w:rsidRDefault="003E6DB2" w:rsidP="00534B1F">
      <w:pPr>
        <w:rPr>
          <w:rFonts w:ascii="Palatino Linotype" w:eastAsia="Palatino Linotype" w:hAnsi="Palatino Linotype" w:cs="Palatino Linotype"/>
          <w:color w:val="000000"/>
          <w:sz w:val="22"/>
          <w:szCs w:val="22"/>
        </w:rPr>
      </w:pPr>
    </w:p>
    <w:p w:rsidR="00534B1F" w:rsidRPr="006E5A4D" w:rsidRDefault="00534B1F" w:rsidP="00B86413">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lastRenderedPageBreak/>
        <w:t xml:space="preserve">Al respecto, es </w:t>
      </w:r>
      <w:r w:rsidRPr="006E5A4D">
        <w:rPr>
          <w:rFonts w:ascii="Palatino Linotype" w:hAnsi="Palatino Linotype"/>
          <w:sz w:val="22"/>
          <w:szCs w:val="22"/>
        </w:rPr>
        <w:t xml:space="preserve">necesario resaltar que el recurso de revisión previsto en la Ley de la materia no es el medio para investigar y en su caso, sancionar </w:t>
      </w:r>
      <w:r w:rsidR="007B201A" w:rsidRPr="006E5A4D">
        <w:rPr>
          <w:rFonts w:ascii="Palatino Linotype" w:hAnsi="Palatino Linotype"/>
          <w:sz w:val="22"/>
          <w:szCs w:val="22"/>
        </w:rPr>
        <w:t>delitos</w:t>
      </w:r>
      <w:r w:rsidRPr="006E5A4D">
        <w:rPr>
          <w:rFonts w:ascii="Palatino Linotype" w:hAnsi="Palatino Linotype"/>
          <w:sz w:val="22"/>
          <w:szCs w:val="22"/>
        </w:rPr>
        <w:t xml:space="preserve">, por lo que se le insta al Particular para que, si es su deseo realizar una queja o denuncia en contra del </w:t>
      </w:r>
      <w:r w:rsidR="00B86413" w:rsidRPr="006E5A4D">
        <w:rPr>
          <w:rFonts w:ascii="Palatino Linotype" w:hAnsi="Palatino Linotype"/>
          <w:b/>
          <w:sz w:val="22"/>
          <w:szCs w:val="22"/>
        </w:rPr>
        <w:t>SUJETO OBLIGADO</w:t>
      </w:r>
      <w:r w:rsidRPr="006E5A4D">
        <w:rPr>
          <w:rFonts w:ascii="Palatino Linotype" w:hAnsi="Palatino Linotype"/>
          <w:sz w:val="22"/>
          <w:szCs w:val="22"/>
        </w:rPr>
        <w:t>, acuda a la autoridad competente para tal efecto.</w:t>
      </w:r>
    </w:p>
    <w:p w:rsidR="00AF3127" w:rsidRPr="006E5A4D" w:rsidRDefault="00EF59E3">
      <w:pPr>
        <w:numPr>
          <w:ilvl w:val="0"/>
          <w:numId w:val="1"/>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sz w:val="22"/>
          <w:szCs w:val="22"/>
        </w:rPr>
      </w:pPr>
      <w:r w:rsidRPr="006E5A4D">
        <w:rPr>
          <w:rFonts w:ascii="Palatino Linotype" w:eastAsia="Palatino Linotype" w:hAnsi="Palatino Linotype" w:cs="Palatino Linotype"/>
          <w:color w:val="000000"/>
          <w:sz w:val="22"/>
          <w:szCs w:val="22"/>
        </w:rPr>
        <w:t xml:space="preserve">Por lo anteriormente expuesto y fundado, este </w:t>
      </w:r>
      <w:r w:rsidRPr="006E5A4D">
        <w:rPr>
          <w:rFonts w:ascii="Palatino Linotype" w:eastAsia="Palatino Linotype" w:hAnsi="Palatino Linotype" w:cs="Palatino Linotype"/>
          <w:b/>
          <w:color w:val="000000"/>
          <w:sz w:val="22"/>
          <w:szCs w:val="22"/>
        </w:rPr>
        <w:t>ÓRGANO GARANTE</w:t>
      </w:r>
      <w:r w:rsidRPr="006E5A4D">
        <w:rPr>
          <w:rFonts w:ascii="Palatino Linotype" w:eastAsia="Palatino Linotype" w:hAnsi="Palatino Linotype" w:cs="Palatino Linotype"/>
          <w:color w:val="000000"/>
          <w:sz w:val="22"/>
          <w:szCs w:val="22"/>
        </w:rPr>
        <w:t xml:space="preserve"> emite los siguientes:</w:t>
      </w:r>
    </w:p>
    <w:p w:rsidR="00AF3127" w:rsidRPr="006E5A4D" w:rsidRDefault="00EF59E3">
      <w:pPr>
        <w:keepNext/>
        <w:keepLines/>
        <w:spacing w:line="360" w:lineRule="auto"/>
        <w:jc w:val="center"/>
        <w:rPr>
          <w:rFonts w:ascii="Palatino Linotype" w:eastAsia="Palatino Linotype" w:hAnsi="Palatino Linotype" w:cs="Palatino Linotype"/>
          <w:b/>
          <w:sz w:val="22"/>
          <w:szCs w:val="22"/>
        </w:rPr>
      </w:pPr>
      <w:bookmarkStart w:id="9" w:name="_heading=h.m5crnmveyvjr" w:colFirst="0" w:colLast="0"/>
      <w:bookmarkEnd w:id="9"/>
      <w:r w:rsidRPr="006E5A4D">
        <w:rPr>
          <w:rFonts w:ascii="Palatino Linotype" w:eastAsia="Palatino Linotype" w:hAnsi="Palatino Linotype" w:cs="Palatino Linotype"/>
          <w:b/>
          <w:sz w:val="22"/>
          <w:szCs w:val="22"/>
        </w:rPr>
        <w:t>R E S O L U T I V O S</w:t>
      </w:r>
    </w:p>
    <w:p w:rsidR="00AF3127" w:rsidRPr="006E5A4D" w:rsidRDefault="00AF3127">
      <w:pPr>
        <w:spacing w:line="360" w:lineRule="auto"/>
        <w:rPr>
          <w:rFonts w:ascii="Palatino Linotype" w:eastAsia="Palatino Linotype" w:hAnsi="Palatino Linotype" w:cs="Palatino Linotype"/>
          <w:sz w:val="22"/>
          <w:szCs w:val="22"/>
        </w:rPr>
      </w:pPr>
    </w:p>
    <w:p w:rsidR="00AF3127" w:rsidRPr="006E5A4D" w:rsidRDefault="00EF59E3">
      <w:pPr>
        <w:widowControl w:val="0"/>
        <w:pBdr>
          <w:top w:val="nil"/>
          <w:left w:val="nil"/>
          <w:bottom w:val="nil"/>
          <w:right w:val="nil"/>
          <w:between w:val="nil"/>
        </w:pBdr>
        <w:tabs>
          <w:tab w:val="left" w:pos="1701"/>
        </w:tabs>
        <w:spacing w:before="120" w:line="360" w:lineRule="auto"/>
        <w:jc w:val="both"/>
        <w:rPr>
          <w:rFonts w:ascii="Palatino Linotype" w:eastAsia="Palatino Linotype" w:hAnsi="Palatino Linotype" w:cs="Palatino Linotype"/>
          <w:color w:val="000000"/>
          <w:sz w:val="22"/>
          <w:szCs w:val="22"/>
        </w:rPr>
      </w:pPr>
      <w:bookmarkStart w:id="10" w:name="_heading=h.70qtkmnv036p" w:colFirst="0" w:colLast="0"/>
      <w:bookmarkEnd w:id="10"/>
      <w:r w:rsidRPr="006E5A4D">
        <w:rPr>
          <w:rFonts w:ascii="Palatino Linotype" w:eastAsia="Palatino Linotype" w:hAnsi="Palatino Linotype" w:cs="Palatino Linotype"/>
          <w:b/>
          <w:color w:val="000000"/>
          <w:sz w:val="22"/>
          <w:szCs w:val="22"/>
        </w:rPr>
        <w:t xml:space="preserve">PRIMERO. </w:t>
      </w:r>
      <w:r w:rsidRPr="006E5A4D">
        <w:rPr>
          <w:rFonts w:ascii="Palatino Linotype" w:eastAsia="Palatino Linotype" w:hAnsi="Palatino Linotype" w:cs="Palatino Linotype"/>
          <w:color w:val="000000"/>
          <w:sz w:val="22"/>
          <w:szCs w:val="22"/>
        </w:rPr>
        <w:t xml:space="preserve">Se </w:t>
      </w:r>
      <w:r w:rsidRPr="006E5A4D">
        <w:rPr>
          <w:rFonts w:ascii="Palatino Linotype" w:eastAsia="Palatino Linotype" w:hAnsi="Palatino Linotype" w:cs="Palatino Linotype"/>
          <w:b/>
          <w:color w:val="000000"/>
          <w:sz w:val="22"/>
          <w:szCs w:val="22"/>
        </w:rPr>
        <w:t>SOBRESEE</w:t>
      </w:r>
      <w:r w:rsidRPr="006E5A4D">
        <w:rPr>
          <w:rFonts w:ascii="Palatino Linotype" w:eastAsia="Palatino Linotype" w:hAnsi="Palatino Linotype" w:cs="Palatino Linotype"/>
          <w:color w:val="000000"/>
          <w:sz w:val="22"/>
          <w:szCs w:val="22"/>
        </w:rPr>
        <w:t xml:space="preserve"> el recurso de revisión número </w:t>
      </w:r>
      <w:r w:rsidRPr="006E5A4D">
        <w:rPr>
          <w:rFonts w:ascii="Palatino Linotype" w:eastAsia="Palatino Linotype" w:hAnsi="Palatino Linotype" w:cs="Palatino Linotype"/>
          <w:b/>
          <w:color w:val="000000"/>
          <w:sz w:val="22"/>
          <w:szCs w:val="22"/>
        </w:rPr>
        <w:t>02713/INFOEM/IP/RR/2025, p</w:t>
      </w:r>
      <w:r w:rsidRPr="006E5A4D">
        <w:rPr>
          <w:rFonts w:ascii="Palatino Linotype" w:eastAsia="Palatino Linotype" w:hAnsi="Palatino Linotype" w:cs="Palatino Linotype"/>
          <w:color w:val="000000"/>
          <w:sz w:val="22"/>
          <w:szCs w:val="22"/>
        </w:rPr>
        <w:t xml:space="preserve">or ser </w:t>
      </w:r>
      <w:r w:rsidRPr="006E5A4D">
        <w:rPr>
          <w:rFonts w:ascii="Palatino Linotype" w:eastAsia="Palatino Linotype" w:hAnsi="Palatino Linotype" w:cs="Palatino Linotype"/>
          <w:sz w:val="22"/>
          <w:szCs w:val="22"/>
        </w:rPr>
        <w:t>improcedente</w:t>
      </w:r>
      <w:r w:rsidRPr="006E5A4D">
        <w:rPr>
          <w:rFonts w:ascii="Palatino Linotype" w:eastAsia="Palatino Linotype" w:hAnsi="Palatino Linotype" w:cs="Palatino Linotype"/>
          <w:color w:val="000000"/>
          <w:sz w:val="22"/>
          <w:szCs w:val="22"/>
        </w:rPr>
        <w:t xml:space="preserve">, conforme al artículo 192 fracción IV, en relación con el artículo 191 fracción VI de la Ley de Transparencia y Acceso a la Información Pública del Estado de México y Municipios, en términos del Considerando </w:t>
      </w:r>
      <w:r w:rsidRPr="006E5A4D">
        <w:rPr>
          <w:rFonts w:ascii="Palatino Linotype" w:eastAsia="Palatino Linotype" w:hAnsi="Palatino Linotype" w:cs="Palatino Linotype"/>
          <w:b/>
          <w:color w:val="000000"/>
          <w:sz w:val="22"/>
          <w:szCs w:val="22"/>
        </w:rPr>
        <w:t>TERCERO</w:t>
      </w:r>
      <w:r w:rsidRPr="006E5A4D">
        <w:rPr>
          <w:rFonts w:ascii="Palatino Linotype" w:eastAsia="Palatino Linotype" w:hAnsi="Palatino Linotype" w:cs="Palatino Linotype"/>
          <w:color w:val="000000"/>
          <w:sz w:val="22"/>
          <w:szCs w:val="22"/>
        </w:rPr>
        <w:t xml:space="preserve"> de la presente resolución.</w:t>
      </w:r>
    </w:p>
    <w:p w:rsidR="00AF3127" w:rsidRPr="006E5A4D" w:rsidRDefault="00EF59E3">
      <w:pPr>
        <w:spacing w:before="240" w:after="360" w:line="360" w:lineRule="auto"/>
        <w:jc w:val="both"/>
        <w:rPr>
          <w:rFonts w:ascii="Palatino Linotype" w:eastAsia="Palatino Linotype" w:hAnsi="Palatino Linotype" w:cs="Palatino Linotype"/>
          <w:b/>
          <w:color w:val="000000"/>
          <w:sz w:val="22"/>
          <w:szCs w:val="22"/>
        </w:rPr>
      </w:pPr>
      <w:bookmarkStart w:id="11" w:name="_heading=h.lx2mnl8xkl27" w:colFirst="0" w:colLast="0"/>
      <w:bookmarkEnd w:id="11"/>
      <w:r w:rsidRPr="006E5A4D">
        <w:rPr>
          <w:rFonts w:ascii="Palatino Linotype" w:eastAsia="Palatino Linotype" w:hAnsi="Palatino Linotype" w:cs="Palatino Linotype"/>
          <w:b/>
          <w:sz w:val="22"/>
          <w:szCs w:val="22"/>
        </w:rPr>
        <w:t>SEGUNDO.</w:t>
      </w:r>
      <w:r w:rsidRPr="006E5A4D">
        <w:rPr>
          <w:rFonts w:ascii="Palatino Linotype" w:eastAsia="Palatino Linotype" w:hAnsi="Palatino Linotype" w:cs="Palatino Linotype"/>
          <w:b/>
          <w:color w:val="000000"/>
          <w:sz w:val="22"/>
          <w:szCs w:val="22"/>
        </w:rPr>
        <w:t xml:space="preserve"> </w:t>
      </w:r>
      <w:r w:rsidR="009E47F0" w:rsidRPr="006E5A4D">
        <w:rPr>
          <w:rFonts w:ascii="Palatino Linotype" w:eastAsia="Palatino Linotype" w:hAnsi="Palatino Linotype" w:cs="Palatino Linotype"/>
          <w:b/>
          <w:color w:val="000000"/>
          <w:sz w:val="22"/>
          <w:szCs w:val="22"/>
        </w:rPr>
        <w:t>Notifíquese</w:t>
      </w:r>
      <w:r w:rsidRPr="006E5A4D">
        <w:rPr>
          <w:rFonts w:ascii="Palatino Linotype" w:eastAsia="Palatino Linotype" w:hAnsi="Palatino Linotype" w:cs="Palatino Linotype"/>
          <w:b/>
          <w:color w:val="000000"/>
          <w:sz w:val="22"/>
          <w:szCs w:val="22"/>
        </w:rPr>
        <w:t xml:space="preserve"> </w:t>
      </w:r>
      <w:r w:rsidRPr="006E5A4D">
        <w:rPr>
          <w:rFonts w:ascii="Palatino Linotype" w:eastAsia="Palatino Linotype" w:hAnsi="Palatino Linotype" w:cs="Palatino Linotype"/>
          <w:color w:val="000000"/>
          <w:sz w:val="22"/>
          <w:szCs w:val="22"/>
        </w:rPr>
        <w:t>al Titular de la Unidad de Transparencia del</w:t>
      </w:r>
      <w:r w:rsidRPr="006E5A4D">
        <w:rPr>
          <w:rFonts w:ascii="Palatino Linotype" w:eastAsia="Palatino Linotype" w:hAnsi="Palatino Linotype" w:cs="Palatino Linotype"/>
          <w:b/>
          <w:color w:val="000000"/>
          <w:sz w:val="22"/>
          <w:szCs w:val="22"/>
        </w:rPr>
        <w:t xml:space="preserve"> SUJETO OBLIGADO</w:t>
      </w:r>
      <w:r w:rsidRPr="006E5A4D">
        <w:rPr>
          <w:rFonts w:ascii="Palatino Linotype" w:eastAsia="Palatino Linotype" w:hAnsi="Palatino Linotype" w:cs="Palatino Linotype"/>
          <w:color w:val="000000"/>
          <w:sz w:val="22"/>
          <w:szCs w:val="22"/>
        </w:rPr>
        <w:t xml:space="preserve"> vía Sistema de Acceso a Información Mexiquense, </w:t>
      </w:r>
      <w:r w:rsidRPr="006E5A4D">
        <w:rPr>
          <w:rFonts w:ascii="Palatino Linotype" w:eastAsia="Palatino Linotype" w:hAnsi="Palatino Linotype" w:cs="Palatino Linotype"/>
          <w:b/>
          <w:color w:val="000000"/>
          <w:sz w:val="22"/>
          <w:szCs w:val="22"/>
        </w:rPr>
        <w:t>SAIMEX,</w:t>
      </w:r>
      <w:r w:rsidRPr="006E5A4D">
        <w:rPr>
          <w:rFonts w:ascii="Palatino Linotype" w:eastAsia="Palatino Linotype" w:hAnsi="Palatino Linotype" w:cs="Palatino Linotype"/>
          <w:color w:val="000000"/>
          <w:sz w:val="22"/>
          <w:szCs w:val="22"/>
        </w:rPr>
        <w:t xml:space="preserve"> la presente resolución. </w:t>
      </w:r>
    </w:p>
    <w:p w:rsidR="00AF3127" w:rsidRPr="006E5A4D" w:rsidRDefault="00EF59E3">
      <w:pPr>
        <w:spacing w:line="360" w:lineRule="auto"/>
        <w:jc w:val="both"/>
        <w:rPr>
          <w:rFonts w:ascii="Palatino Linotype" w:eastAsia="Palatino Linotype" w:hAnsi="Palatino Linotype" w:cs="Palatino Linotype"/>
          <w:b/>
          <w:sz w:val="22"/>
          <w:szCs w:val="22"/>
        </w:rPr>
      </w:pPr>
      <w:bookmarkStart w:id="12" w:name="_heading=h.1uydccrd3lwz" w:colFirst="0" w:colLast="0"/>
      <w:bookmarkEnd w:id="12"/>
      <w:r w:rsidRPr="006E5A4D">
        <w:rPr>
          <w:rFonts w:ascii="Palatino Linotype" w:eastAsia="Palatino Linotype" w:hAnsi="Palatino Linotype" w:cs="Palatino Linotype"/>
          <w:b/>
          <w:sz w:val="22"/>
          <w:szCs w:val="22"/>
        </w:rPr>
        <w:t xml:space="preserve">TERCERO. </w:t>
      </w:r>
      <w:r w:rsidRPr="006E5A4D">
        <w:rPr>
          <w:rFonts w:ascii="Palatino Linotype" w:eastAsia="Palatino Linotype" w:hAnsi="Palatino Linotype" w:cs="Palatino Linotype"/>
          <w:b/>
          <w:color w:val="222222"/>
          <w:sz w:val="22"/>
          <w:szCs w:val="22"/>
        </w:rPr>
        <w:t>Notifíquese a</w:t>
      </w:r>
      <w:r w:rsidRPr="006E5A4D">
        <w:rPr>
          <w:rFonts w:ascii="Palatino Linotype" w:eastAsia="Palatino Linotype" w:hAnsi="Palatino Linotype" w:cs="Palatino Linotype"/>
          <w:b/>
          <w:sz w:val="22"/>
          <w:szCs w:val="22"/>
        </w:rPr>
        <w:t xml:space="preserve">l RECURRENTE </w:t>
      </w:r>
      <w:r w:rsidRPr="006E5A4D">
        <w:rPr>
          <w:rFonts w:ascii="Palatino Linotype" w:eastAsia="Palatino Linotype" w:hAnsi="Palatino Linotype" w:cs="Palatino Linotype"/>
          <w:sz w:val="22"/>
          <w:szCs w:val="22"/>
        </w:rPr>
        <w:t xml:space="preserve">la presente resolución a través de </w:t>
      </w:r>
      <w:r w:rsidRPr="006E5A4D">
        <w:rPr>
          <w:rFonts w:ascii="Palatino Linotype" w:eastAsia="Palatino Linotype" w:hAnsi="Palatino Linotype" w:cs="Palatino Linotype"/>
          <w:b/>
          <w:sz w:val="22"/>
          <w:szCs w:val="22"/>
        </w:rPr>
        <w:t>SAIMEX.</w:t>
      </w:r>
    </w:p>
    <w:p w:rsidR="00AF3127" w:rsidRPr="006E5A4D" w:rsidRDefault="00AF3127">
      <w:pPr>
        <w:jc w:val="both"/>
        <w:rPr>
          <w:rFonts w:ascii="Palatino Linotype" w:eastAsia="Palatino Linotype" w:hAnsi="Palatino Linotype" w:cs="Palatino Linotype"/>
          <w:sz w:val="22"/>
          <w:szCs w:val="22"/>
        </w:rPr>
      </w:pPr>
    </w:p>
    <w:p w:rsidR="00AF3127" w:rsidRPr="006E5A4D" w:rsidRDefault="00EF59E3">
      <w:pPr>
        <w:spacing w:line="360" w:lineRule="auto"/>
        <w:jc w:val="both"/>
        <w:rPr>
          <w:rFonts w:ascii="Palatino Linotype" w:eastAsia="Palatino Linotype" w:hAnsi="Palatino Linotype" w:cs="Palatino Linotype"/>
          <w:sz w:val="22"/>
          <w:szCs w:val="22"/>
        </w:rPr>
      </w:pPr>
      <w:bookmarkStart w:id="13" w:name="_heading=h.kuqs279ec1g0" w:colFirst="0" w:colLast="0"/>
      <w:bookmarkEnd w:id="13"/>
      <w:r w:rsidRPr="006E5A4D">
        <w:rPr>
          <w:rFonts w:ascii="Palatino Linotype" w:eastAsia="Palatino Linotype" w:hAnsi="Palatino Linotype" w:cs="Palatino Linotype"/>
          <w:b/>
          <w:sz w:val="22"/>
          <w:szCs w:val="22"/>
        </w:rPr>
        <w:t>CUARTO.</w:t>
      </w:r>
      <w:r w:rsidRPr="006E5A4D">
        <w:rPr>
          <w:rFonts w:ascii="Palatino Linotype" w:eastAsia="Palatino Linotype" w:hAnsi="Palatino Linotype" w:cs="Palatino Linotype"/>
          <w:sz w:val="22"/>
          <w:szCs w:val="22"/>
        </w:rPr>
        <w:t xml:space="preserve"> Se hace del conocimiento del </w:t>
      </w:r>
      <w:r w:rsidRPr="006E5A4D">
        <w:rPr>
          <w:rFonts w:ascii="Palatino Linotype" w:eastAsia="Palatino Linotype" w:hAnsi="Palatino Linotype" w:cs="Palatino Linotype"/>
          <w:b/>
          <w:sz w:val="22"/>
          <w:szCs w:val="22"/>
        </w:rPr>
        <w:t>RECURRENTE</w:t>
      </w:r>
      <w:r w:rsidRPr="006E5A4D">
        <w:rPr>
          <w:rFonts w:ascii="Palatino Linotype" w:eastAsia="Palatino Linotype" w:hAnsi="Palatino Linotype" w:cs="Palatino Linotype"/>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9E47F0" w:rsidRDefault="009E47F0" w:rsidP="009E47F0">
      <w:pPr>
        <w:spacing w:before="240" w:after="240" w:line="360" w:lineRule="auto"/>
        <w:ind w:firstLine="1"/>
        <w:jc w:val="both"/>
        <w:rPr>
          <w:rFonts w:ascii="Palatino Linotype" w:hAnsi="Palatino Linotype"/>
        </w:rPr>
      </w:pPr>
      <w:r w:rsidRPr="006E5A4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14" w:name="_GoBack"/>
      <w:bookmarkEnd w:id="14"/>
    </w:p>
    <w:p w:rsidR="00534B1F" w:rsidRDefault="00534B1F">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Default="006E5A4D">
      <w:pPr>
        <w:spacing w:before="240" w:after="240" w:line="360" w:lineRule="auto"/>
        <w:ind w:firstLine="1"/>
        <w:jc w:val="both"/>
        <w:rPr>
          <w:rFonts w:ascii="Palatino Linotype" w:eastAsia="Palatino Linotype" w:hAnsi="Palatino Linotype" w:cs="Palatino Linotype"/>
          <w:sz w:val="22"/>
          <w:szCs w:val="22"/>
        </w:rPr>
      </w:pPr>
    </w:p>
    <w:p w:rsidR="006E5A4D" w:rsidRPr="00534B1F" w:rsidRDefault="006E5A4D">
      <w:pPr>
        <w:spacing w:before="240" w:after="240" w:line="360" w:lineRule="auto"/>
        <w:ind w:firstLine="1"/>
        <w:jc w:val="both"/>
        <w:rPr>
          <w:rFonts w:ascii="Palatino Linotype" w:eastAsia="Palatino Linotype" w:hAnsi="Palatino Linotype" w:cs="Palatino Linotype"/>
          <w:sz w:val="22"/>
          <w:szCs w:val="22"/>
        </w:rPr>
      </w:pPr>
    </w:p>
    <w:sectPr w:rsidR="006E5A4D" w:rsidRPr="00534B1F">
      <w:headerReference w:type="default" r:id="rId8"/>
      <w:footerReference w:type="default" r:id="rId9"/>
      <w:headerReference w:type="first" r:id="rId10"/>
      <w:footerReference w:type="first" r:id="rId11"/>
      <w:pgSz w:w="12240" w:h="15840"/>
      <w:pgMar w:top="2268" w:right="1701" w:bottom="1560"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CCA" w:rsidRDefault="00234CCA">
      <w:r>
        <w:separator/>
      </w:r>
    </w:p>
  </w:endnote>
  <w:endnote w:type="continuationSeparator" w:id="0">
    <w:p w:rsidR="00234CCA" w:rsidRDefault="0023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27" w:rsidRDefault="00EF59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6E5A4D">
      <w:rPr>
        <w:rFonts w:ascii="Palatino Linotype" w:eastAsia="Palatino Linotype" w:hAnsi="Palatino Linotype" w:cs="Palatino Linotype"/>
        <w:b/>
        <w:noProof/>
        <w:color w:val="000000"/>
        <w:sz w:val="22"/>
        <w:szCs w:val="22"/>
      </w:rPr>
      <w:t>16</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6E5A4D">
      <w:rPr>
        <w:rFonts w:ascii="Palatino Linotype" w:eastAsia="Palatino Linotype" w:hAnsi="Palatino Linotype" w:cs="Palatino Linotype"/>
        <w:b/>
        <w:noProof/>
        <w:color w:val="000000"/>
        <w:sz w:val="22"/>
        <w:szCs w:val="22"/>
      </w:rPr>
      <w:t>17</w:t>
    </w:r>
    <w:r>
      <w:rPr>
        <w:rFonts w:ascii="Palatino Linotype" w:eastAsia="Palatino Linotype" w:hAnsi="Palatino Linotype" w:cs="Palatino Linotype"/>
        <w:b/>
        <w:color w:val="000000"/>
        <w:sz w:val="22"/>
        <w:szCs w:val="22"/>
      </w:rPr>
      <w:fldChar w:fldCharType="end"/>
    </w:r>
  </w:p>
  <w:p w:rsidR="00AF3127" w:rsidRDefault="00AF312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27" w:rsidRDefault="00EF59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E5A4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E5A4D">
      <w:rPr>
        <w:rFonts w:ascii="Palatino Linotype" w:eastAsia="Palatino Linotype" w:hAnsi="Palatino Linotype" w:cs="Palatino Linotype"/>
        <w:noProof/>
        <w:color w:val="000000"/>
        <w:sz w:val="22"/>
        <w:szCs w:val="22"/>
      </w:rPr>
      <w:t>17</w:t>
    </w:r>
    <w:r>
      <w:rPr>
        <w:rFonts w:ascii="Palatino Linotype" w:eastAsia="Palatino Linotype" w:hAnsi="Palatino Linotype" w:cs="Palatino Linotype"/>
        <w:color w:val="000000"/>
        <w:sz w:val="22"/>
        <w:szCs w:val="22"/>
      </w:rPr>
      <w:fldChar w:fldCharType="end"/>
    </w:r>
  </w:p>
  <w:p w:rsidR="00AF3127" w:rsidRDefault="00AF3127">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CCA" w:rsidRDefault="00234CCA">
      <w:r>
        <w:separator/>
      </w:r>
    </w:p>
  </w:footnote>
  <w:footnote w:type="continuationSeparator" w:id="0">
    <w:p w:rsidR="00234CCA" w:rsidRDefault="00234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27" w:rsidRDefault="00AF3127">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bl>
    <w:tblPr>
      <w:tblStyle w:val="a0"/>
      <w:tblW w:w="6950"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260"/>
      <w:gridCol w:w="3690"/>
    </w:tblGrid>
    <w:tr w:rsidR="00AF3127">
      <w:trPr>
        <w:trHeight w:val="138"/>
        <w:jc w:val="right"/>
      </w:trPr>
      <w:tc>
        <w:tcPr>
          <w:tcW w:w="3260" w:type="dxa"/>
          <w:vAlign w:val="center"/>
        </w:tcPr>
        <w:p w:rsidR="00AF3127" w:rsidRDefault="00EF59E3">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90" w:type="dxa"/>
          <w:vAlign w:val="center"/>
        </w:tcPr>
        <w:p w:rsidR="00AF3127" w:rsidRDefault="00EF59E3">
          <w:pPr>
            <w:pBdr>
              <w:top w:val="nil"/>
              <w:left w:val="nil"/>
              <w:bottom w:val="nil"/>
              <w:right w:val="nil"/>
              <w:between w:val="nil"/>
            </w:pBdr>
            <w:tabs>
              <w:tab w:val="center" w:pos="4252"/>
              <w:tab w:val="right" w:pos="8504"/>
            </w:tabs>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02713/INFOEM/IP/RR/2025</w:t>
          </w:r>
        </w:p>
      </w:tc>
    </w:tr>
    <w:tr w:rsidR="00AF3127">
      <w:trPr>
        <w:trHeight w:val="233"/>
        <w:jc w:val="right"/>
      </w:trPr>
      <w:tc>
        <w:tcPr>
          <w:tcW w:w="3260" w:type="dxa"/>
          <w:vAlign w:val="center"/>
        </w:tcPr>
        <w:p w:rsidR="00AF3127" w:rsidRDefault="00EF59E3">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90" w:type="dxa"/>
          <w:vAlign w:val="center"/>
        </w:tcPr>
        <w:p w:rsidR="00AF3127" w:rsidRDefault="00EF59E3">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Ixtapan de la Sal</w:t>
          </w:r>
        </w:p>
      </w:tc>
    </w:tr>
    <w:tr w:rsidR="00AF3127">
      <w:trPr>
        <w:trHeight w:val="321"/>
        <w:jc w:val="right"/>
      </w:trPr>
      <w:tc>
        <w:tcPr>
          <w:tcW w:w="3260" w:type="dxa"/>
          <w:vAlign w:val="center"/>
        </w:tcPr>
        <w:p w:rsidR="00AF3127" w:rsidRDefault="00EF59E3">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90" w:type="dxa"/>
          <w:vAlign w:val="center"/>
        </w:tcPr>
        <w:p w:rsidR="00AF3127" w:rsidRDefault="00EF59E3">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AF3127" w:rsidRDefault="00EF59E3">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7216" behindDoc="1" locked="0" layoutInCell="1" hidden="0" allowOverlap="1">
          <wp:simplePos x="0" y="0"/>
          <wp:positionH relativeFrom="page">
            <wp:posOffset>30785</wp:posOffset>
          </wp:positionH>
          <wp:positionV relativeFrom="page">
            <wp:posOffset>30480</wp:posOffset>
          </wp:positionV>
          <wp:extent cx="7695210" cy="10020839"/>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5210" cy="10020839"/>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27" w:rsidRDefault="00234CCA">
    <w:pPr>
      <w:pBdr>
        <w:top w:val="nil"/>
        <w:left w:val="nil"/>
        <w:bottom w:val="nil"/>
        <w:right w:val="nil"/>
        <w:between w:val="nil"/>
      </w:pBdr>
      <w:tabs>
        <w:tab w:val="center" w:pos="4252"/>
        <w:tab w:val="right" w:pos="8504"/>
        <w:tab w:val="left" w:pos="3103"/>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118.65pt;margin-top:-128.35pt;width:663.5pt;height:12in;z-index:-251658240;mso-position-horizontal:absolute;mso-position-horizontal-relative:margin;mso-position-vertical:absolute;mso-position-vertical-relative:margin">
          <v:imagedata r:id="rId1" o:title="image1"/>
          <w10:wrap anchorx="margin" anchory="margin"/>
        </v:shape>
      </w:pict>
    </w:r>
    <w:r w:rsidR="00EF59E3">
      <w:rPr>
        <w:color w:val="000000"/>
      </w:rPr>
      <w:tab/>
    </w:r>
  </w:p>
  <w:tbl>
    <w:tblPr>
      <w:tblStyle w:val="a1"/>
      <w:tblW w:w="7372"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3261"/>
      <w:gridCol w:w="4111"/>
    </w:tblGrid>
    <w:tr w:rsidR="00AF3127">
      <w:trPr>
        <w:trHeight w:val="138"/>
        <w:jc w:val="right"/>
      </w:trPr>
      <w:tc>
        <w:tcPr>
          <w:tcW w:w="3261" w:type="dxa"/>
          <w:vAlign w:val="center"/>
        </w:tcPr>
        <w:p w:rsidR="00AF3127" w:rsidRDefault="00EF59E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vAlign w:val="center"/>
        </w:tcPr>
        <w:p w:rsidR="00AF3127" w:rsidRDefault="00EF59E3">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02713/INFOEM/IP/RR/2025</w:t>
          </w:r>
        </w:p>
      </w:tc>
    </w:tr>
    <w:tr w:rsidR="00AF3127">
      <w:trPr>
        <w:trHeight w:val="233"/>
        <w:jc w:val="right"/>
      </w:trPr>
      <w:tc>
        <w:tcPr>
          <w:tcW w:w="3261" w:type="dxa"/>
          <w:vAlign w:val="center"/>
        </w:tcPr>
        <w:p w:rsidR="00AF3127" w:rsidRDefault="00EF59E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tcPr>
        <w:p w:rsidR="00AF3127" w:rsidRDefault="00AF3127">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2"/>
              <w:szCs w:val="22"/>
            </w:rPr>
          </w:pPr>
        </w:p>
      </w:tc>
    </w:tr>
    <w:tr w:rsidR="00AF3127">
      <w:trPr>
        <w:trHeight w:val="321"/>
        <w:jc w:val="right"/>
      </w:trPr>
      <w:tc>
        <w:tcPr>
          <w:tcW w:w="3261" w:type="dxa"/>
          <w:vAlign w:val="center"/>
        </w:tcPr>
        <w:p w:rsidR="00AF3127" w:rsidRDefault="00EF59E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vAlign w:val="center"/>
        </w:tcPr>
        <w:p w:rsidR="00AF3127" w:rsidRDefault="00EF59E3">
          <w:pPr>
            <w:pBdr>
              <w:top w:val="nil"/>
              <w:left w:val="nil"/>
              <w:bottom w:val="nil"/>
              <w:right w:val="nil"/>
              <w:between w:val="nil"/>
            </w:pBdr>
            <w:tabs>
              <w:tab w:val="center" w:pos="4252"/>
              <w:tab w:val="right" w:pos="8504"/>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Ixtapan de la Sal</w:t>
          </w:r>
        </w:p>
      </w:tc>
    </w:tr>
    <w:tr w:rsidR="00AF3127">
      <w:trPr>
        <w:trHeight w:val="321"/>
        <w:jc w:val="right"/>
      </w:trPr>
      <w:tc>
        <w:tcPr>
          <w:tcW w:w="3261" w:type="dxa"/>
          <w:vAlign w:val="center"/>
        </w:tcPr>
        <w:p w:rsidR="00AF3127" w:rsidRDefault="00EF59E3">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vAlign w:val="center"/>
        </w:tcPr>
        <w:p w:rsidR="00AF3127" w:rsidRDefault="00EF59E3">
          <w:pPr>
            <w:pBdr>
              <w:top w:val="nil"/>
              <w:left w:val="nil"/>
              <w:bottom w:val="nil"/>
              <w:right w:val="nil"/>
              <w:between w:val="nil"/>
            </w:pBdr>
            <w:tabs>
              <w:tab w:val="center" w:pos="4252"/>
              <w:tab w:val="right" w:pos="8504"/>
            </w:tabs>
            <w:ind w:left="33"/>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María del Rosario Mejía Ayala</w:t>
          </w:r>
        </w:p>
      </w:tc>
    </w:tr>
  </w:tbl>
  <w:p w:rsidR="00AF3127" w:rsidRDefault="00AF3127">
    <w:pPr>
      <w:pBdr>
        <w:top w:val="nil"/>
        <w:left w:val="nil"/>
        <w:bottom w:val="nil"/>
        <w:right w:val="nil"/>
        <w:between w:val="nil"/>
      </w:pBdr>
      <w:tabs>
        <w:tab w:val="center" w:pos="4252"/>
        <w:tab w:val="right" w:pos="8504"/>
        <w:tab w:val="left" w:pos="3103"/>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B44528"/>
    <w:multiLevelType w:val="multilevel"/>
    <w:tmpl w:val="BF12B90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7895901"/>
    <w:multiLevelType w:val="multilevel"/>
    <w:tmpl w:val="852A0F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C1E28"/>
    <w:multiLevelType w:val="multilevel"/>
    <w:tmpl w:val="2CEA58A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27"/>
    <w:rsid w:val="00234CCA"/>
    <w:rsid w:val="00346A5C"/>
    <w:rsid w:val="003E6DB2"/>
    <w:rsid w:val="00534B1F"/>
    <w:rsid w:val="006E5A4D"/>
    <w:rsid w:val="00786E9D"/>
    <w:rsid w:val="007B201A"/>
    <w:rsid w:val="009E47F0"/>
    <w:rsid w:val="00AF3127"/>
    <w:rsid w:val="00B86413"/>
    <w:rsid w:val="00EF59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E65DE0B-A44D-42BC-B2B9-CA2874872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9BDNYLr+z0NbLh6Q4pTlTUfplA==">CgMxLjAyDmguOHYwenBtYmVpM3YxMg5oLnJjems1dnozaXR6bjIOaC4yamZ2YmF5cWYxaXEyDmgudjA3Z3J3anRjamo0Mg5oLnFrbG9nMWk2YjM5eTIOaC5uYmVoYzNhZWt4OHgyDmguZW1sNGo0djk1bjk4Mg5oLnZqODk3am5pcTJncjIOaC5vN2VjMXE2eHJ6b2EyDmgubTVjcm5tdmV5dmpyMg5oLjcwcXRrbW52MDM2cDIOaC5seDJtbmw4eGtsMjcyDmguMXV5ZGNjcmQzbHd6Mg5oLmt1cXMyNzllYzFnMDgAciExaEd5dUlpU1l3Rm1VM2dIU2Vyb0J5WXJHZ2xjWTRjV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4250</Words>
  <Characters>23375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INFOEM416</cp:lastModifiedBy>
  <cp:revision>4</cp:revision>
  <cp:lastPrinted>2025-04-03T18:24:00Z</cp:lastPrinted>
  <dcterms:created xsi:type="dcterms:W3CDTF">2025-03-31T19:24:00Z</dcterms:created>
  <dcterms:modified xsi:type="dcterms:W3CDTF">2025-04-03T18:24:00Z</dcterms:modified>
</cp:coreProperties>
</file>