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EED57" w14:textId="77777777" w:rsidR="0034190F" w:rsidRDefault="0034190F">
      <w:pPr>
        <w:widowControl w:val="0"/>
        <w:pBdr>
          <w:top w:val="nil"/>
          <w:left w:val="nil"/>
          <w:bottom w:val="nil"/>
          <w:right w:val="nil"/>
          <w:between w:val="nil"/>
        </w:pBdr>
        <w:spacing w:line="276" w:lineRule="auto"/>
      </w:pPr>
    </w:p>
    <w:p w14:paraId="5E0EED58" w14:textId="77777777" w:rsidR="0034190F" w:rsidRPr="003A2146" w:rsidRDefault="005A1AAD">
      <w:pPr>
        <w:tabs>
          <w:tab w:val="left" w:pos="3465"/>
        </w:tabs>
        <w:spacing w:line="360" w:lineRule="auto"/>
        <w:ind w:right="-787"/>
        <w:jc w:val="both"/>
        <w:rPr>
          <w:rFonts w:ascii="Palatino Linotype" w:eastAsia="Palatino Linotype" w:hAnsi="Palatino Linotype" w:cs="Palatino Linotype"/>
        </w:rPr>
      </w:pPr>
      <w:r w:rsidRPr="003A2146">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seis (06) de marzo de dos mil veinticinco.</w:t>
      </w:r>
    </w:p>
    <w:p w14:paraId="5E0EED59" w14:textId="77777777" w:rsidR="0034190F" w:rsidRPr="003A2146" w:rsidRDefault="0034190F">
      <w:pPr>
        <w:tabs>
          <w:tab w:val="left" w:pos="3465"/>
        </w:tabs>
        <w:spacing w:line="360" w:lineRule="auto"/>
        <w:ind w:right="-787"/>
        <w:jc w:val="both"/>
        <w:rPr>
          <w:rFonts w:ascii="Palatino Linotype" w:eastAsia="Palatino Linotype" w:hAnsi="Palatino Linotype" w:cs="Palatino Linotype"/>
        </w:rPr>
      </w:pPr>
    </w:p>
    <w:p w14:paraId="5E0EED5A" w14:textId="4CF4A8FB" w:rsidR="0034190F" w:rsidRPr="003A2146" w:rsidRDefault="005A1AAD">
      <w:pPr>
        <w:spacing w:line="360" w:lineRule="auto"/>
        <w:ind w:right="-787"/>
        <w:jc w:val="both"/>
        <w:rPr>
          <w:rFonts w:ascii="Palatino Linotype" w:eastAsia="Palatino Linotype" w:hAnsi="Palatino Linotype" w:cs="Palatino Linotype"/>
          <w:b/>
        </w:rPr>
      </w:pPr>
      <w:r w:rsidRPr="003A2146">
        <w:rPr>
          <w:rFonts w:ascii="Palatino Linotype" w:eastAsia="Palatino Linotype" w:hAnsi="Palatino Linotype" w:cs="Palatino Linotype"/>
          <w:b/>
        </w:rPr>
        <w:t xml:space="preserve">VISTAS </w:t>
      </w:r>
      <w:r w:rsidRPr="003A2146">
        <w:rPr>
          <w:rFonts w:ascii="Palatino Linotype" w:eastAsia="Palatino Linotype" w:hAnsi="Palatino Linotype" w:cs="Palatino Linotype"/>
        </w:rPr>
        <w:t xml:space="preserve">las constancias para resolver </w:t>
      </w:r>
      <w:r w:rsidRPr="003A2146">
        <w:rPr>
          <w:rFonts w:ascii="Palatino Linotype" w:eastAsia="Palatino Linotype" w:hAnsi="Palatino Linotype" w:cs="Palatino Linotype"/>
          <w:color w:val="000000"/>
        </w:rPr>
        <w:t xml:space="preserve">el Recurso de Revisión </w:t>
      </w:r>
      <w:r w:rsidRPr="003A2146">
        <w:rPr>
          <w:rFonts w:ascii="Palatino Linotype" w:eastAsia="Palatino Linotype" w:hAnsi="Palatino Linotype" w:cs="Palatino Linotype"/>
          <w:b/>
          <w:bCs/>
          <w:color w:val="000000"/>
        </w:rPr>
        <w:t>02943/INFOEM/IP/RR/2024,</w:t>
      </w:r>
      <w:r w:rsidRPr="003A2146">
        <w:rPr>
          <w:rFonts w:ascii="Palatino Linotype" w:eastAsia="Palatino Linotype" w:hAnsi="Palatino Linotype" w:cs="Palatino Linotype"/>
          <w:color w:val="000000"/>
        </w:rPr>
        <w:t xml:space="preserve"> promovido por </w:t>
      </w:r>
      <w:r w:rsidR="00A207EF">
        <w:rPr>
          <w:rFonts w:ascii="Palatino Linotype" w:eastAsia="Palatino Linotype" w:hAnsi="Palatino Linotype" w:cs="Palatino Linotype"/>
          <w:b/>
          <w:color w:val="000000"/>
        </w:rPr>
        <w:t>XXXX</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rPr>
        <w:t>en lo sucesivo se denominará el</w:t>
      </w:r>
      <w:r w:rsidRPr="003A2146">
        <w:rPr>
          <w:rFonts w:ascii="Palatino Linotype" w:eastAsia="Palatino Linotype" w:hAnsi="Palatino Linotype" w:cs="Palatino Linotype"/>
          <w:b/>
        </w:rPr>
        <w:t xml:space="preserve"> RECURRENTE</w:t>
      </w:r>
      <w:r w:rsidRPr="003A2146">
        <w:rPr>
          <w:rFonts w:ascii="Palatino Linotype" w:eastAsia="Palatino Linotype" w:hAnsi="Palatino Linotype" w:cs="Palatino Linotype"/>
        </w:rPr>
        <w:t xml:space="preserve">, en contra de la respuesta otorgada a la solicitud de información </w:t>
      </w:r>
      <w:r w:rsidRPr="003A2146">
        <w:rPr>
          <w:rFonts w:ascii="Palatino Linotype" w:eastAsia="Palatino Linotype" w:hAnsi="Palatino Linotype" w:cs="Palatino Linotype"/>
          <w:b/>
        </w:rPr>
        <w:t>00216/TULTITLA/IP/2024</w:t>
      </w:r>
      <w:r w:rsidRPr="003A2146">
        <w:rPr>
          <w:rFonts w:ascii="Palatino Linotype" w:eastAsia="Palatino Linotype" w:hAnsi="Palatino Linotype" w:cs="Palatino Linotype"/>
        </w:rPr>
        <w:t xml:space="preserve">, por parte del </w:t>
      </w:r>
      <w:r w:rsidRPr="003A2146">
        <w:rPr>
          <w:rFonts w:ascii="Palatino Linotype" w:eastAsia="Palatino Linotype" w:hAnsi="Palatino Linotype" w:cs="Palatino Linotype"/>
          <w:b/>
        </w:rPr>
        <w:t xml:space="preserve">Ayuntamiento de Tultitlán, </w:t>
      </w:r>
      <w:r w:rsidRPr="003A2146">
        <w:rPr>
          <w:rFonts w:ascii="Palatino Linotype" w:eastAsia="Palatino Linotype" w:hAnsi="Palatino Linotype" w:cs="Palatino Linotype"/>
        </w:rPr>
        <w:t xml:space="preserve">en adelante el </w:t>
      </w:r>
      <w:r w:rsidRPr="003A2146">
        <w:rPr>
          <w:rFonts w:ascii="Palatino Linotype" w:eastAsia="Palatino Linotype" w:hAnsi="Palatino Linotype" w:cs="Palatino Linotype"/>
          <w:b/>
        </w:rPr>
        <w:t>SUJETO OBLIGADO,</w:t>
      </w:r>
      <w:r w:rsidRPr="003A2146">
        <w:rPr>
          <w:rFonts w:ascii="Palatino Linotype" w:eastAsia="Palatino Linotype" w:hAnsi="Palatino Linotype" w:cs="Palatino Linotype"/>
        </w:rPr>
        <w:t xml:space="preserve"> se emite la presente resolución con base en los siguientes:</w:t>
      </w:r>
    </w:p>
    <w:p w14:paraId="5E0EED5B" w14:textId="77777777" w:rsidR="0034190F" w:rsidRPr="003A2146" w:rsidRDefault="0034190F">
      <w:pPr>
        <w:spacing w:line="360" w:lineRule="auto"/>
        <w:ind w:right="-787"/>
        <w:jc w:val="both"/>
        <w:rPr>
          <w:rFonts w:ascii="Palatino Linotype" w:eastAsia="Palatino Linotype" w:hAnsi="Palatino Linotype" w:cs="Palatino Linotype"/>
        </w:rPr>
      </w:pPr>
    </w:p>
    <w:p w14:paraId="5E0EED5C" w14:textId="77777777" w:rsidR="0034190F" w:rsidRPr="003A2146" w:rsidRDefault="005A1AAD">
      <w:pPr>
        <w:pStyle w:val="Ttulo1"/>
        <w:spacing w:before="0" w:line="360" w:lineRule="auto"/>
        <w:ind w:right="-787"/>
        <w:jc w:val="center"/>
        <w:rPr>
          <w:rFonts w:ascii="Palatino Linotype" w:eastAsia="Palatino Linotype" w:hAnsi="Palatino Linotype" w:cs="Palatino Linotype"/>
          <w:b/>
          <w:color w:val="000000"/>
          <w:sz w:val="24"/>
          <w:szCs w:val="24"/>
        </w:rPr>
      </w:pPr>
      <w:bookmarkStart w:id="0" w:name="_heading=h.gjdgxs" w:colFirst="0" w:colLast="0"/>
      <w:bookmarkEnd w:id="0"/>
      <w:r w:rsidRPr="003A2146">
        <w:rPr>
          <w:rFonts w:ascii="Palatino Linotype" w:eastAsia="Palatino Linotype" w:hAnsi="Palatino Linotype" w:cs="Palatino Linotype"/>
          <w:b/>
          <w:color w:val="000000"/>
          <w:sz w:val="24"/>
          <w:szCs w:val="24"/>
        </w:rPr>
        <w:t>A N T E C E D E N T E S</w:t>
      </w:r>
    </w:p>
    <w:p w14:paraId="5E0EED5D" w14:textId="77777777" w:rsidR="0034190F" w:rsidRPr="003A2146" w:rsidRDefault="0034190F">
      <w:pPr>
        <w:pBdr>
          <w:top w:val="nil"/>
          <w:left w:val="nil"/>
          <w:bottom w:val="nil"/>
          <w:right w:val="nil"/>
          <w:between w:val="nil"/>
        </w:pBdr>
        <w:spacing w:line="360" w:lineRule="auto"/>
        <w:ind w:left="720" w:right="-787"/>
        <w:jc w:val="both"/>
        <w:rPr>
          <w:rFonts w:ascii="Palatino Linotype" w:eastAsia="Palatino Linotype" w:hAnsi="Palatino Linotype" w:cs="Palatino Linotype"/>
          <w:b/>
          <w:color w:val="000000"/>
          <w:u w:val="single"/>
        </w:rPr>
      </w:pPr>
    </w:p>
    <w:p w14:paraId="5E0EED5E" w14:textId="77777777" w:rsidR="0034190F" w:rsidRPr="003A2146" w:rsidRDefault="005A1AAD">
      <w:pPr>
        <w:numPr>
          <w:ilvl w:val="0"/>
          <w:numId w:val="1"/>
        </w:numPr>
        <w:pBdr>
          <w:top w:val="nil"/>
          <w:left w:val="nil"/>
          <w:bottom w:val="nil"/>
          <w:right w:val="nil"/>
          <w:between w:val="nil"/>
        </w:pBdr>
        <w:tabs>
          <w:tab w:val="left" w:pos="0"/>
        </w:tabs>
        <w:spacing w:line="360" w:lineRule="auto"/>
        <w:ind w:left="0" w:right="-787" w:firstLine="0"/>
        <w:jc w:val="both"/>
      </w:pPr>
      <w:r w:rsidRPr="003A2146">
        <w:rPr>
          <w:rFonts w:ascii="Palatino Linotype" w:eastAsia="Palatino Linotype" w:hAnsi="Palatino Linotype" w:cs="Palatino Linotype"/>
          <w:color w:val="000000"/>
        </w:rPr>
        <w:t xml:space="preserve">El </w:t>
      </w:r>
      <w:r w:rsidRPr="003A2146">
        <w:rPr>
          <w:rFonts w:ascii="Palatino Linotype" w:eastAsia="Palatino Linotype" w:hAnsi="Palatino Linotype" w:cs="Palatino Linotype"/>
          <w:b/>
          <w:color w:val="000000"/>
        </w:rPr>
        <w:t>dos de abril de dos mil veinticuatro</w:t>
      </w:r>
      <w:r w:rsidRPr="003A2146">
        <w:rPr>
          <w:rFonts w:ascii="Palatino Linotype" w:eastAsia="Palatino Linotype" w:hAnsi="Palatino Linotype" w:cs="Palatino Linotype"/>
          <w:color w:val="000000"/>
        </w:rPr>
        <w:t>,</w:t>
      </w:r>
      <w:r w:rsidRPr="003A2146">
        <w:rPr>
          <w:rFonts w:ascii="Palatino Linotype" w:eastAsia="Palatino Linotype" w:hAnsi="Palatino Linotype" w:cs="Palatino Linotype"/>
          <w:b/>
          <w:color w:val="000000"/>
        </w:rPr>
        <w:t xml:space="preserve"> </w:t>
      </w:r>
      <w:r w:rsidRPr="003A2146">
        <w:rPr>
          <w:rFonts w:ascii="Palatino Linotype" w:eastAsia="Palatino Linotype" w:hAnsi="Palatino Linotype" w:cs="Palatino Linotype"/>
          <w:color w:val="000000"/>
        </w:rPr>
        <w:t>se presentó ante el Sujeto Obligado a través del Sistema de Acceso a la Información Mexiquense (SAIMEX), la siguiente solicitud de información pública:</w:t>
      </w:r>
    </w:p>
    <w:p w14:paraId="5E0EED5F" w14:textId="77777777" w:rsidR="0034190F" w:rsidRPr="003A2146" w:rsidRDefault="0034190F">
      <w:pPr>
        <w:pBdr>
          <w:top w:val="nil"/>
          <w:left w:val="nil"/>
          <w:bottom w:val="nil"/>
          <w:right w:val="nil"/>
          <w:between w:val="nil"/>
        </w:pBdr>
        <w:ind w:right="-787"/>
        <w:jc w:val="both"/>
        <w:rPr>
          <w:rFonts w:ascii="Palatino Linotype" w:eastAsia="Palatino Linotype" w:hAnsi="Palatino Linotype" w:cs="Palatino Linotype"/>
          <w:color w:val="000000"/>
        </w:rPr>
      </w:pPr>
    </w:p>
    <w:p w14:paraId="5E0EED60" w14:textId="77777777" w:rsidR="0034190F" w:rsidRPr="003A2146" w:rsidRDefault="005A1AAD">
      <w:pPr>
        <w:pBdr>
          <w:top w:val="nil"/>
          <w:left w:val="nil"/>
          <w:bottom w:val="nil"/>
          <w:right w:val="nil"/>
          <w:between w:val="nil"/>
        </w:pBdr>
        <w:ind w:left="567" w:right="-787"/>
        <w:jc w:val="both"/>
        <w:rPr>
          <w:rFonts w:ascii="Palatino Linotype" w:eastAsia="Palatino Linotype" w:hAnsi="Palatino Linotype" w:cs="Palatino Linotype"/>
          <w:i/>
          <w:color w:val="000000"/>
        </w:rPr>
      </w:pPr>
      <w:r w:rsidRPr="003A2146">
        <w:rPr>
          <w:rFonts w:ascii="Palatino Linotype" w:eastAsia="Palatino Linotype" w:hAnsi="Palatino Linotype" w:cs="Palatino Linotype"/>
          <w:i/>
          <w:color w:val="000000"/>
        </w:rPr>
        <w:t xml:space="preserve">“Solicito la siguiente información: 1. Se me informe si existe procedimiento administrativo por los trabajos de construcción del inmueble ubicado en Calle Ignacio Comonfort, esquina con Calle Cerrada de Ignacio Comonfort sin número, Barrio San Juan Tultitlán, Estado de México, en caso de existir, se me informe el estatus del mismo. 2. Se me informe si existe Licencia de construcción vigente para los trabajos de construcción del inmueble ubicado en Calle Ignacio Comonfort, esquina con Calle Cerrada de Ignacio Comonfort sin número, Barrio San Juan Tultitlán, Estado de México, en caso de existir, se me proporcione copia de la misma en versión pública. 3. Se me informe si existe Licencia de Uso de Suelo vigente para el inmueble ubicado en Calle Ignacio Comonfort, esquina con Calle Cerrada de Ignacio Comonfort sin número, Barrio San Juan Tultitlán, Estado de México, misma que </w:t>
      </w:r>
      <w:proofErr w:type="spellStart"/>
      <w:r w:rsidRPr="003A2146">
        <w:rPr>
          <w:rFonts w:ascii="Palatino Linotype" w:eastAsia="Palatino Linotype" w:hAnsi="Palatino Linotype" w:cs="Palatino Linotype"/>
          <w:i/>
          <w:color w:val="000000"/>
        </w:rPr>
        <w:t>debío</w:t>
      </w:r>
      <w:proofErr w:type="spellEnd"/>
      <w:r w:rsidRPr="003A2146">
        <w:rPr>
          <w:rFonts w:ascii="Palatino Linotype" w:eastAsia="Palatino Linotype" w:hAnsi="Palatino Linotype" w:cs="Palatino Linotype"/>
          <w:i/>
          <w:color w:val="000000"/>
        </w:rPr>
        <w:t xml:space="preserve"> ser requisito para la probable emisión de la correspondiente licencia de construcción, en caso de existir, se me proporcione copia de la </w:t>
      </w:r>
      <w:r w:rsidRPr="003A2146">
        <w:rPr>
          <w:rFonts w:ascii="Palatino Linotype" w:eastAsia="Palatino Linotype" w:hAnsi="Palatino Linotype" w:cs="Palatino Linotype"/>
          <w:i/>
          <w:color w:val="000000"/>
        </w:rPr>
        <w:lastRenderedPageBreak/>
        <w:t xml:space="preserve">misma en versión pública. 4. Se me informe si existe Constancia de </w:t>
      </w:r>
      <w:proofErr w:type="spellStart"/>
      <w:r w:rsidRPr="003A2146">
        <w:rPr>
          <w:rFonts w:ascii="Palatino Linotype" w:eastAsia="Palatino Linotype" w:hAnsi="Palatino Linotype" w:cs="Palatino Linotype"/>
          <w:i/>
          <w:color w:val="000000"/>
        </w:rPr>
        <w:t>alinemainto</w:t>
      </w:r>
      <w:proofErr w:type="spellEnd"/>
      <w:r w:rsidRPr="003A2146">
        <w:rPr>
          <w:rFonts w:ascii="Palatino Linotype" w:eastAsia="Palatino Linotype" w:hAnsi="Palatino Linotype" w:cs="Palatino Linotype"/>
          <w:i/>
          <w:color w:val="000000"/>
        </w:rPr>
        <w:t xml:space="preserve"> vigente para el inmueble ubicado en Calle Ignacio Comonfort, esquina con Calle Cerrada de Ignacio Comonfort sin número, Barrio San Juan Tultitlán, Estado de México, en caso de ser </w:t>
      </w:r>
      <w:proofErr w:type="spellStart"/>
      <w:r w:rsidRPr="003A2146">
        <w:rPr>
          <w:rFonts w:ascii="Palatino Linotype" w:eastAsia="Palatino Linotype" w:hAnsi="Palatino Linotype" w:cs="Palatino Linotype"/>
          <w:i/>
          <w:color w:val="000000"/>
        </w:rPr>
        <w:t>asi</w:t>
      </w:r>
      <w:proofErr w:type="spellEnd"/>
      <w:r w:rsidRPr="003A2146">
        <w:rPr>
          <w:rFonts w:ascii="Palatino Linotype" w:eastAsia="Palatino Linotype" w:hAnsi="Palatino Linotype" w:cs="Palatino Linotype"/>
          <w:i/>
          <w:color w:val="000000"/>
        </w:rPr>
        <w:t xml:space="preserve">, se me proporcione copia de la misma en versión pública. 5. Se me informe si se han llevado a cabo inspecciones donde se vigile el cumplimiento de las normas contenidas en el Plan Municipal de Desarrollo Urbano vigente relativas a Coeficientes de Ocupación (COS), Coeficientes de Utilización (CUS), Área libre, Cajones de estacionamiento, altura y restricciones de </w:t>
      </w:r>
      <w:proofErr w:type="spellStart"/>
      <w:r w:rsidRPr="003A2146">
        <w:rPr>
          <w:rFonts w:ascii="Palatino Linotype" w:eastAsia="Palatino Linotype" w:hAnsi="Palatino Linotype" w:cs="Palatino Linotype"/>
          <w:i/>
          <w:color w:val="000000"/>
        </w:rPr>
        <w:t>construccion</w:t>
      </w:r>
      <w:proofErr w:type="spellEnd"/>
      <w:r w:rsidRPr="003A2146">
        <w:rPr>
          <w:rFonts w:ascii="Palatino Linotype" w:eastAsia="Palatino Linotype" w:hAnsi="Palatino Linotype" w:cs="Palatino Linotype"/>
          <w:i/>
          <w:color w:val="000000"/>
        </w:rPr>
        <w:t xml:space="preserve"> del predio con respecto a la vía pública, para los trabajos de construcción del inmueble ubicado en Calle Ignacio Comonfort, esquina con Calle Cerrada de Ignacio Comonfort sin número, Barrio San Juan Tultitlán, Estado de México, en caso de ser así, se nos informe por que hay en proceso trabajos de construcción en la restricción de construcción por vía pública.” (Sic)</w:t>
      </w:r>
    </w:p>
    <w:p w14:paraId="5E0EED61" w14:textId="77777777" w:rsidR="0034190F" w:rsidRPr="003A2146" w:rsidRDefault="0034190F">
      <w:pPr>
        <w:spacing w:line="360" w:lineRule="auto"/>
        <w:ind w:right="-787"/>
        <w:jc w:val="both"/>
        <w:rPr>
          <w:rFonts w:ascii="Palatino Linotype" w:eastAsia="Palatino Linotype" w:hAnsi="Palatino Linotype" w:cs="Palatino Linotype"/>
        </w:rPr>
      </w:pPr>
    </w:p>
    <w:p w14:paraId="5E0EED62" w14:textId="77777777" w:rsidR="0034190F" w:rsidRPr="003A2146" w:rsidRDefault="005A1AAD">
      <w:pPr>
        <w:numPr>
          <w:ilvl w:val="0"/>
          <w:numId w:val="7"/>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sidRPr="003A2146">
        <w:rPr>
          <w:rFonts w:ascii="Palatino Linotype" w:eastAsia="Palatino Linotype" w:hAnsi="Palatino Linotype" w:cs="Palatino Linotype"/>
          <w:color w:val="000000"/>
        </w:rPr>
        <w:t xml:space="preserve">Se eligió como modalidad de entrega de la información: A través del </w:t>
      </w:r>
      <w:r w:rsidRPr="003A2146">
        <w:rPr>
          <w:rFonts w:ascii="Palatino Linotype" w:eastAsia="Palatino Linotype" w:hAnsi="Palatino Linotype" w:cs="Palatino Linotype"/>
          <w:b/>
          <w:color w:val="000000"/>
        </w:rPr>
        <w:t>SAIMEX.</w:t>
      </w:r>
    </w:p>
    <w:p w14:paraId="5E0EED63" w14:textId="77777777" w:rsidR="0034190F" w:rsidRPr="003A2146" w:rsidRDefault="0034190F">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5E0EED64" w14:textId="77777777" w:rsidR="0034190F" w:rsidRPr="003A2146" w:rsidRDefault="005A1AAD">
      <w:pPr>
        <w:numPr>
          <w:ilvl w:val="0"/>
          <w:numId w:val="1"/>
        </w:numPr>
        <w:pBdr>
          <w:top w:val="nil"/>
          <w:left w:val="nil"/>
          <w:bottom w:val="nil"/>
          <w:right w:val="nil"/>
          <w:between w:val="nil"/>
        </w:pBdr>
        <w:tabs>
          <w:tab w:val="left" w:pos="0"/>
        </w:tabs>
        <w:spacing w:line="360" w:lineRule="auto"/>
        <w:ind w:left="0" w:right="-787" w:firstLine="0"/>
        <w:jc w:val="both"/>
      </w:pPr>
      <w:r w:rsidRPr="003A2146">
        <w:rPr>
          <w:rFonts w:ascii="Palatino Linotype" w:eastAsia="Palatino Linotype" w:hAnsi="Palatino Linotype" w:cs="Palatino Linotype"/>
          <w:color w:val="000000"/>
        </w:rPr>
        <w:t xml:space="preserve">El </w:t>
      </w:r>
      <w:r w:rsidRPr="003A2146">
        <w:rPr>
          <w:rFonts w:ascii="Palatino Linotype" w:eastAsia="Palatino Linotype" w:hAnsi="Palatino Linotype" w:cs="Palatino Linotype"/>
          <w:b/>
          <w:color w:val="000000"/>
        </w:rPr>
        <w:t>diecinueve de abril de dos mil veinticuatro</w:t>
      </w:r>
      <w:r w:rsidRPr="003A2146">
        <w:rPr>
          <w:rFonts w:ascii="Palatino Linotype" w:eastAsia="Palatino Linotype" w:hAnsi="Palatino Linotype" w:cs="Palatino Linotype"/>
          <w:color w:val="000000"/>
        </w:rPr>
        <w:t>, el Sujeto Obligado notifica la prórroga por 7 días más para atender la solicitud de información.</w:t>
      </w:r>
    </w:p>
    <w:p w14:paraId="5E0EED65" w14:textId="77777777" w:rsidR="0034190F" w:rsidRPr="003A2146" w:rsidRDefault="0034190F">
      <w:pPr>
        <w:pBdr>
          <w:top w:val="nil"/>
          <w:left w:val="nil"/>
          <w:bottom w:val="nil"/>
          <w:right w:val="nil"/>
          <w:between w:val="nil"/>
        </w:pBdr>
        <w:tabs>
          <w:tab w:val="left" w:pos="0"/>
        </w:tabs>
        <w:spacing w:line="360" w:lineRule="auto"/>
        <w:ind w:right="-787"/>
        <w:jc w:val="both"/>
        <w:rPr>
          <w:color w:val="000000"/>
        </w:rPr>
      </w:pPr>
    </w:p>
    <w:p w14:paraId="5E0EED66" w14:textId="77777777" w:rsidR="0034190F" w:rsidRPr="003A2146" w:rsidRDefault="005A1AAD">
      <w:pPr>
        <w:numPr>
          <w:ilvl w:val="0"/>
          <w:numId w:val="1"/>
        </w:numPr>
        <w:pBdr>
          <w:top w:val="nil"/>
          <w:left w:val="nil"/>
          <w:bottom w:val="nil"/>
          <w:right w:val="nil"/>
          <w:between w:val="nil"/>
        </w:pBdr>
        <w:tabs>
          <w:tab w:val="left" w:pos="0"/>
        </w:tabs>
        <w:spacing w:line="360" w:lineRule="auto"/>
        <w:ind w:left="0" w:right="-787" w:firstLine="0"/>
        <w:jc w:val="both"/>
      </w:pPr>
      <w:r w:rsidRPr="003A2146">
        <w:rPr>
          <w:rFonts w:ascii="Palatino Linotype" w:eastAsia="Palatino Linotype" w:hAnsi="Palatino Linotype" w:cs="Palatino Linotype"/>
          <w:color w:val="000000"/>
        </w:rPr>
        <w:t>El</w:t>
      </w:r>
      <w:r w:rsidRPr="003A2146">
        <w:rPr>
          <w:rFonts w:ascii="Palatino Linotype" w:eastAsia="Palatino Linotype" w:hAnsi="Palatino Linotype" w:cs="Palatino Linotype"/>
          <w:b/>
          <w:color w:val="000000"/>
        </w:rPr>
        <w:t xml:space="preserve"> tres de mayo de dos mil veinticuatro</w:t>
      </w:r>
      <w:r w:rsidRPr="003A2146">
        <w:rPr>
          <w:rFonts w:ascii="Palatino Linotype" w:eastAsia="Palatino Linotype" w:hAnsi="Palatino Linotype" w:cs="Palatino Linotype"/>
          <w:color w:val="000000"/>
        </w:rPr>
        <w:t>, el Sujeto Obligado</w:t>
      </w:r>
      <w:r w:rsidRPr="003A2146">
        <w:rPr>
          <w:rFonts w:ascii="Palatino Linotype" w:eastAsia="Palatino Linotype" w:hAnsi="Palatino Linotype" w:cs="Palatino Linotype"/>
          <w:b/>
          <w:color w:val="000000"/>
        </w:rPr>
        <w:t>,</w:t>
      </w:r>
      <w:r w:rsidRPr="003A2146">
        <w:rPr>
          <w:rFonts w:ascii="Palatino Linotype" w:eastAsia="Palatino Linotype" w:hAnsi="Palatino Linotype" w:cs="Palatino Linotype"/>
          <w:color w:val="000000"/>
        </w:rPr>
        <w:t xml:space="preserve"> dio respuesta a través de los archivos digitales siguientes:</w:t>
      </w:r>
    </w:p>
    <w:p w14:paraId="5E0EED67" w14:textId="77777777" w:rsidR="0034190F" w:rsidRPr="003A2146" w:rsidRDefault="005A1AAD">
      <w:pPr>
        <w:pBdr>
          <w:top w:val="nil"/>
          <w:left w:val="nil"/>
          <w:bottom w:val="nil"/>
          <w:right w:val="nil"/>
          <w:between w:val="nil"/>
        </w:pBdr>
        <w:tabs>
          <w:tab w:val="left" w:pos="567"/>
        </w:tabs>
        <w:spacing w:line="360" w:lineRule="auto"/>
        <w:ind w:left="567" w:right="-220"/>
        <w:jc w:val="both"/>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PMDU TULTITLÁN JUN.pdf</w:t>
      </w:r>
    </w:p>
    <w:p w14:paraId="5E0EED68" w14:textId="77777777" w:rsidR="0034190F" w:rsidRPr="003A2146" w:rsidRDefault="005A1AAD">
      <w:pPr>
        <w:pBdr>
          <w:top w:val="nil"/>
          <w:left w:val="nil"/>
          <w:bottom w:val="nil"/>
          <w:right w:val="nil"/>
          <w:between w:val="nil"/>
        </w:pBdr>
        <w:tabs>
          <w:tab w:val="left" w:pos="567"/>
        </w:tabs>
        <w:spacing w:line="360" w:lineRule="auto"/>
        <w:ind w:left="567" w:right="-220"/>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Documento que contiene el Plan Municipal de Desarrollo Urbano de Tultitlán, Estado de México. 2019-2021</w:t>
      </w:r>
    </w:p>
    <w:p w14:paraId="5E0EED69" w14:textId="77777777" w:rsidR="0034190F" w:rsidRPr="003A2146" w:rsidRDefault="005A1AAD">
      <w:pPr>
        <w:pBdr>
          <w:top w:val="nil"/>
          <w:left w:val="nil"/>
          <w:bottom w:val="nil"/>
          <w:right w:val="nil"/>
          <w:between w:val="nil"/>
        </w:pBdr>
        <w:tabs>
          <w:tab w:val="left" w:pos="567"/>
        </w:tabs>
        <w:spacing w:line="360" w:lineRule="auto"/>
        <w:ind w:left="567" w:right="-220"/>
        <w:jc w:val="both"/>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S216 DE UR.pdf</w:t>
      </w:r>
    </w:p>
    <w:p w14:paraId="5E0EED6A" w14:textId="77777777" w:rsidR="0034190F" w:rsidRPr="003A2146" w:rsidRDefault="005A1AAD">
      <w:pPr>
        <w:pBdr>
          <w:top w:val="nil"/>
          <w:left w:val="nil"/>
          <w:bottom w:val="nil"/>
          <w:right w:val="nil"/>
          <w:between w:val="nil"/>
        </w:pBdr>
        <w:tabs>
          <w:tab w:val="left" w:pos="567"/>
        </w:tabs>
        <w:spacing w:line="360" w:lineRule="auto"/>
        <w:ind w:left="567" w:right="-220"/>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Documento que muestra la respuesta a cada punto de la solicitud.</w:t>
      </w:r>
    </w:p>
    <w:p w14:paraId="5E0EED6B" w14:textId="77777777" w:rsidR="0034190F" w:rsidRPr="003A2146" w:rsidRDefault="0034190F">
      <w:pPr>
        <w:pBdr>
          <w:top w:val="nil"/>
          <w:left w:val="nil"/>
          <w:bottom w:val="nil"/>
          <w:right w:val="nil"/>
          <w:between w:val="nil"/>
        </w:pBdr>
        <w:tabs>
          <w:tab w:val="left" w:pos="567"/>
        </w:tabs>
        <w:spacing w:line="360" w:lineRule="auto"/>
        <w:ind w:right="-787"/>
        <w:jc w:val="both"/>
        <w:rPr>
          <w:rFonts w:ascii="Palatino Linotype" w:eastAsia="Palatino Linotype" w:hAnsi="Palatino Linotype" w:cs="Palatino Linotype"/>
          <w:color w:val="000000"/>
        </w:rPr>
      </w:pPr>
    </w:p>
    <w:p w14:paraId="5E0EED6C" w14:textId="77777777" w:rsidR="0034190F" w:rsidRPr="003A2146" w:rsidRDefault="005A1AAD">
      <w:pPr>
        <w:numPr>
          <w:ilvl w:val="0"/>
          <w:numId w:val="1"/>
        </w:numPr>
        <w:pBdr>
          <w:top w:val="nil"/>
          <w:left w:val="nil"/>
          <w:bottom w:val="nil"/>
          <w:right w:val="nil"/>
          <w:between w:val="nil"/>
        </w:pBdr>
        <w:tabs>
          <w:tab w:val="left" w:pos="0"/>
        </w:tabs>
        <w:spacing w:line="360" w:lineRule="auto"/>
        <w:ind w:left="0" w:right="-787" w:firstLine="0"/>
        <w:jc w:val="both"/>
      </w:pPr>
      <w:r w:rsidRPr="003A2146">
        <w:rPr>
          <w:rFonts w:ascii="Palatino Linotype" w:eastAsia="Palatino Linotype" w:hAnsi="Palatino Linotype" w:cs="Palatino Linotype"/>
          <w:color w:val="000000"/>
        </w:rPr>
        <w:t>El</w:t>
      </w:r>
      <w:r w:rsidRPr="003A2146">
        <w:rPr>
          <w:rFonts w:ascii="Palatino Linotype" w:eastAsia="Palatino Linotype" w:hAnsi="Palatino Linotype" w:cs="Palatino Linotype"/>
          <w:b/>
          <w:color w:val="000000"/>
        </w:rPr>
        <w:t xml:space="preserve"> quince de mayo de dos mil veinticuatro</w:t>
      </w:r>
      <w:r w:rsidRPr="003A2146">
        <w:rPr>
          <w:rFonts w:ascii="Palatino Linotype" w:eastAsia="Palatino Linotype" w:hAnsi="Palatino Linotype" w:cs="Palatino Linotype"/>
          <w:color w:val="000000"/>
        </w:rPr>
        <w:t>, el particular interpuso el recurso de revisión en contra de la respuesta otorgada por el Sujeto Obligado, realizando las siguientes manifestaciones:</w:t>
      </w:r>
    </w:p>
    <w:p w14:paraId="5E0EED6D" w14:textId="77777777" w:rsidR="0034190F" w:rsidRPr="003A2146" w:rsidRDefault="005A1AAD">
      <w:pPr>
        <w:numPr>
          <w:ilvl w:val="0"/>
          <w:numId w:val="6"/>
        </w:numPr>
        <w:pBdr>
          <w:top w:val="nil"/>
          <w:left w:val="nil"/>
          <w:bottom w:val="nil"/>
          <w:right w:val="nil"/>
          <w:between w:val="nil"/>
        </w:pBdr>
        <w:ind w:right="-79"/>
        <w:jc w:val="both"/>
        <w:rPr>
          <w:rFonts w:ascii="Palatino Linotype" w:eastAsia="Palatino Linotype" w:hAnsi="Palatino Linotype" w:cs="Palatino Linotype"/>
          <w:i/>
          <w:color w:val="000000"/>
          <w:sz w:val="22"/>
          <w:szCs w:val="22"/>
        </w:rPr>
      </w:pPr>
      <w:bookmarkStart w:id="1" w:name="_heading=h.30j0zll" w:colFirst="0" w:colLast="0"/>
      <w:bookmarkEnd w:id="1"/>
      <w:r w:rsidRPr="003A2146">
        <w:rPr>
          <w:rFonts w:ascii="Palatino Linotype" w:eastAsia="Palatino Linotype" w:hAnsi="Palatino Linotype" w:cs="Palatino Linotype"/>
          <w:b/>
          <w:color w:val="000000"/>
          <w:sz w:val="22"/>
          <w:szCs w:val="22"/>
        </w:rPr>
        <w:lastRenderedPageBreak/>
        <w:t xml:space="preserve">Acto impugnado: </w:t>
      </w:r>
    </w:p>
    <w:p w14:paraId="5E0EED6E" w14:textId="77777777" w:rsidR="0034190F" w:rsidRPr="003A2146" w:rsidRDefault="005A1AAD">
      <w:pPr>
        <w:pBdr>
          <w:top w:val="nil"/>
          <w:left w:val="nil"/>
          <w:bottom w:val="nil"/>
          <w:right w:val="nil"/>
          <w:between w:val="nil"/>
        </w:pBdr>
        <w:ind w:left="1429" w:right="-79"/>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“Se me niega la información solicitada, refiriendo que </w:t>
      </w:r>
      <w:proofErr w:type="spellStart"/>
      <w:r w:rsidRPr="003A2146">
        <w:rPr>
          <w:rFonts w:ascii="Palatino Linotype" w:eastAsia="Palatino Linotype" w:hAnsi="Palatino Linotype" w:cs="Palatino Linotype"/>
          <w:i/>
          <w:color w:val="000000"/>
          <w:sz w:val="22"/>
          <w:szCs w:val="22"/>
        </w:rPr>
        <w:t>esta</w:t>
      </w:r>
      <w:proofErr w:type="spellEnd"/>
      <w:r w:rsidRPr="003A2146">
        <w:rPr>
          <w:rFonts w:ascii="Palatino Linotype" w:eastAsia="Palatino Linotype" w:hAnsi="Palatino Linotype" w:cs="Palatino Linotype"/>
          <w:i/>
          <w:color w:val="000000"/>
          <w:sz w:val="22"/>
          <w:szCs w:val="22"/>
        </w:rPr>
        <w:t xml:space="preserve"> disponible en el portal del IPOMEX, sin embargo no hay nada de información en dicha plataforma” (Sic)</w:t>
      </w:r>
    </w:p>
    <w:p w14:paraId="5E0EED6F" w14:textId="77777777" w:rsidR="0034190F" w:rsidRPr="003A2146" w:rsidRDefault="005A1AAD">
      <w:pPr>
        <w:numPr>
          <w:ilvl w:val="0"/>
          <w:numId w:val="6"/>
        </w:numPr>
        <w:pBdr>
          <w:top w:val="nil"/>
          <w:left w:val="nil"/>
          <w:bottom w:val="nil"/>
          <w:right w:val="nil"/>
          <w:between w:val="nil"/>
        </w:pBdr>
        <w:ind w:right="-79"/>
        <w:jc w:val="both"/>
        <w:rPr>
          <w:rFonts w:ascii="Palatino Linotype" w:eastAsia="Palatino Linotype" w:hAnsi="Palatino Linotype" w:cs="Palatino Linotype"/>
          <w:i/>
          <w:color w:val="000000"/>
          <w:sz w:val="22"/>
          <w:szCs w:val="22"/>
        </w:rPr>
      </w:pPr>
      <w:bookmarkStart w:id="2" w:name="_heading=h.1fob9te" w:colFirst="0" w:colLast="0"/>
      <w:bookmarkEnd w:id="2"/>
      <w:r w:rsidRPr="003A2146">
        <w:rPr>
          <w:rFonts w:ascii="Palatino Linotype" w:eastAsia="Palatino Linotype" w:hAnsi="Palatino Linotype" w:cs="Palatino Linotype"/>
          <w:b/>
          <w:color w:val="000000"/>
          <w:sz w:val="22"/>
          <w:szCs w:val="22"/>
        </w:rPr>
        <w:t>Razones o Motivos de inconformidad:</w:t>
      </w:r>
    </w:p>
    <w:p w14:paraId="5E0EED70" w14:textId="77777777" w:rsidR="0034190F" w:rsidRPr="003A2146" w:rsidRDefault="005A1AAD">
      <w:pPr>
        <w:pBdr>
          <w:top w:val="nil"/>
          <w:left w:val="nil"/>
          <w:bottom w:val="nil"/>
          <w:right w:val="nil"/>
          <w:between w:val="nil"/>
        </w:pBdr>
        <w:ind w:left="1429" w:right="-79"/>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“Me deja sin acceso a la información pública solicitada, misma que debe estar en su poder.” (Sic)</w:t>
      </w:r>
    </w:p>
    <w:p w14:paraId="5E0EED71" w14:textId="77777777" w:rsidR="0034190F" w:rsidRPr="003A2146" w:rsidRDefault="0034190F">
      <w:pPr>
        <w:pBdr>
          <w:top w:val="nil"/>
          <w:left w:val="nil"/>
          <w:bottom w:val="nil"/>
          <w:right w:val="nil"/>
          <w:between w:val="nil"/>
        </w:pBdr>
        <w:tabs>
          <w:tab w:val="left" w:pos="0"/>
        </w:tabs>
        <w:spacing w:line="360" w:lineRule="auto"/>
        <w:ind w:right="-79"/>
        <w:jc w:val="both"/>
        <w:rPr>
          <w:rFonts w:ascii="Palatino Linotype" w:eastAsia="Palatino Linotype" w:hAnsi="Palatino Linotype" w:cs="Palatino Linotype"/>
          <w:i/>
          <w:color w:val="000000"/>
          <w:sz w:val="22"/>
          <w:szCs w:val="22"/>
          <w:u w:val="single"/>
        </w:rPr>
      </w:pPr>
    </w:p>
    <w:p w14:paraId="5E0EED72" w14:textId="77777777" w:rsidR="0034190F" w:rsidRPr="003A2146" w:rsidRDefault="005A1AAD">
      <w:pPr>
        <w:numPr>
          <w:ilvl w:val="0"/>
          <w:numId w:val="1"/>
        </w:numPr>
        <w:pBdr>
          <w:top w:val="nil"/>
          <w:left w:val="nil"/>
          <w:bottom w:val="nil"/>
          <w:right w:val="nil"/>
          <w:between w:val="nil"/>
        </w:pBdr>
        <w:tabs>
          <w:tab w:val="left" w:pos="0"/>
        </w:tabs>
        <w:spacing w:line="360" w:lineRule="auto"/>
        <w:ind w:left="0" w:right="-787" w:firstLine="0"/>
        <w:jc w:val="both"/>
      </w:pPr>
      <w:r w:rsidRPr="003A2146">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sidRPr="003A2146">
        <w:rPr>
          <w:rFonts w:ascii="Palatino Linotype" w:eastAsia="Palatino Linotype" w:hAnsi="Palatino Linotype" w:cs="Palatino Linotype"/>
          <w:b/>
          <w:color w:val="000000"/>
        </w:rPr>
        <w:t xml:space="preserve">acuerdo de admisión </w:t>
      </w:r>
      <w:r w:rsidRPr="003A2146">
        <w:rPr>
          <w:rFonts w:ascii="Palatino Linotype" w:eastAsia="Palatino Linotype" w:hAnsi="Palatino Linotype" w:cs="Palatino Linotype"/>
          <w:color w:val="000000"/>
        </w:rPr>
        <w:t xml:space="preserve">de fecha </w:t>
      </w:r>
      <w:r w:rsidRPr="003A2146">
        <w:rPr>
          <w:rFonts w:ascii="Palatino Linotype" w:eastAsia="Palatino Linotype" w:hAnsi="Palatino Linotype" w:cs="Palatino Linotype"/>
          <w:b/>
          <w:color w:val="000000"/>
        </w:rPr>
        <w:t xml:space="preserve">veinte de mayo de dos mil veinticuatro, </w:t>
      </w:r>
      <w:r w:rsidRPr="003A2146">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3A2146">
        <w:rPr>
          <w:rFonts w:ascii="Palatino Linotype" w:eastAsia="Palatino Linotype" w:hAnsi="Palatino Linotype" w:cs="Palatino Linotype"/>
        </w:rPr>
        <w:t>manifestara</w:t>
      </w:r>
      <w:r w:rsidRPr="003A2146">
        <w:rPr>
          <w:rFonts w:ascii="Palatino Linotype" w:eastAsia="Palatino Linotype" w:hAnsi="Palatino Linotype" w:cs="Palatino Linotype"/>
          <w:color w:val="000000"/>
        </w:rPr>
        <w:t xml:space="preserve"> lo que a su derecho conviniera, </w:t>
      </w:r>
      <w:r w:rsidRPr="003A2146">
        <w:rPr>
          <w:rFonts w:ascii="Palatino Linotype" w:eastAsia="Palatino Linotype" w:hAnsi="Palatino Linotype" w:cs="Palatino Linotype"/>
        </w:rPr>
        <w:t>ofreciera</w:t>
      </w:r>
      <w:r w:rsidRPr="003A2146">
        <w:rPr>
          <w:rFonts w:ascii="Palatino Linotype" w:eastAsia="Palatino Linotype" w:hAnsi="Palatino Linotype" w:cs="Palatino Linotype"/>
          <w:color w:val="000000"/>
        </w:rPr>
        <w:t xml:space="preserve"> pruebas y alegatos según corresponda al caso concreto, de esta forma para que el </w:t>
      </w:r>
      <w:r w:rsidRPr="003A2146">
        <w:rPr>
          <w:rFonts w:ascii="Palatino Linotype" w:eastAsia="Palatino Linotype" w:hAnsi="Palatino Linotype" w:cs="Palatino Linotype"/>
          <w:b/>
          <w:color w:val="000000"/>
        </w:rPr>
        <w:t xml:space="preserve">SUJETO OBLIGADO </w:t>
      </w:r>
      <w:r w:rsidRPr="003A2146">
        <w:rPr>
          <w:rFonts w:ascii="Palatino Linotype" w:eastAsia="Palatino Linotype" w:hAnsi="Palatino Linotype" w:cs="Palatino Linotype"/>
        </w:rPr>
        <w:t>presentará</w:t>
      </w:r>
      <w:r w:rsidRPr="003A2146">
        <w:rPr>
          <w:rFonts w:ascii="Palatino Linotype" w:eastAsia="Palatino Linotype" w:hAnsi="Palatino Linotype" w:cs="Palatino Linotype"/>
          <w:color w:val="000000"/>
        </w:rPr>
        <w:t xml:space="preserve"> el Informe Justificado procedente.</w:t>
      </w:r>
    </w:p>
    <w:p w14:paraId="5E0EED73" w14:textId="77777777" w:rsidR="0034190F" w:rsidRPr="003A2146" w:rsidRDefault="0034190F">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14:paraId="5E0EED74"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rPr>
      </w:pPr>
      <w:r w:rsidRPr="003A2146">
        <w:rPr>
          <w:rFonts w:ascii="Palatino Linotype" w:eastAsia="Palatino Linotype" w:hAnsi="Palatino Linotype" w:cs="Palatino Linotype"/>
          <w:color w:val="000000"/>
        </w:rPr>
        <w:t>El Recurrente</w:t>
      </w:r>
      <w:r w:rsidRPr="003A2146">
        <w:rPr>
          <w:rFonts w:ascii="Palatino Linotype" w:eastAsia="Palatino Linotype" w:hAnsi="Palatino Linotype" w:cs="Palatino Linotype"/>
          <w:b/>
          <w:color w:val="000000"/>
        </w:rPr>
        <w:t xml:space="preserve"> </w:t>
      </w:r>
      <w:r w:rsidRPr="003A2146">
        <w:rPr>
          <w:rFonts w:ascii="Palatino Linotype" w:eastAsia="Palatino Linotype" w:hAnsi="Palatino Linotype" w:cs="Palatino Linotype"/>
          <w:color w:val="000000"/>
        </w:rPr>
        <w:t>dejó de realizar manifestaciones que a su derecho conviniera y asistiera. Por su parte, el Sujeto Obligado,</w:t>
      </w:r>
      <w:r w:rsidRPr="003A2146">
        <w:rPr>
          <w:rFonts w:ascii="Palatino Linotype" w:eastAsia="Palatino Linotype" w:hAnsi="Palatino Linotype" w:cs="Palatino Linotype"/>
          <w:b/>
          <w:color w:val="000000"/>
        </w:rPr>
        <w:t xml:space="preserve"> </w:t>
      </w:r>
      <w:r w:rsidRPr="003A2146">
        <w:rPr>
          <w:rFonts w:ascii="Palatino Linotype" w:eastAsia="Palatino Linotype" w:hAnsi="Palatino Linotype" w:cs="Palatino Linotype"/>
          <w:color w:val="000000"/>
        </w:rPr>
        <w:t>no presentó informe justificado, tal como se muestra en la siguiente captura de pantalla:</w:t>
      </w:r>
    </w:p>
    <w:p w14:paraId="5E0EED75" w14:textId="77777777" w:rsidR="0034190F" w:rsidRPr="003A2146" w:rsidRDefault="005A1AAD">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sidRPr="003A2146">
        <w:rPr>
          <w:rFonts w:ascii="Palatino Linotype" w:eastAsia="Palatino Linotype" w:hAnsi="Palatino Linotype" w:cs="Palatino Linotype"/>
          <w:b/>
          <w:noProof/>
          <w:color w:val="000000"/>
          <w:lang w:val="es-MX" w:eastAsia="es-MX"/>
        </w:rPr>
        <w:drawing>
          <wp:inline distT="0" distB="0" distL="0" distR="0" wp14:anchorId="5E0EEF55" wp14:editId="5E0EEF56">
            <wp:extent cx="5612130" cy="14986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12130" cy="1498600"/>
                    </a:xfrm>
                    <a:prstGeom prst="rect">
                      <a:avLst/>
                    </a:prstGeom>
                    <a:ln/>
                  </pic:spPr>
                </pic:pic>
              </a:graphicData>
            </a:graphic>
          </wp:inline>
        </w:drawing>
      </w:r>
    </w:p>
    <w:p w14:paraId="5E0EED76" w14:textId="77777777" w:rsidR="0034190F" w:rsidRPr="003A2146" w:rsidRDefault="0034190F">
      <w:pPr>
        <w:pBdr>
          <w:top w:val="nil"/>
          <w:left w:val="nil"/>
          <w:bottom w:val="nil"/>
          <w:right w:val="nil"/>
          <w:between w:val="nil"/>
        </w:pBdr>
        <w:spacing w:line="360" w:lineRule="auto"/>
        <w:ind w:right="-787"/>
        <w:jc w:val="center"/>
        <w:rPr>
          <w:rFonts w:ascii="Palatino Linotype" w:eastAsia="Palatino Linotype" w:hAnsi="Palatino Linotype" w:cs="Palatino Linotype"/>
          <w:b/>
        </w:rPr>
      </w:pPr>
    </w:p>
    <w:p w14:paraId="5E0EED77"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pPr>
      <w:r w:rsidRPr="003A2146">
        <w:rPr>
          <w:rFonts w:ascii="Palatino Linotype" w:eastAsia="Palatino Linotype" w:hAnsi="Palatino Linotype" w:cs="Palatino Linotype"/>
          <w:color w:val="000000"/>
        </w:rPr>
        <w:t xml:space="preserve">Este Órgano Garante no pasa por alto justificar, que la dilación en la resolución del presente asunto, encuentra justificación en el incremento de recursos de revisión a resolverse por este Instituto, circunstancia atípica que ha rebasado las capacidades técnicas y humanas </w:t>
      </w:r>
      <w:r w:rsidRPr="003A2146">
        <w:rPr>
          <w:rFonts w:ascii="Palatino Linotype" w:eastAsia="Palatino Linotype" w:hAnsi="Palatino Linotype" w:cs="Palatino Linotype"/>
          <w:color w:val="000000"/>
        </w:rPr>
        <w:lastRenderedPageBreak/>
        <w:t>para la emisión de las resoluciones a dichos medios de impugnación, motivo por el que el</w:t>
      </w:r>
      <w:r w:rsidRPr="003A2146">
        <w:rPr>
          <w:rFonts w:ascii="Palatino Linotype" w:eastAsia="Palatino Linotype" w:hAnsi="Palatino Linotype" w:cs="Palatino Linotype"/>
          <w:b/>
          <w:color w:val="000000"/>
        </w:rPr>
        <w:t xml:space="preserve"> catorce de agosto de dos mil veinticuatro</w:t>
      </w:r>
      <w:r w:rsidRPr="003A2146">
        <w:rPr>
          <w:rFonts w:ascii="Palatino Linotype" w:eastAsia="Palatino Linotype" w:hAnsi="Palatino Linotype" w:cs="Palatino Linotype"/>
          <w:color w:val="000000"/>
        </w:rPr>
        <w:t xml:space="preserve"> se acordó ampliar el término para resolver el presente asunto.</w:t>
      </w:r>
    </w:p>
    <w:p w14:paraId="5E0EED78" w14:textId="77777777" w:rsidR="0034190F" w:rsidRPr="003A2146" w:rsidRDefault="0034190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5E0EED79"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pPr>
      <w:r w:rsidRPr="003A2146">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E0EED7A" w14:textId="77777777" w:rsidR="0034190F" w:rsidRPr="003A2146" w:rsidRDefault="0034190F">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5E0EED7B"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pPr>
      <w:r w:rsidRPr="003A2146">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0EED7C" w14:textId="77777777" w:rsidR="0034190F" w:rsidRPr="003A2146" w:rsidRDefault="0034190F">
      <w:pPr>
        <w:pBdr>
          <w:top w:val="nil"/>
          <w:left w:val="nil"/>
          <w:bottom w:val="nil"/>
          <w:right w:val="nil"/>
          <w:between w:val="nil"/>
        </w:pBdr>
        <w:ind w:left="720" w:right="-787"/>
        <w:rPr>
          <w:rFonts w:ascii="Palatino Linotype" w:eastAsia="Palatino Linotype" w:hAnsi="Palatino Linotype" w:cs="Palatino Linotype"/>
          <w:color w:val="000000"/>
        </w:rPr>
      </w:pPr>
    </w:p>
    <w:p w14:paraId="5E0EED7D"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pPr>
      <w:r w:rsidRPr="003A2146">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E0EED7E" w14:textId="77777777" w:rsidR="0034190F" w:rsidRPr="003A2146" w:rsidRDefault="0034190F">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5E0EED7F"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pPr>
      <w:r w:rsidRPr="003A2146">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5E0EED80" w14:textId="77777777" w:rsidR="0034190F" w:rsidRPr="003A2146" w:rsidRDefault="005A1AAD">
      <w:pPr>
        <w:numPr>
          <w:ilvl w:val="0"/>
          <w:numId w:val="8"/>
        </w:numPr>
        <w:pBdr>
          <w:top w:val="nil"/>
          <w:left w:val="nil"/>
          <w:bottom w:val="nil"/>
          <w:right w:val="nil"/>
          <w:between w:val="nil"/>
        </w:pBdr>
        <w:ind w:right="-220"/>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lastRenderedPageBreak/>
        <w:t xml:space="preserve">Complejidad del </w:t>
      </w:r>
      <w:r w:rsidRPr="003A2146">
        <w:rPr>
          <w:rFonts w:ascii="Palatino Linotype" w:eastAsia="Palatino Linotype" w:hAnsi="Palatino Linotype" w:cs="Palatino Linotype"/>
          <w:sz w:val="22"/>
          <w:szCs w:val="22"/>
        </w:rPr>
        <w:t>asunto</w:t>
      </w:r>
      <w:r w:rsidRPr="003A2146">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5E0EED81" w14:textId="77777777" w:rsidR="0034190F" w:rsidRPr="003A2146" w:rsidRDefault="005A1AAD">
      <w:pPr>
        <w:numPr>
          <w:ilvl w:val="0"/>
          <w:numId w:val="8"/>
        </w:numPr>
        <w:pBdr>
          <w:top w:val="nil"/>
          <w:left w:val="nil"/>
          <w:bottom w:val="nil"/>
          <w:right w:val="nil"/>
          <w:between w:val="nil"/>
        </w:pBdr>
        <w:ind w:right="-220"/>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Actividad Procesal del interesado. Acciones u omisiones del interesado.</w:t>
      </w:r>
    </w:p>
    <w:p w14:paraId="5E0EED82" w14:textId="77777777" w:rsidR="0034190F" w:rsidRPr="003A2146" w:rsidRDefault="005A1AAD">
      <w:pPr>
        <w:numPr>
          <w:ilvl w:val="0"/>
          <w:numId w:val="8"/>
        </w:numPr>
        <w:pBdr>
          <w:top w:val="nil"/>
          <w:left w:val="nil"/>
          <w:bottom w:val="nil"/>
          <w:right w:val="nil"/>
          <w:between w:val="nil"/>
        </w:pBdr>
        <w:ind w:right="-220"/>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5E0EED83" w14:textId="77777777" w:rsidR="0034190F" w:rsidRPr="003A2146" w:rsidRDefault="005A1AAD">
      <w:pPr>
        <w:ind w:left="851" w:right="-220" w:hanging="284"/>
        <w:jc w:val="both"/>
        <w:rPr>
          <w:rFonts w:ascii="Palatino Linotype" w:eastAsia="Palatino Linotype" w:hAnsi="Palatino Linotype" w:cs="Palatino Linotype"/>
          <w:sz w:val="22"/>
          <w:szCs w:val="22"/>
        </w:rPr>
      </w:pPr>
      <w:r w:rsidRPr="003A2146">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5E0EED84" w14:textId="77777777" w:rsidR="0034190F" w:rsidRPr="003A2146" w:rsidRDefault="0034190F">
      <w:pPr>
        <w:spacing w:line="360" w:lineRule="auto"/>
        <w:ind w:left="851" w:right="-787" w:hanging="284"/>
        <w:jc w:val="both"/>
        <w:rPr>
          <w:rFonts w:ascii="Palatino Linotype" w:eastAsia="Palatino Linotype" w:hAnsi="Palatino Linotype" w:cs="Palatino Linotype"/>
        </w:rPr>
      </w:pPr>
    </w:p>
    <w:p w14:paraId="5E0EED85"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pPr>
      <w:r w:rsidRPr="003A2146">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E0EED86" w14:textId="77777777" w:rsidR="0034190F" w:rsidRPr="003A2146" w:rsidRDefault="0034190F">
      <w:pPr>
        <w:pBdr>
          <w:top w:val="nil"/>
          <w:left w:val="nil"/>
          <w:bottom w:val="nil"/>
          <w:right w:val="nil"/>
          <w:between w:val="nil"/>
        </w:pBdr>
        <w:spacing w:line="360" w:lineRule="auto"/>
        <w:ind w:right="-787"/>
        <w:jc w:val="both"/>
        <w:rPr>
          <w:color w:val="000000"/>
        </w:rPr>
      </w:pPr>
    </w:p>
    <w:p w14:paraId="5E0EED87"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rPr>
      </w:pPr>
      <w:r w:rsidRPr="003A2146">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sidRPr="003A2146">
        <w:rPr>
          <w:rFonts w:ascii="Palatino Linotype" w:eastAsia="Palatino Linotype" w:hAnsi="Palatino Linotype" w:cs="Palatino Linotype"/>
        </w:rPr>
        <w:t>del rubro</w:t>
      </w:r>
      <w:r w:rsidRPr="003A2146">
        <w:rPr>
          <w:rFonts w:ascii="Palatino Linotype" w:eastAsia="Palatino Linotype" w:hAnsi="Palatino Linotype" w:cs="Palatino Linotype"/>
          <w:color w:val="000000"/>
        </w:rPr>
        <w:t xml:space="preserve"> </w:t>
      </w:r>
      <w:r w:rsidRPr="003A2146">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sidRPr="003A2146">
        <w:rPr>
          <w:rFonts w:ascii="Palatino Linotype" w:eastAsia="Palatino Linotype" w:hAnsi="Palatino Linotype" w:cs="Palatino Linotype"/>
          <w:color w:val="000000"/>
        </w:rPr>
        <w:t xml:space="preserve">, visible en la Gaceta del </w:t>
      </w:r>
      <w:r w:rsidRPr="003A2146">
        <w:rPr>
          <w:rFonts w:ascii="Palatino Linotype" w:eastAsia="Palatino Linotype" w:hAnsi="Palatino Linotype" w:cs="Palatino Linotype"/>
        </w:rPr>
        <w:t>Semanario</w:t>
      </w:r>
      <w:r w:rsidRPr="003A2146">
        <w:rPr>
          <w:rFonts w:ascii="Palatino Linotype" w:eastAsia="Palatino Linotype" w:hAnsi="Palatino Linotype" w:cs="Palatino Linotype"/>
          <w:color w:val="000000"/>
        </w:rPr>
        <w:t xml:space="preserve"> Judicial de la Federación con el registro digital 205635.</w:t>
      </w:r>
    </w:p>
    <w:p w14:paraId="5E0EED88" w14:textId="77777777" w:rsidR="0034190F" w:rsidRPr="003A2146" w:rsidRDefault="0034190F">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5E0EED89"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rPr>
      </w:pPr>
      <w:bookmarkStart w:id="3" w:name="_heading=h.3znysh7" w:colFirst="0" w:colLast="0"/>
      <w:bookmarkEnd w:id="3"/>
      <w:r w:rsidRPr="003A2146">
        <w:rPr>
          <w:rFonts w:ascii="Palatino Linotype" w:eastAsia="Palatino Linotype" w:hAnsi="Palatino Linotype" w:cs="Palatino Linotype"/>
          <w:color w:val="000000"/>
        </w:rPr>
        <w:t xml:space="preserve">Seguidamente, en fecha </w:t>
      </w:r>
      <w:r w:rsidRPr="003A2146">
        <w:rPr>
          <w:rFonts w:ascii="Palatino Linotype" w:eastAsia="Palatino Linotype" w:hAnsi="Palatino Linotype" w:cs="Palatino Linotype"/>
          <w:b/>
          <w:color w:val="000000"/>
        </w:rPr>
        <w:t>veintiséis de febrero de dos mil veinticinco</w:t>
      </w:r>
      <w:r w:rsidRPr="003A2146">
        <w:rPr>
          <w:rFonts w:ascii="Palatino Linotype" w:eastAsia="Palatino Linotype" w:hAnsi="Palatino Linotype" w:cs="Palatino Linotype"/>
          <w:color w:val="000000"/>
        </w:rPr>
        <w:t xml:space="preserve">, la Comisionada Ponente dictó el </w:t>
      </w:r>
      <w:r w:rsidRPr="003A2146">
        <w:rPr>
          <w:rFonts w:ascii="Palatino Linotype" w:eastAsia="Palatino Linotype" w:hAnsi="Palatino Linotype" w:cs="Palatino Linotype"/>
          <w:b/>
          <w:color w:val="000000"/>
        </w:rPr>
        <w:t>cierre del periodo de instrucción</w:t>
      </w:r>
      <w:r w:rsidRPr="003A2146">
        <w:rPr>
          <w:rFonts w:ascii="Palatino Linotype" w:eastAsia="Palatino Linotype" w:hAnsi="Palatino Linotype" w:cs="Palatino Linotype"/>
          <w:color w:val="000000"/>
        </w:rPr>
        <w:t xml:space="preserve"> y, ordenó la resolución que conforme a Derecho proceda.---------------------------------------------------------------------------</w:t>
      </w:r>
    </w:p>
    <w:p w14:paraId="5E0EED8A" w14:textId="77777777" w:rsidR="0034190F" w:rsidRPr="003A2146" w:rsidRDefault="0034190F">
      <w:pPr>
        <w:pBdr>
          <w:top w:val="nil"/>
          <w:left w:val="nil"/>
          <w:bottom w:val="nil"/>
          <w:right w:val="nil"/>
          <w:between w:val="nil"/>
        </w:pBdr>
        <w:spacing w:line="360" w:lineRule="auto"/>
        <w:ind w:right="-787"/>
        <w:jc w:val="both"/>
        <w:rPr>
          <w:rFonts w:ascii="Palatino Linotype" w:eastAsia="Palatino Linotype" w:hAnsi="Palatino Linotype" w:cs="Palatino Linotype"/>
        </w:rPr>
      </w:pPr>
      <w:bookmarkStart w:id="4" w:name="_heading=h.jj9vgr8ynjv8" w:colFirst="0" w:colLast="0"/>
      <w:bookmarkEnd w:id="4"/>
    </w:p>
    <w:p w14:paraId="5E0EED8B" w14:textId="77777777" w:rsidR="0034190F" w:rsidRPr="003A2146" w:rsidRDefault="0034190F">
      <w:pPr>
        <w:pBdr>
          <w:top w:val="nil"/>
          <w:left w:val="nil"/>
          <w:bottom w:val="nil"/>
          <w:right w:val="nil"/>
          <w:between w:val="nil"/>
        </w:pBdr>
        <w:spacing w:line="360" w:lineRule="auto"/>
        <w:ind w:right="-787"/>
        <w:jc w:val="both"/>
        <w:rPr>
          <w:rFonts w:ascii="Palatino Linotype" w:eastAsia="Palatino Linotype" w:hAnsi="Palatino Linotype" w:cs="Palatino Linotype"/>
        </w:rPr>
      </w:pPr>
      <w:bookmarkStart w:id="5" w:name="_heading=h.eifl86xs25ix" w:colFirst="0" w:colLast="0"/>
      <w:bookmarkEnd w:id="5"/>
    </w:p>
    <w:p w14:paraId="5E0EED8C" w14:textId="77777777" w:rsidR="0034190F" w:rsidRPr="003A2146" w:rsidRDefault="0034190F">
      <w:pPr>
        <w:pBdr>
          <w:top w:val="nil"/>
          <w:left w:val="nil"/>
          <w:bottom w:val="nil"/>
          <w:right w:val="nil"/>
          <w:between w:val="nil"/>
        </w:pBdr>
        <w:spacing w:line="360" w:lineRule="auto"/>
        <w:ind w:right="-787"/>
        <w:jc w:val="both"/>
        <w:rPr>
          <w:rFonts w:ascii="Palatino Linotype" w:eastAsia="Palatino Linotype" w:hAnsi="Palatino Linotype" w:cs="Palatino Linotype"/>
        </w:rPr>
      </w:pPr>
      <w:bookmarkStart w:id="6" w:name="_heading=h.5eke1bowjzyl" w:colFirst="0" w:colLast="0"/>
      <w:bookmarkEnd w:id="6"/>
    </w:p>
    <w:p w14:paraId="5E0EED8D" w14:textId="77777777" w:rsidR="0034190F" w:rsidRPr="003A2146" w:rsidRDefault="0034190F">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5E0EED8E" w14:textId="77777777" w:rsidR="0034190F" w:rsidRPr="003A2146" w:rsidRDefault="005A1AAD">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sidRPr="003A2146">
        <w:rPr>
          <w:rFonts w:ascii="Palatino Linotype" w:eastAsia="Palatino Linotype" w:hAnsi="Palatino Linotype" w:cs="Palatino Linotype"/>
          <w:b/>
          <w:color w:val="000000"/>
        </w:rPr>
        <w:t>C O N S I D E R A C I O N E S</w:t>
      </w:r>
    </w:p>
    <w:p w14:paraId="5E0EED8F" w14:textId="77777777" w:rsidR="0034190F" w:rsidRPr="003A2146" w:rsidRDefault="0034190F">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p>
    <w:p w14:paraId="5E0EED90" w14:textId="77777777" w:rsidR="0034190F" w:rsidRPr="003A2146" w:rsidRDefault="005A1AAD">
      <w:pPr>
        <w:pStyle w:val="Ttulo2"/>
        <w:spacing w:before="0" w:line="360" w:lineRule="auto"/>
        <w:ind w:right="-787"/>
        <w:rPr>
          <w:rFonts w:ascii="Palatino Linotype" w:eastAsia="Palatino Linotype" w:hAnsi="Palatino Linotype" w:cs="Palatino Linotype"/>
          <w:b/>
          <w:color w:val="000000"/>
          <w:sz w:val="24"/>
          <w:szCs w:val="24"/>
        </w:rPr>
      </w:pPr>
      <w:bookmarkStart w:id="7" w:name="_heading=h.2et92p0" w:colFirst="0" w:colLast="0"/>
      <w:bookmarkEnd w:id="7"/>
      <w:r w:rsidRPr="003A2146">
        <w:rPr>
          <w:rFonts w:ascii="Palatino Linotype" w:eastAsia="Palatino Linotype" w:hAnsi="Palatino Linotype" w:cs="Palatino Linotype"/>
          <w:b/>
          <w:color w:val="000000"/>
          <w:sz w:val="24"/>
          <w:szCs w:val="24"/>
        </w:rPr>
        <w:t>PRIMERA. Competencia</w:t>
      </w:r>
    </w:p>
    <w:p w14:paraId="5E0EED91"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pPr>
      <w:r w:rsidRPr="003A2146">
        <w:rPr>
          <w:rFonts w:ascii="Palatino Linotype" w:eastAsia="Palatino Linotype" w:hAnsi="Palatino Linotype" w:cs="Palatino Linotype"/>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E0EED92" w14:textId="77777777" w:rsidR="0034190F" w:rsidRPr="003A2146" w:rsidRDefault="0034190F">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5E0EED93" w14:textId="77777777" w:rsidR="0034190F" w:rsidRPr="003A2146" w:rsidRDefault="005A1AAD">
      <w:pPr>
        <w:pStyle w:val="Ttulo2"/>
        <w:spacing w:before="0" w:line="360" w:lineRule="auto"/>
        <w:ind w:right="-787"/>
        <w:rPr>
          <w:rFonts w:ascii="Palatino Linotype" w:eastAsia="Palatino Linotype" w:hAnsi="Palatino Linotype" w:cs="Palatino Linotype"/>
          <w:b/>
          <w:color w:val="000000"/>
          <w:sz w:val="24"/>
          <w:szCs w:val="24"/>
        </w:rPr>
      </w:pPr>
      <w:bookmarkStart w:id="8" w:name="_heading=h.tyjcwt" w:colFirst="0" w:colLast="0"/>
      <w:bookmarkEnd w:id="8"/>
      <w:r w:rsidRPr="003A2146">
        <w:rPr>
          <w:rFonts w:ascii="Palatino Linotype" w:eastAsia="Palatino Linotype" w:hAnsi="Palatino Linotype" w:cs="Palatino Linotype"/>
          <w:b/>
          <w:color w:val="000000"/>
          <w:sz w:val="24"/>
          <w:szCs w:val="24"/>
        </w:rPr>
        <w:t>SEGUNDA. Procedencia y previo y especial pronunciamiento.</w:t>
      </w:r>
    </w:p>
    <w:p w14:paraId="5E0EED94"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pPr>
      <w:r w:rsidRPr="003A2146">
        <w:rPr>
          <w:rFonts w:ascii="Palatino Linotype" w:eastAsia="Palatino Linotype" w:hAnsi="Palatino Linotype" w:cs="Palatino Linotype"/>
        </w:rPr>
        <w:t xml:space="preserve">Este Órgano Garante considera que el medio de impugnación reúne los requisitos de procedencia </w:t>
      </w:r>
      <w:r w:rsidRPr="003A2146">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5E0EED95" w14:textId="77777777" w:rsidR="0034190F" w:rsidRPr="003A2146" w:rsidRDefault="0034190F">
      <w:pPr>
        <w:spacing w:line="360" w:lineRule="auto"/>
        <w:ind w:right="-787"/>
        <w:jc w:val="both"/>
        <w:rPr>
          <w:rFonts w:ascii="Palatino Linotype" w:eastAsia="Palatino Linotype" w:hAnsi="Palatino Linotype" w:cs="Palatino Linotype"/>
        </w:rPr>
      </w:pPr>
    </w:p>
    <w:p w14:paraId="5E0EED96"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pPr>
      <w:r w:rsidRPr="003A2146">
        <w:rPr>
          <w:rFonts w:ascii="Palatino Linotype" w:eastAsia="Palatino Linotype" w:hAnsi="Palatino Linotype" w:cs="Palatino Linotype"/>
        </w:rPr>
        <w:lastRenderedPageBreak/>
        <w:t>Por otro lado, el escrito contiene las formalidades previstas por el artículo 180, último párrafo, de la citada Ley de la materia, por lo que es procedente que este Instituto conozca y resuelva el presente recurso.</w:t>
      </w:r>
    </w:p>
    <w:p w14:paraId="5E0EED97" w14:textId="77777777" w:rsidR="0034190F" w:rsidRPr="003A2146" w:rsidRDefault="0034190F">
      <w:pPr>
        <w:ind w:right="-787"/>
        <w:rPr>
          <w:rFonts w:ascii="Palatino Linotype" w:eastAsia="Palatino Linotype" w:hAnsi="Palatino Linotype" w:cs="Palatino Linotype"/>
          <w:b/>
          <w:color w:val="000000"/>
        </w:rPr>
      </w:pPr>
    </w:p>
    <w:p w14:paraId="5E0EED98" w14:textId="77777777" w:rsidR="0034190F" w:rsidRPr="003A2146" w:rsidRDefault="005A1AAD">
      <w:pPr>
        <w:ind w:right="-787"/>
        <w:rPr>
          <w:rFonts w:ascii="Palatino Linotype" w:eastAsia="Palatino Linotype" w:hAnsi="Palatino Linotype" w:cs="Palatino Linotype"/>
          <w:b/>
          <w:color w:val="000000"/>
        </w:rPr>
      </w:pPr>
      <w:r w:rsidRPr="003A2146">
        <w:rPr>
          <w:rFonts w:ascii="Palatino Linotype" w:eastAsia="Palatino Linotype" w:hAnsi="Palatino Linotype" w:cs="Palatino Linotype"/>
          <w:b/>
          <w:color w:val="000000"/>
        </w:rPr>
        <w:t xml:space="preserve">De la </w:t>
      </w:r>
      <w:r w:rsidRPr="003A2146">
        <w:rPr>
          <w:rFonts w:ascii="Palatino Linotype" w:eastAsia="Palatino Linotype" w:hAnsi="Palatino Linotype" w:cs="Palatino Linotype"/>
          <w:b/>
        </w:rPr>
        <w:t>prórroga</w:t>
      </w:r>
      <w:r w:rsidRPr="003A2146">
        <w:rPr>
          <w:rFonts w:ascii="Palatino Linotype" w:eastAsia="Palatino Linotype" w:hAnsi="Palatino Linotype" w:cs="Palatino Linotype"/>
          <w:b/>
          <w:color w:val="000000"/>
        </w:rPr>
        <w:t xml:space="preserve"> indebida</w:t>
      </w:r>
    </w:p>
    <w:p w14:paraId="5E0EED99"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color w:val="000000"/>
        </w:rPr>
        <w:t>Por otro lado</w:t>
      </w:r>
      <w:r w:rsidRPr="003A2146">
        <w:rPr>
          <w:rFonts w:ascii="Palatino Linotype" w:eastAsia="Palatino Linotype" w:hAnsi="Palatino Linotype" w:cs="Palatino Linotype"/>
        </w:rPr>
        <w:t>, es menester señalar en un primer momento</w:t>
      </w:r>
      <w:r w:rsidRPr="003A2146">
        <w:rPr>
          <w:rFonts w:ascii="Palatino Linotype" w:eastAsia="Palatino Linotype" w:hAnsi="Palatino Linotype" w:cs="Palatino Linotype"/>
          <w:color w:val="222222"/>
        </w:rPr>
        <w:t xml:space="preserve"> el </w:t>
      </w:r>
      <w:r w:rsidRPr="003A2146">
        <w:rPr>
          <w:rFonts w:ascii="Palatino Linotype" w:eastAsia="Palatino Linotype" w:hAnsi="Palatino Linotype" w:cs="Palatino Linotype"/>
          <w:b/>
          <w:color w:val="222222"/>
        </w:rPr>
        <w:t>SUJETO OBLIGADO</w:t>
      </w:r>
      <w:r w:rsidRPr="003A2146">
        <w:rPr>
          <w:rFonts w:ascii="Palatino Linotype" w:eastAsia="Palatino Linotype" w:hAnsi="Palatino Linotype" w:cs="Palatino Linotype"/>
          <w:color w:val="222222"/>
        </w:rPr>
        <w:t> solicitó una prórroga que resulta</w:t>
      </w:r>
      <w:r w:rsidRPr="003A2146">
        <w:rPr>
          <w:rFonts w:ascii="Palatino Linotype" w:eastAsia="Palatino Linotype" w:hAnsi="Palatino Linotype" w:cs="Palatino Linotype"/>
          <w:b/>
          <w:i/>
          <w:color w:val="222222"/>
        </w:rPr>
        <w:t xml:space="preserve"> </w:t>
      </w:r>
      <w:r w:rsidRPr="003A2146">
        <w:rPr>
          <w:rFonts w:ascii="Palatino Linotype" w:eastAsia="Palatino Linotype" w:hAnsi="Palatino Linotype" w:cs="Palatino Linotype"/>
          <w:color w:val="000000"/>
        </w:rPr>
        <w:t xml:space="preserve">indebida, infundada </w:t>
      </w:r>
      <w:r w:rsidRPr="003A2146">
        <w:rPr>
          <w:rFonts w:ascii="Palatino Linotype" w:eastAsia="Palatino Linotype" w:hAnsi="Palatino Linotype" w:cs="Palatino Linotype"/>
          <w:color w:val="222222"/>
        </w:rPr>
        <w:t>y con falta de motivación, que si bien, fue otorgada, carece de toda validez; toda vez que el artículo 163 de la ley de la materia señala lo siguiente:</w:t>
      </w:r>
    </w:p>
    <w:p w14:paraId="5E0EED9A" w14:textId="77777777" w:rsidR="0034190F" w:rsidRPr="003A2146" w:rsidRDefault="005A1AAD">
      <w:pPr>
        <w:pBdr>
          <w:top w:val="nil"/>
          <w:left w:val="nil"/>
          <w:bottom w:val="nil"/>
          <w:right w:val="nil"/>
          <w:between w:val="nil"/>
        </w:pBdr>
        <w:ind w:left="709" w:right="-220"/>
        <w:jc w:val="both"/>
        <w:rPr>
          <w:rFonts w:ascii="Palatino Linotype" w:eastAsia="Palatino Linotype" w:hAnsi="Palatino Linotype" w:cs="Palatino Linotype"/>
          <w:i/>
          <w:color w:val="222222"/>
          <w:sz w:val="22"/>
          <w:szCs w:val="22"/>
        </w:rPr>
      </w:pPr>
      <w:r w:rsidRPr="003A2146">
        <w:rPr>
          <w:rFonts w:ascii="Palatino Linotype" w:eastAsia="Palatino Linotype" w:hAnsi="Palatino Linotype" w:cs="Palatino Linotype"/>
          <w:b/>
          <w:i/>
          <w:color w:val="222222"/>
          <w:sz w:val="22"/>
          <w:szCs w:val="22"/>
        </w:rPr>
        <w:t>Artículo 163. </w:t>
      </w:r>
      <w:r w:rsidRPr="003A2146">
        <w:rPr>
          <w:rFonts w:ascii="Palatino Linotype" w:eastAsia="Palatino Linotype" w:hAnsi="Palatino Linotype" w:cs="Palatino Linotype"/>
          <w:i/>
          <w:color w:val="222222"/>
          <w:sz w:val="22"/>
          <w:szCs w:val="22"/>
        </w:rPr>
        <w:t>La Unidad de Transparencia deberá notificar la respuesta a la solicitud al interesado en el menor tiempo posible, que no podrá exceder de quince días hábiles, contados a partir del día siguiente a la presentación de aquélla.</w:t>
      </w:r>
    </w:p>
    <w:p w14:paraId="5E0EED9B" w14:textId="77777777" w:rsidR="0034190F" w:rsidRPr="003A2146" w:rsidRDefault="0034190F">
      <w:pPr>
        <w:pBdr>
          <w:top w:val="nil"/>
          <w:left w:val="nil"/>
          <w:bottom w:val="nil"/>
          <w:right w:val="nil"/>
          <w:between w:val="nil"/>
        </w:pBdr>
        <w:ind w:left="709" w:right="-220"/>
        <w:jc w:val="both"/>
        <w:rPr>
          <w:rFonts w:ascii="Palatino Linotype" w:eastAsia="Palatino Linotype" w:hAnsi="Palatino Linotype" w:cs="Palatino Linotype"/>
          <w:color w:val="222222"/>
          <w:sz w:val="22"/>
          <w:szCs w:val="22"/>
        </w:rPr>
      </w:pPr>
    </w:p>
    <w:p w14:paraId="5E0EED9C" w14:textId="77777777" w:rsidR="0034190F" w:rsidRPr="003A2146" w:rsidRDefault="005A1AAD">
      <w:pPr>
        <w:pBdr>
          <w:top w:val="nil"/>
          <w:left w:val="nil"/>
          <w:bottom w:val="nil"/>
          <w:right w:val="nil"/>
          <w:between w:val="nil"/>
        </w:pBdr>
        <w:ind w:left="709" w:right="-220"/>
        <w:jc w:val="both"/>
        <w:rPr>
          <w:rFonts w:ascii="Palatino Linotype" w:eastAsia="Palatino Linotype" w:hAnsi="Palatino Linotype" w:cs="Palatino Linotype"/>
          <w:i/>
          <w:color w:val="222222"/>
          <w:sz w:val="22"/>
          <w:szCs w:val="22"/>
        </w:rPr>
      </w:pPr>
      <w:r w:rsidRPr="003A2146">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E0EED9D" w14:textId="77777777" w:rsidR="0034190F" w:rsidRPr="003A2146" w:rsidRDefault="0034190F">
      <w:pPr>
        <w:pBdr>
          <w:top w:val="nil"/>
          <w:left w:val="nil"/>
          <w:bottom w:val="nil"/>
          <w:right w:val="nil"/>
          <w:between w:val="nil"/>
        </w:pBdr>
        <w:ind w:left="709" w:right="-787"/>
        <w:jc w:val="both"/>
        <w:rPr>
          <w:rFonts w:ascii="Palatino Linotype" w:eastAsia="Palatino Linotype" w:hAnsi="Palatino Linotype" w:cs="Palatino Linotype"/>
          <w:i/>
          <w:color w:val="222222"/>
        </w:rPr>
      </w:pPr>
    </w:p>
    <w:p w14:paraId="5E0EED9E"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rPr>
      </w:pPr>
      <w:r w:rsidRPr="003A2146">
        <w:rPr>
          <w:rFonts w:ascii="Palatino Linotype" w:eastAsia="Palatino Linotype" w:hAnsi="Palatino Linotype" w:cs="Palatino Linotype"/>
          <w:color w:val="222222"/>
        </w:rPr>
        <w:t xml:space="preserve">Solo en aquellos </w:t>
      </w:r>
      <w:r w:rsidRPr="003A2146">
        <w:rPr>
          <w:rFonts w:ascii="Palatino Linotype" w:eastAsia="Palatino Linotype" w:hAnsi="Palatino Linotype" w:cs="Palatino Linotype"/>
          <w:b/>
          <w:color w:val="222222"/>
        </w:rPr>
        <w:t>casos excepcionales</w:t>
      </w:r>
      <w:r w:rsidRPr="003A2146">
        <w:rPr>
          <w:rFonts w:ascii="Palatino Linotype" w:eastAsia="Palatino Linotype" w:hAnsi="Palatino Linotype" w:cs="Palatino Linotype"/>
          <w:color w:val="222222"/>
        </w:rPr>
        <w:t xml:space="preserve"> el </w:t>
      </w:r>
      <w:r w:rsidRPr="003A2146">
        <w:rPr>
          <w:rFonts w:ascii="Palatino Linotype" w:eastAsia="Palatino Linotype" w:hAnsi="Palatino Linotype" w:cs="Palatino Linotype"/>
          <w:b/>
          <w:color w:val="222222"/>
        </w:rPr>
        <w:t xml:space="preserve">SUJETO OBLIGADO </w:t>
      </w:r>
      <w:r w:rsidRPr="003A2146">
        <w:rPr>
          <w:rFonts w:ascii="Palatino Linotype" w:eastAsia="Palatino Linotype" w:hAnsi="Palatino Linotype" w:cs="Palatino Linotype"/>
          <w:color w:val="222222"/>
        </w:rPr>
        <w:t xml:space="preserve">podrá solicitar se amplíe el término de quince días para proporcionar respuesta a cualquier solicitud de </w:t>
      </w:r>
      <w:r w:rsidRPr="003A2146">
        <w:rPr>
          <w:rFonts w:ascii="Palatino Linotype" w:eastAsia="Palatino Linotype" w:hAnsi="Palatino Linotype" w:cs="Palatino Linotype"/>
          <w:color w:val="000000"/>
        </w:rPr>
        <w:t>información</w:t>
      </w:r>
      <w:r w:rsidRPr="003A2146">
        <w:rPr>
          <w:rFonts w:ascii="Palatino Linotype" w:eastAsia="Palatino Linotype" w:hAnsi="Palatino Linotype" w:cs="Palatino Linotype"/>
          <w:color w:val="222222"/>
        </w:rPr>
        <w:t xml:space="preserve">, plazo que podrá ser prorrogado por otros siete días más, siempre y cuando medien razones que justifiquen la ampliación, las cuales deberán estar </w:t>
      </w:r>
      <w:r w:rsidRPr="003A2146">
        <w:rPr>
          <w:rFonts w:ascii="Palatino Linotype" w:eastAsia="Palatino Linotype" w:hAnsi="Palatino Linotype" w:cs="Palatino Linotype"/>
          <w:b/>
          <w:color w:val="222222"/>
          <w:u w:val="single"/>
        </w:rPr>
        <w:t>fundadas y motivadas</w:t>
      </w:r>
      <w:r w:rsidRPr="003A2146">
        <w:rPr>
          <w:rFonts w:ascii="Palatino Linotype" w:eastAsia="Palatino Linotype" w:hAnsi="Palatino Linotype" w:cs="Palatino Linotype"/>
          <w:color w:val="222222"/>
        </w:rPr>
        <w:t xml:space="preserve">,  mismas que </w:t>
      </w:r>
      <w:r w:rsidRPr="003A2146">
        <w:rPr>
          <w:rFonts w:ascii="Palatino Linotype" w:eastAsia="Palatino Linotype" w:hAnsi="Palatino Linotype" w:cs="Palatino Linotype"/>
          <w:b/>
          <w:color w:val="222222"/>
        </w:rPr>
        <w:t xml:space="preserve">deberán ser aprobadas por los integrantes de su Comité de Transparencia mediante la emisión de una resolución </w:t>
      </w:r>
      <w:r w:rsidRPr="003A2146">
        <w:rPr>
          <w:rFonts w:ascii="Palatino Linotype" w:eastAsia="Palatino Linotype" w:hAnsi="Palatino Linotype" w:cs="Palatino Linotype"/>
          <w:color w:val="222222"/>
        </w:rPr>
        <w:t xml:space="preserve">que deberá notificarse al solicitante. Situación que, en el caso concreto, evidentemente no ocurrió </w:t>
      </w:r>
    </w:p>
    <w:p w14:paraId="5E0EED9F" w14:textId="77777777" w:rsidR="0034190F" w:rsidRPr="003A2146" w:rsidRDefault="0034190F">
      <w:pPr>
        <w:pBdr>
          <w:top w:val="nil"/>
          <w:left w:val="nil"/>
          <w:bottom w:val="nil"/>
          <w:right w:val="nil"/>
          <w:between w:val="nil"/>
        </w:pBdr>
        <w:spacing w:line="360" w:lineRule="auto"/>
        <w:ind w:right="-787"/>
        <w:jc w:val="both"/>
        <w:rPr>
          <w:rFonts w:ascii="Palatino Linotype" w:eastAsia="Palatino Linotype" w:hAnsi="Palatino Linotype" w:cs="Palatino Linotype"/>
          <w:color w:val="222222"/>
        </w:rPr>
      </w:pPr>
    </w:p>
    <w:p w14:paraId="5E0EEDA0"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color w:val="222222"/>
        </w:rPr>
        <w:lastRenderedPageBreak/>
        <w:t xml:space="preserve">Lo anterior implica una alta responsabilidad, toda vez que dicha prórroga deberá recaer en un documento, debidamente </w:t>
      </w:r>
      <w:r w:rsidRPr="003A2146">
        <w:rPr>
          <w:rFonts w:ascii="Palatino Linotype" w:eastAsia="Palatino Linotype" w:hAnsi="Palatino Linotype" w:cs="Palatino Linotype"/>
          <w:b/>
          <w:color w:val="222222"/>
        </w:rPr>
        <w:t>validado y firmado</w:t>
      </w:r>
      <w:r w:rsidRPr="003A2146">
        <w:rPr>
          <w:rFonts w:ascii="Palatino Linotype" w:eastAsia="Palatino Linotype" w:hAnsi="Palatino Linotype" w:cs="Palatino Linotype"/>
          <w:color w:val="222222"/>
        </w:rPr>
        <w:t xml:space="preserve"> por los integrantes del Comité, lo cual obviamente no ocurrió en la prórroga emitida por el </w:t>
      </w:r>
      <w:r w:rsidRPr="003A2146">
        <w:rPr>
          <w:rFonts w:ascii="Palatino Linotype" w:eastAsia="Palatino Linotype" w:hAnsi="Palatino Linotype" w:cs="Palatino Linotype"/>
          <w:b/>
          <w:color w:val="222222"/>
        </w:rPr>
        <w:t>Ayuntamiento de Tultitlán</w:t>
      </w:r>
      <w:r w:rsidRPr="003A2146">
        <w:rPr>
          <w:rFonts w:ascii="Palatino Linotype" w:eastAsia="Palatino Linotype" w:hAnsi="Palatino Linotype" w:cs="Palatino Linotype"/>
          <w:color w:val="222222"/>
        </w:rPr>
        <w:t>, toda vez que en la prórroga requerida, no se señalan de por medio razones fundadas y motivadas, ni la existencia de un acuerdo del Comité de Transparencia, violentando lo dispuesto en el artículo 163 de la Ley de Transparencia y Acceso a la Información Pública del Estado de México y Municipios</w:t>
      </w:r>
      <w:r w:rsidRPr="003A2146">
        <w:rPr>
          <w:rFonts w:ascii="Palatino Linotype" w:eastAsia="Palatino Linotype" w:hAnsi="Palatino Linotype" w:cs="Palatino Linotype"/>
          <w:i/>
          <w:color w:val="222222"/>
        </w:rPr>
        <w:t>.</w:t>
      </w:r>
    </w:p>
    <w:p w14:paraId="5E0EEDA1" w14:textId="77777777" w:rsidR="0034190F" w:rsidRPr="003A2146" w:rsidRDefault="0034190F">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14:paraId="5E0EEDA2" w14:textId="77777777" w:rsidR="0034190F" w:rsidRPr="003A2146" w:rsidRDefault="005A1AAD">
      <w:pPr>
        <w:pStyle w:val="Ttulo1"/>
        <w:spacing w:before="0" w:line="360" w:lineRule="auto"/>
        <w:ind w:right="-787"/>
        <w:rPr>
          <w:rFonts w:ascii="Palatino Linotype" w:eastAsia="Palatino Linotype" w:hAnsi="Palatino Linotype" w:cs="Palatino Linotype"/>
          <w:b/>
          <w:color w:val="000000"/>
          <w:sz w:val="24"/>
          <w:szCs w:val="24"/>
        </w:rPr>
      </w:pPr>
      <w:bookmarkStart w:id="9" w:name="_heading=h.3dy6vkm" w:colFirst="0" w:colLast="0"/>
      <w:bookmarkEnd w:id="9"/>
      <w:r w:rsidRPr="003A2146">
        <w:rPr>
          <w:rFonts w:ascii="Palatino Linotype" w:eastAsia="Palatino Linotype" w:hAnsi="Palatino Linotype" w:cs="Palatino Linotype"/>
          <w:b/>
          <w:color w:val="000000"/>
          <w:sz w:val="24"/>
          <w:szCs w:val="24"/>
        </w:rPr>
        <w:t>TERCERA. Descripción de hechos y planteamiento de la controversia.</w:t>
      </w:r>
    </w:p>
    <w:p w14:paraId="5E0EEDA3"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pPr>
      <w:r w:rsidRPr="003A2146">
        <w:rPr>
          <w:rFonts w:ascii="Palatino Linotype" w:eastAsia="Palatino Linotype" w:hAnsi="Palatino Linotype" w:cs="Palatino Linotype"/>
          <w:color w:val="000000"/>
        </w:rPr>
        <w:t>Se solicitó tener acceso, a la información que a continuación se describe:</w:t>
      </w:r>
    </w:p>
    <w:p w14:paraId="5E0EEDA4" w14:textId="77777777" w:rsidR="0034190F" w:rsidRPr="003A2146" w:rsidRDefault="005A1AAD">
      <w:pPr>
        <w:spacing w:line="360" w:lineRule="auto"/>
        <w:ind w:left="567" w:right="-220"/>
        <w:jc w:val="both"/>
        <w:rPr>
          <w:sz w:val="22"/>
          <w:szCs w:val="22"/>
        </w:rPr>
      </w:pPr>
      <w:r w:rsidRPr="003A2146">
        <w:rPr>
          <w:rFonts w:ascii="Palatino Linotype" w:eastAsia="Palatino Linotype" w:hAnsi="Palatino Linotype" w:cs="Palatino Linotype"/>
          <w:i/>
          <w:color w:val="000000"/>
          <w:sz w:val="22"/>
          <w:szCs w:val="22"/>
        </w:rPr>
        <w:t>Del inmueble ubicado en Calle Ignacio Comonfort, esquina con Calle Cerrada de Ignacio Comonfort sin número, Barrio San Juan, Tultitlán, Estado de México:</w:t>
      </w:r>
    </w:p>
    <w:p w14:paraId="5E0EEDA5" w14:textId="77777777" w:rsidR="0034190F" w:rsidRPr="003A2146" w:rsidRDefault="0034190F">
      <w:pPr>
        <w:spacing w:line="360" w:lineRule="auto"/>
        <w:ind w:left="567" w:right="-220"/>
        <w:jc w:val="both"/>
        <w:rPr>
          <w:sz w:val="22"/>
          <w:szCs w:val="22"/>
        </w:rPr>
      </w:pPr>
    </w:p>
    <w:p w14:paraId="5E0EEDA6" w14:textId="77777777" w:rsidR="0034190F" w:rsidRPr="003A2146" w:rsidRDefault="005A1AAD">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1. Si existe procedimiento administrativo por los trabajos de construcción, en caso de existir, se me informe el estatus del mismo. </w:t>
      </w:r>
    </w:p>
    <w:p w14:paraId="5E0EEDA7" w14:textId="77777777" w:rsidR="0034190F" w:rsidRPr="003A2146" w:rsidRDefault="005A1AAD">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2. Si existe Licencia de construcción vigente para los trabajos de construcción, en caso de existir, se me proporcione copia de la misma en versión pública. </w:t>
      </w:r>
    </w:p>
    <w:p w14:paraId="5E0EEDA8" w14:textId="77777777" w:rsidR="0034190F" w:rsidRPr="003A2146" w:rsidRDefault="005A1AAD">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3. Si existe Licencia de Uso de Suelo vigente, en caso de existir, se me proporcione copia de la misma en versión pública. </w:t>
      </w:r>
    </w:p>
    <w:p w14:paraId="5E0EEDA9" w14:textId="77777777" w:rsidR="0034190F" w:rsidRPr="003A2146" w:rsidRDefault="005A1AAD">
      <w:pPr>
        <w:pBdr>
          <w:top w:val="nil"/>
          <w:left w:val="nil"/>
          <w:bottom w:val="nil"/>
          <w:right w:val="nil"/>
          <w:between w:val="nil"/>
        </w:pBdr>
        <w:spacing w:line="360" w:lineRule="auto"/>
        <w:ind w:left="567"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4. Si existe Constancia de alineamiento vigente, en caso de ser así, se me proporcione copia de la misma en versión pública. </w:t>
      </w:r>
    </w:p>
    <w:p w14:paraId="5E0EEDAA" w14:textId="77777777" w:rsidR="0034190F" w:rsidRPr="003A2146" w:rsidRDefault="005A1AAD">
      <w:pPr>
        <w:pBdr>
          <w:top w:val="nil"/>
          <w:left w:val="nil"/>
          <w:bottom w:val="nil"/>
          <w:right w:val="nil"/>
          <w:between w:val="nil"/>
        </w:pBdr>
        <w:spacing w:line="360" w:lineRule="auto"/>
        <w:ind w:left="567" w:right="-220"/>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i/>
          <w:color w:val="000000"/>
          <w:sz w:val="22"/>
          <w:szCs w:val="22"/>
        </w:rPr>
        <w:t xml:space="preserve">5. Si se han llevado a cabo inspecciones donde se vigile el cumplimiento de las normas contenidas en el Plan Municipal de Desarrollo Urbano vigente relativas a Coeficientes de Ocupación (COS), Coeficientes de Utilización (CUS), Área libre, Cajones de estacionamiento, altura y restricciones de construcción del predio respecto a la vía pública, para los trabajos de construcción, en caso de </w:t>
      </w:r>
      <w:r w:rsidRPr="003A2146">
        <w:rPr>
          <w:rFonts w:ascii="Palatino Linotype" w:eastAsia="Palatino Linotype" w:hAnsi="Palatino Linotype" w:cs="Palatino Linotype"/>
          <w:i/>
          <w:color w:val="000000"/>
          <w:sz w:val="22"/>
          <w:szCs w:val="22"/>
        </w:rPr>
        <w:lastRenderedPageBreak/>
        <w:t>ser así, se informe por que hay en proceso trabajos de construcción en la restricción de construcción por vía pública.</w:t>
      </w:r>
    </w:p>
    <w:p w14:paraId="5E0EEDAB" w14:textId="77777777" w:rsidR="0034190F" w:rsidRPr="003A2146" w:rsidRDefault="0034190F">
      <w:pPr>
        <w:pBdr>
          <w:top w:val="nil"/>
          <w:left w:val="nil"/>
          <w:bottom w:val="nil"/>
          <w:right w:val="nil"/>
          <w:between w:val="nil"/>
        </w:pBdr>
        <w:spacing w:line="360" w:lineRule="auto"/>
        <w:ind w:left="1428" w:right="-787"/>
        <w:jc w:val="both"/>
        <w:rPr>
          <w:rFonts w:ascii="Palatino Linotype" w:eastAsia="Palatino Linotype" w:hAnsi="Palatino Linotype" w:cs="Palatino Linotype"/>
          <w:color w:val="000000"/>
        </w:rPr>
      </w:pPr>
    </w:p>
    <w:p w14:paraId="5E0EEDAC" w14:textId="77777777" w:rsidR="0034190F" w:rsidRPr="003A2146" w:rsidRDefault="005A1AAD">
      <w:pPr>
        <w:numPr>
          <w:ilvl w:val="0"/>
          <w:numId w:val="1"/>
        </w:numPr>
        <w:pBdr>
          <w:top w:val="nil"/>
          <w:left w:val="nil"/>
          <w:bottom w:val="nil"/>
          <w:right w:val="nil"/>
          <w:between w:val="nil"/>
        </w:pBdr>
        <w:spacing w:line="360" w:lineRule="auto"/>
        <w:ind w:left="0" w:right="-787" w:firstLine="0"/>
        <w:jc w:val="both"/>
      </w:pPr>
      <w:r w:rsidRPr="003A2146">
        <w:rPr>
          <w:rFonts w:ascii="Palatino Linotype" w:eastAsia="Palatino Linotype" w:hAnsi="Palatino Linotype" w:cs="Palatino Linotype"/>
        </w:rPr>
        <w:t>En respuesta, el Sujeto Obligado</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rPr>
        <w:t>remitió los archivos ya descritos en el anterior párrafo 2, mismos que son de conocimiento de las partes y se analizarán con posterioridad, inconforme con la respuesta, se interpuso Recurso de Revisión argumentando la negativa de la información.</w:t>
      </w:r>
    </w:p>
    <w:p w14:paraId="5E0EEDAD" w14:textId="77777777" w:rsidR="0034190F" w:rsidRPr="003A2146" w:rsidRDefault="0034190F">
      <w:pPr>
        <w:spacing w:line="360" w:lineRule="auto"/>
        <w:ind w:right="-787"/>
        <w:jc w:val="both"/>
        <w:rPr>
          <w:rFonts w:ascii="Palatino Linotype" w:eastAsia="Palatino Linotype" w:hAnsi="Palatino Linotype" w:cs="Palatino Linotype"/>
          <w:i/>
          <w:color w:val="000000"/>
        </w:rPr>
      </w:pPr>
    </w:p>
    <w:p w14:paraId="5E0EEDAE"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t>En dichas condiciones, la controversia a resolver en el presente proveído, corresponde a determinar si se actualiza la causal de procedencia prevista en el artículo 179, fracción I,</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rPr>
        <w:t>de la Ley de Transparencia y Acceso a la Información Pública del Estado de</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rPr>
        <w:t>México</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rPr>
        <w:t>y</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rPr>
        <w:t xml:space="preserve">Municipios; </w:t>
      </w:r>
      <w:r w:rsidRPr="003A2146">
        <w:rPr>
          <w:rFonts w:ascii="Palatino Linotype" w:eastAsia="Palatino Linotype" w:hAnsi="Palatino Linotype" w:cs="Palatino Linotype"/>
          <w:color w:val="000000"/>
        </w:rPr>
        <w:t xml:space="preserve">fracción que determina la hipótesis relativa a la negativa a la información solicitada; </w:t>
      </w:r>
      <w:r w:rsidRPr="003A2146">
        <w:rPr>
          <w:rFonts w:ascii="Palatino Linotype" w:eastAsia="Palatino Linotype" w:hAnsi="Palatino Linotype" w:cs="Palatino Linotype"/>
        </w:rPr>
        <w:t>contexto del cual se dolió el Recurrente al momento de impugnar el acto.</w:t>
      </w:r>
      <w:r w:rsidRPr="003A2146">
        <w:rPr>
          <w:rFonts w:ascii="Palatino Linotype" w:eastAsia="Palatino Linotype" w:hAnsi="Palatino Linotype" w:cs="Palatino Linotype"/>
          <w:color w:val="000000"/>
        </w:rPr>
        <w:t xml:space="preserve"> De modo tal que el presente recurso de revisión se </w:t>
      </w:r>
      <w:r w:rsidRPr="003A2146">
        <w:rPr>
          <w:rFonts w:ascii="Palatino Linotype" w:eastAsia="Palatino Linotype" w:hAnsi="Palatino Linotype" w:cs="Palatino Linotype"/>
        </w:rPr>
        <w:t>abocará</w:t>
      </w:r>
      <w:r w:rsidRPr="003A2146">
        <w:rPr>
          <w:rFonts w:ascii="Palatino Linotype" w:eastAsia="Palatino Linotype" w:hAnsi="Palatino Linotype" w:cs="Palatino Linotype"/>
          <w:color w:val="000000"/>
        </w:rPr>
        <w:t xml:space="preserve"> en determinar si el Sujeto Obligado con su respuesta ciertamente actualiza la causal de procedencia</w:t>
      </w:r>
      <w:r w:rsidRPr="003A2146">
        <w:rPr>
          <w:rFonts w:ascii="Palatino Linotype" w:eastAsia="Palatino Linotype" w:hAnsi="Palatino Linotype" w:cs="Palatino Linotype"/>
          <w:b/>
          <w:color w:val="000000"/>
        </w:rPr>
        <w:t xml:space="preserve"> </w:t>
      </w:r>
      <w:r w:rsidRPr="003A2146">
        <w:rPr>
          <w:rFonts w:ascii="Palatino Linotype" w:eastAsia="Palatino Linotype" w:hAnsi="Palatino Linotype" w:cs="Palatino Linotype"/>
          <w:color w:val="000000"/>
        </w:rPr>
        <w:t xml:space="preserve">señalada. </w:t>
      </w:r>
    </w:p>
    <w:p w14:paraId="5E0EEDAF" w14:textId="77777777" w:rsidR="0034190F" w:rsidRPr="003A2146" w:rsidRDefault="0034190F">
      <w:pPr>
        <w:spacing w:line="360" w:lineRule="auto"/>
        <w:ind w:right="-787"/>
        <w:rPr>
          <w:rFonts w:ascii="Palatino Linotype" w:eastAsia="Palatino Linotype" w:hAnsi="Palatino Linotype" w:cs="Palatino Linotype"/>
        </w:rPr>
      </w:pPr>
    </w:p>
    <w:p w14:paraId="5E0EEDB0" w14:textId="77777777" w:rsidR="0034190F" w:rsidRPr="003A2146" w:rsidRDefault="005A1AAD">
      <w:pPr>
        <w:pStyle w:val="Ttulo2"/>
        <w:spacing w:before="0" w:line="360" w:lineRule="auto"/>
        <w:ind w:right="-787"/>
        <w:rPr>
          <w:rFonts w:ascii="Palatino Linotype" w:eastAsia="Palatino Linotype" w:hAnsi="Palatino Linotype" w:cs="Palatino Linotype"/>
          <w:b/>
          <w:color w:val="000000"/>
          <w:sz w:val="24"/>
          <w:szCs w:val="24"/>
        </w:rPr>
      </w:pPr>
      <w:bookmarkStart w:id="10" w:name="_heading=h.1t3h5sf" w:colFirst="0" w:colLast="0"/>
      <w:bookmarkEnd w:id="10"/>
      <w:r w:rsidRPr="003A2146">
        <w:rPr>
          <w:rFonts w:ascii="Palatino Linotype" w:eastAsia="Palatino Linotype" w:hAnsi="Palatino Linotype" w:cs="Palatino Linotype"/>
          <w:b/>
          <w:color w:val="000000"/>
          <w:sz w:val="24"/>
          <w:szCs w:val="24"/>
        </w:rPr>
        <w:t>CUARTA. Estudio de la controversia.</w:t>
      </w:r>
    </w:p>
    <w:p w14:paraId="5E0EEDB1"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w:t>
      </w:r>
      <w:r w:rsidRPr="003A2146">
        <w:rPr>
          <w:rFonts w:ascii="Palatino Linotype" w:eastAsia="Palatino Linotype" w:hAnsi="Palatino Linotype" w:cs="Palatino Linotype"/>
        </w:rPr>
        <w:lastRenderedPageBreak/>
        <w:t>competencias o funciones desde su origen la eventual publicidad y reutilización de la información que generen.</w:t>
      </w:r>
    </w:p>
    <w:p w14:paraId="5E0EEDB2" w14:textId="77777777" w:rsidR="0034190F" w:rsidRPr="003A2146" w:rsidRDefault="0034190F">
      <w:pPr>
        <w:spacing w:line="360" w:lineRule="auto"/>
        <w:ind w:right="-787"/>
        <w:jc w:val="both"/>
        <w:rPr>
          <w:rFonts w:ascii="Palatino Linotype" w:eastAsia="Palatino Linotype" w:hAnsi="Palatino Linotype" w:cs="Palatino Linotype"/>
        </w:rPr>
      </w:pPr>
    </w:p>
    <w:p w14:paraId="5E0EEDB3"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E0EEDB4" w14:textId="77777777" w:rsidR="0034190F" w:rsidRPr="003A2146" w:rsidRDefault="0034190F">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5E0EEDB5"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5E0EEDB6" w14:textId="77777777" w:rsidR="0034190F" w:rsidRPr="003A2146" w:rsidRDefault="0034190F">
      <w:pPr>
        <w:spacing w:line="360" w:lineRule="auto"/>
        <w:ind w:right="-787"/>
        <w:jc w:val="both"/>
        <w:rPr>
          <w:rFonts w:ascii="Palatino Linotype" w:eastAsia="Palatino Linotype" w:hAnsi="Palatino Linotype" w:cs="Palatino Linotype"/>
        </w:rPr>
      </w:pPr>
    </w:p>
    <w:p w14:paraId="5E0EEDB7" w14:textId="77777777" w:rsidR="0034190F" w:rsidRPr="003A2146" w:rsidRDefault="005A1AAD">
      <w:pPr>
        <w:numPr>
          <w:ilvl w:val="0"/>
          <w:numId w:val="5"/>
        </w:numPr>
        <w:pBdr>
          <w:top w:val="nil"/>
          <w:left w:val="nil"/>
          <w:bottom w:val="nil"/>
          <w:right w:val="nil"/>
          <w:between w:val="nil"/>
        </w:pBdr>
        <w:spacing w:line="360" w:lineRule="auto"/>
        <w:ind w:right="-787"/>
        <w:rPr>
          <w:rFonts w:ascii="Palatino Linotype" w:eastAsia="Palatino Linotype" w:hAnsi="Palatino Linotype" w:cs="Palatino Linotype"/>
          <w:b/>
          <w:color w:val="000000"/>
        </w:rPr>
      </w:pPr>
      <w:r w:rsidRPr="003A2146">
        <w:rPr>
          <w:rFonts w:ascii="Palatino Linotype" w:eastAsia="Palatino Linotype" w:hAnsi="Palatino Linotype" w:cs="Palatino Linotype"/>
          <w:b/>
          <w:color w:val="000000"/>
        </w:rPr>
        <w:t>Del Sujeto Obligado.</w:t>
      </w:r>
    </w:p>
    <w:p w14:paraId="5E0EEDB8"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t xml:space="preserve">La Administración Pública Municipal para el ejercicio de sus atribuciones y responsabilidades ejecutivas, se auxiliará de diversas dependencias administrativas que </w:t>
      </w:r>
      <w:r w:rsidRPr="003A2146">
        <w:rPr>
          <w:rFonts w:ascii="Palatino Linotype" w:eastAsia="Palatino Linotype" w:hAnsi="Palatino Linotype" w:cs="Palatino Linotype"/>
        </w:rPr>
        <w:lastRenderedPageBreak/>
        <w:t>conforman la administración, tal como lo señala la Ley Orgánica Municipal del Estado de México, en su artículo 87:</w:t>
      </w:r>
    </w:p>
    <w:p w14:paraId="5E0EEDB9" w14:textId="77777777" w:rsidR="0034190F" w:rsidRPr="003A2146" w:rsidRDefault="005A1AAD">
      <w:pPr>
        <w:ind w:left="1134" w:right="-220"/>
        <w:jc w:val="center"/>
        <w:rPr>
          <w:rFonts w:ascii="Palatino Linotype" w:eastAsia="Palatino Linotype" w:hAnsi="Palatino Linotype" w:cs="Palatino Linotype"/>
          <w:i/>
          <w:sz w:val="22"/>
          <w:szCs w:val="22"/>
        </w:rPr>
      </w:pPr>
      <w:r w:rsidRPr="003A2146">
        <w:rPr>
          <w:rFonts w:ascii="Palatino Linotype" w:eastAsia="Palatino Linotype" w:hAnsi="Palatino Linotype" w:cs="Palatino Linotype"/>
          <w:b/>
          <w:i/>
          <w:sz w:val="22"/>
          <w:szCs w:val="22"/>
        </w:rPr>
        <w:t>Ley Orgánica Municipal del Estado de México</w:t>
      </w:r>
    </w:p>
    <w:p w14:paraId="5E0EEDBA" w14:textId="77777777" w:rsidR="0034190F" w:rsidRPr="003A2146" w:rsidRDefault="0034190F">
      <w:pPr>
        <w:ind w:left="1134" w:right="-220"/>
        <w:jc w:val="both"/>
        <w:rPr>
          <w:rFonts w:ascii="Palatino Linotype" w:eastAsia="Palatino Linotype" w:hAnsi="Palatino Linotype" w:cs="Palatino Linotype"/>
          <w:b/>
          <w:i/>
          <w:sz w:val="22"/>
          <w:szCs w:val="22"/>
        </w:rPr>
      </w:pPr>
    </w:p>
    <w:p w14:paraId="5E0EEDBB" w14:textId="77777777" w:rsidR="0034190F" w:rsidRPr="003A2146" w:rsidRDefault="005A1AAD">
      <w:pPr>
        <w:ind w:left="1134" w:right="-220"/>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b/>
          <w:i/>
          <w:sz w:val="22"/>
          <w:szCs w:val="22"/>
        </w:rPr>
        <w:t xml:space="preserve">Artículo 87.- </w:t>
      </w:r>
      <w:r w:rsidRPr="003A2146">
        <w:rPr>
          <w:rFonts w:ascii="Palatino Linotype" w:eastAsia="Palatino Linotype" w:hAnsi="Palatino Linotype" w:cs="Palatino Linotype"/>
          <w:i/>
          <w:sz w:val="22"/>
          <w:szCs w:val="22"/>
        </w:rPr>
        <w:t>Para el despacho, estudio y planeación de los diversos asuntos de la administración municipal, el ayuntamiento contará por lo menos con las siguientes Dependencias:</w:t>
      </w:r>
    </w:p>
    <w:p w14:paraId="5E0EEDBC" w14:textId="77777777" w:rsidR="0034190F" w:rsidRPr="003A2146" w:rsidRDefault="0034190F">
      <w:pPr>
        <w:ind w:left="1134" w:right="-220"/>
        <w:jc w:val="both"/>
        <w:rPr>
          <w:rFonts w:ascii="Palatino Linotype" w:eastAsia="Palatino Linotype" w:hAnsi="Palatino Linotype" w:cs="Palatino Linotype"/>
          <w:i/>
          <w:sz w:val="22"/>
          <w:szCs w:val="22"/>
        </w:rPr>
      </w:pPr>
    </w:p>
    <w:p w14:paraId="5E0EEDBD" w14:textId="77777777" w:rsidR="0034190F" w:rsidRPr="003A2146" w:rsidRDefault="005A1AAD">
      <w:pPr>
        <w:ind w:left="1134" w:right="-220"/>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 xml:space="preserve">I. La secretaría del ayuntamiento; </w:t>
      </w:r>
    </w:p>
    <w:p w14:paraId="5E0EEDBE" w14:textId="77777777" w:rsidR="0034190F" w:rsidRPr="003A2146" w:rsidRDefault="005A1AAD">
      <w:pPr>
        <w:ind w:left="1134" w:right="-220"/>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 xml:space="preserve">II. La tesorería municipal. </w:t>
      </w:r>
    </w:p>
    <w:p w14:paraId="5E0EEDBF" w14:textId="77777777" w:rsidR="0034190F" w:rsidRPr="003A2146" w:rsidRDefault="005A1AAD">
      <w:pPr>
        <w:ind w:left="1134" w:right="-220"/>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 xml:space="preserve">III. La Dirección de Obras Públicas o equivalente. </w:t>
      </w:r>
    </w:p>
    <w:p w14:paraId="5E0EEDC0" w14:textId="77777777" w:rsidR="0034190F" w:rsidRPr="003A2146" w:rsidRDefault="005A1AAD">
      <w:pPr>
        <w:ind w:left="1134" w:right="-220"/>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 xml:space="preserve">IV. La Dirección de Desarrollo Económico o equivalente. </w:t>
      </w:r>
    </w:p>
    <w:p w14:paraId="5E0EEDC1" w14:textId="77777777" w:rsidR="0034190F" w:rsidRPr="003A2146" w:rsidRDefault="005A1AAD">
      <w:pPr>
        <w:ind w:left="1134" w:right="-220"/>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V. La Dirección de Desarrollo Urbano o equivalente;</w:t>
      </w:r>
    </w:p>
    <w:p w14:paraId="5E0EEDC2" w14:textId="77777777" w:rsidR="0034190F" w:rsidRPr="003A2146" w:rsidRDefault="005A1AAD">
      <w:pPr>
        <w:ind w:left="1134" w:right="-220"/>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 xml:space="preserve">VI. La Dirección de Ecología o equivalente. </w:t>
      </w:r>
    </w:p>
    <w:p w14:paraId="5E0EEDC3" w14:textId="77777777" w:rsidR="0034190F" w:rsidRPr="003A2146" w:rsidRDefault="005A1AAD">
      <w:pPr>
        <w:ind w:left="1134" w:right="-220"/>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 xml:space="preserve">VII. La Dirección de Desarrollo Social o equivalente. </w:t>
      </w:r>
    </w:p>
    <w:p w14:paraId="5E0EEDC4" w14:textId="77777777" w:rsidR="0034190F" w:rsidRPr="003A2146" w:rsidRDefault="005A1AAD">
      <w:pPr>
        <w:ind w:left="1134" w:right="-220"/>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 xml:space="preserve">VIII. La Coordinación Municipal de Protección Civil o equivalente. </w:t>
      </w:r>
    </w:p>
    <w:p w14:paraId="5E0EEDC5" w14:textId="77777777" w:rsidR="0034190F" w:rsidRPr="003A2146" w:rsidRDefault="005A1AAD">
      <w:pPr>
        <w:ind w:left="1134" w:right="-220"/>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 xml:space="preserve">IX. La Dirección de las Mujeres o equivalente. </w:t>
      </w:r>
    </w:p>
    <w:p w14:paraId="5E0EEDC6" w14:textId="77777777" w:rsidR="0034190F" w:rsidRPr="003A2146" w:rsidRDefault="005A1AAD">
      <w:pPr>
        <w:ind w:left="1134" w:right="-220"/>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X. Dirección del Campo o equivalente, preferentemente en los municipios cuyas características geográficas, territoriales, sociales, culturales, políticas y económicas sean predominantemente inherentes al ámbito rural.</w:t>
      </w:r>
    </w:p>
    <w:p w14:paraId="5E0EEDC7" w14:textId="77777777" w:rsidR="0034190F" w:rsidRPr="003A2146" w:rsidRDefault="0034190F">
      <w:pPr>
        <w:spacing w:line="360" w:lineRule="auto"/>
        <w:ind w:right="-787"/>
        <w:jc w:val="both"/>
        <w:rPr>
          <w:rFonts w:ascii="Palatino Linotype" w:eastAsia="Palatino Linotype" w:hAnsi="Palatino Linotype" w:cs="Palatino Linotype"/>
        </w:rPr>
      </w:pPr>
    </w:p>
    <w:p w14:paraId="5E0EEDC8"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En materia de ordenamiento urbano, asentamientos humanos, urbanismo y vivienda, el área competente es la Dirección de Desarrollo Urbano o equivalente, misma que tiene las siguientes atribuciones de acuerdo a la Ley Orgánica señalada en el párrafo anterior:</w:t>
      </w:r>
    </w:p>
    <w:p w14:paraId="5E0EEDC9" w14:textId="77777777" w:rsidR="0034190F" w:rsidRPr="003A2146" w:rsidRDefault="005A1AAD">
      <w:pPr>
        <w:pBdr>
          <w:top w:val="nil"/>
          <w:left w:val="nil"/>
          <w:bottom w:val="nil"/>
          <w:right w:val="nil"/>
          <w:between w:val="nil"/>
        </w:pBdr>
        <w:ind w:left="566" w:right="-220"/>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Ley Orgánica Municipal del Estado de México</w:t>
      </w:r>
    </w:p>
    <w:p w14:paraId="5E0EEDCA" w14:textId="77777777" w:rsidR="0034190F" w:rsidRPr="003A2146" w:rsidRDefault="0034190F">
      <w:pPr>
        <w:pBdr>
          <w:top w:val="nil"/>
          <w:left w:val="nil"/>
          <w:bottom w:val="nil"/>
          <w:right w:val="nil"/>
          <w:between w:val="nil"/>
        </w:pBdr>
        <w:ind w:left="566" w:right="-220"/>
        <w:jc w:val="center"/>
        <w:rPr>
          <w:rFonts w:ascii="Palatino Linotype" w:eastAsia="Palatino Linotype" w:hAnsi="Palatino Linotype" w:cs="Palatino Linotype"/>
          <w:b/>
          <w:i/>
          <w:color w:val="000000"/>
          <w:sz w:val="22"/>
          <w:szCs w:val="22"/>
        </w:rPr>
      </w:pPr>
    </w:p>
    <w:p w14:paraId="5E0EEDCB"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 xml:space="preserve">Artículo 96. </w:t>
      </w:r>
      <w:proofErr w:type="spellStart"/>
      <w:r w:rsidRPr="003A2146">
        <w:rPr>
          <w:rFonts w:ascii="Palatino Linotype" w:eastAsia="Palatino Linotype" w:hAnsi="Palatino Linotype" w:cs="Palatino Linotype"/>
          <w:b/>
          <w:i/>
          <w:color w:val="000000"/>
          <w:sz w:val="22"/>
          <w:szCs w:val="22"/>
        </w:rPr>
        <w:t>Sexies</w:t>
      </w:r>
      <w:proofErr w:type="spellEnd"/>
      <w:r w:rsidRPr="003A2146">
        <w:rPr>
          <w:rFonts w:ascii="Palatino Linotype" w:eastAsia="Palatino Linotype" w:hAnsi="Palatino Linotype" w:cs="Palatino Linotype"/>
          <w:i/>
          <w:color w:val="000000"/>
          <w:sz w:val="22"/>
          <w:szCs w:val="22"/>
        </w:rPr>
        <w:t xml:space="preserve">. El Director de Desarrollo Urbano o el Titular de la Unidad Administrativa equivalente, tiene las atribuciones siguientes: </w:t>
      </w:r>
    </w:p>
    <w:p w14:paraId="5E0EEDCC" w14:textId="77777777" w:rsidR="0034190F" w:rsidRPr="003A2146" w:rsidRDefault="0034190F">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p>
    <w:p w14:paraId="5E0EEDCD"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 Ejecutar la política en materia de reordenamiento urbano; </w:t>
      </w:r>
    </w:p>
    <w:p w14:paraId="5E0EEDCE"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II. Formular y conducir las políticas municipales de asentamientos humanos, urbanismo y vivienda; </w:t>
      </w:r>
    </w:p>
    <w:p w14:paraId="5E0EEDCF"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III. Aplicar y vigilar el cumplimiento de las disposiciones legales en materia de ordenamiento territorial de los asentamientos humanos, del desarrollo urbano y vivienda; </w:t>
      </w:r>
    </w:p>
    <w:p w14:paraId="5E0EEDD0"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IV. Proponer el plan municipal de desarrollo urbano, así como sus modificaciones, y los parciales que de ellos deriven; </w:t>
      </w:r>
    </w:p>
    <w:p w14:paraId="5E0EEDD1"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lastRenderedPageBreak/>
        <w:t xml:space="preserve">V. Participar en la elaboración o modificación del respectivo plan regional de desarrollo urbano o de los parciales que de éste deriven, cuando incluya parte o la totalidad de su territorio; </w:t>
      </w:r>
    </w:p>
    <w:p w14:paraId="5E0EEDD2"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VI. Analizar las cédulas informativas de zonificación, licencias de uso de suelo y licencias de construcción; </w:t>
      </w:r>
    </w:p>
    <w:p w14:paraId="5E0EEDD3"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VII. Vigilar la utilización y aprovechamiento del suelo con fines urbanos, en su circunscripción territorial; </w:t>
      </w:r>
    </w:p>
    <w:p w14:paraId="5E0EEDD4"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VIII. Proponer al Presidente Municipal, convenios, contratos y acuerdos, y</w:t>
      </w:r>
    </w:p>
    <w:p w14:paraId="5E0EEDD5"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IX. Las demás que le sean conferidas por el Presidente Municipal o por el Ayuntamiento y las establecidas en las disposiciones jurídicas aplicables.</w:t>
      </w:r>
    </w:p>
    <w:p w14:paraId="5E0EEDD6" w14:textId="77777777" w:rsidR="0034190F" w:rsidRPr="003A2146" w:rsidRDefault="0034190F">
      <w:pPr>
        <w:spacing w:line="360" w:lineRule="auto"/>
        <w:ind w:right="-787"/>
        <w:jc w:val="both"/>
      </w:pPr>
    </w:p>
    <w:p w14:paraId="5E0EEDD7"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t>La Administración Pública Municipal es la estructura que reúne y organiza los recursos técnicos, financieros, materiales y humanos para cumplir con los fines del Municipios, misma que cuenta con diversas dependencias,  de las cuales se desprenden las que integran la administración centralizada, la administración desconcentrada, la administración centralizada, órganos autónomos y auxiliares y comisiones edilicias. Para el caso que nos ocupa, el artículo 44 del  Bando Municipal 2024, señala la integración de la administración centralizada de la manera siguiente:</w:t>
      </w:r>
    </w:p>
    <w:p w14:paraId="5E0EEDD8"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Bando Municipal para el año 2024 de Tultitlán, Estado de México</w:t>
      </w:r>
    </w:p>
    <w:p w14:paraId="5E0EEDD9" w14:textId="77777777" w:rsidR="0034190F" w:rsidRPr="003A2146" w:rsidRDefault="0034190F">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p>
    <w:p w14:paraId="5E0EEDDA"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Artículo 44.</w:t>
      </w:r>
      <w:r w:rsidRPr="003A2146">
        <w:rPr>
          <w:rFonts w:ascii="Palatino Linotype" w:eastAsia="Palatino Linotype" w:hAnsi="Palatino Linotype" w:cs="Palatino Linotype"/>
          <w:i/>
          <w:color w:val="000000"/>
          <w:sz w:val="22"/>
          <w:szCs w:val="22"/>
        </w:rPr>
        <w:t xml:space="preserve"> El Gobierno Municipal contará con las siguientes dependencias para el despacho de sus asuntos: </w:t>
      </w:r>
    </w:p>
    <w:p w14:paraId="5E0EEDDB" w14:textId="77777777" w:rsidR="0034190F" w:rsidRPr="003A2146" w:rsidRDefault="0034190F">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p>
    <w:p w14:paraId="5E0EEDDC"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 xml:space="preserve">I. Administración centralizada integrada por: </w:t>
      </w:r>
    </w:p>
    <w:p w14:paraId="5E0EEDDD" w14:textId="77777777" w:rsidR="0034190F" w:rsidRPr="003A2146" w:rsidRDefault="0034190F">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p>
    <w:p w14:paraId="5E0EEDDE"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1. Oficina de Presidencia; </w:t>
      </w:r>
    </w:p>
    <w:p w14:paraId="5E0EEDDF"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2. Secretaría del Ayuntamiento; </w:t>
      </w:r>
    </w:p>
    <w:p w14:paraId="5E0EEDE0"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3. Tesorería Municipal; </w:t>
      </w:r>
    </w:p>
    <w:p w14:paraId="5E0EEDE1"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4. Dirección de Obras Públicas; </w:t>
      </w:r>
    </w:p>
    <w:p w14:paraId="5E0EEDE2"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5. Dirección de Desarrollo Económico; </w:t>
      </w:r>
    </w:p>
    <w:p w14:paraId="5E0EEDE3"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6. Órgano Interno de Control Municipal;</w:t>
      </w:r>
    </w:p>
    <w:p w14:paraId="5E0EEDE4"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 7. Dirección de Administración; </w:t>
      </w:r>
    </w:p>
    <w:p w14:paraId="5E0EEDE5"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8. Dirección de Servicios Públicos; </w:t>
      </w:r>
    </w:p>
    <w:p w14:paraId="5E0EEDE6"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 xml:space="preserve">9. Dirección de Desarrollo Urbano y Medio Ambiente; </w:t>
      </w:r>
    </w:p>
    <w:p w14:paraId="5E0EEDE7"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10. Dirección de Educación, Cultura y Turismo; </w:t>
      </w:r>
    </w:p>
    <w:p w14:paraId="5E0EEDE8"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11. Dirección de Seguridad Ciudadana y Vialidad;</w:t>
      </w:r>
    </w:p>
    <w:p w14:paraId="5E0EEDE9"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lastRenderedPageBreak/>
        <w:t xml:space="preserve">12. Consejería Jurídica Municipal; </w:t>
      </w:r>
    </w:p>
    <w:p w14:paraId="5E0EEDEA"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13. Dirección de Información, Planeación, Programación y Evaluación; y </w:t>
      </w:r>
    </w:p>
    <w:p w14:paraId="5E0EEDEB"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14. Dirección de Gobierno y Protección Civil.</w:t>
      </w:r>
    </w:p>
    <w:p w14:paraId="5E0EEDEC" w14:textId="77777777" w:rsidR="0034190F" w:rsidRPr="003A2146" w:rsidRDefault="005A1AAD">
      <w:pPr>
        <w:pBdr>
          <w:top w:val="nil"/>
          <w:left w:val="nil"/>
          <w:bottom w:val="nil"/>
          <w:right w:val="nil"/>
          <w:between w:val="nil"/>
        </w:pBdr>
        <w:ind w:left="1134" w:right="-787"/>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DED" w14:textId="77777777" w:rsidR="0034190F" w:rsidRPr="003A2146" w:rsidRDefault="0034190F">
      <w:pPr>
        <w:spacing w:line="360" w:lineRule="auto"/>
        <w:ind w:right="-787"/>
        <w:jc w:val="both"/>
        <w:rPr>
          <w:rFonts w:ascii="Palatino Linotype" w:eastAsia="Palatino Linotype" w:hAnsi="Palatino Linotype" w:cs="Palatino Linotype"/>
        </w:rPr>
      </w:pPr>
    </w:p>
    <w:p w14:paraId="5E0EEDEE"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La Dirección de Desarrollo Urbano y Medio Ambiente tiene diversas atribuciones y facultades, contenidas en el Bando Municipal 2024, y el Reglamento Orgánico de la Administración Pública del Municipio de Tultitlán, Estado de México, entre las cuales se pueden enunciar las siguientes:</w:t>
      </w:r>
    </w:p>
    <w:p w14:paraId="5E0EEDEF" w14:textId="77777777" w:rsidR="0034190F" w:rsidRPr="003A2146" w:rsidRDefault="005A1AAD">
      <w:pPr>
        <w:pBdr>
          <w:top w:val="nil"/>
          <w:left w:val="nil"/>
          <w:bottom w:val="nil"/>
          <w:right w:val="nil"/>
          <w:between w:val="nil"/>
        </w:pBdr>
        <w:ind w:left="566" w:right="-220"/>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Bando Municipal para el año 2024 de Tultitlán, Estado de México</w:t>
      </w:r>
    </w:p>
    <w:p w14:paraId="5E0EEDF0" w14:textId="77777777" w:rsidR="0034190F" w:rsidRPr="003A2146" w:rsidRDefault="0034190F">
      <w:pPr>
        <w:pBdr>
          <w:top w:val="nil"/>
          <w:left w:val="nil"/>
          <w:bottom w:val="nil"/>
          <w:right w:val="nil"/>
          <w:between w:val="nil"/>
        </w:pBdr>
        <w:ind w:left="566" w:right="-220"/>
        <w:jc w:val="center"/>
        <w:rPr>
          <w:rFonts w:ascii="Palatino Linotype" w:eastAsia="Palatino Linotype" w:hAnsi="Palatino Linotype" w:cs="Palatino Linotype"/>
          <w:b/>
          <w:i/>
          <w:color w:val="000000"/>
          <w:sz w:val="22"/>
          <w:szCs w:val="22"/>
        </w:rPr>
      </w:pPr>
    </w:p>
    <w:p w14:paraId="5E0EEDF1" w14:textId="77777777" w:rsidR="0034190F" w:rsidRPr="003A2146" w:rsidRDefault="005A1AAD">
      <w:pPr>
        <w:pBdr>
          <w:top w:val="nil"/>
          <w:left w:val="nil"/>
          <w:bottom w:val="nil"/>
          <w:right w:val="nil"/>
          <w:between w:val="nil"/>
        </w:pBdr>
        <w:ind w:left="566" w:right="-220"/>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Capítulo XI</w:t>
      </w:r>
    </w:p>
    <w:p w14:paraId="5E0EEDF2" w14:textId="77777777" w:rsidR="0034190F" w:rsidRPr="003A2146" w:rsidRDefault="005A1AAD">
      <w:pPr>
        <w:pBdr>
          <w:top w:val="nil"/>
          <w:left w:val="nil"/>
          <w:bottom w:val="nil"/>
          <w:right w:val="nil"/>
          <w:between w:val="nil"/>
        </w:pBdr>
        <w:ind w:left="566" w:right="-220"/>
        <w:jc w:val="center"/>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De la Dirección de Desarrollo Urbano y Medio Ambiente</w:t>
      </w:r>
    </w:p>
    <w:p w14:paraId="5E0EEDF3" w14:textId="77777777" w:rsidR="0034190F" w:rsidRPr="003A2146" w:rsidRDefault="0034190F">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p>
    <w:p w14:paraId="5E0EEDF4"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Artículo 66</w:t>
      </w:r>
      <w:r w:rsidRPr="003A2146">
        <w:rPr>
          <w:rFonts w:ascii="Palatino Linotype" w:eastAsia="Palatino Linotype" w:hAnsi="Palatino Linotype" w:cs="Palatino Linotype"/>
          <w:i/>
          <w:color w:val="000000"/>
          <w:sz w:val="22"/>
          <w:szCs w:val="22"/>
        </w:rPr>
        <w:t xml:space="preserve">. El Municipio, en cumplimiento a las leyes federales y estatales, al plan municipal de Desarrollo Urbano vigente, respecto a los asentamientos y el desarrollo urbano tiene las </w:t>
      </w:r>
      <w:r w:rsidRPr="003A2146">
        <w:rPr>
          <w:rFonts w:ascii="Palatino Linotype" w:eastAsia="Palatino Linotype" w:hAnsi="Palatino Linotype" w:cs="Palatino Linotype"/>
          <w:b/>
          <w:i/>
          <w:color w:val="000000"/>
          <w:sz w:val="22"/>
          <w:szCs w:val="22"/>
        </w:rPr>
        <w:t>atribuciones</w:t>
      </w:r>
      <w:r w:rsidRPr="003A2146">
        <w:rPr>
          <w:rFonts w:ascii="Palatino Linotype" w:eastAsia="Palatino Linotype" w:hAnsi="Palatino Linotype" w:cs="Palatino Linotype"/>
          <w:i/>
          <w:color w:val="000000"/>
          <w:sz w:val="22"/>
          <w:szCs w:val="22"/>
        </w:rPr>
        <w:t xml:space="preserve"> siguientes:</w:t>
      </w:r>
    </w:p>
    <w:p w14:paraId="5E0EEDF5" w14:textId="77777777" w:rsidR="0034190F" w:rsidRPr="003A2146" w:rsidRDefault="0034190F">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p>
    <w:p w14:paraId="5E0EEDF6"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I. Elaborar, ejecutar, evaluar o modificar el Plan Municipal de Desarrollo Urbano, los planes de centros de población, zonificación y planes de administración de reservas territoriales, por conducto de las áreas de planeación y desarrollo urbano;</w:t>
      </w:r>
    </w:p>
    <w:p w14:paraId="5E0EEDF7"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DF8"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IX. Iniciar, tramitar, resolver y ejecutar el procedimiento administrativo común en términos del Código de Procedimientos Administrativos del Estado de México, de oficio y/o a petición de parte, en todo tipo de construcciones que sin licencia o permiso correspondiente se realicen o pretendan realizarse, cualquiera que sea su régimen jurídico de propiedad, así como en las acciones que pretendan restringir el acceso a áreas verdes, áreas de uso común o estacionamientos delimitados con mallas ciclónicas, maceteros, herrería, cables, postes, cadenas, plumas, jardineras, rampas y construcciones sobre banqueta, así como sobre marquesinas o cualquier otra invasión aérea u obstáculo que impida el libre tránsito vehicular o peatonal, así como se pretenda cambiar o modificar el uso o destino para los cuales fueron concebidos;</w:t>
      </w:r>
    </w:p>
    <w:p w14:paraId="5E0EEDF9"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DFA"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XVII. Solicitar a las diversas entidades y dependencias federales y/o estatales, así como a las personas físicas y jurídico colectivas, en la expedición de licencias, permisos y/o autorizaciones propias de esta Dirección, aportaciones, cooperaciones, obras y/o acciones destinados a mitigar los efectos del impacto de sus proyectos, por la instalación, </w:t>
      </w:r>
      <w:r w:rsidRPr="003A2146">
        <w:rPr>
          <w:rFonts w:ascii="Palatino Linotype" w:eastAsia="Palatino Linotype" w:hAnsi="Palatino Linotype" w:cs="Palatino Linotype"/>
          <w:i/>
          <w:sz w:val="22"/>
          <w:szCs w:val="22"/>
        </w:rPr>
        <w:t>operación</w:t>
      </w:r>
      <w:r w:rsidRPr="003A2146">
        <w:rPr>
          <w:rFonts w:ascii="Palatino Linotype" w:eastAsia="Palatino Linotype" w:hAnsi="Palatino Linotype" w:cs="Palatino Linotype"/>
          <w:i/>
          <w:color w:val="000000"/>
          <w:sz w:val="22"/>
          <w:szCs w:val="22"/>
        </w:rPr>
        <w:t xml:space="preserve">, funcionamiento y/o explotación </w:t>
      </w:r>
      <w:r w:rsidRPr="003A2146">
        <w:rPr>
          <w:rFonts w:ascii="Palatino Linotype" w:eastAsia="Palatino Linotype" w:hAnsi="Palatino Linotype" w:cs="Palatino Linotype"/>
          <w:i/>
          <w:color w:val="000000"/>
          <w:sz w:val="22"/>
          <w:szCs w:val="22"/>
        </w:rPr>
        <w:lastRenderedPageBreak/>
        <w:t>de recursos naturales y/o de infraestructura, en aquellos proyectos que generen un impacto urbano y/o ecológico; Proponer al Ayuntamiento la autorización y/o aprobación de las tarifas para el cobro por la prestación de los servicios en materia de desarrollo urbano o de medio ambiente no especificados en la Ley de Ingresos de los Municipios del Estado de México para el ejercicio fiscal que corresponda;</w:t>
      </w:r>
    </w:p>
    <w:p w14:paraId="5E0EEDFB"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DFC" w14:textId="77777777" w:rsidR="0034190F" w:rsidRPr="003A2146" w:rsidRDefault="0034190F">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p>
    <w:p w14:paraId="5E0EEDFD"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Artículo 67.</w:t>
      </w:r>
      <w:r w:rsidRPr="003A2146">
        <w:rPr>
          <w:rFonts w:ascii="Palatino Linotype" w:eastAsia="Palatino Linotype" w:hAnsi="Palatino Linotype" w:cs="Palatino Linotype"/>
          <w:i/>
          <w:color w:val="000000"/>
          <w:sz w:val="22"/>
          <w:szCs w:val="22"/>
        </w:rPr>
        <w:t xml:space="preserve"> </w:t>
      </w:r>
      <w:r w:rsidRPr="003A2146">
        <w:rPr>
          <w:rFonts w:ascii="Palatino Linotype" w:eastAsia="Palatino Linotype" w:hAnsi="Palatino Linotype" w:cs="Palatino Linotype"/>
          <w:b/>
          <w:i/>
          <w:color w:val="000000"/>
          <w:sz w:val="22"/>
          <w:szCs w:val="22"/>
        </w:rPr>
        <w:t>El Ayuntamiento, a través de la Dirección de Desarrollo Urbano y Medio Ambiente</w:t>
      </w:r>
      <w:r w:rsidRPr="003A2146">
        <w:rPr>
          <w:rFonts w:ascii="Palatino Linotype" w:eastAsia="Palatino Linotype" w:hAnsi="Palatino Linotype" w:cs="Palatino Linotype"/>
          <w:i/>
          <w:color w:val="000000"/>
          <w:sz w:val="22"/>
          <w:szCs w:val="22"/>
        </w:rPr>
        <w:t xml:space="preserve">, para hacer cumplir las atribuciones que le confiere la Ley General de Asentamientos Humanos, Ordenamiento Territorial y Desarrollo Urbano; el Libro Quinto y el Libro Décimo Octavo del Código Administrativo del Estado de México y sus correspondientes Reglamentos; la Ley de Competitividad y Ordenamiento Comercial del Estado de México y su Reglamento; la Ley General del Equilibrio Ecológico y la Protección al Ambiente; la Ley General de Desarrollo Forestal Sustentable; el Código para la Biodiversidad del Estado de México y su Reglamento, así como la demás legislación Federal y Estatal que corresponda, de sus Reglamentos, Normas Técnicas Oficiales (NOM) y disposiciones administrativas de observancia general; </w:t>
      </w:r>
      <w:r w:rsidRPr="003A2146">
        <w:rPr>
          <w:rFonts w:ascii="Palatino Linotype" w:eastAsia="Palatino Linotype" w:hAnsi="Palatino Linotype" w:cs="Palatino Linotype"/>
          <w:b/>
          <w:i/>
          <w:color w:val="000000"/>
          <w:sz w:val="22"/>
          <w:szCs w:val="22"/>
        </w:rPr>
        <w:t>tendrá las siguientes</w:t>
      </w:r>
      <w:r w:rsidRPr="003A2146">
        <w:rPr>
          <w:rFonts w:ascii="Palatino Linotype" w:eastAsia="Palatino Linotype" w:hAnsi="Palatino Linotype" w:cs="Palatino Linotype"/>
          <w:i/>
          <w:color w:val="000000"/>
          <w:sz w:val="22"/>
          <w:szCs w:val="22"/>
        </w:rPr>
        <w:t xml:space="preserve"> </w:t>
      </w:r>
      <w:r w:rsidRPr="003A2146">
        <w:rPr>
          <w:rFonts w:ascii="Palatino Linotype" w:eastAsia="Palatino Linotype" w:hAnsi="Palatino Linotype" w:cs="Palatino Linotype"/>
          <w:b/>
          <w:i/>
          <w:color w:val="000000"/>
          <w:sz w:val="22"/>
          <w:szCs w:val="22"/>
        </w:rPr>
        <w:t>facultades</w:t>
      </w:r>
      <w:r w:rsidRPr="003A2146">
        <w:rPr>
          <w:rFonts w:ascii="Palatino Linotype" w:eastAsia="Palatino Linotype" w:hAnsi="Palatino Linotype" w:cs="Palatino Linotype"/>
          <w:i/>
          <w:color w:val="000000"/>
          <w:sz w:val="22"/>
          <w:szCs w:val="22"/>
        </w:rPr>
        <w:t>:</w:t>
      </w:r>
    </w:p>
    <w:p w14:paraId="5E0EEDFE" w14:textId="77777777" w:rsidR="0034190F" w:rsidRPr="003A2146" w:rsidRDefault="0034190F">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p>
    <w:p w14:paraId="5E0EEDFF"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Apartado A. Del Desarrollo Urbano:</w:t>
      </w:r>
      <w:r w:rsidRPr="003A2146">
        <w:rPr>
          <w:rFonts w:ascii="Palatino Linotype" w:eastAsia="Palatino Linotype" w:hAnsi="Palatino Linotype" w:cs="Palatino Linotype"/>
          <w:i/>
          <w:color w:val="000000"/>
          <w:sz w:val="22"/>
          <w:szCs w:val="22"/>
        </w:rPr>
        <w:t xml:space="preserve"> </w:t>
      </w:r>
    </w:p>
    <w:p w14:paraId="5E0EEE00" w14:textId="77777777" w:rsidR="0034190F" w:rsidRPr="003A2146" w:rsidRDefault="0034190F">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p>
    <w:p w14:paraId="5E0EEE01"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 Expedir las licencias municipales de uso de suelo, de construcción, autorizaciones y/o permisos de obra, así como las prórrogas respectivas a licencias de construcción, conforme a los requisitos y términos que prevé el Código Administrativo del Estado de México, Código Financiero del Estado de México y Municipios y demás disposiciones relativas; </w:t>
      </w:r>
    </w:p>
    <w:p w14:paraId="5E0EEE02" w14:textId="77777777" w:rsidR="0034190F" w:rsidRPr="003A2146" w:rsidRDefault="0034190F">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p>
    <w:p w14:paraId="5E0EEE03"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II. Expedir constancias de terminación o suspensión de obra, de alineamiento y número oficial, conforme a los requisitos y términos que prevé el Código Administrativo del Estado de México, Código Financiero del Estado de México y Municipios y demás disposiciones relativas;</w:t>
      </w:r>
    </w:p>
    <w:p w14:paraId="5E0EEE04"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05" w14:textId="77777777" w:rsidR="0034190F" w:rsidRPr="003A2146" w:rsidRDefault="0034190F">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p>
    <w:p w14:paraId="5E0EEE06"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V. Expedir la autorización para realizar obras de mejoramiento, modificación, ruptura o corte de banquetas, pavimento en calles y guarniciones para llevar a cabo obras o instalaciones subterráneas de conformidad a lo establecido en el Libro Décimo Octavo del Código Administrativo del Estado de México, su Reglamento y demás disposiciones aplicables; </w:t>
      </w:r>
    </w:p>
    <w:p w14:paraId="5E0EEE07" w14:textId="77777777" w:rsidR="0034190F" w:rsidRPr="003A2146" w:rsidRDefault="0034190F">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p>
    <w:p w14:paraId="5E0EEE08"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VI. Llevar a cabo la supervisión e inspección de toda construcción con fines habitacionales, industriales, comerciales y de prestación de servicios para que cumplan con la normatividad establecida en el Libro Décimo Octavo del Código Administrativo del Estado de México, su </w:t>
      </w:r>
      <w:r w:rsidRPr="003A2146">
        <w:rPr>
          <w:rFonts w:ascii="Palatino Linotype" w:eastAsia="Palatino Linotype" w:hAnsi="Palatino Linotype" w:cs="Palatino Linotype"/>
          <w:i/>
          <w:color w:val="000000"/>
          <w:sz w:val="22"/>
          <w:szCs w:val="22"/>
        </w:rPr>
        <w:lastRenderedPageBreak/>
        <w:t>Reglamento y el Plan Municipal de Desarrollo Urbano referente a los usos de suelo, densidad, intensidad, área libre, cajones de estacionamiento, altura de las construcciones y alineamiento;</w:t>
      </w:r>
    </w:p>
    <w:p w14:paraId="5E0EEE09"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0A"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VIII. Expedir las cedulas informativas de zonificación y licencias de uso de suelo y en su caso coadyuvar, vincular y coordinar con la Dirección de Desarrollo Económico respecto al dictamen de giro;</w:t>
      </w:r>
    </w:p>
    <w:p w14:paraId="5E0EEE0B"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0C" w14:textId="77777777" w:rsidR="0034190F" w:rsidRPr="003A2146" w:rsidRDefault="0034190F">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p>
    <w:p w14:paraId="5E0EEE0D" w14:textId="77777777" w:rsidR="0034190F" w:rsidRPr="003A2146" w:rsidRDefault="005A1AAD">
      <w:pPr>
        <w:pBdr>
          <w:top w:val="nil"/>
          <w:left w:val="nil"/>
          <w:bottom w:val="nil"/>
          <w:right w:val="nil"/>
          <w:between w:val="nil"/>
        </w:pBdr>
        <w:ind w:left="566" w:right="-220"/>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Reglamento Orgánico de la Administración Pública del Municipio de Tultitlán, Estado de México</w:t>
      </w:r>
    </w:p>
    <w:p w14:paraId="5E0EEE0E" w14:textId="77777777" w:rsidR="0034190F" w:rsidRPr="003A2146" w:rsidRDefault="0034190F">
      <w:pPr>
        <w:pBdr>
          <w:top w:val="nil"/>
          <w:left w:val="nil"/>
          <w:bottom w:val="nil"/>
          <w:right w:val="nil"/>
          <w:between w:val="nil"/>
        </w:pBdr>
        <w:ind w:left="566" w:right="-220"/>
        <w:jc w:val="center"/>
        <w:rPr>
          <w:rFonts w:ascii="Palatino Linotype" w:eastAsia="Palatino Linotype" w:hAnsi="Palatino Linotype" w:cs="Palatino Linotype"/>
          <w:b/>
          <w:i/>
          <w:color w:val="000000"/>
          <w:sz w:val="22"/>
          <w:szCs w:val="22"/>
        </w:rPr>
      </w:pPr>
    </w:p>
    <w:p w14:paraId="5E0EEE0F"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Artículo 219</w:t>
      </w:r>
      <w:r w:rsidRPr="003A2146">
        <w:rPr>
          <w:rFonts w:ascii="Palatino Linotype" w:eastAsia="Palatino Linotype" w:hAnsi="Palatino Linotype" w:cs="Palatino Linotype"/>
          <w:i/>
          <w:color w:val="000000"/>
          <w:sz w:val="22"/>
          <w:szCs w:val="22"/>
        </w:rPr>
        <w:t>. Le corresponde a la Directora o el Director de Desarrollo Urbano y Medio Ambiente:</w:t>
      </w:r>
    </w:p>
    <w:p w14:paraId="5E0EEE10"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11"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II. Suscribir acuerdos, oficios, circulares, visitas de verificación, ordenes de recorrido, inspección, convenios, mesas de trabajo, imposición de medidas de seguridad y demás documentos propios de las actividades que ejerce la Dirección; </w:t>
      </w:r>
    </w:p>
    <w:p w14:paraId="5E0EEE12" w14:textId="77777777" w:rsidR="0034190F" w:rsidRPr="003A2146" w:rsidRDefault="0034190F">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p>
    <w:p w14:paraId="5E0EEE13"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III. Suscribir licencias, constancias, cedulas, permisos y/o autorizaciones propias de la actividades que ejerce la Dirección de Desarrollo Urbano y Medio Ambiente, en términos de las disposiciones legales vigentes y aplicables en la materia; </w:t>
      </w:r>
    </w:p>
    <w:p w14:paraId="5E0EEE14" w14:textId="77777777" w:rsidR="0034190F" w:rsidRPr="003A2146" w:rsidRDefault="0034190F">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p>
    <w:p w14:paraId="5E0EEE15"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IV. Supervisar el crecimiento urbano y desarrollo de los centros de población del Municipio, mediante la aplicación de las normas en materia de Desarrollo Urbano y Medio Ambiente;</w:t>
      </w:r>
    </w:p>
    <w:p w14:paraId="5E0EEE16"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17"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IX. Fomentar programas de regularización en todo tipo de obras de construcción, independientemente de su régimen de propiedad, sujetándose a la normatividad aplicable y dejando a salvo los derechos de terceros;</w:t>
      </w:r>
    </w:p>
    <w:p w14:paraId="5E0EEE18"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19" w14:textId="77777777" w:rsidR="0034190F" w:rsidRPr="003A2146" w:rsidRDefault="0034190F">
      <w:pPr>
        <w:spacing w:line="360" w:lineRule="auto"/>
        <w:ind w:right="-787"/>
        <w:rPr>
          <w:rFonts w:ascii="Palatino Linotype" w:eastAsia="Palatino Linotype" w:hAnsi="Palatino Linotype" w:cs="Palatino Linotype"/>
        </w:rPr>
      </w:pPr>
    </w:p>
    <w:p w14:paraId="5E0EEE1A"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Del análisis del contenido de la normatividad establecida, se determina que la información debe existir, ya que se refiere a facultades, competencias y funciones que los ordenamientos jurídicos otorgan al sujeto obligado.</w:t>
      </w:r>
    </w:p>
    <w:p w14:paraId="5E0EEE1B" w14:textId="77777777" w:rsidR="0034190F" w:rsidRPr="003A2146" w:rsidRDefault="0034190F">
      <w:pPr>
        <w:spacing w:line="360" w:lineRule="auto"/>
        <w:ind w:right="-787"/>
        <w:jc w:val="both"/>
      </w:pPr>
    </w:p>
    <w:p w14:paraId="5E0EEE1C"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t xml:space="preserve">Es de recordar que el Sujeto Obligado en respuesta emite pronunciamiento a través del Servidor Público Habilitado de la Dirección de Desarrollo Urbano y Medio Ambiente, </w:t>
      </w:r>
      <w:r w:rsidRPr="003A2146">
        <w:rPr>
          <w:rFonts w:ascii="Palatino Linotype" w:eastAsia="Palatino Linotype" w:hAnsi="Palatino Linotype" w:cs="Palatino Linotype"/>
        </w:rPr>
        <w:lastRenderedPageBreak/>
        <w:t xml:space="preserve">que como ha quedado demostrado, es el área competente para poseer, general y administrar, la información requerida, por lo que podemos advertir que </w:t>
      </w:r>
      <w:r w:rsidRPr="003A2146">
        <w:rPr>
          <w:rFonts w:ascii="Palatino Linotype" w:eastAsia="Palatino Linotype" w:hAnsi="Palatino Linotype" w:cs="Palatino Linotype"/>
          <w:b/>
        </w:rPr>
        <w:t xml:space="preserve">EL SUJETO OBLIGADO </w:t>
      </w:r>
      <w:r w:rsidRPr="003A2146">
        <w:rPr>
          <w:rFonts w:ascii="Palatino Linotype" w:eastAsia="Palatino Linotype" w:hAnsi="Palatino Linotype" w:cs="Palatino Linotype"/>
        </w:rPr>
        <w:t>siguió el procedimiento inmerso en la normatividad aplicable, ya que tornó el requerimiento de información a la unidad administrativa competente, vigilando lo establecido por el artículo 162 de la Ley de Transparencia y Acceso a la Información Pública del Estado de México y Municipios, al turnar la solicitud de información a las áreas en las que pudiera obrar la información de conformidad con la fracción XXXIX del artículo tercero de la legislación local vigente en materia de transparencia:</w:t>
      </w:r>
    </w:p>
    <w:p w14:paraId="5E0EEE1D" w14:textId="77777777" w:rsidR="0034190F" w:rsidRPr="003A2146" w:rsidRDefault="005A1AAD">
      <w:pPr>
        <w:ind w:left="1134" w:right="-220"/>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b/>
          <w:i/>
          <w:sz w:val="22"/>
          <w:szCs w:val="22"/>
        </w:rPr>
        <w:t>XXXIX.</w:t>
      </w:r>
      <w:r w:rsidRPr="003A2146">
        <w:rPr>
          <w:rFonts w:ascii="Palatino Linotype" w:eastAsia="Palatino Linotype" w:hAnsi="Palatino Linotype" w:cs="Palatino Linotype"/>
          <w:i/>
          <w:sz w:val="22"/>
          <w:szCs w:val="22"/>
        </w:rPr>
        <w:t xml:space="preserve"> </w:t>
      </w:r>
      <w:r w:rsidRPr="003A2146">
        <w:rPr>
          <w:rFonts w:ascii="Palatino Linotype" w:eastAsia="Palatino Linotype" w:hAnsi="Palatino Linotype" w:cs="Palatino Linotype"/>
          <w:b/>
          <w:i/>
          <w:sz w:val="22"/>
          <w:szCs w:val="22"/>
        </w:rPr>
        <w:t>Servidor público habilitado</w:t>
      </w:r>
      <w:r w:rsidRPr="003A2146">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E0EEE1E" w14:textId="77777777" w:rsidR="0034190F" w:rsidRPr="003A2146" w:rsidRDefault="0034190F">
      <w:pPr>
        <w:spacing w:line="360" w:lineRule="auto"/>
        <w:ind w:left="708" w:right="-787"/>
        <w:jc w:val="both"/>
        <w:rPr>
          <w:rFonts w:ascii="Palatino Linotype" w:eastAsia="Palatino Linotype" w:hAnsi="Palatino Linotype" w:cs="Palatino Linotype"/>
        </w:rPr>
      </w:pPr>
    </w:p>
    <w:p w14:paraId="5E0EEE1F"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14:paraId="5E0EEE20" w14:textId="77777777" w:rsidR="0034190F" w:rsidRPr="003A2146" w:rsidRDefault="005A1AAD">
      <w:pPr>
        <w:ind w:left="1134" w:right="-220"/>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w:t>
      </w:r>
      <w:r w:rsidRPr="003A2146">
        <w:rPr>
          <w:rFonts w:ascii="Palatino Linotype" w:eastAsia="Palatino Linotype" w:hAnsi="Palatino Linotype" w:cs="Palatino Linotype"/>
          <w:b/>
          <w:i/>
          <w:sz w:val="22"/>
          <w:szCs w:val="22"/>
        </w:rPr>
        <w:t>Artículo 162.</w:t>
      </w:r>
      <w:r w:rsidRPr="003A2146">
        <w:rPr>
          <w:rFonts w:ascii="Palatino Linotype" w:eastAsia="Palatino Linotype" w:hAnsi="Palatino Linotype" w:cs="Palatino Linotype"/>
          <w:i/>
          <w:sz w:val="22"/>
          <w:szCs w:val="22"/>
        </w:rPr>
        <w:t xml:space="preserve"> Las unidades de transparencia deberán garantizar que las solicitudes se turnen a </w:t>
      </w:r>
      <w:r w:rsidRPr="003A2146">
        <w:rPr>
          <w:rFonts w:ascii="Palatino Linotype" w:eastAsia="Palatino Linotype" w:hAnsi="Palatino Linotype" w:cs="Palatino Linotype"/>
          <w:b/>
          <w:i/>
          <w:sz w:val="22"/>
          <w:szCs w:val="22"/>
        </w:rPr>
        <w:t>todas las Áreas competentes</w:t>
      </w:r>
      <w:r w:rsidRPr="003A2146">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w:t>
      </w:r>
    </w:p>
    <w:p w14:paraId="5E0EEE21" w14:textId="77777777" w:rsidR="0034190F" w:rsidRPr="003A2146" w:rsidRDefault="0034190F">
      <w:pPr>
        <w:spacing w:line="360" w:lineRule="auto"/>
        <w:ind w:right="-787"/>
        <w:jc w:val="both"/>
        <w:rPr>
          <w:rFonts w:ascii="Palatino Linotype" w:eastAsia="Palatino Linotype" w:hAnsi="Palatino Linotype" w:cs="Palatino Linotype"/>
        </w:rPr>
      </w:pPr>
    </w:p>
    <w:p w14:paraId="5E0EEE22"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Es de señalar que de la respuesta emitida, el particular se dolió refiriendo que la negativa de información ya que no se encuentra en las ligas proporcionadas por el Sujeto Obligado, posteriormente ninguna de las partes realizó manifestaciones en la etapa correspondiente.</w:t>
      </w:r>
    </w:p>
    <w:p w14:paraId="5E0EEE23"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lastRenderedPageBreak/>
        <w:t>En este orden de ideas, se analizará en el siguiente cuadro la información solicitada y la respuesta proporcionada, a fin de determinar si el Sujeto Obligado dio atención al requerimiento de información:</w:t>
      </w:r>
    </w:p>
    <w:p w14:paraId="5E0EEE24" w14:textId="77777777" w:rsidR="0034190F" w:rsidRPr="003A2146" w:rsidRDefault="0034190F">
      <w:pPr>
        <w:spacing w:line="360" w:lineRule="auto"/>
        <w:ind w:right="-787"/>
        <w:jc w:val="both"/>
        <w:rPr>
          <w:rFonts w:ascii="Palatino Linotype" w:eastAsia="Palatino Linotype" w:hAnsi="Palatino Linotype" w:cs="Palatino Linotype"/>
          <w:b/>
        </w:rPr>
      </w:pPr>
    </w:p>
    <w:tbl>
      <w:tblPr>
        <w:tblStyle w:val="a8"/>
        <w:tblW w:w="9615"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610"/>
        <w:gridCol w:w="2640"/>
        <w:gridCol w:w="2160"/>
        <w:gridCol w:w="2205"/>
      </w:tblGrid>
      <w:tr w:rsidR="0034190F" w:rsidRPr="003A2146" w14:paraId="5E0EEE2B" w14:textId="77777777">
        <w:tc>
          <w:tcPr>
            <w:tcW w:w="2610" w:type="dxa"/>
            <w:shd w:val="clear" w:color="auto" w:fill="D9D9D9"/>
          </w:tcPr>
          <w:p w14:paraId="5E0EEE25"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b/>
                <w:color w:val="000000"/>
                <w:sz w:val="22"/>
                <w:szCs w:val="22"/>
              </w:rPr>
              <w:t>Solicitud</w:t>
            </w:r>
          </w:p>
          <w:p w14:paraId="5E0EEE26" w14:textId="77777777" w:rsidR="0034190F" w:rsidRPr="003A2146" w:rsidRDefault="0034190F">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p>
        </w:tc>
        <w:tc>
          <w:tcPr>
            <w:tcW w:w="2640" w:type="dxa"/>
            <w:shd w:val="clear" w:color="auto" w:fill="D9D9D9"/>
          </w:tcPr>
          <w:p w14:paraId="5E0EEE27"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b/>
                <w:color w:val="000000"/>
                <w:sz w:val="22"/>
                <w:szCs w:val="22"/>
              </w:rPr>
              <w:t>Respuesta</w:t>
            </w:r>
          </w:p>
          <w:p w14:paraId="5E0EEE28" w14:textId="77777777" w:rsidR="0034190F" w:rsidRPr="003A2146" w:rsidRDefault="0034190F">
            <w:pPr>
              <w:pBdr>
                <w:top w:val="nil"/>
                <w:left w:val="nil"/>
                <w:bottom w:val="nil"/>
                <w:right w:val="nil"/>
                <w:between w:val="nil"/>
              </w:pBdr>
              <w:ind w:right="-39"/>
              <w:jc w:val="both"/>
              <w:rPr>
                <w:rFonts w:ascii="Palatino Linotype" w:eastAsia="Palatino Linotype" w:hAnsi="Palatino Linotype" w:cs="Palatino Linotype"/>
                <w:i/>
                <w:color w:val="000000"/>
                <w:sz w:val="22"/>
                <w:szCs w:val="22"/>
              </w:rPr>
            </w:pPr>
          </w:p>
        </w:tc>
        <w:tc>
          <w:tcPr>
            <w:tcW w:w="2160" w:type="dxa"/>
            <w:shd w:val="clear" w:color="auto" w:fill="D9D9D9"/>
          </w:tcPr>
          <w:p w14:paraId="5E0EEE29"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b/>
                <w:color w:val="000000"/>
                <w:sz w:val="22"/>
                <w:szCs w:val="22"/>
              </w:rPr>
              <w:t>Razones o Motivos de inconformidad</w:t>
            </w:r>
          </w:p>
        </w:tc>
        <w:tc>
          <w:tcPr>
            <w:tcW w:w="2205" w:type="dxa"/>
            <w:shd w:val="clear" w:color="auto" w:fill="D9D9D9"/>
          </w:tcPr>
          <w:p w14:paraId="5E0EEE2A"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b/>
                <w:color w:val="000000"/>
                <w:sz w:val="22"/>
                <w:szCs w:val="22"/>
              </w:rPr>
              <w:t>¿Colma?</w:t>
            </w:r>
          </w:p>
        </w:tc>
      </w:tr>
      <w:tr w:rsidR="0034190F" w:rsidRPr="003A2146" w14:paraId="5E0EEE30" w14:textId="77777777">
        <w:tc>
          <w:tcPr>
            <w:tcW w:w="2610" w:type="dxa"/>
            <w:shd w:val="clear" w:color="auto" w:fill="D9D9D9"/>
          </w:tcPr>
          <w:p w14:paraId="5E0EEE2C"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i/>
                <w:color w:val="000000"/>
                <w:sz w:val="22"/>
                <w:szCs w:val="22"/>
              </w:rPr>
              <w:t>Del inmueble ubicado en Calle Ignacio Comonfort, esquina con Calle Cerrada de Ignacio Comonfort sin número, Barrio San Juan, Tultitlán, Estado de México</w:t>
            </w:r>
          </w:p>
        </w:tc>
        <w:tc>
          <w:tcPr>
            <w:tcW w:w="2640" w:type="dxa"/>
            <w:shd w:val="clear" w:color="auto" w:fill="D9D9D9"/>
          </w:tcPr>
          <w:p w14:paraId="5E0EEE2D" w14:textId="77777777" w:rsidR="0034190F" w:rsidRPr="003A2146" w:rsidRDefault="0034190F">
            <w:pPr>
              <w:pBdr>
                <w:top w:val="nil"/>
                <w:left w:val="nil"/>
                <w:bottom w:val="nil"/>
                <w:right w:val="nil"/>
                <w:between w:val="nil"/>
              </w:pBdr>
              <w:ind w:right="-39"/>
              <w:jc w:val="center"/>
              <w:rPr>
                <w:rFonts w:ascii="Palatino Linotype" w:eastAsia="Palatino Linotype" w:hAnsi="Palatino Linotype" w:cs="Palatino Linotype"/>
                <w:color w:val="000000"/>
                <w:sz w:val="22"/>
                <w:szCs w:val="22"/>
              </w:rPr>
            </w:pPr>
          </w:p>
        </w:tc>
        <w:tc>
          <w:tcPr>
            <w:tcW w:w="2160" w:type="dxa"/>
            <w:shd w:val="clear" w:color="auto" w:fill="D9D9D9"/>
          </w:tcPr>
          <w:p w14:paraId="5E0EEE2E" w14:textId="77777777" w:rsidR="0034190F" w:rsidRPr="003A2146" w:rsidRDefault="0034190F">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p>
        </w:tc>
        <w:tc>
          <w:tcPr>
            <w:tcW w:w="2205" w:type="dxa"/>
            <w:shd w:val="clear" w:color="auto" w:fill="D9D9D9"/>
          </w:tcPr>
          <w:p w14:paraId="5E0EEE2F" w14:textId="77777777" w:rsidR="0034190F" w:rsidRPr="003A2146" w:rsidRDefault="0034190F">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p>
        </w:tc>
      </w:tr>
      <w:tr w:rsidR="0034190F" w:rsidRPr="003A2146" w14:paraId="5E0EEE35" w14:textId="77777777">
        <w:tc>
          <w:tcPr>
            <w:tcW w:w="2610" w:type="dxa"/>
          </w:tcPr>
          <w:p w14:paraId="5E0EEE31" w14:textId="77777777" w:rsidR="0034190F" w:rsidRPr="003A2146" w:rsidRDefault="005A1AAD">
            <w:pPr>
              <w:pBdr>
                <w:top w:val="nil"/>
                <w:left w:val="nil"/>
                <w:bottom w:val="nil"/>
                <w:right w:val="nil"/>
                <w:between w:val="nil"/>
              </w:pBdr>
              <w:ind w:left="29" w:right="-39"/>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 xml:space="preserve">1. Si existe procedimiento administrativo por los trabajos de construcción, en caso de existir, se me </w:t>
            </w:r>
            <w:r w:rsidRPr="003A2146">
              <w:rPr>
                <w:rFonts w:ascii="Palatino Linotype" w:eastAsia="Palatino Linotype" w:hAnsi="Palatino Linotype" w:cs="Palatino Linotype"/>
                <w:sz w:val="22"/>
                <w:szCs w:val="22"/>
              </w:rPr>
              <w:t>informará</w:t>
            </w:r>
            <w:r w:rsidRPr="003A2146">
              <w:rPr>
                <w:rFonts w:ascii="Palatino Linotype" w:eastAsia="Palatino Linotype" w:hAnsi="Palatino Linotype" w:cs="Palatino Linotype"/>
                <w:color w:val="000000"/>
                <w:sz w:val="22"/>
                <w:szCs w:val="22"/>
              </w:rPr>
              <w:t xml:space="preserve"> el estatus del mismo.</w:t>
            </w:r>
          </w:p>
        </w:tc>
        <w:tc>
          <w:tcPr>
            <w:tcW w:w="2640" w:type="dxa"/>
          </w:tcPr>
          <w:p w14:paraId="5E0EEE32" w14:textId="77777777" w:rsidR="0034190F" w:rsidRPr="003A2146" w:rsidRDefault="005A1AAD">
            <w:pPr>
              <w:pBdr>
                <w:top w:val="nil"/>
                <w:left w:val="nil"/>
                <w:bottom w:val="nil"/>
                <w:right w:val="nil"/>
                <w:between w:val="nil"/>
              </w:pBdr>
              <w:ind w:right="-39"/>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Actualmente no se cuenta con procedimientos referentes a construcción en la ubicación mencionada.</w:t>
            </w:r>
          </w:p>
        </w:tc>
        <w:tc>
          <w:tcPr>
            <w:tcW w:w="2160" w:type="dxa"/>
          </w:tcPr>
          <w:p w14:paraId="5E0EEE33"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Sin inconformidad</w:t>
            </w:r>
          </w:p>
        </w:tc>
        <w:tc>
          <w:tcPr>
            <w:tcW w:w="2205" w:type="dxa"/>
          </w:tcPr>
          <w:p w14:paraId="5E0EEE34"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b/>
                <w:color w:val="000000"/>
                <w:sz w:val="22"/>
                <w:szCs w:val="22"/>
              </w:rPr>
              <w:t>Actos consentidos</w:t>
            </w:r>
          </w:p>
        </w:tc>
      </w:tr>
      <w:tr w:rsidR="0034190F" w:rsidRPr="003A2146" w14:paraId="5E0EEE3C" w14:textId="77777777">
        <w:tc>
          <w:tcPr>
            <w:tcW w:w="2610" w:type="dxa"/>
          </w:tcPr>
          <w:p w14:paraId="5E0EEE36" w14:textId="77777777" w:rsidR="0034190F" w:rsidRPr="003A2146" w:rsidRDefault="005A1AAD">
            <w:pPr>
              <w:pBdr>
                <w:top w:val="nil"/>
                <w:left w:val="nil"/>
                <w:bottom w:val="nil"/>
                <w:right w:val="nil"/>
                <w:between w:val="nil"/>
              </w:pBdr>
              <w:ind w:right="-39"/>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2. Si existe Licencia de construcción vigente para los trabajos de construcción, en caso de existir, se me proporcione copia de la misma en versión pública.</w:t>
            </w:r>
          </w:p>
        </w:tc>
        <w:tc>
          <w:tcPr>
            <w:tcW w:w="2640" w:type="dxa"/>
          </w:tcPr>
          <w:p w14:paraId="5E0EEE37" w14:textId="77777777" w:rsidR="0034190F" w:rsidRPr="003A2146" w:rsidRDefault="005A1AAD">
            <w:pPr>
              <w:pBdr>
                <w:top w:val="nil"/>
                <w:left w:val="nil"/>
                <w:bottom w:val="nil"/>
                <w:right w:val="nil"/>
                <w:between w:val="nil"/>
              </w:pBdr>
              <w:ind w:right="-39"/>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 xml:space="preserve">la información solicitada en este numeral puede ser localizada en la siguiente liga </w:t>
            </w:r>
            <w:hyperlink r:id="rId9">
              <w:r w:rsidRPr="003A2146">
                <w:rPr>
                  <w:rFonts w:ascii="Palatino Linotype" w:eastAsia="Palatino Linotype" w:hAnsi="Palatino Linotype" w:cs="Palatino Linotype"/>
                  <w:color w:val="0563C1"/>
                  <w:sz w:val="22"/>
                  <w:szCs w:val="22"/>
                  <w:u w:val="single"/>
                </w:rPr>
                <w:t>https://ipomex.org.mx/ipo3/lgt/portal.web</w:t>
              </w:r>
            </w:hyperlink>
          </w:p>
        </w:tc>
        <w:tc>
          <w:tcPr>
            <w:tcW w:w="2160" w:type="dxa"/>
          </w:tcPr>
          <w:p w14:paraId="5E0EEE38"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No hay información en dicha plataforma</w:t>
            </w:r>
          </w:p>
        </w:tc>
        <w:tc>
          <w:tcPr>
            <w:tcW w:w="2205" w:type="dxa"/>
          </w:tcPr>
          <w:p w14:paraId="5E0EEE39"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b/>
                <w:color w:val="000000"/>
                <w:sz w:val="22"/>
                <w:szCs w:val="22"/>
              </w:rPr>
              <w:t>NO</w:t>
            </w:r>
          </w:p>
          <w:p w14:paraId="5E0EEE3A" w14:textId="77777777" w:rsidR="0034190F" w:rsidRPr="003A2146" w:rsidRDefault="0034190F">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p>
          <w:p w14:paraId="5E0EEE3B"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La liga envía a la ventana de inicio de Información Pública de Oficio de los Sujetos Obligados del Estado de México y Municipios. IPOMEX</w:t>
            </w:r>
          </w:p>
        </w:tc>
      </w:tr>
      <w:tr w:rsidR="0034190F" w:rsidRPr="003A2146" w14:paraId="5E0EEE43" w14:textId="77777777">
        <w:tc>
          <w:tcPr>
            <w:tcW w:w="2610" w:type="dxa"/>
          </w:tcPr>
          <w:p w14:paraId="5E0EEE3D" w14:textId="77777777" w:rsidR="0034190F" w:rsidRPr="003A2146" w:rsidRDefault="005A1AAD">
            <w:pPr>
              <w:pBdr>
                <w:top w:val="nil"/>
                <w:left w:val="nil"/>
                <w:bottom w:val="nil"/>
                <w:right w:val="nil"/>
                <w:between w:val="nil"/>
              </w:pBdr>
              <w:ind w:right="-39"/>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3. Si existe Licencia de Uso de Suelo vigente, en caso de existir, se me proporcione copia de la misma en versión pública.</w:t>
            </w:r>
          </w:p>
        </w:tc>
        <w:tc>
          <w:tcPr>
            <w:tcW w:w="2640" w:type="dxa"/>
          </w:tcPr>
          <w:p w14:paraId="5E0EEE3E" w14:textId="77777777" w:rsidR="0034190F" w:rsidRPr="003A2146" w:rsidRDefault="005A1AAD">
            <w:pPr>
              <w:pBdr>
                <w:top w:val="nil"/>
                <w:left w:val="nil"/>
                <w:bottom w:val="nil"/>
                <w:right w:val="nil"/>
                <w:between w:val="nil"/>
              </w:pBdr>
              <w:ind w:right="-39"/>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 xml:space="preserve">Toda edificación debe tener los permisos y autorizaciones correspondientes mismas que pueden ser consultadas en versión </w:t>
            </w:r>
            <w:r w:rsidRPr="003A2146">
              <w:rPr>
                <w:rFonts w:ascii="Palatino Linotype" w:eastAsia="Palatino Linotype" w:hAnsi="Palatino Linotype" w:cs="Palatino Linotype"/>
                <w:sz w:val="22"/>
                <w:szCs w:val="22"/>
              </w:rPr>
              <w:lastRenderedPageBreak/>
              <w:t>pública</w:t>
            </w:r>
            <w:r w:rsidRPr="003A2146">
              <w:rPr>
                <w:rFonts w:ascii="Palatino Linotype" w:eastAsia="Palatino Linotype" w:hAnsi="Palatino Linotype" w:cs="Palatino Linotype"/>
                <w:color w:val="000000"/>
                <w:sz w:val="22"/>
                <w:szCs w:val="22"/>
              </w:rPr>
              <w:t xml:space="preserve"> en el siguiente en lace </w:t>
            </w:r>
            <w:hyperlink r:id="rId10">
              <w:r w:rsidRPr="003A2146">
                <w:rPr>
                  <w:rFonts w:ascii="Palatino Linotype" w:eastAsia="Palatino Linotype" w:hAnsi="Palatino Linotype" w:cs="Palatino Linotype"/>
                  <w:color w:val="0563C1"/>
                  <w:sz w:val="22"/>
                  <w:szCs w:val="22"/>
                  <w:u w:val="single"/>
                </w:rPr>
                <w:t>https://ipomex.org.mx/ipo3/lgt/portal.web</w:t>
              </w:r>
            </w:hyperlink>
            <w:r w:rsidRPr="003A2146">
              <w:rPr>
                <w:rFonts w:ascii="Palatino Linotype" w:eastAsia="Palatino Linotype" w:hAnsi="Palatino Linotype" w:cs="Palatino Linotype"/>
                <w:color w:val="000000"/>
                <w:sz w:val="22"/>
                <w:szCs w:val="22"/>
              </w:rPr>
              <w:t xml:space="preserve"> </w:t>
            </w:r>
          </w:p>
        </w:tc>
        <w:tc>
          <w:tcPr>
            <w:tcW w:w="2160" w:type="dxa"/>
          </w:tcPr>
          <w:p w14:paraId="5E0EEE3F" w14:textId="77777777" w:rsidR="0034190F" w:rsidRPr="003A2146" w:rsidRDefault="005A1AAD">
            <w:pPr>
              <w:pBdr>
                <w:top w:val="nil"/>
                <w:left w:val="nil"/>
                <w:bottom w:val="nil"/>
                <w:right w:val="nil"/>
                <w:between w:val="nil"/>
              </w:pBdr>
              <w:ind w:right="-39"/>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lastRenderedPageBreak/>
              <w:t>No hay información en dicha plataforma</w:t>
            </w:r>
          </w:p>
        </w:tc>
        <w:tc>
          <w:tcPr>
            <w:tcW w:w="2205" w:type="dxa"/>
          </w:tcPr>
          <w:p w14:paraId="5E0EEE40"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b/>
                <w:color w:val="000000"/>
                <w:sz w:val="22"/>
                <w:szCs w:val="22"/>
              </w:rPr>
              <w:t>NO</w:t>
            </w:r>
          </w:p>
          <w:p w14:paraId="5E0EEE41" w14:textId="77777777" w:rsidR="0034190F" w:rsidRPr="003A2146" w:rsidRDefault="0034190F">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p>
          <w:p w14:paraId="5E0EEE42"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color w:val="000000"/>
                <w:sz w:val="22"/>
                <w:szCs w:val="22"/>
              </w:rPr>
              <w:t xml:space="preserve">La liga envía a la ventana de inicio de Información Pública de Oficio de los </w:t>
            </w:r>
            <w:r w:rsidRPr="003A2146">
              <w:rPr>
                <w:rFonts w:ascii="Palatino Linotype" w:eastAsia="Palatino Linotype" w:hAnsi="Palatino Linotype" w:cs="Palatino Linotype"/>
                <w:color w:val="000000"/>
                <w:sz w:val="22"/>
                <w:szCs w:val="22"/>
              </w:rPr>
              <w:lastRenderedPageBreak/>
              <w:t>Sujetos Obligados del Estado de México y Municipios. IPOMEX</w:t>
            </w:r>
          </w:p>
        </w:tc>
      </w:tr>
      <w:tr w:rsidR="0034190F" w:rsidRPr="003A2146" w14:paraId="5E0EEE4A" w14:textId="77777777">
        <w:tc>
          <w:tcPr>
            <w:tcW w:w="2610" w:type="dxa"/>
          </w:tcPr>
          <w:p w14:paraId="5E0EEE44" w14:textId="77777777" w:rsidR="0034190F" w:rsidRPr="003A2146" w:rsidRDefault="005A1AAD">
            <w:pPr>
              <w:pBdr>
                <w:top w:val="nil"/>
                <w:left w:val="nil"/>
                <w:bottom w:val="nil"/>
                <w:right w:val="nil"/>
                <w:between w:val="nil"/>
              </w:pBdr>
              <w:ind w:right="-39"/>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lastRenderedPageBreak/>
              <w:t>4. Si existe Constancia de alineamiento vigente, en caso de ser así, se me proporcione copia de la misma en versión pública.</w:t>
            </w:r>
          </w:p>
        </w:tc>
        <w:tc>
          <w:tcPr>
            <w:tcW w:w="2640" w:type="dxa"/>
          </w:tcPr>
          <w:p w14:paraId="5E0EEE45" w14:textId="77777777" w:rsidR="0034190F" w:rsidRPr="003A2146" w:rsidRDefault="005A1AAD">
            <w:pPr>
              <w:pBdr>
                <w:top w:val="nil"/>
                <w:left w:val="nil"/>
                <w:bottom w:val="nil"/>
                <w:right w:val="nil"/>
                <w:between w:val="nil"/>
              </w:pBdr>
              <w:ind w:right="-39"/>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 xml:space="preserve">Toda edificación debe tener los permisos y autorizaciones correspondientes mismas que pueden ser consultadas en versión </w:t>
            </w:r>
            <w:r w:rsidRPr="003A2146">
              <w:rPr>
                <w:rFonts w:ascii="Palatino Linotype" w:eastAsia="Palatino Linotype" w:hAnsi="Palatino Linotype" w:cs="Palatino Linotype"/>
                <w:sz w:val="22"/>
                <w:szCs w:val="22"/>
              </w:rPr>
              <w:t>pública</w:t>
            </w:r>
            <w:r w:rsidRPr="003A2146">
              <w:rPr>
                <w:rFonts w:ascii="Palatino Linotype" w:eastAsia="Palatino Linotype" w:hAnsi="Palatino Linotype" w:cs="Palatino Linotype"/>
                <w:color w:val="000000"/>
                <w:sz w:val="22"/>
                <w:szCs w:val="22"/>
              </w:rPr>
              <w:t xml:space="preserve"> en el siguiente en lace </w:t>
            </w:r>
            <w:hyperlink r:id="rId11">
              <w:r w:rsidRPr="003A2146">
                <w:rPr>
                  <w:rFonts w:ascii="Palatino Linotype" w:eastAsia="Palatino Linotype" w:hAnsi="Palatino Linotype" w:cs="Palatino Linotype"/>
                  <w:color w:val="0563C1"/>
                  <w:sz w:val="22"/>
                  <w:szCs w:val="22"/>
                  <w:u w:val="single"/>
                </w:rPr>
                <w:t>https://ipomex.org.mx/ipo3/lgt/portal.web</w:t>
              </w:r>
            </w:hyperlink>
            <w:r w:rsidRPr="003A2146">
              <w:rPr>
                <w:rFonts w:ascii="Palatino Linotype" w:eastAsia="Palatino Linotype" w:hAnsi="Palatino Linotype" w:cs="Palatino Linotype"/>
                <w:color w:val="000000"/>
                <w:sz w:val="22"/>
                <w:szCs w:val="22"/>
              </w:rPr>
              <w:t xml:space="preserve"> </w:t>
            </w:r>
          </w:p>
        </w:tc>
        <w:tc>
          <w:tcPr>
            <w:tcW w:w="2160" w:type="dxa"/>
          </w:tcPr>
          <w:p w14:paraId="5E0EEE46" w14:textId="77777777" w:rsidR="0034190F" w:rsidRPr="003A2146" w:rsidRDefault="005A1AAD">
            <w:pPr>
              <w:pBdr>
                <w:top w:val="nil"/>
                <w:left w:val="nil"/>
                <w:bottom w:val="nil"/>
                <w:right w:val="nil"/>
                <w:between w:val="nil"/>
              </w:pBdr>
              <w:ind w:right="-39"/>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No hay información en dicha plataforma</w:t>
            </w:r>
          </w:p>
        </w:tc>
        <w:tc>
          <w:tcPr>
            <w:tcW w:w="2205" w:type="dxa"/>
          </w:tcPr>
          <w:p w14:paraId="5E0EEE47"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b/>
                <w:color w:val="000000"/>
                <w:sz w:val="22"/>
                <w:szCs w:val="22"/>
              </w:rPr>
              <w:t>NO</w:t>
            </w:r>
          </w:p>
          <w:p w14:paraId="5E0EEE48" w14:textId="77777777" w:rsidR="0034190F" w:rsidRPr="003A2146" w:rsidRDefault="0034190F">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p>
          <w:p w14:paraId="5E0EEE49"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color w:val="000000"/>
                <w:sz w:val="22"/>
                <w:szCs w:val="22"/>
              </w:rPr>
              <w:t>La liga envía a la ventana de inicio de Información Pública de Oficio de los Sujetos Obligados del Estado de México y Municipios. IPOMEX</w:t>
            </w:r>
          </w:p>
        </w:tc>
      </w:tr>
      <w:tr w:rsidR="0034190F" w:rsidRPr="003A2146" w14:paraId="5E0EEE53" w14:textId="77777777">
        <w:tc>
          <w:tcPr>
            <w:tcW w:w="2610" w:type="dxa"/>
          </w:tcPr>
          <w:p w14:paraId="5E0EEE4B" w14:textId="77777777" w:rsidR="0034190F" w:rsidRPr="003A2146" w:rsidRDefault="005A1AAD">
            <w:pPr>
              <w:pBdr>
                <w:top w:val="nil"/>
                <w:left w:val="nil"/>
                <w:bottom w:val="nil"/>
                <w:right w:val="nil"/>
                <w:between w:val="nil"/>
              </w:pBdr>
              <w:ind w:right="-39"/>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 xml:space="preserve">5. Si se han llevado a cabo inspecciones donde se vigile el cumplimiento de las normas contenidas en el Plan Municipal de Desarrollo Urbano vigente relativas a Coeficientes de Ocupación (COS), Coeficientes de Utilización (CUS), Área libre, Cajones de estacionamiento, altura y restricciones de construcción del predio respecto a la vía pública, para los trabajos de construcción, en caso de ser así, se informe por que hay en proceso trabajos de construcción en la restricción de </w:t>
            </w:r>
            <w:r w:rsidRPr="003A2146">
              <w:rPr>
                <w:rFonts w:ascii="Palatino Linotype" w:eastAsia="Palatino Linotype" w:hAnsi="Palatino Linotype" w:cs="Palatino Linotype"/>
                <w:color w:val="000000"/>
                <w:sz w:val="22"/>
                <w:szCs w:val="22"/>
              </w:rPr>
              <w:lastRenderedPageBreak/>
              <w:t>construcción por vía pública.</w:t>
            </w:r>
          </w:p>
        </w:tc>
        <w:tc>
          <w:tcPr>
            <w:tcW w:w="2640" w:type="dxa"/>
          </w:tcPr>
          <w:p w14:paraId="5E0EEE4C" w14:textId="77777777" w:rsidR="0034190F" w:rsidRPr="003A2146" w:rsidRDefault="005A1AAD">
            <w:pPr>
              <w:pBdr>
                <w:top w:val="nil"/>
                <w:left w:val="nil"/>
                <w:bottom w:val="nil"/>
                <w:right w:val="nil"/>
                <w:between w:val="nil"/>
              </w:pBdr>
              <w:ind w:right="-39"/>
              <w:jc w:val="both"/>
              <w:rPr>
                <w:rFonts w:ascii="Palatino Linotype" w:eastAsia="Palatino Linotype" w:hAnsi="Palatino Linotype" w:cs="Palatino Linotype"/>
                <w:sz w:val="22"/>
                <w:szCs w:val="22"/>
              </w:rPr>
            </w:pPr>
            <w:r w:rsidRPr="003A2146">
              <w:rPr>
                <w:rFonts w:ascii="Palatino Linotype" w:eastAsia="Palatino Linotype" w:hAnsi="Palatino Linotype" w:cs="Palatino Linotype"/>
                <w:color w:val="000000"/>
                <w:sz w:val="22"/>
                <w:szCs w:val="22"/>
              </w:rPr>
              <w:lastRenderedPageBreak/>
              <w:t xml:space="preserve">Toda edificación debe tener los permisos y autorizaciones correspondientes mismas que pueden ser consultadas en versión </w:t>
            </w:r>
            <w:r w:rsidRPr="003A2146">
              <w:rPr>
                <w:rFonts w:ascii="Palatino Linotype" w:eastAsia="Palatino Linotype" w:hAnsi="Palatino Linotype" w:cs="Palatino Linotype"/>
                <w:sz w:val="22"/>
                <w:szCs w:val="22"/>
              </w:rPr>
              <w:t>pública</w:t>
            </w:r>
            <w:r w:rsidRPr="003A2146">
              <w:rPr>
                <w:rFonts w:ascii="Palatino Linotype" w:eastAsia="Palatino Linotype" w:hAnsi="Palatino Linotype" w:cs="Palatino Linotype"/>
                <w:color w:val="000000"/>
                <w:sz w:val="22"/>
                <w:szCs w:val="22"/>
              </w:rPr>
              <w:t xml:space="preserve"> en el siguiente en lace </w:t>
            </w:r>
            <w:hyperlink r:id="rId12">
              <w:r w:rsidRPr="003A2146">
                <w:rPr>
                  <w:rFonts w:ascii="Palatino Linotype" w:eastAsia="Palatino Linotype" w:hAnsi="Palatino Linotype" w:cs="Palatino Linotype"/>
                  <w:color w:val="0563C1"/>
                  <w:sz w:val="22"/>
                  <w:szCs w:val="22"/>
                  <w:u w:val="single"/>
                </w:rPr>
                <w:t>https://ipomex.org.mx/ipo3/lgt/portal.web</w:t>
              </w:r>
            </w:hyperlink>
            <w:r w:rsidRPr="003A2146">
              <w:rPr>
                <w:rFonts w:ascii="Palatino Linotype" w:eastAsia="Palatino Linotype" w:hAnsi="Palatino Linotype" w:cs="Palatino Linotype"/>
                <w:sz w:val="22"/>
                <w:szCs w:val="22"/>
              </w:rPr>
              <w:t xml:space="preserve"> </w:t>
            </w:r>
          </w:p>
          <w:p w14:paraId="5E0EEE4D" w14:textId="77777777" w:rsidR="0034190F" w:rsidRPr="003A2146" w:rsidRDefault="0034190F">
            <w:pPr>
              <w:pBdr>
                <w:top w:val="nil"/>
                <w:left w:val="nil"/>
                <w:bottom w:val="nil"/>
                <w:right w:val="nil"/>
                <w:between w:val="nil"/>
              </w:pBdr>
              <w:ind w:right="-39"/>
              <w:jc w:val="both"/>
              <w:rPr>
                <w:rFonts w:ascii="Palatino Linotype" w:eastAsia="Palatino Linotype" w:hAnsi="Palatino Linotype" w:cs="Palatino Linotype"/>
                <w:sz w:val="22"/>
                <w:szCs w:val="22"/>
              </w:rPr>
            </w:pPr>
          </w:p>
          <w:p w14:paraId="5E0EEE4E" w14:textId="77777777" w:rsidR="0034190F" w:rsidRPr="003A2146" w:rsidRDefault="005A1AAD">
            <w:pPr>
              <w:pBdr>
                <w:top w:val="nil"/>
                <w:left w:val="nil"/>
                <w:bottom w:val="nil"/>
                <w:right w:val="nil"/>
                <w:between w:val="nil"/>
              </w:pBdr>
              <w:ind w:right="-39"/>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Así mismo para dar un panorama más amplio se anexa el plan de desarrollo urbano y medio ambiente vigente.</w:t>
            </w:r>
          </w:p>
        </w:tc>
        <w:tc>
          <w:tcPr>
            <w:tcW w:w="2160" w:type="dxa"/>
          </w:tcPr>
          <w:p w14:paraId="5E0EEE4F" w14:textId="77777777" w:rsidR="0034190F" w:rsidRPr="003A2146" w:rsidRDefault="005A1AAD">
            <w:pPr>
              <w:pBdr>
                <w:top w:val="nil"/>
                <w:left w:val="nil"/>
                <w:bottom w:val="nil"/>
                <w:right w:val="nil"/>
                <w:between w:val="nil"/>
              </w:pBdr>
              <w:ind w:right="-39"/>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No hay información en dicha plataforma</w:t>
            </w:r>
          </w:p>
        </w:tc>
        <w:tc>
          <w:tcPr>
            <w:tcW w:w="2205" w:type="dxa"/>
          </w:tcPr>
          <w:p w14:paraId="5E0EEE50"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b/>
                <w:color w:val="000000"/>
                <w:sz w:val="22"/>
                <w:szCs w:val="22"/>
              </w:rPr>
              <w:t>NO</w:t>
            </w:r>
          </w:p>
          <w:p w14:paraId="5E0EEE51" w14:textId="77777777" w:rsidR="0034190F" w:rsidRPr="003A2146" w:rsidRDefault="0034190F">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p>
          <w:p w14:paraId="5E0EEE52" w14:textId="77777777" w:rsidR="0034190F" w:rsidRPr="003A2146" w:rsidRDefault="005A1AAD">
            <w:pPr>
              <w:pBdr>
                <w:top w:val="nil"/>
                <w:left w:val="nil"/>
                <w:bottom w:val="nil"/>
                <w:right w:val="nil"/>
                <w:between w:val="nil"/>
              </w:pBdr>
              <w:ind w:right="-39"/>
              <w:jc w:val="center"/>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color w:val="000000"/>
                <w:sz w:val="22"/>
                <w:szCs w:val="22"/>
              </w:rPr>
              <w:t>La liga envía a la ventana de inicio de Información Pública de Oficio de los Sujetos Obligados del Estado de México y Municipios. IPOMEX</w:t>
            </w:r>
          </w:p>
        </w:tc>
      </w:tr>
    </w:tbl>
    <w:p w14:paraId="5E0EEE54" w14:textId="77777777" w:rsidR="0034190F" w:rsidRPr="003A2146" w:rsidRDefault="0034190F">
      <w:pPr>
        <w:spacing w:line="360" w:lineRule="auto"/>
        <w:ind w:right="-787"/>
        <w:jc w:val="both"/>
        <w:rPr>
          <w:rFonts w:ascii="Palatino Linotype" w:eastAsia="Palatino Linotype" w:hAnsi="Palatino Linotype" w:cs="Palatino Linotype"/>
          <w:b/>
        </w:rPr>
      </w:pPr>
    </w:p>
    <w:p w14:paraId="5E0EEE55" w14:textId="77777777" w:rsidR="0034190F" w:rsidRPr="003A2146" w:rsidRDefault="0034190F">
      <w:pPr>
        <w:spacing w:line="360" w:lineRule="auto"/>
        <w:ind w:right="-787"/>
        <w:jc w:val="both"/>
        <w:rPr>
          <w:rFonts w:ascii="Palatino Linotype" w:eastAsia="Palatino Linotype" w:hAnsi="Palatino Linotype" w:cs="Palatino Linotype"/>
        </w:rPr>
      </w:pPr>
    </w:p>
    <w:p w14:paraId="5E0EEE56"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t xml:space="preserve">En lo que respecta al punto de solicitud </w:t>
      </w:r>
      <w:r w:rsidRPr="003A2146">
        <w:rPr>
          <w:rFonts w:ascii="Palatino Linotype" w:eastAsia="Palatino Linotype" w:hAnsi="Palatino Linotype" w:cs="Palatino Linotype"/>
          <w:u w:val="single"/>
        </w:rPr>
        <w:t>1. Si existe procedimiento administrativo por los trabajos de construcción, en caso de existir, se me informe el estatus del mismo</w:t>
      </w:r>
      <w:r w:rsidRPr="003A2146">
        <w:rPr>
          <w:rFonts w:ascii="Palatino Linotype" w:eastAsia="Palatino Linotype" w:hAnsi="Palatino Linotype" w:cs="Palatino Linotype"/>
        </w:rPr>
        <w:t xml:space="preserve">, el Sujeto Obligado respondió </w:t>
      </w:r>
      <w:r w:rsidRPr="003A2146">
        <w:rPr>
          <w:rFonts w:ascii="Palatino Linotype" w:eastAsia="Palatino Linotype" w:hAnsi="Palatino Linotype" w:cs="Palatino Linotype"/>
          <w:i/>
        </w:rPr>
        <w:t>“Actualmente no se cuenta con procedimientos referentes a construcción en la ubicación mencionada”</w:t>
      </w:r>
      <w:r w:rsidRPr="003A2146">
        <w:rPr>
          <w:rFonts w:ascii="Palatino Linotype" w:eastAsia="Palatino Linotype" w:hAnsi="Palatino Linotype" w:cs="Palatino Linotype"/>
        </w:rPr>
        <w:t xml:space="preserve">, respuesta de la cual no discrepa el Recurrente, luego entonces, al no existir inconformidad, la información se tiene por </w:t>
      </w:r>
      <w:r w:rsidRPr="003A2146">
        <w:rPr>
          <w:rFonts w:ascii="Palatino Linotype" w:eastAsia="Palatino Linotype" w:hAnsi="Palatino Linotype" w:cs="Palatino Linotype"/>
          <w:color w:val="000000"/>
        </w:rPr>
        <w:t>consentida</w:t>
      </w:r>
      <w:r w:rsidRPr="003A2146">
        <w:rPr>
          <w:rFonts w:ascii="Palatino Linotype" w:eastAsia="Palatino Linotype" w:hAnsi="Palatino Linotype" w:cs="Palatino Linotype"/>
        </w:rPr>
        <w:t>, ya</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rPr>
        <w:t xml:space="preserve">que la falta de impugnación respecto de los requerimientos que no fueron manifestados en el recurso de revisión, debe entenderse como </w:t>
      </w:r>
      <w:r w:rsidRPr="003A2146">
        <w:rPr>
          <w:rFonts w:ascii="Palatino Linotype" w:eastAsia="Palatino Linotype" w:hAnsi="Palatino Linotype" w:cs="Palatino Linotype"/>
          <w:b/>
        </w:rPr>
        <w:t>actos consentidos</w:t>
      </w:r>
      <w:r w:rsidRPr="003A2146">
        <w:rPr>
          <w:rFonts w:ascii="Palatino Linotype" w:eastAsia="Palatino Linotype" w:hAnsi="Palatino Linotype" w:cs="Palatino Linotype"/>
        </w:rPr>
        <w:t>.</w:t>
      </w:r>
    </w:p>
    <w:p w14:paraId="5E0EEE57" w14:textId="77777777" w:rsidR="0034190F" w:rsidRPr="003A2146" w:rsidRDefault="0034190F">
      <w:pPr>
        <w:spacing w:line="360" w:lineRule="auto"/>
        <w:ind w:right="-787"/>
        <w:jc w:val="both"/>
        <w:rPr>
          <w:rFonts w:ascii="Palatino Linotype" w:eastAsia="Palatino Linotype" w:hAnsi="Palatino Linotype" w:cs="Palatino Linotype"/>
        </w:rPr>
      </w:pPr>
    </w:p>
    <w:p w14:paraId="5E0EEE58"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5E0EEE59"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“REVISIÓN EN AMPARO. LOS RESOLUTIVOS NO COMBATIDOS DEBEN DECLARARSE FIRMES. </w:t>
      </w:r>
      <w:r w:rsidRPr="003A2146">
        <w:rPr>
          <w:rFonts w:ascii="Palatino Linotype" w:eastAsia="Palatino Linotype" w:hAnsi="Palatino Linotype" w:cs="Palatino Linotype"/>
          <w:i/>
          <w:color w:val="000000"/>
          <w:sz w:val="22"/>
          <w:szCs w:val="22"/>
          <w:u w:val="single"/>
        </w:rPr>
        <w:t>Cuando algún resolutivo de la sentencia impugnada afecta a EL RECURRENTE, y ésta no expresa agravio en contra de las consideraciones que le sirven de base, dicho resolutivo debe declararse firme.</w:t>
      </w:r>
      <w:r w:rsidRPr="003A2146">
        <w:rPr>
          <w:rFonts w:ascii="Palatino Linotype" w:eastAsia="Palatino Linotype" w:hAnsi="Palatino Linotype" w:cs="Palatino Linotype"/>
          <w:i/>
          <w:color w:val="000000"/>
          <w:sz w:val="22"/>
          <w:szCs w:val="22"/>
        </w:rPr>
        <w:t> Esto es, en el caso referido, no obstante que la materia de la revisión comprende a todos los resolutivos que afectan a EL RECURRENTE, </w:t>
      </w:r>
      <w:r w:rsidRPr="003A2146">
        <w:rPr>
          <w:rFonts w:ascii="Palatino Linotype" w:eastAsia="Palatino Linotype" w:hAnsi="Palatino Linotype" w:cs="Palatino Linotype"/>
          <w:i/>
          <w:color w:val="000000"/>
          <w:sz w:val="22"/>
          <w:szCs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3A2146">
        <w:rPr>
          <w:rFonts w:ascii="Palatino Linotype" w:eastAsia="Palatino Linotype" w:hAnsi="Palatino Linotype" w:cs="Palatino Linotype"/>
          <w:i/>
          <w:color w:val="000000"/>
          <w:sz w:val="22"/>
          <w:szCs w:val="22"/>
        </w:rPr>
        <w:t>.”</w:t>
      </w:r>
    </w:p>
    <w:p w14:paraId="5E0EEE5A"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(Énfasis añadido)</w:t>
      </w:r>
    </w:p>
    <w:p w14:paraId="5E0EEE5B" w14:textId="77777777" w:rsidR="0034190F" w:rsidRPr="003A2146" w:rsidRDefault="0034190F">
      <w:pPr>
        <w:pBdr>
          <w:top w:val="nil"/>
          <w:left w:val="nil"/>
          <w:bottom w:val="nil"/>
          <w:right w:val="nil"/>
          <w:between w:val="nil"/>
        </w:pBdr>
        <w:spacing w:line="360" w:lineRule="auto"/>
        <w:ind w:left="566" w:right="-220"/>
        <w:jc w:val="center"/>
        <w:rPr>
          <w:rFonts w:ascii="Palatino Linotype" w:eastAsia="Palatino Linotype" w:hAnsi="Palatino Linotype" w:cs="Palatino Linotype"/>
          <w:color w:val="000000"/>
          <w:sz w:val="22"/>
          <w:szCs w:val="22"/>
        </w:rPr>
      </w:pPr>
    </w:p>
    <w:p w14:paraId="5E0EEE5C"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lastRenderedPageBreak/>
        <w:t xml:space="preserve">Consecutivamente, </w:t>
      </w:r>
      <w:r w:rsidRPr="003A2146">
        <w:rPr>
          <w:rFonts w:ascii="Palatino Linotype" w:eastAsia="Palatino Linotype" w:hAnsi="Palatino Linotype" w:cs="Palatino Linotype"/>
          <w:b/>
        </w:rPr>
        <w:t xml:space="preserve">la parte de la respuesta que no fue impugnada debe </w:t>
      </w:r>
      <w:r w:rsidRPr="003A2146">
        <w:rPr>
          <w:rFonts w:ascii="Palatino Linotype" w:eastAsia="Palatino Linotype" w:hAnsi="Palatino Linotype" w:cs="Palatino Linotype"/>
        </w:rPr>
        <w:t>declararse</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rPr>
        <w:t>consentida</w:t>
      </w:r>
      <w:r w:rsidRPr="003A2146">
        <w:rPr>
          <w:rFonts w:ascii="Palatino Linotype" w:eastAsia="Palatino Linotype" w:hAnsi="Palatino Linotype" w:cs="Palatino Linotype"/>
          <w:b/>
        </w:rPr>
        <w:t xml:space="preserve"> por el recurrente, toda vez que no realizó </w:t>
      </w:r>
      <w:r w:rsidRPr="003A2146">
        <w:rPr>
          <w:rFonts w:ascii="Palatino Linotype" w:eastAsia="Palatino Linotype" w:hAnsi="Palatino Linotype" w:cs="Palatino Linotype"/>
        </w:rPr>
        <w:t>manifestaciones</w:t>
      </w:r>
      <w:r w:rsidRPr="003A2146">
        <w:rPr>
          <w:rFonts w:ascii="Palatino Linotype" w:eastAsia="Palatino Linotype" w:hAnsi="Palatino Linotype" w:cs="Palatino Linotype"/>
          <w:b/>
        </w:rPr>
        <w:t xml:space="preserve"> de inconformidad</w:t>
      </w:r>
      <w:r w:rsidRPr="003A2146">
        <w:rPr>
          <w:rFonts w:ascii="Palatino Linotype" w:eastAsia="Palatino Linotype" w:hAnsi="Palatino Linotype" w:cs="Palatino Linotype"/>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5E0EEE5D" w14:textId="77777777" w:rsidR="0034190F" w:rsidRPr="003A2146" w:rsidRDefault="005A1AAD">
      <w:pPr>
        <w:pBdr>
          <w:top w:val="nil"/>
          <w:left w:val="nil"/>
          <w:bottom w:val="nil"/>
          <w:right w:val="nil"/>
          <w:between w:val="nil"/>
        </w:pBdr>
        <w:ind w:left="708"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“ACTOS CONSENTIDOS. SON LOS QUE NO SE IMPUGNAN MEDIANTE EL RECURSO IDÓNEO. </w:t>
      </w:r>
      <w:r w:rsidRPr="003A2146">
        <w:rPr>
          <w:rFonts w:ascii="Palatino Linotype" w:eastAsia="Palatino Linotype" w:hAnsi="Palatino Linotype" w:cs="Palatino Linotype"/>
          <w:i/>
          <w:color w:val="000000"/>
          <w:sz w:val="22"/>
          <w:szCs w:val="22"/>
          <w:u w:val="single"/>
        </w:rPr>
        <w:t>Debe reputarse como consentido el acto que no se impugnó por el medio establecido por la ley</w:t>
      </w:r>
      <w:r w:rsidRPr="003A2146">
        <w:rPr>
          <w:rFonts w:ascii="Palatino Linotype" w:eastAsia="Palatino Linotype" w:hAnsi="Palatino Linotype" w:cs="Palatino Linotype"/>
          <w:i/>
          <w:color w:val="000000"/>
          <w:sz w:val="22"/>
          <w:szCs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E0EEE5E" w14:textId="77777777" w:rsidR="0034190F" w:rsidRPr="003A2146" w:rsidRDefault="005A1AAD">
      <w:pPr>
        <w:pBdr>
          <w:top w:val="nil"/>
          <w:left w:val="nil"/>
          <w:bottom w:val="nil"/>
          <w:right w:val="nil"/>
          <w:between w:val="nil"/>
        </w:pBdr>
        <w:ind w:left="708" w:right="-220"/>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(Énfasis añadido)</w:t>
      </w:r>
    </w:p>
    <w:p w14:paraId="5E0EEE5F" w14:textId="77777777" w:rsidR="0034190F" w:rsidRPr="003A2146" w:rsidRDefault="0034190F">
      <w:pPr>
        <w:spacing w:line="360" w:lineRule="auto"/>
        <w:ind w:right="-787"/>
        <w:jc w:val="both"/>
        <w:rPr>
          <w:rFonts w:ascii="Palatino Linotype" w:eastAsia="Palatino Linotype" w:hAnsi="Palatino Linotype" w:cs="Palatino Linotype"/>
        </w:rPr>
      </w:pPr>
    </w:p>
    <w:p w14:paraId="5E0EEE60"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Luego entonces, la parte de la respuesta que no fue impugnada por el recurrente debe declararse consentida.</w:t>
      </w:r>
    </w:p>
    <w:p w14:paraId="5E0EEE61" w14:textId="77777777" w:rsidR="0034190F" w:rsidRPr="003A2146" w:rsidRDefault="0034190F">
      <w:pPr>
        <w:spacing w:line="360" w:lineRule="auto"/>
        <w:ind w:right="-787"/>
        <w:jc w:val="both"/>
        <w:rPr>
          <w:rFonts w:ascii="Palatino Linotype" w:eastAsia="Palatino Linotype" w:hAnsi="Palatino Linotype" w:cs="Palatino Linotype"/>
        </w:rPr>
      </w:pPr>
    </w:p>
    <w:p w14:paraId="5E0EEE62"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En cuanto a los puntos se solicitud referentes a Licencia de construcción, Licencia de Uso de Suelo, Constancia de alineamiento, e inspecciones practicadas por trabajos de construcción, todas del inmueble señalado en la solicitud de información, el Sujeto Obligado respondió que la información puede ser consultada en un link, mismo que se encuentra en dato cerrado, tal como se muestra en la imagen siguiente:</w:t>
      </w:r>
    </w:p>
    <w:p w14:paraId="5E0EEE63" w14:textId="77777777" w:rsidR="0034190F" w:rsidRPr="003A2146" w:rsidRDefault="005A1AAD">
      <w:pPr>
        <w:spacing w:line="360" w:lineRule="auto"/>
        <w:ind w:right="-787"/>
        <w:jc w:val="both"/>
        <w:rPr>
          <w:rFonts w:ascii="Palatino Linotype" w:eastAsia="Palatino Linotype" w:hAnsi="Palatino Linotype" w:cs="Palatino Linotype"/>
        </w:rPr>
      </w:pPr>
      <w:r w:rsidRPr="003A2146">
        <w:rPr>
          <w:rFonts w:ascii="Palatino Linotype" w:eastAsia="Palatino Linotype" w:hAnsi="Palatino Linotype" w:cs="Palatino Linotype"/>
          <w:noProof/>
          <w:lang w:val="es-MX" w:eastAsia="es-MX"/>
        </w:rPr>
        <w:lastRenderedPageBreak/>
        <w:drawing>
          <wp:inline distT="0" distB="0" distL="0" distR="0" wp14:anchorId="5E0EEF57" wp14:editId="5E0EEF58">
            <wp:extent cx="5612130" cy="219710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612130" cy="2197100"/>
                    </a:xfrm>
                    <a:prstGeom prst="rect">
                      <a:avLst/>
                    </a:prstGeom>
                    <a:ln/>
                  </pic:spPr>
                </pic:pic>
              </a:graphicData>
            </a:graphic>
          </wp:inline>
        </w:drawing>
      </w:r>
    </w:p>
    <w:p w14:paraId="5E0EEE64" w14:textId="77777777" w:rsidR="0034190F" w:rsidRPr="003A2146" w:rsidRDefault="0034190F">
      <w:pPr>
        <w:spacing w:line="360" w:lineRule="auto"/>
        <w:ind w:right="-787"/>
        <w:jc w:val="both"/>
        <w:rPr>
          <w:rFonts w:ascii="Palatino Linotype" w:eastAsia="Palatino Linotype" w:hAnsi="Palatino Linotype" w:cs="Palatino Linotype"/>
          <w:color w:val="000000"/>
        </w:rPr>
      </w:pPr>
    </w:p>
    <w:p w14:paraId="5E0EEE65"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b/>
        </w:rPr>
      </w:pPr>
      <w:r w:rsidRPr="003A2146">
        <w:rPr>
          <w:rFonts w:ascii="Palatino Linotype" w:eastAsia="Palatino Linotype" w:hAnsi="Palatino Linotype" w:cs="Palatino Linotype"/>
          <w:color w:val="000000"/>
        </w:rPr>
        <w:t>El</w:t>
      </w:r>
      <w:r w:rsidRPr="003A2146">
        <w:rPr>
          <w:rFonts w:ascii="Palatino Linotype" w:eastAsia="Palatino Linotype" w:hAnsi="Palatino Linotype" w:cs="Palatino Linotype"/>
          <w:b/>
          <w:color w:val="000000"/>
        </w:rPr>
        <w:t xml:space="preserve"> SUJETO OBLIGADO,  </w:t>
      </w:r>
      <w:r w:rsidRPr="003A2146">
        <w:rPr>
          <w:rFonts w:ascii="Palatino Linotype" w:eastAsia="Palatino Linotype" w:hAnsi="Palatino Linotype" w:cs="Palatino Linotype"/>
          <w:color w:val="000000"/>
        </w:rPr>
        <w:t xml:space="preserve">proporcionó la liga para obtener la información requerida en </w:t>
      </w:r>
      <w:r w:rsidRPr="003A2146">
        <w:rPr>
          <w:rFonts w:ascii="Palatino Linotype" w:eastAsia="Palatino Linotype" w:hAnsi="Palatino Linotype" w:cs="Palatino Linotype"/>
          <w:b/>
          <w:color w:val="000000"/>
          <w:u w:val="single"/>
        </w:rPr>
        <w:t>formato cerrado</w:t>
      </w:r>
      <w:r w:rsidRPr="003A2146">
        <w:rPr>
          <w:rFonts w:ascii="Palatino Linotype" w:eastAsia="Palatino Linotype" w:hAnsi="Palatino Linotype" w:cs="Palatino Linotype"/>
          <w:color w:val="000000"/>
        </w:rPr>
        <w:t xml:space="preserve">; es decir, que implica que se digite dato por dato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sidRPr="003A2146">
        <w:rPr>
          <w:rFonts w:ascii="Palatino Linotype" w:eastAsia="Palatino Linotype" w:hAnsi="Palatino Linotype" w:cs="Palatino Linotype"/>
          <w:b/>
          <w:color w:val="000000"/>
        </w:rPr>
        <w:t>en formatos abiertos, con los efectos de facilitar la reutilización de la información.</w:t>
      </w:r>
    </w:p>
    <w:p w14:paraId="5E0EEE66" w14:textId="77777777" w:rsidR="0034190F" w:rsidRPr="003A2146" w:rsidRDefault="0034190F">
      <w:pPr>
        <w:spacing w:line="360" w:lineRule="auto"/>
        <w:ind w:right="-787"/>
        <w:jc w:val="both"/>
        <w:rPr>
          <w:rFonts w:ascii="Palatino Linotype" w:eastAsia="Palatino Linotype" w:hAnsi="Palatino Linotype" w:cs="Palatino Linotype"/>
          <w:b/>
          <w:color w:val="000000"/>
        </w:rPr>
      </w:pPr>
    </w:p>
    <w:p w14:paraId="5E0EEE67"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color w:val="000000"/>
        </w:rPr>
        <w:t xml:space="preserve">Lo anterior, en acatamiento a lo estipulado en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registros públicos, en formatos electrónicos disponibles en Internet o en cualquier otro medio, </w:t>
      </w:r>
      <w:r w:rsidRPr="003A2146">
        <w:rPr>
          <w:rFonts w:ascii="Palatino Linotype" w:eastAsia="Palatino Linotype" w:hAnsi="Palatino Linotype" w:cs="Palatino Linotype"/>
          <w:b/>
          <w:color w:val="000000"/>
          <w:u w:val="single"/>
        </w:rPr>
        <w:t xml:space="preserve">se le hará saber por el medio requerido por el solicitante la fuente, el lugar y la forma en que puede consultar, reproducir o adquirir dicha información en un plazo no mayor a cinco días hábiles. La </w:t>
      </w:r>
      <w:r w:rsidRPr="003A2146">
        <w:rPr>
          <w:rFonts w:ascii="Palatino Linotype" w:eastAsia="Palatino Linotype" w:hAnsi="Palatino Linotype" w:cs="Palatino Linotype"/>
          <w:b/>
          <w:color w:val="000000"/>
          <w:u w:val="single"/>
        </w:rPr>
        <w:lastRenderedPageBreak/>
        <w:t>fuente deberá ser precisa y concreta y no debe implicar que el solicitante realice la búsqueda en toda la información que se encuentre disponible.</w:t>
      </w:r>
    </w:p>
    <w:p w14:paraId="5E0EEE68" w14:textId="77777777" w:rsidR="0034190F" w:rsidRPr="003A2146" w:rsidRDefault="0034190F">
      <w:pPr>
        <w:spacing w:line="360" w:lineRule="auto"/>
        <w:ind w:right="-787"/>
        <w:jc w:val="both"/>
        <w:rPr>
          <w:rFonts w:ascii="Palatino Linotype" w:eastAsia="Palatino Linotype" w:hAnsi="Palatino Linotype" w:cs="Palatino Linotype"/>
          <w:color w:val="000000"/>
        </w:rPr>
      </w:pPr>
    </w:p>
    <w:p w14:paraId="5E0EEE69"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color w:val="000000"/>
        </w:rPr>
        <w:t xml:space="preserve">Ahora bien, al digitar manualmente en el buscador el link </w:t>
      </w:r>
      <w:hyperlink r:id="rId14">
        <w:r w:rsidRPr="003A2146">
          <w:rPr>
            <w:rFonts w:ascii="Palatino Linotype" w:eastAsia="Palatino Linotype" w:hAnsi="Palatino Linotype" w:cs="Palatino Linotype"/>
            <w:color w:val="0563C1"/>
            <w:u w:val="single"/>
          </w:rPr>
          <w:t>https://ipomex.org.mx/ipo3/lgt/portal.web</w:t>
        </w:r>
      </w:hyperlink>
      <w:r w:rsidRPr="003A2146">
        <w:rPr>
          <w:rFonts w:ascii="Palatino Linotype" w:eastAsia="Palatino Linotype" w:hAnsi="Palatino Linotype" w:cs="Palatino Linotype"/>
          <w:color w:val="000000"/>
        </w:rPr>
        <w:t>, se despliega la ventana de inicio de Información Pública de Oficio de los Sujetos Obligados del Estado de México y Municipios. IPOMEX, tal como se muestra en la siguiente captura de pantalla:</w:t>
      </w:r>
    </w:p>
    <w:p w14:paraId="5E0EEE6A" w14:textId="77777777" w:rsidR="0034190F" w:rsidRPr="003A2146" w:rsidRDefault="005A1AAD">
      <w:pPr>
        <w:spacing w:line="360" w:lineRule="auto"/>
        <w:ind w:right="-787"/>
        <w:jc w:val="center"/>
        <w:rPr>
          <w:rFonts w:ascii="Palatino Linotype" w:eastAsia="Palatino Linotype" w:hAnsi="Palatino Linotype" w:cs="Palatino Linotype"/>
          <w:color w:val="000000"/>
        </w:rPr>
      </w:pPr>
      <w:r w:rsidRPr="003A2146">
        <w:rPr>
          <w:rFonts w:ascii="Palatino Linotype" w:eastAsia="Palatino Linotype" w:hAnsi="Palatino Linotype" w:cs="Palatino Linotype"/>
          <w:noProof/>
          <w:color w:val="000000"/>
          <w:lang w:val="es-MX" w:eastAsia="es-MX"/>
        </w:rPr>
        <w:drawing>
          <wp:inline distT="0" distB="0" distL="0" distR="0" wp14:anchorId="5E0EEF59" wp14:editId="5E0EEF5A">
            <wp:extent cx="5612130" cy="531114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12130" cy="5311140"/>
                    </a:xfrm>
                    <a:prstGeom prst="rect">
                      <a:avLst/>
                    </a:prstGeom>
                    <a:ln/>
                  </pic:spPr>
                </pic:pic>
              </a:graphicData>
            </a:graphic>
          </wp:inline>
        </w:drawing>
      </w:r>
      <w:r w:rsidRPr="003A2146">
        <w:rPr>
          <w:rFonts w:ascii="Palatino Linotype" w:eastAsia="Palatino Linotype" w:hAnsi="Palatino Linotype" w:cs="Palatino Linotype"/>
          <w:color w:val="000000"/>
        </w:rPr>
        <w:t xml:space="preserve"> </w:t>
      </w:r>
    </w:p>
    <w:p w14:paraId="5E0EEE6B"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lastRenderedPageBreak/>
        <w:t xml:space="preserve">De lo anterior, se advierte que la misma no muestra la información requerida por el solicitante, por lo que sus </w:t>
      </w:r>
      <w:r w:rsidRPr="003A2146">
        <w:rPr>
          <w:rFonts w:ascii="Palatino Linotype" w:eastAsia="Palatino Linotype" w:hAnsi="Palatino Linotype" w:cs="Palatino Linotype"/>
          <w:color w:val="000000"/>
        </w:rPr>
        <w:t>Razones o Motivos de inconformidad se consideran</w:t>
      </w:r>
      <w:r w:rsidRPr="003A2146">
        <w:rPr>
          <w:rFonts w:ascii="Palatino Linotype" w:eastAsia="Palatino Linotype" w:hAnsi="Palatino Linotype" w:cs="Palatino Linotype"/>
          <w:b/>
          <w:color w:val="000000"/>
        </w:rPr>
        <w:t xml:space="preserve"> FUNDADOS.</w:t>
      </w:r>
    </w:p>
    <w:p w14:paraId="5E0EEE6C" w14:textId="77777777" w:rsidR="0034190F" w:rsidRPr="003A2146" w:rsidRDefault="0034190F">
      <w:pPr>
        <w:spacing w:line="360" w:lineRule="auto"/>
        <w:ind w:right="-787"/>
        <w:jc w:val="both"/>
        <w:rPr>
          <w:rFonts w:ascii="Palatino Linotype" w:eastAsia="Palatino Linotype" w:hAnsi="Palatino Linotype" w:cs="Palatino Linotype"/>
        </w:rPr>
      </w:pPr>
    </w:p>
    <w:p w14:paraId="5E0EEE6D"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color w:val="000000"/>
        </w:rPr>
        <w:t xml:space="preserve">Cabe precisar que el Sujeto Obligado no se encuentra forzado normativamente a procesar la información; ello, conforme al artículo 12 de la Ley de Transparencia y Acceso a la Información Pública del Estado de México y Municipios, que prevé que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w:t>
      </w:r>
      <w:r w:rsidRPr="003A2146">
        <w:rPr>
          <w:rFonts w:ascii="Palatino Linotype" w:eastAsia="Palatino Linotype" w:hAnsi="Palatino Linotype" w:cs="Palatino Linotype"/>
        </w:rPr>
        <w:t>resumir</w:t>
      </w:r>
      <w:r w:rsidRPr="003A2146">
        <w:rPr>
          <w:rFonts w:ascii="Palatino Linotype" w:eastAsia="Palatino Linotype" w:hAnsi="Palatino Linotype" w:cs="Palatino Linotype"/>
          <w:color w:val="000000"/>
        </w:rPr>
        <w:t>, efectuar cálculos o practicar investigaciones.</w:t>
      </w:r>
    </w:p>
    <w:p w14:paraId="5E0EEE6E" w14:textId="77777777" w:rsidR="0034190F" w:rsidRPr="003A2146" w:rsidRDefault="0034190F">
      <w:pPr>
        <w:tabs>
          <w:tab w:val="left" w:pos="4962"/>
        </w:tabs>
        <w:spacing w:line="360" w:lineRule="auto"/>
        <w:ind w:right="-787"/>
        <w:jc w:val="both"/>
        <w:rPr>
          <w:rFonts w:ascii="Palatino Linotype" w:eastAsia="Palatino Linotype" w:hAnsi="Palatino Linotype" w:cs="Palatino Linotype"/>
        </w:rPr>
      </w:pPr>
    </w:p>
    <w:p w14:paraId="5E0EEE6F"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color w:val="000000"/>
        </w:rPr>
        <w:t xml:space="preserve">De esta manera, el derecho de acceso a la información pública se satisface en aquellos casos en que se entregue el soporte documental en el que conste la información solicitada, sin necesidad de elaborar documentos </w:t>
      </w:r>
      <w:r w:rsidRPr="003A2146">
        <w:rPr>
          <w:rFonts w:ascii="Palatino Linotype" w:eastAsia="Palatino Linotype" w:hAnsi="Palatino Linotype" w:cs="Palatino Linotype"/>
          <w:i/>
          <w:color w:val="000000"/>
        </w:rPr>
        <w:t>ad hoc</w:t>
      </w:r>
      <w:r w:rsidRPr="003A2146">
        <w:rPr>
          <w:rFonts w:ascii="Palatino Linotype" w:eastAsia="Palatino Linotype" w:hAnsi="Palatino Linotype" w:cs="Palatino Linotype"/>
          <w:color w:val="000000"/>
        </w:rPr>
        <w:t>; lo cual, toma sustento en el artículo 160 de la Ley de Transparencia y Acceso a la Información Pública del Estado de México y Municipios, el cual refiere que los sujetos obligados deberán entregar la información que obre en sus archivos. Además, resulta aplicable el Criterio 03/17 del Instituto Nacional de Transparencia, Acceso a la Información y Protección de Datos Personales que a continuación se cita:</w:t>
      </w:r>
    </w:p>
    <w:p w14:paraId="5E0EEE70" w14:textId="77777777" w:rsidR="0034190F" w:rsidRPr="003A2146" w:rsidRDefault="005A1AAD">
      <w:pPr>
        <w:ind w:left="566" w:right="-220"/>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bookmarkStart w:id="11" w:name="_GoBack"/>
      <w:bookmarkEnd w:id="11"/>
      <w:r w:rsidRPr="003A2146">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E0EEE71" w14:textId="77777777" w:rsidR="0034190F" w:rsidRPr="003A2146" w:rsidRDefault="0034190F">
      <w:pPr>
        <w:spacing w:line="360" w:lineRule="auto"/>
        <w:ind w:right="-787"/>
        <w:jc w:val="both"/>
        <w:rPr>
          <w:rFonts w:ascii="Palatino Linotype" w:eastAsia="Palatino Linotype" w:hAnsi="Palatino Linotype" w:cs="Palatino Linotype"/>
        </w:rPr>
      </w:pPr>
    </w:p>
    <w:p w14:paraId="5E0EEE72"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color w:val="000000"/>
        </w:rPr>
        <w:t xml:space="preserve">También lo es que no existe normatividad o precepto legal </w:t>
      </w:r>
      <w:r w:rsidRPr="003A2146">
        <w:rPr>
          <w:rFonts w:ascii="Palatino Linotype" w:eastAsia="Palatino Linotype" w:hAnsi="Palatino Linotype" w:cs="Palatino Linotype"/>
          <w:b/>
          <w:color w:val="000000"/>
        </w:rPr>
        <w:t>que lo impida</w:t>
      </w:r>
      <w:r w:rsidRPr="003A2146">
        <w:rPr>
          <w:rFonts w:ascii="Palatino Linotype" w:eastAsia="Palatino Linotype" w:hAnsi="Palatino Linotype" w:cs="Palatino Linotype"/>
          <w:color w:val="000000"/>
        </w:rPr>
        <w:t xml:space="preserve">, de modo tal que un pronunciamiento que de atención a lo requerido eventualmente puede colmar el cumplimiento de la presente resolución, lo cual no implica que el </w:t>
      </w:r>
      <w:r w:rsidRPr="003A2146">
        <w:rPr>
          <w:rFonts w:ascii="Palatino Linotype" w:eastAsia="Palatino Linotype" w:hAnsi="Palatino Linotype" w:cs="Palatino Linotype"/>
          <w:b/>
          <w:color w:val="000000"/>
        </w:rPr>
        <w:t>SUJETO OBLIGADO</w:t>
      </w:r>
      <w:r w:rsidRPr="003A2146">
        <w:rPr>
          <w:rFonts w:ascii="Palatino Linotype" w:eastAsia="Palatino Linotype" w:hAnsi="Palatino Linotype" w:cs="Palatino Linotype"/>
          <w:color w:val="000000"/>
        </w:rPr>
        <w:t xml:space="preserve"> procese la información.</w:t>
      </w:r>
    </w:p>
    <w:p w14:paraId="5E0EEE73" w14:textId="77777777" w:rsidR="0034190F" w:rsidRPr="003A2146" w:rsidRDefault="0034190F">
      <w:p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rPr>
      </w:pPr>
    </w:p>
    <w:p w14:paraId="5E0EEE74"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color w:val="000000"/>
        </w:rPr>
        <w:t>Así las cosas, 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E0EEE75" w14:textId="77777777" w:rsidR="0034190F" w:rsidRPr="003A2146" w:rsidRDefault="0034190F">
      <w:pPr>
        <w:pBdr>
          <w:top w:val="nil"/>
          <w:left w:val="nil"/>
          <w:bottom w:val="nil"/>
          <w:right w:val="nil"/>
          <w:between w:val="nil"/>
        </w:pBdr>
        <w:spacing w:line="360" w:lineRule="auto"/>
        <w:ind w:left="502" w:right="-787"/>
        <w:jc w:val="both"/>
        <w:rPr>
          <w:rFonts w:ascii="Palatino Linotype" w:eastAsia="Palatino Linotype" w:hAnsi="Palatino Linotype" w:cs="Palatino Linotype"/>
          <w:i/>
          <w:color w:val="000000"/>
        </w:rPr>
      </w:pPr>
    </w:p>
    <w:p w14:paraId="5E0EEE76"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color w:val="000000"/>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w:t>
      </w:r>
      <w:r w:rsidRPr="003A2146">
        <w:rPr>
          <w:rFonts w:ascii="Palatino Linotype" w:eastAsia="Palatino Linotype" w:hAnsi="Palatino Linotype" w:cs="Palatino Linotype"/>
        </w:rPr>
        <w:t>resumir</w:t>
      </w:r>
      <w:r w:rsidRPr="003A2146">
        <w:rPr>
          <w:rFonts w:ascii="Palatino Linotype" w:eastAsia="Palatino Linotype" w:hAnsi="Palatino Linotype" w:cs="Palatino Linotype"/>
          <w:color w:val="000000"/>
        </w:rPr>
        <w:t xml:space="preserve">, efectuar cálculos o practicar investigaciones; tal y como se señala a continuación: </w:t>
      </w:r>
    </w:p>
    <w:p w14:paraId="5E0EEE77"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r w:rsidRPr="003A2146">
        <w:rPr>
          <w:rFonts w:ascii="Palatino Linotype" w:eastAsia="Palatino Linotype" w:hAnsi="Palatino Linotype" w:cs="Palatino Linotype"/>
          <w:b/>
          <w:i/>
          <w:color w:val="000000"/>
          <w:sz w:val="22"/>
          <w:szCs w:val="22"/>
        </w:rPr>
        <w:t>Artículo 12.</w:t>
      </w:r>
      <w:r w:rsidRPr="003A2146">
        <w:rPr>
          <w:rFonts w:ascii="Palatino Linotype" w:eastAsia="Palatino Linotype" w:hAnsi="Palatino Linotype" w:cs="Palatino Linotype"/>
          <w:i/>
          <w:color w:val="000000"/>
          <w:sz w:val="22"/>
          <w:szCs w:val="22"/>
        </w:rPr>
        <w:t xml:space="preserve"> Quienes generen, recopilen, administren, manejen, procesen, archiven o conserven información pública serán responsables de la misma en los términos de las disposiciones jurídicas aplicables. </w:t>
      </w:r>
    </w:p>
    <w:p w14:paraId="5E0EEE78" w14:textId="77777777" w:rsidR="0034190F" w:rsidRPr="003A2146" w:rsidRDefault="0034190F">
      <w:pPr>
        <w:pBdr>
          <w:top w:val="nil"/>
          <w:left w:val="nil"/>
          <w:bottom w:val="nil"/>
          <w:right w:val="nil"/>
          <w:between w:val="nil"/>
        </w:pBdr>
        <w:ind w:left="566" w:right="-220"/>
        <w:jc w:val="both"/>
        <w:rPr>
          <w:rFonts w:ascii="Palatino Linotype" w:eastAsia="Palatino Linotype" w:hAnsi="Palatino Linotype" w:cs="Palatino Linotype"/>
          <w:b/>
          <w:i/>
          <w:color w:val="000000"/>
          <w:sz w:val="22"/>
          <w:szCs w:val="22"/>
          <w:u w:val="single"/>
        </w:rPr>
      </w:pPr>
    </w:p>
    <w:p w14:paraId="5E0EEE79"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A2146">
        <w:rPr>
          <w:rFonts w:ascii="Palatino Linotype" w:eastAsia="Palatino Linotype" w:hAnsi="Palatino Linotype" w:cs="Palatino Linotype"/>
          <w:i/>
          <w:color w:val="000000"/>
          <w:sz w:val="22"/>
          <w:szCs w:val="22"/>
        </w:rPr>
        <w:t>”</w:t>
      </w:r>
    </w:p>
    <w:p w14:paraId="5E0EEE7A" w14:textId="77777777" w:rsidR="0034190F" w:rsidRPr="003A2146" w:rsidRDefault="005A1AAD">
      <w:pPr>
        <w:pBdr>
          <w:top w:val="nil"/>
          <w:left w:val="nil"/>
          <w:bottom w:val="nil"/>
          <w:right w:val="nil"/>
          <w:between w:val="nil"/>
        </w:pBdr>
        <w:ind w:left="566" w:right="-220"/>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(Énfasis añadido)</w:t>
      </w:r>
    </w:p>
    <w:p w14:paraId="5E0EEE7B"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color w:val="000000"/>
        </w:rPr>
        <w:t xml:space="preserve">En síntesis, el derecho de acceso a la información pública se satisface en aquellos casos en que se entregue el soporte documental en que conste la información pública. Asimismo, </w:t>
      </w:r>
      <w:r w:rsidRPr="003A2146">
        <w:rPr>
          <w:rFonts w:ascii="Palatino Linotype" w:eastAsia="Palatino Linotype" w:hAnsi="Palatino Linotype" w:cs="Palatino Linotype"/>
          <w:color w:val="000000"/>
        </w:rPr>
        <w:lastRenderedPageBreak/>
        <w:t>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E0EEE7C" w14:textId="77777777" w:rsidR="0034190F" w:rsidRPr="003A2146" w:rsidRDefault="0034190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5E0EEE7D"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color w:val="000000"/>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E0EEE7E" w14:textId="77777777" w:rsidR="0034190F" w:rsidRPr="003A2146" w:rsidRDefault="005A1AAD">
      <w:pPr>
        <w:ind w:left="708"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r w:rsidRPr="003A2146">
        <w:rPr>
          <w:rFonts w:ascii="Palatino Linotype" w:eastAsia="Palatino Linotype" w:hAnsi="Palatino Linotype" w:cs="Palatino Linotype"/>
          <w:b/>
          <w:i/>
          <w:color w:val="000000"/>
          <w:sz w:val="22"/>
          <w:szCs w:val="22"/>
        </w:rPr>
        <w:t xml:space="preserve">Artículo 3. </w:t>
      </w:r>
      <w:r w:rsidRPr="003A2146">
        <w:rPr>
          <w:rFonts w:ascii="Palatino Linotype" w:eastAsia="Palatino Linotype" w:hAnsi="Palatino Linotype" w:cs="Palatino Linotype"/>
          <w:i/>
          <w:color w:val="000000"/>
          <w:sz w:val="22"/>
          <w:szCs w:val="22"/>
        </w:rPr>
        <w:t>Para los efectos de la presente Ley se entenderá por:</w:t>
      </w:r>
    </w:p>
    <w:p w14:paraId="5E0EEE7F" w14:textId="77777777" w:rsidR="0034190F" w:rsidRPr="003A2146" w:rsidRDefault="005A1AAD">
      <w:pPr>
        <w:ind w:left="708"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80" w14:textId="77777777" w:rsidR="0034190F" w:rsidRPr="003A2146" w:rsidRDefault="005A1AAD">
      <w:pPr>
        <w:ind w:left="708"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XI. Documento:</w:t>
      </w:r>
      <w:r w:rsidRPr="003A2146">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E0EEE81" w14:textId="77777777" w:rsidR="0034190F" w:rsidRPr="003A2146" w:rsidRDefault="005A1AAD">
      <w:pPr>
        <w:spacing w:line="360" w:lineRule="auto"/>
        <w:ind w:left="708"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82" w14:textId="77777777" w:rsidR="0034190F" w:rsidRPr="003A2146" w:rsidRDefault="0034190F">
      <w:pPr>
        <w:spacing w:line="360" w:lineRule="auto"/>
        <w:ind w:left="708" w:right="-787"/>
        <w:jc w:val="both"/>
        <w:rPr>
          <w:rFonts w:ascii="Palatino Linotype" w:eastAsia="Palatino Linotype" w:hAnsi="Palatino Linotype" w:cs="Palatino Linotype"/>
        </w:rPr>
      </w:pPr>
    </w:p>
    <w:p w14:paraId="5E0EEE83"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Acceso a la Información </w:t>
      </w:r>
      <w:r w:rsidRPr="003A2146">
        <w:rPr>
          <w:rFonts w:ascii="Palatino Linotype" w:eastAsia="Palatino Linotype" w:hAnsi="Palatino Linotype" w:cs="Palatino Linotype"/>
          <w:color w:val="000000"/>
        </w:rPr>
        <w:lastRenderedPageBreak/>
        <w:t>Pública del Estado de México y Municipios; publicado en el Periódico Oficial del Gobierno del Estado Libre y Soberano de México “Gaceta del Gobierno”, el diecinueve de octubre de dos mil once, cuyo rubro y texto dispone:</w:t>
      </w:r>
    </w:p>
    <w:p w14:paraId="5E0EEE84" w14:textId="77777777" w:rsidR="0034190F" w:rsidRPr="003A2146" w:rsidRDefault="005A1AAD">
      <w:pPr>
        <w:ind w:left="708" w:right="-287"/>
        <w:jc w:val="both"/>
        <w:rPr>
          <w:rFonts w:ascii="Palatino Linotype" w:eastAsia="Palatino Linotype" w:hAnsi="Palatino Linotype" w:cs="Palatino Linotype"/>
          <w:b/>
          <w:i/>
          <w:sz w:val="22"/>
          <w:szCs w:val="22"/>
        </w:rPr>
      </w:pPr>
      <w:r w:rsidRPr="003A2146">
        <w:rPr>
          <w:rFonts w:ascii="Palatino Linotype" w:eastAsia="Palatino Linotype" w:hAnsi="Palatino Linotype" w:cs="Palatino Linotype"/>
          <w:b/>
          <w:sz w:val="22"/>
          <w:szCs w:val="22"/>
        </w:rPr>
        <w:t>“</w:t>
      </w:r>
      <w:r w:rsidRPr="003A2146">
        <w:rPr>
          <w:rFonts w:ascii="Palatino Linotype" w:eastAsia="Palatino Linotype" w:hAnsi="Palatino Linotype" w:cs="Palatino Linotype"/>
          <w:b/>
          <w:i/>
          <w:sz w:val="22"/>
          <w:szCs w:val="22"/>
        </w:rPr>
        <w:t>CRITERIO 0002-11</w:t>
      </w:r>
    </w:p>
    <w:p w14:paraId="5E0EEE85" w14:textId="77777777" w:rsidR="0034190F" w:rsidRPr="003A2146" w:rsidRDefault="005A1AAD">
      <w:pPr>
        <w:ind w:left="708" w:right="-287"/>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A214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0EEE86" w14:textId="77777777" w:rsidR="0034190F" w:rsidRPr="003A2146" w:rsidRDefault="005A1AAD">
      <w:pPr>
        <w:ind w:left="708" w:right="-287"/>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E0EEE87" w14:textId="77777777" w:rsidR="0034190F" w:rsidRPr="003A2146" w:rsidRDefault="005A1AAD">
      <w:pPr>
        <w:ind w:left="708" w:right="-287"/>
        <w:jc w:val="both"/>
        <w:rPr>
          <w:rFonts w:ascii="Palatino Linotype" w:eastAsia="Palatino Linotype" w:hAnsi="Palatino Linotype" w:cs="Palatino Linotype"/>
          <w:b/>
          <w:i/>
          <w:sz w:val="22"/>
          <w:szCs w:val="22"/>
        </w:rPr>
      </w:pPr>
      <w:r w:rsidRPr="003A2146">
        <w:rPr>
          <w:rFonts w:ascii="Palatino Linotype" w:eastAsia="Palatino Linotype" w:hAnsi="Palatino Linotype" w:cs="Palatino Linotype"/>
          <w:b/>
          <w:i/>
          <w:sz w:val="22"/>
          <w:szCs w:val="22"/>
        </w:rPr>
        <w:t xml:space="preserve">1) </w:t>
      </w:r>
      <w:r w:rsidRPr="003A2146">
        <w:rPr>
          <w:rFonts w:ascii="Palatino Linotype" w:eastAsia="Palatino Linotype" w:hAnsi="Palatino Linotype" w:cs="Palatino Linotype"/>
          <w:b/>
          <w:i/>
          <w:sz w:val="22"/>
          <w:szCs w:val="22"/>
          <w:u w:val="single"/>
        </w:rPr>
        <w:t>Que se trate de información registrada en cualquier soporte documental, que en ejercicio de las atribuciones conferidas, sea generada por los Sujetos Obligados;</w:t>
      </w:r>
    </w:p>
    <w:p w14:paraId="5E0EEE88" w14:textId="77777777" w:rsidR="0034190F" w:rsidRPr="003A2146" w:rsidRDefault="005A1AAD">
      <w:pPr>
        <w:ind w:left="708" w:right="-287"/>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5E0EEE89" w14:textId="77777777" w:rsidR="0034190F" w:rsidRPr="003A2146" w:rsidRDefault="005A1AAD">
      <w:pPr>
        <w:ind w:left="708" w:right="-287"/>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5E0EEE8A" w14:textId="77777777" w:rsidR="0034190F" w:rsidRPr="003A2146" w:rsidRDefault="005A1AAD">
      <w:pPr>
        <w:tabs>
          <w:tab w:val="left" w:pos="851"/>
        </w:tabs>
        <w:spacing w:line="360" w:lineRule="auto"/>
        <w:ind w:left="708" w:right="-287"/>
        <w:rPr>
          <w:rFonts w:ascii="Palatino Linotype" w:eastAsia="Palatino Linotype" w:hAnsi="Palatino Linotype" w:cs="Palatino Linotype"/>
          <w:sz w:val="22"/>
          <w:szCs w:val="22"/>
        </w:rPr>
      </w:pPr>
      <w:r w:rsidRPr="003A2146">
        <w:rPr>
          <w:rFonts w:ascii="Palatino Linotype" w:eastAsia="Palatino Linotype" w:hAnsi="Palatino Linotype" w:cs="Palatino Linotype"/>
          <w:sz w:val="22"/>
          <w:szCs w:val="22"/>
        </w:rPr>
        <w:t>(Énfasis Añadido)</w:t>
      </w:r>
    </w:p>
    <w:p w14:paraId="5E0EEE8B" w14:textId="77777777" w:rsidR="0034190F" w:rsidRPr="003A2146" w:rsidRDefault="0034190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5E0EEE8C"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color w:val="000000"/>
        </w:rPr>
        <w:t>Por su parte los artículos 160 y 166, de la Ley local en la materia, que se reproduce de la siguiente forma:</w:t>
      </w:r>
    </w:p>
    <w:p w14:paraId="5E0EEE8D" w14:textId="77777777" w:rsidR="0034190F" w:rsidRPr="003A2146" w:rsidRDefault="005A1AAD">
      <w:pPr>
        <w:ind w:left="850" w:right="-145"/>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w:t>
      </w:r>
      <w:r w:rsidRPr="003A2146">
        <w:rPr>
          <w:rFonts w:ascii="Palatino Linotype" w:eastAsia="Palatino Linotype" w:hAnsi="Palatino Linotype" w:cs="Palatino Linotype"/>
          <w:b/>
          <w:i/>
          <w:sz w:val="22"/>
          <w:szCs w:val="22"/>
        </w:rPr>
        <w:t>Artículo 160.</w:t>
      </w:r>
      <w:r w:rsidRPr="003A2146">
        <w:rPr>
          <w:rFonts w:ascii="Palatino Linotype" w:eastAsia="Palatino Linotype" w:hAnsi="Palatino Linotype" w:cs="Palatino Linotype"/>
          <w:i/>
          <w:sz w:val="22"/>
          <w:szCs w:val="22"/>
        </w:rPr>
        <w:t xml:space="preserve"> </w:t>
      </w:r>
      <w:r w:rsidRPr="003A2146">
        <w:rPr>
          <w:rFonts w:ascii="Palatino Linotype" w:eastAsia="Palatino Linotype" w:hAnsi="Palatino Linotype" w:cs="Palatino Linotype"/>
          <w:i/>
          <w:sz w:val="22"/>
          <w:szCs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3A2146">
        <w:rPr>
          <w:rFonts w:ascii="Palatino Linotype" w:eastAsia="Palatino Linotype" w:hAnsi="Palatino Linotype" w:cs="Palatino Linotype"/>
          <w:i/>
          <w:sz w:val="22"/>
          <w:szCs w:val="22"/>
        </w:rPr>
        <w:t>.</w:t>
      </w:r>
    </w:p>
    <w:p w14:paraId="5E0EEE8E" w14:textId="77777777" w:rsidR="0034190F" w:rsidRPr="003A2146" w:rsidRDefault="0034190F">
      <w:pPr>
        <w:ind w:left="850" w:right="-145"/>
        <w:jc w:val="both"/>
        <w:rPr>
          <w:rFonts w:ascii="Palatino Linotype" w:eastAsia="Palatino Linotype" w:hAnsi="Palatino Linotype" w:cs="Palatino Linotype"/>
          <w:i/>
          <w:sz w:val="22"/>
          <w:szCs w:val="22"/>
        </w:rPr>
      </w:pPr>
    </w:p>
    <w:p w14:paraId="5E0EEE8F" w14:textId="77777777" w:rsidR="0034190F" w:rsidRPr="003A2146" w:rsidRDefault="005A1AAD">
      <w:pPr>
        <w:ind w:left="850" w:right="-145"/>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5E0EEE90" w14:textId="77777777" w:rsidR="0034190F" w:rsidRPr="003A2146" w:rsidRDefault="005A1AAD">
      <w:pPr>
        <w:ind w:left="850" w:right="-145"/>
        <w:jc w:val="both"/>
        <w:rPr>
          <w:rFonts w:ascii="Palatino Linotype" w:eastAsia="Palatino Linotype" w:hAnsi="Palatino Linotype" w:cs="Palatino Linotype"/>
          <w:i/>
          <w:sz w:val="22"/>
          <w:szCs w:val="22"/>
          <w:u w:val="single"/>
        </w:rPr>
      </w:pPr>
      <w:r w:rsidRPr="003A2146">
        <w:rPr>
          <w:rFonts w:ascii="Palatino Linotype" w:eastAsia="Palatino Linotype" w:hAnsi="Palatino Linotype" w:cs="Palatino Linotype"/>
          <w:b/>
          <w:i/>
          <w:sz w:val="22"/>
          <w:szCs w:val="22"/>
        </w:rPr>
        <w:t>Artículo 166.</w:t>
      </w:r>
      <w:r w:rsidRPr="003A2146">
        <w:rPr>
          <w:rFonts w:ascii="Palatino Linotype" w:eastAsia="Palatino Linotype" w:hAnsi="Palatino Linotype" w:cs="Palatino Linotype"/>
          <w:i/>
          <w:sz w:val="22"/>
          <w:szCs w:val="22"/>
        </w:rPr>
        <w:t xml:space="preserve"> </w:t>
      </w:r>
      <w:r w:rsidRPr="003A2146">
        <w:rPr>
          <w:rFonts w:ascii="Palatino Linotype" w:eastAsia="Palatino Linotype" w:hAnsi="Palatino Linotype" w:cs="Palatino Linotype"/>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14:paraId="5E0EEE91" w14:textId="77777777" w:rsidR="0034190F" w:rsidRPr="003A2146" w:rsidRDefault="005A1AAD">
      <w:pPr>
        <w:spacing w:line="360" w:lineRule="auto"/>
        <w:ind w:left="850" w:right="-145"/>
        <w:jc w:val="both"/>
        <w:rPr>
          <w:rFonts w:ascii="Palatino Linotype" w:eastAsia="Palatino Linotype" w:hAnsi="Palatino Linotype" w:cs="Palatino Linotype"/>
          <w:sz w:val="22"/>
          <w:szCs w:val="22"/>
        </w:rPr>
      </w:pPr>
      <w:r w:rsidRPr="003A2146">
        <w:rPr>
          <w:rFonts w:ascii="Palatino Linotype" w:eastAsia="Palatino Linotype" w:hAnsi="Palatino Linotype" w:cs="Palatino Linotype"/>
          <w:sz w:val="22"/>
          <w:szCs w:val="22"/>
        </w:rPr>
        <w:t>(Énfasis añadido)</w:t>
      </w:r>
    </w:p>
    <w:p w14:paraId="5E0EEE92" w14:textId="77777777" w:rsidR="0034190F" w:rsidRPr="003A2146" w:rsidRDefault="0034190F">
      <w:pPr>
        <w:spacing w:line="360" w:lineRule="auto"/>
        <w:ind w:right="-787"/>
        <w:jc w:val="both"/>
        <w:rPr>
          <w:rFonts w:ascii="Palatino Linotype" w:eastAsia="Palatino Linotype" w:hAnsi="Palatino Linotype" w:cs="Palatino Linotype"/>
        </w:rPr>
      </w:pPr>
    </w:p>
    <w:p w14:paraId="5E0EEE93"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14:paraId="5E0EEE94" w14:textId="77777777" w:rsidR="0034190F" w:rsidRPr="003A2146" w:rsidRDefault="0034190F">
      <w:pPr>
        <w:spacing w:line="360" w:lineRule="auto"/>
        <w:ind w:right="-787"/>
        <w:jc w:val="both"/>
        <w:rPr>
          <w:rFonts w:ascii="Palatino Linotype" w:eastAsia="Palatino Linotype" w:hAnsi="Palatino Linotype" w:cs="Palatino Linotype"/>
          <w:color w:val="000000"/>
        </w:rPr>
      </w:pPr>
    </w:p>
    <w:p w14:paraId="5E0EEE95"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 xml:space="preserve">En cuanto al punto de requerimiento relativo a la </w:t>
      </w:r>
      <w:r w:rsidRPr="003A2146">
        <w:rPr>
          <w:rFonts w:ascii="Palatino Linotype" w:eastAsia="Palatino Linotype" w:hAnsi="Palatino Linotype" w:cs="Palatino Linotype"/>
          <w:b/>
          <w:u w:val="single"/>
        </w:rPr>
        <w:t>licencia de construcción</w:t>
      </w:r>
      <w:r w:rsidRPr="003A2146">
        <w:rPr>
          <w:rFonts w:ascii="Palatino Linotype" w:eastAsia="Palatino Linotype" w:hAnsi="Palatino Linotype" w:cs="Palatino Linotype"/>
        </w:rPr>
        <w:t xml:space="preserve"> del inmueble referido en la solicitud de información, la Dirección de Desarrollo Urbano y Medio Ambiente, tiene dentro de sus atribuciones la de expedición de licencias de construcción de conformidad al artículo 67, apartado A, fracción I, del Bando Municipal, y el 18.6., fracción II, del Código Administrativo del Estado de México.</w:t>
      </w:r>
    </w:p>
    <w:p w14:paraId="5E0EEE96" w14:textId="77777777" w:rsidR="0034190F" w:rsidRPr="003A2146" w:rsidRDefault="005A1AAD">
      <w:pPr>
        <w:pBdr>
          <w:top w:val="nil"/>
          <w:left w:val="nil"/>
          <w:bottom w:val="nil"/>
          <w:right w:val="nil"/>
          <w:between w:val="nil"/>
        </w:pBdr>
        <w:tabs>
          <w:tab w:val="left" w:pos="7938"/>
        </w:tabs>
        <w:ind w:left="566" w:right="-145"/>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Bando Municipal para el año 2024 de Tultitlán, Estado de México</w:t>
      </w:r>
    </w:p>
    <w:p w14:paraId="5E0EEE97"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Apartado A. Del Desarrollo Urbano:</w:t>
      </w:r>
      <w:r w:rsidRPr="003A2146">
        <w:rPr>
          <w:rFonts w:ascii="Palatino Linotype" w:eastAsia="Palatino Linotype" w:hAnsi="Palatino Linotype" w:cs="Palatino Linotype"/>
          <w:i/>
          <w:color w:val="000000"/>
          <w:sz w:val="22"/>
          <w:szCs w:val="22"/>
        </w:rPr>
        <w:t xml:space="preserve"> </w:t>
      </w:r>
    </w:p>
    <w:p w14:paraId="5E0EEE98" w14:textId="77777777" w:rsidR="0034190F" w:rsidRPr="003A2146" w:rsidRDefault="0034190F">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p>
    <w:p w14:paraId="5E0EEE99"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 </w:t>
      </w:r>
      <w:r w:rsidRPr="003A2146">
        <w:rPr>
          <w:rFonts w:ascii="Palatino Linotype" w:eastAsia="Palatino Linotype" w:hAnsi="Palatino Linotype" w:cs="Palatino Linotype"/>
          <w:b/>
          <w:i/>
          <w:color w:val="000000"/>
          <w:sz w:val="22"/>
          <w:szCs w:val="22"/>
        </w:rPr>
        <w:t>Expedir las licencias municipales</w:t>
      </w:r>
      <w:r w:rsidRPr="003A2146">
        <w:rPr>
          <w:rFonts w:ascii="Palatino Linotype" w:eastAsia="Palatino Linotype" w:hAnsi="Palatino Linotype" w:cs="Palatino Linotype"/>
          <w:i/>
          <w:color w:val="000000"/>
          <w:sz w:val="22"/>
          <w:szCs w:val="22"/>
        </w:rPr>
        <w:t xml:space="preserve"> de uso de suelo, </w:t>
      </w:r>
      <w:r w:rsidRPr="003A2146">
        <w:rPr>
          <w:rFonts w:ascii="Palatino Linotype" w:eastAsia="Palatino Linotype" w:hAnsi="Palatino Linotype" w:cs="Palatino Linotype"/>
          <w:b/>
          <w:i/>
          <w:color w:val="000000"/>
          <w:sz w:val="22"/>
          <w:szCs w:val="22"/>
        </w:rPr>
        <w:t>de construcción</w:t>
      </w:r>
      <w:r w:rsidRPr="003A2146">
        <w:rPr>
          <w:rFonts w:ascii="Palatino Linotype" w:eastAsia="Palatino Linotype" w:hAnsi="Palatino Linotype" w:cs="Palatino Linotype"/>
          <w:i/>
          <w:color w:val="000000"/>
          <w:sz w:val="22"/>
          <w:szCs w:val="22"/>
        </w:rPr>
        <w:t>, autorizaciones y/o permisos de obra, así como las prórrogas respectivas a licencias de construcción, conforme a los requisitos y términos que prevé el Código Administrativo del Estado de México, Código Financiero del Estado de México y Municipios y demás disposiciones relativas;</w:t>
      </w:r>
    </w:p>
    <w:p w14:paraId="5E0EEE9A" w14:textId="77777777" w:rsidR="0034190F" w:rsidRPr="003A2146" w:rsidRDefault="0034190F">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p>
    <w:p w14:paraId="5E0EEE9B" w14:textId="77777777" w:rsidR="0034190F" w:rsidRPr="003A2146" w:rsidRDefault="005A1AAD">
      <w:pPr>
        <w:pBdr>
          <w:top w:val="nil"/>
          <w:left w:val="nil"/>
          <w:bottom w:val="nil"/>
          <w:right w:val="nil"/>
          <w:between w:val="nil"/>
        </w:pBdr>
        <w:tabs>
          <w:tab w:val="left" w:pos="7938"/>
        </w:tabs>
        <w:ind w:left="566" w:right="-145"/>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Código Administrativo del Estado de México</w:t>
      </w:r>
    </w:p>
    <w:p w14:paraId="5E0EEE9C" w14:textId="77777777" w:rsidR="0034190F" w:rsidRPr="003A2146" w:rsidRDefault="0034190F">
      <w:pPr>
        <w:pBdr>
          <w:top w:val="nil"/>
          <w:left w:val="nil"/>
          <w:bottom w:val="nil"/>
          <w:right w:val="nil"/>
          <w:between w:val="nil"/>
        </w:pBdr>
        <w:tabs>
          <w:tab w:val="left" w:pos="7938"/>
        </w:tabs>
        <w:ind w:left="566" w:right="-145"/>
        <w:jc w:val="center"/>
        <w:rPr>
          <w:rFonts w:ascii="Palatino Linotype" w:eastAsia="Palatino Linotype" w:hAnsi="Palatino Linotype" w:cs="Palatino Linotype"/>
          <w:b/>
          <w:i/>
          <w:color w:val="000000"/>
          <w:sz w:val="22"/>
          <w:szCs w:val="22"/>
        </w:rPr>
      </w:pPr>
    </w:p>
    <w:p w14:paraId="5E0EEE9D"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 xml:space="preserve">Artículo 18.6.- </w:t>
      </w:r>
      <w:r w:rsidRPr="003A2146">
        <w:rPr>
          <w:rFonts w:ascii="Palatino Linotype" w:eastAsia="Palatino Linotype" w:hAnsi="Palatino Linotype" w:cs="Palatino Linotype"/>
          <w:i/>
          <w:color w:val="000000"/>
          <w:sz w:val="22"/>
          <w:szCs w:val="22"/>
        </w:rPr>
        <w:t>Son atribuciones de los Municipios:</w:t>
      </w:r>
    </w:p>
    <w:p w14:paraId="5E0EEE9E"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9F"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II. Expedir licencias, permisos y constancias en materia de construcción, de conformidad con lo dispuesto por este Libro, las Normas Técnicas, los planes municipales de desarrollo urbano y demás normatividad aplicable;</w:t>
      </w:r>
    </w:p>
    <w:p w14:paraId="5E0EEEA0"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A1" w14:textId="77777777" w:rsidR="0034190F" w:rsidRPr="003A2146" w:rsidRDefault="0034190F">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p>
    <w:p w14:paraId="5E0EEEA2" w14:textId="77777777" w:rsidR="0034190F" w:rsidRPr="003A2146" w:rsidRDefault="005A1AAD">
      <w:pPr>
        <w:pBdr>
          <w:top w:val="nil"/>
          <w:left w:val="nil"/>
          <w:bottom w:val="nil"/>
          <w:right w:val="nil"/>
          <w:between w:val="nil"/>
        </w:pBdr>
        <w:tabs>
          <w:tab w:val="left" w:pos="7938"/>
        </w:tabs>
        <w:ind w:left="566" w:right="-145"/>
        <w:jc w:val="center"/>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DE LAS LICENCIAS, PERMISOS Y CONSTANCIAS</w:t>
      </w:r>
    </w:p>
    <w:p w14:paraId="5E0EEEA3" w14:textId="77777777" w:rsidR="0034190F" w:rsidRPr="003A2146" w:rsidRDefault="005A1AAD">
      <w:pPr>
        <w:pBdr>
          <w:top w:val="nil"/>
          <w:left w:val="nil"/>
          <w:bottom w:val="nil"/>
          <w:right w:val="nil"/>
          <w:between w:val="nil"/>
        </w:pBdr>
        <w:tabs>
          <w:tab w:val="left" w:pos="7938"/>
        </w:tabs>
        <w:ind w:left="566" w:right="-145"/>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CAPÍTULO PRIMERO</w:t>
      </w:r>
    </w:p>
    <w:p w14:paraId="5E0EEEA4" w14:textId="77777777" w:rsidR="0034190F" w:rsidRPr="003A2146" w:rsidRDefault="005A1AAD">
      <w:pPr>
        <w:pBdr>
          <w:top w:val="nil"/>
          <w:left w:val="nil"/>
          <w:bottom w:val="nil"/>
          <w:right w:val="nil"/>
          <w:between w:val="nil"/>
        </w:pBdr>
        <w:tabs>
          <w:tab w:val="left" w:pos="7938"/>
        </w:tabs>
        <w:ind w:left="566" w:right="-145"/>
        <w:jc w:val="center"/>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DE LAS LICENCIAS DE CONSTRUCCIÓN</w:t>
      </w:r>
    </w:p>
    <w:p w14:paraId="5E0EEEA5" w14:textId="77777777" w:rsidR="0034190F" w:rsidRPr="003A2146" w:rsidRDefault="0034190F">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p>
    <w:p w14:paraId="5E0EEEA6"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lastRenderedPageBreak/>
        <w:t>Artículo 18.20</w:t>
      </w:r>
      <w:r w:rsidRPr="003A2146">
        <w:rPr>
          <w:rFonts w:ascii="Palatino Linotype" w:eastAsia="Palatino Linotype" w:hAnsi="Palatino Linotype" w:cs="Palatino Linotype"/>
          <w:i/>
          <w:color w:val="000000"/>
          <w:sz w:val="22"/>
          <w:szCs w:val="22"/>
        </w:rPr>
        <w:t xml:space="preserve">.- La licencia de construcción tiene por objeto autorizar: </w:t>
      </w:r>
    </w:p>
    <w:p w14:paraId="5E0EEEA7" w14:textId="77777777" w:rsidR="0034190F" w:rsidRPr="003A2146" w:rsidRDefault="0034190F">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p>
    <w:p w14:paraId="5E0EEEA8"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 Obra nueva; </w:t>
      </w:r>
    </w:p>
    <w:p w14:paraId="5E0EEEA9"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II. Ampliación, modificación o reparación que afecte elementos estructurales de la obra existente; </w:t>
      </w:r>
    </w:p>
    <w:p w14:paraId="5E0EEEAA"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III. Demolición parcial o total; </w:t>
      </w:r>
    </w:p>
    <w:p w14:paraId="5E0EEEAB"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IV. Excavación o relleno; </w:t>
      </w:r>
    </w:p>
    <w:p w14:paraId="5E0EEEAC"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V. Construcción de bardas; </w:t>
      </w:r>
    </w:p>
    <w:p w14:paraId="5E0EEEAD"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VI. Obras de conexión a las redes de agua potable y drenaje; </w:t>
      </w:r>
    </w:p>
    <w:p w14:paraId="5E0EEEAE"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VII. Modificación del proyecto de una obra autorizada; </w:t>
      </w:r>
    </w:p>
    <w:p w14:paraId="5E0EEEAF"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VIII. Construcción e instalación de estaciones repetidoras y antenas para radiotelecomunicaciones; </w:t>
      </w:r>
    </w:p>
    <w:p w14:paraId="5E0EEEB0"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IX. Anuncios publicitarios que requieran de elementos estructurales; y </w:t>
      </w:r>
    </w:p>
    <w:p w14:paraId="5E0EEEB1"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X. Instalaciones o modificaciones de ascensores para personas, montacargas, escaleras mecánicas o cualquier otro mecanismo de transporte electromecánico.</w:t>
      </w:r>
    </w:p>
    <w:p w14:paraId="5E0EEEB2" w14:textId="77777777" w:rsidR="0034190F" w:rsidRPr="003A2146" w:rsidRDefault="005A1AAD">
      <w:pPr>
        <w:pBdr>
          <w:top w:val="nil"/>
          <w:left w:val="nil"/>
          <w:bottom w:val="nil"/>
          <w:right w:val="nil"/>
          <w:between w:val="nil"/>
        </w:pBdr>
        <w:tabs>
          <w:tab w:val="left" w:pos="7938"/>
        </w:tabs>
        <w:ind w:left="1134" w:right="-787"/>
        <w:jc w:val="both"/>
        <w:rPr>
          <w:rFonts w:ascii="Palatino Linotype" w:eastAsia="Palatino Linotype" w:hAnsi="Palatino Linotype" w:cs="Palatino Linotype"/>
          <w:i/>
          <w:color w:val="000000"/>
        </w:rPr>
      </w:pPr>
      <w:r w:rsidRPr="003A2146">
        <w:rPr>
          <w:rFonts w:ascii="Palatino Linotype" w:eastAsia="Palatino Linotype" w:hAnsi="Palatino Linotype" w:cs="Palatino Linotype"/>
          <w:i/>
          <w:color w:val="000000"/>
        </w:rPr>
        <w:t>…</w:t>
      </w:r>
    </w:p>
    <w:p w14:paraId="5E0EEEB3" w14:textId="77777777" w:rsidR="0034190F" w:rsidRPr="003A2146" w:rsidRDefault="0034190F">
      <w:pPr>
        <w:pBdr>
          <w:top w:val="nil"/>
          <w:left w:val="nil"/>
          <w:bottom w:val="nil"/>
          <w:right w:val="nil"/>
          <w:between w:val="nil"/>
        </w:pBdr>
        <w:tabs>
          <w:tab w:val="left" w:pos="7938"/>
        </w:tabs>
        <w:ind w:right="-787"/>
        <w:jc w:val="both"/>
        <w:rPr>
          <w:rFonts w:ascii="Palatino Linotype" w:eastAsia="Palatino Linotype" w:hAnsi="Palatino Linotype" w:cs="Palatino Linotype"/>
          <w:i/>
          <w:color w:val="000000"/>
        </w:rPr>
      </w:pPr>
    </w:p>
    <w:p w14:paraId="5E0EEEB4" w14:textId="77777777" w:rsidR="0034190F" w:rsidRPr="003A2146" w:rsidRDefault="0034190F">
      <w:pPr>
        <w:pBdr>
          <w:top w:val="nil"/>
          <w:left w:val="nil"/>
          <w:bottom w:val="nil"/>
          <w:right w:val="nil"/>
          <w:between w:val="nil"/>
        </w:pBdr>
        <w:tabs>
          <w:tab w:val="left" w:pos="7938"/>
        </w:tabs>
        <w:ind w:right="-787"/>
        <w:jc w:val="both"/>
        <w:rPr>
          <w:rFonts w:ascii="Palatino Linotype" w:eastAsia="Palatino Linotype" w:hAnsi="Palatino Linotype" w:cs="Palatino Linotype"/>
          <w:i/>
          <w:color w:val="000000"/>
        </w:rPr>
      </w:pPr>
    </w:p>
    <w:p w14:paraId="5E0EEEB5"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En este sentido el portal de trámites y servicios del municipio de Tultitlán, en el apartado correspondiente a la Dirección de Desarrollo Urbano y Medio Ambiente ofrece diversos trámites relacionados con la licencia de construcción, tal como se muestra en la siguiente captura de pantalla:</w:t>
      </w:r>
    </w:p>
    <w:p w14:paraId="5E0EEEB6" w14:textId="77777777" w:rsidR="0034190F" w:rsidRPr="003A2146" w:rsidRDefault="0034190F">
      <w:pPr>
        <w:spacing w:line="360" w:lineRule="auto"/>
        <w:ind w:right="-787"/>
        <w:jc w:val="both"/>
        <w:rPr>
          <w:rFonts w:ascii="Palatino Linotype" w:eastAsia="Palatino Linotype" w:hAnsi="Palatino Linotype" w:cs="Palatino Linotype"/>
        </w:rPr>
      </w:pPr>
    </w:p>
    <w:p w14:paraId="5E0EEEB7" w14:textId="77777777" w:rsidR="0034190F" w:rsidRPr="003A2146" w:rsidRDefault="005A1AAD">
      <w:pPr>
        <w:spacing w:line="360" w:lineRule="auto"/>
        <w:ind w:right="-787"/>
        <w:jc w:val="both"/>
        <w:rPr>
          <w:rFonts w:ascii="Palatino Linotype" w:eastAsia="Palatino Linotype" w:hAnsi="Palatino Linotype" w:cs="Palatino Linotype"/>
        </w:rPr>
      </w:pPr>
      <w:r w:rsidRPr="003A2146">
        <w:rPr>
          <w:rFonts w:ascii="Palatino Linotype" w:eastAsia="Palatino Linotype" w:hAnsi="Palatino Linotype" w:cs="Palatino Linotype"/>
          <w:noProof/>
          <w:lang w:val="es-MX" w:eastAsia="es-MX"/>
        </w:rPr>
        <w:drawing>
          <wp:inline distT="0" distB="0" distL="0" distR="0" wp14:anchorId="5E0EEF5B" wp14:editId="5E0EEF5C">
            <wp:extent cx="5612130" cy="162814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12130" cy="1628140"/>
                    </a:xfrm>
                    <a:prstGeom prst="rect">
                      <a:avLst/>
                    </a:prstGeom>
                    <a:ln/>
                  </pic:spPr>
                </pic:pic>
              </a:graphicData>
            </a:graphic>
          </wp:inline>
        </w:drawing>
      </w:r>
    </w:p>
    <w:p w14:paraId="5E0EEEB8" w14:textId="77777777" w:rsidR="0034190F" w:rsidRPr="003A2146" w:rsidRDefault="0034190F">
      <w:pPr>
        <w:ind w:right="-787"/>
        <w:rPr>
          <w:rFonts w:ascii="Palatino Linotype" w:eastAsia="Palatino Linotype" w:hAnsi="Palatino Linotype" w:cs="Palatino Linotype"/>
        </w:rPr>
      </w:pPr>
    </w:p>
    <w:p w14:paraId="5E0EEEB9"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 xml:space="preserve">En cuanto al punto de requerimiento relativo a la </w:t>
      </w:r>
      <w:r w:rsidRPr="003A2146">
        <w:rPr>
          <w:rFonts w:ascii="Palatino Linotype" w:eastAsia="Palatino Linotype" w:hAnsi="Palatino Linotype" w:cs="Palatino Linotype"/>
          <w:b/>
          <w:u w:val="single"/>
        </w:rPr>
        <w:t>licencia de uso de suelo</w:t>
      </w:r>
      <w:r w:rsidRPr="003A2146">
        <w:rPr>
          <w:rFonts w:ascii="Palatino Linotype" w:eastAsia="Palatino Linotype" w:hAnsi="Palatino Linotype" w:cs="Palatino Linotype"/>
        </w:rPr>
        <w:t xml:space="preserve"> del inmueble referido en la solicitud de información, la Dirección de Desarrollo Urbano y Medio </w:t>
      </w:r>
      <w:r w:rsidRPr="003A2146">
        <w:rPr>
          <w:rFonts w:ascii="Palatino Linotype" w:eastAsia="Palatino Linotype" w:hAnsi="Palatino Linotype" w:cs="Palatino Linotype"/>
        </w:rPr>
        <w:lastRenderedPageBreak/>
        <w:t>Ambiente, tiene dentro de sus atribuciones la de expedición de licencias de construcción de conformidad al artículo 67, apartado A, fracción I, del Bando Municipal, y el 5.10 fracción VI, del Código Administrativo del Estado de México.</w:t>
      </w:r>
    </w:p>
    <w:p w14:paraId="5E0EEEBA" w14:textId="77777777" w:rsidR="0034190F" w:rsidRPr="003A2146" w:rsidRDefault="005A1AAD">
      <w:pPr>
        <w:pBdr>
          <w:top w:val="nil"/>
          <w:left w:val="nil"/>
          <w:bottom w:val="nil"/>
          <w:right w:val="nil"/>
          <w:between w:val="nil"/>
        </w:pBdr>
        <w:tabs>
          <w:tab w:val="left" w:pos="7938"/>
        </w:tabs>
        <w:ind w:left="566" w:right="-145"/>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Bando Municipal para el año 2024 de Tultitlán, Estado de México</w:t>
      </w:r>
    </w:p>
    <w:p w14:paraId="5E0EEEBB"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Apartado A. Del Desarrollo Urbano:</w:t>
      </w:r>
      <w:r w:rsidRPr="003A2146">
        <w:rPr>
          <w:rFonts w:ascii="Palatino Linotype" w:eastAsia="Palatino Linotype" w:hAnsi="Palatino Linotype" w:cs="Palatino Linotype"/>
          <w:i/>
          <w:color w:val="000000"/>
          <w:sz w:val="22"/>
          <w:szCs w:val="22"/>
        </w:rPr>
        <w:t xml:space="preserve"> </w:t>
      </w:r>
    </w:p>
    <w:p w14:paraId="5E0EEEBC" w14:textId="77777777" w:rsidR="0034190F" w:rsidRPr="003A2146" w:rsidRDefault="0034190F">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p>
    <w:p w14:paraId="5E0EEEBD"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 </w:t>
      </w:r>
      <w:r w:rsidRPr="003A2146">
        <w:rPr>
          <w:rFonts w:ascii="Palatino Linotype" w:eastAsia="Palatino Linotype" w:hAnsi="Palatino Linotype" w:cs="Palatino Linotype"/>
          <w:b/>
          <w:i/>
          <w:color w:val="000000"/>
          <w:sz w:val="22"/>
          <w:szCs w:val="22"/>
        </w:rPr>
        <w:t>Expedir las licencias municipales</w:t>
      </w:r>
      <w:r w:rsidRPr="003A2146">
        <w:rPr>
          <w:rFonts w:ascii="Palatino Linotype" w:eastAsia="Palatino Linotype" w:hAnsi="Palatino Linotype" w:cs="Palatino Linotype"/>
          <w:i/>
          <w:color w:val="000000"/>
          <w:sz w:val="22"/>
          <w:szCs w:val="22"/>
        </w:rPr>
        <w:t xml:space="preserve"> </w:t>
      </w:r>
      <w:r w:rsidRPr="003A2146">
        <w:rPr>
          <w:rFonts w:ascii="Palatino Linotype" w:eastAsia="Palatino Linotype" w:hAnsi="Palatino Linotype" w:cs="Palatino Linotype"/>
          <w:b/>
          <w:i/>
          <w:color w:val="000000"/>
          <w:sz w:val="22"/>
          <w:szCs w:val="22"/>
        </w:rPr>
        <w:t>de uso de suelo</w:t>
      </w:r>
      <w:r w:rsidRPr="003A2146">
        <w:rPr>
          <w:rFonts w:ascii="Palatino Linotype" w:eastAsia="Palatino Linotype" w:hAnsi="Palatino Linotype" w:cs="Palatino Linotype"/>
          <w:i/>
          <w:color w:val="000000"/>
          <w:sz w:val="22"/>
          <w:szCs w:val="22"/>
        </w:rPr>
        <w:t>, de construcción, autorizaciones y/o permisos de obra, así como las prórrogas respectivas a licencias de construcción, conforme a los requisitos y términos que prevé el Código Administrativo del Estado de México, Código Financiero del Estado de México y Municipios y demás disposiciones relativas;</w:t>
      </w:r>
    </w:p>
    <w:p w14:paraId="5E0EEEBE" w14:textId="77777777" w:rsidR="0034190F" w:rsidRPr="003A2146" w:rsidRDefault="0034190F">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p>
    <w:p w14:paraId="5E0EEEBF" w14:textId="77777777" w:rsidR="0034190F" w:rsidRPr="003A2146" w:rsidRDefault="005A1AAD">
      <w:pPr>
        <w:pBdr>
          <w:top w:val="nil"/>
          <w:left w:val="nil"/>
          <w:bottom w:val="nil"/>
          <w:right w:val="nil"/>
          <w:between w:val="nil"/>
        </w:pBdr>
        <w:tabs>
          <w:tab w:val="left" w:pos="7938"/>
        </w:tabs>
        <w:ind w:left="566" w:right="-145"/>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Código Administrativo del Estado de México</w:t>
      </w:r>
    </w:p>
    <w:p w14:paraId="5E0EEEC0" w14:textId="77777777" w:rsidR="0034190F" w:rsidRPr="003A2146" w:rsidRDefault="0034190F">
      <w:pPr>
        <w:pBdr>
          <w:top w:val="nil"/>
          <w:left w:val="nil"/>
          <w:bottom w:val="nil"/>
          <w:right w:val="nil"/>
          <w:between w:val="nil"/>
        </w:pBdr>
        <w:tabs>
          <w:tab w:val="left" w:pos="7938"/>
        </w:tabs>
        <w:ind w:left="566" w:right="-145"/>
        <w:jc w:val="center"/>
        <w:rPr>
          <w:rFonts w:ascii="Palatino Linotype" w:eastAsia="Palatino Linotype" w:hAnsi="Palatino Linotype" w:cs="Palatino Linotype"/>
          <w:b/>
          <w:i/>
          <w:color w:val="000000"/>
          <w:sz w:val="22"/>
          <w:szCs w:val="22"/>
        </w:rPr>
      </w:pPr>
    </w:p>
    <w:p w14:paraId="5E0EEEC1"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Artículo 5.10. Los municipios tendrán las atribuciones siguientes:</w:t>
      </w:r>
    </w:p>
    <w:p w14:paraId="5E0EEEC2"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C3"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VI. </w:t>
      </w:r>
      <w:r w:rsidRPr="003A2146">
        <w:rPr>
          <w:rFonts w:ascii="Palatino Linotype" w:eastAsia="Palatino Linotype" w:hAnsi="Palatino Linotype" w:cs="Palatino Linotype"/>
          <w:b/>
          <w:i/>
          <w:color w:val="000000"/>
          <w:sz w:val="22"/>
          <w:szCs w:val="22"/>
        </w:rPr>
        <w:t>Expedir</w:t>
      </w:r>
      <w:r w:rsidRPr="003A2146">
        <w:rPr>
          <w:rFonts w:ascii="Palatino Linotype" w:eastAsia="Palatino Linotype" w:hAnsi="Palatino Linotype" w:cs="Palatino Linotype"/>
          <w:i/>
          <w:color w:val="000000"/>
          <w:sz w:val="22"/>
          <w:szCs w:val="22"/>
        </w:rPr>
        <w:t xml:space="preserve"> cédulas informativas de zonificación, </w:t>
      </w:r>
      <w:r w:rsidRPr="003A2146">
        <w:rPr>
          <w:rFonts w:ascii="Palatino Linotype" w:eastAsia="Palatino Linotype" w:hAnsi="Palatino Linotype" w:cs="Palatino Linotype"/>
          <w:b/>
          <w:i/>
          <w:color w:val="000000"/>
          <w:sz w:val="22"/>
          <w:szCs w:val="22"/>
        </w:rPr>
        <w:t>licencias de uso de suelo</w:t>
      </w:r>
      <w:r w:rsidRPr="003A2146">
        <w:rPr>
          <w:rFonts w:ascii="Palatino Linotype" w:eastAsia="Palatino Linotype" w:hAnsi="Palatino Linotype" w:cs="Palatino Linotype"/>
          <w:i/>
          <w:color w:val="000000"/>
          <w:sz w:val="22"/>
          <w:szCs w:val="22"/>
        </w:rPr>
        <w:t xml:space="preserve"> y licencias de construcción;</w:t>
      </w:r>
    </w:p>
    <w:p w14:paraId="5E0EEEC4" w14:textId="77777777" w:rsidR="0034190F" w:rsidRPr="003A2146" w:rsidRDefault="0034190F">
      <w:pPr>
        <w:pBdr>
          <w:top w:val="nil"/>
          <w:left w:val="nil"/>
          <w:bottom w:val="nil"/>
          <w:right w:val="nil"/>
          <w:between w:val="nil"/>
        </w:pBdr>
        <w:tabs>
          <w:tab w:val="left" w:pos="7938"/>
        </w:tabs>
        <w:ind w:right="-787"/>
        <w:jc w:val="both"/>
        <w:rPr>
          <w:rFonts w:ascii="Palatino Linotype" w:eastAsia="Palatino Linotype" w:hAnsi="Palatino Linotype" w:cs="Palatino Linotype"/>
          <w:i/>
          <w:color w:val="000000"/>
        </w:rPr>
      </w:pPr>
    </w:p>
    <w:p w14:paraId="5E0EEEC5" w14:textId="77777777" w:rsidR="0034190F" w:rsidRPr="003A2146" w:rsidRDefault="0034190F">
      <w:pPr>
        <w:pBdr>
          <w:top w:val="nil"/>
          <w:left w:val="nil"/>
          <w:bottom w:val="nil"/>
          <w:right w:val="nil"/>
          <w:between w:val="nil"/>
        </w:pBdr>
        <w:tabs>
          <w:tab w:val="left" w:pos="7938"/>
        </w:tabs>
        <w:ind w:right="-787"/>
        <w:jc w:val="both"/>
        <w:rPr>
          <w:rFonts w:ascii="Palatino Linotype" w:eastAsia="Palatino Linotype" w:hAnsi="Palatino Linotype" w:cs="Palatino Linotype"/>
          <w:i/>
          <w:color w:val="000000"/>
        </w:rPr>
      </w:pPr>
    </w:p>
    <w:p w14:paraId="5E0EEEC6"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También, el portal de trámites y servicios del municipio de Tultitlán, en el apartado correspondiente a la Dirección de Desarrollo Urbano y Medio Ambiente ofrece el trámite mencionado, tal como se muestra en la siguiente captura de pantalla:</w:t>
      </w:r>
    </w:p>
    <w:p w14:paraId="5E0EEEC7" w14:textId="77777777" w:rsidR="0034190F" w:rsidRPr="003A2146" w:rsidRDefault="005A1AAD">
      <w:pPr>
        <w:spacing w:line="360" w:lineRule="auto"/>
        <w:ind w:right="-787"/>
        <w:jc w:val="center"/>
        <w:rPr>
          <w:rFonts w:ascii="Palatino Linotype" w:eastAsia="Palatino Linotype" w:hAnsi="Palatino Linotype" w:cs="Palatino Linotype"/>
        </w:rPr>
      </w:pPr>
      <w:r w:rsidRPr="003A2146">
        <w:rPr>
          <w:rFonts w:ascii="Palatino Linotype" w:eastAsia="Palatino Linotype" w:hAnsi="Palatino Linotype" w:cs="Palatino Linotype"/>
          <w:noProof/>
          <w:lang w:val="es-MX" w:eastAsia="es-MX"/>
        </w:rPr>
        <w:lastRenderedPageBreak/>
        <w:drawing>
          <wp:inline distT="0" distB="0" distL="0" distR="0" wp14:anchorId="5E0EEF5D" wp14:editId="5E0EEF5E">
            <wp:extent cx="1826039" cy="2851291"/>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826039" cy="2851291"/>
                    </a:xfrm>
                    <a:prstGeom prst="rect">
                      <a:avLst/>
                    </a:prstGeom>
                    <a:ln/>
                  </pic:spPr>
                </pic:pic>
              </a:graphicData>
            </a:graphic>
          </wp:inline>
        </w:drawing>
      </w:r>
    </w:p>
    <w:p w14:paraId="5E0EEEC8" w14:textId="77777777" w:rsidR="0034190F" w:rsidRPr="003A2146" w:rsidRDefault="0034190F">
      <w:pPr>
        <w:ind w:right="-787"/>
        <w:rPr>
          <w:rFonts w:ascii="Palatino Linotype" w:eastAsia="Palatino Linotype" w:hAnsi="Palatino Linotype" w:cs="Palatino Linotype"/>
        </w:rPr>
      </w:pPr>
    </w:p>
    <w:p w14:paraId="5E0EEEC9"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 xml:space="preserve">En cuanto al punto de requerimiento relativo a la </w:t>
      </w:r>
      <w:r w:rsidRPr="003A2146">
        <w:rPr>
          <w:rFonts w:ascii="Palatino Linotype" w:eastAsia="Palatino Linotype" w:hAnsi="Palatino Linotype" w:cs="Palatino Linotype"/>
          <w:b/>
          <w:u w:val="single"/>
        </w:rPr>
        <w:t>Constancia de alineamiento</w:t>
      </w:r>
      <w:r w:rsidRPr="003A2146">
        <w:rPr>
          <w:rFonts w:ascii="Palatino Linotype" w:eastAsia="Palatino Linotype" w:hAnsi="Palatino Linotype" w:cs="Palatino Linotype"/>
          <w:b/>
          <w:i/>
          <w:u w:val="single"/>
        </w:rPr>
        <w:t xml:space="preserve"> </w:t>
      </w:r>
      <w:r w:rsidRPr="003A2146">
        <w:rPr>
          <w:rFonts w:ascii="Palatino Linotype" w:eastAsia="Palatino Linotype" w:hAnsi="Palatino Linotype" w:cs="Palatino Linotype"/>
        </w:rPr>
        <w:t>del inmueble referido en la solicitud de información, la Dirección de Desarrollo Urbano y Medio Ambiente, tiene dentro de sus atribuciones la de expedición de licencias de construcción de conformidad al artículo 67, apartado A, fracción II, del Bando Municipal, y el 5.10 fracción VI, del Código Administrativo del Estado de México.</w:t>
      </w:r>
    </w:p>
    <w:p w14:paraId="5E0EEECA" w14:textId="77777777" w:rsidR="0034190F" w:rsidRPr="003A2146" w:rsidRDefault="005A1AAD">
      <w:pPr>
        <w:pBdr>
          <w:top w:val="nil"/>
          <w:left w:val="nil"/>
          <w:bottom w:val="nil"/>
          <w:right w:val="nil"/>
          <w:between w:val="nil"/>
        </w:pBdr>
        <w:tabs>
          <w:tab w:val="left" w:pos="7938"/>
        </w:tabs>
        <w:ind w:left="425" w:right="-145"/>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Bando Municipal para el año 2024 de Tultitlán, Estado de México</w:t>
      </w:r>
    </w:p>
    <w:p w14:paraId="5E0EEECB" w14:textId="77777777" w:rsidR="0034190F" w:rsidRPr="003A2146" w:rsidRDefault="005A1AAD">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Apartado A. Del Desarrollo Urbano:</w:t>
      </w:r>
      <w:r w:rsidRPr="003A2146">
        <w:rPr>
          <w:rFonts w:ascii="Palatino Linotype" w:eastAsia="Palatino Linotype" w:hAnsi="Palatino Linotype" w:cs="Palatino Linotype"/>
          <w:i/>
          <w:color w:val="000000"/>
          <w:sz w:val="22"/>
          <w:szCs w:val="22"/>
        </w:rPr>
        <w:t xml:space="preserve"> </w:t>
      </w:r>
    </w:p>
    <w:p w14:paraId="5E0EEECC" w14:textId="77777777" w:rsidR="0034190F" w:rsidRPr="003A2146" w:rsidRDefault="005A1AAD">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CD" w14:textId="77777777" w:rsidR="0034190F" w:rsidRPr="003A2146" w:rsidRDefault="005A1AAD">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II. </w:t>
      </w:r>
      <w:r w:rsidRPr="003A2146">
        <w:rPr>
          <w:rFonts w:ascii="Palatino Linotype" w:eastAsia="Palatino Linotype" w:hAnsi="Palatino Linotype" w:cs="Palatino Linotype"/>
          <w:b/>
          <w:i/>
          <w:color w:val="000000"/>
          <w:sz w:val="22"/>
          <w:szCs w:val="22"/>
        </w:rPr>
        <w:t>Expedir constancias</w:t>
      </w:r>
      <w:r w:rsidRPr="003A2146">
        <w:rPr>
          <w:rFonts w:ascii="Palatino Linotype" w:eastAsia="Palatino Linotype" w:hAnsi="Palatino Linotype" w:cs="Palatino Linotype"/>
          <w:i/>
          <w:color w:val="000000"/>
          <w:sz w:val="22"/>
          <w:szCs w:val="22"/>
        </w:rPr>
        <w:t xml:space="preserve"> de terminación o suspensión de obra, </w:t>
      </w:r>
      <w:r w:rsidRPr="003A2146">
        <w:rPr>
          <w:rFonts w:ascii="Palatino Linotype" w:eastAsia="Palatino Linotype" w:hAnsi="Palatino Linotype" w:cs="Palatino Linotype"/>
          <w:b/>
          <w:i/>
          <w:color w:val="000000"/>
          <w:sz w:val="22"/>
          <w:szCs w:val="22"/>
        </w:rPr>
        <w:t xml:space="preserve">de alineamiento </w:t>
      </w:r>
      <w:r w:rsidRPr="003A2146">
        <w:rPr>
          <w:rFonts w:ascii="Palatino Linotype" w:eastAsia="Palatino Linotype" w:hAnsi="Palatino Linotype" w:cs="Palatino Linotype"/>
          <w:i/>
          <w:color w:val="000000"/>
          <w:sz w:val="22"/>
          <w:szCs w:val="22"/>
        </w:rPr>
        <w:t>y número oficial, conforme a los requisitos y términos que prevé el Código Administrativo del Estado de México, Código Financiero del Estado de México y Municipios y demás disposiciones relativas;</w:t>
      </w:r>
    </w:p>
    <w:p w14:paraId="5E0EEECE" w14:textId="77777777" w:rsidR="0034190F" w:rsidRPr="003A2146" w:rsidRDefault="0034190F">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p>
    <w:p w14:paraId="5E0EEECF" w14:textId="77777777" w:rsidR="0034190F" w:rsidRPr="003A2146" w:rsidRDefault="005A1AAD">
      <w:pPr>
        <w:pBdr>
          <w:top w:val="nil"/>
          <w:left w:val="nil"/>
          <w:bottom w:val="nil"/>
          <w:right w:val="nil"/>
          <w:between w:val="nil"/>
        </w:pBdr>
        <w:tabs>
          <w:tab w:val="left" w:pos="7938"/>
        </w:tabs>
        <w:ind w:left="425" w:right="-145"/>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Código Administrativo del Estado de México</w:t>
      </w:r>
    </w:p>
    <w:p w14:paraId="5E0EEED0" w14:textId="77777777" w:rsidR="0034190F" w:rsidRPr="003A2146" w:rsidRDefault="0034190F">
      <w:pPr>
        <w:pBdr>
          <w:top w:val="nil"/>
          <w:left w:val="nil"/>
          <w:bottom w:val="nil"/>
          <w:right w:val="nil"/>
          <w:between w:val="nil"/>
        </w:pBdr>
        <w:tabs>
          <w:tab w:val="left" w:pos="7938"/>
        </w:tabs>
        <w:ind w:left="425" w:right="-145"/>
        <w:jc w:val="center"/>
        <w:rPr>
          <w:rFonts w:ascii="Palatino Linotype" w:eastAsia="Palatino Linotype" w:hAnsi="Palatino Linotype" w:cs="Palatino Linotype"/>
          <w:b/>
          <w:i/>
          <w:color w:val="000000"/>
          <w:sz w:val="22"/>
          <w:szCs w:val="22"/>
        </w:rPr>
      </w:pPr>
    </w:p>
    <w:p w14:paraId="5E0EEED1" w14:textId="77777777" w:rsidR="0034190F" w:rsidRPr="003A2146" w:rsidRDefault="005A1AAD">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Artículo 18.21</w:t>
      </w:r>
      <w:r w:rsidRPr="003A2146">
        <w:rPr>
          <w:rFonts w:ascii="Palatino Linotype" w:eastAsia="Palatino Linotype" w:hAnsi="Palatino Linotype" w:cs="Palatino Linotype"/>
          <w:i/>
          <w:color w:val="000000"/>
          <w:sz w:val="22"/>
          <w:szCs w:val="22"/>
        </w:rPr>
        <w:t>. A la solicitud de licencia de construcción se acompañará como mínimo:</w:t>
      </w:r>
    </w:p>
    <w:p w14:paraId="5E0EEED2" w14:textId="77777777" w:rsidR="0034190F" w:rsidRPr="003A2146" w:rsidRDefault="005A1AAD">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D3" w14:textId="77777777" w:rsidR="0034190F" w:rsidRPr="003A2146" w:rsidRDefault="005A1AAD">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A). Para obra nueva, así como para la ampliación, modificación o reparación que afecte elementos estructurales de una obra existente:</w:t>
      </w:r>
    </w:p>
    <w:p w14:paraId="5E0EEED4" w14:textId="77777777" w:rsidR="0034190F" w:rsidRPr="003A2146" w:rsidRDefault="005A1AAD">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D5" w14:textId="77777777" w:rsidR="0034190F" w:rsidRPr="003A2146" w:rsidRDefault="005A1AAD">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2. Constancia de alineamiento y número oficial;</w:t>
      </w:r>
    </w:p>
    <w:p w14:paraId="5E0EEED6" w14:textId="77777777" w:rsidR="0034190F" w:rsidRPr="003A2146" w:rsidRDefault="005A1AAD">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lastRenderedPageBreak/>
        <w:t>…</w:t>
      </w:r>
    </w:p>
    <w:p w14:paraId="5E0EEED7" w14:textId="77777777" w:rsidR="0034190F" w:rsidRPr="003A2146" w:rsidRDefault="0034190F">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p>
    <w:p w14:paraId="5E0EEED8" w14:textId="77777777" w:rsidR="0034190F" w:rsidRPr="003A2146" w:rsidRDefault="005A1AAD">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B). Para modalidades de obra nueva, de ampliación, modificación o reparación de la construcción existente, que no afecte elementos estructurales e impliquen la construcción de entre veinte y sesenta metros cuadrados:</w:t>
      </w:r>
    </w:p>
    <w:p w14:paraId="5E0EEED9" w14:textId="77777777" w:rsidR="0034190F" w:rsidRPr="003A2146" w:rsidRDefault="005A1AAD">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DA" w14:textId="77777777" w:rsidR="0034190F" w:rsidRPr="003A2146" w:rsidRDefault="005A1AAD">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3. Constancia de alineamiento y número oficial en los casos de obra nueva;</w:t>
      </w:r>
    </w:p>
    <w:p w14:paraId="5E0EEEDB" w14:textId="77777777" w:rsidR="0034190F" w:rsidRPr="003A2146" w:rsidRDefault="0034190F">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p>
    <w:p w14:paraId="5E0EEEDC" w14:textId="77777777" w:rsidR="0034190F" w:rsidRPr="003A2146" w:rsidRDefault="005A1AAD">
      <w:pPr>
        <w:pBdr>
          <w:top w:val="nil"/>
          <w:left w:val="nil"/>
          <w:bottom w:val="nil"/>
          <w:right w:val="nil"/>
          <w:between w:val="nil"/>
        </w:pBdr>
        <w:tabs>
          <w:tab w:val="left" w:pos="7938"/>
        </w:tabs>
        <w:ind w:left="425"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Artículo 18.35.-</w:t>
      </w:r>
      <w:r w:rsidRPr="003A2146">
        <w:rPr>
          <w:rFonts w:ascii="Palatino Linotype" w:eastAsia="Palatino Linotype" w:hAnsi="Palatino Linotype" w:cs="Palatino Linotype"/>
          <w:i/>
          <w:color w:val="000000"/>
          <w:sz w:val="22"/>
          <w:szCs w:val="22"/>
        </w:rPr>
        <w:t xml:space="preserve"> </w:t>
      </w:r>
      <w:r w:rsidRPr="003A2146">
        <w:rPr>
          <w:rFonts w:ascii="Palatino Linotype" w:eastAsia="Palatino Linotype" w:hAnsi="Palatino Linotype" w:cs="Palatino Linotype"/>
          <w:b/>
          <w:i/>
          <w:color w:val="000000"/>
          <w:sz w:val="22"/>
          <w:szCs w:val="22"/>
        </w:rPr>
        <w:t>La constancia de alineamiento</w:t>
      </w:r>
      <w:r w:rsidRPr="003A2146">
        <w:rPr>
          <w:rFonts w:ascii="Palatino Linotype" w:eastAsia="Palatino Linotype" w:hAnsi="Palatino Linotype" w:cs="Palatino Linotype"/>
          <w:i/>
          <w:color w:val="000000"/>
          <w:sz w:val="22"/>
          <w:szCs w:val="22"/>
        </w:rPr>
        <w:t xml:space="preserve"> y número oficial </w:t>
      </w:r>
      <w:r w:rsidRPr="003A2146">
        <w:rPr>
          <w:rFonts w:ascii="Palatino Linotype" w:eastAsia="Palatino Linotype" w:hAnsi="Palatino Linotype" w:cs="Palatino Linotype"/>
          <w:b/>
          <w:i/>
          <w:color w:val="000000"/>
          <w:sz w:val="22"/>
          <w:szCs w:val="22"/>
        </w:rPr>
        <w:t>es el documento expedido por los municipios</w:t>
      </w:r>
      <w:r w:rsidRPr="003A2146">
        <w:rPr>
          <w:rFonts w:ascii="Palatino Linotype" w:eastAsia="Palatino Linotype" w:hAnsi="Palatino Linotype" w:cs="Palatino Linotype"/>
          <w:i/>
          <w:color w:val="000000"/>
          <w:sz w:val="22"/>
          <w:szCs w:val="22"/>
        </w:rPr>
        <w:t>, que tiene por objeto delimitar la colindancia de un inmueble determinado con respecto a la vía pública adyacente, así como precisar sus restricciones de construcción y el número oficial que le corresponde.</w:t>
      </w:r>
    </w:p>
    <w:p w14:paraId="5E0EEEDD" w14:textId="77777777" w:rsidR="0034190F" w:rsidRPr="003A2146" w:rsidRDefault="0034190F">
      <w:pPr>
        <w:pBdr>
          <w:top w:val="nil"/>
          <w:left w:val="nil"/>
          <w:bottom w:val="nil"/>
          <w:right w:val="nil"/>
          <w:between w:val="nil"/>
        </w:pBdr>
        <w:tabs>
          <w:tab w:val="left" w:pos="7938"/>
        </w:tabs>
        <w:ind w:right="-787"/>
        <w:jc w:val="both"/>
        <w:rPr>
          <w:rFonts w:ascii="Palatino Linotype" w:eastAsia="Palatino Linotype" w:hAnsi="Palatino Linotype" w:cs="Palatino Linotype"/>
          <w:i/>
          <w:color w:val="000000"/>
        </w:rPr>
      </w:pPr>
    </w:p>
    <w:p w14:paraId="5E0EEEDE"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En este orden de ideas, el portal de trámites y servicios del municipio de Tultitlán, en el apartado correspondiente a la Dirección de Desarrollo Urbano y Medio Ambiente ofrece el trámite mencionado, tal como se muestra en la siguiente captura de pantalla:</w:t>
      </w:r>
    </w:p>
    <w:p w14:paraId="5E0EEEDF" w14:textId="77777777" w:rsidR="0034190F" w:rsidRPr="003A2146" w:rsidRDefault="005A1AAD">
      <w:pPr>
        <w:spacing w:line="360" w:lineRule="auto"/>
        <w:ind w:right="-787"/>
        <w:jc w:val="center"/>
        <w:rPr>
          <w:rFonts w:ascii="Palatino Linotype" w:eastAsia="Palatino Linotype" w:hAnsi="Palatino Linotype" w:cs="Palatino Linotype"/>
        </w:rPr>
      </w:pPr>
      <w:r w:rsidRPr="003A2146">
        <w:rPr>
          <w:rFonts w:ascii="Palatino Linotype" w:eastAsia="Palatino Linotype" w:hAnsi="Palatino Linotype" w:cs="Palatino Linotype"/>
          <w:noProof/>
          <w:lang w:val="es-MX" w:eastAsia="es-MX"/>
        </w:rPr>
        <w:drawing>
          <wp:inline distT="0" distB="0" distL="0" distR="0" wp14:anchorId="5E0EEF5F" wp14:editId="5E0EEF60">
            <wp:extent cx="1891852" cy="2883997"/>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891852" cy="2883997"/>
                    </a:xfrm>
                    <a:prstGeom prst="rect">
                      <a:avLst/>
                    </a:prstGeom>
                    <a:ln/>
                  </pic:spPr>
                </pic:pic>
              </a:graphicData>
            </a:graphic>
          </wp:inline>
        </w:drawing>
      </w:r>
    </w:p>
    <w:p w14:paraId="5E0EEEE0" w14:textId="77777777" w:rsidR="0034190F" w:rsidRPr="003A2146" w:rsidRDefault="0034190F">
      <w:pPr>
        <w:ind w:right="-787"/>
        <w:rPr>
          <w:rFonts w:ascii="Palatino Linotype" w:eastAsia="Palatino Linotype" w:hAnsi="Palatino Linotype" w:cs="Palatino Linotype"/>
        </w:rPr>
      </w:pPr>
    </w:p>
    <w:p w14:paraId="5E0EEEE1"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 xml:space="preserve">En cuanto al punto de requerimiento relativo a la </w:t>
      </w:r>
      <w:r w:rsidRPr="003A2146">
        <w:rPr>
          <w:rFonts w:ascii="Palatino Linotype" w:eastAsia="Palatino Linotype" w:hAnsi="Palatino Linotype" w:cs="Palatino Linotype"/>
          <w:b/>
          <w:u w:val="single"/>
        </w:rPr>
        <w:t>inspección de los trabajos de construcción</w:t>
      </w:r>
      <w:r w:rsidRPr="003A2146">
        <w:rPr>
          <w:rFonts w:ascii="Palatino Linotype" w:eastAsia="Palatino Linotype" w:hAnsi="Palatino Linotype" w:cs="Palatino Linotype"/>
        </w:rPr>
        <w:t>,</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rPr>
        <w:t xml:space="preserve">del inmueble referido en la solicitud de información, la Dirección de Desarrollo Urbano y Medio Ambiente, tiene dentro de sus atribuciones la de expedición de </w:t>
      </w:r>
      <w:r w:rsidRPr="003A2146">
        <w:rPr>
          <w:rFonts w:ascii="Palatino Linotype" w:eastAsia="Palatino Linotype" w:hAnsi="Palatino Linotype" w:cs="Palatino Linotype"/>
        </w:rPr>
        <w:lastRenderedPageBreak/>
        <w:t>licencias de construcción de conformidad al artículo 67, apartado A, fracción VI, del Bando Municipal, 18.68, del Código Administrativo del Estado de México:</w:t>
      </w:r>
    </w:p>
    <w:p w14:paraId="5E0EEEE2" w14:textId="77777777" w:rsidR="0034190F" w:rsidRPr="003A2146" w:rsidRDefault="005A1AAD">
      <w:pPr>
        <w:pBdr>
          <w:top w:val="nil"/>
          <w:left w:val="nil"/>
          <w:bottom w:val="nil"/>
          <w:right w:val="nil"/>
          <w:between w:val="nil"/>
        </w:pBdr>
        <w:tabs>
          <w:tab w:val="left" w:pos="7938"/>
        </w:tabs>
        <w:ind w:left="566" w:right="-145"/>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Bando Municipal para el año 2024 de Tultitlán, Estado de México</w:t>
      </w:r>
    </w:p>
    <w:p w14:paraId="5E0EEEE3"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Apartado A. Del Desarrollo Urbano:</w:t>
      </w:r>
      <w:r w:rsidRPr="003A2146">
        <w:rPr>
          <w:rFonts w:ascii="Palatino Linotype" w:eastAsia="Palatino Linotype" w:hAnsi="Palatino Linotype" w:cs="Palatino Linotype"/>
          <w:i/>
          <w:color w:val="000000"/>
          <w:sz w:val="22"/>
          <w:szCs w:val="22"/>
        </w:rPr>
        <w:t xml:space="preserve"> </w:t>
      </w:r>
    </w:p>
    <w:p w14:paraId="5E0EEEE4" w14:textId="77777777" w:rsidR="0034190F" w:rsidRPr="003A2146" w:rsidRDefault="005A1AAD">
      <w:pPr>
        <w:pBdr>
          <w:top w:val="nil"/>
          <w:left w:val="nil"/>
          <w:bottom w:val="nil"/>
          <w:right w:val="nil"/>
          <w:between w:val="nil"/>
        </w:pBdr>
        <w:tabs>
          <w:tab w:val="left" w:pos="7938"/>
        </w:tabs>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E5" w14:textId="77777777" w:rsidR="0034190F" w:rsidRPr="003A2146" w:rsidRDefault="005A1AAD">
      <w:pPr>
        <w:pBdr>
          <w:top w:val="nil"/>
          <w:left w:val="nil"/>
          <w:bottom w:val="nil"/>
          <w:right w:val="nil"/>
          <w:between w:val="nil"/>
        </w:pBdr>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 xml:space="preserve">VI. </w:t>
      </w:r>
      <w:r w:rsidRPr="003A2146">
        <w:rPr>
          <w:rFonts w:ascii="Palatino Linotype" w:eastAsia="Palatino Linotype" w:hAnsi="Palatino Linotype" w:cs="Palatino Linotype"/>
          <w:b/>
          <w:i/>
          <w:color w:val="000000"/>
          <w:sz w:val="22"/>
          <w:szCs w:val="22"/>
        </w:rPr>
        <w:t>Llevar a cabo la supervisión e inspección de toda construcción</w:t>
      </w:r>
      <w:r w:rsidRPr="003A2146">
        <w:rPr>
          <w:rFonts w:ascii="Palatino Linotype" w:eastAsia="Palatino Linotype" w:hAnsi="Palatino Linotype" w:cs="Palatino Linotype"/>
          <w:i/>
          <w:color w:val="000000"/>
          <w:sz w:val="22"/>
          <w:szCs w:val="22"/>
        </w:rPr>
        <w:t xml:space="preserve"> con fines habitacionales, industriales, comerciales y de prestación de servicios para que cumplan con la normatividad establecida en el Libro Décimo Octavo del Código Administrativo del Estado de México, su Reglamento y el Plan Municipal de Desarrollo Urbano referente a los usos de suelo, densidad, intensidad, área libre, cajones de estacionamiento, altura de las construcciones y alineamiento;</w:t>
      </w:r>
    </w:p>
    <w:p w14:paraId="5E0EEEE6" w14:textId="77777777" w:rsidR="0034190F" w:rsidRPr="003A2146" w:rsidRDefault="005A1AAD">
      <w:pPr>
        <w:pBdr>
          <w:top w:val="nil"/>
          <w:left w:val="nil"/>
          <w:bottom w:val="nil"/>
          <w:right w:val="nil"/>
          <w:between w:val="nil"/>
        </w:pBdr>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i/>
          <w:color w:val="000000"/>
          <w:sz w:val="22"/>
          <w:szCs w:val="22"/>
        </w:rPr>
        <w:t>..</w:t>
      </w:r>
    </w:p>
    <w:p w14:paraId="5E0EEEE7" w14:textId="77777777" w:rsidR="0034190F" w:rsidRPr="003A2146" w:rsidRDefault="0034190F">
      <w:pPr>
        <w:pBdr>
          <w:top w:val="nil"/>
          <w:left w:val="nil"/>
          <w:bottom w:val="nil"/>
          <w:right w:val="nil"/>
          <w:between w:val="nil"/>
        </w:pBdr>
        <w:ind w:left="566" w:right="-145"/>
        <w:jc w:val="both"/>
        <w:rPr>
          <w:rFonts w:ascii="Palatino Linotype" w:eastAsia="Palatino Linotype" w:hAnsi="Palatino Linotype" w:cs="Palatino Linotype"/>
          <w:i/>
          <w:color w:val="000000"/>
          <w:sz w:val="22"/>
          <w:szCs w:val="22"/>
        </w:rPr>
      </w:pPr>
    </w:p>
    <w:p w14:paraId="5E0EEEE8" w14:textId="77777777" w:rsidR="0034190F" w:rsidRPr="003A2146" w:rsidRDefault="005A1AAD">
      <w:pPr>
        <w:pBdr>
          <w:top w:val="nil"/>
          <w:left w:val="nil"/>
          <w:bottom w:val="nil"/>
          <w:right w:val="nil"/>
          <w:between w:val="nil"/>
        </w:pBdr>
        <w:tabs>
          <w:tab w:val="left" w:pos="7938"/>
        </w:tabs>
        <w:ind w:left="566" w:right="-145"/>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Código Administrativo del Estado de México</w:t>
      </w:r>
    </w:p>
    <w:p w14:paraId="5E0EEEE9" w14:textId="77777777" w:rsidR="0034190F" w:rsidRPr="003A2146" w:rsidRDefault="0034190F">
      <w:pPr>
        <w:pBdr>
          <w:top w:val="nil"/>
          <w:left w:val="nil"/>
          <w:bottom w:val="nil"/>
          <w:right w:val="nil"/>
          <w:between w:val="nil"/>
        </w:pBdr>
        <w:ind w:left="566" w:right="-145"/>
        <w:jc w:val="both"/>
        <w:rPr>
          <w:rFonts w:ascii="Palatino Linotype" w:eastAsia="Palatino Linotype" w:hAnsi="Palatino Linotype" w:cs="Palatino Linotype"/>
          <w:i/>
          <w:color w:val="000000"/>
          <w:sz w:val="22"/>
          <w:szCs w:val="22"/>
        </w:rPr>
      </w:pPr>
    </w:p>
    <w:p w14:paraId="5E0EEEEA" w14:textId="77777777" w:rsidR="0034190F" w:rsidRPr="003A2146" w:rsidRDefault="005A1AAD">
      <w:pPr>
        <w:pBdr>
          <w:top w:val="nil"/>
          <w:left w:val="nil"/>
          <w:bottom w:val="nil"/>
          <w:right w:val="nil"/>
          <w:between w:val="nil"/>
        </w:pBdr>
        <w:ind w:left="566" w:right="-145"/>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DE LAS VISITAS DE VERIFICACIÓN, MEDIDAS DE SEGURIDAD Y SANCIONES</w:t>
      </w:r>
    </w:p>
    <w:p w14:paraId="5E0EEEEB" w14:textId="77777777" w:rsidR="0034190F" w:rsidRPr="003A2146" w:rsidRDefault="005A1AAD">
      <w:pPr>
        <w:pBdr>
          <w:top w:val="nil"/>
          <w:left w:val="nil"/>
          <w:bottom w:val="nil"/>
          <w:right w:val="nil"/>
          <w:between w:val="nil"/>
        </w:pBdr>
        <w:ind w:left="566" w:right="-145"/>
        <w:jc w:val="center"/>
        <w:rPr>
          <w:rFonts w:ascii="Palatino Linotype" w:eastAsia="Palatino Linotype" w:hAnsi="Palatino Linotype" w:cs="Palatino Linotype"/>
          <w:b/>
          <w:i/>
          <w:color w:val="000000"/>
          <w:sz w:val="22"/>
          <w:szCs w:val="22"/>
        </w:rPr>
      </w:pPr>
      <w:r w:rsidRPr="003A2146">
        <w:rPr>
          <w:rFonts w:ascii="Palatino Linotype" w:eastAsia="Palatino Linotype" w:hAnsi="Palatino Linotype" w:cs="Palatino Linotype"/>
          <w:b/>
          <w:i/>
          <w:color w:val="000000"/>
          <w:sz w:val="22"/>
          <w:szCs w:val="22"/>
        </w:rPr>
        <w:t>CAPÍTULO PRIMERO</w:t>
      </w:r>
    </w:p>
    <w:p w14:paraId="5E0EEEEC" w14:textId="77777777" w:rsidR="0034190F" w:rsidRPr="003A2146" w:rsidRDefault="005A1AAD">
      <w:pPr>
        <w:pBdr>
          <w:top w:val="nil"/>
          <w:left w:val="nil"/>
          <w:bottom w:val="nil"/>
          <w:right w:val="nil"/>
          <w:between w:val="nil"/>
        </w:pBdr>
        <w:ind w:left="566" w:right="-145"/>
        <w:jc w:val="center"/>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DE LAS VISITAS DE VERIFICACIÓN</w:t>
      </w:r>
    </w:p>
    <w:p w14:paraId="5E0EEEED" w14:textId="77777777" w:rsidR="0034190F" w:rsidRPr="003A2146" w:rsidRDefault="0034190F">
      <w:pPr>
        <w:pBdr>
          <w:top w:val="nil"/>
          <w:left w:val="nil"/>
          <w:bottom w:val="nil"/>
          <w:right w:val="nil"/>
          <w:between w:val="nil"/>
        </w:pBdr>
        <w:ind w:left="566" w:right="-145"/>
        <w:jc w:val="both"/>
        <w:rPr>
          <w:rFonts w:ascii="Palatino Linotype" w:eastAsia="Palatino Linotype" w:hAnsi="Palatino Linotype" w:cs="Palatino Linotype"/>
          <w:i/>
          <w:color w:val="000000"/>
          <w:sz w:val="22"/>
          <w:szCs w:val="22"/>
        </w:rPr>
      </w:pPr>
    </w:p>
    <w:p w14:paraId="5E0EEEEE" w14:textId="77777777" w:rsidR="0034190F" w:rsidRPr="003A2146" w:rsidRDefault="005A1AAD">
      <w:pPr>
        <w:pBdr>
          <w:top w:val="nil"/>
          <w:left w:val="nil"/>
          <w:bottom w:val="nil"/>
          <w:right w:val="nil"/>
          <w:between w:val="nil"/>
        </w:pBdr>
        <w:ind w:left="566" w:right="-145"/>
        <w:jc w:val="both"/>
        <w:rPr>
          <w:rFonts w:ascii="Palatino Linotype" w:eastAsia="Palatino Linotype" w:hAnsi="Palatino Linotype" w:cs="Palatino Linotype"/>
          <w:i/>
          <w:color w:val="000000"/>
          <w:sz w:val="22"/>
          <w:szCs w:val="22"/>
        </w:rPr>
      </w:pPr>
      <w:r w:rsidRPr="003A2146">
        <w:rPr>
          <w:rFonts w:ascii="Palatino Linotype" w:eastAsia="Palatino Linotype" w:hAnsi="Palatino Linotype" w:cs="Palatino Linotype"/>
          <w:b/>
          <w:i/>
          <w:color w:val="000000"/>
          <w:sz w:val="22"/>
          <w:szCs w:val="22"/>
        </w:rPr>
        <w:t>Artículo 18.68</w:t>
      </w:r>
      <w:r w:rsidRPr="003A2146">
        <w:rPr>
          <w:rFonts w:ascii="Palatino Linotype" w:eastAsia="Palatino Linotype" w:hAnsi="Palatino Linotype" w:cs="Palatino Linotype"/>
          <w:i/>
          <w:color w:val="000000"/>
          <w:sz w:val="22"/>
          <w:szCs w:val="22"/>
        </w:rPr>
        <w:t>.- Las visitas de verificación tendrán por objeto comprobar que en las construcciones terminadas o en proceso se observe el cumplimiento de las disposiciones jurídicas…</w:t>
      </w:r>
    </w:p>
    <w:p w14:paraId="5E0EEEEF" w14:textId="77777777" w:rsidR="0034190F" w:rsidRPr="003A2146" w:rsidRDefault="0034190F">
      <w:pPr>
        <w:spacing w:line="360" w:lineRule="auto"/>
        <w:ind w:left="566" w:right="-145"/>
        <w:jc w:val="both"/>
        <w:rPr>
          <w:rFonts w:ascii="Palatino Linotype" w:eastAsia="Palatino Linotype" w:hAnsi="Palatino Linotype" w:cs="Palatino Linotype"/>
          <w:sz w:val="22"/>
          <w:szCs w:val="22"/>
        </w:rPr>
      </w:pPr>
    </w:p>
    <w:p w14:paraId="5E0EEEF0"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 xml:space="preserve">Es importante referir que en este punto de la solicitud de información el solicitante también señaló </w:t>
      </w:r>
      <w:r w:rsidRPr="003A2146">
        <w:rPr>
          <w:rFonts w:ascii="Palatino Linotype" w:eastAsia="Palatino Linotype" w:hAnsi="Palatino Linotype" w:cs="Palatino Linotype"/>
          <w:i/>
        </w:rPr>
        <w:t>“se informe por que hay en proceso trabajos de construcción en la restricción de construcción por vía pública”</w:t>
      </w:r>
      <w:r w:rsidRPr="003A2146">
        <w:rPr>
          <w:rFonts w:ascii="Palatino Linotype" w:eastAsia="Palatino Linotype" w:hAnsi="Palatino Linotype" w:cs="Palatino Linotype"/>
        </w:rPr>
        <w:t xml:space="preserve"> se puede apreciar a simple vista que se hace referencia a manifestaciones subjetivas vertidas por el particular, declaraciones que no se colman con la entrega de documentos, situación que conlleva a afirmar que se está en presencia del ejercicio del derecho de petición.</w:t>
      </w:r>
    </w:p>
    <w:p w14:paraId="5E0EEEF1" w14:textId="77777777" w:rsidR="0034190F" w:rsidRPr="003A2146" w:rsidRDefault="0034190F">
      <w:pPr>
        <w:spacing w:line="360" w:lineRule="auto"/>
        <w:ind w:right="-787"/>
        <w:rPr>
          <w:rFonts w:ascii="Palatino Linotype" w:eastAsia="Palatino Linotype" w:hAnsi="Palatino Linotype" w:cs="Palatino Linotype"/>
        </w:rPr>
      </w:pPr>
    </w:p>
    <w:p w14:paraId="5E0EEEF2"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 xml:space="preserve">Por lo que la entrega de una razón o un razonamiento por parte del </w:t>
      </w:r>
      <w:r w:rsidRPr="003A2146">
        <w:rPr>
          <w:rFonts w:ascii="Palatino Linotype" w:eastAsia="Palatino Linotype" w:hAnsi="Palatino Linotype" w:cs="Palatino Linotype"/>
          <w:b/>
        </w:rPr>
        <w:t>SUJETO OBLIGADO</w:t>
      </w:r>
      <w:r w:rsidRPr="003A2146">
        <w:rPr>
          <w:rFonts w:ascii="Palatino Linotype" w:eastAsia="Palatino Linotype" w:hAnsi="Palatino Linotype" w:cs="Palatino Linotype"/>
        </w:rPr>
        <w:t xml:space="preserve"> no es algo que la ley establezca como atribución, derecho, o facultad; pues ello </w:t>
      </w:r>
      <w:r w:rsidRPr="003A2146">
        <w:rPr>
          <w:rFonts w:ascii="Palatino Linotype" w:eastAsia="Palatino Linotype" w:hAnsi="Palatino Linotype" w:cs="Palatino Linotype"/>
        </w:rPr>
        <w:lastRenderedPageBreak/>
        <w:t>implicaría un juicio de valor referente a un cuestionamiento realizado, los cuales, al constituir interrogantes, inquietudes y manifestaciones se satisfacen vía derecho de petición.</w:t>
      </w:r>
    </w:p>
    <w:p w14:paraId="5E0EEEF3" w14:textId="77777777" w:rsidR="0034190F" w:rsidRPr="003A2146" w:rsidRDefault="0034190F">
      <w:pPr>
        <w:ind w:right="-787"/>
        <w:jc w:val="both"/>
        <w:rPr>
          <w:rFonts w:ascii="Palatino Linotype" w:eastAsia="Palatino Linotype" w:hAnsi="Palatino Linotype" w:cs="Palatino Linotype"/>
        </w:rPr>
      </w:pPr>
    </w:p>
    <w:p w14:paraId="5E0EEEF4"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Luego entonces, es importante dejar en claro lo que debe entenderse por derecho de petición y por derecho de acceso a la información pública.</w:t>
      </w:r>
    </w:p>
    <w:p w14:paraId="5E0EEEF5" w14:textId="77777777" w:rsidR="0034190F" w:rsidRPr="003A2146" w:rsidRDefault="0034190F">
      <w:pPr>
        <w:pStyle w:val="Ttulo2"/>
        <w:spacing w:before="0" w:line="360" w:lineRule="auto"/>
        <w:ind w:right="-787"/>
        <w:rPr>
          <w:rFonts w:ascii="Palatino Linotype" w:eastAsia="Palatino Linotype" w:hAnsi="Palatino Linotype" w:cs="Palatino Linotype"/>
          <w:color w:val="000000"/>
          <w:sz w:val="24"/>
          <w:szCs w:val="24"/>
        </w:rPr>
      </w:pPr>
      <w:bookmarkStart w:id="12" w:name="_heading=h.2s8eyo1" w:colFirst="0" w:colLast="0"/>
      <w:bookmarkEnd w:id="12"/>
    </w:p>
    <w:p w14:paraId="5E0EEEF6" w14:textId="77777777" w:rsidR="0034190F" w:rsidRPr="003A2146" w:rsidRDefault="005A1AAD">
      <w:pPr>
        <w:pStyle w:val="Ttulo2"/>
        <w:spacing w:before="0" w:line="360" w:lineRule="auto"/>
        <w:ind w:right="-787"/>
        <w:rPr>
          <w:rFonts w:ascii="Palatino Linotype" w:eastAsia="Palatino Linotype" w:hAnsi="Palatino Linotype" w:cs="Palatino Linotype"/>
          <w:b/>
          <w:i/>
          <w:color w:val="000000"/>
          <w:sz w:val="24"/>
          <w:szCs w:val="24"/>
        </w:rPr>
      </w:pPr>
      <w:r w:rsidRPr="003A2146">
        <w:rPr>
          <w:rFonts w:ascii="Palatino Linotype" w:eastAsia="Palatino Linotype" w:hAnsi="Palatino Linotype" w:cs="Palatino Linotype"/>
          <w:b/>
          <w:i/>
          <w:color w:val="000000"/>
          <w:sz w:val="24"/>
          <w:szCs w:val="24"/>
        </w:rPr>
        <w:t>El derecho de petición y de acceso a la información.</w:t>
      </w:r>
    </w:p>
    <w:p w14:paraId="5E0EEEF7"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 xml:space="preserve">Por lo que respecta a la definición de </w:t>
      </w:r>
      <w:r w:rsidRPr="003A2146">
        <w:rPr>
          <w:rFonts w:ascii="Palatino Linotype" w:eastAsia="Palatino Linotype" w:hAnsi="Palatino Linotype" w:cs="Palatino Linotype"/>
          <w:b/>
        </w:rPr>
        <w:t>derecho de petición</w:t>
      </w:r>
      <w:r w:rsidRPr="003A2146">
        <w:rPr>
          <w:rFonts w:ascii="Palatino Linotype" w:eastAsia="Palatino Linotype" w:hAnsi="Palatino Linotype" w:cs="Palatino Linotype"/>
        </w:rPr>
        <w:t xml:space="preserve">, el Maestro Ignacio Burgoa Orihuela refiere: </w:t>
      </w:r>
    </w:p>
    <w:p w14:paraId="5E0EEEF8" w14:textId="77777777" w:rsidR="0034190F" w:rsidRPr="003A2146" w:rsidRDefault="005A1AAD">
      <w:pPr>
        <w:ind w:left="566" w:right="-145"/>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sz w:val="22"/>
          <w:szCs w:val="22"/>
        </w:rPr>
        <w:t>“…</w:t>
      </w:r>
      <w:r w:rsidRPr="003A2146">
        <w:rPr>
          <w:rFonts w:ascii="Palatino Linotype" w:eastAsia="Palatino Linotype" w:hAnsi="Palatino Linotype" w:cs="Palatino Linotype"/>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3A2146">
        <w:rPr>
          <w:rFonts w:ascii="Palatino Linotype" w:eastAsia="Palatino Linotype" w:hAnsi="Palatino Linotype" w:cs="Palatino Linotype"/>
          <w:i/>
          <w:sz w:val="22"/>
          <w:szCs w:val="22"/>
          <w:vertAlign w:val="superscript"/>
        </w:rPr>
        <w:footnoteReference w:id="1"/>
      </w:r>
      <w:r w:rsidRPr="003A2146">
        <w:rPr>
          <w:rFonts w:ascii="Palatino Linotype" w:eastAsia="Palatino Linotype" w:hAnsi="Palatino Linotype" w:cs="Palatino Linotype"/>
          <w:i/>
          <w:sz w:val="22"/>
          <w:szCs w:val="22"/>
        </w:rPr>
        <w:t xml:space="preserve">  “(Sic)</w:t>
      </w:r>
    </w:p>
    <w:p w14:paraId="5E0EEEF9" w14:textId="77777777" w:rsidR="0034190F" w:rsidRPr="003A2146" w:rsidRDefault="0034190F">
      <w:pPr>
        <w:ind w:left="566" w:right="-145"/>
        <w:jc w:val="both"/>
        <w:rPr>
          <w:rFonts w:ascii="Palatino Linotype" w:eastAsia="Palatino Linotype" w:hAnsi="Palatino Linotype" w:cs="Palatino Linotype"/>
          <w:sz w:val="22"/>
          <w:szCs w:val="22"/>
        </w:rPr>
      </w:pPr>
    </w:p>
    <w:p w14:paraId="5E0EEEFA"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Por</w:t>
      </w:r>
      <w:r w:rsidRPr="003A2146">
        <w:rPr>
          <w:rFonts w:ascii="Palatino Linotype" w:eastAsia="Palatino Linotype" w:hAnsi="Palatino Linotype" w:cs="Palatino Linotype"/>
          <w:i/>
        </w:rPr>
        <w:t xml:space="preserve"> </w:t>
      </w:r>
      <w:r w:rsidRPr="003A2146">
        <w:rPr>
          <w:rFonts w:ascii="Palatino Linotype" w:eastAsia="Palatino Linotype" w:hAnsi="Palatino Linotype" w:cs="Palatino Linotype"/>
        </w:rPr>
        <w:t>su parte, David Cienfuegos Salgado, concibe al derecho de petición como:</w:t>
      </w:r>
    </w:p>
    <w:p w14:paraId="5E0EEEFB" w14:textId="77777777" w:rsidR="0034190F" w:rsidRPr="003A2146" w:rsidRDefault="005A1AAD">
      <w:pPr>
        <w:ind w:left="1134" w:right="-145"/>
        <w:jc w:val="both"/>
        <w:rPr>
          <w:rFonts w:ascii="Palatino Linotype" w:eastAsia="Palatino Linotype" w:hAnsi="Palatino Linotype" w:cs="Palatino Linotype"/>
          <w:i/>
          <w:sz w:val="22"/>
          <w:szCs w:val="22"/>
        </w:rPr>
      </w:pPr>
      <w:r w:rsidRPr="003A2146">
        <w:rPr>
          <w:rFonts w:ascii="Palatino Linotype" w:eastAsia="Palatino Linotype" w:hAnsi="Palatino Linotype" w:cs="Palatino Linotype"/>
          <w:i/>
          <w:sz w:val="22"/>
          <w:szCs w:val="22"/>
        </w:rPr>
        <w:t xml:space="preserve">“el derecho de toda persona a ser escuchado por quienes ejercen el poder público. </w:t>
      </w:r>
      <w:r w:rsidRPr="003A2146">
        <w:rPr>
          <w:rFonts w:ascii="Palatino Linotype" w:eastAsia="Palatino Linotype" w:hAnsi="Palatino Linotype" w:cs="Palatino Linotype"/>
          <w:i/>
          <w:sz w:val="22"/>
          <w:szCs w:val="22"/>
          <w:vertAlign w:val="superscript"/>
        </w:rPr>
        <w:footnoteReference w:id="2"/>
      </w:r>
      <w:r w:rsidRPr="003A2146">
        <w:rPr>
          <w:rFonts w:ascii="Palatino Linotype" w:eastAsia="Palatino Linotype" w:hAnsi="Palatino Linotype" w:cs="Palatino Linotype"/>
          <w:i/>
          <w:sz w:val="22"/>
          <w:szCs w:val="22"/>
        </w:rPr>
        <w:t>” (Sic)</w:t>
      </w:r>
    </w:p>
    <w:p w14:paraId="5E0EEEFC" w14:textId="77777777" w:rsidR="0034190F" w:rsidRPr="003A2146" w:rsidRDefault="0034190F">
      <w:pPr>
        <w:ind w:left="1134" w:right="-787"/>
        <w:jc w:val="both"/>
        <w:rPr>
          <w:rFonts w:ascii="Palatino Linotype" w:eastAsia="Palatino Linotype" w:hAnsi="Palatino Linotype" w:cs="Palatino Linotype"/>
        </w:rPr>
      </w:pPr>
    </w:p>
    <w:p w14:paraId="5E0EEEFD"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 xml:space="preserve">Luego entonces, para diferenciar el derecho de petición al derecho de acceso a la información, resulta conducente señalar que José Guadalupe Robles, conceptualiza el </w:t>
      </w:r>
      <w:r w:rsidRPr="003A2146">
        <w:rPr>
          <w:rFonts w:ascii="Palatino Linotype" w:eastAsia="Palatino Linotype" w:hAnsi="Palatino Linotype" w:cs="Palatino Linotype"/>
          <w:b/>
        </w:rPr>
        <w:t>derecho a la información</w:t>
      </w:r>
      <w:r w:rsidRPr="003A2146">
        <w:rPr>
          <w:rFonts w:ascii="Palatino Linotype" w:eastAsia="Palatino Linotype" w:hAnsi="Palatino Linotype" w:cs="Palatino Linotype"/>
        </w:rPr>
        <w:t xml:space="preserve"> como:</w:t>
      </w:r>
    </w:p>
    <w:p w14:paraId="5E0EEEFE" w14:textId="77777777" w:rsidR="0034190F" w:rsidRPr="003A2146" w:rsidRDefault="0034190F">
      <w:pPr>
        <w:ind w:left="567" w:right="-787"/>
        <w:jc w:val="both"/>
        <w:rPr>
          <w:rFonts w:ascii="Palatino Linotype" w:eastAsia="Palatino Linotype" w:hAnsi="Palatino Linotype" w:cs="Palatino Linotype"/>
        </w:rPr>
      </w:pPr>
    </w:p>
    <w:p w14:paraId="5E0EEEFF" w14:textId="77777777" w:rsidR="0034190F" w:rsidRPr="003A2146" w:rsidRDefault="005A1AAD">
      <w:pPr>
        <w:ind w:left="566" w:right="-145"/>
        <w:jc w:val="both"/>
        <w:rPr>
          <w:rFonts w:ascii="Palatino Linotype" w:eastAsia="Palatino Linotype" w:hAnsi="Palatino Linotype" w:cs="Palatino Linotype"/>
          <w:sz w:val="22"/>
          <w:szCs w:val="22"/>
        </w:rPr>
      </w:pPr>
      <w:r w:rsidRPr="003A2146">
        <w:rPr>
          <w:rFonts w:ascii="Palatino Linotype" w:eastAsia="Palatino Linotype" w:hAnsi="Palatino Linotype" w:cs="Palatino Linotype"/>
          <w:sz w:val="22"/>
          <w:szCs w:val="22"/>
        </w:rPr>
        <w:t xml:space="preserve"> </w:t>
      </w:r>
      <w:r w:rsidRPr="003A2146">
        <w:rPr>
          <w:rFonts w:ascii="Palatino Linotype" w:eastAsia="Palatino Linotype" w:hAnsi="Palatino Linotype" w:cs="Palatino Linotype"/>
          <w:i/>
          <w:sz w:val="22"/>
          <w:szCs w:val="22"/>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w:t>
      </w:r>
      <w:r w:rsidRPr="003A2146">
        <w:rPr>
          <w:rFonts w:ascii="Palatino Linotype" w:eastAsia="Palatino Linotype" w:hAnsi="Palatino Linotype" w:cs="Palatino Linotype"/>
          <w:i/>
          <w:sz w:val="22"/>
          <w:szCs w:val="22"/>
        </w:rPr>
        <w:lastRenderedPageBreak/>
        <w:t xml:space="preserve">personas y a la formación de opinión pública de calidad para poder participar y luego influir en la vida pública. </w:t>
      </w:r>
      <w:r w:rsidRPr="003A2146">
        <w:rPr>
          <w:rFonts w:ascii="Palatino Linotype" w:eastAsia="Palatino Linotype" w:hAnsi="Palatino Linotype" w:cs="Palatino Linotype"/>
          <w:i/>
          <w:sz w:val="22"/>
          <w:szCs w:val="22"/>
          <w:vertAlign w:val="superscript"/>
        </w:rPr>
        <w:footnoteReference w:id="3"/>
      </w:r>
      <w:r w:rsidRPr="003A2146">
        <w:rPr>
          <w:rFonts w:ascii="Palatino Linotype" w:eastAsia="Palatino Linotype" w:hAnsi="Palatino Linotype" w:cs="Palatino Linotype"/>
          <w:i/>
          <w:sz w:val="22"/>
          <w:szCs w:val="22"/>
        </w:rPr>
        <w:t>“(Sic)</w:t>
      </w:r>
    </w:p>
    <w:p w14:paraId="5E0EEF00" w14:textId="77777777" w:rsidR="0034190F" w:rsidRPr="003A2146" w:rsidRDefault="0034190F">
      <w:pPr>
        <w:spacing w:line="360" w:lineRule="auto"/>
        <w:ind w:right="-787"/>
        <w:jc w:val="both"/>
        <w:rPr>
          <w:rFonts w:ascii="Palatino Linotype" w:eastAsia="Palatino Linotype" w:hAnsi="Palatino Linotype" w:cs="Palatino Linotype"/>
        </w:rPr>
      </w:pPr>
    </w:p>
    <w:p w14:paraId="5E0EEF01"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 xml:space="preserve">Ahora </w:t>
      </w:r>
      <w:r w:rsidRPr="003A2146">
        <w:rPr>
          <w:rFonts w:ascii="Palatino Linotype" w:eastAsia="Palatino Linotype" w:hAnsi="Palatino Linotype" w:cs="Palatino Linotype"/>
          <w:color w:val="000000"/>
        </w:rPr>
        <w:t xml:space="preserve">bien, el derecho </w:t>
      </w:r>
      <w:r w:rsidRPr="003A2146">
        <w:rPr>
          <w:rFonts w:ascii="Palatino Linotype" w:eastAsia="Palatino Linotype" w:hAnsi="Palatino Linotype" w:cs="Palatino Linotype"/>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5E0EEF02" w14:textId="77777777" w:rsidR="0034190F" w:rsidRPr="003A2146" w:rsidRDefault="0034190F">
      <w:pPr>
        <w:spacing w:line="360" w:lineRule="auto"/>
        <w:ind w:right="-787"/>
        <w:jc w:val="both"/>
        <w:rPr>
          <w:rFonts w:ascii="Palatino Linotype" w:eastAsia="Palatino Linotype" w:hAnsi="Palatino Linotype" w:cs="Palatino Linotype"/>
        </w:rPr>
      </w:pPr>
    </w:p>
    <w:p w14:paraId="5E0EEF03"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 xml:space="preserve">Es </w:t>
      </w:r>
      <w:r w:rsidRPr="003A2146">
        <w:rPr>
          <w:rFonts w:ascii="Palatino Linotype" w:eastAsia="Palatino Linotype" w:hAnsi="Palatino Linotype" w:cs="Palatino Linotype"/>
          <w:color w:val="000000"/>
        </w:rPr>
        <w:t xml:space="preserve">por ello </w:t>
      </w:r>
      <w:r w:rsidRPr="003A2146">
        <w:rPr>
          <w:rFonts w:ascii="Palatino Linotype" w:eastAsia="Palatino Linotype" w:hAnsi="Palatino Linotype" w:cs="Palatino Linotype"/>
        </w:rPr>
        <w:t>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14:paraId="5E0EEF04" w14:textId="77777777" w:rsidR="0034190F" w:rsidRPr="003A2146" w:rsidRDefault="0034190F">
      <w:pPr>
        <w:spacing w:line="360" w:lineRule="auto"/>
        <w:ind w:right="-787"/>
        <w:jc w:val="both"/>
        <w:rPr>
          <w:rFonts w:ascii="Palatino Linotype" w:eastAsia="Palatino Linotype" w:hAnsi="Palatino Linotype" w:cs="Palatino Linotype"/>
        </w:rPr>
      </w:pPr>
    </w:p>
    <w:p w14:paraId="5E0EEF05"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 xml:space="preserve">Por </w:t>
      </w:r>
      <w:r w:rsidRPr="003A2146">
        <w:rPr>
          <w:rFonts w:ascii="Palatino Linotype" w:eastAsia="Palatino Linotype" w:hAnsi="Palatino Linotype" w:cs="Palatino Linotype"/>
          <w:color w:val="000000"/>
        </w:rPr>
        <w:t xml:space="preserve">tanto, </w:t>
      </w:r>
      <w:r w:rsidRPr="003A2146">
        <w:rPr>
          <w:rFonts w:ascii="Palatino Linotype" w:eastAsia="Palatino Linotype" w:hAnsi="Palatino Linotype" w:cs="Palatino Linotype"/>
        </w:rPr>
        <w:t>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w:t>
      </w:r>
    </w:p>
    <w:p w14:paraId="5E0EEF06" w14:textId="77777777" w:rsidR="0034190F" w:rsidRPr="003A2146" w:rsidRDefault="0034190F">
      <w:pPr>
        <w:ind w:right="-787"/>
        <w:jc w:val="both"/>
        <w:rPr>
          <w:rFonts w:ascii="Palatino Linotype" w:eastAsia="Palatino Linotype" w:hAnsi="Palatino Linotype" w:cs="Palatino Linotype"/>
          <w:b/>
          <w:i/>
        </w:rPr>
      </w:pPr>
    </w:p>
    <w:p w14:paraId="5E0EEF07"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color w:val="000000"/>
        </w:rPr>
        <w:t>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5E0EEF08" w14:textId="77777777" w:rsidR="0034190F" w:rsidRPr="003A2146" w:rsidRDefault="0034190F">
      <w:pPr>
        <w:spacing w:line="360" w:lineRule="auto"/>
        <w:ind w:right="-787"/>
        <w:jc w:val="both"/>
        <w:rPr>
          <w:rFonts w:ascii="Palatino Linotype" w:eastAsia="Palatino Linotype" w:hAnsi="Palatino Linotype" w:cs="Palatino Linotype"/>
        </w:rPr>
      </w:pPr>
    </w:p>
    <w:p w14:paraId="5E0EEF09"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 xml:space="preserve">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segundo supuesto </w:t>
      </w:r>
      <w:r w:rsidRPr="003A2146">
        <w:rPr>
          <w:rFonts w:ascii="Palatino Linotype" w:eastAsia="Palatino Linotype" w:hAnsi="Palatino Linotype" w:cs="Palatino Linotype"/>
          <w:b/>
          <w:u w:val="single"/>
        </w:rPr>
        <w:t>la solicitud de acceso a la información pública se encamina primordialmente a permitir el acceso a datos, registros y todo tipo de</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b/>
          <w:u w:val="single"/>
        </w:rPr>
        <w:t>información pública que consten en documentos, sea generada o se encuentre en</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b/>
          <w:u w:val="single"/>
        </w:rPr>
        <w:t xml:space="preserve">posesión de la autoridad.  </w:t>
      </w:r>
    </w:p>
    <w:p w14:paraId="5E0EEF0A" w14:textId="77777777" w:rsidR="0034190F" w:rsidRPr="003A2146" w:rsidRDefault="0034190F">
      <w:pPr>
        <w:spacing w:line="360" w:lineRule="auto"/>
        <w:ind w:right="-787"/>
        <w:jc w:val="both"/>
        <w:rPr>
          <w:rFonts w:ascii="Palatino Linotype" w:eastAsia="Palatino Linotype" w:hAnsi="Palatino Linotype" w:cs="Palatino Linotype"/>
        </w:rPr>
      </w:pPr>
    </w:p>
    <w:p w14:paraId="5E0EEF0B"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b/>
        </w:rPr>
      </w:pPr>
      <w:r w:rsidRPr="003A2146">
        <w:rPr>
          <w:rFonts w:ascii="Palatino Linotype" w:eastAsia="Palatino Linotype" w:hAnsi="Palatino Linotype" w:cs="Palatino Linotype"/>
        </w:rPr>
        <w:t xml:space="preserve">Es así como, la entrega de una razón o un razonamiento por parte del </w:t>
      </w:r>
      <w:r w:rsidRPr="003A2146">
        <w:rPr>
          <w:rFonts w:ascii="Palatino Linotype" w:eastAsia="Palatino Linotype" w:hAnsi="Palatino Linotype" w:cs="Palatino Linotype"/>
          <w:b/>
        </w:rPr>
        <w:t xml:space="preserve">SUJETO OBLIGADO </w:t>
      </w:r>
      <w:r w:rsidRPr="003A2146">
        <w:rPr>
          <w:rFonts w:ascii="Palatino Linotype" w:eastAsia="Palatino Linotype" w:hAnsi="Palatino Linotype" w:cs="Palatino Linotype"/>
        </w:rPr>
        <w:t>no es algo que la ley establezca como atribución, derecho, o facultad; pues ello implicaría un juicio de valor referente a un cuestionamiento realizado, los cuales, al constituir interrogantes, inquietudes y manifestaciones</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rPr>
        <w:t>se satisfacen vía derecho de petición.</w:t>
      </w:r>
    </w:p>
    <w:p w14:paraId="5E0EEF0C" w14:textId="77777777" w:rsidR="0034190F" w:rsidRPr="003A2146" w:rsidRDefault="0034190F">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5E0EEF0D"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t xml:space="preserve">Bajo este contexto y derivado de las facultades, competencias y funciones que los ordenamientos jurídicos en estudio otorgan al Sujeto Obligado, se presume que la información requerida respecto de la </w:t>
      </w:r>
      <w:r w:rsidRPr="003A2146">
        <w:rPr>
          <w:rFonts w:ascii="Palatino Linotype" w:eastAsia="Palatino Linotype" w:hAnsi="Palatino Linotype" w:cs="Palatino Linotype"/>
          <w:i/>
          <w:color w:val="000000"/>
        </w:rPr>
        <w:t>Licencia de construcción, Licencia de Uso de Suelo, Constancia de alineamiento e inspecciones a la construcción,</w:t>
      </w:r>
      <w:r w:rsidRPr="003A2146">
        <w:rPr>
          <w:rFonts w:ascii="Palatino Linotype" w:eastAsia="Palatino Linotype" w:hAnsi="Palatino Linotype" w:cs="Palatino Linotype"/>
          <w:b/>
          <w:i/>
          <w:color w:val="000000"/>
        </w:rPr>
        <w:t xml:space="preserve"> </w:t>
      </w:r>
      <w:r w:rsidRPr="003A2146">
        <w:rPr>
          <w:rFonts w:ascii="Palatino Linotype" w:eastAsia="Palatino Linotype" w:hAnsi="Palatino Linotype" w:cs="Palatino Linotype"/>
          <w:color w:val="000000"/>
        </w:rPr>
        <w:t>del inmueble referido en la solicitud de información, puede existir,</w:t>
      </w:r>
      <w:r w:rsidRPr="003A2146">
        <w:rPr>
          <w:rFonts w:ascii="Palatino Linotype" w:eastAsia="Palatino Linotype" w:hAnsi="Palatino Linotype" w:cs="Palatino Linotype"/>
        </w:rPr>
        <w:t xml:space="preserve"> por lo que es viable ordenar al </w:t>
      </w:r>
      <w:r w:rsidRPr="003A2146">
        <w:rPr>
          <w:rFonts w:ascii="Palatino Linotype" w:eastAsia="Palatino Linotype" w:hAnsi="Palatino Linotype" w:cs="Palatino Linotype"/>
          <w:b/>
        </w:rPr>
        <w:t>SUJETO OBLIGADO</w:t>
      </w:r>
      <w:r w:rsidRPr="003A2146">
        <w:rPr>
          <w:rFonts w:ascii="Palatino Linotype" w:eastAsia="Palatino Linotype" w:hAnsi="Palatino Linotype" w:cs="Palatino Linotype"/>
        </w:rPr>
        <w:t xml:space="preserve"> la entrega de la misma, de ser el caso en versión pública.</w:t>
      </w:r>
    </w:p>
    <w:p w14:paraId="5E0EEF0E" w14:textId="77777777" w:rsidR="0034190F" w:rsidRPr="003A2146" w:rsidRDefault="0034190F">
      <w:pPr>
        <w:spacing w:line="360" w:lineRule="auto"/>
        <w:ind w:right="-787"/>
        <w:jc w:val="both"/>
        <w:rPr>
          <w:color w:val="000000"/>
        </w:rPr>
      </w:pPr>
    </w:p>
    <w:p w14:paraId="5E0EEF0F"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rPr>
        <w:t xml:space="preserve">Ahora bien, es de resaltar el </w:t>
      </w:r>
      <w:r w:rsidRPr="003A2146">
        <w:rPr>
          <w:rFonts w:ascii="Palatino Linotype" w:eastAsia="Palatino Linotype" w:hAnsi="Palatino Linotype" w:cs="Palatino Linotype"/>
          <w:b/>
        </w:rPr>
        <w:t>Sujeto Obligado</w:t>
      </w:r>
      <w:r w:rsidRPr="003A2146">
        <w:rPr>
          <w:rFonts w:ascii="Palatino Linotype" w:eastAsia="Palatino Linotype" w:hAnsi="Palatino Linotype" w:cs="Palatino Linotype"/>
        </w:rPr>
        <w:t xml:space="preserve"> en respuesta señaló que la información solicitada puede ser localizada en el link que proporcionó, por lo que de la respuesta se pudiera advertir que cuenta con ella; sin embargo, también lo es que es una respuesta genérica, donde refiere que obra información relacionada, no obstante, este Instituto no cuenta con la certeza de la existencia de la misma, máxime que al ingresar a dicha liga su contenido muestra la ventana de inicio de Información Pública de Oficio de los Sujetos Obligados del Estado de México y Municipios. IPOMEX; luego entonces, si derivado de la nueva búsqueda exhaustiva y razonable que realice el Sujeto Obligado, no obrara en sus archivos, en virtud que para generarla depende de la acción de particulares o personas jurídicas colectivas o la existencia del inmueble referido, bastará con que lo haga de conocimiento del particular al momento de dar cumplimiento a la presente resolución en términos del artículo 19, segundo párrafo, de la de la Ley de Transparencia y Acceso a la Información Pública del Estado de México y Municipios.</w:t>
      </w:r>
    </w:p>
    <w:p w14:paraId="5E0EEF10" w14:textId="77777777" w:rsidR="0034190F" w:rsidRPr="003A2146" w:rsidRDefault="0034190F">
      <w:pPr>
        <w:pBdr>
          <w:top w:val="nil"/>
          <w:left w:val="nil"/>
          <w:bottom w:val="nil"/>
          <w:right w:val="nil"/>
          <w:between w:val="nil"/>
        </w:pBdr>
        <w:spacing w:line="360" w:lineRule="auto"/>
        <w:ind w:right="-787"/>
        <w:jc w:val="both"/>
        <w:rPr>
          <w:color w:val="000000"/>
        </w:rPr>
      </w:pPr>
    </w:p>
    <w:p w14:paraId="5E0EEF11" w14:textId="77777777" w:rsidR="0034190F" w:rsidRPr="003A2146" w:rsidRDefault="005A1AAD">
      <w:pPr>
        <w:keepNext/>
        <w:keepLines/>
        <w:spacing w:after="160" w:line="360" w:lineRule="auto"/>
        <w:ind w:right="-787"/>
        <w:rPr>
          <w:rFonts w:ascii="Palatino Linotype" w:eastAsia="Palatino Linotype" w:hAnsi="Palatino Linotype" w:cs="Palatino Linotype"/>
          <w:b/>
          <w:color w:val="000000"/>
        </w:rPr>
      </w:pPr>
      <w:r w:rsidRPr="003A2146">
        <w:rPr>
          <w:rFonts w:ascii="Palatino Linotype" w:eastAsia="Palatino Linotype" w:hAnsi="Palatino Linotype" w:cs="Palatino Linotype"/>
          <w:b/>
          <w:color w:val="000000"/>
        </w:rPr>
        <w:t>QUINTA. De la versión pública.</w:t>
      </w:r>
    </w:p>
    <w:p w14:paraId="5E0EEF12" w14:textId="77777777" w:rsidR="0034190F" w:rsidRPr="003A2146" w:rsidRDefault="005A1AAD">
      <w:pPr>
        <w:keepNext/>
        <w:keepLines/>
        <w:numPr>
          <w:ilvl w:val="0"/>
          <w:numId w:val="3"/>
        </w:numPr>
        <w:tabs>
          <w:tab w:val="left" w:pos="284"/>
        </w:tabs>
        <w:spacing w:after="160" w:line="360" w:lineRule="auto"/>
        <w:ind w:right="-787"/>
        <w:rPr>
          <w:rFonts w:ascii="Palatino Linotype" w:eastAsia="Palatino Linotype" w:hAnsi="Palatino Linotype" w:cs="Palatino Linotype"/>
          <w:b/>
          <w:color w:val="000000"/>
        </w:rPr>
      </w:pPr>
      <w:r w:rsidRPr="003A2146">
        <w:rPr>
          <w:rFonts w:ascii="Palatino Linotype" w:eastAsia="Palatino Linotype" w:hAnsi="Palatino Linotype" w:cs="Palatino Linotype"/>
          <w:b/>
          <w:color w:val="000000"/>
        </w:rPr>
        <w:t xml:space="preserve">Nociones generales. </w:t>
      </w:r>
    </w:p>
    <w:p w14:paraId="5E0EEF13"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t xml:space="preserve">Debe destacarse, que si de la información solicitada por el </w:t>
      </w:r>
      <w:r w:rsidRPr="003A2146">
        <w:rPr>
          <w:rFonts w:ascii="Palatino Linotype" w:eastAsia="Palatino Linotype" w:hAnsi="Palatino Linotype" w:cs="Palatino Linotype"/>
          <w:b/>
        </w:rPr>
        <w:t>RECURRENTE</w:t>
      </w:r>
      <w:r w:rsidRPr="003A2146">
        <w:rPr>
          <w:rFonts w:ascii="Palatino Linotype" w:eastAsia="Palatino Linotype" w:hAnsi="Palatino Linotype" w:cs="Palatino Linotype"/>
        </w:rPr>
        <w:t xml:space="preserve">, obran datos personales susceptibles de protegerse, así como información susceptible de clasificarse como confidencial,  el </w:t>
      </w:r>
      <w:r w:rsidRPr="003A2146">
        <w:rPr>
          <w:rFonts w:ascii="Palatino Linotype" w:eastAsia="Palatino Linotype" w:hAnsi="Palatino Linotype" w:cs="Palatino Linotype"/>
          <w:b/>
        </w:rPr>
        <w:t xml:space="preserve">SUJETO OBLIGADO </w:t>
      </w:r>
      <w:r w:rsidRPr="003A2146">
        <w:rPr>
          <w:rFonts w:ascii="Palatino Linotype" w:eastAsia="Palatino Linotype" w:hAnsi="Palatino Linotype" w:cs="Palatino Linotype"/>
        </w:rPr>
        <w:t xml:space="preserve">deberá de hacer la adecuada versión pública, protegiendo los datos que no son susceptibles de ser proporcionados. </w:t>
      </w:r>
    </w:p>
    <w:p w14:paraId="5E0EEF14" w14:textId="77777777" w:rsidR="0034190F" w:rsidRPr="003A2146" w:rsidRDefault="0034190F">
      <w:pPr>
        <w:tabs>
          <w:tab w:val="left" w:pos="0"/>
          <w:tab w:val="left" w:pos="284"/>
        </w:tabs>
        <w:spacing w:line="360" w:lineRule="auto"/>
        <w:ind w:right="-787"/>
        <w:jc w:val="both"/>
        <w:rPr>
          <w:rFonts w:ascii="Palatino Linotype" w:eastAsia="Palatino Linotype" w:hAnsi="Palatino Linotype" w:cs="Palatino Linotype"/>
        </w:rPr>
      </w:pPr>
    </w:p>
    <w:p w14:paraId="5E0EEF15"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color w:val="000000"/>
        </w:rPr>
        <w:t>No pasa desapercibido para este Órgano Garante que los sujetos obligados</w:t>
      </w:r>
      <w:r w:rsidRPr="003A2146">
        <w:rPr>
          <w:rFonts w:ascii="Palatino Linotype" w:eastAsia="Palatino Linotype" w:hAnsi="Palatino Linotype" w:cs="Palatino Linotype"/>
          <w:b/>
          <w:color w:val="000000"/>
        </w:rPr>
        <w:t xml:space="preserve"> </w:t>
      </w:r>
      <w:r w:rsidRPr="003A2146">
        <w:rPr>
          <w:rFonts w:ascii="Palatino Linotype" w:eastAsia="Palatino Linotype" w:hAnsi="Palatino Linotype" w:cs="Palatino Linotype"/>
          <w:color w:val="000000"/>
        </w:rPr>
        <w:t xml:space="preserve">serán responsables de los datos personales en su posesión y que, en caso de localizarse datos </w:t>
      </w:r>
      <w:r w:rsidRPr="003A2146">
        <w:rPr>
          <w:rFonts w:ascii="Palatino Linotype" w:eastAsia="Palatino Linotype" w:hAnsi="Palatino Linotype" w:cs="Palatino Linotype"/>
          <w:color w:val="000000"/>
        </w:rPr>
        <w:lastRenderedPageBreak/>
        <w:t>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E0EEF16" w14:textId="77777777" w:rsidR="0034190F" w:rsidRPr="003A2146" w:rsidRDefault="0034190F">
      <w:pPr>
        <w:tabs>
          <w:tab w:val="left" w:pos="284"/>
        </w:tabs>
        <w:spacing w:after="160" w:line="360" w:lineRule="auto"/>
        <w:ind w:right="-787"/>
        <w:jc w:val="both"/>
        <w:rPr>
          <w:rFonts w:ascii="Palatino Linotype" w:eastAsia="Palatino Linotype" w:hAnsi="Palatino Linotype" w:cs="Palatino Linotype"/>
          <w:color w:val="000000"/>
        </w:rPr>
      </w:pPr>
    </w:p>
    <w:tbl>
      <w:tblPr>
        <w:tblStyle w:val="a9"/>
        <w:tblW w:w="969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20"/>
        <w:gridCol w:w="6870"/>
      </w:tblGrid>
      <w:tr w:rsidR="0034190F" w:rsidRPr="003A2146" w14:paraId="5E0EEF1C" w14:textId="77777777">
        <w:tc>
          <w:tcPr>
            <w:tcW w:w="2820" w:type="dxa"/>
          </w:tcPr>
          <w:p w14:paraId="5E0EEF17" w14:textId="77777777" w:rsidR="0034190F" w:rsidRPr="003A2146" w:rsidRDefault="005A1AAD">
            <w:pPr>
              <w:tabs>
                <w:tab w:val="left" w:pos="284"/>
              </w:tabs>
              <w:spacing w:line="360" w:lineRule="auto"/>
              <w:ind w:right="-112"/>
              <w:rPr>
                <w:rFonts w:ascii="Palatino Linotype" w:eastAsia="Palatino Linotype" w:hAnsi="Palatino Linotype" w:cs="Palatino Linotype"/>
                <w:b/>
                <w:sz w:val="22"/>
                <w:szCs w:val="22"/>
              </w:rPr>
            </w:pPr>
            <w:r w:rsidRPr="003A2146">
              <w:rPr>
                <w:rFonts w:ascii="Palatino Linotype" w:eastAsia="Palatino Linotype" w:hAnsi="Palatino Linotype" w:cs="Palatino Linotype"/>
                <w:b/>
                <w:sz w:val="22"/>
                <w:szCs w:val="22"/>
              </w:rPr>
              <w:t>a) Requisitos previos.</w:t>
            </w:r>
          </w:p>
        </w:tc>
        <w:tc>
          <w:tcPr>
            <w:tcW w:w="6870" w:type="dxa"/>
          </w:tcPr>
          <w:p w14:paraId="5E0EEF18"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b/>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E0EEF19"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b/>
                <w:color w:val="000000"/>
                <w:sz w:val="22"/>
                <w:szCs w:val="22"/>
              </w:rPr>
              <w:t>Al hacerlo tienen que precisar de qué información se trata, señalando el supuesto de clasificación (confidencialidad o reserva).</w:t>
            </w:r>
          </w:p>
          <w:p w14:paraId="5E0EEF1A"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b/>
                <w:color w:val="000000"/>
                <w:sz w:val="22"/>
                <w:szCs w:val="22"/>
              </w:rPr>
            </w:pPr>
            <w:r w:rsidRPr="003A2146">
              <w:rPr>
                <w:rFonts w:ascii="Palatino Linotype" w:eastAsia="Palatino Linotype" w:hAnsi="Palatino Linotype" w:cs="Palatino Linotype"/>
                <w:b/>
                <w:color w:val="000000"/>
                <w:sz w:val="22"/>
                <w:szCs w:val="22"/>
              </w:rPr>
              <w:t>Además, se debe señalar el procedimiento, de los tres que establecen los artículos 132 y 106 de la Ley Estatal y General, respectivamente.</w:t>
            </w:r>
          </w:p>
          <w:p w14:paraId="5E0EEF1B"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b/>
                <w:sz w:val="22"/>
                <w:szCs w:val="22"/>
              </w:rPr>
            </w:pPr>
            <w:r w:rsidRPr="003A2146">
              <w:rPr>
                <w:rFonts w:ascii="Palatino Linotype" w:eastAsia="Palatino Linotype" w:hAnsi="Palatino Linotype" w:cs="Palatino Linotype"/>
                <w:b/>
                <w:color w:val="000000"/>
                <w:sz w:val="22"/>
                <w:szCs w:val="22"/>
              </w:rPr>
              <w:t xml:space="preserve">El último de estos requisitos previos consiste en que no se pueden emitir acuerdos de carácter general ni particular, esto es, </w:t>
            </w:r>
            <w:r w:rsidRPr="003A2146">
              <w:rPr>
                <w:rFonts w:ascii="Palatino Linotype" w:eastAsia="Palatino Linotype" w:hAnsi="Palatino Linotype" w:cs="Palatino Linotype"/>
                <w:b/>
                <w:color w:val="000000"/>
                <w:sz w:val="22"/>
                <w:szCs w:val="22"/>
                <w:u w:val="single"/>
              </w:rPr>
              <w:t>no se puede hacer un acuerdo para clasificar de manera general todos los documentos de un expediente o área, sin</w:t>
            </w:r>
            <w:r w:rsidRPr="003A2146">
              <w:rPr>
                <w:rFonts w:ascii="Palatino Linotype" w:eastAsia="Palatino Linotype" w:hAnsi="Palatino Linotype" w:cs="Palatino Linotype"/>
                <w:b/>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34190F" w:rsidRPr="003A2146" w14:paraId="5E0EEF21" w14:textId="77777777">
        <w:tc>
          <w:tcPr>
            <w:tcW w:w="2820" w:type="dxa"/>
          </w:tcPr>
          <w:p w14:paraId="5E0EEF1D" w14:textId="77777777" w:rsidR="0034190F" w:rsidRPr="003A2146" w:rsidRDefault="005A1AAD">
            <w:pPr>
              <w:tabs>
                <w:tab w:val="left" w:pos="284"/>
              </w:tabs>
              <w:spacing w:line="360" w:lineRule="auto"/>
              <w:ind w:right="-112"/>
              <w:rPr>
                <w:rFonts w:ascii="Palatino Linotype" w:eastAsia="Palatino Linotype" w:hAnsi="Palatino Linotype" w:cs="Palatino Linotype"/>
                <w:b/>
                <w:sz w:val="22"/>
                <w:szCs w:val="22"/>
              </w:rPr>
            </w:pPr>
            <w:r w:rsidRPr="003A2146">
              <w:rPr>
                <w:rFonts w:ascii="Palatino Linotype" w:eastAsia="Palatino Linotype" w:hAnsi="Palatino Linotype" w:cs="Palatino Linotype"/>
                <w:b/>
                <w:sz w:val="22"/>
                <w:szCs w:val="22"/>
              </w:rPr>
              <w:t>b) Supuestos de clasificación.</w:t>
            </w:r>
          </w:p>
        </w:tc>
        <w:tc>
          <w:tcPr>
            <w:tcW w:w="6870" w:type="dxa"/>
          </w:tcPr>
          <w:p w14:paraId="5E0EEF1E"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5E0EEF1F"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E0EEF20"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sz w:val="22"/>
                <w:szCs w:val="22"/>
              </w:rPr>
            </w:pPr>
            <w:r w:rsidRPr="003A2146">
              <w:rPr>
                <w:rFonts w:ascii="Palatino Linotype" w:eastAsia="Palatino Linotype" w:hAnsi="Palatino Linotype" w:cs="Palatino Linotype"/>
                <w:color w:val="000000"/>
                <w:sz w:val="22"/>
                <w:szCs w:val="22"/>
              </w:rPr>
              <w:t xml:space="preserve">El </w:t>
            </w:r>
            <w:r w:rsidRPr="003A2146">
              <w:rPr>
                <w:rFonts w:ascii="Palatino Linotype" w:eastAsia="Palatino Linotype" w:hAnsi="Palatino Linotype" w:cs="Palatino Linotype"/>
                <w:b/>
                <w:color w:val="000000"/>
                <w:sz w:val="22"/>
                <w:szCs w:val="22"/>
              </w:rPr>
              <w:t>Sujeto Obligado</w:t>
            </w:r>
            <w:r w:rsidRPr="003A2146">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4190F" w:rsidRPr="003A2146" w14:paraId="5E0EEF26" w14:textId="77777777">
        <w:tc>
          <w:tcPr>
            <w:tcW w:w="2820" w:type="dxa"/>
          </w:tcPr>
          <w:p w14:paraId="5E0EEF22" w14:textId="77777777" w:rsidR="0034190F" w:rsidRPr="003A2146" w:rsidRDefault="005A1AAD">
            <w:pPr>
              <w:tabs>
                <w:tab w:val="left" w:pos="284"/>
              </w:tabs>
              <w:spacing w:line="360" w:lineRule="auto"/>
              <w:ind w:right="-112"/>
              <w:rPr>
                <w:rFonts w:ascii="Palatino Linotype" w:eastAsia="Palatino Linotype" w:hAnsi="Palatino Linotype" w:cs="Palatino Linotype"/>
                <w:b/>
                <w:sz w:val="22"/>
                <w:szCs w:val="22"/>
              </w:rPr>
            </w:pPr>
            <w:r w:rsidRPr="003A2146">
              <w:rPr>
                <w:rFonts w:ascii="Palatino Linotype" w:eastAsia="Palatino Linotype" w:hAnsi="Palatino Linotype" w:cs="Palatino Linotype"/>
                <w:b/>
                <w:sz w:val="22"/>
                <w:szCs w:val="22"/>
              </w:rPr>
              <w:lastRenderedPageBreak/>
              <w:t>c) Formalidades para emitir el acuerdo de clasificación.</w:t>
            </w:r>
          </w:p>
        </w:tc>
        <w:tc>
          <w:tcPr>
            <w:tcW w:w="6870" w:type="dxa"/>
          </w:tcPr>
          <w:p w14:paraId="5E0EEF23"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5E0EEF24"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 xml:space="preserve">Es necesario que </w:t>
            </w:r>
            <w:r w:rsidRPr="003A2146">
              <w:rPr>
                <w:rFonts w:ascii="Palatino Linotype" w:eastAsia="Palatino Linotype" w:hAnsi="Palatino Linotype" w:cs="Palatino Linotype"/>
                <w:b/>
                <w:color w:val="000000"/>
                <w:sz w:val="22"/>
                <w:szCs w:val="22"/>
                <w:u w:val="single"/>
              </w:rPr>
              <w:t>el acto reúna con los requisitos elementales</w:t>
            </w:r>
            <w:r w:rsidRPr="003A2146">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5E0EEF25"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sz w:val="22"/>
                <w:szCs w:val="22"/>
              </w:rPr>
            </w:pPr>
            <w:r w:rsidRPr="003A2146">
              <w:rPr>
                <w:rFonts w:ascii="Palatino Linotype" w:eastAsia="Palatino Linotype" w:hAnsi="Palatino Linotype" w:cs="Palatino Linotype"/>
                <w:color w:val="000000"/>
                <w:sz w:val="22"/>
                <w:szCs w:val="22"/>
              </w:rPr>
              <w:t xml:space="preserve">La decisión de aprobar, modificar o revocar la clasificación deberá de asentarse en un documento que registre la determinación a la que se llegue después de un análisis minucioso a partir de lo propuesto por el Titular del I. </w:t>
            </w:r>
            <w:r w:rsidRPr="003A2146">
              <w:rPr>
                <w:rFonts w:ascii="Palatino Linotype" w:eastAsia="Palatino Linotype" w:hAnsi="Palatino Linotype" w:cs="Palatino Linotype"/>
                <w:sz w:val="22"/>
                <w:szCs w:val="22"/>
              </w:rPr>
              <w:t>El área</w:t>
            </w:r>
            <w:r w:rsidRPr="003A2146">
              <w:rPr>
                <w:rFonts w:ascii="Palatino Linotype" w:eastAsia="Palatino Linotype" w:hAnsi="Palatino Linotype" w:cs="Palatino Linotype"/>
                <w:color w:val="000000"/>
                <w:sz w:val="22"/>
                <w:szCs w:val="22"/>
              </w:rPr>
              <w:t xml:space="preserve"> que administra la información, cuyo análisis debe integrarse en la agenda de los asuntos a tratar en las sesiones, se insiste, a partir de las decisiones adoptadas previamente por los </w:t>
            </w:r>
            <w:r w:rsidRPr="003A2146">
              <w:rPr>
                <w:rFonts w:ascii="Palatino Linotype" w:eastAsia="Palatino Linotype" w:hAnsi="Palatino Linotype" w:cs="Palatino Linotype"/>
                <w:color w:val="000000"/>
                <w:sz w:val="22"/>
                <w:szCs w:val="22"/>
              </w:rPr>
              <w:lastRenderedPageBreak/>
              <w:t>titulares de áreas y que son sujetas a control, en primera instancia, por el Comité de Transparencia.</w:t>
            </w:r>
          </w:p>
        </w:tc>
      </w:tr>
      <w:tr w:rsidR="0034190F" w:rsidRPr="003A2146" w14:paraId="5E0EEF2E" w14:textId="77777777">
        <w:tc>
          <w:tcPr>
            <w:tcW w:w="2820" w:type="dxa"/>
          </w:tcPr>
          <w:p w14:paraId="5E0EEF27" w14:textId="77777777" w:rsidR="0034190F" w:rsidRPr="003A2146" w:rsidRDefault="0034190F">
            <w:pPr>
              <w:tabs>
                <w:tab w:val="left" w:pos="284"/>
              </w:tabs>
              <w:spacing w:line="360" w:lineRule="auto"/>
              <w:ind w:right="-112"/>
              <w:rPr>
                <w:rFonts w:ascii="Palatino Linotype" w:eastAsia="Palatino Linotype" w:hAnsi="Palatino Linotype" w:cs="Palatino Linotype"/>
                <w:b/>
                <w:sz w:val="22"/>
                <w:szCs w:val="22"/>
              </w:rPr>
            </w:pPr>
          </w:p>
          <w:p w14:paraId="5E0EEF28"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b/>
                <w:sz w:val="22"/>
                <w:szCs w:val="22"/>
              </w:rPr>
            </w:pPr>
            <w:r w:rsidRPr="003A2146">
              <w:rPr>
                <w:rFonts w:ascii="Palatino Linotype" w:eastAsia="Palatino Linotype" w:hAnsi="Palatino Linotype" w:cs="Palatino Linotype"/>
                <w:b/>
                <w:color w:val="000000"/>
                <w:sz w:val="22"/>
                <w:szCs w:val="22"/>
              </w:rPr>
              <w:t xml:space="preserve">d) Requisitos de fondo del acuerdo de clasificación. </w:t>
            </w:r>
          </w:p>
        </w:tc>
        <w:tc>
          <w:tcPr>
            <w:tcW w:w="6870" w:type="dxa"/>
          </w:tcPr>
          <w:p w14:paraId="5E0EEF29"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A2146">
              <w:rPr>
                <w:rFonts w:ascii="Palatino Linotype" w:eastAsia="Palatino Linotype" w:hAnsi="Palatino Linotype" w:cs="Palatino Linotype"/>
                <w:b/>
                <w:color w:val="000000"/>
                <w:sz w:val="22"/>
                <w:szCs w:val="22"/>
              </w:rPr>
              <w:t>Sujetos Obligados</w:t>
            </w:r>
            <w:r w:rsidRPr="003A2146">
              <w:rPr>
                <w:rFonts w:ascii="Palatino Linotype" w:eastAsia="Palatino Linotype" w:hAnsi="Palatino Linotype" w:cs="Palatino Linotype"/>
                <w:color w:val="000000"/>
                <w:sz w:val="22"/>
                <w:szCs w:val="22"/>
              </w:rPr>
              <w:t xml:space="preserve">, por lo que deberán fundar y motivar debidamente la clasificación. </w:t>
            </w:r>
          </w:p>
          <w:p w14:paraId="5E0EEF2A"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 xml:space="preserve">De lo anterior, se desprende que para una correcta </w:t>
            </w:r>
            <w:r w:rsidRPr="003A2146">
              <w:rPr>
                <w:rFonts w:ascii="Palatino Linotype" w:eastAsia="Palatino Linotype" w:hAnsi="Palatino Linotype" w:cs="Palatino Linotype"/>
                <w:b/>
                <w:color w:val="000000"/>
                <w:sz w:val="22"/>
                <w:szCs w:val="22"/>
              </w:rPr>
              <w:t>clasificación total o parcial</w:t>
            </w:r>
            <w:r w:rsidRPr="003A2146">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E0EEF2B"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E0EEF2C"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5E0EEF2D"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lastRenderedPageBreak/>
              <w:t xml:space="preserve">Ahora bien, </w:t>
            </w:r>
            <w:r w:rsidRPr="003A2146">
              <w:rPr>
                <w:rFonts w:ascii="Palatino Linotype" w:eastAsia="Palatino Linotype" w:hAnsi="Palatino Linotype" w:cs="Palatino Linotype"/>
                <w:b/>
                <w:color w:val="000000"/>
                <w:sz w:val="22"/>
                <w:szCs w:val="22"/>
                <w:u w:val="single"/>
              </w:rPr>
              <w:t>para cada caso además de fundar y motivar</w:t>
            </w:r>
            <w:r w:rsidRPr="003A2146">
              <w:rPr>
                <w:rFonts w:ascii="Palatino Linotype" w:eastAsia="Palatino Linotype" w:hAnsi="Palatino Linotype" w:cs="Palatino Linotype"/>
                <w:color w:val="000000"/>
                <w:sz w:val="22"/>
                <w:szCs w:val="22"/>
              </w:rPr>
              <w:t xml:space="preserve">, se debe identificar con claridad </w:t>
            </w:r>
            <w:r w:rsidRPr="003A2146">
              <w:rPr>
                <w:rFonts w:ascii="Palatino Linotype" w:eastAsia="Palatino Linotype" w:hAnsi="Palatino Linotype" w:cs="Palatino Linotype"/>
                <w:sz w:val="22"/>
                <w:szCs w:val="22"/>
              </w:rPr>
              <w:t>qué</w:t>
            </w:r>
            <w:r w:rsidRPr="003A2146">
              <w:rPr>
                <w:rFonts w:ascii="Palatino Linotype" w:eastAsia="Palatino Linotype" w:hAnsi="Palatino Linotype" w:cs="Palatino Linotype"/>
                <w:color w:val="000000"/>
                <w:sz w:val="22"/>
                <w:szCs w:val="22"/>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4190F" w:rsidRPr="003A2146" w14:paraId="5E0EEF33" w14:textId="77777777">
        <w:tc>
          <w:tcPr>
            <w:tcW w:w="2820" w:type="dxa"/>
          </w:tcPr>
          <w:p w14:paraId="5E0EEF2F"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b/>
                <w:sz w:val="22"/>
                <w:szCs w:val="22"/>
              </w:rPr>
            </w:pPr>
            <w:r w:rsidRPr="003A2146">
              <w:rPr>
                <w:rFonts w:ascii="Palatino Linotype" w:eastAsia="Palatino Linotype" w:hAnsi="Palatino Linotype" w:cs="Palatino Linotype"/>
                <w:b/>
                <w:sz w:val="22"/>
                <w:szCs w:val="22"/>
              </w:rPr>
              <w:lastRenderedPageBreak/>
              <w:t xml:space="preserve">e) Condiciones especiales de la clasificación de la información como confidencial. </w:t>
            </w:r>
          </w:p>
        </w:tc>
        <w:tc>
          <w:tcPr>
            <w:tcW w:w="6870" w:type="dxa"/>
          </w:tcPr>
          <w:p w14:paraId="5E0EEF30"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14:paraId="5E0EEF31" w14:textId="77777777" w:rsidR="0034190F" w:rsidRPr="003A2146" w:rsidRDefault="005A1AAD">
            <w:pPr>
              <w:tabs>
                <w:tab w:val="left" w:pos="284"/>
              </w:tabs>
              <w:spacing w:line="360" w:lineRule="auto"/>
              <w:ind w:right="-112"/>
              <w:jc w:val="both"/>
              <w:rPr>
                <w:rFonts w:ascii="Palatino Linotype" w:eastAsia="Palatino Linotype" w:hAnsi="Palatino Linotype" w:cs="Palatino Linotype"/>
                <w:color w:val="000000"/>
                <w:sz w:val="22"/>
                <w:szCs w:val="22"/>
              </w:rPr>
            </w:pPr>
            <w:r w:rsidRPr="003A2146">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E0EEF32" w14:textId="77777777" w:rsidR="0034190F" w:rsidRPr="003A2146" w:rsidRDefault="005A1AAD">
            <w:pPr>
              <w:tabs>
                <w:tab w:val="left" w:pos="284"/>
              </w:tabs>
              <w:spacing w:line="360" w:lineRule="auto"/>
              <w:ind w:right="-112"/>
              <w:rPr>
                <w:rFonts w:ascii="Palatino Linotype" w:eastAsia="Palatino Linotype" w:hAnsi="Palatino Linotype" w:cs="Palatino Linotype"/>
                <w:sz w:val="22"/>
                <w:szCs w:val="22"/>
              </w:rPr>
            </w:pPr>
            <w:r w:rsidRPr="003A2146">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E0EEF34" w14:textId="77777777" w:rsidR="0034190F" w:rsidRPr="003A2146" w:rsidRDefault="0034190F">
      <w:pPr>
        <w:tabs>
          <w:tab w:val="left" w:pos="284"/>
        </w:tabs>
        <w:spacing w:line="360" w:lineRule="auto"/>
        <w:ind w:right="-787"/>
        <w:rPr>
          <w:rFonts w:ascii="Palatino Linotype" w:eastAsia="Palatino Linotype" w:hAnsi="Palatino Linotype" w:cs="Palatino Linotype"/>
          <w:color w:val="000000"/>
        </w:rPr>
      </w:pPr>
    </w:p>
    <w:p w14:paraId="5E0EEF35"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t xml:space="preserve">De lo anterior, se debe de mencionar que el </w:t>
      </w:r>
      <w:r w:rsidRPr="003A2146">
        <w:rPr>
          <w:rFonts w:ascii="Palatino Linotype" w:eastAsia="Palatino Linotype" w:hAnsi="Palatino Linotype" w:cs="Palatino Linotype"/>
          <w:b/>
        </w:rPr>
        <w:t xml:space="preserve">SUJETO OBLIGADO </w:t>
      </w:r>
      <w:r w:rsidRPr="003A2146">
        <w:rPr>
          <w:rFonts w:ascii="Palatino Linotype" w:eastAsia="Palatino Linotype" w:hAnsi="Palatino Linotype" w:cs="Palatino Linotype"/>
        </w:rPr>
        <w:t>deberá de realizar un análisis respecto al contenido de los documentos a entregar, ya que estos solo deberán de ser clasificados como confidenciales si tiene relación con datos personales.</w:t>
      </w:r>
    </w:p>
    <w:p w14:paraId="5E0EEF36" w14:textId="77777777" w:rsidR="0034190F" w:rsidRPr="003A2146" w:rsidRDefault="0034190F">
      <w:pPr>
        <w:tabs>
          <w:tab w:val="left" w:pos="284"/>
        </w:tabs>
        <w:spacing w:line="360" w:lineRule="auto"/>
        <w:ind w:right="-787"/>
        <w:jc w:val="both"/>
        <w:rPr>
          <w:rFonts w:ascii="Palatino Linotype" w:eastAsia="Palatino Linotype" w:hAnsi="Palatino Linotype" w:cs="Palatino Linotype"/>
          <w:color w:val="000000"/>
        </w:rPr>
      </w:pPr>
    </w:p>
    <w:p w14:paraId="5E0EEF37"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lastRenderedPageBreak/>
        <w:t xml:space="preserve">Derivado de lo establecido en párrafos anteriores, si el </w:t>
      </w:r>
      <w:r w:rsidRPr="003A2146">
        <w:rPr>
          <w:rFonts w:ascii="Palatino Linotype" w:eastAsia="Palatino Linotype" w:hAnsi="Palatino Linotype" w:cs="Palatino Linotype"/>
          <w:b/>
        </w:rPr>
        <w:t>SUJETO OBLIGADO</w:t>
      </w:r>
      <w:r w:rsidRPr="003A2146">
        <w:rPr>
          <w:rFonts w:ascii="Palatino Linotype" w:eastAsia="Palatino Linotype" w:hAnsi="Palatino Linotype" w:cs="Palatino Linotype"/>
        </w:rPr>
        <w:t xml:space="preserve"> incumple con estas formalidades y entrega la información sin proteger los datos personales incumple con lo que estipula las disposiciones legales establecidas, asimismo que si entrega un documento testado sin el debido acuerdo de clasificación.</w:t>
      </w:r>
    </w:p>
    <w:p w14:paraId="5E0EEF38" w14:textId="77777777" w:rsidR="0034190F" w:rsidRPr="003A2146" w:rsidRDefault="0034190F">
      <w:pPr>
        <w:ind w:right="-787"/>
        <w:rPr>
          <w:rFonts w:ascii="Palatino Linotype" w:eastAsia="Palatino Linotype" w:hAnsi="Palatino Linotype" w:cs="Palatino Linotype"/>
          <w:color w:val="000000"/>
        </w:rPr>
      </w:pPr>
    </w:p>
    <w:p w14:paraId="5E0EEF39" w14:textId="77777777" w:rsidR="0034190F" w:rsidRPr="003A2146" w:rsidRDefault="005A1AAD">
      <w:pPr>
        <w:numPr>
          <w:ilvl w:val="0"/>
          <w:numId w:val="2"/>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3A2146">
        <w:rPr>
          <w:rFonts w:ascii="Palatino Linotype" w:eastAsia="Palatino Linotype" w:hAnsi="Palatino Linotype" w:cs="Palatino Linotype"/>
          <w:b/>
          <w:color w:val="000000"/>
          <w:u w:val="single"/>
        </w:rPr>
        <w:t xml:space="preserve">Conclusión </w:t>
      </w:r>
    </w:p>
    <w:p w14:paraId="5E0EEF3A" w14:textId="77777777" w:rsidR="0034190F" w:rsidRPr="003A2146" w:rsidRDefault="005A1AAD">
      <w:pPr>
        <w:numPr>
          <w:ilvl w:val="0"/>
          <w:numId w:val="1"/>
        </w:numPr>
        <w:spacing w:line="360" w:lineRule="auto"/>
        <w:ind w:left="0" w:right="-787" w:firstLine="0"/>
        <w:jc w:val="both"/>
      </w:pPr>
      <w:r w:rsidRPr="003A2146">
        <w:rPr>
          <w:rFonts w:ascii="Palatino Linotype" w:eastAsia="Palatino Linotype" w:hAnsi="Palatino Linotype" w:cs="Palatino Linotype"/>
        </w:rPr>
        <w:t>En consecuencia, se consideran fundadas las razones o motivos de inconformidad que plantea el</w:t>
      </w:r>
      <w:r w:rsidRPr="003A2146">
        <w:rPr>
          <w:rFonts w:ascii="Palatino Linotype" w:eastAsia="Palatino Linotype" w:hAnsi="Palatino Linotype" w:cs="Palatino Linotype"/>
          <w:b/>
        </w:rPr>
        <w:t xml:space="preserve"> RECURRENTE</w:t>
      </w:r>
      <w:r w:rsidRPr="003A2146">
        <w:rPr>
          <w:rFonts w:ascii="Palatino Linotype" w:eastAsia="Palatino Linotype" w:hAnsi="Palatino Linotype" w:cs="Palatino Linotype"/>
        </w:rPr>
        <w:t>.</w:t>
      </w:r>
    </w:p>
    <w:p w14:paraId="5E0EEF3B" w14:textId="77777777" w:rsidR="0034190F" w:rsidRPr="003A2146" w:rsidRDefault="0034190F">
      <w:pPr>
        <w:ind w:right="-787"/>
        <w:rPr>
          <w:rFonts w:ascii="Palatino Linotype" w:eastAsia="Palatino Linotype" w:hAnsi="Palatino Linotype" w:cs="Palatino Linotype"/>
          <w:color w:val="000000"/>
        </w:rPr>
      </w:pPr>
    </w:p>
    <w:p w14:paraId="5E0EEF3C" w14:textId="77777777" w:rsidR="0034190F" w:rsidRPr="003A2146" w:rsidRDefault="005A1AAD">
      <w:pPr>
        <w:numPr>
          <w:ilvl w:val="0"/>
          <w:numId w:val="1"/>
        </w:numPr>
        <w:spacing w:line="360" w:lineRule="auto"/>
        <w:ind w:left="0" w:right="-787" w:firstLine="0"/>
        <w:jc w:val="both"/>
        <w:rPr>
          <w:rFonts w:ascii="Palatino Linotype" w:eastAsia="Palatino Linotype" w:hAnsi="Palatino Linotype" w:cs="Palatino Linotype"/>
        </w:rPr>
      </w:pPr>
      <w:r w:rsidRPr="003A2146">
        <w:rPr>
          <w:rFonts w:ascii="Palatino Linotype" w:eastAsia="Palatino Linotype" w:hAnsi="Palatino Linotype" w:cs="Palatino Linotype"/>
          <w:color w:val="00000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de la Ley de Transparencia y Acceso a la Información Pública del Estado de México y Municipios, este </w:t>
      </w:r>
      <w:r w:rsidRPr="003A2146">
        <w:rPr>
          <w:rFonts w:ascii="Palatino Linotype" w:eastAsia="Palatino Linotype" w:hAnsi="Palatino Linotype" w:cs="Palatino Linotype"/>
          <w:b/>
          <w:color w:val="000000"/>
        </w:rPr>
        <w:t>ÓRGANO GARANTE</w:t>
      </w:r>
      <w:r w:rsidRPr="003A2146">
        <w:rPr>
          <w:rFonts w:ascii="Palatino Linotype" w:eastAsia="Palatino Linotype" w:hAnsi="Palatino Linotype" w:cs="Palatino Linotype"/>
          <w:color w:val="000000"/>
        </w:rPr>
        <w:t xml:space="preserve"> emite los siguientes</w:t>
      </w:r>
      <w:r w:rsidRPr="003A2146">
        <w:rPr>
          <w:rFonts w:ascii="Palatino Linotype" w:eastAsia="Palatino Linotype" w:hAnsi="Palatino Linotype" w:cs="Palatino Linotype"/>
          <w:color w:val="222222"/>
        </w:rPr>
        <w:t xml:space="preserve">: </w:t>
      </w:r>
    </w:p>
    <w:p w14:paraId="5E0EEF3E" w14:textId="77777777" w:rsidR="0034190F" w:rsidRPr="003A2146" w:rsidRDefault="0034190F" w:rsidP="003A2146">
      <w:pPr>
        <w:keepNext/>
        <w:keepLines/>
        <w:spacing w:line="360" w:lineRule="auto"/>
        <w:ind w:right="-787"/>
        <w:rPr>
          <w:rFonts w:ascii="Palatino Linotype" w:eastAsia="Palatino Linotype" w:hAnsi="Palatino Linotype" w:cs="Palatino Linotype"/>
          <w:b/>
          <w:color w:val="000000"/>
        </w:rPr>
      </w:pPr>
    </w:p>
    <w:p w14:paraId="5E0EEF3F" w14:textId="77777777" w:rsidR="0034190F" w:rsidRPr="003A2146" w:rsidRDefault="005A1AAD">
      <w:pPr>
        <w:keepNext/>
        <w:keepLines/>
        <w:spacing w:line="360" w:lineRule="auto"/>
        <w:ind w:right="-787"/>
        <w:jc w:val="center"/>
        <w:rPr>
          <w:rFonts w:ascii="Palatino Linotype" w:eastAsia="Palatino Linotype" w:hAnsi="Palatino Linotype" w:cs="Palatino Linotype"/>
          <w:b/>
          <w:color w:val="000000"/>
        </w:rPr>
      </w:pPr>
      <w:r w:rsidRPr="003A2146">
        <w:rPr>
          <w:rFonts w:ascii="Palatino Linotype" w:eastAsia="Palatino Linotype" w:hAnsi="Palatino Linotype" w:cs="Palatino Linotype"/>
          <w:b/>
          <w:color w:val="000000"/>
        </w:rPr>
        <w:t>R E S O L U T I V O S</w:t>
      </w:r>
    </w:p>
    <w:p w14:paraId="5E0EEF40" w14:textId="77777777" w:rsidR="0034190F" w:rsidRPr="003A2146" w:rsidRDefault="0034190F">
      <w:pPr>
        <w:ind w:right="-787"/>
        <w:rPr>
          <w:rFonts w:ascii="Palatino Linotype" w:eastAsia="Palatino Linotype" w:hAnsi="Palatino Linotype" w:cs="Palatino Linotype"/>
          <w:b/>
        </w:rPr>
      </w:pPr>
    </w:p>
    <w:p w14:paraId="5E0EEF41" w14:textId="77777777" w:rsidR="0034190F" w:rsidRPr="003A2146" w:rsidRDefault="005A1AAD">
      <w:pPr>
        <w:spacing w:line="360" w:lineRule="auto"/>
        <w:ind w:right="-787"/>
        <w:jc w:val="both"/>
        <w:rPr>
          <w:rFonts w:ascii="Palatino Linotype" w:eastAsia="Palatino Linotype" w:hAnsi="Palatino Linotype" w:cs="Palatino Linotype"/>
        </w:rPr>
      </w:pPr>
      <w:r w:rsidRPr="003A2146">
        <w:rPr>
          <w:rFonts w:ascii="Palatino Linotype" w:eastAsia="Palatino Linotype" w:hAnsi="Palatino Linotype" w:cs="Palatino Linotype"/>
          <w:b/>
        </w:rPr>
        <w:t xml:space="preserve">PRIMERO. </w:t>
      </w:r>
      <w:r w:rsidRPr="003A2146">
        <w:rPr>
          <w:rFonts w:ascii="Palatino Linotype" w:eastAsia="Palatino Linotype" w:hAnsi="Palatino Linotype" w:cs="Palatino Linotype"/>
        </w:rPr>
        <w:t>Resultan fundadas las</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rPr>
        <w:t>razones o motivos de inconformidad hechos valer en el Recurso de Revisión</w:t>
      </w:r>
      <w:r w:rsidRPr="003A2146">
        <w:rPr>
          <w:rFonts w:ascii="Palatino Linotype" w:eastAsia="Palatino Linotype" w:hAnsi="Palatino Linotype" w:cs="Palatino Linotype"/>
          <w:b/>
        </w:rPr>
        <w:t> </w:t>
      </w:r>
      <w:r w:rsidRPr="003A2146">
        <w:rPr>
          <w:rFonts w:ascii="Palatino Linotype" w:eastAsia="Palatino Linotype" w:hAnsi="Palatino Linotype" w:cs="Palatino Linotype"/>
          <w:b/>
          <w:color w:val="000000"/>
        </w:rPr>
        <w:t xml:space="preserve">02943/INFOEM/IP/RR/2024 </w:t>
      </w:r>
      <w:r w:rsidRPr="003A2146">
        <w:rPr>
          <w:rFonts w:ascii="Palatino Linotype" w:eastAsia="Palatino Linotype" w:hAnsi="Palatino Linotype" w:cs="Palatino Linotype"/>
        </w:rPr>
        <w:t xml:space="preserve">en términos del </w:t>
      </w:r>
      <w:r w:rsidRPr="003A2146">
        <w:rPr>
          <w:rFonts w:ascii="Palatino Linotype" w:eastAsia="Palatino Linotype" w:hAnsi="Palatino Linotype" w:cs="Palatino Linotype"/>
          <w:b/>
        </w:rPr>
        <w:t xml:space="preserve">Considerando CUARTO Y QUINTO </w:t>
      </w:r>
      <w:r w:rsidRPr="003A2146">
        <w:rPr>
          <w:rFonts w:ascii="Palatino Linotype" w:eastAsia="Palatino Linotype" w:hAnsi="Palatino Linotype" w:cs="Palatino Linotype"/>
        </w:rPr>
        <w:t>de la presente resolución.</w:t>
      </w:r>
    </w:p>
    <w:p w14:paraId="42BC9B0E" w14:textId="77777777" w:rsidR="009E37B3" w:rsidRPr="003A2146" w:rsidRDefault="009E37B3">
      <w:pPr>
        <w:spacing w:line="360" w:lineRule="auto"/>
        <w:ind w:right="-787"/>
        <w:jc w:val="both"/>
        <w:rPr>
          <w:rFonts w:ascii="Palatino Linotype" w:eastAsia="Palatino Linotype" w:hAnsi="Palatino Linotype" w:cs="Palatino Linotype"/>
        </w:rPr>
      </w:pPr>
    </w:p>
    <w:p w14:paraId="5E0EEF42" w14:textId="77777777" w:rsidR="0034190F" w:rsidRPr="003A2146" w:rsidRDefault="005A1AAD">
      <w:pPr>
        <w:spacing w:line="360" w:lineRule="auto"/>
        <w:ind w:right="-787"/>
        <w:jc w:val="both"/>
        <w:rPr>
          <w:rFonts w:ascii="Palatino Linotype" w:eastAsia="Palatino Linotype" w:hAnsi="Palatino Linotype" w:cs="Palatino Linotype"/>
        </w:rPr>
      </w:pPr>
      <w:bookmarkStart w:id="13" w:name="_heading=h.17dp8vu" w:colFirst="0" w:colLast="0"/>
      <w:bookmarkEnd w:id="13"/>
      <w:r w:rsidRPr="003A2146">
        <w:rPr>
          <w:rFonts w:ascii="Palatino Linotype" w:eastAsia="Palatino Linotype" w:hAnsi="Palatino Linotype" w:cs="Palatino Linotype"/>
          <w:b/>
        </w:rPr>
        <w:t>SEGUNDO.</w:t>
      </w:r>
      <w:r w:rsidRPr="003A2146">
        <w:rPr>
          <w:rFonts w:ascii="Palatino Linotype" w:eastAsia="Palatino Linotype" w:hAnsi="Palatino Linotype" w:cs="Palatino Linotype"/>
          <w:color w:val="2F5496"/>
        </w:rPr>
        <w:t xml:space="preserve"> </w:t>
      </w:r>
      <w:r w:rsidRPr="003A2146">
        <w:rPr>
          <w:rFonts w:ascii="Palatino Linotype" w:eastAsia="Palatino Linotype" w:hAnsi="Palatino Linotype" w:cs="Palatino Linotype"/>
          <w:color w:val="000000"/>
        </w:rPr>
        <w:t xml:space="preserve">Se </w:t>
      </w:r>
      <w:r w:rsidRPr="003A2146">
        <w:rPr>
          <w:rFonts w:ascii="Palatino Linotype" w:eastAsia="Palatino Linotype" w:hAnsi="Palatino Linotype" w:cs="Palatino Linotype"/>
          <w:b/>
          <w:color w:val="000000"/>
        </w:rPr>
        <w:t xml:space="preserve">MODIFICA </w:t>
      </w:r>
      <w:r w:rsidRPr="003A2146">
        <w:rPr>
          <w:rFonts w:ascii="Palatino Linotype" w:eastAsia="Palatino Linotype" w:hAnsi="Palatino Linotype" w:cs="Palatino Linotype"/>
          <w:color w:val="000000"/>
        </w:rPr>
        <w:t xml:space="preserve">la respuesta emitida por el </w:t>
      </w:r>
      <w:r w:rsidRPr="003A2146">
        <w:rPr>
          <w:rFonts w:ascii="Palatino Linotype" w:eastAsia="Palatino Linotype" w:hAnsi="Palatino Linotype" w:cs="Palatino Linotype"/>
          <w:b/>
        </w:rPr>
        <w:t>Ayuntamiento de Tultitlán</w:t>
      </w:r>
      <w:r w:rsidRPr="003A2146">
        <w:rPr>
          <w:rFonts w:ascii="Palatino Linotype" w:eastAsia="Palatino Linotype" w:hAnsi="Palatino Linotype" w:cs="Palatino Linotype"/>
          <w:b/>
          <w:color w:val="000000"/>
        </w:rPr>
        <w:t xml:space="preserve"> </w:t>
      </w:r>
      <w:r w:rsidRPr="003A2146">
        <w:rPr>
          <w:rFonts w:ascii="Palatino Linotype" w:eastAsia="Palatino Linotype" w:hAnsi="Palatino Linotype" w:cs="Palatino Linotype"/>
          <w:color w:val="000000"/>
        </w:rPr>
        <w:t xml:space="preserve">y se </w:t>
      </w:r>
      <w:r w:rsidRPr="003A2146">
        <w:rPr>
          <w:rFonts w:ascii="Palatino Linotype" w:eastAsia="Palatino Linotype" w:hAnsi="Palatino Linotype" w:cs="Palatino Linotype"/>
          <w:b/>
          <w:color w:val="000000"/>
        </w:rPr>
        <w:t>ORDENA</w:t>
      </w:r>
      <w:r w:rsidRPr="003A2146">
        <w:rPr>
          <w:rFonts w:ascii="Palatino Linotype" w:eastAsia="Palatino Linotype" w:hAnsi="Palatino Linotype" w:cs="Palatino Linotype"/>
          <w:color w:val="000000"/>
        </w:rPr>
        <w:t xml:space="preserve"> entregar previa búsqueda exhaustiva y razonable, vía Sistema de Acceso a la Información Mexiquense </w:t>
      </w:r>
      <w:r w:rsidRPr="003A2146">
        <w:rPr>
          <w:rFonts w:ascii="Palatino Linotype" w:eastAsia="Palatino Linotype" w:hAnsi="Palatino Linotype" w:cs="Palatino Linotype"/>
          <w:b/>
          <w:color w:val="000000"/>
        </w:rPr>
        <w:t>(SAIMEX)</w:t>
      </w:r>
      <w:r w:rsidRPr="003A2146">
        <w:rPr>
          <w:rFonts w:ascii="Palatino Linotype" w:eastAsia="Palatino Linotype" w:hAnsi="Palatino Linotype" w:cs="Palatino Linotype"/>
        </w:rPr>
        <w:t xml:space="preserve">, la siguiente información, en versión pública, </w:t>
      </w:r>
      <w:r w:rsidRPr="003A2146">
        <w:rPr>
          <w:rFonts w:ascii="Palatino Linotype" w:eastAsia="Palatino Linotype" w:hAnsi="Palatino Linotype" w:cs="Palatino Linotype"/>
          <w:b/>
        </w:rPr>
        <w:t>al dos de abril de dos mil veinticuatro</w:t>
      </w:r>
      <w:r w:rsidRPr="003A2146">
        <w:rPr>
          <w:rFonts w:ascii="Palatino Linotype" w:eastAsia="Palatino Linotype" w:hAnsi="Palatino Linotype" w:cs="Palatino Linotype"/>
        </w:rPr>
        <w:t>:</w:t>
      </w:r>
    </w:p>
    <w:p w14:paraId="5E0EEF44" w14:textId="77777777" w:rsidR="0034190F" w:rsidRPr="003A2146" w:rsidRDefault="005A1AAD">
      <w:pPr>
        <w:pBdr>
          <w:top w:val="nil"/>
          <w:left w:val="nil"/>
          <w:bottom w:val="nil"/>
          <w:right w:val="nil"/>
          <w:between w:val="nil"/>
        </w:pBdr>
        <w:spacing w:line="360" w:lineRule="auto"/>
        <w:ind w:left="851" w:right="-787"/>
        <w:jc w:val="both"/>
        <w:rPr>
          <w:rFonts w:ascii="Palatino Linotype" w:eastAsia="Palatino Linotype" w:hAnsi="Palatino Linotype" w:cs="Palatino Linotype"/>
          <w:b/>
          <w:color w:val="000000"/>
        </w:rPr>
      </w:pPr>
      <w:r w:rsidRPr="003A2146">
        <w:rPr>
          <w:rFonts w:ascii="Palatino Linotype" w:eastAsia="Palatino Linotype" w:hAnsi="Palatino Linotype" w:cs="Palatino Linotype"/>
          <w:b/>
          <w:color w:val="000000"/>
        </w:rPr>
        <w:lastRenderedPageBreak/>
        <w:t>Del inmueble referido en la solicitud de información:</w:t>
      </w:r>
    </w:p>
    <w:p w14:paraId="5E0EEF45" w14:textId="77777777" w:rsidR="0034190F" w:rsidRPr="003A2146" w:rsidRDefault="005A1AAD">
      <w:pPr>
        <w:numPr>
          <w:ilvl w:val="0"/>
          <w:numId w:val="4"/>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3A2146">
        <w:rPr>
          <w:rFonts w:ascii="Palatino Linotype" w:eastAsia="Palatino Linotype" w:hAnsi="Palatino Linotype" w:cs="Palatino Linotype"/>
          <w:b/>
          <w:color w:val="000000"/>
        </w:rPr>
        <w:t>Licencia de construcción.</w:t>
      </w:r>
    </w:p>
    <w:p w14:paraId="5E0EEF46" w14:textId="77777777" w:rsidR="0034190F" w:rsidRPr="003A2146" w:rsidRDefault="005A1AAD">
      <w:pPr>
        <w:numPr>
          <w:ilvl w:val="0"/>
          <w:numId w:val="4"/>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3A2146">
        <w:rPr>
          <w:rFonts w:ascii="Palatino Linotype" w:eastAsia="Palatino Linotype" w:hAnsi="Palatino Linotype" w:cs="Palatino Linotype"/>
          <w:b/>
          <w:color w:val="000000"/>
        </w:rPr>
        <w:t>Licencia de uso de suelo.</w:t>
      </w:r>
    </w:p>
    <w:p w14:paraId="5E0EEF47" w14:textId="77777777" w:rsidR="0034190F" w:rsidRPr="003A2146" w:rsidRDefault="005A1AAD">
      <w:pPr>
        <w:numPr>
          <w:ilvl w:val="0"/>
          <w:numId w:val="4"/>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3A2146">
        <w:rPr>
          <w:rFonts w:ascii="Palatino Linotype" w:eastAsia="Palatino Linotype" w:hAnsi="Palatino Linotype" w:cs="Palatino Linotype"/>
          <w:b/>
          <w:color w:val="000000"/>
        </w:rPr>
        <w:t>Constancia de alineamiento.</w:t>
      </w:r>
    </w:p>
    <w:p w14:paraId="5E0EEF48" w14:textId="77777777" w:rsidR="0034190F" w:rsidRPr="003A2146" w:rsidRDefault="005A1AAD">
      <w:pPr>
        <w:numPr>
          <w:ilvl w:val="0"/>
          <w:numId w:val="4"/>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3A2146">
        <w:rPr>
          <w:rFonts w:ascii="Palatino Linotype" w:eastAsia="Palatino Linotype" w:hAnsi="Palatino Linotype" w:cs="Palatino Linotype"/>
          <w:b/>
          <w:color w:val="000000"/>
        </w:rPr>
        <w:t>Documento en el que conste o se advierta visitas de supervisión e inspección de construcción.</w:t>
      </w:r>
    </w:p>
    <w:p w14:paraId="5E0EEF49" w14:textId="77777777" w:rsidR="0034190F" w:rsidRPr="003A2146" w:rsidRDefault="0034190F">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5E0EEF4A" w14:textId="77777777" w:rsidR="0034190F" w:rsidRPr="003A2146" w:rsidRDefault="005A1AAD">
      <w:pPr>
        <w:tabs>
          <w:tab w:val="left" w:pos="8080"/>
        </w:tabs>
        <w:spacing w:line="360" w:lineRule="auto"/>
        <w:ind w:left="426" w:right="-787"/>
        <w:jc w:val="both"/>
        <w:rPr>
          <w:rFonts w:ascii="Palatino Linotype" w:eastAsia="Palatino Linotype" w:hAnsi="Palatino Linotype" w:cs="Palatino Linotype"/>
          <w:b/>
        </w:rPr>
      </w:pPr>
      <w:r w:rsidRPr="003A2146">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3A2146">
        <w:rPr>
          <w:rFonts w:ascii="Palatino Linotype" w:eastAsia="Palatino Linotype" w:hAnsi="Palatino Linotype" w:cs="Palatino Linotype"/>
          <w:b/>
        </w:rPr>
        <w:t>RECURRENTE.</w:t>
      </w:r>
    </w:p>
    <w:p w14:paraId="5E0EEF4B" w14:textId="77777777" w:rsidR="0034190F" w:rsidRPr="003A2146" w:rsidRDefault="0034190F">
      <w:pPr>
        <w:tabs>
          <w:tab w:val="left" w:pos="8080"/>
        </w:tabs>
        <w:spacing w:line="360" w:lineRule="auto"/>
        <w:ind w:left="426" w:right="-787"/>
        <w:jc w:val="both"/>
        <w:rPr>
          <w:rFonts w:ascii="Palatino Linotype" w:eastAsia="Palatino Linotype" w:hAnsi="Palatino Linotype" w:cs="Palatino Linotype"/>
          <w:b/>
        </w:rPr>
      </w:pPr>
    </w:p>
    <w:p w14:paraId="5E0EEF4C" w14:textId="77777777" w:rsidR="0034190F" w:rsidRPr="003A2146" w:rsidRDefault="005A1AAD">
      <w:pPr>
        <w:tabs>
          <w:tab w:val="left" w:pos="8080"/>
        </w:tabs>
        <w:spacing w:line="360" w:lineRule="auto"/>
        <w:ind w:left="426" w:right="-787"/>
        <w:jc w:val="both"/>
        <w:rPr>
          <w:rFonts w:ascii="Palatino Linotype" w:eastAsia="Palatino Linotype" w:hAnsi="Palatino Linotype" w:cs="Palatino Linotype"/>
        </w:rPr>
      </w:pPr>
      <w:r w:rsidRPr="003A2146">
        <w:rPr>
          <w:rFonts w:ascii="Palatino Linotype" w:eastAsia="Palatino Linotype" w:hAnsi="Palatino Linotype" w:cs="Palatino Linotype"/>
        </w:rPr>
        <w:t xml:space="preserve">Para el caso de que el </w:t>
      </w:r>
      <w:r w:rsidRPr="003A2146">
        <w:rPr>
          <w:rFonts w:ascii="Palatino Linotype" w:eastAsia="Palatino Linotype" w:hAnsi="Palatino Linotype" w:cs="Palatino Linotype"/>
          <w:b/>
        </w:rPr>
        <w:t>SUJETO OBLIGADO</w:t>
      </w:r>
      <w:r w:rsidRPr="003A2146">
        <w:rPr>
          <w:rFonts w:ascii="Palatino Linotype" w:eastAsia="Palatino Linotype" w:hAnsi="Palatino Linotype" w:cs="Palatino Linotype"/>
        </w:rPr>
        <w:t xml:space="preserve">, luego de una búsqueda exhaustiva y razonable no localice la información ordenada en el presente resolutivo, bastará que lo haga del conocimiento del </w:t>
      </w:r>
      <w:r w:rsidRPr="003A2146">
        <w:rPr>
          <w:rFonts w:ascii="Palatino Linotype" w:eastAsia="Palatino Linotype" w:hAnsi="Palatino Linotype" w:cs="Palatino Linotype"/>
          <w:b/>
        </w:rPr>
        <w:t>RECURRENTE</w:t>
      </w:r>
      <w:r w:rsidRPr="003A2146">
        <w:rPr>
          <w:rFonts w:ascii="Palatino Linotype" w:eastAsia="Palatino Linotype" w:hAnsi="Palatino Linotype" w:cs="Palatino Linotype"/>
        </w:rPr>
        <w:t xml:space="preserve"> en términos del artículo 19, párrafo segundo, de la Ley de Transparencia y Acceso a la Información Pública del Estado de México y Municipios.</w:t>
      </w:r>
    </w:p>
    <w:p w14:paraId="0EB96EE4" w14:textId="77777777" w:rsidR="00C25F48" w:rsidRPr="003A2146" w:rsidRDefault="00C25F48">
      <w:pPr>
        <w:tabs>
          <w:tab w:val="left" w:pos="8080"/>
        </w:tabs>
        <w:spacing w:line="360" w:lineRule="auto"/>
        <w:ind w:left="426" w:right="-787"/>
        <w:jc w:val="both"/>
        <w:rPr>
          <w:rFonts w:ascii="Palatino Linotype" w:eastAsia="Palatino Linotype" w:hAnsi="Palatino Linotype" w:cs="Palatino Linotype"/>
          <w:b/>
        </w:rPr>
      </w:pPr>
    </w:p>
    <w:p w14:paraId="5E0EEF4D" w14:textId="77777777" w:rsidR="0034190F" w:rsidRPr="003A2146" w:rsidRDefault="005A1AAD">
      <w:pPr>
        <w:tabs>
          <w:tab w:val="left" w:pos="8080"/>
        </w:tabs>
        <w:spacing w:line="360" w:lineRule="auto"/>
        <w:ind w:right="-787"/>
        <w:jc w:val="both"/>
        <w:rPr>
          <w:rFonts w:ascii="Palatino Linotype" w:eastAsia="Palatino Linotype" w:hAnsi="Palatino Linotype" w:cs="Palatino Linotype"/>
        </w:rPr>
      </w:pPr>
      <w:r w:rsidRPr="003A2146">
        <w:rPr>
          <w:rFonts w:ascii="Palatino Linotype" w:eastAsia="Palatino Linotype" w:hAnsi="Palatino Linotype" w:cs="Palatino Linotype"/>
          <w:b/>
        </w:rPr>
        <w:t xml:space="preserve">TERCERO. </w:t>
      </w:r>
      <w:r w:rsidRPr="003A2146">
        <w:rPr>
          <w:rFonts w:ascii="Palatino Linotype" w:eastAsia="Palatino Linotype" w:hAnsi="Palatino Linotype" w:cs="Palatino Linotype"/>
          <w:b/>
          <w:color w:val="000000"/>
        </w:rPr>
        <w:t>Notifíquese</w:t>
      </w:r>
      <w:r w:rsidRPr="003A2146">
        <w:rPr>
          <w:rFonts w:ascii="Palatino Linotype" w:eastAsia="Palatino Linotype" w:hAnsi="Palatino Linotype" w:cs="Palatino Linotype"/>
          <w:color w:val="000000"/>
        </w:rPr>
        <w:t xml:space="preserve"> al </w:t>
      </w:r>
      <w:r w:rsidRPr="003A2146">
        <w:rPr>
          <w:rFonts w:ascii="Palatino Linotype" w:eastAsia="Palatino Linotype" w:hAnsi="Palatino Linotype" w:cs="Palatino Linotype"/>
          <w:color w:val="222222"/>
        </w:rPr>
        <w:t xml:space="preserve">Titular de la Unidad de Transparencia del </w:t>
      </w:r>
      <w:r w:rsidRPr="003A2146">
        <w:rPr>
          <w:rFonts w:ascii="Palatino Linotype" w:eastAsia="Palatino Linotype" w:hAnsi="Palatino Linotype" w:cs="Palatino Linotype"/>
          <w:b/>
          <w:color w:val="222222"/>
        </w:rPr>
        <w:t>SUJETO OBLIGADO</w:t>
      </w:r>
      <w:r w:rsidRPr="003A2146">
        <w:rPr>
          <w:rFonts w:ascii="Palatino Linotype" w:eastAsia="Palatino Linotype" w:hAnsi="Palatino Linotype" w:cs="Palatino Linotype"/>
          <w:color w:val="222222"/>
        </w:rPr>
        <w:t xml:space="preserve">, vía SAIMEX, la presente resolución, para que conforme al artículo 186 último párrafo, 189 segundo párrafo y 194 de la Ley de Transparencia y Acceso a la Información Pública del Estado de México y Municipios </w:t>
      </w:r>
      <w:r w:rsidRPr="003A2146">
        <w:rPr>
          <w:rFonts w:ascii="Palatino Linotype" w:eastAsia="Palatino Linotype" w:hAnsi="Palatino Linotype" w:cs="Palatino Linotype"/>
          <w:b/>
          <w:color w:val="222222"/>
        </w:rPr>
        <w:t xml:space="preserve">de cumplimiento a lo ordenado dentro del plazo de diez </w:t>
      </w:r>
      <w:r w:rsidRPr="003A2146">
        <w:rPr>
          <w:rFonts w:ascii="Palatino Linotype" w:eastAsia="Palatino Linotype" w:hAnsi="Palatino Linotype" w:cs="Palatino Linotype"/>
          <w:b/>
          <w:color w:val="222222"/>
        </w:rPr>
        <w:lastRenderedPageBreak/>
        <w:t>días hábiles,</w:t>
      </w:r>
      <w:r w:rsidRPr="003A2146">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3A2146">
        <w:rPr>
          <w:rFonts w:ascii="Palatino Linotype" w:eastAsia="Palatino Linotype" w:hAnsi="Palatino Linotype" w:cs="Palatino Linotype"/>
        </w:rPr>
        <w:t>.</w:t>
      </w:r>
    </w:p>
    <w:p w14:paraId="5E0EEF4E" w14:textId="77777777" w:rsidR="0034190F" w:rsidRPr="003A2146" w:rsidRDefault="0034190F">
      <w:pPr>
        <w:tabs>
          <w:tab w:val="left" w:pos="8080"/>
        </w:tabs>
        <w:spacing w:line="360" w:lineRule="auto"/>
        <w:ind w:right="-787"/>
        <w:jc w:val="both"/>
        <w:rPr>
          <w:rFonts w:ascii="Palatino Linotype" w:eastAsia="Palatino Linotype" w:hAnsi="Palatino Linotype" w:cs="Palatino Linotype"/>
        </w:rPr>
      </w:pPr>
    </w:p>
    <w:p w14:paraId="5E0EEF4F" w14:textId="77777777" w:rsidR="0034190F" w:rsidRPr="003A2146" w:rsidRDefault="005A1AAD">
      <w:pPr>
        <w:spacing w:line="360" w:lineRule="auto"/>
        <w:ind w:right="-787"/>
        <w:jc w:val="both"/>
        <w:rPr>
          <w:rFonts w:ascii="Palatino Linotype" w:eastAsia="Palatino Linotype" w:hAnsi="Palatino Linotype" w:cs="Palatino Linotype"/>
        </w:rPr>
      </w:pPr>
      <w:r w:rsidRPr="003A2146">
        <w:rPr>
          <w:rFonts w:ascii="Palatino Linotype" w:eastAsia="Palatino Linotype" w:hAnsi="Palatino Linotype" w:cs="Palatino Linotype"/>
          <w:b/>
        </w:rPr>
        <w:t xml:space="preserve">CUARTO. </w:t>
      </w:r>
      <w:r w:rsidRPr="003A2146">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3A2146">
        <w:rPr>
          <w:rFonts w:ascii="Palatino Linotype" w:eastAsia="Palatino Linotype" w:hAnsi="Palatino Linotype" w:cs="Palatino Linotype"/>
          <w:b/>
        </w:rPr>
        <w:t>SUJETO OBLIGADO</w:t>
      </w:r>
      <w:r w:rsidRPr="003A2146">
        <w:rPr>
          <w:rFonts w:ascii="Palatino Linotype" w:eastAsia="Palatino Linotype" w:hAnsi="Palatino Linotype" w:cs="Palatino Linotype"/>
        </w:rPr>
        <w:t xml:space="preserve"> de manera fundada y motivada, podrá solicitar una ampliación de plazo para el cumplimiento de la presente resolución.</w:t>
      </w:r>
    </w:p>
    <w:p w14:paraId="5E0EEF50" w14:textId="77777777" w:rsidR="0034190F" w:rsidRPr="003A2146" w:rsidRDefault="0034190F">
      <w:pPr>
        <w:shd w:val="clear" w:color="auto" w:fill="FFFFFF"/>
        <w:spacing w:line="360" w:lineRule="auto"/>
        <w:ind w:right="-787"/>
        <w:jc w:val="both"/>
        <w:rPr>
          <w:rFonts w:ascii="Palatino Linotype" w:eastAsia="Palatino Linotype" w:hAnsi="Palatino Linotype" w:cs="Palatino Linotype"/>
          <w:b/>
        </w:rPr>
      </w:pPr>
    </w:p>
    <w:p w14:paraId="5E0EEF51" w14:textId="77777777" w:rsidR="0034190F" w:rsidRPr="003A2146" w:rsidRDefault="005A1AAD">
      <w:pPr>
        <w:shd w:val="clear" w:color="auto" w:fill="FFFFFF"/>
        <w:spacing w:line="360" w:lineRule="auto"/>
        <w:ind w:right="-787"/>
        <w:jc w:val="both"/>
        <w:rPr>
          <w:rFonts w:ascii="Palatino Linotype" w:eastAsia="Palatino Linotype" w:hAnsi="Palatino Linotype" w:cs="Palatino Linotype"/>
        </w:rPr>
      </w:pPr>
      <w:r w:rsidRPr="003A2146">
        <w:rPr>
          <w:rFonts w:ascii="Palatino Linotype" w:eastAsia="Palatino Linotype" w:hAnsi="Palatino Linotype" w:cs="Palatino Linotype"/>
          <w:b/>
        </w:rPr>
        <w:t xml:space="preserve">QUINTO. </w:t>
      </w:r>
      <w:r w:rsidRPr="003A2146">
        <w:rPr>
          <w:rFonts w:ascii="Palatino Linotype" w:eastAsia="Palatino Linotype" w:hAnsi="Palatino Linotype" w:cs="Palatino Linotype"/>
        </w:rPr>
        <w:t xml:space="preserve">Notifíquese al </w:t>
      </w:r>
      <w:r w:rsidRPr="003A2146">
        <w:rPr>
          <w:rFonts w:ascii="Palatino Linotype" w:eastAsia="Palatino Linotype" w:hAnsi="Palatino Linotype" w:cs="Palatino Linotype"/>
          <w:b/>
        </w:rPr>
        <w:t xml:space="preserve">RECURRENTE </w:t>
      </w:r>
      <w:r w:rsidRPr="003A2146">
        <w:rPr>
          <w:rFonts w:ascii="Palatino Linotype" w:eastAsia="Palatino Linotype" w:hAnsi="Palatino Linotype" w:cs="Palatino Linotype"/>
        </w:rPr>
        <w:t>la presente resolución vía Sistema de Acceso a Información Mexiquense (SAIMEX)</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rPr>
        <w:t>y se hace de su conocimiento</w:t>
      </w:r>
      <w:r w:rsidRPr="003A2146">
        <w:rPr>
          <w:rFonts w:ascii="Palatino Linotype" w:eastAsia="Palatino Linotype" w:hAnsi="Palatino Linotype" w:cs="Palatino Linotype"/>
          <w:b/>
        </w:rPr>
        <w:t xml:space="preserve"> </w:t>
      </w:r>
      <w:r w:rsidRPr="003A2146">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5E0EEF52" w14:textId="77777777" w:rsidR="0034190F" w:rsidRPr="003A2146" w:rsidRDefault="0034190F">
      <w:pPr>
        <w:spacing w:line="360" w:lineRule="auto"/>
        <w:ind w:right="-787"/>
        <w:jc w:val="both"/>
        <w:rPr>
          <w:rFonts w:ascii="Palatino Linotype" w:eastAsia="Palatino Linotype" w:hAnsi="Palatino Linotype" w:cs="Palatino Linotype"/>
          <w:b/>
        </w:rPr>
      </w:pPr>
    </w:p>
    <w:p w14:paraId="253EB82D" w14:textId="77777777" w:rsidR="005A1AAD" w:rsidRDefault="005A1AAD" w:rsidP="003A2146">
      <w:pPr>
        <w:spacing w:line="276" w:lineRule="auto"/>
        <w:ind w:left="-142" w:right="-595" w:firstLine="1"/>
        <w:jc w:val="both"/>
        <w:rPr>
          <w:rFonts w:ascii="Palatino Linotype" w:hAnsi="Palatino Linotype"/>
        </w:rPr>
      </w:pPr>
      <w:bookmarkStart w:id="14" w:name="_heading=h.4d34og8" w:colFirst="0" w:colLast="0"/>
      <w:bookmarkStart w:id="15" w:name="_Hlk192106016"/>
      <w:bookmarkEnd w:id="14"/>
      <w:r w:rsidRPr="003A214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SEIS (06) DE MARZO DE DOS MIL VEINTICINCO, ANTE EL SECRETARIO TÉCNICO DEL PLENO ALEXIS TAPIA RAMÍREZ.</w:t>
      </w:r>
      <w:r w:rsidRPr="008B02EE">
        <w:rPr>
          <w:rFonts w:ascii="Palatino Linotype" w:hAnsi="Palatino Linotype"/>
        </w:rPr>
        <w:t xml:space="preserve"> </w:t>
      </w:r>
    </w:p>
    <w:p w14:paraId="4E138B5D" w14:textId="77777777" w:rsidR="003A2146" w:rsidRDefault="003A2146" w:rsidP="003A2146">
      <w:pPr>
        <w:spacing w:line="276" w:lineRule="auto"/>
        <w:ind w:left="-142" w:right="-595" w:firstLine="1"/>
        <w:jc w:val="both"/>
        <w:rPr>
          <w:rFonts w:ascii="Palatino Linotype" w:hAnsi="Palatino Linotype"/>
        </w:rPr>
      </w:pPr>
    </w:p>
    <w:p w14:paraId="2AD3E120" w14:textId="77777777" w:rsidR="003A2146" w:rsidRPr="008B02EE" w:rsidRDefault="003A2146" w:rsidP="003A2146">
      <w:pPr>
        <w:spacing w:line="276" w:lineRule="auto"/>
        <w:ind w:left="-142" w:right="-595" w:firstLine="1"/>
        <w:jc w:val="both"/>
        <w:rPr>
          <w:rFonts w:ascii="Palatino Linotype" w:hAnsi="Palatino Linotype"/>
        </w:rPr>
      </w:pPr>
    </w:p>
    <w:bookmarkEnd w:id="15"/>
    <w:p w14:paraId="5E0EEF54" w14:textId="77777777" w:rsidR="0034190F" w:rsidRDefault="0034190F">
      <w:pPr>
        <w:spacing w:before="240" w:after="240" w:line="360" w:lineRule="auto"/>
        <w:ind w:right="-787"/>
        <w:jc w:val="both"/>
        <w:rPr>
          <w:rFonts w:ascii="Palatino Linotype" w:eastAsia="Palatino Linotype" w:hAnsi="Palatino Linotype" w:cs="Palatino Linotype"/>
        </w:rPr>
      </w:pPr>
    </w:p>
    <w:sectPr w:rsidR="0034190F">
      <w:headerReference w:type="even" r:id="rId19"/>
      <w:headerReference w:type="default" r:id="rId20"/>
      <w:footerReference w:type="default" r:id="rId21"/>
      <w:headerReference w:type="first" r:id="rId22"/>
      <w:footerReference w:type="first" r:id="rId23"/>
      <w:pgSz w:w="12240" w:h="15840"/>
      <w:pgMar w:top="2268" w:right="1615"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AE24FB" w14:textId="77777777" w:rsidR="00B9396C" w:rsidRDefault="00B9396C">
      <w:r>
        <w:separator/>
      </w:r>
    </w:p>
  </w:endnote>
  <w:endnote w:type="continuationSeparator" w:id="0">
    <w:p w14:paraId="1B1F0514" w14:textId="77777777" w:rsidR="00B9396C" w:rsidRDefault="00B93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BCC7833E-4235-406C-965E-817ED7D8F74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FFB1576-C533-4DFB-8269-FD2147E175E1}"/>
    <w:embedBold r:id="rId3" w:fontKey="{2DEFD98F-5856-4FE4-9590-BB69FC201594}"/>
    <w:embedItalic r:id="rId4" w:fontKey="{14E0D565-4032-4C64-A60D-64C0D2C8E800}"/>
    <w:embedBoldItalic r:id="rId5" w:fontKey="{1F73F2D1-8914-4496-87DF-6CA043F3A59C}"/>
  </w:font>
  <w:font w:name="Calibri">
    <w:panose1 w:val="020F0502020204030204"/>
    <w:charset w:val="00"/>
    <w:family w:val="swiss"/>
    <w:pitch w:val="variable"/>
    <w:sig w:usb0="E4002EFF" w:usb1="C200247B" w:usb2="00000009" w:usb3="00000000" w:csb0="000001FF" w:csb1="00000000"/>
    <w:embedRegular r:id="rId6" w:fontKey="{83DD56F3-5480-4451-A2CB-117E61A14D68}"/>
    <w:embedBold r:id="rId7" w:fontKey="{D93C278A-E416-4513-972E-105EE40F6A4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1C1A3F13-A5FA-4CBB-9A63-C11A8CE05488}"/>
  </w:font>
  <w:font w:name="Georgia">
    <w:panose1 w:val="02040502050405020303"/>
    <w:charset w:val="00"/>
    <w:family w:val="roman"/>
    <w:pitch w:val="variable"/>
    <w:sig w:usb0="00000287" w:usb1="00000000" w:usb2="00000000" w:usb3="00000000" w:csb0="0000009F" w:csb1="00000000"/>
    <w:embedRegular r:id="rId9" w:fontKey="{211C6BEE-55AD-4457-8195-E0B79FED679A}"/>
    <w:embedItalic r:id="rId10" w:fontKey="{DF4C77CD-E72B-4A55-8C3E-7F17E7D7CA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EEF6D" w14:textId="12C9CCD0" w:rsidR="0034190F" w:rsidRDefault="005A1AA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207EF">
      <w:rPr>
        <w:rFonts w:ascii="Palatino Linotype" w:eastAsia="Palatino Linotype" w:hAnsi="Palatino Linotype" w:cs="Palatino Linotype"/>
        <w:noProof/>
        <w:color w:val="000000"/>
        <w:sz w:val="20"/>
        <w:szCs w:val="20"/>
      </w:rPr>
      <w:t>44</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207EF">
      <w:rPr>
        <w:rFonts w:ascii="Palatino Linotype" w:eastAsia="Palatino Linotype" w:hAnsi="Palatino Linotype" w:cs="Palatino Linotype"/>
        <w:noProof/>
        <w:color w:val="000000"/>
        <w:sz w:val="20"/>
        <w:szCs w:val="20"/>
      </w:rPr>
      <w:t>44</w:t>
    </w:r>
    <w:r>
      <w:rPr>
        <w:rFonts w:ascii="Palatino Linotype" w:eastAsia="Palatino Linotype" w:hAnsi="Palatino Linotype" w:cs="Palatino Linotype"/>
        <w:color w:val="000000"/>
        <w:sz w:val="20"/>
        <w:szCs w:val="20"/>
      </w:rPr>
      <w:fldChar w:fldCharType="end"/>
    </w:r>
  </w:p>
  <w:p w14:paraId="5E0EEF6E" w14:textId="77777777" w:rsidR="0034190F" w:rsidRDefault="0034190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EEF7D" w14:textId="6E2FDBDE" w:rsidR="0034190F" w:rsidRDefault="005A1AA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207EF">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207EF">
      <w:rPr>
        <w:rFonts w:ascii="Palatino Linotype" w:eastAsia="Palatino Linotype" w:hAnsi="Palatino Linotype" w:cs="Palatino Linotype"/>
        <w:noProof/>
        <w:color w:val="000000"/>
        <w:sz w:val="20"/>
        <w:szCs w:val="20"/>
      </w:rPr>
      <w:t>44</w:t>
    </w:r>
    <w:r>
      <w:rPr>
        <w:rFonts w:ascii="Palatino Linotype" w:eastAsia="Palatino Linotype" w:hAnsi="Palatino Linotype" w:cs="Palatino Linotype"/>
        <w:color w:val="000000"/>
        <w:sz w:val="20"/>
        <w:szCs w:val="20"/>
      </w:rPr>
      <w:fldChar w:fldCharType="end"/>
    </w:r>
  </w:p>
  <w:p w14:paraId="5E0EEF7E" w14:textId="77777777" w:rsidR="0034190F" w:rsidRDefault="0034190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CC82D" w14:textId="77777777" w:rsidR="00B9396C" w:rsidRDefault="00B9396C">
      <w:r>
        <w:separator/>
      </w:r>
    </w:p>
  </w:footnote>
  <w:footnote w:type="continuationSeparator" w:id="0">
    <w:p w14:paraId="2F4FA68C" w14:textId="77777777" w:rsidR="00B9396C" w:rsidRDefault="00B9396C">
      <w:r>
        <w:continuationSeparator/>
      </w:r>
    </w:p>
  </w:footnote>
  <w:footnote w:id="1">
    <w:p w14:paraId="5E0EEF82" w14:textId="77777777" w:rsidR="0034190F" w:rsidRDefault="005A1AA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 xml:space="preserve">BURGOA ORIHUELA Ignacio. </w:t>
      </w:r>
      <w:r>
        <w:rPr>
          <w:rFonts w:ascii="Palatino Linotype" w:eastAsia="Palatino Linotype" w:hAnsi="Palatino Linotype" w:cs="Palatino Linotype"/>
          <w:i/>
          <w:color w:val="000000"/>
          <w:sz w:val="16"/>
          <w:szCs w:val="16"/>
        </w:rPr>
        <w:t>Diccionario De Derecho Constitucional, Garantías y Amparo</w:t>
      </w:r>
      <w:r>
        <w:rPr>
          <w:rFonts w:ascii="Palatino Linotype" w:eastAsia="Palatino Linotype" w:hAnsi="Palatino Linotype" w:cs="Palatino Linotype"/>
          <w:color w:val="000000"/>
          <w:sz w:val="16"/>
          <w:szCs w:val="16"/>
        </w:rPr>
        <w:t>. Ed. Porrúa, S.A., México. 1992. p. 115.</w:t>
      </w:r>
    </w:p>
  </w:footnote>
  <w:footnote w:id="2">
    <w:p w14:paraId="5E0EEF83" w14:textId="77777777" w:rsidR="0034190F" w:rsidRDefault="005A1AA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 xml:space="preserve">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 xml:space="preserve">Ed. Instituto de Investigaciones </w:t>
      </w:r>
      <w:r>
        <w:rPr>
          <w:rFonts w:ascii="Palatino Linotype" w:eastAsia="Palatino Linotype" w:hAnsi="Palatino Linotype" w:cs="Palatino Linotype"/>
          <w:sz w:val="16"/>
          <w:szCs w:val="16"/>
        </w:rPr>
        <w:t>Jurídicas</w:t>
      </w:r>
      <w:r>
        <w:rPr>
          <w:rFonts w:ascii="Palatino Linotype" w:eastAsia="Palatino Linotype" w:hAnsi="Palatino Linotype" w:cs="Palatino Linotype"/>
          <w:color w:val="000000"/>
          <w:sz w:val="16"/>
          <w:szCs w:val="16"/>
        </w:rPr>
        <w:t xml:space="preserve"> UNAM. México 2004. p. 31</w:t>
      </w:r>
    </w:p>
  </w:footnote>
  <w:footnote w:id="3">
    <w:p w14:paraId="5E0EEF84" w14:textId="77777777" w:rsidR="0034190F" w:rsidRDefault="005A1AA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 xml:space="preserve">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EEF61" w14:textId="77777777" w:rsidR="0034190F" w:rsidRDefault="00B9396C">
    <w:pPr>
      <w:pBdr>
        <w:top w:val="nil"/>
        <w:left w:val="nil"/>
        <w:bottom w:val="nil"/>
        <w:right w:val="nil"/>
        <w:between w:val="nil"/>
      </w:pBdr>
      <w:tabs>
        <w:tab w:val="center" w:pos="4419"/>
        <w:tab w:val="right" w:pos="8838"/>
      </w:tabs>
      <w:rPr>
        <w:color w:val="000000"/>
      </w:rPr>
    </w:pPr>
    <w:r>
      <w:rPr>
        <w:color w:val="000000"/>
      </w:rPr>
      <w:pict w14:anchorId="5E0EEF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EEF62" w14:textId="77777777" w:rsidR="0034190F" w:rsidRDefault="0034190F">
    <w:pPr>
      <w:widowControl w:val="0"/>
      <w:pBdr>
        <w:top w:val="nil"/>
        <w:left w:val="nil"/>
        <w:bottom w:val="nil"/>
        <w:right w:val="nil"/>
        <w:between w:val="nil"/>
      </w:pBdr>
      <w:spacing w:line="276" w:lineRule="auto"/>
      <w:rPr>
        <w:color w:val="000000"/>
      </w:rPr>
    </w:pPr>
  </w:p>
  <w:tbl>
    <w:tblPr>
      <w:tblStyle w:val="aa"/>
      <w:tblW w:w="7890" w:type="dxa"/>
      <w:tblInd w:w="2552" w:type="dxa"/>
      <w:tblLayout w:type="fixed"/>
      <w:tblLook w:val="0400" w:firstRow="0" w:lastRow="0" w:firstColumn="0" w:lastColumn="0" w:noHBand="0" w:noVBand="1"/>
    </w:tblPr>
    <w:tblGrid>
      <w:gridCol w:w="3744"/>
      <w:gridCol w:w="4146"/>
    </w:tblGrid>
    <w:tr w:rsidR="0034190F" w14:paraId="5E0EEF65" w14:textId="77777777">
      <w:trPr>
        <w:trHeight w:val="281"/>
      </w:trPr>
      <w:tc>
        <w:tcPr>
          <w:tcW w:w="3744" w:type="dxa"/>
          <w:vAlign w:val="center"/>
        </w:tcPr>
        <w:p w14:paraId="5E0EEF63" w14:textId="77777777" w:rsidR="0034190F" w:rsidRDefault="005A1AAD">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46" w:type="dxa"/>
          <w:vAlign w:val="center"/>
        </w:tcPr>
        <w:p w14:paraId="5E0EEF64" w14:textId="77777777" w:rsidR="0034190F" w:rsidRDefault="005A1AAD">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02943/INFOEM/IP/RR/2024</w:t>
          </w:r>
        </w:p>
      </w:tc>
    </w:tr>
    <w:tr w:rsidR="0034190F" w14:paraId="5E0EEF68" w14:textId="77777777">
      <w:trPr>
        <w:trHeight w:val="342"/>
      </w:trPr>
      <w:tc>
        <w:tcPr>
          <w:tcW w:w="3744" w:type="dxa"/>
        </w:tcPr>
        <w:p w14:paraId="5E0EEF66" w14:textId="77777777" w:rsidR="0034190F" w:rsidRDefault="005A1AAD">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46" w:type="dxa"/>
          <w:vAlign w:val="center"/>
        </w:tcPr>
        <w:p w14:paraId="5E0EEF67" w14:textId="77777777" w:rsidR="0034190F" w:rsidRDefault="005A1AAD">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Tultitlán</w:t>
          </w:r>
        </w:p>
      </w:tc>
    </w:tr>
    <w:tr w:rsidR="0034190F" w14:paraId="5E0EEF6B" w14:textId="77777777">
      <w:trPr>
        <w:trHeight w:val="342"/>
      </w:trPr>
      <w:tc>
        <w:tcPr>
          <w:tcW w:w="3744" w:type="dxa"/>
          <w:vAlign w:val="center"/>
        </w:tcPr>
        <w:p w14:paraId="5E0EEF69" w14:textId="77777777" w:rsidR="0034190F" w:rsidRDefault="005A1AAD">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46" w:type="dxa"/>
          <w:vAlign w:val="center"/>
        </w:tcPr>
        <w:p w14:paraId="5E0EEF6A" w14:textId="77777777" w:rsidR="0034190F" w:rsidRDefault="005A1AAD">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5E0EEF6C" w14:textId="77777777" w:rsidR="0034190F" w:rsidRDefault="00B9396C">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5E0EE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EEF6F" w14:textId="77777777" w:rsidR="0034190F" w:rsidRDefault="0034190F">
    <w:pPr>
      <w:widowControl w:val="0"/>
      <w:pBdr>
        <w:top w:val="nil"/>
        <w:left w:val="nil"/>
        <w:bottom w:val="nil"/>
        <w:right w:val="nil"/>
        <w:between w:val="nil"/>
      </w:pBdr>
      <w:spacing w:line="276" w:lineRule="auto"/>
      <w:rPr>
        <w:color w:val="000000"/>
        <w:sz w:val="14"/>
        <w:szCs w:val="14"/>
      </w:rPr>
    </w:pPr>
  </w:p>
  <w:tbl>
    <w:tblPr>
      <w:tblStyle w:val="ab"/>
      <w:tblW w:w="7890" w:type="dxa"/>
      <w:tblInd w:w="2552" w:type="dxa"/>
      <w:tblLayout w:type="fixed"/>
      <w:tblLook w:val="0400" w:firstRow="0" w:lastRow="0" w:firstColumn="0" w:lastColumn="0" w:noHBand="0" w:noVBand="1"/>
    </w:tblPr>
    <w:tblGrid>
      <w:gridCol w:w="3744"/>
      <w:gridCol w:w="4146"/>
    </w:tblGrid>
    <w:tr w:rsidR="0034190F" w14:paraId="5E0EEF72" w14:textId="77777777">
      <w:trPr>
        <w:trHeight w:val="281"/>
      </w:trPr>
      <w:tc>
        <w:tcPr>
          <w:tcW w:w="3744" w:type="dxa"/>
          <w:vAlign w:val="center"/>
        </w:tcPr>
        <w:p w14:paraId="5E0EEF70" w14:textId="77777777" w:rsidR="0034190F" w:rsidRDefault="005A1AAD">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46" w:type="dxa"/>
          <w:vAlign w:val="center"/>
        </w:tcPr>
        <w:p w14:paraId="5E0EEF71" w14:textId="77777777" w:rsidR="0034190F" w:rsidRDefault="005A1AAD">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02943/INFOEM/IP/RR/2024</w:t>
          </w:r>
        </w:p>
      </w:tc>
    </w:tr>
    <w:tr w:rsidR="0034190F" w14:paraId="5E0EEF75" w14:textId="77777777">
      <w:trPr>
        <w:trHeight w:val="242"/>
      </w:trPr>
      <w:tc>
        <w:tcPr>
          <w:tcW w:w="3744" w:type="dxa"/>
          <w:vAlign w:val="center"/>
        </w:tcPr>
        <w:p w14:paraId="5E0EEF73" w14:textId="77777777" w:rsidR="0034190F" w:rsidRDefault="005A1AAD">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46" w:type="dxa"/>
        </w:tcPr>
        <w:p w14:paraId="5E0EEF74" w14:textId="04363ADF" w:rsidR="0034190F" w:rsidRDefault="00A207EF">
          <w:pPr>
            <w:pBdr>
              <w:top w:val="nil"/>
              <w:left w:val="nil"/>
              <w:bottom w:val="nil"/>
              <w:right w:val="nil"/>
              <w:between w:val="nil"/>
            </w:pBdr>
            <w:tabs>
              <w:tab w:val="right" w:pos="8838"/>
              <w:tab w:val="left" w:pos="521"/>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XXXX</w:t>
          </w:r>
        </w:p>
      </w:tc>
    </w:tr>
    <w:tr w:rsidR="0034190F" w14:paraId="5E0EEF78" w14:textId="77777777">
      <w:trPr>
        <w:trHeight w:val="342"/>
      </w:trPr>
      <w:tc>
        <w:tcPr>
          <w:tcW w:w="3744" w:type="dxa"/>
        </w:tcPr>
        <w:p w14:paraId="5E0EEF76" w14:textId="77777777" w:rsidR="0034190F" w:rsidRDefault="005A1AAD">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46" w:type="dxa"/>
          <w:vAlign w:val="center"/>
        </w:tcPr>
        <w:p w14:paraId="5E0EEF77" w14:textId="77777777" w:rsidR="0034190F" w:rsidRDefault="005A1AAD">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Tultitlán</w:t>
          </w:r>
        </w:p>
      </w:tc>
    </w:tr>
    <w:tr w:rsidR="0034190F" w14:paraId="5E0EEF7B" w14:textId="77777777">
      <w:trPr>
        <w:trHeight w:val="342"/>
      </w:trPr>
      <w:tc>
        <w:tcPr>
          <w:tcW w:w="3744" w:type="dxa"/>
          <w:vAlign w:val="center"/>
        </w:tcPr>
        <w:p w14:paraId="5E0EEF79" w14:textId="77777777" w:rsidR="0034190F" w:rsidRDefault="005A1AAD">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46" w:type="dxa"/>
          <w:vAlign w:val="center"/>
        </w:tcPr>
        <w:p w14:paraId="5E0EEF7A" w14:textId="77777777" w:rsidR="0034190F" w:rsidRDefault="005A1AAD">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5E0EEF7C" w14:textId="77777777" w:rsidR="0034190F" w:rsidRDefault="00B9396C">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5E0EE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681D6F"/>
    <w:multiLevelType w:val="multilevel"/>
    <w:tmpl w:val="E63E7A3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8931095"/>
    <w:multiLevelType w:val="multilevel"/>
    <w:tmpl w:val="B47CA2B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D55925"/>
    <w:multiLevelType w:val="multilevel"/>
    <w:tmpl w:val="5D9486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5775677D"/>
    <w:multiLevelType w:val="multilevel"/>
    <w:tmpl w:val="FFDAFED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5A1060EE"/>
    <w:multiLevelType w:val="multilevel"/>
    <w:tmpl w:val="B11AA44A"/>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 w15:restartNumberingAfterBreak="0">
    <w:nsid w:val="5BB60FAA"/>
    <w:multiLevelType w:val="multilevel"/>
    <w:tmpl w:val="2C2E3EB6"/>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6" w15:restartNumberingAfterBreak="0">
    <w:nsid w:val="61B9447D"/>
    <w:multiLevelType w:val="multilevel"/>
    <w:tmpl w:val="5120AE6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 w15:restartNumberingAfterBreak="0">
    <w:nsid w:val="7DB30074"/>
    <w:multiLevelType w:val="multilevel"/>
    <w:tmpl w:val="36FCC83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2"/>
  </w:num>
  <w:num w:numId="3">
    <w:abstractNumId w:val="1"/>
  </w:num>
  <w:num w:numId="4">
    <w:abstractNumId w:val="4"/>
  </w:num>
  <w:num w:numId="5">
    <w:abstractNumId w:val="5"/>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90F"/>
    <w:rsid w:val="001E049C"/>
    <w:rsid w:val="0034190F"/>
    <w:rsid w:val="003A2146"/>
    <w:rsid w:val="00431845"/>
    <w:rsid w:val="005A1AAD"/>
    <w:rsid w:val="0074652B"/>
    <w:rsid w:val="009E37B3"/>
    <w:rsid w:val="00A207EF"/>
    <w:rsid w:val="00B9396C"/>
    <w:rsid w:val="00C25F48"/>
    <w:rsid w:val="00FD5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0EED57"/>
  <w15:docId w15:val="{55A09906-8FA2-42D3-BB16-62AB4754A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C21"/>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character" w:styleId="Textoennegrita">
    <w:name w:val="Strong"/>
    <w:basedOn w:val="Fuentedeprrafopredeter"/>
    <w:uiPriority w:val="22"/>
    <w:qFormat/>
    <w:rsid w:val="007F0536"/>
    <w:rPr>
      <w:b/>
      <w:bCs/>
    </w:rPr>
  </w:style>
  <w:style w:type="paragraph" w:styleId="NormalWeb">
    <w:name w:val="Normal (Web)"/>
    <w:basedOn w:val="Normal"/>
    <w:uiPriority w:val="99"/>
    <w:semiHidden/>
    <w:unhideWhenUsed/>
    <w:rsid w:val="007F0536"/>
    <w:rPr>
      <w:rFonts w:ascii="Times New Roman" w:hAnsi="Times New Roman" w:cs="Times New Roman"/>
    </w:r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character" w:styleId="Hipervnculovisitado">
    <w:name w:val="FollowedHyperlink"/>
    <w:basedOn w:val="Fuentedeprrafopredeter"/>
    <w:uiPriority w:val="99"/>
    <w:semiHidden/>
    <w:unhideWhenUsed/>
    <w:rsid w:val="0089389D"/>
    <w:rPr>
      <w:color w:val="954F72" w:themeColor="followedHyperlink"/>
      <w:u w:val="single"/>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pomex.org.mx/ipo3/lgt/portal.web"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3/lgt/portal.web"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s://ipomex.org.mx/ipo3/lgt/portal.web"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pomex.org.mx/ipo3/lgt/portal.web" TargetMode="External"/><Relationship Id="rId14" Type="http://schemas.openxmlformats.org/officeDocument/2006/relationships/hyperlink" Target="https://ipomex.org.mx/ipo3/lgt/portal.web"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cQDsrqMFQcW2QtrAPwSPJTe9Ig==">CgMxLjAyCGguZ2pkZ3hzMgloLjMwajB6bGwyCWguMWZvYjl0ZTIJaC4zem55c2g3Mg5oLmpqOXZncjh5bmp2ODIOaC5laWZsODZ4czI1aXgyDmguNWVrZTFib3dqenlsMgloLjJldDkycDAyCGgudHlqY3d0MgloLjNkeTZ2a20yCWguMXQzaDVzZjIJaC4yczhleW8xMgloLjE3ZHA4dnUyCWguNGQzNG9nODIJaC40ZDM0b2c4OAByITFrVlBMTzJWbEZjU2JITTZjZlN2U0hDWmtuV0xGcVN0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44</Pages>
  <Words>10866</Words>
  <Characters>59766</Characters>
  <Application>Microsoft Office Word</Application>
  <DocSecurity>0</DocSecurity>
  <Lines>498</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8</cp:revision>
  <cp:lastPrinted>2025-03-07T18:41:00Z</cp:lastPrinted>
  <dcterms:created xsi:type="dcterms:W3CDTF">2025-02-26T01:04:00Z</dcterms:created>
  <dcterms:modified xsi:type="dcterms:W3CDTF">2025-03-31T18:50:00Z</dcterms:modified>
</cp:coreProperties>
</file>