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0254208" w:displacedByCustomXml="next"/>
    <w:sdt>
      <w:sdtPr>
        <w:rPr>
          <w:rFonts w:ascii="Palatino Linotype" w:eastAsia="Times New Roman" w:hAnsi="Palatino Linotype" w:cs="Times New Roman"/>
          <w:color w:val="FF0000"/>
          <w:sz w:val="20"/>
          <w:szCs w:val="20"/>
          <w:lang w:val="es-ES" w:eastAsia="es-ES"/>
        </w:rPr>
        <w:id w:val="-260844837"/>
        <w:docPartObj>
          <w:docPartGallery w:val="Table of Contents"/>
          <w:docPartUnique/>
        </w:docPartObj>
      </w:sdtPr>
      <w:sdtEndPr>
        <w:rPr>
          <w:rFonts w:eastAsiaTheme="minorHAnsi" w:cstheme="minorBidi"/>
          <w:sz w:val="22"/>
          <w:szCs w:val="22"/>
          <w:lang w:eastAsia="en-US"/>
        </w:rPr>
      </w:sdtEndPr>
      <w:sdtContent>
        <w:p w14:paraId="54C5A517" w14:textId="20D955A0" w:rsidR="00076681" w:rsidRPr="00886AB4" w:rsidRDefault="00076681" w:rsidP="009E63EC">
          <w:pPr>
            <w:pStyle w:val="TtulodeTDC"/>
            <w:spacing w:before="0" w:line="360" w:lineRule="auto"/>
            <w:jc w:val="center"/>
            <w:rPr>
              <w:rFonts w:ascii="Palatino Linotype" w:hAnsi="Palatino Linotype"/>
              <w:color w:val="auto"/>
              <w:sz w:val="22"/>
              <w:szCs w:val="22"/>
              <w:lang w:val="es-ES"/>
            </w:rPr>
          </w:pPr>
          <w:r w:rsidRPr="00886AB4">
            <w:rPr>
              <w:rFonts w:ascii="Palatino Linotype" w:hAnsi="Palatino Linotype"/>
              <w:color w:val="auto"/>
              <w:sz w:val="22"/>
              <w:szCs w:val="22"/>
              <w:lang w:val="es-ES"/>
            </w:rPr>
            <w:t xml:space="preserve">RESOLUCIÓN DEL RECURSO DE REVISIÓN </w:t>
          </w:r>
          <w:r w:rsidR="001E6A18" w:rsidRPr="00886AB4">
            <w:rPr>
              <w:rFonts w:ascii="Palatino Linotype" w:hAnsi="Palatino Linotype"/>
              <w:color w:val="auto"/>
              <w:sz w:val="22"/>
              <w:szCs w:val="22"/>
              <w:lang w:val="es-ES"/>
            </w:rPr>
            <w:t>0</w:t>
          </w:r>
          <w:r w:rsidR="00886AB4" w:rsidRPr="00886AB4">
            <w:rPr>
              <w:rFonts w:ascii="Palatino Linotype" w:hAnsi="Palatino Linotype"/>
              <w:color w:val="auto"/>
              <w:sz w:val="22"/>
              <w:szCs w:val="22"/>
              <w:lang w:val="es-ES"/>
            </w:rPr>
            <w:t>6061</w:t>
          </w:r>
          <w:r w:rsidR="007F316D" w:rsidRPr="00886AB4">
            <w:rPr>
              <w:rFonts w:ascii="Palatino Linotype" w:hAnsi="Palatino Linotype"/>
              <w:color w:val="auto"/>
              <w:sz w:val="22"/>
              <w:szCs w:val="22"/>
              <w:lang w:val="es-ES"/>
            </w:rPr>
            <w:t>/INFOEM/IP/RR/2025</w:t>
          </w:r>
          <w:r w:rsidR="001E6A18" w:rsidRPr="00886AB4">
            <w:rPr>
              <w:rFonts w:ascii="Palatino Linotype" w:hAnsi="Palatino Linotype"/>
              <w:color w:val="auto"/>
              <w:sz w:val="22"/>
              <w:szCs w:val="22"/>
              <w:lang w:val="es-ES"/>
            </w:rPr>
            <w:t xml:space="preserve"> </w:t>
          </w:r>
        </w:p>
        <w:p w14:paraId="1B47BA6A" w14:textId="77777777" w:rsidR="00786505" w:rsidRPr="00F960C7" w:rsidRDefault="00786505" w:rsidP="009E63EC">
          <w:pPr>
            <w:spacing w:after="0" w:line="360" w:lineRule="auto"/>
            <w:rPr>
              <w:color w:val="FF0000"/>
              <w:lang w:val="es-ES" w:eastAsia="es-MX"/>
            </w:rPr>
          </w:pPr>
        </w:p>
        <w:p w14:paraId="5AD1888F" w14:textId="7B36C51A" w:rsidR="00F960C7" w:rsidRPr="00F960C7" w:rsidRDefault="00076681">
          <w:pPr>
            <w:pStyle w:val="TDC1"/>
            <w:rPr>
              <w:rFonts w:asciiTheme="minorHAnsi" w:eastAsiaTheme="minorEastAsia" w:hAnsiTheme="minorHAnsi" w:cstheme="minorBidi"/>
              <w:noProof/>
              <w:sz w:val="22"/>
              <w:szCs w:val="22"/>
              <w:lang w:eastAsia="es-MX"/>
            </w:rPr>
          </w:pPr>
          <w:r w:rsidRPr="00F960C7">
            <w:rPr>
              <w:rFonts w:ascii="Palatino Linotype" w:hAnsi="Palatino Linotype"/>
              <w:color w:val="FF0000"/>
              <w:sz w:val="22"/>
              <w:szCs w:val="22"/>
            </w:rPr>
            <w:fldChar w:fldCharType="begin"/>
          </w:r>
          <w:r w:rsidRPr="00F960C7">
            <w:rPr>
              <w:rFonts w:ascii="Palatino Linotype" w:hAnsi="Palatino Linotype"/>
              <w:color w:val="FF0000"/>
              <w:sz w:val="22"/>
              <w:szCs w:val="22"/>
            </w:rPr>
            <w:instrText xml:space="preserve"> TOC \o "1-3" \h \z \u </w:instrText>
          </w:r>
          <w:r w:rsidRPr="00F960C7">
            <w:rPr>
              <w:rFonts w:ascii="Palatino Linotype" w:hAnsi="Palatino Linotype"/>
              <w:color w:val="FF0000"/>
              <w:sz w:val="22"/>
              <w:szCs w:val="22"/>
            </w:rPr>
            <w:fldChar w:fldCharType="separate"/>
          </w:r>
          <w:hyperlink w:anchor="_Toc205469911" w:history="1">
            <w:r w:rsidR="00F960C7" w:rsidRPr="00F960C7">
              <w:rPr>
                <w:rStyle w:val="Hipervnculo"/>
                <w:rFonts w:ascii="Palatino Linotype" w:hAnsi="Palatino Linotype"/>
                <w:noProof/>
              </w:rPr>
              <w:t>A N T E C E D E N T E S</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_Toc205469911 \h </w:instrText>
            </w:r>
            <w:r w:rsidR="00F960C7" w:rsidRPr="00F960C7">
              <w:rPr>
                <w:noProof/>
                <w:webHidden/>
              </w:rPr>
            </w:r>
            <w:r w:rsidR="00F960C7" w:rsidRPr="00F960C7">
              <w:rPr>
                <w:noProof/>
                <w:webHidden/>
              </w:rPr>
              <w:fldChar w:fldCharType="separate"/>
            </w:r>
            <w:r w:rsidR="001E3995">
              <w:rPr>
                <w:noProof/>
                <w:webHidden/>
              </w:rPr>
              <w:t>2</w:t>
            </w:r>
            <w:r w:rsidR="00F960C7" w:rsidRPr="00F960C7">
              <w:rPr>
                <w:noProof/>
                <w:webHidden/>
              </w:rPr>
              <w:fldChar w:fldCharType="end"/>
            </w:r>
          </w:hyperlink>
        </w:p>
        <w:p w14:paraId="3370BD80" w14:textId="1B4569A4"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2" w:history="1">
            <w:r w:rsidR="00F960C7" w:rsidRPr="00F960C7">
              <w:rPr>
                <w:rStyle w:val="Hipervnculo"/>
                <w:rFonts w:ascii="Palatino Linotype" w:eastAsia="Calibri" w:hAnsi="Palatino Linotype"/>
                <w:noProof/>
                <w:lang w:val="es-ES"/>
              </w:rPr>
              <w:t>I. Presentación de las solicitudes de información</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_Toc205469912 \h </w:instrText>
            </w:r>
            <w:r w:rsidR="00F960C7" w:rsidRPr="00F960C7">
              <w:rPr>
                <w:noProof/>
                <w:webHidden/>
              </w:rPr>
            </w:r>
            <w:r w:rsidR="00F960C7" w:rsidRPr="00F960C7">
              <w:rPr>
                <w:noProof/>
                <w:webHidden/>
              </w:rPr>
              <w:fldChar w:fldCharType="separate"/>
            </w:r>
            <w:r w:rsidR="001E3995">
              <w:rPr>
                <w:noProof/>
                <w:webHidden/>
              </w:rPr>
              <w:t>2</w:t>
            </w:r>
            <w:r w:rsidR="00F960C7" w:rsidRPr="00F960C7">
              <w:rPr>
                <w:noProof/>
                <w:webHidden/>
              </w:rPr>
              <w:fldChar w:fldCharType="end"/>
            </w:r>
          </w:hyperlink>
        </w:p>
        <w:p w14:paraId="0722B264" w14:textId="035576A7"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3" w:history="1">
            <w:r w:rsidR="00F960C7" w:rsidRPr="00F960C7">
              <w:rPr>
                <w:rStyle w:val="Hipervnculo"/>
                <w:rFonts w:ascii="Palatino Linotype" w:eastAsia="Calibri" w:hAnsi="Palatino Linotype"/>
                <w:noProof/>
              </w:rPr>
              <w:t>II. Respuesta del Sujeto Obligado</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_Toc205469913 \h </w:instrText>
            </w:r>
            <w:r w:rsidR="00F960C7" w:rsidRPr="00F960C7">
              <w:rPr>
                <w:noProof/>
                <w:webHidden/>
              </w:rPr>
            </w:r>
            <w:r w:rsidR="00F960C7" w:rsidRPr="00F960C7">
              <w:rPr>
                <w:noProof/>
                <w:webHidden/>
              </w:rPr>
              <w:fldChar w:fldCharType="separate"/>
            </w:r>
            <w:r w:rsidR="001E3995">
              <w:rPr>
                <w:noProof/>
                <w:webHidden/>
              </w:rPr>
              <w:t>3</w:t>
            </w:r>
            <w:r w:rsidR="00F960C7" w:rsidRPr="00F960C7">
              <w:rPr>
                <w:noProof/>
                <w:webHidden/>
              </w:rPr>
              <w:fldChar w:fldCharType="end"/>
            </w:r>
          </w:hyperlink>
        </w:p>
        <w:p w14:paraId="59226677" w14:textId="51C2D34D"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4" w:history="1">
            <w:r w:rsidR="00F960C7" w:rsidRPr="00F960C7">
              <w:rPr>
                <w:rStyle w:val="Hipervnculo"/>
                <w:rFonts w:eastAsia="Palatino Linotype" w:cs="Palatino Linotype"/>
                <w:noProof/>
                <w:lang w:eastAsia="es-MX"/>
              </w:rPr>
              <w:t>III. Interposición del Recurso de Revisión</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_Toc205469914 \h </w:instrText>
            </w:r>
            <w:r w:rsidR="00F960C7" w:rsidRPr="00F960C7">
              <w:rPr>
                <w:noProof/>
                <w:webHidden/>
              </w:rPr>
            </w:r>
            <w:r w:rsidR="00F960C7" w:rsidRPr="00F960C7">
              <w:rPr>
                <w:noProof/>
                <w:webHidden/>
              </w:rPr>
              <w:fldChar w:fldCharType="separate"/>
            </w:r>
            <w:r w:rsidR="001E3995">
              <w:rPr>
                <w:noProof/>
                <w:webHidden/>
              </w:rPr>
              <w:t>4</w:t>
            </w:r>
            <w:r w:rsidR="00F960C7" w:rsidRPr="00F960C7">
              <w:rPr>
                <w:noProof/>
                <w:webHidden/>
              </w:rPr>
              <w:fldChar w:fldCharType="end"/>
            </w:r>
          </w:hyperlink>
        </w:p>
        <w:p w14:paraId="17C1CFA8" w14:textId="09418AA1"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5" w:history="1">
            <w:r w:rsidR="00F960C7" w:rsidRPr="00F960C7">
              <w:rPr>
                <w:rStyle w:val="Hipervnculo"/>
                <w:rFonts w:eastAsia="Palatino Linotype" w:cs="Palatino Linotype"/>
                <w:noProof/>
                <w:lang w:eastAsia="es-MX"/>
              </w:rPr>
              <w:t>IV. Trámite del Recurso de Revisión ante este Instituto</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_Toc205469915 \h </w:instrText>
            </w:r>
            <w:r w:rsidR="00F960C7" w:rsidRPr="00F960C7">
              <w:rPr>
                <w:noProof/>
                <w:webHidden/>
              </w:rPr>
            </w:r>
            <w:r w:rsidR="00F960C7" w:rsidRPr="00F960C7">
              <w:rPr>
                <w:noProof/>
                <w:webHidden/>
              </w:rPr>
              <w:fldChar w:fldCharType="separate"/>
            </w:r>
            <w:r w:rsidR="001E3995">
              <w:rPr>
                <w:noProof/>
                <w:webHidden/>
              </w:rPr>
              <w:t>5</w:t>
            </w:r>
            <w:r w:rsidR="00F960C7" w:rsidRPr="00F960C7">
              <w:rPr>
                <w:noProof/>
                <w:webHidden/>
              </w:rPr>
              <w:fldChar w:fldCharType="end"/>
            </w:r>
          </w:hyperlink>
        </w:p>
        <w:p w14:paraId="01480D24" w14:textId="0D07ED39" w:rsidR="00F960C7" w:rsidRPr="00F960C7" w:rsidRDefault="00DB5068">
          <w:pPr>
            <w:pStyle w:val="TDC1"/>
            <w:rPr>
              <w:rFonts w:asciiTheme="minorHAnsi" w:eastAsiaTheme="minorEastAsia" w:hAnsiTheme="minorHAnsi" w:cstheme="minorBidi"/>
              <w:noProof/>
              <w:sz w:val="22"/>
              <w:szCs w:val="22"/>
              <w:lang w:eastAsia="es-MX"/>
            </w:rPr>
          </w:pPr>
          <w:hyperlink w:anchor="_Toc205469916" w:history="1">
            <w:r w:rsidR="00F960C7" w:rsidRPr="00F960C7">
              <w:rPr>
                <w:rStyle w:val="Hipervnculo"/>
                <w:rFonts w:eastAsia="Palatino Linotype" w:cs="Palatino Linotype"/>
                <w:noProof/>
                <w:lang w:eastAsia="es-MX"/>
              </w:rPr>
              <w:t>C O N S I D E R A N D O S</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_Toc205469916 \h </w:instrText>
            </w:r>
            <w:r w:rsidR="00F960C7" w:rsidRPr="00F960C7">
              <w:rPr>
                <w:noProof/>
                <w:webHidden/>
              </w:rPr>
            </w:r>
            <w:r w:rsidR="00F960C7" w:rsidRPr="00F960C7">
              <w:rPr>
                <w:noProof/>
                <w:webHidden/>
              </w:rPr>
              <w:fldChar w:fldCharType="separate"/>
            </w:r>
            <w:r w:rsidR="001E3995">
              <w:rPr>
                <w:noProof/>
                <w:webHidden/>
              </w:rPr>
              <w:t>7</w:t>
            </w:r>
            <w:r w:rsidR="00F960C7" w:rsidRPr="00F960C7">
              <w:rPr>
                <w:noProof/>
                <w:webHidden/>
              </w:rPr>
              <w:fldChar w:fldCharType="end"/>
            </w:r>
          </w:hyperlink>
        </w:p>
        <w:p w14:paraId="442CDEE4" w14:textId="03453FD3"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7" w:history="1">
            <w:r w:rsidR="00F960C7" w:rsidRPr="00F960C7">
              <w:rPr>
                <w:rStyle w:val="Hipervnculo"/>
                <w:rFonts w:ascii="Palatino Linotype" w:eastAsia="Calibri" w:hAnsi="Palatino Linotype"/>
                <w:noProof/>
                <w:lang w:val="es-ES" w:eastAsia="es-MX"/>
              </w:rPr>
              <w:t xml:space="preserve">PRIMERO. </w:t>
            </w:r>
            <w:r w:rsidR="00F960C7" w:rsidRPr="00F960C7">
              <w:rPr>
                <w:rStyle w:val="Hipervnculo"/>
                <w:rFonts w:ascii="Palatino Linotype" w:hAnsi="Palatino Linotype"/>
                <w:noProof/>
                <w:lang w:val="es-ES"/>
              </w:rPr>
              <w:t>Competencia</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_Toc205469917 \h </w:instrText>
            </w:r>
            <w:r w:rsidR="00F960C7" w:rsidRPr="00F960C7">
              <w:rPr>
                <w:noProof/>
                <w:webHidden/>
              </w:rPr>
            </w:r>
            <w:r w:rsidR="00F960C7" w:rsidRPr="00F960C7">
              <w:rPr>
                <w:noProof/>
                <w:webHidden/>
              </w:rPr>
              <w:fldChar w:fldCharType="separate"/>
            </w:r>
            <w:r w:rsidR="001E3995">
              <w:rPr>
                <w:noProof/>
                <w:webHidden/>
              </w:rPr>
              <w:t>7</w:t>
            </w:r>
            <w:r w:rsidR="00F960C7" w:rsidRPr="00F960C7">
              <w:rPr>
                <w:noProof/>
                <w:webHidden/>
              </w:rPr>
              <w:fldChar w:fldCharType="end"/>
            </w:r>
          </w:hyperlink>
        </w:p>
        <w:p w14:paraId="086FAF3E" w14:textId="40E29D08"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8" w:history="1">
            <w:r w:rsidR="00F960C7" w:rsidRPr="00F960C7">
              <w:rPr>
                <w:rStyle w:val="Hipervnculo"/>
                <w:rFonts w:ascii="Palatino Linotype" w:eastAsia="Calibri" w:hAnsi="Palatino Linotype"/>
                <w:noProof/>
                <w:lang w:val="es-ES" w:eastAsia="es-MX"/>
              </w:rPr>
              <w:t xml:space="preserve">SEGUNDO. </w:t>
            </w:r>
            <w:r w:rsidR="00F960C7" w:rsidRPr="00F960C7">
              <w:rPr>
                <w:rStyle w:val="Hipervnculo"/>
                <w:rFonts w:ascii="Palatino Linotype" w:hAnsi="Palatino Linotype"/>
                <w:noProof/>
                <w:lang w:val="es-ES"/>
              </w:rPr>
              <w:t>Causales de improcedencia y sobreseimiento</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_Toc205469918 \h </w:instrText>
            </w:r>
            <w:r w:rsidR="00F960C7" w:rsidRPr="00F960C7">
              <w:rPr>
                <w:noProof/>
                <w:webHidden/>
              </w:rPr>
            </w:r>
            <w:r w:rsidR="00F960C7" w:rsidRPr="00F960C7">
              <w:rPr>
                <w:noProof/>
                <w:webHidden/>
              </w:rPr>
              <w:fldChar w:fldCharType="separate"/>
            </w:r>
            <w:r w:rsidR="001E3995">
              <w:rPr>
                <w:noProof/>
                <w:webHidden/>
              </w:rPr>
              <w:t>7</w:t>
            </w:r>
            <w:r w:rsidR="00F960C7" w:rsidRPr="00F960C7">
              <w:rPr>
                <w:noProof/>
                <w:webHidden/>
              </w:rPr>
              <w:fldChar w:fldCharType="end"/>
            </w:r>
          </w:hyperlink>
        </w:p>
        <w:p w14:paraId="3FA2975E" w14:textId="69520181"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19" w:history="1">
            <w:r w:rsidR="00F960C7" w:rsidRPr="00F960C7">
              <w:rPr>
                <w:rStyle w:val="Hipervnculo"/>
                <w:rFonts w:ascii="Palatino Linotype" w:hAnsi="Palatino Linotype"/>
                <w:noProof/>
                <w:lang w:val="es-ES"/>
              </w:rPr>
              <w:t>TERCERO. Determinación de la Controversia</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_Toc205469919 \h </w:instrText>
            </w:r>
            <w:r w:rsidR="00F960C7" w:rsidRPr="00F960C7">
              <w:rPr>
                <w:noProof/>
                <w:webHidden/>
              </w:rPr>
            </w:r>
            <w:r w:rsidR="00F960C7" w:rsidRPr="00F960C7">
              <w:rPr>
                <w:noProof/>
                <w:webHidden/>
              </w:rPr>
              <w:fldChar w:fldCharType="separate"/>
            </w:r>
            <w:r w:rsidR="001E3995">
              <w:rPr>
                <w:noProof/>
                <w:webHidden/>
              </w:rPr>
              <w:t>9</w:t>
            </w:r>
            <w:r w:rsidR="00F960C7" w:rsidRPr="00F960C7">
              <w:rPr>
                <w:noProof/>
                <w:webHidden/>
              </w:rPr>
              <w:fldChar w:fldCharType="end"/>
            </w:r>
          </w:hyperlink>
        </w:p>
        <w:p w14:paraId="5B95D3AE" w14:textId="392AFA49"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20" w:history="1">
            <w:r w:rsidR="00F960C7" w:rsidRPr="00F960C7">
              <w:rPr>
                <w:rStyle w:val="Hipervnculo"/>
                <w:rFonts w:ascii="Palatino Linotype" w:hAnsi="Palatino Linotype"/>
                <w:noProof/>
                <w:lang w:val="es-ES"/>
              </w:rPr>
              <w:t xml:space="preserve">CUARTO. </w:t>
            </w:r>
            <w:r w:rsidR="00F960C7" w:rsidRPr="00F960C7">
              <w:rPr>
                <w:rStyle w:val="Hipervnculo"/>
                <w:rFonts w:ascii="Palatino Linotype" w:hAnsi="Palatino Linotype"/>
                <w:noProof/>
              </w:rPr>
              <w:t>Marco normativo aplicable en materia de transparencia y acceso a la información pública</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_Toc205469920 \h </w:instrText>
            </w:r>
            <w:r w:rsidR="00F960C7" w:rsidRPr="00F960C7">
              <w:rPr>
                <w:noProof/>
                <w:webHidden/>
              </w:rPr>
            </w:r>
            <w:r w:rsidR="00F960C7" w:rsidRPr="00F960C7">
              <w:rPr>
                <w:noProof/>
                <w:webHidden/>
              </w:rPr>
              <w:fldChar w:fldCharType="separate"/>
            </w:r>
            <w:r w:rsidR="001E3995">
              <w:rPr>
                <w:noProof/>
                <w:webHidden/>
              </w:rPr>
              <w:t>10</w:t>
            </w:r>
            <w:r w:rsidR="00F960C7" w:rsidRPr="00F960C7">
              <w:rPr>
                <w:noProof/>
                <w:webHidden/>
              </w:rPr>
              <w:fldChar w:fldCharType="end"/>
            </w:r>
          </w:hyperlink>
        </w:p>
        <w:p w14:paraId="1DE68E95" w14:textId="1D5ECEDB"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21" w:history="1">
            <w:r w:rsidR="00F960C7" w:rsidRPr="00F960C7">
              <w:rPr>
                <w:rStyle w:val="Hipervnculo"/>
                <w:rFonts w:ascii="Palatino Linotype" w:hAnsi="Palatino Linotype"/>
                <w:noProof/>
                <w:lang w:val="es-ES"/>
              </w:rPr>
              <w:t>QUINTO. Estudio de Fondo</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_Toc205469921 \h </w:instrText>
            </w:r>
            <w:r w:rsidR="00F960C7" w:rsidRPr="00F960C7">
              <w:rPr>
                <w:noProof/>
                <w:webHidden/>
              </w:rPr>
            </w:r>
            <w:r w:rsidR="00F960C7" w:rsidRPr="00F960C7">
              <w:rPr>
                <w:noProof/>
                <w:webHidden/>
              </w:rPr>
              <w:fldChar w:fldCharType="separate"/>
            </w:r>
            <w:r w:rsidR="001E3995">
              <w:rPr>
                <w:noProof/>
                <w:webHidden/>
              </w:rPr>
              <w:t>11</w:t>
            </w:r>
            <w:r w:rsidR="00F960C7" w:rsidRPr="00F960C7">
              <w:rPr>
                <w:noProof/>
                <w:webHidden/>
              </w:rPr>
              <w:fldChar w:fldCharType="end"/>
            </w:r>
          </w:hyperlink>
        </w:p>
        <w:p w14:paraId="30F8B1D6" w14:textId="7E595D3A" w:rsidR="00F960C7" w:rsidRPr="00F960C7" w:rsidRDefault="00DB5068">
          <w:pPr>
            <w:pStyle w:val="TDC2"/>
            <w:tabs>
              <w:tab w:val="right" w:leader="dot" w:pos="8921"/>
            </w:tabs>
            <w:rPr>
              <w:rFonts w:asciiTheme="minorHAnsi" w:eastAsiaTheme="minorEastAsia" w:hAnsiTheme="minorHAnsi" w:cstheme="minorBidi"/>
              <w:noProof/>
              <w:sz w:val="22"/>
              <w:szCs w:val="22"/>
              <w:lang w:eastAsia="es-MX"/>
            </w:rPr>
          </w:pPr>
          <w:hyperlink w:anchor="_Toc205469922" w:history="1">
            <w:r w:rsidR="00F960C7" w:rsidRPr="00F960C7">
              <w:rPr>
                <w:rStyle w:val="Hipervnculo"/>
                <w:rFonts w:ascii="Palatino Linotype" w:eastAsia="Calibri" w:hAnsi="Palatino Linotype"/>
                <w:noProof/>
              </w:rPr>
              <w:t>SEXTO. Decisión</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_Toc205469922 \h </w:instrText>
            </w:r>
            <w:r w:rsidR="00F960C7" w:rsidRPr="00F960C7">
              <w:rPr>
                <w:noProof/>
                <w:webHidden/>
              </w:rPr>
            </w:r>
            <w:r w:rsidR="00F960C7" w:rsidRPr="00F960C7">
              <w:rPr>
                <w:noProof/>
                <w:webHidden/>
              </w:rPr>
              <w:fldChar w:fldCharType="separate"/>
            </w:r>
            <w:r w:rsidR="001E3995">
              <w:rPr>
                <w:noProof/>
                <w:webHidden/>
              </w:rPr>
              <w:t>27</w:t>
            </w:r>
            <w:r w:rsidR="00F960C7" w:rsidRPr="00F960C7">
              <w:rPr>
                <w:noProof/>
                <w:webHidden/>
              </w:rPr>
              <w:fldChar w:fldCharType="end"/>
            </w:r>
          </w:hyperlink>
        </w:p>
        <w:p w14:paraId="4FCB3210" w14:textId="3BE097DE" w:rsidR="00F960C7" w:rsidRPr="00F960C7" w:rsidRDefault="00DB5068">
          <w:pPr>
            <w:pStyle w:val="TDC1"/>
            <w:rPr>
              <w:rFonts w:asciiTheme="minorHAnsi" w:eastAsiaTheme="minorEastAsia" w:hAnsiTheme="minorHAnsi" w:cstheme="minorBidi"/>
              <w:noProof/>
              <w:sz w:val="22"/>
              <w:szCs w:val="22"/>
              <w:lang w:eastAsia="es-MX"/>
            </w:rPr>
          </w:pPr>
          <w:hyperlink w:anchor="_Toc205469923" w:history="1">
            <w:r w:rsidR="00F960C7" w:rsidRPr="00F960C7">
              <w:rPr>
                <w:rStyle w:val="Hipervnculo"/>
                <w:rFonts w:ascii="Palatino Linotype" w:hAnsi="Palatino Linotype"/>
                <w:bCs/>
                <w:noProof/>
              </w:rPr>
              <w:t>R E S U E L V E</w:t>
            </w:r>
            <w:r w:rsidR="00F960C7" w:rsidRPr="00F960C7">
              <w:rPr>
                <w:noProof/>
                <w:webHidden/>
              </w:rPr>
              <w:tab/>
            </w:r>
            <w:r w:rsidR="00F960C7" w:rsidRPr="00F960C7">
              <w:rPr>
                <w:noProof/>
                <w:webHidden/>
              </w:rPr>
              <w:fldChar w:fldCharType="begin"/>
            </w:r>
            <w:r w:rsidR="00F960C7" w:rsidRPr="00F960C7">
              <w:rPr>
                <w:noProof/>
                <w:webHidden/>
              </w:rPr>
              <w:instrText xml:space="preserve"> PAGEREF _Toc205469923 \h </w:instrText>
            </w:r>
            <w:r w:rsidR="00F960C7" w:rsidRPr="00F960C7">
              <w:rPr>
                <w:noProof/>
                <w:webHidden/>
              </w:rPr>
            </w:r>
            <w:r w:rsidR="00F960C7" w:rsidRPr="00F960C7">
              <w:rPr>
                <w:noProof/>
                <w:webHidden/>
              </w:rPr>
              <w:fldChar w:fldCharType="separate"/>
            </w:r>
            <w:r w:rsidR="001E3995">
              <w:rPr>
                <w:noProof/>
                <w:webHidden/>
              </w:rPr>
              <w:t>28</w:t>
            </w:r>
            <w:r w:rsidR="00F960C7" w:rsidRPr="00F960C7">
              <w:rPr>
                <w:noProof/>
                <w:webHidden/>
              </w:rPr>
              <w:fldChar w:fldCharType="end"/>
            </w:r>
          </w:hyperlink>
        </w:p>
        <w:p w14:paraId="39113C74" w14:textId="0C7AE847" w:rsidR="00076681" w:rsidRPr="00886AB4" w:rsidRDefault="00076681" w:rsidP="009E63EC">
          <w:pPr>
            <w:spacing w:after="0" w:line="360" w:lineRule="auto"/>
            <w:rPr>
              <w:color w:val="FF0000"/>
            </w:rPr>
          </w:pPr>
          <w:r w:rsidRPr="00F960C7">
            <w:rPr>
              <w:color w:val="FF0000"/>
              <w:lang w:val="es-ES"/>
            </w:rPr>
            <w:fldChar w:fldCharType="end"/>
          </w:r>
        </w:p>
      </w:sdtContent>
    </w:sdt>
    <w:bookmarkEnd w:id="0" w:displacedByCustomXml="prev"/>
    <w:p w14:paraId="075FABE6" w14:textId="77777777" w:rsidR="00F063F0" w:rsidRPr="00886AB4" w:rsidRDefault="00F063F0" w:rsidP="009E63EC">
      <w:pPr>
        <w:tabs>
          <w:tab w:val="left" w:pos="8931"/>
        </w:tabs>
        <w:spacing w:after="0" w:line="360" w:lineRule="auto"/>
        <w:contextualSpacing/>
        <w:rPr>
          <w:rFonts w:cs="Tahoma"/>
          <w:bCs/>
          <w:color w:val="FF0000"/>
        </w:rPr>
      </w:pPr>
    </w:p>
    <w:p w14:paraId="15E4A7DB" w14:textId="77777777" w:rsidR="009A627C" w:rsidRPr="00886AB4" w:rsidRDefault="009A627C" w:rsidP="009E63EC">
      <w:pPr>
        <w:tabs>
          <w:tab w:val="left" w:pos="8931"/>
        </w:tabs>
        <w:spacing w:after="0" w:line="360" w:lineRule="auto"/>
        <w:contextualSpacing/>
        <w:rPr>
          <w:rFonts w:cs="Tahoma"/>
          <w:bCs/>
          <w:color w:val="FF0000"/>
        </w:rPr>
      </w:pPr>
    </w:p>
    <w:p w14:paraId="2B180D5E" w14:textId="77777777" w:rsidR="00076681" w:rsidRPr="00886AB4" w:rsidRDefault="00076681" w:rsidP="009E63EC">
      <w:pPr>
        <w:tabs>
          <w:tab w:val="left" w:pos="8931"/>
        </w:tabs>
        <w:spacing w:after="0" w:line="360" w:lineRule="auto"/>
        <w:contextualSpacing/>
        <w:rPr>
          <w:rFonts w:cs="Tahoma"/>
          <w:bCs/>
          <w:color w:val="FF0000"/>
        </w:rPr>
      </w:pPr>
    </w:p>
    <w:p w14:paraId="7AD5D649" w14:textId="77777777" w:rsidR="00C44AFC" w:rsidRDefault="00C44AFC" w:rsidP="009E63EC">
      <w:pPr>
        <w:tabs>
          <w:tab w:val="left" w:pos="8931"/>
        </w:tabs>
        <w:spacing w:after="0" w:line="360" w:lineRule="auto"/>
        <w:contextualSpacing/>
        <w:rPr>
          <w:rFonts w:cs="Tahoma"/>
          <w:bCs/>
          <w:color w:val="FF0000"/>
        </w:rPr>
      </w:pPr>
    </w:p>
    <w:p w14:paraId="3BE87D6D" w14:textId="77777777" w:rsidR="00E31E94" w:rsidRPr="00886AB4" w:rsidRDefault="00E31E94" w:rsidP="009E63EC">
      <w:pPr>
        <w:tabs>
          <w:tab w:val="left" w:pos="8931"/>
        </w:tabs>
        <w:spacing w:after="0" w:line="360" w:lineRule="auto"/>
        <w:contextualSpacing/>
        <w:rPr>
          <w:rFonts w:cs="Tahoma"/>
          <w:bCs/>
          <w:color w:val="FF0000"/>
        </w:rPr>
      </w:pPr>
    </w:p>
    <w:p w14:paraId="77AEEB5F" w14:textId="77777777" w:rsidR="00C44AFC" w:rsidRPr="00886AB4" w:rsidRDefault="00C44AFC" w:rsidP="009E63EC">
      <w:pPr>
        <w:tabs>
          <w:tab w:val="left" w:pos="8931"/>
        </w:tabs>
        <w:spacing w:after="0" w:line="360" w:lineRule="auto"/>
        <w:contextualSpacing/>
        <w:rPr>
          <w:rFonts w:cs="Tahoma"/>
          <w:bCs/>
          <w:color w:val="FF0000"/>
        </w:rPr>
      </w:pPr>
    </w:p>
    <w:p w14:paraId="6C60B48A" w14:textId="77777777" w:rsidR="00C44AFC" w:rsidRPr="00886AB4" w:rsidRDefault="00C44AFC" w:rsidP="009E63EC">
      <w:pPr>
        <w:tabs>
          <w:tab w:val="left" w:pos="8931"/>
        </w:tabs>
        <w:spacing w:after="0" w:line="360" w:lineRule="auto"/>
        <w:contextualSpacing/>
        <w:rPr>
          <w:rFonts w:cs="Tahoma"/>
          <w:bCs/>
          <w:color w:val="FF0000"/>
        </w:rPr>
      </w:pPr>
    </w:p>
    <w:p w14:paraId="3530C0FA" w14:textId="62A1EABA" w:rsidR="00DB3DC5" w:rsidRPr="00886AB4" w:rsidRDefault="00DB3DC5" w:rsidP="009E63EC">
      <w:pPr>
        <w:tabs>
          <w:tab w:val="left" w:pos="8931"/>
        </w:tabs>
        <w:spacing w:after="0" w:line="360" w:lineRule="auto"/>
        <w:contextualSpacing/>
        <w:rPr>
          <w:rFonts w:eastAsia="Calibri" w:cs="Tahoma"/>
          <w:color w:val="auto"/>
          <w:lang w:val="es-ES"/>
        </w:rPr>
      </w:pPr>
      <w:r w:rsidRPr="00886AB4">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Pr="00886AB4">
        <w:rPr>
          <w:rFonts w:eastAsia="Calibri" w:cs="Tahoma"/>
          <w:color w:val="auto"/>
          <w:lang w:val="es-ES"/>
        </w:rPr>
        <w:t xml:space="preserve">Estado de México, de fecha </w:t>
      </w:r>
      <w:r w:rsidR="00886AB4" w:rsidRPr="00886AB4">
        <w:rPr>
          <w:rFonts w:eastAsia="Calibri" w:cs="Tahoma"/>
          <w:color w:val="auto"/>
          <w:lang w:val="es-ES"/>
        </w:rPr>
        <w:t>seis de agosto de dos mil veinticinco.</w:t>
      </w:r>
    </w:p>
    <w:p w14:paraId="2A681408" w14:textId="1CE12C44" w:rsidR="00DB3DC5" w:rsidRPr="00886AB4" w:rsidRDefault="00455DCB" w:rsidP="009E63EC">
      <w:pPr>
        <w:tabs>
          <w:tab w:val="left" w:pos="2340"/>
        </w:tabs>
        <w:spacing w:after="0" w:line="360" w:lineRule="auto"/>
        <w:contextualSpacing/>
        <w:rPr>
          <w:rFonts w:eastAsia="Calibri" w:cs="Tahoma"/>
          <w:b/>
          <w:bCs/>
          <w:color w:val="FF0000"/>
          <w:lang w:val="es-ES"/>
        </w:rPr>
      </w:pPr>
      <w:r w:rsidRPr="00886AB4">
        <w:rPr>
          <w:rFonts w:eastAsia="Calibri" w:cs="Tahoma"/>
          <w:b/>
          <w:bCs/>
          <w:color w:val="FF0000"/>
          <w:lang w:val="es-ES"/>
        </w:rPr>
        <w:tab/>
      </w:r>
    </w:p>
    <w:p w14:paraId="75D54F3E" w14:textId="7A9B33F7" w:rsidR="00DB3DC5" w:rsidRPr="00EE3CCF" w:rsidRDefault="00DB3DC5" w:rsidP="009E63EC">
      <w:pPr>
        <w:spacing w:after="0" w:line="360" w:lineRule="auto"/>
        <w:contextualSpacing/>
        <w:rPr>
          <w:rFonts w:eastAsia="Calibri" w:cs="Tahoma"/>
          <w:color w:val="auto"/>
        </w:rPr>
      </w:pPr>
      <w:r w:rsidRPr="00886AB4">
        <w:rPr>
          <w:rFonts w:eastAsia="Calibri" w:cs="Tahoma"/>
          <w:b/>
          <w:bCs/>
          <w:color w:val="auto"/>
          <w:lang w:val="es-ES"/>
        </w:rPr>
        <w:t xml:space="preserve">VISTO </w:t>
      </w:r>
      <w:r w:rsidRPr="00886AB4">
        <w:rPr>
          <w:rFonts w:eastAsia="Calibri" w:cs="Tahoma"/>
          <w:color w:val="auto"/>
          <w:lang w:val="es-ES"/>
        </w:rPr>
        <w:t>el expediente electrónico conformado con motivo d</w:t>
      </w:r>
      <w:r w:rsidR="00886AB4" w:rsidRPr="00886AB4">
        <w:rPr>
          <w:rFonts w:eastAsia="Calibri" w:cs="Tahoma"/>
          <w:color w:val="auto"/>
          <w:lang w:val="es-ES"/>
        </w:rPr>
        <w:t>el</w:t>
      </w:r>
      <w:r w:rsidRPr="00886AB4">
        <w:rPr>
          <w:rFonts w:eastAsia="Calibri" w:cs="Tahoma"/>
          <w:color w:val="auto"/>
          <w:lang w:val="es-ES"/>
        </w:rPr>
        <w:t xml:space="preserve"> Recurso de Revisión </w:t>
      </w:r>
      <w:r w:rsidR="00886AB4" w:rsidRPr="0067711C">
        <w:rPr>
          <w:rFonts w:eastAsia="Calibri" w:cs="Tahoma"/>
          <w:b/>
          <w:bCs/>
          <w:color w:val="auto"/>
        </w:rPr>
        <w:t>06061/INFOEM/IP/RR/2025</w:t>
      </w:r>
      <w:r w:rsidRPr="0067711C">
        <w:rPr>
          <w:rFonts w:eastAsia="Calibri" w:cs="Tahoma"/>
          <w:b/>
          <w:bCs/>
          <w:color w:val="auto"/>
        </w:rPr>
        <w:t>,</w:t>
      </w:r>
      <w:r w:rsidRPr="00166E10">
        <w:rPr>
          <w:rFonts w:eastAsia="Calibri" w:cs="Tahoma"/>
          <w:color w:val="auto"/>
        </w:rPr>
        <w:t xml:space="preserve"> interpuesto</w:t>
      </w:r>
      <w:r w:rsidR="00A63EA5" w:rsidRPr="00166E10">
        <w:rPr>
          <w:rFonts w:eastAsia="Calibri" w:cs="Tahoma"/>
          <w:color w:val="auto"/>
        </w:rPr>
        <w:t xml:space="preserve"> por</w:t>
      </w:r>
      <w:r w:rsidR="003C4980" w:rsidRPr="00166E10">
        <w:rPr>
          <w:rFonts w:eastAsia="Calibri" w:cs="Tahoma"/>
          <w:color w:val="auto"/>
        </w:rPr>
        <w:t xml:space="preserve"> </w:t>
      </w:r>
      <w:bookmarkStart w:id="1" w:name="_GoBack"/>
      <w:bookmarkEnd w:id="1"/>
      <w:r w:rsidR="00EE3CCF" w:rsidRPr="00EE3CCF">
        <w:rPr>
          <w:rFonts w:eastAsia="Calibri" w:cs="Tahoma"/>
          <w:highlight w:val="black"/>
        </w:rPr>
        <w:t>XXXXXXXXXXXXXXX</w:t>
      </w:r>
      <w:r w:rsidR="00EE3CCF">
        <w:rPr>
          <w:rFonts w:eastAsia="Calibri" w:cs="Tahoma"/>
          <w:color w:val="auto"/>
        </w:rPr>
        <w:t xml:space="preserve"> </w:t>
      </w:r>
      <w:r w:rsidR="003C4980" w:rsidRPr="00166E10">
        <w:rPr>
          <w:rFonts w:eastAsia="Calibri" w:cs="Tahoma"/>
          <w:color w:val="auto"/>
        </w:rPr>
        <w:t>en lo sucesivo la</w:t>
      </w:r>
      <w:r w:rsidR="004E0A7C" w:rsidRPr="00166E10">
        <w:rPr>
          <w:rFonts w:eastAsia="Calibri" w:cs="Tahoma"/>
          <w:color w:val="auto"/>
        </w:rPr>
        <w:t xml:space="preserve"> Persona Recurrente o Particular, </w:t>
      </w:r>
      <w:r w:rsidRPr="00166E10">
        <w:rPr>
          <w:rFonts w:cs="Tahoma"/>
          <w:color w:val="auto"/>
        </w:rPr>
        <w:t>en contra de la</w:t>
      </w:r>
      <w:r w:rsidR="001B2253" w:rsidRPr="00166E10">
        <w:rPr>
          <w:rFonts w:cs="Tahoma"/>
          <w:color w:val="auto"/>
        </w:rPr>
        <w:t>s</w:t>
      </w:r>
      <w:r w:rsidRPr="00166E10">
        <w:rPr>
          <w:rFonts w:cs="Tahoma"/>
          <w:color w:val="auto"/>
        </w:rPr>
        <w:t xml:space="preserve"> respuesta</w:t>
      </w:r>
      <w:r w:rsidR="001B2253" w:rsidRPr="00166E10">
        <w:rPr>
          <w:rFonts w:cs="Tahoma"/>
          <w:color w:val="auto"/>
        </w:rPr>
        <w:t>s</w:t>
      </w:r>
      <w:r w:rsidRPr="00166E10">
        <w:rPr>
          <w:rFonts w:cs="Tahoma"/>
          <w:color w:val="auto"/>
        </w:rPr>
        <w:t xml:space="preserve"> del Sujeto Obligado, </w:t>
      </w:r>
      <w:r w:rsidR="00166E10" w:rsidRPr="0067711C">
        <w:rPr>
          <w:rFonts w:eastAsia="Calibri" w:cs="Tahoma"/>
          <w:b/>
          <w:bCs/>
          <w:color w:val="auto"/>
        </w:rPr>
        <w:t>Organismo Público Descentralizado para la Prestación de los Servicios de Agua Potable Alcantarillado y Saneamiento del Municipio de Tlalnepantla de Baz</w:t>
      </w:r>
      <w:r w:rsidRPr="0067711C">
        <w:rPr>
          <w:rFonts w:cs="Tahoma"/>
          <w:b/>
          <w:bCs/>
          <w:color w:val="auto"/>
        </w:rPr>
        <w:t>,</w:t>
      </w:r>
      <w:r w:rsidRPr="00886AB4">
        <w:rPr>
          <w:rFonts w:cs="Tahoma"/>
          <w:color w:val="auto"/>
        </w:rPr>
        <w:t xml:space="preserve"> a la solicitud de acceso a la información </w:t>
      </w:r>
      <w:r w:rsidR="002C3558" w:rsidRPr="00886AB4">
        <w:rPr>
          <w:rFonts w:cs="Tahoma"/>
          <w:color w:val="auto"/>
        </w:rPr>
        <w:t>pública</w:t>
      </w:r>
      <w:r w:rsidR="003C4980" w:rsidRPr="00886AB4">
        <w:rPr>
          <w:rFonts w:cs="Tahoma"/>
          <w:color w:val="auto"/>
        </w:rPr>
        <w:t xml:space="preserve"> </w:t>
      </w:r>
      <w:r w:rsidR="00886AB4" w:rsidRPr="00886AB4">
        <w:rPr>
          <w:rFonts w:cs="Tahoma"/>
          <w:color w:val="auto"/>
        </w:rPr>
        <w:t>00126/OASTLALNE/IP/2025</w:t>
      </w:r>
      <w:r w:rsidR="003C4980" w:rsidRPr="00886AB4">
        <w:rPr>
          <w:rFonts w:cs="Tahoma"/>
          <w:color w:val="auto"/>
        </w:rPr>
        <w:t xml:space="preserve">, </w:t>
      </w:r>
      <w:r w:rsidRPr="00886AB4">
        <w:rPr>
          <w:rFonts w:cs="Tahoma"/>
          <w:color w:val="auto"/>
        </w:rPr>
        <w:t>se emite</w:t>
      </w:r>
      <w:r w:rsidRPr="00886AB4">
        <w:rPr>
          <w:rFonts w:cs="Tahoma"/>
          <w:bCs/>
          <w:color w:val="auto"/>
        </w:rPr>
        <w:t xml:space="preserve"> la presente Resolución, con base en los Antecedentes y Considerandos que se exponen a continuación:</w:t>
      </w:r>
    </w:p>
    <w:p w14:paraId="134E03A6" w14:textId="5F6E8CA4" w:rsidR="00DB3DC5" w:rsidRPr="00886AB4" w:rsidRDefault="00455DCB" w:rsidP="009E63EC">
      <w:pPr>
        <w:tabs>
          <w:tab w:val="left" w:pos="1965"/>
        </w:tabs>
        <w:spacing w:after="0" w:line="360" w:lineRule="auto"/>
        <w:contextualSpacing/>
        <w:rPr>
          <w:rFonts w:eastAsia="Calibri" w:cs="Tahoma"/>
          <w:b/>
          <w:bCs/>
          <w:color w:val="auto"/>
          <w:lang w:val="es-ES"/>
        </w:rPr>
      </w:pPr>
      <w:r w:rsidRPr="00886AB4">
        <w:rPr>
          <w:rFonts w:eastAsia="Calibri" w:cs="Tahoma"/>
          <w:b/>
          <w:bCs/>
          <w:color w:val="auto"/>
          <w:lang w:val="es-ES"/>
        </w:rPr>
        <w:tab/>
      </w:r>
    </w:p>
    <w:p w14:paraId="32EEB02D" w14:textId="734C012B" w:rsidR="00DB3DC5" w:rsidRPr="00886AB4" w:rsidRDefault="00737CF6" w:rsidP="009E63EC">
      <w:pPr>
        <w:pStyle w:val="Ttulo1"/>
        <w:spacing w:before="0" w:line="360" w:lineRule="auto"/>
        <w:jc w:val="center"/>
        <w:rPr>
          <w:rFonts w:ascii="Palatino Linotype" w:hAnsi="Palatino Linotype"/>
          <w:b/>
          <w:color w:val="auto"/>
          <w:sz w:val="22"/>
          <w:szCs w:val="22"/>
        </w:rPr>
      </w:pPr>
      <w:bookmarkStart w:id="2" w:name="_Toc205469911"/>
      <w:r w:rsidRPr="00886AB4">
        <w:rPr>
          <w:rFonts w:ascii="Palatino Linotype" w:hAnsi="Palatino Linotype"/>
          <w:b/>
          <w:color w:val="auto"/>
          <w:sz w:val="22"/>
          <w:szCs w:val="22"/>
        </w:rPr>
        <w:t>A N T E C E D E N T E S</w:t>
      </w:r>
      <w:bookmarkEnd w:id="2"/>
    </w:p>
    <w:p w14:paraId="09E98305" w14:textId="77777777" w:rsidR="00DB3DC5" w:rsidRPr="00886AB4" w:rsidRDefault="00DB3DC5" w:rsidP="009E63EC">
      <w:pPr>
        <w:spacing w:after="0" w:line="360" w:lineRule="auto"/>
        <w:contextualSpacing/>
        <w:jc w:val="center"/>
        <w:rPr>
          <w:rFonts w:eastAsia="Calibri" w:cs="Tahoma"/>
          <w:b/>
          <w:bCs/>
          <w:color w:val="FF0000"/>
          <w:lang w:val="es-ES"/>
        </w:rPr>
      </w:pPr>
    </w:p>
    <w:p w14:paraId="5E541408" w14:textId="311FAE57" w:rsidR="00DB3DC5" w:rsidRPr="00821299" w:rsidRDefault="00DB3DC5" w:rsidP="009E63EC">
      <w:pPr>
        <w:pStyle w:val="Ttulo2"/>
        <w:spacing w:before="0" w:line="360" w:lineRule="auto"/>
        <w:rPr>
          <w:rFonts w:ascii="Palatino Linotype" w:eastAsia="Calibri" w:hAnsi="Palatino Linotype"/>
          <w:b/>
          <w:color w:val="auto"/>
          <w:sz w:val="22"/>
          <w:szCs w:val="22"/>
          <w:lang w:val="es-ES"/>
        </w:rPr>
      </w:pPr>
      <w:bookmarkStart w:id="3" w:name="_Toc205469912"/>
      <w:r w:rsidRPr="00821299">
        <w:rPr>
          <w:rFonts w:ascii="Palatino Linotype" w:eastAsia="Calibri" w:hAnsi="Palatino Linotype"/>
          <w:b/>
          <w:color w:val="auto"/>
          <w:sz w:val="22"/>
          <w:szCs w:val="22"/>
          <w:lang w:val="es-ES"/>
        </w:rPr>
        <w:t>I. Presentación</w:t>
      </w:r>
      <w:r w:rsidR="00737CF6" w:rsidRPr="00821299">
        <w:rPr>
          <w:rFonts w:ascii="Palatino Linotype" w:eastAsia="Calibri" w:hAnsi="Palatino Linotype"/>
          <w:b/>
          <w:color w:val="auto"/>
          <w:sz w:val="22"/>
          <w:szCs w:val="22"/>
          <w:lang w:val="es-ES"/>
        </w:rPr>
        <w:t xml:space="preserve"> de la</w:t>
      </w:r>
      <w:r w:rsidR="003C4980" w:rsidRPr="00821299">
        <w:rPr>
          <w:rFonts w:ascii="Palatino Linotype" w:eastAsia="Calibri" w:hAnsi="Palatino Linotype"/>
          <w:b/>
          <w:color w:val="auto"/>
          <w:sz w:val="22"/>
          <w:szCs w:val="22"/>
          <w:lang w:val="es-ES"/>
        </w:rPr>
        <w:t>s</w:t>
      </w:r>
      <w:r w:rsidR="00737CF6" w:rsidRPr="00821299">
        <w:rPr>
          <w:rFonts w:ascii="Palatino Linotype" w:eastAsia="Calibri" w:hAnsi="Palatino Linotype"/>
          <w:b/>
          <w:color w:val="auto"/>
          <w:sz w:val="22"/>
          <w:szCs w:val="22"/>
          <w:lang w:val="es-ES"/>
        </w:rPr>
        <w:t xml:space="preserve"> solicitud</w:t>
      </w:r>
      <w:r w:rsidR="003C4980" w:rsidRPr="00821299">
        <w:rPr>
          <w:rFonts w:ascii="Palatino Linotype" w:eastAsia="Calibri" w:hAnsi="Palatino Linotype"/>
          <w:b/>
          <w:color w:val="auto"/>
          <w:sz w:val="22"/>
          <w:szCs w:val="22"/>
          <w:lang w:val="es-ES"/>
        </w:rPr>
        <w:t>es</w:t>
      </w:r>
      <w:r w:rsidR="00737CF6" w:rsidRPr="00821299">
        <w:rPr>
          <w:rFonts w:ascii="Palatino Linotype" w:eastAsia="Calibri" w:hAnsi="Palatino Linotype"/>
          <w:b/>
          <w:color w:val="auto"/>
          <w:sz w:val="22"/>
          <w:szCs w:val="22"/>
          <w:lang w:val="es-ES"/>
        </w:rPr>
        <w:t xml:space="preserve"> de información</w:t>
      </w:r>
      <w:bookmarkEnd w:id="3"/>
    </w:p>
    <w:p w14:paraId="5A91601B" w14:textId="77777777" w:rsidR="00DB3DC5" w:rsidRPr="00886AB4" w:rsidRDefault="00DB3DC5" w:rsidP="009E63EC">
      <w:pPr>
        <w:spacing w:after="0" w:line="360" w:lineRule="auto"/>
        <w:contextualSpacing/>
        <w:rPr>
          <w:rFonts w:eastAsia="Calibri" w:cs="Tahoma"/>
          <w:b/>
          <w:bCs/>
          <w:color w:val="FF0000"/>
          <w:lang w:val="es-ES"/>
        </w:rPr>
      </w:pPr>
    </w:p>
    <w:p w14:paraId="1620C68D" w14:textId="43087FE8" w:rsidR="00DB3DC5" w:rsidRDefault="003C4980" w:rsidP="009E63EC">
      <w:pPr>
        <w:spacing w:after="0" w:line="360" w:lineRule="auto"/>
        <w:contextualSpacing/>
        <w:rPr>
          <w:rFonts w:cs="Tahoma"/>
          <w:color w:val="auto"/>
        </w:rPr>
      </w:pPr>
      <w:r w:rsidRPr="00821299">
        <w:rPr>
          <w:rFonts w:eastAsia="Calibri" w:cs="Tahoma"/>
          <w:color w:val="auto"/>
          <w:lang w:val="es-ES"/>
        </w:rPr>
        <w:t xml:space="preserve">El </w:t>
      </w:r>
      <w:r w:rsidR="00821299" w:rsidRPr="00821299">
        <w:rPr>
          <w:rFonts w:eastAsia="Calibri" w:cs="Tahoma"/>
          <w:color w:val="auto"/>
          <w:lang w:val="es-ES"/>
        </w:rPr>
        <w:t xml:space="preserve">veintiuno de abril de dos mil veinticinco, </w:t>
      </w:r>
      <w:r w:rsidR="0046538F" w:rsidRPr="00821299">
        <w:rPr>
          <w:rFonts w:eastAsia="Calibri" w:cs="Tahoma"/>
          <w:color w:val="auto"/>
          <w:lang w:val="es-ES"/>
        </w:rPr>
        <w:t>la persona Solicitante</w:t>
      </w:r>
      <w:r w:rsidR="00DB3DC5" w:rsidRPr="00821299">
        <w:rPr>
          <w:rFonts w:eastAsia="Calibri" w:cs="Tahoma"/>
          <w:color w:val="auto"/>
          <w:lang w:val="es-ES"/>
        </w:rPr>
        <w:t xml:space="preserve"> presentó </w:t>
      </w:r>
      <w:r w:rsidR="00821299" w:rsidRPr="00821299">
        <w:rPr>
          <w:rFonts w:eastAsia="Calibri" w:cs="Tahoma"/>
          <w:color w:val="auto"/>
          <w:lang w:val="es-ES"/>
        </w:rPr>
        <w:t xml:space="preserve">su </w:t>
      </w:r>
      <w:r w:rsidR="0046538F" w:rsidRPr="00821299">
        <w:rPr>
          <w:rFonts w:eastAsia="Calibri" w:cs="Tahoma"/>
          <w:color w:val="auto"/>
          <w:lang w:val="es-ES"/>
        </w:rPr>
        <w:t>requerimiento</w:t>
      </w:r>
      <w:r w:rsidR="00087796" w:rsidRPr="00821299">
        <w:rPr>
          <w:rFonts w:eastAsia="Calibri" w:cs="Tahoma"/>
          <w:color w:val="auto"/>
          <w:lang w:val="es-ES"/>
        </w:rPr>
        <w:t xml:space="preserve"> </w:t>
      </w:r>
      <w:r w:rsidR="00DB3DC5" w:rsidRPr="00821299">
        <w:rPr>
          <w:rFonts w:eastAsia="Calibri" w:cs="Tahoma"/>
          <w:color w:val="auto"/>
          <w:lang w:val="es-ES"/>
        </w:rPr>
        <w:t xml:space="preserve">de acceso a la información, </w:t>
      </w:r>
      <w:r w:rsidR="00821299" w:rsidRPr="00821299">
        <w:rPr>
          <w:rFonts w:eastAsia="Calibri" w:cs="Tahoma"/>
          <w:color w:val="auto"/>
          <w:lang w:val="es-ES"/>
        </w:rPr>
        <w:t xml:space="preserve">(ya que si bien se tuvo por presentado el dieciséis de dicho mes y año este fue inhábil por lo que se tuvo por presentado al día hábil siguiente), </w:t>
      </w:r>
      <w:r w:rsidR="00DB3DC5" w:rsidRPr="00821299">
        <w:rPr>
          <w:rFonts w:eastAsia="Calibri" w:cs="Tahoma"/>
          <w:color w:val="auto"/>
          <w:lang w:val="es-ES"/>
        </w:rPr>
        <w:t xml:space="preserve">a través del Sistema de Acceso a la Información Mexiquense (SAIMEX), ante </w:t>
      </w:r>
      <w:r w:rsidR="001303D6" w:rsidRPr="00821299">
        <w:rPr>
          <w:rFonts w:eastAsia="Calibri" w:cs="Tahoma"/>
          <w:color w:val="auto"/>
          <w:lang w:val="es-ES"/>
        </w:rPr>
        <w:t>el</w:t>
      </w:r>
      <w:r w:rsidR="00821299" w:rsidRPr="00821299">
        <w:rPr>
          <w:rFonts w:eastAsia="Calibri" w:cs="Tahoma"/>
          <w:b/>
          <w:bCs/>
          <w:color w:val="auto"/>
        </w:rPr>
        <w:t xml:space="preserve"> </w:t>
      </w:r>
      <w:r w:rsidR="00166E10">
        <w:rPr>
          <w:rFonts w:eastAsia="Calibri" w:cs="Tahoma"/>
          <w:bCs/>
          <w:color w:val="auto"/>
        </w:rPr>
        <w:t>Organismo Público Descentralizado para la Prestación de los Servicios de Agua Potable Alcantarillado y Saneamiento del Municipio de Tlalnepantla de Baz</w:t>
      </w:r>
      <w:r w:rsidR="00DB3DC5" w:rsidRPr="00821299">
        <w:rPr>
          <w:rFonts w:eastAsia="Calibri" w:cs="Times New Roman"/>
          <w:color w:val="auto"/>
        </w:rPr>
        <w:t>,</w:t>
      </w:r>
      <w:r w:rsidR="00DB3DC5" w:rsidRPr="00821299">
        <w:rPr>
          <w:rFonts w:eastAsia="Calibri" w:cs="Times New Roman"/>
          <w:b/>
          <w:color w:val="auto"/>
        </w:rPr>
        <w:t xml:space="preserve"> </w:t>
      </w:r>
      <w:r w:rsidR="00DB3DC5" w:rsidRPr="00821299">
        <w:rPr>
          <w:rFonts w:cs="Tahoma"/>
          <w:color w:val="auto"/>
        </w:rPr>
        <w:t>en los siguientes términos:</w:t>
      </w:r>
    </w:p>
    <w:p w14:paraId="6B1DD400" w14:textId="77777777" w:rsidR="00821299" w:rsidRDefault="00821299" w:rsidP="009E63EC">
      <w:pPr>
        <w:spacing w:after="0" w:line="360" w:lineRule="auto"/>
        <w:contextualSpacing/>
        <w:rPr>
          <w:rFonts w:cs="Tahoma"/>
          <w:color w:val="auto"/>
        </w:rPr>
      </w:pPr>
    </w:p>
    <w:p w14:paraId="10A0CC5D" w14:textId="77777777" w:rsidR="00821299" w:rsidRPr="00821299" w:rsidRDefault="00821299" w:rsidP="00821299">
      <w:pPr>
        <w:tabs>
          <w:tab w:val="left" w:pos="4667"/>
        </w:tabs>
        <w:spacing w:after="0" w:line="360" w:lineRule="auto"/>
        <w:ind w:left="567" w:right="567"/>
        <w:rPr>
          <w:rFonts w:eastAsia="Times New Roman" w:cs="Tahoma"/>
          <w:b/>
          <w:i/>
          <w:iCs/>
          <w:color w:val="auto"/>
          <w:sz w:val="20"/>
          <w:szCs w:val="20"/>
          <w:lang w:eastAsia="es-ES"/>
        </w:rPr>
      </w:pPr>
      <w:r w:rsidRPr="00821299">
        <w:rPr>
          <w:rFonts w:eastAsia="Times New Roman" w:cs="Tahoma"/>
          <w:b/>
          <w:i/>
          <w:iCs/>
          <w:color w:val="auto"/>
          <w:sz w:val="20"/>
          <w:szCs w:val="20"/>
          <w:lang w:eastAsia="es-ES"/>
        </w:rPr>
        <w:t>“DESCRIPCIÓN CLARA Y PRECISA DE LA INFORMACIÓN SOLICITADA</w:t>
      </w:r>
    </w:p>
    <w:p w14:paraId="03CCB899" w14:textId="518C5DDA" w:rsidR="00821299" w:rsidRPr="00821299" w:rsidRDefault="00821299" w:rsidP="00821299">
      <w:pPr>
        <w:spacing w:after="0" w:line="360" w:lineRule="auto"/>
        <w:ind w:left="567" w:right="567"/>
        <w:rPr>
          <w:rFonts w:eastAsia="Times New Roman" w:cs="Arial"/>
          <w:bCs/>
          <w:i/>
          <w:iCs/>
          <w:color w:val="auto"/>
          <w:sz w:val="20"/>
          <w:lang w:eastAsia="es-ES"/>
        </w:rPr>
      </w:pPr>
      <w:r w:rsidRPr="00821299">
        <w:rPr>
          <w:rFonts w:eastAsia="Times New Roman" w:cs="Arial"/>
          <w:bCs/>
          <w:i/>
          <w:iCs/>
          <w:color w:val="auto"/>
          <w:sz w:val="20"/>
          <w:lang w:eastAsia="es-ES"/>
        </w:rPr>
        <w:t xml:space="preserve">se pide la nomina completa del primer trimestre de 2025” (Sic.) </w:t>
      </w:r>
    </w:p>
    <w:p w14:paraId="5FD26A85" w14:textId="77777777" w:rsidR="00821299" w:rsidRPr="00821299" w:rsidRDefault="00821299" w:rsidP="00821299">
      <w:pPr>
        <w:tabs>
          <w:tab w:val="left" w:pos="4667"/>
        </w:tabs>
        <w:spacing w:after="0" w:line="360" w:lineRule="auto"/>
        <w:ind w:left="567" w:right="567"/>
        <w:rPr>
          <w:rFonts w:eastAsia="Times New Roman" w:cs="Tahoma"/>
          <w:b/>
          <w:bCs/>
          <w:i/>
          <w:iCs/>
          <w:color w:val="auto"/>
          <w:sz w:val="20"/>
          <w:lang w:eastAsia="es-ES"/>
        </w:rPr>
      </w:pPr>
    </w:p>
    <w:p w14:paraId="264D5F36" w14:textId="77777777" w:rsidR="00821299" w:rsidRPr="00821299" w:rsidRDefault="00821299" w:rsidP="00821299">
      <w:pPr>
        <w:tabs>
          <w:tab w:val="left" w:pos="4667"/>
        </w:tabs>
        <w:spacing w:after="0" w:line="360" w:lineRule="auto"/>
        <w:ind w:left="567" w:right="567"/>
        <w:rPr>
          <w:rFonts w:eastAsia="Times New Roman" w:cs="Tahoma"/>
          <w:b/>
          <w:bCs/>
          <w:i/>
          <w:iCs/>
          <w:color w:val="auto"/>
          <w:sz w:val="20"/>
          <w:lang w:eastAsia="es-ES"/>
        </w:rPr>
      </w:pPr>
      <w:r w:rsidRPr="00821299">
        <w:rPr>
          <w:rFonts w:eastAsia="Times New Roman" w:cs="Tahoma"/>
          <w:b/>
          <w:bCs/>
          <w:i/>
          <w:iCs/>
          <w:color w:val="auto"/>
          <w:sz w:val="20"/>
          <w:lang w:eastAsia="es-ES"/>
        </w:rPr>
        <w:t>“MODALIDAD DE ENTREGA</w:t>
      </w:r>
    </w:p>
    <w:p w14:paraId="014A6DDE" w14:textId="77777777" w:rsidR="00821299" w:rsidRPr="00821299" w:rsidRDefault="00821299" w:rsidP="00821299">
      <w:pPr>
        <w:spacing w:after="0" w:line="360" w:lineRule="auto"/>
        <w:ind w:left="567" w:right="567"/>
        <w:rPr>
          <w:rFonts w:eastAsia="Times New Roman" w:cs="Arial"/>
          <w:bCs/>
          <w:i/>
          <w:iCs/>
          <w:color w:val="auto"/>
          <w:sz w:val="20"/>
          <w:lang w:eastAsia="es-ES"/>
        </w:rPr>
      </w:pPr>
      <w:r w:rsidRPr="00821299">
        <w:rPr>
          <w:rFonts w:eastAsia="Times New Roman" w:cs="Arial"/>
          <w:bCs/>
          <w:i/>
          <w:iCs/>
          <w:color w:val="auto"/>
          <w:sz w:val="20"/>
          <w:lang w:eastAsia="es-ES"/>
        </w:rPr>
        <w:t>A través del SAIMEX”</w:t>
      </w:r>
    </w:p>
    <w:p w14:paraId="41468016" w14:textId="77777777" w:rsidR="00D90BC1" w:rsidRPr="00886AB4" w:rsidRDefault="00D90BC1" w:rsidP="009E63EC">
      <w:pPr>
        <w:tabs>
          <w:tab w:val="left" w:pos="4667"/>
        </w:tabs>
        <w:spacing w:after="0" w:line="360" w:lineRule="auto"/>
        <w:rPr>
          <w:rFonts w:eastAsia="Palatino Linotype" w:cs="Palatino Linotype"/>
          <w:i/>
          <w:color w:val="FF0000"/>
          <w:lang w:eastAsia="es-MX"/>
        </w:rPr>
      </w:pPr>
    </w:p>
    <w:p w14:paraId="53FDC0F3" w14:textId="1CF83856" w:rsidR="00FA0F8A" w:rsidRDefault="00DB3DC5" w:rsidP="00FA0F8A">
      <w:pPr>
        <w:pStyle w:val="Ttulo2"/>
        <w:spacing w:before="0" w:line="360" w:lineRule="auto"/>
        <w:rPr>
          <w:rFonts w:ascii="Palatino Linotype" w:eastAsia="Calibri" w:hAnsi="Palatino Linotype"/>
          <w:b/>
          <w:color w:val="auto"/>
          <w:sz w:val="22"/>
          <w:szCs w:val="22"/>
        </w:rPr>
      </w:pPr>
      <w:bookmarkStart w:id="4" w:name="_Toc205469913"/>
      <w:r w:rsidRPr="00FA0F8A">
        <w:rPr>
          <w:rFonts w:ascii="Palatino Linotype" w:eastAsia="Calibri" w:hAnsi="Palatino Linotype"/>
          <w:b/>
          <w:color w:val="auto"/>
          <w:sz w:val="22"/>
          <w:szCs w:val="22"/>
        </w:rPr>
        <w:t>II. Respuesta</w:t>
      </w:r>
      <w:r w:rsidR="00076681" w:rsidRPr="00FA0F8A">
        <w:rPr>
          <w:rFonts w:ascii="Palatino Linotype" w:eastAsia="Calibri" w:hAnsi="Palatino Linotype"/>
          <w:b/>
          <w:color w:val="auto"/>
          <w:sz w:val="22"/>
          <w:szCs w:val="22"/>
        </w:rPr>
        <w:t xml:space="preserve"> del Sujeto Obligado</w:t>
      </w:r>
      <w:bookmarkEnd w:id="4"/>
    </w:p>
    <w:p w14:paraId="7995FEE6" w14:textId="77777777" w:rsidR="00FA0F8A" w:rsidRPr="00FA0F8A" w:rsidRDefault="00FA0F8A" w:rsidP="00FA0F8A"/>
    <w:p w14:paraId="48E0052A" w14:textId="78BCE699" w:rsidR="00FA0F8A" w:rsidRPr="00FA0F8A" w:rsidRDefault="00FA0F8A" w:rsidP="00FA0F8A">
      <w:pPr>
        <w:spacing w:after="0" w:line="360" w:lineRule="auto"/>
        <w:rPr>
          <w:rFonts w:eastAsia="Palatino Linotype" w:cs="Palatino Linotype"/>
          <w:color w:val="FF0000"/>
          <w:lang w:eastAsia="es-MX"/>
        </w:rPr>
      </w:pPr>
      <w:r w:rsidRPr="00FA0F8A">
        <w:rPr>
          <w:rFonts w:eastAsia="Palatino Linotype" w:cs="Palatino Linotype"/>
          <w:color w:val="auto"/>
          <w:lang w:eastAsia="es-MX"/>
        </w:rPr>
        <w:t>El doce de mayo de dos mil veinticinco, el Sujeto Obligado notificó, a través del Sistema de Acceso a la Información Mexiquense (SAIMEX), la respuesta a la solicitud de acceso a la información pública,</w:t>
      </w:r>
      <w:r>
        <w:rPr>
          <w:rFonts w:eastAsia="Palatino Linotype" w:cs="Palatino Linotype"/>
          <w:color w:val="auto"/>
          <w:lang w:eastAsia="es-MX"/>
        </w:rPr>
        <w:t xml:space="preserve"> a través de oficio </w:t>
      </w:r>
      <w:r>
        <w:t>OPDM/OM-413/2025 del veinticuatro de abril de dos mil veinticinco, suscrito por la Titular del Área de Recursos Humanos, Titular de la Oficialía Mayor y Titular de la Subdirección de Administración, dirigido al Titular de la Unidad de Transparencia, por medio del cual se menciona lo siguiente:</w:t>
      </w:r>
    </w:p>
    <w:p w14:paraId="553302C2" w14:textId="77777777" w:rsidR="00FA0F8A" w:rsidRPr="00FA0F8A" w:rsidRDefault="00FA0F8A" w:rsidP="00FA0F8A">
      <w:pPr>
        <w:spacing w:after="0" w:line="360" w:lineRule="auto"/>
        <w:rPr>
          <w:rFonts w:eastAsia="Palatino Linotype" w:cs="Palatino Linotype"/>
          <w:color w:val="FF0000"/>
          <w:lang w:eastAsia="es-MX"/>
        </w:rPr>
      </w:pPr>
    </w:p>
    <w:p w14:paraId="20FDB8E6" w14:textId="086795D0" w:rsidR="00FA0F8A" w:rsidRDefault="00FA0F8A" w:rsidP="00FA0F8A">
      <w:pPr>
        <w:spacing w:after="0" w:line="360" w:lineRule="auto"/>
        <w:ind w:left="567" w:right="567"/>
        <w:rPr>
          <w:rFonts w:eastAsia="Palatino Linotype" w:cs="Palatino Linotype"/>
          <w:i/>
          <w:iCs/>
          <w:color w:val="auto"/>
          <w:sz w:val="20"/>
          <w:szCs w:val="20"/>
          <w:lang w:eastAsia="es-MX"/>
        </w:rPr>
      </w:pPr>
      <w:r w:rsidRPr="00FA0F8A">
        <w:rPr>
          <w:rFonts w:eastAsia="Palatino Linotype" w:cs="Palatino Linotype"/>
          <w:i/>
          <w:iCs/>
          <w:color w:val="auto"/>
          <w:sz w:val="20"/>
          <w:szCs w:val="20"/>
          <w:lang w:eastAsia="es-MX"/>
        </w:rPr>
        <w:t>“…</w:t>
      </w:r>
      <w:r w:rsidR="00DD3671" w:rsidRPr="00DD3671">
        <w:rPr>
          <w:rFonts w:eastAsia="Palatino Linotype" w:cs="Palatino Linotype"/>
          <w:i/>
          <w:iCs/>
          <w:color w:val="auto"/>
          <w:sz w:val="20"/>
          <w:szCs w:val="20"/>
          <w:lang w:eastAsia="es-MX"/>
        </w:rPr>
        <w:t>Al respecto me permito informarle a Usted que, la información que solicita se encuentra publicada para su consulta en el portal electrónico de IPOMEX (Información Pública de Oficio Mexiquense), buscando el Sujeto Obligado "Organismo Público Descentralizado para la Prestación de los Servicios de Agua Potable, Alcantarillado y Saneamiento de Tlalnepantla de Baz, en el artículo 92, en el apartado de estructura organizacional, en la fracción VIII A Remuneraciones; para su pronta referencia le cito la siguiente dirección electrónica:</w:t>
      </w:r>
    </w:p>
    <w:p w14:paraId="17BF1333" w14:textId="77777777" w:rsidR="00DD3671" w:rsidRDefault="00DD3671" w:rsidP="00FA0F8A">
      <w:pPr>
        <w:spacing w:after="0" w:line="360" w:lineRule="auto"/>
        <w:ind w:left="567" w:right="567"/>
        <w:rPr>
          <w:rFonts w:eastAsia="Palatino Linotype" w:cs="Palatino Linotype"/>
          <w:i/>
          <w:iCs/>
          <w:color w:val="auto"/>
          <w:sz w:val="20"/>
          <w:szCs w:val="20"/>
          <w:lang w:eastAsia="es-MX"/>
        </w:rPr>
      </w:pPr>
    </w:p>
    <w:p w14:paraId="1850582F" w14:textId="3D6B199C" w:rsidR="00DD3671" w:rsidRDefault="00DB5068" w:rsidP="00FA0F8A">
      <w:pPr>
        <w:spacing w:after="0" w:line="360" w:lineRule="auto"/>
        <w:ind w:left="567" w:right="567"/>
        <w:rPr>
          <w:rFonts w:eastAsia="Palatino Linotype" w:cs="Palatino Linotype"/>
          <w:i/>
          <w:iCs/>
          <w:color w:val="auto"/>
          <w:sz w:val="20"/>
          <w:szCs w:val="20"/>
          <w:lang w:eastAsia="es-MX"/>
        </w:rPr>
      </w:pPr>
      <w:hyperlink r:id="rId8" w:anchor="/info-fraccion/11/298/28" w:history="1">
        <w:r w:rsidR="00DD3671" w:rsidRPr="00991C1D">
          <w:rPr>
            <w:rStyle w:val="Hipervnculo"/>
            <w:rFonts w:eastAsia="Palatino Linotype" w:cs="Palatino Linotype"/>
            <w:i/>
            <w:iCs/>
            <w:sz w:val="20"/>
            <w:szCs w:val="20"/>
            <w:lang w:eastAsia="es-MX"/>
          </w:rPr>
          <w:t>https://ipomex.org.mx/ipomex/#/info-fraccion/11/298/28</w:t>
        </w:r>
      </w:hyperlink>
      <w:r w:rsidR="00DD3671">
        <w:rPr>
          <w:rFonts w:eastAsia="Palatino Linotype" w:cs="Palatino Linotype"/>
          <w:i/>
          <w:iCs/>
          <w:color w:val="auto"/>
          <w:sz w:val="20"/>
          <w:szCs w:val="20"/>
          <w:lang w:eastAsia="es-MX"/>
        </w:rPr>
        <w:t xml:space="preserve"> </w:t>
      </w:r>
    </w:p>
    <w:p w14:paraId="5C58EED6" w14:textId="77777777" w:rsidR="00DD3671" w:rsidRDefault="00DD3671" w:rsidP="00FA0F8A">
      <w:pPr>
        <w:spacing w:after="0" w:line="360" w:lineRule="auto"/>
        <w:ind w:left="567" w:right="567"/>
      </w:pPr>
    </w:p>
    <w:p w14:paraId="50C2380F" w14:textId="21BE5196" w:rsidR="00DD3671" w:rsidRDefault="00DD3671" w:rsidP="00FA0F8A">
      <w:pPr>
        <w:spacing w:after="0" w:line="360" w:lineRule="auto"/>
        <w:ind w:left="567" w:right="567"/>
        <w:rPr>
          <w:rFonts w:eastAsia="Palatino Linotype" w:cs="Palatino Linotype"/>
          <w:b/>
          <w:i/>
          <w:iCs/>
          <w:color w:val="auto"/>
          <w:sz w:val="20"/>
          <w:szCs w:val="20"/>
          <w:lang w:eastAsia="es-MX"/>
        </w:rPr>
      </w:pPr>
      <w:r w:rsidRPr="00DD3671">
        <w:rPr>
          <w:rFonts w:eastAsia="Palatino Linotype" w:cs="Palatino Linotype"/>
          <w:i/>
          <w:iCs/>
          <w:color w:val="auto"/>
          <w:sz w:val="20"/>
          <w:szCs w:val="20"/>
          <w:lang w:eastAsia="es-MX"/>
        </w:rPr>
        <w:t xml:space="preserve">No omito comentarle que de acuerdo con lo que establece el artículo 12 de la Ley de Transparencia y Acceso a la Información Pública del Estado de México y Municipios </w:t>
      </w:r>
      <w:r w:rsidRPr="00DD3671">
        <w:rPr>
          <w:rFonts w:eastAsia="Palatino Linotype" w:cs="Palatino Linotype"/>
          <w:b/>
          <w:i/>
          <w:iCs/>
          <w:color w:val="auto"/>
          <w:sz w:val="20"/>
          <w:szCs w:val="20"/>
          <w:lang w:eastAsia="es-MX"/>
        </w:rPr>
        <w:t xml:space="preserve">"..Los Sujetos obligados sólo proporcionarán la información pública que se les requiera y que obre en sus archivos y en el estado en que ésta se encuentre. La obligación de proporcionar información no </w:t>
      </w:r>
      <w:r w:rsidRPr="00DD3671">
        <w:rPr>
          <w:rFonts w:eastAsia="Palatino Linotype" w:cs="Palatino Linotype"/>
          <w:b/>
          <w:i/>
          <w:iCs/>
          <w:color w:val="auto"/>
          <w:sz w:val="20"/>
          <w:szCs w:val="20"/>
          <w:lang w:eastAsia="es-MX"/>
        </w:rPr>
        <w:lastRenderedPageBreak/>
        <w:t>comprende el procesamiento de la misma, ni el presentarla conforme al interés del</w:t>
      </w:r>
      <w:r>
        <w:rPr>
          <w:rFonts w:eastAsia="Palatino Linotype" w:cs="Palatino Linotype"/>
          <w:b/>
          <w:i/>
          <w:iCs/>
          <w:color w:val="auto"/>
          <w:sz w:val="20"/>
          <w:szCs w:val="20"/>
          <w:lang w:eastAsia="es-MX"/>
        </w:rPr>
        <w:t xml:space="preserve"> </w:t>
      </w:r>
      <w:r w:rsidRPr="00DD3671">
        <w:rPr>
          <w:rFonts w:eastAsia="Palatino Linotype" w:cs="Palatino Linotype"/>
          <w:b/>
          <w:i/>
          <w:iCs/>
          <w:color w:val="auto"/>
          <w:sz w:val="20"/>
          <w:szCs w:val="20"/>
          <w:lang w:eastAsia="es-MX"/>
        </w:rPr>
        <w:t>solicitante; no estarán obligados a generarla, resumirla, efectuar cálculos o practicar investigaciones."</w:t>
      </w:r>
    </w:p>
    <w:p w14:paraId="06DE7C89" w14:textId="77777777" w:rsidR="00DD3671" w:rsidRDefault="00DD3671" w:rsidP="00FA0F8A">
      <w:pPr>
        <w:spacing w:after="0" w:line="360" w:lineRule="auto"/>
        <w:ind w:left="567" w:right="567"/>
        <w:rPr>
          <w:rFonts w:eastAsia="Palatino Linotype" w:cs="Palatino Linotype"/>
          <w:b/>
          <w:i/>
          <w:iCs/>
          <w:color w:val="auto"/>
          <w:sz w:val="20"/>
          <w:szCs w:val="20"/>
          <w:lang w:eastAsia="es-MX"/>
        </w:rPr>
      </w:pPr>
    </w:p>
    <w:p w14:paraId="205C5123" w14:textId="7FDC2345" w:rsidR="00DD3671" w:rsidRPr="00FA0F8A" w:rsidRDefault="00D63FB5" w:rsidP="00FA0F8A">
      <w:pPr>
        <w:spacing w:after="0" w:line="360" w:lineRule="auto"/>
        <w:ind w:left="567" w:right="567"/>
        <w:rPr>
          <w:rFonts w:eastAsia="Palatino Linotype" w:cs="Palatino Linotype"/>
          <w:i/>
          <w:iCs/>
          <w:color w:val="auto"/>
          <w:sz w:val="20"/>
          <w:szCs w:val="20"/>
          <w:lang w:eastAsia="es-MX"/>
        </w:rPr>
      </w:pPr>
      <w:r w:rsidRPr="00D63FB5">
        <w:rPr>
          <w:rFonts w:eastAsia="Palatino Linotype" w:cs="Palatino Linotype"/>
          <w:i/>
          <w:iCs/>
          <w:color w:val="auto"/>
          <w:sz w:val="20"/>
          <w:szCs w:val="20"/>
          <w:lang w:eastAsia="es-MX"/>
        </w:rPr>
        <w:t>Solicitando que, por su amable conducto, vía SAIMEX, se haga entrega de la información al peticionario, esto para tener satisfecho su derecho constitucional de acceso a la información pública</w:t>
      </w:r>
      <w:r>
        <w:rPr>
          <w:rFonts w:eastAsia="Palatino Linotype" w:cs="Palatino Linotype"/>
          <w:i/>
          <w:iCs/>
          <w:color w:val="auto"/>
          <w:sz w:val="20"/>
          <w:szCs w:val="20"/>
          <w:lang w:eastAsia="es-MX"/>
        </w:rPr>
        <w:t>…” (Sic)</w:t>
      </w:r>
    </w:p>
    <w:p w14:paraId="2EBBDA4E" w14:textId="77777777" w:rsidR="00FA0F8A" w:rsidRPr="00FA0F8A" w:rsidRDefault="00FA0F8A" w:rsidP="00FA0F8A">
      <w:pPr>
        <w:spacing w:after="0" w:line="360" w:lineRule="auto"/>
        <w:rPr>
          <w:rFonts w:eastAsia="Palatino Linotype" w:cs="Palatino Linotype"/>
          <w:color w:val="FF0000"/>
          <w:lang w:eastAsia="es-MX"/>
        </w:rPr>
      </w:pPr>
    </w:p>
    <w:p w14:paraId="77B29E6D" w14:textId="77777777" w:rsidR="00FA0F8A" w:rsidRPr="00FA0F8A" w:rsidRDefault="00FA0F8A" w:rsidP="00FA0F8A">
      <w:pPr>
        <w:keepNext/>
        <w:keepLines/>
        <w:spacing w:after="0" w:line="360" w:lineRule="auto"/>
        <w:outlineLvl w:val="1"/>
        <w:rPr>
          <w:rFonts w:eastAsia="Palatino Linotype" w:cs="Palatino Linotype"/>
          <w:b/>
          <w:color w:val="auto"/>
          <w:lang w:eastAsia="es-MX"/>
        </w:rPr>
      </w:pPr>
      <w:bookmarkStart w:id="5" w:name="_Toc203055264"/>
      <w:bookmarkStart w:id="6" w:name="_Toc205469914"/>
      <w:r w:rsidRPr="00FA0F8A">
        <w:rPr>
          <w:rFonts w:eastAsia="Palatino Linotype" w:cs="Palatino Linotype"/>
          <w:b/>
          <w:color w:val="auto"/>
          <w:lang w:eastAsia="es-MX"/>
        </w:rPr>
        <w:t>III. Interposición del Recurso de Revisión</w:t>
      </w:r>
      <w:bookmarkEnd w:id="5"/>
      <w:bookmarkEnd w:id="6"/>
    </w:p>
    <w:p w14:paraId="1A74AF5D" w14:textId="77777777" w:rsidR="00FA0F8A" w:rsidRPr="00FA0F8A" w:rsidRDefault="00FA0F8A" w:rsidP="00FA0F8A">
      <w:pPr>
        <w:spacing w:after="0" w:line="360" w:lineRule="auto"/>
        <w:rPr>
          <w:rFonts w:eastAsia="Palatino Linotype" w:cs="Palatino Linotype"/>
          <w:b/>
          <w:color w:val="FF0000"/>
          <w:lang w:eastAsia="es-MX"/>
        </w:rPr>
      </w:pPr>
    </w:p>
    <w:p w14:paraId="09784EB1" w14:textId="42338903" w:rsidR="00FA0F8A" w:rsidRPr="00FA0F8A" w:rsidRDefault="00FA0F8A" w:rsidP="00FA0F8A">
      <w:pPr>
        <w:spacing w:after="0" w:line="360" w:lineRule="auto"/>
        <w:rPr>
          <w:rFonts w:eastAsia="Palatino Linotype" w:cs="Palatino Linotype"/>
          <w:bCs/>
          <w:color w:val="auto"/>
          <w:lang w:eastAsia="es-MX"/>
        </w:rPr>
      </w:pPr>
      <w:r w:rsidRPr="00FA0F8A">
        <w:rPr>
          <w:rFonts w:eastAsia="Palatino Linotype" w:cs="Palatino Linotype"/>
          <w:bCs/>
          <w:color w:val="auto"/>
          <w:lang w:eastAsia="es-MX"/>
        </w:rPr>
        <w:t xml:space="preserve">El </w:t>
      </w:r>
      <w:r w:rsidR="00EB77D6" w:rsidRPr="00EB77D6">
        <w:rPr>
          <w:rFonts w:eastAsia="Palatino Linotype" w:cs="Palatino Linotype"/>
          <w:bCs/>
          <w:color w:val="auto"/>
          <w:lang w:eastAsia="es-MX"/>
        </w:rPr>
        <w:t xml:space="preserve">veintisiete de mayo </w:t>
      </w:r>
      <w:r w:rsidRPr="00FA0F8A">
        <w:rPr>
          <w:rFonts w:eastAsia="Palatino Linotype" w:cs="Palatino Linotype"/>
          <w:bCs/>
          <w:color w:val="auto"/>
          <w:lang w:eastAsia="es-MX"/>
        </w:rPr>
        <w:t xml:space="preserve">de dos mil veinticinco, se recibió en este Instituto, a través del </w:t>
      </w:r>
      <w:r w:rsidRPr="00FA0F8A">
        <w:rPr>
          <w:rFonts w:eastAsia="Palatino Linotype" w:cs="Palatino Linotype"/>
          <w:bCs/>
          <w:color w:val="auto"/>
          <w:lang w:val="es-ES" w:eastAsia="es-MX"/>
        </w:rPr>
        <w:t>Sistema de Acceso a la Información Mexiquense (SAIMEX)</w:t>
      </w:r>
      <w:r w:rsidRPr="00FA0F8A">
        <w:rPr>
          <w:rFonts w:eastAsia="Palatino Linotype" w:cs="Palatino Linotype"/>
          <w:bCs/>
          <w:color w:val="auto"/>
          <w:lang w:eastAsia="es-MX"/>
        </w:rPr>
        <w:t>,</w:t>
      </w:r>
      <w:r w:rsidRPr="00FA0F8A">
        <w:rPr>
          <w:rFonts w:eastAsia="Palatino Linotype" w:cs="Palatino Linotype"/>
          <w:color w:val="auto"/>
          <w:lang w:eastAsia="es-MX"/>
        </w:rPr>
        <w:t xml:space="preserve"> </w:t>
      </w:r>
      <w:r w:rsidRPr="00FA0F8A">
        <w:rPr>
          <w:rFonts w:eastAsia="Palatino Linotype" w:cs="Palatino Linotype"/>
          <w:bCs/>
          <w:color w:val="auto"/>
          <w:lang w:eastAsia="es-MX"/>
        </w:rPr>
        <w:t>el Recurso de Revisión interpuesto por la persona Recurrente, en contra de la respuesta por el Sujeto Obligado, a la solicitud de información</w:t>
      </w:r>
      <w:r w:rsidRPr="00FA0F8A">
        <w:rPr>
          <w:rFonts w:eastAsia="Calibri" w:cs="Times New Roman"/>
          <w:color w:val="auto"/>
          <w:lang w:eastAsia="es-MX"/>
        </w:rPr>
        <w:t xml:space="preserve">, </w:t>
      </w:r>
      <w:r w:rsidRPr="00FA0F8A">
        <w:rPr>
          <w:rFonts w:eastAsia="Palatino Linotype" w:cs="Palatino Linotype"/>
          <w:bCs/>
          <w:color w:val="auto"/>
          <w:lang w:eastAsia="es-MX"/>
        </w:rPr>
        <w:t xml:space="preserve">en los siguientes términos: </w:t>
      </w:r>
    </w:p>
    <w:p w14:paraId="676F8FD9" w14:textId="77777777" w:rsidR="00FA0F8A" w:rsidRPr="00FA0F8A" w:rsidRDefault="00FA0F8A" w:rsidP="00FA0F8A">
      <w:pPr>
        <w:spacing w:after="0" w:line="360" w:lineRule="auto"/>
        <w:ind w:left="567" w:right="567"/>
        <w:rPr>
          <w:rFonts w:eastAsia="Palatino Linotype" w:cs="Palatino Linotype"/>
          <w:b/>
          <w:bCs/>
          <w:i/>
          <w:color w:val="FF0000"/>
          <w:sz w:val="20"/>
          <w:szCs w:val="20"/>
          <w:lang w:eastAsia="es-MX"/>
        </w:rPr>
      </w:pPr>
    </w:p>
    <w:p w14:paraId="3DEE76D6" w14:textId="77777777" w:rsidR="00FA0F8A" w:rsidRPr="00FA0F8A" w:rsidRDefault="00FA0F8A" w:rsidP="00FA0F8A">
      <w:pPr>
        <w:spacing w:after="0" w:line="360" w:lineRule="auto"/>
        <w:ind w:left="567" w:right="567"/>
        <w:rPr>
          <w:rFonts w:eastAsia="Palatino Linotype" w:cs="Palatino Linotype"/>
          <w:bCs/>
          <w:i/>
          <w:color w:val="auto"/>
          <w:sz w:val="20"/>
          <w:szCs w:val="20"/>
          <w:lang w:eastAsia="es-MX"/>
        </w:rPr>
      </w:pPr>
      <w:r w:rsidRPr="00FA0F8A">
        <w:rPr>
          <w:rFonts w:eastAsia="Palatino Linotype" w:cs="Palatino Linotype"/>
          <w:b/>
          <w:bCs/>
          <w:i/>
          <w:color w:val="auto"/>
          <w:sz w:val="20"/>
          <w:szCs w:val="20"/>
          <w:lang w:eastAsia="es-MX"/>
        </w:rPr>
        <w:t>‘’ACTO IMPUGNADO</w:t>
      </w:r>
    </w:p>
    <w:p w14:paraId="0051C504" w14:textId="0E65C784" w:rsidR="00FA0F8A" w:rsidRPr="00FA0F8A" w:rsidRDefault="00EB77D6" w:rsidP="00FA0F8A">
      <w:pPr>
        <w:spacing w:after="0" w:line="360" w:lineRule="auto"/>
        <w:ind w:left="567" w:right="567"/>
        <w:rPr>
          <w:rFonts w:eastAsia="Palatino Linotype" w:cs="Palatino Linotype"/>
          <w:i/>
          <w:iCs/>
          <w:color w:val="auto"/>
          <w:sz w:val="20"/>
          <w:szCs w:val="20"/>
          <w:lang w:eastAsia="es-MX"/>
        </w:rPr>
      </w:pPr>
      <w:r w:rsidRPr="00EB77D6">
        <w:rPr>
          <w:rFonts w:eastAsia="Palatino Linotype" w:cs="Palatino Linotype"/>
          <w:i/>
          <w:iCs/>
          <w:color w:val="auto"/>
          <w:sz w:val="20"/>
          <w:szCs w:val="20"/>
          <w:lang w:eastAsia="es-MX"/>
        </w:rPr>
        <w:t>no entregan la información solicitada</w:t>
      </w:r>
      <w:r w:rsidR="00FA0F8A" w:rsidRPr="00FA0F8A">
        <w:rPr>
          <w:rFonts w:eastAsia="Palatino Linotype" w:cs="Palatino Linotype"/>
          <w:i/>
          <w:iCs/>
          <w:color w:val="auto"/>
          <w:sz w:val="20"/>
          <w:szCs w:val="20"/>
          <w:lang w:eastAsia="es-MX"/>
        </w:rPr>
        <w:t>” (Sic.)</w:t>
      </w:r>
    </w:p>
    <w:p w14:paraId="5BFFD2B0" w14:textId="77777777" w:rsidR="00FA0F8A" w:rsidRPr="00FA0F8A" w:rsidRDefault="00FA0F8A" w:rsidP="00FA0F8A">
      <w:pPr>
        <w:spacing w:after="0" w:line="360" w:lineRule="auto"/>
        <w:ind w:left="567" w:right="567"/>
        <w:rPr>
          <w:rFonts w:eastAsia="Palatino Linotype" w:cs="Palatino Linotype"/>
          <w:i/>
          <w:color w:val="FF0000"/>
          <w:sz w:val="20"/>
          <w:szCs w:val="20"/>
          <w:lang w:eastAsia="es-MX"/>
        </w:rPr>
      </w:pPr>
    </w:p>
    <w:p w14:paraId="0042988A" w14:textId="77777777" w:rsidR="00FA0F8A" w:rsidRPr="00FA0F8A" w:rsidRDefault="00FA0F8A" w:rsidP="00FA0F8A">
      <w:pPr>
        <w:spacing w:after="0" w:line="360" w:lineRule="auto"/>
        <w:ind w:left="567" w:right="567"/>
        <w:rPr>
          <w:rFonts w:eastAsia="Palatino Linotype" w:cs="Palatino Linotype"/>
          <w:b/>
          <w:i/>
          <w:color w:val="auto"/>
          <w:sz w:val="20"/>
          <w:szCs w:val="20"/>
          <w:lang w:eastAsia="es-MX"/>
        </w:rPr>
      </w:pPr>
      <w:r w:rsidRPr="00FA0F8A">
        <w:rPr>
          <w:rFonts w:eastAsia="Palatino Linotype" w:cs="Palatino Linotype"/>
          <w:b/>
          <w:i/>
          <w:color w:val="auto"/>
          <w:sz w:val="20"/>
          <w:szCs w:val="20"/>
          <w:lang w:eastAsia="es-MX"/>
        </w:rPr>
        <w:t>‘’RAZONES O MOTIVOS DE LA INCONFORMIDAD</w:t>
      </w:r>
    </w:p>
    <w:p w14:paraId="15E28588" w14:textId="4EA43B67" w:rsidR="00FA0F8A" w:rsidRPr="00FA0F8A" w:rsidRDefault="00EB77D6" w:rsidP="00FA0F8A">
      <w:pPr>
        <w:spacing w:after="0" w:line="360" w:lineRule="auto"/>
        <w:ind w:left="567" w:right="567"/>
        <w:rPr>
          <w:rFonts w:eastAsia="Palatino Linotype" w:cs="Palatino Linotype"/>
          <w:i/>
          <w:iCs/>
          <w:color w:val="auto"/>
          <w:sz w:val="20"/>
          <w:szCs w:val="20"/>
          <w:lang w:eastAsia="es-MX"/>
        </w:rPr>
      </w:pPr>
      <w:r w:rsidRPr="00EB77D6">
        <w:rPr>
          <w:rFonts w:eastAsia="Palatino Linotype" w:cs="Palatino Linotype"/>
          <w:i/>
          <w:iCs/>
          <w:color w:val="auto"/>
          <w:sz w:val="20"/>
          <w:szCs w:val="20"/>
          <w:lang w:eastAsia="es-MX"/>
        </w:rPr>
        <w:t>nos remiten a la plataforma IPOMEX en la que se aprecia únicamente lo que percibe cada trabajador y lo que se solicitó es la "nomina" y el personal de recursos humanos debiera conocer que la nomina es aquel documento que contiene las percepciones ordinarias y extraordinarias y demás datos de cada trabajador de acuerdo con el OSFEM, por lo tanto el remitir a IPOMEX no satisface la petición pues además esta plataforma se actualiza cada trimestre y las percepciones pueden cambiar de una quincena a otra por los movimientos de percepciones y deducciones, Pedimos se entregue la nomina del periodo solicitado.</w:t>
      </w:r>
      <w:r w:rsidR="00FA0F8A" w:rsidRPr="00FA0F8A">
        <w:rPr>
          <w:rFonts w:eastAsia="Palatino Linotype" w:cs="Palatino Linotype"/>
          <w:i/>
          <w:iCs/>
          <w:color w:val="auto"/>
          <w:sz w:val="20"/>
          <w:szCs w:val="20"/>
          <w:lang w:eastAsia="es-MX"/>
        </w:rPr>
        <w:t>” (Sic.)</w:t>
      </w:r>
    </w:p>
    <w:p w14:paraId="2E296A02" w14:textId="77777777" w:rsidR="00FA0F8A" w:rsidRPr="00FA0F8A" w:rsidRDefault="00FA0F8A" w:rsidP="00FA0F8A">
      <w:pPr>
        <w:spacing w:after="0" w:line="360" w:lineRule="auto"/>
        <w:ind w:right="567"/>
        <w:rPr>
          <w:rFonts w:eastAsia="Palatino Linotype" w:cs="Palatino Linotype"/>
          <w:i/>
          <w:color w:val="FF0000"/>
          <w:sz w:val="20"/>
          <w:szCs w:val="20"/>
          <w:lang w:eastAsia="es-MX"/>
        </w:rPr>
      </w:pPr>
    </w:p>
    <w:p w14:paraId="05D48808" w14:textId="77777777" w:rsidR="00FA0F8A" w:rsidRPr="00FA0F8A" w:rsidRDefault="00FA0F8A" w:rsidP="00FA0F8A">
      <w:pPr>
        <w:keepNext/>
        <w:keepLines/>
        <w:spacing w:after="0" w:line="360" w:lineRule="auto"/>
        <w:outlineLvl w:val="1"/>
        <w:rPr>
          <w:rFonts w:eastAsia="Palatino Linotype" w:cs="Palatino Linotype"/>
          <w:b/>
          <w:color w:val="auto"/>
          <w:lang w:eastAsia="es-MX"/>
        </w:rPr>
      </w:pPr>
      <w:bookmarkStart w:id="7" w:name="_Toc203055265"/>
      <w:bookmarkStart w:id="8" w:name="_Toc205469915"/>
      <w:r w:rsidRPr="00FA0F8A">
        <w:rPr>
          <w:rFonts w:eastAsia="Palatino Linotype" w:cs="Palatino Linotype"/>
          <w:b/>
          <w:color w:val="auto"/>
          <w:lang w:eastAsia="es-MX"/>
        </w:rPr>
        <w:lastRenderedPageBreak/>
        <w:t>IV. Trámite del Recurso de Revisión ante este Instituto</w:t>
      </w:r>
      <w:bookmarkEnd w:id="7"/>
      <w:bookmarkEnd w:id="8"/>
    </w:p>
    <w:p w14:paraId="45735487" w14:textId="77777777" w:rsidR="00FA0F8A" w:rsidRPr="00FA0F8A" w:rsidRDefault="00FA0F8A" w:rsidP="00FA0F8A">
      <w:pPr>
        <w:spacing w:after="0" w:line="360" w:lineRule="auto"/>
        <w:rPr>
          <w:rFonts w:eastAsia="Palatino Linotype" w:cs="Palatino Linotype"/>
          <w:b/>
          <w:bCs/>
          <w:color w:val="auto"/>
          <w:lang w:eastAsia="es-MX"/>
        </w:rPr>
      </w:pPr>
    </w:p>
    <w:p w14:paraId="747E8CAA" w14:textId="1E4B7B92" w:rsidR="00FA0F8A" w:rsidRPr="00FA0F8A" w:rsidRDefault="00FA0F8A" w:rsidP="00FA0F8A">
      <w:pPr>
        <w:spacing w:after="0" w:line="360" w:lineRule="auto"/>
        <w:rPr>
          <w:rFonts w:eastAsia="Palatino Linotype" w:cs="Palatino Linotype"/>
          <w:bCs/>
          <w:color w:val="auto"/>
          <w:lang w:eastAsia="es-MX"/>
        </w:rPr>
      </w:pPr>
      <w:r w:rsidRPr="00FA0F8A">
        <w:rPr>
          <w:rFonts w:eastAsia="Palatino Linotype" w:cs="Palatino Linotype"/>
          <w:b/>
          <w:bCs/>
          <w:color w:val="auto"/>
          <w:lang w:eastAsia="es-MX"/>
        </w:rPr>
        <w:t>a) Turno del Medio de Impugnación.</w:t>
      </w:r>
      <w:r w:rsidRPr="00FA0F8A">
        <w:rPr>
          <w:rFonts w:eastAsia="Palatino Linotype" w:cs="Palatino Linotype"/>
          <w:bCs/>
          <w:color w:val="auto"/>
          <w:lang w:eastAsia="es-MX"/>
        </w:rPr>
        <w:t xml:space="preserve"> El</w:t>
      </w:r>
      <w:r w:rsidR="00EB77D6" w:rsidRPr="00EB77D6">
        <w:rPr>
          <w:rFonts w:eastAsia="Palatino Linotype" w:cs="Palatino Linotype"/>
          <w:bCs/>
          <w:color w:val="auto"/>
          <w:lang w:eastAsia="es-MX"/>
        </w:rPr>
        <w:t xml:space="preserve"> veintisiete de mayo </w:t>
      </w:r>
      <w:r w:rsidR="00EB77D6" w:rsidRPr="00FA0F8A">
        <w:rPr>
          <w:rFonts w:eastAsia="Palatino Linotype" w:cs="Palatino Linotype"/>
          <w:bCs/>
          <w:color w:val="auto"/>
          <w:lang w:eastAsia="es-MX"/>
        </w:rPr>
        <w:t>de dos mil veinticinco</w:t>
      </w:r>
      <w:r w:rsidRPr="00FA0F8A">
        <w:rPr>
          <w:rFonts w:eastAsia="Palatino Linotype" w:cs="Palatino Linotype"/>
          <w:bCs/>
          <w:color w:val="auto"/>
          <w:lang w:eastAsia="es-MX"/>
        </w:rPr>
        <w:t xml:space="preserve">, el </w:t>
      </w:r>
      <w:r w:rsidRPr="00FA0F8A">
        <w:rPr>
          <w:rFonts w:eastAsia="Palatino Linotype" w:cs="Palatino Linotype"/>
          <w:color w:val="auto"/>
          <w:lang w:val="es-ES" w:eastAsia="es-MX"/>
        </w:rPr>
        <w:t>Sistema de Acceso a la Información Mexiquense (SAIMEX),</w:t>
      </w:r>
      <w:r w:rsidRPr="00FA0F8A">
        <w:rPr>
          <w:rFonts w:eastAsia="Palatino Linotype" w:cs="Palatino Linotype"/>
          <w:bCs/>
          <w:color w:val="auto"/>
          <w:lang w:eastAsia="es-MX"/>
        </w:rPr>
        <w:t xml:space="preserve"> asignó el número de expediente </w:t>
      </w:r>
      <w:r w:rsidRPr="00FA0F8A">
        <w:rPr>
          <w:rFonts w:eastAsia="Palatino Linotype" w:cs="Palatino Linotype"/>
          <w:b/>
          <w:bCs/>
          <w:color w:val="auto"/>
          <w:lang w:eastAsia="es-MX"/>
        </w:rPr>
        <w:t>0</w:t>
      </w:r>
      <w:r w:rsidR="00EB77D6" w:rsidRPr="00EB77D6">
        <w:rPr>
          <w:rFonts w:eastAsia="Palatino Linotype" w:cs="Palatino Linotype"/>
          <w:b/>
          <w:bCs/>
          <w:color w:val="auto"/>
          <w:lang w:eastAsia="es-MX"/>
        </w:rPr>
        <w:t>6061</w:t>
      </w:r>
      <w:r w:rsidRPr="00FA0F8A">
        <w:rPr>
          <w:rFonts w:eastAsia="Palatino Linotype" w:cs="Palatino Linotype"/>
          <w:b/>
          <w:bCs/>
          <w:color w:val="auto"/>
          <w:lang w:eastAsia="es-MX"/>
        </w:rPr>
        <w:t>/INFOEM/IP/RR/2025</w:t>
      </w:r>
      <w:r w:rsidRPr="00FA0F8A">
        <w:rPr>
          <w:rFonts w:eastAsia="Palatino Linotype" w:cs="Palatino Linotype"/>
          <w:bCs/>
          <w:color w:val="auto"/>
          <w:lang w:eastAsia="es-MX"/>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35E75CDB" w14:textId="77777777" w:rsidR="00FA0F8A" w:rsidRPr="00FA0F8A" w:rsidRDefault="00FA0F8A" w:rsidP="00FA0F8A">
      <w:pPr>
        <w:spacing w:after="0" w:line="360" w:lineRule="auto"/>
        <w:rPr>
          <w:rFonts w:eastAsia="Palatino Linotype" w:cs="Palatino Linotype"/>
          <w:b/>
          <w:bCs/>
          <w:color w:val="FF0000"/>
          <w:lang w:eastAsia="es-MX"/>
        </w:rPr>
      </w:pPr>
    </w:p>
    <w:p w14:paraId="07E20438" w14:textId="585A2E4A" w:rsidR="00FA0F8A" w:rsidRPr="00FA0F8A" w:rsidRDefault="00FA0F8A" w:rsidP="00FA0F8A">
      <w:pPr>
        <w:spacing w:after="0" w:line="360" w:lineRule="auto"/>
        <w:rPr>
          <w:rFonts w:eastAsia="Palatino Linotype" w:cs="Palatino Linotype"/>
          <w:color w:val="auto"/>
          <w:lang w:eastAsia="es-MX"/>
        </w:rPr>
      </w:pPr>
      <w:r w:rsidRPr="00FA0F8A">
        <w:rPr>
          <w:rFonts w:eastAsia="Palatino Linotype" w:cs="Palatino Linotype"/>
          <w:b/>
          <w:bCs/>
          <w:color w:val="auto"/>
          <w:lang w:eastAsia="es-MX"/>
        </w:rPr>
        <w:t>b) Admisión del Recurso de Revisión</w:t>
      </w:r>
      <w:r w:rsidRPr="00FA0F8A">
        <w:rPr>
          <w:rFonts w:eastAsia="Palatino Linotype" w:cs="Palatino Linotype"/>
          <w:b/>
          <w:bCs/>
          <w:color w:val="auto"/>
          <w:lang w:val="es-ES_tradnl" w:eastAsia="es-MX"/>
        </w:rPr>
        <w:t xml:space="preserve">. </w:t>
      </w:r>
      <w:r w:rsidRPr="00FA0F8A">
        <w:rPr>
          <w:rFonts w:eastAsia="Palatino Linotype" w:cs="Palatino Linotype"/>
          <w:color w:val="auto"/>
          <w:lang w:eastAsia="es-MX"/>
        </w:rPr>
        <w:t xml:space="preserve">El </w:t>
      </w:r>
      <w:r w:rsidR="00D078DA" w:rsidRPr="00E04C32">
        <w:rPr>
          <w:rFonts w:eastAsia="Palatino Linotype" w:cs="Palatino Linotype"/>
          <w:color w:val="auto"/>
          <w:lang w:eastAsia="es-MX"/>
        </w:rPr>
        <w:t xml:space="preserve">treinta de mayo de dos mil veinticinco, </w:t>
      </w:r>
      <w:r w:rsidRPr="00FA0F8A">
        <w:rPr>
          <w:rFonts w:eastAsia="Palatino Linotype" w:cs="Palatino Linotype"/>
          <w:bCs/>
          <w:color w:val="auto"/>
          <w:lang w:val="es-ES_tradnl" w:eastAsia="es-MX"/>
        </w:rPr>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w:t>
      </w:r>
      <w:r w:rsidR="00D078DA" w:rsidRPr="00E04C32">
        <w:rPr>
          <w:rFonts w:eastAsia="Palatino Linotype" w:cs="Palatino Linotype"/>
          <w:bCs/>
          <w:color w:val="auto"/>
          <w:lang w:val="es-ES_tradnl" w:eastAsia="es-MX"/>
        </w:rPr>
        <w:t xml:space="preserve"> mismo día</w:t>
      </w:r>
      <w:r w:rsidRPr="00FA0F8A">
        <w:rPr>
          <w:rFonts w:eastAsia="Palatino Linotype" w:cs="Palatino Linotype"/>
          <w:bCs/>
          <w:color w:val="auto"/>
          <w:lang w:val="es-ES_tradnl" w:eastAsia="es-MX"/>
        </w:rPr>
        <w:t>, a través del Sistema de Acceso a la Información Mexiquense (SAIMEX), en el que se les otorgó un plazo de siete días hábiles posteriores a la misma, para que manifestaran lo que a su derecho conviniera y formularan alegatos.</w:t>
      </w:r>
    </w:p>
    <w:p w14:paraId="04C896D6" w14:textId="77777777" w:rsidR="00FA0F8A" w:rsidRPr="00FA0F8A" w:rsidRDefault="00FA0F8A" w:rsidP="00FA0F8A">
      <w:pPr>
        <w:spacing w:after="0" w:line="360" w:lineRule="auto"/>
        <w:rPr>
          <w:rFonts w:eastAsia="Palatino Linotype" w:cs="Tahoma"/>
          <w:color w:val="FF0000"/>
          <w:lang w:val="es-ES_tradnl" w:eastAsia="es-MX"/>
        </w:rPr>
      </w:pPr>
    </w:p>
    <w:p w14:paraId="39DDB04F" w14:textId="534B3926" w:rsidR="00FA0F8A" w:rsidRDefault="00FA0F8A" w:rsidP="00FA0F8A">
      <w:pPr>
        <w:spacing w:after="0" w:line="360" w:lineRule="auto"/>
      </w:pPr>
      <w:bookmarkStart w:id="9" w:name="_Hlk182976945"/>
      <w:r w:rsidRPr="00FA0F8A">
        <w:rPr>
          <w:rFonts w:eastAsia="Palatino Linotype" w:cs="Palatino Linotype"/>
          <w:b/>
          <w:color w:val="auto"/>
          <w:lang w:eastAsia="es-MX"/>
        </w:rPr>
        <w:t xml:space="preserve">c) Informe Justificado. </w:t>
      </w:r>
      <w:r w:rsidRPr="00FA0F8A">
        <w:rPr>
          <w:rFonts w:eastAsia="Times New Roman" w:cs="Tahoma"/>
          <w:iCs/>
          <w:color w:val="auto"/>
          <w:lang w:val="es-ES" w:eastAsia="es-MX"/>
        </w:rPr>
        <w:t xml:space="preserve">El </w:t>
      </w:r>
      <w:r w:rsidR="00E04C32" w:rsidRPr="00E04C32">
        <w:rPr>
          <w:rFonts w:eastAsia="Times New Roman" w:cs="Tahoma"/>
          <w:iCs/>
          <w:color w:val="auto"/>
          <w:lang w:val="es-ES" w:eastAsia="es-MX"/>
        </w:rPr>
        <w:t xml:space="preserve">cuatro de junio </w:t>
      </w:r>
      <w:r w:rsidRPr="00FA0F8A">
        <w:rPr>
          <w:rFonts w:eastAsia="Times New Roman" w:cs="Tahoma"/>
          <w:iCs/>
          <w:color w:val="auto"/>
          <w:lang w:val="es-ES" w:eastAsia="es-MX"/>
        </w:rPr>
        <w:t>de dos mil veinticinco</w:t>
      </w:r>
      <w:r w:rsidRPr="00FA0F8A">
        <w:rPr>
          <w:rFonts w:eastAsia="Times New Roman" w:cs="Tahoma"/>
          <w:color w:val="auto"/>
          <w:lang w:val="es-ES_tradnl" w:eastAsia="es-MX"/>
        </w:rPr>
        <w:t xml:space="preserve">, se recibió, a través del Sistema de Acceso a la Información Mexiquense (SAIMEX), el Informe Justificado del Sujeto Obligado, a través </w:t>
      </w:r>
      <w:r w:rsidR="00E04C32">
        <w:rPr>
          <w:rFonts w:eastAsia="Times New Roman" w:cs="Tahoma"/>
          <w:color w:val="auto"/>
          <w:lang w:val="es-ES_tradnl" w:eastAsia="es-MX"/>
        </w:rPr>
        <w:t xml:space="preserve">del oficio </w:t>
      </w:r>
      <w:r w:rsidR="00884475">
        <w:t>OPDM/OM-511/2025 del dos de junio de dos mil veinticinco, suscrito por la Titular del Área de Recursos Humanos, Titular de la Oficialía Mayor y Titular de la Subdirección de Administración, dirigido al Titular de la Unidad de Transparencia, por medio del cual ratificó su respuesta.</w:t>
      </w:r>
    </w:p>
    <w:p w14:paraId="50A4AD64" w14:textId="77777777" w:rsidR="004A0D4F" w:rsidRDefault="004A0D4F" w:rsidP="00FA0F8A">
      <w:pPr>
        <w:spacing w:after="0" w:line="360" w:lineRule="auto"/>
      </w:pPr>
    </w:p>
    <w:p w14:paraId="589CC32C" w14:textId="48847FB1" w:rsidR="004A0D4F" w:rsidRPr="004A0D4F" w:rsidRDefault="004A0D4F" w:rsidP="004A0D4F">
      <w:pPr>
        <w:spacing w:after="0" w:line="360" w:lineRule="auto"/>
        <w:rPr>
          <w:rFonts w:eastAsia="Times New Roman" w:cs="Tahoma"/>
          <w:color w:val="auto"/>
          <w:lang w:val="es-ES_tradnl" w:eastAsia="es-MX"/>
        </w:rPr>
      </w:pPr>
      <w:r w:rsidRPr="004A0D4F">
        <w:rPr>
          <w:rFonts w:eastAsia="Times New Roman" w:cs="Tahoma"/>
          <w:b/>
          <w:color w:val="auto"/>
          <w:lang w:val="es-ES_tradnl" w:eastAsia="es-MX"/>
        </w:rPr>
        <w:lastRenderedPageBreak/>
        <w:t>d) Vista del Informe Justificado.</w:t>
      </w:r>
      <w:r w:rsidRPr="004A0D4F">
        <w:rPr>
          <w:rFonts w:eastAsia="Times New Roman" w:cs="Tahoma"/>
          <w:color w:val="auto"/>
          <w:lang w:val="es-ES_tradnl" w:eastAsia="es-MX"/>
        </w:rPr>
        <w:t xml:space="preserve"> El catorce de julio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el mismo día. </w:t>
      </w:r>
      <w:r w:rsidRPr="004A0D4F">
        <w:rPr>
          <w:rFonts w:eastAsia="Times New Roman" w:cs="Tahoma"/>
          <w:b/>
          <w:color w:val="auto"/>
          <w:lang w:val="es-ES_tradnl" w:eastAsia="es-MX"/>
        </w:rPr>
        <w:t>Cabe señalar que el Particular fue omiso en realizar manifestación alguna.</w:t>
      </w:r>
    </w:p>
    <w:p w14:paraId="07DC3F4C" w14:textId="77777777" w:rsidR="004A0D4F" w:rsidRPr="00FA0F8A" w:rsidRDefault="004A0D4F" w:rsidP="00FA0F8A">
      <w:pPr>
        <w:spacing w:after="0" w:line="360" w:lineRule="auto"/>
        <w:rPr>
          <w:rFonts w:eastAsia="Times New Roman" w:cs="Tahoma"/>
          <w:color w:val="FF0000"/>
          <w:lang w:val="es-ES_tradnl" w:eastAsia="es-MX"/>
        </w:rPr>
      </w:pPr>
    </w:p>
    <w:p w14:paraId="08C19F45" w14:textId="4F75B943" w:rsidR="00FA0F8A" w:rsidRPr="002605AC" w:rsidRDefault="004A0D4F" w:rsidP="00FA0F8A">
      <w:pPr>
        <w:spacing w:after="0" w:line="360" w:lineRule="auto"/>
        <w:rPr>
          <w:rFonts w:eastAsia="Times New Roman" w:cs="Tahoma"/>
          <w:color w:val="auto"/>
          <w:szCs w:val="24"/>
          <w:lang w:eastAsia="es-ES"/>
        </w:rPr>
      </w:pPr>
      <w:r w:rsidRPr="004A0D4F">
        <w:rPr>
          <w:rFonts w:eastAsia="Times New Roman" w:cs="Tahoma"/>
          <w:b/>
          <w:color w:val="auto"/>
          <w:szCs w:val="24"/>
          <w:lang w:eastAsia="es-ES"/>
        </w:rPr>
        <w:t>e</w:t>
      </w:r>
      <w:r w:rsidR="00FA0F8A" w:rsidRPr="00FA0F8A">
        <w:rPr>
          <w:rFonts w:eastAsia="Times New Roman" w:cs="Tahoma"/>
          <w:b/>
          <w:color w:val="auto"/>
          <w:szCs w:val="24"/>
          <w:lang w:eastAsia="es-ES"/>
        </w:rPr>
        <w:t xml:space="preserve">) Ampliación de plazo para resolver. </w:t>
      </w:r>
      <w:r w:rsidR="00FA0F8A" w:rsidRPr="00FA0F8A">
        <w:rPr>
          <w:rFonts w:eastAsia="Times New Roman" w:cs="Tahoma"/>
          <w:color w:val="auto"/>
          <w:szCs w:val="24"/>
          <w:lang w:eastAsia="es-ES"/>
        </w:rPr>
        <w:t xml:space="preserve">El </w:t>
      </w:r>
      <w:r w:rsidRPr="004A0D4F">
        <w:rPr>
          <w:rFonts w:eastAsia="Times New Roman" w:cs="Tahoma"/>
          <w:color w:val="auto"/>
          <w:szCs w:val="24"/>
          <w:lang w:eastAsia="es-ES"/>
        </w:rPr>
        <w:t xml:space="preserve">quince de julio de dos mil veinticinco, </w:t>
      </w:r>
      <w:r w:rsidR="00FA0F8A" w:rsidRPr="00FA0F8A">
        <w:rPr>
          <w:rFonts w:eastAsia="Times New Roman" w:cs="Tahoma"/>
          <w:color w:val="auto"/>
          <w:szCs w:val="24"/>
          <w:lang w:eastAsia="es-ES"/>
        </w:rPr>
        <w:t xml:space="preserve">el Comisionado Ponente, con fundamento en lo dispuesto por el artículo 181, párrafo tercero, de la Ley de Transparencia y Acceso a la Información Pública del Estado de México y Municipios, acordó </w:t>
      </w:r>
      <w:r w:rsidR="00FA0F8A" w:rsidRPr="002605AC">
        <w:rPr>
          <w:rFonts w:eastAsia="Times New Roman" w:cs="Tahoma"/>
          <w:color w:val="auto"/>
          <w:szCs w:val="24"/>
          <w:lang w:eastAsia="es-ES"/>
        </w:rPr>
        <w:t xml:space="preserve">ampliar por un periodo </w:t>
      </w:r>
      <w:r w:rsidRPr="002605AC">
        <w:rPr>
          <w:rFonts w:eastAsia="Times New Roman" w:cs="Tahoma"/>
          <w:color w:val="auto"/>
          <w:szCs w:val="24"/>
          <w:lang w:eastAsia="es-ES"/>
        </w:rPr>
        <w:t>de quince días</w:t>
      </w:r>
      <w:r w:rsidR="00FA0F8A" w:rsidRPr="002605AC">
        <w:rPr>
          <w:rFonts w:eastAsia="Times New Roman" w:cs="Tahoma"/>
          <w:color w:val="auto"/>
          <w:szCs w:val="24"/>
          <w:lang w:eastAsia="es-ES"/>
        </w:rPr>
        <w:t>, el plazo para resolver el Recurso de Revisión que nos ocupa; acto que fue notificado a las partes el diecisiete de dicho mes y año, mediante el Sistema de Acceso a la Información Mexiquense (SAIMEX).</w:t>
      </w:r>
    </w:p>
    <w:p w14:paraId="0707C202" w14:textId="77777777" w:rsidR="00FA0F8A" w:rsidRPr="002605AC" w:rsidRDefault="00FA0F8A" w:rsidP="00FA0F8A">
      <w:pPr>
        <w:spacing w:after="0" w:line="360" w:lineRule="auto"/>
        <w:rPr>
          <w:rFonts w:eastAsia="Palatino Linotype" w:cs="Palatino Linotype"/>
          <w:color w:val="FF0000"/>
          <w:lang w:eastAsia="es-MX"/>
        </w:rPr>
      </w:pPr>
    </w:p>
    <w:p w14:paraId="4FAA7315" w14:textId="32EA7348" w:rsidR="00FA0F8A" w:rsidRPr="00FA0F8A" w:rsidRDefault="000677B4" w:rsidP="00FA0F8A">
      <w:pPr>
        <w:spacing w:after="0" w:line="360" w:lineRule="auto"/>
        <w:contextualSpacing/>
        <w:rPr>
          <w:rFonts w:eastAsia="Times New Roman" w:cs="Tahoma"/>
          <w:color w:val="auto"/>
          <w:szCs w:val="24"/>
          <w:lang w:eastAsia="es-ES"/>
        </w:rPr>
      </w:pPr>
      <w:r>
        <w:rPr>
          <w:rFonts w:eastAsia="Batang" w:cs="Tahoma"/>
          <w:b/>
          <w:color w:val="auto"/>
          <w:lang w:eastAsia="es-MX"/>
        </w:rPr>
        <w:t>f</w:t>
      </w:r>
      <w:r w:rsidR="00FA0F8A" w:rsidRPr="002605AC">
        <w:rPr>
          <w:rFonts w:eastAsia="Batang" w:cs="Tahoma"/>
          <w:b/>
          <w:color w:val="auto"/>
          <w:lang w:eastAsia="es-MX"/>
        </w:rPr>
        <w:t xml:space="preserve">) </w:t>
      </w:r>
      <w:r w:rsidR="00FA0F8A" w:rsidRPr="002605AC">
        <w:rPr>
          <w:rFonts w:eastAsia="Times New Roman" w:cs="Tahoma"/>
          <w:b/>
          <w:color w:val="auto"/>
          <w:szCs w:val="24"/>
          <w:lang w:eastAsia="es-ES"/>
        </w:rPr>
        <w:t>Cierre de instrucción.</w:t>
      </w:r>
      <w:r w:rsidR="00FA0F8A" w:rsidRPr="002605AC">
        <w:rPr>
          <w:rFonts w:eastAsia="Times New Roman" w:cs="Tahoma"/>
          <w:color w:val="auto"/>
          <w:szCs w:val="24"/>
          <w:lang w:eastAsia="es-ES"/>
        </w:rPr>
        <w:t xml:space="preserve"> El </w:t>
      </w:r>
      <w:r w:rsidR="009C4DC6">
        <w:rPr>
          <w:rFonts w:eastAsia="Times New Roman" w:cs="Tahoma"/>
          <w:color w:val="auto"/>
          <w:szCs w:val="24"/>
          <w:lang w:eastAsia="es-ES"/>
        </w:rPr>
        <w:t xml:space="preserve">cinco de agosto </w:t>
      </w:r>
      <w:r w:rsidR="004A0D4F" w:rsidRPr="002605AC">
        <w:rPr>
          <w:rFonts w:eastAsia="Times New Roman" w:cs="Tahoma"/>
          <w:color w:val="auto"/>
          <w:szCs w:val="24"/>
          <w:lang w:eastAsia="es-ES"/>
        </w:rPr>
        <w:t>de dos mil veinticinco</w:t>
      </w:r>
      <w:r w:rsidR="00FA0F8A" w:rsidRPr="002605AC">
        <w:rPr>
          <w:rFonts w:eastAsia="Times New Roman" w:cs="Tahoma"/>
          <w:color w:val="auto"/>
          <w:szCs w:val="24"/>
          <w:lang w:eastAsia="es-ES"/>
        </w:rPr>
        <w:t>, al</w:t>
      </w:r>
      <w:r w:rsidR="00FA0F8A" w:rsidRPr="00FA0F8A">
        <w:rPr>
          <w:rFonts w:eastAsia="Times New Roman" w:cs="Tahoma"/>
          <w:color w:val="auto"/>
          <w:szCs w:val="24"/>
          <w:lang w:eastAsia="es-ES"/>
        </w:rPr>
        <w:t xml:space="preserve">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FA0F8A" w:rsidRPr="00FA0F8A">
        <w:rPr>
          <w:rFonts w:eastAsia="Palatino Linotype" w:cs="Palatino Linotype"/>
          <w:color w:val="auto"/>
          <w:lang w:val="es-ES" w:eastAsia="es-MX"/>
        </w:rPr>
        <w:t>acto que fue notificado a las partes, mediante el Sistema de Acceso a la Información Mexiquense (SAIMEX), el mismo día.</w:t>
      </w:r>
    </w:p>
    <w:p w14:paraId="590DDAD9" w14:textId="77777777" w:rsidR="00FA0F8A" w:rsidRPr="00FA0F8A" w:rsidRDefault="00FA0F8A" w:rsidP="00FA0F8A">
      <w:pPr>
        <w:spacing w:after="0" w:line="360" w:lineRule="auto"/>
        <w:contextualSpacing/>
        <w:rPr>
          <w:rFonts w:eastAsia="Palatino Linotype" w:cs="Palatino Linotype"/>
          <w:color w:val="FF0000"/>
          <w:lang w:val="es-ES" w:eastAsia="es-MX"/>
        </w:rPr>
      </w:pPr>
    </w:p>
    <w:p w14:paraId="03919818" w14:textId="77777777" w:rsidR="00FA0F8A" w:rsidRPr="00FA0F8A" w:rsidRDefault="00FA0F8A" w:rsidP="00FA0F8A">
      <w:pPr>
        <w:spacing w:after="0" w:line="360" w:lineRule="auto"/>
        <w:rPr>
          <w:rFonts w:eastAsia="Palatino Linotype" w:cs="Palatino Linotype"/>
          <w:color w:val="auto"/>
          <w:lang w:eastAsia="es-MX"/>
        </w:rPr>
      </w:pPr>
      <w:r w:rsidRPr="00FA0F8A">
        <w:rPr>
          <w:rFonts w:eastAsia="Palatino Linotype" w:cs="Palatino Linotype"/>
          <w:color w:val="auto"/>
          <w:lang w:eastAsia="es-MX"/>
        </w:rPr>
        <w:t>En razón de que fue debidamente sustanciado e integrado el expediente electrónico y no existe diligencia pendiente de desahogo, se emite la resolución que conforme a Derecho proceda, de acuerdo a los siguientes:</w:t>
      </w:r>
    </w:p>
    <w:bookmarkEnd w:id="9"/>
    <w:p w14:paraId="03847B5B" w14:textId="77777777" w:rsidR="00FA0F8A" w:rsidRPr="00FA0F8A" w:rsidRDefault="00FA0F8A" w:rsidP="00FA0F8A">
      <w:pPr>
        <w:spacing w:after="0" w:line="360" w:lineRule="auto"/>
        <w:rPr>
          <w:rFonts w:eastAsia="Times New Roman" w:cs="Tahoma"/>
          <w:color w:val="auto"/>
          <w:szCs w:val="24"/>
          <w:lang w:eastAsia="es-ES"/>
        </w:rPr>
      </w:pPr>
    </w:p>
    <w:p w14:paraId="0C7D131A" w14:textId="77777777" w:rsidR="00FA0F8A" w:rsidRPr="00FA0F8A" w:rsidRDefault="00FA0F8A" w:rsidP="00FA0F8A">
      <w:pPr>
        <w:keepNext/>
        <w:keepLines/>
        <w:spacing w:after="0" w:line="360" w:lineRule="auto"/>
        <w:jc w:val="center"/>
        <w:outlineLvl w:val="0"/>
        <w:rPr>
          <w:rFonts w:eastAsia="Palatino Linotype" w:cs="Palatino Linotype"/>
          <w:b/>
          <w:color w:val="auto"/>
          <w:lang w:eastAsia="es-MX"/>
        </w:rPr>
      </w:pPr>
      <w:bookmarkStart w:id="10" w:name="_Toc203055266"/>
      <w:bookmarkStart w:id="11" w:name="_Toc205469916"/>
      <w:r w:rsidRPr="00FA0F8A">
        <w:rPr>
          <w:rFonts w:eastAsia="Palatino Linotype" w:cs="Palatino Linotype"/>
          <w:b/>
          <w:color w:val="auto"/>
          <w:lang w:eastAsia="es-MX"/>
        </w:rPr>
        <w:lastRenderedPageBreak/>
        <w:t>C O N S I D E R A N D O S</w:t>
      </w:r>
      <w:bookmarkEnd w:id="10"/>
      <w:bookmarkEnd w:id="11"/>
    </w:p>
    <w:p w14:paraId="446E7524" w14:textId="77777777" w:rsidR="00DB3DC5" w:rsidRPr="004A0D4F" w:rsidRDefault="00DB3DC5" w:rsidP="009E63EC">
      <w:pPr>
        <w:spacing w:after="0" w:line="360" w:lineRule="auto"/>
        <w:contextualSpacing/>
        <w:jc w:val="center"/>
        <w:rPr>
          <w:rFonts w:eastAsia="Times New Roman" w:cs="Tahoma"/>
          <w:b/>
          <w:color w:val="auto"/>
          <w:lang w:val="es-ES" w:eastAsia="es-ES"/>
        </w:rPr>
      </w:pPr>
    </w:p>
    <w:p w14:paraId="377E7349" w14:textId="6D021A7A" w:rsidR="00DB3DC5" w:rsidRPr="004A0D4F" w:rsidRDefault="00DB3DC5" w:rsidP="009E63EC">
      <w:pPr>
        <w:pStyle w:val="Ttulo2"/>
        <w:spacing w:before="0" w:line="360" w:lineRule="auto"/>
        <w:rPr>
          <w:rFonts w:ascii="Palatino Linotype" w:eastAsia="Times New Roman" w:hAnsi="Palatino Linotype"/>
          <w:b/>
          <w:color w:val="auto"/>
          <w:sz w:val="22"/>
          <w:szCs w:val="22"/>
          <w:lang w:val="es-ES" w:eastAsia="es-ES"/>
        </w:rPr>
      </w:pPr>
      <w:bookmarkStart w:id="12" w:name="_Toc205469917"/>
      <w:r w:rsidRPr="004A0D4F">
        <w:rPr>
          <w:rFonts w:ascii="Palatino Linotype" w:eastAsia="Calibri" w:hAnsi="Palatino Linotype"/>
          <w:b/>
          <w:color w:val="auto"/>
          <w:sz w:val="22"/>
          <w:szCs w:val="22"/>
          <w:lang w:val="es-ES" w:eastAsia="es-MX"/>
        </w:rPr>
        <w:t xml:space="preserve">PRIMERO. </w:t>
      </w:r>
      <w:r w:rsidR="00076681" w:rsidRPr="004A0D4F">
        <w:rPr>
          <w:rFonts w:ascii="Palatino Linotype" w:eastAsia="Times New Roman" w:hAnsi="Palatino Linotype"/>
          <w:b/>
          <w:color w:val="auto"/>
          <w:sz w:val="22"/>
          <w:szCs w:val="22"/>
          <w:lang w:val="es-ES" w:eastAsia="es-ES"/>
        </w:rPr>
        <w:t>Competencia</w:t>
      </w:r>
      <w:bookmarkEnd w:id="12"/>
    </w:p>
    <w:p w14:paraId="04BEA266" w14:textId="77777777" w:rsidR="00551CAD" w:rsidRPr="004A0D4F" w:rsidRDefault="00551CAD" w:rsidP="009E63EC">
      <w:pPr>
        <w:spacing w:after="0" w:line="360" w:lineRule="auto"/>
        <w:rPr>
          <w:color w:val="auto"/>
          <w:lang w:val="es-ES" w:eastAsia="es-ES"/>
        </w:rPr>
      </w:pPr>
    </w:p>
    <w:p w14:paraId="71D52F7E" w14:textId="77777777" w:rsidR="00F960C7" w:rsidRPr="00F960C7" w:rsidRDefault="00F960C7" w:rsidP="00F960C7">
      <w:pPr>
        <w:spacing w:after="0" w:line="360" w:lineRule="auto"/>
        <w:rPr>
          <w:rFonts w:eastAsia="Palatino Linotype" w:cs="Palatino Linotype"/>
          <w:color w:val="auto"/>
          <w:lang w:eastAsia="es-MX"/>
        </w:rPr>
      </w:pPr>
      <w:r w:rsidRPr="00F960C7">
        <w:rPr>
          <w:rFonts w:eastAsia="Palatino Linotype" w:cs="Palatino Linotype"/>
          <w:color w:val="auto"/>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81CFF1" w14:textId="77777777" w:rsidR="00C0397C" w:rsidRPr="004A0D4F" w:rsidRDefault="00C0397C" w:rsidP="009E63EC">
      <w:pPr>
        <w:autoSpaceDE w:val="0"/>
        <w:autoSpaceDN w:val="0"/>
        <w:adjustRightInd w:val="0"/>
        <w:spacing w:after="0" w:line="360" w:lineRule="auto"/>
        <w:contextualSpacing/>
        <w:rPr>
          <w:rFonts w:eastAsia="Calibri" w:cs="Tahoma"/>
          <w:b/>
          <w:color w:val="auto"/>
          <w:szCs w:val="24"/>
          <w:lang w:val="es-ES" w:eastAsia="es-MX"/>
        </w:rPr>
      </w:pPr>
    </w:p>
    <w:p w14:paraId="77696DE3" w14:textId="217D106C" w:rsidR="00DB3DC5" w:rsidRPr="004A0D4F" w:rsidRDefault="00DB3DC5" w:rsidP="009E63EC">
      <w:pPr>
        <w:pStyle w:val="Ttulo2"/>
        <w:spacing w:before="0" w:line="360" w:lineRule="auto"/>
        <w:rPr>
          <w:rFonts w:ascii="Palatino Linotype" w:eastAsia="Times New Roman" w:hAnsi="Palatino Linotype"/>
          <w:b/>
          <w:color w:val="auto"/>
          <w:sz w:val="22"/>
          <w:szCs w:val="22"/>
          <w:lang w:val="es-ES" w:eastAsia="es-ES"/>
        </w:rPr>
      </w:pPr>
      <w:bookmarkStart w:id="13" w:name="_Toc205469918"/>
      <w:r w:rsidRPr="004A0D4F">
        <w:rPr>
          <w:rFonts w:ascii="Palatino Linotype" w:eastAsia="Calibri" w:hAnsi="Palatino Linotype"/>
          <w:b/>
          <w:color w:val="auto"/>
          <w:sz w:val="22"/>
          <w:szCs w:val="22"/>
          <w:lang w:val="es-ES" w:eastAsia="es-MX"/>
        </w:rPr>
        <w:t xml:space="preserve">SEGUNDO. </w:t>
      </w:r>
      <w:r w:rsidRPr="004A0D4F">
        <w:rPr>
          <w:rFonts w:ascii="Palatino Linotype" w:eastAsia="Times New Roman" w:hAnsi="Palatino Linotype"/>
          <w:b/>
          <w:color w:val="auto"/>
          <w:sz w:val="22"/>
          <w:szCs w:val="22"/>
          <w:lang w:val="es-ES" w:eastAsia="es-ES"/>
        </w:rPr>
        <w:t>Causales de</w:t>
      </w:r>
      <w:r w:rsidR="00076681" w:rsidRPr="004A0D4F">
        <w:rPr>
          <w:rFonts w:ascii="Palatino Linotype" w:eastAsia="Times New Roman" w:hAnsi="Palatino Linotype"/>
          <w:b/>
          <w:color w:val="auto"/>
          <w:sz w:val="22"/>
          <w:szCs w:val="22"/>
          <w:lang w:val="es-ES" w:eastAsia="es-ES"/>
        </w:rPr>
        <w:t xml:space="preserve"> improcedencia y sobreseimiento</w:t>
      </w:r>
      <w:bookmarkEnd w:id="13"/>
      <w:r w:rsidRPr="004A0D4F">
        <w:rPr>
          <w:rFonts w:ascii="Palatino Linotype" w:eastAsia="Times New Roman" w:hAnsi="Palatino Linotype"/>
          <w:b/>
          <w:color w:val="auto"/>
          <w:sz w:val="22"/>
          <w:szCs w:val="22"/>
          <w:lang w:val="es-ES" w:eastAsia="es-ES"/>
        </w:rPr>
        <w:t xml:space="preserve"> </w:t>
      </w:r>
    </w:p>
    <w:p w14:paraId="55EBC3F1" w14:textId="77777777" w:rsidR="007B68D1" w:rsidRPr="004A0D4F" w:rsidRDefault="007B68D1" w:rsidP="009E63EC">
      <w:pPr>
        <w:spacing w:after="0" w:line="360" w:lineRule="auto"/>
        <w:rPr>
          <w:color w:val="auto"/>
          <w:lang w:val="es-ES" w:eastAsia="es-ES"/>
        </w:rPr>
      </w:pPr>
    </w:p>
    <w:p w14:paraId="66568F72"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 xml:space="preserve">De las constancias que forma parte del Recurso de Revisión que se analiza, se advierte que previo al estudio del fondo de la </w:t>
      </w:r>
      <w:r w:rsidRPr="004A0D4F">
        <w:rPr>
          <w:rFonts w:eastAsia="Palatino Linotype" w:cs="Palatino Linotype"/>
          <w:i/>
          <w:color w:val="auto"/>
          <w:lang w:eastAsia="es-MX"/>
        </w:rPr>
        <w:t>litis</w:t>
      </w:r>
      <w:r w:rsidRPr="004A0D4F">
        <w:rPr>
          <w:rFonts w:eastAsia="Palatino Linotype" w:cs="Palatino Linotype"/>
          <w:color w:val="auto"/>
          <w:lang w:eastAsia="es-MX"/>
        </w:rPr>
        <w:t>, es necesario estudiar las causales de improcedencia y sobreseimiento que se adviertan, para determinar lo que en Derecho proceda.</w:t>
      </w:r>
    </w:p>
    <w:p w14:paraId="21C9EADF" w14:textId="77777777" w:rsidR="007B68D1" w:rsidRPr="004A0D4F" w:rsidRDefault="007B68D1" w:rsidP="009E63EC">
      <w:pPr>
        <w:spacing w:after="0" w:line="360" w:lineRule="auto"/>
        <w:rPr>
          <w:rFonts w:eastAsia="Palatino Linotype" w:cs="Palatino Linotype"/>
          <w:color w:val="auto"/>
          <w:lang w:eastAsia="es-MX"/>
        </w:rPr>
      </w:pPr>
    </w:p>
    <w:p w14:paraId="5A443A69" w14:textId="77777777" w:rsidR="007B68D1" w:rsidRPr="004A0D4F" w:rsidRDefault="007B68D1" w:rsidP="009E63EC">
      <w:pPr>
        <w:spacing w:after="0" w:line="360" w:lineRule="auto"/>
        <w:rPr>
          <w:rFonts w:eastAsia="Palatino Linotype" w:cs="Palatino Linotype"/>
          <w:b/>
          <w:color w:val="auto"/>
          <w:lang w:eastAsia="es-MX"/>
        </w:rPr>
      </w:pPr>
      <w:r w:rsidRPr="004A0D4F">
        <w:rPr>
          <w:rFonts w:eastAsia="Palatino Linotype" w:cs="Palatino Linotype"/>
          <w:b/>
          <w:color w:val="auto"/>
          <w:lang w:eastAsia="es-MX"/>
        </w:rPr>
        <w:t>Causales de improcedencia</w:t>
      </w:r>
    </w:p>
    <w:p w14:paraId="0681C057" w14:textId="77777777" w:rsidR="007B68D1" w:rsidRPr="004A0D4F" w:rsidRDefault="007B68D1" w:rsidP="009E63EC">
      <w:pPr>
        <w:spacing w:after="0" w:line="360" w:lineRule="auto"/>
        <w:rPr>
          <w:rFonts w:eastAsia="Palatino Linotype" w:cs="Palatino Linotype"/>
          <w:color w:val="auto"/>
          <w:lang w:eastAsia="es-MX"/>
        </w:rPr>
      </w:pPr>
    </w:p>
    <w:p w14:paraId="3ABC7630"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 xml:space="preserve">Este Instituto realiza el estudio oficioso de las causales de improcedencia, por tratarse de una cuestión de orden público y de estudio preferente (acorde con el Criterio orientador en la </w:t>
      </w:r>
      <w:r w:rsidRPr="004A0D4F">
        <w:rPr>
          <w:rFonts w:eastAsia="Palatino Linotype" w:cs="Palatino Linotype"/>
          <w:color w:val="auto"/>
          <w:lang w:eastAsia="es-MX"/>
        </w:rPr>
        <w:lastRenderedPageBreak/>
        <w:t>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B0EEC32" w14:textId="77777777" w:rsidR="007B68D1" w:rsidRPr="004A0D4F" w:rsidRDefault="007B68D1" w:rsidP="009E63EC">
      <w:pPr>
        <w:spacing w:after="0" w:line="360" w:lineRule="auto"/>
        <w:rPr>
          <w:rFonts w:eastAsia="Palatino Linotype" w:cs="Palatino Linotype"/>
          <w:color w:val="auto"/>
          <w:lang w:eastAsia="es-MX"/>
        </w:rPr>
      </w:pPr>
    </w:p>
    <w:p w14:paraId="3688356C"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En el presente caso, </w:t>
      </w:r>
      <w:r w:rsidRPr="004A0D4F">
        <w:rPr>
          <w:rFonts w:eastAsia="Palatino Linotype" w:cs="Palatino Linotype"/>
          <w:b/>
          <w:color w:val="auto"/>
          <w:lang w:eastAsia="es-MX"/>
        </w:rPr>
        <w:t>no se actualiza ninguna de las causales de improcedencia</w:t>
      </w:r>
      <w:r w:rsidRPr="004A0D4F">
        <w:rPr>
          <w:rFonts w:eastAsia="Palatino Linotype" w:cs="Palatino Linotype"/>
          <w:color w:val="auto"/>
          <w:lang w:eastAsia="es-MX"/>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276426F" w14:textId="77777777" w:rsidR="007B68D1" w:rsidRPr="00886AB4" w:rsidRDefault="007B68D1" w:rsidP="009E63EC">
      <w:pPr>
        <w:spacing w:after="0" w:line="360" w:lineRule="auto"/>
        <w:rPr>
          <w:rFonts w:eastAsia="Palatino Linotype" w:cs="Palatino Linotype"/>
          <w:color w:val="FF0000"/>
          <w:lang w:eastAsia="es-MX"/>
        </w:rPr>
      </w:pPr>
    </w:p>
    <w:p w14:paraId="2DDF59C4" w14:textId="51BC4942"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Por lo cual, se actualiza</w:t>
      </w:r>
      <w:r w:rsidR="006A616F" w:rsidRPr="004A0D4F">
        <w:rPr>
          <w:rFonts w:eastAsia="Palatino Linotype" w:cs="Palatino Linotype"/>
          <w:color w:val="auto"/>
          <w:lang w:eastAsia="es-MX"/>
        </w:rPr>
        <w:t>n</w:t>
      </w:r>
      <w:r w:rsidRPr="004A0D4F">
        <w:rPr>
          <w:rFonts w:eastAsia="Palatino Linotype" w:cs="Palatino Linotype"/>
          <w:color w:val="auto"/>
          <w:lang w:eastAsia="es-MX"/>
        </w:rPr>
        <w:t xml:space="preserve"> </w:t>
      </w:r>
      <w:r w:rsidR="004A0D4F" w:rsidRPr="004A0D4F">
        <w:rPr>
          <w:rFonts w:eastAsia="Palatino Linotype" w:cs="Palatino Linotype"/>
          <w:color w:val="auto"/>
          <w:lang w:eastAsia="es-MX"/>
        </w:rPr>
        <w:t>la causal</w:t>
      </w:r>
      <w:r w:rsidRPr="004A0D4F">
        <w:rPr>
          <w:rFonts w:eastAsia="Palatino Linotype" w:cs="Palatino Linotype"/>
          <w:color w:val="auto"/>
          <w:lang w:eastAsia="es-MX"/>
        </w:rPr>
        <w:t xml:space="preserve"> de procedencia del Recurso de Revisión señalada en el artículo 179, fracci</w:t>
      </w:r>
      <w:r w:rsidR="004A0D4F" w:rsidRPr="004A0D4F">
        <w:rPr>
          <w:rFonts w:eastAsia="Palatino Linotype" w:cs="Palatino Linotype"/>
          <w:color w:val="auto"/>
          <w:lang w:eastAsia="es-MX"/>
        </w:rPr>
        <w:t xml:space="preserve">ón VI, </w:t>
      </w:r>
      <w:r w:rsidRPr="004A0D4F">
        <w:rPr>
          <w:rFonts w:eastAsia="Palatino Linotype" w:cs="Palatino Linotype"/>
          <w:color w:val="auto"/>
          <w:lang w:eastAsia="es-MX"/>
        </w:rPr>
        <w:t xml:space="preserve">pues la persona Recurrente se inconformó de la </w:t>
      </w:r>
      <w:r w:rsidR="000A79FE" w:rsidRPr="004A0D4F">
        <w:rPr>
          <w:rFonts w:eastAsia="Palatino Linotype" w:cs="Palatino Linotype"/>
          <w:color w:val="auto"/>
          <w:lang w:eastAsia="es-MX"/>
        </w:rPr>
        <w:t xml:space="preserve">entrega de información </w:t>
      </w:r>
      <w:r w:rsidR="004A0D4F" w:rsidRPr="004A0D4F">
        <w:rPr>
          <w:rFonts w:eastAsia="Palatino Linotype" w:cs="Palatino Linotype"/>
          <w:color w:val="auto"/>
          <w:lang w:eastAsia="es-MX"/>
        </w:rPr>
        <w:t>que no corresponde con lo solicitado.</w:t>
      </w:r>
    </w:p>
    <w:p w14:paraId="6C838BF1" w14:textId="77777777" w:rsidR="007B68D1" w:rsidRPr="00886AB4" w:rsidRDefault="007B68D1" w:rsidP="009E63EC">
      <w:pPr>
        <w:spacing w:after="0" w:line="360" w:lineRule="auto"/>
        <w:rPr>
          <w:rFonts w:eastAsia="Palatino Linotype" w:cs="Palatino Linotype"/>
          <w:color w:val="FF0000"/>
          <w:lang w:eastAsia="es-MX"/>
        </w:rPr>
      </w:pPr>
    </w:p>
    <w:p w14:paraId="0D9C914B"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b/>
          <w:color w:val="auto"/>
          <w:lang w:eastAsia="es-MX"/>
        </w:rPr>
        <w:t>Causales de sobreseimiento</w:t>
      </w:r>
    </w:p>
    <w:p w14:paraId="4A7E9DB9" w14:textId="77777777" w:rsidR="007B68D1" w:rsidRPr="004A0D4F" w:rsidRDefault="007B68D1" w:rsidP="009E63EC">
      <w:pPr>
        <w:spacing w:after="0" w:line="360" w:lineRule="auto"/>
        <w:rPr>
          <w:rFonts w:eastAsia="Palatino Linotype" w:cs="Palatino Linotype"/>
          <w:color w:val="auto"/>
          <w:lang w:eastAsia="es-MX"/>
        </w:rPr>
      </w:pPr>
    </w:p>
    <w:p w14:paraId="767593E0"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Por ser de previo y especial pronunciamiento, este Instituto analiza si se actualiza alguna causal de sobreseimiento.</w:t>
      </w:r>
    </w:p>
    <w:p w14:paraId="17B6F821" w14:textId="77777777" w:rsidR="007B68D1" w:rsidRPr="004A0D4F" w:rsidRDefault="007B68D1" w:rsidP="009E63EC">
      <w:pPr>
        <w:spacing w:after="0" w:line="360" w:lineRule="auto"/>
        <w:rPr>
          <w:rFonts w:eastAsia="Palatino Linotype" w:cs="Palatino Linotype"/>
          <w:color w:val="auto"/>
          <w:lang w:eastAsia="es-MX"/>
        </w:rPr>
      </w:pPr>
    </w:p>
    <w:p w14:paraId="6159D849"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 xml:space="preserve">Sobre el tema, el artículo 192 de la Ley Transparencia y Acceso a la Información Pública del Estado de México y Municipios, señala las causales por las cuales se puede sobreseer en todo </w:t>
      </w:r>
      <w:r w:rsidRPr="004A0D4F">
        <w:rPr>
          <w:rFonts w:eastAsia="Palatino Linotype" w:cs="Palatino Linotype"/>
          <w:color w:val="auto"/>
          <w:lang w:eastAsia="es-MX"/>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ECB619A" w14:textId="77777777" w:rsidR="007B68D1" w:rsidRPr="004A0D4F" w:rsidRDefault="007B68D1" w:rsidP="009E63EC">
      <w:pPr>
        <w:spacing w:after="0" w:line="360" w:lineRule="auto"/>
        <w:rPr>
          <w:rFonts w:eastAsia="Palatino Linotype" w:cs="Palatino Linotype"/>
          <w:color w:val="auto"/>
          <w:lang w:eastAsia="es-MX"/>
        </w:rPr>
      </w:pPr>
    </w:p>
    <w:p w14:paraId="6B6C3F2A" w14:textId="77777777" w:rsidR="007B68D1" w:rsidRPr="004A0D4F" w:rsidRDefault="007B68D1" w:rsidP="009E63EC">
      <w:pPr>
        <w:spacing w:after="0" w:line="360" w:lineRule="auto"/>
        <w:rPr>
          <w:rFonts w:eastAsia="Palatino Linotype" w:cs="Palatino Linotype"/>
          <w:color w:val="auto"/>
          <w:lang w:eastAsia="es-MX"/>
        </w:rPr>
      </w:pPr>
      <w:r w:rsidRPr="004A0D4F">
        <w:rPr>
          <w:rFonts w:eastAsia="Palatino Linotype" w:cs="Palatino Linotype"/>
          <w:color w:val="auto"/>
          <w:lang w:eastAsia="es-MX"/>
        </w:rPr>
        <w:t xml:space="preserve">Por tales motivos, se considera procedente entrar al fondo del presente asunto. </w:t>
      </w:r>
    </w:p>
    <w:p w14:paraId="51FFF3D0" w14:textId="77777777" w:rsidR="00DB3DC5" w:rsidRPr="004A0D4F" w:rsidRDefault="00DB3DC5" w:rsidP="009E63EC">
      <w:pPr>
        <w:spacing w:after="0" w:line="360" w:lineRule="auto"/>
        <w:contextualSpacing/>
        <w:rPr>
          <w:rFonts w:eastAsia="Times New Roman" w:cs="Tahoma"/>
          <w:b/>
          <w:bCs/>
          <w:iCs/>
          <w:color w:val="auto"/>
          <w:lang w:val="es-ES" w:eastAsia="es-ES"/>
        </w:rPr>
      </w:pPr>
    </w:p>
    <w:p w14:paraId="633955FE" w14:textId="54B7B231" w:rsidR="00DB3DC5" w:rsidRPr="004A0D4F" w:rsidRDefault="00DB3DC5" w:rsidP="009E63EC">
      <w:pPr>
        <w:pStyle w:val="Ttulo2"/>
        <w:spacing w:before="0" w:line="360" w:lineRule="auto"/>
        <w:rPr>
          <w:rFonts w:ascii="Palatino Linotype" w:eastAsia="Times New Roman" w:hAnsi="Palatino Linotype"/>
          <w:b/>
          <w:color w:val="auto"/>
          <w:sz w:val="22"/>
          <w:szCs w:val="22"/>
          <w:lang w:val="es-ES" w:eastAsia="es-ES"/>
        </w:rPr>
      </w:pPr>
      <w:bookmarkStart w:id="14" w:name="_Toc205469919"/>
      <w:r w:rsidRPr="004A0D4F">
        <w:rPr>
          <w:rFonts w:ascii="Palatino Linotype" w:eastAsia="Times New Roman" w:hAnsi="Palatino Linotype"/>
          <w:b/>
          <w:color w:val="auto"/>
          <w:sz w:val="22"/>
          <w:szCs w:val="22"/>
          <w:lang w:val="es-ES" w:eastAsia="es-ES"/>
        </w:rPr>
        <w:t>TERCERO. De</w:t>
      </w:r>
      <w:r w:rsidR="00076681" w:rsidRPr="004A0D4F">
        <w:rPr>
          <w:rFonts w:ascii="Palatino Linotype" w:eastAsia="Times New Roman" w:hAnsi="Palatino Linotype"/>
          <w:b/>
          <w:color w:val="auto"/>
          <w:sz w:val="22"/>
          <w:szCs w:val="22"/>
          <w:lang w:val="es-ES" w:eastAsia="es-ES"/>
        </w:rPr>
        <w:t>terminación de la Controversia</w:t>
      </w:r>
      <w:bookmarkEnd w:id="14"/>
    </w:p>
    <w:p w14:paraId="29A4CC8A" w14:textId="77777777" w:rsidR="00DB3DC5" w:rsidRPr="004A0D4F" w:rsidRDefault="00DB3DC5" w:rsidP="009E63EC">
      <w:pPr>
        <w:autoSpaceDE w:val="0"/>
        <w:autoSpaceDN w:val="0"/>
        <w:adjustRightInd w:val="0"/>
        <w:spacing w:after="0" w:line="360" w:lineRule="auto"/>
        <w:contextualSpacing/>
        <w:rPr>
          <w:rFonts w:eastAsia="Calibri" w:cs="Tahoma"/>
          <w:color w:val="auto"/>
          <w:lang w:val="es-ES" w:eastAsia="es-MX"/>
        </w:rPr>
      </w:pPr>
    </w:p>
    <w:p w14:paraId="0EFA1CBA" w14:textId="34C4F97F" w:rsidR="00D90BC1" w:rsidRDefault="007B68D1" w:rsidP="00E112FF">
      <w:pPr>
        <w:spacing w:after="0" w:line="360" w:lineRule="auto"/>
        <w:rPr>
          <w:rFonts w:eastAsia="Palatino Linotype" w:cs="Tahoma"/>
          <w:color w:val="auto"/>
          <w:lang w:eastAsia="es-MX"/>
        </w:rPr>
      </w:pPr>
      <w:r w:rsidRPr="00783853">
        <w:rPr>
          <w:rFonts w:eastAsia="Palatino Linotype" w:cs="Tahoma"/>
          <w:color w:val="auto"/>
          <w:lang w:eastAsia="es-MX"/>
        </w:rPr>
        <w:t>Con el objetivo de ilustrar la controversia planteada, resulta conveniente precisar, que una vez realizado el estudio de las constancias que integran el expediente en el que se actúa, se desprende que el Particular requirió</w:t>
      </w:r>
      <w:r w:rsidR="00084D4E" w:rsidRPr="00783853">
        <w:rPr>
          <w:rFonts w:eastAsia="Palatino Linotype" w:cs="Tahoma"/>
          <w:color w:val="auto"/>
          <w:lang w:eastAsia="es-MX"/>
        </w:rPr>
        <w:t xml:space="preserve">, </w:t>
      </w:r>
      <w:r w:rsidR="00783853">
        <w:rPr>
          <w:rFonts w:eastAsia="Palatino Linotype" w:cs="Tahoma"/>
          <w:color w:val="auto"/>
          <w:lang w:eastAsia="es-MX"/>
        </w:rPr>
        <w:t xml:space="preserve">la nómina de los servidores públicos adscritos al </w:t>
      </w:r>
      <w:r w:rsidR="00166E10">
        <w:rPr>
          <w:rFonts w:eastAsia="Calibri" w:cs="Tahoma"/>
        </w:rPr>
        <w:t>Organismo Público Descentralizado para la Prestación de los Servicios de Agua Potable Alcantarillado y Saneamiento del Municipio de Tlalnepantla de Baz</w:t>
      </w:r>
      <w:r w:rsidR="00E573A1">
        <w:rPr>
          <w:rFonts w:eastAsia="Calibri" w:cs="Tahoma"/>
        </w:rPr>
        <w:t>, d</w:t>
      </w:r>
      <w:r w:rsidR="00783853">
        <w:rPr>
          <w:rFonts w:eastAsia="Calibri" w:cs="Tahoma"/>
        </w:rPr>
        <w:t>el primer trimestre del ejercicio fiscal dos mil veinticinco.</w:t>
      </w:r>
    </w:p>
    <w:p w14:paraId="7C343F36" w14:textId="77777777" w:rsidR="00E112FF" w:rsidRPr="00E112FF" w:rsidRDefault="00E112FF" w:rsidP="00E112FF">
      <w:pPr>
        <w:spacing w:after="0" w:line="360" w:lineRule="auto"/>
        <w:rPr>
          <w:rFonts w:eastAsia="Palatino Linotype" w:cs="Tahoma"/>
          <w:color w:val="auto"/>
          <w:lang w:eastAsia="es-MX"/>
        </w:rPr>
      </w:pPr>
    </w:p>
    <w:p w14:paraId="4B1A63C6" w14:textId="311FD312" w:rsidR="00084D4E" w:rsidRPr="004860CF" w:rsidRDefault="00084D4E" w:rsidP="009E63EC">
      <w:pPr>
        <w:spacing w:after="0" w:line="360" w:lineRule="auto"/>
        <w:ind w:right="-28"/>
        <w:rPr>
          <w:rFonts w:cs="Tahoma"/>
          <w:color w:val="FF0000"/>
          <w:lang w:val="es-ES"/>
        </w:rPr>
      </w:pPr>
      <w:r w:rsidRPr="00E112FF">
        <w:rPr>
          <w:rFonts w:cs="Tahoma"/>
          <w:bCs/>
          <w:iCs/>
          <w:color w:val="auto"/>
          <w:lang w:val="es-ES"/>
        </w:rPr>
        <w:t>En</w:t>
      </w:r>
      <w:r w:rsidR="004860CF">
        <w:rPr>
          <w:rFonts w:cs="Tahoma"/>
          <w:bCs/>
          <w:iCs/>
          <w:color w:val="auto"/>
          <w:lang w:val="es-ES"/>
        </w:rPr>
        <w:t xml:space="preserve"> respuesta, el Sujeto Obligado a través del </w:t>
      </w:r>
      <w:r w:rsidR="004860CF">
        <w:t xml:space="preserve">Área de Recursos Humanos, la Oficialía Mayor y la Subdirección de Administración señalo que la información solicitada se encuentra publicada para su consulta en el Portal de Información Pública de Oficio Mexiquense (IPOMEX), en el artículo 92, en el apartado de estructura organizacional, en la fracción VIII A Remuneraciones, misma que podía ser consultada a través de una liga que remitió  en formato </w:t>
      </w:r>
      <w:r w:rsidR="004860CF" w:rsidRPr="004860CF">
        <w:rPr>
          <w:color w:val="auto"/>
        </w:rPr>
        <w:t>abierto</w:t>
      </w:r>
      <w:r w:rsidR="00B522F9" w:rsidRPr="004860CF">
        <w:rPr>
          <w:rFonts w:cs="Tahoma"/>
          <w:color w:val="auto"/>
          <w:lang w:val="es-ES"/>
        </w:rPr>
        <w:t xml:space="preserve">; </w:t>
      </w:r>
      <w:r w:rsidRPr="004860CF">
        <w:rPr>
          <w:rFonts w:cs="Tahoma"/>
          <w:color w:val="auto"/>
          <w:lang w:val="es-ES"/>
        </w:rPr>
        <w:t>ante dicha circunstancia, el Particular se inconformó de la</w:t>
      </w:r>
      <w:r w:rsidR="004860CF" w:rsidRPr="004860CF">
        <w:rPr>
          <w:rFonts w:cs="Tahoma"/>
          <w:color w:val="auto"/>
          <w:lang w:val="es-ES"/>
        </w:rPr>
        <w:t xml:space="preserve"> entrega de información que no corresponde con lo solicitado</w:t>
      </w:r>
      <w:r w:rsidRPr="004860CF">
        <w:rPr>
          <w:rFonts w:cs="Tahoma"/>
          <w:color w:val="auto"/>
          <w:lang w:val="es-ES"/>
        </w:rPr>
        <w:t>, lo cual,</w:t>
      </w:r>
      <w:r w:rsidRPr="004860CF">
        <w:rPr>
          <w:rFonts w:eastAsia="Calibri" w:cs="Tahoma"/>
          <w:color w:val="auto"/>
        </w:rPr>
        <w:t xml:space="preserve"> actualiza la causal de procedencia </w:t>
      </w:r>
      <w:r w:rsidRPr="004860CF">
        <w:rPr>
          <w:rFonts w:eastAsia="Calibri" w:cs="Tahoma"/>
          <w:color w:val="auto"/>
        </w:rPr>
        <w:lastRenderedPageBreak/>
        <w:t>prevista en la</w:t>
      </w:r>
      <w:r w:rsidR="00B522F9" w:rsidRPr="004860CF">
        <w:rPr>
          <w:rFonts w:eastAsia="Calibri" w:cs="Tahoma"/>
          <w:color w:val="auto"/>
        </w:rPr>
        <w:t>s</w:t>
      </w:r>
      <w:r w:rsidRPr="004860CF">
        <w:rPr>
          <w:rFonts w:eastAsia="Calibri" w:cs="Tahoma"/>
          <w:color w:val="auto"/>
        </w:rPr>
        <w:t xml:space="preserve"> fracci</w:t>
      </w:r>
      <w:r w:rsidR="004860CF" w:rsidRPr="004860CF">
        <w:rPr>
          <w:rFonts w:eastAsia="Calibri" w:cs="Tahoma"/>
          <w:color w:val="auto"/>
        </w:rPr>
        <w:t>ón</w:t>
      </w:r>
      <w:r w:rsidRPr="004860CF">
        <w:rPr>
          <w:rFonts w:eastAsia="Calibri" w:cs="Tahoma"/>
          <w:color w:val="auto"/>
        </w:rPr>
        <w:t xml:space="preserve"> </w:t>
      </w:r>
      <w:r w:rsidR="004860CF" w:rsidRPr="004860CF">
        <w:rPr>
          <w:rFonts w:eastAsia="Calibri" w:cs="Tahoma"/>
          <w:color w:val="auto"/>
        </w:rPr>
        <w:t>VI</w:t>
      </w:r>
      <w:r w:rsidRPr="004860CF">
        <w:rPr>
          <w:rFonts w:eastAsia="Calibri" w:cs="Tahoma"/>
          <w:color w:val="auto"/>
        </w:rPr>
        <w:t>, del artículo 179 de la Ley de Transparencia y Acceso a la Información Pública del Estado de México y Municipios. Así las cosas, una vez admitido y notificado el Recurso de Revisión a las partes</w:t>
      </w:r>
      <w:r w:rsidR="00B522F9" w:rsidRPr="004860CF">
        <w:rPr>
          <w:rFonts w:eastAsia="Calibri" w:cs="Tahoma"/>
          <w:color w:val="auto"/>
        </w:rPr>
        <w:t xml:space="preserve"> </w:t>
      </w:r>
      <w:r w:rsidR="004860CF">
        <w:rPr>
          <w:rFonts w:eastAsia="Calibri" w:cs="Tahoma"/>
          <w:color w:val="auto"/>
        </w:rPr>
        <w:t>el Sujeto Obligado ratifico su respuesta.</w:t>
      </w:r>
    </w:p>
    <w:p w14:paraId="4E728BC1" w14:textId="77777777" w:rsidR="00084D4E" w:rsidRPr="00886AB4" w:rsidRDefault="00084D4E" w:rsidP="009E63EC">
      <w:pPr>
        <w:spacing w:after="0" w:line="360" w:lineRule="auto"/>
        <w:ind w:right="-28"/>
        <w:rPr>
          <w:rFonts w:eastAsia="Calibri" w:cs="Tahoma"/>
          <w:color w:val="FF0000"/>
        </w:rPr>
      </w:pPr>
    </w:p>
    <w:p w14:paraId="1B684960" w14:textId="06F4159B" w:rsidR="00084D4E" w:rsidRPr="00346CC6" w:rsidRDefault="00084D4E" w:rsidP="009E63EC">
      <w:pPr>
        <w:tabs>
          <w:tab w:val="left" w:pos="4962"/>
        </w:tabs>
        <w:spacing w:after="0" w:line="360" w:lineRule="auto"/>
        <w:contextualSpacing/>
        <w:rPr>
          <w:rFonts w:eastAsia="Calibri" w:cs="Tahoma"/>
          <w:bCs/>
          <w:color w:val="auto"/>
          <w:szCs w:val="24"/>
        </w:rPr>
      </w:pPr>
      <w:r w:rsidRPr="00346CC6">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la </w:t>
      </w:r>
      <w:r w:rsidR="00346CC6">
        <w:rPr>
          <w:rFonts w:eastAsia="Calibri" w:cs="Tahoma"/>
          <w:iCs/>
          <w:color w:val="auto"/>
          <w:lang w:val="es-ES" w:eastAsia="es-ES_tradnl"/>
        </w:rPr>
        <w:t xml:space="preserve">respuesta, </w:t>
      </w:r>
      <w:r w:rsidRPr="00346CC6">
        <w:rPr>
          <w:rFonts w:eastAsia="Calibri" w:cs="Tahoma"/>
          <w:iCs/>
          <w:color w:val="auto"/>
          <w:lang w:eastAsia="es-ES_tradnl"/>
        </w:rPr>
        <w:t>el escrito recursal</w:t>
      </w:r>
      <w:r w:rsidR="00346CC6">
        <w:rPr>
          <w:rFonts w:eastAsia="Calibri" w:cs="Tahoma"/>
          <w:iCs/>
          <w:color w:val="auto"/>
          <w:lang w:eastAsia="es-ES_tradnl"/>
        </w:rPr>
        <w:t xml:space="preserve"> y el informe justificado</w:t>
      </w:r>
      <w:r w:rsidRPr="00346CC6">
        <w:rPr>
          <w:rFonts w:eastAsia="Calibri" w:cs="Tahoma"/>
          <w:iCs/>
          <w:color w:val="auto"/>
          <w:lang w:eastAsia="es-ES_tradnl"/>
        </w:rPr>
        <w:t xml:space="preserve">; </w:t>
      </w:r>
      <w:r w:rsidRPr="00346CC6">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346CC6" w:rsidRDefault="00DB3DC5" w:rsidP="009E63EC">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D81A61" w:rsidRDefault="00DB3DC5" w:rsidP="009E63EC">
      <w:pPr>
        <w:pStyle w:val="Ttulo2"/>
        <w:spacing w:before="0" w:line="360" w:lineRule="auto"/>
        <w:rPr>
          <w:rFonts w:ascii="Palatino Linotype" w:eastAsia="Times New Roman" w:hAnsi="Palatino Linotype"/>
          <w:b/>
          <w:color w:val="auto"/>
          <w:sz w:val="22"/>
          <w:szCs w:val="22"/>
          <w:lang w:eastAsia="es-ES"/>
        </w:rPr>
      </w:pPr>
      <w:bookmarkStart w:id="15" w:name="_Toc205469920"/>
      <w:r w:rsidRPr="00D81A61">
        <w:rPr>
          <w:rFonts w:ascii="Palatino Linotype" w:eastAsia="Times New Roman" w:hAnsi="Palatino Linotype"/>
          <w:b/>
          <w:color w:val="auto"/>
          <w:sz w:val="22"/>
          <w:szCs w:val="22"/>
          <w:lang w:val="es-ES" w:eastAsia="es-ES"/>
        </w:rPr>
        <w:t xml:space="preserve">CUARTO. </w:t>
      </w:r>
      <w:r w:rsidRPr="00D81A61">
        <w:rPr>
          <w:rFonts w:ascii="Palatino Linotype" w:eastAsia="Times New Roman" w:hAnsi="Palatino Linotype"/>
          <w:b/>
          <w:color w:val="auto"/>
          <w:sz w:val="22"/>
          <w:szCs w:val="22"/>
          <w:lang w:eastAsia="es-ES"/>
        </w:rPr>
        <w:t xml:space="preserve">Marco normativo aplicable en materia de transparencia y </w:t>
      </w:r>
      <w:r w:rsidR="00076681" w:rsidRPr="00D81A61">
        <w:rPr>
          <w:rFonts w:ascii="Palatino Linotype" w:eastAsia="Times New Roman" w:hAnsi="Palatino Linotype"/>
          <w:b/>
          <w:color w:val="auto"/>
          <w:sz w:val="22"/>
          <w:szCs w:val="22"/>
          <w:lang w:eastAsia="es-ES"/>
        </w:rPr>
        <w:t>acceso a la información pública</w:t>
      </w:r>
      <w:bookmarkEnd w:id="15"/>
    </w:p>
    <w:p w14:paraId="1FA9DF31" w14:textId="77777777" w:rsidR="00DB3DC5" w:rsidRPr="00D81A61" w:rsidRDefault="00DB3DC5" w:rsidP="009E63EC">
      <w:pPr>
        <w:autoSpaceDE w:val="0"/>
        <w:autoSpaceDN w:val="0"/>
        <w:adjustRightInd w:val="0"/>
        <w:spacing w:after="0" w:line="360" w:lineRule="auto"/>
        <w:contextualSpacing/>
        <w:rPr>
          <w:rFonts w:eastAsia="Times New Roman" w:cs="Tahoma"/>
          <w:bCs/>
          <w:iCs/>
          <w:color w:val="auto"/>
          <w:lang w:val="es-ES" w:eastAsia="es-ES"/>
        </w:rPr>
      </w:pPr>
    </w:p>
    <w:p w14:paraId="395BBDAA" w14:textId="77777777" w:rsidR="00551CAD" w:rsidRPr="00D81A61" w:rsidRDefault="00551CAD" w:rsidP="009E63EC">
      <w:pPr>
        <w:spacing w:after="0" w:line="360" w:lineRule="auto"/>
        <w:rPr>
          <w:rFonts w:cs="Tahoma"/>
          <w:color w:val="auto"/>
        </w:rPr>
      </w:pPr>
      <w:r w:rsidRPr="00D81A61">
        <w:rPr>
          <w:rFonts w:cs="Tahoma"/>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F87FCD3" w14:textId="77777777" w:rsidR="00551CAD" w:rsidRPr="00D81A61" w:rsidRDefault="00551CAD" w:rsidP="009E63EC">
      <w:pPr>
        <w:spacing w:after="0" w:line="360" w:lineRule="auto"/>
        <w:rPr>
          <w:rFonts w:cs="Tahoma"/>
          <w:color w:val="auto"/>
        </w:rPr>
      </w:pPr>
    </w:p>
    <w:p w14:paraId="6EFAEADD" w14:textId="77777777" w:rsidR="00551CAD" w:rsidRPr="00D81A61" w:rsidRDefault="00551CAD" w:rsidP="009E63EC">
      <w:pPr>
        <w:spacing w:after="0" w:line="360" w:lineRule="auto"/>
        <w:rPr>
          <w:rFonts w:cs="Tahoma"/>
          <w:color w:val="auto"/>
        </w:rPr>
      </w:pPr>
      <w:r w:rsidRPr="00D81A61">
        <w:rPr>
          <w:rFonts w:cs="Tahoma"/>
          <w:color w:val="auto"/>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1113AD" w14:textId="77777777" w:rsidR="00551CAD" w:rsidRPr="00D81A61" w:rsidRDefault="00551CAD" w:rsidP="009E63EC">
      <w:pPr>
        <w:spacing w:after="0" w:line="360" w:lineRule="auto"/>
        <w:rPr>
          <w:rFonts w:cs="Tahoma"/>
          <w:color w:val="auto"/>
        </w:rPr>
      </w:pPr>
    </w:p>
    <w:p w14:paraId="492CA332" w14:textId="77777777" w:rsidR="00551CAD" w:rsidRPr="00D81A61" w:rsidRDefault="00551CAD" w:rsidP="009E63EC">
      <w:pPr>
        <w:spacing w:after="0" w:line="360" w:lineRule="auto"/>
        <w:rPr>
          <w:rFonts w:cs="Tahoma"/>
          <w:color w:val="auto"/>
        </w:rPr>
      </w:pPr>
      <w:r w:rsidRPr="00D81A61">
        <w:rPr>
          <w:rFonts w:cs="Tahoma"/>
          <w:color w:val="auto"/>
        </w:rPr>
        <w:lastRenderedPageBreak/>
        <w:t>Por su parte, la Ley de Transparencia y Acceso a la Información Pública del Estado de México y Municipios (Reglamentaria del artículo 5° de la Constitución Local), establece lo siguiente:</w:t>
      </w:r>
    </w:p>
    <w:p w14:paraId="507D9CB7" w14:textId="77777777" w:rsidR="00551CAD" w:rsidRPr="00D81A61" w:rsidRDefault="00551CAD" w:rsidP="009E63EC">
      <w:pPr>
        <w:spacing w:after="0" w:line="360" w:lineRule="auto"/>
        <w:rPr>
          <w:rFonts w:cs="Tahoma"/>
          <w:color w:val="auto"/>
        </w:rPr>
      </w:pPr>
    </w:p>
    <w:p w14:paraId="7DF1F35D" w14:textId="77777777" w:rsidR="00551CAD" w:rsidRPr="00D81A61" w:rsidRDefault="00551CAD" w:rsidP="009E63EC">
      <w:pPr>
        <w:spacing w:after="0" w:line="360" w:lineRule="auto"/>
        <w:rPr>
          <w:rFonts w:cs="Tahoma"/>
          <w:color w:val="auto"/>
        </w:rPr>
      </w:pPr>
      <w:r w:rsidRPr="00D81A61">
        <w:rPr>
          <w:rFonts w:cs="Tahoma"/>
          <w:color w:val="auto"/>
        </w:rPr>
        <w:t>El artículo 12, que, quienes generen, recopilen, administren, manejen, procesen, archiven o conserven información pública serán responsables de la misma.</w:t>
      </w:r>
    </w:p>
    <w:p w14:paraId="461243A6" w14:textId="77777777" w:rsidR="00551CAD" w:rsidRPr="00D81A61" w:rsidRDefault="00551CAD" w:rsidP="009E63EC">
      <w:pPr>
        <w:spacing w:after="0" w:line="360" w:lineRule="auto"/>
        <w:rPr>
          <w:rFonts w:cs="Tahoma"/>
          <w:color w:val="auto"/>
        </w:rPr>
      </w:pPr>
    </w:p>
    <w:p w14:paraId="10F96A0B" w14:textId="1FA12B9C" w:rsidR="00551CAD" w:rsidRPr="00D81A61" w:rsidRDefault="00551CAD" w:rsidP="009E63EC">
      <w:pPr>
        <w:spacing w:after="0" w:line="360" w:lineRule="auto"/>
        <w:rPr>
          <w:rFonts w:cs="Tahoma"/>
          <w:color w:val="auto"/>
        </w:rPr>
      </w:pPr>
      <w:r w:rsidRPr="00D81A61">
        <w:rPr>
          <w:rFonts w:cs="Tahoma"/>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0512D46B" w14:textId="77777777" w:rsidR="00551CAD" w:rsidRPr="00D81A61" w:rsidRDefault="00551CAD" w:rsidP="009E63EC">
      <w:pPr>
        <w:spacing w:after="0" w:line="360" w:lineRule="auto"/>
        <w:rPr>
          <w:rFonts w:cs="Tahoma"/>
          <w:color w:val="auto"/>
        </w:rPr>
      </w:pPr>
    </w:p>
    <w:p w14:paraId="4B65E8CF" w14:textId="77777777" w:rsidR="00551CAD" w:rsidRPr="00D81A61" w:rsidRDefault="00551CAD" w:rsidP="009E63EC">
      <w:pPr>
        <w:spacing w:after="0" w:line="360" w:lineRule="auto"/>
        <w:rPr>
          <w:rFonts w:cs="Tahoma"/>
          <w:color w:val="auto"/>
        </w:rPr>
      </w:pPr>
      <w:r w:rsidRPr="00D81A61">
        <w:rPr>
          <w:rFonts w:cs="Tahoma"/>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DF8C104" w14:textId="77777777" w:rsidR="00C0397C" w:rsidRPr="00D81A61" w:rsidRDefault="00C0397C" w:rsidP="009E63EC">
      <w:pPr>
        <w:spacing w:after="0" w:line="360" w:lineRule="auto"/>
        <w:contextualSpacing/>
        <w:rPr>
          <w:rFonts w:cs="Tahoma"/>
          <w:bCs/>
          <w:iCs/>
          <w:color w:val="auto"/>
          <w:lang w:val="es-ES"/>
        </w:rPr>
      </w:pPr>
    </w:p>
    <w:p w14:paraId="3EB23114" w14:textId="33FEEC26" w:rsidR="00DB3DC5" w:rsidRPr="00D81A61" w:rsidRDefault="00076681" w:rsidP="009E63EC">
      <w:pPr>
        <w:pStyle w:val="Ttulo2"/>
        <w:spacing w:before="0" w:line="360" w:lineRule="auto"/>
        <w:rPr>
          <w:rFonts w:ascii="Palatino Linotype" w:eastAsia="Times New Roman" w:hAnsi="Palatino Linotype"/>
          <w:b/>
          <w:color w:val="auto"/>
          <w:sz w:val="22"/>
          <w:szCs w:val="22"/>
          <w:lang w:val="es-ES" w:eastAsia="es-ES"/>
        </w:rPr>
      </w:pPr>
      <w:bookmarkStart w:id="16" w:name="_Toc205469921"/>
      <w:r w:rsidRPr="00D81A61">
        <w:rPr>
          <w:rFonts w:ascii="Palatino Linotype" w:eastAsia="Times New Roman" w:hAnsi="Palatino Linotype"/>
          <w:b/>
          <w:color w:val="auto"/>
          <w:sz w:val="22"/>
          <w:szCs w:val="22"/>
          <w:lang w:val="es-ES" w:eastAsia="es-ES"/>
        </w:rPr>
        <w:t xml:space="preserve">QUINTO. </w:t>
      </w:r>
      <w:r w:rsidR="00DB3DC5" w:rsidRPr="00D81A61">
        <w:rPr>
          <w:rFonts w:ascii="Palatino Linotype" w:eastAsia="Times New Roman" w:hAnsi="Palatino Linotype"/>
          <w:b/>
          <w:color w:val="auto"/>
          <w:sz w:val="22"/>
          <w:szCs w:val="22"/>
          <w:lang w:val="es-ES" w:eastAsia="es-ES"/>
        </w:rPr>
        <w:t>E</w:t>
      </w:r>
      <w:r w:rsidRPr="00D81A61">
        <w:rPr>
          <w:rFonts w:ascii="Palatino Linotype" w:eastAsia="Times New Roman" w:hAnsi="Palatino Linotype"/>
          <w:b/>
          <w:color w:val="auto"/>
          <w:sz w:val="22"/>
          <w:szCs w:val="22"/>
          <w:lang w:val="es-ES" w:eastAsia="es-ES"/>
        </w:rPr>
        <w:t>studio de Fondo</w:t>
      </w:r>
      <w:bookmarkEnd w:id="16"/>
    </w:p>
    <w:p w14:paraId="5511A115" w14:textId="238AA78D" w:rsidR="00DB3DC5" w:rsidRPr="00886AB4" w:rsidRDefault="00DB3DC5" w:rsidP="009E63EC">
      <w:pPr>
        <w:spacing w:after="0" w:line="360" w:lineRule="auto"/>
        <w:contextualSpacing/>
        <w:rPr>
          <w:rFonts w:eastAsia="Times New Roman" w:cs="Tahoma"/>
          <w:b/>
          <w:bCs/>
          <w:iCs/>
          <w:color w:val="FF0000"/>
          <w:lang w:val="es-ES" w:eastAsia="es-ES"/>
        </w:rPr>
      </w:pPr>
    </w:p>
    <w:p w14:paraId="63D777FF" w14:textId="244952B1" w:rsidR="00084D4E" w:rsidRPr="002605AC" w:rsidRDefault="00084D4E" w:rsidP="009E63EC">
      <w:pPr>
        <w:spacing w:after="0" w:line="360" w:lineRule="auto"/>
        <w:rPr>
          <w:rFonts w:eastAsia="Times New Roman" w:cs="Tahoma"/>
          <w:color w:val="auto"/>
          <w:lang w:eastAsia="es-MX"/>
        </w:rPr>
      </w:pPr>
      <w:r w:rsidRPr="002605AC">
        <w:rPr>
          <w:rFonts w:eastAsia="Times New Roman" w:cs="Tahoma"/>
          <w:color w:val="auto"/>
          <w:lang w:eastAsia="es-MX"/>
        </w:rPr>
        <w:t>Expuestas las posturas de las partes, se procede al análisis de</w:t>
      </w:r>
      <w:r w:rsidR="002605AC" w:rsidRPr="002605AC">
        <w:rPr>
          <w:rFonts w:eastAsia="Times New Roman" w:cs="Tahoma"/>
          <w:color w:val="auto"/>
          <w:lang w:eastAsia="es-MX"/>
        </w:rPr>
        <w:t xml:space="preserve">l </w:t>
      </w:r>
      <w:r w:rsidRPr="002605AC">
        <w:rPr>
          <w:rFonts w:eastAsia="Times New Roman" w:cs="Tahoma"/>
          <w:color w:val="auto"/>
          <w:lang w:eastAsia="es-MX"/>
        </w:rPr>
        <w:t>agravio hecho valer por la persona Recurrente, concerniente</w:t>
      </w:r>
      <w:r w:rsidR="00B522F9" w:rsidRPr="002605AC">
        <w:rPr>
          <w:rFonts w:eastAsia="Times New Roman" w:cs="Tahoma"/>
          <w:color w:val="auto"/>
          <w:lang w:eastAsia="es-MX"/>
        </w:rPr>
        <w:t>s</w:t>
      </w:r>
      <w:r w:rsidRPr="002605AC">
        <w:rPr>
          <w:rFonts w:eastAsia="Times New Roman" w:cs="Tahoma"/>
          <w:color w:val="auto"/>
          <w:lang w:eastAsia="es-MX"/>
        </w:rPr>
        <w:t xml:space="preserve"> a la </w:t>
      </w:r>
      <w:r w:rsidR="002605AC" w:rsidRPr="002605AC">
        <w:rPr>
          <w:rFonts w:eastAsia="Times New Roman" w:cs="Tahoma"/>
          <w:color w:val="auto"/>
          <w:lang w:eastAsia="es-MX"/>
        </w:rPr>
        <w:t xml:space="preserve">entrega de la información que no corresponde con lo solicitado, </w:t>
      </w:r>
      <w:r w:rsidRPr="002605AC">
        <w:rPr>
          <w:rFonts w:eastAsia="Times New Roman" w:cs="Tahoma"/>
          <w:bCs/>
          <w:iCs/>
          <w:color w:val="auto"/>
          <w:lang w:eastAsia="es-ES"/>
        </w:rPr>
        <w:t>por lo que, en principio es necesario contextualizar la solicitud de información.</w:t>
      </w:r>
    </w:p>
    <w:p w14:paraId="256494D5" w14:textId="77777777" w:rsidR="007E7CBF" w:rsidRPr="00886AB4" w:rsidRDefault="007E7CBF" w:rsidP="009E63EC">
      <w:pPr>
        <w:spacing w:after="0" w:line="360" w:lineRule="auto"/>
        <w:rPr>
          <w:rFonts w:eastAsia="Times New Roman" w:cs="Tahoma"/>
          <w:b/>
          <w:bCs/>
          <w:iCs/>
          <w:color w:val="FF0000"/>
          <w:lang w:eastAsia="es-ES"/>
        </w:rPr>
      </w:pPr>
    </w:p>
    <w:p w14:paraId="1EAE7464" w14:textId="617E94B7" w:rsidR="007E7CBF" w:rsidRPr="00817D20" w:rsidRDefault="007E7CBF" w:rsidP="009E63EC">
      <w:pPr>
        <w:spacing w:after="0" w:line="360" w:lineRule="auto"/>
        <w:rPr>
          <w:b/>
          <w:color w:val="auto"/>
        </w:rPr>
      </w:pPr>
      <w:r w:rsidRPr="00817D20">
        <w:rPr>
          <w:rFonts w:eastAsia="Times New Roman" w:cs="Tahoma"/>
          <w:bCs/>
          <w:iCs/>
          <w:color w:val="auto"/>
          <w:lang w:eastAsia="es-ES"/>
        </w:rPr>
        <w:t xml:space="preserve">Al respecto, el </w:t>
      </w:r>
      <w:r w:rsidRPr="00817D20">
        <w:rPr>
          <w:color w:val="auto"/>
        </w:rPr>
        <w:t xml:space="preserve">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w:t>
      </w:r>
      <w:r w:rsidRPr="00817D20">
        <w:rPr>
          <w:color w:val="auto"/>
        </w:rPr>
        <w:lastRenderedPageBreak/>
        <w:t xml:space="preserve">Administración Pública. De la misma manera, el artículo 130 de la Constitución Política del Estado Libre y Soberano de México, precisa que son </w:t>
      </w:r>
      <w:r w:rsidRPr="00817D20">
        <w:rPr>
          <w:b/>
          <w:color w:val="auto"/>
        </w:rPr>
        <w:t>servidores públicos a todas las personas que desempeñen un empleo, cargo o comisión en los Municipios.</w:t>
      </w:r>
    </w:p>
    <w:p w14:paraId="501C272B" w14:textId="77777777" w:rsidR="007E7CBF" w:rsidRPr="00886AB4" w:rsidRDefault="007E7CBF" w:rsidP="009E63EC">
      <w:pPr>
        <w:spacing w:after="0" w:line="360" w:lineRule="auto"/>
        <w:rPr>
          <w:b/>
          <w:color w:val="FF0000"/>
        </w:rPr>
      </w:pPr>
    </w:p>
    <w:p w14:paraId="63176BAB" w14:textId="5531E684" w:rsidR="007E7CBF" w:rsidRPr="00817D20" w:rsidRDefault="003019EA" w:rsidP="009E63EC">
      <w:pPr>
        <w:spacing w:after="0" w:line="360" w:lineRule="auto"/>
        <w:rPr>
          <w:rFonts w:eastAsia="Times New Roman" w:cs="Tahoma"/>
          <w:color w:val="auto"/>
          <w:lang w:eastAsia="es-MX"/>
        </w:rPr>
      </w:pPr>
      <w:r w:rsidRPr="00817D20">
        <w:rPr>
          <w:color w:val="auto"/>
        </w:rPr>
        <w:t xml:space="preserve">Además, el artículo 4°, fracción VI, de la Ley del Trabajo de los servidores públicos del Estado y Municipios, precisa que son </w:t>
      </w:r>
      <w:r w:rsidRPr="00817D20">
        <w:rPr>
          <w:b/>
          <w:color w:val="auto"/>
        </w:rPr>
        <w:t>servidores públicos,</w:t>
      </w:r>
      <w:r w:rsidRPr="00817D20">
        <w:rPr>
          <w:color w:val="auto"/>
        </w:rPr>
        <w:t xml:space="preserve"> todas las personas físicas que presten a una institución pública un trabajo personal subordinado, mediante el pago de un sueldo.</w:t>
      </w:r>
    </w:p>
    <w:p w14:paraId="5C236014" w14:textId="2831E96D" w:rsidR="00084D4E" w:rsidRPr="00886AB4" w:rsidRDefault="00084D4E" w:rsidP="009E63EC">
      <w:pPr>
        <w:widowControl w:val="0"/>
        <w:spacing w:after="0" w:line="360" w:lineRule="auto"/>
        <w:rPr>
          <w:rFonts w:eastAsia="Times New Roman" w:cs="Tahoma"/>
          <w:color w:val="FF0000"/>
          <w:lang w:eastAsia="es-MX"/>
        </w:rPr>
      </w:pPr>
    </w:p>
    <w:p w14:paraId="76654764" w14:textId="1BFD19E2" w:rsidR="003019EA" w:rsidRPr="00817D20" w:rsidRDefault="003019EA" w:rsidP="009E63EC">
      <w:pPr>
        <w:widowControl w:val="0"/>
        <w:spacing w:after="0" w:line="360" w:lineRule="auto"/>
        <w:rPr>
          <w:color w:val="auto"/>
        </w:rPr>
      </w:pPr>
      <w:r w:rsidRPr="00817D20">
        <w:rPr>
          <w:color w:val="auto"/>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7D6AF91" w14:textId="77777777" w:rsidR="003019EA" w:rsidRPr="00817D20" w:rsidRDefault="003019EA" w:rsidP="009E63EC">
      <w:pPr>
        <w:widowControl w:val="0"/>
        <w:spacing w:after="0" w:line="360" w:lineRule="auto"/>
        <w:rPr>
          <w:color w:val="auto"/>
        </w:rPr>
      </w:pPr>
    </w:p>
    <w:p w14:paraId="621A3DEB" w14:textId="09961F3F" w:rsidR="003019EA" w:rsidRPr="00817D20" w:rsidRDefault="003019EA" w:rsidP="009E63EC">
      <w:pPr>
        <w:widowControl w:val="0"/>
        <w:spacing w:after="0" w:line="360" w:lineRule="auto"/>
        <w:rPr>
          <w:color w:val="auto"/>
        </w:rPr>
      </w:pPr>
      <w:r w:rsidRPr="00817D20">
        <w:rPr>
          <w:color w:val="auto"/>
        </w:rPr>
        <w:t>En ese contexto, el artículo 70, fracción VIII, de la Ley General de Transparencia y Acceso a la Información Pública y 92, fracción VIII, de la Ley de Transparencia y Acceso a la Información Pública del Estado de México y Municipios, establece que los Sujetos Obligados</w:t>
      </w:r>
    </w:p>
    <w:p w14:paraId="0C0ABC30" w14:textId="2C94D701" w:rsidR="00DB5203" w:rsidRPr="00817D20" w:rsidRDefault="00DB5203" w:rsidP="009E63EC">
      <w:pPr>
        <w:widowControl w:val="0"/>
        <w:spacing w:after="0" w:line="360" w:lineRule="auto"/>
        <w:rPr>
          <w:color w:val="auto"/>
        </w:rPr>
      </w:pPr>
      <w:r w:rsidRPr="00817D20">
        <w:rPr>
          <w:color w:val="auto"/>
        </w:rPr>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651CF00" w14:textId="77777777" w:rsidR="00DB5203" w:rsidRPr="00886AB4" w:rsidRDefault="00DB5203" w:rsidP="009E63EC">
      <w:pPr>
        <w:widowControl w:val="0"/>
        <w:spacing w:after="0" w:line="360" w:lineRule="auto"/>
        <w:rPr>
          <w:rFonts w:eastAsia="Times New Roman" w:cs="Tahoma"/>
          <w:color w:val="FF0000"/>
          <w:lang w:eastAsia="es-MX"/>
        </w:rPr>
      </w:pPr>
    </w:p>
    <w:p w14:paraId="2A2C1E16" w14:textId="7A9D832F" w:rsidR="00817D20" w:rsidRPr="00817D20" w:rsidRDefault="00817D20" w:rsidP="009E63EC">
      <w:pPr>
        <w:widowControl w:val="0"/>
        <w:spacing w:after="0" w:line="360" w:lineRule="auto"/>
        <w:rPr>
          <w:b/>
          <w:color w:val="FF0000"/>
        </w:rPr>
      </w:pPr>
      <w:r w:rsidRPr="00817D20">
        <w:rPr>
          <w:color w:val="auto"/>
        </w:rPr>
        <w:t>Por otra parte, respecto al documento requerido</w:t>
      </w:r>
      <w:r>
        <w:t>, el Glosario localizado en la página de Transparencia Presupuestaria de la Secretaría de Hacienda y Crédito Público (</w:t>
      </w:r>
      <w:hyperlink r:id="rId9" w:history="1">
        <w:r w:rsidRPr="006A3161">
          <w:rPr>
            <w:rStyle w:val="Hipervnculo"/>
          </w:rPr>
          <w:t>http://www.transparenciapresupuestaria.gob.mx/es/PTP/Glosario</w:t>
        </w:r>
      </w:hyperlink>
      <w:r>
        <w:t xml:space="preserve">), establece que la </w:t>
      </w:r>
      <w:r w:rsidRPr="00817D20">
        <w:rPr>
          <w:b/>
        </w:rPr>
        <w:t xml:space="preserve">Nómina es el documento contable que contiene la relación de los trabajadores con las </w:t>
      </w:r>
      <w:r w:rsidRPr="00817D20">
        <w:rPr>
          <w:b/>
        </w:rPr>
        <w:lastRenderedPageBreak/>
        <w:t>percepciones monetarias de cada uno; además, que también se refiere al recibo individual y justificativo que indica los sueldos de los trabajadores, incluyendo las prestaciones y deducciones correspondientes.</w:t>
      </w:r>
    </w:p>
    <w:p w14:paraId="798B0336" w14:textId="77777777" w:rsidR="00817D20" w:rsidRDefault="00817D20" w:rsidP="009E63EC">
      <w:pPr>
        <w:widowControl w:val="0"/>
        <w:spacing w:after="0" w:line="360" w:lineRule="auto"/>
        <w:rPr>
          <w:color w:val="FF0000"/>
        </w:rPr>
      </w:pPr>
    </w:p>
    <w:p w14:paraId="65072AEC" w14:textId="197705A5" w:rsidR="00817D20" w:rsidRPr="00EE5775" w:rsidRDefault="00817D20" w:rsidP="009E63EC">
      <w:pPr>
        <w:widowControl w:val="0"/>
        <w:spacing w:after="0" w:line="360" w:lineRule="auto"/>
        <w:rPr>
          <w:b/>
          <w:color w:val="FF0000"/>
        </w:rPr>
      </w:pPr>
      <w:r>
        <w:t>De la misma manera, el Glosario de términos más usuales en la Administración Pública Federal, emitido por la Secretaría de Hacienda y Crédito Público (</w:t>
      </w:r>
      <w:hyperlink r:id="rId10" w:history="1">
        <w:r w:rsidRPr="006A3161">
          <w:rPr>
            <w:rStyle w:val="Hipervnculo"/>
          </w:rPr>
          <w:t>https://www.apartados.hacienda.gob.mx/contabilidad/documentos/informe_cuenta/1998/cuenta_publica/Glosario/n.htm</w:t>
        </w:r>
      </w:hyperlink>
      <w:r>
        <w:t>)</w:t>
      </w:r>
      <w:r w:rsidR="00EE5775">
        <w:t xml:space="preserve">, </w:t>
      </w:r>
      <w:r>
        <w:t xml:space="preserve"> </w:t>
      </w:r>
      <w:r w:rsidR="00EE5775">
        <w:t xml:space="preserve">establece que la </w:t>
      </w:r>
      <w:r w:rsidR="00EE5775" w:rsidRPr="00EE5775">
        <w:rPr>
          <w:b/>
          <w:u w:val="single"/>
        </w:rPr>
        <w:t>nómina es un listado general</w:t>
      </w:r>
      <w:r w:rsidR="00EE5775" w:rsidRPr="00EE5775">
        <w:rPr>
          <w:b/>
        </w:rPr>
        <w:t xml:space="preserve"> de los trabajadores de una institución, en el cual se asientan las percepciones brutas, deducciones y alcance neto de las mismas.</w:t>
      </w:r>
    </w:p>
    <w:p w14:paraId="6F4F53FC" w14:textId="77777777" w:rsidR="00817D20" w:rsidRDefault="00817D20" w:rsidP="009E63EC">
      <w:pPr>
        <w:widowControl w:val="0"/>
        <w:spacing w:after="0" w:line="360" w:lineRule="auto"/>
        <w:rPr>
          <w:color w:val="FF0000"/>
        </w:rPr>
      </w:pPr>
    </w:p>
    <w:p w14:paraId="68FA1C16" w14:textId="77777777" w:rsidR="00EE5775" w:rsidRDefault="00EE5775" w:rsidP="009E63EC">
      <w:pPr>
        <w:widowControl w:val="0"/>
        <w:spacing w:after="0" w:line="360" w:lineRule="auto"/>
      </w:pPr>
      <w:r>
        <w:t xml:space="preserve">Conforme a lo anterior, se puede advertir que la nómina se puede referir a lo siguiente: </w:t>
      </w:r>
    </w:p>
    <w:p w14:paraId="50DB58C7" w14:textId="77777777" w:rsidR="00EE5775" w:rsidRDefault="00EE5775" w:rsidP="009E63EC">
      <w:pPr>
        <w:widowControl w:val="0"/>
        <w:spacing w:after="0" w:line="360" w:lineRule="auto"/>
      </w:pPr>
    </w:p>
    <w:p w14:paraId="09E9A675" w14:textId="4773F710" w:rsidR="00EE5775" w:rsidRDefault="00EE5775" w:rsidP="00166E10">
      <w:pPr>
        <w:pStyle w:val="Prrafodelista"/>
        <w:widowControl w:val="0"/>
        <w:numPr>
          <w:ilvl w:val="0"/>
          <w:numId w:val="25"/>
        </w:numPr>
        <w:spacing w:after="0" w:line="360" w:lineRule="auto"/>
      </w:pPr>
      <w:r>
        <w:t>Relación de trabajadores con las percepciones monetarias de cada uno.</w:t>
      </w:r>
    </w:p>
    <w:p w14:paraId="1658582F" w14:textId="77777777" w:rsidR="00EE5775" w:rsidRDefault="00EE5775" w:rsidP="009E63EC">
      <w:pPr>
        <w:widowControl w:val="0"/>
        <w:spacing w:after="0" w:line="360" w:lineRule="auto"/>
      </w:pPr>
    </w:p>
    <w:p w14:paraId="14AFFA95" w14:textId="46D9EE83" w:rsidR="00EE5775" w:rsidRDefault="00EE5775" w:rsidP="00166E10">
      <w:pPr>
        <w:pStyle w:val="Prrafodelista"/>
        <w:widowControl w:val="0"/>
        <w:numPr>
          <w:ilvl w:val="0"/>
          <w:numId w:val="25"/>
        </w:numPr>
        <w:spacing w:after="0" w:line="360" w:lineRule="auto"/>
      </w:pPr>
      <w:r>
        <w:t xml:space="preserve">Recibo individual que contiene las prestaciones y deducciones de un trabajador. </w:t>
      </w:r>
    </w:p>
    <w:p w14:paraId="5DA712CF" w14:textId="77777777" w:rsidR="00EE5775" w:rsidRDefault="00EE5775" w:rsidP="009E63EC">
      <w:pPr>
        <w:widowControl w:val="0"/>
        <w:spacing w:after="0" w:line="360" w:lineRule="auto"/>
      </w:pPr>
    </w:p>
    <w:p w14:paraId="5155D8C4" w14:textId="319FFF4B" w:rsidR="00817D20" w:rsidRPr="00166E10" w:rsidRDefault="00EE5775" w:rsidP="00166E10">
      <w:pPr>
        <w:pStyle w:val="Prrafodelista"/>
        <w:widowControl w:val="0"/>
        <w:numPr>
          <w:ilvl w:val="0"/>
          <w:numId w:val="25"/>
        </w:numPr>
        <w:spacing w:after="0" w:line="360" w:lineRule="auto"/>
        <w:rPr>
          <w:b/>
          <w:color w:val="FF0000"/>
        </w:rPr>
      </w:pPr>
      <w:r w:rsidRPr="00166E10">
        <w:rPr>
          <w:b/>
        </w:rPr>
        <w:t>Listado general de los servidores públicos de una institución o dependencia, en el cual se asientan las percepciones brutas, deducciones y alcance neto de las mismas.</w:t>
      </w:r>
    </w:p>
    <w:p w14:paraId="73A488CF" w14:textId="77777777" w:rsidR="004811DF" w:rsidRDefault="004811DF" w:rsidP="009E63EC">
      <w:pPr>
        <w:widowControl w:val="0"/>
        <w:spacing w:after="0" w:line="360" w:lineRule="auto"/>
      </w:pPr>
    </w:p>
    <w:p w14:paraId="6569B888" w14:textId="6881DFC2" w:rsidR="00817D20" w:rsidRDefault="004811DF" w:rsidP="009E63EC">
      <w:pPr>
        <w:widowControl w:val="0"/>
        <w:spacing w:after="0" w:line="360" w:lineRule="auto"/>
      </w:pPr>
      <w:r>
        <w:t>En ese contexto, los Lineamientos para la Integración y Entrega del Informe Trimestral Municipal, dos mil veintitrés, emitidos por el Órgano Superior de Fiscalización del Estado de México, el cual precisa que los Ayuntamientos deben de proporcionar, para su fiscalización, diversos documentos, entre los cuales se encuentran aquellos del Módulo 4, que contienen la Conciliación de Nómina</w:t>
      </w:r>
      <w:r w:rsidR="00166E10">
        <w:t>,</w:t>
      </w:r>
      <w:r>
        <w:t xml:space="preserve"> el cual se conforma de del listado de servidores </w:t>
      </w:r>
      <w:r>
        <w:lastRenderedPageBreak/>
        <w:t>públicos, con todas sus percepciones y deducciones, mismo que se genera de manera quincenal.</w:t>
      </w:r>
    </w:p>
    <w:p w14:paraId="26810ED6" w14:textId="77777777" w:rsidR="004811DF" w:rsidRDefault="004811DF" w:rsidP="009E63EC">
      <w:pPr>
        <w:spacing w:after="0" w:line="360" w:lineRule="auto"/>
      </w:pPr>
    </w:p>
    <w:p w14:paraId="5B30D831" w14:textId="27BB38B7" w:rsidR="005D6CFA" w:rsidRDefault="00D05976" w:rsidP="009E63EC">
      <w:pPr>
        <w:spacing w:after="0" w:line="360" w:lineRule="auto"/>
        <w:rPr>
          <w:rFonts w:eastAsia="Calibri" w:cs="Tahoma"/>
        </w:rPr>
      </w:pPr>
      <w:r w:rsidRPr="00C12E86">
        <w:t xml:space="preserve">Conforme a lo anterior, se logra vislumbrar que la pretensión del ahora recurrente es </w:t>
      </w:r>
      <w:r w:rsidR="00166E10" w:rsidRPr="00C12E86">
        <w:t>obtener conciliación</w:t>
      </w:r>
      <w:r w:rsidR="00AA0005" w:rsidRPr="00C12E86">
        <w:t xml:space="preserve"> de</w:t>
      </w:r>
      <w:r w:rsidR="00E573A1" w:rsidRPr="00C12E86">
        <w:rPr>
          <w:rFonts w:eastAsia="Palatino Linotype" w:cs="Tahoma"/>
          <w:color w:val="auto"/>
          <w:lang w:eastAsia="es-MX"/>
        </w:rPr>
        <w:t xml:space="preserve"> nómina de los servidores públicos adscritos al </w:t>
      </w:r>
      <w:r w:rsidR="00166E10">
        <w:rPr>
          <w:rFonts w:eastAsia="Calibri" w:cs="Tahoma"/>
        </w:rPr>
        <w:t>Organismo Público Descentralizado para la Prestación de los Servicios de Agua Potable Alcantarillado y Saneamiento del Municipio de Tlalnepantla de Baz</w:t>
      </w:r>
      <w:r w:rsidR="00E573A1" w:rsidRPr="00C12E86">
        <w:rPr>
          <w:rFonts w:eastAsia="Calibri" w:cs="Tahoma"/>
        </w:rPr>
        <w:t xml:space="preserve">, </w:t>
      </w:r>
      <w:r w:rsidR="00166E10">
        <w:rPr>
          <w:rFonts w:eastAsia="Calibri" w:cs="Tahoma"/>
        </w:rPr>
        <w:t>de la primera quincena de enero a la segunda de marzo de dos mil veinticinco (primer trimestre).</w:t>
      </w:r>
    </w:p>
    <w:p w14:paraId="40AB0BF0" w14:textId="77777777" w:rsidR="004811DF" w:rsidRPr="001305AA" w:rsidRDefault="004811DF" w:rsidP="009E63EC">
      <w:pPr>
        <w:spacing w:after="0" w:line="360" w:lineRule="auto"/>
        <w:rPr>
          <w:rFonts w:eastAsia="Palatino Linotype" w:cs="Tahoma"/>
          <w:color w:val="auto"/>
          <w:lang w:eastAsia="es-MX"/>
        </w:rPr>
      </w:pPr>
    </w:p>
    <w:p w14:paraId="49CAC074" w14:textId="3D12BCFC" w:rsidR="001305AA" w:rsidRPr="001305AA" w:rsidRDefault="001305AA" w:rsidP="001305AA">
      <w:pPr>
        <w:spacing w:after="0" w:line="360" w:lineRule="auto"/>
        <w:contextualSpacing/>
        <w:rPr>
          <w:rFonts w:eastAsia="Times New Roman" w:cs="Tahoma"/>
          <w:iCs/>
          <w:color w:val="auto"/>
          <w:lang w:eastAsia="es-ES"/>
        </w:rPr>
      </w:pPr>
      <w:r w:rsidRPr="001305AA">
        <w:rPr>
          <w:rFonts w:eastAsia="Times New Roman" w:cs="Tahoma"/>
          <w:iCs/>
          <w:color w:val="auto"/>
          <w:lang w:eastAsia="es-ES"/>
        </w:rPr>
        <w:t xml:space="preserve">Ante dicha circunstancia, es necesario precisar que de las constancias que obran en el expediente electrónico, se logra advertir que el Sujeto Obligado turnó la solicitud de información a la  Oficialía Mayor y Área de Recursos Humanos, por lo que, resulta necesario hacer referencia al </w:t>
      </w:r>
      <w:r w:rsidRPr="001305AA">
        <w:rPr>
          <w:rFonts w:eastAsia="Times New Roman" w:cs="Tahoma"/>
          <w:b/>
          <w:iCs/>
          <w:color w:val="auto"/>
          <w:lang w:eastAsia="es-ES"/>
        </w:rPr>
        <w:t>procedimiento de búsqueda que deben seguir los Sujetos Obligados para localizar la información,</w:t>
      </w:r>
      <w:r w:rsidRPr="001305AA">
        <w:rPr>
          <w:rFonts w:eastAsia="Times New Roman" w:cs="Tahoma"/>
          <w:iCs/>
          <w:color w:val="auto"/>
          <w:lang w:eastAsia="es-ES"/>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w:t>
      </w:r>
      <w:r>
        <w:rPr>
          <w:rFonts w:eastAsia="Times New Roman" w:cs="Tahoma"/>
          <w:iCs/>
          <w:color w:val="auto"/>
          <w:lang w:eastAsia="es-ES"/>
        </w:rPr>
        <w:t xml:space="preserve">  </w:t>
      </w:r>
      <w:r w:rsidRPr="001305AA">
        <w:rPr>
          <w:rFonts w:eastAsia="Times New Roman" w:cs="Tahoma"/>
          <w:iCs/>
          <w:color w:val="auto"/>
          <w:lang w:eastAsia="es-ES"/>
        </w:rPr>
        <w:t>de acuerdo con las facultades, competencias y funcione</w:t>
      </w:r>
      <w:r>
        <w:rPr>
          <w:rFonts w:eastAsia="Times New Roman" w:cs="Tahoma"/>
          <w:iCs/>
          <w:color w:val="auto"/>
          <w:lang w:eastAsia="es-ES"/>
        </w:rPr>
        <w:t xml:space="preserve">s-, con el objeto de que dichas </w:t>
      </w:r>
      <w:r w:rsidRPr="001305AA">
        <w:rPr>
          <w:rFonts w:eastAsia="Times New Roman" w:cs="Tahoma"/>
          <w:iCs/>
          <w:color w:val="auto"/>
          <w:lang w:eastAsia="es-ES"/>
        </w:rPr>
        <w:t>áreas realicen una búsqueda exhaustiva y razonable de la información requerida.</w:t>
      </w:r>
    </w:p>
    <w:p w14:paraId="0246026D" w14:textId="77777777" w:rsidR="001305AA" w:rsidRDefault="001305AA" w:rsidP="009E63EC">
      <w:pPr>
        <w:spacing w:after="0" w:line="360" w:lineRule="auto"/>
        <w:contextualSpacing/>
        <w:rPr>
          <w:rFonts w:eastAsia="Times New Roman" w:cs="Tahoma"/>
          <w:iCs/>
          <w:color w:val="FF0000"/>
          <w:lang w:eastAsia="es-ES"/>
        </w:rPr>
      </w:pPr>
    </w:p>
    <w:p w14:paraId="769A2258" w14:textId="154B0D75" w:rsidR="00B35BE6" w:rsidRDefault="00B35BE6" w:rsidP="00B35BE6">
      <w:pPr>
        <w:spacing w:after="0" w:line="360" w:lineRule="auto"/>
        <w:contextualSpacing/>
        <w:rPr>
          <w:rFonts w:eastAsia="Times New Roman" w:cs="Tahoma"/>
          <w:iCs/>
          <w:color w:val="auto"/>
          <w:lang w:eastAsia="es-ES"/>
        </w:rPr>
      </w:pPr>
      <w:r w:rsidRPr="00B35BE6">
        <w:rPr>
          <w:rFonts w:eastAsia="Times New Roman" w:cs="Tahoma"/>
          <w:iCs/>
          <w:color w:val="auto"/>
          <w:lang w:eastAsia="es-ES"/>
        </w:rPr>
        <w:t>Así, con la finalidad de determinar si el Sujeto Obligado cumplió con el procedimiento de búsqueda previamente establecido, es necesario traer a colación el</w:t>
      </w:r>
      <w:r>
        <w:rPr>
          <w:rFonts w:eastAsia="Times New Roman" w:cs="Tahoma"/>
          <w:iCs/>
          <w:color w:val="auto"/>
          <w:lang w:eastAsia="es-ES"/>
        </w:rPr>
        <w:t xml:space="preserve"> artículo 66 del </w:t>
      </w:r>
      <w:r w:rsidRPr="00B35BE6">
        <w:rPr>
          <w:rFonts w:eastAsia="Times New Roman" w:cs="Tahoma"/>
          <w:iCs/>
          <w:color w:val="auto"/>
          <w:lang w:eastAsia="es-ES"/>
        </w:rPr>
        <w:t>Reglamento Interno del Organismo Público Descentralizado para la Prestación de los Servicios de Agua Potable, Alcantarillado y Saneamiento del Municipio de Tlalnepantla, México</w:t>
      </w:r>
      <w:r>
        <w:rPr>
          <w:rFonts w:eastAsia="Times New Roman" w:cs="Tahoma"/>
          <w:iCs/>
          <w:color w:val="auto"/>
          <w:lang w:eastAsia="es-ES"/>
        </w:rPr>
        <w:t xml:space="preserve">, el cual establece que el  Titular del área de Recursos Humanos se encarga entre otras cosas de </w:t>
      </w:r>
      <w:r w:rsidRPr="00B35BE6">
        <w:rPr>
          <w:rFonts w:eastAsia="Times New Roman" w:cs="Tahoma"/>
          <w:iCs/>
          <w:color w:val="auto"/>
          <w:lang w:eastAsia="es-ES"/>
        </w:rPr>
        <w:lastRenderedPageBreak/>
        <w:t>efectuar la dispersión de la nómina electrónica a las instituciones bancarias</w:t>
      </w:r>
      <w:r>
        <w:rPr>
          <w:rFonts w:eastAsia="Times New Roman" w:cs="Tahoma"/>
          <w:iCs/>
          <w:color w:val="auto"/>
          <w:lang w:eastAsia="es-ES"/>
        </w:rPr>
        <w:t xml:space="preserve">, </w:t>
      </w:r>
      <w:r w:rsidRPr="00B35BE6">
        <w:rPr>
          <w:rFonts w:eastAsia="Times New Roman" w:cs="Tahoma"/>
          <w:b/>
          <w:iCs/>
          <w:color w:val="auto"/>
          <w:lang w:eastAsia="es-ES"/>
        </w:rPr>
        <w:t xml:space="preserve">llevar a cabo el cálculo y determinación de las nóminas ordinarias y extraordinarias, </w:t>
      </w:r>
      <w:r w:rsidRPr="00B35BE6">
        <w:rPr>
          <w:rFonts w:eastAsia="Times New Roman" w:cs="Tahoma"/>
          <w:iCs/>
          <w:color w:val="auto"/>
          <w:lang w:eastAsia="es-ES"/>
        </w:rPr>
        <w:t>así como el pago de las remuneraciones y prestaciones de los servidores públicos de Organismo</w:t>
      </w:r>
      <w:r>
        <w:rPr>
          <w:rFonts w:eastAsia="Times New Roman" w:cs="Tahoma"/>
          <w:iCs/>
          <w:color w:val="auto"/>
          <w:lang w:eastAsia="es-ES"/>
        </w:rPr>
        <w:t xml:space="preserve">, así como, </w:t>
      </w:r>
      <w:r w:rsidRPr="00B35BE6">
        <w:rPr>
          <w:rFonts w:eastAsia="Times New Roman" w:cs="Tahoma"/>
          <w:iCs/>
          <w:color w:val="auto"/>
          <w:lang w:eastAsia="es-ES"/>
        </w:rPr>
        <w:t>generar el timbrado de nómina ante la autoridad fiscal correspondiente</w:t>
      </w:r>
      <w:r>
        <w:rPr>
          <w:rFonts w:eastAsia="Times New Roman" w:cs="Tahoma"/>
          <w:iCs/>
          <w:color w:val="auto"/>
          <w:lang w:eastAsia="es-ES"/>
        </w:rPr>
        <w:t>.</w:t>
      </w:r>
    </w:p>
    <w:p w14:paraId="7B4FFAE5" w14:textId="77777777" w:rsidR="00B35BE6" w:rsidRDefault="00B35BE6" w:rsidP="00B35BE6">
      <w:pPr>
        <w:spacing w:after="0" w:line="360" w:lineRule="auto"/>
        <w:contextualSpacing/>
        <w:rPr>
          <w:rFonts w:eastAsia="Times New Roman" w:cs="Tahoma"/>
          <w:iCs/>
          <w:color w:val="auto"/>
          <w:lang w:eastAsia="es-ES"/>
        </w:rPr>
      </w:pPr>
    </w:p>
    <w:p w14:paraId="354B1CE9" w14:textId="58426BD5" w:rsidR="00084D4E" w:rsidRPr="0058516C" w:rsidRDefault="004235E0" w:rsidP="009E63EC">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Por otra parte, el artículo 57 del Reglamento en comento establece que  la </w:t>
      </w:r>
      <w:r w:rsidRPr="004235E0">
        <w:rPr>
          <w:rFonts w:eastAsia="Times New Roman" w:cs="Tahoma"/>
          <w:iCs/>
          <w:color w:val="auto"/>
          <w:lang w:eastAsia="es-ES"/>
        </w:rPr>
        <w:t>Oficialía Mayor, es el Área Administrativa encargada de conducir estratégicamente las acciones administrativas y financieras del Organismo, planear, programar y eficientar la administración de los recursos materiales, financieros y humanos</w:t>
      </w:r>
      <w:r>
        <w:rPr>
          <w:rFonts w:eastAsia="Times New Roman" w:cs="Tahoma"/>
          <w:iCs/>
          <w:color w:val="auto"/>
          <w:lang w:eastAsia="es-ES"/>
        </w:rPr>
        <w:t>.</w:t>
      </w:r>
      <w:r w:rsidR="0012163D">
        <w:rPr>
          <w:rFonts w:eastAsia="Times New Roman" w:cs="Tahoma"/>
          <w:iCs/>
          <w:color w:val="auto"/>
          <w:lang w:eastAsia="es-ES"/>
        </w:rPr>
        <w:t xml:space="preserve"> </w:t>
      </w:r>
      <w:r>
        <w:rPr>
          <w:rFonts w:eastAsia="Times New Roman" w:cs="Tahoma"/>
          <w:iCs/>
          <w:color w:val="auto"/>
          <w:lang w:eastAsia="es-ES"/>
        </w:rPr>
        <w:t xml:space="preserve">Siendo el Responsable de la Oficialía Mayor quien dentro de sus funciones y atribuciones el encargado entre otras cosas de </w:t>
      </w:r>
      <w:r w:rsidRPr="004235E0">
        <w:rPr>
          <w:rFonts w:eastAsia="Times New Roman" w:cs="Tahoma"/>
          <w:iCs/>
          <w:color w:val="auto"/>
          <w:lang w:eastAsia="es-ES"/>
        </w:rPr>
        <w:t>supervisar la hacienda pública del Organism</w:t>
      </w:r>
      <w:r>
        <w:rPr>
          <w:rFonts w:eastAsia="Times New Roman" w:cs="Tahoma"/>
          <w:iCs/>
          <w:color w:val="auto"/>
          <w:lang w:eastAsia="es-ES"/>
        </w:rPr>
        <w:t xml:space="preserve">o, </w:t>
      </w:r>
      <w:r w:rsidR="00F92B1E">
        <w:rPr>
          <w:rFonts w:eastAsia="Times New Roman" w:cs="Tahoma"/>
          <w:iCs/>
          <w:color w:val="auto"/>
          <w:lang w:eastAsia="es-ES"/>
        </w:rPr>
        <w:t xml:space="preserve">así como de </w:t>
      </w:r>
      <w:r w:rsidR="00F92B1E" w:rsidRPr="00F92B1E">
        <w:rPr>
          <w:rFonts w:eastAsia="Times New Roman" w:cs="Tahoma"/>
          <w:iCs/>
          <w:color w:val="auto"/>
          <w:lang w:eastAsia="es-ES"/>
        </w:rPr>
        <w:t>supervisar el flujo de efectivo del Organismo y llevar el control de este</w:t>
      </w:r>
      <w:r w:rsidR="00F92B1E">
        <w:rPr>
          <w:rFonts w:eastAsia="Times New Roman" w:cs="Tahoma"/>
          <w:iCs/>
          <w:color w:val="auto"/>
          <w:lang w:eastAsia="es-ES"/>
        </w:rPr>
        <w:t xml:space="preserve">. </w:t>
      </w:r>
    </w:p>
    <w:p w14:paraId="42E6CA51" w14:textId="77777777" w:rsidR="0058516C" w:rsidRDefault="0058516C" w:rsidP="009E63EC">
      <w:pPr>
        <w:spacing w:after="0" w:line="360" w:lineRule="auto"/>
        <w:contextualSpacing/>
        <w:rPr>
          <w:rFonts w:eastAsia="Times New Roman" w:cs="Tahoma"/>
          <w:iCs/>
          <w:color w:val="FF0000"/>
          <w:lang w:eastAsia="es-ES"/>
        </w:rPr>
      </w:pPr>
    </w:p>
    <w:p w14:paraId="1DA0DECE" w14:textId="0DB0E065" w:rsidR="00084D4E" w:rsidRPr="00886AB4" w:rsidRDefault="0058516C" w:rsidP="009E63EC">
      <w:pPr>
        <w:spacing w:after="0" w:line="360" w:lineRule="auto"/>
        <w:contextualSpacing/>
        <w:rPr>
          <w:color w:val="FF0000"/>
        </w:rPr>
      </w:pPr>
      <w:r w:rsidRPr="0058516C">
        <w:rPr>
          <w:rFonts w:eastAsia="Times New Roman" w:cs="Tahoma"/>
          <w:iCs/>
          <w:color w:val="auto"/>
          <w:lang w:eastAsia="es-ES"/>
        </w:rPr>
        <w:t xml:space="preserve">Conforme a lo anterior se logra advertir que </w:t>
      </w:r>
      <w:r w:rsidR="00F76A06" w:rsidRPr="0058516C">
        <w:rPr>
          <w:rFonts w:eastAsia="Times New Roman" w:cs="Tahoma"/>
          <w:iCs/>
          <w:color w:val="auto"/>
          <w:lang w:eastAsia="es-ES"/>
        </w:rPr>
        <w:t>el Sujeto Obligado</w:t>
      </w:r>
      <w:r w:rsidR="00084D4E" w:rsidRPr="0058516C">
        <w:rPr>
          <w:rFonts w:eastAsia="Times New Roman" w:cs="Tahoma"/>
          <w:bCs/>
          <w:iCs/>
          <w:color w:val="auto"/>
          <w:lang w:eastAsia="es-ES"/>
        </w:rPr>
        <w:t xml:space="preserve">, cumplió con el procedimiento de búsqueda previsto en el artículo 162 de la Ley de Transparencia y Acceso a la Información Pública del Estado de México y Municipios, toda vez </w:t>
      </w:r>
      <w:r w:rsidR="00084D4E" w:rsidRPr="009C1F50">
        <w:rPr>
          <w:rFonts w:eastAsia="Times New Roman" w:cs="Tahoma"/>
          <w:bCs/>
          <w:iCs/>
          <w:color w:val="auto"/>
          <w:lang w:eastAsia="es-ES"/>
        </w:rPr>
        <w:t>que turnó la solicitud de información al área competente</w:t>
      </w:r>
      <w:r w:rsidRPr="009C1F50">
        <w:rPr>
          <w:rFonts w:eastAsia="Times New Roman" w:cs="Tahoma"/>
          <w:bCs/>
          <w:iCs/>
          <w:color w:val="auto"/>
          <w:lang w:eastAsia="es-ES"/>
        </w:rPr>
        <w:t xml:space="preserve"> para conocer respecto de la nómina del Sujeto Obligado.</w:t>
      </w:r>
    </w:p>
    <w:p w14:paraId="7351DD42" w14:textId="77777777" w:rsidR="009C1F50" w:rsidRDefault="009C1F50" w:rsidP="009E63EC">
      <w:pPr>
        <w:spacing w:after="0" w:line="360" w:lineRule="auto"/>
        <w:contextualSpacing/>
        <w:rPr>
          <w:rFonts w:eastAsia="Times New Roman" w:cs="Tahoma"/>
          <w:iCs/>
          <w:color w:val="FF0000"/>
          <w:lang w:eastAsia="es-ES"/>
        </w:rPr>
      </w:pPr>
    </w:p>
    <w:p w14:paraId="26A21AAC" w14:textId="4E105158" w:rsidR="009C1F50" w:rsidRDefault="009C1F50" w:rsidP="009E63EC">
      <w:pPr>
        <w:spacing w:after="0" w:line="360" w:lineRule="auto"/>
        <w:contextualSpacing/>
        <w:rPr>
          <w:rFonts w:eastAsia="Times New Roman" w:cs="Tahoma"/>
          <w:iCs/>
          <w:color w:val="auto"/>
          <w:lang w:eastAsia="es-ES"/>
        </w:rPr>
      </w:pPr>
      <w:r w:rsidRPr="009E0757">
        <w:rPr>
          <w:rFonts w:eastAsia="Times New Roman" w:cs="Tahoma"/>
          <w:iCs/>
          <w:color w:val="auto"/>
          <w:lang w:eastAsia="es-ES"/>
        </w:rPr>
        <w:t xml:space="preserve">Ahora bien, tanto en respuesta como en informe justificado, las áreas señaladas precisaron que la información solicitada se encuentra publicada en el Portal de Información Pública de Oficio Mexiquense (IPOMEX), </w:t>
      </w:r>
      <w:r w:rsidR="009E0757">
        <w:rPr>
          <w:rFonts w:eastAsia="Times New Roman" w:cs="Tahoma"/>
          <w:iCs/>
          <w:color w:val="auto"/>
          <w:lang w:eastAsia="es-ES"/>
        </w:rPr>
        <w:t>en el artículo 92 fracción VIII A “Remuneraciones”, misma que podía ser consultada a través de la liga que remitió en formato abierto.</w:t>
      </w:r>
    </w:p>
    <w:p w14:paraId="630D83B2" w14:textId="77777777" w:rsidR="009E0757" w:rsidRDefault="009E0757" w:rsidP="009E63EC">
      <w:pPr>
        <w:spacing w:after="0" w:line="360" w:lineRule="auto"/>
        <w:contextualSpacing/>
        <w:rPr>
          <w:rFonts w:eastAsia="Times New Roman" w:cs="Tahoma"/>
          <w:iCs/>
          <w:color w:val="auto"/>
          <w:lang w:eastAsia="es-ES"/>
        </w:rPr>
      </w:pPr>
    </w:p>
    <w:p w14:paraId="18821EA1" w14:textId="6D204C17" w:rsidR="009E0757" w:rsidRDefault="009E0757" w:rsidP="009E63EC">
      <w:pPr>
        <w:spacing w:after="0" w:line="360" w:lineRule="auto"/>
        <w:contextualSpacing/>
      </w:pPr>
      <w:r>
        <w:rPr>
          <w:rFonts w:eastAsia="Times New Roman" w:cs="Tahoma"/>
          <w:iCs/>
          <w:color w:val="auto"/>
          <w:lang w:eastAsia="es-ES"/>
        </w:rPr>
        <w:t>Conforme a lo anterior, se logra advertir que si bien el Sujeto Obligado proporcion</w:t>
      </w:r>
      <w:r w:rsidR="00166E10">
        <w:rPr>
          <w:rFonts w:eastAsia="Times New Roman" w:cs="Tahoma"/>
          <w:iCs/>
          <w:color w:val="auto"/>
          <w:lang w:eastAsia="es-ES"/>
        </w:rPr>
        <w:t>ó</w:t>
      </w:r>
      <w:r>
        <w:rPr>
          <w:rFonts w:eastAsia="Times New Roman" w:cs="Tahoma"/>
          <w:iCs/>
          <w:color w:val="auto"/>
          <w:lang w:eastAsia="es-ES"/>
        </w:rPr>
        <w:t xml:space="preserve"> información que guarda </w:t>
      </w:r>
      <w:r w:rsidR="00166E10">
        <w:rPr>
          <w:rFonts w:eastAsia="Times New Roman" w:cs="Tahoma"/>
          <w:iCs/>
          <w:color w:val="auto"/>
          <w:lang w:eastAsia="es-ES"/>
        </w:rPr>
        <w:t>r</w:t>
      </w:r>
      <w:r>
        <w:t>elación con la información solicitada, la mis</w:t>
      </w:r>
      <w:r w:rsidR="00166E10">
        <w:t>m</w:t>
      </w:r>
      <w:r>
        <w:t xml:space="preserve">a no da cuenta de la </w:t>
      </w:r>
      <w:r>
        <w:lastRenderedPageBreak/>
        <w:t xml:space="preserve">información solicitada, pues como se precisó en párrafos anteriores la pretensión del Particular versa en obtener </w:t>
      </w:r>
      <w:r>
        <w:rPr>
          <w:rFonts w:eastAsia="Palatino Linotype" w:cs="Tahoma"/>
          <w:color w:val="auto"/>
          <w:lang w:eastAsia="es-MX"/>
        </w:rPr>
        <w:t xml:space="preserve">la </w:t>
      </w:r>
      <w:r w:rsidR="00337221">
        <w:rPr>
          <w:rFonts w:eastAsia="Palatino Linotype" w:cs="Tahoma"/>
          <w:color w:val="auto"/>
          <w:lang w:eastAsia="es-MX"/>
        </w:rPr>
        <w:t xml:space="preserve">conciliación de </w:t>
      </w:r>
      <w:r>
        <w:rPr>
          <w:rFonts w:eastAsia="Palatino Linotype" w:cs="Tahoma"/>
          <w:color w:val="auto"/>
          <w:lang w:eastAsia="es-MX"/>
        </w:rPr>
        <w:t>nómina de los servidores públicos</w:t>
      </w:r>
      <w:r w:rsidR="006D2F47">
        <w:rPr>
          <w:rFonts w:eastAsia="Calibri" w:cs="Tahoma"/>
        </w:rPr>
        <w:t xml:space="preserve">, y no así el salario neto bruto mensual de los servidores públicos contenida en el </w:t>
      </w:r>
      <w:r w:rsidR="006D2F47">
        <w:rPr>
          <w:rFonts w:eastAsia="Times New Roman" w:cs="Tahoma"/>
          <w:iCs/>
          <w:color w:val="auto"/>
          <w:lang w:eastAsia="es-ES"/>
        </w:rPr>
        <w:t>artículo 92 fracción VIII A “Remuneraciones” del (IPOMEX)</w:t>
      </w:r>
      <w:r w:rsidR="004B320C">
        <w:rPr>
          <w:rFonts w:eastAsia="Times New Roman" w:cs="Tahoma"/>
          <w:iCs/>
          <w:color w:val="auto"/>
          <w:lang w:eastAsia="es-ES"/>
        </w:rPr>
        <w:t xml:space="preserve">, información que </w:t>
      </w:r>
      <w:r w:rsidR="004B320C">
        <w:t>no corresponde con lo solicitado.</w:t>
      </w:r>
    </w:p>
    <w:p w14:paraId="1588FFB3" w14:textId="77777777" w:rsidR="004B320C" w:rsidRDefault="004B320C" w:rsidP="009E63EC">
      <w:pPr>
        <w:spacing w:after="0" w:line="360" w:lineRule="auto"/>
        <w:contextualSpacing/>
      </w:pPr>
    </w:p>
    <w:p w14:paraId="3D00F4B1" w14:textId="1D107FA6" w:rsidR="004B320C" w:rsidRDefault="00166E10" w:rsidP="009E63EC">
      <w:pPr>
        <w:spacing w:after="0" w:line="360" w:lineRule="auto"/>
        <w:contextualSpacing/>
        <w:rPr>
          <w:b/>
        </w:rPr>
      </w:pPr>
      <w:r>
        <w:t>P</w:t>
      </w:r>
      <w:r w:rsidR="00BB1F53">
        <w:t>or tales consideraciones, se concluye que el Sujeto Obligado no satisfizo el derecho de acceso a la información del Solicitante, pues proporcionó información</w:t>
      </w:r>
      <w:r>
        <w:t xml:space="preserve"> </w:t>
      </w:r>
      <w:r w:rsidR="00C37857">
        <w:t>que,</w:t>
      </w:r>
      <w:r>
        <w:t xml:space="preserve"> si bien se relaciona con lo solicitado, no da cuenta de lo peticionado</w:t>
      </w:r>
      <w:r w:rsidR="00C37857">
        <w:t>, al no contener los sueldos y percepciones pagadas y las deducciones realizadas,</w:t>
      </w:r>
      <w:r w:rsidR="00BB1F53">
        <w:t xml:space="preserve"> lo cual da como resultado que </w:t>
      </w:r>
      <w:r w:rsidR="00C37857">
        <w:t>el agravio</w:t>
      </w:r>
      <w:r w:rsidR="00BB1F53">
        <w:t xml:space="preserve"> sea </w:t>
      </w:r>
      <w:r w:rsidR="00BB1F53" w:rsidRPr="00BB1F53">
        <w:rPr>
          <w:b/>
        </w:rPr>
        <w:t>FUNDADO.</w:t>
      </w:r>
    </w:p>
    <w:p w14:paraId="3D6190E9" w14:textId="77777777" w:rsidR="00D6043D" w:rsidRDefault="00D6043D" w:rsidP="009E63EC">
      <w:pPr>
        <w:spacing w:after="0" w:line="360" w:lineRule="auto"/>
        <w:contextualSpacing/>
        <w:rPr>
          <w:b/>
        </w:rPr>
      </w:pPr>
    </w:p>
    <w:p w14:paraId="63011EBF" w14:textId="184A4AFC" w:rsidR="00D6043D" w:rsidRDefault="00D6043D" w:rsidP="009E63EC">
      <w:pPr>
        <w:spacing w:after="0" w:line="360" w:lineRule="auto"/>
        <w:contextualSpacing/>
      </w:pPr>
      <w:r>
        <w:t xml:space="preserve">Así, para atender al requerimiento en análisis, el Sujeto Obligado, deberá realizar una búsqueda exhaustiva y razonable en todas sus áreas competentes, dentro de las cuales no podrá omitir a </w:t>
      </w:r>
      <w:r w:rsidRPr="001305AA">
        <w:rPr>
          <w:rFonts w:eastAsia="Times New Roman" w:cs="Tahoma"/>
          <w:iCs/>
          <w:color w:val="auto"/>
          <w:lang w:eastAsia="es-ES"/>
        </w:rPr>
        <w:t>Oficialía Mayor y Área de Recursos Humanos</w:t>
      </w:r>
      <w:r>
        <w:rPr>
          <w:rFonts w:eastAsia="Times New Roman" w:cs="Tahoma"/>
          <w:iCs/>
          <w:color w:val="auto"/>
          <w:lang w:eastAsia="es-ES"/>
        </w:rPr>
        <w:t xml:space="preserve">, </w:t>
      </w:r>
      <w:r>
        <w:t xml:space="preserve">a efecto de que proporcione la </w:t>
      </w:r>
      <w:r w:rsidR="00A248C2">
        <w:t xml:space="preserve">conciliación de </w:t>
      </w:r>
      <w:r>
        <w:t xml:space="preserve">nómina de los servidores </w:t>
      </w:r>
      <w:r w:rsidR="000268AA">
        <w:rPr>
          <w:rFonts w:eastAsia="Palatino Linotype" w:cs="Tahoma"/>
          <w:color w:val="auto"/>
          <w:lang w:eastAsia="es-MX"/>
        </w:rPr>
        <w:t xml:space="preserve">públicos adscritos al </w:t>
      </w:r>
      <w:r w:rsidR="00166E10">
        <w:rPr>
          <w:rFonts w:eastAsia="Calibri" w:cs="Tahoma"/>
        </w:rPr>
        <w:t>Organismo Público Descentralizado para la Prestación de los Servicios de Agua Potable Alcantarillado y Saneamiento del Municipio de Tlalnepantla de Baz</w:t>
      </w:r>
      <w:r w:rsidR="000268AA">
        <w:rPr>
          <w:rFonts w:eastAsia="Calibri" w:cs="Tahoma"/>
        </w:rPr>
        <w:t>, del periodo que comprende del primero de enero al treinta y uno de marzo de dos mil veinticinco</w:t>
      </w:r>
      <w:r w:rsidR="00CF06D9">
        <w:rPr>
          <w:rFonts w:eastAsia="Calibri" w:cs="Tahoma"/>
        </w:rPr>
        <w:t xml:space="preserve">; </w:t>
      </w:r>
      <w:r w:rsidR="00CF06D9">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0F366D0" w14:textId="77777777" w:rsidR="00CF06D9" w:rsidRDefault="00CF06D9" w:rsidP="009E63EC">
      <w:pPr>
        <w:spacing w:after="0" w:line="360" w:lineRule="auto"/>
        <w:contextualSpacing/>
      </w:pPr>
    </w:p>
    <w:p w14:paraId="54BC1B7E" w14:textId="4A5F0BEA" w:rsidR="00CF06D9" w:rsidRDefault="00E40C8C" w:rsidP="009E63EC">
      <w:pPr>
        <w:spacing w:after="0" w:line="360" w:lineRule="auto"/>
        <w:contextualSpacing/>
      </w:pPr>
      <w:r>
        <w:lastRenderedPageBreak/>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14:paraId="3B58DBC3" w14:textId="77777777" w:rsidR="00E40C8C" w:rsidRDefault="00E40C8C" w:rsidP="009E63EC">
      <w:pPr>
        <w:spacing w:after="0" w:line="360" w:lineRule="auto"/>
        <w:contextualSpacing/>
      </w:pPr>
    </w:p>
    <w:p w14:paraId="5AF393D1" w14:textId="19E95987" w:rsidR="00E40C8C" w:rsidRDefault="00A248C2" w:rsidP="009E63EC">
      <w:pPr>
        <w:spacing w:after="0" w:line="360" w:lineRule="auto"/>
        <w:contextualSpacing/>
        <w:rPr>
          <w:b/>
        </w:rPr>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conciliación de nómina,</w:t>
      </w:r>
      <w:r w:rsidR="00C12E86">
        <w:t xml:space="preserve"> </w:t>
      </w:r>
      <w:r>
        <w:t xml:space="preserve">de los servidores </w:t>
      </w:r>
      <w:r>
        <w:rPr>
          <w:rFonts w:eastAsia="Palatino Linotype" w:cs="Tahoma"/>
          <w:color w:val="auto"/>
          <w:lang w:eastAsia="es-MX"/>
        </w:rPr>
        <w:t xml:space="preserve">públicos adscritos al </w:t>
      </w:r>
      <w:r w:rsidR="00166E10">
        <w:rPr>
          <w:rFonts w:eastAsia="Calibri" w:cs="Tahoma"/>
        </w:rPr>
        <w:t>Organismo Público Descentralizado para la Prestación de los Servicios de Agua Potable Alcantarillado y Saneamiento del Municipio de Tlalnepantla de Baz</w:t>
      </w:r>
      <w:r>
        <w:rPr>
          <w:rFonts w:eastAsia="Calibri" w:cs="Tahoma"/>
        </w:rPr>
        <w:t>, del periodo que comprende del primero de enero al treinta y uno de marzo de dos mil veinticinco</w:t>
      </w:r>
      <w:r w:rsidR="00C12E86">
        <w:rPr>
          <w:rFonts w:eastAsia="Calibri" w:cs="Tahoma"/>
        </w:rPr>
        <w:t>.</w:t>
      </w:r>
    </w:p>
    <w:p w14:paraId="3D057900" w14:textId="77777777" w:rsidR="00D6043D" w:rsidRDefault="00D6043D" w:rsidP="009E63EC">
      <w:pPr>
        <w:spacing w:after="0" w:line="360" w:lineRule="auto"/>
        <w:contextualSpacing/>
        <w:rPr>
          <w:b/>
        </w:rPr>
      </w:pPr>
    </w:p>
    <w:p w14:paraId="15FFD942" w14:textId="00F8AB76" w:rsidR="00D6043D" w:rsidRDefault="00C12E86" w:rsidP="009E63EC">
      <w:pPr>
        <w:spacing w:after="0" w:line="360" w:lineRule="auto"/>
        <w:contextualSpacing/>
        <w:rPr>
          <w:rFonts w:eastAsia="Times New Roman" w:cs="Tahoma"/>
          <w:iCs/>
          <w:color w:val="auto"/>
          <w:lang w:eastAsia="es-ES"/>
        </w:rPr>
      </w:pPr>
      <w:r>
        <w:rPr>
          <w:rFonts w:eastAsia="Times New Roman" w:cs="Tahoma"/>
          <w:iCs/>
          <w:color w:val="auto"/>
          <w:lang w:eastAsia="es-ES"/>
        </w:rPr>
        <w:t>Ahora bien, no pasa desapercibido que los documentos que den cuenta de lo solicitado pudieran contener de manera enunciativa más no limitativa los siguientes datos:</w:t>
      </w:r>
    </w:p>
    <w:p w14:paraId="5ED67B59" w14:textId="77777777" w:rsidR="00C12E86" w:rsidRDefault="00C12E86" w:rsidP="009E63EC">
      <w:pPr>
        <w:spacing w:after="0" w:line="360" w:lineRule="auto"/>
        <w:contextualSpacing/>
        <w:rPr>
          <w:rFonts w:eastAsia="Times New Roman" w:cs="Tahoma"/>
          <w:iCs/>
          <w:color w:val="auto"/>
          <w:lang w:eastAsia="es-ES"/>
        </w:rPr>
      </w:pPr>
    </w:p>
    <w:p w14:paraId="5988E1DE" w14:textId="77777777" w:rsidR="00C12E86" w:rsidRPr="00C12E86" w:rsidRDefault="00C12E86" w:rsidP="00C12E86">
      <w:pPr>
        <w:numPr>
          <w:ilvl w:val="0"/>
          <w:numId w:val="20"/>
        </w:numPr>
        <w:spacing w:after="0" w:line="360" w:lineRule="auto"/>
        <w:rPr>
          <w:rFonts w:eastAsia="Palatino Linotype" w:cs="Palatino Linotype"/>
          <w:color w:val="auto"/>
          <w:lang w:eastAsia="es-MX"/>
        </w:rPr>
      </w:pPr>
      <w:bookmarkStart w:id="17" w:name="_Hlk179971039"/>
      <w:r w:rsidRPr="00C12E86">
        <w:rPr>
          <w:rFonts w:eastAsia="Palatino Linotype" w:cs="Palatino Linotype"/>
          <w:color w:val="auto"/>
          <w:lang w:eastAsia="es-MX"/>
        </w:rPr>
        <w:t>Clave Única de Registro de Población (CURP);</w:t>
      </w:r>
    </w:p>
    <w:p w14:paraId="734DF077" w14:textId="77777777" w:rsidR="00C12E86" w:rsidRPr="00C12E86" w:rsidRDefault="00C12E86" w:rsidP="00C12E86">
      <w:pPr>
        <w:numPr>
          <w:ilvl w:val="0"/>
          <w:numId w:val="20"/>
        </w:numPr>
        <w:spacing w:after="0" w:line="360" w:lineRule="auto"/>
        <w:rPr>
          <w:rFonts w:eastAsia="Palatino Linotype" w:cs="Palatino Linotype"/>
          <w:color w:val="auto"/>
          <w:lang w:eastAsia="es-MX"/>
        </w:rPr>
      </w:pPr>
      <w:r w:rsidRPr="00C12E86">
        <w:rPr>
          <w:rFonts w:eastAsia="Palatino Linotype" w:cs="Palatino Linotype"/>
          <w:color w:val="auto"/>
          <w:lang w:eastAsia="es-MX"/>
        </w:rPr>
        <w:t>Registro Federal de Contribuyentes del servidor público (RFC);</w:t>
      </w:r>
    </w:p>
    <w:p w14:paraId="100EF7E0" w14:textId="77777777" w:rsidR="00C12E86" w:rsidRPr="00C12E86" w:rsidRDefault="00C12E86" w:rsidP="00C12E86">
      <w:pPr>
        <w:numPr>
          <w:ilvl w:val="0"/>
          <w:numId w:val="20"/>
        </w:numPr>
        <w:spacing w:after="0" w:line="360" w:lineRule="auto"/>
        <w:rPr>
          <w:rFonts w:eastAsia="Palatino Linotype" w:cs="Palatino Linotype"/>
          <w:color w:val="auto"/>
          <w:lang w:eastAsia="es-MX"/>
        </w:rPr>
      </w:pPr>
      <w:r w:rsidRPr="00C12E86">
        <w:rPr>
          <w:rFonts w:eastAsia="Palatino Linotype" w:cs="Palatino Linotype"/>
          <w:color w:val="auto"/>
          <w:lang w:eastAsia="es-MX"/>
        </w:rPr>
        <w:t>Número de seguridad social del Instituto de Seguridad Social del Estado de México y Municipios;</w:t>
      </w:r>
    </w:p>
    <w:p w14:paraId="2947FC8E" w14:textId="77777777" w:rsidR="00C12E86" w:rsidRPr="00C12E86" w:rsidRDefault="00C12E86" w:rsidP="00C12E86">
      <w:pPr>
        <w:numPr>
          <w:ilvl w:val="0"/>
          <w:numId w:val="20"/>
        </w:numPr>
        <w:spacing w:after="0" w:line="360" w:lineRule="auto"/>
        <w:rPr>
          <w:rFonts w:eastAsia="Palatino Linotype" w:cs="Palatino Linotype"/>
          <w:color w:val="auto"/>
          <w:lang w:eastAsia="es-MX"/>
        </w:rPr>
      </w:pPr>
      <w:r w:rsidRPr="00C12E86">
        <w:rPr>
          <w:rFonts w:eastAsia="Palatino Linotype" w:cs="Palatino Linotype"/>
          <w:color w:val="auto"/>
          <w:lang w:eastAsia="es-MX"/>
        </w:rPr>
        <w:t>Deducciones personales, y</w:t>
      </w:r>
    </w:p>
    <w:p w14:paraId="49B0A58F" w14:textId="77777777" w:rsidR="00C12E86" w:rsidRPr="00C12E86" w:rsidRDefault="00C12E86" w:rsidP="00C12E86">
      <w:pPr>
        <w:numPr>
          <w:ilvl w:val="0"/>
          <w:numId w:val="20"/>
        </w:numPr>
        <w:spacing w:after="0" w:line="360" w:lineRule="auto"/>
        <w:rPr>
          <w:rFonts w:eastAsia="Palatino Linotype" w:cs="Palatino Linotype"/>
          <w:color w:val="auto"/>
          <w:lang w:eastAsia="es-MX"/>
        </w:rPr>
      </w:pPr>
      <w:r w:rsidRPr="00C12E86">
        <w:rPr>
          <w:rFonts w:eastAsia="Palatino Linotype" w:cs="Palatino Linotype"/>
          <w:color w:val="auto"/>
          <w:lang w:eastAsia="es-MX"/>
        </w:rPr>
        <w:t>Cuenta Bancaria.</w:t>
      </w:r>
    </w:p>
    <w:bookmarkEnd w:id="17"/>
    <w:p w14:paraId="18CC2DDA" w14:textId="77777777" w:rsidR="00C12E86" w:rsidRPr="00C12E86" w:rsidRDefault="00C12E86" w:rsidP="00C12E86">
      <w:pPr>
        <w:spacing w:after="0" w:line="360" w:lineRule="auto"/>
        <w:ind w:right="-93"/>
        <w:rPr>
          <w:rFonts w:eastAsia="Times New Roman" w:cs="Times New Roman"/>
          <w:color w:val="auto"/>
          <w:lang w:eastAsia="es-ES"/>
        </w:rPr>
      </w:pPr>
    </w:p>
    <w:p w14:paraId="6C07C1EF" w14:textId="77777777" w:rsidR="00C12E86" w:rsidRPr="00C12E86" w:rsidRDefault="00C12E86" w:rsidP="00C12E86">
      <w:pPr>
        <w:spacing w:after="0" w:line="360" w:lineRule="auto"/>
        <w:ind w:right="-28"/>
        <w:rPr>
          <w:rFonts w:eastAsia="Palatino Linotype" w:cs="Palatino Linotype"/>
          <w:color w:val="auto"/>
          <w:lang w:eastAsia="es-MX"/>
        </w:rPr>
      </w:pPr>
      <w:r w:rsidRPr="00C12E86">
        <w:rPr>
          <w:rFonts w:eastAsia="Palatino Linotype" w:cs="Palatino Linotype"/>
          <w:color w:val="auto"/>
          <w:lang w:eastAsia="es-MX"/>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0A7E171" w14:textId="77777777" w:rsidR="00C12E86" w:rsidRPr="00C12E86" w:rsidRDefault="00C12E86" w:rsidP="00C12E86">
      <w:pPr>
        <w:spacing w:after="0" w:line="360" w:lineRule="auto"/>
        <w:rPr>
          <w:rFonts w:eastAsia="Palatino Linotype" w:cs="Palatino Linotype"/>
          <w:color w:val="auto"/>
          <w:lang w:eastAsia="es-MX"/>
        </w:rPr>
      </w:pPr>
    </w:p>
    <w:p w14:paraId="43806A04"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06FFD9D" w14:textId="77777777" w:rsidR="00C12E86" w:rsidRPr="00C12E86" w:rsidRDefault="00C12E86" w:rsidP="00C12E86">
      <w:pPr>
        <w:spacing w:after="0" w:line="360" w:lineRule="auto"/>
        <w:rPr>
          <w:rFonts w:eastAsia="Palatino Linotype" w:cs="Palatino Linotype"/>
          <w:color w:val="auto"/>
          <w:lang w:eastAsia="es-MX"/>
        </w:rPr>
      </w:pPr>
    </w:p>
    <w:p w14:paraId="53612D07"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En términos de lo expuesto, la documentación y aquellos datos que se consideren confidenciales, serán una limitante del derecho de acceso a la información, siempre y cuando:</w:t>
      </w:r>
    </w:p>
    <w:p w14:paraId="520939D6" w14:textId="77777777" w:rsidR="00C12E86" w:rsidRPr="00C12E86" w:rsidRDefault="00C12E86" w:rsidP="00C12E86">
      <w:pPr>
        <w:spacing w:after="0" w:line="360" w:lineRule="auto"/>
        <w:rPr>
          <w:rFonts w:eastAsia="Palatino Linotype" w:cs="Palatino Linotype"/>
          <w:color w:val="auto"/>
          <w:lang w:eastAsia="es-MX"/>
        </w:rPr>
      </w:pPr>
    </w:p>
    <w:p w14:paraId="46FCADD8" w14:textId="77777777" w:rsidR="00C12E86" w:rsidRDefault="00C12E86" w:rsidP="00C12E86">
      <w:pPr>
        <w:numPr>
          <w:ilvl w:val="0"/>
          <w:numId w:val="21"/>
        </w:num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Se trate de datos personales o información privada; esto es, información concerniente a una persona física o jurídico colectiva y que esta sea identificada o identificable. </w:t>
      </w:r>
    </w:p>
    <w:p w14:paraId="35C9C867" w14:textId="77777777" w:rsidR="00C12E86" w:rsidRPr="00C12E86" w:rsidRDefault="00C12E86" w:rsidP="00C12E86">
      <w:pPr>
        <w:spacing w:after="0" w:line="360" w:lineRule="auto"/>
        <w:ind w:left="360"/>
        <w:rPr>
          <w:rFonts w:eastAsia="Palatino Linotype" w:cs="Palatino Linotype"/>
          <w:color w:val="auto"/>
          <w:lang w:eastAsia="es-MX"/>
        </w:rPr>
      </w:pPr>
    </w:p>
    <w:p w14:paraId="66A60EE8" w14:textId="77777777" w:rsidR="00C12E86" w:rsidRPr="00C12E86" w:rsidRDefault="00C12E86" w:rsidP="00C12E86">
      <w:pPr>
        <w:numPr>
          <w:ilvl w:val="0"/>
          <w:numId w:val="21"/>
        </w:num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Para la difusión de los datos, se requiera el consentimiento del titular. </w:t>
      </w:r>
    </w:p>
    <w:p w14:paraId="0B96D983" w14:textId="77777777" w:rsidR="00C12E86" w:rsidRPr="00C12E86" w:rsidRDefault="00C12E86" w:rsidP="00C12E86">
      <w:pPr>
        <w:spacing w:after="0" w:line="360" w:lineRule="auto"/>
        <w:rPr>
          <w:rFonts w:eastAsia="Palatino Linotype" w:cs="Palatino Linotype"/>
          <w:color w:val="auto"/>
          <w:lang w:eastAsia="es-MX"/>
        </w:rPr>
      </w:pPr>
    </w:p>
    <w:p w14:paraId="35233A67"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En ese orden de ideas, de conformidad con el artículo 3°, fracción IX, de la Ley de Transparencia y Acceso a la Información Pública del Estado de México y Municipios, con </w:t>
      </w:r>
      <w:r w:rsidRPr="00C12E86">
        <w:rPr>
          <w:rFonts w:eastAsia="Palatino Linotype" w:cs="Palatino Linotype"/>
          <w:color w:val="auto"/>
          <w:lang w:eastAsia="es-MX"/>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38443A8" w14:textId="77777777" w:rsidR="00C12E86" w:rsidRPr="00C12E86" w:rsidRDefault="00C12E86" w:rsidP="00C12E86">
      <w:pPr>
        <w:spacing w:after="0" w:line="360" w:lineRule="auto"/>
        <w:rPr>
          <w:rFonts w:eastAsia="Palatino Linotype" w:cs="Palatino Linotype"/>
          <w:color w:val="auto"/>
          <w:lang w:eastAsia="es-MX"/>
        </w:rPr>
      </w:pPr>
    </w:p>
    <w:p w14:paraId="24244D63"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FB9A223" w14:textId="77777777" w:rsidR="00C12E86" w:rsidRPr="00C12E86" w:rsidRDefault="00C12E86" w:rsidP="00C12E86">
      <w:pPr>
        <w:spacing w:after="0" w:line="360" w:lineRule="auto"/>
        <w:ind w:right="-28"/>
        <w:rPr>
          <w:rFonts w:eastAsia="Palatino Linotype" w:cs="Palatino Linotype"/>
          <w:color w:val="auto"/>
          <w:lang w:eastAsia="es-MX"/>
        </w:rPr>
      </w:pPr>
    </w:p>
    <w:p w14:paraId="2F8DE405" w14:textId="77777777" w:rsidR="00C12E86" w:rsidRPr="00C12E86" w:rsidRDefault="00C12E86" w:rsidP="00C12E86">
      <w:pPr>
        <w:numPr>
          <w:ilvl w:val="0"/>
          <w:numId w:val="22"/>
        </w:numPr>
        <w:spacing w:after="0" w:line="360" w:lineRule="auto"/>
        <w:rPr>
          <w:rFonts w:eastAsia="Palatino Linotype" w:cs="Palatino Linotype"/>
          <w:b/>
          <w:color w:val="auto"/>
          <w:lang w:eastAsia="es-MX"/>
        </w:rPr>
      </w:pPr>
      <w:r w:rsidRPr="00C12E86">
        <w:rPr>
          <w:rFonts w:eastAsia="Palatino Linotype" w:cs="Palatino Linotype"/>
          <w:b/>
          <w:color w:val="auto"/>
          <w:lang w:eastAsia="es-MX"/>
        </w:rPr>
        <w:t>Clave Única de Registro de Población (CURP)</w:t>
      </w:r>
    </w:p>
    <w:p w14:paraId="71715C58" w14:textId="77777777" w:rsidR="00C12E86" w:rsidRPr="00C12E86" w:rsidRDefault="00C12E86" w:rsidP="00C12E86">
      <w:pPr>
        <w:spacing w:after="0" w:line="360" w:lineRule="auto"/>
        <w:rPr>
          <w:rFonts w:eastAsia="Palatino Linotype" w:cs="Palatino Linotype"/>
          <w:color w:val="auto"/>
          <w:lang w:eastAsia="es-MX"/>
        </w:rPr>
      </w:pPr>
    </w:p>
    <w:p w14:paraId="24F09594"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CA7211D" w14:textId="77777777" w:rsidR="00C12E86" w:rsidRPr="00C12E86" w:rsidRDefault="00C12E86" w:rsidP="00C12E86">
      <w:pPr>
        <w:spacing w:after="0" w:line="360" w:lineRule="auto"/>
        <w:rPr>
          <w:rFonts w:eastAsia="Palatino Linotype" w:cs="Palatino Linotype"/>
          <w:color w:val="auto"/>
          <w:lang w:eastAsia="es-MX"/>
        </w:rPr>
      </w:pPr>
    </w:p>
    <w:p w14:paraId="72AE20E9"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w:t>
      </w:r>
      <w:r w:rsidRPr="00C12E86">
        <w:rPr>
          <w:rFonts w:eastAsia="Palatino Linotype" w:cs="Palatino Linotype"/>
          <w:color w:val="auto"/>
          <w:lang w:eastAsia="es-MX"/>
        </w:rPr>
        <w:lastRenderedPageBreak/>
        <w:t>de Población a todas las personas residentes en el país, así como a los mexicanos que residan en el extranjero.</w:t>
      </w:r>
    </w:p>
    <w:p w14:paraId="1D318082" w14:textId="77777777" w:rsidR="00C12E86" w:rsidRPr="00C12E86" w:rsidRDefault="00C12E86" w:rsidP="00C12E86">
      <w:pPr>
        <w:spacing w:after="0" w:line="360" w:lineRule="auto"/>
        <w:rPr>
          <w:rFonts w:eastAsia="Palatino Linotype" w:cs="Palatino Linotype"/>
          <w:color w:val="auto"/>
          <w:lang w:eastAsia="es-MX"/>
        </w:rPr>
      </w:pPr>
    </w:p>
    <w:p w14:paraId="0F1BCA6E" w14:textId="70C1EC79"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En ese orden de ideas, la Secretaría de Gobernación en las direcciones </w:t>
      </w:r>
      <w:hyperlink r:id="rId11" w:history="1">
        <w:r w:rsidRPr="00C12E86">
          <w:rPr>
            <w:rFonts w:eastAsia="Palatino Linotype" w:cs="Palatino Linotype"/>
            <w:color w:val="auto"/>
            <w:u w:val="single"/>
            <w:lang w:eastAsia="es-MX"/>
          </w:rPr>
          <w:t>https://consultas.curp.gob.mx/CurpSP/html/informacionecurpPS.html</w:t>
        </w:r>
      </w:hyperlink>
      <w:r w:rsidRPr="00C12E86">
        <w:rPr>
          <w:rFonts w:eastAsia="Palatino Linotype" w:cs="Palatino Linotype"/>
          <w:color w:val="auto"/>
          <w:lang w:eastAsia="es-MX"/>
        </w:rPr>
        <w:t xml:space="preserve"> y </w:t>
      </w:r>
      <w:hyperlink r:id="rId12" w:history="1">
        <w:r w:rsidRPr="00C12E86">
          <w:rPr>
            <w:rFonts w:eastAsia="Palatino Linotype" w:cs="Palatino Linotype"/>
            <w:color w:val="auto"/>
            <w:u w:val="single"/>
            <w:lang w:eastAsia="es-MX"/>
          </w:rPr>
          <w:t>https://www.gob.mx/segob/renapo/acciones-y-programas/clave-unica-de-registro-de-poblacion-curp-142226</w:t>
        </w:r>
      </w:hyperlink>
      <w:r w:rsidRPr="00C12E86">
        <w:rPr>
          <w:rFonts w:eastAsia="Palatino Linotype" w:cs="Palatino Linotype"/>
          <w:color w:val="auto"/>
          <w:lang w:eastAsia="es-MX"/>
        </w:rPr>
        <w:t xml:space="preserve"> (consultadas el seis de junio de dos mil</w:t>
      </w:r>
      <w:r w:rsidR="00F960C7">
        <w:rPr>
          <w:rFonts w:eastAsia="Palatino Linotype" w:cs="Palatino Linotype"/>
          <w:color w:val="auto"/>
          <w:lang w:eastAsia="es-MX"/>
        </w:rPr>
        <w:t xml:space="preserve"> veinticinco</w:t>
      </w:r>
      <w:r w:rsidRPr="00C12E86">
        <w:rPr>
          <w:rFonts w:eastAsia="Palatino Linotype" w:cs="Palatino Linotype"/>
          <w:color w:val="auto"/>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12E86">
        <w:rPr>
          <w:rFonts w:eastAsia="Palatino Linotype" w:cs="Palatino Linotype"/>
          <w:b/>
          <w:color w:val="auto"/>
          <w:lang w:eastAsia="es-MX"/>
        </w:rPr>
        <w:t>se generan a partir de los datos contenidos en el documento probatorio de la identidad</w:t>
      </w:r>
      <w:r w:rsidRPr="00C12E86">
        <w:rPr>
          <w:rFonts w:eastAsia="Palatino Linotype" w:cs="Palatino Linotype"/>
          <w:color w:val="auto"/>
          <w:lang w:eastAsia="es-MX"/>
        </w:rPr>
        <w:t xml:space="preserve"> </w:t>
      </w:r>
      <w:r w:rsidRPr="00C12E86">
        <w:rPr>
          <w:rFonts w:eastAsia="Palatino Linotype" w:cs="Palatino Linotype"/>
          <w:b/>
          <w:color w:val="auto"/>
          <w:lang w:eastAsia="es-MX"/>
        </w:rPr>
        <w:t xml:space="preserve">del interesado </w:t>
      </w:r>
      <w:r w:rsidRPr="00C12E86">
        <w:rPr>
          <w:rFonts w:eastAsia="Palatino Linotype" w:cs="Palatino Linotype"/>
          <w:color w:val="auto"/>
          <w:lang w:eastAsia="es-MX"/>
        </w:rPr>
        <w:t>(acta de nacimiento, carta de naturalización o documento migratorio) de la siguiente forma:</w:t>
      </w:r>
    </w:p>
    <w:p w14:paraId="38319136" w14:textId="77777777" w:rsidR="00C12E86" w:rsidRPr="00C12E86" w:rsidRDefault="00C12E86" w:rsidP="00C12E86">
      <w:pPr>
        <w:spacing w:after="0" w:line="360" w:lineRule="auto"/>
        <w:rPr>
          <w:rFonts w:eastAsia="Palatino Linotype" w:cs="Palatino Linotype"/>
          <w:color w:val="auto"/>
          <w:lang w:eastAsia="es-MX"/>
        </w:rPr>
      </w:pPr>
    </w:p>
    <w:p w14:paraId="609CA7BF" w14:textId="77777777" w:rsidR="00C12E86" w:rsidRPr="00C12E86" w:rsidRDefault="00C12E86" w:rsidP="00C12E86">
      <w:pPr>
        <w:numPr>
          <w:ilvl w:val="0"/>
          <w:numId w:val="23"/>
        </w:numPr>
        <w:spacing w:after="0" w:line="360" w:lineRule="auto"/>
        <w:rPr>
          <w:rFonts w:eastAsia="Palatino Linotype" w:cs="Palatino Linotype"/>
          <w:color w:val="auto"/>
          <w:lang w:eastAsia="es-MX"/>
        </w:rPr>
      </w:pPr>
      <w:r w:rsidRPr="00C12E86">
        <w:rPr>
          <w:rFonts w:eastAsia="Palatino Linotype" w:cs="Palatino Linotype"/>
          <w:color w:val="auto"/>
          <w:lang w:eastAsia="es-MX"/>
        </w:rPr>
        <w:t>El primero y segundo apellidos, así como al nombre de pila;</w:t>
      </w:r>
    </w:p>
    <w:p w14:paraId="74DC3023" w14:textId="77777777" w:rsidR="00C12E86" w:rsidRPr="00C12E86" w:rsidRDefault="00C12E86" w:rsidP="00C12E86">
      <w:pPr>
        <w:numPr>
          <w:ilvl w:val="0"/>
          <w:numId w:val="23"/>
        </w:numPr>
        <w:spacing w:after="0" w:line="360" w:lineRule="auto"/>
        <w:rPr>
          <w:rFonts w:eastAsia="Palatino Linotype" w:cs="Palatino Linotype"/>
          <w:color w:val="auto"/>
          <w:lang w:eastAsia="es-MX"/>
        </w:rPr>
      </w:pPr>
      <w:r w:rsidRPr="00C12E86">
        <w:rPr>
          <w:rFonts w:eastAsia="Palatino Linotype" w:cs="Palatino Linotype"/>
          <w:color w:val="auto"/>
          <w:lang w:eastAsia="es-MX"/>
        </w:rPr>
        <w:t>La fecha de nacimiento;</w:t>
      </w:r>
    </w:p>
    <w:p w14:paraId="3E2FA22E" w14:textId="77777777" w:rsidR="00C12E86" w:rsidRPr="00C12E86" w:rsidRDefault="00C12E86" w:rsidP="00C12E86">
      <w:pPr>
        <w:numPr>
          <w:ilvl w:val="0"/>
          <w:numId w:val="23"/>
        </w:numPr>
        <w:spacing w:after="0" w:line="360" w:lineRule="auto"/>
        <w:rPr>
          <w:rFonts w:eastAsia="Palatino Linotype" w:cs="Palatino Linotype"/>
          <w:color w:val="auto"/>
          <w:lang w:eastAsia="es-MX"/>
        </w:rPr>
      </w:pPr>
      <w:r w:rsidRPr="00C12E86">
        <w:rPr>
          <w:rFonts w:eastAsia="Palatino Linotype" w:cs="Palatino Linotype"/>
          <w:color w:val="auto"/>
          <w:lang w:eastAsia="es-MX"/>
        </w:rPr>
        <w:t>El sexo, y</w:t>
      </w:r>
    </w:p>
    <w:p w14:paraId="446D951A" w14:textId="77777777" w:rsidR="00C12E86" w:rsidRPr="00C12E86" w:rsidRDefault="00C12E86" w:rsidP="00C12E86">
      <w:pPr>
        <w:numPr>
          <w:ilvl w:val="0"/>
          <w:numId w:val="23"/>
        </w:numPr>
        <w:spacing w:after="0" w:line="360" w:lineRule="auto"/>
        <w:rPr>
          <w:rFonts w:eastAsia="Palatino Linotype" w:cs="Palatino Linotype"/>
          <w:color w:val="auto"/>
          <w:lang w:eastAsia="es-MX"/>
        </w:rPr>
      </w:pPr>
      <w:r w:rsidRPr="00C12E86">
        <w:rPr>
          <w:rFonts w:eastAsia="Palatino Linotype" w:cs="Palatino Linotype"/>
          <w:color w:val="auto"/>
          <w:lang w:eastAsia="es-MX"/>
        </w:rPr>
        <w:t>La entidad federativa de nacimiento.</w:t>
      </w:r>
    </w:p>
    <w:p w14:paraId="3AFDF0D8" w14:textId="77777777" w:rsidR="00C12E86" w:rsidRPr="00C12E86" w:rsidRDefault="00C12E86" w:rsidP="00C12E86">
      <w:pPr>
        <w:spacing w:after="0" w:line="360" w:lineRule="auto"/>
        <w:rPr>
          <w:rFonts w:eastAsia="Palatino Linotype" w:cs="Palatino Linotype"/>
          <w:color w:val="auto"/>
          <w:lang w:eastAsia="es-MX"/>
        </w:rPr>
      </w:pPr>
    </w:p>
    <w:p w14:paraId="3B0D659C"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Los dos últimos elementos de la Clave Única de Registro de Población evitan la duplicidad de la Clave y garantizan su correcta integración.</w:t>
      </w:r>
    </w:p>
    <w:p w14:paraId="0BFFF508" w14:textId="77777777" w:rsidR="00C12E86" w:rsidRPr="00C12E86" w:rsidRDefault="00C12E86" w:rsidP="00C12E86">
      <w:pPr>
        <w:spacing w:after="0" w:line="360" w:lineRule="auto"/>
        <w:rPr>
          <w:rFonts w:eastAsia="Palatino Linotype" w:cs="Palatino Linotype"/>
          <w:color w:val="auto"/>
          <w:lang w:eastAsia="es-MX"/>
        </w:rPr>
      </w:pPr>
    </w:p>
    <w:p w14:paraId="7567E1D6"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w:t>
      </w:r>
      <w:r w:rsidRPr="00C12E86">
        <w:rPr>
          <w:rFonts w:eastAsia="Palatino Linotype" w:cs="Palatino Linotype"/>
          <w:color w:val="auto"/>
          <w:lang w:eastAsia="es-MX"/>
        </w:rPr>
        <w:lastRenderedPageBreak/>
        <w:t>públicas, ya que además no guarda relación con el desempeño laboral de un individuo, simplemente se trata de un trámite administrativo requerido por la autoridad federal para hacer identificables a las personas.</w:t>
      </w:r>
    </w:p>
    <w:p w14:paraId="2D4FB5D8" w14:textId="77777777" w:rsidR="00C12E86" w:rsidRPr="00C12E86" w:rsidRDefault="00C12E86" w:rsidP="00C12E86">
      <w:pPr>
        <w:spacing w:after="0" w:line="360" w:lineRule="auto"/>
        <w:rPr>
          <w:rFonts w:eastAsia="Palatino Linotype" w:cs="Palatino Linotype"/>
          <w:color w:val="auto"/>
          <w:lang w:eastAsia="es-MX"/>
        </w:rPr>
      </w:pPr>
    </w:p>
    <w:p w14:paraId="65FFF6E8"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27B02183" w14:textId="77777777" w:rsidR="00C12E86" w:rsidRPr="00C12E86" w:rsidRDefault="00C12E86" w:rsidP="00C12E86">
      <w:pPr>
        <w:spacing w:after="0" w:line="360" w:lineRule="auto"/>
        <w:ind w:left="567" w:right="567"/>
        <w:rPr>
          <w:rFonts w:eastAsia="Palatino Linotype" w:cs="Palatino Linotype"/>
          <w:color w:val="auto"/>
          <w:sz w:val="20"/>
          <w:szCs w:val="20"/>
          <w:lang w:eastAsia="es-MX"/>
        </w:rPr>
      </w:pPr>
    </w:p>
    <w:p w14:paraId="2B026267" w14:textId="77777777" w:rsidR="00C12E86" w:rsidRPr="00C12E86" w:rsidRDefault="00C12E86" w:rsidP="00C12E86">
      <w:pPr>
        <w:spacing w:after="0" w:line="360" w:lineRule="auto"/>
        <w:ind w:left="567" w:right="567"/>
        <w:rPr>
          <w:rFonts w:eastAsia="Palatino Linotype" w:cs="Palatino Linotype"/>
          <w:i/>
          <w:color w:val="auto"/>
          <w:sz w:val="20"/>
          <w:szCs w:val="20"/>
          <w:lang w:eastAsia="es-MX"/>
        </w:rPr>
      </w:pPr>
      <w:r w:rsidRPr="00C12E86">
        <w:rPr>
          <w:rFonts w:eastAsia="Palatino Linotype" w:cs="Palatino Linotype"/>
          <w:b/>
          <w:i/>
          <w:color w:val="auto"/>
          <w:sz w:val="20"/>
          <w:szCs w:val="20"/>
          <w:lang w:eastAsia="es-MX"/>
        </w:rPr>
        <w:t xml:space="preserve">“Clave Única de Registro de Población (CURP). </w:t>
      </w:r>
      <w:r w:rsidRPr="00C12E86">
        <w:rPr>
          <w:rFonts w:eastAsia="Palatino Linotype" w:cs="Palatino Linotype"/>
          <w:i/>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585CBA8" w14:textId="77777777" w:rsidR="00C12E86" w:rsidRPr="00C12E86" w:rsidRDefault="00C12E86" w:rsidP="00C12E86">
      <w:pPr>
        <w:spacing w:after="0" w:line="360" w:lineRule="auto"/>
        <w:rPr>
          <w:rFonts w:eastAsia="Palatino Linotype" w:cs="Palatino Linotype"/>
          <w:color w:val="auto"/>
          <w:lang w:eastAsia="es-MX"/>
        </w:rPr>
      </w:pPr>
    </w:p>
    <w:p w14:paraId="48E2B563"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C556A23" w14:textId="77777777" w:rsidR="00C12E86" w:rsidRPr="00C12E86" w:rsidRDefault="00C12E86" w:rsidP="00C12E86">
      <w:pPr>
        <w:spacing w:after="0" w:line="360" w:lineRule="auto"/>
        <w:rPr>
          <w:rFonts w:eastAsia="Palatino Linotype" w:cs="Palatino Linotype"/>
          <w:color w:val="auto"/>
          <w:lang w:eastAsia="es-MX"/>
        </w:rPr>
      </w:pPr>
    </w:p>
    <w:p w14:paraId="33D58C05" w14:textId="77777777" w:rsidR="00C12E86" w:rsidRPr="00C12E86" w:rsidRDefault="00C12E86" w:rsidP="00C12E86">
      <w:pPr>
        <w:numPr>
          <w:ilvl w:val="0"/>
          <w:numId w:val="22"/>
        </w:numPr>
        <w:spacing w:after="0" w:line="360" w:lineRule="auto"/>
        <w:rPr>
          <w:rFonts w:eastAsia="Palatino Linotype" w:cs="Palatino Linotype"/>
          <w:b/>
          <w:color w:val="auto"/>
          <w:lang w:eastAsia="es-MX"/>
        </w:rPr>
      </w:pPr>
      <w:r w:rsidRPr="00C12E86">
        <w:rPr>
          <w:rFonts w:eastAsia="Palatino Linotype" w:cs="Palatino Linotype"/>
          <w:b/>
          <w:color w:val="auto"/>
          <w:lang w:eastAsia="es-MX"/>
        </w:rPr>
        <w:t>Registro Federal de Contribuyentes (RFC)</w:t>
      </w:r>
    </w:p>
    <w:p w14:paraId="22696459" w14:textId="77777777" w:rsidR="00C12E86" w:rsidRPr="00C12E86" w:rsidRDefault="00C12E86" w:rsidP="00C12E86">
      <w:pPr>
        <w:spacing w:after="0" w:line="360" w:lineRule="auto"/>
        <w:rPr>
          <w:rFonts w:eastAsia="Palatino Linotype" w:cs="Palatino Linotype"/>
          <w:color w:val="auto"/>
          <w:lang w:eastAsia="es-MX"/>
        </w:rPr>
      </w:pPr>
    </w:p>
    <w:p w14:paraId="403B7D94"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C12E86">
        <w:rPr>
          <w:rFonts w:eastAsia="Palatino Linotype" w:cs="Palatino Linotype"/>
          <w:color w:val="auto"/>
          <w:lang w:eastAsia="es-MX"/>
        </w:rPr>
        <w:lastRenderedPageBreak/>
        <w:t>donde consta la clave que asigna este órgano desconcentrado de la Secretaría de Hacienda y Crédito Público, de acuerdo al artículo 27 del Código Fiscal de la Federación.</w:t>
      </w:r>
    </w:p>
    <w:p w14:paraId="454D6909" w14:textId="77777777" w:rsidR="00C12E86" w:rsidRPr="00C12E86" w:rsidRDefault="00C12E86" w:rsidP="00C12E86">
      <w:pPr>
        <w:spacing w:after="0" w:line="360" w:lineRule="auto"/>
        <w:rPr>
          <w:rFonts w:eastAsia="Palatino Linotype" w:cs="Palatino Linotype"/>
          <w:color w:val="auto"/>
          <w:lang w:eastAsia="es-MX"/>
        </w:rPr>
      </w:pPr>
    </w:p>
    <w:p w14:paraId="45C3690B"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4A19E9D" w14:textId="77777777" w:rsidR="00C12E86" w:rsidRPr="00C12E86" w:rsidRDefault="00C12E86" w:rsidP="00C12E86">
      <w:pPr>
        <w:spacing w:after="0" w:line="360" w:lineRule="auto"/>
        <w:rPr>
          <w:rFonts w:eastAsia="Palatino Linotype" w:cs="Palatino Linotype"/>
          <w:color w:val="auto"/>
          <w:lang w:eastAsia="es-MX"/>
        </w:rPr>
      </w:pPr>
    </w:p>
    <w:p w14:paraId="774EE225"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846A20D" w14:textId="77777777" w:rsidR="00C12E86" w:rsidRPr="00C12E86" w:rsidRDefault="00C12E86" w:rsidP="00C12E86">
      <w:pPr>
        <w:spacing w:after="0" w:line="360" w:lineRule="auto"/>
        <w:rPr>
          <w:rFonts w:eastAsia="Palatino Linotype" w:cs="Palatino Linotype"/>
          <w:color w:val="auto"/>
          <w:lang w:eastAsia="es-MX"/>
        </w:rPr>
      </w:pPr>
    </w:p>
    <w:p w14:paraId="38C382E6"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F81718B" w14:textId="77777777" w:rsidR="00C12E86" w:rsidRPr="00C12E86" w:rsidRDefault="00C12E86" w:rsidP="00C12E86">
      <w:pPr>
        <w:spacing w:after="0" w:line="360" w:lineRule="auto"/>
        <w:rPr>
          <w:rFonts w:eastAsia="Palatino Linotype" w:cs="Palatino Linotype"/>
          <w:color w:val="auto"/>
          <w:lang w:eastAsia="es-MX"/>
        </w:rPr>
      </w:pPr>
    </w:p>
    <w:p w14:paraId="63EDBFFB"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2EADBE6" w14:textId="77777777" w:rsidR="00C12E86" w:rsidRPr="00C12E86" w:rsidRDefault="00C12E86" w:rsidP="00C12E86">
      <w:pPr>
        <w:spacing w:after="0" w:line="360" w:lineRule="auto"/>
        <w:rPr>
          <w:rFonts w:eastAsia="Palatino Linotype" w:cs="Palatino Linotype"/>
          <w:color w:val="auto"/>
          <w:lang w:eastAsia="es-MX"/>
        </w:rPr>
      </w:pPr>
    </w:p>
    <w:p w14:paraId="7702C69E" w14:textId="77777777" w:rsidR="00C12E86" w:rsidRPr="00C12E86" w:rsidRDefault="00C12E86" w:rsidP="00C12E86">
      <w:pPr>
        <w:spacing w:after="0" w:line="360" w:lineRule="auto"/>
        <w:ind w:left="567" w:right="567"/>
        <w:rPr>
          <w:rFonts w:eastAsia="Palatino Linotype" w:cs="Palatino Linotype"/>
          <w:i/>
          <w:color w:val="auto"/>
          <w:sz w:val="20"/>
          <w:szCs w:val="20"/>
          <w:lang w:eastAsia="es-MX"/>
        </w:rPr>
      </w:pPr>
      <w:r w:rsidRPr="00C12E86">
        <w:rPr>
          <w:rFonts w:eastAsia="Palatino Linotype" w:cs="Palatino Linotype"/>
          <w:b/>
          <w:i/>
          <w:color w:val="auto"/>
          <w:sz w:val="20"/>
          <w:szCs w:val="20"/>
          <w:lang w:eastAsia="es-MX"/>
        </w:rPr>
        <w:t>“Registro Federal de Contribuyentes (RFC) de personas físicas.</w:t>
      </w:r>
      <w:r w:rsidRPr="00C12E86">
        <w:rPr>
          <w:rFonts w:eastAsia="Palatino Linotype" w:cs="Palatino Linotype"/>
          <w:i/>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14:paraId="408A80DA" w14:textId="77777777" w:rsidR="00C12E86" w:rsidRPr="00C12E86" w:rsidRDefault="00C12E86" w:rsidP="00C12E86">
      <w:pPr>
        <w:spacing w:after="0" w:line="360" w:lineRule="auto"/>
        <w:ind w:left="567" w:right="567"/>
        <w:rPr>
          <w:rFonts w:eastAsia="Palatino Linotype" w:cs="Palatino Linotype"/>
          <w:i/>
          <w:color w:val="auto"/>
          <w:sz w:val="20"/>
          <w:szCs w:val="20"/>
          <w:lang w:eastAsia="es-MX"/>
        </w:rPr>
      </w:pPr>
    </w:p>
    <w:p w14:paraId="1C7E02F0"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9437F90" w14:textId="77777777" w:rsidR="00C12E86" w:rsidRPr="00C12E86" w:rsidRDefault="00C12E86" w:rsidP="00C12E86">
      <w:pPr>
        <w:tabs>
          <w:tab w:val="center" w:pos="4522"/>
        </w:tabs>
        <w:spacing w:after="0" w:line="360" w:lineRule="auto"/>
        <w:rPr>
          <w:rFonts w:eastAsia="Palatino Linotype" w:cs="Palatino Linotype"/>
          <w:color w:val="auto"/>
          <w:lang w:eastAsia="es-MX"/>
        </w:rPr>
      </w:pPr>
    </w:p>
    <w:p w14:paraId="1D819101" w14:textId="77777777" w:rsidR="00C12E86" w:rsidRPr="00C12E86" w:rsidRDefault="00C12E86" w:rsidP="00C12E86">
      <w:pPr>
        <w:numPr>
          <w:ilvl w:val="0"/>
          <w:numId w:val="22"/>
        </w:numPr>
        <w:spacing w:after="0" w:line="360" w:lineRule="auto"/>
        <w:rPr>
          <w:rFonts w:eastAsia="Palatino Linotype" w:cs="Palatino Linotype"/>
          <w:b/>
          <w:color w:val="auto"/>
          <w:lang w:eastAsia="es-MX"/>
        </w:rPr>
      </w:pPr>
      <w:r w:rsidRPr="00C12E86">
        <w:rPr>
          <w:rFonts w:eastAsia="Palatino Linotype" w:cs="Palatino Linotype"/>
          <w:b/>
          <w:color w:val="auto"/>
          <w:lang w:eastAsia="es-MX"/>
        </w:rPr>
        <w:t>Número de seguridad social del Instituto de Seguridad Social del Estado de México y Municipios</w:t>
      </w:r>
    </w:p>
    <w:p w14:paraId="0EA4971A" w14:textId="77777777" w:rsidR="00C12E86" w:rsidRPr="00C12E86" w:rsidRDefault="00C12E86" w:rsidP="00C12E86">
      <w:pPr>
        <w:spacing w:after="0" w:line="360" w:lineRule="auto"/>
        <w:rPr>
          <w:rFonts w:eastAsia="Palatino Linotype" w:cs="Palatino Linotype"/>
          <w:b/>
          <w:color w:val="auto"/>
          <w:lang w:eastAsia="es-MX"/>
        </w:rPr>
      </w:pPr>
    </w:p>
    <w:p w14:paraId="5B457BB6"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3A7E8F6" w14:textId="77777777" w:rsidR="00C12E86" w:rsidRPr="00C12E86" w:rsidRDefault="00C12E86" w:rsidP="00C12E86">
      <w:pPr>
        <w:spacing w:after="0" w:line="360" w:lineRule="auto"/>
        <w:rPr>
          <w:rFonts w:eastAsia="Palatino Linotype" w:cs="Palatino Linotype"/>
          <w:color w:val="auto"/>
          <w:lang w:eastAsia="es-MX"/>
        </w:rPr>
      </w:pPr>
    </w:p>
    <w:p w14:paraId="2BA0D1CD"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w:t>
      </w:r>
      <w:r w:rsidRPr="00C12E86">
        <w:rPr>
          <w:rFonts w:eastAsia="Palatino Linotype" w:cs="Palatino Linotype"/>
          <w:color w:val="auto"/>
          <w:lang w:eastAsia="es-MX"/>
        </w:rPr>
        <w:lastRenderedPageBreak/>
        <w:t>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39D744C" w14:textId="77777777" w:rsidR="00C12E86" w:rsidRPr="00C12E86" w:rsidRDefault="00C12E86" w:rsidP="00C12E86">
      <w:pPr>
        <w:spacing w:after="0" w:line="360" w:lineRule="auto"/>
        <w:rPr>
          <w:rFonts w:eastAsia="Palatino Linotype" w:cs="Palatino Linotype"/>
          <w:color w:val="auto"/>
          <w:lang w:eastAsia="es-MX"/>
        </w:rPr>
      </w:pPr>
    </w:p>
    <w:p w14:paraId="5A8364BE"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DBCC4C1" w14:textId="77777777" w:rsidR="00C12E86" w:rsidRPr="00C12E86" w:rsidRDefault="00C12E86" w:rsidP="00C12E86">
      <w:pPr>
        <w:spacing w:after="0" w:line="360" w:lineRule="auto"/>
        <w:rPr>
          <w:rFonts w:eastAsia="Palatino Linotype" w:cs="Palatino Linotype"/>
          <w:color w:val="auto"/>
          <w:lang w:eastAsia="es-MX"/>
        </w:rPr>
      </w:pPr>
    </w:p>
    <w:p w14:paraId="4DD52A5B" w14:textId="77777777" w:rsid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0537A8C" w14:textId="77777777" w:rsidR="00C37857" w:rsidRPr="00C12E86" w:rsidRDefault="00C37857" w:rsidP="00C12E86">
      <w:pPr>
        <w:spacing w:after="0" w:line="360" w:lineRule="auto"/>
        <w:rPr>
          <w:rFonts w:eastAsia="Palatino Linotype" w:cs="Palatino Linotype"/>
          <w:color w:val="auto"/>
          <w:lang w:eastAsia="es-MX"/>
        </w:rPr>
      </w:pPr>
    </w:p>
    <w:p w14:paraId="05C6C3D9" w14:textId="77777777" w:rsidR="00C12E86" w:rsidRPr="00C12E86" w:rsidRDefault="00C12E86" w:rsidP="00C12E86">
      <w:pPr>
        <w:numPr>
          <w:ilvl w:val="0"/>
          <w:numId w:val="24"/>
        </w:numPr>
        <w:spacing w:after="0" w:line="360" w:lineRule="auto"/>
        <w:jc w:val="left"/>
        <w:rPr>
          <w:rFonts w:eastAsia="Palatino Linotype" w:cs="Palatino Linotype"/>
          <w:b/>
          <w:color w:val="auto"/>
          <w:lang w:eastAsia="es-MX"/>
        </w:rPr>
      </w:pPr>
      <w:r w:rsidRPr="00C12E86">
        <w:rPr>
          <w:rFonts w:eastAsia="Palatino Linotype" w:cs="Palatino Linotype"/>
          <w:b/>
          <w:color w:val="auto"/>
          <w:lang w:eastAsia="es-MX"/>
        </w:rPr>
        <w:t>Deducciones personales</w:t>
      </w:r>
    </w:p>
    <w:p w14:paraId="355406B1" w14:textId="77777777" w:rsidR="00C12E86" w:rsidRPr="00C12E86" w:rsidRDefault="00C12E86" w:rsidP="00C12E86">
      <w:pPr>
        <w:spacing w:after="0" w:line="360" w:lineRule="auto"/>
        <w:ind w:left="720"/>
        <w:rPr>
          <w:rFonts w:eastAsia="Palatino Linotype" w:cs="Palatino Linotype"/>
          <w:b/>
          <w:color w:val="auto"/>
          <w:lang w:eastAsia="es-MX"/>
        </w:rPr>
      </w:pPr>
    </w:p>
    <w:p w14:paraId="73918A3E"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C12E86">
        <w:rPr>
          <w:rFonts w:eastAsia="Palatino Linotype" w:cs="Palatino Linotype"/>
          <w:color w:val="auto"/>
          <w:lang w:eastAsia="es-MX"/>
        </w:rPr>
        <w:lastRenderedPageBreak/>
        <w:t>Institución Descentralizadas del Estado de México, seguro de vida, accidentes y enfermedades.</w:t>
      </w:r>
    </w:p>
    <w:p w14:paraId="3171537A" w14:textId="77777777" w:rsidR="00C12E86" w:rsidRPr="00C12E86" w:rsidRDefault="00C12E86" w:rsidP="00C12E86">
      <w:pPr>
        <w:spacing w:after="0" w:line="360" w:lineRule="auto"/>
        <w:rPr>
          <w:rFonts w:eastAsia="Palatino Linotype" w:cs="Palatino Linotype"/>
          <w:color w:val="auto"/>
          <w:lang w:eastAsia="es-MX"/>
        </w:rPr>
      </w:pPr>
    </w:p>
    <w:p w14:paraId="639C38F9"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Asimismo, hay otras que se generan con motivo de una sentencia judicial, como es la pensión alimenticia que periódicamente se retira de la cuenta de un empleado, a efecto de que sea entregado a un tercero.  </w:t>
      </w:r>
    </w:p>
    <w:p w14:paraId="7B42977F" w14:textId="77777777" w:rsidR="00C12E86" w:rsidRPr="00C12E86" w:rsidRDefault="00C12E86" w:rsidP="00C12E86">
      <w:pPr>
        <w:spacing w:after="0" w:line="360" w:lineRule="auto"/>
        <w:rPr>
          <w:rFonts w:eastAsia="Palatino Linotype" w:cs="Palatino Linotype"/>
          <w:color w:val="auto"/>
          <w:lang w:eastAsia="es-MX"/>
        </w:rPr>
      </w:pPr>
    </w:p>
    <w:p w14:paraId="44BAEAAF"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1CA05AD" w14:textId="77777777" w:rsidR="00C12E86" w:rsidRPr="00C12E86" w:rsidRDefault="00C12E86" w:rsidP="00C12E86">
      <w:pPr>
        <w:spacing w:after="0" w:line="360" w:lineRule="auto"/>
        <w:rPr>
          <w:rFonts w:eastAsia="Palatino Linotype" w:cs="Palatino Linotype"/>
          <w:color w:val="auto"/>
          <w:lang w:eastAsia="es-MX"/>
        </w:rPr>
      </w:pPr>
    </w:p>
    <w:p w14:paraId="4E48B056"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5A1C20F" w14:textId="77777777" w:rsidR="00C12E86" w:rsidRPr="00C12E86" w:rsidRDefault="00C12E86" w:rsidP="00C12E86">
      <w:pPr>
        <w:spacing w:after="0" w:line="360" w:lineRule="auto"/>
        <w:rPr>
          <w:rFonts w:eastAsia="Palatino Linotype" w:cs="Palatino Linotype"/>
          <w:b/>
          <w:bCs/>
          <w:color w:val="auto"/>
          <w:lang w:eastAsia="es-MX"/>
        </w:rPr>
      </w:pPr>
    </w:p>
    <w:p w14:paraId="399EAC17" w14:textId="77777777" w:rsidR="00C12E86" w:rsidRPr="00C12E86" w:rsidRDefault="00C12E86" w:rsidP="00C12E86">
      <w:pPr>
        <w:numPr>
          <w:ilvl w:val="0"/>
          <w:numId w:val="24"/>
        </w:numPr>
        <w:spacing w:after="0" w:line="360" w:lineRule="auto"/>
        <w:jc w:val="left"/>
        <w:rPr>
          <w:rFonts w:eastAsia="Palatino Linotype" w:cs="Palatino Linotype"/>
          <w:b/>
          <w:color w:val="auto"/>
          <w:lang w:eastAsia="es-MX"/>
        </w:rPr>
      </w:pPr>
      <w:r w:rsidRPr="00C12E86">
        <w:rPr>
          <w:rFonts w:eastAsia="Palatino Linotype" w:cs="Palatino Linotype"/>
          <w:b/>
          <w:color w:val="auto"/>
          <w:lang w:eastAsia="es-MX"/>
        </w:rPr>
        <w:t>Cuenta bancaria de servidores públicos</w:t>
      </w:r>
    </w:p>
    <w:p w14:paraId="173CC4C0" w14:textId="77777777" w:rsidR="00C12E86" w:rsidRPr="00C12E86" w:rsidRDefault="00C12E86" w:rsidP="00C12E86">
      <w:pPr>
        <w:spacing w:after="0" w:line="360" w:lineRule="auto"/>
        <w:ind w:left="720"/>
        <w:rPr>
          <w:rFonts w:eastAsia="Palatino Linotype" w:cs="Palatino Linotype"/>
          <w:b/>
          <w:color w:val="auto"/>
          <w:lang w:eastAsia="es-MX"/>
        </w:rPr>
      </w:pPr>
    </w:p>
    <w:p w14:paraId="1154BDCA"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w:t>
      </w:r>
      <w:r w:rsidRPr="00C12E86">
        <w:rPr>
          <w:rFonts w:eastAsia="Palatino Linotype" w:cs="Palatino Linotype"/>
          <w:color w:val="auto"/>
          <w:lang w:eastAsia="es-MX"/>
        </w:rPr>
        <w:lastRenderedPageBreak/>
        <w:t>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B019F28"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 </w:t>
      </w:r>
    </w:p>
    <w:p w14:paraId="0843CB41"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2BD92AB2" w14:textId="77777777" w:rsidR="00C12E86" w:rsidRPr="00C12E86" w:rsidRDefault="00C12E86" w:rsidP="00C12E86">
      <w:pPr>
        <w:spacing w:after="0" w:line="360" w:lineRule="auto"/>
        <w:rPr>
          <w:rFonts w:eastAsia="Palatino Linotype" w:cs="Palatino Linotype"/>
          <w:color w:val="auto"/>
          <w:lang w:eastAsia="es-MX"/>
        </w:rPr>
      </w:pPr>
    </w:p>
    <w:p w14:paraId="4547BD57" w14:textId="77777777" w:rsidR="00C12E86" w:rsidRPr="00C12E86" w:rsidRDefault="00C12E86" w:rsidP="00C12E86">
      <w:pPr>
        <w:spacing w:after="0" w:line="360" w:lineRule="auto"/>
        <w:ind w:left="567" w:right="567"/>
        <w:rPr>
          <w:rFonts w:eastAsia="Palatino Linotype" w:cs="Palatino Linotype"/>
          <w:i/>
          <w:color w:val="auto"/>
          <w:sz w:val="20"/>
          <w:szCs w:val="20"/>
          <w:lang w:eastAsia="es-MX"/>
        </w:rPr>
      </w:pPr>
      <w:r w:rsidRPr="00C12E86">
        <w:rPr>
          <w:rFonts w:eastAsia="Palatino Linotype" w:cs="Palatino Linotype"/>
          <w:i/>
          <w:color w:val="auto"/>
          <w:sz w:val="20"/>
          <w:szCs w:val="20"/>
          <w:lang w:eastAsia="es-MX"/>
        </w:rPr>
        <w:t>“</w:t>
      </w:r>
      <w:r w:rsidRPr="00C12E86">
        <w:rPr>
          <w:rFonts w:eastAsia="Palatino Linotype" w:cs="Palatino Linotype"/>
          <w:b/>
          <w:i/>
          <w:color w:val="auto"/>
          <w:sz w:val="20"/>
          <w:szCs w:val="20"/>
          <w:lang w:eastAsia="es-MX"/>
        </w:rPr>
        <w:t>Cuentas bancarias y/o CLABE interbancaria de personas físicas y morales privadas.</w:t>
      </w:r>
      <w:r w:rsidRPr="00C12E86">
        <w:rPr>
          <w:rFonts w:eastAsia="Palatino Linotype" w:cs="Palatino Linotype"/>
          <w:i/>
          <w:color w:val="auto"/>
          <w:sz w:val="20"/>
          <w:szCs w:val="2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3781CD" w14:textId="77777777" w:rsidR="00C12E86" w:rsidRPr="00C12E86" w:rsidRDefault="00C12E86" w:rsidP="00C12E86">
      <w:pPr>
        <w:spacing w:after="0" w:line="360" w:lineRule="auto"/>
        <w:rPr>
          <w:rFonts w:eastAsia="Palatino Linotype" w:cs="Palatino Linotype"/>
          <w:color w:val="auto"/>
          <w:lang w:eastAsia="es-MX"/>
        </w:rPr>
      </w:pPr>
    </w:p>
    <w:p w14:paraId="287B9574" w14:textId="77777777" w:rsidR="00C12E86" w:rsidRPr="00C12E86" w:rsidRDefault="00C12E86" w:rsidP="00C12E86">
      <w:pPr>
        <w:spacing w:after="0" w:line="360" w:lineRule="auto"/>
        <w:rPr>
          <w:rFonts w:eastAsia="Palatino Linotype" w:cs="Palatino Linotype"/>
          <w:color w:val="auto"/>
          <w:lang w:eastAsia="es-MX"/>
        </w:rPr>
      </w:pPr>
      <w:r w:rsidRPr="00C12E86">
        <w:rPr>
          <w:rFonts w:eastAsia="Palatino Linotype" w:cs="Palatino Linotype"/>
          <w:color w:val="auto"/>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DA49C09" w14:textId="77777777" w:rsidR="00C12E86" w:rsidRDefault="00C12E86" w:rsidP="009E63EC">
      <w:pPr>
        <w:spacing w:after="0" w:line="360" w:lineRule="auto"/>
        <w:contextualSpacing/>
        <w:rPr>
          <w:rFonts w:eastAsia="Times New Roman" w:cs="Tahoma"/>
          <w:iCs/>
          <w:color w:val="auto"/>
          <w:lang w:eastAsia="es-ES"/>
        </w:rPr>
      </w:pPr>
    </w:p>
    <w:p w14:paraId="344CF549" w14:textId="77777777" w:rsidR="00C37857" w:rsidRPr="00B82CB6" w:rsidRDefault="00C37857" w:rsidP="009E63EC">
      <w:pPr>
        <w:spacing w:after="0" w:line="360" w:lineRule="auto"/>
        <w:contextualSpacing/>
        <w:rPr>
          <w:rFonts w:eastAsia="Times New Roman" w:cs="Tahoma"/>
          <w:iCs/>
          <w:color w:val="auto"/>
          <w:lang w:eastAsia="es-ES"/>
        </w:rPr>
      </w:pPr>
    </w:p>
    <w:p w14:paraId="7DF41655" w14:textId="1919F588" w:rsidR="0089674E" w:rsidRPr="00C12E86" w:rsidRDefault="0089674E" w:rsidP="009E63EC">
      <w:pPr>
        <w:widowControl w:val="0"/>
        <w:spacing w:after="0" w:line="360" w:lineRule="auto"/>
        <w:rPr>
          <w:color w:val="auto"/>
        </w:rPr>
      </w:pPr>
      <w:r w:rsidRPr="00C12E86">
        <w:rPr>
          <w:color w:val="auto"/>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A3C4777" w14:textId="77777777" w:rsidR="00C12E86" w:rsidRPr="00886AB4" w:rsidRDefault="00C12E86" w:rsidP="009E63EC">
      <w:pPr>
        <w:widowControl w:val="0"/>
        <w:spacing w:after="0" w:line="360" w:lineRule="auto"/>
        <w:rPr>
          <w:color w:val="FF0000"/>
        </w:rPr>
      </w:pPr>
    </w:p>
    <w:p w14:paraId="172FFE0D" w14:textId="43119768" w:rsidR="002A0B3A" w:rsidRPr="00C12E86" w:rsidRDefault="002A0B3A" w:rsidP="009E63EC">
      <w:pPr>
        <w:pStyle w:val="Ttulo2"/>
        <w:spacing w:before="0" w:line="360" w:lineRule="auto"/>
        <w:rPr>
          <w:rFonts w:ascii="Palatino Linotype" w:eastAsia="Calibri" w:hAnsi="Palatino Linotype"/>
          <w:b/>
          <w:color w:val="auto"/>
          <w:sz w:val="22"/>
          <w:szCs w:val="22"/>
        </w:rPr>
      </w:pPr>
      <w:bookmarkStart w:id="18" w:name="_Toc205469922"/>
      <w:r w:rsidRPr="00C12E86">
        <w:rPr>
          <w:rFonts w:ascii="Palatino Linotype" w:eastAsia="Calibri" w:hAnsi="Palatino Linotype"/>
          <w:b/>
          <w:color w:val="auto"/>
          <w:sz w:val="22"/>
          <w:szCs w:val="22"/>
        </w:rPr>
        <w:t>SEXTO. Decisión</w:t>
      </w:r>
      <w:bookmarkEnd w:id="18"/>
    </w:p>
    <w:p w14:paraId="2731E528" w14:textId="77777777" w:rsidR="002A0B3A" w:rsidRPr="00886AB4" w:rsidRDefault="002A0B3A" w:rsidP="009E63EC">
      <w:pPr>
        <w:spacing w:after="0" w:line="360" w:lineRule="auto"/>
        <w:contextualSpacing/>
        <w:rPr>
          <w:rFonts w:eastAsia="Calibri" w:cs="Tahoma"/>
          <w:b/>
          <w:color w:val="FF0000"/>
        </w:rPr>
      </w:pPr>
    </w:p>
    <w:p w14:paraId="6ED584A7" w14:textId="2FD13CA3" w:rsidR="00C12E86" w:rsidRDefault="002131A8" w:rsidP="009E63EC">
      <w:pPr>
        <w:spacing w:after="0" w:line="360" w:lineRule="auto"/>
        <w:rPr>
          <w:rFonts w:eastAsia="Palatino Linotype" w:cs="Palatino Linotype"/>
          <w:color w:val="auto"/>
          <w:lang w:eastAsia="es-MX"/>
        </w:rPr>
      </w:pPr>
      <w:r w:rsidRPr="00C12E86">
        <w:rPr>
          <w:rFonts w:eastAsia="Palatino Linotype" w:cs="Palatino Linotype"/>
          <w:color w:val="auto"/>
          <w:lang w:eastAsia="es-MX"/>
        </w:rPr>
        <w:t xml:space="preserve">Con fundamento en el artículo 186, fracción III, de la Ley de Transparencia y Acceso a la Información Pública del Estado de México y Municipios, este Instituto considera procedente </w:t>
      </w:r>
      <w:r w:rsidR="00C37857">
        <w:rPr>
          <w:rFonts w:eastAsia="Palatino Linotype" w:cs="Palatino Linotype"/>
          <w:b/>
          <w:color w:val="auto"/>
          <w:lang w:eastAsia="es-MX"/>
        </w:rPr>
        <w:t>REVO</w:t>
      </w:r>
      <w:r w:rsidR="0089674E" w:rsidRPr="00C12E86">
        <w:rPr>
          <w:rFonts w:eastAsia="Palatino Linotype" w:cs="Palatino Linotype"/>
          <w:b/>
          <w:color w:val="auto"/>
          <w:lang w:eastAsia="es-MX"/>
        </w:rPr>
        <w:t>CAR</w:t>
      </w:r>
      <w:r w:rsidRPr="00C12E86">
        <w:rPr>
          <w:rFonts w:eastAsia="Palatino Linotype" w:cs="Palatino Linotype"/>
          <w:b/>
          <w:color w:val="auto"/>
          <w:lang w:eastAsia="es-MX"/>
        </w:rPr>
        <w:t xml:space="preserve"> </w:t>
      </w:r>
      <w:r w:rsidRPr="00C12E86">
        <w:rPr>
          <w:rFonts w:eastAsia="Palatino Linotype" w:cs="Palatino Linotype"/>
          <w:color w:val="auto"/>
          <w:lang w:eastAsia="es-MX"/>
        </w:rPr>
        <w:t>la respuesta otorgada</w:t>
      </w:r>
      <w:r w:rsidR="0089674E" w:rsidRPr="00C12E86">
        <w:rPr>
          <w:rFonts w:eastAsia="Palatino Linotype" w:cs="Palatino Linotype"/>
          <w:color w:val="auto"/>
          <w:lang w:eastAsia="es-MX"/>
        </w:rPr>
        <w:t xml:space="preserve"> por el </w:t>
      </w:r>
      <w:r w:rsidR="00166E10">
        <w:rPr>
          <w:rFonts w:eastAsia="Calibri" w:cs="Tahoma"/>
          <w:color w:val="auto"/>
        </w:rPr>
        <w:t>Organismo Público Descentralizado para la Prestación de los Servicios de Agua Potable Alcantarillado y Saneamiento del Municipio de Tlalnepantla de Baz</w:t>
      </w:r>
      <w:r w:rsidRPr="00C12E86">
        <w:rPr>
          <w:rFonts w:eastAsia="Palatino Linotype" w:cs="Palatino Linotype"/>
          <w:color w:val="auto"/>
          <w:lang w:eastAsia="es-MX"/>
        </w:rPr>
        <w:t xml:space="preserve">, a efecto de que realice una búsqueda exhaustiva y razonable en los archivos, a efecto de que proporcione la información </w:t>
      </w:r>
      <w:r w:rsidR="00C12E86">
        <w:rPr>
          <w:rFonts w:eastAsia="Palatino Linotype" w:cs="Palatino Linotype"/>
          <w:color w:val="auto"/>
          <w:lang w:eastAsia="es-MX"/>
        </w:rPr>
        <w:t>solicitada</w:t>
      </w:r>
      <w:r w:rsidR="00337221">
        <w:rPr>
          <w:rFonts w:eastAsia="Palatino Linotype" w:cs="Palatino Linotype"/>
          <w:color w:val="auto"/>
          <w:lang w:eastAsia="es-MX"/>
        </w:rPr>
        <w:t>.</w:t>
      </w:r>
    </w:p>
    <w:p w14:paraId="2B3AC2AB" w14:textId="77777777" w:rsidR="006816DD" w:rsidRPr="00886AB4" w:rsidRDefault="006816DD" w:rsidP="009E63EC">
      <w:pPr>
        <w:spacing w:after="0" w:line="360" w:lineRule="auto"/>
        <w:rPr>
          <w:rFonts w:eastAsia="Times New Roman" w:cs="Tahoma"/>
          <w:bCs/>
          <w:iCs/>
          <w:color w:val="FF0000"/>
          <w:lang w:val="es-ES" w:eastAsia="es-ES"/>
        </w:rPr>
      </w:pPr>
    </w:p>
    <w:p w14:paraId="084AF2EA" w14:textId="77777777" w:rsidR="006816DD" w:rsidRPr="00337221" w:rsidRDefault="006816DD" w:rsidP="009E63EC">
      <w:pPr>
        <w:spacing w:after="0" w:line="360" w:lineRule="auto"/>
        <w:rPr>
          <w:rFonts w:eastAsia="Times New Roman" w:cs="Tahoma"/>
          <w:b/>
          <w:bCs/>
          <w:iCs/>
          <w:color w:val="auto"/>
          <w:lang w:val="es-ES" w:eastAsia="es-ES"/>
        </w:rPr>
      </w:pPr>
      <w:r w:rsidRPr="00337221">
        <w:rPr>
          <w:rFonts w:eastAsia="Times New Roman" w:cs="Tahoma"/>
          <w:b/>
          <w:bCs/>
          <w:iCs/>
          <w:color w:val="auto"/>
          <w:lang w:val="es-ES" w:eastAsia="es-ES"/>
        </w:rPr>
        <w:t>Términos de la Resolución para conocimiento del Particular</w:t>
      </w:r>
    </w:p>
    <w:p w14:paraId="3E55B7DA" w14:textId="77777777" w:rsidR="006816DD" w:rsidRPr="00886AB4" w:rsidRDefault="006816DD" w:rsidP="009E63EC">
      <w:pPr>
        <w:spacing w:after="0" w:line="360" w:lineRule="auto"/>
        <w:rPr>
          <w:rFonts w:eastAsia="Times New Roman" w:cs="Tahoma"/>
          <w:b/>
          <w:bCs/>
          <w:iCs/>
          <w:color w:val="FF0000"/>
          <w:lang w:val="es-ES" w:eastAsia="es-ES"/>
        </w:rPr>
      </w:pPr>
    </w:p>
    <w:p w14:paraId="4E4C9C70" w14:textId="64C5F3AC" w:rsidR="002131A8" w:rsidRPr="00337221" w:rsidRDefault="002131A8" w:rsidP="009E63EC">
      <w:pPr>
        <w:spacing w:after="0" w:line="360" w:lineRule="auto"/>
        <w:rPr>
          <w:rFonts w:eastAsia="Palatino Linotype" w:cs="Palatino Linotype"/>
          <w:color w:val="auto"/>
          <w:lang w:eastAsia="es-MX"/>
        </w:rPr>
      </w:pPr>
      <w:r w:rsidRPr="00337221">
        <w:rPr>
          <w:rFonts w:eastAsia="Palatino Linotype" w:cs="Palatino Linotype"/>
          <w:color w:val="auto"/>
          <w:lang w:eastAsia="es-MX"/>
        </w:rPr>
        <w:t>Se le hace del conocimiento al Particular, que, en el presente caso, se le concede la razón pues el Sujeto Obli</w:t>
      </w:r>
      <w:r w:rsidR="0089674E" w:rsidRPr="00337221">
        <w:rPr>
          <w:rFonts w:eastAsia="Palatino Linotype" w:cs="Palatino Linotype"/>
          <w:color w:val="auto"/>
          <w:lang w:eastAsia="es-MX"/>
        </w:rPr>
        <w:t xml:space="preserve">gado no remitió la información </w:t>
      </w:r>
      <w:r w:rsidR="00337221" w:rsidRPr="00337221">
        <w:rPr>
          <w:rFonts w:eastAsia="Palatino Linotype" w:cs="Palatino Linotype"/>
          <w:color w:val="auto"/>
          <w:lang w:eastAsia="es-MX"/>
        </w:rPr>
        <w:t xml:space="preserve">solicitada, por lo cual </w:t>
      </w:r>
      <w:r w:rsidR="00337221" w:rsidRPr="00337221">
        <w:rPr>
          <w:color w:val="auto"/>
        </w:rPr>
        <w:t>deberá proporcionar los documentos que den cuenta de lo solicitado.</w:t>
      </w:r>
      <w:r w:rsidR="00337221" w:rsidRPr="00337221">
        <w:rPr>
          <w:rFonts w:eastAsia="Palatino Linotype" w:cs="Palatino Linotype"/>
          <w:color w:val="auto"/>
          <w:lang w:eastAsia="es-MX"/>
        </w:rPr>
        <w:t xml:space="preserve"> </w:t>
      </w:r>
      <w:r w:rsidR="00F313B1" w:rsidRPr="00337221">
        <w:rPr>
          <w:rFonts w:eastAsia="Palatino Linotype" w:cs="Palatino Linotype"/>
          <w:color w:val="auto"/>
          <w:lang w:eastAsia="es-MX"/>
        </w:rPr>
        <w:t>Finalmente, se le informa que la l</w:t>
      </w:r>
      <w:r w:rsidRPr="00337221">
        <w:rPr>
          <w:rFonts w:eastAsia="Palatino Linotype" w:cs="Palatino Linotype"/>
          <w:color w:val="auto"/>
          <w:lang w:eastAsia="es-MX"/>
        </w:rPr>
        <w:t>abor de</w:t>
      </w:r>
      <w:r w:rsidR="00F313B1" w:rsidRPr="00337221">
        <w:rPr>
          <w:rFonts w:eastAsia="Palatino Linotype" w:cs="Palatino Linotype"/>
          <w:color w:val="auto"/>
          <w:lang w:eastAsia="es-MX"/>
        </w:rPr>
        <w:t xml:space="preserve"> este</w:t>
      </w:r>
      <w:r w:rsidRPr="00337221">
        <w:rPr>
          <w:rFonts w:eastAsia="Palatino Linotype" w:cs="Palatino Linotype"/>
          <w:color w:val="auto"/>
          <w:lang w:eastAsia="es-MX"/>
        </w:rPr>
        <w:t xml:space="preserve"> Instituto</w:t>
      </w:r>
      <w:r w:rsidR="00F313B1" w:rsidRPr="00337221">
        <w:rPr>
          <w:rFonts w:eastAsia="Palatino Linotype" w:cs="Palatino Linotype"/>
          <w:color w:val="auto"/>
          <w:lang w:eastAsia="es-MX"/>
        </w:rPr>
        <w:t xml:space="preserve"> de Transparencia, Acceso a la Información Pública y Protección de Datos Personales del Estado de México y Municipios</w:t>
      </w:r>
      <w:r w:rsidRPr="00337221">
        <w:rPr>
          <w:rFonts w:eastAsia="Palatino Linotype" w:cs="Palatino Linotype"/>
          <w:color w:val="auto"/>
          <w:lang w:eastAsia="es-MX"/>
        </w:rPr>
        <w:t>, es apoyar a la población a acceder a la información pública y garantizar la protección de los datos personales.</w:t>
      </w:r>
    </w:p>
    <w:p w14:paraId="6462AFF5" w14:textId="77777777" w:rsidR="006816DD" w:rsidRPr="00337221" w:rsidRDefault="006816DD" w:rsidP="009E63EC">
      <w:pPr>
        <w:spacing w:after="0" w:line="360" w:lineRule="auto"/>
        <w:rPr>
          <w:rFonts w:eastAsia="Calibri" w:cs="Times New Roman"/>
          <w:color w:val="auto"/>
        </w:rPr>
      </w:pPr>
    </w:p>
    <w:p w14:paraId="39052FE8" w14:textId="407B2204" w:rsidR="006816DD" w:rsidRPr="00337221" w:rsidRDefault="006816DD" w:rsidP="009E63EC">
      <w:pPr>
        <w:spacing w:after="0" w:line="360" w:lineRule="auto"/>
        <w:rPr>
          <w:rFonts w:eastAsia="Times New Roman" w:cs="Tahoma"/>
          <w:bCs/>
          <w:iCs/>
          <w:color w:val="auto"/>
          <w:lang w:eastAsia="es-ES"/>
        </w:rPr>
      </w:pPr>
      <w:r w:rsidRPr="00337221">
        <w:rPr>
          <w:rFonts w:eastAsia="Times New Roman" w:cs="Tahoma"/>
          <w:bCs/>
          <w:iCs/>
          <w:color w:val="auto"/>
          <w:lang w:eastAsia="es-ES"/>
        </w:rPr>
        <w:t>Por lo expuesto y fundado, este Pleno:</w:t>
      </w:r>
    </w:p>
    <w:p w14:paraId="4ED4C1D4" w14:textId="77777777" w:rsidR="002131A8" w:rsidRPr="00337221" w:rsidRDefault="002131A8" w:rsidP="009E63EC">
      <w:pPr>
        <w:spacing w:after="0" w:line="360" w:lineRule="auto"/>
        <w:rPr>
          <w:rFonts w:eastAsia="Times New Roman" w:cs="Tahoma"/>
          <w:bCs/>
          <w:iCs/>
          <w:color w:val="auto"/>
          <w:lang w:eastAsia="es-ES"/>
        </w:rPr>
      </w:pPr>
    </w:p>
    <w:p w14:paraId="7919B441" w14:textId="14EA393D" w:rsidR="002A0B3A" w:rsidRPr="00337221" w:rsidRDefault="002A0B3A" w:rsidP="009E63EC">
      <w:pPr>
        <w:pStyle w:val="Ttulo1"/>
        <w:spacing w:before="0" w:line="360" w:lineRule="auto"/>
        <w:jc w:val="center"/>
        <w:rPr>
          <w:rFonts w:ascii="Palatino Linotype" w:hAnsi="Palatino Linotype"/>
          <w:b/>
          <w:bCs/>
          <w:color w:val="auto"/>
          <w:sz w:val="22"/>
          <w:szCs w:val="22"/>
        </w:rPr>
      </w:pPr>
      <w:bookmarkStart w:id="19" w:name="_Toc205469923"/>
      <w:r w:rsidRPr="00337221">
        <w:rPr>
          <w:rFonts w:ascii="Palatino Linotype" w:hAnsi="Palatino Linotype"/>
          <w:b/>
          <w:bCs/>
          <w:color w:val="auto"/>
          <w:sz w:val="22"/>
          <w:szCs w:val="22"/>
        </w:rPr>
        <w:lastRenderedPageBreak/>
        <w:t>R E S U E L V E</w:t>
      </w:r>
      <w:bookmarkEnd w:id="19"/>
    </w:p>
    <w:p w14:paraId="6A252915" w14:textId="77777777" w:rsidR="002A0B3A" w:rsidRPr="00886AB4" w:rsidRDefault="002A0B3A" w:rsidP="009E63EC">
      <w:pPr>
        <w:spacing w:after="0" w:line="360" w:lineRule="auto"/>
        <w:ind w:right="-91"/>
        <w:contextualSpacing/>
        <w:jc w:val="center"/>
        <w:rPr>
          <w:rFonts w:eastAsia="Calibri" w:cs="Tahoma"/>
          <w:b/>
          <w:bCs/>
          <w:color w:val="FF0000"/>
        </w:rPr>
      </w:pPr>
    </w:p>
    <w:p w14:paraId="3C30B26E" w14:textId="77777777" w:rsidR="00254D0F" w:rsidRPr="00886AB4" w:rsidRDefault="00254D0F" w:rsidP="009E63EC">
      <w:pPr>
        <w:spacing w:after="0" w:line="360" w:lineRule="auto"/>
        <w:ind w:right="-91"/>
        <w:contextualSpacing/>
        <w:jc w:val="center"/>
        <w:rPr>
          <w:rFonts w:eastAsia="Calibri" w:cs="Tahoma"/>
          <w:b/>
          <w:bCs/>
          <w:color w:val="FF0000"/>
        </w:rPr>
      </w:pPr>
    </w:p>
    <w:p w14:paraId="23C1740D" w14:textId="44DA07DB" w:rsidR="00F313B1" w:rsidRPr="00337221" w:rsidRDefault="002131A8" w:rsidP="009E63EC">
      <w:pPr>
        <w:spacing w:after="0" w:line="360" w:lineRule="auto"/>
        <w:rPr>
          <w:rFonts w:cs="Tahoma"/>
          <w:color w:val="FF0000"/>
        </w:rPr>
      </w:pPr>
      <w:r w:rsidRPr="00337221">
        <w:rPr>
          <w:b/>
          <w:color w:val="auto"/>
        </w:rPr>
        <w:t xml:space="preserve">PRIMERO. </w:t>
      </w:r>
      <w:r w:rsidRPr="00337221">
        <w:rPr>
          <w:color w:val="auto"/>
        </w:rPr>
        <w:t xml:space="preserve">Se </w:t>
      </w:r>
      <w:r w:rsidR="00C37857">
        <w:rPr>
          <w:b/>
          <w:color w:val="auto"/>
        </w:rPr>
        <w:t>REVOCA</w:t>
      </w:r>
      <w:r w:rsidRPr="00337221">
        <w:rPr>
          <w:b/>
          <w:color w:val="auto"/>
        </w:rPr>
        <w:t xml:space="preserve"> </w:t>
      </w:r>
      <w:r w:rsidRPr="00337221">
        <w:rPr>
          <w:color w:val="auto"/>
        </w:rPr>
        <w:t>la respuesta otorgada por el Sujeto Obligado a la</w:t>
      </w:r>
      <w:r w:rsidR="00337221" w:rsidRPr="00337221">
        <w:rPr>
          <w:color w:val="auto"/>
        </w:rPr>
        <w:t xml:space="preserve"> solicitud</w:t>
      </w:r>
      <w:r w:rsidRPr="00337221">
        <w:rPr>
          <w:color w:val="auto"/>
        </w:rPr>
        <w:t xml:space="preserve"> de acceso a la información </w:t>
      </w:r>
      <w:r w:rsidR="00337221">
        <w:rPr>
          <w:color w:val="auto"/>
        </w:rPr>
        <w:t>pública co</w:t>
      </w:r>
      <w:r w:rsidR="00337221" w:rsidRPr="00337221">
        <w:rPr>
          <w:color w:val="auto"/>
        </w:rPr>
        <w:t>n número de folio 00126/OASTLALNE/IP/2025</w:t>
      </w:r>
      <w:r w:rsidRPr="00337221">
        <w:rPr>
          <w:color w:val="auto"/>
        </w:rPr>
        <w:t xml:space="preserve">, por resultar </w:t>
      </w:r>
      <w:r w:rsidRPr="00337221">
        <w:rPr>
          <w:b/>
          <w:color w:val="auto"/>
        </w:rPr>
        <w:t xml:space="preserve">FUNDADOS </w:t>
      </w:r>
      <w:r w:rsidRPr="00337221">
        <w:rPr>
          <w:color w:val="auto"/>
        </w:rPr>
        <w:t>los agravios</w:t>
      </w:r>
      <w:r w:rsidRPr="00337221">
        <w:rPr>
          <w:b/>
          <w:color w:val="auto"/>
        </w:rPr>
        <w:t xml:space="preserve"> </w:t>
      </w:r>
      <w:r w:rsidRPr="00337221">
        <w:rPr>
          <w:color w:val="auto"/>
        </w:rPr>
        <w:t>hechos valer por el Particular, en el Recurso de Revisión</w:t>
      </w:r>
      <w:r w:rsidRPr="00337221">
        <w:rPr>
          <w:b/>
          <w:color w:val="auto"/>
        </w:rPr>
        <w:t xml:space="preserve">, </w:t>
      </w:r>
      <w:r w:rsidRPr="00337221">
        <w:rPr>
          <w:color w:val="auto"/>
        </w:rPr>
        <w:t>en términos de los Considerandos QUINTO y SEX</w:t>
      </w:r>
      <w:r w:rsidR="0089674E" w:rsidRPr="00337221">
        <w:rPr>
          <w:color w:val="auto"/>
        </w:rPr>
        <w:t xml:space="preserve">TO de la presente Resolución.  </w:t>
      </w:r>
    </w:p>
    <w:p w14:paraId="0FEB9D2C" w14:textId="77777777" w:rsidR="00F313B1" w:rsidRPr="00886AB4" w:rsidRDefault="00F313B1" w:rsidP="009E63EC">
      <w:pPr>
        <w:spacing w:after="0" w:line="360" w:lineRule="auto"/>
        <w:rPr>
          <w:b/>
          <w:color w:val="FF0000"/>
        </w:rPr>
      </w:pPr>
    </w:p>
    <w:p w14:paraId="07A47D43" w14:textId="490ABD96" w:rsidR="003B10F9" w:rsidRPr="00886AB4" w:rsidRDefault="002131A8" w:rsidP="00254D0F">
      <w:pPr>
        <w:spacing w:after="0" w:line="360" w:lineRule="auto"/>
        <w:rPr>
          <w:rFonts w:eastAsia="Palatino Linotype" w:cs="Palatino Linotype"/>
          <w:color w:val="FF0000"/>
          <w:lang w:eastAsia="es-MX"/>
        </w:rPr>
      </w:pPr>
      <w:r w:rsidRPr="00337221">
        <w:rPr>
          <w:b/>
          <w:color w:val="auto"/>
        </w:rPr>
        <w:t xml:space="preserve">SEGUNDO. </w:t>
      </w:r>
      <w:r w:rsidRPr="00337221">
        <w:rPr>
          <w:color w:val="auto"/>
        </w:rPr>
        <w:t xml:space="preserve">Se </w:t>
      </w:r>
      <w:r w:rsidRPr="00337221">
        <w:rPr>
          <w:b/>
          <w:color w:val="auto"/>
        </w:rPr>
        <w:t>ORDENA</w:t>
      </w:r>
      <w:r w:rsidRPr="00337221">
        <w:rPr>
          <w:color w:val="auto"/>
        </w:rPr>
        <w:t xml:space="preserve"> al Sujeto Obligado, a efecto de que, previa búsqueda exhaustiva y razonable en las</w:t>
      </w:r>
      <w:r w:rsidR="00254D0F" w:rsidRPr="00337221">
        <w:rPr>
          <w:color w:val="auto"/>
        </w:rPr>
        <w:t xml:space="preserve"> unidades administrativas </w:t>
      </w:r>
      <w:r w:rsidRPr="00337221">
        <w:rPr>
          <w:color w:val="auto"/>
        </w:rPr>
        <w:t>competentes,</w:t>
      </w:r>
      <w:r w:rsidR="00254D0F" w:rsidRPr="00337221">
        <w:rPr>
          <w:color w:val="auto"/>
        </w:rPr>
        <w:t xml:space="preserve"> entregue</w:t>
      </w:r>
      <w:r w:rsidRPr="00337221">
        <w:rPr>
          <w:color w:val="auto"/>
        </w:rPr>
        <w:t xml:space="preserve"> a través del Sistema de Acceso a la Información Mexiquense (SAIMEX),</w:t>
      </w:r>
      <w:r w:rsidR="00254D0F" w:rsidRPr="00337221">
        <w:rPr>
          <w:color w:val="auto"/>
        </w:rPr>
        <w:t xml:space="preserve"> en versión pública,</w:t>
      </w:r>
      <w:r w:rsidRPr="00337221">
        <w:rPr>
          <w:color w:val="auto"/>
        </w:rPr>
        <w:t xml:space="preserve"> lo siguiente: </w:t>
      </w:r>
    </w:p>
    <w:p w14:paraId="72C29784" w14:textId="77777777" w:rsidR="00F313B1" w:rsidRPr="00886AB4" w:rsidRDefault="00F313B1" w:rsidP="00F313B1">
      <w:pPr>
        <w:pStyle w:val="Prrafodelista"/>
        <w:widowControl w:val="0"/>
        <w:spacing w:after="0" w:line="360" w:lineRule="auto"/>
        <w:rPr>
          <w:rFonts w:eastAsia="Palatino Linotype" w:cs="Palatino Linotype"/>
          <w:color w:val="FF0000"/>
          <w:lang w:eastAsia="es-MX"/>
        </w:rPr>
      </w:pPr>
    </w:p>
    <w:p w14:paraId="4C66155B" w14:textId="6412DE3E" w:rsidR="003B10F9" w:rsidRPr="001F54BD" w:rsidRDefault="001F54BD" w:rsidP="004A0D4F">
      <w:pPr>
        <w:pStyle w:val="Prrafodelista"/>
        <w:widowControl w:val="0"/>
        <w:numPr>
          <w:ilvl w:val="0"/>
          <w:numId w:val="1"/>
        </w:numPr>
        <w:spacing w:after="0" w:line="360" w:lineRule="auto"/>
        <w:rPr>
          <w:rFonts w:eastAsia="Palatino Linotype" w:cs="Palatino Linotype"/>
          <w:color w:val="auto"/>
          <w:lang w:eastAsia="es-MX"/>
        </w:rPr>
      </w:pPr>
      <w:r w:rsidRPr="001F54BD">
        <w:rPr>
          <w:color w:val="auto"/>
        </w:rPr>
        <w:t xml:space="preserve">La conciliación de nómina de los servidores </w:t>
      </w:r>
      <w:r w:rsidRPr="001F54BD">
        <w:rPr>
          <w:rFonts w:eastAsia="Palatino Linotype" w:cs="Tahoma"/>
          <w:color w:val="auto"/>
          <w:lang w:eastAsia="es-MX"/>
        </w:rPr>
        <w:t xml:space="preserve">públicos adscritos al </w:t>
      </w:r>
      <w:r w:rsidR="00166E10">
        <w:rPr>
          <w:rFonts w:eastAsia="Calibri" w:cs="Tahoma"/>
          <w:color w:val="auto"/>
        </w:rPr>
        <w:t>Organismo Público Descentralizado para la Prestación de los Servicios de Agua Potable Alcantarillado y Saneamiento del Municipio de Tlalnepantla de Baz</w:t>
      </w:r>
      <w:r w:rsidRPr="001F54BD">
        <w:rPr>
          <w:rFonts w:eastAsia="Calibri" w:cs="Tahoma"/>
          <w:color w:val="auto"/>
        </w:rPr>
        <w:t xml:space="preserve">, </w:t>
      </w:r>
      <w:r w:rsidR="00C37857">
        <w:rPr>
          <w:rFonts w:eastAsia="Calibri" w:cs="Tahoma"/>
          <w:color w:val="auto"/>
        </w:rPr>
        <w:t xml:space="preserve">de la primera quincena de </w:t>
      </w:r>
      <w:r w:rsidRPr="001F54BD">
        <w:rPr>
          <w:rFonts w:eastAsia="Calibri" w:cs="Tahoma"/>
          <w:color w:val="auto"/>
        </w:rPr>
        <w:t xml:space="preserve">enero </w:t>
      </w:r>
      <w:r w:rsidR="00C37857">
        <w:rPr>
          <w:rFonts w:eastAsia="Calibri" w:cs="Tahoma"/>
          <w:color w:val="auto"/>
        </w:rPr>
        <w:t>a la segunda</w:t>
      </w:r>
      <w:r w:rsidRPr="001F54BD">
        <w:rPr>
          <w:rFonts w:eastAsia="Calibri" w:cs="Tahoma"/>
          <w:color w:val="auto"/>
        </w:rPr>
        <w:t xml:space="preserve"> de marzo de dos mil veinticinco.</w:t>
      </w:r>
    </w:p>
    <w:p w14:paraId="37C01FDE" w14:textId="77777777" w:rsidR="00254D0F" w:rsidRPr="00886AB4" w:rsidRDefault="00254D0F" w:rsidP="00254D0F">
      <w:pPr>
        <w:pStyle w:val="Prrafodelista"/>
        <w:rPr>
          <w:rFonts w:eastAsia="Palatino Linotype" w:cs="Palatino Linotype"/>
          <w:color w:val="FF0000"/>
          <w:lang w:eastAsia="es-MX"/>
        </w:rPr>
      </w:pPr>
    </w:p>
    <w:p w14:paraId="4CD5AD42" w14:textId="079BE02B" w:rsidR="0089674E" w:rsidRPr="001F54BD" w:rsidRDefault="0089674E" w:rsidP="0089674E">
      <w:pPr>
        <w:spacing w:after="0" w:line="360" w:lineRule="auto"/>
        <w:rPr>
          <w:rFonts w:eastAsia="Palatino Linotype" w:cs="Palatino Linotype"/>
          <w:color w:val="auto"/>
          <w:lang w:eastAsia="es-MX"/>
        </w:rPr>
      </w:pPr>
      <w:r w:rsidRPr="001F54BD">
        <w:rPr>
          <w:rFonts w:eastAsia="Palatino Linotype" w:cs="Palatino Linotype"/>
          <w:color w:val="auto"/>
          <w:lang w:eastAsia="es-MX"/>
        </w:rPr>
        <w:t>Además, deberá proporcionar el Acuerdo de Clasificación donde el Comité de Transparencia, confirme la eliminación de los datos o información clasificada, en términos del Considerando QUINTO, en la versión pública, de conformidad con los artículos 49, fracciones II y VIII y 132, fracción II de la Ley de Transparencia y Acceso a la Información</w:t>
      </w:r>
    </w:p>
    <w:p w14:paraId="7E9B02A6" w14:textId="3C64A5CD" w:rsidR="002131A8" w:rsidRPr="001F54BD" w:rsidRDefault="0089674E" w:rsidP="0089674E">
      <w:pPr>
        <w:spacing w:after="0" w:line="360" w:lineRule="auto"/>
        <w:rPr>
          <w:rFonts w:eastAsia="Palatino Linotype" w:cs="Palatino Linotype"/>
          <w:color w:val="auto"/>
          <w:lang w:eastAsia="es-MX"/>
        </w:rPr>
      </w:pPr>
      <w:r w:rsidRPr="001F54BD">
        <w:rPr>
          <w:rFonts w:eastAsia="Palatino Linotype" w:cs="Palatino Linotype"/>
          <w:color w:val="auto"/>
          <w:lang w:eastAsia="es-MX"/>
        </w:rPr>
        <w:t>Pública del Estado de México y Municipios.</w:t>
      </w:r>
    </w:p>
    <w:p w14:paraId="78F7C2B6" w14:textId="77777777" w:rsidR="0089674E" w:rsidRPr="001F54BD" w:rsidRDefault="0089674E" w:rsidP="0089674E">
      <w:pPr>
        <w:spacing w:after="0" w:line="360" w:lineRule="auto"/>
        <w:rPr>
          <w:rFonts w:eastAsia="Palatino Linotype" w:cs="Palatino Linotype"/>
          <w:color w:val="auto"/>
          <w:lang w:eastAsia="es-MX"/>
        </w:rPr>
      </w:pPr>
    </w:p>
    <w:p w14:paraId="1BC194D1" w14:textId="77777777" w:rsidR="002131A8" w:rsidRPr="001F54BD" w:rsidRDefault="002131A8" w:rsidP="009E63EC">
      <w:pPr>
        <w:spacing w:after="0" w:line="360" w:lineRule="auto"/>
        <w:ind w:right="-28"/>
        <w:rPr>
          <w:rFonts w:eastAsia="Palatino Linotype" w:cs="Palatino Linotype"/>
          <w:b/>
          <w:color w:val="auto"/>
          <w:lang w:eastAsia="es-MX"/>
        </w:rPr>
      </w:pPr>
      <w:r w:rsidRPr="001F54BD">
        <w:rPr>
          <w:rFonts w:eastAsia="Palatino Linotype" w:cs="Palatino Linotype"/>
          <w:b/>
          <w:color w:val="auto"/>
          <w:lang w:eastAsia="es-MX"/>
        </w:rPr>
        <w:t xml:space="preserve">TERCERO. NOTIFÍQUESE POR SAIMEX </w:t>
      </w:r>
      <w:r w:rsidRPr="001F54BD">
        <w:rPr>
          <w:rFonts w:eastAsia="Palatino Linotype" w:cs="Palatino Linotype"/>
          <w:color w:val="auto"/>
          <w:lang w:eastAsia="es-MX"/>
        </w:rPr>
        <w:t xml:space="preserve">la presente resolución al Titular de la Unidad de Transparencia del Sujeto Obligado, para que conforme al artículo 186, último párrafo, 189, </w:t>
      </w:r>
      <w:r w:rsidRPr="001F54BD">
        <w:rPr>
          <w:rFonts w:eastAsia="Palatino Linotype" w:cs="Palatino Linotype"/>
          <w:color w:val="auto"/>
          <w:lang w:eastAsia="es-MX"/>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C76C8CD" w14:textId="77777777" w:rsidR="002131A8" w:rsidRPr="001F54BD" w:rsidRDefault="002131A8" w:rsidP="009E63EC">
      <w:pPr>
        <w:spacing w:after="0" w:line="360" w:lineRule="auto"/>
        <w:ind w:right="-28"/>
        <w:rPr>
          <w:rFonts w:eastAsia="Palatino Linotype" w:cs="Palatino Linotype"/>
          <w:color w:val="auto"/>
          <w:lang w:eastAsia="es-MX"/>
        </w:rPr>
      </w:pPr>
    </w:p>
    <w:p w14:paraId="24024720" w14:textId="77777777" w:rsidR="002131A8" w:rsidRPr="001F54BD" w:rsidRDefault="002131A8" w:rsidP="009E63EC">
      <w:pPr>
        <w:spacing w:after="0" w:line="360" w:lineRule="auto"/>
        <w:rPr>
          <w:rFonts w:eastAsia="Palatino Linotype" w:cs="Palatino Linotype"/>
          <w:color w:val="auto"/>
          <w:lang w:eastAsia="es-MX"/>
        </w:rPr>
      </w:pPr>
      <w:r w:rsidRPr="001F54BD">
        <w:rPr>
          <w:rFonts w:eastAsia="Palatino Linotype" w:cs="Palatino Linotype"/>
          <w:color w:val="auto"/>
          <w:lang w:eastAsia="es-MX"/>
        </w:rPr>
        <w:t>De conformidad con el artículo 198 de la Ley de la materia, de considerarlo procedente, el Sujeto Obligado de manera fundada y motivada, podrá solicitar una ampliación de plazo para el cumplimiento de la presente resolución.</w:t>
      </w:r>
    </w:p>
    <w:p w14:paraId="066F6AC6" w14:textId="77777777" w:rsidR="002131A8" w:rsidRPr="001F54BD" w:rsidRDefault="002131A8" w:rsidP="009E63EC">
      <w:pPr>
        <w:spacing w:after="0" w:line="360" w:lineRule="auto"/>
        <w:rPr>
          <w:rFonts w:eastAsia="Palatino Linotype" w:cs="Palatino Linotype"/>
          <w:color w:val="auto"/>
          <w:lang w:eastAsia="es-MX"/>
        </w:rPr>
      </w:pPr>
    </w:p>
    <w:p w14:paraId="7B5FE0BA" w14:textId="77777777" w:rsidR="002131A8" w:rsidRPr="001F54BD" w:rsidRDefault="002131A8" w:rsidP="009E63EC">
      <w:pPr>
        <w:spacing w:after="0" w:line="360" w:lineRule="auto"/>
        <w:rPr>
          <w:rFonts w:eastAsia="Palatino Linotype" w:cs="Palatino Linotype"/>
          <w:color w:val="auto"/>
          <w:lang w:eastAsia="es-MX"/>
        </w:rPr>
      </w:pPr>
      <w:r w:rsidRPr="001F54BD">
        <w:rPr>
          <w:rFonts w:eastAsia="Palatino Linotype" w:cs="Palatino Linotype"/>
          <w:b/>
          <w:color w:val="auto"/>
          <w:lang w:eastAsia="es-MX"/>
        </w:rPr>
        <w:t>CUARTO. NOTIFÍQUESE POR SAIMEX</w:t>
      </w:r>
      <w:r w:rsidRPr="001F54BD">
        <w:rPr>
          <w:rFonts w:eastAsia="Palatino Linotype" w:cs="Palatino Linotype"/>
          <w:color w:val="auto"/>
          <w:lang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2F4DCE" w14:textId="77777777" w:rsidR="007B68D1" w:rsidRPr="001F54BD" w:rsidRDefault="007B68D1" w:rsidP="009E63EC">
      <w:pPr>
        <w:spacing w:after="0" w:line="360" w:lineRule="auto"/>
        <w:contextualSpacing/>
        <w:rPr>
          <w:rFonts w:eastAsia="Palatino Linotype" w:cs="Arial"/>
          <w:b/>
          <w:bCs/>
          <w:color w:val="auto"/>
          <w:lang w:eastAsia="es-MX"/>
        </w:rPr>
      </w:pPr>
    </w:p>
    <w:p w14:paraId="78C8D4AA" w14:textId="3BC26B8C" w:rsidR="007B68D1" w:rsidRPr="001F54BD" w:rsidRDefault="007B68D1" w:rsidP="009E63EC">
      <w:pPr>
        <w:spacing w:after="0" w:line="360" w:lineRule="auto"/>
        <w:contextualSpacing/>
        <w:rPr>
          <w:rFonts w:eastAsia="Calibri" w:cs="Tahoma"/>
          <w:bCs/>
          <w:color w:val="auto"/>
          <w:lang w:eastAsia="es-MX"/>
        </w:rPr>
      </w:pPr>
      <w:r w:rsidRPr="001F54BD">
        <w:rPr>
          <w:rFonts w:eastAsia="Calibri" w:cs="Tahoma"/>
          <w:bCs/>
          <w:color w:val="auto"/>
          <w:lang w:eastAsia="es-MX"/>
        </w:rPr>
        <w:t>ASÍ LO RESUELVE, POR </w:t>
      </w:r>
      <w:r w:rsidRPr="001F54BD">
        <w:rPr>
          <w:rFonts w:eastAsia="Calibri" w:cs="Tahoma"/>
          <w:b/>
          <w:bCs/>
          <w:color w:val="auto"/>
          <w:lang w:eastAsia="es-MX"/>
        </w:rPr>
        <w:t>UNANIMIDAD</w:t>
      </w:r>
      <w:r w:rsidRPr="001F54BD">
        <w:rPr>
          <w:rFonts w:eastAsia="Calibri" w:cs="Tahoma"/>
          <w:bCs/>
          <w:color w:val="auto"/>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17D97" w:rsidRPr="001F54BD">
        <w:rPr>
          <w:rFonts w:eastAsia="Calibri" w:cs="Tahoma"/>
          <w:bCs/>
          <w:color w:val="auto"/>
          <w:lang w:eastAsia="es-MX"/>
        </w:rPr>
        <w:t>VIGÉSIMA</w:t>
      </w:r>
      <w:r w:rsidR="001F54BD">
        <w:rPr>
          <w:rFonts w:eastAsia="Calibri" w:cs="Tahoma"/>
          <w:bCs/>
          <w:color w:val="auto"/>
          <w:lang w:eastAsia="es-MX"/>
        </w:rPr>
        <w:t xml:space="preserve"> SÉPTIMA</w:t>
      </w:r>
      <w:r w:rsidR="009C3F69" w:rsidRPr="001F54BD">
        <w:rPr>
          <w:rFonts w:eastAsia="Calibri" w:cs="Tahoma"/>
          <w:bCs/>
          <w:color w:val="auto"/>
          <w:lang w:eastAsia="es-MX"/>
        </w:rPr>
        <w:t xml:space="preserve"> </w:t>
      </w:r>
      <w:r w:rsidR="005F66FA" w:rsidRPr="001F54BD">
        <w:rPr>
          <w:rFonts w:eastAsia="Calibri" w:cs="Tahoma"/>
          <w:bCs/>
          <w:color w:val="auto"/>
          <w:lang w:eastAsia="es-MX"/>
        </w:rPr>
        <w:t>SESIÓN</w:t>
      </w:r>
      <w:r w:rsidRPr="001F54BD">
        <w:rPr>
          <w:rFonts w:eastAsia="Calibri" w:cs="Tahoma"/>
          <w:bCs/>
          <w:color w:val="auto"/>
          <w:lang w:eastAsia="es-MX"/>
        </w:rPr>
        <w:t xml:space="preserve"> ORDINARIA, CELEBRADA EL </w:t>
      </w:r>
      <w:r w:rsidR="001F54BD">
        <w:rPr>
          <w:rFonts w:eastAsia="Calibri" w:cs="Tahoma"/>
          <w:bCs/>
          <w:color w:val="auto"/>
          <w:lang w:eastAsia="es-MX"/>
        </w:rPr>
        <w:t xml:space="preserve">SEIS DE AGOSTO </w:t>
      </w:r>
      <w:r w:rsidRPr="001F54BD">
        <w:rPr>
          <w:rFonts w:eastAsia="Calibri" w:cs="Tahoma"/>
          <w:bCs/>
          <w:color w:val="auto"/>
          <w:lang w:eastAsia="es-MX"/>
        </w:rPr>
        <w:t>DE DOS MIL VEINTICINCO, ANTE EL SECRETARIO TÉCNICO DEL PLENO, ALEXIS TAPIA RAMÍREZ.</w:t>
      </w:r>
    </w:p>
    <w:p w14:paraId="70E8439B" w14:textId="77777777" w:rsidR="00A9056D" w:rsidRPr="001F54BD" w:rsidRDefault="00A9056D" w:rsidP="009E63EC">
      <w:pPr>
        <w:spacing w:after="0" w:line="360" w:lineRule="auto"/>
        <w:rPr>
          <w:color w:val="auto"/>
        </w:rPr>
      </w:pPr>
    </w:p>
    <w:p w14:paraId="7146A7F6" w14:textId="77777777" w:rsidR="00A9056D" w:rsidRPr="001F54BD" w:rsidRDefault="00A9056D" w:rsidP="009E63EC">
      <w:pPr>
        <w:spacing w:after="0" w:line="360" w:lineRule="auto"/>
        <w:rPr>
          <w:color w:val="auto"/>
        </w:rPr>
      </w:pPr>
    </w:p>
    <w:p w14:paraId="15A13D10" w14:textId="77777777" w:rsidR="00A9056D" w:rsidRPr="001F54BD" w:rsidRDefault="00A9056D" w:rsidP="009E63EC">
      <w:pPr>
        <w:spacing w:after="0" w:line="360" w:lineRule="auto"/>
        <w:rPr>
          <w:color w:val="auto"/>
        </w:rPr>
      </w:pPr>
    </w:p>
    <w:p w14:paraId="36F176C9" w14:textId="77777777" w:rsidR="00A9056D" w:rsidRPr="00886AB4" w:rsidRDefault="00A9056D" w:rsidP="009E63EC">
      <w:pPr>
        <w:spacing w:after="0" w:line="360" w:lineRule="auto"/>
        <w:rPr>
          <w:color w:val="FF0000"/>
        </w:rPr>
      </w:pPr>
    </w:p>
    <w:p w14:paraId="4D86D97F" w14:textId="77777777" w:rsidR="00A9056D" w:rsidRPr="00886AB4" w:rsidRDefault="00A9056D" w:rsidP="009E63EC">
      <w:pPr>
        <w:spacing w:after="0" w:line="360" w:lineRule="auto"/>
        <w:rPr>
          <w:color w:val="FF0000"/>
        </w:rPr>
      </w:pPr>
    </w:p>
    <w:p w14:paraId="06DD7401" w14:textId="77777777" w:rsidR="00A9056D" w:rsidRPr="00886AB4" w:rsidRDefault="00A9056D" w:rsidP="009E63EC">
      <w:pPr>
        <w:spacing w:after="0" w:line="360" w:lineRule="auto"/>
        <w:rPr>
          <w:color w:val="FF0000"/>
        </w:rPr>
      </w:pPr>
    </w:p>
    <w:p w14:paraId="436CEB7B" w14:textId="77777777" w:rsidR="00A9056D" w:rsidRPr="00886AB4" w:rsidRDefault="00A9056D" w:rsidP="009E63EC">
      <w:pPr>
        <w:spacing w:after="0" w:line="360" w:lineRule="auto"/>
        <w:rPr>
          <w:color w:val="FF0000"/>
        </w:rPr>
      </w:pPr>
    </w:p>
    <w:p w14:paraId="465D31F1" w14:textId="5DE2F320" w:rsidR="007B68D1" w:rsidRPr="00886AB4" w:rsidRDefault="007B68D1" w:rsidP="009E63EC">
      <w:pPr>
        <w:spacing w:after="0" w:line="360" w:lineRule="auto"/>
        <w:jc w:val="left"/>
        <w:rPr>
          <w:color w:val="FF0000"/>
        </w:rPr>
      </w:pPr>
    </w:p>
    <w:p w14:paraId="12B19015" w14:textId="77777777" w:rsidR="00F64C1E" w:rsidRPr="00886AB4" w:rsidRDefault="00F64C1E" w:rsidP="009E63EC">
      <w:pPr>
        <w:spacing w:after="0" w:line="360" w:lineRule="auto"/>
        <w:jc w:val="left"/>
        <w:rPr>
          <w:color w:val="FF0000"/>
        </w:rPr>
      </w:pPr>
    </w:p>
    <w:p w14:paraId="251B8A29" w14:textId="77777777" w:rsidR="00F64C1E" w:rsidRPr="00886AB4" w:rsidRDefault="00F64C1E" w:rsidP="009E63EC">
      <w:pPr>
        <w:spacing w:after="0" w:line="360" w:lineRule="auto"/>
        <w:jc w:val="left"/>
        <w:rPr>
          <w:color w:val="FF0000"/>
        </w:rPr>
      </w:pPr>
    </w:p>
    <w:p w14:paraId="2F041C64" w14:textId="77777777" w:rsidR="00F64C1E" w:rsidRPr="00886AB4" w:rsidRDefault="00F64C1E" w:rsidP="009E63EC">
      <w:pPr>
        <w:spacing w:after="0" w:line="360" w:lineRule="auto"/>
        <w:jc w:val="left"/>
        <w:rPr>
          <w:color w:val="FF0000"/>
        </w:rPr>
      </w:pPr>
    </w:p>
    <w:p w14:paraId="69C7D0A9" w14:textId="77777777" w:rsidR="00F64C1E" w:rsidRPr="00886AB4" w:rsidRDefault="00F64C1E" w:rsidP="009E63EC">
      <w:pPr>
        <w:spacing w:after="0" w:line="360" w:lineRule="auto"/>
        <w:jc w:val="left"/>
        <w:rPr>
          <w:color w:val="FF0000"/>
        </w:rPr>
      </w:pPr>
    </w:p>
    <w:p w14:paraId="6A139EEB" w14:textId="77777777" w:rsidR="00F64C1E" w:rsidRPr="00886AB4" w:rsidRDefault="00F64C1E" w:rsidP="009E63EC">
      <w:pPr>
        <w:spacing w:after="0" w:line="360" w:lineRule="auto"/>
        <w:jc w:val="left"/>
        <w:rPr>
          <w:color w:val="FF0000"/>
        </w:rPr>
      </w:pPr>
    </w:p>
    <w:p w14:paraId="462F3801" w14:textId="77777777" w:rsidR="00F64C1E" w:rsidRPr="00886AB4" w:rsidRDefault="00F64C1E" w:rsidP="009E63EC">
      <w:pPr>
        <w:spacing w:after="0" w:line="360" w:lineRule="auto"/>
        <w:jc w:val="left"/>
        <w:rPr>
          <w:color w:val="FF0000"/>
        </w:rPr>
      </w:pPr>
    </w:p>
    <w:p w14:paraId="1AF982EC" w14:textId="77777777" w:rsidR="00F64C1E" w:rsidRPr="00886AB4" w:rsidRDefault="00F64C1E" w:rsidP="009E63EC">
      <w:pPr>
        <w:spacing w:after="0" w:line="360" w:lineRule="auto"/>
        <w:jc w:val="left"/>
        <w:rPr>
          <w:color w:val="FF0000"/>
        </w:rPr>
      </w:pPr>
    </w:p>
    <w:p w14:paraId="7E70CE1B" w14:textId="77777777" w:rsidR="00F64C1E" w:rsidRPr="00886AB4" w:rsidRDefault="00F64C1E" w:rsidP="009E63EC">
      <w:pPr>
        <w:spacing w:after="0" w:line="360" w:lineRule="auto"/>
        <w:jc w:val="left"/>
        <w:rPr>
          <w:color w:val="FF0000"/>
        </w:rPr>
      </w:pPr>
    </w:p>
    <w:sectPr w:rsidR="00F64C1E" w:rsidRPr="00886AB4" w:rsidSect="007F271C">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78FA2" w14:textId="77777777" w:rsidR="00DB5068" w:rsidRDefault="00DB5068" w:rsidP="00DB3DC5">
      <w:pPr>
        <w:spacing w:after="0" w:line="240" w:lineRule="auto"/>
      </w:pPr>
      <w:r>
        <w:separator/>
      </w:r>
    </w:p>
  </w:endnote>
  <w:endnote w:type="continuationSeparator" w:id="0">
    <w:p w14:paraId="6F7571B9" w14:textId="77777777" w:rsidR="00DB5068" w:rsidRDefault="00DB5068"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71EF021" w14:textId="77777777" w:rsidR="00C12E86" w:rsidRDefault="00C12E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47</w:t>
            </w:r>
            <w:r>
              <w:rPr>
                <w:b/>
                <w:bCs/>
                <w:sz w:val="24"/>
                <w:szCs w:val="24"/>
              </w:rPr>
              <w:fldChar w:fldCharType="end"/>
            </w:r>
          </w:p>
        </w:sdtContent>
      </w:sdt>
    </w:sdtContent>
  </w:sdt>
  <w:p w14:paraId="68EED6E3" w14:textId="77777777" w:rsidR="00C12E86" w:rsidRDefault="00C12E8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4AF1A6A" w14:textId="77777777" w:rsidR="00C12E86" w:rsidRDefault="00C12E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3CC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3CCF">
              <w:rPr>
                <w:b/>
                <w:bCs/>
                <w:noProof/>
              </w:rPr>
              <w:t>30</w:t>
            </w:r>
            <w:r>
              <w:rPr>
                <w:b/>
                <w:bCs/>
                <w:sz w:val="24"/>
                <w:szCs w:val="24"/>
              </w:rPr>
              <w:fldChar w:fldCharType="end"/>
            </w:r>
          </w:p>
        </w:sdtContent>
      </w:sdt>
    </w:sdtContent>
  </w:sdt>
  <w:p w14:paraId="5C9540ED" w14:textId="77777777" w:rsidR="00C12E86" w:rsidRDefault="00C12E8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4208A12E" w14:textId="77777777" w:rsidR="00C12E86" w:rsidRDefault="00C12E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3C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3CCF">
              <w:rPr>
                <w:b/>
                <w:bCs/>
                <w:noProof/>
              </w:rPr>
              <w:t>30</w:t>
            </w:r>
            <w:r>
              <w:rPr>
                <w:b/>
                <w:bCs/>
                <w:sz w:val="24"/>
                <w:szCs w:val="24"/>
              </w:rPr>
              <w:fldChar w:fldCharType="end"/>
            </w:r>
          </w:p>
        </w:sdtContent>
      </w:sdt>
    </w:sdtContent>
  </w:sdt>
  <w:p w14:paraId="601C40B8" w14:textId="77777777" w:rsidR="00C12E86" w:rsidRDefault="00C12E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C4F16" w14:textId="77777777" w:rsidR="00DB5068" w:rsidRDefault="00DB5068" w:rsidP="00DB3DC5">
      <w:pPr>
        <w:spacing w:after="0" w:line="240" w:lineRule="auto"/>
      </w:pPr>
      <w:r>
        <w:separator/>
      </w:r>
    </w:p>
  </w:footnote>
  <w:footnote w:type="continuationSeparator" w:id="0">
    <w:p w14:paraId="766EAC4F" w14:textId="77777777" w:rsidR="00DB5068" w:rsidRDefault="00DB5068"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C12E86" w:rsidRPr="00E152D8" w14:paraId="04B090CA" w14:textId="77777777" w:rsidTr="00347876">
      <w:trPr>
        <w:trHeight w:val="132"/>
      </w:trPr>
      <w:tc>
        <w:tcPr>
          <w:tcW w:w="2691" w:type="dxa"/>
        </w:tcPr>
        <w:p w14:paraId="476D4D83" w14:textId="77777777" w:rsidR="00C12E86" w:rsidRPr="00E152D8" w:rsidRDefault="00C12E86"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C12E86" w:rsidRPr="00EE1572" w:rsidRDefault="00C12E86" w:rsidP="00347876">
          <w:pPr>
            <w:tabs>
              <w:tab w:val="right" w:pos="8838"/>
            </w:tabs>
            <w:ind w:left="-28" w:right="-32"/>
            <w:rPr>
              <w:rFonts w:eastAsia="Calibri" w:cs="Tahoma"/>
            </w:rPr>
          </w:pPr>
          <w:r w:rsidRPr="00EE1572">
            <w:rPr>
              <w:rFonts w:eastAsia="Calibri" w:cs="Tahoma"/>
            </w:rPr>
            <w:t>03846/INFOEM/IP/RR/2020</w:t>
          </w:r>
        </w:p>
      </w:tc>
    </w:tr>
    <w:tr w:rsidR="00C12E86" w:rsidRPr="00E152D8" w14:paraId="1A944E3B" w14:textId="77777777" w:rsidTr="00347876">
      <w:trPr>
        <w:trHeight w:val="261"/>
      </w:trPr>
      <w:tc>
        <w:tcPr>
          <w:tcW w:w="2691" w:type="dxa"/>
        </w:tcPr>
        <w:p w14:paraId="04AF3D79" w14:textId="77777777" w:rsidR="00C12E86" w:rsidRPr="00E152D8" w:rsidRDefault="00C12E8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C12E86" w:rsidRPr="00EE1572" w:rsidRDefault="00C12E86" w:rsidP="00347876">
          <w:pPr>
            <w:tabs>
              <w:tab w:val="right" w:pos="8838"/>
            </w:tabs>
            <w:ind w:right="-32"/>
            <w:rPr>
              <w:rFonts w:eastAsia="Calibri" w:cs="Tahoma"/>
              <w:lang w:val="es-MX"/>
            </w:rPr>
          </w:pPr>
          <w:r w:rsidRPr="00EE1572">
            <w:rPr>
              <w:rFonts w:eastAsia="Calibri" w:cs="Tahoma"/>
              <w:lang w:val="es-MX"/>
            </w:rPr>
            <w:t>Ayuntamiento de Temascalcingo</w:t>
          </w:r>
        </w:p>
      </w:tc>
    </w:tr>
    <w:tr w:rsidR="00C12E86" w:rsidRPr="00E152D8" w14:paraId="51F43EE6" w14:textId="77777777" w:rsidTr="00347876">
      <w:trPr>
        <w:trHeight w:val="261"/>
      </w:trPr>
      <w:tc>
        <w:tcPr>
          <w:tcW w:w="2691" w:type="dxa"/>
        </w:tcPr>
        <w:p w14:paraId="4689E914" w14:textId="77777777" w:rsidR="00C12E86" w:rsidRPr="00E152D8" w:rsidRDefault="00C12E86"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C12E86" w:rsidRPr="00E152D8" w:rsidRDefault="00C12E86"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C12E86" w:rsidRDefault="00DB5068">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C12E86" w:rsidRPr="00E152D8" w14:paraId="6AD70801" w14:textId="77777777" w:rsidTr="00166E10">
      <w:trPr>
        <w:trHeight w:val="138"/>
      </w:trPr>
      <w:tc>
        <w:tcPr>
          <w:tcW w:w="2551" w:type="dxa"/>
        </w:tcPr>
        <w:p w14:paraId="4714C583" w14:textId="77777777" w:rsidR="00C12E86" w:rsidRPr="00E152D8" w:rsidRDefault="00C12E86"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536" w:type="dxa"/>
        </w:tcPr>
        <w:p w14:paraId="02EA1FEA" w14:textId="0344FA77" w:rsidR="00C12E86" w:rsidRPr="00051642" w:rsidRDefault="00C12E86" w:rsidP="00347876">
          <w:pPr>
            <w:tabs>
              <w:tab w:val="right" w:pos="8838"/>
            </w:tabs>
            <w:ind w:left="-113" w:right="57"/>
            <w:rPr>
              <w:rFonts w:eastAsia="Calibri" w:cs="Tahoma"/>
            </w:rPr>
          </w:pPr>
          <w:r w:rsidRPr="00886AB4">
            <w:rPr>
              <w:rFonts w:eastAsia="Calibri" w:cs="Tahoma"/>
              <w:lang w:val="es-MX"/>
            </w:rPr>
            <w:t>06061/INFOEM/IP/RR/2025</w:t>
          </w:r>
        </w:p>
      </w:tc>
    </w:tr>
    <w:tr w:rsidR="00C12E86" w:rsidRPr="00E152D8" w14:paraId="7FF5EABC" w14:textId="77777777" w:rsidTr="00166E10">
      <w:trPr>
        <w:trHeight w:val="273"/>
      </w:trPr>
      <w:tc>
        <w:tcPr>
          <w:tcW w:w="2551" w:type="dxa"/>
        </w:tcPr>
        <w:p w14:paraId="565B10D1" w14:textId="77777777" w:rsidR="00C12E86" w:rsidRPr="00E152D8" w:rsidRDefault="00C12E8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536" w:type="dxa"/>
        </w:tcPr>
        <w:p w14:paraId="7EA0F578" w14:textId="1D7945BB" w:rsidR="00C12E86" w:rsidRPr="00051642" w:rsidRDefault="00166E10" w:rsidP="00166E10">
          <w:pPr>
            <w:tabs>
              <w:tab w:val="left" w:pos="2728"/>
              <w:tab w:val="right" w:pos="8838"/>
            </w:tabs>
            <w:ind w:left="-113"/>
            <w:rPr>
              <w:rFonts w:eastAsia="Calibri" w:cs="Tahoma"/>
              <w:lang w:val="es-MX"/>
            </w:rPr>
          </w:pPr>
          <w:r>
            <w:rPr>
              <w:rFonts w:eastAsia="Calibri" w:cs="Tahoma"/>
              <w:lang w:val="es-MX"/>
            </w:rPr>
            <w:t>Organismo Público Descentralizado para la Prestación de los Servicios de Agua Potable Alcantarillado y Saneamiento del Municipio de Tlalnepantla de Baz</w:t>
          </w:r>
        </w:p>
      </w:tc>
    </w:tr>
    <w:tr w:rsidR="00C12E86" w:rsidRPr="00E152D8" w14:paraId="3156BE5F" w14:textId="77777777" w:rsidTr="00166E10">
      <w:trPr>
        <w:trHeight w:val="273"/>
      </w:trPr>
      <w:tc>
        <w:tcPr>
          <w:tcW w:w="2551" w:type="dxa"/>
        </w:tcPr>
        <w:p w14:paraId="183B2F1A" w14:textId="77777777" w:rsidR="00C12E86" w:rsidRPr="00E152D8" w:rsidRDefault="00C12E86" w:rsidP="00347876">
          <w:pPr>
            <w:tabs>
              <w:tab w:val="right" w:pos="8838"/>
            </w:tabs>
            <w:ind w:right="-105"/>
            <w:rPr>
              <w:rFonts w:eastAsia="Calibri" w:cs="Tahoma"/>
              <w:b/>
              <w:lang w:val="es-MX"/>
            </w:rPr>
          </w:pPr>
          <w:r w:rsidRPr="00E152D8">
            <w:rPr>
              <w:rFonts w:eastAsia="Calibri" w:cs="Tahoma"/>
              <w:b/>
              <w:lang w:val="es-MX"/>
            </w:rPr>
            <w:t>Comisionado Ponente:</w:t>
          </w:r>
        </w:p>
      </w:tc>
      <w:tc>
        <w:tcPr>
          <w:tcW w:w="4536" w:type="dxa"/>
        </w:tcPr>
        <w:p w14:paraId="318AB537" w14:textId="77777777" w:rsidR="00C12E86" w:rsidRPr="00E152D8" w:rsidRDefault="00C12E86"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C12E86" w:rsidRDefault="00DB5068"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89.1pt;margin-top:-155.8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C12E86" w:rsidRPr="00E152D8" w14:paraId="773597DE" w14:textId="77777777" w:rsidTr="00D90BC1">
      <w:trPr>
        <w:trHeight w:val="132"/>
      </w:trPr>
      <w:tc>
        <w:tcPr>
          <w:tcW w:w="2551" w:type="dxa"/>
        </w:tcPr>
        <w:p w14:paraId="4FCB3AA3" w14:textId="77777777" w:rsidR="00C12E86" w:rsidRPr="00E152D8" w:rsidRDefault="00C12E86" w:rsidP="00347876">
          <w:pPr>
            <w:tabs>
              <w:tab w:val="right" w:pos="8838"/>
            </w:tabs>
            <w:ind w:right="-105"/>
            <w:rPr>
              <w:rFonts w:eastAsia="Calibri" w:cs="Tahoma"/>
              <w:b/>
              <w:lang w:val="es-MX"/>
            </w:rPr>
          </w:pPr>
          <w:r w:rsidRPr="00E152D8">
            <w:rPr>
              <w:rFonts w:eastAsia="Calibri" w:cs="Tahoma"/>
              <w:b/>
              <w:lang w:val="es-MX"/>
            </w:rPr>
            <w:t>Recurso de Revisión:</w:t>
          </w:r>
        </w:p>
      </w:tc>
      <w:tc>
        <w:tcPr>
          <w:tcW w:w="4253" w:type="dxa"/>
        </w:tcPr>
        <w:p w14:paraId="42955DA0" w14:textId="632DCCA2" w:rsidR="00C12E86" w:rsidRPr="00051642" w:rsidRDefault="00C12E86" w:rsidP="001A3A3E">
          <w:pPr>
            <w:tabs>
              <w:tab w:val="right" w:pos="8838"/>
            </w:tabs>
            <w:ind w:left="-113" w:right="-32"/>
            <w:rPr>
              <w:rFonts w:eastAsia="Calibri" w:cs="Tahoma"/>
            </w:rPr>
          </w:pPr>
          <w:r w:rsidRPr="00886AB4">
            <w:rPr>
              <w:rFonts w:eastAsia="Calibri" w:cs="Tahoma"/>
              <w:lang w:val="es-MX"/>
            </w:rPr>
            <w:t>06061/INFOEM/IP/RR/2025</w:t>
          </w:r>
        </w:p>
      </w:tc>
    </w:tr>
    <w:tr w:rsidR="00C12E86" w:rsidRPr="00E152D8" w14:paraId="202FB661" w14:textId="77777777" w:rsidTr="00D90BC1">
      <w:trPr>
        <w:trHeight w:val="132"/>
      </w:trPr>
      <w:tc>
        <w:tcPr>
          <w:tcW w:w="2551" w:type="dxa"/>
        </w:tcPr>
        <w:p w14:paraId="5E100A32" w14:textId="77777777" w:rsidR="00C12E86" w:rsidRPr="00E152D8" w:rsidRDefault="00C12E86"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3" w:type="dxa"/>
        </w:tcPr>
        <w:p w14:paraId="28640565" w14:textId="3125AE01" w:rsidR="00C12E86" w:rsidRPr="00E21446" w:rsidRDefault="00EE3CCF" w:rsidP="00857754">
          <w:pPr>
            <w:tabs>
              <w:tab w:val="right" w:pos="8838"/>
            </w:tabs>
            <w:ind w:left="-113" w:right="-32"/>
            <w:rPr>
              <w:rFonts w:eastAsia="Calibri" w:cs="Tahoma"/>
              <w:lang w:val="es-MX"/>
            </w:rPr>
          </w:pPr>
          <w:r w:rsidRPr="00EE3CCF">
            <w:rPr>
              <w:rFonts w:eastAsia="Calibri" w:cs="Tahoma"/>
              <w:highlight w:val="black"/>
              <w:lang w:val="es-MX"/>
            </w:rPr>
            <w:t>XXXXXXXXXXXXXXX</w:t>
          </w:r>
        </w:p>
      </w:tc>
    </w:tr>
    <w:tr w:rsidR="00C12E86" w:rsidRPr="00E152D8" w14:paraId="1BA9B09B" w14:textId="77777777" w:rsidTr="00D90BC1">
      <w:trPr>
        <w:trHeight w:val="261"/>
      </w:trPr>
      <w:tc>
        <w:tcPr>
          <w:tcW w:w="2551" w:type="dxa"/>
        </w:tcPr>
        <w:p w14:paraId="6174740A" w14:textId="77777777" w:rsidR="00C12E86" w:rsidRPr="00E152D8" w:rsidRDefault="00C12E86"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3" w:type="dxa"/>
        </w:tcPr>
        <w:p w14:paraId="4B948471" w14:textId="2C018A42" w:rsidR="00C12E86" w:rsidRPr="00051642" w:rsidRDefault="00166E10" w:rsidP="001E6A18">
          <w:pPr>
            <w:tabs>
              <w:tab w:val="right" w:pos="8838"/>
            </w:tabs>
            <w:ind w:left="-113" w:right="-32"/>
            <w:rPr>
              <w:rFonts w:eastAsia="Calibri" w:cs="Tahoma"/>
              <w:lang w:val="es-MX"/>
            </w:rPr>
          </w:pPr>
          <w:r>
            <w:rPr>
              <w:rFonts w:eastAsia="Calibri" w:cs="Tahoma"/>
              <w:lang w:val="es-MX"/>
            </w:rPr>
            <w:t>Organismo Público Descentralizado para la Prestación de los Servicios de Agua Potable Alcantarillado y Saneamiento del Municipio de Tlalnepantla de Baz</w:t>
          </w:r>
        </w:p>
      </w:tc>
    </w:tr>
    <w:tr w:rsidR="00C12E86" w:rsidRPr="00E152D8" w14:paraId="3F18AACD" w14:textId="77777777" w:rsidTr="00D90BC1">
      <w:trPr>
        <w:trHeight w:val="261"/>
      </w:trPr>
      <w:tc>
        <w:tcPr>
          <w:tcW w:w="2551" w:type="dxa"/>
        </w:tcPr>
        <w:p w14:paraId="57E8DDB5" w14:textId="77777777" w:rsidR="00C12E86" w:rsidRPr="00E152D8" w:rsidRDefault="00C12E86" w:rsidP="00347876">
          <w:pPr>
            <w:tabs>
              <w:tab w:val="right" w:pos="8838"/>
            </w:tabs>
            <w:ind w:right="-105"/>
            <w:rPr>
              <w:rFonts w:eastAsia="Calibri" w:cs="Tahoma"/>
              <w:b/>
              <w:lang w:val="es-MX"/>
            </w:rPr>
          </w:pPr>
          <w:r w:rsidRPr="00E152D8">
            <w:rPr>
              <w:rFonts w:eastAsia="Calibri" w:cs="Tahoma"/>
              <w:b/>
              <w:lang w:val="es-MX"/>
            </w:rPr>
            <w:t>Comisionado Ponente:</w:t>
          </w:r>
        </w:p>
      </w:tc>
      <w:tc>
        <w:tcPr>
          <w:tcW w:w="4253" w:type="dxa"/>
        </w:tcPr>
        <w:p w14:paraId="1B8E59D3" w14:textId="77777777" w:rsidR="00C12E86" w:rsidRPr="00E152D8" w:rsidRDefault="00C12E86"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C12E86" w:rsidRDefault="00DB5068"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4.6pt;margin-top:-164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B1D"/>
    <w:multiLevelType w:val="hybridMultilevel"/>
    <w:tmpl w:val="15EA2200"/>
    <w:lvl w:ilvl="0" w:tplc="080A0017">
      <w:start w:val="1"/>
      <w:numFmt w:val="lowerLetter"/>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4B6BA1"/>
    <w:multiLevelType w:val="hybridMultilevel"/>
    <w:tmpl w:val="BC1C09F2"/>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A13C62"/>
    <w:multiLevelType w:val="hybridMultilevel"/>
    <w:tmpl w:val="8356E72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A503E"/>
    <w:multiLevelType w:val="hybridMultilevel"/>
    <w:tmpl w:val="2D0ED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06C68"/>
    <w:multiLevelType w:val="hybridMultilevel"/>
    <w:tmpl w:val="34368A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316301"/>
    <w:multiLevelType w:val="hybridMultilevel"/>
    <w:tmpl w:val="FB826B30"/>
    <w:lvl w:ilvl="0" w:tplc="FDE6132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E96E0A"/>
    <w:multiLevelType w:val="hybridMultilevel"/>
    <w:tmpl w:val="97564A9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583FCB"/>
    <w:multiLevelType w:val="hybridMultilevel"/>
    <w:tmpl w:val="36F6D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F0AD0"/>
    <w:multiLevelType w:val="hybridMultilevel"/>
    <w:tmpl w:val="FE743C4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9A1145"/>
    <w:multiLevelType w:val="hybridMultilevel"/>
    <w:tmpl w:val="95AEBDD8"/>
    <w:lvl w:ilvl="0" w:tplc="080A0013">
      <w:start w:val="1"/>
      <w:numFmt w:val="upperRoman"/>
      <w:lvlText w:val="%1."/>
      <w:lvlJc w:val="right"/>
      <w:pPr>
        <w:ind w:left="720" w:hanging="360"/>
      </w:pPr>
    </w:lvl>
    <w:lvl w:ilvl="1" w:tplc="8F2ACF4A">
      <w:start w:val="1"/>
      <w:numFmt w:val="upp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866547"/>
    <w:multiLevelType w:val="hybridMultilevel"/>
    <w:tmpl w:val="615C8C32"/>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6C6E88"/>
    <w:multiLevelType w:val="hybridMultilevel"/>
    <w:tmpl w:val="540A6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1273E1"/>
    <w:multiLevelType w:val="hybridMultilevel"/>
    <w:tmpl w:val="A0CAFA9C"/>
    <w:lvl w:ilvl="0" w:tplc="F6C228C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E61303"/>
    <w:multiLevelType w:val="hybridMultilevel"/>
    <w:tmpl w:val="291805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0E6FF3"/>
    <w:multiLevelType w:val="hybridMultilevel"/>
    <w:tmpl w:val="24E6E27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D807D5"/>
    <w:multiLevelType w:val="hybridMultilevel"/>
    <w:tmpl w:val="6ABC321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FD7FFC"/>
    <w:multiLevelType w:val="multilevel"/>
    <w:tmpl w:val="633A2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20"/>
  </w:num>
  <w:num w:numId="5">
    <w:abstractNumId w:val="13"/>
  </w:num>
  <w:num w:numId="6">
    <w:abstractNumId w:val="19"/>
  </w:num>
  <w:num w:numId="7">
    <w:abstractNumId w:val="0"/>
  </w:num>
  <w:num w:numId="8">
    <w:abstractNumId w:val="21"/>
  </w:num>
  <w:num w:numId="9">
    <w:abstractNumId w:val="2"/>
  </w:num>
  <w:num w:numId="10">
    <w:abstractNumId w:val="11"/>
  </w:num>
  <w:num w:numId="11">
    <w:abstractNumId w:val="16"/>
  </w:num>
  <w:num w:numId="12">
    <w:abstractNumId w:val="3"/>
  </w:num>
  <w:num w:numId="13">
    <w:abstractNumId w:val="22"/>
  </w:num>
  <w:num w:numId="14">
    <w:abstractNumId w:val="5"/>
  </w:num>
  <w:num w:numId="15">
    <w:abstractNumId w:val="23"/>
  </w:num>
  <w:num w:numId="16">
    <w:abstractNumId w:val="24"/>
  </w:num>
  <w:num w:numId="17">
    <w:abstractNumId w:val="6"/>
  </w:num>
  <w:num w:numId="18">
    <w:abstractNumId w:val="18"/>
  </w:num>
  <w:num w:numId="19">
    <w:abstractNumId w:val="8"/>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15"/>
  </w:num>
  <w:num w:numId="2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3D94"/>
    <w:rsid w:val="000045A6"/>
    <w:rsid w:val="00006636"/>
    <w:rsid w:val="00007F3F"/>
    <w:rsid w:val="000268AA"/>
    <w:rsid w:val="0003316E"/>
    <w:rsid w:val="000362D0"/>
    <w:rsid w:val="0004161E"/>
    <w:rsid w:val="00041844"/>
    <w:rsid w:val="00042509"/>
    <w:rsid w:val="00043CDA"/>
    <w:rsid w:val="000539BD"/>
    <w:rsid w:val="00053BC6"/>
    <w:rsid w:val="000558EC"/>
    <w:rsid w:val="00056A4E"/>
    <w:rsid w:val="00060685"/>
    <w:rsid w:val="00060723"/>
    <w:rsid w:val="00063884"/>
    <w:rsid w:val="000677B4"/>
    <w:rsid w:val="000716E3"/>
    <w:rsid w:val="00076681"/>
    <w:rsid w:val="00080393"/>
    <w:rsid w:val="00081ABD"/>
    <w:rsid w:val="000821F8"/>
    <w:rsid w:val="000846FC"/>
    <w:rsid w:val="00084D4E"/>
    <w:rsid w:val="00087796"/>
    <w:rsid w:val="0009212E"/>
    <w:rsid w:val="00092C4C"/>
    <w:rsid w:val="00093651"/>
    <w:rsid w:val="00093922"/>
    <w:rsid w:val="00094584"/>
    <w:rsid w:val="0009610C"/>
    <w:rsid w:val="00096AE4"/>
    <w:rsid w:val="000A0A70"/>
    <w:rsid w:val="000A2D13"/>
    <w:rsid w:val="000A79FE"/>
    <w:rsid w:val="000B2239"/>
    <w:rsid w:val="000B5DB7"/>
    <w:rsid w:val="000B70D0"/>
    <w:rsid w:val="000C1789"/>
    <w:rsid w:val="000C1FDB"/>
    <w:rsid w:val="000C413A"/>
    <w:rsid w:val="000D4873"/>
    <w:rsid w:val="000D49DD"/>
    <w:rsid w:val="000E01A2"/>
    <w:rsid w:val="000E2D83"/>
    <w:rsid w:val="000E392B"/>
    <w:rsid w:val="000F081F"/>
    <w:rsid w:val="000F098C"/>
    <w:rsid w:val="000F5268"/>
    <w:rsid w:val="000F74C0"/>
    <w:rsid w:val="0010665D"/>
    <w:rsid w:val="00107769"/>
    <w:rsid w:val="00110D4D"/>
    <w:rsid w:val="00112545"/>
    <w:rsid w:val="001140A5"/>
    <w:rsid w:val="0012163D"/>
    <w:rsid w:val="0013015C"/>
    <w:rsid w:val="001303D6"/>
    <w:rsid w:val="001305AA"/>
    <w:rsid w:val="001334D1"/>
    <w:rsid w:val="0014339D"/>
    <w:rsid w:val="00143518"/>
    <w:rsid w:val="00143C95"/>
    <w:rsid w:val="00143DAF"/>
    <w:rsid w:val="00147F38"/>
    <w:rsid w:val="00152A53"/>
    <w:rsid w:val="00153932"/>
    <w:rsid w:val="00155A01"/>
    <w:rsid w:val="00156035"/>
    <w:rsid w:val="0015730E"/>
    <w:rsid w:val="001609BD"/>
    <w:rsid w:val="00166789"/>
    <w:rsid w:val="00166E10"/>
    <w:rsid w:val="0017501F"/>
    <w:rsid w:val="0018355D"/>
    <w:rsid w:val="00183736"/>
    <w:rsid w:val="00184775"/>
    <w:rsid w:val="00191491"/>
    <w:rsid w:val="00194973"/>
    <w:rsid w:val="00195CF5"/>
    <w:rsid w:val="001A0758"/>
    <w:rsid w:val="001A0F43"/>
    <w:rsid w:val="001A2B03"/>
    <w:rsid w:val="001A3275"/>
    <w:rsid w:val="001A3A3E"/>
    <w:rsid w:val="001B2253"/>
    <w:rsid w:val="001B3E17"/>
    <w:rsid w:val="001B6F42"/>
    <w:rsid w:val="001C137C"/>
    <w:rsid w:val="001C7157"/>
    <w:rsid w:val="001C7406"/>
    <w:rsid w:val="001C7AC2"/>
    <w:rsid w:val="001E2583"/>
    <w:rsid w:val="001E3995"/>
    <w:rsid w:val="001E3C40"/>
    <w:rsid w:val="001E59AF"/>
    <w:rsid w:val="001E6A18"/>
    <w:rsid w:val="001E7C66"/>
    <w:rsid w:val="001F22AA"/>
    <w:rsid w:val="001F3934"/>
    <w:rsid w:val="001F54BD"/>
    <w:rsid w:val="001F5C0B"/>
    <w:rsid w:val="002018D2"/>
    <w:rsid w:val="00202D93"/>
    <w:rsid w:val="00203961"/>
    <w:rsid w:val="0020547F"/>
    <w:rsid w:val="00207046"/>
    <w:rsid w:val="002131A8"/>
    <w:rsid w:val="00213634"/>
    <w:rsid w:val="00222A22"/>
    <w:rsid w:val="00223665"/>
    <w:rsid w:val="00230BC7"/>
    <w:rsid w:val="002324D1"/>
    <w:rsid w:val="002353CB"/>
    <w:rsid w:val="002415DE"/>
    <w:rsid w:val="00243A71"/>
    <w:rsid w:val="002470F9"/>
    <w:rsid w:val="00250655"/>
    <w:rsid w:val="0025077A"/>
    <w:rsid w:val="00251B33"/>
    <w:rsid w:val="002529E7"/>
    <w:rsid w:val="00254457"/>
    <w:rsid w:val="00254D0F"/>
    <w:rsid w:val="00254F36"/>
    <w:rsid w:val="002605AC"/>
    <w:rsid w:val="00261C73"/>
    <w:rsid w:val="00264675"/>
    <w:rsid w:val="00267FB5"/>
    <w:rsid w:val="002705C2"/>
    <w:rsid w:val="00271E47"/>
    <w:rsid w:val="00275938"/>
    <w:rsid w:val="00283148"/>
    <w:rsid w:val="00293277"/>
    <w:rsid w:val="00293C56"/>
    <w:rsid w:val="00297A5A"/>
    <w:rsid w:val="002A0B3A"/>
    <w:rsid w:val="002A3F0C"/>
    <w:rsid w:val="002A40A0"/>
    <w:rsid w:val="002C19D9"/>
    <w:rsid w:val="002C3558"/>
    <w:rsid w:val="002D117D"/>
    <w:rsid w:val="002F0A84"/>
    <w:rsid w:val="002F1D02"/>
    <w:rsid w:val="002F4410"/>
    <w:rsid w:val="002F6AF8"/>
    <w:rsid w:val="002F7D8F"/>
    <w:rsid w:val="00301078"/>
    <w:rsid w:val="003019EA"/>
    <w:rsid w:val="0030377D"/>
    <w:rsid w:val="00306FB6"/>
    <w:rsid w:val="00313596"/>
    <w:rsid w:val="003145F9"/>
    <w:rsid w:val="0032289C"/>
    <w:rsid w:val="003245FF"/>
    <w:rsid w:val="00331F46"/>
    <w:rsid w:val="00337221"/>
    <w:rsid w:val="0033782D"/>
    <w:rsid w:val="00344846"/>
    <w:rsid w:val="00345375"/>
    <w:rsid w:val="00345BB5"/>
    <w:rsid w:val="00346CC6"/>
    <w:rsid w:val="00347876"/>
    <w:rsid w:val="00352C87"/>
    <w:rsid w:val="003556D5"/>
    <w:rsid w:val="00355D77"/>
    <w:rsid w:val="0036051C"/>
    <w:rsid w:val="00363DED"/>
    <w:rsid w:val="00365137"/>
    <w:rsid w:val="00365779"/>
    <w:rsid w:val="003727BC"/>
    <w:rsid w:val="00381F1A"/>
    <w:rsid w:val="00382B56"/>
    <w:rsid w:val="003837EE"/>
    <w:rsid w:val="00387E7C"/>
    <w:rsid w:val="003905B1"/>
    <w:rsid w:val="00390BA0"/>
    <w:rsid w:val="00394286"/>
    <w:rsid w:val="00394344"/>
    <w:rsid w:val="00397810"/>
    <w:rsid w:val="00397FEA"/>
    <w:rsid w:val="003A123A"/>
    <w:rsid w:val="003A5D7A"/>
    <w:rsid w:val="003B04E1"/>
    <w:rsid w:val="003B10F9"/>
    <w:rsid w:val="003B3103"/>
    <w:rsid w:val="003B3DC8"/>
    <w:rsid w:val="003C1FE7"/>
    <w:rsid w:val="003C4980"/>
    <w:rsid w:val="003C74A7"/>
    <w:rsid w:val="003C777E"/>
    <w:rsid w:val="003D1FCF"/>
    <w:rsid w:val="003E55F1"/>
    <w:rsid w:val="003E5ADD"/>
    <w:rsid w:val="003E6429"/>
    <w:rsid w:val="003E678B"/>
    <w:rsid w:val="003F5DA0"/>
    <w:rsid w:val="003F5EB5"/>
    <w:rsid w:val="003F63DA"/>
    <w:rsid w:val="003F6AEF"/>
    <w:rsid w:val="00411430"/>
    <w:rsid w:val="00415F0B"/>
    <w:rsid w:val="004235E0"/>
    <w:rsid w:val="004327D0"/>
    <w:rsid w:val="0044165D"/>
    <w:rsid w:val="00444157"/>
    <w:rsid w:val="004500E2"/>
    <w:rsid w:val="004552D8"/>
    <w:rsid w:val="00455DCB"/>
    <w:rsid w:val="00456B51"/>
    <w:rsid w:val="00460FFC"/>
    <w:rsid w:val="004610AE"/>
    <w:rsid w:val="00462391"/>
    <w:rsid w:val="0046538F"/>
    <w:rsid w:val="004714D3"/>
    <w:rsid w:val="004724CB"/>
    <w:rsid w:val="004811DF"/>
    <w:rsid w:val="004860CF"/>
    <w:rsid w:val="004901C8"/>
    <w:rsid w:val="004908D0"/>
    <w:rsid w:val="00492B66"/>
    <w:rsid w:val="00493652"/>
    <w:rsid w:val="0049737D"/>
    <w:rsid w:val="00497411"/>
    <w:rsid w:val="004A0D4F"/>
    <w:rsid w:val="004A5AD5"/>
    <w:rsid w:val="004B320C"/>
    <w:rsid w:val="004B4194"/>
    <w:rsid w:val="004B4B36"/>
    <w:rsid w:val="004B52A9"/>
    <w:rsid w:val="004B52B2"/>
    <w:rsid w:val="004E0A7C"/>
    <w:rsid w:val="004E5AB1"/>
    <w:rsid w:val="004E662B"/>
    <w:rsid w:val="004F74F5"/>
    <w:rsid w:val="005032B4"/>
    <w:rsid w:val="00505C1F"/>
    <w:rsid w:val="0050623A"/>
    <w:rsid w:val="00515E8D"/>
    <w:rsid w:val="005225BB"/>
    <w:rsid w:val="00530E22"/>
    <w:rsid w:val="00537251"/>
    <w:rsid w:val="005400EE"/>
    <w:rsid w:val="00540E22"/>
    <w:rsid w:val="00542D59"/>
    <w:rsid w:val="00551CAD"/>
    <w:rsid w:val="00554404"/>
    <w:rsid w:val="00561B10"/>
    <w:rsid w:val="005620CE"/>
    <w:rsid w:val="005634C6"/>
    <w:rsid w:val="0057065D"/>
    <w:rsid w:val="0057282C"/>
    <w:rsid w:val="0057399D"/>
    <w:rsid w:val="0057545A"/>
    <w:rsid w:val="00575B03"/>
    <w:rsid w:val="005811D2"/>
    <w:rsid w:val="00581D38"/>
    <w:rsid w:val="0058439E"/>
    <w:rsid w:val="0058516C"/>
    <w:rsid w:val="00587799"/>
    <w:rsid w:val="005902EF"/>
    <w:rsid w:val="005913D6"/>
    <w:rsid w:val="00596D1D"/>
    <w:rsid w:val="00597282"/>
    <w:rsid w:val="005A538C"/>
    <w:rsid w:val="005A6BEC"/>
    <w:rsid w:val="005A7DC1"/>
    <w:rsid w:val="005B54BB"/>
    <w:rsid w:val="005B6363"/>
    <w:rsid w:val="005B75C5"/>
    <w:rsid w:val="005C2558"/>
    <w:rsid w:val="005C459D"/>
    <w:rsid w:val="005C53C7"/>
    <w:rsid w:val="005C6124"/>
    <w:rsid w:val="005C6199"/>
    <w:rsid w:val="005D048E"/>
    <w:rsid w:val="005D04FC"/>
    <w:rsid w:val="005D2E38"/>
    <w:rsid w:val="005D3D54"/>
    <w:rsid w:val="005D4935"/>
    <w:rsid w:val="005D52FC"/>
    <w:rsid w:val="005D6CFA"/>
    <w:rsid w:val="005E423A"/>
    <w:rsid w:val="005E6D9C"/>
    <w:rsid w:val="005F66FA"/>
    <w:rsid w:val="006001D4"/>
    <w:rsid w:val="00604092"/>
    <w:rsid w:val="00604622"/>
    <w:rsid w:val="00606D94"/>
    <w:rsid w:val="00614F87"/>
    <w:rsid w:val="006216B8"/>
    <w:rsid w:val="00623947"/>
    <w:rsid w:val="00625898"/>
    <w:rsid w:val="006343FA"/>
    <w:rsid w:val="006400F1"/>
    <w:rsid w:val="0064639F"/>
    <w:rsid w:val="006465C9"/>
    <w:rsid w:val="006513E1"/>
    <w:rsid w:val="00653139"/>
    <w:rsid w:val="00653BF6"/>
    <w:rsid w:val="0065408C"/>
    <w:rsid w:val="0065411E"/>
    <w:rsid w:val="00655864"/>
    <w:rsid w:val="00660E84"/>
    <w:rsid w:val="00661EFD"/>
    <w:rsid w:val="00662953"/>
    <w:rsid w:val="006651F1"/>
    <w:rsid w:val="00667107"/>
    <w:rsid w:val="00672292"/>
    <w:rsid w:val="00673579"/>
    <w:rsid w:val="00674671"/>
    <w:rsid w:val="006760A0"/>
    <w:rsid w:val="0067711C"/>
    <w:rsid w:val="006778B9"/>
    <w:rsid w:val="00677AF0"/>
    <w:rsid w:val="006807A1"/>
    <w:rsid w:val="006816DD"/>
    <w:rsid w:val="0068386C"/>
    <w:rsid w:val="00687D24"/>
    <w:rsid w:val="006945D2"/>
    <w:rsid w:val="00696A99"/>
    <w:rsid w:val="006A0867"/>
    <w:rsid w:val="006A12A6"/>
    <w:rsid w:val="006A4F3D"/>
    <w:rsid w:val="006A616F"/>
    <w:rsid w:val="006B1CAC"/>
    <w:rsid w:val="006B6340"/>
    <w:rsid w:val="006C2974"/>
    <w:rsid w:val="006C3439"/>
    <w:rsid w:val="006D2F47"/>
    <w:rsid w:val="006D6FB5"/>
    <w:rsid w:val="006D7895"/>
    <w:rsid w:val="006E26AA"/>
    <w:rsid w:val="006E5BE2"/>
    <w:rsid w:val="006E6293"/>
    <w:rsid w:val="006F3A6C"/>
    <w:rsid w:val="006F52E8"/>
    <w:rsid w:val="006F61A6"/>
    <w:rsid w:val="00704802"/>
    <w:rsid w:val="00711A43"/>
    <w:rsid w:val="007146FE"/>
    <w:rsid w:val="007209B0"/>
    <w:rsid w:val="00720C4A"/>
    <w:rsid w:val="00726DE5"/>
    <w:rsid w:val="007309C0"/>
    <w:rsid w:val="00734447"/>
    <w:rsid w:val="007366CA"/>
    <w:rsid w:val="0073758B"/>
    <w:rsid w:val="00737CF6"/>
    <w:rsid w:val="00742C37"/>
    <w:rsid w:val="007475D7"/>
    <w:rsid w:val="00750C05"/>
    <w:rsid w:val="00754884"/>
    <w:rsid w:val="007559E9"/>
    <w:rsid w:val="00760E91"/>
    <w:rsid w:val="00761C2B"/>
    <w:rsid w:val="00763706"/>
    <w:rsid w:val="0076543C"/>
    <w:rsid w:val="00767EFB"/>
    <w:rsid w:val="0077031A"/>
    <w:rsid w:val="007719F0"/>
    <w:rsid w:val="00771B61"/>
    <w:rsid w:val="00780440"/>
    <w:rsid w:val="00780EC7"/>
    <w:rsid w:val="00783853"/>
    <w:rsid w:val="00784C5C"/>
    <w:rsid w:val="007850C7"/>
    <w:rsid w:val="00786505"/>
    <w:rsid w:val="007911D8"/>
    <w:rsid w:val="00793460"/>
    <w:rsid w:val="00795C9D"/>
    <w:rsid w:val="007A0FD6"/>
    <w:rsid w:val="007B5D0A"/>
    <w:rsid w:val="007B68D1"/>
    <w:rsid w:val="007C11CD"/>
    <w:rsid w:val="007C35E6"/>
    <w:rsid w:val="007C5098"/>
    <w:rsid w:val="007D1412"/>
    <w:rsid w:val="007D5B78"/>
    <w:rsid w:val="007E364C"/>
    <w:rsid w:val="007E71F5"/>
    <w:rsid w:val="007E7CBF"/>
    <w:rsid w:val="007F08B3"/>
    <w:rsid w:val="007F179C"/>
    <w:rsid w:val="007F271C"/>
    <w:rsid w:val="007F30B4"/>
    <w:rsid w:val="007F313E"/>
    <w:rsid w:val="007F316D"/>
    <w:rsid w:val="00806BBC"/>
    <w:rsid w:val="00810125"/>
    <w:rsid w:val="00811A30"/>
    <w:rsid w:val="00812FC7"/>
    <w:rsid w:val="00814335"/>
    <w:rsid w:val="00816414"/>
    <w:rsid w:val="00817D20"/>
    <w:rsid w:val="00821299"/>
    <w:rsid w:val="00826E2F"/>
    <w:rsid w:val="00827355"/>
    <w:rsid w:val="00837B92"/>
    <w:rsid w:val="00842679"/>
    <w:rsid w:val="00846D60"/>
    <w:rsid w:val="00852BB1"/>
    <w:rsid w:val="0085311A"/>
    <w:rsid w:val="00854F21"/>
    <w:rsid w:val="00857754"/>
    <w:rsid w:val="008600B4"/>
    <w:rsid w:val="00863179"/>
    <w:rsid w:val="00871B37"/>
    <w:rsid w:val="00871B5E"/>
    <w:rsid w:val="00876B0D"/>
    <w:rsid w:val="0088315D"/>
    <w:rsid w:val="0088326C"/>
    <w:rsid w:val="00884475"/>
    <w:rsid w:val="00885D3F"/>
    <w:rsid w:val="00886AB4"/>
    <w:rsid w:val="00891508"/>
    <w:rsid w:val="008937CC"/>
    <w:rsid w:val="0089674E"/>
    <w:rsid w:val="0089704B"/>
    <w:rsid w:val="008A119D"/>
    <w:rsid w:val="008A310A"/>
    <w:rsid w:val="008A5E31"/>
    <w:rsid w:val="008B092D"/>
    <w:rsid w:val="008B2C31"/>
    <w:rsid w:val="008C169C"/>
    <w:rsid w:val="008C3E58"/>
    <w:rsid w:val="008D1B96"/>
    <w:rsid w:val="008E279B"/>
    <w:rsid w:val="008E777E"/>
    <w:rsid w:val="008F42E3"/>
    <w:rsid w:val="008F7FE0"/>
    <w:rsid w:val="00903685"/>
    <w:rsid w:val="00904218"/>
    <w:rsid w:val="0090575C"/>
    <w:rsid w:val="00906BD3"/>
    <w:rsid w:val="00914B0A"/>
    <w:rsid w:val="0091690D"/>
    <w:rsid w:val="00917A1F"/>
    <w:rsid w:val="00920C0F"/>
    <w:rsid w:val="00937303"/>
    <w:rsid w:val="00940303"/>
    <w:rsid w:val="00950B98"/>
    <w:rsid w:val="009522E3"/>
    <w:rsid w:val="0095305F"/>
    <w:rsid w:val="00963FF5"/>
    <w:rsid w:val="009658E0"/>
    <w:rsid w:val="0097330C"/>
    <w:rsid w:val="00974A6B"/>
    <w:rsid w:val="009835F4"/>
    <w:rsid w:val="00984103"/>
    <w:rsid w:val="00986D27"/>
    <w:rsid w:val="009923AC"/>
    <w:rsid w:val="00992875"/>
    <w:rsid w:val="00992B43"/>
    <w:rsid w:val="00993137"/>
    <w:rsid w:val="00994337"/>
    <w:rsid w:val="009966A3"/>
    <w:rsid w:val="00997B21"/>
    <w:rsid w:val="00997DB5"/>
    <w:rsid w:val="009A3161"/>
    <w:rsid w:val="009A3569"/>
    <w:rsid w:val="009A627C"/>
    <w:rsid w:val="009B365B"/>
    <w:rsid w:val="009B3DDA"/>
    <w:rsid w:val="009B51EF"/>
    <w:rsid w:val="009B6275"/>
    <w:rsid w:val="009C0D40"/>
    <w:rsid w:val="009C1C46"/>
    <w:rsid w:val="009C1F50"/>
    <w:rsid w:val="009C3492"/>
    <w:rsid w:val="009C3F69"/>
    <w:rsid w:val="009C4DC6"/>
    <w:rsid w:val="009C5D56"/>
    <w:rsid w:val="009C7586"/>
    <w:rsid w:val="009E0757"/>
    <w:rsid w:val="009E63EC"/>
    <w:rsid w:val="009E78FF"/>
    <w:rsid w:val="009F13CF"/>
    <w:rsid w:val="009F4EA5"/>
    <w:rsid w:val="009F5735"/>
    <w:rsid w:val="00A06E0F"/>
    <w:rsid w:val="00A130A8"/>
    <w:rsid w:val="00A1763C"/>
    <w:rsid w:val="00A215E3"/>
    <w:rsid w:val="00A21CF8"/>
    <w:rsid w:val="00A234A1"/>
    <w:rsid w:val="00A248C2"/>
    <w:rsid w:val="00A305C7"/>
    <w:rsid w:val="00A322C2"/>
    <w:rsid w:val="00A36B0D"/>
    <w:rsid w:val="00A4013F"/>
    <w:rsid w:val="00A447FF"/>
    <w:rsid w:val="00A5086A"/>
    <w:rsid w:val="00A555FF"/>
    <w:rsid w:val="00A62D08"/>
    <w:rsid w:val="00A63EA5"/>
    <w:rsid w:val="00A74251"/>
    <w:rsid w:val="00A75DA4"/>
    <w:rsid w:val="00A848FA"/>
    <w:rsid w:val="00A87DB7"/>
    <w:rsid w:val="00A9056D"/>
    <w:rsid w:val="00A90D89"/>
    <w:rsid w:val="00A9339B"/>
    <w:rsid w:val="00A94AFB"/>
    <w:rsid w:val="00A94CDA"/>
    <w:rsid w:val="00AA0005"/>
    <w:rsid w:val="00AA08E2"/>
    <w:rsid w:val="00AA2962"/>
    <w:rsid w:val="00AA53B5"/>
    <w:rsid w:val="00AA7588"/>
    <w:rsid w:val="00AB2611"/>
    <w:rsid w:val="00AC0DB0"/>
    <w:rsid w:val="00AC29A0"/>
    <w:rsid w:val="00AD3CF8"/>
    <w:rsid w:val="00AD6680"/>
    <w:rsid w:val="00AE1849"/>
    <w:rsid w:val="00AE1F48"/>
    <w:rsid w:val="00AE2855"/>
    <w:rsid w:val="00AE43EC"/>
    <w:rsid w:val="00AE490F"/>
    <w:rsid w:val="00AE6AB4"/>
    <w:rsid w:val="00B000C5"/>
    <w:rsid w:val="00B06616"/>
    <w:rsid w:val="00B12570"/>
    <w:rsid w:val="00B129B9"/>
    <w:rsid w:val="00B133AD"/>
    <w:rsid w:val="00B17F6D"/>
    <w:rsid w:val="00B26046"/>
    <w:rsid w:val="00B34338"/>
    <w:rsid w:val="00B35BE6"/>
    <w:rsid w:val="00B402F2"/>
    <w:rsid w:val="00B4076D"/>
    <w:rsid w:val="00B417C3"/>
    <w:rsid w:val="00B456E9"/>
    <w:rsid w:val="00B522F9"/>
    <w:rsid w:val="00B53FE2"/>
    <w:rsid w:val="00B557DF"/>
    <w:rsid w:val="00B5642D"/>
    <w:rsid w:val="00B60C67"/>
    <w:rsid w:val="00B60D25"/>
    <w:rsid w:val="00B6148C"/>
    <w:rsid w:val="00B65D21"/>
    <w:rsid w:val="00B67328"/>
    <w:rsid w:val="00B7094E"/>
    <w:rsid w:val="00B71113"/>
    <w:rsid w:val="00B732D1"/>
    <w:rsid w:val="00B7798E"/>
    <w:rsid w:val="00B812D8"/>
    <w:rsid w:val="00B82CB6"/>
    <w:rsid w:val="00B83462"/>
    <w:rsid w:val="00B83636"/>
    <w:rsid w:val="00B841F8"/>
    <w:rsid w:val="00B86C3D"/>
    <w:rsid w:val="00B87577"/>
    <w:rsid w:val="00B902D1"/>
    <w:rsid w:val="00B92257"/>
    <w:rsid w:val="00BA1EDC"/>
    <w:rsid w:val="00BA7F47"/>
    <w:rsid w:val="00BB1F53"/>
    <w:rsid w:val="00BB36D2"/>
    <w:rsid w:val="00BB3C44"/>
    <w:rsid w:val="00BB54A2"/>
    <w:rsid w:val="00BC20DD"/>
    <w:rsid w:val="00BC29F2"/>
    <w:rsid w:val="00BD7749"/>
    <w:rsid w:val="00BE3A60"/>
    <w:rsid w:val="00BE4762"/>
    <w:rsid w:val="00BF53E4"/>
    <w:rsid w:val="00BF77B7"/>
    <w:rsid w:val="00C0397C"/>
    <w:rsid w:val="00C12E86"/>
    <w:rsid w:val="00C1396B"/>
    <w:rsid w:val="00C14171"/>
    <w:rsid w:val="00C14C5B"/>
    <w:rsid w:val="00C17D97"/>
    <w:rsid w:val="00C17EBF"/>
    <w:rsid w:val="00C2129B"/>
    <w:rsid w:val="00C213A5"/>
    <w:rsid w:val="00C337E5"/>
    <w:rsid w:val="00C37857"/>
    <w:rsid w:val="00C43CED"/>
    <w:rsid w:val="00C44AFC"/>
    <w:rsid w:val="00C53CDF"/>
    <w:rsid w:val="00C54015"/>
    <w:rsid w:val="00C57B5B"/>
    <w:rsid w:val="00C61BBE"/>
    <w:rsid w:val="00C63BC9"/>
    <w:rsid w:val="00C66273"/>
    <w:rsid w:val="00C764ED"/>
    <w:rsid w:val="00C821DD"/>
    <w:rsid w:val="00C8279F"/>
    <w:rsid w:val="00C8608C"/>
    <w:rsid w:val="00C92204"/>
    <w:rsid w:val="00C93CDF"/>
    <w:rsid w:val="00C977DC"/>
    <w:rsid w:val="00CA005A"/>
    <w:rsid w:val="00CA0F13"/>
    <w:rsid w:val="00CA13E3"/>
    <w:rsid w:val="00CB0D27"/>
    <w:rsid w:val="00CB16D3"/>
    <w:rsid w:val="00CB2FA4"/>
    <w:rsid w:val="00CC450F"/>
    <w:rsid w:val="00CD1E3A"/>
    <w:rsid w:val="00CD369E"/>
    <w:rsid w:val="00CD7A8E"/>
    <w:rsid w:val="00CE67CA"/>
    <w:rsid w:val="00CE7148"/>
    <w:rsid w:val="00CF039D"/>
    <w:rsid w:val="00CF06D9"/>
    <w:rsid w:val="00CF0F99"/>
    <w:rsid w:val="00CF4407"/>
    <w:rsid w:val="00D0244F"/>
    <w:rsid w:val="00D03F17"/>
    <w:rsid w:val="00D05976"/>
    <w:rsid w:val="00D07290"/>
    <w:rsid w:val="00D078DA"/>
    <w:rsid w:val="00D07C54"/>
    <w:rsid w:val="00D10B74"/>
    <w:rsid w:val="00D3439C"/>
    <w:rsid w:val="00D42759"/>
    <w:rsid w:val="00D4382B"/>
    <w:rsid w:val="00D46D56"/>
    <w:rsid w:val="00D47897"/>
    <w:rsid w:val="00D526D5"/>
    <w:rsid w:val="00D57224"/>
    <w:rsid w:val="00D6043D"/>
    <w:rsid w:val="00D60E83"/>
    <w:rsid w:val="00D63FB5"/>
    <w:rsid w:val="00D74C1C"/>
    <w:rsid w:val="00D77576"/>
    <w:rsid w:val="00D81A61"/>
    <w:rsid w:val="00D84809"/>
    <w:rsid w:val="00D873EA"/>
    <w:rsid w:val="00D90BC1"/>
    <w:rsid w:val="00D9398F"/>
    <w:rsid w:val="00D93EAF"/>
    <w:rsid w:val="00D95C1D"/>
    <w:rsid w:val="00D96AF9"/>
    <w:rsid w:val="00DA5C26"/>
    <w:rsid w:val="00DB3DC5"/>
    <w:rsid w:val="00DB5068"/>
    <w:rsid w:val="00DB5203"/>
    <w:rsid w:val="00DC3EDC"/>
    <w:rsid w:val="00DC41E9"/>
    <w:rsid w:val="00DC42DF"/>
    <w:rsid w:val="00DD02A0"/>
    <w:rsid w:val="00DD2397"/>
    <w:rsid w:val="00DD2E0C"/>
    <w:rsid w:val="00DD3671"/>
    <w:rsid w:val="00DD3CAD"/>
    <w:rsid w:val="00DD6EB5"/>
    <w:rsid w:val="00DF083F"/>
    <w:rsid w:val="00DF096A"/>
    <w:rsid w:val="00DF096F"/>
    <w:rsid w:val="00DF1B85"/>
    <w:rsid w:val="00DF4490"/>
    <w:rsid w:val="00DF5EAA"/>
    <w:rsid w:val="00E00696"/>
    <w:rsid w:val="00E00999"/>
    <w:rsid w:val="00E04C32"/>
    <w:rsid w:val="00E063FC"/>
    <w:rsid w:val="00E07FF4"/>
    <w:rsid w:val="00E112FF"/>
    <w:rsid w:val="00E118B0"/>
    <w:rsid w:val="00E12772"/>
    <w:rsid w:val="00E128CD"/>
    <w:rsid w:val="00E227D6"/>
    <w:rsid w:val="00E306BC"/>
    <w:rsid w:val="00E31E94"/>
    <w:rsid w:val="00E406AF"/>
    <w:rsid w:val="00E40C8C"/>
    <w:rsid w:val="00E40ED9"/>
    <w:rsid w:val="00E43B11"/>
    <w:rsid w:val="00E4792C"/>
    <w:rsid w:val="00E5000A"/>
    <w:rsid w:val="00E50298"/>
    <w:rsid w:val="00E50564"/>
    <w:rsid w:val="00E50834"/>
    <w:rsid w:val="00E50F30"/>
    <w:rsid w:val="00E558A0"/>
    <w:rsid w:val="00E573A1"/>
    <w:rsid w:val="00E73B06"/>
    <w:rsid w:val="00E74B5F"/>
    <w:rsid w:val="00E75F0E"/>
    <w:rsid w:val="00E808E0"/>
    <w:rsid w:val="00E9083F"/>
    <w:rsid w:val="00E91037"/>
    <w:rsid w:val="00E92144"/>
    <w:rsid w:val="00E94860"/>
    <w:rsid w:val="00EA0480"/>
    <w:rsid w:val="00EA2599"/>
    <w:rsid w:val="00EA276A"/>
    <w:rsid w:val="00EA3D68"/>
    <w:rsid w:val="00EA5E4D"/>
    <w:rsid w:val="00EA6588"/>
    <w:rsid w:val="00EB2752"/>
    <w:rsid w:val="00EB4479"/>
    <w:rsid w:val="00EB5363"/>
    <w:rsid w:val="00EB77D6"/>
    <w:rsid w:val="00EC590D"/>
    <w:rsid w:val="00EC7BE9"/>
    <w:rsid w:val="00ED5E22"/>
    <w:rsid w:val="00EE0DB6"/>
    <w:rsid w:val="00EE3CCF"/>
    <w:rsid w:val="00EE5775"/>
    <w:rsid w:val="00EF404F"/>
    <w:rsid w:val="00EF5567"/>
    <w:rsid w:val="00EF56AC"/>
    <w:rsid w:val="00EF7ABE"/>
    <w:rsid w:val="00F00A32"/>
    <w:rsid w:val="00F063F0"/>
    <w:rsid w:val="00F10654"/>
    <w:rsid w:val="00F11FC0"/>
    <w:rsid w:val="00F263CA"/>
    <w:rsid w:val="00F26F2D"/>
    <w:rsid w:val="00F313B1"/>
    <w:rsid w:val="00F3234B"/>
    <w:rsid w:val="00F42620"/>
    <w:rsid w:val="00F444A2"/>
    <w:rsid w:val="00F467D3"/>
    <w:rsid w:val="00F519FB"/>
    <w:rsid w:val="00F532E9"/>
    <w:rsid w:val="00F57C4B"/>
    <w:rsid w:val="00F6023B"/>
    <w:rsid w:val="00F61143"/>
    <w:rsid w:val="00F61205"/>
    <w:rsid w:val="00F64C1E"/>
    <w:rsid w:val="00F653FF"/>
    <w:rsid w:val="00F75544"/>
    <w:rsid w:val="00F760F9"/>
    <w:rsid w:val="00F76A06"/>
    <w:rsid w:val="00F8681C"/>
    <w:rsid w:val="00F87269"/>
    <w:rsid w:val="00F87FF3"/>
    <w:rsid w:val="00F92554"/>
    <w:rsid w:val="00F92B1E"/>
    <w:rsid w:val="00F938F7"/>
    <w:rsid w:val="00F960C7"/>
    <w:rsid w:val="00FA0F8A"/>
    <w:rsid w:val="00FA48AE"/>
    <w:rsid w:val="00FB3AE3"/>
    <w:rsid w:val="00FB6AB3"/>
    <w:rsid w:val="00FB750B"/>
    <w:rsid w:val="00FC3D54"/>
    <w:rsid w:val="00FC4028"/>
    <w:rsid w:val="00FD19DD"/>
    <w:rsid w:val="00FE2A49"/>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48"/>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F42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481389617">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184321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artados.hacienda.gob.mx/contabilidad/documentos/informe_cuenta/1998/cuenta_publica/Glosario/n.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6156-1151-4580-AB59-F5CDFD12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7259</Words>
  <Characters>39926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2025-08-08T06:07:00Z</cp:lastPrinted>
  <dcterms:created xsi:type="dcterms:W3CDTF">2025-08-22T18:00:00Z</dcterms:created>
  <dcterms:modified xsi:type="dcterms:W3CDTF">2025-08-22T18:00:00Z</dcterms:modified>
</cp:coreProperties>
</file>