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AFBB4" w14:textId="77777777" w:rsidR="0054140D" w:rsidRDefault="0054140D">
      <w:pPr>
        <w:widowControl w:val="0"/>
        <w:pBdr>
          <w:top w:val="nil"/>
          <w:left w:val="nil"/>
          <w:bottom w:val="nil"/>
          <w:right w:val="nil"/>
          <w:between w:val="nil"/>
        </w:pBdr>
        <w:spacing w:line="276" w:lineRule="auto"/>
      </w:pPr>
    </w:p>
    <w:p w14:paraId="3B971809" w14:textId="77777777" w:rsidR="0054140D" w:rsidRDefault="0054140D">
      <w:pPr>
        <w:widowControl w:val="0"/>
        <w:pBdr>
          <w:top w:val="nil"/>
          <w:left w:val="nil"/>
          <w:bottom w:val="nil"/>
          <w:right w:val="nil"/>
          <w:between w:val="nil"/>
        </w:pBdr>
        <w:spacing w:line="360" w:lineRule="auto"/>
        <w:rPr>
          <w:rFonts w:ascii="Palatino Linotype" w:eastAsia="Palatino Linotype" w:hAnsi="Palatino Linotype" w:cs="Palatino Linotype"/>
          <w:sz w:val="22"/>
          <w:szCs w:val="22"/>
        </w:rPr>
      </w:pPr>
    </w:p>
    <w:p w14:paraId="2E81DD79" w14:textId="77777777" w:rsidR="0054140D" w:rsidRDefault="0054140D">
      <w:pPr>
        <w:keepNext/>
        <w:keepLines/>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471A3A62" w14:textId="77777777" w:rsidR="0054140D" w:rsidRDefault="00192493">
      <w:pPr>
        <w:pBdr>
          <w:top w:val="nil"/>
          <w:left w:val="nil"/>
          <w:bottom w:val="nil"/>
          <w:right w:val="nil"/>
          <w:between w:val="nil"/>
        </w:pBdr>
        <w:spacing w:line="360" w:lineRule="auto"/>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Tabla de contenido</w:t>
      </w:r>
    </w:p>
    <w:sdt>
      <w:sdtPr>
        <w:id w:val="-2084448251"/>
        <w:docPartObj>
          <w:docPartGallery w:val="Table of Contents"/>
          <w:docPartUnique/>
        </w:docPartObj>
      </w:sdtPr>
      <w:sdtContent>
        <w:p w14:paraId="543E89C2" w14:textId="77777777" w:rsidR="0054140D" w:rsidRDefault="00192493">
          <w:pPr>
            <w:pBdr>
              <w:top w:val="nil"/>
              <w:left w:val="nil"/>
              <w:bottom w:val="nil"/>
              <w:right w:val="nil"/>
              <w:between w:val="nil"/>
            </w:pBdr>
            <w:tabs>
              <w:tab w:val="right" w:pos="9034"/>
            </w:tabs>
            <w:spacing w:after="100" w:line="360" w:lineRule="auto"/>
            <w:jc w:val="both"/>
            <w:rPr>
              <w:rFonts w:ascii="Palatino Linotype" w:eastAsia="Palatino Linotype" w:hAnsi="Palatino Linotype" w:cs="Palatino Linotype"/>
              <w:color w:val="000000"/>
              <w:sz w:val="22"/>
              <w:szCs w:val="22"/>
            </w:rPr>
          </w:pPr>
          <w:r>
            <w:fldChar w:fldCharType="begin"/>
          </w:r>
          <w:r>
            <w:instrText xml:space="preserve"> TOC \h \u \z \t "Heading 1,1,Heading 2,2,Heading 3,3,"</w:instrText>
          </w:r>
          <w:r>
            <w:fldChar w:fldCharType="separate"/>
          </w:r>
          <w:hyperlink w:anchor="_heading=h.9dus0q8nj9i5">
            <w:r w:rsidR="0054140D">
              <w:rPr>
                <w:rFonts w:ascii="Palatino Linotype" w:eastAsia="Palatino Linotype" w:hAnsi="Palatino Linotype" w:cs="Palatino Linotype"/>
                <w:color w:val="000000"/>
                <w:sz w:val="22"/>
                <w:szCs w:val="22"/>
              </w:rPr>
              <w:t>A N T E C E D E N T E S</w:t>
            </w:r>
            <w:r w:rsidR="0054140D">
              <w:rPr>
                <w:rFonts w:ascii="Palatino Linotype" w:eastAsia="Palatino Linotype" w:hAnsi="Palatino Linotype" w:cs="Palatino Linotype"/>
                <w:color w:val="000000"/>
                <w:sz w:val="22"/>
                <w:szCs w:val="22"/>
              </w:rPr>
              <w:tab/>
              <w:t>2</w:t>
            </w:r>
          </w:hyperlink>
        </w:p>
        <w:p w14:paraId="7E37AE3D" w14:textId="77777777" w:rsidR="0054140D" w:rsidRDefault="0054140D">
          <w:pPr>
            <w:pBdr>
              <w:top w:val="nil"/>
              <w:left w:val="nil"/>
              <w:bottom w:val="nil"/>
              <w:right w:val="nil"/>
              <w:between w:val="nil"/>
            </w:pBdr>
            <w:tabs>
              <w:tab w:val="right" w:pos="9034"/>
            </w:tabs>
            <w:spacing w:after="100"/>
            <w:ind w:left="200"/>
            <w:rPr>
              <w:rFonts w:ascii="Palatino Linotype" w:eastAsia="Palatino Linotype" w:hAnsi="Palatino Linotype" w:cs="Palatino Linotype"/>
              <w:color w:val="000000"/>
              <w:sz w:val="22"/>
              <w:szCs w:val="22"/>
            </w:rPr>
          </w:pPr>
          <w:hyperlink w:anchor="_heading=h.wapyhzdhz70z">
            <w:r>
              <w:rPr>
                <w:rFonts w:ascii="Palatino Linotype" w:eastAsia="Palatino Linotype" w:hAnsi="Palatino Linotype" w:cs="Palatino Linotype"/>
                <w:color w:val="000000"/>
                <w:sz w:val="22"/>
                <w:szCs w:val="22"/>
              </w:rPr>
              <w:t>I. Presentación de la solicitud de información</w:t>
            </w:r>
            <w:r>
              <w:rPr>
                <w:rFonts w:ascii="Palatino Linotype" w:eastAsia="Palatino Linotype" w:hAnsi="Palatino Linotype" w:cs="Palatino Linotype"/>
                <w:color w:val="000000"/>
                <w:sz w:val="22"/>
                <w:szCs w:val="22"/>
              </w:rPr>
              <w:tab/>
              <w:t>2</w:t>
            </w:r>
          </w:hyperlink>
        </w:p>
        <w:p w14:paraId="39246767" w14:textId="77777777" w:rsidR="0054140D" w:rsidRDefault="0054140D">
          <w:pPr>
            <w:pBdr>
              <w:top w:val="nil"/>
              <w:left w:val="nil"/>
              <w:bottom w:val="nil"/>
              <w:right w:val="nil"/>
              <w:between w:val="nil"/>
            </w:pBdr>
            <w:tabs>
              <w:tab w:val="right" w:pos="9034"/>
            </w:tabs>
            <w:spacing w:after="100"/>
            <w:ind w:left="200"/>
            <w:rPr>
              <w:rFonts w:ascii="Palatino Linotype" w:eastAsia="Palatino Linotype" w:hAnsi="Palatino Linotype" w:cs="Palatino Linotype"/>
              <w:color w:val="000000"/>
              <w:sz w:val="22"/>
              <w:szCs w:val="22"/>
            </w:rPr>
          </w:pPr>
          <w:hyperlink w:anchor="_heading=h.4lg5ryjyy8lv">
            <w:r>
              <w:rPr>
                <w:rFonts w:ascii="Palatino Linotype" w:eastAsia="Palatino Linotype" w:hAnsi="Palatino Linotype" w:cs="Palatino Linotype"/>
                <w:color w:val="000000"/>
                <w:sz w:val="22"/>
                <w:szCs w:val="22"/>
              </w:rPr>
              <w:t>II.  Respuesta del Sujeto Obligado</w:t>
            </w:r>
            <w:r>
              <w:rPr>
                <w:rFonts w:ascii="Palatino Linotype" w:eastAsia="Palatino Linotype" w:hAnsi="Palatino Linotype" w:cs="Palatino Linotype"/>
                <w:color w:val="000000"/>
                <w:sz w:val="22"/>
                <w:szCs w:val="22"/>
              </w:rPr>
              <w:tab/>
              <w:t>3</w:t>
            </w:r>
          </w:hyperlink>
        </w:p>
        <w:p w14:paraId="449F9D07" w14:textId="77777777" w:rsidR="0054140D" w:rsidRDefault="0054140D">
          <w:pPr>
            <w:pBdr>
              <w:top w:val="nil"/>
              <w:left w:val="nil"/>
              <w:bottom w:val="nil"/>
              <w:right w:val="nil"/>
              <w:between w:val="nil"/>
            </w:pBdr>
            <w:tabs>
              <w:tab w:val="right" w:pos="9034"/>
            </w:tabs>
            <w:spacing w:after="100"/>
            <w:ind w:left="200"/>
            <w:rPr>
              <w:rFonts w:ascii="Palatino Linotype" w:eastAsia="Palatino Linotype" w:hAnsi="Palatino Linotype" w:cs="Palatino Linotype"/>
              <w:color w:val="000000"/>
              <w:sz w:val="22"/>
              <w:szCs w:val="22"/>
            </w:rPr>
          </w:pPr>
          <w:hyperlink w:anchor="_heading=h.56pc13xshifx">
            <w:r>
              <w:rPr>
                <w:rFonts w:ascii="Palatino Linotype" w:eastAsia="Palatino Linotype" w:hAnsi="Palatino Linotype" w:cs="Palatino Linotype"/>
                <w:color w:val="000000"/>
                <w:sz w:val="22"/>
                <w:szCs w:val="22"/>
              </w:rPr>
              <w:t>III. Interposición del Recurso de Revisión</w:t>
            </w:r>
            <w:r>
              <w:rPr>
                <w:rFonts w:ascii="Palatino Linotype" w:eastAsia="Palatino Linotype" w:hAnsi="Palatino Linotype" w:cs="Palatino Linotype"/>
                <w:color w:val="000000"/>
                <w:sz w:val="22"/>
                <w:szCs w:val="22"/>
              </w:rPr>
              <w:tab/>
              <w:t>3</w:t>
            </w:r>
          </w:hyperlink>
        </w:p>
        <w:p w14:paraId="3A5801BD" w14:textId="77777777" w:rsidR="0054140D" w:rsidRDefault="0054140D">
          <w:pPr>
            <w:pBdr>
              <w:top w:val="nil"/>
              <w:left w:val="nil"/>
              <w:bottom w:val="nil"/>
              <w:right w:val="nil"/>
              <w:between w:val="nil"/>
            </w:pBdr>
            <w:tabs>
              <w:tab w:val="right" w:pos="9034"/>
            </w:tabs>
            <w:spacing w:after="100"/>
            <w:ind w:left="200"/>
            <w:rPr>
              <w:rFonts w:ascii="Palatino Linotype" w:eastAsia="Palatino Linotype" w:hAnsi="Palatino Linotype" w:cs="Palatino Linotype"/>
              <w:color w:val="000000"/>
              <w:sz w:val="22"/>
              <w:szCs w:val="22"/>
            </w:rPr>
          </w:pPr>
          <w:hyperlink w:anchor="_heading=h.ar7ie1xs24gr">
            <w:r>
              <w:rPr>
                <w:rFonts w:ascii="Palatino Linotype" w:eastAsia="Palatino Linotype" w:hAnsi="Palatino Linotype" w:cs="Palatino Linotype"/>
                <w:color w:val="000000"/>
                <w:sz w:val="22"/>
                <w:szCs w:val="22"/>
              </w:rPr>
              <w:t>IV. Trámite del Recurso de Revisión ante el Instituto</w:t>
            </w:r>
            <w:r>
              <w:rPr>
                <w:rFonts w:ascii="Palatino Linotype" w:eastAsia="Palatino Linotype" w:hAnsi="Palatino Linotype" w:cs="Palatino Linotype"/>
                <w:color w:val="000000"/>
                <w:sz w:val="22"/>
                <w:szCs w:val="22"/>
              </w:rPr>
              <w:tab/>
              <w:t>4</w:t>
            </w:r>
          </w:hyperlink>
        </w:p>
        <w:p w14:paraId="5D479496" w14:textId="77777777" w:rsidR="0054140D" w:rsidRDefault="0054140D">
          <w:pPr>
            <w:pBdr>
              <w:top w:val="nil"/>
              <w:left w:val="nil"/>
              <w:bottom w:val="nil"/>
              <w:right w:val="nil"/>
              <w:between w:val="nil"/>
            </w:pBdr>
            <w:tabs>
              <w:tab w:val="right" w:pos="9034"/>
            </w:tabs>
            <w:spacing w:after="100" w:line="360" w:lineRule="auto"/>
            <w:jc w:val="both"/>
            <w:rPr>
              <w:rFonts w:ascii="Palatino Linotype" w:eastAsia="Palatino Linotype" w:hAnsi="Palatino Linotype" w:cs="Palatino Linotype"/>
              <w:color w:val="000000"/>
              <w:sz w:val="22"/>
              <w:szCs w:val="22"/>
            </w:rPr>
          </w:pPr>
          <w:hyperlink w:anchor="_heading=h.85ggcaz8un6w">
            <w:r>
              <w:rPr>
                <w:rFonts w:ascii="Palatino Linotype" w:eastAsia="Palatino Linotype" w:hAnsi="Palatino Linotype" w:cs="Palatino Linotype"/>
                <w:color w:val="000000"/>
                <w:sz w:val="22"/>
                <w:szCs w:val="22"/>
              </w:rPr>
              <w:t>C O N S I D E R A N D O S</w:t>
            </w:r>
            <w:r>
              <w:rPr>
                <w:rFonts w:ascii="Palatino Linotype" w:eastAsia="Palatino Linotype" w:hAnsi="Palatino Linotype" w:cs="Palatino Linotype"/>
                <w:color w:val="000000"/>
                <w:sz w:val="22"/>
                <w:szCs w:val="22"/>
              </w:rPr>
              <w:tab/>
              <w:t>6</w:t>
            </w:r>
          </w:hyperlink>
        </w:p>
        <w:p w14:paraId="1E1C3209" w14:textId="77777777" w:rsidR="0054140D" w:rsidRDefault="0054140D">
          <w:pPr>
            <w:pBdr>
              <w:top w:val="nil"/>
              <w:left w:val="nil"/>
              <w:bottom w:val="nil"/>
              <w:right w:val="nil"/>
              <w:between w:val="nil"/>
            </w:pBdr>
            <w:tabs>
              <w:tab w:val="right" w:pos="9034"/>
            </w:tabs>
            <w:spacing w:after="100"/>
            <w:ind w:left="200"/>
            <w:rPr>
              <w:rFonts w:ascii="Palatino Linotype" w:eastAsia="Palatino Linotype" w:hAnsi="Palatino Linotype" w:cs="Palatino Linotype"/>
              <w:color w:val="000000"/>
              <w:sz w:val="22"/>
              <w:szCs w:val="22"/>
            </w:rPr>
          </w:pPr>
          <w:hyperlink w:anchor="_heading=h.31v5havkl1d3">
            <w:r>
              <w:rPr>
                <w:rFonts w:ascii="Palatino Linotype" w:eastAsia="Palatino Linotype" w:hAnsi="Palatino Linotype" w:cs="Palatino Linotype"/>
                <w:color w:val="000000"/>
                <w:sz w:val="22"/>
                <w:szCs w:val="22"/>
              </w:rPr>
              <w:t>PRIMERO. Competencia</w:t>
            </w:r>
            <w:r>
              <w:rPr>
                <w:rFonts w:ascii="Palatino Linotype" w:eastAsia="Palatino Linotype" w:hAnsi="Palatino Linotype" w:cs="Palatino Linotype"/>
                <w:color w:val="000000"/>
                <w:sz w:val="22"/>
                <w:szCs w:val="22"/>
              </w:rPr>
              <w:tab/>
              <w:t>6</w:t>
            </w:r>
          </w:hyperlink>
        </w:p>
        <w:p w14:paraId="3AB83A31" w14:textId="77777777" w:rsidR="0054140D" w:rsidRDefault="0054140D">
          <w:pPr>
            <w:pBdr>
              <w:top w:val="nil"/>
              <w:left w:val="nil"/>
              <w:bottom w:val="nil"/>
              <w:right w:val="nil"/>
              <w:between w:val="nil"/>
            </w:pBdr>
            <w:tabs>
              <w:tab w:val="right" w:pos="9034"/>
            </w:tabs>
            <w:spacing w:after="100"/>
            <w:ind w:left="200"/>
            <w:rPr>
              <w:rFonts w:ascii="Palatino Linotype" w:eastAsia="Palatino Linotype" w:hAnsi="Palatino Linotype" w:cs="Palatino Linotype"/>
              <w:color w:val="000000"/>
              <w:sz w:val="22"/>
              <w:szCs w:val="22"/>
            </w:rPr>
          </w:pPr>
          <w:hyperlink w:anchor="_heading=h.ff8j6ctkm6ed">
            <w:r>
              <w:rPr>
                <w:rFonts w:ascii="Palatino Linotype" w:eastAsia="Palatino Linotype" w:hAnsi="Palatino Linotype" w:cs="Palatino Linotype"/>
                <w:color w:val="000000"/>
                <w:sz w:val="22"/>
                <w:szCs w:val="22"/>
              </w:rPr>
              <w:t>SEGUNDO. Causales de improcedencia</w:t>
            </w:r>
            <w:r>
              <w:rPr>
                <w:rFonts w:ascii="Palatino Linotype" w:eastAsia="Palatino Linotype" w:hAnsi="Palatino Linotype" w:cs="Palatino Linotype"/>
                <w:color w:val="000000"/>
                <w:sz w:val="22"/>
                <w:szCs w:val="22"/>
              </w:rPr>
              <w:tab/>
              <w:t>7</w:t>
            </w:r>
          </w:hyperlink>
        </w:p>
        <w:p w14:paraId="489D491C" w14:textId="77777777" w:rsidR="0054140D" w:rsidRDefault="0054140D">
          <w:pPr>
            <w:pBdr>
              <w:top w:val="nil"/>
              <w:left w:val="nil"/>
              <w:bottom w:val="nil"/>
              <w:right w:val="nil"/>
              <w:between w:val="nil"/>
            </w:pBdr>
            <w:tabs>
              <w:tab w:val="right" w:pos="9034"/>
            </w:tabs>
            <w:spacing w:after="100"/>
            <w:ind w:left="200"/>
            <w:rPr>
              <w:rFonts w:ascii="Palatino Linotype" w:eastAsia="Palatino Linotype" w:hAnsi="Palatino Linotype" w:cs="Palatino Linotype"/>
              <w:color w:val="000000"/>
              <w:sz w:val="22"/>
              <w:szCs w:val="22"/>
            </w:rPr>
          </w:pPr>
          <w:hyperlink w:anchor="_heading=h.z3bjee9z4sgr">
            <w:r>
              <w:rPr>
                <w:rFonts w:ascii="Palatino Linotype" w:eastAsia="Palatino Linotype" w:hAnsi="Palatino Linotype" w:cs="Palatino Linotype"/>
                <w:color w:val="000000"/>
                <w:sz w:val="22"/>
                <w:szCs w:val="22"/>
              </w:rPr>
              <w:t>TERCERO. Causales de sobreseimiento</w:t>
            </w:r>
            <w:r>
              <w:rPr>
                <w:rFonts w:ascii="Palatino Linotype" w:eastAsia="Palatino Linotype" w:hAnsi="Palatino Linotype" w:cs="Palatino Linotype"/>
                <w:color w:val="000000"/>
                <w:sz w:val="22"/>
                <w:szCs w:val="22"/>
              </w:rPr>
              <w:tab/>
              <w:t>8</w:t>
            </w:r>
          </w:hyperlink>
        </w:p>
        <w:p w14:paraId="550A92CF" w14:textId="77777777" w:rsidR="0054140D" w:rsidRDefault="0054140D">
          <w:pPr>
            <w:pBdr>
              <w:top w:val="nil"/>
              <w:left w:val="nil"/>
              <w:bottom w:val="nil"/>
              <w:right w:val="nil"/>
              <w:between w:val="nil"/>
            </w:pBdr>
            <w:tabs>
              <w:tab w:val="right" w:pos="9034"/>
            </w:tabs>
            <w:spacing w:after="100"/>
            <w:ind w:left="200"/>
            <w:rPr>
              <w:rFonts w:ascii="Palatino Linotype" w:eastAsia="Palatino Linotype" w:hAnsi="Palatino Linotype" w:cs="Palatino Linotype"/>
              <w:color w:val="000000"/>
              <w:sz w:val="22"/>
              <w:szCs w:val="22"/>
            </w:rPr>
          </w:pPr>
          <w:hyperlink w:anchor="_heading=h.3thh1bf5gvpb">
            <w:r>
              <w:rPr>
                <w:rFonts w:ascii="Palatino Linotype" w:eastAsia="Palatino Linotype" w:hAnsi="Palatino Linotype" w:cs="Palatino Linotype"/>
                <w:color w:val="000000"/>
                <w:sz w:val="22"/>
                <w:szCs w:val="22"/>
              </w:rPr>
              <w:t>CUARTO. Decisión</w:t>
            </w:r>
            <w:r>
              <w:rPr>
                <w:rFonts w:ascii="Palatino Linotype" w:eastAsia="Palatino Linotype" w:hAnsi="Palatino Linotype" w:cs="Palatino Linotype"/>
                <w:color w:val="000000"/>
                <w:sz w:val="22"/>
                <w:szCs w:val="22"/>
              </w:rPr>
              <w:tab/>
              <w:t>12</w:t>
            </w:r>
          </w:hyperlink>
        </w:p>
        <w:p w14:paraId="11AEEEA9" w14:textId="77777777" w:rsidR="0054140D" w:rsidRDefault="0054140D">
          <w:pPr>
            <w:pBdr>
              <w:top w:val="nil"/>
              <w:left w:val="nil"/>
              <w:bottom w:val="nil"/>
              <w:right w:val="nil"/>
              <w:between w:val="nil"/>
            </w:pBdr>
            <w:tabs>
              <w:tab w:val="right" w:pos="9034"/>
            </w:tabs>
            <w:spacing w:after="100" w:line="360" w:lineRule="auto"/>
            <w:jc w:val="both"/>
            <w:rPr>
              <w:rFonts w:ascii="Palatino Linotype" w:eastAsia="Palatino Linotype" w:hAnsi="Palatino Linotype" w:cs="Palatino Linotype"/>
              <w:color w:val="000000"/>
              <w:sz w:val="22"/>
              <w:szCs w:val="22"/>
            </w:rPr>
          </w:pPr>
          <w:hyperlink w:anchor="_heading=h.ux7ufddqfa7o">
            <w:r>
              <w:rPr>
                <w:rFonts w:ascii="Palatino Linotype" w:eastAsia="Palatino Linotype" w:hAnsi="Palatino Linotype" w:cs="Palatino Linotype"/>
                <w:color w:val="000000"/>
                <w:sz w:val="22"/>
                <w:szCs w:val="22"/>
              </w:rPr>
              <w:t>R E S U E L V E</w:t>
            </w:r>
            <w:r>
              <w:rPr>
                <w:rFonts w:ascii="Palatino Linotype" w:eastAsia="Palatino Linotype" w:hAnsi="Palatino Linotype" w:cs="Palatino Linotype"/>
                <w:color w:val="000000"/>
                <w:sz w:val="22"/>
                <w:szCs w:val="22"/>
              </w:rPr>
              <w:tab/>
              <w:t>13</w:t>
            </w:r>
          </w:hyperlink>
        </w:p>
        <w:p w14:paraId="7F068C9A" w14:textId="77777777" w:rsidR="0054140D" w:rsidRDefault="00192493">
          <w:pPr>
            <w:spacing w:line="360" w:lineRule="auto"/>
            <w:rPr>
              <w:rFonts w:ascii="Palatino Linotype" w:eastAsia="Palatino Linotype" w:hAnsi="Palatino Linotype" w:cs="Palatino Linotype"/>
              <w:sz w:val="22"/>
              <w:szCs w:val="22"/>
            </w:rPr>
          </w:pPr>
          <w:r>
            <w:fldChar w:fldCharType="end"/>
          </w:r>
        </w:p>
      </w:sdtContent>
    </w:sdt>
    <w:p w14:paraId="394CED87" w14:textId="77777777" w:rsidR="0054140D" w:rsidRDefault="00192493">
      <w:pPr>
        <w:spacing w:line="360" w:lineRule="auto"/>
        <w:jc w:val="both"/>
        <w:rPr>
          <w:rFonts w:ascii="Palatino Linotype" w:eastAsia="Palatino Linotype" w:hAnsi="Palatino Linotype" w:cs="Palatino Linotype"/>
          <w:color w:val="000000"/>
          <w:sz w:val="22"/>
          <w:szCs w:val="22"/>
        </w:rPr>
      </w:pPr>
      <w:r>
        <w:br w:type="column"/>
      </w:r>
    </w:p>
    <w:p w14:paraId="57411800" w14:textId="77777777" w:rsidR="0054140D" w:rsidRDefault="00192493">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Resolución del Pleno del Instituto de Transparencia, Acceso a la Información Pública y </w:t>
      </w:r>
      <w:r>
        <w:rPr>
          <w:rFonts w:ascii="Palatino Linotype" w:eastAsia="Palatino Linotype" w:hAnsi="Palatino Linotype" w:cs="Palatino Linotype"/>
          <w:sz w:val="22"/>
          <w:szCs w:val="22"/>
        </w:rPr>
        <w:t xml:space="preserve">Protección de Datos Personales del Estado de México y Municipios, con domicilio en Metepec, Estado de México, de fecha tres de septiembre de dos mil veinticinco. </w:t>
      </w:r>
    </w:p>
    <w:p w14:paraId="7742AE89" w14:textId="77777777" w:rsidR="0054140D" w:rsidRDefault="0054140D">
      <w:pPr>
        <w:spacing w:line="360" w:lineRule="auto"/>
        <w:ind w:left="708" w:hanging="708"/>
        <w:jc w:val="both"/>
        <w:rPr>
          <w:rFonts w:ascii="Palatino Linotype" w:eastAsia="Palatino Linotype" w:hAnsi="Palatino Linotype" w:cs="Palatino Linotype"/>
          <w:color w:val="000000"/>
          <w:sz w:val="22"/>
          <w:szCs w:val="22"/>
        </w:rPr>
      </w:pPr>
    </w:p>
    <w:p w14:paraId="542EA53F" w14:textId="4463F5C7" w:rsidR="0054140D" w:rsidRDefault="00192493">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VISTO </w:t>
      </w:r>
      <w:r>
        <w:rPr>
          <w:rFonts w:ascii="Palatino Linotype" w:eastAsia="Palatino Linotype" w:hAnsi="Palatino Linotype" w:cs="Palatino Linotype"/>
          <w:color w:val="000000"/>
          <w:sz w:val="22"/>
          <w:szCs w:val="22"/>
        </w:rPr>
        <w:t xml:space="preserve">el expediente conformado con motivo del Recurso de Revisión </w:t>
      </w:r>
      <w:r w:rsidRPr="00F9062C">
        <w:rPr>
          <w:rFonts w:ascii="Palatino Linotype" w:eastAsia="Palatino Linotype" w:hAnsi="Palatino Linotype" w:cs="Palatino Linotype"/>
          <w:b/>
          <w:bCs/>
          <w:color w:val="000000"/>
          <w:sz w:val="22"/>
          <w:szCs w:val="22"/>
        </w:rPr>
        <w:t>08591/INFOEM/IP/RR/2025,</w:t>
      </w:r>
      <w:r>
        <w:rPr>
          <w:rFonts w:ascii="Palatino Linotype" w:eastAsia="Palatino Linotype" w:hAnsi="Palatino Linotype" w:cs="Palatino Linotype"/>
          <w:color w:val="000000"/>
          <w:sz w:val="22"/>
          <w:szCs w:val="22"/>
        </w:rPr>
        <w:t xml:space="preserve"> interpuesto por </w:t>
      </w:r>
      <w:r w:rsidR="00A22054" w:rsidRPr="00A22054">
        <w:rPr>
          <w:rFonts w:ascii="Palatino Linotype" w:eastAsia="Palatino Linotype" w:hAnsi="Palatino Linotype" w:cs="Palatino Linotype"/>
          <w:b/>
          <w:sz w:val="22"/>
          <w:szCs w:val="22"/>
          <w:highlight w:val="black"/>
        </w:rPr>
        <w:t>XXXXXXXXXXXXXX</w:t>
      </w:r>
      <w:r>
        <w:rPr>
          <w:rFonts w:ascii="Palatino Linotype" w:eastAsia="Palatino Linotype" w:hAnsi="Palatino Linotype" w:cs="Palatino Linotype"/>
          <w:color w:val="000000"/>
          <w:sz w:val="22"/>
          <w:szCs w:val="22"/>
        </w:rPr>
        <w:t xml:space="preserve">, en lo sucesivo persona </w:t>
      </w:r>
      <w:r>
        <w:rPr>
          <w:rFonts w:ascii="Palatino Linotype" w:eastAsia="Palatino Linotype" w:hAnsi="Palatino Linotype" w:cs="Palatino Linotype"/>
          <w:color w:val="0D0D0D"/>
          <w:sz w:val="22"/>
          <w:szCs w:val="22"/>
        </w:rPr>
        <w:t>Recurrente o Particular</w:t>
      </w:r>
      <w:r>
        <w:rPr>
          <w:rFonts w:ascii="Palatino Linotype" w:eastAsia="Palatino Linotype" w:hAnsi="Palatino Linotype" w:cs="Palatino Linotype"/>
          <w:color w:val="000000"/>
          <w:sz w:val="22"/>
          <w:szCs w:val="22"/>
        </w:rPr>
        <w:t xml:space="preserve">, en contra de la respuesta del Sujeto Obligado, </w:t>
      </w:r>
      <w:r w:rsidRPr="00F9062C">
        <w:rPr>
          <w:rFonts w:ascii="Palatino Linotype" w:eastAsia="Palatino Linotype" w:hAnsi="Palatino Linotype" w:cs="Palatino Linotype"/>
          <w:b/>
          <w:bCs/>
          <w:sz w:val="22"/>
          <w:szCs w:val="22"/>
        </w:rPr>
        <w:t>Ayuntamiento de Chicoloapan</w:t>
      </w:r>
      <w:r>
        <w:rPr>
          <w:rFonts w:ascii="Palatino Linotype" w:eastAsia="Palatino Linotype" w:hAnsi="Palatino Linotype" w:cs="Palatino Linotype"/>
          <w:b/>
          <w:sz w:val="22"/>
          <w:szCs w:val="22"/>
        </w:rPr>
        <w:t>,</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color w:val="000000"/>
          <w:sz w:val="22"/>
          <w:szCs w:val="22"/>
        </w:rPr>
        <w:t>se emite la presente Resolución, con base en los antecedentes y considerandos que se exponen a continuación:</w:t>
      </w:r>
    </w:p>
    <w:p w14:paraId="1C8635E2" w14:textId="77777777" w:rsidR="0054140D" w:rsidRDefault="0054140D">
      <w:pPr>
        <w:pStyle w:val="Subttulo"/>
        <w:spacing w:after="0" w:line="360" w:lineRule="auto"/>
        <w:rPr>
          <w:rFonts w:ascii="Palatino Linotype" w:eastAsia="Palatino Linotype" w:hAnsi="Palatino Linotype" w:cs="Palatino Linotype"/>
        </w:rPr>
      </w:pPr>
    </w:p>
    <w:p w14:paraId="63CDEA54" w14:textId="77777777" w:rsidR="0054140D" w:rsidRDefault="00192493">
      <w:pPr>
        <w:pStyle w:val="Ttulo1"/>
      </w:pPr>
      <w:bookmarkStart w:id="0" w:name="_heading=h.9dus0q8nj9i5" w:colFirst="0" w:colLast="0"/>
      <w:bookmarkEnd w:id="0"/>
      <w:r>
        <w:t>A N T E C E D E N T E S</w:t>
      </w:r>
    </w:p>
    <w:p w14:paraId="6DA38070" w14:textId="77777777" w:rsidR="0054140D" w:rsidRDefault="0054140D">
      <w:pPr>
        <w:pBdr>
          <w:top w:val="nil"/>
          <w:left w:val="nil"/>
          <w:bottom w:val="nil"/>
          <w:right w:val="nil"/>
          <w:between w:val="nil"/>
        </w:pBdr>
        <w:spacing w:line="360" w:lineRule="auto"/>
        <w:rPr>
          <w:rFonts w:ascii="Palatino Linotype" w:eastAsia="Palatino Linotype" w:hAnsi="Palatino Linotype" w:cs="Palatino Linotype"/>
          <w:b/>
          <w:color w:val="000000"/>
          <w:sz w:val="22"/>
          <w:szCs w:val="22"/>
        </w:rPr>
      </w:pPr>
    </w:p>
    <w:p w14:paraId="3483466B" w14:textId="77777777" w:rsidR="0054140D" w:rsidRDefault="00192493">
      <w:pPr>
        <w:pStyle w:val="Ttulo2"/>
      </w:pPr>
      <w:bookmarkStart w:id="1" w:name="_heading=h.wapyhzdhz70z" w:colFirst="0" w:colLast="0"/>
      <w:bookmarkEnd w:id="1"/>
      <w:r>
        <w:t>I. Presentación de la solicitud de información</w:t>
      </w:r>
    </w:p>
    <w:p w14:paraId="2B3148EB" w14:textId="77777777" w:rsidR="0054140D" w:rsidRDefault="0054140D">
      <w:pPr>
        <w:tabs>
          <w:tab w:val="left" w:pos="567"/>
        </w:tabs>
        <w:spacing w:line="360" w:lineRule="auto"/>
        <w:jc w:val="both"/>
        <w:rPr>
          <w:rFonts w:ascii="Palatino Linotype" w:eastAsia="Palatino Linotype" w:hAnsi="Palatino Linotype" w:cs="Palatino Linotype"/>
          <w:sz w:val="22"/>
          <w:szCs w:val="22"/>
        </w:rPr>
      </w:pPr>
    </w:p>
    <w:p w14:paraId="1CC7353E" w14:textId="77777777" w:rsidR="0054140D" w:rsidRDefault="00192493">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El veintitrés de junio de dos mil veinticinco</w:t>
      </w:r>
      <w:r>
        <w:rPr>
          <w:rFonts w:ascii="Palatino Linotype" w:eastAsia="Palatino Linotype" w:hAnsi="Palatino Linotype" w:cs="Palatino Linotype"/>
          <w:sz w:val="22"/>
          <w:szCs w:val="22"/>
        </w:rPr>
        <w:t>, el Particular presentó una solicitud de acceso a la información pública, a través del Sistema de Acceso a la Información Mexiquense, en lo sucesivo el SAIMEX, ante el Ayuntamiento de Chicoloapan, en los siguientes términos:</w:t>
      </w:r>
    </w:p>
    <w:p w14:paraId="21524525" w14:textId="77777777" w:rsidR="0054140D" w:rsidRDefault="0054140D">
      <w:pPr>
        <w:spacing w:line="360" w:lineRule="auto"/>
        <w:jc w:val="both"/>
        <w:rPr>
          <w:rFonts w:ascii="Palatino Linotype" w:eastAsia="Palatino Linotype" w:hAnsi="Palatino Linotype" w:cs="Palatino Linotype"/>
          <w:color w:val="000000"/>
          <w:sz w:val="22"/>
          <w:szCs w:val="22"/>
        </w:rPr>
      </w:pPr>
    </w:p>
    <w:p w14:paraId="6C336A11" w14:textId="77777777" w:rsidR="0054140D" w:rsidRDefault="00192493">
      <w:pPr>
        <w:spacing w:line="360" w:lineRule="auto"/>
        <w:ind w:left="567"/>
        <w:jc w:val="both"/>
        <w:rPr>
          <w:rFonts w:ascii="Palatino Linotype" w:eastAsia="Palatino Linotype" w:hAnsi="Palatino Linotype" w:cs="Palatino Linotype"/>
          <w:b/>
        </w:rPr>
      </w:pPr>
      <w:r>
        <w:rPr>
          <w:rFonts w:ascii="Palatino Linotype" w:eastAsia="Palatino Linotype" w:hAnsi="Palatino Linotype" w:cs="Palatino Linotype"/>
          <w:b/>
        </w:rPr>
        <w:t>Folio de la solicitud: 00137/CHICOLOA/IP/2025</w:t>
      </w:r>
    </w:p>
    <w:p w14:paraId="0B78EEE9" w14:textId="77777777" w:rsidR="0054140D" w:rsidRDefault="00192493">
      <w:pPr>
        <w:tabs>
          <w:tab w:val="left" w:pos="567"/>
        </w:tabs>
        <w:spacing w:line="360" w:lineRule="auto"/>
        <w:ind w:left="567" w:right="709"/>
        <w:jc w:val="both"/>
        <w:rPr>
          <w:rFonts w:ascii="Palatino Linotype" w:eastAsia="Palatino Linotype" w:hAnsi="Palatino Linotype" w:cs="Palatino Linotype"/>
          <w:b/>
        </w:rPr>
      </w:pPr>
      <w:r>
        <w:rPr>
          <w:rFonts w:ascii="Palatino Linotype" w:eastAsia="Palatino Linotype" w:hAnsi="Palatino Linotype" w:cs="Palatino Linotype"/>
          <w:b/>
        </w:rPr>
        <w:t>DESCRIPCIÓN CLARA Y PRECISA DE LA INFORMACIÓN SOLICITADA</w:t>
      </w:r>
    </w:p>
    <w:p w14:paraId="3972274D" w14:textId="30F89F3D" w:rsidR="0054140D" w:rsidRDefault="00192493">
      <w:pPr>
        <w:tabs>
          <w:tab w:val="left" w:pos="4667"/>
        </w:tabs>
        <w:spacing w:line="360" w:lineRule="auto"/>
        <w:ind w:left="567" w:right="709"/>
        <w:jc w:val="both"/>
        <w:rPr>
          <w:rFonts w:ascii="Palatino Linotype" w:eastAsia="Palatino Linotype" w:hAnsi="Palatino Linotype" w:cs="Palatino Linotype"/>
          <w:i/>
        </w:rPr>
      </w:pPr>
      <w:r>
        <w:rPr>
          <w:rFonts w:ascii="Palatino Linotype" w:eastAsia="Palatino Linotype" w:hAnsi="Palatino Linotype" w:cs="Palatino Linotype"/>
          <w:i/>
        </w:rPr>
        <w:t>“</w:t>
      </w:r>
      <w:r w:rsidR="00A430A5" w:rsidRPr="00A430A5">
        <w:rPr>
          <w:rFonts w:ascii="Palatino Linotype" w:eastAsia="Palatino Linotype" w:hAnsi="Palatino Linotype" w:cs="Palatino Linotype"/>
          <w:i/>
        </w:rPr>
        <w:t>Se le solicita al gobierno del municipio de Chicoloapan, Estado de México, proporcione por este medio cual es el costo económico semanal, que eroga el municipio de manera de tener el apoyo de la guardia nacional por sus patrullajes dentro del municipio</w:t>
      </w:r>
      <w:r>
        <w:rPr>
          <w:rFonts w:ascii="Palatino Linotype" w:eastAsia="Palatino Linotype" w:hAnsi="Palatino Linotype" w:cs="Palatino Linotype"/>
          <w:i/>
        </w:rPr>
        <w:t>” (Sic.)</w:t>
      </w:r>
    </w:p>
    <w:p w14:paraId="6B5A99D3" w14:textId="77777777" w:rsidR="0054140D" w:rsidRDefault="0054140D">
      <w:pPr>
        <w:tabs>
          <w:tab w:val="left" w:pos="4667"/>
        </w:tabs>
        <w:spacing w:line="360" w:lineRule="auto"/>
        <w:ind w:left="567" w:right="709"/>
        <w:jc w:val="both"/>
        <w:rPr>
          <w:rFonts w:ascii="Palatino Linotype" w:eastAsia="Palatino Linotype" w:hAnsi="Palatino Linotype" w:cs="Palatino Linotype"/>
          <w:b/>
        </w:rPr>
      </w:pPr>
    </w:p>
    <w:p w14:paraId="0DCC203A" w14:textId="77777777" w:rsidR="0054140D" w:rsidRDefault="00192493">
      <w:pPr>
        <w:tabs>
          <w:tab w:val="left" w:pos="4667"/>
        </w:tabs>
        <w:spacing w:line="360" w:lineRule="auto"/>
        <w:ind w:left="567" w:right="709"/>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w:t>
      </w:r>
      <w:r>
        <w:rPr>
          <w:rFonts w:ascii="Palatino Linotype" w:eastAsia="Palatino Linotype" w:hAnsi="Palatino Linotype" w:cs="Palatino Linotype"/>
          <w:i/>
        </w:rPr>
        <w:t>“A través del SAIMEX.”</w:t>
      </w:r>
    </w:p>
    <w:p w14:paraId="08C97358" w14:textId="77777777" w:rsidR="0054140D" w:rsidRDefault="00192493">
      <w:pPr>
        <w:pStyle w:val="Ttulo2"/>
      </w:pPr>
      <w:bookmarkStart w:id="2" w:name="_heading=h.rceuyua14hln" w:colFirst="0" w:colLast="0"/>
      <w:bookmarkStart w:id="3" w:name="_heading=h.4lg5ryjyy8lv" w:colFirst="0" w:colLast="0"/>
      <w:bookmarkEnd w:id="2"/>
      <w:bookmarkEnd w:id="3"/>
      <w:r>
        <w:lastRenderedPageBreak/>
        <w:t>II.  Respuesta del Sujeto Obligado</w:t>
      </w:r>
    </w:p>
    <w:p w14:paraId="335AABA5" w14:textId="77777777" w:rsidR="0054140D" w:rsidRDefault="0054140D">
      <w:pPr>
        <w:spacing w:line="360" w:lineRule="auto"/>
        <w:jc w:val="both"/>
        <w:rPr>
          <w:rFonts w:ascii="Palatino Linotype" w:eastAsia="Palatino Linotype" w:hAnsi="Palatino Linotype" w:cs="Palatino Linotype"/>
          <w:color w:val="000000"/>
          <w:sz w:val="22"/>
          <w:szCs w:val="22"/>
        </w:rPr>
      </w:pPr>
    </w:p>
    <w:p w14:paraId="3877A704" w14:textId="77777777" w:rsidR="0054140D" w:rsidRDefault="00192493">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El catorce de julio de dos mil veinticinco, el Sujeto Obligado a través de SAIMEX, dio respuesta, a través de un oficio suscrito por el </w:t>
      </w:r>
      <w:proofErr w:type="gramStart"/>
      <w:r>
        <w:rPr>
          <w:rFonts w:ascii="Palatino Linotype" w:eastAsia="Palatino Linotype" w:hAnsi="Palatino Linotype" w:cs="Palatino Linotype"/>
          <w:sz w:val="22"/>
          <w:szCs w:val="22"/>
        </w:rPr>
        <w:t>Director</w:t>
      </w:r>
      <w:proofErr w:type="gramEnd"/>
      <w:r>
        <w:rPr>
          <w:rFonts w:ascii="Palatino Linotype" w:eastAsia="Palatino Linotype" w:hAnsi="Palatino Linotype" w:cs="Palatino Linotype"/>
          <w:sz w:val="22"/>
          <w:szCs w:val="22"/>
        </w:rPr>
        <w:t xml:space="preserve"> de Seguridad pública y Movilidad del Sujeto Obligado, en el que informó:</w:t>
      </w:r>
    </w:p>
    <w:p w14:paraId="614F28A1" w14:textId="77777777" w:rsidR="0054140D" w:rsidRDefault="0054140D">
      <w:pPr>
        <w:spacing w:line="360" w:lineRule="auto"/>
        <w:jc w:val="both"/>
        <w:rPr>
          <w:rFonts w:ascii="Palatino Linotype" w:eastAsia="Palatino Linotype" w:hAnsi="Palatino Linotype" w:cs="Palatino Linotype"/>
          <w:sz w:val="22"/>
          <w:szCs w:val="22"/>
        </w:rPr>
      </w:pPr>
    </w:p>
    <w:p w14:paraId="34D6A312" w14:textId="77777777" w:rsidR="0054140D" w:rsidRDefault="00192493">
      <w:pPr>
        <w:spacing w:line="360" w:lineRule="auto"/>
        <w:ind w:left="567" w:right="709"/>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93AC9AC" w14:textId="77777777" w:rsidR="0054140D" w:rsidRDefault="00192493">
      <w:pPr>
        <w:spacing w:line="360" w:lineRule="auto"/>
        <w:ind w:left="567" w:right="709"/>
        <w:jc w:val="both"/>
        <w:rPr>
          <w:rFonts w:ascii="Palatino Linotype" w:eastAsia="Palatino Linotype" w:hAnsi="Palatino Linotype" w:cs="Palatino Linotype"/>
          <w:i/>
        </w:rPr>
      </w:pPr>
      <w:r>
        <w:rPr>
          <w:rFonts w:ascii="Palatino Linotype" w:eastAsia="Palatino Linotype" w:hAnsi="Palatino Linotype" w:cs="Palatino Linotype"/>
          <w:i/>
        </w:rPr>
        <w:t xml:space="preserve">Se informa que la dirección de seguridad </w:t>
      </w:r>
      <w:proofErr w:type="spellStart"/>
      <w:r>
        <w:rPr>
          <w:rFonts w:ascii="Palatino Linotype" w:eastAsia="Palatino Linotype" w:hAnsi="Palatino Linotype" w:cs="Palatino Linotype"/>
          <w:i/>
        </w:rPr>
        <w:t>publica</w:t>
      </w:r>
      <w:proofErr w:type="spellEnd"/>
      <w:r>
        <w:rPr>
          <w:rFonts w:ascii="Palatino Linotype" w:eastAsia="Palatino Linotype" w:hAnsi="Palatino Linotype" w:cs="Palatino Linotype"/>
          <w:i/>
        </w:rPr>
        <w:t xml:space="preserve"> municipal y movilidad que represento no mantiene, regula, distribuye y/o autoriza recurso económico de esta administración </w:t>
      </w:r>
      <w:proofErr w:type="spellStart"/>
      <w:r>
        <w:rPr>
          <w:rFonts w:ascii="Palatino Linotype" w:eastAsia="Palatino Linotype" w:hAnsi="Palatino Linotype" w:cs="Palatino Linotype"/>
          <w:i/>
        </w:rPr>
        <w:t>publica</w:t>
      </w:r>
      <w:proofErr w:type="spellEnd"/>
      <w:r>
        <w:rPr>
          <w:rFonts w:ascii="Palatino Linotype" w:eastAsia="Palatino Linotype" w:hAnsi="Palatino Linotype" w:cs="Palatino Linotype"/>
          <w:i/>
        </w:rPr>
        <w:t xml:space="preserve"> municipal.</w:t>
      </w:r>
    </w:p>
    <w:p w14:paraId="49E5AF21" w14:textId="77777777" w:rsidR="00A430A5" w:rsidRDefault="00A430A5">
      <w:pPr>
        <w:spacing w:line="360" w:lineRule="auto"/>
        <w:ind w:left="567" w:right="709"/>
        <w:jc w:val="both"/>
        <w:rPr>
          <w:rFonts w:ascii="Palatino Linotype" w:eastAsia="Palatino Linotype" w:hAnsi="Palatino Linotype" w:cs="Palatino Linotype"/>
          <w:i/>
        </w:rPr>
      </w:pPr>
    </w:p>
    <w:p w14:paraId="4F57A70C" w14:textId="77777777" w:rsidR="0054140D" w:rsidRDefault="00192493">
      <w:pPr>
        <w:spacing w:line="360" w:lineRule="auto"/>
        <w:ind w:left="567" w:right="709"/>
        <w:jc w:val="both"/>
        <w:rPr>
          <w:rFonts w:ascii="Palatino Linotype" w:eastAsia="Palatino Linotype" w:hAnsi="Palatino Linotype" w:cs="Palatino Linotype"/>
          <w:i/>
        </w:rPr>
      </w:pPr>
      <w:r>
        <w:rPr>
          <w:rFonts w:ascii="Palatino Linotype" w:eastAsia="Palatino Linotype" w:hAnsi="Palatino Linotype" w:cs="Palatino Linotype"/>
          <w:i/>
        </w:rPr>
        <w:t xml:space="preserve">Lo anterior de conformidad con las obligaciones de la ley general de seguridad </w:t>
      </w:r>
      <w:proofErr w:type="spellStart"/>
      <w:r>
        <w:rPr>
          <w:rFonts w:ascii="Palatino Linotype" w:eastAsia="Palatino Linotype" w:hAnsi="Palatino Linotype" w:cs="Palatino Linotype"/>
          <w:i/>
        </w:rPr>
        <w:t>publica</w:t>
      </w:r>
      <w:proofErr w:type="spellEnd"/>
      <w:r>
        <w:rPr>
          <w:rFonts w:ascii="Palatino Linotype" w:eastAsia="Palatino Linotype" w:hAnsi="Palatino Linotype" w:cs="Palatino Linotype"/>
          <w:i/>
        </w:rPr>
        <w:t xml:space="preserve"> y ley de seguridad del Estado de México que confiere al suscrito. Ahora bien, dicha autoridad son facultades y atribuciones de la tesorería municipal de conformidad con el </w:t>
      </w:r>
      <w:proofErr w:type="spellStart"/>
      <w:r>
        <w:rPr>
          <w:rFonts w:ascii="Palatino Linotype" w:eastAsia="Palatino Linotype" w:hAnsi="Palatino Linotype" w:cs="Palatino Linotype"/>
          <w:i/>
        </w:rPr>
        <w:t>articulo</w:t>
      </w:r>
      <w:proofErr w:type="spellEnd"/>
      <w:r>
        <w:rPr>
          <w:rFonts w:ascii="Palatino Linotype" w:eastAsia="Palatino Linotype" w:hAnsi="Palatino Linotype" w:cs="Palatino Linotype"/>
          <w:i/>
        </w:rPr>
        <w:t xml:space="preserve"> 93 de la ley orgánica municipal del estado de México</w:t>
      </w:r>
      <w:r w:rsidRPr="00A430A5">
        <w:rPr>
          <w:rFonts w:ascii="Palatino Linotype" w:eastAsia="Palatino Linotype" w:hAnsi="Palatino Linotype" w:cs="Palatino Linotype"/>
          <w:bCs/>
          <w:i/>
        </w:rPr>
        <w:t>.” (</w:t>
      </w:r>
      <w:r>
        <w:rPr>
          <w:rFonts w:ascii="Palatino Linotype" w:eastAsia="Palatino Linotype" w:hAnsi="Palatino Linotype" w:cs="Palatino Linotype"/>
          <w:i/>
        </w:rPr>
        <w:t>Sic.)</w:t>
      </w:r>
    </w:p>
    <w:p w14:paraId="70B04FD9" w14:textId="77777777" w:rsidR="0054140D" w:rsidRDefault="0054140D">
      <w:pPr>
        <w:spacing w:line="360" w:lineRule="auto"/>
        <w:jc w:val="both"/>
        <w:rPr>
          <w:rFonts w:ascii="Palatino Linotype" w:eastAsia="Palatino Linotype" w:hAnsi="Palatino Linotype" w:cs="Palatino Linotype"/>
          <w:color w:val="000000"/>
        </w:rPr>
      </w:pPr>
    </w:p>
    <w:p w14:paraId="36F42587" w14:textId="77777777" w:rsidR="0054140D" w:rsidRDefault="00192493">
      <w:pPr>
        <w:pStyle w:val="Ttulo2"/>
      </w:pPr>
      <w:bookmarkStart w:id="4" w:name="_heading=h.56pc13xshifx" w:colFirst="0" w:colLast="0"/>
      <w:bookmarkEnd w:id="4"/>
      <w:r>
        <w:t>III. Interposición del Recurso de Revisión</w:t>
      </w:r>
    </w:p>
    <w:p w14:paraId="4F5082E2" w14:textId="77777777" w:rsidR="0054140D" w:rsidRDefault="0054140D">
      <w:pPr>
        <w:spacing w:line="360" w:lineRule="auto"/>
        <w:jc w:val="both"/>
        <w:rPr>
          <w:rFonts w:ascii="Palatino Linotype" w:eastAsia="Palatino Linotype" w:hAnsi="Palatino Linotype" w:cs="Palatino Linotype"/>
          <w:b/>
          <w:color w:val="000000"/>
          <w:sz w:val="22"/>
          <w:szCs w:val="22"/>
        </w:rPr>
      </w:pPr>
    </w:p>
    <w:p w14:paraId="5EBA05F2" w14:textId="77777777" w:rsidR="0054140D" w:rsidRDefault="00192493">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 xml:space="preserve">El quince de julio de dos mil veinticinco, la parte Recurrente interpuso un Recurso de Revisión ante este Instituto, a través del Sistema de Acceso a la Información Mexiquense (SAIMEX), en los siguientes términos: </w:t>
      </w:r>
    </w:p>
    <w:p w14:paraId="2182F9B2" w14:textId="77777777" w:rsidR="0054140D" w:rsidRDefault="0054140D">
      <w:pPr>
        <w:spacing w:line="360" w:lineRule="auto"/>
        <w:jc w:val="both"/>
        <w:rPr>
          <w:rFonts w:ascii="Palatino Linotype" w:eastAsia="Palatino Linotype" w:hAnsi="Palatino Linotype" w:cs="Palatino Linotype"/>
          <w:color w:val="000000"/>
          <w:sz w:val="22"/>
          <w:szCs w:val="22"/>
        </w:rPr>
      </w:pPr>
    </w:p>
    <w:p w14:paraId="38B1E0E8" w14:textId="77777777" w:rsidR="0054140D" w:rsidRDefault="00192493">
      <w:pPr>
        <w:spacing w:line="360" w:lineRule="auto"/>
        <w:ind w:left="567" w:right="567"/>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ACTO IMPUGNADO</w:t>
      </w:r>
    </w:p>
    <w:p w14:paraId="1B0DE373" w14:textId="77777777" w:rsidR="0054140D" w:rsidRDefault="00192493">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“Negativa por parte del gobierno municipal a dar respuesta a lo solicitado”</w:t>
      </w:r>
    </w:p>
    <w:p w14:paraId="7EDB6AF8" w14:textId="77777777" w:rsidR="0054140D" w:rsidRDefault="0054140D">
      <w:pPr>
        <w:spacing w:line="360" w:lineRule="auto"/>
        <w:ind w:right="567"/>
        <w:jc w:val="both"/>
        <w:rPr>
          <w:rFonts w:ascii="Palatino Linotype" w:eastAsia="Palatino Linotype" w:hAnsi="Palatino Linotype" w:cs="Palatino Linotype"/>
          <w:i/>
          <w:color w:val="000000"/>
        </w:rPr>
      </w:pPr>
    </w:p>
    <w:p w14:paraId="3B7FF182" w14:textId="77777777" w:rsidR="00A430A5" w:rsidRDefault="00A430A5">
      <w:pPr>
        <w:spacing w:line="360" w:lineRule="auto"/>
        <w:ind w:right="567"/>
        <w:jc w:val="both"/>
        <w:rPr>
          <w:rFonts w:ascii="Palatino Linotype" w:eastAsia="Palatino Linotype" w:hAnsi="Palatino Linotype" w:cs="Palatino Linotype"/>
          <w:i/>
          <w:color w:val="000000"/>
        </w:rPr>
      </w:pPr>
    </w:p>
    <w:p w14:paraId="3F6E4519" w14:textId="77777777" w:rsidR="00A430A5" w:rsidRDefault="00A430A5">
      <w:pPr>
        <w:spacing w:line="360" w:lineRule="auto"/>
        <w:ind w:right="567"/>
        <w:jc w:val="both"/>
        <w:rPr>
          <w:rFonts w:ascii="Palatino Linotype" w:eastAsia="Palatino Linotype" w:hAnsi="Palatino Linotype" w:cs="Palatino Linotype"/>
          <w:i/>
          <w:color w:val="000000"/>
        </w:rPr>
      </w:pPr>
    </w:p>
    <w:p w14:paraId="42A3B523" w14:textId="77777777" w:rsidR="0054140D" w:rsidRDefault="00192493">
      <w:pPr>
        <w:spacing w:line="360" w:lineRule="auto"/>
        <w:ind w:left="567" w:right="567"/>
        <w:rPr>
          <w:rFonts w:ascii="Palatino Linotype" w:eastAsia="Palatino Linotype" w:hAnsi="Palatino Linotype" w:cs="Palatino Linotype"/>
          <w:b/>
          <w:i/>
        </w:rPr>
      </w:pPr>
      <w:r>
        <w:rPr>
          <w:rFonts w:ascii="Palatino Linotype" w:eastAsia="Palatino Linotype" w:hAnsi="Palatino Linotype" w:cs="Palatino Linotype"/>
          <w:b/>
        </w:rPr>
        <w:lastRenderedPageBreak/>
        <w:t>RAZONES O MOTIVOS DE LA INCONFORMIDAD</w:t>
      </w:r>
    </w:p>
    <w:p w14:paraId="1D68E219" w14:textId="77777777" w:rsidR="0054140D" w:rsidRDefault="00192493">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“El gobierno municipal de Chicoloapan, Estado de México, da una respuesta de una dependencia que no es la indicada para la misma, intentando solventar lo solicitado. Sabiendo que quien debe contestar es otra área, dirige la petición de respuesta a un área que no le corresponde.” </w:t>
      </w:r>
    </w:p>
    <w:p w14:paraId="5BB69F83" w14:textId="77777777" w:rsidR="0054140D" w:rsidRDefault="0054140D">
      <w:pPr>
        <w:spacing w:line="360" w:lineRule="auto"/>
        <w:ind w:left="567" w:right="567"/>
        <w:rPr>
          <w:rFonts w:ascii="Palatino Linotype" w:eastAsia="Palatino Linotype" w:hAnsi="Palatino Linotype" w:cs="Palatino Linotype"/>
          <w:i/>
          <w:color w:val="000000"/>
        </w:rPr>
      </w:pPr>
    </w:p>
    <w:p w14:paraId="08125AE8" w14:textId="77777777" w:rsidR="0054140D" w:rsidRDefault="00192493">
      <w:pPr>
        <w:pStyle w:val="Ttulo2"/>
      </w:pPr>
      <w:bookmarkStart w:id="5" w:name="_heading=h.ar7ie1xs24gr" w:colFirst="0" w:colLast="0"/>
      <w:bookmarkEnd w:id="5"/>
      <w:r>
        <w:t>IV. Trámite del Recurso de Revisión ante el Instituto</w:t>
      </w:r>
    </w:p>
    <w:p w14:paraId="4336227D" w14:textId="77777777" w:rsidR="0054140D" w:rsidRDefault="0054140D">
      <w:pPr>
        <w:spacing w:line="360" w:lineRule="auto"/>
        <w:jc w:val="both"/>
        <w:rPr>
          <w:rFonts w:ascii="Palatino Linotype" w:eastAsia="Palatino Linotype" w:hAnsi="Palatino Linotype" w:cs="Palatino Linotype"/>
          <w:b/>
          <w:color w:val="000000"/>
          <w:sz w:val="22"/>
          <w:szCs w:val="22"/>
        </w:rPr>
      </w:pPr>
    </w:p>
    <w:p w14:paraId="0ED5F5B2" w14:textId="77777777" w:rsidR="0054140D" w:rsidRDefault="00192493">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a) Turno del Recurso de Revisión. </w:t>
      </w:r>
      <w:r>
        <w:rPr>
          <w:rFonts w:ascii="Palatino Linotype" w:eastAsia="Palatino Linotype" w:hAnsi="Palatino Linotype" w:cs="Palatino Linotype"/>
          <w:color w:val="000000"/>
          <w:sz w:val="22"/>
          <w:szCs w:val="22"/>
        </w:rPr>
        <w:t xml:space="preserve">El quince de julio de dos mil veinticinco, el Sistema de Acceso a la Información Mexiquense (SAIMEX), asignó el número de expediente </w:t>
      </w:r>
      <w:r>
        <w:rPr>
          <w:rFonts w:ascii="Palatino Linotype" w:eastAsia="Palatino Linotype" w:hAnsi="Palatino Linotype" w:cs="Palatino Linotype"/>
          <w:b/>
          <w:color w:val="000000"/>
          <w:sz w:val="22"/>
          <w:szCs w:val="22"/>
        </w:rPr>
        <w:t>08591/INFOEM/IP/RR/2025</w:t>
      </w:r>
      <w:r>
        <w:rPr>
          <w:rFonts w:ascii="Palatino Linotype" w:eastAsia="Palatino Linotype" w:hAnsi="Palatino Linotype" w:cs="Palatino Linotype"/>
          <w:color w:val="000000"/>
          <w:sz w:val="22"/>
          <w:szCs w:val="22"/>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413F70CD" w14:textId="77777777" w:rsidR="0054140D" w:rsidRDefault="0054140D">
      <w:pPr>
        <w:spacing w:line="360" w:lineRule="auto"/>
        <w:jc w:val="both"/>
        <w:rPr>
          <w:rFonts w:ascii="Palatino Linotype" w:eastAsia="Palatino Linotype" w:hAnsi="Palatino Linotype" w:cs="Palatino Linotype"/>
          <w:b/>
          <w:color w:val="000000"/>
          <w:sz w:val="22"/>
          <w:szCs w:val="22"/>
        </w:rPr>
      </w:pPr>
    </w:p>
    <w:p w14:paraId="39D738B9" w14:textId="77777777" w:rsidR="0054140D" w:rsidRDefault="00192493">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b) Admisión del Recurso de Revisión. </w:t>
      </w:r>
      <w:r>
        <w:rPr>
          <w:rFonts w:ascii="Palatino Linotype" w:eastAsia="Palatino Linotype" w:hAnsi="Palatino Linotype" w:cs="Palatino Linotype"/>
          <w:color w:val="000000"/>
          <w:sz w:val="22"/>
          <w:szCs w:val="22"/>
        </w:rPr>
        <w:t>El dieciocho de julio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seis del mismo mes y año, a través del Sistema de Acceso a la Información Mexiquense (SAIMEX), en el que se les otorgó un plazo de siete días hábiles posteriores a la misma, para que manifestaran lo que a su derecho conviniera y formularan alegatos.</w:t>
      </w:r>
    </w:p>
    <w:p w14:paraId="10A7D94B" w14:textId="77777777" w:rsidR="0054140D" w:rsidRDefault="0054140D">
      <w:pPr>
        <w:spacing w:line="360" w:lineRule="auto"/>
        <w:jc w:val="both"/>
        <w:rPr>
          <w:rFonts w:ascii="Palatino Linotype" w:eastAsia="Palatino Linotype" w:hAnsi="Palatino Linotype" w:cs="Palatino Linotype"/>
          <w:color w:val="000000"/>
          <w:sz w:val="22"/>
          <w:szCs w:val="22"/>
        </w:rPr>
      </w:pPr>
    </w:p>
    <w:p w14:paraId="1247BBAF" w14:textId="77777777" w:rsidR="0054140D" w:rsidRDefault="00192493">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00000"/>
          <w:sz w:val="22"/>
          <w:szCs w:val="22"/>
        </w:rPr>
        <w:t>c)</w:t>
      </w: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b/>
          <w:sz w:val="22"/>
          <w:szCs w:val="22"/>
        </w:rPr>
        <w:t xml:space="preserve">Informe Justificado. </w:t>
      </w:r>
      <w:r>
        <w:rPr>
          <w:rFonts w:ascii="Palatino Linotype" w:eastAsia="Palatino Linotype" w:hAnsi="Palatino Linotype" w:cs="Palatino Linotype"/>
          <w:sz w:val="22"/>
          <w:szCs w:val="22"/>
        </w:rPr>
        <w:t>El veintiséis de agosto de dos mil veinticinco, se recibió, a través del SAIMEX, el Informe Justificado del Sujeto Obligado, a través del oficio suscrito por la Tesorera Municipal, por medio del cual mencionó lo siguiente:</w:t>
      </w:r>
    </w:p>
    <w:p w14:paraId="64F7ED35" w14:textId="77777777" w:rsidR="0054140D" w:rsidRDefault="0054140D">
      <w:pPr>
        <w:spacing w:line="360" w:lineRule="auto"/>
        <w:jc w:val="both"/>
        <w:rPr>
          <w:rFonts w:ascii="Palatino Linotype" w:eastAsia="Palatino Linotype" w:hAnsi="Palatino Linotype" w:cs="Palatino Linotype"/>
          <w:sz w:val="22"/>
          <w:szCs w:val="22"/>
        </w:rPr>
      </w:pPr>
    </w:p>
    <w:p w14:paraId="1653F2C8" w14:textId="77777777" w:rsidR="0054140D" w:rsidRDefault="00192493">
      <w:pPr>
        <w:spacing w:line="360" w:lineRule="auto"/>
        <w:ind w:left="708" w:right="539"/>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“Sin embargo, en este acto se le informa al recurrente que, después de realizar una búsqueda en la información Contable y Presupuestal que obra en los archivos de esta autoridad, </w:t>
      </w:r>
      <w:r>
        <w:rPr>
          <w:rFonts w:ascii="Palatino Linotype" w:eastAsia="Palatino Linotype" w:hAnsi="Palatino Linotype" w:cs="Palatino Linotype"/>
          <w:b/>
          <w:i/>
        </w:rPr>
        <w:t>no se encontró registro de erogación alguna por dicho concepto</w:t>
      </w:r>
      <w:r>
        <w:rPr>
          <w:rFonts w:ascii="Palatino Linotype" w:eastAsia="Palatino Linotype" w:hAnsi="Palatino Linotype" w:cs="Palatino Linotype"/>
          <w:i/>
        </w:rPr>
        <w:t xml:space="preserve">, ya que si bien la Guardia Nacional realizo la inauguración de dos cuarteles en el territorio de nuestro Municipio, la fuente de financiamiento, de conformidad con lo establecido en el artículo 82 de la Ley de la Guardia Nacional, publicada en el Diario Oficial de la Federación en fecha 16 de julio de 2025,cito: </w:t>
      </w:r>
    </w:p>
    <w:p w14:paraId="2D95A50B" w14:textId="77777777" w:rsidR="0054140D" w:rsidRDefault="0054140D">
      <w:pPr>
        <w:spacing w:line="360" w:lineRule="auto"/>
        <w:ind w:left="708" w:right="539"/>
        <w:jc w:val="both"/>
        <w:rPr>
          <w:rFonts w:ascii="Palatino Linotype" w:eastAsia="Palatino Linotype" w:hAnsi="Palatino Linotype" w:cs="Palatino Linotype"/>
          <w:i/>
        </w:rPr>
      </w:pPr>
    </w:p>
    <w:p w14:paraId="60E96E49" w14:textId="77777777" w:rsidR="0054140D" w:rsidRDefault="00192493">
      <w:pPr>
        <w:spacing w:line="360" w:lineRule="auto"/>
        <w:ind w:left="708" w:right="539"/>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82. Los recursos humanos, económicos y materiales necesarios para la operación de la Guardia Nacional estarán a cargo de la Federación. Excepcionalmente, los convenios de colaboración que se suscriban entre la </w:t>
      </w:r>
      <w:proofErr w:type="gramStart"/>
      <w:r>
        <w:rPr>
          <w:rFonts w:ascii="Palatino Linotype" w:eastAsia="Palatino Linotype" w:hAnsi="Palatino Linotype" w:cs="Palatino Linotype"/>
          <w:i/>
        </w:rPr>
        <w:t>Secretaria</w:t>
      </w:r>
      <w:proofErr w:type="gramEnd"/>
      <w:r>
        <w:rPr>
          <w:rFonts w:ascii="Palatino Linotype" w:eastAsia="Palatino Linotype" w:hAnsi="Palatino Linotype" w:cs="Palatino Linotype"/>
          <w:i/>
        </w:rPr>
        <w:t xml:space="preserve"> y las entidades federativas o municipios contendrán las aportaciones que, en su caso, deberán hacer éstos cuando la Guardia Nacional realice tareas de seguridad pública de competencia local."</w:t>
      </w:r>
    </w:p>
    <w:p w14:paraId="7638D7CF" w14:textId="77777777" w:rsidR="0054140D" w:rsidRDefault="0054140D">
      <w:pPr>
        <w:spacing w:line="360" w:lineRule="auto"/>
        <w:ind w:left="708" w:right="539"/>
        <w:jc w:val="both"/>
        <w:rPr>
          <w:rFonts w:ascii="Palatino Linotype" w:eastAsia="Palatino Linotype" w:hAnsi="Palatino Linotype" w:cs="Palatino Linotype"/>
          <w:i/>
        </w:rPr>
      </w:pPr>
    </w:p>
    <w:p w14:paraId="7DBC129C" w14:textId="77777777" w:rsidR="0054140D" w:rsidRDefault="00192493">
      <w:pPr>
        <w:spacing w:line="360" w:lineRule="auto"/>
        <w:ind w:left="708" w:right="539"/>
        <w:jc w:val="both"/>
        <w:rPr>
          <w:rFonts w:ascii="Palatino Linotype" w:eastAsia="Palatino Linotype" w:hAnsi="Palatino Linotype" w:cs="Palatino Linotype"/>
          <w:i/>
        </w:rPr>
      </w:pPr>
      <w:r>
        <w:rPr>
          <w:rFonts w:ascii="Palatino Linotype" w:eastAsia="Palatino Linotype" w:hAnsi="Palatino Linotype" w:cs="Palatino Linotype"/>
          <w:i/>
        </w:rPr>
        <w:t xml:space="preserve"> De lo anterior, se </w:t>
      </w:r>
      <w:r>
        <w:rPr>
          <w:rFonts w:ascii="Palatino Linotype" w:eastAsia="Palatino Linotype" w:hAnsi="Palatino Linotype" w:cs="Palatino Linotype"/>
          <w:b/>
          <w:i/>
        </w:rPr>
        <w:t>manifiesta que no se tiene registro de la celebración de convenio alguno entre la Guardia Nacional y el Municipio de Chicoloapan</w:t>
      </w:r>
      <w:r>
        <w:rPr>
          <w:rFonts w:ascii="Palatino Linotype" w:eastAsia="Palatino Linotype" w:hAnsi="Palatino Linotype" w:cs="Palatino Linotype"/>
          <w:i/>
        </w:rPr>
        <w:t xml:space="preserve">, es por ello </w:t>
      </w:r>
      <w:proofErr w:type="gramStart"/>
      <w:r>
        <w:rPr>
          <w:rFonts w:ascii="Palatino Linotype" w:eastAsia="Palatino Linotype" w:hAnsi="Palatino Linotype" w:cs="Palatino Linotype"/>
          <w:i/>
        </w:rPr>
        <w:t>que</w:t>
      </w:r>
      <w:proofErr w:type="gramEnd"/>
      <w:r>
        <w:rPr>
          <w:rFonts w:ascii="Palatino Linotype" w:eastAsia="Palatino Linotype" w:hAnsi="Palatino Linotype" w:cs="Palatino Linotype"/>
          <w:i/>
        </w:rPr>
        <w:t xml:space="preserve"> resulta meridianamente claro que, los recursos que son ejercidos para el funcionamiento de la Guardia Nacional son únicamente de Carácter Federal.</w:t>
      </w:r>
    </w:p>
    <w:p w14:paraId="3322F8F6" w14:textId="77777777" w:rsidR="0054140D" w:rsidRDefault="00192493">
      <w:pPr>
        <w:spacing w:line="360" w:lineRule="auto"/>
        <w:ind w:left="708" w:right="539"/>
        <w:jc w:val="both"/>
        <w:rPr>
          <w:rFonts w:ascii="Palatino Linotype" w:eastAsia="Palatino Linotype" w:hAnsi="Palatino Linotype" w:cs="Palatino Linotype"/>
          <w:i/>
        </w:rPr>
      </w:pPr>
      <w:r>
        <w:rPr>
          <w:rFonts w:ascii="Palatino Linotype" w:eastAsia="Palatino Linotype" w:hAnsi="Palatino Linotype" w:cs="Palatino Linotype"/>
          <w:i/>
        </w:rPr>
        <w:t>...” (Énfasis añadido)</w:t>
      </w:r>
    </w:p>
    <w:p w14:paraId="5FB5CCCF" w14:textId="77777777" w:rsidR="0054140D" w:rsidRDefault="0054140D">
      <w:pPr>
        <w:spacing w:line="360" w:lineRule="auto"/>
        <w:jc w:val="both"/>
        <w:rPr>
          <w:rFonts w:ascii="Palatino Linotype" w:eastAsia="Palatino Linotype" w:hAnsi="Palatino Linotype" w:cs="Palatino Linotype"/>
          <w:sz w:val="22"/>
          <w:szCs w:val="22"/>
        </w:rPr>
      </w:pPr>
    </w:p>
    <w:p w14:paraId="5C7EFA10" w14:textId="77777777" w:rsidR="0054140D" w:rsidRDefault="00192493">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d) Vista del Informe Justificado. </w:t>
      </w:r>
      <w:r>
        <w:rPr>
          <w:rFonts w:ascii="Palatino Linotype" w:eastAsia="Palatino Linotype" w:hAnsi="Palatino Linotype" w:cs="Palatino Linotype"/>
          <w:sz w:val="22"/>
          <w:szCs w:val="22"/>
        </w:rPr>
        <w:t>El veintiocho de agosto de dos mil veinticinco, se dictó acuerdo mediante el cual se puso a la vista del Particular el Informe Justificado, entregado por el Sujeto Obligado, así como el documento adjunto, el cual fue notificado a las partes, a través del SAIMEX.</w:t>
      </w:r>
    </w:p>
    <w:p w14:paraId="0E4C21FD" w14:textId="77777777" w:rsidR="0054140D" w:rsidRDefault="0054140D">
      <w:pPr>
        <w:spacing w:line="360" w:lineRule="auto"/>
        <w:jc w:val="both"/>
        <w:rPr>
          <w:rFonts w:ascii="Palatino Linotype" w:eastAsia="Palatino Linotype" w:hAnsi="Palatino Linotype" w:cs="Palatino Linotype"/>
          <w:sz w:val="22"/>
          <w:szCs w:val="22"/>
        </w:rPr>
      </w:pPr>
    </w:p>
    <w:p w14:paraId="19C0A926" w14:textId="77777777" w:rsidR="0054140D" w:rsidRDefault="00192493">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e) Manifestaciones de la parte Recurrente. </w:t>
      </w:r>
      <w:r>
        <w:rPr>
          <w:rFonts w:ascii="Palatino Linotype" w:eastAsia="Palatino Linotype" w:hAnsi="Palatino Linotype" w:cs="Palatino Linotype"/>
          <w:sz w:val="22"/>
          <w:szCs w:val="22"/>
        </w:rPr>
        <w:t xml:space="preserve">De las constancias que obran en el SAIMEX, se advierte que la parte Recurrente no añadió manifestaciones. </w:t>
      </w:r>
    </w:p>
    <w:p w14:paraId="0F25E02A" w14:textId="77777777" w:rsidR="0054140D" w:rsidRDefault="0054140D">
      <w:pPr>
        <w:spacing w:line="360" w:lineRule="auto"/>
        <w:jc w:val="both"/>
        <w:rPr>
          <w:rFonts w:ascii="Palatino Linotype" w:eastAsia="Palatino Linotype" w:hAnsi="Palatino Linotype" w:cs="Palatino Linotype"/>
          <w:b/>
          <w:sz w:val="22"/>
          <w:szCs w:val="22"/>
        </w:rPr>
      </w:pPr>
    </w:p>
    <w:p w14:paraId="3B155811" w14:textId="77777777" w:rsidR="0054140D" w:rsidRDefault="00192493">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lastRenderedPageBreak/>
        <w:t xml:space="preserve">f) Cierre de instrucción. </w:t>
      </w:r>
      <w:r>
        <w:rPr>
          <w:rFonts w:ascii="Palatino Linotype" w:eastAsia="Palatino Linotype" w:hAnsi="Palatino Linotype" w:cs="Palatino Linotype"/>
          <w:sz w:val="22"/>
          <w:szCs w:val="22"/>
        </w:rPr>
        <w:t xml:space="preserve">El tres de septiembre de dos mil veinticinco,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3CE04F7B" w14:textId="77777777" w:rsidR="0054140D" w:rsidRDefault="0054140D">
      <w:pPr>
        <w:spacing w:line="360" w:lineRule="auto"/>
        <w:jc w:val="both"/>
        <w:rPr>
          <w:rFonts w:ascii="Palatino Linotype" w:eastAsia="Palatino Linotype" w:hAnsi="Palatino Linotype" w:cs="Palatino Linotype"/>
          <w:b/>
          <w:sz w:val="22"/>
          <w:szCs w:val="22"/>
        </w:rPr>
      </w:pPr>
    </w:p>
    <w:p w14:paraId="0455EA38" w14:textId="77777777" w:rsidR="0054140D" w:rsidRDefault="00192493">
      <w:pPr>
        <w:spacing w:line="360" w:lineRule="auto"/>
        <w:jc w:val="both"/>
        <w:rPr>
          <w:rFonts w:ascii="Palatino Linotype" w:eastAsia="Palatino Linotype" w:hAnsi="Palatino Linotype" w:cs="Palatino Linotype"/>
          <w:color w:val="000000"/>
          <w:sz w:val="22"/>
          <w:szCs w:val="22"/>
        </w:rPr>
      </w:pPr>
      <w:proofErr w:type="gramStart"/>
      <w:r>
        <w:rPr>
          <w:rFonts w:ascii="Palatino Linotype" w:eastAsia="Palatino Linotype" w:hAnsi="Palatino Linotype" w:cs="Palatino Linotype"/>
          <w:color w:val="000000"/>
          <w:sz w:val="22"/>
          <w:szCs w:val="22"/>
        </w:rPr>
        <w:t>En razón de</w:t>
      </w:r>
      <w:proofErr w:type="gramEnd"/>
      <w:r>
        <w:rPr>
          <w:rFonts w:ascii="Palatino Linotype" w:eastAsia="Palatino Linotype" w:hAnsi="Palatino Linotype" w:cs="Palatino Linotype"/>
          <w:color w:val="000000"/>
          <w:sz w:val="22"/>
          <w:szCs w:val="22"/>
        </w:rPr>
        <w:t xml:space="preserve"> que fue debidamente sustanciado el expediente electrónico y no existe diligencia pendiente de desahogo, se emite la Resolución que conforme a Derecho proceda, de acuerdo con los siguientes: </w:t>
      </w:r>
    </w:p>
    <w:p w14:paraId="6F071339" w14:textId="77777777" w:rsidR="0054140D" w:rsidRDefault="0054140D">
      <w:pPr>
        <w:spacing w:line="360" w:lineRule="auto"/>
        <w:jc w:val="both"/>
        <w:rPr>
          <w:rFonts w:ascii="Palatino Linotype" w:eastAsia="Palatino Linotype" w:hAnsi="Palatino Linotype" w:cs="Palatino Linotype"/>
          <w:color w:val="000000"/>
          <w:sz w:val="22"/>
          <w:szCs w:val="22"/>
        </w:rPr>
      </w:pPr>
    </w:p>
    <w:p w14:paraId="7D796A57" w14:textId="77777777" w:rsidR="0054140D" w:rsidRDefault="00192493">
      <w:pPr>
        <w:pStyle w:val="Ttulo1"/>
      </w:pPr>
      <w:bookmarkStart w:id="6" w:name="_heading=h.85ggcaz8un6w" w:colFirst="0" w:colLast="0"/>
      <w:bookmarkEnd w:id="6"/>
      <w:r>
        <w:t>C O N S I D E R A N D O S</w:t>
      </w:r>
    </w:p>
    <w:p w14:paraId="35F17687" w14:textId="77777777" w:rsidR="0054140D" w:rsidRDefault="0054140D">
      <w:pPr>
        <w:spacing w:line="360" w:lineRule="auto"/>
        <w:jc w:val="both"/>
        <w:rPr>
          <w:rFonts w:ascii="Palatino Linotype" w:eastAsia="Palatino Linotype" w:hAnsi="Palatino Linotype" w:cs="Palatino Linotype"/>
          <w:b/>
          <w:sz w:val="22"/>
          <w:szCs w:val="22"/>
        </w:rPr>
      </w:pPr>
    </w:p>
    <w:p w14:paraId="0B5CFAAE" w14:textId="77777777" w:rsidR="0054140D" w:rsidRDefault="00192493">
      <w:pPr>
        <w:pStyle w:val="Ttulo2"/>
      </w:pPr>
      <w:bookmarkStart w:id="7" w:name="_heading=h.31v5havkl1d3" w:colFirst="0" w:colLast="0"/>
      <w:bookmarkEnd w:id="7"/>
      <w:r>
        <w:t>PRIMERO. Competencia</w:t>
      </w:r>
    </w:p>
    <w:p w14:paraId="09098C54" w14:textId="77777777" w:rsidR="0054140D" w:rsidRDefault="0054140D">
      <w:pPr>
        <w:spacing w:line="360" w:lineRule="auto"/>
        <w:jc w:val="both"/>
        <w:rPr>
          <w:rFonts w:ascii="Palatino Linotype" w:eastAsia="Palatino Linotype" w:hAnsi="Palatino Linotype" w:cs="Palatino Linotype"/>
          <w:b/>
          <w:sz w:val="22"/>
          <w:szCs w:val="22"/>
        </w:rPr>
      </w:pPr>
    </w:p>
    <w:p w14:paraId="4E591EF3" w14:textId="77777777" w:rsidR="0054140D" w:rsidRDefault="00192493">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C051F1A" w14:textId="77777777" w:rsidR="0054140D" w:rsidRDefault="0054140D">
      <w:pPr>
        <w:spacing w:line="360" w:lineRule="auto"/>
        <w:jc w:val="both"/>
        <w:rPr>
          <w:rFonts w:ascii="Palatino Linotype" w:eastAsia="Palatino Linotype" w:hAnsi="Palatino Linotype" w:cs="Palatino Linotype"/>
          <w:color w:val="000000"/>
          <w:sz w:val="22"/>
          <w:szCs w:val="22"/>
        </w:rPr>
      </w:pPr>
    </w:p>
    <w:p w14:paraId="7B870594" w14:textId="77777777" w:rsidR="0054140D" w:rsidRDefault="00192493">
      <w:pPr>
        <w:pStyle w:val="Ttulo2"/>
      </w:pPr>
      <w:bookmarkStart w:id="8" w:name="_heading=h.ff8j6ctkm6ed" w:colFirst="0" w:colLast="0"/>
      <w:bookmarkEnd w:id="8"/>
      <w:r>
        <w:lastRenderedPageBreak/>
        <w:t xml:space="preserve">SEGUNDO. Causales de improcedencia </w:t>
      </w:r>
    </w:p>
    <w:p w14:paraId="05EDF681" w14:textId="77777777" w:rsidR="0054140D" w:rsidRDefault="0054140D">
      <w:pPr>
        <w:spacing w:line="360" w:lineRule="auto"/>
        <w:jc w:val="both"/>
        <w:rPr>
          <w:rFonts w:ascii="Palatino Linotype" w:eastAsia="Palatino Linotype" w:hAnsi="Palatino Linotype" w:cs="Palatino Linotype"/>
          <w:sz w:val="22"/>
          <w:szCs w:val="22"/>
        </w:rPr>
      </w:pPr>
    </w:p>
    <w:p w14:paraId="15167088" w14:textId="77777777" w:rsidR="0054140D" w:rsidRDefault="00192493">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r>
        <w:rPr>
          <w:rFonts w:ascii="Palatino Linotype" w:eastAsia="Palatino Linotype" w:hAnsi="Palatino Linotype" w:cs="Palatino Linotype"/>
          <w:i/>
          <w:sz w:val="22"/>
          <w:szCs w:val="22"/>
        </w:rPr>
        <w:t>litis</w:t>
      </w:r>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18E7D7B1" w14:textId="77777777" w:rsidR="0054140D" w:rsidRDefault="0054140D">
      <w:pPr>
        <w:spacing w:line="360" w:lineRule="auto"/>
        <w:jc w:val="both"/>
        <w:rPr>
          <w:rFonts w:ascii="Palatino Linotype" w:eastAsia="Palatino Linotype" w:hAnsi="Palatino Linotype" w:cs="Palatino Linotype"/>
          <w:sz w:val="22"/>
          <w:szCs w:val="22"/>
        </w:rPr>
      </w:pPr>
    </w:p>
    <w:p w14:paraId="114A6351" w14:textId="77777777" w:rsidR="0054140D" w:rsidRDefault="00192493">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14:paraId="6DD0CEE0" w14:textId="77777777" w:rsidR="0054140D" w:rsidRDefault="0054140D">
      <w:pPr>
        <w:spacing w:line="360" w:lineRule="auto"/>
        <w:jc w:val="both"/>
        <w:rPr>
          <w:rFonts w:ascii="Palatino Linotype" w:eastAsia="Palatino Linotype" w:hAnsi="Palatino Linotype" w:cs="Palatino Linotype"/>
          <w:sz w:val="22"/>
          <w:szCs w:val="22"/>
        </w:rPr>
      </w:pPr>
    </w:p>
    <w:p w14:paraId="7E9D46E8" w14:textId="77777777" w:rsidR="0054140D" w:rsidRDefault="00192493">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2B622E5" w14:textId="77777777" w:rsidR="0054140D" w:rsidRDefault="0054140D">
      <w:pPr>
        <w:spacing w:line="360" w:lineRule="auto"/>
        <w:jc w:val="both"/>
        <w:rPr>
          <w:rFonts w:ascii="Palatino Linotype" w:eastAsia="Palatino Linotype" w:hAnsi="Palatino Linotype" w:cs="Palatino Linotype"/>
          <w:sz w:val="22"/>
          <w:szCs w:val="22"/>
        </w:rPr>
      </w:pPr>
    </w:p>
    <w:p w14:paraId="5065ABB1" w14:textId="77777777" w:rsidR="0054140D" w:rsidRDefault="00192493">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el presente caso, </w:t>
      </w:r>
      <w:r>
        <w:rPr>
          <w:rFonts w:ascii="Palatino Linotype" w:eastAsia="Palatino Linotype" w:hAnsi="Palatino Linotype" w:cs="Palatino Linotype"/>
          <w:b/>
          <w:sz w:val="22"/>
          <w:szCs w:val="22"/>
        </w:rPr>
        <w:t>no se actualiza ninguna de las causales de improcedencia</w:t>
      </w:r>
      <w:r>
        <w:rPr>
          <w:rFonts w:ascii="Palatino Linotype" w:eastAsia="Palatino Linotype" w:hAnsi="Palatino Linotype" w:cs="Palatino Linotype"/>
          <w:sz w:val="22"/>
          <w:szCs w:val="22"/>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 Además, de que el Medios de Impugnación fue presentado en tiempo.</w:t>
      </w:r>
    </w:p>
    <w:p w14:paraId="677892EB" w14:textId="77777777" w:rsidR="0054140D" w:rsidRDefault="0054140D">
      <w:pPr>
        <w:spacing w:line="360" w:lineRule="auto"/>
        <w:jc w:val="both"/>
        <w:rPr>
          <w:rFonts w:ascii="Palatino Linotype" w:eastAsia="Palatino Linotype" w:hAnsi="Palatino Linotype" w:cs="Palatino Linotype"/>
          <w:sz w:val="22"/>
          <w:szCs w:val="22"/>
        </w:rPr>
      </w:pPr>
    </w:p>
    <w:p w14:paraId="17A9379C" w14:textId="77777777" w:rsidR="0054140D" w:rsidRDefault="00192493">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Es preciso señalar que en el presente caso la parte Recurrente se inconformó por la negativa a la entrega de la información, por lo que, se actualiza la causal de procedencia señalada en el artículo 179, fracción I, de la Ley de la materia.</w:t>
      </w:r>
    </w:p>
    <w:p w14:paraId="51C72746" w14:textId="77777777" w:rsidR="0054140D" w:rsidRDefault="0054140D">
      <w:pPr>
        <w:spacing w:line="360" w:lineRule="auto"/>
        <w:jc w:val="both"/>
        <w:rPr>
          <w:rFonts w:ascii="Palatino Linotype" w:eastAsia="Palatino Linotype" w:hAnsi="Palatino Linotype" w:cs="Palatino Linotype"/>
          <w:sz w:val="22"/>
          <w:szCs w:val="22"/>
        </w:rPr>
      </w:pPr>
    </w:p>
    <w:p w14:paraId="603A8CD5" w14:textId="77777777" w:rsidR="0054140D" w:rsidRDefault="00192493">
      <w:pPr>
        <w:pStyle w:val="Ttulo2"/>
        <w:jc w:val="both"/>
      </w:pPr>
      <w:bookmarkStart w:id="9" w:name="_heading=h.z3bjee9z4sgr" w:colFirst="0" w:colLast="0"/>
      <w:bookmarkEnd w:id="9"/>
      <w:r>
        <w:t>TERCERO. Causales de sobreseimiento</w:t>
      </w:r>
    </w:p>
    <w:p w14:paraId="4139B081" w14:textId="77777777" w:rsidR="0054140D" w:rsidRDefault="0054140D">
      <w:pPr>
        <w:spacing w:line="360" w:lineRule="auto"/>
        <w:jc w:val="both"/>
        <w:rPr>
          <w:rFonts w:ascii="Palatino Linotype" w:eastAsia="Palatino Linotype" w:hAnsi="Palatino Linotype" w:cs="Palatino Linotype"/>
          <w:color w:val="0D0D0D"/>
          <w:sz w:val="22"/>
          <w:szCs w:val="22"/>
        </w:rPr>
      </w:pPr>
    </w:p>
    <w:p w14:paraId="5D3518A2" w14:textId="77777777" w:rsidR="0054140D" w:rsidRDefault="00192493">
      <w:pP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Por ser de previo y especial pronunciamiento, este Instituto analiza si se actualiza alguna causal de sobreseimiento.</w:t>
      </w:r>
    </w:p>
    <w:p w14:paraId="58FEDB89" w14:textId="77777777" w:rsidR="0054140D" w:rsidRDefault="0054140D">
      <w:pPr>
        <w:spacing w:line="360" w:lineRule="auto"/>
        <w:jc w:val="both"/>
        <w:rPr>
          <w:rFonts w:ascii="Palatino Linotype" w:eastAsia="Palatino Linotype" w:hAnsi="Palatino Linotype" w:cs="Palatino Linotype"/>
          <w:color w:val="0D0D0D"/>
          <w:sz w:val="22"/>
          <w:szCs w:val="22"/>
        </w:rPr>
      </w:pPr>
    </w:p>
    <w:p w14:paraId="44390B0F" w14:textId="77777777" w:rsidR="0054140D" w:rsidRDefault="00192493">
      <w:pP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actualizan los supuestos de sobreseimiento previstos en las fracciones I, II, IV, V del artículo en comento, lo anterior, en virtud de que no hay constancias en el expediente en que se actúa, de que el Recurrente se haya desistido del recurso, haya fallecido, sobreviniera alguna causal de improcedencia. , o bien, por cualquier motivo quede sin materia el Recurso de Revisión. </w:t>
      </w:r>
    </w:p>
    <w:p w14:paraId="5B6A14B1" w14:textId="77777777" w:rsidR="0054140D" w:rsidRDefault="0054140D">
      <w:pPr>
        <w:spacing w:line="360" w:lineRule="auto"/>
        <w:jc w:val="both"/>
        <w:rPr>
          <w:rFonts w:ascii="Palatino Linotype" w:eastAsia="Palatino Linotype" w:hAnsi="Palatino Linotype" w:cs="Palatino Linotype"/>
          <w:color w:val="0D0D0D"/>
          <w:sz w:val="22"/>
          <w:szCs w:val="22"/>
        </w:rPr>
      </w:pPr>
    </w:p>
    <w:p w14:paraId="0FA8A6C4" w14:textId="77777777" w:rsidR="0054140D" w:rsidRDefault="00192493">
      <w:pP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Ahora bien, por lo que hace a la fracción III, del artículo 192, de la Ley de la materia, que tiene lugar cuando el Sujeto Obligado haya modificado o revocado su respuesta y el Recurso de Revisión quede sin materia, este Organismo Garante advierte elementos suficientes para analizar dicho supuesto.</w:t>
      </w:r>
    </w:p>
    <w:p w14:paraId="54126639" w14:textId="77777777" w:rsidR="0054140D" w:rsidRDefault="0054140D">
      <w:pPr>
        <w:spacing w:line="360" w:lineRule="auto"/>
        <w:jc w:val="both"/>
        <w:rPr>
          <w:rFonts w:ascii="Palatino Linotype" w:eastAsia="Palatino Linotype" w:hAnsi="Palatino Linotype" w:cs="Palatino Linotype"/>
          <w:color w:val="0D0D0D"/>
          <w:sz w:val="22"/>
          <w:szCs w:val="22"/>
        </w:rPr>
      </w:pPr>
    </w:p>
    <w:p w14:paraId="218A3E01" w14:textId="29C4565B" w:rsidR="0054140D" w:rsidRDefault="00192493" w:rsidP="00A430A5">
      <w:pPr>
        <w:spacing w:line="360" w:lineRule="auto"/>
        <w:jc w:val="both"/>
        <w:rPr>
          <w:rFonts w:ascii="Palatino Linotype" w:eastAsia="Palatino Linotype" w:hAnsi="Palatino Linotype" w:cs="Palatino Linotype"/>
          <w:b/>
          <w:color w:val="0D0D0D"/>
          <w:sz w:val="22"/>
          <w:szCs w:val="22"/>
        </w:rPr>
      </w:pPr>
      <w:r>
        <w:rPr>
          <w:rFonts w:ascii="Palatino Linotype" w:eastAsia="Palatino Linotype" w:hAnsi="Palatino Linotype" w:cs="Palatino Linotype"/>
          <w:color w:val="0D0D0D"/>
          <w:sz w:val="22"/>
          <w:szCs w:val="22"/>
        </w:rPr>
        <w:t xml:space="preserve">Para ello, es preciso contextualizar la solicitud de información, dado que la parte Recurrente pretende conocer </w:t>
      </w:r>
      <w:r w:rsidR="00A430A5">
        <w:rPr>
          <w:rFonts w:ascii="Palatino Linotype" w:eastAsia="Palatino Linotype" w:hAnsi="Palatino Linotype" w:cs="Palatino Linotype"/>
          <w:color w:val="0D0D0D"/>
          <w:sz w:val="22"/>
          <w:szCs w:val="22"/>
        </w:rPr>
        <w:t>el costo</w:t>
      </w:r>
      <w:r>
        <w:rPr>
          <w:rFonts w:ascii="Palatino Linotype" w:eastAsia="Palatino Linotype" w:hAnsi="Palatino Linotype" w:cs="Palatino Linotype"/>
          <w:b/>
          <w:color w:val="0D0D0D"/>
          <w:sz w:val="22"/>
          <w:szCs w:val="22"/>
        </w:rPr>
        <w:t xml:space="preserve"> </w:t>
      </w:r>
      <w:r w:rsidRPr="00A430A5">
        <w:rPr>
          <w:rFonts w:ascii="Palatino Linotype" w:eastAsia="Palatino Linotype" w:hAnsi="Palatino Linotype" w:cs="Palatino Linotype"/>
          <w:bCs/>
          <w:color w:val="0D0D0D"/>
          <w:sz w:val="22"/>
          <w:szCs w:val="22"/>
        </w:rPr>
        <w:t xml:space="preserve">económico semanal que eroga el Sujeto Obligado a favor de la Guardia Nacional para tener apoyo de patrullajes dentro del Municipio. </w:t>
      </w:r>
    </w:p>
    <w:p w14:paraId="4F79800F" w14:textId="77777777" w:rsidR="0054140D" w:rsidRDefault="0054140D">
      <w:pPr>
        <w:tabs>
          <w:tab w:val="left" w:pos="4962"/>
        </w:tabs>
        <w:spacing w:line="360" w:lineRule="auto"/>
        <w:jc w:val="both"/>
        <w:rPr>
          <w:rFonts w:ascii="Palatino Linotype" w:eastAsia="Palatino Linotype" w:hAnsi="Palatino Linotype" w:cs="Palatino Linotype"/>
          <w:color w:val="000000"/>
          <w:sz w:val="22"/>
          <w:szCs w:val="22"/>
        </w:rPr>
      </w:pPr>
    </w:p>
    <w:p w14:paraId="0332952C" w14:textId="77777777" w:rsidR="0054140D" w:rsidRDefault="00192493">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Al respecto, es menester precisar que, de conformidad con el Bando Municipal del Sujeto Obligado vigente al momento de la solicitud, en su artículo 52, prevé que dentro de la estructura orgánica del Sujeto Obligado se cuenta con una Tesorería Municipal. </w:t>
      </w:r>
    </w:p>
    <w:p w14:paraId="469164AB" w14:textId="77777777" w:rsidR="0054140D" w:rsidRDefault="0054140D">
      <w:pPr>
        <w:tabs>
          <w:tab w:val="left" w:pos="4962"/>
        </w:tabs>
        <w:spacing w:line="360" w:lineRule="auto"/>
        <w:jc w:val="both"/>
        <w:rPr>
          <w:rFonts w:ascii="Palatino Linotype" w:eastAsia="Palatino Linotype" w:hAnsi="Palatino Linotype" w:cs="Palatino Linotype"/>
          <w:color w:val="000000"/>
          <w:sz w:val="22"/>
          <w:szCs w:val="22"/>
        </w:rPr>
      </w:pPr>
    </w:p>
    <w:p w14:paraId="52CFC9FE" w14:textId="77777777" w:rsidR="0054140D" w:rsidRDefault="00192493">
      <w:pPr>
        <w:tabs>
          <w:tab w:val="left" w:pos="4962"/>
        </w:tabs>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Por su parte, los artículos 92 y 95 de la Ley Orgánica Municipal del Estado de México prevé que la Tesorería Municipal es el órgano encargado de la recaudación y responsable de realizar las erogaciones que haga el Ayuntamiento y dentro de sus atribuciones, se encuentra la de administrar la hacienda pública municipal, así como llevar los registros contables, financieros y administrativos de los ingresos, egresos, e inventarios, </w:t>
      </w:r>
      <w:r>
        <w:rPr>
          <w:rFonts w:ascii="Palatino Linotype" w:eastAsia="Palatino Linotype" w:hAnsi="Palatino Linotype" w:cs="Palatino Linotype"/>
          <w:b/>
          <w:color w:val="000000"/>
          <w:sz w:val="22"/>
          <w:szCs w:val="22"/>
        </w:rPr>
        <w:t xml:space="preserve"> por lo que se advierte que la Tesorería Municipal es el área encargada de conocer de los egresos realizados por el Sujeto Obligado. </w:t>
      </w:r>
    </w:p>
    <w:p w14:paraId="0884E5E6" w14:textId="77777777" w:rsidR="0054140D" w:rsidRDefault="0054140D">
      <w:pPr>
        <w:tabs>
          <w:tab w:val="left" w:pos="4962"/>
        </w:tabs>
        <w:spacing w:line="360" w:lineRule="auto"/>
        <w:jc w:val="both"/>
        <w:rPr>
          <w:rFonts w:ascii="Palatino Linotype" w:eastAsia="Palatino Linotype" w:hAnsi="Palatino Linotype" w:cs="Palatino Linotype"/>
          <w:color w:val="000000"/>
          <w:sz w:val="22"/>
          <w:szCs w:val="22"/>
        </w:rPr>
      </w:pPr>
    </w:p>
    <w:p w14:paraId="6D746D1D" w14:textId="77777777" w:rsidR="0054140D" w:rsidRDefault="00192493">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 xml:space="preserve">En este contexto normativo, se procede a analizar la respuesta, en el que se pronunció </w:t>
      </w:r>
      <w:r>
        <w:rPr>
          <w:rFonts w:ascii="Palatino Linotype" w:eastAsia="Palatino Linotype" w:hAnsi="Palatino Linotype" w:cs="Palatino Linotype"/>
          <w:sz w:val="22"/>
          <w:szCs w:val="22"/>
        </w:rPr>
        <w:t xml:space="preserve">el </w:t>
      </w:r>
      <w:proofErr w:type="gramStart"/>
      <w:r>
        <w:rPr>
          <w:rFonts w:ascii="Palatino Linotype" w:eastAsia="Palatino Linotype" w:hAnsi="Palatino Linotype" w:cs="Palatino Linotype"/>
          <w:sz w:val="22"/>
          <w:szCs w:val="22"/>
        </w:rPr>
        <w:t>Director</w:t>
      </w:r>
      <w:proofErr w:type="gramEnd"/>
      <w:r>
        <w:rPr>
          <w:rFonts w:ascii="Palatino Linotype" w:eastAsia="Palatino Linotype" w:hAnsi="Palatino Linotype" w:cs="Palatino Linotype"/>
          <w:sz w:val="22"/>
          <w:szCs w:val="22"/>
        </w:rPr>
        <w:t xml:space="preserve"> de Seguridad pública y Movilidad del Sujeto Obligado, en el que señaló que no tiene competencia para conocer de los recursos económicos de la administración pública municipal, y señaló que el componente es la Tesorería Municipal. En atención a ello, se advierte que en un primer momento el Sujeto Obligado no siguió debidamente el proceso de búsqueda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con el objeto de que dichas áreas realicen una búsqueda exhaustiva y razonable de la información requerido, puesto que en respuesta no se pronunció el área componente.</w:t>
      </w:r>
    </w:p>
    <w:p w14:paraId="268AD318" w14:textId="77777777" w:rsidR="0054140D" w:rsidRDefault="0054140D">
      <w:pPr>
        <w:tabs>
          <w:tab w:val="left" w:pos="4962"/>
        </w:tabs>
        <w:spacing w:line="360" w:lineRule="auto"/>
        <w:jc w:val="both"/>
        <w:rPr>
          <w:rFonts w:ascii="Palatino Linotype" w:eastAsia="Palatino Linotype" w:hAnsi="Palatino Linotype" w:cs="Palatino Linotype"/>
          <w:sz w:val="22"/>
          <w:szCs w:val="22"/>
        </w:rPr>
      </w:pPr>
    </w:p>
    <w:p w14:paraId="36D10661" w14:textId="77777777" w:rsidR="0054140D" w:rsidRDefault="00192493">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Así pues, hasta </w:t>
      </w:r>
      <w:r>
        <w:rPr>
          <w:rFonts w:ascii="Palatino Linotype" w:eastAsia="Palatino Linotype" w:hAnsi="Palatino Linotype" w:cs="Palatino Linotype"/>
          <w:b/>
          <w:sz w:val="22"/>
          <w:szCs w:val="22"/>
        </w:rPr>
        <w:t>ahora el motivo de agravio resultaba FUNDADO</w:t>
      </w:r>
      <w:r>
        <w:rPr>
          <w:rFonts w:ascii="Palatino Linotype" w:eastAsia="Palatino Linotype" w:hAnsi="Palatino Linotype" w:cs="Palatino Linotype"/>
          <w:sz w:val="22"/>
          <w:szCs w:val="22"/>
        </w:rPr>
        <w:t xml:space="preserve">, sin embargo, durante la sustanciación del Recurso de Revisión el Sujeto Obligado rindió informe justificado en el que se pronunció la Tesorería Municipal, con lo que </w:t>
      </w:r>
      <w:r>
        <w:rPr>
          <w:rFonts w:ascii="Palatino Linotype" w:eastAsia="Palatino Linotype" w:hAnsi="Palatino Linotype" w:cs="Palatino Linotype"/>
          <w:b/>
          <w:sz w:val="22"/>
          <w:szCs w:val="22"/>
        </w:rPr>
        <w:t>modificó su respuesta inicial</w:t>
      </w:r>
      <w:r>
        <w:rPr>
          <w:rFonts w:ascii="Palatino Linotype" w:eastAsia="Palatino Linotype" w:hAnsi="Palatino Linotype" w:cs="Palatino Linotype"/>
          <w:sz w:val="22"/>
          <w:szCs w:val="22"/>
        </w:rPr>
        <w:t xml:space="preserve">. </w:t>
      </w:r>
    </w:p>
    <w:p w14:paraId="0BEE75BB" w14:textId="77777777" w:rsidR="0054140D" w:rsidRDefault="0054140D">
      <w:pPr>
        <w:tabs>
          <w:tab w:val="left" w:pos="4962"/>
        </w:tabs>
        <w:spacing w:line="360" w:lineRule="auto"/>
        <w:jc w:val="both"/>
        <w:rPr>
          <w:rFonts w:ascii="Palatino Linotype" w:eastAsia="Palatino Linotype" w:hAnsi="Palatino Linotype" w:cs="Palatino Linotype"/>
          <w:color w:val="000000"/>
          <w:sz w:val="22"/>
          <w:szCs w:val="22"/>
        </w:rPr>
      </w:pPr>
    </w:p>
    <w:p w14:paraId="56274D24" w14:textId="77777777" w:rsidR="0054140D" w:rsidRDefault="00192493">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 xml:space="preserve">En este tenor, es preciso señalar que, en atención al proceso de búsqueda, en informe justificado se pronunció la </w:t>
      </w:r>
      <w:r>
        <w:rPr>
          <w:rFonts w:ascii="Palatino Linotype" w:eastAsia="Palatino Linotype" w:hAnsi="Palatino Linotype" w:cs="Palatino Linotype"/>
          <w:b/>
          <w:color w:val="000000"/>
          <w:sz w:val="22"/>
          <w:szCs w:val="22"/>
        </w:rPr>
        <w:t xml:space="preserve">Tesorería Municipal, con lo que modificó su respuesta y cumplió con el proceso de búsqueda </w:t>
      </w:r>
      <w:r>
        <w:rPr>
          <w:rFonts w:ascii="Palatino Linotype" w:eastAsia="Palatino Linotype" w:hAnsi="Palatino Linotype" w:cs="Palatino Linotype"/>
          <w:sz w:val="22"/>
          <w:szCs w:val="22"/>
        </w:rPr>
        <w:t>previsto en el artículo 162 de la Ley de Transparencia y Acceso a la Información Pública del Estado de México y Municipios, puesto que, de conformidad con lo señalado en líneas anteriores la Tesorería Municipal es el área competente para conocer de la información.</w:t>
      </w:r>
    </w:p>
    <w:p w14:paraId="3CC73F7C" w14:textId="77777777" w:rsidR="0054140D" w:rsidRDefault="0054140D">
      <w:pPr>
        <w:tabs>
          <w:tab w:val="left" w:pos="4962"/>
        </w:tabs>
        <w:spacing w:line="360" w:lineRule="auto"/>
        <w:jc w:val="both"/>
        <w:rPr>
          <w:rFonts w:ascii="Palatino Linotype" w:eastAsia="Palatino Linotype" w:hAnsi="Palatino Linotype" w:cs="Palatino Linotype"/>
          <w:color w:val="000000"/>
          <w:sz w:val="22"/>
          <w:szCs w:val="22"/>
        </w:rPr>
      </w:pPr>
    </w:p>
    <w:p w14:paraId="42DB56FB" w14:textId="77777777" w:rsidR="0054140D" w:rsidRDefault="00192493">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este sentido, cabe precisar que la </w:t>
      </w:r>
      <w:r>
        <w:rPr>
          <w:rFonts w:ascii="Palatino Linotype" w:eastAsia="Palatino Linotype" w:hAnsi="Palatino Linotype" w:cs="Palatino Linotype"/>
          <w:b/>
          <w:color w:val="000000"/>
          <w:sz w:val="22"/>
          <w:szCs w:val="22"/>
        </w:rPr>
        <w:t>Tesorera Municipal, informó expresamente que, al realizar la búsqueda en la información contable y presupuestal, no se encontró registro de erogación alguna por el concepto señalado en la solicitud</w:t>
      </w:r>
      <w:r>
        <w:rPr>
          <w:rFonts w:ascii="Palatino Linotype" w:eastAsia="Palatino Linotype" w:hAnsi="Palatino Linotype" w:cs="Palatino Linotype"/>
          <w:color w:val="000000"/>
          <w:sz w:val="22"/>
          <w:szCs w:val="22"/>
        </w:rPr>
        <w:t xml:space="preserve"> y además indicó que no se cuenta con ningún convenio entre la Guardia Nacional y el Municipio de Chicoloapan, con lo que se advierte que el área competente señaló que no cuenta con ninguna erogación por el motivo señalado en la solicitud.</w:t>
      </w:r>
    </w:p>
    <w:p w14:paraId="73A4BA57" w14:textId="77777777" w:rsidR="0054140D" w:rsidRDefault="0054140D">
      <w:pPr>
        <w:tabs>
          <w:tab w:val="left" w:pos="4962"/>
        </w:tabs>
        <w:spacing w:line="360" w:lineRule="auto"/>
        <w:jc w:val="both"/>
        <w:rPr>
          <w:rFonts w:ascii="Palatino Linotype" w:eastAsia="Palatino Linotype" w:hAnsi="Palatino Linotype" w:cs="Palatino Linotype"/>
          <w:color w:val="000000"/>
          <w:sz w:val="22"/>
          <w:szCs w:val="22"/>
        </w:rPr>
      </w:pPr>
    </w:p>
    <w:p w14:paraId="118D8FAC" w14:textId="77777777" w:rsidR="0054140D" w:rsidRDefault="00192493">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 xml:space="preserve">Sobre el tema, el Criterio orientador, con clave de control SO/014/2017, emitido por el entonces Instituto Nacional de Transparencia, Acceso a la Información Pública y Protección de Datos Personales en el Estado de México y Municipios, vigente a la fecha de la solicitud, se desprende que la inexistencia de la </w:t>
      </w:r>
      <w:proofErr w:type="gramStart"/>
      <w:r>
        <w:rPr>
          <w:rFonts w:ascii="Palatino Linotype" w:eastAsia="Palatino Linotype" w:hAnsi="Palatino Linotype" w:cs="Palatino Linotype"/>
          <w:color w:val="000000"/>
          <w:sz w:val="22"/>
          <w:szCs w:val="22"/>
        </w:rPr>
        <w:t>información,</w:t>
      </w:r>
      <w:proofErr w:type="gramEnd"/>
      <w:r>
        <w:rPr>
          <w:rFonts w:ascii="Palatino Linotype" w:eastAsia="Palatino Linotype" w:hAnsi="Palatino Linotype" w:cs="Palatino Linotype"/>
          <w:color w:val="000000"/>
          <w:sz w:val="22"/>
          <w:szCs w:val="22"/>
        </w:rPr>
        <w:t xml:space="preserve"> es una cuestión de hecho que se le atribuye a la misma, cuando ésta no se encuentra en los archivos del sujeto obligado. </w:t>
      </w:r>
    </w:p>
    <w:p w14:paraId="7ECD7AE5" w14:textId="77777777" w:rsidR="0054140D" w:rsidRDefault="0054140D">
      <w:pPr>
        <w:spacing w:line="360" w:lineRule="auto"/>
        <w:jc w:val="both"/>
        <w:rPr>
          <w:rFonts w:ascii="Palatino Linotype" w:eastAsia="Palatino Linotype" w:hAnsi="Palatino Linotype" w:cs="Palatino Linotype"/>
          <w:color w:val="000000"/>
          <w:sz w:val="22"/>
          <w:szCs w:val="22"/>
        </w:rPr>
      </w:pPr>
    </w:p>
    <w:p w14:paraId="2BF092FC" w14:textId="77777777" w:rsidR="0054140D" w:rsidRDefault="00192493">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ese orden de ideas, según Trujillo, Humberto (2019), en el “Diccionario de Transparencia y Acceso a la Información Pública” (p. 171), la inexistencia de la </w:t>
      </w:r>
      <w:proofErr w:type="gramStart"/>
      <w:r>
        <w:rPr>
          <w:rFonts w:ascii="Palatino Linotype" w:eastAsia="Palatino Linotype" w:hAnsi="Palatino Linotype" w:cs="Palatino Linotype"/>
          <w:color w:val="000000"/>
          <w:sz w:val="22"/>
          <w:szCs w:val="22"/>
        </w:rPr>
        <w:t>información,</w:t>
      </w:r>
      <w:proofErr w:type="gramEnd"/>
      <w:r>
        <w:rPr>
          <w:rFonts w:ascii="Palatino Linotype" w:eastAsia="Palatino Linotype" w:hAnsi="Palatino Linotype" w:cs="Palatino Linotype"/>
          <w:color w:val="000000"/>
          <w:sz w:val="22"/>
          <w:szCs w:val="22"/>
        </w:rPr>
        <w:t xml:space="preserve"> es cuando la </w:t>
      </w:r>
      <w:r>
        <w:rPr>
          <w:rFonts w:ascii="Palatino Linotype" w:eastAsia="Palatino Linotype" w:hAnsi="Palatino Linotype" w:cs="Palatino Linotype"/>
          <w:color w:val="000000"/>
          <w:sz w:val="22"/>
          <w:szCs w:val="22"/>
        </w:rPr>
        <w:lastRenderedPageBreak/>
        <w:t>información requerida no se encuentra en los archivos públicos, reservados o clasificados, de los sujetos obligados.</w:t>
      </w:r>
    </w:p>
    <w:p w14:paraId="4743A7AF" w14:textId="77777777" w:rsidR="0054140D" w:rsidRDefault="0054140D">
      <w:pPr>
        <w:spacing w:line="360" w:lineRule="auto"/>
        <w:jc w:val="both"/>
        <w:rPr>
          <w:rFonts w:ascii="Palatino Linotype" w:eastAsia="Palatino Linotype" w:hAnsi="Palatino Linotype" w:cs="Palatino Linotype"/>
          <w:color w:val="000000"/>
          <w:sz w:val="22"/>
          <w:szCs w:val="22"/>
        </w:rPr>
      </w:pPr>
    </w:p>
    <w:p w14:paraId="0984D21F" w14:textId="77777777" w:rsidR="0054140D" w:rsidRDefault="00192493">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Así, es posible concluir que la </w:t>
      </w:r>
      <w:r>
        <w:rPr>
          <w:rFonts w:ascii="Palatino Linotype" w:eastAsia="Palatino Linotype" w:hAnsi="Palatino Linotype" w:cs="Palatino Linotype"/>
          <w:b/>
          <w:color w:val="000000"/>
          <w:sz w:val="22"/>
          <w:szCs w:val="22"/>
        </w:rPr>
        <w:t>inexistencia</w:t>
      </w:r>
      <w:r>
        <w:rPr>
          <w:rFonts w:ascii="Palatino Linotype" w:eastAsia="Palatino Linotype" w:hAnsi="Palatino Linotype" w:cs="Palatino Linotype"/>
          <w:color w:val="000000"/>
          <w:sz w:val="22"/>
          <w:szCs w:val="22"/>
        </w:rPr>
        <w:t xml:space="preserve">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3D0F1958" w14:textId="77777777" w:rsidR="0054140D" w:rsidRDefault="0054140D">
      <w:pPr>
        <w:spacing w:line="360" w:lineRule="auto"/>
        <w:jc w:val="both"/>
        <w:rPr>
          <w:rFonts w:ascii="Palatino Linotype" w:eastAsia="Palatino Linotype" w:hAnsi="Palatino Linotype" w:cs="Palatino Linotype"/>
          <w:color w:val="000000"/>
          <w:sz w:val="22"/>
          <w:szCs w:val="22"/>
        </w:rPr>
      </w:pPr>
    </w:p>
    <w:p w14:paraId="074C2900" w14:textId="77777777" w:rsidR="0054140D" w:rsidRDefault="00192493">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En ese sentido</w:t>
      </w:r>
      <w:r>
        <w:rPr>
          <w:rFonts w:ascii="Palatino Linotype" w:eastAsia="Palatino Linotype" w:hAnsi="Palatino Linotype" w:cs="Palatino Linotype"/>
          <w:sz w:val="22"/>
          <w:szCs w:val="22"/>
        </w:rPr>
        <w:t>, se logra colegir que la información solicitada por el ahora Recurrente es inexistente, pues el Sujeto Obligado, realizó una búsqueda exhaustiva y razonable en sus archivos y señaló los motivos por los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0FCDAB49" w14:textId="77777777" w:rsidR="0054140D" w:rsidRDefault="0054140D">
      <w:pPr>
        <w:spacing w:line="360" w:lineRule="auto"/>
        <w:jc w:val="both"/>
        <w:rPr>
          <w:rFonts w:ascii="Palatino Linotype" w:eastAsia="Palatino Linotype" w:hAnsi="Palatino Linotype" w:cs="Palatino Linotype"/>
          <w:sz w:val="22"/>
          <w:szCs w:val="22"/>
        </w:rPr>
      </w:pPr>
    </w:p>
    <w:p w14:paraId="6030D188" w14:textId="77777777" w:rsidR="0054140D" w:rsidRDefault="00192493">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la misma manera, el Criterio Orientador con clave de registro SO/007/2017, de la Segunda Época, emitido por el entonces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apuntó a su existencia.</w:t>
      </w:r>
    </w:p>
    <w:p w14:paraId="4BE32938" w14:textId="77777777" w:rsidR="0054140D" w:rsidRDefault="0054140D">
      <w:pPr>
        <w:spacing w:line="360" w:lineRule="auto"/>
        <w:jc w:val="both"/>
        <w:rPr>
          <w:rFonts w:ascii="Palatino Linotype" w:eastAsia="Palatino Linotype" w:hAnsi="Palatino Linotype" w:cs="Palatino Linotype"/>
          <w:sz w:val="22"/>
          <w:szCs w:val="22"/>
        </w:rPr>
      </w:pPr>
    </w:p>
    <w:p w14:paraId="64B128E0" w14:textId="77777777" w:rsidR="0054140D" w:rsidRDefault="00192493">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Al respecto, dicho criterio aplica al caso en concreto, ya que, no se localizó algún indicio de que el Sujeto Obligado cuente con la información requerida; por lo cual, se considera que el </w:t>
      </w:r>
      <w:r>
        <w:rPr>
          <w:rFonts w:ascii="Palatino Linotype" w:eastAsia="Palatino Linotype" w:hAnsi="Palatino Linotype" w:cs="Palatino Linotype"/>
          <w:sz w:val="22"/>
          <w:szCs w:val="22"/>
        </w:rPr>
        <w:lastRenderedPageBreak/>
        <w:t>Sujeto Obligado señaló las razones por las cuales no contaba con lo requerido y cumplió con el segundo párrafo, del artículo 19 de la Ley de Transparencia y Acceso a la Información Pública del Estado de México y Municipios.</w:t>
      </w:r>
    </w:p>
    <w:p w14:paraId="7B7A09EA" w14:textId="77777777" w:rsidR="0054140D" w:rsidRDefault="0054140D">
      <w:pPr>
        <w:spacing w:line="360" w:lineRule="auto"/>
        <w:jc w:val="both"/>
        <w:rPr>
          <w:rFonts w:ascii="Palatino Linotype" w:eastAsia="Palatino Linotype" w:hAnsi="Palatino Linotype" w:cs="Palatino Linotype"/>
          <w:color w:val="000000"/>
          <w:sz w:val="22"/>
          <w:szCs w:val="22"/>
        </w:rPr>
      </w:pPr>
    </w:p>
    <w:p w14:paraId="13DB4F78" w14:textId="62774E2A" w:rsidR="0054140D" w:rsidRDefault="00192493">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consecuencia, se advierte que el Sujeto Obligado mediante informe justificado, señaló a través del área competente, que es la Tesorería Municipal que </w:t>
      </w:r>
      <w:r w:rsidR="00A430A5">
        <w:rPr>
          <w:rFonts w:ascii="Palatino Linotype" w:eastAsia="Palatino Linotype" w:hAnsi="Palatino Linotype" w:cs="Palatino Linotype"/>
          <w:color w:val="000000"/>
          <w:sz w:val="22"/>
          <w:szCs w:val="22"/>
        </w:rPr>
        <w:t>no contaba</w:t>
      </w:r>
      <w:r>
        <w:rPr>
          <w:rFonts w:ascii="Palatino Linotype" w:eastAsia="Palatino Linotype" w:hAnsi="Palatino Linotype" w:cs="Palatino Linotype"/>
          <w:color w:val="000000"/>
          <w:sz w:val="22"/>
          <w:szCs w:val="22"/>
        </w:rPr>
        <w:t xml:space="preserve"> con la información solicitada, dado que no </w:t>
      </w:r>
      <w:r w:rsidR="00A430A5">
        <w:rPr>
          <w:rFonts w:ascii="Palatino Linotype" w:eastAsia="Palatino Linotype" w:hAnsi="Palatino Linotype" w:cs="Palatino Linotype"/>
          <w:color w:val="000000"/>
          <w:sz w:val="22"/>
          <w:szCs w:val="22"/>
        </w:rPr>
        <w:t>existían</w:t>
      </w:r>
      <w:r>
        <w:rPr>
          <w:rFonts w:ascii="Palatino Linotype" w:eastAsia="Palatino Linotype" w:hAnsi="Palatino Linotype" w:cs="Palatino Linotype"/>
          <w:color w:val="000000"/>
          <w:sz w:val="22"/>
          <w:szCs w:val="22"/>
        </w:rPr>
        <w:t xml:space="preserve"> erogaciones con motivo de lo señalado en la solicitud, </w:t>
      </w:r>
      <w:r w:rsidR="00A430A5">
        <w:rPr>
          <w:rFonts w:ascii="Palatino Linotype" w:eastAsia="Palatino Linotype" w:hAnsi="Palatino Linotype" w:cs="Palatino Linotype"/>
          <w:color w:val="000000"/>
          <w:sz w:val="22"/>
          <w:szCs w:val="22"/>
        </w:rPr>
        <w:t xml:space="preserve">toda vez que los patrullajes derivaban de la instalación de dos cuarteles dentro del Municipio; por lo que, </w:t>
      </w:r>
      <w:r>
        <w:rPr>
          <w:rFonts w:ascii="Palatino Linotype" w:eastAsia="Palatino Linotype" w:hAnsi="Palatino Linotype" w:cs="Palatino Linotype"/>
          <w:color w:val="000000"/>
          <w:sz w:val="22"/>
          <w:szCs w:val="22"/>
        </w:rPr>
        <w:t xml:space="preserve">el </w:t>
      </w:r>
      <w:r>
        <w:rPr>
          <w:rFonts w:ascii="Palatino Linotype" w:eastAsia="Palatino Linotype" w:hAnsi="Palatino Linotype" w:cs="Palatino Linotype"/>
          <w:b/>
          <w:color w:val="000000"/>
          <w:sz w:val="22"/>
          <w:szCs w:val="22"/>
        </w:rPr>
        <w:t>Sujeto Obligado modificó su respuesta inicial</w:t>
      </w:r>
      <w:r w:rsidR="00A430A5">
        <w:rPr>
          <w:rFonts w:ascii="Palatino Linotype" w:eastAsia="Palatino Linotype" w:hAnsi="Palatino Linotype" w:cs="Palatino Linotype"/>
          <w:b/>
          <w:color w:val="000000"/>
          <w:sz w:val="22"/>
          <w:szCs w:val="22"/>
        </w:rPr>
        <w:t xml:space="preserve"> y dejó sin materia el Medio de Impugnación.</w:t>
      </w:r>
    </w:p>
    <w:p w14:paraId="5F847300" w14:textId="77777777" w:rsidR="0054140D" w:rsidRDefault="0054140D">
      <w:pPr>
        <w:tabs>
          <w:tab w:val="left" w:pos="4962"/>
        </w:tabs>
        <w:spacing w:line="360" w:lineRule="auto"/>
        <w:jc w:val="both"/>
        <w:rPr>
          <w:rFonts w:ascii="Palatino Linotype" w:eastAsia="Palatino Linotype" w:hAnsi="Palatino Linotype" w:cs="Palatino Linotype"/>
          <w:color w:val="000000"/>
          <w:sz w:val="22"/>
          <w:szCs w:val="22"/>
        </w:rPr>
      </w:pPr>
    </w:p>
    <w:p w14:paraId="369603DA" w14:textId="77777777" w:rsidR="0054140D" w:rsidRDefault="00192493">
      <w:pPr>
        <w:pStyle w:val="Ttulo2"/>
      </w:pPr>
      <w:bookmarkStart w:id="10" w:name="_heading=h.3thh1bf5gvpb" w:colFirst="0" w:colLast="0"/>
      <w:bookmarkEnd w:id="10"/>
      <w:r>
        <w:t>CUARTO. Decisión</w:t>
      </w:r>
    </w:p>
    <w:p w14:paraId="341E9EBC" w14:textId="77777777" w:rsidR="0054140D" w:rsidRDefault="0054140D">
      <w:pPr>
        <w:spacing w:line="360" w:lineRule="auto"/>
        <w:jc w:val="both"/>
        <w:rPr>
          <w:rFonts w:ascii="Palatino Linotype" w:eastAsia="Palatino Linotype" w:hAnsi="Palatino Linotype" w:cs="Palatino Linotype"/>
          <w:sz w:val="22"/>
          <w:szCs w:val="22"/>
        </w:rPr>
      </w:pPr>
    </w:p>
    <w:p w14:paraId="15BC524A" w14:textId="77777777" w:rsidR="0054140D" w:rsidRDefault="00192493">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fundamento en lo dispuesto en el artículo 186, fracción I, de la Ley de Transparencia y Acceso a la Información Pública del Estado de México y Municipios, se considera procedente </w:t>
      </w:r>
      <w:r>
        <w:rPr>
          <w:rFonts w:ascii="Palatino Linotype" w:eastAsia="Palatino Linotype" w:hAnsi="Palatino Linotype" w:cs="Palatino Linotype"/>
          <w:b/>
          <w:sz w:val="22"/>
          <w:szCs w:val="22"/>
        </w:rPr>
        <w:t xml:space="preserve">SOBRESEER </w:t>
      </w:r>
      <w:r>
        <w:rPr>
          <w:rFonts w:ascii="Palatino Linotype" w:eastAsia="Palatino Linotype" w:hAnsi="Palatino Linotype" w:cs="Palatino Linotype"/>
          <w:sz w:val="22"/>
          <w:szCs w:val="22"/>
        </w:rPr>
        <w:t xml:space="preserve">el Recurso de Revisión </w:t>
      </w:r>
      <w:r>
        <w:rPr>
          <w:rFonts w:ascii="Palatino Linotype" w:eastAsia="Palatino Linotype" w:hAnsi="Palatino Linotype" w:cs="Palatino Linotype"/>
          <w:b/>
          <w:sz w:val="22"/>
          <w:szCs w:val="22"/>
        </w:rPr>
        <w:t>08591/INFOEM/IP/RR/2025</w:t>
      </w:r>
      <w:r>
        <w:rPr>
          <w:rFonts w:ascii="Palatino Linotype" w:eastAsia="Palatino Linotype" w:hAnsi="Palatino Linotype" w:cs="Palatino Linotype"/>
          <w:sz w:val="22"/>
          <w:szCs w:val="22"/>
        </w:rPr>
        <w:t>, en virtud de que se actualiza la hipótesis normativa prevista en la fracción III, del artículo 192, del citado ordenamiento legal.</w:t>
      </w:r>
    </w:p>
    <w:p w14:paraId="74AD9900" w14:textId="77777777" w:rsidR="0054140D" w:rsidRDefault="0054140D">
      <w:pPr>
        <w:spacing w:line="360" w:lineRule="auto"/>
        <w:jc w:val="both"/>
        <w:rPr>
          <w:rFonts w:ascii="Palatino Linotype" w:eastAsia="Palatino Linotype" w:hAnsi="Palatino Linotype" w:cs="Palatino Linotype"/>
          <w:sz w:val="22"/>
          <w:szCs w:val="22"/>
        </w:rPr>
      </w:pPr>
    </w:p>
    <w:p w14:paraId="42D39713" w14:textId="1E7325DD" w:rsidR="0054140D" w:rsidRDefault="00192493">
      <w:pPr>
        <w:spacing w:line="360" w:lineRule="auto"/>
        <w:jc w:val="both"/>
        <w:rPr>
          <w:rFonts w:ascii="Palatino Linotype" w:eastAsia="Palatino Linotype" w:hAnsi="Palatino Linotype" w:cs="Palatino Linotype"/>
          <w:b/>
          <w:sz w:val="22"/>
          <w:szCs w:val="22"/>
          <w:u w:val="single"/>
        </w:rPr>
      </w:pPr>
      <w:r>
        <w:rPr>
          <w:rFonts w:ascii="Palatino Linotype" w:eastAsia="Palatino Linotype" w:hAnsi="Palatino Linotype" w:cs="Palatino Linotype"/>
          <w:b/>
          <w:sz w:val="22"/>
          <w:szCs w:val="22"/>
          <w:u w:val="single"/>
        </w:rPr>
        <w:t>Términos de la Resolución para cono</w:t>
      </w:r>
      <w:r w:rsidR="00A47788">
        <w:rPr>
          <w:rFonts w:ascii="Palatino Linotype" w:eastAsia="Palatino Linotype" w:hAnsi="Palatino Linotype" w:cs="Palatino Linotype"/>
          <w:b/>
          <w:sz w:val="22"/>
          <w:szCs w:val="22"/>
          <w:u w:val="single"/>
        </w:rPr>
        <w:t>cimiento de la parte Recurrente</w:t>
      </w:r>
    </w:p>
    <w:p w14:paraId="4A579A54" w14:textId="77777777" w:rsidR="0054140D" w:rsidRDefault="0054140D">
      <w:pPr>
        <w:spacing w:line="360" w:lineRule="auto"/>
        <w:jc w:val="both"/>
        <w:rPr>
          <w:rFonts w:ascii="Palatino Linotype" w:eastAsia="Palatino Linotype" w:hAnsi="Palatino Linotype" w:cs="Palatino Linotype"/>
          <w:sz w:val="22"/>
          <w:szCs w:val="22"/>
          <w:u w:val="single"/>
        </w:rPr>
      </w:pPr>
    </w:p>
    <w:p w14:paraId="1DC86DF9" w14:textId="77777777" w:rsidR="0054140D" w:rsidRDefault="00192493">
      <w:pPr>
        <w:spacing w:line="360" w:lineRule="auto"/>
        <w:jc w:val="both"/>
        <w:rPr>
          <w:rFonts w:ascii="Palatino Linotype" w:eastAsia="Palatino Linotype" w:hAnsi="Palatino Linotype" w:cs="Palatino Linotype"/>
          <w:sz w:val="22"/>
          <w:szCs w:val="22"/>
          <w:u w:val="single"/>
        </w:rPr>
      </w:pPr>
      <w:r>
        <w:rPr>
          <w:rFonts w:ascii="Palatino Linotype" w:eastAsia="Palatino Linotype" w:hAnsi="Palatino Linotype" w:cs="Palatino Linotype"/>
          <w:sz w:val="22"/>
          <w:szCs w:val="22"/>
          <w:u w:val="single"/>
        </w:rPr>
        <w:t xml:space="preserve">Se le hace del conocimiento al Particular, que, en el presente caso, se le concedió la razón, pues en respuesta el Sujeto Obligado no turnó la solicitud a la Tesorería Municipal que es el área competente, sin embargo, durante la sustanciación del Medio de Impugnación, modificó su respuesta inicial y se pronunció la Tesorera Municipal en el que señaló que no ha erogado </w:t>
      </w:r>
      <w:r>
        <w:rPr>
          <w:rFonts w:ascii="Palatino Linotype" w:eastAsia="Palatino Linotype" w:hAnsi="Palatino Linotype" w:cs="Palatino Linotype"/>
          <w:sz w:val="22"/>
          <w:szCs w:val="22"/>
          <w:u w:val="single"/>
        </w:rPr>
        <w:lastRenderedPageBreak/>
        <w:t xml:space="preserve">gasto alguno con motivo de lo solicitado, lo cual dejó sin materia el presente Recurso de Revisión. </w:t>
      </w:r>
    </w:p>
    <w:p w14:paraId="2D2F9AB0" w14:textId="77777777" w:rsidR="0054140D" w:rsidRDefault="0054140D">
      <w:pPr>
        <w:spacing w:line="360" w:lineRule="auto"/>
        <w:jc w:val="both"/>
        <w:rPr>
          <w:rFonts w:ascii="Palatino Linotype" w:eastAsia="Palatino Linotype" w:hAnsi="Palatino Linotype" w:cs="Palatino Linotype"/>
          <w:sz w:val="22"/>
          <w:szCs w:val="22"/>
          <w:u w:val="single"/>
        </w:rPr>
      </w:pPr>
    </w:p>
    <w:p w14:paraId="164E1261" w14:textId="77777777" w:rsidR="0054140D" w:rsidRDefault="00192493">
      <w:pPr>
        <w:spacing w:line="360" w:lineRule="auto"/>
        <w:jc w:val="both"/>
        <w:rPr>
          <w:rFonts w:ascii="Palatino Linotype" w:eastAsia="Palatino Linotype" w:hAnsi="Palatino Linotype" w:cs="Palatino Linotype"/>
          <w:sz w:val="22"/>
          <w:szCs w:val="22"/>
          <w:u w:val="single"/>
        </w:rPr>
      </w:pPr>
      <w:r>
        <w:rPr>
          <w:rFonts w:ascii="Palatino Linotype" w:eastAsia="Palatino Linotype" w:hAnsi="Palatino Linotype" w:cs="Palatino Linotype"/>
          <w:sz w:val="22"/>
          <w:szCs w:val="22"/>
          <w:u w:val="single"/>
        </w:rPr>
        <w:t xml:space="preserve"> Finalmente, la labor de este </w:t>
      </w:r>
      <w:proofErr w:type="gramStart"/>
      <w:r>
        <w:rPr>
          <w:rFonts w:ascii="Palatino Linotype" w:eastAsia="Palatino Linotype" w:hAnsi="Palatino Linotype" w:cs="Palatino Linotype"/>
          <w:sz w:val="22"/>
          <w:szCs w:val="22"/>
          <w:u w:val="single"/>
        </w:rPr>
        <w:t>Instituto,</w:t>
      </w:r>
      <w:proofErr w:type="gramEnd"/>
      <w:r>
        <w:rPr>
          <w:rFonts w:ascii="Palatino Linotype" w:eastAsia="Palatino Linotype" w:hAnsi="Palatino Linotype" w:cs="Palatino Linotype"/>
          <w:sz w:val="22"/>
          <w:szCs w:val="22"/>
          <w:u w:val="single"/>
        </w:rPr>
        <w:t xml:space="preserve"> es apoyar a la población a acceder a la información pública y garantizar la protección de sus datos personales.</w:t>
      </w:r>
    </w:p>
    <w:p w14:paraId="4C23CECE" w14:textId="77777777" w:rsidR="0054140D" w:rsidRDefault="0054140D">
      <w:pPr>
        <w:spacing w:line="360" w:lineRule="auto"/>
        <w:jc w:val="both"/>
        <w:rPr>
          <w:rFonts w:ascii="Palatino Linotype" w:eastAsia="Palatino Linotype" w:hAnsi="Palatino Linotype" w:cs="Palatino Linotype"/>
          <w:color w:val="000000"/>
          <w:sz w:val="22"/>
          <w:szCs w:val="22"/>
        </w:rPr>
      </w:pPr>
    </w:p>
    <w:p w14:paraId="14C19E30" w14:textId="77777777" w:rsidR="0054140D" w:rsidRDefault="00192493">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lo expuesto y fundado, este Pleno:</w:t>
      </w:r>
    </w:p>
    <w:p w14:paraId="62DE59BF" w14:textId="77777777" w:rsidR="0054140D" w:rsidRDefault="0054140D">
      <w:pPr>
        <w:spacing w:line="360" w:lineRule="auto"/>
        <w:jc w:val="both"/>
        <w:rPr>
          <w:rFonts w:ascii="Palatino Linotype" w:eastAsia="Palatino Linotype" w:hAnsi="Palatino Linotype" w:cs="Palatino Linotype"/>
          <w:sz w:val="22"/>
          <w:szCs w:val="22"/>
        </w:rPr>
      </w:pPr>
    </w:p>
    <w:p w14:paraId="0725EB14" w14:textId="77777777" w:rsidR="0054140D" w:rsidRDefault="00192493">
      <w:pPr>
        <w:pStyle w:val="Ttulo1"/>
      </w:pPr>
      <w:bookmarkStart w:id="11" w:name="_heading=h.ux7ufddqfa7o" w:colFirst="0" w:colLast="0"/>
      <w:bookmarkEnd w:id="11"/>
      <w:r>
        <w:t>R E S U E L V E</w:t>
      </w:r>
    </w:p>
    <w:p w14:paraId="54B806F3" w14:textId="77777777" w:rsidR="0054140D" w:rsidRDefault="0054140D">
      <w:pPr>
        <w:spacing w:line="360" w:lineRule="auto"/>
        <w:jc w:val="both"/>
        <w:rPr>
          <w:rFonts w:ascii="Palatino Linotype" w:eastAsia="Palatino Linotype" w:hAnsi="Palatino Linotype" w:cs="Palatino Linotype"/>
          <w:b/>
          <w:sz w:val="22"/>
          <w:szCs w:val="22"/>
        </w:rPr>
      </w:pPr>
    </w:p>
    <w:p w14:paraId="32EF8A52" w14:textId="77777777" w:rsidR="0054140D" w:rsidRDefault="00192493">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PRIMERO</w:t>
      </w:r>
      <w:r>
        <w:rPr>
          <w:rFonts w:ascii="Palatino Linotype" w:eastAsia="Palatino Linotype" w:hAnsi="Palatino Linotype" w:cs="Palatino Linotype"/>
          <w:sz w:val="22"/>
          <w:szCs w:val="22"/>
        </w:rPr>
        <w:t xml:space="preserve">. Se </w:t>
      </w:r>
      <w:r>
        <w:rPr>
          <w:rFonts w:ascii="Palatino Linotype" w:eastAsia="Palatino Linotype" w:hAnsi="Palatino Linotype" w:cs="Palatino Linotype"/>
          <w:b/>
          <w:sz w:val="22"/>
          <w:szCs w:val="22"/>
        </w:rPr>
        <w:t xml:space="preserve">SOBRESEE </w:t>
      </w:r>
      <w:r>
        <w:rPr>
          <w:rFonts w:ascii="Palatino Linotype" w:eastAsia="Palatino Linotype" w:hAnsi="Palatino Linotype" w:cs="Palatino Linotype"/>
          <w:sz w:val="22"/>
          <w:szCs w:val="22"/>
        </w:rPr>
        <w:t xml:space="preserve">el Recurso de Revisión 08591/INFOEM/IP/RR/2025, en términos del artículo 192, fracción III, de la Ley de Transparencia y Acceso a la Información Pública del Estado de México y Municipios, porque el Sujeto Obligado, al modificar la respuesta inicial, mediante Informe Justificado, el Medio de Impugnación quedó sin materia, de conformidad con los Considerandos TERCERO y CUARTO de la presente Resolución.    </w:t>
      </w:r>
    </w:p>
    <w:p w14:paraId="2A9A30CD" w14:textId="77777777" w:rsidR="0054140D" w:rsidRDefault="0054140D">
      <w:pPr>
        <w:spacing w:line="360" w:lineRule="auto"/>
        <w:jc w:val="both"/>
        <w:rPr>
          <w:rFonts w:ascii="Palatino Linotype" w:eastAsia="Palatino Linotype" w:hAnsi="Palatino Linotype" w:cs="Palatino Linotype"/>
          <w:sz w:val="22"/>
          <w:szCs w:val="22"/>
        </w:rPr>
      </w:pPr>
    </w:p>
    <w:p w14:paraId="784EE71C" w14:textId="77777777" w:rsidR="0054140D" w:rsidRDefault="00192493">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SEGUNDO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NOTIFÍQUESE POR SAIMEX</w:t>
      </w:r>
      <w:r>
        <w:rPr>
          <w:rFonts w:ascii="Palatino Linotype" w:eastAsia="Palatino Linotype" w:hAnsi="Palatino Linotype" w:cs="Palatino Linotype"/>
          <w:sz w:val="22"/>
          <w:szCs w:val="22"/>
        </w:rPr>
        <w:t xml:space="preserve"> la presente resolución al Titular de la Unidad de Transparencia del Sujeto Obligado.</w:t>
      </w:r>
    </w:p>
    <w:p w14:paraId="060517AF" w14:textId="77777777" w:rsidR="0054140D" w:rsidRDefault="0054140D">
      <w:pPr>
        <w:spacing w:line="360" w:lineRule="auto"/>
        <w:jc w:val="both"/>
        <w:rPr>
          <w:rFonts w:ascii="Palatino Linotype" w:eastAsia="Palatino Linotype" w:hAnsi="Palatino Linotype" w:cs="Palatino Linotype"/>
          <w:sz w:val="22"/>
          <w:szCs w:val="22"/>
        </w:rPr>
      </w:pPr>
    </w:p>
    <w:p w14:paraId="0C6A4774" w14:textId="77777777" w:rsidR="0054140D" w:rsidRDefault="00192493">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NOTIFÍQUESE POR SAIMEX</w:t>
      </w:r>
      <w:r>
        <w:rPr>
          <w:rFonts w:ascii="Palatino Linotype" w:eastAsia="Palatino Linotype" w:hAnsi="Palatino Linotype" w:cs="Palatino Linotype"/>
          <w:sz w:val="22"/>
          <w:szCs w:val="22"/>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443ED6D" w14:textId="77777777" w:rsidR="0054140D" w:rsidRDefault="0054140D">
      <w:pPr>
        <w:spacing w:line="360" w:lineRule="auto"/>
        <w:jc w:val="both"/>
        <w:rPr>
          <w:rFonts w:ascii="Palatino Linotype" w:eastAsia="Palatino Linotype" w:hAnsi="Palatino Linotype" w:cs="Palatino Linotype"/>
          <w:b/>
          <w:sz w:val="22"/>
          <w:szCs w:val="22"/>
        </w:rPr>
      </w:pPr>
    </w:p>
    <w:p w14:paraId="1CF868F5" w14:textId="2F957202" w:rsidR="0054140D" w:rsidRDefault="00192493">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LO RESUELVE, POR </w:t>
      </w:r>
      <w:r>
        <w:rPr>
          <w:rFonts w:ascii="Palatino Linotype" w:eastAsia="Palatino Linotype" w:hAnsi="Palatino Linotype" w:cs="Palatino Linotype"/>
          <w:b/>
          <w:sz w:val="22"/>
          <w:szCs w:val="22"/>
        </w:rPr>
        <w:t>UNANIMIDAD</w:t>
      </w:r>
      <w:r>
        <w:rPr>
          <w:rFonts w:ascii="Palatino Linotype" w:eastAsia="Palatino Linotype" w:hAnsi="Palatino Linotype" w:cs="Palatino Linotype"/>
          <w:sz w:val="22"/>
          <w:szCs w:val="22"/>
        </w:rPr>
        <w:t xml:space="preserve"> DE VOTOS EL PLENO DEL INSTITUTO DE TRANSPARENCIA, ACCESO A LA INFORMACIÓN PÚBLICA Y PROTECCIÓN DE </w:t>
      </w:r>
      <w:r>
        <w:rPr>
          <w:rFonts w:ascii="Palatino Linotype" w:eastAsia="Palatino Linotype" w:hAnsi="Palatino Linotype" w:cs="Palatino Linotype"/>
          <w:sz w:val="22"/>
          <w:szCs w:val="22"/>
        </w:rPr>
        <w:lastRenderedPageBreak/>
        <w:t>DATOS PERSONALES DEL ESTADO DE MÉXICO Y MUNICIPIOS, CONFORMADO POR LOS COMISIONADOS JOSÉ MARTÍNEZ VILCHIS, MARÍA DEL ROSARIO MEJÍA AYALA</w:t>
      </w:r>
      <w:r w:rsidR="002140B9">
        <w:rPr>
          <w:rFonts w:ascii="Palatino Linotype" w:eastAsia="Palatino Linotype" w:hAnsi="Palatino Linotype" w:cs="Palatino Linotype"/>
          <w:sz w:val="22"/>
          <w:szCs w:val="22"/>
        </w:rPr>
        <w:t xml:space="preserve"> </w:t>
      </w:r>
      <w:r w:rsidR="002140B9" w:rsidRPr="002140B9">
        <w:rPr>
          <w:rFonts w:ascii="Palatino Linotype" w:eastAsia="Palatino Linotype" w:hAnsi="Palatino Linotype" w:cs="Palatino Linotype"/>
          <w:sz w:val="22"/>
          <w:szCs w:val="22"/>
        </w:rPr>
        <w:t>(AUSENCIA JUSTIFICADA)</w:t>
      </w:r>
      <w:r>
        <w:rPr>
          <w:rFonts w:ascii="Palatino Linotype" w:eastAsia="Palatino Linotype" w:hAnsi="Palatino Linotype" w:cs="Palatino Linotype"/>
          <w:sz w:val="22"/>
          <w:szCs w:val="22"/>
        </w:rPr>
        <w:t>, SHARON CRISTINA MORALES MARTÍNEZ, LUIS GUSTAVO PARRA NORIEGA Y GUADALUPE RAMÍREZ PEÑA, EN LA TRIGÉSIMA PRIMERA SESIÓN O</w:t>
      </w:r>
      <w:r w:rsidR="00A47788">
        <w:rPr>
          <w:rFonts w:ascii="Palatino Linotype" w:eastAsia="Palatino Linotype" w:hAnsi="Palatino Linotype" w:cs="Palatino Linotype"/>
          <w:sz w:val="22"/>
          <w:szCs w:val="22"/>
        </w:rPr>
        <w:t xml:space="preserve">RDINARIA, CELEBRADA EL TRES DE SEPTIEMBRE </w:t>
      </w:r>
      <w:r>
        <w:rPr>
          <w:rFonts w:ascii="Palatino Linotype" w:eastAsia="Palatino Linotype" w:hAnsi="Palatino Linotype" w:cs="Palatino Linotype"/>
          <w:sz w:val="22"/>
          <w:szCs w:val="22"/>
        </w:rPr>
        <w:t>DE DOS MIL VEINTICINCO, ANTE EL SECRETARIO TÉCNICO DEL PLENO, ALEXIS TAPIA RAMÍREZ.</w:t>
      </w:r>
    </w:p>
    <w:p w14:paraId="00DF4A3C" w14:textId="77777777" w:rsidR="0054140D" w:rsidRDefault="0054140D">
      <w:pPr>
        <w:spacing w:line="360" w:lineRule="auto"/>
        <w:jc w:val="both"/>
        <w:rPr>
          <w:rFonts w:ascii="Palatino Linotype" w:eastAsia="Palatino Linotype" w:hAnsi="Palatino Linotype" w:cs="Palatino Linotype"/>
          <w:sz w:val="22"/>
          <w:szCs w:val="22"/>
        </w:rPr>
      </w:pPr>
    </w:p>
    <w:p w14:paraId="112FA15D" w14:textId="77777777" w:rsidR="0054140D" w:rsidRDefault="0054140D">
      <w:pPr>
        <w:spacing w:line="360" w:lineRule="auto"/>
        <w:jc w:val="both"/>
        <w:rPr>
          <w:rFonts w:ascii="Palatino Linotype" w:eastAsia="Palatino Linotype" w:hAnsi="Palatino Linotype" w:cs="Palatino Linotype"/>
          <w:sz w:val="22"/>
          <w:szCs w:val="22"/>
        </w:rPr>
      </w:pPr>
    </w:p>
    <w:p w14:paraId="6B4E1DCA" w14:textId="77777777" w:rsidR="0054140D" w:rsidRDefault="0054140D">
      <w:pPr>
        <w:spacing w:line="360" w:lineRule="auto"/>
        <w:jc w:val="both"/>
        <w:rPr>
          <w:rFonts w:ascii="Palatino Linotype" w:eastAsia="Palatino Linotype" w:hAnsi="Palatino Linotype" w:cs="Palatino Linotype"/>
          <w:sz w:val="22"/>
          <w:szCs w:val="22"/>
        </w:rPr>
      </w:pPr>
    </w:p>
    <w:p w14:paraId="2ED9ABC8" w14:textId="77777777" w:rsidR="0054140D" w:rsidRDefault="0054140D">
      <w:pPr>
        <w:spacing w:line="360" w:lineRule="auto"/>
        <w:jc w:val="both"/>
        <w:rPr>
          <w:rFonts w:ascii="Palatino Linotype" w:eastAsia="Palatino Linotype" w:hAnsi="Palatino Linotype" w:cs="Palatino Linotype"/>
          <w:sz w:val="22"/>
          <w:szCs w:val="22"/>
        </w:rPr>
      </w:pPr>
    </w:p>
    <w:p w14:paraId="6F9FEE59" w14:textId="77777777" w:rsidR="0054140D" w:rsidRDefault="0054140D">
      <w:pPr>
        <w:spacing w:line="360" w:lineRule="auto"/>
        <w:jc w:val="both"/>
        <w:rPr>
          <w:rFonts w:ascii="Palatino Linotype" w:eastAsia="Palatino Linotype" w:hAnsi="Palatino Linotype" w:cs="Palatino Linotype"/>
          <w:sz w:val="22"/>
          <w:szCs w:val="22"/>
        </w:rPr>
      </w:pPr>
    </w:p>
    <w:p w14:paraId="6587AC3D" w14:textId="77777777" w:rsidR="0054140D" w:rsidRDefault="0054140D">
      <w:pPr>
        <w:spacing w:line="360" w:lineRule="auto"/>
        <w:jc w:val="both"/>
        <w:rPr>
          <w:rFonts w:ascii="Palatino Linotype" w:eastAsia="Palatino Linotype" w:hAnsi="Palatino Linotype" w:cs="Palatino Linotype"/>
          <w:sz w:val="22"/>
          <w:szCs w:val="22"/>
        </w:rPr>
      </w:pPr>
    </w:p>
    <w:p w14:paraId="20E78D2F" w14:textId="77777777" w:rsidR="0054140D" w:rsidRDefault="0054140D">
      <w:pPr>
        <w:spacing w:line="360" w:lineRule="auto"/>
        <w:jc w:val="both"/>
        <w:rPr>
          <w:rFonts w:ascii="Palatino Linotype" w:eastAsia="Palatino Linotype" w:hAnsi="Palatino Linotype" w:cs="Palatino Linotype"/>
          <w:sz w:val="22"/>
          <w:szCs w:val="22"/>
        </w:rPr>
      </w:pPr>
    </w:p>
    <w:p w14:paraId="6E200290" w14:textId="77777777" w:rsidR="0054140D" w:rsidRDefault="0054140D">
      <w:pPr>
        <w:spacing w:line="360" w:lineRule="auto"/>
        <w:jc w:val="both"/>
        <w:rPr>
          <w:rFonts w:ascii="Palatino Linotype" w:eastAsia="Palatino Linotype" w:hAnsi="Palatino Linotype" w:cs="Palatino Linotype"/>
          <w:b/>
          <w:sz w:val="22"/>
          <w:szCs w:val="22"/>
        </w:rPr>
      </w:pPr>
    </w:p>
    <w:p w14:paraId="5D0F3AE2" w14:textId="77777777" w:rsidR="0054140D" w:rsidRDefault="0054140D">
      <w:pPr>
        <w:spacing w:line="360" w:lineRule="auto"/>
        <w:jc w:val="both"/>
        <w:rPr>
          <w:rFonts w:ascii="Palatino Linotype" w:eastAsia="Palatino Linotype" w:hAnsi="Palatino Linotype" w:cs="Palatino Linotype"/>
          <w:sz w:val="22"/>
          <w:szCs w:val="22"/>
        </w:rPr>
      </w:pPr>
    </w:p>
    <w:p w14:paraId="2C52D196" w14:textId="77777777" w:rsidR="0054140D" w:rsidRDefault="0054140D">
      <w:pPr>
        <w:spacing w:line="360" w:lineRule="auto"/>
        <w:jc w:val="both"/>
        <w:rPr>
          <w:rFonts w:ascii="Palatino Linotype" w:eastAsia="Palatino Linotype" w:hAnsi="Palatino Linotype" w:cs="Palatino Linotype"/>
          <w:sz w:val="22"/>
          <w:szCs w:val="22"/>
        </w:rPr>
      </w:pPr>
    </w:p>
    <w:p w14:paraId="003F2709" w14:textId="77777777" w:rsidR="0054140D" w:rsidRDefault="0054140D">
      <w:pPr>
        <w:spacing w:line="360" w:lineRule="auto"/>
        <w:jc w:val="both"/>
        <w:rPr>
          <w:rFonts w:ascii="Palatino Linotype" w:eastAsia="Palatino Linotype" w:hAnsi="Palatino Linotype" w:cs="Palatino Linotype"/>
          <w:sz w:val="22"/>
          <w:szCs w:val="22"/>
        </w:rPr>
      </w:pPr>
    </w:p>
    <w:p w14:paraId="11C938F3" w14:textId="77777777" w:rsidR="0054140D" w:rsidRDefault="0054140D">
      <w:pPr>
        <w:spacing w:line="360" w:lineRule="auto"/>
        <w:ind w:right="-93"/>
        <w:jc w:val="both"/>
        <w:rPr>
          <w:rFonts w:ascii="Palatino Linotype" w:eastAsia="Palatino Linotype" w:hAnsi="Palatino Linotype" w:cs="Palatino Linotype"/>
          <w:sz w:val="22"/>
          <w:szCs w:val="22"/>
        </w:rPr>
      </w:pPr>
    </w:p>
    <w:p w14:paraId="6F9A69FD" w14:textId="77777777" w:rsidR="0054140D" w:rsidRDefault="0054140D">
      <w:pPr>
        <w:spacing w:line="360" w:lineRule="auto"/>
        <w:jc w:val="both"/>
        <w:rPr>
          <w:rFonts w:ascii="Palatino Linotype" w:eastAsia="Palatino Linotype" w:hAnsi="Palatino Linotype" w:cs="Palatino Linotype"/>
          <w:sz w:val="22"/>
          <w:szCs w:val="22"/>
        </w:rPr>
      </w:pPr>
    </w:p>
    <w:p w14:paraId="11E10176" w14:textId="77777777" w:rsidR="0054140D" w:rsidRDefault="0054140D">
      <w:pPr>
        <w:spacing w:line="360" w:lineRule="auto"/>
        <w:jc w:val="both"/>
        <w:rPr>
          <w:rFonts w:ascii="Palatino Linotype" w:eastAsia="Palatino Linotype" w:hAnsi="Palatino Linotype" w:cs="Palatino Linotype"/>
          <w:sz w:val="22"/>
          <w:szCs w:val="22"/>
        </w:rPr>
      </w:pPr>
    </w:p>
    <w:p w14:paraId="0001BCCD" w14:textId="77777777" w:rsidR="0054140D" w:rsidRDefault="0054140D">
      <w:pPr>
        <w:spacing w:line="360" w:lineRule="auto"/>
        <w:rPr>
          <w:rFonts w:ascii="Palatino Linotype" w:eastAsia="Palatino Linotype" w:hAnsi="Palatino Linotype" w:cs="Palatino Linotype"/>
          <w:sz w:val="22"/>
          <w:szCs w:val="22"/>
        </w:rPr>
      </w:pPr>
    </w:p>
    <w:p w14:paraId="5DB4A909" w14:textId="77777777" w:rsidR="0054140D" w:rsidRDefault="0054140D">
      <w:pPr>
        <w:spacing w:line="360" w:lineRule="auto"/>
        <w:rPr>
          <w:rFonts w:ascii="Palatino Linotype" w:eastAsia="Palatino Linotype" w:hAnsi="Palatino Linotype" w:cs="Palatino Linotype"/>
          <w:sz w:val="22"/>
          <w:szCs w:val="22"/>
        </w:rPr>
      </w:pPr>
    </w:p>
    <w:p w14:paraId="76C5B0AF" w14:textId="77777777" w:rsidR="0054140D" w:rsidRDefault="0054140D">
      <w:pPr>
        <w:spacing w:line="360" w:lineRule="auto"/>
        <w:rPr>
          <w:rFonts w:ascii="Palatino Linotype" w:eastAsia="Palatino Linotype" w:hAnsi="Palatino Linotype" w:cs="Palatino Linotype"/>
          <w:sz w:val="22"/>
          <w:szCs w:val="22"/>
        </w:rPr>
      </w:pPr>
    </w:p>
    <w:p w14:paraId="19181F4A" w14:textId="77777777" w:rsidR="0054140D" w:rsidRDefault="0054140D">
      <w:pPr>
        <w:spacing w:line="360" w:lineRule="auto"/>
        <w:rPr>
          <w:rFonts w:ascii="Palatino Linotype" w:eastAsia="Palatino Linotype" w:hAnsi="Palatino Linotype" w:cs="Palatino Linotype"/>
          <w:sz w:val="22"/>
          <w:szCs w:val="22"/>
        </w:rPr>
      </w:pPr>
    </w:p>
    <w:p w14:paraId="26A51714" w14:textId="77777777" w:rsidR="00192493" w:rsidRDefault="00192493">
      <w:pPr>
        <w:spacing w:line="360" w:lineRule="auto"/>
        <w:rPr>
          <w:rFonts w:ascii="Palatino Linotype" w:eastAsia="Palatino Linotype" w:hAnsi="Palatino Linotype" w:cs="Palatino Linotype"/>
          <w:sz w:val="22"/>
          <w:szCs w:val="22"/>
        </w:rPr>
      </w:pPr>
    </w:p>
    <w:p w14:paraId="2CB120D6" w14:textId="77777777" w:rsidR="00192493" w:rsidRDefault="00192493">
      <w:pPr>
        <w:spacing w:line="360" w:lineRule="auto"/>
        <w:rPr>
          <w:rFonts w:ascii="Palatino Linotype" w:eastAsia="Palatino Linotype" w:hAnsi="Palatino Linotype" w:cs="Palatino Linotype"/>
          <w:sz w:val="22"/>
          <w:szCs w:val="22"/>
        </w:rPr>
      </w:pPr>
    </w:p>
    <w:p w14:paraId="5DE0E924" w14:textId="77777777" w:rsidR="00192493" w:rsidRDefault="00192493">
      <w:pPr>
        <w:spacing w:line="360" w:lineRule="auto"/>
        <w:rPr>
          <w:rFonts w:ascii="Palatino Linotype" w:eastAsia="Palatino Linotype" w:hAnsi="Palatino Linotype" w:cs="Palatino Linotype"/>
          <w:sz w:val="22"/>
          <w:szCs w:val="22"/>
        </w:rPr>
      </w:pPr>
    </w:p>
    <w:p w14:paraId="3FA05489" w14:textId="77777777" w:rsidR="00192493" w:rsidRDefault="00192493">
      <w:pPr>
        <w:spacing w:line="360" w:lineRule="auto"/>
        <w:rPr>
          <w:rFonts w:ascii="Palatino Linotype" w:eastAsia="Palatino Linotype" w:hAnsi="Palatino Linotype" w:cs="Palatino Linotype"/>
          <w:sz w:val="22"/>
          <w:szCs w:val="22"/>
        </w:rPr>
      </w:pPr>
    </w:p>
    <w:p w14:paraId="4D751B25" w14:textId="77777777" w:rsidR="0054140D" w:rsidRDefault="0054140D">
      <w:pPr>
        <w:spacing w:line="360" w:lineRule="auto"/>
        <w:rPr>
          <w:rFonts w:ascii="Palatino Linotype" w:eastAsia="Palatino Linotype" w:hAnsi="Palatino Linotype" w:cs="Palatino Linotype"/>
          <w:sz w:val="22"/>
          <w:szCs w:val="22"/>
        </w:rPr>
      </w:pPr>
    </w:p>
    <w:p w14:paraId="209F3C4D" w14:textId="77777777" w:rsidR="0054140D" w:rsidRDefault="0054140D">
      <w:pPr>
        <w:spacing w:line="360" w:lineRule="auto"/>
        <w:jc w:val="both"/>
        <w:rPr>
          <w:rFonts w:ascii="Palatino Linotype" w:eastAsia="Palatino Linotype" w:hAnsi="Palatino Linotype" w:cs="Palatino Linotype"/>
          <w:color w:val="000000"/>
          <w:sz w:val="22"/>
          <w:szCs w:val="22"/>
        </w:rPr>
      </w:pPr>
    </w:p>
    <w:sectPr w:rsidR="0054140D">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1EA72" w14:textId="77777777" w:rsidR="00AB3962" w:rsidRDefault="00AB3962">
      <w:r>
        <w:separator/>
      </w:r>
    </w:p>
  </w:endnote>
  <w:endnote w:type="continuationSeparator" w:id="0">
    <w:p w14:paraId="5D14D3A3" w14:textId="77777777" w:rsidR="00AB3962" w:rsidRDefault="00AB3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767F" w14:textId="77777777" w:rsidR="0054140D" w:rsidRDefault="0054140D">
    <w:pPr>
      <w:pBdr>
        <w:top w:val="nil"/>
        <w:left w:val="nil"/>
        <w:bottom w:val="nil"/>
        <w:right w:val="nil"/>
        <w:between w:val="nil"/>
      </w:pBdr>
      <w:tabs>
        <w:tab w:val="center" w:pos="4419"/>
        <w:tab w:val="right" w:pos="8838"/>
      </w:tabs>
      <w:jc w:val="right"/>
      <w:rPr>
        <w:color w:val="000000"/>
        <w:sz w:val="26"/>
        <w:szCs w:val="26"/>
      </w:rPr>
    </w:pPr>
  </w:p>
  <w:p w14:paraId="2B35CE10" w14:textId="77777777" w:rsidR="0054140D" w:rsidRDefault="0019249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47788">
      <w:rPr>
        <w:b/>
        <w:noProof/>
        <w:color w:val="000000"/>
        <w:sz w:val="24"/>
        <w:szCs w:val="24"/>
      </w:rPr>
      <w:t>14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47788">
      <w:rPr>
        <w:b/>
        <w:noProof/>
        <w:color w:val="000000"/>
        <w:sz w:val="24"/>
        <w:szCs w:val="24"/>
      </w:rPr>
      <w:t>15</w:t>
    </w:r>
    <w:r>
      <w:rPr>
        <w:b/>
        <w:color w:val="000000"/>
        <w:sz w:val="24"/>
        <w:szCs w:val="24"/>
      </w:rPr>
      <w:fldChar w:fldCharType="end"/>
    </w:r>
  </w:p>
  <w:p w14:paraId="4A2F132E" w14:textId="77777777" w:rsidR="0054140D" w:rsidRDefault="0054140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0CE9" w14:textId="77777777" w:rsidR="0054140D" w:rsidRDefault="0054140D">
    <w:pPr>
      <w:pBdr>
        <w:top w:val="nil"/>
        <w:left w:val="nil"/>
        <w:bottom w:val="nil"/>
        <w:right w:val="nil"/>
        <w:between w:val="nil"/>
      </w:pBdr>
      <w:tabs>
        <w:tab w:val="center" w:pos="4419"/>
        <w:tab w:val="right" w:pos="8838"/>
      </w:tabs>
      <w:jc w:val="right"/>
      <w:rPr>
        <w:color w:val="000000"/>
      </w:rPr>
    </w:pPr>
  </w:p>
  <w:p w14:paraId="0D3C0D88" w14:textId="77777777" w:rsidR="0054140D" w:rsidRDefault="0019249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4778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47788">
      <w:rPr>
        <w:b/>
        <w:noProof/>
        <w:color w:val="000000"/>
        <w:sz w:val="24"/>
        <w:szCs w:val="24"/>
      </w:rPr>
      <w:t>15</w:t>
    </w:r>
    <w:r>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42B87" w14:textId="77777777" w:rsidR="00AB3962" w:rsidRDefault="00AB3962">
      <w:r>
        <w:separator/>
      </w:r>
    </w:p>
  </w:footnote>
  <w:footnote w:type="continuationSeparator" w:id="0">
    <w:p w14:paraId="518DF6EB" w14:textId="77777777" w:rsidR="00AB3962" w:rsidRDefault="00AB3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366E" w14:textId="77777777" w:rsidR="0054140D" w:rsidRDefault="0054140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bl>
    <w:tblPr>
      <w:tblStyle w:val="a1"/>
      <w:tblW w:w="6692" w:type="dxa"/>
      <w:tblInd w:w="2375" w:type="dxa"/>
      <w:tblBorders>
        <w:top w:val="nil"/>
        <w:left w:val="nil"/>
        <w:bottom w:val="nil"/>
        <w:right w:val="nil"/>
        <w:insideH w:val="nil"/>
        <w:insideV w:val="nil"/>
      </w:tblBorders>
      <w:tblLayout w:type="fixed"/>
      <w:tblLook w:val="0400" w:firstRow="0" w:lastRow="0" w:firstColumn="0" w:lastColumn="0" w:noHBand="0" w:noVBand="1"/>
    </w:tblPr>
    <w:tblGrid>
      <w:gridCol w:w="2582"/>
      <w:gridCol w:w="4110"/>
    </w:tblGrid>
    <w:tr w:rsidR="0054140D" w14:paraId="4BE5B843" w14:textId="77777777">
      <w:trPr>
        <w:trHeight w:val="147"/>
      </w:trPr>
      <w:tc>
        <w:tcPr>
          <w:tcW w:w="2582" w:type="dxa"/>
        </w:tcPr>
        <w:p w14:paraId="2CB7E9E9" w14:textId="77777777" w:rsidR="0054140D" w:rsidRDefault="00192493">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0" w:type="dxa"/>
        </w:tcPr>
        <w:p w14:paraId="26956238" w14:textId="77777777" w:rsidR="0054140D" w:rsidRDefault="00192493">
          <w:pPr>
            <w:tabs>
              <w:tab w:val="left" w:pos="1735"/>
              <w:tab w:val="right" w:pos="8838"/>
            </w:tabs>
            <w:spacing w:line="276" w:lineRule="auto"/>
            <w:ind w:lef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08591/INFOEM/IP/RR/2025</w:t>
          </w:r>
        </w:p>
      </w:tc>
    </w:tr>
    <w:tr w:rsidR="0054140D" w14:paraId="484EB624" w14:textId="77777777">
      <w:trPr>
        <w:trHeight w:val="147"/>
      </w:trPr>
      <w:tc>
        <w:tcPr>
          <w:tcW w:w="2582" w:type="dxa"/>
        </w:tcPr>
        <w:p w14:paraId="46DACBD7" w14:textId="77777777" w:rsidR="0054140D" w:rsidRDefault="00192493">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0" w:type="dxa"/>
        </w:tcPr>
        <w:p w14:paraId="52CAC75A" w14:textId="77777777" w:rsidR="0054140D" w:rsidRDefault="00192493">
          <w:pPr>
            <w:tabs>
              <w:tab w:val="left" w:pos="1735"/>
              <w:tab w:val="right" w:pos="8838"/>
            </w:tabs>
            <w:spacing w:line="276" w:lineRule="auto"/>
            <w:ind w:lef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Chicoloapan</w:t>
          </w:r>
        </w:p>
      </w:tc>
    </w:tr>
    <w:tr w:rsidR="0054140D" w14:paraId="37EBA905" w14:textId="77777777">
      <w:trPr>
        <w:trHeight w:val="141"/>
      </w:trPr>
      <w:tc>
        <w:tcPr>
          <w:tcW w:w="2582" w:type="dxa"/>
        </w:tcPr>
        <w:p w14:paraId="0EAE52E1" w14:textId="77777777" w:rsidR="0054140D" w:rsidRDefault="00192493">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110" w:type="dxa"/>
        </w:tcPr>
        <w:p w14:paraId="50AE465F" w14:textId="77777777" w:rsidR="0054140D" w:rsidRDefault="00192493">
          <w:pPr>
            <w:tabs>
              <w:tab w:val="left" w:pos="1735"/>
              <w:tab w:val="right" w:pos="8838"/>
            </w:tabs>
            <w:spacing w:line="276" w:lineRule="auto"/>
            <w:ind w:lef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48CE9309" w14:textId="77777777" w:rsidR="0054140D" w:rsidRDefault="0054140D">
          <w:pPr>
            <w:tabs>
              <w:tab w:val="left" w:pos="1735"/>
              <w:tab w:val="right" w:pos="8838"/>
            </w:tabs>
            <w:spacing w:line="276" w:lineRule="auto"/>
            <w:ind w:left="-28"/>
            <w:jc w:val="both"/>
            <w:rPr>
              <w:rFonts w:ascii="Palatino Linotype" w:eastAsia="Palatino Linotype" w:hAnsi="Palatino Linotype" w:cs="Palatino Linotype"/>
              <w:sz w:val="22"/>
              <w:szCs w:val="22"/>
            </w:rPr>
          </w:pPr>
        </w:p>
      </w:tc>
    </w:tr>
  </w:tbl>
  <w:p w14:paraId="66BFFC1B" w14:textId="77777777" w:rsidR="0054140D" w:rsidRDefault="00000000">
    <w:pPr>
      <w:pBdr>
        <w:top w:val="nil"/>
        <w:left w:val="nil"/>
        <w:bottom w:val="nil"/>
        <w:right w:val="nil"/>
        <w:between w:val="nil"/>
      </w:pBdr>
      <w:tabs>
        <w:tab w:val="center" w:pos="4419"/>
        <w:tab w:val="right" w:pos="8838"/>
      </w:tabs>
      <w:rPr>
        <w:color w:val="000000"/>
        <w:sz w:val="14"/>
        <w:szCs w:val="14"/>
      </w:rPr>
    </w:pPr>
    <w:r>
      <w:rPr>
        <w:rFonts w:ascii="Garamond" w:eastAsia="Garamond" w:hAnsi="Garamond" w:cs="Garamond"/>
        <w:color w:val="000000"/>
        <w:sz w:val="16"/>
        <w:szCs w:val="16"/>
      </w:rPr>
      <w:pict w14:anchorId="65837A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MARCA DE AGUA - HOJA RESOLUCIÓN" style="position:absolute;margin-left:-74.15pt;margin-top:-128.5pt;width:663.5pt;height:12in;z-index:-251658240;mso-wrap-edited:f;mso-width-percent:0;mso-height-percent:0;mso-position-horizontal:absolute;mso-position-horizontal-relative:margin;mso-position-vertical:absolute;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319B" w14:textId="77777777" w:rsidR="0054140D" w:rsidRDefault="00000000">
    <w:r>
      <w:rPr>
        <w:rFonts w:ascii="Palatino Linotype" w:eastAsia="Palatino Linotype" w:hAnsi="Palatino Linotype" w:cs="Palatino Linotype"/>
        <w:b/>
        <w:sz w:val="22"/>
        <w:szCs w:val="22"/>
      </w:rPr>
      <w:pict w14:anchorId="0007DF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MARCA DE AGUA - HOJA RESOLUCIÓN" style="position:absolute;margin-left:-79.7pt;margin-top:-124.7pt;width:663.5pt;height:12in;z-index:-251659264;mso-position-horizontal:absolute;mso-position-horizontal-relative:margin;mso-position-vertical:absolute;mso-position-vertical-relative:margin">
          <v:imagedata r:id="rId1" o:title="image2"/>
          <w10:wrap anchorx="margin" anchory="margin"/>
        </v:shape>
      </w:pict>
    </w:r>
  </w:p>
  <w:tbl>
    <w:tblPr>
      <w:tblStyle w:val="a2"/>
      <w:tblpPr w:leftFromText="141" w:rightFromText="141" w:vertAnchor="page" w:horzAnchor="margin" w:tblpY="556"/>
      <w:tblW w:w="906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689"/>
      <w:gridCol w:w="2539"/>
      <w:gridCol w:w="3832"/>
    </w:tblGrid>
    <w:tr w:rsidR="0054140D" w14:paraId="221A1089" w14:textId="77777777">
      <w:trPr>
        <w:trHeight w:val="488"/>
      </w:trPr>
      <w:tc>
        <w:tcPr>
          <w:tcW w:w="2689" w:type="dxa"/>
          <w:vAlign w:val="bottom"/>
        </w:tcPr>
        <w:p w14:paraId="51D1C92B" w14:textId="77777777" w:rsidR="0054140D" w:rsidRDefault="0054140D">
          <w:pPr>
            <w:tabs>
              <w:tab w:val="right" w:pos="8838"/>
            </w:tabs>
            <w:ind w:right="-105"/>
            <w:rPr>
              <w:rFonts w:ascii="Palatino Linotype" w:eastAsia="Palatino Linotype" w:hAnsi="Palatino Linotype" w:cs="Palatino Linotype"/>
              <w:b/>
              <w:sz w:val="22"/>
              <w:szCs w:val="22"/>
            </w:rPr>
          </w:pPr>
        </w:p>
      </w:tc>
      <w:tc>
        <w:tcPr>
          <w:tcW w:w="2539" w:type="dxa"/>
          <w:vAlign w:val="bottom"/>
        </w:tcPr>
        <w:p w14:paraId="781F69DC" w14:textId="77777777" w:rsidR="0054140D" w:rsidRDefault="00192493">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32" w:type="dxa"/>
          <w:vAlign w:val="bottom"/>
        </w:tcPr>
        <w:p w14:paraId="682D04B2" w14:textId="77777777" w:rsidR="0054140D" w:rsidRDefault="00192493">
          <w:pPr>
            <w:tabs>
              <w:tab w:val="right" w:pos="8838"/>
            </w:tabs>
            <w:spacing w:line="276" w:lineRule="auto"/>
            <w:ind w:left="-28" w:right="3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08591/INFOEM/IP/RR/2025</w:t>
          </w:r>
        </w:p>
      </w:tc>
    </w:tr>
    <w:tr w:rsidR="0054140D" w14:paraId="30AB0F80" w14:textId="77777777">
      <w:trPr>
        <w:trHeight w:val="124"/>
      </w:trPr>
      <w:tc>
        <w:tcPr>
          <w:tcW w:w="2689" w:type="dxa"/>
        </w:tcPr>
        <w:p w14:paraId="5CF91283" w14:textId="77777777" w:rsidR="0054140D" w:rsidRDefault="0054140D">
          <w:pPr>
            <w:tabs>
              <w:tab w:val="right" w:pos="8838"/>
            </w:tabs>
            <w:ind w:right="-105"/>
            <w:rPr>
              <w:rFonts w:ascii="Palatino Linotype" w:eastAsia="Palatino Linotype" w:hAnsi="Palatino Linotype" w:cs="Palatino Linotype"/>
              <w:b/>
              <w:sz w:val="22"/>
              <w:szCs w:val="22"/>
            </w:rPr>
          </w:pPr>
        </w:p>
      </w:tc>
      <w:tc>
        <w:tcPr>
          <w:tcW w:w="2539" w:type="dxa"/>
        </w:tcPr>
        <w:p w14:paraId="5A481503" w14:textId="77777777" w:rsidR="0054140D" w:rsidRDefault="00192493">
          <w:pPr>
            <w:tabs>
              <w:tab w:val="right" w:pos="8838"/>
            </w:tabs>
            <w:spacing w:line="276" w:lineRule="auto"/>
            <w:ind w:right="171"/>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Recurrente:</w:t>
          </w:r>
        </w:p>
      </w:tc>
      <w:tc>
        <w:tcPr>
          <w:tcW w:w="3832" w:type="dxa"/>
        </w:tcPr>
        <w:p w14:paraId="1A5B03BC" w14:textId="659A640C" w:rsidR="0054140D" w:rsidRDefault="00A22054">
          <w:pPr>
            <w:tabs>
              <w:tab w:val="right" w:pos="8838"/>
            </w:tabs>
            <w:spacing w:line="276" w:lineRule="auto"/>
            <w:ind w:right="39"/>
            <w:jc w:val="both"/>
            <w:rPr>
              <w:rFonts w:ascii="Palatino Linotype" w:eastAsia="Palatino Linotype" w:hAnsi="Palatino Linotype" w:cs="Palatino Linotype"/>
              <w:sz w:val="22"/>
              <w:szCs w:val="22"/>
            </w:rPr>
          </w:pPr>
          <w:r w:rsidRPr="00A22054">
            <w:rPr>
              <w:rFonts w:ascii="Palatino Linotype" w:eastAsia="Palatino Linotype" w:hAnsi="Palatino Linotype" w:cs="Palatino Linotype"/>
              <w:sz w:val="22"/>
              <w:szCs w:val="22"/>
              <w:highlight w:val="black"/>
            </w:rPr>
            <w:t>XXXXXXXXXXXXXX</w:t>
          </w:r>
        </w:p>
      </w:tc>
    </w:tr>
    <w:tr w:rsidR="0054140D" w14:paraId="7C47101D" w14:textId="77777777">
      <w:trPr>
        <w:trHeight w:val="245"/>
      </w:trPr>
      <w:tc>
        <w:tcPr>
          <w:tcW w:w="2689" w:type="dxa"/>
        </w:tcPr>
        <w:p w14:paraId="2D7E70ED" w14:textId="77777777" w:rsidR="0054140D" w:rsidRDefault="0054140D">
          <w:pPr>
            <w:tabs>
              <w:tab w:val="right" w:pos="8838"/>
            </w:tabs>
            <w:ind w:right="-105"/>
            <w:rPr>
              <w:rFonts w:ascii="Palatino Linotype" w:eastAsia="Palatino Linotype" w:hAnsi="Palatino Linotype" w:cs="Palatino Linotype"/>
              <w:b/>
              <w:sz w:val="22"/>
              <w:szCs w:val="22"/>
            </w:rPr>
          </w:pPr>
        </w:p>
      </w:tc>
      <w:tc>
        <w:tcPr>
          <w:tcW w:w="2539" w:type="dxa"/>
        </w:tcPr>
        <w:p w14:paraId="66BEFC40" w14:textId="77777777" w:rsidR="0054140D" w:rsidRDefault="00192493">
          <w:pPr>
            <w:tabs>
              <w:tab w:val="right" w:pos="8838"/>
            </w:tabs>
            <w:spacing w:line="276" w:lineRule="auto"/>
            <w:ind w:right="17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32" w:type="dxa"/>
        </w:tcPr>
        <w:p w14:paraId="47E02061" w14:textId="77777777" w:rsidR="0054140D" w:rsidRDefault="00192493">
          <w:pPr>
            <w:tabs>
              <w:tab w:val="right" w:pos="8838"/>
            </w:tabs>
            <w:spacing w:line="276" w:lineRule="auto"/>
            <w:ind w:right="3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Chicoloapan</w:t>
          </w:r>
        </w:p>
      </w:tc>
    </w:tr>
    <w:tr w:rsidR="0054140D" w14:paraId="765D4061" w14:textId="77777777">
      <w:trPr>
        <w:trHeight w:val="245"/>
      </w:trPr>
      <w:tc>
        <w:tcPr>
          <w:tcW w:w="2689" w:type="dxa"/>
        </w:tcPr>
        <w:p w14:paraId="4D42116F" w14:textId="77777777" w:rsidR="0054140D" w:rsidRDefault="0054140D">
          <w:pPr>
            <w:tabs>
              <w:tab w:val="right" w:pos="8838"/>
            </w:tabs>
            <w:ind w:right="-105"/>
            <w:rPr>
              <w:rFonts w:ascii="Palatino Linotype" w:eastAsia="Palatino Linotype" w:hAnsi="Palatino Linotype" w:cs="Palatino Linotype"/>
              <w:b/>
              <w:sz w:val="22"/>
              <w:szCs w:val="22"/>
            </w:rPr>
          </w:pPr>
        </w:p>
      </w:tc>
      <w:tc>
        <w:tcPr>
          <w:tcW w:w="2539" w:type="dxa"/>
        </w:tcPr>
        <w:p w14:paraId="7AA3B48D" w14:textId="77777777" w:rsidR="0054140D" w:rsidRDefault="00192493">
          <w:pPr>
            <w:tabs>
              <w:tab w:val="right" w:pos="8838"/>
            </w:tabs>
            <w:spacing w:line="276" w:lineRule="auto"/>
            <w:ind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832" w:type="dxa"/>
        </w:tcPr>
        <w:p w14:paraId="75526E45" w14:textId="77777777" w:rsidR="0054140D" w:rsidRDefault="00192493">
          <w:pPr>
            <w:tabs>
              <w:tab w:val="right" w:pos="8838"/>
            </w:tabs>
            <w:spacing w:line="276" w:lineRule="auto"/>
            <w:ind w:right="3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727BB80E" w14:textId="77777777" w:rsidR="0054140D" w:rsidRDefault="0054140D">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45AD3"/>
    <w:multiLevelType w:val="multilevel"/>
    <w:tmpl w:val="1278CDD0"/>
    <w:lvl w:ilvl="0">
      <w:start w:val="7"/>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47634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0D"/>
    <w:rsid w:val="00192493"/>
    <w:rsid w:val="001E31DA"/>
    <w:rsid w:val="002140B9"/>
    <w:rsid w:val="002E7795"/>
    <w:rsid w:val="00312AEF"/>
    <w:rsid w:val="00537AF2"/>
    <w:rsid w:val="0054140D"/>
    <w:rsid w:val="00541F5F"/>
    <w:rsid w:val="0070135F"/>
    <w:rsid w:val="008816C5"/>
    <w:rsid w:val="009104BE"/>
    <w:rsid w:val="009E5B83"/>
    <w:rsid w:val="00A22054"/>
    <w:rsid w:val="00A430A5"/>
    <w:rsid w:val="00A46D99"/>
    <w:rsid w:val="00A47788"/>
    <w:rsid w:val="00AB3962"/>
    <w:rsid w:val="00F9062C"/>
    <w:rsid w:val="00FA2E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10D47"/>
  <w15:docId w15:val="{67555268-EDB7-4B39-B0BC-87D7A095D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line="360" w:lineRule="auto"/>
      <w:jc w:val="center"/>
      <w:outlineLvl w:val="0"/>
    </w:pPr>
    <w:rPr>
      <w:rFonts w:ascii="Palatino Linotype" w:eastAsia="Palatino Linotype" w:hAnsi="Palatino Linotype" w:cs="Palatino Linotype"/>
      <w:b/>
      <w:color w:val="000000"/>
      <w:sz w:val="22"/>
      <w:szCs w:val="22"/>
    </w:rPr>
  </w:style>
  <w:style w:type="paragraph" w:styleId="Ttulo2">
    <w:name w:val="heading 2"/>
    <w:basedOn w:val="Normal"/>
    <w:next w:val="Normal"/>
    <w:uiPriority w:val="9"/>
    <w:unhideWhenUsed/>
    <w:qFormat/>
    <w:pPr>
      <w:keepNext/>
      <w:keepLines/>
      <w:spacing w:line="360" w:lineRule="auto"/>
      <w:outlineLvl w:val="1"/>
    </w:pPr>
    <w:rPr>
      <w:rFonts w:ascii="Palatino Linotype" w:eastAsia="Palatino Linotype" w:hAnsi="Palatino Linotype" w:cs="Palatino Linotype"/>
      <w:b/>
      <w:color w:val="000000"/>
      <w:sz w:val="22"/>
      <w:szCs w:val="22"/>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rPr>
      <w:rFonts w:ascii="Calibri" w:eastAsia="Calibri" w:hAnsi="Calibri" w:cs="Calibri"/>
      <w:sz w:val="56"/>
      <w:szCs w:val="56"/>
    </w:rPr>
  </w:style>
  <w:style w:type="table" w:customStyle="1" w:styleId="TableNormal0">
    <w:name w:val="TableNormal"/>
    <w:tblPr>
      <w:tblCellMar>
        <w:top w:w="0" w:type="dxa"/>
        <w:left w:w="0" w:type="dxa"/>
        <w:bottom w:w="0" w:type="dxa"/>
        <w:right w:w="0" w:type="dxa"/>
      </w:tblCellMar>
    </w:tblPr>
  </w:style>
  <w:style w:type="character" w:customStyle="1" w:styleId="Ttulo1Car">
    <w:name w:val="Título 1 Car"/>
    <w:basedOn w:val="Fuentedeprrafopredeter"/>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ind w:left="567" w:right="567"/>
      <w:jc w:val="both"/>
    </w:pPr>
    <w:rPr>
      <w:rFonts w:ascii="Arial" w:eastAsia="Batang" w:hAnsi="Arial"/>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character" w:customStyle="1" w:styleId="TtuloCar">
    <w:name w:val="Título Car"/>
    <w:basedOn w:val="Fuentedeprrafopredeter"/>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character" w:customStyle="1" w:styleId="SubttuloCar">
    <w:name w:val="Subtítulo Car"/>
    <w:basedOn w:val="Fuentedeprrafopredeter"/>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next w:val="Normal"/>
    <w:uiPriority w:val="39"/>
    <w:unhideWhenUsed/>
    <w:qFormat/>
    <w:rsid w:val="002B57E5"/>
    <w:pPr>
      <w:spacing w:line="259" w:lineRule="auto"/>
    </w:pPr>
  </w:style>
  <w:style w:type="character" w:customStyle="1" w:styleId="Ttulo2Car">
    <w:name w:val="Título 2 Car"/>
    <w:basedOn w:val="Fuentedeprrafopredeter"/>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 w:type="character" w:customStyle="1" w:styleId="Mencinsinresolver2">
    <w:name w:val="Mención sin resolver2"/>
    <w:basedOn w:val="Fuentedeprrafopredeter"/>
    <w:uiPriority w:val="99"/>
    <w:semiHidden/>
    <w:unhideWhenUsed/>
    <w:rsid w:val="00F117B1"/>
    <w:rPr>
      <w:color w:val="605E5C"/>
      <w:shd w:val="clear" w:color="auto" w:fill="E1DFDD"/>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Subttulo">
    <w:name w:val="Subtitle"/>
    <w:basedOn w:val="Normal"/>
    <w:next w:val="Normal"/>
    <w:uiPriority w:val="11"/>
    <w:qFormat/>
    <w:pPr>
      <w:spacing w:after="160"/>
    </w:pPr>
    <w:rPr>
      <w:rFonts w:ascii="Calibri" w:eastAsia="Calibri" w:hAnsi="Calibri" w:cs="Calibri"/>
      <w:color w:val="5A5A5A"/>
      <w:sz w:val="22"/>
      <w:szCs w:val="22"/>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ow2bawjE2x06bfYII2h1e+aoyw==">CgMxLjAyDmguOWR1czBxOG5qOWk1Mg5oLndhcHloemRoejcwejIOaC5yY2V1eXVhMTRobG4yDmguNGxnNXJ5anl5OGx2Mg5oLjU2cGMxM3hzaGlmeDIOaC5hcjdpZTF4czI0Z3IyDmguODVnZ2Nhejh1bjZ3Mg5oLjMxdjVoYXZrbDFkMzIOaC5mZjhqNmN0a202ZWQyDmguejNiamVlOXo0c2dyMg5oLjN0aGgxYmY1Z3ZwYjIOaC51eDd1ZmRkcWZhN284AHIhMU45MGtHMjdNWm9uQnRMVXR3UjhJV21kdWhhN09ua25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3240</Words>
  <Characters>16664</Characters>
  <Application>Microsoft Office Word</Application>
  <DocSecurity>0</DocSecurity>
  <Lines>355</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Roxana Lechuga</cp:lastModifiedBy>
  <cp:revision>6</cp:revision>
  <cp:lastPrinted>2025-09-05T04:45:00Z</cp:lastPrinted>
  <dcterms:created xsi:type="dcterms:W3CDTF">2025-09-05T04:45:00Z</dcterms:created>
  <dcterms:modified xsi:type="dcterms:W3CDTF">2025-11-28T02:24:00Z</dcterms:modified>
</cp:coreProperties>
</file>