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11E96" w:rsidRDefault="004C465F" w:rsidP="005747C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rPr>
        <w:id w:val="789625836"/>
        <w:docPartObj>
          <w:docPartGallery w:val="Table of Contents"/>
          <w:docPartUnique/>
        </w:docPartObj>
      </w:sdtPr>
      <w:sdtEndPr>
        <w:rPr>
          <w:b/>
          <w:bCs/>
        </w:rPr>
      </w:sdtEndPr>
      <w:sdtContent>
        <w:p w14:paraId="7F182055" w14:textId="745059ED" w:rsidR="00C4052B" w:rsidRPr="00B11E96" w:rsidRDefault="00C4052B" w:rsidP="005747CD">
          <w:pPr>
            <w:pStyle w:val="TtulodeTDC"/>
            <w:spacing w:before="0" w:line="360" w:lineRule="auto"/>
            <w:jc w:val="center"/>
            <w:rPr>
              <w:rFonts w:ascii="Palatino Linotype" w:hAnsi="Palatino Linotype"/>
              <w:color w:val="auto"/>
              <w:sz w:val="22"/>
              <w:szCs w:val="22"/>
            </w:rPr>
          </w:pPr>
          <w:r w:rsidRPr="00B11E96">
            <w:rPr>
              <w:rFonts w:ascii="Palatino Linotype" w:hAnsi="Palatino Linotype"/>
              <w:color w:val="auto"/>
              <w:sz w:val="22"/>
              <w:szCs w:val="22"/>
            </w:rPr>
            <w:t xml:space="preserve">RESOLUCIÓN DEL RECURSO DE REVISIÓN </w:t>
          </w:r>
          <w:r w:rsidR="00B11E96" w:rsidRPr="00B11E96">
            <w:rPr>
              <w:rFonts w:ascii="Palatino Linotype" w:hAnsi="Palatino Linotype"/>
              <w:color w:val="auto"/>
              <w:sz w:val="22"/>
              <w:szCs w:val="22"/>
            </w:rPr>
            <w:t>08216</w:t>
          </w:r>
          <w:r w:rsidR="00C91D17" w:rsidRPr="00B11E96">
            <w:rPr>
              <w:rFonts w:ascii="Palatino Linotype" w:hAnsi="Palatino Linotype"/>
              <w:color w:val="auto"/>
              <w:sz w:val="22"/>
              <w:szCs w:val="22"/>
            </w:rPr>
            <w:t>/INFOEM/IP/RR/2025</w:t>
          </w:r>
        </w:p>
        <w:p w14:paraId="73933EFA" w14:textId="77777777" w:rsidR="00C4052B" w:rsidRPr="00B11E96" w:rsidRDefault="00C4052B" w:rsidP="005747CD">
          <w:pPr>
            <w:spacing w:after="0" w:line="360" w:lineRule="auto"/>
            <w:rPr>
              <w:color w:val="FF0000"/>
            </w:rPr>
          </w:pPr>
        </w:p>
        <w:p w14:paraId="45F3D582" w14:textId="0352E8E6" w:rsidR="00BD2574" w:rsidRDefault="00C4052B">
          <w:pPr>
            <w:pStyle w:val="TDC1"/>
            <w:tabs>
              <w:tab w:val="right" w:leader="dot" w:pos="8921"/>
            </w:tabs>
            <w:rPr>
              <w:rFonts w:asciiTheme="minorHAnsi" w:eastAsiaTheme="minorEastAsia" w:hAnsiTheme="minorHAnsi" w:cstheme="minorBidi"/>
              <w:noProof/>
              <w:color w:val="auto"/>
            </w:rPr>
          </w:pPr>
          <w:r w:rsidRPr="00B11E96">
            <w:rPr>
              <w:color w:val="FF0000"/>
            </w:rPr>
            <w:fldChar w:fldCharType="begin"/>
          </w:r>
          <w:r w:rsidRPr="00B11E96">
            <w:rPr>
              <w:color w:val="FF0000"/>
            </w:rPr>
            <w:instrText xml:space="preserve"> TOC \o "1-3" \h \z \u </w:instrText>
          </w:r>
          <w:r w:rsidRPr="00B11E96">
            <w:rPr>
              <w:color w:val="FF0000"/>
            </w:rPr>
            <w:fldChar w:fldCharType="separate"/>
          </w:r>
          <w:hyperlink w:anchor="_Toc206089557" w:history="1">
            <w:r w:rsidR="00BD2574" w:rsidRPr="00342A75">
              <w:rPr>
                <w:rStyle w:val="Hipervnculo"/>
                <w:noProof/>
              </w:rPr>
              <w:t>A N T E C E D E N T E S</w:t>
            </w:r>
            <w:r w:rsidR="00BD2574">
              <w:rPr>
                <w:noProof/>
                <w:webHidden/>
              </w:rPr>
              <w:tab/>
            </w:r>
            <w:r w:rsidR="00BD2574">
              <w:rPr>
                <w:noProof/>
                <w:webHidden/>
              </w:rPr>
              <w:fldChar w:fldCharType="begin"/>
            </w:r>
            <w:r w:rsidR="00BD2574">
              <w:rPr>
                <w:noProof/>
                <w:webHidden/>
              </w:rPr>
              <w:instrText xml:space="preserve"> PAGEREF _Toc206089557 \h </w:instrText>
            </w:r>
            <w:r w:rsidR="00BD2574">
              <w:rPr>
                <w:noProof/>
                <w:webHidden/>
              </w:rPr>
            </w:r>
            <w:r w:rsidR="00BD2574">
              <w:rPr>
                <w:noProof/>
                <w:webHidden/>
              </w:rPr>
              <w:fldChar w:fldCharType="separate"/>
            </w:r>
            <w:r w:rsidR="00B504F0">
              <w:rPr>
                <w:noProof/>
                <w:webHidden/>
              </w:rPr>
              <w:t>2</w:t>
            </w:r>
            <w:r w:rsidR="00BD2574">
              <w:rPr>
                <w:noProof/>
                <w:webHidden/>
              </w:rPr>
              <w:fldChar w:fldCharType="end"/>
            </w:r>
          </w:hyperlink>
        </w:p>
        <w:p w14:paraId="3652B3F8" w14:textId="5C000E44" w:rsidR="00BD2574" w:rsidRDefault="009D484B">
          <w:pPr>
            <w:pStyle w:val="TDC2"/>
            <w:tabs>
              <w:tab w:val="right" w:leader="dot" w:pos="8921"/>
            </w:tabs>
            <w:rPr>
              <w:rFonts w:asciiTheme="minorHAnsi" w:eastAsiaTheme="minorEastAsia" w:hAnsiTheme="minorHAnsi" w:cstheme="minorBidi"/>
              <w:noProof/>
              <w:color w:val="auto"/>
            </w:rPr>
          </w:pPr>
          <w:hyperlink w:anchor="_Toc206089558" w:history="1">
            <w:r w:rsidR="00BD2574" w:rsidRPr="00342A75">
              <w:rPr>
                <w:rStyle w:val="Hipervnculo"/>
                <w:noProof/>
                <w:lang w:eastAsia="es-ES"/>
              </w:rPr>
              <w:t>I. Presentación de la solicitud de información</w:t>
            </w:r>
            <w:r w:rsidR="00BD2574">
              <w:rPr>
                <w:noProof/>
                <w:webHidden/>
              </w:rPr>
              <w:tab/>
            </w:r>
            <w:r w:rsidR="00BD2574">
              <w:rPr>
                <w:noProof/>
                <w:webHidden/>
              </w:rPr>
              <w:fldChar w:fldCharType="begin"/>
            </w:r>
            <w:r w:rsidR="00BD2574">
              <w:rPr>
                <w:noProof/>
                <w:webHidden/>
              </w:rPr>
              <w:instrText xml:space="preserve"> PAGEREF _Toc206089558 \h </w:instrText>
            </w:r>
            <w:r w:rsidR="00BD2574">
              <w:rPr>
                <w:noProof/>
                <w:webHidden/>
              </w:rPr>
            </w:r>
            <w:r w:rsidR="00BD2574">
              <w:rPr>
                <w:noProof/>
                <w:webHidden/>
              </w:rPr>
              <w:fldChar w:fldCharType="separate"/>
            </w:r>
            <w:r w:rsidR="00B504F0">
              <w:rPr>
                <w:noProof/>
                <w:webHidden/>
              </w:rPr>
              <w:t>2</w:t>
            </w:r>
            <w:r w:rsidR="00BD2574">
              <w:rPr>
                <w:noProof/>
                <w:webHidden/>
              </w:rPr>
              <w:fldChar w:fldCharType="end"/>
            </w:r>
          </w:hyperlink>
        </w:p>
        <w:p w14:paraId="1DCEFF79" w14:textId="1AD552B3" w:rsidR="00BD2574" w:rsidRDefault="009D484B">
          <w:pPr>
            <w:pStyle w:val="TDC2"/>
            <w:tabs>
              <w:tab w:val="right" w:leader="dot" w:pos="8921"/>
            </w:tabs>
            <w:rPr>
              <w:rFonts w:asciiTheme="minorHAnsi" w:eastAsiaTheme="minorEastAsia" w:hAnsiTheme="minorHAnsi" w:cstheme="minorBidi"/>
              <w:noProof/>
              <w:color w:val="auto"/>
            </w:rPr>
          </w:pPr>
          <w:hyperlink w:anchor="_Toc206089559" w:history="1">
            <w:r w:rsidR="00BD2574" w:rsidRPr="00342A75">
              <w:rPr>
                <w:rStyle w:val="Hipervnculo"/>
                <w:noProof/>
              </w:rPr>
              <w:t>II. Respuesta del Sujeto Obligado</w:t>
            </w:r>
            <w:r w:rsidR="00BD2574">
              <w:rPr>
                <w:noProof/>
                <w:webHidden/>
              </w:rPr>
              <w:tab/>
            </w:r>
            <w:r w:rsidR="00BD2574">
              <w:rPr>
                <w:noProof/>
                <w:webHidden/>
              </w:rPr>
              <w:fldChar w:fldCharType="begin"/>
            </w:r>
            <w:r w:rsidR="00BD2574">
              <w:rPr>
                <w:noProof/>
                <w:webHidden/>
              </w:rPr>
              <w:instrText xml:space="preserve"> PAGEREF _Toc206089559 \h </w:instrText>
            </w:r>
            <w:r w:rsidR="00BD2574">
              <w:rPr>
                <w:noProof/>
                <w:webHidden/>
              </w:rPr>
            </w:r>
            <w:r w:rsidR="00BD2574">
              <w:rPr>
                <w:noProof/>
                <w:webHidden/>
              </w:rPr>
              <w:fldChar w:fldCharType="separate"/>
            </w:r>
            <w:r w:rsidR="00B504F0">
              <w:rPr>
                <w:noProof/>
                <w:webHidden/>
              </w:rPr>
              <w:t>3</w:t>
            </w:r>
            <w:r w:rsidR="00BD2574">
              <w:rPr>
                <w:noProof/>
                <w:webHidden/>
              </w:rPr>
              <w:fldChar w:fldCharType="end"/>
            </w:r>
          </w:hyperlink>
        </w:p>
        <w:p w14:paraId="292B7849" w14:textId="14C02705" w:rsidR="00BD2574" w:rsidRDefault="009D484B">
          <w:pPr>
            <w:pStyle w:val="TDC2"/>
            <w:tabs>
              <w:tab w:val="right" w:leader="dot" w:pos="8921"/>
            </w:tabs>
            <w:rPr>
              <w:rFonts w:asciiTheme="minorHAnsi" w:eastAsiaTheme="minorEastAsia" w:hAnsiTheme="minorHAnsi" w:cstheme="minorBidi"/>
              <w:noProof/>
              <w:color w:val="auto"/>
            </w:rPr>
          </w:pPr>
          <w:hyperlink w:anchor="_Toc206089560" w:history="1">
            <w:r w:rsidR="00BD2574" w:rsidRPr="00342A75">
              <w:rPr>
                <w:rStyle w:val="Hipervnculo"/>
                <w:noProof/>
              </w:rPr>
              <w:t>III. Interposición del Recurso de Revisión</w:t>
            </w:r>
            <w:r w:rsidR="00BD2574">
              <w:rPr>
                <w:noProof/>
                <w:webHidden/>
              </w:rPr>
              <w:tab/>
            </w:r>
            <w:r w:rsidR="00BD2574">
              <w:rPr>
                <w:noProof/>
                <w:webHidden/>
              </w:rPr>
              <w:fldChar w:fldCharType="begin"/>
            </w:r>
            <w:r w:rsidR="00BD2574">
              <w:rPr>
                <w:noProof/>
                <w:webHidden/>
              </w:rPr>
              <w:instrText xml:space="preserve"> PAGEREF _Toc206089560 \h </w:instrText>
            </w:r>
            <w:r w:rsidR="00BD2574">
              <w:rPr>
                <w:noProof/>
                <w:webHidden/>
              </w:rPr>
            </w:r>
            <w:r w:rsidR="00BD2574">
              <w:rPr>
                <w:noProof/>
                <w:webHidden/>
              </w:rPr>
              <w:fldChar w:fldCharType="separate"/>
            </w:r>
            <w:r w:rsidR="00B504F0">
              <w:rPr>
                <w:noProof/>
                <w:webHidden/>
              </w:rPr>
              <w:t>3</w:t>
            </w:r>
            <w:r w:rsidR="00BD2574">
              <w:rPr>
                <w:noProof/>
                <w:webHidden/>
              </w:rPr>
              <w:fldChar w:fldCharType="end"/>
            </w:r>
          </w:hyperlink>
        </w:p>
        <w:p w14:paraId="03B24C42" w14:textId="2F462E74" w:rsidR="00BD2574" w:rsidRDefault="009D484B">
          <w:pPr>
            <w:pStyle w:val="TDC2"/>
            <w:tabs>
              <w:tab w:val="right" w:leader="dot" w:pos="8921"/>
            </w:tabs>
            <w:rPr>
              <w:rFonts w:asciiTheme="minorHAnsi" w:eastAsiaTheme="minorEastAsia" w:hAnsiTheme="minorHAnsi" w:cstheme="minorBidi"/>
              <w:noProof/>
              <w:color w:val="auto"/>
            </w:rPr>
          </w:pPr>
          <w:hyperlink w:anchor="_Toc206089561" w:history="1">
            <w:r w:rsidR="00BD2574" w:rsidRPr="00342A75">
              <w:rPr>
                <w:rStyle w:val="Hipervnculo"/>
                <w:noProof/>
              </w:rPr>
              <w:t>IV. Trámite del Recurso de Revisión ante este Instituto</w:t>
            </w:r>
            <w:r w:rsidR="00BD2574">
              <w:rPr>
                <w:noProof/>
                <w:webHidden/>
              </w:rPr>
              <w:tab/>
            </w:r>
            <w:r w:rsidR="00BD2574">
              <w:rPr>
                <w:noProof/>
                <w:webHidden/>
              </w:rPr>
              <w:fldChar w:fldCharType="begin"/>
            </w:r>
            <w:r w:rsidR="00BD2574">
              <w:rPr>
                <w:noProof/>
                <w:webHidden/>
              </w:rPr>
              <w:instrText xml:space="preserve"> PAGEREF _Toc206089561 \h </w:instrText>
            </w:r>
            <w:r w:rsidR="00BD2574">
              <w:rPr>
                <w:noProof/>
                <w:webHidden/>
              </w:rPr>
            </w:r>
            <w:r w:rsidR="00BD2574">
              <w:rPr>
                <w:noProof/>
                <w:webHidden/>
              </w:rPr>
              <w:fldChar w:fldCharType="separate"/>
            </w:r>
            <w:r w:rsidR="00B504F0">
              <w:rPr>
                <w:noProof/>
                <w:webHidden/>
              </w:rPr>
              <w:t>4</w:t>
            </w:r>
            <w:r w:rsidR="00BD2574">
              <w:rPr>
                <w:noProof/>
                <w:webHidden/>
              </w:rPr>
              <w:fldChar w:fldCharType="end"/>
            </w:r>
          </w:hyperlink>
        </w:p>
        <w:p w14:paraId="6A243B3E" w14:textId="2FCC9534" w:rsidR="00BD2574" w:rsidRDefault="009D484B">
          <w:pPr>
            <w:pStyle w:val="TDC1"/>
            <w:tabs>
              <w:tab w:val="right" w:leader="dot" w:pos="8921"/>
            </w:tabs>
            <w:rPr>
              <w:rFonts w:asciiTheme="minorHAnsi" w:eastAsiaTheme="minorEastAsia" w:hAnsiTheme="minorHAnsi" w:cstheme="minorBidi"/>
              <w:noProof/>
              <w:color w:val="auto"/>
            </w:rPr>
          </w:pPr>
          <w:hyperlink w:anchor="_Toc206089562" w:history="1">
            <w:r w:rsidR="00BD2574" w:rsidRPr="00342A75">
              <w:rPr>
                <w:rStyle w:val="Hipervnculo"/>
                <w:noProof/>
              </w:rPr>
              <w:t>C O N S I D E R A N D O S</w:t>
            </w:r>
            <w:r w:rsidR="00BD2574">
              <w:rPr>
                <w:noProof/>
                <w:webHidden/>
              </w:rPr>
              <w:tab/>
            </w:r>
            <w:r w:rsidR="00BD2574">
              <w:rPr>
                <w:noProof/>
                <w:webHidden/>
              </w:rPr>
              <w:fldChar w:fldCharType="begin"/>
            </w:r>
            <w:r w:rsidR="00BD2574">
              <w:rPr>
                <w:noProof/>
                <w:webHidden/>
              </w:rPr>
              <w:instrText xml:space="preserve"> PAGEREF _Toc206089562 \h </w:instrText>
            </w:r>
            <w:r w:rsidR="00BD2574">
              <w:rPr>
                <w:noProof/>
                <w:webHidden/>
              </w:rPr>
            </w:r>
            <w:r w:rsidR="00BD2574">
              <w:rPr>
                <w:noProof/>
                <w:webHidden/>
              </w:rPr>
              <w:fldChar w:fldCharType="separate"/>
            </w:r>
            <w:r w:rsidR="00B504F0">
              <w:rPr>
                <w:noProof/>
                <w:webHidden/>
              </w:rPr>
              <w:t>5</w:t>
            </w:r>
            <w:r w:rsidR="00BD2574">
              <w:rPr>
                <w:noProof/>
                <w:webHidden/>
              </w:rPr>
              <w:fldChar w:fldCharType="end"/>
            </w:r>
          </w:hyperlink>
        </w:p>
        <w:p w14:paraId="0B01AD5E" w14:textId="3EE1A5C3" w:rsidR="00BD2574" w:rsidRDefault="009D484B">
          <w:pPr>
            <w:pStyle w:val="TDC2"/>
            <w:tabs>
              <w:tab w:val="right" w:leader="dot" w:pos="8921"/>
            </w:tabs>
            <w:rPr>
              <w:rFonts w:asciiTheme="minorHAnsi" w:eastAsiaTheme="minorEastAsia" w:hAnsiTheme="minorHAnsi" w:cstheme="minorBidi"/>
              <w:noProof/>
              <w:color w:val="auto"/>
            </w:rPr>
          </w:pPr>
          <w:hyperlink w:anchor="_Toc206089563" w:history="1">
            <w:r w:rsidR="00BD2574" w:rsidRPr="00342A75">
              <w:rPr>
                <w:rStyle w:val="Hipervnculo"/>
                <w:noProof/>
              </w:rPr>
              <w:t>PRIMERO. Competencia</w:t>
            </w:r>
            <w:r w:rsidR="00BD2574">
              <w:rPr>
                <w:noProof/>
                <w:webHidden/>
              </w:rPr>
              <w:tab/>
            </w:r>
            <w:r w:rsidR="00BD2574">
              <w:rPr>
                <w:noProof/>
                <w:webHidden/>
              </w:rPr>
              <w:fldChar w:fldCharType="begin"/>
            </w:r>
            <w:r w:rsidR="00BD2574">
              <w:rPr>
                <w:noProof/>
                <w:webHidden/>
              </w:rPr>
              <w:instrText xml:space="preserve"> PAGEREF _Toc206089563 \h </w:instrText>
            </w:r>
            <w:r w:rsidR="00BD2574">
              <w:rPr>
                <w:noProof/>
                <w:webHidden/>
              </w:rPr>
            </w:r>
            <w:r w:rsidR="00BD2574">
              <w:rPr>
                <w:noProof/>
                <w:webHidden/>
              </w:rPr>
              <w:fldChar w:fldCharType="separate"/>
            </w:r>
            <w:r w:rsidR="00B504F0">
              <w:rPr>
                <w:noProof/>
                <w:webHidden/>
              </w:rPr>
              <w:t>5</w:t>
            </w:r>
            <w:r w:rsidR="00BD2574">
              <w:rPr>
                <w:noProof/>
                <w:webHidden/>
              </w:rPr>
              <w:fldChar w:fldCharType="end"/>
            </w:r>
          </w:hyperlink>
        </w:p>
        <w:p w14:paraId="5A649B94" w14:textId="46EF14B7" w:rsidR="00BD2574" w:rsidRDefault="009D484B">
          <w:pPr>
            <w:pStyle w:val="TDC2"/>
            <w:tabs>
              <w:tab w:val="right" w:leader="dot" w:pos="8921"/>
            </w:tabs>
            <w:rPr>
              <w:rFonts w:asciiTheme="minorHAnsi" w:eastAsiaTheme="minorEastAsia" w:hAnsiTheme="minorHAnsi" w:cstheme="minorBidi"/>
              <w:noProof/>
              <w:color w:val="auto"/>
            </w:rPr>
          </w:pPr>
          <w:hyperlink w:anchor="_Toc206089564" w:history="1">
            <w:r w:rsidR="00BD2574" w:rsidRPr="00342A75">
              <w:rPr>
                <w:rStyle w:val="Hipervnculo"/>
                <w:noProof/>
              </w:rPr>
              <w:t>SEGUNDO. Causales de improcedencia y sobreseimiento</w:t>
            </w:r>
            <w:r w:rsidR="00BD2574">
              <w:rPr>
                <w:noProof/>
                <w:webHidden/>
              </w:rPr>
              <w:tab/>
            </w:r>
            <w:r w:rsidR="00BD2574">
              <w:rPr>
                <w:noProof/>
                <w:webHidden/>
              </w:rPr>
              <w:fldChar w:fldCharType="begin"/>
            </w:r>
            <w:r w:rsidR="00BD2574">
              <w:rPr>
                <w:noProof/>
                <w:webHidden/>
              </w:rPr>
              <w:instrText xml:space="preserve"> PAGEREF _Toc206089564 \h </w:instrText>
            </w:r>
            <w:r w:rsidR="00BD2574">
              <w:rPr>
                <w:noProof/>
                <w:webHidden/>
              </w:rPr>
            </w:r>
            <w:r w:rsidR="00BD2574">
              <w:rPr>
                <w:noProof/>
                <w:webHidden/>
              </w:rPr>
              <w:fldChar w:fldCharType="separate"/>
            </w:r>
            <w:r w:rsidR="00B504F0">
              <w:rPr>
                <w:noProof/>
                <w:webHidden/>
              </w:rPr>
              <w:t>6</w:t>
            </w:r>
            <w:r w:rsidR="00BD2574">
              <w:rPr>
                <w:noProof/>
                <w:webHidden/>
              </w:rPr>
              <w:fldChar w:fldCharType="end"/>
            </w:r>
          </w:hyperlink>
        </w:p>
        <w:p w14:paraId="60B171F4" w14:textId="1065D6D0" w:rsidR="00BD2574" w:rsidRDefault="009D484B">
          <w:pPr>
            <w:pStyle w:val="TDC2"/>
            <w:tabs>
              <w:tab w:val="right" w:leader="dot" w:pos="8921"/>
            </w:tabs>
            <w:rPr>
              <w:rFonts w:asciiTheme="minorHAnsi" w:eastAsiaTheme="minorEastAsia" w:hAnsiTheme="minorHAnsi" w:cstheme="minorBidi"/>
              <w:noProof/>
              <w:color w:val="auto"/>
            </w:rPr>
          </w:pPr>
          <w:hyperlink w:anchor="_Toc206089565" w:history="1">
            <w:r w:rsidR="00BD2574" w:rsidRPr="00342A75">
              <w:rPr>
                <w:rStyle w:val="Hipervnculo"/>
                <w:noProof/>
              </w:rPr>
              <w:t>TERCERO. Determinación de la Controversia</w:t>
            </w:r>
            <w:r w:rsidR="00BD2574">
              <w:rPr>
                <w:noProof/>
                <w:webHidden/>
              </w:rPr>
              <w:tab/>
            </w:r>
            <w:r w:rsidR="00BD2574">
              <w:rPr>
                <w:noProof/>
                <w:webHidden/>
              </w:rPr>
              <w:fldChar w:fldCharType="begin"/>
            </w:r>
            <w:r w:rsidR="00BD2574">
              <w:rPr>
                <w:noProof/>
                <w:webHidden/>
              </w:rPr>
              <w:instrText xml:space="preserve"> PAGEREF _Toc206089565 \h </w:instrText>
            </w:r>
            <w:r w:rsidR="00BD2574">
              <w:rPr>
                <w:noProof/>
                <w:webHidden/>
              </w:rPr>
            </w:r>
            <w:r w:rsidR="00BD2574">
              <w:rPr>
                <w:noProof/>
                <w:webHidden/>
              </w:rPr>
              <w:fldChar w:fldCharType="separate"/>
            </w:r>
            <w:r w:rsidR="00B504F0">
              <w:rPr>
                <w:noProof/>
                <w:webHidden/>
              </w:rPr>
              <w:t>7</w:t>
            </w:r>
            <w:r w:rsidR="00BD2574">
              <w:rPr>
                <w:noProof/>
                <w:webHidden/>
              </w:rPr>
              <w:fldChar w:fldCharType="end"/>
            </w:r>
          </w:hyperlink>
        </w:p>
        <w:p w14:paraId="126D7AC8" w14:textId="364A9776" w:rsidR="00BD2574" w:rsidRDefault="009D484B">
          <w:pPr>
            <w:pStyle w:val="TDC2"/>
            <w:tabs>
              <w:tab w:val="right" w:leader="dot" w:pos="8921"/>
            </w:tabs>
            <w:rPr>
              <w:rFonts w:asciiTheme="minorHAnsi" w:eastAsiaTheme="minorEastAsia" w:hAnsiTheme="minorHAnsi" w:cstheme="minorBidi"/>
              <w:noProof/>
              <w:color w:val="auto"/>
            </w:rPr>
          </w:pPr>
          <w:hyperlink w:anchor="_Toc206089566" w:history="1">
            <w:r w:rsidR="00BD2574" w:rsidRPr="00342A75">
              <w:rPr>
                <w:rStyle w:val="Hipervnculo"/>
                <w:noProof/>
              </w:rPr>
              <w:t>CUARTO. Marco normativo aplicable en materia de transparencia y acceso a la información pública</w:t>
            </w:r>
            <w:r w:rsidR="00BD2574">
              <w:rPr>
                <w:noProof/>
                <w:webHidden/>
              </w:rPr>
              <w:tab/>
            </w:r>
            <w:r w:rsidR="00BD2574">
              <w:rPr>
                <w:noProof/>
                <w:webHidden/>
              </w:rPr>
              <w:fldChar w:fldCharType="begin"/>
            </w:r>
            <w:r w:rsidR="00BD2574">
              <w:rPr>
                <w:noProof/>
                <w:webHidden/>
              </w:rPr>
              <w:instrText xml:space="preserve"> PAGEREF _Toc206089566 \h </w:instrText>
            </w:r>
            <w:r w:rsidR="00BD2574">
              <w:rPr>
                <w:noProof/>
                <w:webHidden/>
              </w:rPr>
            </w:r>
            <w:r w:rsidR="00BD2574">
              <w:rPr>
                <w:noProof/>
                <w:webHidden/>
              </w:rPr>
              <w:fldChar w:fldCharType="separate"/>
            </w:r>
            <w:r w:rsidR="00B504F0">
              <w:rPr>
                <w:noProof/>
                <w:webHidden/>
              </w:rPr>
              <w:t>10</w:t>
            </w:r>
            <w:r w:rsidR="00BD2574">
              <w:rPr>
                <w:noProof/>
                <w:webHidden/>
              </w:rPr>
              <w:fldChar w:fldCharType="end"/>
            </w:r>
          </w:hyperlink>
        </w:p>
        <w:p w14:paraId="0D0BF5AB" w14:textId="56530141" w:rsidR="00BD2574" w:rsidRDefault="009D484B">
          <w:pPr>
            <w:pStyle w:val="TDC2"/>
            <w:tabs>
              <w:tab w:val="right" w:leader="dot" w:pos="8921"/>
            </w:tabs>
            <w:rPr>
              <w:rFonts w:asciiTheme="minorHAnsi" w:eastAsiaTheme="minorEastAsia" w:hAnsiTheme="minorHAnsi" w:cstheme="minorBidi"/>
              <w:noProof/>
              <w:color w:val="auto"/>
            </w:rPr>
          </w:pPr>
          <w:hyperlink w:anchor="_Toc206089567" w:history="1">
            <w:r w:rsidR="00BD2574" w:rsidRPr="00342A75">
              <w:rPr>
                <w:rStyle w:val="Hipervnculo"/>
                <w:noProof/>
              </w:rPr>
              <w:t>QUINTO. Estudio de Fondo</w:t>
            </w:r>
            <w:r w:rsidR="00BD2574">
              <w:rPr>
                <w:noProof/>
                <w:webHidden/>
              </w:rPr>
              <w:tab/>
            </w:r>
            <w:r w:rsidR="00BD2574">
              <w:rPr>
                <w:noProof/>
                <w:webHidden/>
              </w:rPr>
              <w:fldChar w:fldCharType="begin"/>
            </w:r>
            <w:r w:rsidR="00BD2574">
              <w:rPr>
                <w:noProof/>
                <w:webHidden/>
              </w:rPr>
              <w:instrText xml:space="preserve"> PAGEREF _Toc206089567 \h </w:instrText>
            </w:r>
            <w:r w:rsidR="00BD2574">
              <w:rPr>
                <w:noProof/>
                <w:webHidden/>
              </w:rPr>
            </w:r>
            <w:r w:rsidR="00BD2574">
              <w:rPr>
                <w:noProof/>
                <w:webHidden/>
              </w:rPr>
              <w:fldChar w:fldCharType="separate"/>
            </w:r>
            <w:r w:rsidR="00B504F0">
              <w:rPr>
                <w:noProof/>
                <w:webHidden/>
              </w:rPr>
              <w:t>11</w:t>
            </w:r>
            <w:r w:rsidR="00BD2574">
              <w:rPr>
                <w:noProof/>
                <w:webHidden/>
              </w:rPr>
              <w:fldChar w:fldCharType="end"/>
            </w:r>
          </w:hyperlink>
        </w:p>
        <w:p w14:paraId="1EDC5EA4" w14:textId="1E2C6F35" w:rsidR="00BD2574" w:rsidRDefault="009D484B">
          <w:pPr>
            <w:pStyle w:val="TDC2"/>
            <w:tabs>
              <w:tab w:val="right" w:leader="dot" w:pos="8921"/>
            </w:tabs>
            <w:rPr>
              <w:rFonts w:asciiTheme="minorHAnsi" w:eastAsiaTheme="minorEastAsia" w:hAnsiTheme="minorHAnsi" w:cstheme="minorBidi"/>
              <w:noProof/>
              <w:color w:val="auto"/>
            </w:rPr>
          </w:pPr>
          <w:hyperlink w:anchor="_Toc206089568" w:history="1">
            <w:r w:rsidR="00BD2574" w:rsidRPr="00342A75">
              <w:rPr>
                <w:rStyle w:val="Hipervnculo"/>
                <w:noProof/>
              </w:rPr>
              <w:t>SEXTO. Decisión</w:t>
            </w:r>
            <w:r w:rsidR="00BD2574">
              <w:rPr>
                <w:noProof/>
                <w:webHidden/>
              </w:rPr>
              <w:tab/>
            </w:r>
            <w:r w:rsidR="00BD2574">
              <w:rPr>
                <w:noProof/>
                <w:webHidden/>
              </w:rPr>
              <w:fldChar w:fldCharType="begin"/>
            </w:r>
            <w:r w:rsidR="00BD2574">
              <w:rPr>
                <w:noProof/>
                <w:webHidden/>
              </w:rPr>
              <w:instrText xml:space="preserve"> PAGEREF _Toc206089568 \h </w:instrText>
            </w:r>
            <w:r w:rsidR="00BD2574">
              <w:rPr>
                <w:noProof/>
                <w:webHidden/>
              </w:rPr>
            </w:r>
            <w:r w:rsidR="00BD2574">
              <w:rPr>
                <w:noProof/>
                <w:webHidden/>
              </w:rPr>
              <w:fldChar w:fldCharType="separate"/>
            </w:r>
            <w:r w:rsidR="00B504F0">
              <w:rPr>
                <w:noProof/>
                <w:webHidden/>
              </w:rPr>
              <w:t>17</w:t>
            </w:r>
            <w:r w:rsidR="00BD2574">
              <w:rPr>
                <w:noProof/>
                <w:webHidden/>
              </w:rPr>
              <w:fldChar w:fldCharType="end"/>
            </w:r>
          </w:hyperlink>
        </w:p>
        <w:p w14:paraId="072771EE" w14:textId="53520189" w:rsidR="00BD2574" w:rsidRDefault="009D484B">
          <w:pPr>
            <w:pStyle w:val="TDC1"/>
            <w:tabs>
              <w:tab w:val="right" w:leader="dot" w:pos="8921"/>
            </w:tabs>
            <w:rPr>
              <w:rFonts w:asciiTheme="minorHAnsi" w:eastAsiaTheme="minorEastAsia" w:hAnsiTheme="minorHAnsi" w:cstheme="minorBidi"/>
              <w:noProof/>
              <w:color w:val="auto"/>
            </w:rPr>
          </w:pPr>
          <w:hyperlink w:anchor="_Toc206089569" w:history="1">
            <w:r w:rsidR="00BD2574" w:rsidRPr="00342A75">
              <w:rPr>
                <w:rStyle w:val="Hipervnculo"/>
                <w:noProof/>
              </w:rPr>
              <w:t>R E S U E L V E</w:t>
            </w:r>
            <w:r w:rsidR="00BD2574">
              <w:rPr>
                <w:noProof/>
                <w:webHidden/>
              </w:rPr>
              <w:tab/>
            </w:r>
            <w:r w:rsidR="00BD2574">
              <w:rPr>
                <w:noProof/>
                <w:webHidden/>
              </w:rPr>
              <w:fldChar w:fldCharType="begin"/>
            </w:r>
            <w:r w:rsidR="00BD2574">
              <w:rPr>
                <w:noProof/>
                <w:webHidden/>
              </w:rPr>
              <w:instrText xml:space="preserve"> PAGEREF _Toc206089569 \h </w:instrText>
            </w:r>
            <w:r w:rsidR="00BD2574">
              <w:rPr>
                <w:noProof/>
                <w:webHidden/>
              </w:rPr>
            </w:r>
            <w:r w:rsidR="00BD2574">
              <w:rPr>
                <w:noProof/>
                <w:webHidden/>
              </w:rPr>
              <w:fldChar w:fldCharType="separate"/>
            </w:r>
            <w:r w:rsidR="00B504F0">
              <w:rPr>
                <w:noProof/>
                <w:webHidden/>
              </w:rPr>
              <w:t>18</w:t>
            </w:r>
            <w:r w:rsidR="00BD2574">
              <w:rPr>
                <w:noProof/>
                <w:webHidden/>
              </w:rPr>
              <w:fldChar w:fldCharType="end"/>
            </w:r>
          </w:hyperlink>
        </w:p>
        <w:p w14:paraId="5B9D6C11" w14:textId="783144F7" w:rsidR="00C4052B" w:rsidRPr="00B11E96" w:rsidRDefault="00C4052B" w:rsidP="005747CD">
          <w:pPr>
            <w:spacing w:after="0" w:line="360" w:lineRule="auto"/>
            <w:rPr>
              <w:color w:val="FF0000"/>
            </w:rPr>
          </w:pPr>
          <w:r w:rsidRPr="00B11E96">
            <w:rPr>
              <w:b/>
              <w:bCs/>
              <w:color w:val="FF0000"/>
            </w:rPr>
            <w:fldChar w:fldCharType="end"/>
          </w:r>
        </w:p>
      </w:sdtContent>
    </w:sdt>
    <w:p w14:paraId="57481942" w14:textId="77777777" w:rsidR="00C4052B" w:rsidRPr="00B11E96" w:rsidRDefault="00C4052B" w:rsidP="005747CD">
      <w:pPr>
        <w:tabs>
          <w:tab w:val="left" w:pos="8931"/>
        </w:tabs>
        <w:spacing w:after="0" w:line="360" w:lineRule="auto"/>
        <w:rPr>
          <w:color w:val="FF0000"/>
        </w:rPr>
      </w:pPr>
    </w:p>
    <w:p w14:paraId="411B5995" w14:textId="77777777" w:rsidR="00C4052B" w:rsidRPr="00B11E96" w:rsidRDefault="00C4052B" w:rsidP="005747CD">
      <w:pPr>
        <w:tabs>
          <w:tab w:val="left" w:pos="8931"/>
        </w:tabs>
        <w:spacing w:after="0" w:line="360" w:lineRule="auto"/>
        <w:rPr>
          <w:color w:val="FF0000"/>
        </w:rPr>
      </w:pPr>
    </w:p>
    <w:p w14:paraId="6784625D" w14:textId="77777777" w:rsidR="00C4052B" w:rsidRDefault="00C4052B" w:rsidP="005747CD">
      <w:pPr>
        <w:tabs>
          <w:tab w:val="left" w:pos="8931"/>
        </w:tabs>
        <w:spacing w:after="0" w:line="360" w:lineRule="auto"/>
        <w:rPr>
          <w:color w:val="FF0000"/>
        </w:rPr>
      </w:pPr>
    </w:p>
    <w:p w14:paraId="52F13710" w14:textId="77777777" w:rsidR="00B11E96" w:rsidRDefault="00B11E96" w:rsidP="005747CD">
      <w:pPr>
        <w:tabs>
          <w:tab w:val="left" w:pos="8931"/>
        </w:tabs>
        <w:spacing w:after="0" w:line="360" w:lineRule="auto"/>
        <w:rPr>
          <w:color w:val="FF0000"/>
        </w:rPr>
      </w:pPr>
    </w:p>
    <w:p w14:paraId="0ADA497E" w14:textId="77777777" w:rsidR="00B11E96" w:rsidRDefault="00B11E96" w:rsidP="005747CD">
      <w:pPr>
        <w:tabs>
          <w:tab w:val="left" w:pos="8931"/>
        </w:tabs>
        <w:spacing w:after="0" w:line="360" w:lineRule="auto"/>
        <w:rPr>
          <w:color w:val="FF0000"/>
        </w:rPr>
      </w:pPr>
    </w:p>
    <w:p w14:paraId="6BC69B17" w14:textId="77777777" w:rsidR="00EE5B29" w:rsidRDefault="00EE5B29" w:rsidP="005747CD">
      <w:pPr>
        <w:tabs>
          <w:tab w:val="left" w:pos="8931"/>
        </w:tabs>
        <w:spacing w:after="0" w:line="360" w:lineRule="auto"/>
        <w:rPr>
          <w:color w:val="FF0000"/>
        </w:rPr>
      </w:pPr>
    </w:p>
    <w:p w14:paraId="2AFA9C03" w14:textId="77777777" w:rsidR="00EE5B29" w:rsidRDefault="00EE5B29" w:rsidP="005747CD">
      <w:pPr>
        <w:tabs>
          <w:tab w:val="left" w:pos="8931"/>
        </w:tabs>
        <w:spacing w:after="0" w:line="360" w:lineRule="auto"/>
        <w:rPr>
          <w:color w:val="FF0000"/>
        </w:rPr>
      </w:pPr>
    </w:p>
    <w:p w14:paraId="6B3FE465" w14:textId="77777777" w:rsidR="00EE5B29" w:rsidRPr="00B11E96" w:rsidRDefault="00EE5B29" w:rsidP="005747CD">
      <w:pPr>
        <w:tabs>
          <w:tab w:val="left" w:pos="8931"/>
        </w:tabs>
        <w:spacing w:after="0" w:line="360" w:lineRule="auto"/>
        <w:rPr>
          <w:color w:val="FF0000"/>
        </w:rPr>
      </w:pPr>
    </w:p>
    <w:p w14:paraId="1EF744E2" w14:textId="77777777" w:rsidR="00D21F0B" w:rsidRPr="00B11E96" w:rsidRDefault="00D21F0B" w:rsidP="005747CD">
      <w:pPr>
        <w:tabs>
          <w:tab w:val="left" w:pos="8931"/>
        </w:tabs>
        <w:spacing w:after="0" w:line="360" w:lineRule="auto"/>
        <w:rPr>
          <w:color w:val="FF0000"/>
        </w:rPr>
      </w:pPr>
    </w:p>
    <w:p w14:paraId="3FB7EB5E" w14:textId="1F5D2901" w:rsidR="005C690F" w:rsidRPr="008D1E9F" w:rsidRDefault="007D6307" w:rsidP="005747CD">
      <w:pPr>
        <w:tabs>
          <w:tab w:val="left" w:pos="8931"/>
        </w:tabs>
        <w:spacing w:after="0" w:line="360" w:lineRule="auto"/>
        <w:rPr>
          <w:color w:val="auto"/>
        </w:rPr>
      </w:pPr>
      <w:r w:rsidRPr="008D1E9F">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8D1E9F">
        <w:rPr>
          <w:color w:val="auto"/>
        </w:rPr>
        <w:t xml:space="preserve">fecha </w:t>
      </w:r>
      <w:r w:rsidR="008D1E9F" w:rsidRPr="008D1E9F">
        <w:rPr>
          <w:color w:val="auto"/>
        </w:rPr>
        <w:t xml:space="preserve">trece de agosto </w:t>
      </w:r>
      <w:r w:rsidR="00945CB8" w:rsidRPr="008D1E9F">
        <w:rPr>
          <w:color w:val="auto"/>
        </w:rPr>
        <w:t>de dos mil veintic</w:t>
      </w:r>
      <w:r w:rsidR="00C11A18" w:rsidRPr="008D1E9F">
        <w:rPr>
          <w:color w:val="auto"/>
        </w:rPr>
        <w:t>inco</w:t>
      </w:r>
      <w:r w:rsidRPr="008D1E9F">
        <w:rPr>
          <w:color w:val="auto"/>
        </w:rPr>
        <w:t xml:space="preserve">. </w:t>
      </w:r>
    </w:p>
    <w:p w14:paraId="0DCD3B82" w14:textId="77777777" w:rsidR="005C690F" w:rsidRPr="00B11E96" w:rsidRDefault="005C690F" w:rsidP="005747CD">
      <w:pPr>
        <w:spacing w:after="0" w:line="360" w:lineRule="auto"/>
        <w:rPr>
          <w:b/>
          <w:color w:val="FF0000"/>
        </w:rPr>
      </w:pPr>
    </w:p>
    <w:p w14:paraId="1570B336" w14:textId="6A801A72" w:rsidR="005C690F" w:rsidRPr="00D230C9" w:rsidRDefault="007D6307" w:rsidP="005747CD">
      <w:pPr>
        <w:spacing w:after="0" w:line="360" w:lineRule="auto"/>
        <w:rPr>
          <w:rFonts w:ascii="Arial" w:hAnsi="Arial" w:cs="Arial"/>
          <w:b/>
          <w:bCs/>
          <w:color w:val="auto"/>
          <w:sz w:val="15"/>
          <w:szCs w:val="15"/>
          <w:shd w:val="clear" w:color="auto" w:fill="F7F7F8"/>
        </w:rPr>
      </w:pPr>
      <w:r w:rsidRPr="008D1E9F">
        <w:rPr>
          <w:b/>
          <w:color w:val="auto"/>
        </w:rPr>
        <w:t xml:space="preserve">VISTO </w:t>
      </w:r>
      <w:r w:rsidRPr="008D1E9F">
        <w:rPr>
          <w:color w:val="auto"/>
        </w:rPr>
        <w:t xml:space="preserve">el expediente electrónico conformado con motivo del Recurso de Revisión </w:t>
      </w:r>
      <w:r w:rsidR="008D1E9F" w:rsidRPr="0036058E">
        <w:rPr>
          <w:b/>
          <w:bCs/>
          <w:color w:val="auto"/>
        </w:rPr>
        <w:t>08216</w:t>
      </w:r>
      <w:r w:rsidR="00C91D17" w:rsidRPr="0036058E">
        <w:rPr>
          <w:b/>
          <w:bCs/>
          <w:color w:val="auto"/>
        </w:rPr>
        <w:t>/INFOEM/IP/RR/2025</w:t>
      </w:r>
      <w:r w:rsidRPr="008D1E9F">
        <w:rPr>
          <w:color w:val="auto"/>
        </w:rPr>
        <w:t xml:space="preserve">, interpuesto </w:t>
      </w:r>
      <w:r w:rsidR="008415EA" w:rsidRPr="008D1E9F">
        <w:rPr>
          <w:color w:val="auto"/>
        </w:rPr>
        <w:t>por</w:t>
      </w:r>
      <w:r w:rsidR="00D230C9">
        <w:rPr>
          <w:color w:val="auto"/>
        </w:rPr>
        <w:t xml:space="preserve"> </w:t>
      </w:r>
      <w:r w:rsidR="00D230C9" w:rsidRPr="00D230C9">
        <w:rPr>
          <w:color w:val="auto"/>
          <w:highlight w:val="black"/>
        </w:rPr>
        <w:t>XXXXXXXXXXXXXXXXXXXXXXXXXXX</w:t>
      </w:r>
      <w:bookmarkStart w:id="0" w:name="_GoBack"/>
      <w:bookmarkEnd w:id="0"/>
      <w:r w:rsidR="008415EA" w:rsidRPr="008D1E9F">
        <w:rPr>
          <w:color w:val="auto"/>
        </w:rPr>
        <w:t xml:space="preserve">, en lo sucesivo </w:t>
      </w:r>
      <w:r w:rsidR="00D906B2" w:rsidRPr="008D1E9F">
        <w:rPr>
          <w:color w:val="auto"/>
        </w:rPr>
        <w:t>la persona</w:t>
      </w:r>
      <w:r w:rsidRPr="008D1E9F">
        <w:rPr>
          <w:color w:val="auto"/>
        </w:rPr>
        <w:t xml:space="preserve"> Recurrente o Particular, en contra de la respuesta del Sujeto Obligado</w:t>
      </w:r>
      <w:r w:rsidR="00705FBB" w:rsidRPr="008D1E9F">
        <w:rPr>
          <w:color w:val="auto"/>
        </w:rPr>
        <w:t xml:space="preserve">, </w:t>
      </w:r>
      <w:r w:rsidR="008D1E9F" w:rsidRPr="0036058E">
        <w:rPr>
          <w:b/>
          <w:bCs/>
          <w:color w:val="auto"/>
        </w:rPr>
        <w:t>Ayuntamiento de Coyotepec</w:t>
      </w:r>
      <w:r w:rsidR="00EF0C39" w:rsidRPr="008D1E9F">
        <w:rPr>
          <w:color w:val="auto"/>
        </w:rPr>
        <w:t>,</w:t>
      </w:r>
      <w:r w:rsidRPr="008D1E9F">
        <w:rPr>
          <w:color w:val="auto"/>
        </w:rPr>
        <w:t xml:space="preserve"> a la solicitud de acceso a la información pública</w:t>
      </w:r>
      <w:r w:rsidR="008D1E9F" w:rsidRPr="008D1E9F">
        <w:rPr>
          <w:rFonts w:ascii="Verdana" w:hAnsi="Verdana"/>
          <w:b/>
          <w:bCs/>
          <w:color w:val="auto"/>
        </w:rPr>
        <w:t xml:space="preserve"> </w:t>
      </w:r>
      <w:r w:rsidR="008D1E9F" w:rsidRPr="008D1E9F">
        <w:rPr>
          <w:color w:val="auto"/>
        </w:rPr>
        <w:t>00278/COYOTEP/IP/2025</w:t>
      </w:r>
      <w:r w:rsidRPr="008D1E9F">
        <w:rPr>
          <w:color w:val="auto"/>
        </w:rPr>
        <w:t>, se emite la presente Resolución, con base en los Antecedentes y Considerandos que se exponen a continuación:</w:t>
      </w:r>
    </w:p>
    <w:p w14:paraId="1F97CEF3" w14:textId="77777777" w:rsidR="005C690F" w:rsidRPr="00B11E96" w:rsidRDefault="005C690F" w:rsidP="005747CD">
      <w:pPr>
        <w:spacing w:after="0" w:line="360" w:lineRule="auto"/>
        <w:rPr>
          <w:b/>
          <w:color w:val="FF0000"/>
        </w:rPr>
      </w:pPr>
    </w:p>
    <w:p w14:paraId="1DEAF9D3" w14:textId="24D35555" w:rsidR="005C690F" w:rsidRPr="008D1E9F" w:rsidRDefault="00CD6238" w:rsidP="005747CD">
      <w:pPr>
        <w:pStyle w:val="Ttulo1"/>
        <w:spacing w:before="0" w:after="0" w:line="360" w:lineRule="auto"/>
        <w:jc w:val="center"/>
        <w:rPr>
          <w:color w:val="auto"/>
          <w:sz w:val="22"/>
          <w:szCs w:val="22"/>
        </w:rPr>
      </w:pPr>
      <w:bookmarkStart w:id="1" w:name="_Toc206089557"/>
      <w:r w:rsidRPr="008D1E9F">
        <w:rPr>
          <w:color w:val="auto"/>
          <w:sz w:val="22"/>
          <w:szCs w:val="22"/>
        </w:rPr>
        <w:t>A N T E C E D E N T E S</w:t>
      </w:r>
      <w:bookmarkEnd w:id="1"/>
    </w:p>
    <w:p w14:paraId="5A7EDA4F" w14:textId="77777777" w:rsidR="005C690F" w:rsidRPr="008D1E9F" w:rsidRDefault="005C690F" w:rsidP="005747CD">
      <w:pPr>
        <w:spacing w:after="0" w:line="360" w:lineRule="auto"/>
        <w:jc w:val="center"/>
        <w:rPr>
          <w:b/>
          <w:color w:val="auto"/>
        </w:rPr>
      </w:pPr>
    </w:p>
    <w:p w14:paraId="4930DAB9" w14:textId="77777777" w:rsidR="00E22EA8" w:rsidRPr="008D1E9F" w:rsidRDefault="00E22EA8" w:rsidP="005747CD">
      <w:pPr>
        <w:pStyle w:val="Ttulo2"/>
        <w:spacing w:before="0" w:after="0" w:line="360" w:lineRule="auto"/>
        <w:rPr>
          <w:color w:val="auto"/>
          <w:sz w:val="22"/>
          <w:szCs w:val="22"/>
          <w:lang w:eastAsia="es-ES"/>
        </w:rPr>
      </w:pPr>
      <w:bookmarkStart w:id="2" w:name="_Toc206089558"/>
      <w:r w:rsidRPr="008D1E9F">
        <w:rPr>
          <w:color w:val="auto"/>
          <w:sz w:val="22"/>
          <w:szCs w:val="22"/>
          <w:lang w:eastAsia="es-ES"/>
        </w:rPr>
        <w:t>I. Presentación de la solicitud de información</w:t>
      </w:r>
      <w:bookmarkEnd w:id="2"/>
    </w:p>
    <w:p w14:paraId="7243DA53" w14:textId="77777777" w:rsidR="00E22EA8" w:rsidRPr="00B11E96" w:rsidRDefault="00E22EA8" w:rsidP="005747CD">
      <w:pPr>
        <w:tabs>
          <w:tab w:val="left" w:pos="567"/>
        </w:tabs>
        <w:spacing w:after="0" w:line="360" w:lineRule="auto"/>
        <w:rPr>
          <w:rFonts w:eastAsia="Times New Roman" w:cs="Tahoma"/>
          <w:color w:val="FF0000"/>
          <w:lang w:eastAsia="es-ES"/>
        </w:rPr>
      </w:pPr>
    </w:p>
    <w:p w14:paraId="301B8A4E" w14:textId="2FF4DF4D" w:rsidR="00E22EA8" w:rsidRPr="008D1E9F" w:rsidRDefault="00D906B2" w:rsidP="005747CD">
      <w:pPr>
        <w:spacing w:after="0" w:line="360" w:lineRule="auto"/>
        <w:rPr>
          <w:color w:val="auto"/>
        </w:rPr>
      </w:pPr>
      <w:r w:rsidRPr="008D1E9F">
        <w:rPr>
          <w:rFonts w:eastAsia="Times New Roman" w:cs="Tahoma"/>
          <w:color w:val="auto"/>
          <w:lang w:eastAsia="es-ES"/>
        </w:rPr>
        <w:t>El</w:t>
      </w:r>
      <w:r w:rsidR="00D52EC1" w:rsidRPr="008D1E9F">
        <w:rPr>
          <w:rFonts w:eastAsia="Times New Roman" w:cs="Tahoma"/>
          <w:color w:val="auto"/>
          <w:lang w:eastAsia="es-ES"/>
        </w:rPr>
        <w:t xml:space="preserve"> </w:t>
      </w:r>
      <w:r w:rsidR="008D1E9F" w:rsidRPr="008D1E9F">
        <w:rPr>
          <w:rFonts w:eastAsia="Times New Roman" w:cs="Tahoma"/>
          <w:color w:val="auto"/>
          <w:lang w:eastAsia="es-ES"/>
        </w:rPr>
        <w:t xml:space="preserve">diez de junio </w:t>
      </w:r>
      <w:r w:rsidR="008E0DC4" w:rsidRPr="008D1E9F">
        <w:rPr>
          <w:rFonts w:eastAsia="Times New Roman" w:cs="Tahoma"/>
          <w:color w:val="auto"/>
          <w:lang w:eastAsia="es-ES"/>
        </w:rPr>
        <w:t>de dos mil veinticinco</w:t>
      </w:r>
      <w:r w:rsidR="00BF362A" w:rsidRPr="008D1E9F">
        <w:rPr>
          <w:rFonts w:eastAsia="Times New Roman" w:cs="Tahoma"/>
          <w:color w:val="auto"/>
          <w:lang w:eastAsia="es-ES"/>
        </w:rPr>
        <w:t xml:space="preserve">, </w:t>
      </w:r>
      <w:r w:rsidR="00E22EA8" w:rsidRPr="008D1E9F">
        <w:rPr>
          <w:rFonts w:eastAsia="Times New Roman" w:cs="Tahoma"/>
          <w:color w:val="auto"/>
          <w:lang w:eastAsia="es-ES"/>
        </w:rPr>
        <w:t>el Particular presentó una solicitud de acceso a la información pública, a través del Sistema de Acceso a la Información Mexiquense (SAIMEX), ante</w:t>
      </w:r>
      <w:r w:rsidR="000B3C56" w:rsidRPr="008D1E9F">
        <w:rPr>
          <w:rFonts w:eastAsia="Times New Roman" w:cs="Tahoma"/>
          <w:color w:val="auto"/>
          <w:lang w:eastAsia="es-ES"/>
        </w:rPr>
        <w:t xml:space="preserve"> </w:t>
      </w:r>
      <w:r w:rsidR="00DC175C" w:rsidRPr="008D1E9F">
        <w:rPr>
          <w:rFonts w:eastAsia="Times New Roman" w:cs="Tahoma"/>
          <w:color w:val="auto"/>
          <w:lang w:eastAsia="es-ES"/>
        </w:rPr>
        <w:t>el</w:t>
      </w:r>
      <w:r w:rsidR="008D1E9F" w:rsidRPr="008D1E9F">
        <w:rPr>
          <w:color w:val="auto"/>
        </w:rPr>
        <w:t xml:space="preserve"> Ayuntamiento de Coyotepec</w:t>
      </w:r>
      <w:r w:rsidR="008E0DC4" w:rsidRPr="008D1E9F">
        <w:rPr>
          <w:rFonts w:eastAsia="Calibri" w:cs="Times New Roman"/>
          <w:color w:val="auto"/>
        </w:rPr>
        <w:t>,</w:t>
      </w:r>
      <w:r w:rsidR="00DC175C" w:rsidRPr="008D1E9F">
        <w:rPr>
          <w:rFonts w:eastAsia="Calibri" w:cs="Tahoma"/>
          <w:color w:val="auto"/>
        </w:rPr>
        <w:t xml:space="preserve"> </w:t>
      </w:r>
      <w:r w:rsidR="00E22EA8" w:rsidRPr="008D1E9F">
        <w:rPr>
          <w:rFonts w:eastAsia="Calibri" w:cs="Tahoma"/>
          <w:color w:val="auto"/>
        </w:rPr>
        <w:t xml:space="preserve">en los siguientes términos: </w:t>
      </w:r>
    </w:p>
    <w:p w14:paraId="2B959865" w14:textId="77777777" w:rsidR="00E22EA8" w:rsidRPr="008D1E9F" w:rsidRDefault="00E22EA8" w:rsidP="005747CD">
      <w:pPr>
        <w:spacing w:after="0" w:line="360" w:lineRule="auto"/>
        <w:rPr>
          <w:rFonts w:eastAsia="Calibri" w:cs="Tahoma"/>
          <w:color w:val="auto"/>
        </w:rPr>
      </w:pPr>
    </w:p>
    <w:p w14:paraId="25042E2A" w14:textId="1F72FB88" w:rsidR="00E22EA8" w:rsidRPr="008D1E9F" w:rsidRDefault="00125F26" w:rsidP="005747CD">
      <w:pPr>
        <w:tabs>
          <w:tab w:val="left" w:pos="4667"/>
        </w:tabs>
        <w:spacing w:after="0" w:line="360" w:lineRule="auto"/>
        <w:ind w:left="567" w:right="567"/>
        <w:rPr>
          <w:rFonts w:eastAsia="Times New Roman" w:cs="Tahoma"/>
          <w:b/>
          <w:i/>
          <w:iCs/>
          <w:color w:val="auto"/>
          <w:sz w:val="20"/>
          <w:szCs w:val="20"/>
          <w:lang w:eastAsia="es-ES"/>
        </w:rPr>
      </w:pPr>
      <w:r w:rsidRPr="008D1E9F">
        <w:rPr>
          <w:rFonts w:eastAsia="Times New Roman" w:cs="Tahoma"/>
          <w:b/>
          <w:i/>
          <w:iCs/>
          <w:color w:val="auto"/>
          <w:sz w:val="20"/>
          <w:szCs w:val="20"/>
          <w:lang w:eastAsia="es-ES"/>
        </w:rPr>
        <w:t>“</w:t>
      </w:r>
      <w:r w:rsidR="00E22EA8" w:rsidRPr="008D1E9F">
        <w:rPr>
          <w:rFonts w:eastAsia="Times New Roman" w:cs="Tahoma"/>
          <w:b/>
          <w:i/>
          <w:iCs/>
          <w:color w:val="auto"/>
          <w:sz w:val="20"/>
          <w:szCs w:val="20"/>
          <w:lang w:eastAsia="es-ES"/>
        </w:rPr>
        <w:t>DESCRIPCIÓN CLARA Y PRECI</w:t>
      </w:r>
      <w:r w:rsidR="0084143D" w:rsidRPr="008D1E9F">
        <w:rPr>
          <w:rFonts w:eastAsia="Times New Roman" w:cs="Tahoma"/>
          <w:b/>
          <w:i/>
          <w:iCs/>
          <w:color w:val="auto"/>
          <w:sz w:val="20"/>
          <w:szCs w:val="20"/>
          <w:lang w:eastAsia="es-ES"/>
        </w:rPr>
        <w:t>SA DE LA INFORMACIÓN SOLICITADA</w:t>
      </w:r>
    </w:p>
    <w:p w14:paraId="2C6BC213" w14:textId="773E6B77" w:rsidR="00E22EA8" w:rsidRPr="008D1E9F" w:rsidRDefault="008D1E9F" w:rsidP="005747CD">
      <w:pPr>
        <w:tabs>
          <w:tab w:val="left" w:pos="4667"/>
        </w:tabs>
        <w:spacing w:after="0" w:line="360" w:lineRule="auto"/>
        <w:ind w:left="567" w:right="567"/>
        <w:rPr>
          <w:i/>
          <w:iCs/>
          <w:color w:val="auto"/>
          <w:sz w:val="20"/>
          <w:szCs w:val="20"/>
        </w:rPr>
      </w:pPr>
      <w:r w:rsidRPr="008D1E9F">
        <w:rPr>
          <w:i/>
          <w:iCs/>
          <w:color w:val="auto"/>
          <w:sz w:val="20"/>
          <w:szCs w:val="20"/>
        </w:rPr>
        <w:t>LISTA DE PERSONAL QUE LABORA EN TESORERÍA, ASÍ COMO SUS FUNCIONES DE CADA UNO DE ELLOS</w:t>
      </w:r>
      <w:r w:rsidR="00C91D17" w:rsidRPr="008D1E9F">
        <w:rPr>
          <w:i/>
          <w:iCs/>
          <w:color w:val="auto"/>
          <w:sz w:val="20"/>
          <w:szCs w:val="20"/>
        </w:rPr>
        <w:t xml:space="preserve"> ‘’</w:t>
      </w:r>
      <w:r w:rsidR="004C56AA" w:rsidRPr="008D1E9F">
        <w:rPr>
          <w:i/>
          <w:iCs/>
          <w:color w:val="auto"/>
          <w:sz w:val="20"/>
          <w:szCs w:val="20"/>
        </w:rPr>
        <w:t xml:space="preserve"> (Sic.)</w:t>
      </w:r>
    </w:p>
    <w:p w14:paraId="3D9EE4A1" w14:textId="77777777" w:rsidR="005747CD" w:rsidRPr="008D1E9F" w:rsidRDefault="005747CD" w:rsidP="005747CD">
      <w:pPr>
        <w:tabs>
          <w:tab w:val="left" w:pos="4667"/>
        </w:tabs>
        <w:spacing w:after="0" w:line="360" w:lineRule="auto"/>
        <w:ind w:left="567" w:right="567"/>
        <w:rPr>
          <w:rFonts w:eastAsia="Times New Roman" w:cs="Tahoma"/>
          <w:bCs/>
          <w:i/>
          <w:iCs/>
          <w:color w:val="auto"/>
          <w:sz w:val="20"/>
          <w:szCs w:val="20"/>
          <w:lang w:eastAsia="es-ES"/>
        </w:rPr>
      </w:pPr>
    </w:p>
    <w:p w14:paraId="6C0DE105" w14:textId="3FEE2196" w:rsidR="00E22EA8" w:rsidRPr="008D1E9F" w:rsidRDefault="00125F26" w:rsidP="005747CD">
      <w:pPr>
        <w:tabs>
          <w:tab w:val="left" w:pos="4667"/>
        </w:tabs>
        <w:spacing w:after="0" w:line="360" w:lineRule="auto"/>
        <w:ind w:left="567" w:right="567"/>
        <w:rPr>
          <w:rFonts w:eastAsia="Times New Roman" w:cs="Tahoma"/>
          <w:b/>
          <w:bCs/>
          <w:i/>
          <w:iCs/>
          <w:color w:val="auto"/>
          <w:sz w:val="20"/>
          <w:lang w:eastAsia="es-ES"/>
        </w:rPr>
      </w:pPr>
      <w:r w:rsidRPr="008D1E9F">
        <w:rPr>
          <w:rFonts w:eastAsia="Times New Roman" w:cs="Tahoma"/>
          <w:b/>
          <w:bCs/>
          <w:i/>
          <w:iCs/>
          <w:color w:val="auto"/>
          <w:sz w:val="20"/>
          <w:lang w:eastAsia="es-ES"/>
        </w:rPr>
        <w:t>“</w:t>
      </w:r>
      <w:r w:rsidR="00E22EA8" w:rsidRPr="008D1E9F">
        <w:rPr>
          <w:rFonts w:eastAsia="Times New Roman" w:cs="Tahoma"/>
          <w:b/>
          <w:bCs/>
          <w:i/>
          <w:iCs/>
          <w:color w:val="auto"/>
          <w:sz w:val="20"/>
          <w:lang w:eastAsia="es-ES"/>
        </w:rPr>
        <w:t>MODALIDAD DE ENTREGA</w:t>
      </w:r>
    </w:p>
    <w:p w14:paraId="0ECE13DD" w14:textId="4A758259" w:rsidR="002F5AA8" w:rsidRDefault="00BB6693" w:rsidP="005747CD">
      <w:pPr>
        <w:spacing w:after="0" w:line="360" w:lineRule="auto"/>
        <w:ind w:left="567" w:right="567"/>
        <w:rPr>
          <w:rFonts w:eastAsia="Times New Roman" w:cs="Arial"/>
          <w:bCs/>
          <w:i/>
          <w:iCs/>
          <w:color w:val="auto"/>
          <w:sz w:val="20"/>
          <w:lang w:eastAsia="es-ES"/>
        </w:rPr>
      </w:pPr>
      <w:r w:rsidRPr="008D1E9F">
        <w:rPr>
          <w:rFonts w:eastAsia="Times New Roman" w:cs="Arial"/>
          <w:bCs/>
          <w:i/>
          <w:iCs/>
          <w:color w:val="auto"/>
          <w:sz w:val="20"/>
          <w:lang w:eastAsia="es-ES"/>
        </w:rPr>
        <w:t>A través del SAIMEX</w:t>
      </w:r>
      <w:r w:rsidR="00E22EA8" w:rsidRPr="008D1E9F">
        <w:rPr>
          <w:rFonts w:eastAsia="Times New Roman" w:cs="Arial"/>
          <w:bCs/>
          <w:i/>
          <w:iCs/>
          <w:color w:val="auto"/>
          <w:sz w:val="20"/>
          <w:lang w:eastAsia="es-ES"/>
        </w:rPr>
        <w:t>”</w:t>
      </w:r>
    </w:p>
    <w:p w14:paraId="5761E37F" w14:textId="77777777" w:rsidR="00C91D17" w:rsidRPr="00B11E96" w:rsidRDefault="00C91D17" w:rsidP="005747CD">
      <w:pPr>
        <w:pStyle w:val="Ttulo2"/>
        <w:spacing w:before="0" w:after="0" w:line="360" w:lineRule="auto"/>
        <w:rPr>
          <w:color w:val="FF0000"/>
          <w:sz w:val="22"/>
          <w:szCs w:val="22"/>
        </w:rPr>
      </w:pPr>
    </w:p>
    <w:p w14:paraId="0A604AAC" w14:textId="79558C8B" w:rsidR="00E22EA8" w:rsidRPr="00C001A3" w:rsidRDefault="00C91D17" w:rsidP="005747CD">
      <w:pPr>
        <w:pStyle w:val="Ttulo2"/>
        <w:spacing w:before="0" w:after="0" w:line="360" w:lineRule="auto"/>
        <w:rPr>
          <w:color w:val="auto"/>
          <w:sz w:val="22"/>
          <w:szCs w:val="22"/>
        </w:rPr>
      </w:pPr>
      <w:bookmarkStart w:id="3" w:name="_Toc206089559"/>
      <w:r w:rsidRPr="00C001A3">
        <w:rPr>
          <w:color w:val="auto"/>
          <w:sz w:val="22"/>
          <w:szCs w:val="22"/>
        </w:rPr>
        <w:t xml:space="preserve">II. </w:t>
      </w:r>
      <w:r w:rsidR="00E22EA8" w:rsidRPr="00C001A3">
        <w:rPr>
          <w:color w:val="auto"/>
          <w:sz w:val="22"/>
          <w:szCs w:val="22"/>
        </w:rPr>
        <w:t>Respuesta del Sujeto Obligado</w:t>
      </w:r>
      <w:bookmarkEnd w:id="3"/>
    </w:p>
    <w:p w14:paraId="10CE94A9" w14:textId="77777777" w:rsidR="00C06004" w:rsidRPr="00B11E96" w:rsidRDefault="00C06004" w:rsidP="005747CD">
      <w:pPr>
        <w:autoSpaceDE w:val="0"/>
        <w:autoSpaceDN w:val="0"/>
        <w:adjustRightInd w:val="0"/>
        <w:spacing w:after="0" w:line="360" w:lineRule="auto"/>
        <w:rPr>
          <w:b/>
          <w:bCs/>
          <w:color w:val="FF0000"/>
        </w:rPr>
      </w:pPr>
    </w:p>
    <w:p w14:paraId="7C3467A6" w14:textId="14FF2A2E" w:rsidR="008230CB" w:rsidRDefault="00011477" w:rsidP="005747CD">
      <w:pPr>
        <w:spacing w:after="0" w:line="360" w:lineRule="auto"/>
        <w:rPr>
          <w:color w:val="auto"/>
        </w:rPr>
      </w:pPr>
      <w:r w:rsidRPr="00C001A3">
        <w:rPr>
          <w:color w:val="auto"/>
        </w:rPr>
        <w:t xml:space="preserve">El </w:t>
      </w:r>
      <w:r w:rsidR="00C001A3" w:rsidRPr="00C001A3">
        <w:rPr>
          <w:color w:val="auto"/>
        </w:rPr>
        <w:t xml:space="preserve">diecisiete de junio </w:t>
      </w:r>
      <w:r w:rsidR="00CD4DE8" w:rsidRPr="00C001A3">
        <w:rPr>
          <w:color w:val="auto"/>
        </w:rPr>
        <w:t>de dos mil veinticinco</w:t>
      </w:r>
      <w:r w:rsidR="00E22EA8" w:rsidRPr="00C001A3">
        <w:rPr>
          <w:color w:val="auto"/>
        </w:rPr>
        <w:t xml:space="preserve">, el Sujeto Obligado notificó, a través del Sistema de Acceso a la Información Mexiquense (SAIMEX), la respuesta a la solicitud de acceso a la información pública, </w:t>
      </w:r>
      <w:r w:rsidR="004D1D8F" w:rsidRPr="00C001A3">
        <w:rPr>
          <w:color w:val="auto"/>
        </w:rPr>
        <w:t xml:space="preserve">a través </w:t>
      </w:r>
      <w:r w:rsidR="00C001A3">
        <w:rPr>
          <w:color w:val="auto"/>
        </w:rPr>
        <w:t xml:space="preserve">COY/CRH/INT/06-2025/0019 del dieciséis de junio de dos mil veinticinco, </w:t>
      </w:r>
      <w:r w:rsidR="009B4A11">
        <w:rPr>
          <w:color w:val="auto"/>
        </w:rPr>
        <w:t>suscrito por la Titular de la Coordinación de Recursos Humanos del Gobierno Municipal de Coyotepec, dirigido a la Titular de la Unidad de Transparencia y Acceso a la Información Pública del Gobierno Municipal de Coyotepec</w:t>
      </w:r>
      <w:r w:rsidR="00F648EC">
        <w:rPr>
          <w:color w:val="auto"/>
        </w:rPr>
        <w:t>, por medio del cual se menciona lo siguiente:</w:t>
      </w:r>
    </w:p>
    <w:p w14:paraId="4AEA8ABE" w14:textId="77777777" w:rsidR="00E115FD" w:rsidRPr="00F648EC" w:rsidRDefault="00E115FD" w:rsidP="00F648EC">
      <w:pPr>
        <w:spacing w:after="0" w:line="360" w:lineRule="auto"/>
        <w:ind w:left="567" w:right="567"/>
        <w:rPr>
          <w:i/>
          <w:iCs/>
          <w:color w:val="FF0000"/>
          <w:sz w:val="20"/>
          <w:szCs w:val="20"/>
        </w:rPr>
      </w:pPr>
    </w:p>
    <w:p w14:paraId="1E4FD31A" w14:textId="77777777" w:rsidR="00F648EC" w:rsidRPr="00F648EC" w:rsidRDefault="00E115FD" w:rsidP="00F648EC">
      <w:pPr>
        <w:spacing w:after="0" w:line="360" w:lineRule="auto"/>
        <w:ind w:left="567" w:right="567"/>
        <w:rPr>
          <w:i/>
          <w:iCs/>
          <w:color w:val="auto"/>
          <w:sz w:val="20"/>
          <w:szCs w:val="20"/>
        </w:rPr>
      </w:pPr>
      <w:r w:rsidRPr="00F648EC">
        <w:rPr>
          <w:i/>
          <w:iCs/>
          <w:color w:val="auto"/>
          <w:sz w:val="20"/>
          <w:szCs w:val="20"/>
        </w:rPr>
        <w:t>“…</w:t>
      </w:r>
      <w:r w:rsidR="00F648EC" w:rsidRPr="00F648EC">
        <w:rPr>
          <w:i/>
          <w:iCs/>
          <w:color w:val="auto"/>
          <w:sz w:val="20"/>
          <w:szCs w:val="20"/>
        </w:rPr>
        <w:t xml:space="preserve">Con fundamento en lo dispuesto en el articulo 12 de la Ley de Transparencia y Acceso a la Información Pública del Estado de México y Municipios, 132 de la Ley General de Transparencia y Acceso a la Información Pública; le envío liga electrónica donde puede consultar la lista de personal que labora en el área de Tesorería https://ipomex.org.mx/ipomex/#/infofraccion/10/119/22, así como liga electrónica donde podrá consultar el Manual de Procedimientos y el Manual de Organización de Tesorería, en los que se enumeran las funciones y facultades de cada Servidor Público adscrito a la misma. </w:t>
      </w:r>
    </w:p>
    <w:p w14:paraId="2F44F216" w14:textId="562F856A" w:rsidR="00E115FD" w:rsidRPr="00F648EC" w:rsidRDefault="00F648EC" w:rsidP="00F648EC">
      <w:pPr>
        <w:spacing w:after="0" w:line="360" w:lineRule="auto"/>
        <w:ind w:left="567" w:right="567"/>
        <w:rPr>
          <w:i/>
          <w:iCs/>
          <w:color w:val="auto"/>
          <w:sz w:val="20"/>
          <w:szCs w:val="20"/>
        </w:rPr>
      </w:pPr>
      <w:r w:rsidRPr="00F648EC">
        <w:rPr>
          <w:i/>
          <w:iCs/>
          <w:color w:val="auto"/>
          <w:sz w:val="20"/>
          <w:szCs w:val="20"/>
        </w:rPr>
        <w:t>293_coy-rmr-037-tm-03_24927133007.pdf/293_coy-rmr-036-tm 02_24927133003.pdf…” (Sic)</w:t>
      </w:r>
    </w:p>
    <w:p w14:paraId="3731B006" w14:textId="77777777" w:rsidR="00E115FD" w:rsidRPr="00B11E96" w:rsidRDefault="00E115FD" w:rsidP="005747CD">
      <w:pPr>
        <w:spacing w:after="0" w:line="360" w:lineRule="auto"/>
        <w:rPr>
          <w:color w:val="FF0000"/>
        </w:rPr>
      </w:pPr>
    </w:p>
    <w:p w14:paraId="7E7FBB31" w14:textId="3E971A14" w:rsidR="00E22EA8" w:rsidRPr="00F648EC" w:rsidRDefault="00E22EA8" w:rsidP="005747CD">
      <w:pPr>
        <w:pStyle w:val="Ttulo2"/>
        <w:spacing w:before="0" w:after="0" w:line="360" w:lineRule="auto"/>
        <w:rPr>
          <w:color w:val="auto"/>
          <w:sz w:val="22"/>
          <w:szCs w:val="22"/>
        </w:rPr>
      </w:pPr>
      <w:bookmarkStart w:id="4" w:name="_Toc206089560"/>
      <w:r w:rsidRPr="00F648EC">
        <w:rPr>
          <w:color w:val="auto"/>
          <w:sz w:val="22"/>
          <w:szCs w:val="22"/>
        </w:rPr>
        <w:t>I</w:t>
      </w:r>
      <w:r w:rsidR="004D1D8F" w:rsidRPr="00F648EC">
        <w:rPr>
          <w:color w:val="auto"/>
          <w:sz w:val="22"/>
          <w:szCs w:val="22"/>
        </w:rPr>
        <w:t>II</w:t>
      </w:r>
      <w:r w:rsidRPr="00F648EC">
        <w:rPr>
          <w:color w:val="auto"/>
          <w:sz w:val="22"/>
          <w:szCs w:val="22"/>
        </w:rPr>
        <w:t>. Interposición del Recurso de Revisión</w:t>
      </w:r>
      <w:bookmarkEnd w:id="4"/>
    </w:p>
    <w:p w14:paraId="053D45CF" w14:textId="77777777" w:rsidR="00E22EA8" w:rsidRPr="00B11E96" w:rsidRDefault="00E22EA8" w:rsidP="005747CD">
      <w:pPr>
        <w:spacing w:after="0" w:line="360" w:lineRule="auto"/>
        <w:rPr>
          <w:b/>
          <w:color w:val="FF0000"/>
        </w:rPr>
      </w:pPr>
    </w:p>
    <w:p w14:paraId="1AABC52F" w14:textId="47C885F1" w:rsidR="00E22EA8" w:rsidRPr="00F648EC" w:rsidRDefault="00083169" w:rsidP="005747CD">
      <w:pPr>
        <w:spacing w:after="0" w:line="360" w:lineRule="auto"/>
        <w:rPr>
          <w:bCs/>
          <w:color w:val="auto"/>
        </w:rPr>
      </w:pPr>
      <w:r w:rsidRPr="00F648EC">
        <w:rPr>
          <w:bCs/>
          <w:color w:val="auto"/>
        </w:rPr>
        <w:t>El</w:t>
      </w:r>
      <w:r w:rsidR="008E5E71" w:rsidRPr="00F648EC">
        <w:rPr>
          <w:bCs/>
          <w:color w:val="auto"/>
        </w:rPr>
        <w:t xml:space="preserve"> </w:t>
      </w:r>
      <w:r w:rsidR="00F648EC" w:rsidRPr="00F648EC">
        <w:rPr>
          <w:bCs/>
          <w:color w:val="auto"/>
        </w:rPr>
        <w:t xml:space="preserve">siete de julio de dos mil veinticinco, </w:t>
      </w:r>
      <w:r w:rsidR="00E22EA8" w:rsidRPr="00F648EC">
        <w:rPr>
          <w:bCs/>
          <w:color w:val="auto"/>
        </w:rPr>
        <w:t xml:space="preserve">se recibió en este Instituto, a través del Sistema de Acceso a la Información Mexiquense (SAIMEX), </w:t>
      </w:r>
      <w:r w:rsidR="009019A8" w:rsidRPr="00F648EC">
        <w:rPr>
          <w:bCs/>
          <w:color w:val="auto"/>
        </w:rPr>
        <w:t xml:space="preserve">el </w:t>
      </w:r>
      <w:r w:rsidR="00E22EA8" w:rsidRPr="00F648EC">
        <w:rPr>
          <w:bCs/>
          <w:color w:val="auto"/>
        </w:rPr>
        <w:t>Recurso de Revisión interpuesto por la p</w:t>
      </w:r>
      <w:r w:rsidRPr="00F648EC">
        <w:rPr>
          <w:bCs/>
          <w:color w:val="auto"/>
        </w:rPr>
        <w:t>ersona</w:t>
      </w:r>
      <w:r w:rsidR="00E22EA8" w:rsidRPr="00F648EC">
        <w:rPr>
          <w:bCs/>
          <w:color w:val="auto"/>
        </w:rPr>
        <w:t xml:space="preserve"> Recurrente, en contra de la respuesta por el Sujeto Obligado, a la solicitud de información</w:t>
      </w:r>
      <w:r w:rsidR="00F43789" w:rsidRPr="00F648EC">
        <w:rPr>
          <w:rFonts w:eastAsia="Calibri" w:cs="Times New Roman"/>
          <w:color w:val="auto"/>
        </w:rPr>
        <w:t xml:space="preserve">, </w:t>
      </w:r>
      <w:r w:rsidR="00E22EA8" w:rsidRPr="00F648EC">
        <w:rPr>
          <w:bCs/>
          <w:color w:val="auto"/>
        </w:rPr>
        <w:t>en los siguientes términos:</w:t>
      </w:r>
    </w:p>
    <w:p w14:paraId="499DDBDB" w14:textId="77777777" w:rsidR="008E5E71" w:rsidRPr="00B11E96" w:rsidRDefault="008E5E71" w:rsidP="005747CD">
      <w:pPr>
        <w:spacing w:after="0" w:line="360" w:lineRule="auto"/>
        <w:ind w:left="567" w:right="567"/>
        <w:rPr>
          <w:b/>
          <w:bCs/>
          <w:i/>
          <w:color w:val="FF0000"/>
          <w:sz w:val="20"/>
          <w:szCs w:val="20"/>
        </w:rPr>
      </w:pPr>
    </w:p>
    <w:p w14:paraId="1B2CCD45" w14:textId="1F34B3A9" w:rsidR="00E22EA8" w:rsidRPr="00F648EC" w:rsidRDefault="00E12804" w:rsidP="005747CD">
      <w:pPr>
        <w:spacing w:after="0" w:line="360" w:lineRule="auto"/>
        <w:ind w:left="567" w:right="567"/>
        <w:rPr>
          <w:bCs/>
          <w:i/>
          <w:color w:val="auto"/>
          <w:sz w:val="20"/>
          <w:szCs w:val="20"/>
        </w:rPr>
      </w:pPr>
      <w:r w:rsidRPr="00F648EC">
        <w:rPr>
          <w:b/>
          <w:bCs/>
          <w:i/>
          <w:color w:val="auto"/>
          <w:sz w:val="20"/>
          <w:szCs w:val="20"/>
        </w:rPr>
        <w:lastRenderedPageBreak/>
        <w:t>‘’</w:t>
      </w:r>
      <w:r w:rsidR="00E22EA8" w:rsidRPr="00F648EC">
        <w:rPr>
          <w:b/>
          <w:bCs/>
          <w:i/>
          <w:color w:val="auto"/>
          <w:sz w:val="20"/>
          <w:szCs w:val="20"/>
        </w:rPr>
        <w:t>ACTO IMPUGNADO</w:t>
      </w:r>
    </w:p>
    <w:p w14:paraId="20CB87D1" w14:textId="039DB34A" w:rsidR="00E22EA8" w:rsidRPr="00F648EC" w:rsidRDefault="00F648EC" w:rsidP="005747CD">
      <w:pPr>
        <w:spacing w:after="0" w:line="360" w:lineRule="auto"/>
        <w:ind w:left="567" w:right="567"/>
        <w:rPr>
          <w:i/>
          <w:color w:val="auto"/>
          <w:sz w:val="20"/>
          <w:szCs w:val="20"/>
        </w:rPr>
      </w:pPr>
      <w:r w:rsidRPr="00F648EC">
        <w:rPr>
          <w:i/>
          <w:color w:val="auto"/>
          <w:sz w:val="20"/>
          <w:szCs w:val="20"/>
        </w:rPr>
        <w:t>LA RESPUESTA DEL SUJETO OBLIGADO.</w:t>
      </w:r>
      <w:r w:rsidR="00E22EA8" w:rsidRPr="00F648EC">
        <w:rPr>
          <w:i/>
          <w:color w:val="auto"/>
          <w:sz w:val="20"/>
          <w:szCs w:val="20"/>
        </w:rPr>
        <w:t xml:space="preserve">” </w:t>
      </w:r>
      <w:r w:rsidR="0077397E" w:rsidRPr="00F648EC">
        <w:rPr>
          <w:i/>
          <w:color w:val="auto"/>
          <w:sz w:val="20"/>
          <w:szCs w:val="20"/>
        </w:rPr>
        <w:t>(Sic.)</w:t>
      </w:r>
    </w:p>
    <w:p w14:paraId="3B2615CC" w14:textId="77777777" w:rsidR="00E22EA8" w:rsidRPr="00B11E96" w:rsidRDefault="00E22EA8" w:rsidP="005747CD">
      <w:pPr>
        <w:spacing w:after="0" w:line="360" w:lineRule="auto"/>
        <w:ind w:left="567" w:right="567"/>
        <w:rPr>
          <w:i/>
          <w:color w:val="FF0000"/>
          <w:sz w:val="20"/>
          <w:szCs w:val="20"/>
        </w:rPr>
      </w:pPr>
    </w:p>
    <w:p w14:paraId="3F1F07C7" w14:textId="49F2AE96" w:rsidR="00E22EA8" w:rsidRPr="00F648EC" w:rsidRDefault="00E12804" w:rsidP="005747CD">
      <w:pPr>
        <w:spacing w:after="0" w:line="360" w:lineRule="auto"/>
        <w:ind w:left="567" w:right="567"/>
        <w:rPr>
          <w:b/>
          <w:i/>
          <w:color w:val="auto"/>
          <w:sz w:val="20"/>
          <w:szCs w:val="20"/>
        </w:rPr>
      </w:pPr>
      <w:r w:rsidRPr="00F648EC">
        <w:rPr>
          <w:b/>
          <w:i/>
          <w:color w:val="auto"/>
          <w:sz w:val="20"/>
          <w:szCs w:val="20"/>
        </w:rPr>
        <w:t>‘’</w:t>
      </w:r>
      <w:r w:rsidR="00E22EA8" w:rsidRPr="00F648EC">
        <w:rPr>
          <w:b/>
          <w:i/>
          <w:color w:val="auto"/>
          <w:sz w:val="20"/>
          <w:szCs w:val="20"/>
        </w:rPr>
        <w:t>RAZONES O MOTIVOS DE LA INCONFORMIDAD</w:t>
      </w:r>
    </w:p>
    <w:p w14:paraId="31B716B5" w14:textId="6DAA1F06" w:rsidR="00E12804" w:rsidRPr="00F648EC" w:rsidRDefault="00F648EC" w:rsidP="005747CD">
      <w:pPr>
        <w:spacing w:after="0" w:line="360" w:lineRule="auto"/>
        <w:ind w:left="567" w:right="567"/>
        <w:rPr>
          <w:i/>
          <w:color w:val="auto"/>
          <w:sz w:val="20"/>
          <w:szCs w:val="20"/>
        </w:rPr>
      </w:pPr>
      <w:r w:rsidRPr="00F648EC">
        <w:rPr>
          <w:i/>
          <w:color w:val="auto"/>
          <w:sz w:val="20"/>
          <w:szCs w:val="20"/>
        </w:rPr>
        <w:t>NO SE PUEDE ACCEDER A LAS LIGAS CORRESPONDIENTES A LOS MANUALES.</w:t>
      </w:r>
      <w:r w:rsidR="00E12804" w:rsidRPr="00F648EC">
        <w:rPr>
          <w:i/>
          <w:color w:val="auto"/>
          <w:sz w:val="20"/>
          <w:szCs w:val="20"/>
        </w:rPr>
        <w:t>”</w:t>
      </w:r>
      <w:r w:rsidR="0077397E" w:rsidRPr="00F648EC">
        <w:rPr>
          <w:i/>
          <w:color w:val="auto"/>
          <w:sz w:val="20"/>
          <w:szCs w:val="20"/>
        </w:rPr>
        <w:t xml:space="preserve"> (Sic.)</w:t>
      </w:r>
    </w:p>
    <w:p w14:paraId="01179437" w14:textId="6B58335B" w:rsidR="00E22EA8" w:rsidRDefault="00E22EA8" w:rsidP="00F648EC">
      <w:pPr>
        <w:spacing w:after="0" w:line="360" w:lineRule="auto"/>
        <w:ind w:right="567"/>
        <w:rPr>
          <w:i/>
          <w:color w:val="FF0000"/>
          <w:sz w:val="20"/>
          <w:szCs w:val="20"/>
        </w:rPr>
      </w:pPr>
    </w:p>
    <w:p w14:paraId="455A0F29" w14:textId="206A9CB7" w:rsidR="00F648EC" w:rsidRPr="00F648EC" w:rsidRDefault="00F648EC" w:rsidP="00F648EC">
      <w:pPr>
        <w:spacing w:after="0" w:line="360" w:lineRule="auto"/>
        <w:rPr>
          <w:bCs/>
          <w:color w:val="auto"/>
        </w:rPr>
      </w:pPr>
      <w:r w:rsidRPr="00F648EC">
        <w:rPr>
          <w:bCs/>
          <w:color w:val="auto"/>
        </w:rPr>
        <w:t>Así mismo, adjunto una captura de pantalla, en la que muestra que no puede acceder a la página.</w:t>
      </w:r>
    </w:p>
    <w:p w14:paraId="36B556B3" w14:textId="77777777" w:rsidR="00F648EC" w:rsidRPr="00F648EC" w:rsidRDefault="00F648EC" w:rsidP="00F648EC">
      <w:pPr>
        <w:spacing w:after="0" w:line="360" w:lineRule="auto"/>
        <w:ind w:right="567"/>
        <w:rPr>
          <w:color w:val="FF0000"/>
          <w:sz w:val="20"/>
          <w:szCs w:val="20"/>
        </w:rPr>
      </w:pPr>
    </w:p>
    <w:p w14:paraId="009DB65C" w14:textId="45D040D7" w:rsidR="00E22EA8" w:rsidRPr="00F648EC" w:rsidRDefault="004D1D8F" w:rsidP="005747CD">
      <w:pPr>
        <w:pStyle w:val="Ttulo2"/>
        <w:spacing w:before="0" w:after="0" w:line="360" w:lineRule="auto"/>
        <w:rPr>
          <w:color w:val="auto"/>
          <w:sz w:val="22"/>
          <w:szCs w:val="22"/>
        </w:rPr>
      </w:pPr>
      <w:bookmarkStart w:id="5" w:name="_Toc206089561"/>
      <w:r w:rsidRPr="00F648EC">
        <w:rPr>
          <w:color w:val="auto"/>
          <w:sz w:val="22"/>
          <w:szCs w:val="22"/>
        </w:rPr>
        <w:t>I</w:t>
      </w:r>
      <w:r w:rsidR="00E22EA8" w:rsidRPr="00F648EC">
        <w:rPr>
          <w:color w:val="auto"/>
          <w:sz w:val="22"/>
          <w:szCs w:val="22"/>
        </w:rPr>
        <w:t>V. Trámite del Recurso de Revisión ante este Instituto</w:t>
      </w:r>
      <w:bookmarkEnd w:id="5"/>
    </w:p>
    <w:p w14:paraId="5C9B63F8" w14:textId="77777777" w:rsidR="009B2DAB" w:rsidRPr="00B11E96" w:rsidRDefault="009B2DAB" w:rsidP="005747CD">
      <w:pPr>
        <w:spacing w:after="0" w:line="360" w:lineRule="auto"/>
        <w:rPr>
          <w:b/>
          <w:bCs/>
          <w:color w:val="FF0000"/>
        </w:rPr>
      </w:pPr>
    </w:p>
    <w:p w14:paraId="173768ED" w14:textId="24EE7C26" w:rsidR="00E22EA8" w:rsidRPr="00F648EC" w:rsidRDefault="00E22EA8" w:rsidP="005747CD">
      <w:pPr>
        <w:spacing w:after="0" w:line="360" w:lineRule="auto"/>
        <w:rPr>
          <w:bCs/>
          <w:color w:val="auto"/>
        </w:rPr>
      </w:pPr>
      <w:r w:rsidRPr="00F648EC">
        <w:rPr>
          <w:b/>
          <w:bCs/>
          <w:color w:val="auto"/>
        </w:rPr>
        <w:t>a) Turno del Medio de Impugnación.</w:t>
      </w:r>
      <w:r w:rsidR="000A706F" w:rsidRPr="00F648EC">
        <w:rPr>
          <w:bCs/>
          <w:color w:val="auto"/>
        </w:rPr>
        <w:t xml:space="preserve"> </w:t>
      </w:r>
      <w:r w:rsidR="0084143D" w:rsidRPr="00F648EC">
        <w:rPr>
          <w:bCs/>
          <w:color w:val="auto"/>
        </w:rPr>
        <w:t xml:space="preserve">El </w:t>
      </w:r>
      <w:r w:rsidR="00F648EC" w:rsidRPr="00F648EC">
        <w:rPr>
          <w:bCs/>
          <w:color w:val="auto"/>
        </w:rPr>
        <w:t xml:space="preserve">siete de julio de dos mil veinticinco, </w:t>
      </w:r>
      <w:r w:rsidRPr="00F648EC">
        <w:rPr>
          <w:bCs/>
          <w:color w:val="auto"/>
        </w:rPr>
        <w:t xml:space="preserve">el </w:t>
      </w:r>
      <w:r w:rsidRPr="00F648EC">
        <w:rPr>
          <w:color w:val="auto"/>
        </w:rPr>
        <w:t>Sistema de Acceso a la Información Mexiquense (SAIMEX),</w:t>
      </w:r>
      <w:r w:rsidRPr="00F648EC">
        <w:rPr>
          <w:bCs/>
          <w:color w:val="auto"/>
        </w:rPr>
        <w:t xml:space="preserve"> asignó el número de expediente </w:t>
      </w:r>
      <w:r w:rsidR="00F648EC" w:rsidRPr="00F648EC">
        <w:rPr>
          <w:b/>
          <w:bCs/>
          <w:color w:val="auto"/>
        </w:rPr>
        <w:t>08216</w:t>
      </w:r>
      <w:r w:rsidR="00C91D17" w:rsidRPr="00F648EC">
        <w:rPr>
          <w:b/>
          <w:bCs/>
          <w:color w:val="auto"/>
        </w:rPr>
        <w:t>/INFOEM/IP/RR/2025</w:t>
      </w:r>
      <w:r w:rsidRPr="00F648EC">
        <w:rPr>
          <w:bCs/>
          <w:color w:val="auto"/>
        </w:rPr>
        <w:t xml:space="preserve">, al medio de impugnación que nos ocupa, con base en el sistema aprobado por el Pleno de este </w:t>
      </w:r>
      <w:r w:rsidR="00B65BCA" w:rsidRPr="00F648EC">
        <w:rPr>
          <w:bCs/>
          <w:color w:val="auto"/>
        </w:rPr>
        <w:t>Organismo</w:t>
      </w:r>
      <w:r w:rsidRPr="00F648EC">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11E96" w:rsidRDefault="005914EE" w:rsidP="005747CD">
      <w:pPr>
        <w:spacing w:after="0" w:line="360" w:lineRule="auto"/>
        <w:rPr>
          <w:b/>
          <w:bCs/>
          <w:color w:val="FF0000"/>
        </w:rPr>
      </w:pPr>
    </w:p>
    <w:p w14:paraId="61891480" w14:textId="7A38CA7F" w:rsidR="00E22EA8" w:rsidRPr="00F648EC" w:rsidRDefault="00E22EA8" w:rsidP="005747CD">
      <w:pPr>
        <w:spacing w:after="0" w:line="360" w:lineRule="auto"/>
        <w:rPr>
          <w:bCs/>
          <w:color w:val="auto"/>
        </w:rPr>
      </w:pPr>
      <w:r w:rsidRPr="00F648EC">
        <w:rPr>
          <w:b/>
          <w:bCs/>
          <w:color w:val="auto"/>
        </w:rPr>
        <w:t xml:space="preserve">b) Admisión del Recurso de Revisión. </w:t>
      </w:r>
      <w:r w:rsidRPr="00F648EC">
        <w:rPr>
          <w:bCs/>
          <w:color w:val="auto"/>
        </w:rPr>
        <w:t>El</w:t>
      </w:r>
      <w:r w:rsidR="00E64E18" w:rsidRPr="00F648EC">
        <w:rPr>
          <w:bCs/>
          <w:color w:val="auto"/>
        </w:rPr>
        <w:t xml:space="preserve"> </w:t>
      </w:r>
      <w:r w:rsidR="00F648EC" w:rsidRPr="00F648EC">
        <w:rPr>
          <w:bCs/>
          <w:color w:val="auto"/>
        </w:rPr>
        <w:t xml:space="preserve">diez de julio de dos </w:t>
      </w:r>
      <w:r w:rsidR="00E64E18" w:rsidRPr="00F648EC">
        <w:rPr>
          <w:color w:val="auto"/>
        </w:rPr>
        <w:t>veinticinco</w:t>
      </w:r>
      <w:r w:rsidRPr="00F648EC">
        <w:rPr>
          <w:bCs/>
          <w:color w:val="auto"/>
        </w:rPr>
        <w:t xml:space="preserve">, se acordó la admisión del Recurso de Revisión interpuesto por </w:t>
      </w:r>
      <w:r w:rsidR="00261B92" w:rsidRPr="00F648EC">
        <w:rPr>
          <w:bCs/>
          <w:color w:val="auto"/>
        </w:rPr>
        <w:t>la persona</w:t>
      </w:r>
      <w:r w:rsidRPr="00F648EC">
        <w:rPr>
          <w:bCs/>
          <w:color w:val="auto"/>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648EC">
        <w:rPr>
          <w:bCs/>
          <w:color w:val="auto"/>
        </w:rPr>
        <w:t>el</w:t>
      </w:r>
      <w:r w:rsidR="000A706F" w:rsidRPr="00F648EC">
        <w:rPr>
          <w:bCs/>
          <w:color w:val="auto"/>
        </w:rPr>
        <w:t xml:space="preserve"> mismo día</w:t>
      </w:r>
      <w:r w:rsidRPr="00F648EC">
        <w:rPr>
          <w:bCs/>
          <w:color w:val="auto"/>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648EC" w:rsidRDefault="00E22EA8" w:rsidP="005747CD">
      <w:pPr>
        <w:spacing w:after="0" w:line="360" w:lineRule="auto"/>
        <w:rPr>
          <w:rFonts w:cs="Tahoma"/>
          <w:color w:val="auto"/>
        </w:rPr>
      </w:pPr>
    </w:p>
    <w:p w14:paraId="2B9894A9" w14:textId="15B8053F" w:rsidR="00F42088" w:rsidRPr="00F648EC" w:rsidRDefault="00E10780" w:rsidP="005747CD">
      <w:pPr>
        <w:spacing w:after="0" w:line="360" w:lineRule="auto"/>
        <w:rPr>
          <w:color w:val="auto"/>
        </w:rPr>
      </w:pPr>
      <w:r w:rsidRPr="00F648EC">
        <w:rPr>
          <w:b/>
          <w:color w:val="auto"/>
        </w:rPr>
        <w:lastRenderedPageBreak/>
        <w:t>c</w:t>
      </w:r>
      <w:r w:rsidR="00F933B4" w:rsidRPr="00F648EC">
        <w:rPr>
          <w:b/>
          <w:color w:val="auto"/>
        </w:rPr>
        <w:t xml:space="preserve">) </w:t>
      </w:r>
      <w:r w:rsidR="000255D3" w:rsidRPr="00F648EC">
        <w:rPr>
          <w:b/>
          <w:color w:val="auto"/>
        </w:rPr>
        <w:t xml:space="preserve">Informe Justificado o manifestaciones. </w:t>
      </w:r>
      <w:r w:rsidR="000255D3" w:rsidRPr="00F648EC">
        <w:rPr>
          <w:color w:val="auto"/>
        </w:rPr>
        <w:t>Las partes fueron omisas en emitir manifestaciones o alegatos.</w:t>
      </w:r>
    </w:p>
    <w:p w14:paraId="58013731" w14:textId="77777777" w:rsidR="0058767A" w:rsidRPr="00B11E96" w:rsidRDefault="0058767A" w:rsidP="005747CD">
      <w:pPr>
        <w:spacing w:after="0" w:line="360" w:lineRule="auto"/>
        <w:rPr>
          <w:color w:val="FF0000"/>
        </w:rPr>
      </w:pPr>
    </w:p>
    <w:p w14:paraId="73AC64D0" w14:textId="7100DC27" w:rsidR="00E22EA8" w:rsidRPr="00F648EC" w:rsidRDefault="000255D3" w:rsidP="005747CD">
      <w:pPr>
        <w:spacing w:after="0" w:line="360" w:lineRule="auto"/>
        <w:rPr>
          <w:color w:val="auto"/>
        </w:rPr>
      </w:pPr>
      <w:r w:rsidRPr="00F648EC">
        <w:rPr>
          <w:rFonts w:eastAsia="Times New Roman" w:cs="Tahoma"/>
          <w:b/>
          <w:color w:val="auto"/>
          <w:szCs w:val="24"/>
          <w:lang w:eastAsia="es-ES"/>
        </w:rPr>
        <w:t>d</w:t>
      </w:r>
      <w:r w:rsidR="00E22EA8" w:rsidRPr="00F648EC">
        <w:rPr>
          <w:rFonts w:eastAsia="Times New Roman" w:cs="Tahoma"/>
          <w:b/>
          <w:color w:val="auto"/>
          <w:szCs w:val="24"/>
          <w:lang w:eastAsia="es-ES"/>
        </w:rPr>
        <w:t>) Cierre de instrucción.</w:t>
      </w:r>
      <w:r w:rsidR="00E22EA8" w:rsidRPr="00F648EC">
        <w:rPr>
          <w:rFonts w:eastAsia="Times New Roman" w:cs="Tahoma"/>
          <w:color w:val="auto"/>
          <w:szCs w:val="24"/>
          <w:lang w:eastAsia="es-ES"/>
        </w:rPr>
        <w:t xml:space="preserve"> El</w:t>
      </w:r>
      <w:r w:rsidR="00417F3A" w:rsidRPr="00F648EC">
        <w:rPr>
          <w:rFonts w:eastAsia="Times New Roman" w:cs="Tahoma"/>
          <w:color w:val="auto"/>
          <w:szCs w:val="24"/>
          <w:lang w:eastAsia="es-ES"/>
        </w:rPr>
        <w:t xml:space="preserve"> </w:t>
      </w:r>
      <w:r w:rsidR="00F648EC" w:rsidRPr="00F648EC">
        <w:rPr>
          <w:rFonts w:eastAsia="Times New Roman" w:cs="Tahoma"/>
          <w:color w:val="auto"/>
          <w:szCs w:val="24"/>
          <w:lang w:eastAsia="es-ES"/>
        </w:rPr>
        <w:t xml:space="preserve">siete de agosto </w:t>
      </w:r>
      <w:r w:rsidR="005C3BAC" w:rsidRPr="00F648EC">
        <w:rPr>
          <w:rFonts w:eastAsia="Times New Roman" w:cs="Tahoma"/>
          <w:color w:val="auto"/>
          <w:szCs w:val="24"/>
          <w:lang w:eastAsia="es-ES"/>
        </w:rPr>
        <w:t>de dos mil veinticinco</w:t>
      </w:r>
      <w:r w:rsidR="00E22EA8" w:rsidRPr="00F648EC">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F648EC">
        <w:rPr>
          <w:color w:val="auto"/>
        </w:rPr>
        <w:t>acto que fue notificado a las partes, mediante el Sistema de Acceso a la Información Mexiquense (SAIMEX), el mismo día.</w:t>
      </w:r>
    </w:p>
    <w:p w14:paraId="70A7949C" w14:textId="77777777" w:rsidR="00A675B0" w:rsidRPr="00F648EC" w:rsidRDefault="00A675B0" w:rsidP="005747CD">
      <w:pPr>
        <w:spacing w:after="0" w:line="360" w:lineRule="auto"/>
        <w:rPr>
          <w:color w:val="auto"/>
        </w:rPr>
      </w:pPr>
    </w:p>
    <w:p w14:paraId="1C132216" w14:textId="7A4FF25F" w:rsidR="005C690F" w:rsidRPr="00F648EC" w:rsidRDefault="007D6307" w:rsidP="005747CD">
      <w:pPr>
        <w:spacing w:after="0" w:line="360" w:lineRule="auto"/>
        <w:rPr>
          <w:color w:val="auto"/>
        </w:rPr>
      </w:pPr>
      <w:r w:rsidRPr="00F648EC">
        <w:rPr>
          <w:color w:val="auto"/>
        </w:rPr>
        <w:t xml:space="preserve">En razón de que fue debidamente </w:t>
      </w:r>
      <w:r w:rsidR="00CC1F8C" w:rsidRPr="00F648EC">
        <w:rPr>
          <w:color w:val="auto"/>
        </w:rPr>
        <w:t>sustanciado</w:t>
      </w:r>
      <w:r w:rsidRPr="00F648EC">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F648EC" w:rsidRDefault="00674DAF" w:rsidP="005747CD">
      <w:pPr>
        <w:spacing w:after="0" w:line="360" w:lineRule="auto"/>
        <w:rPr>
          <w:color w:val="auto"/>
        </w:rPr>
      </w:pPr>
    </w:p>
    <w:p w14:paraId="250F6589" w14:textId="3F880C72" w:rsidR="005C690F" w:rsidRPr="00F648EC" w:rsidRDefault="00CD6238" w:rsidP="005747CD">
      <w:pPr>
        <w:pStyle w:val="Ttulo1"/>
        <w:spacing w:before="0" w:after="0" w:line="360" w:lineRule="auto"/>
        <w:jc w:val="center"/>
        <w:rPr>
          <w:color w:val="auto"/>
          <w:sz w:val="22"/>
          <w:szCs w:val="22"/>
        </w:rPr>
      </w:pPr>
      <w:bookmarkStart w:id="6" w:name="_Toc206089562"/>
      <w:r w:rsidRPr="00F648EC">
        <w:rPr>
          <w:color w:val="auto"/>
          <w:sz w:val="22"/>
          <w:szCs w:val="22"/>
        </w:rPr>
        <w:t>C O N S I D E R A N D O S</w:t>
      </w:r>
      <w:bookmarkEnd w:id="6"/>
    </w:p>
    <w:p w14:paraId="5AB6ED71" w14:textId="77777777" w:rsidR="005C690F" w:rsidRPr="00B11E96" w:rsidRDefault="005C690F" w:rsidP="005747CD">
      <w:pPr>
        <w:spacing w:after="0" w:line="360" w:lineRule="auto"/>
        <w:jc w:val="center"/>
        <w:rPr>
          <w:b/>
          <w:color w:val="FF0000"/>
        </w:rPr>
      </w:pPr>
    </w:p>
    <w:p w14:paraId="36BFFC7E" w14:textId="2F0F17EA" w:rsidR="005C690F" w:rsidRPr="00F648EC" w:rsidRDefault="007D6307" w:rsidP="005747CD">
      <w:pPr>
        <w:pStyle w:val="Ttulo2"/>
        <w:spacing w:before="0" w:after="0" w:line="360" w:lineRule="auto"/>
        <w:rPr>
          <w:color w:val="auto"/>
          <w:sz w:val="22"/>
          <w:szCs w:val="22"/>
        </w:rPr>
      </w:pPr>
      <w:bookmarkStart w:id="7" w:name="_Toc206089563"/>
      <w:r w:rsidRPr="00F648EC">
        <w:rPr>
          <w:color w:val="auto"/>
          <w:sz w:val="22"/>
          <w:szCs w:val="22"/>
        </w:rPr>
        <w:t xml:space="preserve">PRIMERO. </w:t>
      </w:r>
      <w:r w:rsidR="00CD6238" w:rsidRPr="00F648EC">
        <w:rPr>
          <w:color w:val="auto"/>
          <w:sz w:val="22"/>
          <w:szCs w:val="22"/>
        </w:rPr>
        <w:t>Competencia</w:t>
      </w:r>
      <w:bookmarkEnd w:id="7"/>
    </w:p>
    <w:p w14:paraId="38147522" w14:textId="77777777" w:rsidR="00F648EC" w:rsidRDefault="00F648EC" w:rsidP="005747CD">
      <w:pPr>
        <w:spacing w:after="0" w:line="360" w:lineRule="auto"/>
        <w:contextualSpacing/>
        <w:rPr>
          <w:rFonts w:eastAsia="Times New Roman" w:cs="Tahoma"/>
          <w:bCs/>
          <w:color w:val="FF0000"/>
          <w:lang w:eastAsia="es-ES"/>
        </w:rPr>
      </w:pPr>
      <w:bookmarkStart w:id="8" w:name="_heading=h.30j0zll" w:colFirst="0" w:colLast="0"/>
      <w:bookmarkEnd w:id="8"/>
    </w:p>
    <w:p w14:paraId="34E42005" w14:textId="516202DB" w:rsidR="0084143D" w:rsidRPr="00F648EC" w:rsidRDefault="00F648EC" w:rsidP="005747CD">
      <w:pPr>
        <w:spacing w:after="0" w:line="360" w:lineRule="auto"/>
        <w:contextualSpacing/>
        <w:rPr>
          <w:rFonts w:eastAsia="Times New Roman" w:cs="Tahoma"/>
          <w:bCs/>
          <w:color w:val="auto"/>
          <w:lang w:eastAsia="es-ES"/>
        </w:rPr>
      </w:pPr>
      <w:r w:rsidRPr="00F648EC">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F648EC">
        <w:rPr>
          <w:rFonts w:eastAsia="Times New Roman" w:cs="Tahoma"/>
          <w:bCs/>
          <w:color w:val="auto"/>
          <w:lang w:eastAsia="es-ES"/>
        </w:rPr>
        <w:lastRenderedPageBreak/>
        <w:t>Transparencia, Acceso a la Información Pública y Protección de Datos Personales del Estado de México y Municipios.</w:t>
      </w:r>
    </w:p>
    <w:p w14:paraId="4F39EF18" w14:textId="77777777" w:rsidR="00F648EC" w:rsidRPr="00F648EC" w:rsidRDefault="00F648EC" w:rsidP="005747CD">
      <w:pPr>
        <w:pStyle w:val="Ttulo2"/>
        <w:spacing w:before="0" w:after="0" w:line="360" w:lineRule="auto"/>
        <w:rPr>
          <w:color w:val="auto"/>
          <w:sz w:val="22"/>
          <w:szCs w:val="22"/>
        </w:rPr>
      </w:pPr>
    </w:p>
    <w:p w14:paraId="46691DD5" w14:textId="4C1C70AD" w:rsidR="005C690F" w:rsidRPr="00F648EC" w:rsidRDefault="007D6307" w:rsidP="005747CD">
      <w:pPr>
        <w:pStyle w:val="Ttulo2"/>
        <w:spacing w:before="0" w:after="0" w:line="360" w:lineRule="auto"/>
        <w:rPr>
          <w:color w:val="auto"/>
          <w:sz w:val="22"/>
          <w:szCs w:val="22"/>
        </w:rPr>
      </w:pPr>
      <w:bookmarkStart w:id="9" w:name="_Toc206089564"/>
      <w:r w:rsidRPr="00F648EC">
        <w:rPr>
          <w:color w:val="auto"/>
          <w:sz w:val="22"/>
          <w:szCs w:val="22"/>
        </w:rPr>
        <w:t>SEGUNDO. Causales de</w:t>
      </w:r>
      <w:r w:rsidR="00CD6238" w:rsidRPr="00F648EC">
        <w:rPr>
          <w:color w:val="auto"/>
          <w:sz w:val="22"/>
          <w:szCs w:val="22"/>
        </w:rPr>
        <w:t xml:space="preserve"> improcedencia y sobreseimiento</w:t>
      </w:r>
      <w:bookmarkEnd w:id="9"/>
    </w:p>
    <w:p w14:paraId="49AA4CDE" w14:textId="77777777" w:rsidR="005C690F" w:rsidRPr="00B11E96" w:rsidRDefault="005C690F" w:rsidP="005747CD">
      <w:pPr>
        <w:spacing w:after="0" w:line="360" w:lineRule="auto"/>
        <w:rPr>
          <w:color w:val="FF0000"/>
        </w:rPr>
      </w:pPr>
    </w:p>
    <w:p w14:paraId="2553CE58" w14:textId="77777777" w:rsidR="005C690F" w:rsidRPr="00F648EC" w:rsidRDefault="007D6307" w:rsidP="005747CD">
      <w:pPr>
        <w:spacing w:after="0" w:line="360" w:lineRule="auto"/>
        <w:rPr>
          <w:color w:val="auto"/>
        </w:rPr>
      </w:pPr>
      <w:r w:rsidRPr="00F648EC">
        <w:rPr>
          <w:color w:val="auto"/>
        </w:rPr>
        <w:t xml:space="preserve">De las constancias que forma parte del Recurso de Revisión que se analiza, se advierte que previo al estudio del fondo de la </w:t>
      </w:r>
      <w:r w:rsidRPr="00F648EC">
        <w:rPr>
          <w:i/>
          <w:color w:val="auto"/>
        </w:rPr>
        <w:t>litis</w:t>
      </w:r>
      <w:r w:rsidRPr="00F648EC">
        <w:rPr>
          <w:color w:val="auto"/>
        </w:rPr>
        <w:t>, es necesario estudiar las causales de improcedencia y sobreseimiento que se adviertan, para determinar lo que en Derecho proceda.</w:t>
      </w:r>
    </w:p>
    <w:p w14:paraId="35A30074" w14:textId="77777777" w:rsidR="009B2DAB" w:rsidRPr="00F648EC" w:rsidRDefault="009B2DAB" w:rsidP="005747CD">
      <w:pPr>
        <w:spacing w:after="0" w:line="360" w:lineRule="auto"/>
        <w:rPr>
          <w:color w:val="auto"/>
        </w:rPr>
      </w:pPr>
    </w:p>
    <w:p w14:paraId="3066DF0C" w14:textId="77777777" w:rsidR="005C690F" w:rsidRPr="00F648EC" w:rsidRDefault="007D6307" w:rsidP="005747CD">
      <w:pPr>
        <w:spacing w:after="0" w:line="360" w:lineRule="auto"/>
        <w:rPr>
          <w:b/>
          <w:color w:val="auto"/>
        </w:rPr>
      </w:pPr>
      <w:r w:rsidRPr="00F648EC">
        <w:rPr>
          <w:b/>
          <w:color w:val="auto"/>
        </w:rPr>
        <w:t>Causales de improcedencia</w:t>
      </w:r>
    </w:p>
    <w:p w14:paraId="7A354F3E" w14:textId="77777777" w:rsidR="00BB3FF9" w:rsidRPr="00F648EC" w:rsidRDefault="00BB3FF9" w:rsidP="005747CD">
      <w:pPr>
        <w:spacing w:after="0" w:line="360" w:lineRule="auto"/>
        <w:rPr>
          <w:b/>
          <w:color w:val="auto"/>
        </w:rPr>
      </w:pPr>
    </w:p>
    <w:p w14:paraId="6C56CA88" w14:textId="77777777" w:rsidR="005C690F" w:rsidRPr="00F648EC" w:rsidRDefault="007D6307" w:rsidP="005747CD">
      <w:pPr>
        <w:spacing w:after="0" w:line="360" w:lineRule="auto"/>
        <w:rPr>
          <w:color w:val="auto"/>
        </w:rPr>
      </w:pPr>
      <w:r w:rsidRPr="00F648EC">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648EC" w:rsidRDefault="005C690F" w:rsidP="005747CD">
      <w:pPr>
        <w:spacing w:after="0" w:line="360" w:lineRule="auto"/>
        <w:rPr>
          <w:color w:val="auto"/>
        </w:rPr>
      </w:pPr>
    </w:p>
    <w:p w14:paraId="3FF1B775" w14:textId="71BDC8A3" w:rsidR="005C690F" w:rsidRPr="00F648EC" w:rsidRDefault="007D6307" w:rsidP="005747CD">
      <w:pPr>
        <w:spacing w:after="0" w:line="360" w:lineRule="auto"/>
        <w:rPr>
          <w:color w:val="auto"/>
        </w:rPr>
      </w:pPr>
      <w:r w:rsidRPr="00F648EC">
        <w:rPr>
          <w:color w:val="auto"/>
        </w:rPr>
        <w:t>En el presente caso, </w:t>
      </w:r>
      <w:r w:rsidRPr="00F648EC">
        <w:rPr>
          <w:b/>
          <w:color w:val="auto"/>
        </w:rPr>
        <w:t>no se actualiza ninguna de las causales de improcedencia</w:t>
      </w:r>
      <w:r w:rsidRPr="00F648EC">
        <w:rPr>
          <w:color w:val="auto"/>
        </w:rPr>
        <w:t> establecidas en el ordenamiento jurídico previamente señalado, toda vez que: este Instituto no tiene conocimiento de que se encuentre en trámite algún medio de defensa presentado por la</w:t>
      </w:r>
      <w:r w:rsidR="00261B92" w:rsidRPr="00F648EC">
        <w:rPr>
          <w:color w:val="auto"/>
        </w:rPr>
        <w:t xml:space="preserve"> persona</w:t>
      </w:r>
      <w:r w:rsidRPr="00F648EC">
        <w:rPr>
          <w:color w:val="auto"/>
        </w:rPr>
        <w:t xml:space="preserve"> Recurrente ante otra instancia; no existió prevención alguna; la veracidad de la respuesta no formó parte del agravio; ni se realizó una consulta o ampliación a los alcances del requerimiento informativo.</w:t>
      </w:r>
    </w:p>
    <w:p w14:paraId="2BF1CF5B" w14:textId="7566CD31" w:rsidR="005C690F" w:rsidRPr="00C6556B" w:rsidRDefault="007D6307" w:rsidP="005747CD">
      <w:pPr>
        <w:spacing w:after="0" w:line="360" w:lineRule="auto"/>
        <w:rPr>
          <w:color w:val="auto"/>
        </w:rPr>
      </w:pPr>
      <w:r w:rsidRPr="00C6556B">
        <w:rPr>
          <w:color w:val="auto"/>
        </w:rPr>
        <w:lastRenderedPageBreak/>
        <w:t>Por lo cual, se actualiza la causal de procedencia del Recurso de Revisión señal</w:t>
      </w:r>
      <w:r w:rsidR="00261DF6" w:rsidRPr="00C6556B">
        <w:rPr>
          <w:color w:val="auto"/>
        </w:rPr>
        <w:t>ada en el artículo 179, fracci</w:t>
      </w:r>
      <w:r w:rsidR="003C01AD" w:rsidRPr="00C6556B">
        <w:rPr>
          <w:color w:val="auto"/>
        </w:rPr>
        <w:t>ón IX</w:t>
      </w:r>
      <w:r w:rsidRPr="00C6556B">
        <w:rPr>
          <w:color w:val="auto"/>
        </w:rPr>
        <w:t>, de la Ley en cita, pues la p</w:t>
      </w:r>
      <w:r w:rsidR="00261B92" w:rsidRPr="00C6556B">
        <w:rPr>
          <w:color w:val="auto"/>
        </w:rPr>
        <w:t>ersona</w:t>
      </w:r>
      <w:r w:rsidRPr="00C6556B">
        <w:rPr>
          <w:color w:val="auto"/>
        </w:rPr>
        <w:t xml:space="preserve"> Recurrente se inconformó </w:t>
      </w:r>
      <w:r w:rsidR="00674DAF" w:rsidRPr="00C6556B">
        <w:rPr>
          <w:color w:val="auto"/>
        </w:rPr>
        <w:t xml:space="preserve">de la entrega de información </w:t>
      </w:r>
      <w:r w:rsidR="003C01AD" w:rsidRPr="00C6556B">
        <w:rPr>
          <w:color w:val="auto"/>
        </w:rPr>
        <w:t>en un formato no accesible.</w:t>
      </w:r>
    </w:p>
    <w:p w14:paraId="7B59B025" w14:textId="77777777" w:rsidR="00712ED6" w:rsidRPr="00B11E96" w:rsidRDefault="00712ED6" w:rsidP="005747CD">
      <w:pPr>
        <w:spacing w:after="0" w:line="360" w:lineRule="auto"/>
        <w:rPr>
          <w:color w:val="FF0000"/>
        </w:rPr>
      </w:pPr>
    </w:p>
    <w:p w14:paraId="55FF691A" w14:textId="6D373E30" w:rsidR="005C690F" w:rsidRPr="00C6556B" w:rsidRDefault="007D6307" w:rsidP="005747CD">
      <w:pPr>
        <w:spacing w:after="0" w:line="360" w:lineRule="auto"/>
        <w:rPr>
          <w:color w:val="auto"/>
        </w:rPr>
      </w:pPr>
      <w:r w:rsidRPr="00C6556B">
        <w:rPr>
          <w:b/>
          <w:color w:val="auto"/>
        </w:rPr>
        <w:t>Ca</w:t>
      </w:r>
      <w:r w:rsidR="00CD6238" w:rsidRPr="00C6556B">
        <w:rPr>
          <w:b/>
          <w:color w:val="auto"/>
        </w:rPr>
        <w:t>usales de sobreseimiento</w:t>
      </w:r>
    </w:p>
    <w:p w14:paraId="426FEE7A" w14:textId="77777777" w:rsidR="005C690F" w:rsidRPr="00C6556B" w:rsidRDefault="005C690F" w:rsidP="005747CD">
      <w:pPr>
        <w:spacing w:after="0" w:line="360" w:lineRule="auto"/>
        <w:rPr>
          <w:color w:val="auto"/>
        </w:rPr>
      </w:pPr>
    </w:p>
    <w:p w14:paraId="5B1C849A" w14:textId="77777777" w:rsidR="005C690F" w:rsidRPr="00C6556B" w:rsidRDefault="007D6307" w:rsidP="005747CD">
      <w:pPr>
        <w:spacing w:after="0" w:line="360" w:lineRule="auto"/>
        <w:rPr>
          <w:color w:val="auto"/>
        </w:rPr>
      </w:pPr>
      <w:r w:rsidRPr="00C6556B">
        <w:rPr>
          <w:color w:val="auto"/>
        </w:rPr>
        <w:t>Por ser de previo y especial pronunciamiento, este Instituto analiza si se actualiza alguna causal de sobreseimiento.</w:t>
      </w:r>
    </w:p>
    <w:p w14:paraId="5CEDF034" w14:textId="77777777" w:rsidR="00A96A4E" w:rsidRPr="00C6556B" w:rsidRDefault="00A96A4E" w:rsidP="005747CD">
      <w:pPr>
        <w:spacing w:after="0" w:line="360" w:lineRule="auto"/>
        <w:rPr>
          <w:color w:val="auto"/>
        </w:rPr>
      </w:pPr>
    </w:p>
    <w:p w14:paraId="616B549A" w14:textId="34585935" w:rsidR="005C690F" w:rsidRPr="00C6556B" w:rsidRDefault="007D6307" w:rsidP="005747CD">
      <w:pPr>
        <w:spacing w:after="0" w:line="360" w:lineRule="auto"/>
        <w:rPr>
          <w:color w:val="auto"/>
        </w:rPr>
      </w:pPr>
      <w:r w:rsidRPr="00C6556B">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C6556B">
        <w:rPr>
          <w:color w:val="auto"/>
        </w:rPr>
        <w:t xml:space="preserve">persona </w:t>
      </w:r>
      <w:r w:rsidRPr="00C6556B">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C6556B" w:rsidRDefault="00712ED6" w:rsidP="005747CD">
      <w:pPr>
        <w:spacing w:after="0" w:line="360" w:lineRule="auto"/>
        <w:rPr>
          <w:color w:val="auto"/>
        </w:rPr>
      </w:pPr>
    </w:p>
    <w:p w14:paraId="338973DD" w14:textId="77777777" w:rsidR="005C690F" w:rsidRPr="00C6556B" w:rsidRDefault="007D6307" w:rsidP="005747CD">
      <w:pPr>
        <w:spacing w:after="0" w:line="360" w:lineRule="auto"/>
        <w:rPr>
          <w:color w:val="auto"/>
        </w:rPr>
      </w:pPr>
      <w:r w:rsidRPr="00C6556B">
        <w:rPr>
          <w:color w:val="auto"/>
        </w:rPr>
        <w:t xml:space="preserve">Por tales motivos, se considera procedente entrar al fondo del presente asunto. </w:t>
      </w:r>
    </w:p>
    <w:p w14:paraId="3B2EB888" w14:textId="77777777" w:rsidR="005C690F" w:rsidRPr="00C6556B" w:rsidRDefault="005C690F" w:rsidP="005747CD">
      <w:pPr>
        <w:spacing w:after="0" w:line="360" w:lineRule="auto"/>
        <w:rPr>
          <w:b/>
          <w:color w:val="auto"/>
        </w:rPr>
      </w:pPr>
    </w:p>
    <w:p w14:paraId="0A6A0BAE" w14:textId="184EF292" w:rsidR="005C690F" w:rsidRPr="00C6556B" w:rsidRDefault="007D6307" w:rsidP="005747CD">
      <w:pPr>
        <w:pStyle w:val="Ttulo2"/>
        <w:spacing w:before="0" w:after="0" w:line="360" w:lineRule="auto"/>
        <w:rPr>
          <w:color w:val="auto"/>
          <w:sz w:val="22"/>
          <w:szCs w:val="22"/>
        </w:rPr>
      </w:pPr>
      <w:bookmarkStart w:id="10" w:name="_Toc206089565"/>
      <w:r w:rsidRPr="00C6556B">
        <w:rPr>
          <w:color w:val="auto"/>
          <w:sz w:val="22"/>
          <w:szCs w:val="22"/>
        </w:rPr>
        <w:t>TERCERO. De</w:t>
      </w:r>
      <w:r w:rsidR="00CD6238" w:rsidRPr="00C6556B">
        <w:rPr>
          <w:color w:val="auto"/>
          <w:sz w:val="22"/>
          <w:szCs w:val="22"/>
        </w:rPr>
        <w:t>terminación de la Controversia</w:t>
      </w:r>
      <w:bookmarkEnd w:id="10"/>
    </w:p>
    <w:p w14:paraId="4A0739CB" w14:textId="77777777" w:rsidR="00897A05" w:rsidRPr="00B11E96" w:rsidRDefault="00897A05" w:rsidP="005747CD">
      <w:pPr>
        <w:spacing w:after="0" w:line="360" w:lineRule="auto"/>
        <w:rPr>
          <w:b/>
          <w:color w:val="FF0000"/>
        </w:rPr>
      </w:pPr>
    </w:p>
    <w:p w14:paraId="712B0A9D" w14:textId="1AE6403C" w:rsidR="00C6556B" w:rsidRDefault="007C7BAF" w:rsidP="005747CD">
      <w:pPr>
        <w:spacing w:after="0" w:line="360" w:lineRule="auto"/>
        <w:rPr>
          <w:rFonts w:cs="Tahoma"/>
          <w:color w:val="auto"/>
        </w:rPr>
      </w:pPr>
      <w:r w:rsidRPr="00C6556B">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EC15A0" w:rsidRPr="00C6556B">
        <w:rPr>
          <w:rFonts w:cs="Tahoma"/>
          <w:color w:val="auto"/>
        </w:rPr>
        <w:t xml:space="preserve">, </w:t>
      </w:r>
      <w:r w:rsidR="00C6556B">
        <w:rPr>
          <w:rFonts w:cs="Tahoma"/>
          <w:color w:val="auto"/>
        </w:rPr>
        <w:t>la lista del personal que labora en la Tesorería Municipal, así como las funciones de cada uno de ellos.</w:t>
      </w:r>
    </w:p>
    <w:p w14:paraId="28F82416" w14:textId="79786025" w:rsidR="00972243" w:rsidRPr="0022751C" w:rsidRDefault="007C7BAF" w:rsidP="005747CD">
      <w:pPr>
        <w:spacing w:after="0" w:line="360" w:lineRule="auto"/>
        <w:rPr>
          <w:rFonts w:cs="Tahoma"/>
          <w:i/>
          <w:color w:val="auto"/>
        </w:rPr>
      </w:pPr>
      <w:r w:rsidRPr="0022751C">
        <w:rPr>
          <w:color w:val="auto"/>
        </w:rPr>
        <w:lastRenderedPageBreak/>
        <w:t>En respuesta, el Sujeto Obligado,</w:t>
      </w:r>
      <w:r w:rsidR="00644832" w:rsidRPr="0022751C">
        <w:rPr>
          <w:color w:val="auto"/>
        </w:rPr>
        <w:t xml:space="preserve"> </w:t>
      </w:r>
      <w:r w:rsidR="001260CE" w:rsidRPr="0022751C">
        <w:rPr>
          <w:color w:val="auto"/>
        </w:rPr>
        <w:t>a través de</w:t>
      </w:r>
      <w:r w:rsidR="00256725" w:rsidRPr="0022751C">
        <w:rPr>
          <w:color w:val="auto"/>
        </w:rPr>
        <w:t xml:space="preserve"> la</w:t>
      </w:r>
      <w:r w:rsidR="0022751C">
        <w:rPr>
          <w:color w:val="auto"/>
        </w:rPr>
        <w:t xml:space="preserve"> Titular de Recursos Humanos señalo que en relación con  la lista de personal que labora en el área de personal esta podía ser consultada a través de una liga la cual se logra advertir remitió en formato abierto, en cuanto a las facultades y funciones de cada servidor público refirió que dicha información podía consultarse en  el Manual de Procedimientos y el Manual de Organización de la Tesorería, en los que se enumeran las funciones y facultades de los servidores públicos, los cules podían ser consultados a través de</w:t>
      </w:r>
      <w:r w:rsidR="00DD21A6">
        <w:rPr>
          <w:color w:val="auto"/>
        </w:rPr>
        <w:t xml:space="preserve"> unas</w:t>
      </w:r>
      <w:r w:rsidR="0022751C">
        <w:rPr>
          <w:color w:val="auto"/>
        </w:rPr>
        <w:t xml:space="preserve"> liga</w:t>
      </w:r>
      <w:r w:rsidR="00DD21A6">
        <w:rPr>
          <w:color w:val="auto"/>
        </w:rPr>
        <w:t>s</w:t>
      </w:r>
      <w:r w:rsidR="0022751C">
        <w:rPr>
          <w:color w:val="auto"/>
        </w:rPr>
        <w:t xml:space="preserve"> que remitió en formato </w:t>
      </w:r>
      <w:r w:rsidR="0022751C" w:rsidRPr="0022751C">
        <w:rPr>
          <w:color w:val="auto"/>
        </w:rPr>
        <w:t>cerrado</w:t>
      </w:r>
      <w:r w:rsidRPr="0022751C">
        <w:rPr>
          <w:rFonts w:cs="Tahoma"/>
          <w:color w:val="auto"/>
        </w:rPr>
        <w:t>;</w:t>
      </w:r>
      <w:r w:rsidRPr="0022751C">
        <w:rPr>
          <w:color w:val="auto"/>
        </w:rPr>
        <w:t xml:space="preserve"> </w:t>
      </w:r>
      <w:r w:rsidRPr="0022751C">
        <w:rPr>
          <w:rFonts w:cs="Tahoma"/>
          <w:color w:val="auto"/>
        </w:rPr>
        <w:t>ante dicha circunstancia, el Particular se inconformó</w:t>
      </w:r>
      <w:r w:rsidR="00644832" w:rsidRPr="0022751C">
        <w:rPr>
          <w:rFonts w:cs="Tahoma"/>
          <w:color w:val="auto"/>
        </w:rPr>
        <w:t xml:space="preserve"> </w:t>
      </w:r>
      <w:r w:rsidR="00966BF0" w:rsidRPr="0022751C">
        <w:rPr>
          <w:rFonts w:cs="Tahoma"/>
          <w:color w:val="auto"/>
        </w:rPr>
        <w:t>de</w:t>
      </w:r>
      <w:r w:rsidR="001260CE" w:rsidRPr="0022751C">
        <w:rPr>
          <w:rFonts w:cs="Tahoma"/>
          <w:color w:val="auto"/>
        </w:rPr>
        <w:t xml:space="preserve"> la entrega de </w:t>
      </w:r>
      <w:r w:rsidR="0022751C" w:rsidRPr="0022751C">
        <w:rPr>
          <w:color w:val="auto"/>
        </w:rPr>
        <w:t>información en un formato no accesible</w:t>
      </w:r>
      <w:r w:rsidR="0022751C">
        <w:rPr>
          <w:color w:val="auto"/>
        </w:rPr>
        <w:t xml:space="preserve"> al referir </w:t>
      </w:r>
      <w:r w:rsidR="0022751C" w:rsidRPr="0022751C">
        <w:rPr>
          <w:rFonts w:cs="Tahoma"/>
          <w:i/>
          <w:color w:val="auto"/>
        </w:rPr>
        <w:t>… NO SE PUEDE ACCEDER A LAS LIGAS CORRESPONDIENTES A LOS MANUALES…</w:t>
      </w:r>
      <w:r w:rsidR="00644832" w:rsidRPr="0022751C">
        <w:rPr>
          <w:rFonts w:cs="Tahoma"/>
          <w:i/>
          <w:color w:val="auto"/>
        </w:rPr>
        <w:t>,</w:t>
      </w:r>
      <w:r w:rsidRPr="00B11E96">
        <w:rPr>
          <w:rFonts w:cs="Tahoma"/>
          <w:color w:val="FF0000"/>
        </w:rPr>
        <w:t xml:space="preserve"> </w:t>
      </w:r>
      <w:r w:rsidRPr="0022751C">
        <w:rPr>
          <w:rFonts w:cs="Tahoma"/>
          <w:color w:val="auto"/>
        </w:rPr>
        <w:t xml:space="preserve">lo cual </w:t>
      </w:r>
      <w:r w:rsidRPr="0022751C">
        <w:rPr>
          <w:rFonts w:eastAsia="Calibri" w:cs="Tahoma"/>
          <w:color w:val="auto"/>
        </w:rPr>
        <w:t>actualiza la causal de proce</w:t>
      </w:r>
      <w:r w:rsidR="0022751C" w:rsidRPr="0022751C">
        <w:rPr>
          <w:rFonts w:eastAsia="Calibri" w:cs="Tahoma"/>
          <w:color w:val="auto"/>
        </w:rPr>
        <w:t>dencia prevista en la fracción IX</w:t>
      </w:r>
      <w:r w:rsidRPr="0022751C">
        <w:rPr>
          <w:rFonts w:eastAsia="Calibri" w:cs="Tahoma"/>
          <w:color w:val="auto"/>
        </w:rPr>
        <w:t>, del artículo 179 de la Ley de Transparencia y Acceso a la Información Pública del Estado de México y Municipios</w:t>
      </w:r>
      <w:r w:rsidRPr="0022751C">
        <w:rPr>
          <w:color w:val="auto"/>
        </w:rPr>
        <w:t xml:space="preserve">. </w:t>
      </w:r>
      <w:r w:rsidRPr="0022751C">
        <w:rPr>
          <w:rFonts w:eastAsia="Calibri" w:cs="Tahoma"/>
          <w:color w:val="auto"/>
        </w:rPr>
        <w:t>Así, las cosas, una vez admitido y notificado el Recurso de Revisión</w:t>
      </w:r>
      <w:r w:rsidR="00522A47" w:rsidRPr="0022751C">
        <w:rPr>
          <w:rFonts w:eastAsia="Calibri" w:cs="Tahoma"/>
          <w:color w:val="auto"/>
        </w:rPr>
        <w:t xml:space="preserve"> a las partes, </w:t>
      </w:r>
      <w:r w:rsidR="001260CE" w:rsidRPr="0022751C">
        <w:rPr>
          <w:rFonts w:eastAsia="Calibri" w:cs="Tahoma"/>
          <w:color w:val="auto"/>
        </w:rPr>
        <w:t xml:space="preserve">fueron omisas de emitir manifestaciones o alegatos. </w:t>
      </w:r>
    </w:p>
    <w:p w14:paraId="137DA036" w14:textId="77777777" w:rsidR="00AB4AC2" w:rsidRPr="00B11E96" w:rsidRDefault="00AB4AC2" w:rsidP="005747CD">
      <w:pPr>
        <w:spacing w:after="0" w:line="360" w:lineRule="auto"/>
        <w:ind w:right="567"/>
        <w:rPr>
          <w:i/>
          <w:iCs/>
          <w:color w:val="FF0000"/>
          <w:sz w:val="20"/>
          <w:szCs w:val="20"/>
        </w:rPr>
      </w:pPr>
    </w:p>
    <w:p w14:paraId="10950B19" w14:textId="06E9E8D5"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Conforme a lo analizado, se puede advertir que el ahora Recurrente</w:t>
      </w:r>
      <w:r w:rsidR="00440F8D" w:rsidRPr="00440F8D">
        <w:rPr>
          <w:rFonts w:eastAsia="Calibri" w:cs="Tahoma"/>
          <w:iCs/>
          <w:color w:val="auto"/>
          <w:lang w:eastAsia="es-ES_tradnl"/>
        </w:rPr>
        <w:t xml:space="preserve"> únicamente se inconformó de la falta de entrega de los Manuales referidos en respuesta, por lo que, </w:t>
      </w:r>
      <w:r w:rsidRPr="00440F8D">
        <w:rPr>
          <w:rFonts w:eastAsia="Calibri" w:cs="Tahoma"/>
          <w:iCs/>
          <w:color w:val="auto"/>
          <w:lang w:eastAsia="es-ES_tradnl"/>
        </w:rPr>
        <w:t>no se inconformó de lo solicitado en relación con la lista del personal que labora en la Tesorería Municipal;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40D76FC3" w14:textId="77777777"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 </w:t>
      </w:r>
    </w:p>
    <w:p w14:paraId="23E74FBA" w14:textId="77777777"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 xml:space="preserve">De la misma manera resulta aplicable el criterio sostenido por el Poder Judicial de la Federación de rubro ACTOS CONSENTIDOS TÁCITAMENTE, Tesis VI.2o. J/21, emitida en </w:t>
      </w:r>
      <w:r w:rsidRPr="00440F8D">
        <w:rPr>
          <w:rFonts w:eastAsia="Calibri" w:cs="Tahoma"/>
          <w:iCs/>
          <w:color w:val="auto"/>
          <w:lang w:eastAsia="es-ES_tradnl"/>
        </w:rPr>
        <w:lastRenderedPageBreak/>
        <w:t>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BEA5BC6" w14:textId="77777777"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 </w:t>
      </w:r>
    </w:p>
    <w:p w14:paraId="68CFA686" w14:textId="77777777"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01345C98" w14:textId="77777777" w:rsidR="00C143DF"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 </w:t>
      </w:r>
    </w:p>
    <w:p w14:paraId="5F7923FF" w14:textId="09C602AE" w:rsidR="0022751C" w:rsidRPr="00440F8D" w:rsidRDefault="00C143DF" w:rsidP="00440F8D">
      <w:pPr>
        <w:tabs>
          <w:tab w:val="left" w:pos="4962"/>
        </w:tabs>
        <w:spacing w:after="0" w:line="360" w:lineRule="auto"/>
        <w:rPr>
          <w:rFonts w:eastAsia="Calibri" w:cs="Tahoma"/>
          <w:iCs/>
          <w:color w:val="auto"/>
          <w:lang w:eastAsia="es-ES_tradnl"/>
        </w:rPr>
      </w:pPr>
      <w:r w:rsidRPr="00440F8D">
        <w:rPr>
          <w:rFonts w:eastAsia="Calibri" w:cs="Tahoma"/>
          <w:iCs/>
          <w:color w:val="auto"/>
          <w:lang w:eastAsia="es-ES_tradnl"/>
        </w:rPr>
        <w:t xml:space="preserve">Asimismo, resulta relevante traer a colación el Criterio de Interpretación, con clave de control SO/001/2020, de la Segunda Época, emitido por el </w:t>
      </w:r>
      <w:r w:rsidR="00440F8D" w:rsidRPr="00440F8D">
        <w:rPr>
          <w:rFonts w:eastAsia="Calibri" w:cs="Tahoma"/>
          <w:iCs/>
          <w:color w:val="auto"/>
          <w:lang w:eastAsia="es-ES_tradnl"/>
        </w:rPr>
        <w:t xml:space="preserve">entonces </w:t>
      </w:r>
      <w:r w:rsidRPr="00440F8D">
        <w:rPr>
          <w:rFonts w:eastAsia="Calibri" w:cs="Tahoma"/>
          <w:iCs/>
          <w:color w:val="auto"/>
          <w:lang w:eastAsia="es-ES_tradnl"/>
        </w:rPr>
        <w:t>Instituto Nacional de Transparencia, Acceso a la Información y Protección de Datos Personales</w:t>
      </w:r>
      <w:r w:rsidR="00440F8D" w:rsidRPr="00440F8D">
        <w:rPr>
          <w:rFonts w:eastAsia="Calibri" w:cs="Tahoma"/>
          <w:iCs/>
          <w:color w:val="auto"/>
          <w:lang w:eastAsia="es-ES_tradnl"/>
        </w:rPr>
        <w:t>, el cual establece que</w:t>
      </w:r>
      <w:r w:rsidRPr="00440F8D">
        <w:rPr>
          <w:rFonts w:eastAsia="Calibri" w:cs="Tahoma"/>
          <w:iCs/>
          <w:color w:val="auto"/>
          <w:lang w:eastAsia="es-ES_tradnl"/>
        </w:rPr>
        <w:t xml:space="preserve"> es improcedente entrar al análisis de las partes de la respuesta del Sujeto Obligado que no fueron impugnadas por el Recurrente</w:t>
      </w:r>
      <w:r w:rsidR="00440F8D" w:rsidRPr="00440F8D">
        <w:rPr>
          <w:rFonts w:eastAsia="Calibri" w:cs="Tahoma"/>
          <w:iCs/>
          <w:color w:val="auto"/>
          <w:lang w:eastAsia="es-ES_tradnl"/>
        </w:rPr>
        <w:t xml:space="preserve"> </w:t>
      </w:r>
      <w:r w:rsidRPr="00440F8D">
        <w:rPr>
          <w:rFonts w:eastAsia="Calibri" w:cs="Tahoma"/>
          <w:iCs/>
          <w:color w:val="auto"/>
          <w:lang w:eastAsia="es-ES_tradnl"/>
        </w:rPr>
        <w:t xml:space="preserve">y únicamente se entrará al análisis </w:t>
      </w:r>
      <w:r w:rsidR="000B3C28" w:rsidRPr="00440F8D">
        <w:rPr>
          <w:rFonts w:eastAsia="Calibri" w:cs="Tahoma"/>
          <w:iCs/>
          <w:color w:val="auto"/>
          <w:lang w:eastAsia="es-ES_tradnl"/>
        </w:rPr>
        <w:t xml:space="preserve">de los </w:t>
      </w:r>
      <w:r w:rsidR="00440F8D" w:rsidRPr="00440F8D">
        <w:rPr>
          <w:rFonts w:eastAsia="Calibri" w:cs="Tahoma"/>
          <w:iCs/>
          <w:color w:val="auto"/>
          <w:lang w:eastAsia="es-ES_tradnl"/>
        </w:rPr>
        <w:t>Manuales referidos en respuesta.</w:t>
      </w:r>
    </w:p>
    <w:p w14:paraId="2BB4C7A0" w14:textId="77777777" w:rsidR="000B3C28" w:rsidRPr="000B3C28" w:rsidRDefault="000B3C28" w:rsidP="00440F8D">
      <w:pPr>
        <w:tabs>
          <w:tab w:val="left" w:pos="4962"/>
        </w:tabs>
        <w:spacing w:after="0" w:line="360" w:lineRule="auto"/>
        <w:rPr>
          <w:rFonts w:eastAsia="Times New Roman" w:cs="Times New Roman"/>
          <w:color w:val="FF0000"/>
          <w:lang w:val="es-ES"/>
        </w:rPr>
      </w:pPr>
    </w:p>
    <w:p w14:paraId="22C5958E" w14:textId="3E7D2694" w:rsidR="007C7BAF" w:rsidRPr="00AD306F" w:rsidRDefault="007C7BAF" w:rsidP="005747CD">
      <w:pPr>
        <w:tabs>
          <w:tab w:val="left" w:pos="4962"/>
        </w:tabs>
        <w:spacing w:after="0" w:line="360" w:lineRule="auto"/>
        <w:rPr>
          <w:rFonts w:eastAsia="Calibri" w:cs="Tahoma"/>
          <w:bCs/>
          <w:color w:val="auto"/>
        </w:rPr>
      </w:pPr>
      <w:r w:rsidRPr="00AD306F">
        <w:rPr>
          <w:rFonts w:eastAsia="Calibri" w:cs="Tahoma"/>
          <w:iCs/>
          <w:color w:val="auto"/>
          <w:lang w:eastAsia="es-ES_tradnl"/>
        </w:rPr>
        <w:t>Lo anterior, se desprende de las documentales que obran en el expediente de referencia, materia de la presente resolución, consistente en: la solic</w:t>
      </w:r>
      <w:r w:rsidR="00BB3F28" w:rsidRPr="00AD306F">
        <w:rPr>
          <w:rFonts w:eastAsia="Calibri" w:cs="Tahoma"/>
          <w:iCs/>
          <w:color w:val="auto"/>
          <w:lang w:eastAsia="es-ES_tradnl"/>
        </w:rPr>
        <w:t>itud de acceso a la información</w:t>
      </w:r>
      <w:r w:rsidR="005747CD" w:rsidRPr="00AD306F">
        <w:rPr>
          <w:rFonts w:eastAsia="Calibri" w:cs="Tahoma"/>
          <w:iCs/>
          <w:color w:val="auto"/>
          <w:lang w:eastAsia="es-ES_tradnl"/>
        </w:rPr>
        <w:t>; la respuesta entregada</w:t>
      </w:r>
      <w:r w:rsidR="00BB3F28" w:rsidRPr="00AD306F">
        <w:rPr>
          <w:rFonts w:eastAsia="Calibri" w:cs="Tahoma"/>
          <w:iCs/>
          <w:color w:val="auto"/>
          <w:lang w:eastAsia="es-ES_tradnl"/>
        </w:rPr>
        <w:t xml:space="preserve"> y</w:t>
      </w:r>
      <w:r w:rsidRPr="00AD306F">
        <w:rPr>
          <w:rFonts w:eastAsia="Calibri" w:cs="Tahoma"/>
          <w:iCs/>
          <w:color w:val="auto"/>
          <w:lang w:eastAsia="es-ES_tradnl"/>
        </w:rPr>
        <w:t xml:space="preserve"> el escrito recursal; </w:t>
      </w:r>
      <w:r w:rsidRPr="00AD306F">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8ED005D" w14:textId="77777777" w:rsidR="0022751C" w:rsidRPr="00B11E96" w:rsidRDefault="0022751C" w:rsidP="005747CD">
      <w:pPr>
        <w:tabs>
          <w:tab w:val="left" w:pos="4962"/>
        </w:tabs>
        <w:spacing w:after="0" w:line="360" w:lineRule="auto"/>
        <w:rPr>
          <w:rFonts w:eastAsia="Calibri" w:cs="Tahoma"/>
          <w:bCs/>
          <w:color w:val="FF0000"/>
        </w:rPr>
      </w:pPr>
    </w:p>
    <w:p w14:paraId="36DCBD9D" w14:textId="17EE08DD" w:rsidR="005C690F" w:rsidRPr="004304E6" w:rsidRDefault="007D6307" w:rsidP="005747CD">
      <w:pPr>
        <w:pStyle w:val="Ttulo2"/>
        <w:spacing w:before="0" w:after="0" w:line="360" w:lineRule="auto"/>
        <w:rPr>
          <w:color w:val="auto"/>
          <w:sz w:val="22"/>
          <w:szCs w:val="22"/>
        </w:rPr>
      </w:pPr>
      <w:bookmarkStart w:id="11" w:name="_Toc206089566"/>
      <w:r w:rsidRPr="004304E6">
        <w:rPr>
          <w:color w:val="auto"/>
          <w:sz w:val="22"/>
          <w:szCs w:val="22"/>
        </w:rPr>
        <w:lastRenderedPageBreak/>
        <w:t xml:space="preserve">CUARTO. Marco normativo aplicable en materia de transparencia y </w:t>
      </w:r>
      <w:r w:rsidR="00CD6238" w:rsidRPr="004304E6">
        <w:rPr>
          <w:color w:val="auto"/>
          <w:sz w:val="22"/>
          <w:szCs w:val="22"/>
        </w:rPr>
        <w:t>acceso a la información pública</w:t>
      </w:r>
      <w:bookmarkEnd w:id="11"/>
    </w:p>
    <w:p w14:paraId="4D62F8F1" w14:textId="77777777" w:rsidR="005C690F" w:rsidRPr="004304E6" w:rsidRDefault="005C690F" w:rsidP="005747CD">
      <w:pPr>
        <w:spacing w:after="0" w:line="360" w:lineRule="auto"/>
        <w:rPr>
          <w:color w:val="auto"/>
        </w:rPr>
      </w:pPr>
    </w:p>
    <w:p w14:paraId="68F50546" w14:textId="77777777" w:rsidR="005C690F" w:rsidRPr="004304E6" w:rsidRDefault="007D6307" w:rsidP="005747CD">
      <w:pPr>
        <w:spacing w:after="0" w:line="360" w:lineRule="auto"/>
        <w:rPr>
          <w:color w:val="auto"/>
        </w:rPr>
      </w:pPr>
      <w:r w:rsidRPr="004304E6">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4304E6" w:rsidRDefault="005C690F" w:rsidP="005747CD">
      <w:pPr>
        <w:spacing w:after="0" w:line="360" w:lineRule="auto"/>
        <w:rPr>
          <w:color w:val="auto"/>
        </w:rPr>
      </w:pPr>
    </w:p>
    <w:p w14:paraId="69458899" w14:textId="77777777" w:rsidR="005C690F" w:rsidRPr="004304E6" w:rsidRDefault="007D6307" w:rsidP="005747CD">
      <w:pPr>
        <w:spacing w:after="0" w:line="360" w:lineRule="auto"/>
        <w:rPr>
          <w:color w:val="auto"/>
        </w:rPr>
      </w:pPr>
      <w:r w:rsidRPr="004304E6">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304E6" w:rsidRDefault="005C690F" w:rsidP="005747CD">
      <w:pPr>
        <w:spacing w:after="0" w:line="360" w:lineRule="auto"/>
        <w:rPr>
          <w:color w:val="auto"/>
        </w:rPr>
      </w:pPr>
    </w:p>
    <w:p w14:paraId="3D8EBDEC" w14:textId="77777777" w:rsidR="005C690F" w:rsidRPr="004304E6" w:rsidRDefault="007D6307" w:rsidP="005747CD">
      <w:pPr>
        <w:spacing w:after="0" w:line="360" w:lineRule="auto"/>
        <w:rPr>
          <w:color w:val="auto"/>
        </w:rPr>
      </w:pPr>
      <w:r w:rsidRPr="004304E6">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4304E6" w:rsidRDefault="005C690F" w:rsidP="005747CD">
      <w:pPr>
        <w:spacing w:after="0" w:line="360" w:lineRule="auto"/>
        <w:rPr>
          <w:color w:val="auto"/>
        </w:rPr>
      </w:pPr>
    </w:p>
    <w:p w14:paraId="5BD9CB2E" w14:textId="77777777" w:rsidR="005C690F" w:rsidRPr="004304E6" w:rsidRDefault="007D6307" w:rsidP="005747CD">
      <w:pPr>
        <w:spacing w:after="0" w:line="360" w:lineRule="auto"/>
        <w:rPr>
          <w:color w:val="auto"/>
        </w:rPr>
      </w:pPr>
      <w:r w:rsidRPr="004304E6">
        <w:rPr>
          <w:color w:val="auto"/>
        </w:rPr>
        <w:t>El artículo 12, que, quienes generen, recopilen, administren, manejen, procesen, archiven o conserven información pública serán responsables de la misma.</w:t>
      </w:r>
    </w:p>
    <w:p w14:paraId="6BD1FFBB" w14:textId="77777777" w:rsidR="007C02D1" w:rsidRPr="004304E6" w:rsidRDefault="007C02D1" w:rsidP="005747CD">
      <w:pPr>
        <w:spacing w:after="0" w:line="360" w:lineRule="auto"/>
        <w:rPr>
          <w:color w:val="auto"/>
        </w:rPr>
      </w:pPr>
    </w:p>
    <w:p w14:paraId="3D899A16" w14:textId="77777777" w:rsidR="005C690F" w:rsidRPr="004304E6" w:rsidRDefault="007D6307" w:rsidP="005747CD">
      <w:pPr>
        <w:widowControl w:val="0"/>
        <w:spacing w:after="0" w:line="360" w:lineRule="auto"/>
        <w:rPr>
          <w:color w:val="auto"/>
        </w:rPr>
      </w:pPr>
      <w:r w:rsidRPr="004304E6">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4304E6" w:rsidRDefault="00B153FA" w:rsidP="005747CD">
      <w:pPr>
        <w:widowControl w:val="0"/>
        <w:spacing w:after="0" w:line="360" w:lineRule="auto"/>
        <w:rPr>
          <w:color w:val="auto"/>
        </w:rPr>
      </w:pPr>
    </w:p>
    <w:p w14:paraId="70E5B643" w14:textId="378E2A57" w:rsidR="00B04A35" w:rsidRPr="004304E6" w:rsidRDefault="007D6307" w:rsidP="005747CD">
      <w:pPr>
        <w:spacing w:after="0" w:line="360" w:lineRule="auto"/>
        <w:rPr>
          <w:color w:val="auto"/>
        </w:rPr>
      </w:pPr>
      <w:r w:rsidRPr="004304E6">
        <w:rPr>
          <w:color w:val="auto"/>
        </w:rPr>
        <w:t xml:space="preserve">El artículo 19, que, se presume que la información debe existir si se refiere a las facultades, competencias y funciones que los ordenamientos jurídicos aplicables otorgan a los sujetos </w:t>
      </w:r>
      <w:r w:rsidRPr="004304E6">
        <w:rPr>
          <w:color w:val="auto"/>
        </w:rPr>
        <w:lastRenderedPageBreak/>
        <w:t>obligados y en caso de que dichas facultades no se hayan ejercido, se deberá motivar la respuesta en función de las causas que motivaron tal circunstancia.</w:t>
      </w:r>
    </w:p>
    <w:p w14:paraId="30795D2E" w14:textId="77777777" w:rsidR="005C690F" w:rsidRPr="004304E6" w:rsidRDefault="005C690F" w:rsidP="005747CD">
      <w:pPr>
        <w:spacing w:after="0" w:line="360" w:lineRule="auto"/>
        <w:rPr>
          <w:color w:val="auto"/>
        </w:rPr>
      </w:pPr>
    </w:p>
    <w:p w14:paraId="3AF871E5" w14:textId="6FEB966D" w:rsidR="005C690F" w:rsidRPr="004304E6" w:rsidRDefault="00CD6238" w:rsidP="005747CD">
      <w:pPr>
        <w:pStyle w:val="Ttulo2"/>
        <w:spacing w:before="0" w:after="0" w:line="360" w:lineRule="auto"/>
        <w:rPr>
          <w:color w:val="auto"/>
          <w:sz w:val="22"/>
          <w:szCs w:val="22"/>
        </w:rPr>
      </w:pPr>
      <w:bookmarkStart w:id="12" w:name="_Toc206089567"/>
      <w:r w:rsidRPr="004304E6">
        <w:rPr>
          <w:color w:val="auto"/>
          <w:sz w:val="22"/>
          <w:szCs w:val="22"/>
        </w:rPr>
        <w:t>Q</w:t>
      </w:r>
      <w:r w:rsidR="0044017B" w:rsidRPr="004304E6">
        <w:rPr>
          <w:color w:val="auto"/>
          <w:sz w:val="22"/>
          <w:szCs w:val="22"/>
        </w:rPr>
        <w:t>UINTO</w:t>
      </w:r>
      <w:r w:rsidRPr="004304E6">
        <w:rPr>
          <w:color w:val="auto"/>
          <w:sz w:val="22"/>
          <w:szCs w:val="22"/>
        </w:rPr>
        <w:t>. Estudio de Fondo</w:t>
      </w:r>
      <w:bookmarkEnd w:id="12"/>
    </w:p>
    <w:p w14:paraId="2596B212" w14:textId="77777777" w:rsidR="00A56228" w:rsidRPr="00B11E96" w:rsidRDefault="00A56228" w:rsidP="005747CD">
      <w:pPr>
        <w:spacing w:after="0" w:line="360" w:lineRule="auto"/>
        <w:rPr>
          <w:b/>
          <w:color w:val="FF0000"/>
        </w:rPr>
      </w:pPr>
    </w:p>
    <w:p w14:paraId="5F490A49" w14:textId="71CC9B98" w:rsidR="007F4407" w:rsidRPr="004304E6" w:rsidRDefault="0064067B" w:rsidP="005747CD">
      <w:pPr>
        <w:spacing w:after="0" w:line="360" w:lineRule="auto"/>
        <w:rPr>
          <w:rFonts w:eastAsia="Times New Roman" w:cs="Tahoma"/>
          <w:bCs/>
          <w:iCs/>
          <w:color w:val="auto"/>
          <w:lang w:eastAsia="es-ES"/>
        </w:rPr>
      </w:pPr>
      <w:r w:rsidRPr="004304E6">
        <w:rPr>
          <w:color w:val="auto"/>
        </w:rPr>
        <w:t>Expuestas las posturas de las partes, se procede al análisis de los agravios hechos valer por la persona Recurrente</w:t>
      </w:r>
      <w:r w:rsidR="00731FB9" w:rsidRPr="004304E6">
        <w:rPr>
          <w:color w:val="auto"/>
        </w:rPr>
        <w:t xml:space="preserve">, </w:t>
      </w:r>
      <w:r w:rsidR="007F4407" w:rsidRPr="004304E6">
        <w:rPr>
          <w:rFonts w:eastAsia="Times New Roman" w:cs="Tahoma"/>
          <w:bCs/>
          <w:iCs/>
          <w:color w:val="auto"/>
          <w:lang w:eastAsia="es-ES"/>
        </w:rPr>
        <w:t>por lo que, en principio es necesario contextualizar la solicitud de información.</w:t>
      </w:r>
    </w:p>
    <w:p w14:paraId="17127237" w14:textId="77777777" w:rsidR="00200E63" w:rsidRPr="00B11E96" w:rsidRDefault="00200E63" w:rsidP="005747CD">
      <w:pPr>
        <w:spacing w:after="0" w:line="360" w:lineRule="auto"/>
        <w:rPr>
          <w:rFonts w:eastAsia="Times New Roman" w:cs="Tahoma"/>
          <w:bCs/>
          <w:iCs/>
          <w:color w:val="FF0000"/>
          <w:lang w:eastAsia="es-ES"/>
        </w:rPr>
      </w:pPr>
    </w:p>
    <w:p w14:paraId="11597478" w14:textId="0C485CC1" w:rsidR="004304E6" w:rsidRPr="004304E6" w:rsidRDefault="00200E63" w:rsidP="005747CD">
      <w:pPr>
        <w:spacing w:after="0" w:line="360" w:lineRule="auto"/>
        <w:rPr>
          <w:rFonts w:eastAsia="Calibri" w:cs="Times New Roman"/>
          <w:bCs/>
          <w:color w:val="auto"/>
        </w:rPr>
      </w:pPr>
      <w:r w:rsidRPr="004304E6">
        <w:rPr>
          <w:rFonts w:eastAsia="Calibri" w:cs="Times New Roman"/>
          <w:bCs/>
          <w:color w:val="auto"/>
        </w:rPr>
        <w:t>Al respecto,</w:t>
      </w:r>
      <w:r w:rsidR="004304E6">
        <w:t xml:space="preserve">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3C3F867C" w14:textId="77777777" w:rsidR="004304E6" w:rsidRDefault="004304E6" w:rsidP="005747CD">
      <w:pPr>
        <w:spacing w:after="0" w:line="360" w:lineRule="auto"/>
        <w:rPr>
          <w:rFonts w:eastAsia="Calibri" w:cs="Times New Roman"/>
          <w:bCs/>
          <w:color w:val="FF0000"/>
        </w:rPr>
      </w:pPr>
    </w:p>
    <w:p w14:paraId="6C1708F4" w14:textId="5B843505" w:rsidR="004304E6" w:rsidRPr="004304E6" w:rsidRDefault="004304E6" w:rsidP="005747CD">
      <w:pPr>
        <w:spacing w:after="0" w:line="360" w:lineRule="auto"/>
        <w:rPr>
          <w:rFonts w:eastAsia="Calibri" w:cs="Times New Roman"/>
          <w:b/>
          <w:bCs/>
          <w:color w:val="FF0000"/>
          <w:u w:val="single"/>
        </w:rPr>
      </w:pPr>
      <w:r>
        <w:t xml:space="preserve">En ese orden de ideas, el artículo 70, fracción III, de la Ley General de Transparencia y Acceso a la Información Pública, con relación al 92, fracción III, de la Ley de Transparencia y Acceso a la Información Pública del Estado de México y Municipios, precisa que es una obligación común de transparencia que deben publicar todos los Sujetos Obligados, son </w:t>
      </w:r>
      <w:r w:rsidRPr="004304E6">
        <w:rPr>
          <w:b/>
          <w:u w:val="single"/>
        </w:rPr>
        <w:t>las facultades de cada área.</w:t>
      </w:r>
    </w:p>
    <w:p w14:paraId="4ABF6489" w14:textId="77777777" w:rsidR="004304E6" w:rsidRDefault="004304E6" w:rsidP="005747CD">
      <w:pPr>
        <w:spacing w:after="0" w:line="360" w:lineRule="auto"/>
        <w:rPr>
          <w:rFonts w:eastAsia="Calibri" w:cs="Times New Roman"/>
          <w:bCs/>
          <w:color w:val="FF0000"/>
        </w:rPr>
      </w:pPr>
    </w:p>
    <w:p w14:paraId="2B80CB31" w14:textId="0F641D25" w:rsidR="004304E6" w:rsidRPr="00DC5612" w:rsidRDefault="004304E6" w:rsidP="005747CD">
      <w:pPr>
        <w:spacing w:after="0" w:line="360" w:lineRule="auto"/>
        <w:rPr>
          <w:b/>
          <w:color w:val="auto"/>
        </w:rPr>
      </w:pPr>
      <w:r w:rsidRPr="00DC5612">
        <w:rPr>
          <w:rFonts w:eastAsia="Calibri" w:cs="Times New Roman"/>
          <w:bCs/>
          <w:color w:val="auto"/>
        </w:rPr>
        <w:t>En esa misma consecución de ideas, el Manual de Organización de la Dirección de Administración del Ayuntamiento de Coyotepec</w:t>
      </w:r>
      <w:r w:rsidR="00DC5612" w:rsidRPr="00DC5612">
        <w:rPr>
          <w:rFonts w:eastAsia="Calibri" w:cs="Times New Roman"/>
          <w:bCs/>
          <w:color w:val="auto"/>
        </w:rPr>
        <w:t>,</w:t>
      </w:r>
      <w:r w:rsidR="00DC5612">
        <w:rPr>
          <w:rFonts w:eastAsia="Calibri" w:cs="Times New Roman"/>
          <w:bCs/>
          <w:color w:val="auto"/>
        </w:rPr>
        <w:t xml:space="preserve"> </w:t>
      </w:r>
      <w:r w:rsidR="00DC5612" w:rsidRPr="00DC5612">
        <w:rPr>
          <w:rFonts w:eastAsia="Calibri" w:cs="Times New Roman"/>
          <w:bCs/>
          <w:color w:val="auto"/>
        </w:rPr>
        <w:t xml:space="preserve">establece que la Dirección de Administración dentro de sus funciones se encarga entre otras cosas de </w:t>
      </w:r>
      <w:r w:rsidR="00DC5612" w:rsidRPr="00DC5612">
        <w:rPr>
          <w:color w:val="auto"/>
        </w:rPr>
        <w:t xml:space="preserve">seleccionar y </w:t>
      </w:r>
      <w:r w:rsidR="00DC5612" w:rsidRPr="00DC5612">
        <w:rPr>
          <w:color w:val="auto"/>
        </w:rPr>
        <w:lastRenderedPageBreak/>
        <w:t xml:space="preserve">contratar personal, en base a los perfiles y necesidades que las diversas dependencias de la Administración Pública Municipal requieran, para cumplir de </w:t>
      </w:r>
      <w:r w:rsidR="00DC5612" w:rsidRPr="00DC5612">
        <w:rPr>
          <w:b/>
          <w:color w:val="auto"/>
        </w:rPr>
        <w:t>manera eficaz y eficiente con sus funciones.</w:t>
      </w:r>
    </w:p>
    <w:p w14:paraId="233E1E79" w14:textId="77777777" w:rsidR="00DC5612" w:rsidRDefault="00DC5612" w:rsidP="005747CD">
      <w:pPr>
        <w:spacing w:after="0" w:line="360" w:lineRule="auto"/>
        <w:rPr>
          <w:rFonts w:eastAsia="Calibri" w:cs="Times New Roman"/>
          <w:b/>
          <w:bCs/>
          <w:color w:val="FF0000"/>
        </w:rPr>
      </w:pPr>
    </w:p>
    <w:p w14:paraId="26350E1B" w14:textId="0D9826EF" w:rsidR="00DC5612" w:rsidRPr="00DC5612" w:rsidRDefault="00DC5612" w:rsidP="005747CD">
      <w:pPr>
        <w:spacing w:after="0" w:line="360" w:lineRule="auto"/>
        <w:rPr>
          <w:color w:val="auto"/>
        </w:rPr>
      </w:pPr>
      <w:r w:rsidRPr="00DC5612">
        <w:rPr>
          <w:rFonts w:eastAsia="Calibri" w:cs="Times New Roman"/>
          <w:bCs/>
          <w:color w:val="auto"/>
        </w:rPr>
        <w:t xml:space="preserve">En ese sentido, el Manual en comento señala que la Jefatura de Recursos Humanos tiene como objetivo </w:t>
      </w:r>
      <w:r w:rsidRPr="00DC5612">
        <w:rPr>
          <w:color w:val="auto"/>
        </w:rPr>
        <w:t xml:space="preserve">coordinar y Supervisar los sistemas idóneos de administración y desarrollo de personal, con el propósito de orientar y proponer que se apliquen correctamente las políticas, procedimientos y disposiciones jurídico-laborales, para el aprovechamiento óptimo, eficiente y racional </w:t>
      </w:r>
      <w:r w:rsidRPr="00DC5612">
        <w:rPr>
          <w:color w:val="auto"/>
          <w:u w:val="single"/>
        </w:rPr>
        <w:t>de los recursos humanos</w:t>
      </w:r>
      <w:r w:rsidRPr="00DC5612">
        <w:rPr>
          <w:color w:val="auto"/>
        </w:rPr>
        <w:t>; así como, mejorar y actualizar permanentemente los sistemas de administración y desarrollo del personal esto en coordinación con el director (a) de Administración.</w:t>
      </w:r>
    </w:p>
    <w:p w14:paraId="211A5154" w14:textId="77777777" w:rsidR="00DC5612" w:rsidRDefault="00DC5612" w:rsidP="005747CD">
      <w:pPr>
        <w:spacing w:after="0" w:line="360" w:lineRule="auto"/>
      </w:pPr>
    </w:p>
    <w:p w14:paraId="09AEC754" w14:textId="42FA1344" w:rsidR="00DC5612" w:rsidRDefault="00DC5612" w:rsidP="005747CD">
      <w:pPr>
        <w:spacing w:after="0" w:line="360" w:lineRule="auto"/>
        <w:rPr>
          <w:u w:val="single"/>
        </w:rPr>
      </w:pPr>
      <w:r>
        <w:t>La cual, dentro de sus funciones se encarga entre otras cosas de llevar el registro de todos los servidores públicos que laboran en la administración municipal, clasificados por áreas, categorías, sueldos, horarios y</w:t>
      </w:r>
      <w:r w:rsidRPr="00DC5612">
        <w:rPr>
          <w:u w:val="single"/>
        </w:rPr>
        <w:t xml:space="preserve"> responsabilidades</w:t>
      </w:r>
      <w:r>
        <w:rPr>
          <w:u w:val="single"/>
        </w:rPr>
        <w:t xml:space="preserve">, </w:t>
      </w:r>
      <w:r w:rsidR="00E23003" w:rsidRPr="00E23003">
        <w:t xml:space="preserve">así como, </w:t>
      </w:r>
      <w:r w:rsidR="00A47481" w:rsidRPr="00A47481">
        <w:rPr>
          <w:u w:val="single"/>
        </w:rPr>
        <w:t>p</w:t>
      </w:r>
      <w:r w:rsidR="00E23003" w:rsidRPr="00A47481">
        <w:rPr>
          <w:u w:val="single"/>
        </w:rPr>
        <w:t>roporcionar a la administración pública municipal, los recursos humanos adecuados para el mejor desempeño de sus funciones.</w:t>
      </w:r>
    </w:p>
    <w:p w14:paraId="47813A1F" w14:textId="77777777" w:rsidR="00440F8D" w:rsidRPr="00A47481" w:rsidRDefault="00440F8D" w:rsidP="005747CD">
      <w:pPr>
        <w:spacing w:after="0" w:line="360" w:lineRule="auto"/>
        <w:rPr>
          <w:rFonts w:eastAsia="Calibri" w:cs="Times New Roman"/>
          <w:bCs/>
          <w:color w:val="FF0000"/>
          <w:u w:val="single"/>
        </w:rPr>
      </w:pPr>
    </w:p>
    <w:p w14:paraId="06FFCE1A" w14:textId="60BF54F5" w:rsidR="004304E6" w:rsidRPr="000205E5" w:rsidRDefault="00A47481" w:rsidP="005747CD">
      <w:pPr>
        <w:spacing w:after="0" w:line="360" w:lineRule="auto"/>
        <w:rPr>
          <w:color w:val="auto"/>
        </w:rPr>
      </w:pPr>
      <w:r w:rsidRPr="000205E5">
        <w:rPr>
          <w:rFonts w:eastAsia="Calibri" w:cs="Times New Roman"/>
          <w:bCs/>
          <w:color w:val="auto"/>
        </w:rPr>
        <w:t>Por otra parte, el artículo 22 del Bando Municipal de Coyotepec</w:t>
      </w:r>
      <w:r w:rsidR="00440F8D">
        <w:rPr>
          <w:rFonts w:eastAsia="Calibri" w:cs="Times New Roman"/>
          <w:bCs/>
          <w:color w:val="auto"/>
        </w:rPr>
        <w:t xml:space="preserve">, </w:t>
      </w:r>
      <w:r w:rsidRPr="000205E5">
        <w:rPr>
          <w:rFonts w:eastAsia="Calibri" w:cs="Times New Roman"/>
          <w:bCs/>
          <w:color w:val="auto"/>
        </w:rPr>
        <w:t xml:space="preserve">establece que </w:t>
      </w:r>
      <w:r w:rsidR="000205E5" w:rsidRPr="000205E5">
        <w:rPr>
          <w:rFonts w:eastAsia="Calibri" w:cs="Times New Roman"/>
          <w:bCs/>
          <w:color w:val="auto"/>
        </w:rPr>
        <w:t xml:space="preserve">las </w:t>
      </w:r>
      <w:r w:rsidR="000205E5" w:rsidRPr="000205E5">
        <w:rPr>
          <w:color w:val="auto"/>
        </w:rPr>
        <w:t>unidades que integran el Gobierno Municipal Centralizado y los Organismos Descentralizados y Autónomos realizaran sus actividades de manera programada, alineadas con las políticas y objetivos establecidos en el Plan de Desarrollo Municipal.</w:t>
      </w:r>
    </w:p>
    <w:p w14:paraId="338AEEC6" w14:textId="77777777" w:rsidR="000205E5" w:rsidRDefault="000205E5" w:rsidP="005747CD">
      <w:pPr>
        <w:spacing w:after="0" w:line="360" w:lineRule="auto"/>
      </w:pPr>
    </w:p>
    <w:p w14:paraId="73F6F64C" w14:textId="241191DE" w:rsidR="000205E5" w:rsidRPr="000205E5" w:rsidRDefault="000205E5" w:rsidP="005747CD">
      <w:pPr>
        <w:spacing w:after="0" w:line="360" w:lineRule="auto"/>
        <w:rPr>
          <w:rFonts w:eastAsia="Calibri" w:cs="Times New Roman"/>
          <w:b/>
          <w:bCs/>
          <w:color w:val="FF0000"/>
          <w:u w:val="single"/>
        </w:rPr>
      </w:pPr>
      <w:r>
        <w:t xml:space="preserve">Cuya estructura orgánica, </w:t>
      </w:r>
      <w:r w:rsidRPr="000205E5">
        <w:rPr>
          <w:b/>
          <w:u w:val="single"/>
        </w:rPr>
        <w:t>facultades, atribuciones y funciones de estas, se regularán por los Acuerdos de Cabildo conducentes, el Reglamento Orgánico, el Manual General de Organización y las demás disposiciones legales aplicables.</w:t>
      </w:r>
    </w:p>
    <w:p w14:paraId="64B38FF2" w14:textId="0561C14C" w:rsidR="00EF6C09" w:rsidRPr="009A136D" w:rsidRDefault="000205E5" w:rsidP="009A136D">
      <w:pPr>
        <w:spacing w:after="0" w:line="360" w:lineRule="auto"/>
        <w:rPr>
          <w:color w:val="auto"/>
        </w:rPr>
      </w:pPr>
      <w:r w:rsidRPr="009151B6">
        <w:rPr>
          <w:rFonts w:eastAsia="Calibri" w:cs="Times New Roman"/>
          <w:bCs/>
          <w:color w:val="auto"/>
        </w:rPr>
        <w:lastRenderedPageBreak/>
        <w:t xml:space="preserve">En esa misma consecución de ideas, </w:t>
      </w:r>
      <w:r w:rsidR="009151B6" w:rsidRPr="009151B6">
        <w:rPr>
          <w:rFonts w:eastAsia="Calibri" w:cs="Times New Roman"/>
          <w:bCs/>
          <w:color w:val="auto"/>
        </w:rPr>
        <w:t xml:space="preserve">el artículo 91 de la Ley Orgánica Municipal del Estado de México señala que la Secretaría del Ayuntamiento dentro de sus atribuciones, se encarga </w:t>
      </w:r>
      <w:r w:rsidR="009151B6">
        <w:rPr>
          <w:rFonts w:eastAsia="Calibri" w:cs="Times New Roman"/>
          <w:bCs/>
          <w:color w:val="auto"/>
        </w:rPr>
        <w:t xml:space="preserve">entre otras cosas </w:t>
      </w:r>
      <w:r w:rsidR="009151B6" w:rsidRPr="009151B6">
        <w:rPr>
          <w:rFonts w:eastAsia="Calibri" w:cs="Times New Roman"/>
          <w:bCs/>
          <w:color w:val="auto"/>
        </w:rPr>
        <w:t xml:space="preserve">de </w:t>
      </w:r>
      <w:r w:rsidR="009151B6" w:rsidRPr="009151B6">
        <w:rPr>
          <w:color w:val="auto"/>
        </w:rPr>
        <w:t>publicar los reglamentos, circulares y demás disposiciones municipales de observancia general.</w:t>
      </w:r>
    </w:p>
    <w:p w14:paraId="4B4339B1" w14:textId="20CD386F" w:rsidR="00DF1AA9" w:rsidRPr="00B11E96" w:rsidRDefault="00DF1AA9" w:rsidP="005747CD">
      <w:pPr>
        <w:spacing w:after="0" w:line="360" w:lineRule="auto"/>
        <w:ind w:right="-28"/>
        <w:contextualSpacing/>
        <w:rPr>
          <w:color w:val="FF0000"/>
        </w:rPr>
      </w:pPr>
    </w:p>
    <w:p w14:paraId="2455D85D" w14:textId="1B992225" w:rsidR="009A136D" w:rsidRPr="00DE7C7A" w:rsidRDefault="00B6454E" w:rsidP="00DE7C7A">
      <w:pPr>
        <w:spacing w:after="0" w:line="360" w:lineRule="auto"/>
        <w:rPr>
          <w:rFonts w:eastAsia="Calibri" w:cs="Times New Roman"/>
          <w:bCs/>
          <w:color w:val="auto"/>
        </w:rPr>
      </w:pPr>
      <w:r w:rsidRPr="00DE7C7A">
        <w:rPr>
          <w:rFonts w:eastAsia="Calibri" w:cs="Times New Roman"/>
          <w:bCs/>
          <w:color w:val="auto"/>
        </w:rPr>
        <w:t>Así, se logra vislumbrar que la pretensión de la</w:t>
      </w:r>
      <w:r w:rsidR="00913279" w:rsidRPr="00DE7C7A">
        <w:rPr>
          <w:rFonts w:eastAsia="Calibri" w:cs="Times New Roman"/>
          <w:bCs/>
          <w:color w:val="auto"/>
        </w:rPr>
        <w:t xml:space="preserve"> persona Recurrente, es obtener,</w:t>
      </w:r>
      <w:r w:rsidR="009A136D" w:rsidRPr="00DE7C7A">
        <w:rPr>
          <w:rFonts w:eastAsia="Calibri" w:cs="Times New Roman"/>
          <w:bCs/>
          <w:color w:val="auto"/>
        </w:rPr>
        <w:t xml:space="preserve"> los documentos donde constan las funciones de cada uno de los servidores públicos adscritos a la Tesorería Municipal</w:t>
      </w:r>
      <w:r w:rsidR="00440F8D">
        <w:rPr>
          <w:rFonts w:eastAsia="Calibri" w:cs="Times New Roman"/>
          <w:bCs/>
          <w:color w:val="auto"/>
        </w:rPr>
        <w:t>, lo cual se traduce al Manual de Organización y Procedimientos referido en respuesta.</w:t>
      </w:r>
    </w:p>
    <w:p w14:paraId="54122E6B" w14:textId="77777777" w:rsidR="00913279" w:rsidRPr="00B11E96" w:rsidRDefault="00913279" w:rsidP="005747CD">
      <w:pPr>
        <w:spacing w:after="0" w:line="360" w:lineRule="auto"/>
        <w:rPr>
          <w:color w:val="FF0000"/>
        </w:rPr>
      </w:pPr>
    </w:p>
    <w:p w14:paraId="7718678F" w14:textId="7D6F8580" w:rsidR="00134465" w:rsidRPr="00A61618" w:rsidRDefault="00913279" w:rsidP="005747CD">
      <w:pPr>
        <w:spacing w:after="0" w:line="360" w:lineRule="auto"/>
        <w:rPr>
          <w:color w:val="auto"/>
        </w:rPr>
      </w:pPr>
      <w:r w:rsidRPr="00A61618">
        <w:rPr>
          <w:color w:val="auto"/>
          <w:lang w:eastAsia="es-ES_tradnl"/>
        </w:rPr>
        <w:t>E</w:t>
      </w:r>
      <w:r w:rsidR="006430B1" w:rsidRPr="00A61618">
        <w:rPr>
          <w:color w:val="auto"/>
          <w:lang w:eastAsia="es-ES_tradnl"/>
        </w:rPr>
        <w:t>stablecida dicha circunstancia</w:t>
      </w:r>
      <w:r w:rsidR="00134465" w:rsidRPr="00A61618">
        <w:rPr>
          <w:color w:val="auto"/>
        </w:rPr>
        <w:t>, de las constancias que obran en el expediente electrónico, se advierte que el Sujeto Obligado</w:t>
      </w:r>
      <w:r w:rsidR="00492333" w:rsidRPr="00A61618">
        <w:rPr>
          <w:color w:val="auto"/>
        </w:rPr>
        <w:t xml:space="preserve"> </w:t>
      </w:r>
      <w:r w:rsidR="005417AE" w:rsidRPr="00A61618">
        <w:rPr>
          <w:color w:val="auto"/>
        </w:rPr>
        <w:t xml:space="preserve">turno la solicitud de información a </w:t>
      </w:r>
      <w:r w:rsidR="00A61618" w:rsidRPr="00A61618">
        <w:rPr>
          <w:color w:val="auto"/>
        </w:rPr>
        <w:t>la Titular de Recursos Humanos</w:t>
      </w:r>
      <w:r w:rsidR="00134465" w:rsidRPr="00A61618">
        <w:rPr>
          <w:color w:val="auto"/>
        </w:rPr>
        <w:t xml:space="preserve">; por lo que, es oportuno hacer referencia al </w:t>
      </w:r>
      <w:r w:rsidR="00134465" w:rsidRPr="00A61618">
        <w:rPr>
          <w:b/>
          <w:color w:val="auto"/>
        </w:rPr>
        <w:t>procedimiento de búsqueda que deben de seguir los Sujetos Obligados para localizar la información</w:t>
      </w:r>
      <w:r w:rsidR="00134465" w:rsidRPr="00A61618">
        <w:rPr>
          <w:color w:val="auto"/>
        </w:rPr>
        <w:t xml:space="preserve">, el cual se encuentra previsto </w:t>
      </w:r>
      <w:r w:rsidR="00632F61" w:rsidRPr="00A61618">
        <w:rPr>
          <w:color w:val="auto"/>
        </w:rPr>
        <w:t>en el artículo</w:t>
      </w:r>
      <w:r w:rsidR="00134465" w:rsidRPr="00A61618">
        <w:rPr>
          <w:color w:val="auto"/>
        </w:rPr>
        <w:t xml:space="preserve"> 162 de la Ley de Transparencia y Acceso a la Información Pública del Estado de México y Municipios, </w:t>
      </w:r>
      <w:r w:rsidR="00632F61" w:rsidRPr="00A61618">
        <w:rPr>
          <w:color w:val="auto"/>
        </w:rPr>
        <w:t>el cual establece que las</w:t>
      </w:r>
      <w:r w:rsidR="00134465" w:rsidRPr="00A61618">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A61618">
        <w:rPr>
          <w:color w:val="auto"/>
        </w:rPr>
        <w:t>.</w:t>
      </w:r>
    </w:p>
    <w:p w14:paraId="215A6375" w14:textId="77777777" w:rsidR="004A10B0" w:rsidRPr="00B11E96" w:rsidRDefault="004A10B0" w:rsidP="005747CD">
      <w:pPr>
        <w:spacing w:after="0" w:line="360" w:lineRule="auto"/>
        <w:rPr>
          <w:color w:val="FF0000"/>
        </w:rPr>
      </w:pPr>
    </w:p>
    <w:p w14:paraId="3A617391" w14:textId="0B6CCE4B" w:rsidR="00A61618" w:rsidRDefault="00134465" w:rsidP="005747CD">
      <w:pPr>
        <w:spacing w:after="0" w:line="360" w:lineRule="auto"/>
        <w:rPr>
          <w:color w:val="auto"/>
        </w:rPr>
      </w:pPr>
      <w:r w:rsidRPr="00A61618">
        <w:rPr>
          <w:color w:val="auto"/>
        </w:rPr>
        <w:t>Así</w:t>
      </w:r>
      <w:r w:rsidR="005417AE" w:rsidRPr="00A61618">
        <w:rPr>
          <w:color w:val="auto"/>
        </w:rPr>
        <w:t>, y de lo plasmado en párrafos anteriores,</w:t>
      </w:r>
      <w:r w:rsidRPr="00A61618">
        <w:rPr>
          <w:color w:val="auto"/>
        </w:rPr>
        <w:t xml:space="preserve"> se logra colegir que</w:t>
      </w:r>
      <w:r w:rsidR="00C95611" w:rsidRPr="00A61618">
        <w:rPr>
          <w:color w:val="auto"/>
        </w:rPr>
        <w:t>,</w:t>
      </w:r>
      <w:r w:rsidRPr="00A61618">
        <w:rPr>
          <w:color w:val="auto"/>
        </w:rPr>
        <w:t xml:space="preserve"> el Sujeto Obligado cumplió con el procedimiento de búsqueda establecido en el artículo 162 de la Ley de Transparencia y Acceso a la Información Pública del Estado de Méx</w:t>
      </w:r>
      <w:r w:rsidR="005417AE" w:rsidRPr="00A61618">
        <w:rPr>
          <w:color w:val="auto"/>
        </w:rPr>
        <w:t>ico y Municipios, toda vez, que</w:t>
      </w:r>
      <w:r w:rsidR="008473B9" w:rsidRPr="00A61618">
        <w:rPr>
          <w:color w:val="auto"/>
        </w:rPr>
        <w:t xml:space="preserve"> </w:t>
      </w:r>
      <w:r w:rsidRPr="00A61618">
        <w:rPr>
          <w:color w:val="auto"/>
        </w:rPr>
        <w:t>gestionó el requerimiento de información al áre</w:t>
      </w:r>
      <w:r w:rsidR="00C95611" w:rsidRPr="00A61618">
        <w:rPr>
          <w:color w:val="auto"/>
        </w:rPr>
        <w:t xml:space="preserve">a competente para conocer </w:t>
      </w:r>
      <w:r w:rsidR="00A61618">
        <w:rPr>
          <w:color w:val="auto"/>
        </w:rPr>
        <w:t>de las funciones y facultades con las que cuentan los servidores públicos del Ayuntamiento de Coyotepec.</w:t>
      </w:r>
    </w:p>
    <w:p w14:paraId="348BC7C7" w14:textId="7F676525" w:rsidR="003B65A7" w:rsidRDefault="00E0447A" w:rsidP="00440F8D">
      <w:pPr>
        <w:spacing w:after="0" w:line="360" w:lineRule="auto"/>
        <w:contextualSpacing/>
        <w:rPr>
          <w:color w:val="auto"/>
        </w:rPr>
      </w:pPr>
      <w:r w:rsidRPr="00141735">
        <w:rPr>
          <w:color w:val="auto"/>
        </w:rPr>
        <w:lastRenderedPageBreak/>
        <w:t xml:space="preserve">Ahora bien, </w:t>
      </w:r>
      <w:r w:rsidR="00141735" w:rsidRPr="00141735">
        <w:rPr>
          <w:color w:val="auto"/>
        </w:rPr>
        <w:t>en respuesta el Sujeto Obligado</w:t>
      </w:r>
      <w:r w:rsidR="00440F8D">
        <w:rPr>
          <w:color w:val="auto"/>
        </w:rPr>
        <w:t>,</w:t>
      </w:r>
      <w:r w:rsidR="00141735" w:rsidRPr="00141735">
        <w:rPr>
          <w:color w:val="auto"/>
        </w:rPr>
        <w:t xml:space="preserve"> a través de la Titular de Recursos Humanos </w:t>
      </w:r>
      <w:r w:rsidR="00440F8D">
        <w:rPr>
          <w:color w:val="auto"/>
        </w:rPr>
        <w:t xml:space="preserve">mencionó que las funciones y facultades de cada uno de los servidores adscritos a la Tesorería Municipal, se localizaban en su Manual </w:t>
      </w:r>
      <w:r w:rsidR="00440F8D" w:rsidRPr="00141735">
        <w:rPr>
          <w:color w:val="auto"/>
        </w:rPr>
        <w:t>de Procedimientos de Organización</w:t>
      </w:r>
      <w:r w:rsidR="00440F8D">
        <w:rPr>
          <w:color w:val="auto"/>
        </w:rPr>
        <w:t>, por lo que, proporcionó dos ligas para su consulta:</w:t>
      </w:r>
    </w:p>
    <w:p w14:paraId="31E664FF" w14:textId="77777777" w:rsidR="00440F8D" w:rsidRPr="00B11E96" w:rsidRDefault="00440F8D" w:rsidP="00440F8D">
      <w:pPr>
        <w:spacing w:after="0" w:line="360" w:lineRule="auto"/>
        <w:contextualSpacing/>
        <w:rPr>
          <w:rFonts w:cs="Tahoma"/>
          <w:color w:val="FF0000"/>
        </w:rPr>
      </w:pPr>
    </w:p>
    <w:p w14:paraId="717BDABB" w14:textId="527AA3A8" w:rsidR="003B65A7" w:rsidRPr="00B11E96" w:rsidRDefault="00141735" w:rsidP="00141735">
      <w:pPr>
        <w:spacing w:after="0" w:line="360" w:lineRule="auto"/>
        <w:jc w:val="center"/>
        <w:rPr>
          <w:color w:val="FF0000"/>
        </w:rPr>
      </w:pPr>
      <w:r w:rsidRPr="00141735">
        <w:rPr>
          <w:noProof/>
          <w:color w:val="FF0000"/>
        </w:rPr>
        <w:drawing>
          <wp:inline distT="0" distB="0" distL="0" distR="0" wp14:anchorId="45E539C0" wp14:editId="6A9FD1DB">
            <wp:extent cx="5505450" cy="109891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4179" cy="1112632"/>
                    </a:xfrm>
                    <a:prstGeom prst="rect">
                      <a:avLst/>
                    </a:prstGeom>
                  </pic:spPr>
                </pic:pic>
              </a:graphicData>
            </a:graphic>
          </wp:inline>
        </w:drawing>
      </w:r>
    </w:p>
    <w:p w14:paraId="5102B7A4" w14:textId="77777777" w:rsidR="003B65A7" w:rsidRPr="00B11E96" w:rsidRDefault="003B65A7" w:rsidP="003B65A7">
      <w:pPr>
        <w:widowControl w:val="0"/>
        <w:autoSpaceDE w:val="0"/>
        <w:autoSpaceDN w:val="0"/>
        <w:adjustRightInd w:val="0"/>
        <w:spacing w:after="0" w:line="360" w:lineRule="auto"/>
        <w:contextualSpacing/>
        <w:rPr>
          <w:rFonts w:cs="Tahoma"/>
          <w:color w:val="FF0000"/>
        </w:rPr>
      </w:pPr>
    </w:p>
    <w:p w14:paraId="4DB9C249" w14:textId="3CA029D6" w:rsidR="003B65A7" w:rsidRPr="00141735" w:rsidRDefault="003B65A7" w:rsidP="003B65A7">
      <w:pPr>
        <w:widowControl w:val="0"/>
        <w:autoSpaceDE w:val="0"/>
        <w:autoSpaceDN w:val="0"/>
        <w:adjustRightInd w:val="0"/>
        <w:spacing w:after="0" w:line="360" w:lineRule="auto"/>
        <w:contextualSpacing/>
        <w:rPr>
          <w:rFonts w:cs="Tahoma"/>
          <w:color w:val="auto"/>
        </w:rPr>
      </w:pPr>
      <w:r w:rsidRPr="00141735">
        <w:rPr>
          <w:rFonts w:cs="Tahoma"/>
          <w:color w:val="auto"/>
        </w:rPr>
        <w:t>En ese sentido, si bi</w:t>
      </w:r>
      <w:r w:rsidR="00141735" w:rsidRPr="00141735">
        <w:rPr>
          <w:rFonts w:cs="Tahoma"/>
          <w:color w:val="auto"/>
        </w:rPr>
        <w:t>en adjuntó una</w:t>
      </w:r>
      <w:r w:rsidR="00DD21A6">
        <w:rPr>
          <w:rFonts w:cs="Tahoma"/>
          <w:color w:val="auto"/>
        </w:rPr>
        <w:t>s</w:t>
      </w:r>
      <w:r w:rsidR="00141735" w:rsidRPr="00141735">
        <w:rPr>
          <w:rFonts w:cs="Tahoma"/>
          <w:color w:val="auto"/>
        </w:rPr>
        <w:t xml:space="preserve"> liga</w:t>
      </w:r>
      <w:r w:rsidR="00DD21A6">
        <w:rPr>
          <w:rFonts w:cs="Tahoma"/>
          <w:color w:val="auto"/>
        </w:rPr>
        <w:t>s</w:t>
      </w:r>
      <w:r w:rsidR="00141735" w:rsidRPr="00141735">
        <w:rPr>
          <w:rFonts w:cs="Tahoma"/>
          <w:color w:val="auto"/>
        </w:rPr>
        <w:t xml:space="preserve"> electrónica</w:t>
      </w:r>
      <w:r w:rsidR="00DD21A6">
        <w:rPr>
          <w:rFonts w:cs="Tahoma"/>
          <w:color w:val="auto"/>
        </w:rPr>
        <w:t>s</w:t>
      </w:r>
      <w:r w:rsidRPr="00141735">
        <w:rPr>
          <w:rFonts w:eastAsia="Times New Roman" w:cs="Times New Roman"/>
          <w:color w:val="auto"/>
        </w:rPr>
        <w:t>, se logra vislumbrar que en encuentra</w:t>
      </w:r>
      <w:r w:rsidR="00DD21A6">
        <w:rPr>
          <w:rFonts w:eastAsia="Times New Roman" w:cs="Times New Roman"/>
          <w:color w:val="auto"/>
        </w:rPr>
        <w:t>n</w:t>
      </w:r>
      <w:r w:rsidRPr="00141735">
        <w:rPr>
          <w:rFonts w:eastAsia="Times New Roman" w:cs="Times New Roman"/>
          <w:color w:val="auto"/>
        </w:rPr>
        <w:t xml:space="preserve">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A5F507F" w14:textId="77777777" w:rsidR="003B65A7" w:rsidRPr="00141735" w:rsidRDefault="003B65A7" w:rsidP="003B65A7">
      <w:pPr>
        <w:widowControl w:val="0"/>
        <w:autoSpaceDE w:val="0"/>
        <w:autoSpaceDN w:val="0"/>
        <w:adjustRightInd w:val="0"/>
        <w:spacing w:after="0" w:line="360" w:lineRule="auto"/>
        <w:contextualSpacing/>
        <w:rPr>
          <w:rFonts w:eastAsia="Times New Roman" w:cs="Times New Roman"/>
          <w:color w:val="auto"/>
        </w:rPr>
      </w:pPr>
      <w:r w:rsidRPr="00141735">
        <w:rPr>
          <w:rFonts w:eastAsia="Times New Roman" w:cs="Times New Roman"/>
          <w:color w:val="auto"/>
        </w:rPr>
        <w:t> </w:t>
      </w:r>
    </w:p>
    <w:p w14:paraId="659FFA24" w14:textId="77777777" w:rsidR="003B65A7" w:rsidRPr="00141735" w:rsidRDefault="003B65A7" w:rsidP="003B65A7">
      <w:pPr>
        <w:widowControl w:val="0"/>
        <w:autoSpaceDE w:val="0"/>
        <w:autoSpaceDN w:val="0"/>
        <w:adjustRightInd w:val="0"/>
        <w:spacing w:after="0" w:line="360" w:lineRule="auto"/>
        <w:contextualSpacing/>
        <w:rPr>
          <w:color w:val="auto"/>
        </w:rPr>
      </w:pPr>
      <w:r w:rsidRPr="00141735">
        <w:rPr>
          <w:color w:val="auto"/>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54C2765" w14:textId="77777777" w:rsidR="003B65A7" w:rsidRPr="00141735" w:rsidRDefault="003B65A7" w:rsidP="003B65A7">
      <w:pPr>
        <w:widowControl w:val="0"/>
        <w:autoSpaceDE w:val="0"/>
        <w:autoSpaceDN w:val="0"/>
        <w:adjustRightInd w:val="0"/>
        <w:spacing w:after="0" w:line="360" w:lineRule="auto"/>
        <w:contextualSpacing/>
        <w:rPr>
          <w:color w:val="auto"/>
        </w:rPr>
      </w:pPr>
      <w:r w:rsidRPr="00141735">
        <w:rPr>
          <w:color w:val="auto"/>
        </w:rPr>
        <w:t> </w:t>
      </w:r>
    </w:p>
    <w:p w14:paraId="15903240" w14:textId="77777777" w:rsidR="003B65A7" w:rsidRDefault="003B65A7" w:rsidP="003B65A7">
      <w:pPr>
        <w:widowControl w:val="0"/>
        <w:autoSpaceDE w:val="0"/>
        <w:autoSpaceDN w:val="0"/>
        <w:adjustRightInd w:val="0"/>
        <w:spacing w:after="0" w:line="360" w:lineRule="auto"/>
        <w:contextualSpacing/>
        <w:rPr>
          <w:color w:val="auto"/>
        </w:rPr>
      </w:pPr>
      <w:r w:rsidRPr="00141735">
        <w:rPr>
          <w:color w:val="auto"/>
        </w:rPr>
        <w:t xml:space="preserve">En ese contexto, el artículo 3°, fracción VI y X, de la Ley General de Transparencia y Acceso a la Información Pública, con relación, al diverso 3°, fracciones VIII y XVI de la Ley de </w:t>
      </w:r>
      <w:r w:rsidRPr="00141735">
        <w:rPr>
          <w:color w:val="auto"/>
        </w:rPr>
        <w:lastRenderedPageBreak/>
        <w:t>Transparencia y Acceso a la Información Pública del Estado de México y Municipios, precisan lo siguiente:</w:t>
      </w:r>
    </w:p>
    <w:p w14:paraId="637DCF28" w14:textId="77777777" w:rsidR="00141735" w:rsidRPr="00141735" w:rsidRDefault="00141735" w:rsidP="003B65A7">
      <w:pPr>
        <w:widowControl w:val="0"/>
        <w:autoSpaceDE w:val="0"/>
        <w:autoSpaceDN w:val="0"/>
        <w:adjustRightInd w:val="0"/>
        <w:spacing w:after="0" w:line="360" w:lineRule="auto"/>
        <w:contextualSpacing/>
        <w:rPr>
          <w:color w:val="auto"/>
        </w:rPr>
      </w:pPr>
    </w:p>
    <w:p w14:paraId="71002504" w14:textId="2B5B93A3" w:rsidR="003B65A7" w:rsidRPr="00141735" w:rsidRDefault="003B65A7" w:rsidP="00141735">
      <w:pPr>
        <w:pStyle w:val="Prrafodelista"/>
        <w:widowControl w:val="0"/>
        <w:numPr>
          <w:ilvl w:val="0"/>
          <w:numId w:val="24"/>
        </w:numPr>
        <w:autoSpaceDE w:val="0"/>
        <w:autoSpaceDN w:val="0"/>
        <w:adjustRightInd w:val="0"/>
        <w:spacing w:line="360" w:lineRule="auto"/>
        <w:rPr>
          <w:color w:val="auto"/>
        </w:rPr>
      </w:pPr>
      <w:r w:rsidRPr="00141735">
        <w:rPr>
          <w:b/>
          <w:bCs/>
          <w:color w:val="auto"/>
        </w:rPr>
        <w:t>Dato abierto:</w:t>
      </w:r>
      <w:r w:rsidRPr="00141735">
        <w:rPr>
          <w:color w:val="auto"/>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D990E41" w14:textId="260A6555" w:rsidR="003B65A7" w:rsidRPr="00141735" w:rsidRDefault="003B65A7" w:rsidP="00141735">
      <w:pPr>
        <w:widowControl w:val="0"/>
        <w:autoSpaceDE w:val="0"/>
        <w:autoSpaceDN w:val="0"/>
        <w:adjustRightInd w:val="0"/>
        <w:spacing w:after="0" w:line="360" w:lineRule="auto"/>
        <w:ind w:firstLine="60"/>
        <w:contextualSpacing/>
        <w:rPr>
          <w:color w:val="auto"/>
        </w:rPr>
      </w:pPr>
    </w:p>
    <w:p w14:paraId="63C49A92" w14:textId="77777777" w:rsidR="003B65A7" w:rsidRPr="00141735" w:rsidRDefault="003B65A7" w:rsidP="00141735">
      <w:pPr>
        <w:pStyle w:val="Prrafodelista"/>
        <w:widowControl w:val="0"/>
        <w:numPr>
          <w:ilvl w:val="0"/>
          <w:numId w:val="24"/>
        </w:numPr>
        <w:autoSpaceDE w:val="0"/>
        <w:autoSpaceDN w:val="0"/>
        <w:adjustRightInd w:val="0"/>
        <w:spacing w:line="360" w:lineRule="auto"/>
        <w:rPr>
          <w:rFonts w:eastAsia="Palatino Linotype"/>
          <w:color w:val="auto"/>
        </w:rPr>
      </w:pPr>
      <w:r w:rsidRPr="00141735">
        <w:rPr>
          <w:rFonts w:eastAsia="Palatino Linotype"/>
          <w:b/>
          <w:bCs/>
          <w:color w:val="auto"/>
        </w:rPr>
        <w:t>Formato accesible:</w:t>
      </w:r>
      <w:r w:rsidRPr="00141735">
        <w:rPr>
          <w:rFonts w:eastAsia="Palatino Linotype"/>
          <w:color w:val="auto"/>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86AAD68" w14:textId="77777777" w:rsidR="003B65A7" w:rsidRPr="00B11E96" w:rsidRDefault="003B65A7" w:rsidP="003B65A7">
      <w:pPr>
        <w:widowControl w:val="0"/>
        <w:autoSpaceDE w:val="0"/>
        <w:autoSpaceDN w:val="0"/>
        <w:adjustRightInd w:val="0"/>
        <w:spacing w:after="0" w:line="360" w:lineRule="auto"/>
        <w:contextualSpacing/>
        <w:rPr>
          <w:color w:val="FF0000"/>
        </w:rPr>
      </w:pPr>
      <w:r w:rsidRPr="00B11E96">
        <w:rPr>
          <w:color w:val="FF0000"/>
        </w:rPr>
        <w:t> </w:t>
      </w:r>
    </w:p>
    <w:p w14:paraId="7F8B2480" w14:textId="77777777" w:rsidR="003B65A7" w:rsidRPr="00141735" w:rsidRDefault="003B65A7" w:rsidP="003B65A7">
      <w:pPr>
        <w:widowControl w:val="0"/>
        <w:autoSpaceDE w:val="0"/>
        <w:autoSpaceDN w:val="0"/>
        <w:adjustRightInd w:val="0"/>
        <w:spacing w:after="0" w:line="360" w:lineRule="auto"/>
        <w:contextualSpacing/>
        <w:rPr>
          <w:color w:val="auto"/>
        </w:rPr>
      </w:pPr>
      <w:r w:rsidRPr="00141735">
        <w:rPr>
          <w:color w:val="auto"/>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18044BC5" w14:textId="77777777" w:rsidR="003B65A7" w:rsidRPr="00141735" w:rsidRDefault="003B65A7" w:rsidP="003B65A7">
      <w:pPr>
        <w:widowControl w:val="0"/>
        <w:autoSpaceDE w:val="0"/>
        <w:autoSpaceDN w:val="0"/>
        <w:adjustRightInd w:val="0"/>
        <w:spacing w:after="0" w:line="360" w:lineRule="auto"/>
        <w:contextualSpacing/>
        <w:rPr>
          <w:color w:val="auto"/>
        </w:rPr>
      </w:pPr>
      <w:r w:rsidRPr="00141735">
        <w:rPr>
          <w:color w:val="auto"/>
        </w:rPr>
        <w:t> </w:t>
      </w:r>
    </w:p>
    <w:p w14:paraId="77DB9569" w14:textId="77777777" w:rsidR="003B65A7" w:rsidRPr="00141735" w:rsidRDefault="003B65A7" w:rsidP="003B65A7">
      <w:pPr>
        <w:widowControl w:val="0"/>
        <w:autoSpaceDE w:val="0"/>
        <w:autoSpaceDN w:val="0"/>
        <w:adjustRightInd w:val="0"/>
        <w:spacing w:after="0" w:line="360" w:lineRule="auto"/>
        <w:contextualSpacing/>
        <w:rPr>
          <w:color w:val="auto"/>
        </w:rPr>
      </w:pPr>
      <w:r w:rsidRPr="00141735">
        <w:rPr>
          <w:color w:val="auto"/>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DFFDCF9" w14:textId="77777777" w:rsidR="003B65A7" w:rsidRPr="00B11E96" w:rsidRDefault="003B65A7" w:rsidP="003B65A7">
      <w:pPr>
        <w:widowControl w:val="0"/>
        <w:autoSpaceDE w:val="0"/>
        <w:autoSpaceDN w:val="0"/>
        <w:adjustRightInd w:val="0"/>
        <w:spacing w:after="0" w:line="360" w:lineRule="auto"/>
        <w:contextualSpacing/>
        <w:rPr>
          <w:color w:val="FF0000"/>
        </w:rPr>
      </w:pPr>
    </w:p>
    <w:p w14:paraId="1BCD11CE" w14:textId="77777777" w:rsidR="003B65A7" w:rsidRDefault="003B65A7" w:rsidP="003B65A7">
      <w:pPr>
        <w:widowControl w:val="0"/>
        <w:autoSpaceDE w:val="0"/>
        <w:autoSpaceDN w:val="0"/>
        <w:adjustRightInd w:val="0"/>
        <w:spacing w:after="0" w:line="360" w:lineRule="auto"/>
        <w:contextualSpacing/>
        <w:rPr>
          <w:color w:val="auto"/>
        </w:rPr>
      </w:pPr>
      <w:r w:rsidRPr="00141735">
        <w:rPr>
          <w:color w:val="auto"/>
        </w:rPr>
        <w:lastRenderedPageBreak/>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además de que, se encuentra poco visible. Sin menoscabar lo anterior, este Instituto revisó la liga electrónica remitida, la cual da acceso a lo siguiente:</w:t>
      </w:r>
    </w:p>
    <w:p w14:paraId="157B28DF" w14:textId="77777777" w:rsidR="00440F8D" w:rsidRPr="00141735" w:rsidRDefault="00440F8D" w:rsidP="003B65A7">
      <w:pPr>
        <w:widowControl w:val="0"/>
        <w:autoSpaceDE w:val="0"/>
        <w:autoSpaceDN w:val="0"/>
        <w:adjustRightInd w:val="0"/>
        <w:spacing w:after="0" w:line="360" w:lineRule="auto"/>
        <w:contextualSpacing/>
        <w:rPr>
          <w:color w:val="auto"/>
        </w:rPr>
      </w:pPr>
    </w:p>
    <w:p w14:paraId="5984591B" w14:textId="2384BD85" w:rsidR="003B65A7" w:rsidRPr="00B11E96" w:rsidRDefault="001622E7" w:rsidP="001622E7">
      <w:pPr>
        <w:widowControl w:val="0"/>
        <w:autoSpaceDE w:val="0"/>
        <w:autoSpaceDN w:val="0"/>
        <w:adjustRightInd w:val="0"/>
        <w:spacing w:after="0" w:line="360" w:lineRule="auto"/>
        <w:contextualSpacing/>
        <w:jc w:val="left"/>
        <w:rPr>
          <w:color w:val="FF0000"/>
        </w:rPr>
      </w:pPr>
      <w:r>
        <w:rPr>
          <w:noProof/>
          <w:color w:val="FF0000"/>
        </w:rPr>
        <w:drawing>
          <wp:inline distT="0" distB="0" distL="0" distR="0" wp14:anchorId="00C4F65F" wp14:editId="1F2E9F22">
            <wp:extent cx="3011032" cy="2076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5995" cy="2079872"/>
                    </a:xfrm>
                    <a:prstGeom prst="rect">
                      <a:avLst/>
                    </a:prstGeom>
                    <a:noFill/>
                  </pic:spPr>
                </pic:pic>
              </a:graphicData>
            </a:graphic>
          </wp:inline>
        </w:drawing>
      </w:r>
      <w:r w:rsidRPr="001622E7">
        <w:rPr>
          <w:noProof/>
        </w:rPr>
        <w:t xml:space="preserve"> </w:t>
      </w:r>
      <w:r>
        <w:rPr>
          <w:rFonts w:cs="Tahoma"/>
          <w:noProof/>
          <w:color w:val="FF0000"/>
        </w:rPr>
        <w:drawing>
          <wp:inline distT="0" distB="0" distL="0" distR="0" wp14:anchorId="366752E3" wp14:editId="4D1A50F0">
            <wp:extent cx="2590800" cy="20186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991" cy="2058551"/>
                    </a:xfrm>
                    <a:prstGeom prst="rect">
                      <a:avLst/>
                    </a:prstGeom>
                    <a:noFill/>
                  </pic:spPr>
                </pic:pic>
              </a:graphicData>
            </a:graphic>
          </wp:inline>
        </w:drawing>
      </w:r>
    </w:p>
    <w:p w14:paraId="455B3EEB" w14:textId="6988B034" w:rsidR="003B65A7" w:rsidRPr="00B11E96" w:rsidRDefault="003B65A7" w:rsidP="003B65A7">
      <w:pPr>
        <w:spacing w:after="0" w:line="360" w:lineRule="auto"/>
        <w:rPr>
          <w:rFonts w:cs="Tahoma"/>
          <w:color w:val="FF0000"/>
        </w:rPr>
      </w:pPr>
    </w:p>
    <w:p w14:paraId="58899C9B" w14:textId="0361B31B" w:rsidR="003B65A7" w:rsidRPr="001622E7" w:rsidRDefault="003B65A7" w:rsidP="003B65A7">
      <w:pPr>
        <w:tabs>
          <w:tab w:val="center" w:pos="4522"/>
        </w:tabs>
        <w:spacing w:after="0" w:line="360" w:lineRule="auto"/>
        <w:contextualSpacing/>
        <w:rPr>
          <w:rFonts w:eastAsia="Calibri" w:cs="Times New Roman"/>
          <w:color w:val="auto"/>
        </w:rPr>
      </w:pPr>
      <w:r w:rsidRPr="001622E7">
        <w:rPr>
          <w:rFonts w:eastAsia="Calibri" w:cs="Tahoma"/>
          <w:bCs/>
          <w:color w:val="auto"/>
        </w:rPr>
        <w:t>Como se logra observar, el Sujeto Obligado si bien señaló una</w:t>
      </w:r>
      <w:r w:rsidR="001622E7" w:rsidRPr="001622E7">
        <w:rPr>
          <w:rFonts w:eastAsia="Calibri" w:cs="Tahoma"/>
          <w:bCs/>
          <w:color w:val="auto"/>
        </w:rPr>
        <w:t>s</w:t>
      </w:r>
      <w:r w:rsidRPr="001622E7">
        <w:rPr>
          <w:rFonts w:eastAsia="Calibri" w:cs="Tahoma"/>
          <w:bCs/>
          <w:color w:val="auto"/>
        </w:rPr>
        <w:t xml:space="preserve"> página</w:t>
      </w:r>
      <w:r w:rsidR="001622E7" w:rsidRPr="001622E7">
        <w:rPr>
          <w:rFonts w:eastAsia="Calibri" w:cs="Tahoma"/>
          <w:bCs/>
          <w:color w:val="auto"/>
        </w:rPr>
        <w:t>s</w:t>
      </w:r>
      <w:r w:rsidRPr="001622E7">
        <w:rPr>
          <w:rFonts w:eastAsia="Calibri" w:cs="Tahoma"/>
          <w:bCs/>
          <w:color w:val="auto"/>
        </w:rPr>
        <w:t xml:space="preserve"> electrónica</w:t>
      </w:r>
      <w:r w:rsidR="001622E7" w:rsidRPr="001622E7">
        <w:rPr>
          <w:rFonts w:eastAsia="Calibri" w:cs="Tahoma"/>
          <w:bCs/>
          <w:color w:val="auto"/>
        </w:rPr>
        <w:t>s</w:t>
      </w:r>
      <w:r w:rsidRPr="001622E7">
        <w:rPr>
          <w:rFonts w:eastAsia="Calibri" w:cs="Tahoma"/>
          <w:bCs/>
          <w:color w:val="auto"/>
        </w:rPr>
        <w:t>, omitió precisar el procedimiento para acceder a los datos solicitados, es decir, no refirió la forma y el lugar específico para poder obtener lo solicitado, por lo tanto, incumplió con lo establecido en el artículo 161 de la Ley de Transparencia y Acceso a la Información Pública del Estado de México y Municipios</w:t>
      </w:r>
      <w:r w:rsidRPr="001622E7">
        <w:rPr>
          <w:rFonts w:eastAsia="Calibri" w:cs="Times New Roman"/>
          <w:color w:val="auto"/>
        </w:rPr>
        <w:t>.</w:t>
      </w:r>
    </w:p>
    <w:p w14:paraId="31C73F11" w14:textId="77777777" w:rsidR="003B65A7" w:rsidRPr="00B11E96" w:rsidRDefault="003B65A7" w:rsidP="005747CD">
      <w:pPr>
        <w:spacing w:after="0" w:line="360" w:lineRule="auto"/>
        <w:contextualSpacing/>
        <w:rPr>
          <w:color w:val="FF0000"/>
        </w:rPr>
      </w:pPr>
    </w:p>
    <w:p w14:paraId="16A8175E" w14:textId="34BEEA27" w:rsidR="005525E5" w:rsidRPr="001622E7" w:rsidRDefault="001622E7" w:rsidP="005747CD">
      <w:pPr>
        <w:tabs>
          <w:tab w:val="left" w:pos="4962"/>
        </w:tabs>
        <w:spacing w:after="0" w:line="360" w:lineRule="auto"/>
        <w:contextualSpacing/>
        <w:rPr>
          <w:color w:val="auto"/>
        </w:rPr>
      </w:pPr>
      <w:r w:rsidRPr="001622E7">
        <w:rPr>
          <w:color w:val="auto"/>
        </w:rPr>
        <w:t xml:space="preserve">Por lo que, para atender el requerimiento informativo el Sujeto Obligado deberá proporcionar el Manual de Procedimientos y el Manual de Organización de la Tesorería, </w:t>
      </w:r>
      <w:r w:rsidR="00440F8D">
        <w:rPr>
          <w:color w:val="auto"/>
        </w:rPr>
        <w:t>pues en dichos documentos se localizan las funciones de los servidores públicos adscritos al área</w:t>
      </w:r>
      <w:r w:rsidRPr="001622E7">
        <w:rPr>
          <w:color w:val="auto"/>
        </w:rPr>
        <w:t xml:space="preserve">; </w:t>
      </w:r>
      <w:r w:rsidR="005525E5" w:rsidRPr="001622E7">
        <w:rPr>
          <w:rFonts w:eastAsia="Calibri" w:cs="Tahoma"/>
          <w:bCs/>
          <w:color w:val="auto"/>
          <w:lang w:eastAsia="en-US"/>
        </w:rPr>
        <w:t>dicha</w:t>
      </w:r>
      <w:r w:rsidR="005525E5" w:rsidRPr="001622E7">
        <w:rPr>
          <w:rFonts w:eastAsia="Times New Roman" w:cs="Tahoma"/>
          <w:bCs/>
          <w:iCs/>
          <w:color w:val="auto"/>
          <w:szCs w:val="24"/>
          <w:lang w:eastAsia="es-ES"/>
        </w:rPr>
        <w:t xml:space="preserve"> determinación toma relevancia, pues </w:t>
      </w:r>
      <w:r w:rsidR="005525E5" w:rsidRPr="001622E7">
        <w:rPr>
          <w:rFonts w:eastAsia="Times New Roman" w:cs="Tahoma"/>
          <w:color w:val="auto"/>
          <w:lang w:eastAsia="es-ES"/>
        </w:rPr>
        <w:t xml:space="preserve">conforme al artículo 12 de la Ley de Transparencia y Acceso a la Información Pública del Estado de México y Municipios, los </w:t>
      </w:r>
      <w:r w:rsidR="005525E5" w:rsidRPr="001622E7">
        <w:rPr>
          <w:rFonts w:eastAsia="Times New Roman" w:cs="Tahoma"/>
          <w:color w:val="auto"/>
          <w:lang w:eastAsia="es-ES"/>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BD6C3CA" w14:textId="77777777" w:rsidR="003B65A7" w:rsidRPr="001622E7" w:rsidRDefault="003B65A7" w:rsidP="005747CD">
      <w:pPr>
        <w:tabs>
          <w:tab w:val="left" w:pos="4962"/>
        </w:tabs>
        <w:spacing w:after="0" w:line="360" w:lineRule="auto"/>
        <w:contextualSpacing/>
        <w:rPr>
          <w:color w:val="auto"/>
        </w:rPr>
      </w:pPr>
    </w:p>
    <w:p w14:paraId="7965EE66" w14:textId="77777777" w:rsidR="005525E5" w:rsidRPr="001622E7" w:rsidRDefault="005525E5" w:rsidP="005747CD">
      <w:pPr>
        <w:spacing w:after="0" w:line="360" w:lineRule="auto"/>
        <w:rPr>
          <w:rFonts w:eastAsia="Times New Roman" w:cs="Tahoma"/>
          <w:color w:val="auto"/>
          <w:lang w:eastAsia="es-ES"/>
        </w:rPr>
      </w:pPr>
      <w:r w:rsidRPr="001622E7">
        <w:rPr>
          <w:rFonts w:eastAsia="Times New Roman" w:cs="Tahoma"/>
          <w:color w:val="auto"/>
          <w:lang w:eastAsia="es-ES"/>
        </w:rPr>
        <w:t xml:space="preserve">De esta manera, </w:t>
      </w:r>
      <w:r w:rsidRPr="001622E7">
        <w:rPr>
          <w:rFonts w:eastAsia="Times New Roman" w:cs="Tahoma"/>
          <w:color w:val="auto"/>
          <w:szCs w:val="24"/>
          <w:lang w:eastAsia="es-ES"/>
        </w:rPr>
        <w:t xml:space="preserve">el derecho de acceso a la información pública se satisface en aquellos casos en que se entregue el soporte documental en el que conste la información solicitada, sin necesidad de elaborar documentos </w:t>
      </w:r>
      <w:r w:rsidRPr="001622E7">
        <w:rPr>
          <w:rFonts w:eastAsia="Times New Roman" w:cs="Tahoma"/>
          <w:i/>
          <w:color w:val="auto"/>
          <w:lang w:eastAsia="es-ES"/>
        </w:rPr>
        <w:t>ad hoc</w:t>
      </w:r>
      <w:r w:rsidRPr="001622E7">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677BD3C" w14:textId="77777777" w:rsidR="005525E5" w:rsidRPr="001622E7" w:rsidRDefault="005525E5" w:rsidP="005747CD">
      <w:pPr>
        <w:spacing w:after="0" w:line="360" w:lineRule="auto"/>
        <w:rPr>
          <w:rFonts w:eastAsia="Times New Roman" w:cs="Tahoma"/>
          <w:color w:val="auto"/>
          <w:lang w:eastAsia="es-ES"/>
        </w:rPr>
      </w:pPr>
    </w:p>
    <w:p w14:paraId="0D196BF2" w14:textId="124995A5" w:rsidR="000C6036" w:rsidRPr="00B11E96" w:rsidRDefault="005525E5" w:rsidP="005747CD">
      <w:pPr>
        <w:spacing w:after="0" w:line="360" w:lineRule="auto"/>
        <w:rPr>
          <w:color w:val="FF0000"/>
        </w:rPr>
      </w:pPr>
      <w:r w:rsidRPr="001622E7">
        <w:rPr>
          <w:rFonts w:eastAsia="Times New Roman" w:cs="Tahoma"/>
          <w:color w:val="auto"/>
          <w:szCs w:val="24"/>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1622E7" w:rsidRPr="001622E7">
        <w:rPr>
          <w:rFonts w:eastAsia="Times New Roman" w:cs="Tahoma"/>
          <w:color w:val="auto"/>
          <w:szCs w:val="24"/>
          <w:lang w:eastAsia="es-ES"/>
        </w:rPr>
        <w:t xml:space="preserve"> por lo que, en el presente caso el Sujeto Obligado deberá proporcionar los documentos que den cuenta de lo solicitado</w:t>
      </w:r>
      <w:r w:rsidR="00440F8D">
        <w:rPr>
          <w:rFonts w:eastAsia="Times New Roman" w:cs="Tahoma"/>
          <w:color w:val="auto"/>
          <w:szCs w:val="24"/>
          <w:lang w:eastAsia="es-ES"/>
        </w:rPr>
        <w:t>; aunado a que se revisaron dichos Manuales y se advierte que no contienen información clasificable, por lo que, deberá entregarlos en versión íntegra.</w:t>
      </w:r>
    </w:p>
    <w:p w14:paraId="10699C20" w14:textId="77777777" w:rsidR="00D1318A" w:rsidRPr="00B11E96" w:rsidRDefault="00D1318A" w:rsidP="005747CD">
      <w:pPr>
        <w:spacing w:after="0" w:line="360" w:lineRule="auto"/>
        <w:ind w:right="-28"/>
        <w:rPr>
          <w:color w:val="FF0000"/>
        </w:rPr>
      </w:pPr>
    </w:p>
    <w:p w14:paraId="0CCF70E8" w14:textId="77777777" w:rsidR="00D1318A" w:rsidRPr="001622E7" w:rsidRDefault="00D1318A" w:rsidP="005747CD">
      <w:pPr>
        <w:pStyle w:val="Ttulo2"/>
        <w:spacing w:before="0" w:after="0" w:line="360" w:lineRule="auto"/>
        <w:rPr>
          <w:color w:val="auto"/>
          <w:sz w:val="22"/>
          <w:szCs w:val="22"/>
        </w:rPr>
      </w:pPr>
      <w:bookmarkStart w:id="13" w:name="_Toc206089568"/>
      <w:r w:rsidRPr="001622E7">
        <w:rPr>
          <w:color w:val="auto"/>
          <w:sz w:val="22"/>
          <w:szCs w:val="22"/>
        </w:rPr>
        <w:t>SEXTO. Decisión</w:t>
      </w:r>
      <w:bookmarkEnd w:id="13"/>
    </w:p>
    <w:p w14:paraId="0D2B29DC" w14:textId="77777777" w:rsidR="00D1318A" w:rsidRPr="001622E7" w:rsidRDefault="00D1318A" w:rsidP="005747CD">
      <w:pPr>
        <w:spacing w:after="0" w:line="360" w:lineRule="auto"/>
        <w:contextualSpacing/>
        <w:rPr>
          <w:rFonts w:eastAsia="Calibri" w:cs="Tahoma"/>
          <w:b/>
          <w:color w:val="auto"/>
        </w:rPr>
      </w:pPr>
    </w:p>
    <w:p w14:paraId="4BF18B87" w14:textId="59E3E55C" w:rsidR="00D1318A" w:rsidRPr="001622E7" w:rsidRDefault="00D1318A" w:rsidP="005747CD">
      <w:pPr>
        <w:spacing w:after="0" w:line="360" w:lineRule="auto"/>
        <w:rPr>
          <w:color w:val="auto"/>
        </w:rPr>
      </w:pPr>
      <w:r w:rsidRPr="001622E7">
        <w:rPr>
          <w:color w:val="auto"/>
        </w:rPr>
        <w:t xml:space="preserve">De acuerdo con lo expuesto y, con fundamento en el artículo 186, fracción III, de la Ley de Transparencia y Acceso a la Información Pública del Estado de México y Municipios, este Instituto considera procedente </w:t>
      </w:r>
      <w:r w:rsidR="006206A1" w:rsidRPr="001622E7">
        <w:rPr>
          <w:b/>
          <w:color w:val="auto"/>
        </w:rPr>
        <w:t>MODIFI</w:t>
      </w:r>
      <w:r w:rsidRPr="001622E7">
        <w:rPr>
          <w:b/>
          <w:color w:val="auto"/>
        </w:rPr>
        <w:t xml:space="preserve">CAR </w:t>
      </w:r>
      <w:r w:rsidRPr="001622E7">
        <w:rPr>
          <w:color w:val="auto"/>
        </w:rPr>
        <w:t>la resp</w:t>
      </w:r>
      <w:r w:rsidR="00655068" w:rsidRPr="001622E7">
        <w:rPr>
          <w:color w:val="auto"/>
        </w:rPr>
        <w:t>uesta del</w:t>
      </w:r>
      <w:r w:rsidR="001622E7" w:rsidRPr="001622E7">
        <w:rPr>
          <w:color w:val="auto"/>
        </w:rPr>
        <w:t xml:space="preserve"> Ayuntamiento de Coyotepec</w:t>
      </w:r>
      <w:r w:rsidRPr="001622E7">
        <w:rPr>
          <w:b/>
          <w:color w:val="auto"/>
        </w:rPr>
        <w:t xml:space="preserve">, </w:t>
      </w:r>
      <w:r w:rsidRPr="001622E7">
        <w:rPr>
          <w:color w:val="auto"/>
        </w:rPr>
        <w:t>a efecto de que previa búsqueda exhaustiva y razonable entregue, en versión pública, la información solicitada.</w:t>
      </w:r>
    </w:p>
    <w:p w14:paraId="0C829323" w14:textId="77777777" w:rsidR="00D1318A" w:rsidRPr="001622E7" w:rsidRDefault="00D1318A" w:rsidP="005747CD">
      <w:pPr>
        <w:spacing w:after="0" w:line="360" w:lineRule="auto"/>
        <w:contextualSpacing/>
        <w:rPr>
          <w:rFonts w:eastAsia="Calibri" w:cs="Tahoma"/>
          <w:b/>
          <w:bCs/>
          <w:color w:val="auto"/>
        </w:rPr>
      </w:pPr>
      <w:r w:rsidRPr="001622E7">
        <w:rPr>
          <w:rFonts w:eastAsia="Calibri" w:cs="Tahoma"/>
          <w:b/>
          <w:bCs/>
          <w:color w:val="auto"/>
        </w:rPr>
        <w:lastRenderedPageBreak/>
        <w:t>Términos de la Resolución para conocimiento del Particular</w:t>
      </w:r>
    </w:p>
    <w:p w14:paraId="08535812" w14:textId="77777777" w:rsidR="00D1318A" w:rsidRPr="00B11E96" w:rsidRDefault="00D1318A" w:rsidP="005747CD">
      <w:pPr>
        <w:spacing w:after="0" w:line="360" w:lineRule="auto"/>
        <w:contextualSpacing/>
        <w:rPr>
          <w:rFonts w:eastAsia="Calibri" w:cs="Tahoma"/>
          <w:b/>
          <w:bCs/>
          <w:color w:val="FF0000"/>
        </w:rPr>
      </w:pPr>
    </w:p>
    <w:p w14:paraId="3B668E85" w14:textId="7E10D7B6" w:rsidR="00D1318A" w:rsidRPr="001622E7" w:rsidRDefault="00D1318A" w:rsidP="005747CD">
      <w:pPr>
        <w:spacing w:after="0" w:line="360" w:lineRule="auto"/>
        <w:rPr>
          <w:color w:val="auto"/>
        </w:rPr>
      </w:pPr>
      <w:r w:rsidRPr="001622E7">
        <w:rPr>
          <w:color w:val="auto"/>
        </w:rPr>
        <w:t>Se le hace del conocimiento a la persona Recurrente que, en el presente asunto, se le da la razón, pues el Sujeto Obligado, omitió entregar la infor</w:t>
      </w:r>
      <w:r w:rsidR="00655068" w:rsidRPr="001622E7">
        <w:rPr>
          <w:color w:val="auto"/>
        </w:rPr>
        <w:t xml:space="preserve">mación, además, </w:t>
      </w:r>
      <w:r w:rsidR="00EC24D9" w:rsidRPr="001622E7">
        <w:rPr>
          <w:color w:val="auto"/>
        </w:rPr>
        <w:t>la liga electrónica entregada se encuentra en formato cerrado</w:t>
      </w:r>
      <w:r w:rsidRPr="001622E7">
        <w:rPr>
          <w:color w:val="auto"/>
        </w:rPr>
        <w:t>, por lo que, deberá hacer la entre</w:t>
      </w:r>
      <w:r w:rsidR="00655068" w:rsidRPr="001622E7">
        <w:rPr>
          <w:color w:val="auto"/>
        </w:rPr>
        <w:t>ga de la información solicitada.</w:t>
      </w:r>
      <w:r w:rsidR="00525C00">
        <w:rPr>
          <w:color w:val="auto"/>
        </w:rPr>
        <w:t xml:space="preserve"> </w:t>
      </w:r>
      <w:r w:rsidRPr="001622E7">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B11E96" w:rsidRDefault="00D1318A" w:rsidP="005747CD">
      <w:pPr>
        <w:spacing w:after="0" w:line="360" w:lineRule="auto"/>
        <w:rPr>
          <w:color w:val="FF0000"/>
        </w:rPr>
      </w:pPr>
    </w:p>
    <w:p w14:paraId="1C805ED0" w14:textId="1B05BF1B" w:rsidR="00D1318A" w:rsidRDefault="00D1318A" w:rsidP="005747CD">
      <w:pPr>
        <w:spacing w:after="0" w:line="360" w:lineRule="auto"/>
        <w:contextualSpacing/>
        <w:rPr>
          <w:rFonts w:eastAsia="Calibri"/>
          <w:color w:val="auto"/>
        </w:rPr>
      </w:pPr>
      <w:r w:rsidRPr="001622E7">
        <w:rPr>
          <w:rFonts w:eastAsia="Calibri"/>
          <w:color w:val="auto"/>
        </w:rPr>
        <w:t>Por lo expuest</w:t>
      </w:r>
      <w:r w:rsidR="001622E7" w:rsidRPr="001622E7">
        <w:rPr>
          <w:rFonts w:eastAsia="Calibri"/>
          <w:color w:val="auto"/>
        </w:rPr>
        <w:t>o y fundado, este Pleno</w:t>
      </w:r>
    </w:p>
    <w:p w14:paraId="5EDE59B9" w14:textId="77777777" w:rsidR="00440F8D" w:rsidRPr="001622E7" w:rsidRDefault="00440F8D" w:rsidP="005747CD">
      <w:pPr>
        <w:spacing w:after="0" w:line="360" w:lineRule="auto"/>
        <w:contextualSpacing/>
        <w:rPr>
          <w:rFonts w:eastAsia="Calibri"/>
          <w:color w:val="auto"/>
        </w:rPr>
      </w:pPr>
    </w:p>
    <w:p w14:paraId="4969F2B6" w14:textId="77777777" w:rsidR="00D1318A" w:rsidRPr="001622E7" w:rsidRDefault="00D1318A" w:rsidP="005747CD">
      <w:pPr>
        <w:pStyle w:val="Ttulo1"/>
        <w:spacing w:before="0" w:after="0" w:line="360" w:lineRule="auto"/>
        <w:jc w:val="center"/>
        <w:rPr>
          <w:color w:val="auto"/>
          <w:sz w:val="22"/>
          <w:szCs w:val="22"/>
        </w:rPr>
      </w:pPr>
      <w:bookmarkStart w:id="14" w:name="_Toc206089569"/>
      <w:r w:rsidRPr="001622E7">
        <w:rPr>
          <w:color w:val="auto"/>
          <w:sz w:val="22"/>
          <w:szCs w:val="22"/>
        </w:rPr>
        <w:t>R E S U E L V E</w:t>
      </w:r>
      <w:bookmarkEnd w:id="14"/>
    </w:p>
    <w:p w14:paraId="00911B7E" w14:textId="77777777" w:rsidR="00D1318A" w:rsidRPr="001622E7" w:rsidRDefault="00D1318A" w:rsidP="005747CD">
      <w:pPr>
        <w:spacing w:after="0" w:line="360" w:lineRule="auto"/>
        <w:contextualSpacing/>
        <w:rPr>
          <w:rFonts w:eastAsia="Calibri"/>
          <w:b/>
          <w:bCs/>
          <w:color w:val="auto"/>
        </w:rPr>
      </w:pPr>
    </w:p>
    <w:p w14:paraId="59D86F6A" w14:textId="6A3B95BA" w:rsidR="00D1318A" w:rsidRPr="001622E7" w:rsidRDefault="00D1318A" w:rsidP="005747CD">
      <w:pPr>
        <w:spacing w:after="0" w:line="360" w:lineRule="auto"/>
        <w:contextualSpacing/>
        <w:rPr>
          <w:color w:val="auto"/>
        </w:rPr>
      </w:pPr>
      <w:r w:rsidRPr="001622E7">
        <w:rPr>
          <w:rFonts w:cs="Tahoma"/>
          <w:b/>
          <w:bCs/>
          <w:color w:val="auto"/>
        </w:rPr>
        <w:t xml:space="preserve">PRIMERO. </w:t>
      </w:r>
      <w:r w:rsidRPr="001622E7">
        <w:rPr>
          <w:rFonts w:cs="Tahoma"/>
          <w:bCs/>
          <w:color w:val="auto"/>
        </w:rPr>
        <w:t xml:space="preserve">Se </w:t>
      </w:r>
      <w:r w:rsidR="006206A1" w:rsidRPr="001622E7">
        <w:rPr>
          <w:rFonts w:cs="Tahoma"/>
          <w:b/>
          <w:bCs/>
          <w:color w:val="auto"/>
        </w:rPr>
        <w:t>MODIFI</w:t>
      </w:r>
      <w:r w:rsidRPr="001622E7">
        <w:rPr>
          <w:rFonts w:cs="Tahoma"/>
          <w:b/>
          <w:bCs/>
          <w:color w:val="auto"/>
        </w:rPr>
        <w:t xml:space="preserve">CA </w:t>
      </w:r>
      <w:r w:rsidRPr="001622E7">
        <w:rPr>
          <w:rFonts w:cs="Tahoma"/>
          <w:bCs/>
          <w:color w:val="auto"/>
        </w:rPr>
        <w:t>la respuesta entrega</w:t>
      </w:r>
      <w:r w:rsidR="00655068" w:rsidRPr="001622E7">
        <w:rPr>
          <w:rFonts w:cs="Tahoma"/>
          <w:bCs/>
          <w:color w:val="auto"/>
        </w:rPr>
        <w:t>da por el</w:t>
      </w:r>
      <w:r w:rsidR="001622E7" w:rsidRPr="001622E7">
        <w:rPr>
          <w:rFonts w:cs="Tahoma"/>
          <w:bCs/>
          <w:color w:val="auto"/>
        </w:rPr>
        <w:t xml:space="preserve"> Ayuntamiento de Coyotepec</w:t>
      </w:r>
      <w:r w:rsidRPr="001622E7">
        <w:rPr>
          <w:rFonts w:cs="Tahoma"/>
          <w:bCs/>
          <w:color w:val="auto"/>
        </w:rPr>
        <w:t xml:space="preserve">, a la solicitud de </w:t>
      </w:r>
      <w:r w:rsidR="00440F8D" w:rsidRPr="00440F8D">
        <w:rPr>
          <w:rFonts w:cs="Tahoma"/>
          <w:bCs/>
          <w:color w:val="auto"/>
        </w:rPr>
        <w:t>información</w:t>
      </w:r>
      <w:r w:rsidR="00440F8D" w:rsidRPr="00440F8D">
        <w:rPr>
          <w:color w:val="auto"/>
        </w:rPr>
        <w:t xml:space="preserve"> </w:t>
      </w:r>
      <w:r w:rsidR="00440F8D" w:rsidRPr="00440F8D">
        <w:rPr>
          <w:rFonts w:cs="Arial"/>
          <w:color w:val="auto"/>
        </w:rPr>
        <w:t>00278</w:t>
      </w:r>
      <w:r w:rsidR="001622E7" w:rsidRPr="00440F8D">
        <w:rPr>
          <w:color w:val="auto"/>
        </w:rPr>
        <w:t>/COYOTEP/IP</w:t>
      </w:r>
      <w:r w:rsidR="001622E7" w:rsidRPr="001622E7">
        <w:rPr>
          <w:color w:val="auto"/>
        </w:rPr>
        <w:t>/2025</w:t>
      </w:r>
      <w:r w:rsidRPr="001622E7">
        <w:rPr>
          <w:bCs/>
          <w:color w:val="auto"/>
        </w:rPr>
        <w:t xml:space="preserve">, por resultar </w:t>
      </w:r>
      <w:r w:rsidRPr="001622E7">
        <w:rPr>
          <w:b/>
          <w:bCs/>
          <w:color w:val="auto"/>
        </w:rPr>
        <w:t>FUNDADAS</w:t>
      </w:r>
      <w:r w:rsidRPr="001622E7">
        <w:rPr>
          <w:rFonts w:cs="Tahoma"/>
          <w:b/>
          <w:bCs/>
          <w:color w:val="auto"/>
        </w:rPr>
        <w:t xml:space="preserve"> </w:t>
      </w:r>
      <w:r w:rsidRPr="001622E7">
        <w:rPr>
          <w:rFonts w:eastAsia="Calibri" w:cs="Tahoma"/>
          <w:bCs/>
          <w:color w:val="auto"/>
        </w:rPr>
        <w:t>las razones o motivos de inconformidad hechos valer por el Recurrente</w:t>
      </w:r>
      <w:r w:rsidRPr="001622E7">
        <w:rPr>
          <w:rFonts w:cs="Tahoma"/>
          <w:bCs/>
          <w:color w:val="auto"/>
        </w:rPr>
        <w:t xml:space="preserve">, </w:t>
      </w:r>
      <w:r w:rsidRPr="001622E7">
        <w:rPr>
          <w:rFonts w:eastAsia="Calibri" w:cs="Tahoma"/>
          <w:bCs/>
          <w:color w:val="auto"/>
        </w:rPr>
        <w:t>en términos de los considerandos QUINTO y SEXTO de la presente Resolución.</w:t>
      </w:r>
    </w:p>
    <w:p w14:paraId="5F3709A7" w14:textId="77777777" w:rsidR="00D1318A" w:rsidRPr="00B11E96" w:rsidRDefault="00D1318A" w:rsidP="005747CD">
      <w:pPr>
        <w:spacing w:after="0" w:line="360" w:lineRule="auto"/>
        <w:contextualSpacing/>
        <w:rPr>
          <w:rFonts w:eastAsia="Times New Roman" w:cs="Tahoma"/>
          <w:bCs/>
          <w:color w:val="FF0000"/>
          <w:lang w:eastAsia="es-ES"/>
        </w:rPr>
      </w:pPr>
    </w:p>
    <w:p w14:paraId="402B3360" w14:textId="004C5DD0" w:rsidR="00655068" w:rsidRPr="001622E7" w:rsidRDefault="00D1318A" w:rsidP="005747CD">
      <w:pPr>
        <w:spacing w:after="0" w:line="360" w:lineRule="auto"/>
        <w:rPr>
          <w:color w:val="auto"/>
        </w:rPr>
      </w:pPr>
      <w:r w:rsidRPr="001622E7">
        <w:rPr>
          <w:rFonts w:cs="Tahoma"/>
          <w:b/>
          <w:bCs/>
          <w:color w:val="auto"/>
        </w:rPr>
        <w:t xml:space="preserve">SEGUNDO. </w:t>
      </w:r>
      <w:r w:rsidRPr="001622E7">
        <w:rPr>
          <w:color w:val="auto"/>
        </w:rPr>
        <w:t xml:space="preserve">Se </w:t>
      </w:r>
      <w:r w:rsidRPr="001622E7">
        <w:rPr>
          <w:b/>
          <w:color w:val="auto"/>
        </w:rPr>
        <w:t>ORDENA</w:t>
      </w:r>
      <w:r w:rsidRPr="001622E7">
        <w:rPr>
          <w:color w:val="auto"/>
        </w:rPr>
        <w:t xml:space="preserve"> al Ente Recurrido</w:t>
      </w:r>
      <w:r w:rsidRPr="001622E7">
        <w:rPr>
          <w:b/>
          <w:color w:val="auto"/>
        </w:rPr>
        <w:t xml:space="preserve">, </w:t>
      </w:r>
      <w:r w:rsidRPr="001622E7">
        <w:rPr>
          <w:color w:val="auto"/>
        </w:rPr>
        <w:t>a efecto de que previa búsqueda exhaustiva y razonable, en los archivos de las unidades administrativas competentes, entregue a través del Sistema de Acceso a la I</w:t>
      </w:r>
      <w:r w:rsidR="001622E7" w:rsidRPr="001622E7">
        <w:rPr>
          <w:color w:val="auto"/>
        </w:rPr>
        <w:t>nformación Mexiquense (SAIMEX)</w:t>
      </w:r>
      <w:r w:rsidR="008036B9" w:rsidRPr="001622E7">
        <w:rPr>
          <w:color w:val="auto"/>
        </w:rPr>
        <w:t xml:space="preserve">, </w:t>
      </w:r>
      <w:r w:rsidR="00655068" w:rsidRPr="001622E7">
        <w:rPr>
          <w:color w:val="auto"/>
        </w:rPr>
        <w:t>lo siguiente:</w:t>
      </w:r>
    </w:p>
    <w:p w14:paraId="545EC5E3" w14:textId="77777777" w:rsidR="00655068" w:rsidRPr="004A4C07" w:rsidRDefault="00655068" w:rsidP="005747CD">
      <w:pPr>
        <w:spacing w:after="0" w:line="360" w:lineRule="auto"/>
        <w:rPr>
          <w:rFonts w:cs="Tahoma"/>
          <w:color w:val="auto"/>
        </w:rPr>
      </w:pPr>
    </w:p>
    <w:p w14:paraId="71DD60F7" w14:textId="1C911922" w:rsidR="00D1318A" w:rsidRPr="004A4C07" w:rsidRDefault="004A4C07" w:rsidP="00525C00">
      <w:pPr>
        <w:pStyle w:val="Prrafodelista"/>
        <w:numPr>
          <w:ilvl w:val="0"/>
          <w:numId w:val="25"/>
        </w:numPr>
        <w:spacing w:line="360" w:lineRule="auto"/>
        <w:rPr>
          <w:color w:val="auto"/>
        </w:rPr>
      </w:pPr>
      <w:r w:rsidRPr="004A4C07">
        <w:rPr>
          <w:rFonts w:cs="Tahoma"/>
          <w:color w:val="auto"/>
        </w:rPr>
        <w:t>E</w:t>
      </w:r>
      <w:r w:rsidRPr="004A4C07">
        <w:rPr>
          <w:color w:val="auto"/>
        </w:rPr>
        <w:t>l Manual de Procedimientos y el Manual de Organización de la Tesorería</w:t>
      </w:r>
      <w:r>
        <w:rPr>
          <w:color w:val="auto"/>
        </w:rPr>
        <w:t xml:space="preserve"> Municipal del Ayuntamiento</w:t>
      </w:r>
      <w:r w:rsidR="00440F8D">
        <w:rPr>
          <w:color w:val="auto"/>
        </w:rPr>
        <w:t>, referidos en respuesta</w:t>
      </w:r>
      <w:r>
        <w:rPr>
          <w:color w:val="auto"/>
        </w:rPr>
        <w:t>.</w:t>
      </w:r>
    </w:p>
    <w:p w14:paraId="5B734820" w14:textId="77777777" w:rsidR="00D1318A" w:rsidRPr="00B11E96" w:rsidRDefault="00D1318A" w:rsidP="005747CD">
      <w:pPr>
        <w:spacing w:after="0" w:line="360" w:lineRule="auto"/>
        <w:ind w:right="-91"/>
        <w:contextualSpacing/>
        <w:rPr>
          <w:rFonts w:eastAsia="Calibri" w:cs="Tahoma"/>
          <w:b/>
          <w:bCs/>
          <w:color w:val="FF0000"/>
        </w:rPr>
      </w:pPr>
    </w:p>
    <w:p w14:paraId="3EAE0142" w14:textId="4FD96CB4" w:rsidR="00D1318A" w:rsidRPr="00E4424F" w:rsidRDefault="00D1318A" w:rsidP="008036B9">
      <w:pPr>
        <w:spacing w:after="0" w:line="360" w:lineRule="auto"/>
        <w:ind w:right="-28"/>
        <w:contextualSpacing/>
        <w:rPr>
          <w:rFonts w:eastAsia="Calibri" w:cs="Tahoma"/>
          <w:iCs/>
          <w:color w:val="auto"/>
        </w:rPr>
      </w:pPr>
      <w:r w:rsidRPr="00E4424F">
        <w:rPr>
          <w:rFonts w:eastAsia="Calibri" w:cs="Tahoma"/>
          <w:b/>
          <w:bCs/>
          <w:color w:val="auto"/>
        </w:rPr>
        <w:lastRenderedPageBreak/>
        <w:t xml:space="preserve">TERCERO. </w:t>
      </w:r>
      <w:r w:rsidRPr="00E4424F">
        <w:rPr>
          <w:rFonts w:cs="Tahoma"/>
          <w:b/>
          <w:bCs/>
          <w:iCs/>
          <w:color w:val="auto"/>
        </w:rPr>
        <w:t xml:space="preserve">NOTIFÍQUESE POR SAIMEX </w:t>
      </w:r>
      <w:r w:rsidRPr="00E4424F">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8036B9" w:rsidRPr="00E4424F">
        <w:rPr>
          <w:rFonts w:cs="Tahoma"/>
          <w:bCs/>
          <w:iCs/>
          <w:color w:val="auto"/>
        </w:rPr>
        <w:t xml:space="preserve"> </w:t>
      </w:r>
      <w:r w:rsidRPr="00E4424F">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E4424F" w:rsidRDefault="00D1318A" w:rsidP="005747CD">
      <w:pPr>
        <w:spacing w:after="0" w:line="360" w:lineRule="auto"/>
        <w:contextualSpacing/>
        <w:rPr>
          <w:rFonts w:eastAsia="Calibri" w:cs="Tahoma"/>
          <w:color w:val="auto"/>
        </w:rPr>
      </w:pPr>
    </w:p>
    <w:p w14:paraId="3F59EFC7" w14:textId="77777777" w:rsidR="00D1318A" w:rsidRPr="00E4424F" w:rsidRDefault="00D1318A" w:rsidP="005747CD">
      <w:pPr>
        <w:spacing w:after="0" w:line="360" w:lineRule="auto"/>
        <w:contextualSpacing/>
        <w:rPr>
          <w:rFonts w:eastAsia="Times New Roman" w:cs="Tahoma"/>
          <w:color w:val="auto"/>
          <w:lang w:eastAsia="es-ES"/>
        </w:rPr>
      </w:pPr>
      <w:r w:rsidRPr="00E4424F">
        <w:rPr>
          <w:rFonts w:eastAsia="Calibri" w:cs="Tahoma"/>
          <w:b/>
          <w:color w:val="auto"/>
        </w:rPr>
        <w:t>CUARTO</w:t>
      </w:r>
      <w:r w:rsidRPr="00E4424F">
        <w:rPr>
          <w:rFonts w:eastAsia="Calibri" w:cs="Tahoma"/>
          <w:b/>
          <w:bCs/>
          <w:color w:val="auto"/>
        </w:rPr>
        <w:t xml:space="preserve">. </w:t>
      </w:r>
      <w:r w:rsidRPr="00E4424F">
        <w:rPr>
          <w:rFonts w:cs="Tahoma"/>
          <w:b/>
          <w:color w:val="auto"/>
        </w:rPr>
        <w:t>NOTIFÍQUESE POR SAIMEX</w:t>
      </w:r>
      <w:r w:rsidRPr="00E4424F">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4424F" w:rsidRDefault="00D1318A" w:rsidP="005747CD">
      <w:pPr>
        <w:spacing w:after="0" w:line="360" w:lineRule="auto"/>
        <w:contextualSpacing/>
        <w:rPr>
          <w:rFonts w:cs="Arial"/>
          <w:b/>
          <w:bCs/>
          <w:color w:val="auto"/>
        </w:rPr>
      </w:pPr>
    </w:p>
    <w:p w14:paraId="440D22CF" w14:textId="6E93D6A3" w:rsidR="00D1318A" w:rsidRPr="00E4424F" w:rsidRDefault="00D1318A" w:rsidP="005747CD">
      <w:pPr>
        <w:spacing w:after="0" w:line="360" w:lineRule="auto"/>
        <w:contextualSpacing/>
        <w:rPr>
          <w:rFonts w:cs="Tahoma"/>
          <w:b/>
          <w:bCs/>
          <w:color w:val="auto"/>
        </w:rPr>
      </w:pPr>
      <w:r w:rsidRPr="00E4424F">
        <w:rPr>
          <w:rFonts w:eastAsia="Calibri" w:cs="Tahoma"/>
          <w:bCs/>
          <w:color w:val="auto"/>
        </w:rPr>
        <w:t>ASÍ LO RESUELVE, POR </w:t>
      </w:r>
      <w:r w:rsidRPr="00E4424F">
        <w:rPr>
          <w:rFonts w:eastAsia="Calibri" w:cs="Tahoma"/>
          <w:b/>
          <w:bCs/>
          <w:color w:val="auto"/>
        </w:rPr>
        <w:t>UNANIMIDAD</w:t>
      </w:r>
      <w:r w:rsidRPr="00E4424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55068" w:rsidRPr="00E4424F">
        <w:rPr>
          <w:rFonts w:eastAsia="Calibri" w:cs="Tahoma"/>
          <w:bCs/>
          <w:color w:val="auto"/>
        </w:rPr>
        <w:t xml:space="preserve">, EN LA </w:t>
      </w:r>
      <w:r w:rsidR="00E4424F">
        <w:rPr>
          <w:rFonts w:eastAsia="Calibri" w:cs="Tahoma"/>
          <w:bCs/>
          <w:color w:val="auto"/>
        </w:rPr>
        <w:t xml:space="preserve">VIGÉSIMA OCTAVA </w:t>
      </w:r>
      <w:r w:rsidRPr="00E4424F">
        <w:rPr>
          <w:rFonts w:eastAsia="Calibri" w:cs="Tahoma"/>
          <w:bCs/>
          <w:color w:val="auto"/>
        </w:rPr>
        <w:t xml:space="preserve">SESIÓN ORDINARIA, CELEBRADA EL </w:t>
      </w:r>
      <w:r w:rsidR="00E4424F">
        <w:rPr>
          <w:rFonts w:eastAsia="Calibri" w:cs="Tahoma"/>
          <w:bCs/>
          <w:color w:val="auto"/>
        </w:rPr>
        <w:t>TRECE DE AGOSTO</w:t>
      </w:r>
      <w:r w:rsidR="00655068" w:rsidRPr="00E4424F">
        <w:rPr>
          <w:rFonts w:eastAsia="Calibri" w:cs="Tahoma"/>
          <w:bCs/>
          <w:color w:val="auto"/>
        </w:rPr>
        <w:t xml:space="preserve"> </w:t>
      </w:r>
      <w:r w:rsidRPr="00E4424F">
        <w:rPr>
          <w:rFonts w:eastAsia="Calibri" w:cs="Tahoma"/>
          <w:bCs/>
          <w:color w:val="auto"/>
        </w:rPr>
        <w:t>DE DOS MIL VEINTICINCO, ANTE EL SECRETARIO TÉCNICO DEL PLENO, ALEXIS TAPIA RAMÍREZ.</w:t>
      </w:r>
    </w:p>
    <w:p w14:paraId="2BA380C7" w14:textId="77777777" w:rsidR="00D1318A" w:rsidRPr="00B11E96" w:rsidRDefault="00D1318A" w:rsidP="005747CD">
      <w:pPr>
        <w:spacing w:after="0" w:line="360" w:lineRule="auto"/>
        <w:ind w:right="-28"/>
        <w:rPr>
          <w:color w:val="FF0000"/>
        </w:rPr>
      </w:pPr>
    </w:p>
    <w:p w14:paraId="1FFCF4F3" w14:textId="77777777" w:rsidR="00B02499" w:rsidRPr="00B11E96" w:rsidRDefault="00B02499" w:rsidP="005747CD">
      <w:pPr>
        <w:spacing w:after="0" w:line="360" w:lineRule="auto"/>
        <w:rPr>
          <w:rFonts w:eastAsia="Calibri" w:cs="Times New Roman"/>
          <w:b/>
          <w:bCs/>
          <w:color w:val="FF0000"/>
        </w:rPr>
      </w:pPr>
    </w:p>
    <w:p w14:paraId="654C889D" w14:textId="77777777" w:rsidR="00B02499" w:rsidRPr="00B11E96" w:rsidRDefault="00B02499" w:rsidP="005747CD">
      <w:pPr>
        <w:spacing w:after="0" w:line="360" w:lineRule="auto"/>
        <w:rPr>
          <w:rFonts w:eastAsia="Calibri" w:cs="Times New Roman"/>
          <w:b/>
          <w:bCs/>
          <w:color w:val="FF0000"/>
        </w:rPr>
      </w:pPr>
    </w:p>
    <w:p w14:paraId="097C707A" w14:textId="77777777" w:rsidR="004A10B0" w:rsidRPr="00B11E96" w:rsidRDefault="004A10B0" w:rsidP="005747CD">
      <w:pPr>
        <w:spacing w:after="0" w:line="360" w:lineRule="auto"/>
        <w:contextualSpacing/>
        <w:rPr>
          <w:rFonts w:eastAsia="Calibri" w:cs="Times New Roman"/>
          <w:color w:val="FF0000"/>
        </w:rPr>
      </w:pPr>
    </w:p>
    <w:p w14:paraId="3677DBED" w14:textId="77777777" w:rsidR="004A10B0" w:rsidRPr="00B11E96" w:rsidRDefault="004A10B0" w:rsidP="005747CD">
      <w:pPr>
        <w:spacing w:after="0" w:line="360" w:lineRule="auto"/>
        <w:contextualSpacing/>
        <w:rPr>
          <w:color w:val="FF0000"/>
        </w:rPr>
      </w:pPr>
    </w:p>
    <w:p w14:paraId="74E8DB3F" w14:textId="77777777" w:rsidR="00C556AB" w:rsidRPr="00B11E96" w:rsidRDefault="00C556AB" w:rsidP="005747CD">
      <w:pPr>
        <w:spacing w:after="0" w:line="360" w:lineRule="auto"/>
        <w:rPr>
          <w:color w:val="FF0000"/>
        </w:rPr>
      </w:pPr>
    </w:p>
    <w:p w14:paraId="1A555613" w14:textId="77777777" w:rsidR="00023BBD" w:rsidRPr="00B11E96" w:rsidRDefault="00023BBD" w:rsidP="005747CD">
      <w:pPr>
        <w:spacing w:after="0" w:line="360" w:lineRule="auto"/>
        <w:rPr>
          <w:color w:val="FF0000"/>
        </w:rPr>
      </w:pPr>
    </w:p>
    <w:p w14:paraId="2DB71CAF" w14:textId="49BEE08C" w:rsidR="001D4F21" w:rsidRPr="00B11E96" w:rsidRDefault="001D4F21" w:rsidP="005747CD">
      <w:pPr>
        <w:spacing w:after="0" w:line="360" w:lineRule="auto"/>
        <w:rPr>
          <w:color w:val="FF0000"/>
        </w:rPr>
      </w:pPr>
    </w:p>
    <w:p w14:paraId="38B4EF2E" w14:textId="77777777" w:rsidR="001D4F21" w:rsidRPr="00B11E96" w:rsidRDefault="001D4F21" w:rsidP="005747CD">
      <w:pPr>
        <w:spacing w:after="0" w:line="360" w:lineRule="auto"/>
        <w:rPr>
          <w:color w:val="FF0000"/>
        </w:rPr>
      </w:pPr>
    </w:p>
    <w:p w14:paraId="4201A0A0" w14:textId="77777777" w:rsidR="00E864E9" w:rsidRPr="00B11E96" w:rsidRDefault="00E864E9" w:rsidP="005747CD">
      <w:pPr>
        <w:tabs>
          <w:tab w:val="right" w:pos="8931"/>
        </w:tabs>
        <w:spacing w:after="0" w:line="360" w:lineRule="auto"/>
        <w:rPr>
          <w:color w:val="FF0000"/>
        </w:rPr>
      </w:pPr>
    </w:p>
    <w:p w14:paraId="543728D1" w14:textId="77777777" w:rsidR="00E864E9" w:rsidRPr="00B11E96" w:rsidRDefault="00E864E9" w:rsidP="005747CD">
      <w:pPr>
        <w:tabs>
          <w:tab w:val="right" w:pos="8931"/>
        </w:tabs>
        <w:spacing w:after="0" w:line="360" w:lineRule="auto"/>
        <w:rPr>
          <w:color w:val="FF0000"/>
        </w:rPr>
      </w:pPr>
    </w:p>
    <w:p w14:paraId="0E4439D0" w14:textId="5248D3C9" w:rsidR="007B58B9" w:rsidRPr="00B11E96" w:rsidRDefault="007B58B9" w:rsidP="005747CD">
      <w:pPr>
        <w:spacing w:after="0" w:line="360" w:lineRule="auto"/>
        <w:rPr>
          <w:color w:val="FF0000"/>
        </w:rPr>
      </w:pPr>
    </w:p>
    <w:p w14:paraId="26916C77" w14:textId="77777777" w:rsidR="00A37EDE" w:rsidRDefault="00A37EDE" w:rsidP="005747CD">
      <w:pPr>
        <w:spacing w:after="0" w:line="360" w:lineRule="auto"/>
        <w:rPr>
          <w:color w:val="FF0000"/>
        </w:rPr>
      </w:pPr>
    </w:p>
    <w:p w14:paraId="710F6D75" w14:textId="77777777" w:rsidR="00EE5B29" w:rsidRDefault="00EE5B29" w:rsidP="005747CD">
      <w:pPr>
        <w:spacing w:after="0" w:line="360" w:lineRule="auto"/>
        <w:rPr>
          <w:color w:val="FF0000"/>
        </w:rPr>
      </w:pPr>
    </w:p>
    <w:p w14:paraId="77E72201" w14:textId="77777777" w:rsidR="00EE5B29" w:rsidRDefault="00EE5B29" w:rsidP="005747CD">
      <w:pPr>
        <w:spacing w:after="0" w:line="360" w:lineRule="auto"/>
        <w:rPr>
          <w:color w:val="FF0000"/>
        </w:rPr>
      </w:pPr>
    </w:p>
    <w:p w14:paraId="79106DFB" w14:textId="77777777" w:rsidR="00EE5B29" w:rsidRPr="00B11E96" w:rsidRDefault="00EE5B29" w:rsidP="005747CD">
      <w:pPr>
        <w:spacing w:after="0" w:line="360" w:lineRule="auto"/>
        <w:rPr>
          <w:color w:val="FF0000"/>
        </w:rPr>
      </w:pPr>
    </w:p>
    <w:sectPr w:rsidR="00EE5B29" w:rsidRPr="00B11E96"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EA0D1" w14:textId="77777777" w:rsidR="009D484B" w:rsidRDefault="009D484B">
      <w:pPr>
        <w:spacing w:after="0" w:line="240" w:lineRule="auto"/>
      </w:pPr>
      <w:r>
        <w:separator/>
      </w:r>
    </w:p>
  </w:endnote>
  <w:endnote w:type="continuationSeparator" w:id="0">
    <w:p w14:paraId="69A38694" w14:textId="77777777" w:rsidR="009D484B" w:rsidRDefault="009D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60B99C7D" w:rsidR="00141735" w:rsidRDefault="001417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04F0">
      <w:rPr>
        <w:b/>
        <w:noProof/>
        <w:color w:val="000000"/>
        <w:sz w:val="24"/>
        <w:szCs w:val="24"/>
      </w:rPr>
      <w:t>20</w:t>
    </w:r>
    <w:r>
      <w:rPr>
        <w:b/>
        <w:color w:val="000000"/>
        <w:sz w:val="24"/>
        <w:szCs w:val="24"/>
      </w:rPr>
      <w:fldChar w:fldCharType="end"/>
    </w:r>
  </w:p>
  <w:p w14:paraId="7EB9860B" w14:textId="77777777" w:rsidR="00141735" w:rsidRDefault="001417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41735" w:rsidRDefault="001417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30C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30C9">
      <w:rPr>
        <w:b/>
        <w:noProof/>
        <w:color w:val="000000"/>
        <w:sz w:val="24"/>
        <w:szCs w:val="24"/>
      </w:rPr>
      <w:t>20</w:t>
    </w:r>
    <w:r>
      <w:rPr>
        <w:b/>
        <w:color w:val="000000"/>
        <w:sz w:val="24"/>
        <w:szCs w:val="24"/>
      </w:rPr>
      <w:fldChar w:fldCharType="end"/>
    </w:r>
  </w:p>
  <w:p w14:paraId="0D7FA8D9" w14:textId="77777777" w:rsidR="00141735" w:rsidRDefault="001417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41735" w:rsidRDefault="001417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30C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30C9">
      <w:rPr>
        <w:b/>
        <w:noProof/>
        <w:color w:val="000000"/>
        <w:sz w:val="24"/>
        <w:szCs w:val="24"/>
      </w:rPr>
      <w:t>20</w:t>
    </w:r>
    <w:r>
      <w:rPr>
        <w:b/>
        <w:color w:val="000000"/>
        <w:sz w:val="24"/>
        <w:szCs w:val="24"/>
      </w:rPr>
      <w:fldChar w:fldCharType="end"/>
    </w:r>
  </w:p>
  <w:p w14:paraId="6796AF5F" w14:textId="77777777" w:rsidR="00141735" w:rsidRDefault="001417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6AB01" w14:textId="77777777" w:rsidR="009D484B" w:rsidRDefault="009D484B">
      <w:pPr>
        <w:spacing w:after="0" w:line="240" w:lineRule="auto"/>
      </w:pPr>
      <w:r>
        <w:separator/>
      </w:r>
    </w:p>
  </w:footnote>
  <w:footnote w:type="continuationSeparator" w:id="0">
    <w:p w14:paraId="5C478121" w14:textId="77777777" w:rsidR="009D484B" w:rsidRDefault="009D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41735" w:rsidRDefault="0014173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41735" w14:paraId="10C29E94" w14:textId="77777777">
      <w:trPr>
        <w:trHeight w:val="132"/>
      </w:trPr>
      <w:tc>
        <w:tcPr>
          <w:tcW w:w="2691" w:type="dxa"/>
        </w:tcPr>
        <w:p w14:paraId="7D85A4B8" w14:textId="77777777" w:rsidR="00141735" w:rsidRDefault="00141735">
          <w:pPr>
            <w:tabs>
              <w:tab w:val="right" w:pos="8838"/>
            </w:tabs>
            <w:ind w:right="-105"/>
            <w:rPr>
              <w:b/>
            </w:rPr>
          </w:pPr>
          <w:r>
            <w:rPr>
              <w:b/>
            </w:rPr>
            <w:t>Recurso de Revisión:</w:t>
          </w:r>
        </w:p>
      </w:tc>
      <w:tc>
        <w:tcPr>
          <w:tcW w:w="3405" w:type="dxa"/>
        </w:tcPr>
        <w:p w14:paraId="0B0D1A9D" w14:textId="77777777" w:rsidR="00141735" w:rsidRDefault="00141735">
          <w:pPr>
            <w:tabs>
              <w:tab w:val="right" w:pos="8838"/>
            </w:tabs>
            <w:ind w:left="-28" w:right="-32"/>
          </w:pPr>
          <w:r>
            <w:t>03846/INFOEM/IP/RR/2020</w:t>
          </w:r>
        </w:p>
      </w:tc>
    </w:tr>
    <w:tr w:rsidR="00141735" w14:paraId="2F47AC72" w14:textId="77777777">
      <w:trPr>
        <w:trHeight w:val="261"/>
      </w:trPr>
      <w:tc>
        <w:tcPr>
          <w:tcW w:w="2691" w:type="dxa"/>
        </w:tcPr>
        <w:p w14:paraId="154A4752" w14:textId="77777777" w:rsidR="00141735" w:rsidRDefault="00141735">
          <w:pPr>
            <w:tabs>
              <w:tab w:val="right" w:pos="8838"/>
            </w:tabs>
            <w:ind w:right="-105"/>
            <w:rPr>
              <w:b/>
            </w:rPr>
          </w:pPr>
          <w:r>
            <w:rPr>
              <w:b/>
            </w:rPr>
            <w:t>Sujeto Obligado:</w:t>
          </w:r>
        </w:p>
      </w:tc>
      <w:tc>
        <w:tcPr>
          <w:tcW w:w="3405" w:type="dxa"/>
        </w:tcPr>
        <w:p w14:paraId="5D9EC711" w14:textId="77777777" w:rsidR="00141735" w:rsidRDefault="00141735">
          <w:pPr>
            <w:tabs>
              <w:tab w:val="right" w:pos="8838"/>
            </w:tabs>
            <w:ind w:right="-32"/>
          </w:pPr>
          <w:r>
            <w:t>Ayuntamiento de Temascalcingo</w:t>
          </w:r>
        </w:p>
      </w:tc>
    </w:tr>
    <w:tr w:rsidR="00141735" w14:paraId="11FBB450" w14:textId="77777777">
      <w:trPr>
        <w:trHeight w:val="261"/>
      </w:trPr>
      <w:tc>
        <w:tcPr>
          <w:tcW w:w="2691" w:type="dxa"/>
        </w:tcPr>
        <w:p w14:paraId="6BAF6003" w14:textId="77777777" w:rsidR="00141735" w:rsidRDefault="00141735">
          <w:pPr>
            <w:tabs>
              <w:tab w:val="right" w:pos="8838"/>
            </w:tabs>
            <w:ind w:right="-105"/>
            <w:rPr>
              <w:b/>
            </w:rPr>
          </w:pPr>
          <w:r>
            <w:rPr>
              <w:b/>
            </w:rPr>
            <w:t>Comisionado Ponente:</w:t>
          </w:r>
        </w:p>
      </w:tc>
      <w:tc>
        <w:tcPr>
          <w:tcW w:w="3405" w:type="dxa"/>
        </w:tcPr>
        <w:p w14:paraId="420341AF" w14:textId="77777777" w:rsidR="00141735" w:rsidRDefault="00141735">
          <w:pPr>
            <w:tabs>
              <w:tab w:val="right" w:pos="8838"/>
            </w:tabs>
            <w:ind w:right="-32"/>
            <w:rPr>
              <w:b/>
            </w:rPr>
          </w:pPr>
          <w:r>
            <w:t>Luis Gustavo Parra Noriega</w:t>
          </w:r>
        </w:p>
      </w:tc>
    </w:tr>
  </w:tbl>
  <w:p w14:paraId="00411D75" w14:textId="77777777" w:rsidR="00141735" w:rsidRDefault="009D484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41735" w:rsidRDefault="009D484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141735" w14:paraId="40D5D5A3" w14:textId="77777777" w:rsidTr="005747CD">
      <w:trPr>
        <w:trHeight w:val="138"/>
      </w:trPr>
      <w:tc>
        <w:tcPr>
          <w:tcW w:w="2693" w:type="dxa"/>
          <w:vAlign w:val="center"/>
        </w:tcPr>
        <w:p w14:paraId="43377EBE" w14:textId="77777777" w:rsidR="00141735" w:rsidRDefault="00141735" w:rsidP="008C266D">
          <w:pPr>
            <w:tabs>
              <w:tab w:val="right" w:pos="8838"/>
            </w:tabs>
            <w:ind w:left="-108" w:right="-105"/>
            <w:jc w:val="left"/>
            <w:rPr>
              <w:b/>
            </w:rPr>
          </w:pPr>
        </w:p>
        <w:p w14:paraId="1DB5C8D0" w14:textId="7E98B3D2" w:rsidR="00141735" w:rsidRDefault="00141735" w:rsidP="008C266D">
          <w:pPr>
            <w:tabs>
              <w:tab w:val="right" w:pos="8838"/>
            </w:tabs>
            <w:ind w:left="-108" w:right="-105"/>
            <w:jc w:val="left"/>
            <w:rPr>
              <w:b/>
            </w:rPr>
          </w:pPr>
          <w:r>
            <w:rPr>
              <w:b/>
            </w:rPr>
            <w:t>Recurso de Revisión:</w:t>
          </w:r>
        </w:p>
      </w:tc>
      <w:tc>
        <w:tcPr>
          <w:tcW w:w="3969" w:type="dxa"/>
        </w:tcPr>
        <w:p w14:paraId="5BCC69C4" w14:textId="77777777" w:rsidR="00141735" w:rsidRPr="00EF0C39" w:rsidRDefault="00141735" w:rsidP="008C266D">
          <w:pPr>
            <w:tabs>
              <w:tab w:val="right" w:pos="8838"/>
            </w:tabs>
            <w:ind w:right="57"/>
          </w:pPr>
        </w:p>
        <w:p w14:paraId="61E59D71" w14:textId="3E0F0587" w:rsidR="00141735" w:rsidRPr="00EF0C39" w:rsidRDefault="00141735" w:rsidP="008C266D">
          <w:pPr>
            <w:tabs>
              <w:tab w:val="right" w:pos="8838"/>
            </w:tabs>
            <w:ind w:right="57"/>
          </w:pPr>
          <w:r w:rsidRPr="00B11E96">
            <w:t>08216/INFOEM/IP/RR/2025</w:t>
          </w:r>
        </w:p>
      </w:tc>
    </w:tr>
    <w:tr w:rsidR="00141735" w14:paraId="7A281F30" w14:textId="77777777" w:rsidTr="005747CD">
      <w:trPr>
        <w:trHeight w:val="273"/>
      </w:trPr>
      <w:tc>
        <w:tcPr>
          <w:tcW w:w="2693" w:type="dxa"/>
        </w:tcPr>
        <w:p w14:paraId="6671A308" w14:textId="77777777" w:rsidR="00141735" w:rsidRDefault="00141735" w:rsidP="008C266D">
          <w:pPr>
            <w:tabs>
              <w:tab w:val="right" w:pos="8838"/>
            </w:tabs>
            <w:ind w:left="-108" w:right="-105"/>
            <w:rPr>
              <w:b/>
            </w:rPr>
          </w:pPr>
          <w:r>
            <w:rPr>
              <w:b/>
            </w:rPr>
            <w:t>Sujeto Obligado:</w:t>
          </w:r>
        </w:p>
      </w:tc>
      <w:tc>
        <w:tcPr>
          <w:tcW w:w="3969" w:type="dxa"/>
        </w:tcPr>
        <w:p w14:paraId="30885B6D" w14:textId="6C6E46C5" w:rsidR="00141735" w:rsidRPr="00EF0C39" w:rsidRDefault="00141735" w:rsidP="007B4717">
          <w:pPr>
            <w:tabs>
              <w:tab w:val="right" w:pos="8838"/>
            </w:tabs>
            <w:ind w:right="180"/>
          </w:pPr>
          <w:r w:rsidRPr="00B11E96">
            <w:t>Ayuntamiento de Coyotepec</w:t>
          </w:r>
        </w:p>
      </w:tc>
    </w:tr>
    <w:tr w:rsidR="00141735" w14:paraId="00C22F2F" w14:textId="77777777" w:rsidTr="005747CD">
      <w:trPr>
        <w:trHeight w:val="273"/>
      </w:trPr>
      <w:tc>
        <w:tcPr>
          <w:tcW w:w="2693" w:type="dxa"/>
        </w:tcPr>
        <w:p w14:paraId="70417649" w14:textId="77777777" w:rsidR="00141735" w:rsidRDefault="00141735" w:rsidP="008C266D">
          <w:pPr>
            <w:tabs>
              <w:tab w:val="right" w:pos="8838"/>
            </w:tabs>
            <w:ind w:left="-108" w:right="-105"/>
            <w:rPr>
              <w:b/>
            </w:rPr>
          </w:pPr>
          <w:r>
            <w:rPr>
              <w:b/>
            </w:rPr>
            <w:t>Comisionado Ponente:</w:t>
          </w:r>
        </w:p>
      </w:tc>
      <w:tc>
        <w:tcPr>
          <w:tcW w:w="3969" w:type="dxa"/>
        </w:tcPr>
        <w:p w14:paraId="5E6EB38B" w14:textId="77777777" w:rsidR="00141735" w:rsidRPr="00EF0C39" w:rsidRDefault="00141735" w:rsidP="008C266D">
          <w:pPr>
            <w:tabs>
              <w:tab w:val="right" w:pos="8838"/>
            </w:tabs>
            <w:ind w:right="-170"/>
          </w:pPr>
          <w:r w:rsidRPr="00EF0C39">
            <w:t>Luis Gustavo Parra Noriega</w:t>
          </w:r>
        </w:p>
        <w:p w14:paraId="1A63C67B" w14:textId="77777777" w:rsidR="00141735" w:rsidRPr="00EF0C39" w:rsidRDefault="00141735" w:rsidP="008C266D">
          <w:pPr>
            <w:tabs>
              <w:tab w:val="right" w:pos="8838"/>
            </w:tabs>
            <w:ind w:right="-170"/>
            <w:rPr>
              <w:b/>
            </w:rPr>
          </w:pPr>
        </w:p>
      </w:tc>
    </w:tr>
  </w:tbl>
  <w:p w14:paraId="3498D107" w14:textId="7E17876C" w:rsidR="00141735" w:rsidRDefault="0014173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141735" w:rsidRDefault="00141735">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41735" w14:paraId="6B3232BD" w14:textId="77777777" w:rsidTr="005747CD">
      <w:trPr>
        <w:trHeight w:val="132"/>
      </w:trPr>
      <w:tc>
        <w:tcPr>
          <w:tcW w:w="2551" w:type="dxa"/>
        </w:tcPr>
        <w:p w14:paraId="38F16E2F" w14:textId="77777777" w:rsidR="00141735" w:rsidRDefault="00141735">
          <w:pPr>
            <w:tabs>
              <w:tab w:val="right" w:pos="8838"/>
            </w:tabs>
            <w:ind w:right="-105"/>
            <w:rPr>
              <w:b/>
            </w:rPr>
          </w:pPr>
          <w:r>
            <w:rPr>
              <w:b/>
            </w:rPr>
            <w:t>Recurso de Revisión:</w:t>
          </w:r>
        </w:p>
      </w:tc>
      <w:tc>
        <w:tcPr>
          <w:tcW w:w="4253" w:type="dxa"/>
        </w:tcPr>
        <w:p w14:paraId="211CDC0A" w14:textId="0A31C390" w:rsidR="00141735" w:rsidRPr="00026C6B" w:rsidRDefault="00141735" w:rsidP="00026C6B">
          <w:r w:rsidRPr="00B11E96">
            <w:t>08216/INFOEM/IP/RR/2025</w:t>
          </w:r>
        </w:p>
      </w:tc>
    </w:tr>
    <w:tr w:rsidR="00141735" w:rsidRPr="00D230C9" w14:paraId="6AA3CC58" w14:textId="77777777" w:rsidTr="005747CD">
      <w:trPr>
        <w:trHeight w:val="132"/>
      </w:trPr>
      <w:tc>
        <w:tcPr>
          <w:tcW w:w="2551" w:type="dxa"/>
        </w:tcPr>
        <w:p w14:paraId="7FD164F5" w14:textId="77777777" w:rsidR="00141735" w:rsidRDefault="00141735">
          <w:pPr>
            <w:tabs>
              <w:tab w:val="left" w:pos="1875"/>
            </w:tabs>
            <w:ind w:right="-105"/>
            <w:rPr>
              <w:b/>
            </w:rPr>
          </w:pPr>
          <w:r>
            <w:rPr>
              <w:b/>
            </w:rPr>
            <w:t>Recurrente:</w:t>
          </w:r>
          <w:r>
            <w:rPr>
              <w:b/>
            </w:rPr>
            <w:tab/>
          </w:r>
        </w:p>
      </w:tc>
      <w:tc>
        <w:tcPr>
          <w:tcW w:w="4253" w:type="dxa"/>
        </w:tcPr>
        <w:p w14:paraId="1F1B0537" w14:textId="65B494EC" w:rsidR="00141735" w:rsidRPr="00D230C9" w:rsidRDefault="00D230C9" w:rsidP="00B11E96">
          <w:pPr>
            <w:rPr>
              <w:highlight w:val="black"/>
            </w:rPr>
          </w:pPr>
          <w:r w:rsidRPr="00D230C9">
            <w:rPr>
              <w:highlight w:val="black"/>
            </w:rPr>
            <w:t>XXXXXXXXXXXXXXXXXXXXXXX</w:t>
          </w:r>
        </w:p>
      </w:tc>
    </w:tr>
    <w:tr w:rsidR="00141735" w14:paraId="5113CAA6" w14:textId="77777777" w:rsidTr="005747CD">
      <w:trPr>
        <w:trHeight w:val="261"/>
      </w:trPr>
      <w:tc>
        <w:tcPr>
          <w:tcW w:w="2551" w:type="dxa"/>
        </w:tcPr>
        <w:p w14:paraId="28E3431B" w14:textId="30EC7C18" w:rsidR="00141735" w:rsidRDefault="00141735">
          <w:pPr>
            <w:tabs>
              <w:tab w:val="right" w:pos="8838"/>
            </w:tabs>
            <w:ind w:right="-105"/>
            <w:rPr>
              <w:b/>
            </w:rPr>
          </w:pPr>
          <w:r>
            <w:rPr>
              <w:b/>
            </w:rPr>
            <w:t>Sujeto Obligado:</w:t>
          </w:r>
        </w:p>
      </w:tc>
      <w:tc>
        <w:tcPr>
          <w:tcW w:w="4253" w:type="dxa"/>
        </w:tcPr>
        <w:p w14:paraId="3192354E" w14:textId="3FC2FE6B" w:rsidR="00141735" w:rsidRPr="00026C6B" w:rsidRDefault="00141735" w:rsidP="00026C6B">
          <w:r w:rsidRPr="00B11E96">
            <w:t>Ayuntamiento de Coyotepec</w:t>
          </w:r>
        </w:p>
      </w:tc>
    </w:tr>
    <w:tr w:rsidR="00141735" w14:paraId="5D4C2A35" w14:textId="77777777" w:rsidTr="005747CD">
      <w:trPr>
        <w:trHeight w:val="261"/>
      </w:trPr>
      <w:tc>
        <w:tcPr>
          <w:tcW w:w="2551" w:type="dxa"/>
        </w:tcPr>
        <w:p w14:paraId="7F522FEC" w14:textId="77777777" w:rsidR="00141735" w:rsidRDefault="00141735">
          <w:pPr>
            <w:tabs>
              <w:tab w:val="right" w:pos="8838"/>
            </w:tabs>
            <w:ind w:right="-105"/>
            <w:rPr>
              <w:b/>
            </w:rPr>
          </w:pPr>
          <w:r>
            <w:rPr>
              <w:b/>
            </w:rPr>
            <w:t>Comisionado Ponente:</w:t>
          </w:r>
        </w:p>
      </w:tc>
      <w:tc>
        <w:tcPr>
          <w:tcW w:w="4253" w:type="dxa"/>
        </w:tcPr>
        <w:p w14:paraId="0F0566F9" w14:textId="77777777" w:rsidR="00141735" w:rsidRPr="00EF0C39" w:rsidRDefault="00141735" w:rsidP="00C46A25">
          <w:pPr>
            <w:tabs>
              <w:tab w:val="right" w:pos="8838"/>
            </w:tabs>
            <w:ind w:right="-32"/>
            <w:rPr>
              <w:b/>
            </w:rPr>
          </w:pPr>
          <w:r w:rsidRPr="00EF0C39">
            <w:t>Luis Gustavo Parra Noriega</w:t>
          </w:r>
        </w:p>
      </w:tc>
    </w:tr>
  </w:tbl>
  <w:p w14:paraId="4DFC2598" w14:textId="77777777" w:rsidR="00141735" w:rsidRDefault="009D484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6189" w:hanging="360"/>
      </w:pPr>
      <w:rPr>
        <w:rFonts w:ascii="Palatino Linotype" w:eastAsia="Palatino Linotype" w:hAnsi="Palatino Linotype" w:cs="Palatino Linotype"/>
      </w:rPr>
    </w:lvl>
    <w:lvl w:ilvl="1">
      <w:start w:val="1"/>
      <w:numFmt w:val="bullet"/>
      <w:lvlText w:val="o"/>
      <w:lvlJc w:val="left"/>
      <w:pPr>
        <w:ind w:left="6909" w:hanging="360"/>
      </w:pPr>
      <w:rPr>
        <w:rFonts w:ascii="Courier New" w:eastAsia="Courier New" w:hAnsi="Courier New" w:cs="Courier New"/>
      </w:rPr>
    </w:lvl>
    <w:lvl w:ilvl="2">
      <w:start w:val="1"/>
      <w:numFmt w:val="bullet"/>
      <w:lvlText w:val="▪"/>
      <w:lvlJc w:val="left"/>
      <w:pPr>
        <w:ind w:left="7629" w:hanging="360"/>
      </w:pPr>
      <w:rPr>
        <w:rFonts w:ascii="Noto Sans Symbols" w:eastAsia="Noto Sans Symbols" w:hAnsi="Noto Sans Symbols" w:cs="Noto Sans Symbols"/>
      </w:rPr>
    </w:lvl>
    <w:lvl w:ilvl="3">
      <w:start w:val="1"/>
      <w:numFmt w:val="bullet"/>
      <w:lvlText w:val="●"/>
      <w:lvlJc w:val="left"/>
      <w:pPr>
        <w:ind w:left="8349" w:hanging="360"/>
      </w:pPr>
      <w:rPr>
        <w:rFonts w:ascii="Noto Sans Symbols" w:eastAsia="Noto Sans Symbols" w:hAnsi="Noto Sans Symbols" w:cs="Noto Sans Symbols"/>
      </w:rPr>
    </w:lvl>
    <w:lvl w:ilvl="4">
      <w:start w:val="1"/>
      <w:numFmt w:val="bullet"/>
      <w:lvlText w:val="o"/>
      <w:lvlJc w:val="left"/>
      <w:pPr>
        <w:ind w:left="9069" w:hanging="360"/>
      </w:pPr>
      <w:rPr>
        <w:rFonts w:ascii="Courier New" w:eastAsia="Courier New" w:hAnsi="Courier New" w:cs="Courier New"/>
      </w:rPr>
    </w:lvl>
    <w:lvl w:ilvl="5">
      <w:start w:val="1"/>
      <w:numFmt w:val="bullet"/>
      <w:lvlText w:val="▪"/>
      <w:lvlJc w:val="left"/>
      <w:pPr>
        <w:ind w:left="9789" w:hanging="360"/>
      </w:pPr>
      <w:rPr>
        <w:rFonts w:ascii="Noto Sans Symbols" w:eastAsia="Noto Sans Symbols" w:hAnsi="Noto Sans Symbols" w:cs="Noto Sans Symbols"/>
      </w:rPr>
    </w:lvl>
    <w:lvl w:ilvl="6">
      <w:start w:val="1"/>
      <w:numFmt w:val="bullet"/>
      <w:lvlText w:val="●"/>
      <w:lvlJc w:val="left"/>
      <w:pPr>
        <w:ind w:left="10509" w:hanging="360"/>
      </w:pPr>
      <w:rPr>
        <w:rFonts w:ascii="Noto Sans Symbols" w:eastAsia="Noto Sans Symbols" w:hAnsi="Noto Sans Symbols" w:cs="Noto Sans Symbols"/>
      </w:rPr>
    </w:lvl>
    <w:lvl w:ilvl="7">
      <w:start w:val="1"/>
      <w:numFmt w:val="bullet"/>
      <w:lvlText w:val="o"/>
      <w:lvlJc w:val="left"/>
      <w:pPr>
        <w:ind w:left="11229" w:hanging="360"/>
      </w:pPr>
      <w:rPr>
        <w:rFonts w:ascii="Courier New" w:eastAsia="Courier New" w:hAnsi="Courier New" w:cs="Courier New"/>
      </w:rPr>
    </w:lvl>
    <w:lvl w:ilvl="8">
      <w:start w:val="1"/>
      <w:numFmt w:val="bullet"/>
      <w:lvlText w:val="▪"/>
      <w:lvlJc w:val="left"/>
      <w:pPr>
        <w:ind w:left="11949" w:hanging="360"/>
      </w:pPr>
      <w:rPr>
        <w:rFonts w:ascii="Noto Sans Symbols" w:eastAsia="Noto Sans Symbols" w:hAnsi="Noto Sans Symbols" w:cs="Noto Sans Symbols"/>
      </w:rPr>
    </w:lvl>
  </w:abstractNum>
  <w:abstractNum w:abstractNumId="1" w15:restartNumberingAfterBreak="0">
    <w:nsid w:val="06D53F0E"/>
    <w:multiLevelType w:val="hybridMultilevel"/>
    <w:tmpl w:val="6BD098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E65BD"/>
    <w:multiLevelType w:val="hybridMultilevel"/>
    <w:tmpl w:val="BD807E1E"/>
    <w:lvl w:ilvl="0" w:tplc="C8169A16">
      <w:start w:val="1"/>
      <w:numFmt w:val="bullet"/>
      <w:lvlText w:val=""/>
      <w:lvlJc w:val="left"/>
      <w:pPr>
        <w:ind w:left="780" w:hanging="360"/>
      </w:pPr>
      <w:rPr>
        <w:rFonts w:ascii="Symbol" w:hAnsi="Symbol"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1116373"/>
    <w:multiLevelType w:val="hybridMultilevel"/>
    <w:tmpl w:val="1FA2F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D66DE8"/>
    <w:multiLevelType w:val="hybridMultilevel"/>
    <w:tmpl w:val="6BD098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AC1578"/>
    <w:multiLevelType w:val="hybridMultilevel"/>
    <w:tmpl w:val="8EFCF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C53AD"/>
    <w:multiLevelType w:val="hybridMultilevel"/>
    <w:tmpl w:val="DC9AAE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8B356B"/>
    <w:multiLevelType w:val="hybridMultilevel"/>
    <w:tmpl w:val="F8E07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675D08"/>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0206FB"/>
    <w:multiLevelType w:val="hybridMultilevel"/>
    <w:tmpl w:val="11B82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1C4EA9"/>
    <w:multiLevelType w:val="hybridMultilevel"/>
    <w:tmpl w:val="6BD098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802DDF"/>
    <w:multiLevelType w:val="hybridMultilevel"/>
    <w:tmpl w:val="1780C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AF252D"/>
    <w:multiLevelType w:val="hybridMultilevel"/>
    <w:tmpl w:val="D83AC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1"/>
  </w:num>
  <w:num w:numId="11">
    <w:abstractNumId w:val="20"/>
  </w:num>
  <w:num w:numId="12">
    <w:abstractNumId w:val="9"/>
  </w:num>
  <w:num w:numId="13">
    <w:abstractNumId w:val="8"/>
  </w:num>
  <w:num w:numId="14">
    <w:abstractNumId w:val="7"/>
  </w:num>
  <w:num w:numId="15">
    <w:abstractNumId w:val="21"/>
  </w:num>
  <w:num w:numId="16">
    <w:abstractNumId w:val="14"/>
  </w:num>
  <w:num w:numId="17">
    <w:abstractNumId w:val="17"/>
  </w:num>
  <w:num w:numId="18">
    <w:abstractNumId w:val="4"/>
  </w:num>
  <w:num w:numId="19">
    <w:abstractNumId w:val="2"/>
  </w:num>
  <w:num w:numId="20">
    <w:abstractNumId w:val="12"/>
  </w:num>
  <w:num w:numId="21">
    <w:abstractNumId w:val="13"/>
  </w:num>
  <w:num w:numId="22">
    <w:abstractNumId w:val="3"/>
  </w:num>
  <w:num w:numId="23">
    <w:abstractNumId w:val="23"/>
  </w:num>
  <w:num w:numId="24">
    <w:abstractNumId w:val="22"/>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201B0"/>
    <w:rsid w:val="000205E5"/>
    <w:rsid w:val="00021BE0"/>
    <w:rsid w:val="00023BBD"/>
    <w:rsid w:val="000255D3"/>
    <w:rsid w:val="0002588C"/>
    <w:rsid w:val="00026B5A"/>
    <w:rsid w:val="00026C6B"/>
    <w:rsid w:val="0003084A"/>
    <w:rsid w:val="00030974"/>
    <w:rsid w:val="000316C2"/>
    <w:rsid w:val="00033026"/>
    <w:rsid w:val="0003318A"/>
    <w:rsid w:val="00033683"/>
    <w:rsid w:val="00033F2C"/>
    <w:rsid w:val="0003782D"/>
    <w:rsid w:val="0004134C"/>
    <w:rsid w:val="000426D2"/>
    <w:rsid w:val="00050E2E"/>
    <w:rsid w:val="000602BA"/>
    <w:rsid w:val="00061123"/>
    <w:rsid w:val="000709AA"/>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5FB6"/>
    <w:rsid w:val="00096C21"/>
    <w:rsid w:val="00096CFE"/>
    <w:rsid w:val="00097C52"/>
    <w:rsid w:val="000A1720"/>
    <w:rsid w:val="000A2EA2"/>
    <w:rsid w:val="000A3910"/>
    <w:rsid w:val="000A5B44"/>
    <w:rsid w:val="000A706F"/>
    <w:rsid w:val="000B2470"/>
    <w:rsid w:val="000B3514"/>
    <w:rsid w:val="000B3C28"/>
    <w:rsid w:val="000B3C56"/>
    <w:rsid w:val="000B4503"/>
    <w:rsid w:val="000B49C4"/>
    <w:rsid w:val="000C0CBE"/>
    <w:rsid w:val="000C10A2"/>
    <w:rsid w:val="000C4A35"/>
    <w:rsid w:val="000C567D"/>
    <w:rsid w:val="000C6036"/>
    <w:rsid w:val="000C7D5D"/>
    <w:rsid w:val="000D04D2"/>
    <w:rsid w:val="000D1EFD"/>
    <w:rsid w:val="000D257F"/>
    <w:rsid w:val="000D260F"/>
    <w:rsid w:val="000D3AD3"/>
    <w:rsid w:val="000D46ED"/>
    <w:rsid w:val="000D6774"/>
    <w:rsid w:val="000D7457"/>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22ED0"/>
    <w:rsid w:val="00122FBD"/>
    <w:rsid w:val="00123FD7"/>
    <w:rsid w:val="00124AF7"/>
    <w:rsid w:val="00125905"/>
    <w:rsid w:val="00125DEF"/>
    <w:rsid w:val="00125F26"/>
    <w:rsid w:val="001260CE"/>
    <w:rsid w:val="0012618B"/>
    <w:rsid w:val="00126AD3"/>
    <w:rsid w:val="001325F3"/>
    <w:rsid w:val="00132F29"/>
    <w:rsid w:val="00134465"/>
    <w:rsid w:val="00141735"/>
    <w:rsid w:val="001418BD"/>
    <w:rsid w:val="00141BAD"/>
    <w:rsid w:val="001425CB"/>
    <w:rsid w:val="001434E7"/>
    <w:rsid w:val="001470ED"/>
    <w:rsid w:val="001479C0"/>
    <w:rsid w:val="00147F25"/>
    <w:rsid w:val="001502AB"/>
    <w:rsid w:val="001507E8"/>
    <w:rsid w:val="00153139"/>
    <w:rsid w:val="001548D6"/>
    <w:rsid w:val="001558BD"/>
    <w:rsid w:val="00155BD1"/>
    <w:rsid w:val="001566D4"/>
    <w:rsid w:val="001622E7"/>
    <w:rsid w:val="0016373E"/>
    <w:rsid w:val="00163D9F"/>
    <w:rsid w:val="00165AB2"/>
    <w:rsid w:val="00166452"/>
    <w:rsid w:val="00166907"/>
    <w:rsid w:val="00166A42"/>
    <w:rsid w:val="00170ACC"/>
    <w:rsid w:val="001710E2"/>
    <w:rsid w:val="0017245F"/>
    <w:rsid w:val="00175910"/>
    <w:rsid w:val="00181D59"/>
    <w:rsid w:val="00184025"/>
    <w:rsid w:val="00184ED6"/>
    <w:rsid w:val="00192C48"/>
    <w:rsid w:val="00195EC3"/>
    <w:rsid w:val="0019787E"/>
    <w:rsid w:val="001A0321"/>
    <w:rsid w:val="001A2062"/>
    <w:rsid w:val="001A5A72"/>
    <w:rsid w:val="001A5B6F"/>
    <w:rsid w:val="001A6C0E"/>
    <w:rsid w:val="001B2090"/>
    <w:rsid w:val="001B34AA"/>
    <w:rsid w:val="001B4E28"/>
    <w:rsid w:val="001B7EFB"/>
    <w:rsid w:val="001C638A"/>
    <w:rsid w:val="001D1635"/>
    <w:rsid w:val="001D24CD"/>
    <w:rsid w:val="001D3FB9"/>
    <w:rsid w:val="001D4F21"/>
    <w:rsid w:val="001D5DBE"/>
    <w:rsid w:val="001D7D0E"/>
    <w:rsid w:val="001E4284"/>
    <w:rsid w:val="001E4ECA"/>
    <w:rsid w:val="001E6077"/>
    <w:rsid w:val="001F285F"/>
    <w:rsid w:val="001F6FD5"/>
    <w:rsid w:val="00200E63"/>
    <w:rsid w:val="002025F4"/>
    <w:rsid w:val="00203F8C"/>
    <w:rsid w:val="00204DE3"/>
    <w:rsid w:val="002066C9"/>
    <w:rsid w:val="0020727C"/>
    <w:rsid w:val="00211CD8"/>
    <w:rsid w:val="002217AE"/>
    <w:rsid w:val="00223487"/>
    <w:rsid w:val="002238B8"/>
    <w:rsid w:val="00227456"/>
    <w:rsid w:val="0022751C"/>
    <w:rsid w:val="00230985"/>
    <w:rsid w:val="00230B8F"/>
    <w:rsid w:val="00243764"/>
    <w:rsid w:val="002475DE"/>
    <w:rsid w:val="00251665"/>
    <w:rsid w:val="00252910"/>
    <w:rsid w:val="002529AD"/>
    <w:rsid w:val="00252A2A"/>
    <w:rsid w:val="00253448"/>
    <w:rsid w:val="00253A9C"/>
    <w:rsid w:val="0025520C"/>
    <w:rsid w:val="00256725"/>
    <w:rsid w:val="00257C2B"/>
    <w:rsid w:val="0026163E"/>
    <w:rsid w:val="00261B92"/>
    <w:rsid w:val="00261CB4"/>
    <w:rsid w:val="00261DF6"/>
    <w:rsid w:val="0026345D"/>
    <w:rsid w:val="00266E26"/>
    <w:rsid w:val="00267457"/>
    <w:rsid w:val="002674A1"/>
    <w:rsid w:val="00271E85"/>
    <w:rsid w:val="00273A4E"/>
    <w:rsid w:val="00274745"/>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C3A"/>
    <w:rsid w:val="002C4A39"/>
    <w:rsid w:val="002C516D"/>
    <w:rsid w:val="002C7C43"/>
    <w:rsid w:val="002D2107"/>
    <w:rsid w:val="002D2619"/>
    <w:rsid w:val="002D2A77"/>
    <w:rsid w:val="002E2627"/>
    <w:rsid w:val="002E34B7"/>
    <w:rsid w:val="002E5C0E"/>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5E3B"/>
    <w:rsid w:val="00353296"/>
    <w:rsid w:val="0035368D"/>
    <w:rsid w:val="00354255"/>
    <w:rsid w:val="00355CCB"/>
    <w:rsid w:val="00355D05"/>
    <w:rsid w:val="00356E1B"/>
    <w:rsid w:val="003602C9"/>
    <w:rsid w:val="0036042F"/>
    <w:rsid w:val="0036058E"/>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5A7"/>
    <w:rsid w:val="003B6F0C"/>
    <w:rsid w:val="003C01AD"/>
    <w:rsid w:val="003C13CD"/>
    <w:rsid w:val="003C28F2"/>
    <w:rsid w:val="003C7338"/>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1096D"/>
    <w:rsid w:val="00410F6B"/>
    <w:rsid w:val="00416147"/>
    <w:rsid w:val="00417AAE"/>
    <w:rsid w:val="00417F3A"/>
    <w:rsid w:val="00420209"/>
    <w:rsid w:val="004214D5"/>
    <w:rsid w:val="00422311"/>
    <w:rsid w:val="004304E6"/>
    <w:rsid w:val="004326F9"/>
    <w:rsid w:val="00433A5B"/>
    <w:rsid w:val="00434B43"/>
    <w:rsid w:val="004352C6"/>
    <w:rsid w:val="00436F80"/>
    <w:rsid w:val="0044017B"/>
    <w:rsid w:val="00440F8D"/>
    <w:rsid w:val="00442432"/>
    <w:rsid w:val="0044320C"/>
    <w:rsid w:val="0044451C"/>
    <w:rsid w:val="00446CA3"/>
    <w:rsid w:val="004479B9"/>
    <w:rsid w:val="0045046D"/>
    <w:rsid w:val="00455EA5"/>
    <w:rsid w:val="00456B23"/>
    <w:rsid w:val="00461DF2"/>
    <w:rsid w:val="004649E0"/>
    <w:rsid w:val="00467659"/>
    <w:rsid w:val="00471E99"/>
    <w:rsid w:val="004721AA"/>
    <w:rsid w:val="00473151"/>
    <w:rsid w:val="00474793"/>
    <w:rsid w:val="00475E62"/>
    <w:rsid w:val="004770B3"/>
    <w:rsid w:val="00481F23"/>
    <w:rsid w:val="00483320"/>
    <w:rsid w:val="00484E27"/>
    <w:rsid w:val="00487556"/>
    <w:rsid w:val="00492333"/>
    <w:rsid w:val="0049788F"/>
    <w:rsid w:val="004A10B0"/>
    <w:rsid w:val="004A10E6"/>
    <w:rsid w:val="004A4C07"/>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56D3"/>
    <w:rsid w:val="004F59FB"/>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5C00"/>
    <w:rsid w:val="00526EC4"/>
    <w:rsid w:val="00527563"/>
    <w:rsid w:val="005302BB"/>
    <w:rsid w:val="00530B10"/>
    <w:rsid w:val="0053198B"/>
    <w:rsid w:val="00531A8A"/>
    <w:rsid w:val="00535A8D"/>
    <w:rsid w:val="00537C32"/>
    <w:rsid w:val="005417AE"/>
    <w:rsid w:val="00545D04"/>
    <w:rsid w:val="005501BA"/>
    <w:rsid w:val="00550C0B"/>
    <w:rsid w:val="005520E3"/>
    <w:rsid w:val="005525E5"/>
    <w:rsid w:val="00552C67"/>
    <w:rsid w:val="005569DD"/>
    <w:rsid w:val="00562D89"/>
    <w:rsid w:val="0056443F"/>
    <w:rsid w:val="00572946"/>
    <w:rsid w:val="005732F8"/>
    <w:rsid w:val="005747CD"/>
    <w:rsid w:val="00580345"/>
    <w:rsid w:val="005816DE"/>
    <w:rsid w:val="00582441"/>
    <w:rsid w:val="00582FC0"/>
    <w:rsid w:val="00585C29"/>
    <w:rsid w:val="005867A9"/>
    <w:rsid w:val="0058767A"/>
    <w:rsid w:val="00590FB7"/>
    <w:rsid w:val="005914EE"/>
    <w:rsid w:val="005A0A77"/>
    <w:rsid w:val="005A39F4"/>
    <w:rsid w:val="005A79D9"/>
    <w:rsid w:val="005A7C36"/>
    <w:rsid w:val="005B21C9"/>
    <w:rsid w:val="005B6BFA"/>
    <w:rsid w:val="005C03D2"/>
    <w:rsid w:val="005C20B7"/>
    <w:rsid w:val="005C3BAC"/>
    <w:rsid w:val="005C4598"/>
    <w:rsid w:val="005C4CCD"/>
    <w:rsid w:val="005C6174"/>
    <w:rsid w:val="005C64F3"/>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B93"/>
    <w:rsid w:val="005F5498"/>
    <w:rsid w:val="005F773E"/>
    <w:rsid w:val="005F785A"/>
    <w:rsid w:val="00600A20"/>
    <w:rsid w:val="00602124"/>
    <w:rsid w:val="00602E5C"/>
    <w:rsid w:val="006033D0"/>
    <w:rsid w:val="006037C1"/>
    <w:rsid w:val="006059DA"/>
    <w:rsid w:val="006069B8"/>
    <w:rsid w:val="00606B1A"/>
    <w:rsid w:val="006206A1"/>
    <w:rsid w:val="006207EF"/>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88A"/>
    <w:rsid w:val="00680F20"/>
    <w:rsid w:val="00684E69"/>
    <w:rsid w:val="00687BCB"/>
    <w:rsid w:val="00690202"/>
    <w:rsid w:val="0069037C"/>
    <w:rsid w:val="00692763"/>
    <w:rsid w:val="00692CEE"/>
    <w:rsid w:val="006935E9"/>
    <w:rsid w:val="00694971"/>
    <w:rsid w:val="0069657C"/>
    <w:rsid w:val="006A0CDD"/>
    <w:rsid w:val="006B0607"/>
    <w:rsid w:val="006B083B"/>
    <w:rsid w:val="006B3839"/>
    <w:rsid w:val="006B4C0B"/>
    <w:rsid w:val="006C0BD7"/>
    <w:rsid w:val="006C17DE"/>
    <w:rsid w:val="006C25E4"/>
    <w:rsid w:val="006C3470"/>
    <w:rsid w:val="006C43E9"/>
    <w:rsid w:val="006C6EBC"/>
    <w:rsid w:val="006C7CD1"/>
    <w:rsid w:val="006C7E76"/>
    <w:rsid w:val="006D16BD"/>
    <w:rsid w:val="006D1CE7"/>
    <w:rsid w:val="006D2366"/>
    <w:rsid w:val="006D2960"/>
    <w:rsid w:val="006D38EB"/>
    <w:rsid w:val="006D49E4"/>
    <w:rsid w:val="006D65A5"/>
    <w:rsid w:val="006D6790"/>
    <w:rsid w:val="006D77D1"/>
    <w:rsid w:val="006D7FDA"/>
    <w:rsid w:val="006E33C5"/>
    <w:rsid w:val="006E5EEB"/>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45B"/>
    <w:rsid w:val="007248C4"/>
    <w:rsid w:val="007279D2"/>
    <w:rsid w:val="0073003B"/>
    <w:rsid w:val="00730D6D"/>
    <w:rsid w:val="00731FB9"/>
    <w:rsid w:val="007331D2"/>
    <w:rsid w:val="00737FDE"/>
    <w:rsid w:val="00741DC7"/>
    <w:rsid w:val="007428C7"/>
    <w:rsid w:val="00743915"/>
    <w:rsid w:val="0074523A"/>
    <w:rsid w:val="00747CDF"/>
    <w:rsid w:val="00751A94"/>
    <w:rsid w:val="00754B31"/>
    <w:rsid w:val="00762A7C"/>
    <w:rsid w:val="00764BBE"/>
    <w:rsid w:val="0076657F"/>
    <w:rsid w:val="007709FF"/>
    <w:rsid w:val="00770BF5"/>
    <w:rsid w:val="00770DC0"/>
    <w:rsid w:val="00770E69"/>
    <w:rsid w:val="00771614"/>
    <w:rsid w:val="007723F6"/>
    <w:rsid w:val="0077397E"/>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5BA"/>
    <w:rsid w:val="00800641"/>
    <w:rsid w:val="008027F2"/>
    <w:rsid w:val="00803119"/>
    <w:rsid w:val="008036B9"/>
    <w:rsid w:val="00803884"/>
    <w:rsid w:val="0081186D"/>
    <w:rsid w:val="00812FF1"/>
    <w:rsid w:val="0081756A"/>
    <w:rsid w:val="008201FA"/>
    <w:rsid w:val="008230CB"/>
    <w:rsid w:val="008234EA"/>
    <w:rsid w:val="00826071"/>
    <w:rsid w:val="00826E84"/>
    <w:rsid w:val="00830986"/>
    <w:rsid w:val="008311C6"/>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33B"/>
    <w:rsid w:val="00864C7E"/>
    <w:rsid w:val="008659CE"/>
    <w:rsid w:val="0087213E"/>
    <w:rsid w:val="00874EE7"/>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1E9F"/>
    <w:rsid w:val="008D28E1"/>
    <w:rsid w:val="008D3B3F"/>
    <w:rsid w:val="008D43A8"/>
    <w:rsid w:val="008D46FC"/>
    <w:rsid w:val="008D58F4"/>
    <w:rsid w:val="008D7C22"/>
    <w:rsid w:val="008E0D53"/>
    <w:rsid w:val="008E0DC4"/>
    <w:rsid w:val="008E5E71"/>
    <w:rsid w:val="008E736C"/>
    <w:rsid w:val="008E7959"/>
    <w:rsid w:val="008E7C3D"/>
    <w:rsid w:val="008F0749"/>
    <w:rsid w:val="008F4E82"/>
    <w:rsid w:val="008F5A51"/>
    <w:rsid w:val="00900916"/>
    <w:rsid w:val="009019A8"/>
    <w:rsid w:val="00903E21"/>
    <w:rsid w:val="0090431D"/>
    <w:rsid w:val="009048A7"/>
    <w:rsid w:val="00905638"/>
    <w:rsid w:val="00910872"/>
    <w:rsid w:val="00913279"/>
    <w:rsid w:val="00913AC7"/>
    <w:rsid w:val="009151B6"/>
    <w:rsid w:val="00915E1E"/>
    <w:rsid w:val="00916347"/>
    <w:rsid w:val="00922F61"/>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6BEF"/>
    <w:rsid w:val="00977989"/>
    <w:rsid w:val="00983208"/>
    <w:rsid w:val="00983A37"/>
    <w:rsid w:val="00983F77"/>
    <w:rsid w:val="00986D91"/>
    <w:rsid w:val="00992901"/>
    <w:rsid w:val="009948FA"/>
    <w:rsid w:val="00996BDA"/>
    <w:rsid w:val="009973CB"/>
    <w:rsid w:val="009A136D"/>
    <w:rsid w:val="009A48E6"/>
    <w:rsid w:val="009A5A8E"/>
    <w:rsid w:val="009A6D27"/>
    <w:rsid w:val="009B1B0E"/>
    <w:rsid w:val="009B2DAB"/>
    <w:rsid w:val="009B3CF8"/>
    <w:rsid w:val="009B4A11"/>
    <w:rsid w:val="009B614F"/>
    <w:rsid w:val="009C04AF"/>
    <w:rsid w:val="009C11B4"/>
    <w:rsid w:val="009C1F1B"/>
    <w:rsid w:val="009C3818"/>
    <w:rsid w:val="009C3A1D"/>
    <w:rsid w:val="009C3A5C"/>
    <w:rsid w:val="009C3C89"/>
    <w:rsid w:val="009C6467"/>
    <w:rsid w:val="009D07C4"/>
    <w:rsid w:val="009D41AB"/>
    <w:rsid w:val="009D4333"/>
    <w:rsid w:val="009D443C"/>
    <w:rsid w:val="009D484B"/>
    <w:rsid w:val="009D4BA7"/>
    <w:rsid w:val="009D7D07"/>
    <w:rsid w:val="009E03A4"/>
    <w:rsid w:val="009E0F24"/>
    <w:rsid w:val="009E263E"/>
    <w:rsid w:val="009E29E8"/>
    <w:rsid w:val="009E2E2A"/>
    <w:rsid w:val="009E4128"/>
    <w:rsid w:val="009E4A04"/>
    <w:rsid w:val="009F3790"/>
    <w:rsid w:val="009F39DF"/>
    <w:rsid w:val="009F6813"/>
    <w:rsid w:val="009F77E4"/>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47481"/>
    <w:rsid w:val="00A51D86"/>
    <w:rsid w:val="00A52408"/>
    <w:rsid w:val="00A538A9"/>
    <w:rsid w:val="00A54AEE"/>
    <w:rsid w:val="00A55E82"/>
    <w:rsid w:val="00A56228"/>
    <w:rsid w:val="00A576F9"/>
    <w:rsid w:val="00A60433"/>
    <w:rsid w:val="00A60BDF"/>
    <w:rsid w:val="00A61618"/>
    <w:rsid w:val="00A620E2"/>
    <w:rsid w:val="00A63444"/>
    <w:rsid w:val="00A63E30"/>
    <w:rsid w:val="00A6488A"/>
    <w:rsid w:val="00A660B5"/>
    <w:rsid w:val="00A675B0"/>
    <w:rsid w:val="00A73E9A"/>
    <w:rsid w:val="00A7487F"/>
    <w:rsid w:val="00A753B3"/>
    <w:rsid w:val="00A758B3"/>
    <w:rsid w:val="00A75C5D"/>
    <w:rsid w:val="00A805B7"/>
    <w:rsid w:val="00A82BA4"/>
    <w:rsid w:val="00A8342D"/>
    <w:rsid w:val="00A84E9B"/>
    <w:rsid w:val="00A85D07"/>
    <w:rsid w:val="00A915DD"/>
    <w:rsid w:val="00A9286C"/>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45E1"/>
    <w:rsid w:val="00AC4EC9"/>
    <w:rsid w:val="00AC5D01"/>
    <w:rsid w:val="00AC5DB0"/>
    <w:rsid w:val="00AC70CA"/>
    <w:rsid w:val="00AC7111"/>
    <w:rsid w:val="00AD306F"/>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3235"/>
    <w:rsid w:val="00B03A57"/>
    <w:rsid w:val="00B04A35"/>
    <w:rsid w:val="00B04BE1"/>
    <w:rsid w:val="00B050D9"/>
    <w:rsid w:val="00B11E96"/>
    <w:rsid w:val="00B123FB"/>
    <w:rsid w:val="00B1247F"/>
    <w:rsid w:val="00B153FA"/>
    <w:rsid w:val="00B22A17"/>
    <w:rsid w:val="00B22B9F"/>
    <w:rsid w:val="00B22F78"/>
    <w:rsid w:val="00B27131"/>
    <w:rsid w:val="00B27951"/>
    <w:rsid w:val="00B31892"/>
    <w:rsid w:val="00B32689"/>
    <w:rsid w:val="00B331EC"/>
    <w:rsid w:val="00B35F83"/>
    <w:rsid w:val="00B36A30"/>
    <w:rsid w:val="00B42F31"/>
    <w:rsid w:val="00B43D92"/>
    <w:rsid w:val="00B504F0"/>
    <w:rsid w:val="00B51050"/>
    <w:rsid w:val="00B52CAD"/>
    <w:rsid w:val="00B53EAF"/>
    <w:rsid w:val="00B554D6"/>
    <w:rsid w:val="00B568CE"/>
    <w:rsid w:val="00B6454E"/>
    <w:rsid w:val="00B65BCA"/>
    <w:rsid w:val="00B6639B"/>
    <w:rsid w:val="00B66F84"/>
    <w:rsid w:val="00B675A3"/>
    <w:rsid w:val="00B67947"/>
    <w:rsid w:val="00B7570D"/>
    <w:rsid w:val="00B80E36"/>
    <w:rsid w:val="00B84F6E"/>
    <w:rsid w:val="00B92A18"/>
    <w:rsid w:val="00B9500B"/>
    <w:rsid w:val="00B970C0"/>
    <w:rsid w:val="00BA1D80"/>
    <w:rsid w:val="00BA4E6F"/>
    <w:rsid w:val="00BA56A8"/>
    <w:rsid w:val="00BA784F"/>
    <w:rsid w:val="00BA7A1E"/>
    <w:rsid w:val="00BB3F28"/>
    <w:rsid w:val="00BB3FF9"/>
    <w:rsid w:val="00BB4FD9"/>
    <w:rsid w:val="00BB5711"/>
    <w:rsid w:val="00BB5722"/>
    <w:rsid w:val="00BB6693"/>
    <w:rsid w:val="00BB6BB6"/>
    <w:rsid w:val="00BB6CD0"/>
    <w:rsid w:val="00BC02E9"/>
    <w:rsid w:val="00BC17E4"/>
    <w:rsid w:val="00BC3EC5"/>
    <w:rsid w:val="00BC46B6"/>
    <w:rsid w:val="00BC5546"/>
    <w:rsid w:val="00BD23B8"/>
    <w:rsid w:val="00BD2574"/>
    <w:rsid w:val="00BD2771"/>
    <w:rsid w:val="00BD35AA"/>
    <w:rsid w:val="00BD3C78"/>
    <w:rsid w:val="00BD6505"/>
    <w:rsid w:val="00BE57BB"/>
    <w:rsid w:val="00BE7092"/>
    <w:rsid w:val="00BE7118"/>
    <w:rsid w:val="00BF0C25"/>
    <w:rsid w:val="00BF362A"/>
    <w:rsid w:val="00BF5AD6"/>
    <w:rsid w:val="00BF7869"/>
    <w:rsid w:val="00C001A3"/>
    <w:rsid w:val="00C06004"/>
    <w:rsid w:val="00C06389"/>
    <w:rsid w:val="00C11279"/>
    <w:rsid w:val="00C11A18"/>
    <w:rsid w:val="00C12B98"/>
    <w:rsid w:val="00C13A67"/>
    <w:rsid w:val="00C13CD5"/>
    <w:rsid w:val="00C143DF"/>
    <w:rsid w:val="00C157A7"/>
    <w:rsid w:val="00C2045C"/>
    <w:rsid w:val="00C218B8"/>
    <w:rsid w:val="00C26633"/>
    <w:rsid w:val="00C335A8"/>
    <w:rsid w:val="00C34810"/>
    <w:rsid w:val="00C362E2"/>
    <w:rsid w:val="00C4052B"/>
    <w:rsid w:val="00C409B6"/>
    <w:rsid w:val="00C40CD5"/>
    <w:rsid w:val="00C40DD3"/>
    <w:rsid w:val="00C42A8E"/>
    <w:rsid w:val="00C42EF8"/>
    <w:rsid w:val="00C44308"/>
    <w:rsid w:val="00C44339"/>
    <w:rsid w:val="00C46A25"/>
    <w:rsid w:val="00C47E88"/>
    <w:rsid w:val="00C500A8"/>
    <w:rsid w:val="00C51B7F"/>
    <w:rsid w:val="00C529B0"/>
    <w:rsid w:val="00C53D9F"/>
    <w:rsid w:val="00C540CA"/>
    <w:rsid w:val="00C556AB"/>
    <w:rsid w:val="00C56B62"/>
    <w:rsid w:val="00C60D14"/>
    <w:rsid w:val="00C64E46"/>
    <w:rsid w:val="00C650CF"/>
    <w:rsid w:val="00C6556B"/>
    <w:rsid w:val="00C65690"/>
    <w:rsid w:val="00C66F2D"/>
    <w:rsid w:val="00C67C95"/>
    <w:rsid w:val="00C67CE6"/>
    <w:rsid w:val="00C71154"/>
    <w:rsid w:val="00C71160"/>
    <w:rsid w:val="00C71DEC"/>
    <w:rsid w:val="00C7208B"/>
    <w:rsid w:val="00C737F2"/>
    <w:rsid w:val="00C74467"/>
    <w:rsid w:val="00C75DFF"/>
    <w:rsid w:val="00C77D00"/>
    <w:rsid w:val="00C8054F"/>
    <w:rsid w:val="00C8214A"/>
    <w:rsid w:val="00C825E5"/>
    <w:rsid w:val="00C8345C"/>
    <w:rsid w:val="00C849B4"/>
    <w:rsid w:val="00C85CD7"/>
    <w:rsid w:val="00C90815"/>
    <w:rsid w:val="00C91A6F"/>
    <w:rsid w:val="00C91D17"/>
    <w:rsid w:val="00C91E33"/>
    <w:rsid w:val="00C930C8"/>
    <w:rsid w:val="00C95611"/>
    <w:rsid w:val="00CA45CB"/>
    <w:rsid w:val="00CA4C3A"/>
    <w:rsid w:val="00CA4E57"/>
    <w:rsid w:val="00CA7AA6"/>
    <w:rsid w:val="00CA7ADA"/>
    <w:rsid w:val="00CA7C07"/>
    <w:rsid w:val="00CA7F1D"/>
    <w:rsid w:val="00CB5C38"/>
    <w:rsid w:val="00CC1C87"/>
    <w:rsid w:val="00CC1F8C"/>
    <w:rsid w:val="00CC29B3"/>
    <w:rsid w:val="00CC2EA8"/>
    <w:rsid w:val="00CC3ACB"/>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CF7B6C"/>
    <w:rsid w:val="00D02831"/>
    <w:rsid w:val="00D04C47"/>
    <w:rsid w:val="00D069F8"/>
    <w:rsid w:val="00D07E4B"/>
    <w:rsid w:val="00D1318A"/>
    <w:rsid w:val="00D13CEA"/>
    <w:rsid w:val="00D13F20"/>
    <w:rsid w:val="00D144B1"/>
    <w:rsid w:val="00D15014"/>
    <w:rsid w:val="00D15AA1"/>
    <w:rsid w:val="00D164BC"/>
    <w:rsid w:val="00D203E4"/>
    <w:rsid w:val="00D21F0B"/>
    <w:rsid w:val="00D230C9"/>
    <w:rsid w:val="00D23481"/>
    <w:rsid w:val="00D25C63"/>
    <w:rsid w:val="00D279F0"/>
    <w:rsid w:val="00D3496C"/>
    <w:rsid w:val="00D36A13"/>
    <w:rsid w:val="00D36A9F"/>
    <w:rsid w:val="00D42E23"/>
    <w:rsid w:val="00D466A8"/>
    <w:rsid w:val="00D46E14"/>
    <w:rsid w:val="00D51004"/>
    <w:rsid w:val="00D52EC1"/>
    <w:rsid w:val="00D579E6"/>
    <w:rsid w:val="00D61F97"/>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4BB0"/>
    <w:rsid w:val="00D95A1B"/>
    <w:rsid w:val="00DA0F63"/>
    <w:rsid w:val="00DA1EA0"/>
    <w:rsid w:val="00DA2E83"/>
    <w:rsid w:val="00DA3868"/>
    <w:rsid w:val="00DA3A68"/>
    <w:rsid w:val="00DA4E7C"/>
    <w:rsid w:val="00DB277C"/>
    <w:rsid w:val="00DB3FB8"/>
    <w:rsid w:val="00DB5A7F"/>
    <w:rsid w:val="00DB7DC5"/>
    <w:rsid w:val="00DC0C32"/>
    <w:rsid w:val="00DC175C"/>
    <w:rsid w:val="00DC5612"/>
    <w:rsid w:val="00DC69D9"/>
    <w:rsid w:val="00DC7159"/>
    <w:rsid w:val="00DC7C06"/>
    <w:rsid w:val="00DC7E08"/>
    <w:rsid w:val="00DD0CD5"/>
    <w:rsid w:val="00DD1932"/>
    <w:rsid w:val="00DD21A6"/>
    <w:rsid w:val="00DD2423"/>
    <w:rsid w:val="00DD4191"/>
    <w:rsid w:val="00DD732B"/>
    <w:rsid w:val="00DE00CB"/>
    <w:rsid w:val="00DE02CA"/>
    <w:rsid w:val="00DE224D"/>
    <w:rsid w:val="00DE41C5"/>
    <w:rsid w:val="00DE7C7A"/>
    <w:rsid w:val="00DF1AA9"/>
    <w:rsid w:val="00DF43D9"/>
    <w:rsid w:val="00DF7F84"/>
    <w:rsid w:val="00E022A1"/>
    <w:rsid w:val="00E0245B"/>
    <w:rsid w:val="00E02A52"/>
    <w:rsid w:val="00E0447A"/>
    <w:rsid w:val="00E052B8"/>
    <w:rsid w:val="00E10780"/>
    <w:rsid w:val="00E115FD"/>
    <w:rsid w:val="00E12804"/>
    <w:rsid w:val="00E134FA"/>
    <w:rsid w:val="00E22006"/>
    <w:rsid w:val="00E22EA8"/>
    <w:rsid w:val="00E23003"/>
    <w:rsid w:val="00E23058"/>
    <w:rsid w:val="00E25D40"/>
    <w:rsid w:val="00E319EF"/>
    <w:rsid w:val="00E31CB8"/>
    <w:rsid w:val="00E332FF"/>
    <w:rsid w:val="00E354BF"/>
    <w:rsid w:val="00E361ED"/>
    <w:rsid w:val="00E40395"/>
    <w:rsid w:val="00E40CA6"/>
    <w:rsid w:val="00E41747"/>
    <w:rsid w:val="00E4424F"/>
    <w:rsid w:val="00E44D06"/>
    <w:rsid w:val="00E46240"/>
    <w:rsid w:val="00E54144"/>
    <w:rsid w:val="00E547F7"/>
    <w:rsid w:val="00E57404"/>
    <w:rsid w:val="00E57A6E"/>
    <w:rsid w:val="00E637E7"/>
    <w:rsid w:val="00E64BEF"/>
    <w:rsid w:val="00E64E18"/>
    <w:rsid w:val="00E66BEB"/>
    <w:rsid w:val="00E71771"/>
    <w:rsid w:val="00E71F80"/>
    <w:rsid w:val="00E73985"/>
    <w:rsid w:val="00E7452D"/>
    <w:rsid w:val="00E74CB0"/>
    <w:rsid w:val="00E81B7C"/>
    <w:rsid w:val="00E85AC5"/>
    <w:rsid w:val="00E864E9"/>
    <w:rsid w:val="00E909E3"/>
    <w:rsid w:val="00E91D41"/>
    <w:rsid w:val="00E9742F"/>
    <w:rsid w:val="00EA372C"/>
    <w:rsid w:val="00EB020F"/>
    <w:rsid w:val="00EB33A4"/>
    <w:rsid w:val="00EB6216"/>
    <w:rsid w:val="00EB6CF0"/>
    <w:rsid w:val="00EC1274"/>
    <w:rsid w:val="00EC15A0"/>
    <w:rsid w:val="00EC24D9"/>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5B29"/>
    <w:rsid w:val="00EF0C39"/>
    <w:rsid w:val="00EF222E"/>
    <w:rsid w:val="00EF36E1"/>
    <w:rsid w:val="00EF6C09"/>
    <w:rsid w:val="00EF6C8B"/>
    <w:rsid w:val="00F028A5"/>
    <w:rsid w:val="00F02ACE"/>
    <w:rsid w:val="00F03463"/>
    <w:rsid w:val="00F03E2D"/>
    <w:rsid w:val="00F05082"/>
    <w:rsid w:val="00F06AF6"/>
    <w:rsid w:val="00F104DF"/>
    <w:rsid w:val="00F16F36"/>
    <w:rsid w:val="00F20567"/>
    <w:rsid w:val="00F21BA6"/>
    <w:rsid w:val="00F26C65"/>
    <w:rsid w:val="00F316B5"/>
    <w:rsid w:val="00F373F3"/>
    <w:rsid w:val="00F42088"/>
    <w:rsid w:val="00F43789"/>
    <w:rsid w:val="00F47855"/>
    <w:rsid w:val="00F50072"/>
    <w:rsid w:val="00F507C6"/>
    <w:rsid w:val="00F51CCB"/>
    <w:rsid w:val="00F51D19"/>
    <w:rsid w:val="00F530A8"/>
    <w:rsid w:val="00F550A0"/>
    <w:rsid w:val="00F56036"/>
    <w:rsid w:val="00F56168"/>
    <w:rsid w:val="00F6052D"/>
    <w:rsid w:val="00F6097F"/>
    <w:rsid w:val="00F62018"/>
    <w:rsid w:val="00F62E83"/>
    <w:rsid w:val="00F648EC"/>
    <w:rsid w:val="00F65096"/>
    <w:rsid w:val="00F65D8D"/>
    <w:rsid w:val="00F70A24"/>
    <w:rsid w:val="00F71565"/>
    <w:rsid w:val="00F7237E"/>
    <w:rsid w:val="00F73D29"/>
    <w:rsid w:val="00F7642B"/>
    <w:rsid w:val="00F80790"/>
    <w:rsid w:val="00F8788F"/>
    <w:rsid w:val="00F87926"/>
    <w:rsid w:val="00F908B7"/>
    <w:rsid w:val="00F91851"/>
    <w:rsid w:val="00F92323"/>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5141"/>
    <w:rsid w:val="00FD5CCF"/>
    <w:rsid w:val="00FD667D"/>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1288072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10435008">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2392284">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0871690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78429742">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12795455">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5820448">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611962">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5A84AD-2F12-45EF-BF98-15294345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4665</Words>
  <Characters>25658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2025-08-15T05:48:00Z</cp:lastPrinted>
  <dcterms:created xsi:type="dcterms:W3CDTF">2025-08-22T18:11:00Z</dcterms:created>
  <dcterms:modified xsi:type="dcterms:W3CDTF">2025-08-22T18:11:00Z</dcterms:modified>
</cp:coreProperties>
</file>