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79F34" w14:textId="73390E54" w:rsidR="003740F3" w:rsidRPr="0024200F" w:rsidRDefault="003740F3" w:rsidP="00B3165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0E48FC">
        <w:rPr>
          <w:rFonts w:ascii="Palatino Linotype" w:hAnsi="Palatino Linotype"/>
        </w:rPr>
        <w:t>seis de agosto</w:t>
      </w:r>
      <w:r>
        <w:rPr>
          <w:rFonts w:ascii="Palatino Linotype" w:hAnsi="Palatino Linotype"/>
        </w:rPr>
        <w:t xml:space="preserve"> de dos mil veinticinco.</w:t>
      </w:r>
    </w:p>
    <w:p w14:paraId="448352C0" w14:textId="77777777" w:rsidR="003740F3" w:rsidRPr="0024200F" w:rsidRDefault="003740F3" w:rsidP="00B31659">
      <w:pPr>
        <w:spacing w:line="360" w:lineRule="auto"/>
        <w:jc w:val="both"/>
        <w:rPr>
          <w:rFonts w:ascii="Palatino Linotype" w:hAnsi="Palatino Linotype"/>
        </w:rPr>
      </w:pPr>
    </w:p>
    <w:p w14:paraId="7D0A66D0" w14:textId="2A330435" w:rsidR="003740F3" w:rsidRPr="002C3EC8" w:rsidRDefault="003740F3" w:rsidP="00B31659">
      <w:pPr>
        <w:tabs>
          <w:tab w:val="left" w:pos="1701"/>
        </w:tabs>
        <w:spacing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w:t>
      </w:r>
      <w:r w:rsidR="000E48FC">
        <w:rPr>
          <w:rFonts w:ascii="Palatino Linotype" w:hAnsi="Palatino Linotype" w:cs="Arial"/>
          <w:b/>
          <w:bCs/>
          <w:lang w:eastAsia="es-MX"/>
        </w:rPr>
        <w:t>4040</w:t>
      </w:r>
      <w:r>
        <w:rPr>
          <w:rFonts w:ascii="Palatino Linotype" w:hAnsi="Palatino Linotype" w:cs="Arial"/>
          <w:b/>
          <w:bCs/>
          <w:lang w:eastAsia="es-MX"/>
        </w:rPr>
        <w:t>/INFOEM/IP/RR/2025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 xml:space="preserve">por </w:t>
      </w:r>
      <w:r w:rsidR="00AF224A">
        <w:rPr>
          <w:rFonts w:ascii="Palatino Linotype" w:hAnsi="Palatino Linotype"/>
        </w:rPr>
        <w:t xml:space="preserve">la C. </w:t>
      </w:r>
      <w:r w:rsidR="001E615A">
        <w:rPr>
          <w:rFonts w:ascii="Palatino Linotype" w:hAnsi="Palatino Linotype"/>
          <w:b/>
        </w:rPr>
        <w:t>XXXXXXXXXX</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contra de la respuesta</w:t>
      </w:r>
      <w:r w:rsidRPr="002C3EC8">
        <w:rPr>
          <w:rFonts w:ascii="Palatino Linotype" w:hAnsi="Palatino Linotype"/>
        </w:rPr>
        <w:t xml:space="preserve"> del </w:t>
      </w:r>
      <w:r w:rsidR="00AF224A" w:rsidRPr="00AF224A">
        <w:rPr>
          <w:rFonts w:ascii="Palatino Linotype" w:hAnsi="Palatino Linotype"/>
          <w:b/>
        </w:rPr>
        <w:t>Sistema Municipal Para el Desarrollo Integral de la Familia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13173C51" w14:textId="77777777" w:rsidR="003740F3" w:rsidRDefault="003740F3" w:rsidP="00B31659">
      <w:pPr>
        <w:pStyle w:val="infoemcitas"/>
        <w:spacing w:before="0" w:after="0"/>
        <w:jc w:val="center"/>
        <w:rPr>
          <w:b/>
          <w:bCs/>
          <w:i w:val="0"/>
          <w:iCs/>
          <w:sz w:val="28"/>
          <w:szCs w:val="28"/>
        </w:rPr>
      </w:pPr>
    </w:p>
    <w:p w14:paraId="7D71A18D" w14:textId="77777777" w:rsidR="003740F3" w:rsidRDefault="003740F3" w:rsidP="00B31659">
      <w:pPr>
        <w:pStyle w:val="infoemcitas"/>
        <w:spacing w:before="0" w:after="0"/>
        <w:jc w:val="center"/>
        <w:rPr>
          <w:b/>
          <w:bCs/>
          <w:i w:val="0"/>
          <w:iCs/>
          <w:sz w:val="28"/>
          <w:szCs w:val="28"/>
        </w:rPr>
      </w:pPr>
      <w:r w:rsidRPr="002C3EC8">
        <w:rPr>
          <w:b/>
          <w:bCs/>
          <w:i w:val="0"/>
          <w:iCs/>
          <w:sz w:val="28"/>
          <w:szCs w:val="28"/>
        </w:rPr>
        <w:t>A N T E C E D E N T E S   D E L   A S U N T O</w:t>
      </w:r>
    </w:p>
    <w:p w14:paraId="0B4F8BEC" w14:textId="77777777" w:rsidR="003740F3" w:rsidRPr="00046C81" w:rsidRDefault="003740F3" w:rsidP="00B31659">
      <w:pPr>
        <w:pStyle w:val="infoemcitas"/>
        <w:spacing w:before="0" w:after="0"/>
        <w:jc w:val="center"/>
        <w:rPr>
          <w:b/>
          <w:bCs/>
          <w:i w:val="0"/>
          <w:iCs/>
          <w:sz w:val="24"/>
          <w:szCs w:val="28"/>
        </w:rPr>
      </w:pPr>
    </w:p>
    <w:p w14:paraId="05B78D38" w14:textId="77777777" w:rsidR="003740F3" w:rsidRPr="002C3EC8" w:rsidRDefault="003740F3" w:rsidP="00B31659">
      <w:pPr>
        <w:spacing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DB13E76" w14:textId="5B9F8876" w:rsidR="003740F3" w:rsidRDefault="003740F3" w:rsidP="00B31659">
      <w:pPr>
        <w:spacing w:line="360" w:lineRule="auto"/>
        <w:jc w:val="both"/>
        <w:rPr>
          <w:rFonts w:ascii="Palatino Linotype" w:hAnsi="Palatino Linotype" w:cs="Arial"/>
        </w:rPr>
      </w:pPr>
      <w:r w:rsidRPr="00D705FF">
        <w:rPr>
          <w:rFonts w:ascii="Palatino Linotype" w:hAnsi="Palatino Linotype" w:cs="Arial"/>
        </w:rPr>
        <w:t xml:space="preserve">Con fecha </w:t>
      </w:r>
      <w:r w:rsidR="00AF224A">
        <w:rPr>
          <w:rFonts w:ascii="Palatino Linotype" w:hAnsi="Palatino Linotype" w:cs="Arial"/>
          <w:b/>
        </w:rPr>
        <w:t>diez de marzo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AF224A" w:rsidRPr="00AF224A">
        <w:rPr>
          <w:rFonts w:ascii="Palatino Linotype" w:hAnsi="Palatino Linotype" w:cs="Arial"/>
          <w:b/>
        </w:rPr>
        <w:t>00140/DIFTOLUCA/IP/2025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1D0CFE88" w14:textId="77777777" w:rsidR="00AF224A" w:rsidRPr="00D705FF" w:rsidRDefault="00AF224A" w:rsidP="00B31659">
      <w:pPr>
        <w:spacing w:line="360" w:lineRule="auto"/>
        <w:jc w:val="both"/>
        <w:rPr>
          <w:rFonts w:ascii="Palatino Linotype" w:hAnsi="Palatino Linotype" w:cs="Arial"/>
        </w:rPr>
      </w:pPr>
    </w:p>
    <w:p w14:paraId="43B619A5" w14:textId="1A7BDE54" w:rsidR="003740F3" w:rsidRPr="001C7F6F" w:rsidRDefault="003740F3" w:rsidP="00B31659">
      <w:pPr>
        <w:pStyle w:val="INFOEM"/>
        <w:spacing w:before="0" w:after="0"/>
        <w:rPr>
          <w:lang w:val="es-ES_tradnl" w:eastAsia="es-ES"/>
        </w:rPr>
      </w:pPr>
      <w:r w:rsidRPr="00D705FF">
        <w:rPr>
          <w:lang w:val="es-ES_tradnl" w:eastAsia="es-ES"/>
        </w:rPr>
        <w:t>“</w:t>
      </w:r>
      <w:r w:rsidR="00AF224A" w:rsidRPr="00AF224A">
        <w:rPr>
          <w:lang w:val="es-ES" w:eastAsia="es-ES"/>
        </w:rPr>
        <w:t xml:space="preserve">Solicito conocer a quién fueron donados dos equinos de la unidad municipal de Equinoterapia entre 2019 y 2020, cuales fueron los requisitos de entrega y si hubo algún seguimiento para garantizar el bienestar de los equinos, así como saber que </w:t>
      </w:r>
      <w:r w:rsidR="00AF224A" w:rsidRPr="00AF224A">
        <w:rPr>
          <w:lang w:val="es-ES" w:eastAsia="es-ES"/>
        </w:rPr>
        <w:lastRenderedPageBreak/>
        <w:t>pasó con el potrillo que estaba por nacer ya que tenían a una yegua embarazada en ese mismo lapso de tiempo.</w:t>
      </w:r>
      <w:r w:rsidRPr="00D705FF">
        <w:rPr>
          <w:lang w:val="es-ES_tradnl" w:eastAsia="es-ES"/>
        </w:rPr>
        <w:t>” (Sic)</w:t>
      </w:r>
    </w:p>
    <w:p w14:paraId="168D5BDC" w14:textId="77777777" w:rsidR="00AF224A" w:rsidRDefault="00AF224A" w:rsidP="00B31659">
      <w:pPr>
        <w:spacing w:line="360" w:lineRule="auto"/>
        <w:jc w:val="both"/>
        <w:rPr>
          <w:rFonts w:ascii="Palatino Linotype" w:hAnsi="Palatino Linotype"/>
          <w:b/>
          <w:lang w:val="es-ES_tradnl"/>
        </w:rPr>
      </w:pPr>
    </w:p>
    <w:p w14:paraId="3C02B49F" w14:textId="77777777" w:rsidR="003740F3" w:rsidRPr="002C3EC8" w:rsidRDefault="003740F3" w:rsidP="00B31659">
      <w:pPr>
        <w:spacing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ED7FDE5" w14:textId="77777777" w:rsidR="003740F3" w:rsidRDefault="003740F3" w:rsidP="00B31659">
      <w:pPr>
        <w:spacing w:line="360" w:lineRule="auto"/>
        <w:jc w:val="both"/>
        <w:rPr>
          <w:rFonts w:ascii="Palatino Linotype" w:hAnsi="Palatino Linotype" w:cs="Arial"/>
          <w:b/>
          <w:sz w:val="28"/>
        </w:rPr>
      </w:pPr>
    </w:p>
    <w:p w14:paraId="4F3414A1" w14:textId="77777777" w:rsidR="003740F3" w:rsidRDefault="003740F3" w:rsidP="00B31659">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 xml:space="preserve">De </w:t>
      </w:r>
      <w:r w:rsidR="00CA7C46">
        <w:rPr>
          <w:rFonts w:ascii="Palatino Linotype" w:hAnsi="Palatino Linotype" w:cs="Arial"/>
          <w:b/>
          <w:sz w:val="28"/>
          <w:szCs w:val="20"/>
        </w:rPr>
        <w:t>la</w:t>
      </w:r>
      <w:r>
        <w:rPr>
          <w:rFonts w:ascii="Palatino Linotype" w:hAnsi="Palatino Linotype" w:cs="Arial"/>
          <w:b/>
          <w:sz w:val="28"/>
          <w:szCs w:val="20"/>
        </w:rPr>
        <w:t xml:space="preserve"> respuesta</w:t>
      </w:r>
      <w:r w:rsidR="00CA7C46">
        <w:rPr>
          <w:rFonts w:ascii="Palatino Linotype" w:hAnsi="Palatino Linotype" w:cs="Arial"/>
          <w:b/>
          <w:sz w:val="28"/>
          <w:szCs w:val="20"/>
        </w:rPr>
        <w:t xml:space="preserve"> a la solicitud o entrega de información</w:t>
      </w:r>
      <w:r w:rsidRPr="00165D6E">
        <w:rPr>
          <w:rFonts w:ascii="Palatino Linotype" w:hAnsi="Palatino Linotype" w:cs="Arial"/>
          <w:b/>
          <w:sz w:val="28"/>
          <w:szCs w:val="20"/>
        </w:rPr>
        <w:t>.</w:t>
      </w:r>
    </w:p>
    <w:p w14:paraId="1C08478C" w14:textId="5A747867" w:rsidR="003740F3" w:rsidRPr="00C0731C" w:rsidRDefault="003740F3" w:rsidP="00B31659">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AF224A">
        <w:rPr>
          <w:rFonts w:ascii="Palatino Linotype" w:hAnsi="Palatino Linotype" w:cs="Arial"/>
          <w:b/>
          <w:sz w:val="24"/>
        </w:rPr>
        <w:t>treinta y uno de marzo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4AD7E49" w14:textId="77777777" w:rsidR="003740F3" w:rsidRPr="00E818A5" w:rsidRDefault="003740F3" w:rsidP="00B31659">
      <w:pPr>
        <w:spacing w:line="360" w:lineRule="auto"/>
        <w:jc w:val="both"/>
        <w:rPr>
          <w:rFonts w:ascii="Palatino Linotype" w:hAnsi="Palatino Linotype" w:cs="Arial"/>
        </w:rPr>
      </w:pPr>
    </w:p>
    <w:p w14:paraId="53EE1995" w14:textId="77777777" w:rsidR="00AF224A" w:rsidRPr="00AF224A" w:rsidRDefault="003740F3" w:rsidP="00B31659">
      <w:pPr>
        <w:ind w:left="567" w:right="567"/>
        <w:jc w:val="right"/>
        <w:rPr>
          <w:rFonts w:ascii="Palatino Linotype" w:hAnsi="Palatino Linotype" w:cs="Arial"/>
          <w:i/>
        </w:rPr>
      </w:pPr>
      <w:r>
        <w:rPr>
          <w:rFonts w:ascii="Palatino Linotype" w:hAnsi="Palatino Linotype" w:cs="Arial"/>
          <w:i/>
        </w:rPr>
        <w:t>“</w:t>
      </w:r>
      <w:r w:rsidR="00AF224A" w:rsidRPr="00AF224A">
        <w:rPr>
          <w:rFonts w:ascii="Palatino Linotype" w:hAnsi="Palatino Linotype" w:cs="Arial"/>
          <w:i/>
        </w:rPr>
        <w:t>Folio de la solicitud: 00140/DIFTOLUCA/IP/2025</w:t>
      </w:r>
    </w:p>
    <w:p w14:paraId="62573EB1" w14:textId="77777777" w:rsidR="00AF224A" w:rsidRDefault="00AF224A" w:rsidP="00B31659">
      <w:pPr>
        <w:ind w:left="567" w:right="567"/>
        <w:jc w:val="both"/>
        <w:rPr>
          <w:rFonts w:ascii="Palatino Linotype" w:hAnsi="Palatino Linotype" w:cs="Arial"/>
          <w:i/>
        </w:rPr>
      </w:pPr>
    </w:p>
    <w:p w14:paraId="705858D8" w14:textId="77777777" w:rsidR="00AF224A" w:rsidRPr="00AF224A" w:rsidRDefault="00AF224A" w:rsidP="00B31659">
      <w:pPr>
        <w:ind w:left="567" w:right="567"/>
        <w:jc w:val="both"/>
        <w:rPr>
          <w:rFonts w:ascii="Palatino Linotype" w:hAnsi="Palatino Linotype" w:cs="Arial"/>
          <w:i/>
        </w:rPr>
      </w:pPr>
      <w:r w:rsidRPr="00AF224A">
        <w:rPr>
          <w:rFonts w:ascii="Palatino Linotype" w:hAnsi="Palatino Linotype" w:cs="Arial"/>
          <w:i/>
        </w:rPr>
        <w:t>Toluca, México a 31 de marzo de 2025 Nombre del solicitante: C. Solicitante Folio de la solicitud: 00140/DIFTOLUCA/IP/2025 En cumplimiento a lo dispuesto en el artículo 53 fracción II, IV, V y VI de la Ley de Transparencia y Acceso a la Información Pública del Estado de México y Municipios, adjunto a la presente la información y los elementos necesarios para la atención de la solicitud de información de este Sujeto Obligado. ATENTAMENTE MTRA. MICHEL GAMBOA GUZMÁN TITULAR DE LA UNIDAD DE TRANSPARENCIA DEL SISTEMA MUNICIPAL DIF DE TOLUCA</w:t>
      </w:r>
    </w:p>
    <w:p w14:paraId="480D05AF" w14:textId="77777777" w:rsidR="00AF224A" w:rsidRDefault="00AF224A" w:rsidP="00B31659">
      <w:pPr>
        <w:ind w:left="567" w:right="567"/>
        <w:jc w:val="both"/>
        <w:rPr>
          <w:rFonts w:ascii="Palatino Linotype" w:hAnsi="Palatino Linotype" w:cs="Arial"/>
          <w:i/>
        </w:rPr>
      </w:pPr>
    </w:p>
    <w:p w14:paraId="08555002" w14:textId="77777777" w:rsidR="00AF224A" w:rsidRPr="00AF224A" w:rsidRDefault="00AF224A" w:rsidP="00B31659">
      <w:pPr>
        <w:ind w:left="567" w:right="567"/>
        <w:jc w:val="both"/>
        <w:rPr>
          <w:rFonts w:ascii="Palatino Linotype" w:hAnsi="Palatino Linotype" w:cs="Arial"/>
          <w:i/>
        </w:rPr>
      </w:pPr>
      <w:r w:rsidRPr="00AF224A">
        <w:rPr>
          <w:rFonts w:ascii="Palatino Linotype" w:hAnsi="Palatino Linotype" w:cs="Arial"/>
          <w:i/>
        </w:rPr>
        <w:t>ATENTAMENTE</w:t>
      </w:r>
    </w:p>
    <w:p w14:paraId="0ED26162" w14:textId="11B18565" w:rsidR="003740F3" w:rsidRDefault="00AF224A" w:rsidP="00B31659">
      <w:pPr>
        <w:ind w:left="567" w:right="567"/>
        <w:jc w:val="both"/>
        <w:rPr>
          <w:rFonts w:ascii="Palatino Linotype" w:hAnsi="Palatino Linotype" w:cs="Arial"/>
          <w:i/>
        </w:rPr>
      </w:pPr>
      <w:r w:rsidRPr="00AF224A">
        <w:rPr>
          <w:rFonts w:ascii="Palatino Linotype" w:hAnsi="Palatino Linotype" w:cs="Arial"/>
          <w:i/>
        </w:rPr>
        <w:t xml:space="preserve">Mtra. Michel Gamboa Guzmán </w:t>
      </w:r>
      <w:r w:rsidR="003740F3" w:rsidRPr="00667998">
        <w:rPr>
          <w:rFonts w:ascii="Palatino Linotype" w:hAnsi="Palatino Linotype" w:cs="Arial"/>
          <w:i/>
        </w:rPr>
        <w:t>“(Sic).</w:t>
      </w:r>
    </w:p>
    <w:p w14:paraId="37EE9C2F" w14:textId="77777777" w:rsidR="003740F3" w:rsidRDefault="003740F3" w:rsidP="00B31659">
      <w:pPr>
        <w:spacing w:line="360" w:lineRule="auto"/>
        <w:jc w:val="both"/>
        <w:rPr>
          <w:rFonts w:ascii="Palatino Linotype" w:hAnsi="Palatino Linotype" w:cs="Arial"/>
        </w:rPr>
      </w:pPr>
    </w:p>
    <w:p w14:paraId="6649FF06" w14:textId="18F4D12B" w:rsidR="00AF224A" w:rsidRDefault="00AF224A" w:rsidP="00B31659">
      <w:pPr>
        <w:spacing w:line="360" w:lineRule="auto"/>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los documentos denominados</w:t>
      </w:r>
      <w:r>
        <w:rPr>
          <w:rFonts w:ascii="Palatino Linotype" w:hAnsi="Palatino Linotype" w:cs="Palatino Linotype"/>
          <w:i/>
          <w:lang w:val="es-ES_tradnl"/>
        </w:rPr>
        <w:t xml:space="preserve"> “</w:t>
      </w:r>
      <w:r w:rsidRPr="00AF224A">
        <w:rPr>
          <w:rFonts w:ascii="Palatino Linotype" w:hAnsi="Palatino Linotype" w:cs="Arial"/>
          <w:b/>
          <w:bCs/>
          <w:i/>
        </w:rPr>
        <w:t>RESPUESTA SPH S.140.pdf</w:t>
      </w:r>
      <w:r>
        <w:rPr>
          <w:rFonts w:ascii="Palatino Linotype" w:hAnsi="Palatino Linotype" w:cs="Arial"/>
          <w:b/>
          <w:bCs/>
          <w:i/>
        </w:rPr>
        <w:t>” y “</w:t>
      </w:r>
      <w:r w:rsidRPr="00AF224A">
        <w:rPr>
          <w:rFonts w:ascii="Palatino Linotype" w:hAnsi="Palatino Linotype" w:cs="Arial"/>
          <w:b/>
          <w:bCs/>
          <w:i/>
        </w:rPr>
        <w:t>RESPUESTA UT S.140.pdf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57EA77A9" w14:textId="3FC98363" w:rsidR="003740F3" w:rsidRPr="002C3EC8" w:rsidRDefault="003740F3" w:rsidP="00B31659">
      <w:pPr>
        <w:spacing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8FD7E43" w14:textId="76EA30F5" w:rsidR="003740F3" w:rsidRDefault="003740F3" w:rsidP="00B31659">
      <w:pPr>
        <w:spacing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AF224A">
        <w:rPr>
          <w:rFonts w:ascii="Palatino Linotype" w:hAnsi="Palatino Linotype" w:cs="Arial"/>
          <w:b/>
        </w:rPr>
        <w:t>siete de abril</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sidR="00AF224A">
        <w:rPr>
          <w:rFonts w:ascii="Palatino Linotype" w:hAnsi="Palatino Linotype" w:cs="Arial"/>
          <w:b/>
        </w:rPr>
        <w:t>04040</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030918D8" w14:textId="77777777" w:rsidR="00AF224A" w:rsidRDefault="00AF224A" w:rsidP="00B31659">
      <w:pPr>
        <w:spacing w:line="360" w:lineRule="auto"/>
        <w:jc w:val="both"/>
        <w:rPr>
          <w:rFonts w:ascii="Palatino Linotype" w:hAnsi="Palatino Linotype" w:cs="Arial"/>
        </w:rPr>
      </w:pPr>
    </w:p>
    <w:p w14:paraId="0FE1B173" w14:textId="77777777" w:rsidR="003740F3" w:rsidRDefault="003740F3" w:rsidP="00B31659">
      <w:pPr>
        <w:pStyle w:val="Prrafodelista"/>
        <w:numPr>
          <w:ilvl w:val="0"/>
          <w:numId w:val="2"/>
        </w:numPr>
        <w:spacing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60614BD6" w14:textId="00BF037A" w:rsidR="003740F3" w:rsidRPr="007E4713" w:rsidRDefault="003740F3" w:rsidP="00B31659">
      <w:pPr>
        <w:pStyle w:val="INFOEM"/>
        <w:spacing w:before="0" w:after="0"/>
        <w:ind w:left="720"/>
      </w:pPr>
      <w:r w:rsidRPr="007E4713">
        <w:t>“</w:t>
      </w:r>
      <w:r w:rsidR="00AF224A" w:rsidRPr="00AF224A">
        <w:t>No entrega documentos que fundamenten la respuesta, se debió haber llevado a cabo un seguimiento tanto en el caso de los equinos donados, como algún tipo de informe del potrillo que no nació</w:t>
      </w:r>
      <w:r>
        <w:t>” (sic)</w:t>
      </w:r>
    </w:p>
    <w:p w14:paraId="0FA74063" w14:textId="77777777" w:rsidR="003740F3" w:rsidRPr="0033050B" w:rsidRDefault="003740F3" w:rsidP="00B31659">
      <w:pPr>
        <w:pStyle w:val="Prrafodelista"/>
        <w:numPr>
          <w:ilvl w:val="0"/>
          <w:numId w:val="2"/>
        </w:numPr>
        <w:spacing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14:paraId="1E5DE22B" w14:textId="37B23EFA" w:rsidR="003740F3" w:rsidRPr="007E4713" w:rsidRDefault="003740F3" w:rsidP="00B31659">
      <w:pPr>
        <w:pStyle w:val="INFOEM"/>
        <w:spacing w:before="0" w:after="0"/>
        <w:ind w:left="720"/>
      </w:pPr>
      <w:r w:rsidRPr="007E4713">
        <w:t>“</w:t>
      </w:r>
      <w:r w:rsidR="00AF224A" w:rsidRPr="00AF224A">
        <w:t>No entrega documentos que fundamenten la respuesta, se debió haber llevado a cabo un seguimiento tanto en el caso de los equinos donados, como algún tipo de informe del potrillo que no nació</w:t>
      </w:r>
      <w:r>
        <w:t>” (sic)</w:t>
      </w:r>
    </w:p>
    <w:p w14:paraId="12BA5B0C" w14:textId="77777777" w:rsidR="003740F3" w:rsidRDefault="003740F3" w:rsidP="00B31659">
      <w:pPr>
        <w:spacing w:line="360" w:lineRule="auto"/>
        <w:jc w:val="both"/>
        <w:rPr>
          <w:rFonts w:ascii="Palatino Linotype" w:hAnsi="Palatino Linotype" w:cs="Arial"/>
        </w:rPr>
      </w:pPr>
    </w:p>
    <w:p w14:paraId="1243A385" w14:textId="77777777" w:rsidR="003740F3" w:rsidRPr="002C3EC8" w:rsidRDefault="003740F3" w:rsidP="00B31659">
      <w:pPr>
        <w:spacing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7E4D5B8" w14:textId="784B34C3" w:rsidR="003740F3" w:rsidRDefault="003740F3" w:rsidP="00B31659">
      <w:pPr>
        <w:spacing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AF224A">
        <w:rPr>
          <w:rFonts w:ascii="Palatino Linotype" w:hAnsi="Palatino Linotype"/>
          <w:b/>
        </w:rPr>
        <w:t>once de abril</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30E7DAB9" w14:textId="77777777" w:rsidR="003740F3" w:rsidRPr="004C20B7" w:rsidRDefault="003740F3" w:rsidP="00B31659">
      <w:pPr>
        <w:spacing w:line="360" w:lineRule="auto"/>
        <w:jc w:val="both"/>
        <w:rPr>
          <w:rFonts w:ascii="Palatino Linotype" w:hAnsi="Palatino Linotype" w:cs="Arial"/>
          <w:sz w:val="28"/>
        </w:rPr>
      </w:pPr>
    </w:p>
    <w:p w14:paraId="49BEADBE" w14:textId="77777777" w:rsidR="003740F3" w:rsidRPr="00E52C83" w:rsidRDefault="003740F3" w:rsidP="00B31659">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31C3741" w14:textId="4CB7B613" w:rsidR="003740F3" w:rsidRPr="00590166" w:rsidRDefault="003740F3" w:rsidP="00B31659">
      <w:pPr>
        <w:spacing w:line="360" w:lineRule="auto"/>
        <w:jc w:val="both"/>
        <w:rPr>
          <w:rFonts w:ascii="Palatino Linotype" w:hAnsi="Palatino Linotype"/>
        </w:rPr>
      </w:pPr>
      <w:r w:rsidRPr="00D32665">
        <w:rPr>
          <w:rFonts w:ascii="Palatino Linotype" w:hAnsi="Palatino Linotype" w:cs="Arial"/>
        </w:rPr>
        <w:lastRenderedPageBreak/>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AF224A">
        <w:rPr>
          <w:rFonts w:ascii="Palatino Linotype" w:hAnsi="Palatino Linotype" w:cs="Arial"/>
        </w:rPr>
        <w:t>veinticinco de abril</w:t>
      </w:r>
      <w:r>
        <w:rPr>
          <w:rFonts w:ascii="Palatino Linotype" w:hAnsi="Palatino Linotype" w:cs="Arial"/>
        </w:rPr>
        <w:t xml:space="preserve"> de dos mil veinticinco</w:t>
      </w:r>
      <w:r w:rsidRPr="00D32665">
        <w:rPr>
          <w:rFonts w:ascii="Palatino Linotype" w:hAnsi="Palatino Linotype" w:cs="Arial"/>
        </w:rPr>
        <w:t>, por medio de</w:t>
      </w:r>
      <w:r w:rsidR="00AF224A">
        <w:rPr>
          <w:rFonts w:ascii="Palatino Linotype" w:hAnsi="Palatino Linotype" w:cs="Arial"/>
        </w:rPr>
        <w:t>l archivo electrónico</w:t>
      </w:r>
      <w:r>
        <w:rPr>
          <w:rFonts w:ascii="Palatino Linotype" w:hAnsi="Palatino Linotype" w:cs="Arial"/>
        </w:rPr>
        <w:t xml:space="preserve"> </w:t>
      </w:r>
      <w:r w:rsidRPr="00D32665">
        <w:rPr>
          <w:rFonts w:ascii="Palatino Linotype" w:hAnsi="Palatino Linotype" w:cs="Arial"/>
        </w:rPr>
        <w:t>“</w:t>
      </w:r>
      <w:r w:rsidR="00AF224A" w:rsidRPr="00AF224A">
        <w:rPr>
          <w:rFonts w:ascii="Palatino Linotype" w:hAnsi="Palatino Linotype" w:cs="Arial"/>
          <w:b/>
          <w:i/>
        </w:rPr>
        <w:t>Informe Justificado 140-2025.pdf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AF224A">
        <w:rPr>
          <w:rFonts w:ascii="Palatino Linotype" w:hAnsi="Palatino Linotype" w:cs="Arial"/>
        </w:rPr>
        <w:t>veintiocho de mayo</w:t>
      </w:r>
      <w:r>
        <w:rPr>
          <w:rFonts w:ascii="Palatino Linotype" w:hAnsi="Palatino Linotype" w:cs="Arial"/>
        </w:rPr>
        <w:t xml:space="preserve"> de dos mil veinticinco</w:t>
      </w:r>
      <w:r w:rsidRPr="00D32665">
        <w:rPr>
          <w:rFonts w:ascii="Palatino Linotype" w:hAnsi="Palatino Linotype" w:cs="Arial"/>
          <w:b/>
          <w:i/>
        </w:rPr>
        <w:t>.</w:t>
      </w:r>
    </w:p>
    <w:p w14:paraId="5C807B4C" w14:textId="77777777" w:rsidR="003740F3" w:rsidRPr="00D32665" w:rsidRDefault="003740F3" w:rsidP="00B31659">
      <w:pPr>
        <w:spacing w:line="360" w:lineRule="auto"/>
        <w:jc w:val="both"/>
        <w:rPr>
          <w:rFonts w:ascii="Palatino Linotype" w:hAnsi="Palatino Linotype"/>
        </w:rPr>
      </w:pPr>
    </w:p>
    <w:p w14:paraId="480705C6" w14:textId="77777777" w:rsidR="003740F3" w:rsidRPr="00D32665" w:rsidRDefault="003740F3" w:rsidP="00B31659">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50755DBD" w14:textId="77777777" w:rsidR="003740F3" w:rsidRDefault="003740F3" w:rsidP="00B31659">
      <w:pPr>
        <w:spacing w:line="360" w:lineRule="auto"/>
        <w:jc w:val="both"/>
        <w:rPr>
          <w:rFonts w:ascii="Palatino Linotype" w:hAnsi="Palatino Linotype" w:cs="Arial"/>
          <w:b/>
          <w:sz w:val="28"/>
          <w:szCs w:val="28"/>
        </w:rPr>
      </w:pPr>
    </w:p>
    <w:p w14:paraId="4199E936" w14:textId="77777777" w:rsidR="003740F3" w:rsidRPr="002C3EC8" w:rsidRDefault="003740F3" w:rsidP="00B31659">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8949662" w14:textId="435DB14C" w:rsidR="003740F3" w:rsidRDefault="003740F3" w:rsidP="00B31659">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AF224A">
        <w:rPr>
          <w:rFonts w:ascii="Palatino Linotype" w:hAnsi="Palatino Linotype" w:cs="Arial"/>
          <w:b/>
        </w:rPr>
        <w:t>diez de jun</w:t>
      </w:r>
      <w:r w:rsidR="002C5336">
        <w:rPr>
          <w:rFonts w:ascii="Palatino Linotype" w:hAnsi="Palatino Linotype" w:cs="Arial"/>
          <w:b/>
        </w:rPr>
        <w:t>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ED0C3C7" w14:textId="77777777" w:rsidR="00AF224A" w:rsidRDefault="00AF224A" w:rsidP="00B31659">
      <w:pPr>
        <w:spacing w:line="360" w:lineRule="auto"/>
        <w:jc w:val="both"/>
        <w:rPr>
          <w:rFonts w:ascii="Palatino Linotype" w:hAnsi="Palatino Linotype" w:cs="Arial"/>
        </w:rPr>
      </w:pPr>
    </w:p>
    <w:p w14:paraId="1D8CD992" w14:textId="77777777" w:rsidR="00AF224A" w:rsidRPr="006054AA" w:rsidRDefault="00AF224A" w:rsidP="00B31659">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3F836911" w14:textId="35D40E3D" w:rsidR="00AF224A" w:rsidRPr="00AF224A" w:rsidRDefault="00AF224A" w:rsidP="00B31659">
      <w:pPr>
        <w:pBdr>
          <w:top w:val="nil"/>
          <w:left w:val="nil"/>
          <w:bottom w:val="nil"/>
          <w:right w:val="nil"/>
          <w:between w:val="nil"/>
        </w:pBdr>
        <w:spacing w:line="360" w:lineRule="auto"/>
        <w:contextualSpacing/>
        <w:jc w:val="both"/>
        <w:rPr>
          <w:rFonts w:ascii="Palatino Linotype" w:eastAsiaTheme="minorHAnsi" w:hAnsi="Palatino Linotype" w:cstheme="minorBidi"/>
          <w:lang w:eastAsia="en-US"/>
        </w:rPr>
      </w:pPr>
      <w:r w:rsidRPr="00AF224A">
        <w:rPr>
          <w:rFonts w:ascii="Palatino Linotype" w:eastAsiaTheme="minorHAnsi" w:hAnsi="Palatino Linotype" w:cstheme="minorBidi"/>
          <w:lang w:eastAsia="en-US"/>
        </w:rPr>
        <w:t xml:space="preserve">De las constancias que integran el expediente electrónico, se advierte que ha transcurrido el término de Ley para la emisión de la resolución en el presente recurso de revisión, por lo que el </w:t>
      </w:r>
      <w:r>
        <w:rPr>
          <w:rFonts w:ascii="Palatino Linotype" w:eastAsiaTheme="minorHAnsi" w:hAnsi="Palatino Linotype" w:cstheme="minorBidi"/>
          <w:lang w:eastAsia="en-US"/>
        </w:rPr>
        <w:t>diez de junio</w:t>
      </w:r>
      <w:r w:rsidRPr="00AF224A">
        <w:rPr>
          <w:rFonts w:ascii="Palatino Linotype" w:eastAsiaTheme="minorHAnsi" w:hAnsi="Palatino Linotype" w:cstheme="minorBidi"/>
          <w:lang w:eastAsia="en-US"/>
        </w:rPr>
        <w:t xml:space="preserve"> de dos mil veinticinco se notificó a las partes el </w:t>
      </w:r>
      <w:r w:rsidRPr="00AF224A">
        <w:rPr>
          <w:rFonts w:ascii="Palatino Linotype" w:eastAsiaTheme="minorHAnsi" w:hAnsi="Palatino Linotype" w:cstheme="minorBidi"/>
          <w:lang w:eastAsia="en-US"/>
        </w:rPr>
        <w:lastRenderedPageBreak/>
        <w:t>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759F84F" w14:textId="77777777" w:rsidR="003740F3" w:rsidRDefault="003740F3" w:rsidP="00B31659">
      <w:pPr>
        <w:spacing w:line="360" w:lineRule="auto"/>
        <w:jc w:val="both"/>
        <w:rPr>
          <w:rFonts w:ascii="Palatino Linotype" w:hAnsi="Palatino Linotype" w:cs="Arial"/>
        </w:rPr>
      </w:pPr>
    </w:p>
    <w:p w14:paraId="2197A5D9" w14:textId="77777777" w:rsidR="003740F3" w:rsidRPr="0024200F" w:rsidRDefault="003740F3" w:rsidP="00B3165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1C243AF" w14:textId="77777777" w:rsidR="003740F3" w:rsidRPr="00825F67" w:rsidRDefault="003740F3" w:rsidP="00B31659">
      <w:pPr>
        <w:spacing w:line="360" w:lineRule="auto"/>
        <w:ind w:right="49"/>
        <w:jc w:val="both"/>
        <w:rPr>
          <w:rFonts w:ascii="Palatino Linotype" w:hAnsi="Palatino Linotype"/>
          <w:szCs w:val="28"/>
        </w:rPr>
      </w:pPr>
    </w:p>
    <w:p w14:paraId="24AB5FDA" w14:textId="77777777" w:rsidR="003740F3" w:rsidRPr="002C3EC8" w:rsidRDefault="003740F3" w:rsidP="00B31659">
      <w:pPr>
        <w:spacing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D88E86A" w14:textId="77777777" w:rsidR="003740F3" w:rsidRPr="007C6AB6" w:rsidRDefault="003740F3" w:rsidP="00B31659">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68490984" w14:textId="77777777" w:rsidR="003740F3" w:rsidRPr="002C3EC8" w:rsidRDefault="003740F3" w:rsidP="00B31659">
      <w:pPr>
        <w:spacing w:line="360" w:lineRule="auto"/>
        <w:jc w:val="both"/>
        <w:rPr>
          <w:rFonts w:ascii="Palatino Linotype" w:eastAsia="Calibri" w:hAnsi="Palatino Linotype"/>
          <w:b/>
          <w:color w:val="000000" w:themeColor="text1"/>
        </w:rPr>
      </w:pPr>
    </w:p>
    <w:p w14:paraId="54FEF314" w14:textId="77777777" w:rsidR="003740F3" w:rsidRPr="002C3EC8" w:rsidRDefault="003740F3" w:rsidP="00B31659">
      <w:pPr>
        <w:pStyle w:val="Prrafodelista"/>
        <w:autoSpaceDE w:val="0"/>
        <w:autoSpaceDN w:val="0"/>
        <w:adjustRightInd w:val="0"/>
        <w:spacing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3C03635" w14:textId="77777777" w:rsidR="003740F3" w:rsidRDefault="003740F3" w:rsidP="00B3165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2C3EC8">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3330CF5" w14:textId="77777777" w:rsidR="00AF224A" w:rsidRDefault="00AF224A" w:rsidP="00B31659">
      <w:pPr>
        <w:autoSpaceDE w:val="0"/>
        <w:autoSpaceDN w:val="0"/>
        <w:adjustRightInd w:val="0"/>
        <w:spacing w:line="360" w:lineRule="auto"/>
        <w:jc w:val="both"/>
        <w:rPr>
          <w:rFonts w:ascii="Palatino Linotype" w:hAnsi="Palatino Linotype" w:cs="Arial"/>
        </w:rPr>
      </w:pPr>
    </w:p>
    <w:p w14:paraId="0FEC7755" w14:textId="77777777" w:rsidR="003740F3" w:rsidRDefault="003740F3" w:rsidP="00B31659">
      <w:pPr>
        <w:autoSpaceDE w:val="0"/>
        <w:autoSpaceDN w:val="0"/>
        <w:adjustRightInd w:val="0"/>
        <w:spacing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7884E1D3" w14:textId="77777777" w:rsidR="00AF224A" w:rsidRPr="00821CCD" w:rsidRDefault="00AF224A" w:rsidP="00B31659">
      <w:pPr>
        <w:autoSpaceDE w:val="0"/>
        <w:autoSpaceDN w:val="0"/>
        <w:adjustRightInd w:val="0"/>
        <w:spacing w:line="360" w:lineRule="auto"/>
        <w:jc w:val="both"/>
        <w:rPr>
          <w:rFonts w:ascii="Palatino Linotype" w:hAnsi="Palatino Linotype" w:cs="Arial"/>
        </w:rPr>
      </w:pPr>
    </w:p>
    <w:p w14:paraId="7DAAB6D1" w14:textId="77777777" w:rsidR="003740F3" w:rsidRPr="00821CCD" w:rsidRDefault="003740F3" w:rsidP="00B31659">
      <w:pPr>
        <w:autoSpaceDE w:val="0"/>
        <w:autoSpaceDN w:val="0"/>
        <w:adjustRightInd w:val="0"/>
        <w:spacing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19345FF2" w14:textId="77777777" w:rsidR="003740F3" w:rsidRPr="00821CCD" w:rsidRDefault="003740F3" w:rsidP="00B31659">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09518FAC" w14:textId="77777777" w:rsidR="003740F3" w:rsidRPr="00821CCD" w:rsidRDefault="003740F3" w:rsidP="00B3165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9017B46" w14:textId="77777777" w:rsidR="003740F3" w:rsidRPr="00821CCD" w:rsidRDefault="003740F3" w:rsidP="00B31659">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68E2F256" w14:textId="77777777" w:rsidR="003740F3" w:rsidRPr="00821CCD" w:rsidRDefault="003740F3" w:rsidP="00B3165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6577B923" w14:textId="77777777" w:rsidR="003740F3" w:rsidRPr="00821CCD" w:rsidRDefault="003740F3" w:rsidP="00B3165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D066322" w14:textId="77777777" w:rsidR="003740F3" w:rsidRPr="00821CCD" w:rsidRDefault="003740F3" w:rsidP="00B31659">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3915ED03" w14:textId="77777777" w:rsidR="003740F3" w:rsidRPr="00821CCD" w:rsidRDefault="003740F3" w:rsidP="00B3165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193267E1" w14:textId="77777777" w:rsidR="003740F3" w:rsidRPr="00821CCD" w:rsidRDefault="003740F3" w:rsidP="00B31659">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DC7E9C5" w14:textId="77777777" w:rsidR="003740F3" w:rsidRPr="00821CCD" w:rsidRDefault="003740F3" w:rsidP="00B31659">
      <w:pPr>
        <w:autoSpaceDE w:val="0"/>
        <w:autoSpaceDN w:val="0"/>
        <w:adjustRightInd w:val="0"/>
        <w:spacing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39600BE6" w14:textId="77777777" w:rsidR="003740F3" w:rsidRPr="00821CCD" w:rsidRDefault="003740F3" w:rsidP="00B31659">
      <w:pPr>
        <w:autoSpaceDE w:val="0"/>
        <w:autoSpaceDN w:val="0"/>
        <w:adjustRightInd w:val="0"/>
        <w:spacing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4B54E86" w14:textId="77777777" w:rsidR="003740F3" w:rsidRPr="00821CCD" w:rsidRDefault="003740F3" w:rsidP="00B31659">
      <w:pPr>
        <w:autoSpaceDE w:val="0"/>
        <w:autoSpaceDN w:val="0"/>
        <w:adjustRightInd w:val="0"/>
        <w:spacing w:line="360" w:lineRule="auto"/>
        <w:ind w:left="1134" w:right="567"/>
        <w:jc w:val="both"/>
        <w:rPr>
          <w:rFonts w:ascii="Palatino Linotype" w:hAnsi="Palatino Linotype" w:cs="Arial"/>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2A922799" w14:textId="77777777" w:rsidR="003740F3" w:rsidRPr="00821CCD" w:rsidRDefault="003740F3" w:rsidP="00B31659">
      <w:pPr>
        <w:autoSpaceDE w:val="0"/>
        <w:autoSpaceDN w:val="0"/>
        <w:adjustRightInd w:val="0"/>
        <w:spacing w:line="360" w:lineRule="auto"/>
        <w:jc w:val="both"/>
        <w:rPr>
          <w:rFonts w:ascii="Palatino Linotype" w:hAnsi="Palatino Linotype"/>
        </w:rPr>
      </w:pPr>
    </w:p>
    <w:p w14:paraId="4405E5E8" w14:textId="77777777" w:rsidR="003740F3" w:rsidRDefault="003740F3" w:rsidP="00B31659">
      <w:pPr>
        <w:autoSpaceDE w:val="0"/>
        <w:autoSpaceDN w:val="0"/>
        <w:adjustRightInd w:val="0"/>
        <w:spacing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CD85F27" w14:textId="77777777" w:rsidR="00AF224A" w:rsidRPr="00821CCD" w:rsidRDefault="00AF224A" w:rsidP="00B31659">
      <w:pPr>
        <w:autoSpaceDE w:val="0"/>
        <w:autoSpaceDN w:val="0"/>
        <w:adjustRightInd w:val="0"/>
        <w:spacing w:line="360" w:lineRule="auto"/>
        <w:jc w:val="both"/>
        <w:rPr>
          <w:rFonts w:ascii="Palatino Linotype" w:hAnsi="Palatino Linotype"/>
        </w:rPr>
      </w:pP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740F3" w:rsidRPr="00821CCD" w14:paraId="2D1E8BEE" w14:textId="77777777" w:rsidTr="00D21971">
        <w:trPr>
          <w:trHeight w:val="1360"/>
        </w:trPr>
        <w:tc>
          <w:tcPr>
            <w:tcW w:w="7982" w:type="dxa"/>
          </w:tcPr>
          <w:p w14:paraId="33C72C9E" w14:textId="77777777" w:rsidR="003740F3" w:rsidRDefault="003740F3" w:rsidP="00B31659">
            <w:pPr>
              <w:autoSpaceDE w:val="0"/>
              <w:autoSpaceDN w:val="0"/>
              <w:adjustRightInd w:val="0"/>
              <w:spacing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3151E081" w14:textId="77777777" w:rsidR="00AF224A" w:rsidRPr="00821CCD" w:rsidRDefault="00AF224A" w:rsidP="00B31659">
            <w:pPr>
              <w:autoSpaceDE w:val="0"/>
              <w:autoSpaceDN w:val="0"/>
              <w:adjustRightInd w:val="0"/>
              <w:spacing w:line="360" w:lineRule="auto"/>
              <w:jc w:val="both"/>
              <w:rPr>
                <w:rFonts w:ascii="Palatino Linotype" w:hAnsi="Palatino Linotype"/>
                <w:i/>
              </w:rPr>
            </w:pPr>
          </w:p>
        </w:tc>
      </w:tr>
    </w:tbl>
    <w:p w14:paraId="07EB05DA" w14:textId="77777777" w:rsidR="003740F3" w:rsidRDefault="003740F3" w:rsidP="00B31659">
      <w:pPr>
        <w:autoSpaceDE w:val="0"/>
        <w:autoSpaceDN w:val="0"/>
        <w:adjustRightInd w:val="0"/>
        <w:spacing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B076DE1" w14:textId="77777777" w:rsidR="00AF224A" w:rsidRPr="00821CCD" w:rsidRDefault="00AF224A" w:rsidP="00B31659">
      <w:pPr>
        <w:autoSpaceDE w:val="0"/>
        <w:autoSpaceDN w:val="0"/>
        <w:adjustRightInd w:val="0"/>
        <w:spacing w:line="360" w:lineRule="auto"/>
        <w:jc w:val="both"/>
        <w:rPr>
          <w:rFonts w:ascii="Palatino Linotype" w:hAnsi="Palatino Linotype"/>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740F3" w:rsidRPr="00821CCD" w14:paraId="4BF654E5" w14:textId="77777777" w:rsidTr="00D21971">
        <w:trPr>
          <w:jc w:val="center"/>
        </w:trPr>
        <w:tc>
          <w:tcPr>
            <w:tcW w:w="8075" w:type="dxa"/>
          </w:tcPr>
          <w:p w14:paraId="5E4C2E3F" w14:textId="77777777" w:rsidR="003740F3" w:rsidRPr="00821CCD" w:rsidRDefault="003740F3" w:rsidP="00B31659">
            <w:pPr>
              <w:autoSpaceDE w:val="0"/>
              <w:autoSpaceDN w:val="0"/>
              <w:adjustRightInd w:val="0"/>
              <w:spacing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B970D9D" w14:textId="77777777" w:rsidR="003740F3" w:rsidRPr="00821CCD" w:rsidRDefault="003740F3" w:rsidP="00B31659">
            <w:pPr>
              <w:autoSpaceDE w:val="0"/>
              <w:autoSpaceDN w:val="0"/>
              <w:adjustRightInd w:val="0"/>
              <w:spacing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821CCD">
              <w:rPr>
                <w:rFonts w:ascii="Palatino Linotype" w:hAnsi="Palatino Linotype"/>
                <w:i/>
              </w:rPr>
              <w:lastRenderedPageBreak/>
              <w:t xml:space="preserve">derecho de réplica será ejercido en los términos dispuestos por la ley. El derecho a la información será garantizado por el Estado. </w:t>
            </w:r>
          </w:p>
          <w:p w14:paraId="5CF21AFF" w14:textId="77777777" w:rsidR="003740F3" w:rsidRPr="00821CCD" w:rsidRDefault="003740F3" w:rsidP="00B31659">
            <w:pPr>
              <w:autoSpaceDE w:val="0"/>
              <w:autoSpaceDN w:val="0"/>
              <w:adjustRightInd w:val="0"/>
              <w:spacing w:line="360" w:lineRule="auto"/>
              <w:jc w:val="both"/>
              <w:rPr>
                <w:rFonts w:ascii="Palatino Linotype" w:hAnsi="Palatino Linotype"/>
                <w:i/>
              </w:rPr>
            </w:pPr>
            <w:r w:rsidRPr="00821CCD">
              <w:rPr>
                <w:rFonts w:ascii="Palatino Linotype" w:hAnsi="Palatino Linotype"/>
                <w:i/>
              </w:rPr>
              <w:t xml:space="preserve">(…) </w:t>
            </w:r>
          </w:p>
          <w:p w14:paraId="4F02961B" w14:textId="77777777" w:rsidR="003740F3" w:rsidRPr="00821CCD" w:rsidRDefault="003740F3" w:rsidP="00B31659">
            <w:pPr>
              <w:autoSpaceDE w:val="0"/>
              <w:autoSpaceDN w:val="0"/>
              <w:adjustRightInd w:val="0"/>
              <w:spacing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145721C" w14:textId="77777777" w:rsidR="003740F3" w:rsidRPr="00821CCD" w:rsidRDefault="003740F3" w:rsidP="00B31659">
            <w:pPr>
              <w:autoSpaceDE w:val="0"/>
              <w:autoSpaceDN w:val="0"/>
              <w:adjustRightInd w:val="0"/>
              <w:spacing w:line="360" w:lineRule="auto"/>
              <w:jc w:val="both"/>
              <w:rPr>
                <w:rFonts w:ascii="Palatino Linotype" w:hAnsi="Palatino Linotype"/>
                <w:i/>
              </w:rPr>
            </w:pPr>
            <w:r w:rsidRPr="00821CCD">
              <w:rPr>
                <w:rFonts w:ascii="Palatino Linotype" w:hAnsi="Palatino Linotype"/>
                <w:i/>
              </w:rPr>
              <w:t xml:space="preserve"> (…) </w:t>
            </w:r>
          </w:p>
          <w:p w14:paraId="50377004" w14:textId="77777777" w:rsidR="003740F3" w:rsidRPr="00821CCD" w:rsidRDefault="003740F3" w:rsidP="00B31659">
            <w:pPr>
              <w:autoSpaceDE w:val="0"/>
              <w:autoSpaceDN w:val="0"/>
              <w:adjustRightInd w:val="0"/>
              <w:spacing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9D12D1B" w14:textId="77777777" w:rsidR="003740F3" w:rsidRPr="00821CCD" w:rsidRDefault="003740F3" w:rsidP="00B31659">
            <w:pPr>
              <w:autoSpaceDE w:val="0"/>
              <w:autoSpaceDN w:val="0"/>
              <w:adjustRightInd w:val="0"/>
              <w:spacing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68BC54F9" w14:textId="77777777" w:rsidR="003740F3" w:rsidRPr="00821CCD" w:rsidRDefault="003740F3" w:rsidP="00B31659">
            <w:pPr>
              <w:autoSpaceDE w:val="0"/>
              <w:autoSpaceDN w:val="0"/>
              <w:adjustRightInd w:val="0"/>
              <w:spacing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1C14D184"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65B66E7F"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2B9EB29"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517F4262"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A22962D"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3BE7F764"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A9643"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2A336780" w14:textId="77777777" w:rsidR="003740F3" w:rsidRPr="00821CCD" w:rsidRDefault="003740F3" w:rsidP="00B31659">
            <w:pPr>
              <w:autoSpaceDE w:val="0"/>
              <w:autoSpaceDN w:val="0"/>
              <w:adjustRightInd w:val="0"/>
              <w:spacing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1166734" w14:textId="77777777" w:rsidR="003740F3" w:rsidRPr="00821CCD" w:rsidRDefault="003740F3" w:rsidP="00B31659">
            <w:pPr>
              <w:autoSpaceDE w:val="0"/>
              <w:autoSpaceDN w:val="0"/>
              <w:adjustRightInd w:val="0"/>
              <w:spacing w:line="360" w:lineRule="auto"/>
              <w:jc w:val="both"/>
              <w:rPr>
                <w:rFonts w:ascii="Palatino Linotype" w:hAnsi="Palatino Linotype" w:cs="Arial"/>
                <w:i/>
              </w:rPr>
            </w:pPr>
            <w:r w:rsidRPr="00821CCD">
              <w:rPr>
                <w:rFonts w:ascii="Palatino Linotype" w:hAnsi="Palatino Linotype" w:cs="Arial"/>
                <w:i/>
              </w:rPr>
              <w:t>(…)</w:t>
            </w:r>
          </w:p>
          <w:p w14:paraId="670F51B0" w14:textId="77777777" w:rsidR="003740F3" w:rsidRDefault="003740F3" w:rsidP="00B31659">
            <w:pPr>
              <w:autoSpaceDE w:val="0"/>
              <w:autoSpaceDN w:val="0"/>
              <w:adjustRightInd w:val="0"/>
              <w:spacing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821CCD">
              <w:rPr>
                <w:rFonts w:ascii="Palatino Linotype" w:hAnsi="Palatino Linotype" w:cs="Arial"/>
                <w:i/>
              </w:rPr>
              <w:lastRenderedPageBreak/>
              <w:t>datos personales en posesión de los sujetos obligados en los términos que establezca la ley. (…)”</w:t>
            </w:r>
          </w:p>
          <w:p w14:paraId="2381F73B" w14:textId="77777777" w:rsidR="00AF224A" w:rsidRPr="00821CCD" w:rsidRDefault="00AF224A" w:rsidP="00B31659">
            <w:pPr>
              <w:autoSpaceDE w:val="0"/>
              <w:autoSpaceDN w:val="0"/>
              <w:adjustRightInd w:val="0"/>
              <w:spacing w:line="360" w:lineRule="auto"/>
              <w:jc w:val="both"/>
              <w:rPr>
                <w:rFonts w:ascii="Palatino Linotype" w:hAnsi="Palatino Linotype" w:cs="Arial"/>
                <w:i/>
              </w:rPr>
            </w:pPr>
          </w:p>
        </w:tc>
      </w:tr>
    </w:tbl>
    <w:p w14:paraId="4423B374" w14:textId="77777777" w:rsidR="003740F3" w:rsidRDefault="003740F3" w:rsidP="00B31659">
      <w:pPr>
        <w:autoSpaceDE w:val="0"/>
        <w:autoSpaceDN w:val="0"/>
        <w:adjustRightInd w:val="0"/>
        <w:spacing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51BDBE01" w14:textId="77777777" w:rsidR="00AF224A" w:rsidRPr="00821CCD" w:rsidRDefault="00AF224A" w:rsidP="00B31659">
      <w:pPr>
        <w:autoSpaceDE w:val="0"/>
        <w:autoSpaceDN w:val="0"/>
        <w:adjustRightInd w:val="0"/>
        <w:spacing w:line="360" w:lineRule="auto"/>
        <w:jc w:val="both"/>
        <w:rPr>
          <w:rFonts w:ascii="Palatino Linotype" w:hAnsi="Palatino Linotype"/>
        </w:rPr>
      </w:pPr>
    </w:p>
    <w:p w14:paraId="28A82FF3" w14:textId="77777777" w:rsidR="003740F3" w:rsidRDefault="003740F3" w:rsidP="00B31659">
      <w:pPr>
        <w:pStyle w:val="Prrafodelista"/>
        <w:autoSpaceDE w:val="0"/>
        <w:autoSpaceDN w:val="0"/>
        <w:adjustRightInd w:val="0"/>
        <w:spacing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574449B4" w14:textId="77777777" w:rsidR="003740F3" w:rsidRPr="00FF46DA" w:rsidRDefault="003740F3" w:rsidP="00B31659">
      <w:pPr>
        <w:pStyle w:val="Prrafodelista"/>
        <w:autoSpaceDE w:val="0"/>
        <w:autoSpaceDN w:val="0"/>
        <w:adjustRightInd w:val="0"/>
        <w:spacing w:line="360" w:lineRule="auto"/>
        <w:ind w:left="0"/>
        <w:jc w:val="both"/>
        <w:rPr>
          <w:rFonts w:ascii="Palatino Linotype" w:hAnsi="Palatino Linotype" w:cs="Arial"/>
        </w:rPr>
      </w:pPr>
    </w:p>
    <w:p w14:paraId="71CC62B8" w14:textId="77777777" w:rsidR="003740F3" w:rsidRPr="002C3EC8" w:rsidRDefault="003740F3" w:rsidP="00B31659">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8F40F00" w14:textId="77777777" w:rsidR="003740F3" w:rsidRPr="002C3EC8" w:rsidRDefault="003740F3" w:rsidP="00B3165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2F09DF" w14:textId="77777777" w:rsidR="00AF224A" w:rsidRDefault="00AF224A" w:rsidP="00B31659">
      <w:pPr>
        <w:pStyle w:val="Prrafodelista"/>
        <w:autoSpaceDE w:val="0"/>
        <w:autoSpaceDN w:val="0"/>
        <w:adjustRightInd w:val="0"/>
        <w:spacing w:line="360" w:lineRule="auto"/>
        <w:ind w:left="0"/>
        <w:jc w:val="both"/>
        <w:rPr>
          <w:rFonts w:ascii="Palatino Linotype" w:hAnsi="Palatino Linotype" w:cs="Arial"/>
        </w:rPr>
      </w:pPr>
    </w:p>
    <w:p w14:paraId="55F04B0A" w14:textId="77777777" w:rsidR="003740F3" w:rsidRPr="002C3EC8" w:rsidRDefault="003740F3" w:rsidP="00B3165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E7BA8E1" w14:textId="77777777" w:rsidR="003740F3" w:rsidRDefault="003740F3" w:rsidP="00B31659">
      <w:pPr>
        <w:tabs>
          <w:tab w:val="left" w:pos="709"/>
        </w:tabs>
        <w:spacing w:line="360" w:lineRule="auto"/>
        <w:ind w:right="51"/>
        <w:jc w:val="both"/>
        <w:rPr>
          <w:rFonts w:ascii="Palatino Linotype" w:hAnsi="Palatino Linotype"/>
          <w:b/>
          <w:sz w:val="28"/>
          <w:szCs w:val="28"/>
        </w:rPr>
      </w:pPr>
    </w:p>
    <w:p w14:paraId="690AAF4E" w14:textId="77777777" w:rsidR="003740F3" w:rsidRPr="002C3EC8" w:rsidRDefault="003740F3" w:rsidP="00B31659">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59F42F02" w14:textId="77777777" w:rsidR="003740F3" w:rsidRPr="007379EE" w:rsidRDefault="003740F3" w:rsidP="00B3165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w:t>
      </w:r>
      <w:r w:rsidRPr="007379EE">
        <w:rPr>
          <w:rFonts w:ascii="Palatino Linotype" w:eastAsia="Palatino Linotype" w:hAnsi="Palatino Linotype" w:cs="Palatino Linotype"/>
          <w:color w:val="000000"/>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BC3A3E" w14:textId="77777777" w:rsidR="003740F3" w:rsidRDefault="003740F3" w:rsidP="00B31659">
      <w:pPr>
        <w:autoSpaceDE w:val="0"/>
        <w:autoSpaceDN w:val="0"/>
        <w:adjustRightInd w:val="0"/>
        <w:ind w:right="567"/>
        <w:rPr>
          <w:rFonts w:ascii="Palatino Linotype" w:eastAsia="Calibri" w:hAnsi="Palatino Linotype" w:cs="Arial"/>
        </w:rPr>
      </w:pPr>
    </w:p>
    <w:p w14:paraId="629AA439" w14:textId="619B146B" w:rsidR="00AF224A" w:rsidRDefault="003740F3" w:rsidP="00B3165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07C685BE" w14:textId="77777777" w:rsidR="003740F3" w:rsidRDefault="003740F3" w:rsidP="00B31659">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66057541" w14:textId="77777777" w:rsidR="003740F3" w:rsidRPr="00AF224A" w:rsidRDefault="003740F3" w:rsidP="00B31659">
      <w:pPr>
        <w:pStyle w:val="Citas"/>
        <w:numPr>
          <w:ilvl w:val="0"/>
          <w:numId w:val="4"/>
        </w:numPr>
        <w:spacing w:before="0" w:after="0" w:line="240" w:lineRule="auto"/>
      </w:pPr>
      <w:r w:rsidRPr="00AF224A">
        <w:t xml:space="preserve">La negativa a la información solicitada; </w:t>
      </w:r>
    </w:p>
    <w:p w14:paraId="7A703765" w14:textId="77777777" w:rsidR="003740F3" w:rsidRDefault="003740F3" w:rsidP="00B31659">
      <w:pPr>
        <w:pStyle w:val="Citas"/>
        <w:numPr>
          <w:ilvl w:val="0"/>
          <w:numId w:val="4"/>
        </w:numPr>
        <w:spacing w:before="0" w:after="0" w:line="240" w:lineRule="auto"/>
      </w:pPr>
      <w:r w:rsidRPr="002E7A81">
        <w:t xml:space="preserve">La clasificación de la información; </w:t>
      </w:r>
    </w:p>
    <w:p w14:paraId="3E0A1667" w14:textId="77777777" w:rsidR="003740F3" w:rsidRDefault="003740F3" w:rsidP="00B31659">
      <w:pPr>
        <w:pStyle w:val="Citas"/>
        <w:numPr>
          <w:ilvl w:val="0"/>
          <w:numId w:val="4"/>
        </w:numPr>
        <w:spacing w:before="0" w:after="0" w:line="240" w:lineRule="auto"/>
      </w:pPr>
      <w:r w:rsidRPr="002E7A81">
        <w:t xml:space="preserve">La declaración de inexistencia de la información; </w:t>
      </w:r>
    </w:p>
    <w:p w14:paraId="240A38DF" w14:textId="77777777" w:rsidR="003740F3" w:rsidRPr="00341E0E" w:rsidRDefault="003740F3" w:rsidP="00B31659">
      <w:pPr>
        <w:pStyle w:val="Citas"/>
        <w:numPr>
          <w:ilvl w:val="0"/>
          <w:numId w:val="4"/>
        </w:numPr>
        <w:spacing w:before="0" w:after="0" w:line="240" w:lineRule="auto"/>
      </w:pPr>
      <w:r w:rsidRPr="00341E0E">
        <w:t xml:space="preserve">La declaración de incompetencia por el sujeto obligado; </w:t>
      </w:r>
    </w:p>
    <w:p w14:paraId="3734997B" w14:textId="77777777" w:rsidR="003740F3" w:rsidRPr="00AF224A" w:rsidRDefault="003740F3" w:rsidP="00B31659">
      <w:pPr>
        <w:pStyle w:val="Citas"/>
        <w:numPr>
          <w:ilvl w:val="0"/>
          <w:numId w:val="4"/>
        </w:numPr>
        <w:spacing w:before="0" w:after="0" w:line="240" w:lineRule="auto"/>
        <w:rPr>
          <w:b/>
        </w:rPr>
      </w:pPr>
      <w:r w:rsidRPr="00AF224A">
        <w:rPr>
          <w:b/>
        </w:rPr>
        <w:t xml:space="preserve">La entrega de información incompleta; </w:t>
      </w:r>
    </w:p>
    <w:p w14:paraId="77F0CEAF" w14:textId="77777777" w:rsidR="003740F3" w:rsidRDefault="003740F3" w:rsidP="00B31659">
      <w:pPr>
        <w:pStyle w:val="Citas"/>
        <w:numPr>
          <w:ilvl w:val="0"/>
          <w:numId w:val="4"/>
        </w:numPr>
        <w:spacing w:before="0" w:after="0" w:line="240" w:lineRule="auto"/>
      </w:pPr>
      <w:r w:rsidRPr="002E7A81">
        <w:t xml:space="preserve">La entrega de información que no corresponda con lo solicitado; </w:t>
      </w:r>
    </w:p>
    <w:p w14:paraId="6C3608F5" w14:textId="77777777" w:rsidR="003740F3" w:rsidRDefault="003740F3" w:rsidP="00B31659">
      <w:pPr>
        <w:pStyle w:val="Citas"/>
        <w:numPr>
          <w:ilvl w:val="0"/>
          <w:numId w:val="4"/>
        </w:numPr>
        <w:spacing w:before="0" w:after="0" w:line="240" w:lineRule="auto"/>
      </w:pPr>
      <w:r w:rsidRPr="002E7A81">
        <w:t xml:space="preserve">La falta de respuesta a una solicitud de acceso a la información; </w:t>
      </w:r>
    </w:p>
    <w:p w14:paraId="700282BB" w14:textId="77777777" w:rsidR="003740F3" w:rsidRDefault="003740F3" w:rsidP="00B31659">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B5E3725" w14:textId="77777777" w:rsidR="003740F3" w:rsidRDefault="003740F3" w:rsidP="00B31659">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58765FFB" w14:textId="77777777" w:rsidR="003740F3" w:rsidRDefault="003740F3" w:rsidP="00B31659">
      <w:pPr>
        <w:pStyle w:val="Citas"/>
        <w:numPr>
          <w:ilvl w:val="0"/>
          <w:numId w:val="4"/>
        </w:numPr>
        <w:spacing w:before="0" w:after="0" w:line="240" w:lineRule="auto"/>
      </w:pPr>
      <w:r w:rsidRPr="002E7A81">
        <w:t xml:space="preserve">Los costos o tiempos de entrega de la información; </w:t>
      </w:r>
    </w:p>
    <w:p w14:paraId="504CFC58" w14:textId="77777777" w:rsidR="003740F3" w:rsidRDefault="003740F3" w:rsidP="00B31659">
      <w:pPr>
        <w:pStyle w:val="Citas"/>
        <w:numPr>
          <w:ilvl w:val="0"/>
          <w:numId w:val="4"/>
        </w:numPr>
        <w:spacing w:before="0" w:after="0" w:line="240" w:lineRule="auto"/>
      </w:pPr>
      <w:r w:rsidRPr="002E7A81">
        <w:t xml:space="preserve">La falta de trámite a una solicitud; </w:t>
      </w:r>
    </w:p>
    <w:p w14:paraId="3479A5D8" w14:textId="77777777" w:rsidR="003740F3" w:rsidRDefault="003740F3" w:rsidP="00B31659">
      <w:pPr>
        <w:pStyle w:val="Citas"/>
        <w:numPr>
          <w:ilvl w:val="0"/>
          <w:numId w:val="4"/>
        </w:numPr>
        <w:spacing w:before="0" w:after="0" w:line="240" w:lineRule="auto"/>
      </w:pPr>
      <w:r w:rsidRPr="002E7A81">
        <w:t xml:space="preserve">La negativa a permitir la consulta directa de la información; </w:t>
      </w:r>
    </w:p>
    <w:p w14:paraId="39DC1C32" w14:textId="77777777" w:rsidR="003740F3" w:rsidRDefault="003740F3" w:rsidP="00B31659">
      <w:pPr>
        <w:pStyle w:val="Citas"/>
        <w:numPr>
          <w:ilvl w:val="0"/>
          <w:numId w:val="4"/>
        </w:numPr>
        <w:spacing w:before="0" w:after="0" w:line="240" w:lineRule="auto"/>
      </w:pPr>
      <w:r w:rsidRPr="002E7A81">
        <w:t xml:space="preserve">La falta, deficiencia o insuficiencia de la fundamentación y/o motivación en la respuesta; y </w:t>
      </w:r>
    </w:p>
    <w:p w14:paraId="4C328401" w14:textId="77777777" w:rsidR="003740F3" w:rsidRDefault="003740F3" w:rsidP="00B31659">
      <w:pPr>
        <w:pStyle w:val="Citas"/>
        <w:numPr>
          <w:ilvl w:val="0"/>
          <w:numId w:val="4"/>
        </w:numPr>
        <w:spacing w:before="0" w:after="0" w:line="240" w:lineRule="auto"/>
      </w:pPr>
      <w:r w:rsidRPr="002E7A81">
        <w:t xml:space="preserve">La orientación a un trámite específico. </w:t>
      </w:r>
    </w:p>
    <w:p w14:paraId="48FEEC09" w14:textId="77777777" w:rsidR="003740F3" w:rsidRPr="007379EE" w:rsidRDefault="003740F3" w:rsidP="00B31659">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31D979F" w14:textId="77777777" w:rsidR="003740F3" w:rsidRDefault="003740F3" w:rsidP="00B31659">
      <w:pPr>
        <w:autoSpaceDE w:val="0"/>
        <w:autoSpaceDN w:val="0"/>
        <w:adjustRightInd w:val="0"/>
        <w:ind w:right="567"/>
        <w:rPr>
          <w:rFonts w:ascii="Palatino Linotype" w:eastAsia="Calibri" w:hAnsi="Palatino Linotype" w:cs="Arial"/>
        </w:rPr>
      </w:pPr>
    </w:p>
    <w:p w14:paraId="414E7A84" w14:textId="77777777" w:rsidR="003740F3" w:rsidRDefault="003740F3" w:rsidP="00B31659">
      <w:pPr>
        <w:spacing w:line="360" w:lineRule="auto"/>
        <w:jc w:val="both"/>
        <w:rPr>
          <w:rFonts w:ascii="Palatino Linotype" w:hAnsi="Palatino Linotype" w:cs="Tahoma"/>
          <w:bCs/>
        </w:rPr>
      </w:pPr>
      <w:r w:rsidRPr="00A779C7">
        <w:rPr>
          <w:rFonts w:ascii="Palatino Linotype" w:hAnsi="Palatino Linotype" w:cs="Tahoma"/>
          <w:bCs/>
        </w:rPr>
        <w:lastRenderedPageBreak/>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ABEE5ED" w14:textId="77777777" w:rsidR="003740F3" w:rsidRPr="00CA5FE5" w:rsidRDefault="003740F3" w:rsidP="00B31659">
      <w:pPr>
        <w:spacing w:line="360" w:lineRule="auto"/>
        <w:jc w:val="both"/>
        <w:rPr>
          <w:rFonts w:ascii="Palatino Linotype" w:hAnsi="Palatino Linotype" w:cs="Tahoma"/>
          <w:bCs/>
        </w:rPr>
      </w:pPr>
    </w:p>
    <w:p w14:paraId="6FAE8951" w14:textId="77777777" w:rsidR="0099197C" w:rsidRDefault="0099197C" w:rsidP="00B31659">
      <w:pPr>
        <w:pStyle w:val="Prrafodelista"/>
        <w:numPr>
          <w:ilvl w:val="0"/>
          <w:numId w:val="3"/>
        </w:numPr>
        <w:tabs>
          <w:tab w:val="left" w:pos="1828"/>
        </w:tabs>
        <w:spacing w:line="360" w:lineRule="auto"/>
        <w:jc w:val="both"/>
        <w:rPr>
          <w:rFonts w:ascii="Palatino Linotype" w:hAnsi="Palatino Linotype" w:cs="Tahoma"/>
          <w:bCs/>
        </w:rPr>
      </w:pPr>
      <w:r>
        <w:rPr>
          <w:rFonts w:ascii="Palatino Linotype" w:hAnsi="Palatino Linotype" w:cs="Tahoma"/>
          <w:bCs/>
        </w:rPr>
        <w:t>C</w:t>
      </w:r>
      <w:r w:rsidR="00AF224A" w:rsidRPr="00AF224A">
        <w:rPr>
          <w:rFonts w:ascii="Palatino Linotype" w:hAnsi="Palatino Linotype" w:cs="Tahoma"/>
          <w:bCs/>
        </w:rPr>
        <w:t xml:space="preserve">onocer a quién fueron donados dos equinos de la unidad municipal de Equinoterapia entre 2019 y 2020, </w:t>
      </w:r>
    </w:p>
    <w:p w14:paraId="0EDEEB4F" w14:textId="77777777" w:rsidR="0099197C" w:rsidRDefault="0099197C" w:rsidP="00B31659">
      <w:pPr>
        <w:pStyle w:val="Prrafodelista"/>
        <w:numPr>
          <w:ilvl w:val="0"/>
          <w:numId w:val="3"/>
        </w:numPr>
        <w:tabs>
          <w:tab w:val="left" w:pos="1828"/>
        </w:tabs>
        <w:spacing w:line="360" w:lineRule="auto"/>
        <w:jc w:val="both"/>
        <w:rPr>
          <w:rFonts w:ascii="Palatino Linotype" w:hAnsi="Palatino Linotype" w:cs="Tahoma"/>
          <w:bCs/>
        </w:rPr>
      </w:pPr>
      <w:r>
        <w:rPr>
          <w:rFonts w:ascii="Palatino Linotype" w:hAnsi="Palatino Linotype" w:cs="Tahoma"/>
          <w:bCs/>
        </w:rPr>
        <w:t>L</w:t>
      </w:r>
      <w:r w:rsidR="00AF224A" w:rsidRPr="00AF224A">
        <w:rPr>
          <w:rFonts w:ascii="Palatino Linotype" w:hAnsi="Palatino Linotype" w:cs="Tahoma"/>
          <w:bCs/>
        </w:rPr>
        <w:t>os requisitos de entrega</w:t>
      </w:r>
      <w:r>
        <w:rPr>
          <w:rFonts w:ascii="Palatino Linotype" w:hAnsi="Palatino Linotype" w:cs="Tahoma"/>
          <w:bCs/>
        </w:rPr>
        <w:t>.</w:t>
      </w:r>
    </w:p>
    <w:p w14:paraId="0887BC59" w14:textId="3C285C2C" w:rsidR="003740F3" w:rsidRPr="000C60A7" w:rsidRDefault="0099197C" w:rsidP="00B31659">
      <w:pPr>
        <w:pStyle w:val="Prrafodelista"/>
        <w:numPr>
          <w:ilvl w:val="0"/>
          <w:numId w:val="3"/>
        </w:numPr>
        <w:tabs>
          <w:tab w:val="left" w:pos="1828"/>
        </w:tabs>
        <w:spacing w:line="360" w:lineRule="auto"/>
        <w:jc w:val="both"/>
        <w:rPr>
          <w:rFonts w:ascii="Palatino Linotype" w:hAnsi="Palatino Linotype" w:cs="Tahoma"/>
          <w:bCs/>
        </w:rPr>
      </w:pPr>
      <w:r>
        <w:rPr>
          <w:rFonts w:ascii="Palatino Linotype" w:hAnsi="Palatino Linotype" w:cs="Tahoma"/>
          <w:bCs/>
        </w:rPr>
        <w:t>S</w:t>
      </w:r>
      <w:r w:rsidR="00AF224A" w:rsidRPr="00AF224A">
        <w:rPr>
          <w:rFonts w:ascii="Palatino Linotype" w:hAnsi="Palatino Linotype" w:cs="Tahoma"/>
          <w:bCs/>
        </w:rPr>
        <w:t xml:space="preserve">i hubo algún seguimiento para garantizar el bienestar de los equinos, así como saber </w:t>
      </w:r>
      <w:r w:rsidRPr="00AF224A">
        <w:rPr>
          <w:rFonts w:ascii="Palatino Linotype" w:hAnsi="Palatino Linotype" w:cs="Tahoma"/>
          <w:bCs/>
        </w:rPr>
        <w:t>qué</w:t>
      </w:r>
      <w:r w:rsidR="00AF224A" w:rsidRPr="00AF224A">
        <w:rPr>
          <w:rFonts w:ascii="Palatino Linotype" w:hAnsi="Palatino Linotype" w:cs="Tahoma"/>
          <w:bCs/>
        </w:rPr>
        <w:t xml:space="preserve"> pasó con el potrillo que estaba por nacer ya que tenían a una yegua embarazada en ese mismo lapso de tiempo.</w:t>
      </w:r>
    </w:p>
    <w:p w14:paraId="5A515090" w14:textId="77777777" w:rsidR="003740F3" w:rsidRDefault="003740F3" w:rsidP="00B31659">
      <w:pPr>
        <w:spacing w:line="360" w:lineRule="auto"/>
        <w:jc w:val="both"/>
        <w:rPr>
          <w:rFonts w:ascii="Palatino Linotype" w:hAnsi="Palatino Linotype" w:cs="Arial"/>
        </w:rPr>
      </w:pPr>
    </w:p>
    <w:p w14:paraId="4A858AF3" w14:textId="78A882F9" w:rsidR="003740F3" w:rsidRDefault="003740F3" w:rsidP="00B31659">
      <w:pPr>
        <w:spacing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99197C" w:rsidRPr="0099197C">
        <w:rPr>
          <w:rFonts w:ascii="Palatino Linotype" w:hAnsi="Palatino Linotype" w:cs="Arial"/>
          <w:b/>
        </w:rPr>
        <w:t>00140/DIFTOLUCA/IP/2025</w:t>
      </w:r>
      <w:r w:rsidR="0099197C">
        <w:rPr>
          <w:rFonts w:ascii="Palatino Linotype" w:hAnsi="Palatino Linotype" w:cs="Arial"/>
        </w:rPr>
        <w:t>, adjuntando para tales efectos los siguientes documentos electrónicos</w:t>
      </w:r>
      <w:r w:rsidR="00341E0E">
        <w:rPr>
          <w:rFonts w:ascii="Palatino Linotype" w:hAnsi="Palatino Linotype" w:cs="Arial"/>
          <w:b/>
        </w:rPr>
        <w:t>:</w:t>
      </w:r>
    </w:p>
    <w:p w14:paraId="5540F709" w14:textId="2C0248E7" w:rsidR="0099197C" w:rsidRPr="00E75D93" w:rsidRDefault="0099197C" w:rsidP="00B31659">
      <w:pPr>
        <w:pStyle w:val="Prrafodelista"/>
        <w:numPr>
          <w:ilvl w:val="0"/>
          <w:numId w:val="13"/>
        </w:numPr>
        <w:spacing w:line="360" w:lineRule="auto"/>
        <w:jc w:val="both"/>
        <w:rPr>
          <w:rFonts w:ascii="Palatino Linotype" w:hAnsi="Palatino Linotype" w:cs="Arial"/>
          <w:b/>
        </w:rPr>
      </w:pPr>
      <w:r w:rsidRPr="0099197C">
        <w:rPr>
          <w:rFonts w:ascii="Palatino Linotype" w:hAnsi="Palatino Linotype" w:cs="Arial"/>
          <w:b/>
        </w:rPr>
        <w:t>RESPUESTA SPH S.140.pdf</w:t>
      </w:r>
      <w:r>
        <w:rPr>
          <w:rFonts w:ascii="Palatino Linotype" w:hAnsi="Palatino Linotype" w:cs="Arial"/>
          <w:b/>
        </w:rPr>
        <w:t xml:space="preserve">: </w:t>
      </w:r>
      <w:r>
        <w:rPr>
          <w:rFonts w:ascii="Palatino Linotype" w:hAnsi="Palatino Linotype" w:cs="Arial"/>
        </w:rPr>
        <w:t>Contiene la nota Informativa UNIMEQ/012/2025, de fecha doce de marzo de dos mil veinticinco, remitido por la Unidad Municipal de Equinoterapia</w:t>
      </w:r>
      <w:r w:rsidR="00E75D93">
        <w:rPr>
          <w:rFonts w:ascii="Palatino Linotype" w:hAnsi="Palatino Linotype" w:cs="Arial"/>
        </w:rPr>
        <w:t>, mediante el cual refiere que en respuesta al oficio 200B10100/011/2025:</w:t>
      </w:r>
    </w:p>
    <w:p w14:paraId="6EB398F0" w14:textId="1CBFD80F" w:rsidR="00E75D93" w:rsidRPr="00E75D93" w:rsidRDefault="00E75D93" w:rsidP="00B31659">
      <w:pPr>
        <w:pStyle w:val="Prrafodelista"/>
        <w:numPr>
          <w:ilvl w:val="0"/>
          <w:numId w:val="14"/>
        </w:numPr>
        <w:spacing w:line="360" w:lineRule="auto"/>
        <w:jc w:val="both"/>
        <w:rPr>
          <w:rFonts w:ascii="Palatino Linotype" w:hAnsi="Palatino Linotype" w:cs="Arial"/>
        </w:rPr>
      </w:pPr>
      <w:r w:rsidRPr="00E75D93">
        <w:rPr>
          <w:rFonts w:ascii="Palatino Linotype" w:hAnsi="Palatino Linotype" w:cs="Arial"/>
        </w:rPr>
        <w:t>No se cuenta con ningún registro de semovientes donados.</w:t>
      </w:r>
    </w:p>
    <w:p w14:paraId="06D06F6D" w14:textId="49552C43" w:rsidR="00E75D93" w:rsidRPr="00E75D93" w:rsidRDefault="00E75D93" w:rsidP="00B31659">
      <w:pPr>
        <w:pStyle w:val="Prrafodelista"/>
        <w:numPr>
          <w:ilvl w:val="0"/>
          <w:numId w:val="14"/>
        </w:numPr>
        <w:spacing w:line="360" w:lineRule="auto"/>
        <w:jc w:val="both"/>
        <w:rPr>
          <w:rFonts w:ascii="Palatino Linotype" w:hAnsi="Palatino Linotype" w:cs="Arial"/>
        </w:rPr>
      </w:pPr>
      <w:r w:rsidRPr="00E75D93">
        <w:rPr>
          <w:rFonts w:ascii="Palatino Linotype" w:hAnsi="Palatino Linotype" w:cs="Arial"/>
        </w:rPr>
        <w:t>El potrillo mencionado fue producto de un nacimiento prematuro, por lo tanto a no llegar a término, no presentó las características adecuadas para ser compatible con la vida.</w:t>
      </w:r>
    </w:p>
    <w:p w14:paraId="7EA177DE" w14:textId="3A8FAC43" w:rsidR="0099197C" w:rsidRPr="0099197C" w:rsidRDefault="0099197C" w:rsidP="00B31659">
      <w:pPr>
        <w:pStyle w:val="Prrafodelista"/>
        <w:numPr>
          <w:ilvl w:val="0"/>
          <w:numId w:val="13"/>
        </w:numPr>
        <w:spacing w:line="360" w:lineRule="auto"/>
        <w:jc w:val="both"/>
        <w:rPr>
          <w:rFonts w:ascii="Palatino Linotype" w:hAnsi="Palatino Linotype" w:cs="Arial"/>
          <w:b/>
        </w:rPr>
      </w:pPr>
      <w:r w:rsidRPr="0099197C">
        <w:rPr>
          <w:rFonts w:ascii="Palatino Linotype" w:hAnsi="Palatino Linotype" w:cs="Arial"/>
          <w:b/>
        </w:rPr>
        <w:t>RESPUESTA UT S.140.pdf</w:t>
      </w:r>
      <w:r>
        <w:rPr>
          <w:rFonts w:ascii="Palatino Linotype" w:hAnsi="Palatino Linotype" w:cs="Arial"/>
          <w:b/>
        </w:rPr>
        <w:t>:</w:t>
      </w:r>
      <w:r w:rsidR="00E75D93">
        <w:rPr>
          <w:rFonts w:ascii="Palatino Linotype" w:hAnsi="Palatino Linotype" w:cs="Arial"/>
          <w:b/>
        </w:rPr>
        <w:t xml:space="preserve"> </w:t>
      </w:r>
      <w:r w:rsidR="00E75D93">
        <w:rPr>
          <w:rFonts w:ascii="Palatino Linotype" w:hAnsi="Palatino Linotype" w:cs="Arial"/>
        </w:rPr>
        <w:t xml:space="preserve">Consta del oficio número 200B10404/068/2025, de fecha treinta y uno de marzo de dos mil veinticinco, signado por la Titular de la </w:t>
      </w:r>
      <w:r w:rsidR="00E75D93">
        <w:rPr>
          <w:rFonts w:ascii="Palatino Linotype" w:hAnsi="Palatino Linotype" w:cs="Arial"/>
        </w:rPr>
        <w:lastRenderedPageBreak/>
        <w:t>Unidad de Transparencia del Sistema Municipal DIF de Toluca, mediante el cual hace del conocimiento del particular que se adjunta la respuesta proporcionada por la Dirección de Servicios Jurídicos Asistenciales</w:t>
      </w:r>
      <w:r w:rsidR="00525A55">
        <w:rPr>
          <w:rFonts w:ascii="Palatino Linotype" w:hAnsi="Palatino Linotype" w:cs="Arial"/>
        </w:rPr>
        <w:t>.</w:t>
      </w:r>
    </w:p>
    <w:p w14:paraId="003078C7" w14:textId="46CD83AA" w:rsidR="003740F3" w:rsidRDefault="003740F3" w:rsidP="00B31659">
      <w:pPr>
        <w:pStyle w:val="INFOEM"/>
        <w:spacing w:before="0" w:after="0"/>
        <w:ind w:left="0"/>
      </w:pPr>
    </w:p>
    <w:p w14:paraId="788E736A" w14:textId="4EDD4ABA" w:rsidR="00525A55" w:rsidRDefault="00525A55" w:rsidP="00B31659">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Pr="00525A55">
        <w:rPr>
          <w:rFonts w:ascii="Palatino Linotype" w:hAnsi="Palatino Linotype"/>
          <w:i/>
          <w:color w:val="000000"/>
        </w:rPr>
        <w:t>No entrega documentos que fundamenten la respuesta, se debió haber llevado a cabo un seguimiento tanto en el caso de los equinos donados, como algún tipo de informe del potrillo que no nació</w:t>
      </w:r>
      <w:r>
        <w:rPr>
          <w:rFonts w:ascii="Palatino Linotype" w:hAnsi="Palatino Linotype"/>
          <w:i/>
          <w:color w:val="000000"/>
        </w:rPr>
        <w:t>”</w:t>
      </w:r>
      <w:r>
        <w:rPr>
          <w:rFonts w:ascii="Palatino Linotype" w:hAnsi="Palatino Linotype" w:cs="Palatino Linotype"/>
          <w:color w:val="000000"/>
          <w:lang w:val="es-ES_tradnl"/>
        </w:rPr>
        <w:t xml:space="preserve">y  motivos de inconformidad </w:t>
      </w:r>
      <w:r w:rsidRPr="00551CB0">
        <w:rPr>
          <w:rFonts w:ascii="Palatino Linotype" w:hAnsi="Palatino Linotype" w:cs="Palatino Linotype"/>
          <w:i/>
          <w:color w:val="000000"/>
          <w:lang w:val="es-ES_tradnl"/>
        </w:rPr>
        <w:t>“</w:t>
      </w:r>
      <w:r w:rsidRPr="00525A55">
        <w:rPr>
          <w:rFonts w:ascii="Palatino Linotype" w:hAnsi="Palatino Linotype" w:cs="Palatino Linotype"/>
          <w:i/>
          <w:color w:val="000000"/>
          <w:lang w:val="es-ES_tradnl"/>
        </w:rPr>
        <w:t>No entrega documentos que fundamenten la respuesta, se debió haber llevado a cabo un seguimiento tanto en el caso de los equinos donados, como algún tipo de informe del potrillo que no nació</w:t>
      </w:r>
      <w:r>
        <w:rPr>
          <w:rFonts w:ascii="Palatino Linotype" w:hAnsi="Palatino Linotype" w:cs="Palatino Linotype"/>
          <w:i/>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Recurrente considero que el Sujeto Obligado no le </w:t>
      </w:r>
      <w:r>
        <w:rPr>
          <w:rFonts w:ascii="Palatino Linotype" w:hAnsi="Palatino Linotype" w:cs="Palatino Linotype"/>
          <w:color w:val="000000"/>
          <w:lang w:val="es-ES_tradnl"/>
        </w:rPr>
        <w:t>entregó los documentos que fundamenten su respuesta.</w:t>
      </w:r>
    </w:p>
    <w:p w14:paraId="13F9FDE8" w14:textId="77777777" w:rsidR="00525A55" w:rsidRDefault="00525A55" w:rsidP="00B31659">
      <w:pPr>
        <w:autoSpaceDE w:val="0"/>
        <w:autoSpaceDN w:val="0"/>
        <w:adjustRightInd w:val="0"/>
        <w:spacing w:line="360" w:lineRule="auto"/>
        <w:jc w:val="both"/>
        <w:rPr>
          <w:rFonts w:ascii="Palatino Linotype" w:eastAsia="Calibri" w:hAnsi="Palatino Linotype" w:cs="Calibri"/>
          <w:lang w:val="es-ES_tradnl" w:eastAsia="es-MX"/>
        </w:rPr>
      </w:pPr>
    </w:p>
    <w:p w14:paraId="5E961E5E" w14:textId="77777777" w:rsidR="003740F3" w:rsidRDefault="003740F3" w:rsidP="00B31659">
      <w:pPr>
        <w:autoSpaceDE w:val="0"/>
        <w:autoSpaceDN w:val="0"/>
        <w:adjustRightInd w:val="0"/>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w:t>
      </w:r>
      <w:r>
        <w:rPr>
          <w:rFonts w:ascii="Palatino Linotype" w:eastAsia="Calibri" w:hAnsi="Palatino Linotype" w:cs="Calibri"/>
          <w:lang w:val="es-ES_tradnl" w:eastAsia="es-MX"/>
        </w:rPr>
        <w:t xml:space="preserve"> electrónico denominado:</w:t>
      </w:r>
    </w:p>
    <w:p w14:paraId="3BD3057D" w14:textId="5C6482AE" w:rsidR="003740F3" w:rsidRPr="00525A55" w:rsidRDefault="00525A55" w:rsidP="00B31659">
      <w:pPr>
        <w:pStyle w:val="Prrafodelista"/>
        <w:numPr>
          <w:ilvl w:val="0"/>
          <w:numId w:val="5"/>
        </w:numPr>
        <w:autoSpaceDE w:val="0"/>
        <w:autoSpaceDN w:val="0"/>
        <w:adjustRightInd w:val="0"/>
        <w:spacing w:line="360" w:lineRule="auto"/>
        <w:jc w:val="both"/>
        <w:rPr>
          <w:rFonts w:ascii="Palatino Linotype" w:hAnsi="Palatino Linotype" w:cs="Arial"/>
        </w:rPr>
      </w:pPr>
      <w:r w:rsidRPr="00525A55">
        <w:rPr>
          <w:rFonts w:ascii="Palatino Linotype" w:hAnsi="Palatino Linotype" w:cs="Arial"/>
          <w:b/>
          <w:i/>
        </w:rPr>
        <w:t>Informe Justificado 140-2025.pdf</w:t>
      </w:r>
      <w:r w:rsidR="003740F3">
        <w:rPr>
          <w:rFonts w:ascii="Palatino Linotype" w:hAnsi="Palatino Linotype" w:cs="Arial"/>
        </w:rPr>
        <w:t xml:space="preserve">: </w:t>
      </w:r>
      <w:r>
        <w:rPr>
          <w:rFonts w:ascii="Palatino Linotype" w:hAnsi="Palatino Linotype" w:cs="Arial"/>
        </w:rPr>
        <w:t>Consta del oficio número 200B10404/137/2025, de fecha veinticuatro de abril de dos mil veinticinco, mediante el cual se observa el informe justificado</w:t>
      </w:r>
      <w:r w:rsidR="0006631D">
        <w:rPr>
          <w:rFonts w:ascii="Palatino Linotype" w:hAnsi="Palatino Linotype" w:cs="Arial"/>
        </w:rPr>
        <w:t xml:space="preserve">, mediante el cual refiere que la respuesta entregada al hoy recurrente, colma lo peticionado por el mismo, en virtud de que el área competente refirió que no se cuenta con ningún registro de semovientes donados y el potrillo mencionado fue producto de un nacimiento prematuro al día treinta de diciembre de dos mil diecinueve por lo tanto al no llegar a término, </w:t>
      </w:r>
      <w:r w:rsidR="0006631D">
        <w:rPr>
          <w:rFonts w:ascii="Palatino Linotype" w:hAnsi="Palatino Linotype" w:cs="Arial"/>
        </w:rPr>
        <w:lastRenderedPageBreak/>
        <w:t xml:space="preserve">no presentó las características adecuadas para ser compatible con la vida, es decir, con lo que respecta a conocer a quién fueron donados dos equinos de la unidad municipal de Equinoterapia entre 2019 y 2020, cuáles fueron los requisitos de entrega y si hubo algún seguimiento para garantizar el bienestar de los equinos, no se generó documento alguno como al que pretende acceder el solicitante, máxime que de la normatividad que rige al Sujeto Obligado, no se advierte </w:t>
      </w:r>
      <w:r w:rsidR="0091147B">
        <w:rPr>
          <w:rFonts w:ascii="Palatino Linotype" w:hAnsi="Palatino Linotype" w:cs="Arial"/>
        </w:rPr>
        <w:t>fuente obligacional para realizar donaciones de semovientes, ni mucho menos tener requisitos para el mismo efecto, por ende el Sujeto Obligado, en razón de lo manifestado, no será necesario que el Comité de Transparencia emita una resolución que confirme la inexistencia de la información.</w:t>
      </w:r>
    </w:p>
    <w:p w14:paraId="29866E91" w14:textId="77777777" w:rsidR="00BB22EE" w:rsidRDefault="00BB22EE" w:rsidP="00B31659">
      <w:pPr>
        <w:spacing w:line="360" w:lineRule="auto"/>
        <w:jc w:val="both"/>
        <w:rPr>
          <w:rFonts w:ascii="Palatino Linotype" w:hAnsi="Palatino Linotype" w:cs="Tahoma"/>
        </w:rPr>
      </w:pPr>
    </w:p>
    <w:p w14:paraId="254C8892" w14:textId="6FDB354F" w:rsidR="00BB22EE" w:rsidRDefault="00BB22EE" w:rsidP="00B31659">
      <w:pPr>
        <w:spacing w:line="360" w:lineRule="auto"/>
        <w:jc w:val="both"/>
        <w:rPr>
          <w:rFonts w:ascii="Palatino Linotype" w:hAnsi="Palatino Linotype" w:cs="Tahoma"/>
        </w:rPr>
      </w:pPr>
      <w:r>
        <w:rPr>
          <w:rFonts w:ascii="Palatino Linotype" w:hAnsi="Palatino Linotype" w:cs="Tahoma"/>
        </w:rPr>
        <w:t xml:space="preserve">En ese orden de ideas, resulta necesario delimitar esferas competenciales conforme al </w:t>
      </w:r>
      <w:r w:rsidR="00C86F89">
        <w:rPr>
          <w:rFonts w:ascii="Palatino Linotype" w:hAnsi="Palatino Linotype" w:cs="Tahoma"/>
        </w:rPr>
        <w:t>Reglamento Interno del Sistema Municipal para el Desarrollo Integral de la Familia de Toluca</w:t>
      </w:r>
      <w:r>
        <w:rPr>
          <w:rFonts w:ascii="Palatino Linotype" w:hAnsi="Palatino Linotype" w:cs="Tahoma"/>
        </w:rPr>
        <w:t>,</w:t>
      </w:r>
      <w:r w:rsidR="003A79A6">
        <w:rPr>
          <w:rFonts w:ascii="Palatino Linotype" w:hAnsi="Palatino Linotype" w:cs="Tahoma"/>
        </w:rPr>
        <w:t xml:space="preserve"> el Manual de Organización del Sistema Municipal para el Desarrollo Integral de la Familia de Toluca</w:t>
      </w:r>
      <w:r>
        <w:rPr>
          <w:rFonts w:ascii="Palatino Linotype" w:hAnsi="Palatino Linotype" w:cs="Tahoma"/>
        </w:rPr>
        <w:t xml:space="preserve"> en el que se establece que </w:t>
      </w:r>
      <w:r w:rsidR="00E9344E">
        <w:rPr>
          <w:rFonts w:ascii="Palatino Linotype" w:hAnsi="Palatino Linotype" w:cs="Tahoma"/>
        </w:rPr>
        <w:t>las áreas y direcciones con las que cuenta la administración pública municipal</w:t>
      </w:r>
      <w:r>
        <w:rPr>
          <w:rFonts w:ascii="Palatino Linotype" w:hAnsi="Palatino Linotype" w:cs="Tahoma"/>
        </w:rPr>
        <w:t>:</w:t>
      </w:r>
    </w:p>
    <w:p w14:paraId="2E2AFFAE" w14:textId="77777777" w:rsidR="00C86F89" w:rsidRDefault="00C86F89" w:rsidP="00B31659">
      <w:pPr>
        <w:spacing w:line="360" w:lineRule="auto"/>
        <w:jc w:val="both"/>
        <w:rPr>
          <w:rFonts w:ascii="Palatino Linotype" w:hAnsi="Palatino Linotype" w:cs="Tahoma"/>
        </w:rPr>
      </w:pPr>
    </w:p>
    <w:p w14:paraId="7F43F639" w14:textId="2A8D9BE4" w:rsidR="00F81616" w:rsidRPr="00F81616" w:rsidRDefault="00F81616" w:rsidP="00B31659">
      <w:pPr>
        <w:pStyle w:val="Citas"/>
        <w:spacing w:before="0" w:after="0" w:line="240" w:lineRule="auto"/>
        <w:jc w:val="center"/>
        <w:rPr>
          <w:sz w:val="24"/>
        </w:rPr>
      </w:pPr>
      <w:r>
        <w:rPr>
          <w:sz w:val="24"/>
        </w:rPr>
        <w:t>“</w:t>
      </w:r>
      <w:r w:rsidRPr="00F81616">
        <w:rPr>
          <w:b/>
          <w:sz w:val="24"/>
        </w:rPr>
        <w:t>Manual de Organización del Sistema Municipal para el Desarrollo Integral de la Familia de Toluca.</w:t>
      </w:r>
    </w:p>
    <w:p w14:paraId="15A235D9" w14:textId="24A3CDBE" w:rsidR="00F81616" w:rsidRDefault="00F81616" w:rsidP="00B31659">
      <w:pPr>
        <w:pStyle w:val="Citas"/>
        <w:spacing w:before="0" w:after="0" w:line="240" w:lineRule="auto"/>
      </w:pPr>
      <w:r>
        <w:t>IX. Estructura orgánica.</w:t>
      </w:r>
    </w:p>
    <w:p w14:paraId="3B18CAAA" w14:textId="4332D6F3" w:rsidR="00F81616" w:rsidRDefault="00F81616" w:rsidP="00B31659">
      <w:pPr>
        <w:pStyle w:val="Citas"/>
        <w:spacing w:before="0" w:after="0" w:line="240" w:lineRule="auto"/>
      </w:pPr>
      <w:r>
        <w:t xml:space="preserve">La estructura Orgánica del Sistema Municipal para el Desarrollo de la Familia de Toluca está integrada por </w:t>
      </w:r>
      <w:r w:rsidR="00596BEB">
        <w:t>una Junta de Gobierno, Presidencia, una Dirección General, Unidad de Información, Planeación, Programación y Evaluación (UIPPE), Unidad de Comunicación Social, Órgano Interno de Control conformado por tres unidades, cinco Direcciones y trece departamentos.</w:t>
      </w:r>
    </w:p>
    <w:p w14:paraId="106CF203" w14:textId="29614146" w:rsidR="00596BEB" w:rsidRDefault="00596BEB" w:rsidP="00B31659">
      <w:pPr>
        <w:pStyle w:val="Citas"/>
        <w:spacing w:before="0" w:after="0" w:line="240" w:lineRule="auto"/>
      </w:pPr>
      <w:r>
        <w:t>(…)</w:t>
      </w:r>
    </w:p>
    <w:p w14:paraId="1311D4CD" w14:textId="190A4C32" w:rsidR="00596BEB" w:rsidRDefault="00596BEB" w:rsidP="00B31659">
      <w:pPr>
        <w:pStyle w:val="Citas"/>
        <w:spacing w:before="0" w:after="0" w:line="240" w:lineRule="auto"/>
      </w:pPr>
      <w:r>
        <w:t>200B10600 Dirección de Servicios Jurídicos Asistenciales</w:t>
      </w:r>
    </w:p>
    <w:p w14:paraId="3B19CD7E" w14:textId="29644E04" w:rsidR="00596BEB" w:rsidRDefault="00596BEB" w:rsidP="00B31659">
      <w:pPr>
        <w:pStyle w:val="Citas"/>
        <w:spacing w:before="0" w:after="0" w:line="240" w:lineRule="auto"/>
      </w:pPr>
      <w:r>
        <w:t>(…)</w:t>
      </w:r>
    </w:p>
    <w:p w14:paraId="4FF6B9C3" w14:textId="35B7D83B" w:rsidR="00DE7981" w:rsidRDefault="00A77664" w:rsidP="00B31659">
      <w:pPr>
        <w:pStyle w:val="Citas"/>
        <w:spacing w:before="0" w:after="0" w:line="240" w:lineRule="auto"/>
        <w:jc w:val="center"/>
      </w:pPr>
      <w:r w:rsidRPr="00A77664">
        <w:rPr>
          <w:noProof/>
          <w:lang w:eastAsia="es-MX"/>
        </w:rPr>
        <w:lastRenderedPageBreak/>
        <w:drawing>
          <wp:inline distT="0" distB="0" distL="0" distR="0" wp14:anchorId="115232C4" wp14:editId="04F7E925">
            <wp:extent cx="3976777" cy="5531799"/>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87030" cy="5546061"/>
                    </a:xfrm>
                    <a:prstGeom prst="rect">
                      <a:avLst/>
                    </a:prstGeom>
                  </pic:spPr>
                </pic:pic>
              </a:graphicData>
            </a:graphic>
          </wp:inline>
        </w:drawing>
      </w:r>
    </w:p>
    <w:p w14:paraId="68EF1437" w14:textId="4CA49AA5" w:rsidR="00A77664" w:rsidRDefault="00A77664" w:rsidP="00B31659">
      <w:pPr>
        <w:pStyle w:val="Citas"/>
        <w:spacing w:before="0" w:after="0" w:line="240" w:lineRule="auto"/>
        <w:jc w:val="center"/>
      </w:pPr>
      <w:r w:rsidRPr="00A77664">
        <w:rPr>
          <w:noProof/>
          <w:lang w:eastAsia="es-MX"/>
        </w:rPr>
        <w:lastRenderedPageBreak/>
        <w:drawing>
          <wp:inline distT="0" distB="0" distL="0" distR="0" wp14:anchorId="61CD816F" wp14:editId="23EB62D5">
            <wp:extent cx="4077269" cy="321037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7269" cy="3210373"/>
                    </a:xfrm>
                    <a:prstGeom prst="rect">
                      <a:avLst/>
                    </a:prstGeom>
                  </pic:spPr>
                </pic:pic>
              </a:graphicData>
            </a:graphic>
          </wp:inline>
        </w:drawing>
      </w:r>
    </w:p>
    <w:p w14:paraId="292B448C" w14:textId="77777777" w:rsidR="00596BEB" w:rsidRDefault="00596BEB" w:rsidP="00B31659">
      <w:pPr>
        <w:pStyle w:val="Citas"/>
        <w:spacing w:before="0" w:after="0" w:line="240" w:lineRule="auto"/>
      </w:pPr>
    </w:p>
    <w:p w14:paraId="4A100D34" w14:textId="77777777" w:rsidR="00C52743" w:rsidRPr="00B31659" w:rsidRDefault="00C52743" w:rsidP="00B31659">
      <w:pPr>
        <w:pStyle w:val="Citas"/>
        <w:spacing w:before="0" w:after="0"/>
        <w:jc w:val="center"/>
        <w:rPr>
          <w:b/>
        </w:rPr>
      </w:pPr>
      <w:r w:rsidRPr="00B31659">
        <w:rPr>
          <w:b/>
        </w:rPr>
        <w:t>REGLAMENTO INTERNO</w:t>
      </w:r>
    </w:p>
    <w:p w14:paraId="5FB0CB56" w14:textId="64D76778" w:rsidR="00C52743" w:rsidRPr="00B31659" w:rsidRDefault="00C52743" w:rsidP="00B31659">
      <w:pPr>
        <w:pStyle w:val="Citas"/>
        <w:spacing w:before="0" w:after="0" w:line="240" w:lineRule="auto"/>
        <w:jc w:val="center"/>
        <w:rPr>
          <w:b/>
        </w:rPr>
      </w:pPr>
      <w:r w:rsidRPr="00B31659">
        <w:rPr>
          <w:b/>
        </w:rPr>
        <w:t>Sistema Municipal para el Desarrollo Integral de la Familia de Toluca</w:t>
      </w:r>
    </w:p>
    <w:p w14:paraId="36A94FCB" w14:textId="77777777" w:rsidR="00C52743" w:rsidRDefault="00C52743" w:rsidP="00B31659">
      <w:pPr>
        <w:pStyle w:val="Citas"/>
        <w:spacing w:before="0" w:after="0" w:line="240" w:lineRule="auto"/>
      </w:pPr>
    </w:p>
    <w:p w14:paraId="276ACB7D" w14:textId="5DF1C816" w:rsidR="00C52743" w:rsidRDefault="00C52743" w:rsidP="00B31659">
      <w:pPr>
        <w:pStyle w:val="Citas"/>
        <w:spacing w:before="0" w:after="0"/>
      </w:pPr>
      <w:r w:rsidRPr="00B31659">
        <w:rPr>
          <w:b/>
        </w:rPr>
        <w:t>Artículo 25.-</w:t>
      </w:r>
      <w:r>
        <w:t xml:space="preserve"> La Dirección de Servicios Jurídicos Asistenciales, estará integrada por los</w:t>
      </w:r>
      <w:r w:rsidR="00B31659">
        <w:t xml:space="preserve"> </w:t>
      </w:r>
      <w:r>
        <w:t>siguientes Departamentos:</w:t>
      </w:r>
    </w:p>
    <w:p w14:paraId="470D4351" w14:textId="77777777" w:rsidR="00C52743" w:rsidRDefault="00C52743" w:rsidP="00B31659">
      <w:pPr>
        <w:pStyle w:val="Citas"/>
        <w:spacing w:before="0" w:after="0"/>
      </w:pPr>
      <w:r>
        <w:t>I. Departamento Consultivo, Contencioso y Orientación Jurídica;</w:t>
      </w:r>
    </w:p>
    <w:p w14:paraId="62DC4A26" w14:textId="77777777" w:rsidR="00C52743" w:rsidRDefault="00C52743" w:rsidP="00B31659">
      <w:pPr>
        <w:pStyle w:val="Citas"/>
        <w:spacing w:before="0" w:after="0"/>
      </w:pPr>
      <w:r>
        <w:t>II. Departamento de Talleres.</w:t>
      </w:r>
    </w:p>
    <w:p w14:paraId="381577D6" w14:textId="77777777" w:rsidR="00C52743" w:rsidRDefault="00C52743" w:rsidP="00B31659">
      <w:pPr>
        <w:pStyle w:val="Citas"/>
        <w:spacing w:before="0" w:after="0"/>
      </w:pPr>
      <w:r w:rsidRPr="00B31659">
        <w:rPr>
          <w:b/>
        </w:rPr>
        <w:t>Artículo 26.-</w:t>
      </w:r>
      <w:r>
        <w:t xml:space="preserve"> Corresponde a la Dirección de Servicios Jurídicos Asistenciales:</w:t>
      </w:r>
    </w:p>
    <w:p w14:paraId="4D1DB58E" w14:textId="5C78592A" w:rsidR="00C52743" w:rsidRDefault="00C52743" w:rsidP="00B31659">
      <w:pPr>
        <w:pStyle w:val="Citas"/>
        <w:spacing w:before="0" w:after="0"/>
      </w:pPr>
      <w:r>
        <w:t>I. Representar legalmente al Sistema Municipal para el Desarrollo Integral de la Familia de</w:t>
      </w:r>
      <w:r w:rsidR="00B31659">
        <w:t xml:space="preserve"> </w:t>
      </w:r>
      <w:r>
        <w:t>Toluca;</w:t>
      </w:r>
    </w:p>
    <w:p w14:paraId="67312E08" w14:textId="6C291B63" w:rsidR="00C52743" w:rsidRDefault="00C52743" w:rsidP="00B31659">
      <w:pPr>
        <w:pStyle w:val="Citas"/>
        <w:spacing w:before="0" w:after="0"/>
      </w:pPr>
      <w:r>
        <w:t>II. Elaborar contratos de comodato y convenios de colaboración con la finalidad de que el</w:t>
      </w:r>
      <w:r w:rsidR="00B31659">
        <w:t xml:space="preserve"> </w:t>
      </w:r>
      <w:r>
        <w:t>SMDIF genere un beneficio y que a través de ellos permita ayudar a la población vulnerable</w:t>
      </w:r>
      <w:r w:rsidR="00B31659">
        <w:t xml:space="preserve"> </w:t>
      </w:r>
      <w:r>
        <w:t>del municipio;</w:t>
      </w:r>
    </w:p>
    <w:p w14:paraId="305BF47C" w14:textId="11320E75" w:rsidR="00C52743" w:rsidRDefault="00C52743" w:rsidP="00B31659">
      <w:pPr>
        <w:pStyle w:val="Citas"/>
        <w:spacing w:before="0" w:after="0"/>
      </w:pPr>
      <w:r>
        <w:t>III. Planear y coordinar las actividades relacionadas con la gestión de apoyos asistenciales</w:t>
      </w:r>
      <w:r w:rsidR="00B31659">
        <w:t xml:space="preserve"> </w:t>
      </w:r>
      <w:r>
        <w:t>en materia jurídico familiar y de talleres que brinda el SMDIFTOL;</w:t>
      </w:r>
    </w:p>
    <w:p w14:paraId="054A76E7" w14:textId="530487A5" w:rsidR="00C52743" w:rsidRDefault="00C52743" w:rsidP="00B31659">
      <w:pPr>
        <w:pStyle w:val="Citas"/>
        <w:spacing w:before="0" w:after="0"/>
      </w:pPr>
      <w:r>
        <w:lastRenderedPageBreak/>
        <w:t>IV. Promover y diseñar estrategias que permitan elevar la eficacia en la prestación de los</w:t>
      </w:r>
      <w:r w:rsidR="00B31659">
        <w:t xml:space="preserve"> </w:t>
      </w:r>
      <w:r>
        <w:t>servicios ofertados;</w:t>
      </w:r>
    </w:p>
    <w:p w14:paraId="2B4BCE59" w14:textId="6E977FD2" w:rsidR="00C52743" w:rsidRDefault="00C52743" w:rsidP="00B31659">
      <w:pPr>
        <w:pStyle w:val="Citas"/>
        <w:spacing w:before="0" w:after="0"/>
      </w:pPr>
      <w:r>
        <w:t>V. Supervisar los inmuebles y evaluar la prestación de los servicios jurídico-asistenciales, a</w:t>
      </w:r>
      <w:r w:rsidR="00B31659">
        <w:t xml:space="preserve"> </w:t>
      </w:r>
      <w:r>
        <w:t>través de los departamentos que la integran;</w:t>
      </w:r>
    </w:p>
    <w:p w14:paraId="7D1B259F" w14:textId="0DB3383E" w:rsidR="00C52743" w:rsidRDefault="00C52743" w:rsidP="00B31659">
      <w:pPr>
        <w:pStyle w:val="Citas"/>
        <w:spacing w:before="0" w:after="0"/>
      </w:pPr>
      <w:r>
        <w:t>VI. Atender y dar seguimiento, a través de los departamentos a su cargo, a las demandas</w:t>
      </w:r>
      <w:r w:rsidR="00B31659">
        <w:t xml:space="preserve"> </w:t>
      </w:r>
      <w:r>
        <w:t>de servicios de asistencia social que sean solicitados;</w:t>
      </w:r>
    </w:p>
    <w:p w14:paraId="116DCEC7" w14:textId="77777777" w:rsidR="00B31659" w:rsidRDefault="00C52743" w:rsidP="00B31659">
      <w:pPr>
        <w:pStyle w:val="Citas"/>
        <w:spacing w:before="0" w:after="0"/>
      </w:pPr>
      <w:r>
        <w:t>VII. Participar en la planeación, logística y supervisión de los eventos que organice el</w:t>
      </w:r>
      <w:r w:rsidR="00B31659">
        <w:t xml:space="preserve"> SMDIF;</w:t>
      </w:r>
    </w:p>
    <w:p w14:paraId="30326BC4" w14:textId="3CA26E94" w:rsidR="00E9344E" w:rsidRDefault="00C52743" w:rsidP="00B31659">
      <w:pPr>
        <w:pStyle w:val="Citas"/>
        <w:spacing w:before="0" w:after="0"/>
      </w:pPr>
      <w:r>
        <w:t>VIII. Diseñar en coordinación con el Enlace de Comunicación Social y Gobierno Digital,</w:t>
      </w:r>
      <w:r w:rsidR="00B31659">
        <w:t xml:space="preserve"> </w:t>
      </w:r>
      <w:r>
        <w:t>estrategias para difundir entre la población, los programas que opera el SMDIFTOL y los</w:t>
      </w:r>
      <w:r w:rsidR="00B31659">
        <w:t xml:space="preserve"> </w:t>
      </w:r>
      <w:r>
        <w:t>logros alcanzados, responsabilidad de esta Dirección;</w:t>
      </w:r>
      <w:r w:rsidR="00E9344E" w:rsidRPr="00E9344E">
        <w:t xml:space="preserve">  </w:t>
      </w:r>
    </w:p>
    <w:p w14:paraId="50AD7316" w14:textId="396A6A25" w:rsidR="00B31659" w:rsidRDefault="00B31659" w:rsidP="00B31659">
      <w:pPr>
        <w:pStyle w:val="Citas"/>
        <w:spacing w:before="0" w:after="0"/>
      </w:pPr>
      <w:r>
        <w:t>IX. Evaluar de manera periódica el cumplimiento del Programa Anual para cada una de las áreas a su cargo, generando acciones correctivas en caso de ser necesario, garantizando su cumplimiento;</w:t>
      </w:r>
    </w:p>
    <w:p w14:paraId="0AF17E49" w14:textId="644EE0F3" w:rsidR="00B31659" w:rsidRDefault="00B31659" w:rsidP="00B31659">
      <w:pPr>
        <w:pStyle w:val="Citas"/>
        <w:spacing w:before="0" w:after="0"/>
      </w:pPr>
      <w:r>
        <w:t>X. Participar en el Comité de Interno de Mejora Regulatoria como vocal, de acuerdo a lo previsto reglamentariamente;</w:t>
      </w:r>
    </w:p>
    <w:p w14:paraId="57301DBB" w14:textId="6D50B70C" w:rsidR="00B31659" w:rsidRDefault="00B31659" w:rsidP="00B31659">
      <w:pPr>
        <w:pStyle w:val="Citas"/>
        <w:spacing w:before="0" w:after="0"/>
      </w:pPr>
      <w:r>
        <w:t>XI. Cumplir con las tareas en materia de Transparencia y Protección de Datos Personales, de acuerdo con la normatividad vigente;</w:t>
      </w:r>
    </w:p>
    <w:p w14:paraId="6BF1810C" w14:textId="77777777" w:rsidR="00B31659" w:rsidRDefault="00B31659" w:rsidP="00B31659">
      <w:pPr>
        <w:pStyle w:val="Citas"/>
        <w:spacing w:before="0" w:after="0"/>
      </w:pPr>
      <w:r>
        <w:t>XII. Atender de manera directa toda instrucción del superior jerárquico del SMDIFTOL; y</w:t>
      </w:r>
    </w:p>
    <w:p w14:paraId="3F13DE1B" w14:textId="2AF09BB4" w:rsidR="00B31659" w:rsidRDefault="00B31659" w:rsidP="00B31659">
      <w:pPr>
        <w:pStyle w:val="Citas"/>
        <w:spacing w:before="0" w:after="0"/>
      </w:pPr>
      <w:r>
        <w:t>XIII. Realizar todas aquellas funciones inherentes y aplicables al área de su competencia.</w:t>
      </w:r>
    </w:p>
    <w:p w14:paraId="3E78E5C7" w14:textId="77777777" w:rsidR="00B31659" w:rsidRDefault="00B31659" w:rsidP="00B31659">
      <w:pPr>
        <w:pStyle w:val="Citas"/>
        <w:spacing w:before="0" w:after="0"/>
      </w:pPr>
    </w:p>
    <w:p w14:paraId="195D1A4B" w14:textId="77777777" w:rsidR="00E9344E" w:rsidRDefault="00E9344E" w:rsidP="00B31659">
      <w:pPr>
        <w:pStyle w:val="Citas"/>
        <w:spacing w:before="0" w:after="0" w:line="276" w:lineRule="auto"/>
      </w:pPr>
    </w:p>
    <w:p w14:paraId="27797500" w14:textId="09945BB3" w:rsidR="00BB22EE" w:rsidRDefault="00BB22EE" w:rsidP="00B31659">
      <w:pPr>
        <w:pStyle w:val="Citas"/>
        <w:spacing w:before="0" w:after="0" w:line="276" w:lineRule="auto"/>
      </w:pPr>
    </w:p>
    <w:p w14:paraId="3E233543" w14:textId="77FDF5BE" w:rsidR="00BB22EE" w:rsidRPr="00BB22EE" w:rsidRDefault="00BB22EE" w:rsidP="00B31659">
      <w:pPr>
        <w:pStyle w:val="Citas"/>
        <w:spacing w:before="0" w:after="0"/>
        <w:ind w:left="0"/>
        <w:rPr>
          <w:rFonts w:cs="Tahoma"/>
        </w:rPr>
      </w:pPr>
    </w:p>
    <w:p w14:paraId="67BF28EC" w14:textId="77777777" w:rsidR="003740F3" w:rsidRDefault="00BB22EE" w:rsidP="00B31659">
      <w:pPr>
        <w:spacing w:line="360" w:lineRule="auto"/>
        <w:jc w:val="both"/>
        <w:rPr>
          <w:rFonts w:ascii="Palatino Linotype" w:hAnsi="Palatino Linotype" w:cs="Tahoma"/>
        </w:rPr>
      </w:pPr>
      <w:r>
        <w:rPr>
          <w:rFonts w:ascii="Palatino Linotype" w:hAnsi="Palatino Linotype" w:cs="Tahoma"/>
        </w:rPr>
        <w:t xml:space="preserve"> </w:t>
      </w:r>
    </w:p>
    <w:p w14:paraId="3D887BDF" w14:textId="2319B2D3" w:rsidR="003740F3" w:rsidRPr="004B185C" w:rsidRDefault="003740F3" w:rsidP="004B185C">
      <w:pPr>
        <w:pStyle w:val="Sinespaciado"/>
        <w:spacing w:line="360" w:lineRule="auto"/>
        <w:jc w:val="both"/>
        <w:rPr>
          <w:rFonts w:ascii="Palatino Linotype" w:hAnsi="Palatino Linotype"/>
          <w:sz w:val="24"/>
          <w:szCs w:val="24"/>
        </w:rPr>
      </w:pPr>
      <w:r w:rsidRPr="004B185C">
        <w:rPr>
          <w:rFonts w:ascii="Palatino Linotype" w:eastAsia="Palatino Linotype" w:hAnsi="Palatino Linotype" w:cs="Palatino Linotype"/>
          <w:color w:val="000000"/>
          <w:sz w:val="24"/>
          <w:szCs w:val="24"/>
          <w:lang w:val="es-ES_tradnl" w:eastAsia="es-MX"/>
        </w:rPr>
        <w:lastRenderedPageBreak/>
        <w:t xml:space="preserve">Ahora bien, </w:t>
      </w:r>
      <w:r w:rsidRPr="004B185C">
        <w:rPr>
          <w:rFonts w:ascii="Palatino Linotype" w:hAnsi="Palatino Linotype"/>
          <w:sz w:val="24"/>
          <w:szCs w:val="24"/>
        </w:rPr>
        <w:t>el Recurrente consideró que no le entregaron la información requerida, así del análisis efectuado a las manifestaciones esgrimidas mediante su</w:t>
      </w:r>
      <w:r w:rsidR="004B185C" w:rsidRPr="004B185C">
        <w:rPr>
          <w:rFonts w:ascii="Palatino Linotype" w:hAnsi="Palatino Linotype"/>
          <w:sz w:val="24"/>
          <w:szCs w:val="24"/>
        </w:rPr>
        <w:t xml:space="preserve"> respuesta e </w:t>
      </w:r>
      <w:r w:rsidRPr="004B185C">
        <w:rPr>
          <w:rFonts w:ascii="Palatino Linotype" w:hAnsi="Palatino Linotype"/>
          <w:sz w:val="24"/>
          <w:szCs w:val="24"/>
        </w:rPr>
        <w:t xml:space="preserve">informe justificado, se advierte que </w:t>
      </w:r>
      <w:r w:rsidRPr="004B185C">
        <w:rPr>
          <w:rFonts w:ascii="Palatino Linotype" w:hAnsi="Palatino Linotype"/>
          <w:b/>
          <w:sz w:val="24"/>
          <w:szCs w:val="24"/>
        </w:rPr>
        <w:t>El Sujeto Obligado</w:t>
      </w:r>
      <w:r w:rsidRPr="004B185C">
        <w:rPr>
          <w:rFonts w:ascii="Palatino Linotype" w:hAnsi="Palatino Linotype"/>
          <w:sz w:val="24"/>
          <w:szCs w:val="24"/>
        </w:rPr>
        <w:t xml:space="preserve"> colma en su totalidad lo solicitado por la particular, al referir que no </w:t>
      </w:r>
      <w:r w:rsidR="004B185C">
        <w:rPr>
          <w:rFonts w:ascii="Palatino Linotype" w:hAnsi="Palatino Linotype"/>
          <w:sz w:val="24"/>
          <w:szCs w:val="24"/>
        </w:rPr>
        <w:t>se cuenta con ningún registro de semovientes donados, toda vez que, de la normatividad que rige al Sujeto Obligado no se advierte fuente obligacional para realizar donaciones de semovientes, ni mucho menos tener requisitos para el mismo efecto, por lo que no se cuenta con dicha información</w:t>
      </w:r>
      <w:r w:rsidRPr="004B185C">
        <w:rPr>
          <w:rFonts w:ascii="Palatino Linotype" w:hAnsi="Palatino Linotype"/>
          <w:sz w:val="24"/>
          <w:szCs w:val="24"/>
        </w:rPr>
        <w:t xml:space="preserve">, lo que se colige como un hecho negativo. </w:t>
      </w:r>
    </w:p>
    <w:p w14:paraId="3804F9C5" w14:textId="77777777" w:rsidR="003740F3" w:rsidRDefault="003740F3" w:rsidP="00B31659">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31EED9A7" w14:textId="77777777" w:rsidR="003740F3" w:rsidRPr="007769B2" w:rsidRDefault="003740F3" w:rsidP="00B31659">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3320A267" w14:textId="77777777" w:rsidR="003740F3" w:rsidRPr="007769B2" w:rsidRDefault="003740F3" w:rsidP="00B31659">
      <w:pPr>
        <w:spacing w:line="360" w:lineRule="auto"/>
        <w:ind w:right="51"/>
        <w:jc w:val="both"/>
        <w:rPr>
          <w:rFonts w:ascii="Palatino Linotype" w:hAnsi="Palatino Linotype" w:cs="Arial"/>
        </w:rPr>
      </w:pPr>
    </w:p>
    <w:p w14:paraId="06030EE1" w14:textId="77777777" w:rsidR="003740F3" w:rsidRPr="007769B2" w:rsidRDefault="003740F3" w:rsidP="00B31659">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t>Por lo anterior sirve de sustento la Tesis Aislada 267287, emanada por el Máximo Juzgador de la Nación, la cual refiere lo siguiente:</w:t>
      </w:r>
    </w:p>
    <w:p w14:paraId="3E5E8FD3" w14:textId="77777777" w:rsidR="003740F3" w:rsidRPr="007769B2" w:rsidRDefault="003740F3" w:rsidP="00B31659"/>
    <w:p w14:paraId="4CC0736F" w14:textId="77777777" w:rsidR="003740F3" w:rsidRPr="007769B2" w:rsidRDefault="003740F3" w:rsidP="00B31659">
      <w:pPr>
        <w:shd w:val="clear" w:color="auto" w:fill="FFFFFF"/>
        <w:ind w:left="851" w:rightChars="386" w:right="926"/>
        <w:jc w:val="both"/>
        <w:rPr>
          <w:rFonts w:ascii="Palatino Linotype" w:eastAsia="Calibri" w:hAnsi="Palatino Linotype"/>
          <w:color w:val="222222"/>
        </w:rPr>
      </w:pPr>
      <w:r w:rsidRPr="007769B2">
        <w:rPr>
          <w:rFonts w:ascii="Palatino Linotype" w:eastAsia="Calibri" w:hAnsi="Palatino Linotype"/>
          <w:b/>
          <w:bCs/>
          <w:i/>
          <w:iCs/>
          <w:color w:val="222222"/>
        </w:rPr>
        <w:t>HECHOS NEGATIVOS, NO SON SUSCEPTIBLES DE DEMOSTRACIÓN. ”</w:t>
      </w:r>
      <w:r w:rsidRPr="007769B2">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0E1944BD" w14:textId="77777777" w:rsidR="003740F3" w:rsidRPr="007769B2" w:rsidRDefault="003740F3" w:rsidP="00B31659">
      <w:pPr>
        <w:shd w:val="clear" w:color="auto" w:fill="FFFFFF"/>
        <w:ind w:left="851" w:rightChars="386" w:right="926"/>
        <w:jc w:val="both"/>
        <w:rPr>
          <w:rFonts w:ascii="Palatino Linotype" w:eastAsia="Calibri" w:hAnsi="Palatino Linotype"/>
          <w:i/>
          <w:iCs/>
          <w:color w:val="222222"/>
        </w:rPr>
      </w:pPr>
      <w:r w:rsidRPr="007769B2">
        <w:rPr>
          <w:rFonts w:ascii="Palatino Linotype" w:eastAsia="Calibri" w:hAnsi="Palatino Linotype"/>
          <w:i/>
          <w:iCs/>
          <w:color w:val="222222"/>
        </w:rPr>
        <w:t>Amparo en revisión 2022/61. José García Florín (Menor). 9 de octubre de 1961. Cinco votos. Ponente: José Rivera Pérez Campos.”</w:t>
      </w:r>
    </w:p>
    <w:p w14:paraId="7A6ED136" w14:textId="77777777" w:rsidR="003740F3" w:rsidRPr="007769B2" w:rsidRDefault="003740F3" w:rsidP="00B31659">
      <w:pPr>
        <w:rPr>
          <w:sz w:val="14"/>
        </w:rPr>
      </w:pPr>
    </w:p>
    <w:p w14:paraId="2BEE1A40" w14:textId="77777777" w:rsidR="004B185C" w:rsidRDefault="004B185C" w:rsidP="00B31659">
      <w:pPr>
        <w:autoSpaceDE w:val="0"/>
        <w:autoSpaceDN w:val="0"/>
        <w:adjustRightInd w:val="0"/>
        <w:spacing w:line="360" w:lineRule="auto"/>
        <w:jc w:val="both"/>
        <w:rPr>
          <w:rFonts w:ascii="Palatino Linotype" w:eastAsia="Calibri" w:hAnsi="Palatino Linotype" w:cs="Arial"/>
        </w:rPr>
      </w:pPr>
    </w:p>
    <w:p w14:paraId="085CFA8F" w14:textId="77777777" w:rsidR="003740F3" w:rsidRDefault="003740F3" w:rsidP="00B31659">
      <w:pPr>
        <w:autoSpaceDE w:val="0"/>
        <w:autoSpaceDN w:val="0"/>
        <w:adjustRightInd w:val="0"/>
        <w:spacing w:line="360" w:lineRule="auto"/>
        <w:jc w:val="both"/>
        <w:rPr>
          <w:rFonts w:ascii="Palatino Linotype" w:eastAsia="Calibri" w:hAnsi="Palatino Linotype" w:cs="Arial"/>
        </w:rPr>
      </w:pPr>
      <w:r w:rsidRPr="007769B2">
        <w:rPr>
          <w:rFonts w:ascii="Palatino Linotype" w:eastAsia="Calibri" w:hAnsi="Palatino Linotype" w:cs="Arial"/>
        </w:rPr>
        <w:lastRenderedPageBreak/>
        <w:t>De igual forma viene a colación el Criterio</w:t>
      </w:r>
      <w:r>
        <w:rPr>
          <w:rFonts w:ascii="Palatino Linotype" w:eastAsia="Calibri" w:hAnsi="Palatino Linotype" w:cs="Arial"/>
        </w:rPr>
        <w:t xml:space="preserve"> orientador</w:t>
      </w:r>
      <w:r w:rsidRPr="007769B2">
        <w:rPr>
          <w:rFonts w:ascii="Palatino Linotype" w:eastAsia="Calibri" w:hAnsi="Palatino Linotype" w:cs="Arial"/>
        </w:rPr>
        <w:t xml:space="preserve"> 7/2017, emitido por el</w:t>
      </w:r>
      <w:r>
        <w:rPr>
          <w:rFonts w:ascii="Palatino Linotype" w:eastAsia="Calibri" w:hAnsi="Palatino Linotype" w:cs="Arial"/>
        </w:rPr>
        <w:t xml:space="preserve"> entonces</w:t>
      </w:r>
      <w:r w:rsidRPr="007769B2">
        <w:rPr>
          <w:rFonts w:ascii="Palatino Linotype" w:eastAsia="Calibri" w:hAnsi="Palatino Linotype" w:cs="Arial"/>
        </w:rPr>
        <w:t xml:space="preserve"> Instituto Nacional de Transparencia, Acceso a la Información y Protección de Datos Personales, cuyo texto se transcribe a continuación:</w:t>
      </w:r>
    </w:p>
    <w:p w14:paraId="6871DBAB" w14:textId="77777777" w:rsidR="004B185C" w:rsidRPr="007769B2" w:rsidRDefault="004B185C" w:rsidP="00B31659">
      <w:pPr>
        <w:autoSpaceDE w:val="0"/>
        <w:autoSpaceDN w:val="0"/>
        <w:adjustRightInd w:val="0"/>
        <w:spacing w:line="360" w:lineRule="auto"/>
        <w:jc w:val="both"/>
        <w:rPr>
          <w:rFonts w:ascii="Palatino Linotype" w:eastAsia="Calibri" w:hAnsi="Palatino Linotype" w:cs="Arial"/>
        </w:rPr>
      </w:pPr>
    </w:p>
    <w:p w14:paraId="7204EFD3" w14:textId="77777777" w:rsidR="003740F3" w:rsidRPr="007769B2" w:rsidRDefault="003740F3" w:rsidP="00B31659">
      <w:pPr>
        <w:tabs>
          <w:tab w:val="left" w:pos="851"/>
        </w:tabs>
        <w:spacing w:line="276" w:lineRule="auto"/>
        <w:ind w:left="851" w:right="850"/>
        <w:jc w:val="both"/>
        <w:rPr>
          <w:i/>
          <w:color w:val="222222"/>
        </w:rPr>
      </w:pPr>
      <w:r w:rsidRPr="007769B2">
        <w:rPr>
          <w:rFonts w:ascii="Palatino Linotype" w:hAnsi="Palatino Linotype"/>
          <w:b/>
          <w:i/>
          <w:color w:val="222222"/>
        </w:rPr>
        <w:t>Casos en los que no es necesario que el Comité de Transparencia confirme formalmente la inexistencia de la información.</w:t>
      </w:r>
      <w:r w:rsidRPr="007769B2">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i/>
          <w:color w:val="222222"/>
        </w:rPr>
        <w:t>.</w:t>
      </w:r>
    </w:p>
    <w:p w14:paraId="4271747A" w14:textId="77777777" w:rsidR="003740F3" w:rsidRPr="00265709" w:rsidRDefault="003740F3" w:rsidP="00B31659">
      <w:pPr>
        <w:autoSpaceDE w:val="0"/>
        <w:autoSpaceDN w:val="0"/>
        <w:adjustRightInd w:val="0"/>
        <w:spacing w:line="360" w:lineRule="auto"/>
        <w:jc w:val="both"/>
        <w:rPr>
          <w:rFonts w:ascii="Palatino Linotype" w:eastAsiaTheme="minorHAnsi" w:hAnsi="Palatino Linotype" w:cstheme="minorBidi"/>
          <w:szCs w:val="22"/>
          <w:lang w:val="es-MX" w:eastAsia="en-US"/>
        </w:rPr>
      </w:pPr>
    </w:p>
    <w:p w14:paraId="158E4BDB" w14:textId="77777777" w:rsidR="003740F3" w:rsidRPr="00265709" w:rsidRDefault="003740F3" w:rsidP="00B31659">
      <w:pPr>
        <w:spacing w:line="360" w:lineRule="auto"/>
        <w:jc w:val="both"/>
        <w:rPr>
          <w:rFonts w:ascii="Palatino Linotype" w:eastAsiaTheme="minorHAnsi" w:hAnsi="Palatino Linotype" w:cs="Arial"/>
          <w:color w:val="000000"/>
          <w:szCs w:val="22"/>
          <w:lang w:val="es-MX" w:eastAsia="en-US"/>
        </w:rPr>
      </w:pPr>
      <w:r w:rsidRPr="00265709">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265709">
        <w:rPr>
          <w:rFonts w:ascii="Palatino Linotype" w:eastAsiaTheme="minorHAnsi" w:hAnsi="Palatino Linotype" w:cs="Arial"/>
          <w:b/>
          <w:color w:val="000000"/>
          <w:szCs w:val="22"/>
          <w:lang w:val="es-MX" w:eastAsia="en-US"/>
        </w:rPr>
        <w:t xml:space="preserve"> </w:t>
      </w:r>
      <w:r w:rsidRPr="00265709">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265709">
        <w:rPr>
          <w:rFonts w:ascii="Palatino Linotype" w:eastAsiaTheme="minorHAnsi" w:hAnsi="Palatino Linotype" w:cs="Arial"/>
          <w:i/>
          <w:color w:val="000000"/>
          <w:szCs w:val="22"/>
          <w:lang w:val="es-MX" w:eastAsia="en-US"/>
        </w:rPr>
        <w:t>ad hoc</w:t>
      </w:r>
      <w:r w:rsidRPr="00265709">
        <w:rPr>
          <w:rFonts w:ascii="Palatino Linotype" w:eastAsiaTheme="minorHAnsi" w:hAnsi="Palatino Linotype" w:cs="Arial"/>
          <w:color w:val="000000"/>
          <w:szCs w:val="22"/>
          <w:lang w:val="es-MX" w:eastAsia="en-US"/>
        </w:rPr>
        <w:t>, para satisfacer el derecho de acceso a la información pública.</w:t>
      </w:r>
    </w:p>
    <w:p w14:paraId="0F00DABE" w14:textId="77777777" w:rsidR="003740F3" w:rsidRPr="00265709" w:rsidRDefault="003740F3" w:rsidP="00B31659">
      <w:pPr>
        <w:rPr>
          <w:lang w:val="es-MX"/>
        </w:rPr>
      </w:pPr>
    </w:p>
    <w:p w14:paraId="2ED457C2" w14:textId="77777777" w:rsidR="003740F3" w:rsidRDefault="003740F3" w:rsidP="00B31659">
      <w:pPr>
        <w:spacing w:line="360" w:lineRule="auto"/>
        <w:jc w:val="both"/>
        <w:rPr>
          <w:rFonts w:ascii="Palatino Linotype" w:eastAsiaTheme="minorHAnsi" w:hAnsi="Palatino Linotype" w:cstheme="minorBidi"/>
          <w:b/>
          <w:bCs/>
          <w:color w:val="000000"/>
          <w:szCs w:val="22"/>
          <w:lang w:val="es-MX" w:eastAsia="en-US"/>
        </w:rPr>
      </w:pPr>
      <w:r w:rsidRPr="00265709">
        <w:rPr>
          <w:rFonts w:ascii="Palatino Linotype" w:eastAsiaTheme="minorHAnsi" w:hAnsi="Palatino Linotype" w:cs="Arial"/>
          <w:color w:val="000000"/>
          <w:szCs w:val="22"/>
          <w:lang w:val="es-MX" w:eastAsia="en-US"/>
        </w:rPr>
        <w:lastRenderedPageBreak/>
        <w:t>Como apoyo a lo anterior, es aplicable el Criterio</w:t>
      </w:r>
      <w:r>
        <w:rPr>
          <w:rFonts w:ascii="Palatino Linotype" w:eastAsiaTheme="minorHAnsi" w:hAnsi="Palatino Linotype" w:cs="Arial"/>
          <w:color w:val="000000"/>
          <w:szCs w:val="22"/>
          <w:lang w:val="es-MX" w:eastAsia="en-US"/>
        </w:rPr>
        <w:t xml:space="preserve"> orientador</w:t>
      </w:r>
      <w:r w:rsidRPr="00265709">
        <w:rPr>
          <w:rFonts w:ascii="Palatino Linotype" w:eastAsiaTheme="minorHAnsi" w:hAnsi="Palatino Linotype" w:cs="Arial"/>
          <w:color w:val="000000"/>
          <w:szCs w:val="22"/>
          <w:lang w:val="es-MX" w:eastAsia="en-US"/>
        </w:rPr>
        <w:t xml:space="preserve"> 03-17, emitido por </w:t>
      </w:r>
      <w:r w:rsidRPr="00265709">
        <w:rPr>
          <w:rFonts w:ascii="Palatino Linotype" w:eastAsia="Arial Unicode MS" w:hAnsi="Palatino Linotype" w:cs="Arial"/>
          <w:color w:val="000000"/>
          <w:szCs w:val="22"/>
          <w:lang w:val="es-MX" w:eastAsia="en-US"/>
        </w:rPr>
        <w:t xml:space="preserve">el </w:t>
      </w:r>
      <w:r>
        <w:rPr>
          <w:rFonts w:ascii="Palatino Linotype" w:eastAsia="Arial Unicode MS" w:hAnsi="Palatino Linotype" w:cs="Arial"/>
          <w:color w:val="000000"/>
          <w:szCs w:val="22"/>
          <w:lang w:val="es-MX" w:eastAsia="en-US"/>
        </w:rPr>
        <w:t xml:space="preserve">entonces </w:t>
      </w:r>
      <w:r w:rsidRPr="00265709">
        <w:rPr>
          <w:rFonts w:ascii="Palatino Linotype" w:eastAsia="Arial Unicode MS" w:hAnsi="Palatino Linotype" w:cs="Arial"/>
          <w:color w:val="000000"/>
          <w:szCs w:val="22"/>
          <w:lang w:val="es-MX" w:eastAsia="en-US"/>
        </w:rPr>
        <w:t>Instituto Nacional de Transparencia, Acceso a la Información y Protección de Datos Personales,</w:t>
      </w:r>
      <w:r w:rsidRPr="00265709">
        <w:rPr>
          <w:rFonts w:ascii="Palatino Linotype" w:eastAsiaTheme="minorHAnsi" w:hAnsi="Palatino Linotype" w:cstheme="minorBidi"/>
          <w:bCs/>
          <w:color w:val="000000"/>
          <w:szCs w:val="22"/>
          <w:lang w:val="es-MX" w:eastAsia="en-US"/>
        </w:rPr>
        <w:t xml:space="preserve"> que dice:</w:t>
      </w:r>
      <w:r w:rsidRPr="00265709">
        <w:rPr>
          <w:rFonts w:ascii="Palatino Linotype" w:eastAsiaTheme="minorHAnsi" w:hAnsi="Palatino Linotype" w:cstheme="minorBidi"/>
          <w:b/>
          <w:bCs/>
          <w:color w:val="000000"/>
          <w:szCs w:val="22"/>
          <w:lang w:val="es-MX" w:eastAsia="en-US"/>
        </w:rPr>
        <w:t xml:space="preserve"> </w:t>
      </w:r>
    </w:p>
    <w:p w14:paraId="730527D4" w14:textId="77777777" w:rsidR="004B185C" w:rsidRPr="00265709" w:rsidRDefault="004B185C" w:rsidP="00B31659">
      <w:pPr>
        <w:spacing w:line="360" w:lineRule="auto"/>
        <w:jc w:val="both"/>
        <w:rPr>
          <w:rFonts w:ascii="Palatino Linotype" w:eastAsiaTheme="minorHAnsi" w:hAnsi="Palatino Linotype" w:cs="Arial"/>
          <w:color w:val="000000"/>
          <w:szCs w:val="22"/>
          <w:lang w:val="es-MX" w:eastAsia="en-US"/>
        </w:rPr>
      </w:pPr>
    </w:p>
    <w:p w14:paraId="233771D0" w14:textId="77777777" w:rsidR="003740F3" w:rsidRPr="00265709" w:rsidRDefault="003740F3" w:rsidP="00B31659">
      <w:pPr>
        <w:spacing w:line="259" w:lineRule="auto"/>
        <w:ind w:left="851" w:right="850"/>
        <w:jc w:val="both"/>
        <w:rPr>
          <w:rFonts w:ascii="Palatino Linotype" w:eastAsiaTheme="minorHAnsi" w:hAnsi="Palatino Linotype" w:cs="Arial"/>
          <w:color w:val="000000"/>
          <w:sz w:val="2"/>
          <w:szCs w:val="22"/>
          <w:lang w:val="es-MX" w:eastAsia="en-US"/>
        </w:rPr>
      </w:pPr>
    </w:p>
    <w:p w14:paraId="21160537" w14:textId="77777777" w:rsidR="003740F3" w:rsidRPr="004B185C" w:rsidRDefault="003740F3" w:rsidP="00B31659">
      <w:pPr>
        <w:spacing w:line="259" w:lineRule="auto"/>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t>“</w:t>
      </w:r>
      <w:r w:rsidRPr="004B185C">
        <w:rPr>
          <w:rFonts w:ascii="Palatino Linotype" w:eastAsiaTheme="minorHAnsi" w:hAnsi="Palatino Linotype" w:cs="Arial"/>
          <w:b/>
          <w:i/>
          <w:color w:val="000000"/>
          <w:szCs w:val="22"/>
          <w:lang w:val="es-MX" w:eastAsia="en-US"/>
        </w:rPr>
        <w:t>No existe obligación de elaborar documentos ad hoc para atender las solicitudes de acceso a la información.</w:t>
      </w:r>
      <w:r w:rsidRPr="004B185C">
        <w:rPr>
          <w:rFonts w:ascii="Palatino Linotype" w:eastAsiaTheme="minorHAnsi" w:hAnsi="Palatino Linotype" w:cs="Arial"/>
          <w:i/>
          <w:color w:val="000000"/>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4D2E1D9" w14:textId="77777777" w:rsidR="003740F3" w:rsidRPr="004B185C" w:rsidRDefault="003740F3" w:rsidP="00B31659">
      <w:pPr>
        <w:spacing w:line="259" w:lineRule="auto"/>
        <w:ind w:left="567" w:right="567"/>
        <w:jc w:val="both"/>
        <w:rPr>
          <w:rFonts w:ascii="Palatino Linotype" w:eastAsiaTheme="minorHAnsi" w:hAnsi="Palatino Linotype" w:cs="Arial"/>
          <w:i/>
          <w:color w:val="000000"/>
          <w:sz w:val="4"/>
          <w:szCs w:val="22"/>
          <w:lang w:val="es-MX" w:eastAsia="en-US"/>
        </w:rPr>
      </w:pPr>
    </w:p>
    <w:p w14:paraId="092F3DFE" w14:textId="77777777" w:rsidR="003740F3" w:rsidRPr="004B185C" w:rsidRDefault="003740F3" w:rsidP="00B31659">
      <w:pPr>
        <w:spacing w:line="259" w:lineRule="auto"/>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t xml:space="preserve">Resoluciones: </w:t>
      </w:r>
    </w:p>
    <w:p w14:paraId="7469EBEC" w14:textId="77777777" w:rsidR="003740F3" w:rsidRPr="004B185C" w:rsidRDefault="003740F3" w:rsidP="00B31659">
      <w:pPr>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sym w:font="Symbol" w:char="F0B7"/>
      </w:r>
      <w:r w:rsidRPr="004B185C">
        <w:rPr>
          <w:rFonts w:ascii="Palatino Linotype" w:eastAsiaTheme="minorHAnsi" w:hAnsi="Palatino Linotype" w:cs="Arial"/>
          <w:i/>
          <w:color w:val="000000"/>
          <w:szCs w:val="22"/>
          <w:lang w:val="es-MX" w:eastAsia="en-US"/>
        </w:rPr>
        <w:t xml:space="preserve"> RRA 0050/16. Instituto Nacional para la Evaluación de la Educación. 13 julio de 2016. Por unanimidad. Comisionado Ponente: Francisco Javier Acuña Llamas.</w:t>
      </w:r>
    </w:p>
    <w:p w14:paraId="1E8CB4D9" w14:textId="77777777" w:rsidR="003740F3" w:rsidRPr="004B185C" w:rsidRDefault="003740F3" w:rsidP="00B31659">
      <w:pPr>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sym w:font="Symbol" w:char="F0B7"/>
      </w:r>
      <w:r w:rsidRPr="004B185C">
        <w:rPr>
          <w:rFonts w:ascii="Palatino Linotype" w:eastAsiaTheme="minorHAnsi" w:hAnsi="Palatino Linotype" w:cs="Arial"/>
          <w:i/>
          <w:color w:val="000000"/>
          <w:szCs w:val="22"/>
          <w:lang w:val="es-MX" w:eastAsia="en-US"/>
        </w:rPr>
        <w:t xml:space="preserve"> RRA 0310/16. Instituto Nacional de Transparencia, Acceso a la Información y Protección de Datos Personales. 10 de agosto de 2016. Por unanimidad. Comisionada Ponente. Areli Cano Guadiana. </w:t>
      </w:r>
    </w:p>
    <w:p w14:paraId="1702A2E7" w14:textId="77777777" w:rsidR="003740F3" w:rsidRPr="004B185C" w:rsidRDefault="003740F3" w:rsidP="00B31659">
      <w:pPr>
        <w:ind w:left="567" w:right="567"/>
        <w:jc w:val="both"/>
        <w:rPr>
          <w:rFonts w:ascii="Palatino Linotype" w:eastAsiaTheme="minorHAnsi" w:hAnsi="Palatino Linotype" w:cs="Arial"/>
          <w:i/>
          <w:color w:val="000000"/>
          <w:szCs w:val="22"/>
          <w:lang w:val="es-MX" w:eastAsia="en-US"/>
        </w:rPr>
      </w:pPr>
      <w:r w:rsidRPr="004B185C">
        <w:rPr>
          <w:rFonts w:ascii="Palatino Linotype" w:eastAsiaTheme="minorHAnsi" w:hAnsi="Palatino Linotype" w:cs="Arial"/>
          <w:i/>
          <w:color w:val="000000"/>
          <w:szCs w:val="22"/>
          <w:lang w:val="es-MX" w:eastAsia="en-US"/>
        </w:rPr>
        <w:sym w:font="Symbol" w:char="F0B7"/>
      </w:r>
      <w:r w:rsidRPr="004B185C">
        <w:rPr>
          <w:rFonts w:ascii="Palatino Linotype" w:eastAsiaTheme="minorHAnsi" w:hAnsi="Palatino Linotype" w:cs="Arial"/>
          <w:i/>
          <w:color w:val="000000"/>
          <w:szCs w:val="22"/>
          <w:lang w:val="es-MX" w:eastAsia="en-US"/>
        </w:rPr>
        <w:t xml:space="preserve"> RRA 1889/16. Secretaría de Hacienda y Crédito Público. 05 de octubre de 2016. Por unanimidad. Comisionada Ponente. Ximena Puente de la Mora.”</w:t>
      </w:r>
    </w:p>
    <w:p w14:paraId="5B3048FD" w14:textId="77777777" w:rsidR="003740F3" w:rsidRPr="00265709" w:rsidRDefault="003740F3" w:rsidP="00B31659">
      <w:pPr>
        <w:autoSpaceDE w:val="0"/>
        <w:autoSpaceDN w:val="0"/>
        <w:adjustRightInd w:val="0"/>
        <w:spacing w:line="360" w:lineRule="auto"/>
        <w:jc w:val="both"/>
        <w:rPr>
          <w:rFonts w:ascii="Palatino Linotype" w:eastAsiaTheme="minorHAnsi" w:hAnsi="Palatino Linotype" w:cs="Arial"/>
          <w:lang w:val="es-MX" w:eastAsia="en-US"/>
        </w:rPr>
      </w:pPr>
    </w:p>
    <w:p w14:paraId="666D0047" w14:textId="77777777" w:rsidR="003740F3" w:rsidRPr="00265709" w:rsidRDefault="003740F3" w:rsidP="00B31659">
      <w:pPr>
        <w:autoSpaceDE w:val="0"/>
        <w:autoSpaceDN w:val="0"/>
        <w:adjustRightInd w:val="0"/>
        <w:spacing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 xml:space="preserve">Aunado a lo antes expuesto, la respuesta emitida por </w:t>
      </w:r>
      <w:r w:rsidRPr="00265709">
        <w:rPr>
          <w:rFonts w:ascii="Palatino Linotype" w:eastAsiaTheme="minorHAnsi" w:hAnsi="Palatino Linotype" w:cs="Arial"/>
          <w:b/>
          <w:lang w:val="es-MX" w:eastAsia="en-US"/>
        </w:rPr>
        <w:t>El Sujeto Obligado</w:t>
      </w:r>
      <w:r w:rsidRPr="00265709">
        <w:rPr>
          <w:rFonts w:ascii="Palatino Linotype" w:eastAsiaTheme="minorHAnsi" w:hAnsi="Palatino Linotype" w:cs="Arial"/>
          <w:lang w:val="es-MX" w:eastAsia="en-US"/>
        </w:rPr>
        <w:t xml:space="preserve"> tiene la presunción legal de ser verídica, considerado que fue emitida por un servidor público en ejercicio de sus funciones, lo que conlleva la presunción de veracidad de todo acto administrativo.</w:t>
      </w:r>
    </w:p>
    <w:p w14:paraId="7EB092FC" w14:textId="77777777" w:rsidR="003740F3" w:rsidRPr="00265709" w:rsidRDefault="003740F3" w:rsidP="00B31659">
      <w:pPr>
        <w:rPr>
          <w:sz w:val="2"/>
          <w:lang w:val="es-MX"/>
        </w:rPr>
      </w:pPr>
    </w:p>
    <w:p w14:paraId="5703BCAA" w14:textId="77777777" w:rsidR="003740F3" w:rsidRPr="00265709" w:rsidRDefault="003740F3" w:rsidP="00B31659">
      <w:pPr>
        <w:rPr>
          <w:sz w:val="2"/>
          <w:lang w:val="es-MX"/>
        </w:rPr>
      </w:pPr>
    </w:p>
    <w:p w14:paraId="4569ADFC" w14:textId="77777777" w:rsidR="003740F3" w:rsidRPr="00265709" w:rsidRDefault="003740F3" w:rsidP="00B31659">
      <w:pPr>
        <w:autoSpaceDE w:val="0"/>
        <w:autoSpaceDN w:val="0"/>
        <w:adjustRightInd w:val="0"/>
        <w:spacing w:line="360" w:lineRule="auto"/>
        <w:jc w:val="both"/>
        <w:rPr>
          <w:rFonts w:ascii="Palatino Linotype" w:eastAsiaTheme="minorHAnsi" w:hAnsi="Palatino Linotype" w:cs="Arial"/>
          <w:szCs w:val="22"/>
          <w:lang w:val="es-MX" w:eastAsia="en-US"/>
        </w:rPr>
      </w:pPr>
    </w:p>
    <w:p w14:paraId="0244696D" w14:textId="77777777" w:rsidR="003740F3" w:rsidRPr="00265709" w:rsidRDefault="003740F3" w:rsidP="00B31659">
      <w:pPr>
        <w:autoSpaceDE w:val="0"/>
        <w:autoSpaceDN w:val="0"/>
        <w:adjustRightInd w:val="0"/>
        <w:spacing w:line="360" w:lineRule="auto"/>
        <w:jc w:val="both"/>
        <w:rPr>
          <w:rFonts w:ascii="Palatino Linotype" w:hAnsi="Palatino Linotype" w:cs="Arial"/>
        </w:rPr>
      </w:pPr>
      <w:r w:rsidRPr="00265709">
        <w:rPr>
          <w:rFonts w:ascii="Palatino Linotype" w:eastAsiaTheme="minorHAnsi" w:hAnsi="Palatino Linotype" w:cs="Arial"/>
          <w:szCs w:val="22"/>
          <w:lang w:val="es-MX" w:eastAsia="en-US"/>
        </w:rPr>
        <w:lastRenderedPageBreak/>
        <w:t xml:space="preserve">En conclusión, la ley de la materia establece </w:t>
      </w:r>
      <w:r w:rsidRPr="00265709">
        <w:rPr>
          <w:rFonts w:ascii="Palatino Linotype" w:hAnsi="Palatino Linotype" w:cs="Arial"/>
        </w:rPr>
        <w:t>en la fracción III, del artículo 192, de la Ley de Transparencia vigente en la entidad, que a la letra establecen:</w:t>
      </w:r>
    </w:p>
    <w:p w14:paraId="158D3C03" w14:textId="77777777" w:rsidR="003740F3" w:rsidRPr="00265709" w:rsidRDefault="003740F3" w:rsidP="00B31659">
      <w:pPr>
        <w:spacing w:line="259" w:lineRule="auto"/>
        <w:rPr>
          <w:rFonts w:asciiTheme="minorHAnsi" w:eastAsiaTheme="minorHAnsi" w:hAnsiTheme="minorHAnsi" w:cstheme="minorBidi"/>
          <w:sz w:val="22"/>
          <w:szCs w:val="22"/>
        </w:rPr>
      </w:pPr>
    </w:p>
    <w:p w14:paraId="66440885" w14:textId="77777777" w:rsidR="003740F3" w:rsidRPr="00265709" w:rsidRDefault="003740F3" w:rsidP="00B31659">
      <w:pPr>
        <w:autoSpaceDE w:val="0"/>
        <w:autoSpaceDN w:val="0"/>
        <w:adjustRightInd w:val="0"/>
        <w:ind w:left="708"/>
        <w:jc w:val="both"/>
        <w:rPr>
          <w:rFonts w:ascii="Palatino Linotype" w:hAnsi="Palatino Linotype"/>
          <w:i/>
          <w:sz w:val="22"/>
        </w:rPr>
      </w:pPr>
      <w:r w:rsidRPr="00265709">
        <w:rPr>
          <w:rFonts w:ascii="Palatino Linotype" w:hAnsi="Palatino Linotype"/>
          <w:b/>
          <w:i/>
          <w:sz w:val="22"/>
        </w:rPr>
        <w:t xml:space="preserve">“Artículo 192. </w:t>
      </w:r>
      <w:r w:rsidRPr="00265709">
        <w:rPr>
          <w:rFonts w:ascii="Palatino Linotype" w:hAnsi="Palatino Linotype"/>
          <w:b/>
          <w:i/>
          <w:sz w:val="22"/>
          <w:u w:val="single"/>
        </w:rPr>
        <w:t>El recurso será sobreseído, en todo o en parte, cuando una vez admitido, se actualicen alguno de los siguientes supuestos</w:t>
      </w:r>
      <w:r w:rsidRPr="00265709">
        <w:rPr>
          <w:rFonts w:ascii="Palatino Linotype" w:hAnsi="Palatino Linotype"/>
          <w:i/>
          <w:sz w:val="22"/>
        </w:rPr>
        <w:t>:</w:t>
      </w:r>
    </w:p>
    <w:p w14:paraId="5B07C775" w14:textId="77777777" w:rsidR="003740F3" w:rsidRPr="00265709" w:rsidRDefault="003740F3" w:rsidP="00B31659">
      <w:pPr>
        <w:numPr>
          <w:ilvl w:val="0"/>
          <w:numId w:val="7"/>
        </w:numPr>
        <w:autoSpaceDE w:val="0"/>
        <w:autoSpaceDN w:val="0"/>
        <w:adjustRightInd w:val="0"/>
        <w:spacing w:line="259" w:lineRule="auto"/>
        <w:jc w:val="both"/>
        <w:rPr>
          <w:rFonts w:ascii="Palatino Linotype" w:hAnsi="Palatino Linotype"/>
          <w:i/>
          <w:sz w:val="22"/>
        </w:rPr>
      </w:pPr>
      <w:r w:rsidRPr="00265709">
        <w:rPr>
          <w:rFonts w:ascii="Palatino Linotype" w:hAnsi="Palatino Linotype"/>
          <w:i/>
          <w:sz w:val="22"/>
        </w:rPr>
        <w:t xml:space="preserve">El recurrente se desista expresamente del recurso; </w:t>
      </w:r>
    </w:p>
    <w:p w14:paraId="547BB7FB" w14:textId="77777777" w:rsidR="003740F3" w:rsidRPr="00265709" w:rsidRDefault="003740F3" w:rsidP="00B3165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i/>
          <w:sz w:val="22"/>
        </w:rPr>
        <w:t xml:space="preserve">El recurrente fallezca o, tratándose de personas jurídicas colectivas, se disuelva; </w:t>
      </w:r>
    </w:p>
    <w:p w14:paraId="294E0847" w14:textId="77777777" w:rsidR="003740F3" w:rsidRPr="00265709" w:rsidRDefault="003740F3" w:rsidP="00B3165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b/>
          <w:i/>
          <w:sz w:val="22"/>
          <w:u w:val="single"/>
        </w:rPr>
        <w:t>El sujeto obligado responsable del acto lo modifique o revoque de tal manera que el recurso de revisión quede sin materia</w:t>
      </w:r>
      <w:r w:rsidRPr="00265709">
        <w:rPr>
          <w:rFonts w:ascii="Palatino Linotype" w:hAnsi="Palatino Linotype"/>
          <w:i/>
          <w:sz w:val="22"/>
        </w:rPr>
        <w:t xml:space="preserve">; </w:t>
      </w:r>
    </w:p>
    <w:p w14:paraId="31A05B71" w14:textId="77777777" w:rsidR="003740F3" w:rsidRPr="00265709" w:rsidRDefault="003740F3" w:rsidP="00B3165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i/>
          <w:sz w:val="22"/>
        </w:rPr>
        <w:t xml:space="preserve">Admitido el recurso de revisión, aparezca alguna causal de improcedencia en los términos de la presente Ley; y </w:t>
      </w:r>
    </w:p>
    <w:p w14:paraId="6FE0DB1C" w14:textId="77777777" w:rsidR="003740F3" w:rsidRPr="00265709" w:rsidRDefault="003740F3" w:rsidP="00B31659">
      <w:pPr>
        <w:numPr>
          <w:ilvl w:val="0"/>
          <w:numId w:val="7"/>
        </w:numPr>
        <w:autoSpaceDE w:val="0"/>
        <w:autoSpaceDN w:val="0"/>
        <w:adjustRightInd w:val="0"/>
        <w:spacing w:line="259" w:lineRule="auto"/>
        <w:jc w:val="both"/>
        <w:rPr>
          <w:rFonts w:ascii="Palatino Linotype" w:hAnsi="Palatino Linotype" w:cs="Arial"/>
          <w:i/>
          <w:sz w:val="22"/>
        </w:rPr>
      </w:pPr>
      <w:r w:rsidRPr="00265709">
        <w:rPr>
          <w:rFonts w:ascii="Palatino Linotype" w:hAnsi="Palatino Linotype"/>
          <w:i/>
          <w:sz w:val="22"/>
        </w:rPr>
        <w:t>Cuando por cualquier motivo quede sin materia el recurso.”</w:t>
      </w:r>
    </w:p>
    <w:p w14:paraId="2042B1F1" w14:textId="77777777" w:rsidR="003740F3" w:rsidRPr="00265709" w:rsidRDefault="003740F3" w:rsidP="00B31659">
      <w:pPr>
        <w:spacing w:line="259" w:lineRule="auto"/>
        <w:rPr>
          <w:rFonts w:ascii="Palatino Linotype" w:eastAsiaTheme="minorHAnsi" w:hAnsi="Palatino Linotype" w:cstheme="minorBidi"/>
          <w:szCs w:val="22"/>
        </w:rPr>
      </w:pPr>
    </w:p>
    <w:p w14:paraId="39B12C43" w14:textId="77777777" w:rsidR="003740F3" w:rsidRDefault="003740F3" w:rsidP="00B31659">
      <w:pPr>
        <w:spacing w:line="360" w:lineRule="auto"/>
        <w:jc w:val="both"/>
        <w:rPr>
          <w:rFonts w:ascii="Palatino Linotype" w:eastAsiaTheme="minorHAnsi" w:hAnsi="Palatino Linotype" w:cs="Arial"/>
          <w:lang w:val="es-MX" w:eastAsia="en-US"/>
        </w:rPr>
      </w:pPr>
      <w:r w:rsidRPr="00265709">
        <w:rPr>
          <w:rFonts w:ascii="Palatino Linotype" w:eastAsiaTheme="minorHAnsi" w:hAnsi="Palatino Linotype" w:cs="Arial"/>
          <w:lang w:val="es-MX" w:eastAsia="en-US"/>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7D5E1C2" w14:textId="77777777" w:rsidR="004B185C" w:rsidRPr="00265709" w:rsidRDefault="004B185C" w:rsidP="00B31659">
      <w:pPr>
        <w:spacing w:line="360" w:lineRule="auto"/>
        <w:jc w:val="both"/>
        <w:rPr>
          <w:rFonts w:ascii="Palatino Linotype" w:eastAsiaTheme="minorHAnsi" w:hAnsi="Palatino Linotype" w:cs="Arial"/>
          <w:lang w:val="es-MX" w:eastAsia="en-US"/>
        </w:rPr>
      </w:pPr>
    </w:p>
    <w:p w14:paraId="5CFBEBA4" w14:textId="77777777" w:rsidR="003740F3" w:rsidRPr="00265709" w:rsidRDefault="003740F3" w:rsidP="00B31659">
      <w:pPr>
        <w:spacing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“SOBRESEIMIENTO EN EL JUICIO DE AMPARO DIRECTO. IMPIDE EL ESTUDIO DE LAS VIOLACIONES PROCESALES PLANTEADAS EN LOS CONCEPTOS DE VIOLACIÓN.</w:t>
      </w:r>
    </w:p>
    <w:p w14:paraId="478BE299" w14:textId="77777777" w:rsidR="003740F3" w:rsidRPr="00265709" w:rsidRDefault="003740F3" w:rsidP="00B31659">
      <w:pPr>
        <w:spacing w:line="360" w:lineRule="auto"/>
        <w:ind w:left="851" w:right="851"/>
        <w:jc w:val="both"/>
        <w:rPr>
          <w:rFonts w:ascii="Palatino Linotype" w:eastAsiaTheme="minorHAnsi" w:hAnsi="Palatino Linotype" w:cstheme="minorBidi"/>
          <w:i/>
          <w:color w:val="000000"/>
          <w:sz w:val="22"/>
          <w:szCs w:val="22"/>
          <w:lang w:val="es-MX" w:eastAsia="en-US"/>
        </w:rPr>
      </w:pPr>
      <w:r w:rsidRPr="00265709">
        <w:rPr>
          <w:rFonts w:ascii="Palatino Linotype" w:eastAsiaTheme="minorHAnsi" w:hAnsi="Palatino Linotype" w:cs="Arial"/>
          <w:b/>
          <w:i/>
          <w:sz w:val="22"/>
          <w:szCs w:val="22"/>
          <w:u w:val="single"/>
          <w:lang w:val="es-MX" w:eastAsia="en-US"/>
        </w:rPr>
        <w:t>El sobreseimiento</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 xml:space="preserve">en el juicio de amparo directo </w:t>
      </w:r>
      <w:r w:rsidRPr="00265709">
        <w:rPr>
          <w:rFonts w:ascii="Palatino Linotype" w:eastAsiaTheme="minorHAnsi" w:hAnsi="Palatino Linotype" w:cs="Arial"/>
          <w:b/>
          <w:i/>
          <w:sz w:val="22"/>
          <w:szCs w:val="22"/>
          <w:u w:val="single"/>
          <w:lang w:val="es-MX" w:eastAsia="en-US"/>
        </w:rPr>
        <w:t>provoca la terminación de la controversia planteada</w:t>
      </w:r>
      <w:r w:rsidRPr="00265709">
        <w:rPr>
          <w:rFonts w:ascii="Palatino Linotype" w:eastAsiaTheme="minorHAnsi" w:hAnsi="Palatino Linotype" w:cs="Arial"/>
          <w:b/>
          <w:i/>
          <w:sz w:val="22"/>
          <w:szCs w:val="22"/>
          <w:lang w:val="es-MX" w:eastAsia="en-US"/>
        </w:rPr>
        <w:t xml:space="preserve"> </w:t>
      </w:r>
      <w:r w:rsidRPr="00265709">
        <w:rPr>
          <w:rFonts w:ascii="Palatino Linotype" w:eastAsiaTheme="minorHAnsi" w:hAnsi="Palatino Linotype" w:cs="Arial"/>
          <w:i/>
          <w:sz w:val="22"/>
          <w:szCs w:val="22"/>
          <w:lang w:val="es-MX" w:eastAsia="en-US"/>
        </w:rPr>
        <w:t>por el quejoso en la demanda de amparo</w:t>
      </w:r>
      <w:r w:rsidRPr="00265709">
        <w:rPr>
          <w:rFonts w:ascii="Calibri" w:eastAsiaTheme="minorHAnsi" w:hAnsi="Calibri" w:cstheme="minorBidi"/>
          <w:color w:val="000000"/>
          <w:sz w:val="26"/>
          <w:szCs w:val="26"/>
          <w:lang w:val="es-MX" w:eastAsia="en-US"/>
        </w:rPr>
        <w:t xml:space="preserve"> </w:t>
      </w:r>
      <w:r w:rsidRPr="00265709">
        <w:rPr>
          <w:rFonts w:ascii="Palatino Linotype" w:eastAsiaTheme="minorHAnsi" w:hAnsi="Palatino Linotype" w:cstheme="minorBidi"/>
          <w:i/>
          <w:color w:val="000000"/>
          <w:sz w:val="22"/>
          <w:szCs w:val="22"/>
          <w:lang w:val="es-MX" w:eastAsia="en-US"/>
        </w:rPr>
        <w:t xml:space="preserve">provoca la terminación de la controversia planteada por el quejoso en la demanda 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sin hacer un pronunciamiento de fondo sobre la legalidad o ilegalidad de la sentencia reclamada. Por consiguiente, si al sobreseerse en el</w:t>
      </w:r>
      <w:r w:rsidRPr="00265709">
        <w:rPr>
          <w:rFonts w:ascii="Palatino Linotype" w:eastAsiaTheme="minorHAnsi" w:hAnsi="Palatino Linotype" w:cstheme="minorBidi"/>
          <w:b/>
          <w:i/>
          <w:color w:val="000000"/>
          <w:sz w:val="22"/>
          <w:szCs w:val="22"/>
          <w:lang w:val="es-MX" w:eastAsia="en-US"/>
        </w:rPr>
        <w:t xml:space="preserve"> 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amparo</w:t>
      </w:r>
      <w:r w:rsidRPr="00265709">
        <w:rPr>
          <w:rFonts w:ascii="Palatino Linotype" w:eastAsiaTheme="minorHAnsi" w:hAnsi="Palatino Linotype" w:cstheme="minorBidi"/>
          <w:i/>
          <w:color w:val="000000"/>
          <w:sz w:val="22"/>
          <w:szCs w:val="22"/>
          <w:lang w:val="es-MX" w:eastAsia="en-US"/>
        </w:rPr>
        <w:t xml:space="preserve"> no se pueden estudiar los planteamientos que se hacen valer en contra del fallo reclamado, tampoco se deben analizar las</w:t>
      </w:r>
      <w:r w:rsidRPr="00265709">
        <w:rPr>
          <w:rFonts w:ascii="Palatino Linotype" w:eastAsiaTheme="minorHAnsi" w:hAnsi="Palatino Linotype" w:cstheme="minorBidi"/>
          <w:b/>
          <w:i/>
          <w:color w:val="000000"/>
          <w:sz w:val="22"/>
          <w:szCs w:val="22"/>
          <w:lang w:val="es-MX" w:eastAsia="en-US"/>
        </w:rPr>
        <w:t xml:space="preserve"> violaciones procesales</w:t>
      </w:r>
      <w:r w:rsidRPr="00265709">
        <w:rPr>
          <w:rFonts w:ascii="Palatino Linotype" w:eastAsiaTheme="minorHAnsi" w:hAnsi="Palatino Linotype" w:cstheme="minorBidi"/>
          <w:i/>
          <w:color w:val="000000"/>
          <w:sz w:val="22"/>
          <w:szCs w:val="22"/>
          <w:lang w:val="es-MX" w:eastAsia="en-US"/>
        </w:rPr>
        <w:t xml:space="preserve"> propuestas en los </w:t>
      </w:r>
      <w:r w:rsidRPr="00265709">
        <w:rPr>
          <w:rFonts w:ascii="Palatino Linotype" w:eastAsiaTheme="minorHAnsi" w:hAnsi="Palatino Linotype" w:cstheme="minorBidi"/>
          <w:b/>
          <w:i/>
          <w:color w:val="000000"/>
          <w:sz w:val="22"/>
          <w:szCs w:val="22"/>
          <w:lang w:val="es-MX" w:eastAsia="en-US"/>
        </w:rPr>
        <w:t xml:space="preserve">conceptos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lastRenderedPageBreak/>
        <w:t>violación</w:t>
      </w:r>
      <w:r w:rsidRPr="00265709">
        <w:rPr>
          <w:rFonts w:ascii="Palatino Linotype" w:eastAsiaTheme="minorHAnsi" w:hAnsi="Palatino Linotype" w:cstheme="minorBidi"/>
          <w:i/>
          <w:color w:val="000000"/>
          <w:sz w:val="22"/>
          <w:szCs w:val="22"/>
          <w:lang w:val="es-MX" w:eastAsia="en-US"/>
        </w:rPr>
        <w:t xml:space="preserve">, dado que, la principal consecuencia del </w:t>
      </w:r>
      <w:r w:rsidRPr="00265709">
        <w:rPr>
          <w:rFonts w:ascii="Palatino Linotype" w:eastAsiaTheme="minorHAnsi" w:hAnsi="Palatino Linotype" w:cstheme="minorBidi"/>
          <w:b/>
          <w:i/>
          <w:color w:val="000000"/>
          <w:sz w:val="22"/>
          <w:szCs w:val="22"/>
          <w:lang w:val="es-MX" w:eastAsia="en-US"/>
        </w:rPr>
        <w:t>sobreseimiento</w:t>
      </w:r>
      <w:r w:rsidRPr="00265709">
        <w:rPr>
          <w:rFonts w:ascii="Palatino Linotype" w:eastAsiaTheme="minorHAnsi" w:hAnsi="Palatino Linotype" w:cstheme="minorBidi"/>
          <w:i/>
          <w:color w:val="000000"/>
          <w:sz w:val="22"/>
          <w:szCs w:val="22"/>
          <w:lang w:val="es-MX" w:eastAsia="en-US"/>
        </w:rPr>
        <w:t xml:space="preserve"> es poner fin al </w:t>
      </w:r>
      <w:r w:rsidRPr="00265709">
        <w:rPr>
          <w:rFonts w:ascii="Palatino Linotype" w:eastAsiaTheme="minorHAnsi" w:hAnsi="Palatino Linotype" w:cstheme="minorBidi"/>
          <w:b/>
          <w:i/>
          <w:color w:val="000000"/>
          <w:sz w:val="22"/>
          <w:szCs w:val="22"/>
          <w:lang w:val="es-MX" w:eastAsia="en-US"/>
        </w:rPr>
        <w:t xml:space="preserve">juicio </w:t>
      </w:r>
      <w:r w:rsidRPr="00265709">
        <w:rPr>
          <w:rFonts w:ascii="Palatino Linotype" w:eastAsiaTheme="minorHAnsi" w:hAnsi="Palatino Linotype" w:cstheme="minorBidi"/>
          <w:i/>
          <w:color w:val="000000"/>
          <w:sz w:val="22"/>
          <w:szCs w:val="22"/>
          <w:lang w:val="es-MX" w:eastAsia="en-US"/>
        </w:rPr>
        <w:t xml:space="preserve">de </w:t>
      </w:r>
      <w:r w:rsidRPr="00265709">
        <w:rPr>
          <w:rFonts w:ascii="Palatino Linotype" w:eastAsiaTheme="minorHAnsi" w:hAnsi="Palatino Linotype" w:cstheme="minorBidi"/>
          <w:b/>
          <w:i/>
          <w:color w:val="000000"/>
          <w:sz w:val="22"/>
          <w:szCs w:val="22"/>
          <w:lang w:val="es-MX" w:eastAsia="en-US"/>
        </w:rPr>
        <w:t xml:space="preserve">amparo </w:t>
      </w:r>
      <w:r w:rsidRPr="00265709">
        <w:rPr>
          <w:rFonts w:ascii="Palatino Linotype" w:eastAsiaTheme="minorHAnsi" w:hAnsi="Palatino Linotype" w:cstheme="minorBidi"/>
          <w:i/>
          <w:color w:val="000000"/>
          <w:sz w:val="22"/>
          <w:szCs w:val="22"/>
          <w:lang w:val="es-MX" w:eastAsia="en-US"/>
        </w:rPr>
        <w:t>sin resolver la controversia en sus méritos.  </w:t>
      </w:r>
    </w:p>
    <w:p w14:paraId="5C80D043" w14:textId="77777777" w:rsidR="003740F3" w:rsidRPr="00265709" w:rsidRDefault="003740F3" w:rsidP="00B31659">
      <w:pPr>
        <w:spacing w:line="360" w:lineRule="auto"/>
        <w:ind w:left="851" w:right="851"/>
        <w:jc w:val="both"/>
        <w:rPr>
          <w:rFonts w:ascii="Palatino Linotype" w:eastAsiaTheme="minorHAnsi" w:hAnsi="Palatino Linotype" w:cs="Arial"/>
          <w:b/>
          <w:i/>
          <w:sz w:val="22"/>
          <w:szCs w:val="22"/>
          <w:lang w:val="es-MX" w:eastAsia="en-US"/>
        </w:rPr>
      </w:pPr>
      <w:r w:rsidRPr="00265709">
        <w:rPr>
          <w:rFonts w:ascii="Palatino Linotype" w:eastAsiaTheme="minorHAnsi" w:hAnsi="Palatino Linotype" w:cs="Arial"/>
          <w:b/>
          <w:i/>
          <w:sz w:val="22"/>
          <w:szCs w:val="22"/>
          <w:lang w:val="es-MX" w:eastAsia="en-US"/>
        </w:rPr>
        <w:t>SÉPTIMO TRIBUNAL COLEGIADO EN MATERIA CIVIL DEL PRIMER CIRCUITO.</w:t>
      </w:r>
    </w:p>
    <w:p w14:paraId="54C27B85" w14:textId="77777777" w:rsidR="003740F3" w:rsidRPr="00265709" w:rsidRDefault="003740F3" w:rsidP="00B31659">
      <w:pPr>
        <w:spacing w:line="360" w:lineRule="auto"/>
        <w:ind w:left="851" w:right="851"/>
        <w:jc w:val="both"/>
        <w:rPr>
          <w:rFonts w:ascii="Palatino Linotype" w:eastAsiaTheme="minorHAnsi" w:hAnsi="Palatino Linotype" w:cs="Arial"/>
          <w:i/>
          <w:sz w:val="22"/>
          <w:szCs w:val="22"/>
          <w:lang w:val="es-MX" w:eastAsia="en-US"/>
        </w:rPr>
      </w:pPr>
      <w:r w:rsidRPr="00265709">
        <w:rPr>
          <w:rFonts w:ascii="Palatino Linotype" w:eastAsiaTheme="minorHAnsi" w:hAnsi="Palatino Linotype" w:cs="Arial"/>
          <w:i/>
          <w:sz w:val="22"/>
          <w:szCs w:val="22"/>
          <w:lang w:val="es-MX" w:eastAsia="en-US"/>
        </w:rPr>
        <w:t>Amparo directo 699/2008. Mariana Leticia González Steele. 13 de noviembre de 2008. Unanimidad de votos. Ponente: Sara Judith Montalvo Trejo. Secretario: Arnulfo Mateos García.”</w:t>
      </w:r>
      <w:r w:rsidRPr="00265709">
        <w:rPr>
          <w:rFonts w:ascii="Palatino Linotype" w:hAnsi="Palatino Linotype"/>
          <w:b/>
          <w:i/>
          <w:sz w:val="22"/>
          <w:szCs w:val="22"/>
          <w:lang w:val="es-ES_tradnl"/>
        </w:rPr>
        <w:t xml:space="preserve"> [Sic]</w:t>
      </w:r>
    </w:p>
    <w:p w14:paraId="44098DB5" w14:textId="77777777" w:rsidR="003740F3" w:rsidRPr="00265709" w:rsidRDefault="003740F3" w:rsidP="00B31659">
      <w:pPr>
        <w:autoSpaceDE w:val="0"/>
        <w:autoSpaceDN w:val="0"/>
        <w:adjustRightInd w:val="0"/>
        <w:spacing w:line="360" w:lineRule="auto"/>
        <w:jc w:val="both"/>
        <w:rPr>
          <w:rFonts w:ascii="Palatino Linotype" w:hAnsi="Palatino Linotype" w:cs="Arial"/>
        </w:rPr>
      </w:pPr>
    </w:p>
    <w:p w14:paraId="3D8E4447" w14:textId="77777777" w:rsidR="003740F3" w:rsidRPr="00265709" w:rsidRDefault="003740F3" w:rsidP="00B31659">
      <w:pPr>
        <w:autoSpaceDE w:val="0"/>
        <w:autoSpaceDN w:val="0"/>
        <w:adjustRightInd w:val="0"/>
        <w:spacing w:line="360" w:lineRule="auto"/>
        <w:jc w:val="both"/>
        <w:rPr>
          <w:rFonts w:ascii="Palatino Linotype" w:hAnsi="Palatino Linotype" w:cs="Arial"/>
        </w:rPr>
      </w:pPr>
      <w:r w:rsidRPr="00265709">
        <w:rPr>
          <w:rFonts w:ascii="Palatino Linotype" w:hAnsi="Palatino Linotype" w:cs="Arial"/>
        </w:rPr>
        <w:t>Por lo que hace a los requisitos de procedencia del sobreseimiento en términos del artículo 192, de la Ley de Transparencia estatal se establece lo siguiente:</w:t>
      </w:r>
    </w:p>
    <w:p w14:paraId="15DE245F" w14:textId="77777777" w:rsidR="003740F3" w:rsidRPr="00265709" w:rsidRDefault="003740F3" w:rsidP="00B31659"/>
    <w:p w14:paraId="06261C6B" w14:textId="79BEFC27" w:rsidR="003740F3" w:rsidRPr="00265709" w:rsidRDefault="003740F3" w:rsidP="00B31659">
      <w:pPr>
        <w:numPr>
          <w:ilvl w:val="0"/>
          <w:numId w:val="6"/>
        </w:numPr>
        <w:autoSpaceDE w:val="0"/>
        <w:autoSpaceDN w:val="0"/>
        <w:adjustRightInd w:val="0"/>
        <w:spacing w:line="360" w:lineRule="auto"/>
        <w:ind w:left="851" w:right="850" w:firstLine="10"/>
        <w:jc w:val="both"/>
        <w:rPr>
          <w:rFonts w:ascii="Palatino Linotype" w:hAnsi="Palatino Linotype" w:cs="Arial"/>
        </w:rPr>
      </w:pPr>
      <w:r w:rsidRPr="00265709">
        <w:rPr>
          <w:rFonts w:ascii="Palatino Linotype" w:hAnsi="Palatino Linotype" w:cs="Arial"/>
        </w:rPr>
        <w:t xml:space="preserve">Mediante acuerdo de fecha </w:t>
      </w:r>
      <w:r w:rsidR="004B185C">
        <w:rPr>
          <w:rFonts w:ascii="Palatino Linotype" w:hAnsi="Palatino Linotype" w:cs="Arial"/>
          <w:b/>
        </w:rPr>
        <w:t>once de abril</w:t>
      </w:r>
      <w:r>
        <w:rPr>
          <w:rFonts w:ascii="Palatino Linotype" w:hAnsi="Palatino Linotype" w:cs="Arial"/>
          <w:b/>
        </w:rPr>
        <w:t xml:space="preserve"> de dos mil veinticinco</w:t>
      </w:r>
      <w:r w:rsidRPr="00265709">
        <w:rPr>
          <w:rFonts w:ascii="Palatino Linotype" w:hAnsi="Palatino Linotype" w:cs="Arial"/>
        </w:rPr>
        <w:t xml:space="preserve">, el Comisionado </w:t>
      </w:r>
      <w:r w:rsidRPr="00265709">
        <w:rPr>
          <w:rFonts w:ascii="Palatino Linotype" w:hAnsi="Palatino Linotype" w:cs="Arial"/>
          <w:b/>
        </w:rPr>
        <w:t>José Martínez Vilchis</w:t>
      </w:r>
      <w:r w:rsidRPr="00265709">
        <w:rPr>
          <w:rFonts w:ascii="Palatino Linotype" w:hAnsi="Palatino Linotype" w:cs="Arial"/>
        </w:rPr>
        <w:t>, admitió a trámite el recurso de revisión que nos ocupa</w:t>
      </w:r>
      <w:r w:rsidRPr="00265709">
        <w:rPr>
          <w:rFonts w:ascii="Palatino Linotype" w:hAnsi="Palatino Linotype" w:cs="Arial"/>
          <w:lang w:val="es-MX"/>
        </w:rPr>
        <w:t>.</w:t>
      </w:r>
    </w:p>
    <w:p w14:paraId="7F1CE86B" w14:textId="77777777" w:rsidR="003740F3" w:rsidRPr="00265709" w:rsidRDefault="003740F3" w:rsidP="00B31659">
      <w:pPr>
        <w:rPr>
          <w:lang w:val="es-MX"/>
        </w:rPr>
      </w:pPr>
    </w:p>
    <w:p w14:paraId="130D4FE1" w14:textId="6731F418" w:rsidR="003740F3" w:rsidRPr="00265709" w:rsidRDefault="003740F3" w:rsidP="00B31659">
      <w:pPr>
        <w:numPr>
          <w:ilvl w:val="0"/>
          <w:numId w:val="6"/>
        </w:numPr>
        <w:autoSpaceDE w:val="0"/>
        <w:autoSpaceDN w:val="0"/>
        <w:adjustRightInd w:val="0"/>
        <w:spacing w:line="360" w:lineRule="auto"/>
        <w:ind w:left="851" w:right="850" w:firstLine="10"/>
        <w:jc w:val="both"/>
      </w:pPr>
      <w:r w:rsidRPr="00265709">
        <w:rPr>
          <w:rFonts w:ascii="Palatino Linotype" w:hAnsi="Palatino Linotype" w:cs="Arial"/>
        </w:rPr>
        <w:t xml:space="preserve">Lo esgrimido por </w:t>
      </w:r>
      <w:r w:rsidRPr="00265709">
        <w:rPr>
          <w:rFonts w:ascii="Palatino Linotype" w:hAnsi="Palatino Linotype" w:cs="Arial"/>
          <w:b/>
        </w:rPr>
        <w:t>el Recurrente</w:t>
      </w:r>
      <w:r w:rsidRPr="00265709">
        <w:rPr>
          <w:rFonts w:ascii="Palatino Linotype" w:hAnsi="Palatino Linotype" w:cs="Arial"/>
        </w:rPr>
        <w:t xml:space="preserve"> dentro del recurso de revisión impugnado queda sin materia, toda vez que </w:t>
      </w:r>
      <w:r w:rsidRPr="00265709">
        <w:rPr>
          <w:rFonts w:ascii="Palatino Linotype" w:hAnsi="Palatino Linotype" w:cs="Arial"/>
          <w:b/>
        </w:rPr>
        <w:t>El Sujeto Obligado</w:t>
      </w:r>
      <w:r w:rsidRPr="00265709">
        <w:rPr>
          <w:rFonts w:ascii="Palatino Linotype" w:hAnsi="Palatino Linotype" w:cs="Arial"/>
        </w:rPr>
        <w:t xml:space="preserve"> colmó el derecho de acceso a la información del </w:t>
      </w:r>
      <w:r w:rsidRPr="00265709">
        <w:rPr>
          <w:rFonts w:ascii="Palatino Linotype" w:hAnsi="Palatino Linotype" w:cs="Arial"/>
          <w:b/>
        </w:rPr>
        <w:t>Recurrente</w:t>
      </w:r>
      <w:r w:rsidRPr="00265709">
        <w:rPr>
          <w:rFonts w:ascii="Palatino Linotype" w:hAnsi="Palatino Linotype" w:cs="Arial"/>
        </w:rPr>
        <w:t>,</w:t>
      </w:r>
      <w:r w:rsidRPr="00265709">
        <w:rPr>
          <w:rFonts w:ascii="Palatino Linotype" w:hAnsi="Palatino Linotype" w:cs="Arial"/>
          <w:b/>
        </w:rPr>
        <w:t xml:space="preserve"> </w:t>
      </w:r>
      <w:r w:rsidRPr="00265709">
        <w:rPr>
          <w:rFonts w:ascii="Palatino Linotype" w:hAnsi="Palatino Linotype" w:cs="Arial"/>
        </w:rPr>
        <w:t xml:space="preserve">ello al modificar su respuesta primigenia, mediante la información remitida en su informe justificado, en fecha </w:t>
      </w:r>
      <w:r w:rsidR="00DE0E29">
        <w:rPr>
          <w:rFonts w:ascii="Palatino Linotype" w:hAnsi="Palatino Linotype" w:cs="Arial"/>
          <w:b/>
        </w:rPr>
        <w:t>veinti</w:t>
      </w:r>
      <w:r w:rsidR="004B185C">
        <w:rPr>
          <w:rFonts w:ascii="Palatino Linotype" w:hAnsi="Palatino Linotype" w:cs="Arial"/>
          <w:b/>
        </w:rPr>
        <w:t>cinco de abril</w:t>
      </w:r>
      <w:r>
        <w:rPr>
          <w:rFonts w:ascii="Palatino Linotype" w:hAnsi="Palatino Linotype" w:cs="Arial"/>
          <w:b/>
        </w:rPr>
        <w:t xml:space="preserve"> de dos mil veinticinco</w:t>
      </w:r>
      <w:r w:rsidRPr="00265709">
        <w:rPr>
          <w:rFonts w:ascii="Palatino Linotype" w:hAnsi="Palatino Linotype" w:cs="Arial"/>
          <w:b/>
        </w:rPr>
        <w:t>.</w:t>
      </w:r>
    </w:p>
    <w:p w14:paraId="00BE19B9" w14:textId="2D376506" w:rsidR="003740F3" w:rsidRPr="00265709" w:rsidRDefault="003740F3" w:rsidP="00B31659">
      <w:pPr>
        <w:numPr>
          <w:ilvl w:val="0"/>
          <w:numId w:val="6"/>
        </w:numPr>
        <w:autoSpaceDE w:val="0"/>
        <w:autoSpaceDN w:val="0"/>
        <w:adjustRightInd w:val="0"/>
        <w:spacing w:line="360" w:lineRule="auto"/>
        <w:ind w:left="851" w:right="850" w:firstLine="10"/>
        <w:jc w:val="both"/>
        <w:rPr>
          <w:rFonts w:ascii="Palatino Linotype" w:hAnsi="Palatino Linotype" w:cs="Arial"/>
        </w:rPr>
      </w:pPr>
      <w:r w:rsidRPr="00265709">
        <w:rPr>
          <w:rFonts w:ascii="Palatino Linotype" w:hAnsi="Palatino Linotype" w:cs="Arial"/>
        </w:rPr>
        <w:t xml:space="preserve">El recurso </w:t>
      </w:r>
      <w:r w:rsidR="004B185C">
        <w:rPr>
          <w:rFonts w:ascii="Palatino Linotype" w:hAnsi="Palatino Linotype" w:cs="Arial"/>
          <w:b/>
          <w:bCs/>
          <w:lang w:val="es-MX" w:eastAsia="es-MX"/>
        </w:rPr>
        <w:t>04040</w:t>
      </w:r>
      <w:r>
        <w:rPr>
          <w:rFonts w:ascii="Palatino Linotype" w:hAnsi="Palatino Linotype" w:cs="Arial"/>
          <w:b/>
          <w:bCs/>
          <w:lang w:val="es-MX" w:eastAsia="es-MX"/>
        </w:rPr>
        <w:t>/INFOEM/IP/RR/2025</w:t>
      </w:r>
      <w:r w:rsidRPr="00265709">
        <w:rPr>
          <w:rFonts w:ascii="Palatino Linotype" w:hAnsi="Palatino Linotype" w:cs="Arial"/>
          <w:bCs/>
          <w:lang w:eastAsia="es-MX"/>
        </w:rPr>
        <w:t>,</w:t>
      </w:r>
      <w:r w:rsidRPr="00265709">
        <w:rPr>
          <w:rFonts w:ascii="Palatino Linotype" w:hAnsi="Palatino Linotype" w:cs="Arial"/>
        </w:rPr>
        <w:t xml:space="preserve"> no actualiza ninguna hipótesis de las inmersas en el numeral 179, de la Ley en materia vigente en la entidad. </w:t>
      </w:r>
    </w:p>
    <w:p w14:paraId="17ED7D6A" w14:textId="77777777" w:rsidR="003740F3" w:rsidRPr="00265709" w:rsidRDefault="003740F3" w:rsidP="00B31659">
      <w:pPr>
        <w:autoSpaceDE w:val="0"/>
        <w:autoSpaceDN w:val="0"/>
        <w:adjustRightInd w:val="0"/>
        <w:spacing w:line="360" w:lineRule="auto"/>
        <w:jc w:val="both"/>
        <w:rPr>
          <w:rFonts w:ascii="Palatino Linotype" w:hAnsi="Palatino Linotype"/>
        </w:rPr>
      </w:pPr>
    </w:p>
    <w:p w14:paraId="0CF10F9F" w14:textId="77777777" w:rsidR="003740F3" w:rsidRPr="00265709" w:rsidRDefault="003740F3" w:rsidP="00B31659">
      <w:pPr>
        <w:autoSpaceDE w:val="0"/>
        <w:autoSpaceDN w:val="0"/>
        <w:adjustRightInd w:val="0"/>
        <w:spacing w:line="360" w:lineRule="auto"/>
        <w:jc w:val="both"/>
        <w:rPr>
          <w:rFonts w:ascii="Palatino Linotype" w:hAnsi="Palatino Linotype"/>
        </w:rPr>
      </w:pPr>
      <w:r w:rsidRPr="00265709">
        <w:rPr>
          <w:rFonts w:ascii="Palatino Linotype" w:hAnsi="Palatino Linotype"/>
        </w:rPr>
        <w:lastRenderedPageBreak/>
        <w:t xml:space="preserve">Es importante resaltar a manera de analogía que la Suprema Corte de Justicia de la Nación mediante el número 2 de la Serie </w:t>
      </w:r>
      <w:r w:rsidRPr="00265709">
        <w:rPr>
          <w:rFonts w:ascii="Palatino Linotype" w:hAnsi="Palatino Linotype"/>
          <w:i/>
        </w:rPr>
        <w:t xml:space="preserve">Estudios Introductorios sobre el Juicio de Amparo </w:t>
      </w:r>
      <w:r w:rsidRPr="00265709">
        <w:rPr>
          <w:rFonts w:ascii="Palatino Linotype" w:hAnsi="Palatino Linotype"/>
        </w:rPr>
        <w:t xml:space="preserve">relativo a </w:t>
      </w:r>
      <w:r w:rsidRPr="00265709">
        <w:rPr>
          <w:rFonts w:ascii="Palatino Linotype" w:hAnsi="Palatino Linotype"/>
          <w:i/>
        </w:rPr>
        <w:t xml:space="preserve">LA IMPROCEDENCIA DE LA ACCIÓN DE AMPARO </w:t>
      </w:r>
      <w:r w:rsidRPr="0026570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65709">
        <w:rPr>
          <w:rFonts w:ascii="Palatino Linotype" w:hAnsi="Palatino Linotype"/>
          <w:b/>
          <w:u w:val="single"/>
        </w:rPr>
        <w:t>lo que generará que la demanda sea desechada; o bien, después de admitida la demanda, lo que tendrá como consecuencia que se sobresea en el juicio.</w:t>
      </w:r>
    </w:p>
    <w:p w14:paraId="412B5D8A" w14:textId="77777777" w:rsidR="004B185C" w:rsidRDefault="004B185C" w:rsidP="00B31659">
      <w:pPr>
        <w:autoSpaceDE w:val="0"/>
        <w:autoSpaceDN w:val="0"/>
        <w:adjustRightInd w:val="0"/>
        <w:spacing w:line="360" w:lineRule="auto"/>
        <w:jc w:val="both"/>
        <w:rPr>
          <w:rFonts w:ascii="Palatino Linotype" w:hAnsi="Palatino Linotype"/>
        </w:rPr>
      </w:pPr>
    </w:p>
    <w:p w14:paraId="16F10A03" w14:textId="014EB9F5" w:rsidR="003740F3" w:rsidRPr="00265709" w:rsidRDefault="003740F3" w:rsidP="00B31659">
      <w:pPr>
        <w:autoSpaceDE w:val="0"/>
        <w:autoSpaceDN w:val="0"/>
        <w:adjustRightInd w:val="0"/>
        <w:spacing w:line="360" w:lineRule="auto"/>
        <w:jc w:val="both"/>
        <w:rPr>
          <w:rFonts w:ascii="Palatino Linotype" w:hAnsi="Palatino Linotype"/>
        </w:rPr>
      </w:pPr>
      <w:r w:rsidRPr="00265709">
        <w:rPr>
          <w:rFonts w:ascii="Palatino Linotype" w:hAnsi="Palatino Linotype"/>
        </w:rPr>
        <w:t xml:space="preserve">Por lo tanto, en mérito de lo expuesto en líneas anteriores, </w:t>
      </w:r>
      <w:r w:rsidRPr="00265709">
        <w:rPr>
          <w:rFonts w:ascii="Palatino Linotype" w:hAnsi="Palatino Linotype" w:cs="Arial"/>
          <w:b/>
        </w:rPr>
        <w:t xml:space="preserve">con fundamento en la fracción III del artículo 192, </w:t>
      </w:r>
      <w:r w:rsidRPr="00265709">
        <w:rPr>
          <w:rFonts w:ascii="Palatino Linotype" w:hAnsi="Palatino Linotype" w:cs="Arial"/>
        </w:rPr>
        <w:t xml:space="preserve">de la Ley de Transparencia y Acceso a la Información Pública del Estado de México y Municipios, se </w:t>
      </w:r>
      <w:r w:rsidRPr="00265709">
        <w:rPr>
          <w:rFonts w:ascii="Palatino Linotype" w:hAnsi="Palatino Linotype" w:cs="Arial"/>
          <w:b/>
        </w:rPr>
        <w:t xml:space="preserve">SOBRESEE </w:t>
      </w:r>
      <w:r w:rsidRPr="00265709">
        <w:rPr>
          <w:rFonts w:ascii="Palatino Linotype" w:hAnsi="Palatino Linotype" w:cs="Arial"/>
        </w:rPr>
        <w:t xml:space="preserve">el recurso de revisión </w:t>
      </w:r>
      <w:r w:rsidR="004B185C">
        <w:rPr>
          <w:rFonts w:ascii="Palatino Linotype" w:hAnsi="Palatino Linotype" w:cs="Arial"/>
          <w:b/>
        </w:rPr>
        <w:t>04040</w:t>
      </w:r>
      <w:r>
        <w:rPr>
          <w:rFonts w:ascii="Palatino Linotype" w:hAnsi="Palatino Linotype" w:cs="Arial"/>
          <w:b/>
        </w:rPr>
        <w:t>/INFOEM/IP/RR/2025</w:t>
      </w:r>
      <w:r w:rsidRPr="00265709">
        <w:rPr>
          <w:rFonts w:ascii="Palatino Linotype" w:hAnsi="Palatino Linotype" w:cs="Arial"/>
        </w:rPr>
        <w:t>,</w:t>
      </w:r>
      <w:r w:rsidRPr="00265709">
        <w:rPr>
          <w:rFonts w:ascii="Palatino Linotype" w:hAnsi="Palatino Linotype"/>
        </w:rPr>
        <w:t xml:space="preserve"> que ha sido materia del presente fallo.</w:t>
      </w:r>
    </w:p>
    <w:p w14:paraId="3819DC9C" w14:textId="77777777" w:rsidR="003740F3" w:rsidRPr="00265709" w:rsidRDefault="003740F3" w:rsidP="00B31659">
      <w:pPr>
        <w:spacing w:line="360" w:lineRule="auto"/>
        <w:jc w:val="both"/>
        <w:rPr>
          <w:rFonts w:ascii="Palatino Linotype" w:hAnsi="Palatino Linotype"/>
          <w:lang w:val="es-MX"/>
        </w:rPr>
      </w:pPr>
      <w:r w:rsidRPr="00265709">
        <w:rPr>
          <w:rFonts w:ascii="Palatino Linotype" w:hAnsi="Palatino Linotype"/>
          <w:lang w:val="es-MX"/>
        </w:rPr>
        <w:t>Por lo antes expuesto y fundado es de resolverse y,</w:t>
      </w:r>
    </w:p>
    <w:p w14:paraId="533121C1" w14:textId="77777777" w:rsidR="003740F3" w:rsidRPr="00265709" w:rsidRDefault="003740F3" w:rsidP="00B31659">
      <w:pPr>
        <w:spacing w:line="360" w:lineRule="auto"/>
        <w:contextualSpacing/>
        <w:jc w:val="both"/>
        <w:rPr>
          <w:rFonts w:ascii="Palatino Linotype" w:eastAsia="MS Mincho" w:hAnsi="Palatino Linotype" w:cstheme="minorBidi"/>
          <w:sz w:val="22"/>
          <w:szCs w:val="22"/>
          <w:lang w:val="es-MX" w:eastAsia="en-US"/>
        </w:rPr>
      </w:pPr>
    </w:p>
    <w:p w14:paraId="1EE8B970" w14:textId="77777777" w:rsidR="003740F3" w:rsidRDefault="003740F3" w:rsidP="00B31659">
      <w:pPr>
        <w:spacing w:line="360" w:lineRule="auto"/>
        <w:jc w:val="center"/>
        <w:rPr>
          <w:rFonts w:ascii="Palatino Linotype" w:eastAsiaTheme="minorHAnsi" w:hAnsi="Palatino Linotype" w:cstheme="minorBidi"/>
          <w:b/>
          <w:spacing w:val="60"/>
          <w:sz w:val="28"/>
          <w:lang w:val="es-MX" w:eastAsia="en-US"/>
        </w:rPr>
      </w:pPr>
      <w:r w:rsidRPr="00265709">
        <w:rPr>
          <w:rFonts w:ascii="Palatino Linotype" w:eastAsiaTheme="minorHAnsi" w:hAnsi="Palatino Linotype" w:cstheme="minorBidi"/>
          <w:b/>
          <w:spacing w:val="60"/>
          <w:sz w:val="28"/>
          <w:lang w:val="es-MX" w:eastAsia="en-US"/>
        </w:rPr>
        <w:t>S E RESUELVE</w:t>
      </w:r>
    </w:p>
    <w:p w14:paraId="7EF9F643" w14:textId="77777777" w:rsidR="00172637" w:rsidRPr="00265709" w:rsidRDefault="00172637" w:rsidP="00B31659">
      <w:pPr>
        <w:spacing w:line="360" w:lineRule="auto"/>
        <w:jc w:val="center"/>
        <w:rPr>
          <w:rFonts w:ascii="Palatino Linotype" w:eastAsiaTheme="minorHAnsi" w:hAnsi="Palatino Linotype" w:cstheme="minorBidi"/>
          <w:b/>
          <w:spacing w:val="60"/>
          <w:sz w:val="28"/>
          <w:lang w:val="es-MX" w:eastAsia="en-US"/>
        </w:rPr>
      </w:pPr>
    </w:p>
    <w:p w14:paraId="611ECCBC" w14:textId="31EFA09A" w:rsidR="003740F3" w:rsidRPr="00265709" w:rsidRDefault="003740F3" w:rsidP="00B31659">
      <w:pPr>
        <w:spacing w:line="360" w:lineRule="auto"/>
        <w:jc w:val="both"/>
        <w:rPr>
          <w:rFonts w:ascii="Palatino Linotype" w:eastAsiaTheme="minorHAnsi" w:hAnsi="Palatino Linotype" w:cs="Arial"/>
          <w:lang w:val="es-ES_tradnl" w:eastAsia="en-US"/>
        </w:rPr>
      </w:pPr>
      <w:r w:rsidRPr="00265709">
        <w:rPr>
          <w:rFonts w:ascii="Palatino Linotype" w:hAnsi="Palatino Linotype" w:cstheme="minorBidi"/>
          <w:b/>
          <w:bCs/>
          <w:sz w:val="28"/>
          <w:szCs w:val="22"/>
          <w:lang w:val="es-MX" w:eastAsia="es-MX"/>
        </w:rPr>
        <w:t>PRIMERO</w:t>
      </w:r>
      <w:r w:rsidRPr="00265709">
        <w:rPr>
          <w:rFonts w:ascii="Palatino Linotype" w:hAnsi="Palatino Linotype" w:cstheme="minorBidi"/>
          <w:sz w:val="28"/>
          <w:szCs w:val="22"/>
          <w:lang w:val="es-MX" w:eastAsia="es-MX"/>
        </w:rPr>
        <w:t xml:space="preserve">. </w:t>
      </w:r>
      <w:r w:rsidRPr="00265709">
        <w:rPr>
          <w:rFonts w:ascii="Palatino Linotype" w:eastAsiaTheme="minorHAnsi" w:hAnsi="Palatino Linotype" w:cs="Arial"/>
          <w:lang w:val="es-ES_tradnl" w:eastAsia="en-US"/>
        </w:rPr>
        <w:t xml:space="preserve">Se </w:t>
      </w:r>
      <w:r w:rsidRPr="00265709">
        <w:rPr>
          <w:rFonts w:ascii="Palatino Linotype" w:eastAsiaTheme="minorHAnsi" w:hAnsi="Palatino Linotype" w:cs="Arial"/>
          <w:b/>
          <w:lang w:val="es-ES_tradnl" w:eastAsia="en-US"/>
        </w:rPr>
        <w:t>SOBRESEE</w:t>
      </w:r>
      <w:r w:rsidRPr="00265709">
        <w:rPr>
          <w:rFonts w:ascii="Palatino Linotype" w:eastAsiaTheme="minorHAnsi" w:hAnsi="Palatino Linotype" w:cs="Arial"/>
          <w:lang w:val="es-ES_tradnl" w:eastAsia="en-US"/>
        </w:rPr>
        <w:t xml:space="preserve"> el recurso de revisión número </w:t>
      </w:r>
      <w:r w:rsidR="004B185C">
        <w:rPr>
          <w:rFonts w:ascii="Palatino Linotype" w:eastAsiaTheme="minorEastAsia" w:hAnsi="Palatino Linotype" w:cstheme="minorBidi"/>
          <w:b/>
          <w:lang w:val="es-ES_tradnl" w:eastAsia="en-US"/>
        </w:rPr>
        <w:t>04040</w:t>
      </w:r>
      <w:r>
        <w:rPr>
          <w:rFonts w:ascii="Palatino Linotype" w:eastAsiaTheme="minorEastAsia" w:hAnsi="Palatino Linotype" w:cstheme="minorBidi"/>
          <w:b/>
          <w:lang w:val="es-ES_tradnl" w:eastAsia="en-US"/>
        </w:rPr>
        <w:t>/INFOEM/IP/RR/2025</w:t>
      </w:r>
      <w:r w:rsidRPr="00265709">
        <w:rPr>
          <w:rFonts w:ascii="Palatino Linotype" w:eastAsiaTheme="minorEastAsia" w:hAnsi="Palatino Linotype" w:cstheme="minorBidi"/>
          <w:lang w:val="es-ES_tradnl" w:eastAsia="en-US"/>
        </w:rPr>
        <w:t>, porque al modificar la respuesta el recurso quedó sin materia</w:t>
      </w:r>
      <w:r w:rsidRPr="00265709">
        <w:rPr>
          <w:rFonts w:asciiTheme="minorHAnsi" w:eastAsiaTheme="minorHAnsi" w:hAnsiTheme="minorHAnsi" w:cstheme="minorBidi"/>
          <w:sz w:val="22"/>
          <w:szCs w:val="22"/>
          <w:lang w:val="es-MX" w:eastAsia="en-US"/>
        </w:rPr>
        <w:t xml:space="preserve"> </w:t>
      </w:r>
      <w:r w:rsidRPr="00265709">
        <w:rPr>
          <w:rFonts w:ascii="Palatino Linotype" w:eastAsiaTheme="minorEastAsia" w:hAnsi="Palatino Linotype" w:cstheme="minorBidi"/>
          <w:lang w:val="es-ES_tradnl" w:eastAsia="en-US"/>
        </w:rPr>
        <w:t xml:space="preserve">conforme a lo dispuesto en el artículo 192 fracción III de la Ley de Transparencia y Acceso a la Información Pública del Estado de México y Municipios, en términos del Considerando </w:t>
      </w:r>
      <w:r w:rsidRPr="00265709">
        <w:rPr>
          <w:rFonts w:ascii="Palatino Linotype" w:eastAsiaTheme="minorEastAsia" w:hAnsi="Palatino Linotype" w:cstheme="minorBidi"/>
          <w:b/>
          <w:lang w:val="es-ES_tradnl" w:eastAsia="en-US"/>
        </w:rPr>
        <w:t xml:space="preserve">CUARTO </w:t>
      </w:r>
      <w:r w:rsidRPr="00265709">
        <w:rPr>
          <w:rFonts w:ascii="Palatino Linotype" w:eastAsiaTheme="minorEastAsia" w:hAnsi="Palatino Linotype" w:cstheme="minorBidi"/>
          <w:lang w:val="es-ES_tradnl" w:eastAsia="en-US"/>
        </w:rPr>
        <w:t>de la presente resolución.</w:t>
      </w:r>
    </w:p>
    <w:p w14:paraId="75A13A56" w14:textId="77777777" w:rsidR="003740F3" w:rsidRPr="00265709" w:rsidRDefault="003740F3" w:rsidP="00B31659">
      <w:pPr>
        <w:spacing w:line="360" w:lineRule="auto"/>
        <w:jc w:val="both"/>
        <w:rPr>
          <w:rFonts w:ascii="Palatino Linotype" w:eastAsiaTheme="minorHAnsi" w:hAnsi="Palatino Linotype" w:cstheme="minorBidi"/>
          <w:b/>
          <w:lang w:val="es-MX" w:eastAsia="en-US"/>
        </w:rPr>
      </w:pPr>
    </w:p>
    <w:p w14:paraId="4547E09D" w14:textId="77777777" w:rsidR="003740F3" w:rsidRDefault="003740F3" w:rsidP="00B31659">
      <w:pPr>
        <w:spacing w:line="360" w:lineRule="auto"/>
        <w:jc w:val="both"/>
        <w:rPr>
          <w:rFonts w:ascii="Palatino Linotype" w:eastAsiaTheme="minorHAnsi" w:hAnsi="Palatino Linotype" w:cstheme="minorBidi"/>
          <w:lang w:val="es-MX" w:eastAsia="en-US"/>
        </w:rPr>
      </w:pPr>
      <w:r w:rsidRPr="00265709">
        <w:rPr>
          <w:rFonts w:ascii="Palatino Linotype" w:eastAsiaTheme="minorHAnsi" w:hAnsi="Palatino Linotype" w:cstheme="minorBidi"/>
          <w:b/>
          <w:sz w:val="28"/>
          <w:lang w:val="es-MX" w:eastAsia="en-US"/>
        </w:rPr>
        <w:t>SEGUNDO.</w:t>
      </w:r>
      <w:r w:rsidRPr="00265709">
        <w:rPr>
          <w:rFonts w:ascii="Palatino Linotype" w:eastAsiaTheme="minorHAnsi" w:hAnsi="Palatino Linotype" w:cs="Arial"/>
          <w:sz w:val="28"/>
          <w:lang w:val="es-MX" w:eastAsia="en-US"/>
        </w:rPr>
        <w:t xml:space="preserve"> </w:t>
      </w:r>
      <w:r w:rsidRPr="00265709">
        <w:rPr>
          <w:rFonts w:ascii="Palatino Linotype" w:eastAsiaTheme="minorHAnsi" w:hAnsi="Palatino Linotype" w:cstheme="minorBidi"/>
          <w:b/>
          <w:lang w:val="es-MX" w:eastAsia="en-US"/>
        </w:rPr>
        <w:t>NOTIFÍQUESE</w:t>
      </w:r>
      <w:r w:rsidRPr="00265709">
        <w:rPr>
          <w:rFonts w:ascii="Palatino Linotype" w:eastAsiaTheme="minorHAnsi" w:hAnsi="Palatino Linotype" w:cstheme="minorBidi"/>
          <w:lang w:val="es-MX" w:eastAsia="en-US"/>
        </w:rPr>
        <w:t xml:space="preserve"> vía Sistema de Acceso a la Información Mexiquense (</w:t>
      </w:r>
      <w:r w:rsidRPr="00265709">
        <w:rPr>
          <w:rFonts w:ascii="Palatino Linotype" w:eastAsiaTheme="minorHAnsi" w:hAnsi="Palatino Linotype" w:cstheme="minorBidi"/>
          <w:b/>
          <w:lang w:val="es-MX" w:eastAsia="en-US"/>
        </w:rPr>
        <w:t>SAIMEX)</w:t>
      </w:r>
      <w:r w:rsidRPr="00265709">
        <w:rPr>
          <w:rFonts w:ascii="Palatino Linotype" w:eastAsiaTheme="minorHAnsi" w:hAnsi="Palatino Linotype" w:cstheme="minorBidi"/>
          <w:lang w:val="es-MX" w:eastAsia="en-US"/>
        </w:rPr>
        <w:t xml:space="preserve">, la presente resolución al Titular de la Unidad de Transparencia del </w:t>
      </w:r>
      <w:r w:rsidRPr="00265709">
        <w:rPr>
          <w:rFonts w:ascii="Palatino Linotype" w:eastAsiaTheme="minorHAnsi" w:hAnsi="Palatino Linotype" w:cstheme="minorBidi"/>
          <w:b/>
          <w:lang w:val="es-MX" w:eastAsia="en-US"/>
        </w:rPr>
        <w:t>Sujeto Obligado</w:t>
      </w:r>
      <w:r w:rsidRPr="00265709">
        <w:rPr>
          <w:rFonts w:ascii="Palatino Linotype" w:eastAsiaTheme="minorHAnsi" w:hAnsi="Palatino Linotype" w:cstheme="minorBidi"/>
          <w:lang w:val="es-MX" w:eastAsia="en-US"/>
        </w:rPr>
        <w:t>.</w:t>
      </w:r>
    </w:p>
    <w:p w14:paraId="7180CC1C" w14:textId="77777777" w:rsidR="003740F3" w:rsidRDefault="003740F3" w:rsidP="00B31659">
      <w:pPr>
        <w:autoSpaceDE w:val="0"/>
        <w:autoSpaceDN w:val="0"/>
        <w:adjustRightInd w:val="0"/>
        <w:spacing w:line="360" w:lineRule="auto"/>
        <w:jc w:val="both"/>
        <w:rPr>
          <w:rFonts w:ascii="Palatino Linotype" w:hAnsi="Palatino Linotype" w:cs="Arial"/>
          <w:b/>
          <w:sz w:val="28"/>
          <w:szCs w:val="28"/>
        </w:rPr>
      </w:pPr>
    </w:p>
    <w:p w14:paraId="75234FA5" w14:textId="77777777" w:rsidR="003740F3" w:rsidRPr="00265709" w:rsidRDefault="003740F3" w:rsidP="00B31659">
      <w:pPr>
        <w:autoSpaceDE w:val="0"/>
        <w:autoSpaceDN w:val="0"/>
        <w:adjustRightInd w:val="0"/>
        <w:spacing w:line="360" w:lineRule="auto"/>
        <w:jc w:val="both"/>
        <w:rPr>
          <w:rFonts w:ascii="Palatino Linotype" w:hAnsi="Palatino Linotype" w:cs="Arial"/>
          <w:b/>
        </w:rPr>
      </w:pPr>
      <w:r w:rsidRPr="00265709">
        <w:rPr>
          <w:rFonts w:ascii="Palatino Linotype" w:hAnsi="Palatino Linotype" w:cs="Arial"/>
          <w:b/>
          <w:sz w:val="28"/>
          <w:szCs w:val="28"/>
        </w:rPr>
        <w:t>TERCERO</w:t>
      </w:r>
      <w:r w:rsidRPr="00265709">
        <w:rPr>
          <w:rFonts w:ascii="Palatino Linotype" w:hAnsi="Palatino Linotype" w:cs="Arial"/>
          <w:sz w:val="28"/>
          <w:szCs w:val="28"/>
        </w:rPr>
        <w:t>.</w:t>
      </w:r>
      <w:r w:rsidRPr="00265709">
        <w:rPr>
          <w:rFonts w:ascii="Palatino Linotype" w:hAnsi="Palatino Linotype" w:cs="Arial"/>
        </w:rPr>
        <w:t xml:space="preserve"> </w:t>
      </w:r>
      <w:r w:rsidRPr="00265709">
        <w:rPr>
          <w:rFonts w:ascii="Palatino Linotype" w:hAnsi="Palatino Linotype" w:cs="Arial"/>
          <w:b/>
          <w:bCs/>
          <w:color w:val="222222"/>
          <w:shd w:val="clear" w:color="auto" w:fill="FFFFFF"/>
        </w:rPr>
        <w:t>Notifíquese</w:t>
      </w:r>
      <w:r w:rsidRPr="00265709">
        <w:rPr>
          <w:rFonts w:ascii="Palatino Linotype" w:hAnsi="Palatino Linotype" w:cs="Arial"/>
        </w:rPr>
        <w:t xml:space="preserve"> la presente resolución a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a través del Sistema de Acceso a la Información Mexiquense </w:t>
      </w:r>
      <w:r w:rsidRPr="00265709">
        <w:rPr>
          <w:rFonts w:ascii="Palatino Linotype" w:hAnsi="Palatino Linotype" w:cs="Arial"/>
          <w:b/>
        </w:rPr>
        <w:t>(SAIMEX)</w:t>
      </w:r>
      <w:r>
        <w:rPr>
          <w:rFonts w:ascii="Palatino Linotype" w:hAnsi="Palatino Linotype" w:cs="Arial"/>
          <w:b/>
        </w:rPr>
        <w:t>.</w:t>
      </w:r>
    </w:p>
    <w:p w14:paraId="66B36859" w14:textId="77777777" w:rsidR="003740F3" w:rsidRPr="00265709" w:rsidRDefault="003740F3" w:rsidP="00B31659">
      <w:pPr>
        <w:autoSpaceDE w:val="0"/>
        <w:autoSpaceDN w:val="0"/>
        <w:adjustRightInd w:val="0"/>
        <w:spacing w:line="360" w:lineRule="auto"/>
        <w:jc w:val="both"/>
        <w:rPr>
          <w:rFonts w:ascii="Palatino Linotype" w:hAnsi="Palatino Linotype" w:cs="Arial"/>
          <w:b/>
        </w:rPr>
      </w:pPr>
    </w:p>
    <w:p w14:paraId="0BB6FE78" w14:textId="77777777" w:rsidR="003740F3" w:rsidRPr="00265709" w:rsidRDefault="003740F3" w:rsidP="00B31659">
      <w:pPr>
        <w:autoSpaceDE w:val="0"/>
        <w:autoSpaceDN w:val="0"/>
        <w:adjustRightInd w:val="0"/>
        <w:spacing w:line="360" w:lineRule="auto"/>
        <w:jc w:val="both"/>
        <w:rPr>
          <w:rFonts w:ascii="Palatino Linotype" w:hAnsi="Palatino Linotype" w:cs="Arial"/>
        </w:rPr>
      </w:pPr>
      <w:r w:rsidRPr="00265709">
        <w:rPr>
          <w:rFonts w:ascii="Palatino Linotype" w:hAnsi="Palatino Linotype" w:cs="Arial"/>
          <w:b/>
          <w:sz w:val="28"/>
          <w:szCs w:val="28"/>
        </w:rPr>
        <w:t xml:space="preserve">CUARTO. </w:t>
      </w:r>
      <w:r w:rsidRPr="00265709">
        <w:rPr>
          <w:rFonts w:ascii="Palatino Linotype" w:hAnsi="Palatino Linotype" w:cs="Arial"/>
        </w:rPr>
        <w:t xml:space="preserve">Se hace del conocimiento de </w:t>
      </w:r>
      <w:r w:rsidRPr="00265709">
        <w:rPr>
          <w:rFonts w:ascii="Palatino Linotype" w:eastAsiaTheme="minorHAnsi" w:hAnsi="Palatino Linotype" w:cstheme="minorBidi"/>
          <w:szCs w:val="22"/>
          <w:lang w:val="es-MX" w:eastAsia="en-US"/>
        </w:rPr>
        <w:t xml:space="preserve">la parte </w:t>
      </w:r>
      <w:r w:rsidRPr="00265709">
        <w:rPr>
          <w:rFonts w:ascii="Palatino Linotype" w:hAnsi="Palatino Linotype" w:cs="Arial"/>
          <w:b/>
        </w:rPr>
        <w:t xml:space="preserve">RECURRENTE </w:t>
      </w:r>
      <w:r w:rsidRPr="00265709">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64CF6CC" w14:textId="77777777" w:rsidR="003740F3" w:rsidRDefault="003740F3" w:rsidP="00B31659">
      <w:pPr>
        <w:spacing w:line="360" w:lineRule="auto"/>
        <w:jc w:val="both"/>
        <w:rPr>
          <w:rFonts w:ascii="Palatino Linotype" w:hAnsi="Palatino Linotype" w:cs="Arial"/>
        </w:rPr>
      </w:pPr>
    </w:p>
    <w:p w14:paraId="51A4A23C" w14:textId="090556E4" w:rsidR="004B185C" w:rsidRPr="000E48FC" w:rsidRDefault="003740F3" w:rsidP="004B185C">
      <w:pPr>
        <w:spacing w:line="360" w:lineRule="auto"/>
        <w:jc w:val="both"/>
        <w:rPr>
          <w:rFonts w:ascii="Palatino Linotype" w:hAnsi="Palatino Linotype" w:cs="Arial"/>
          <w:sz w:val="14"/>
          <w:szCs w:val="22"/>
        </w:rPr>
      </w:pPr>
      <w:r w:rsidRPr="000E48FC">
        <w:rPr>
          <w:rFonts w:ascii="Palatino Linotype" w:hAnsi="Palatino Linotype" w:cs="Arial"/>
          <w:sz w:val="22"/>
          <w:szCs w:val="22"/>
        </w:rPr>
        <w:t>ASÍ LO RESUELVE, POR UNANIMIDAD DE VOTOS EL PLENO DEL</w:t>
      </w:r>
      <w:r w:rsidRPr="000E48FC">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0E48FC">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DE0E29" w:rsidRPr="000E48FC">
        <w:rPr>
          <w:rFonts w:ascii="Palatino Linotype" w:hAnsi="Palatino Linotype" w:cs="Arial"/>
          <w:sz w:val="22"/>
          <w:szCs w:val="22"/>
        </w:rPr>
        <w:t>VIGÉS</w:t>
      </w:r>
      <w:r w:rsidRPr="000E48FC">
        <w:rPr>
          <w:rFonts w:ascii="Palatino Linotype" w:hAnsi="Palatino Linotype" w:cs="Arial"/>
          <w:sz w:val="22"/>
          <w:szCs w:val="22"/>
        </w:rPr>
        <w:t xml:space="preserve">IMA </w:t>
      </w:r>
      <w:r w:rsidR="000E48FC" w:rsidRPr="000E48FC">
        <w:rPr>
          <w:rFonts w:ascii="Palatino Linotype" w:hAnsi="Palatino Linotype" w:cs="Arial"/>
          <w:sz w:val="22"/>
          <w:szCs w:val="22"/>
        </w:rPr>
        <w:t xml:space="preserve">SÉPTIMA </w:t>
      </w:r>
      <w:r w:rsidRPr="000E48FC">
        <w:rPr>
          <w:rFonts w:ascii="Palatino Linotype" w:hAnsi="Palatino Linotype" w:cs="Arial"/>
          <w:sz w:val="22"/>
          <w:szCs w:val="22"/>
        </w:rPr>
        <w:t xml:space="preserve">SESIÓN ORDINARIA CELEBRADA EL </w:t>
      </w:r>
      <w:r w:rsidR="000E48FC" w:rsidRPr="000E48FC">
        <w:rPr>
          <w:rFonts w:ascii="Palatino Linotype" w:hAnsi="Palatino Linotype" w:cs="Arial"/>
          <w:sz w:val="22"/>
          <w:szCs w:val="22"/>
        </w:rPr>
        <w:t>SEIS DE AGOSTO</w:t>
      </w:r>
      <w:r w:rsidRPr="000E48FC">
        <w:rPr>
          <w:rFonts w:ascii="Palatino Linotype" w:hAnsi="Palatino Linotype" w:cs="Arial"/>
          <w:sz w:val="22"/>
          <w:szCs w:val="22"/>
        </w:rPr>
        <w:t xml:space="preserve"> DE DOS MIL VEINTICINCO, ANTE EL SECRETARIO TÉCNICO DEL PLENO, ALEXIS TAPIA RAMÍREZ. --------------------------------------------------------------------------------------------------------------------------------------------------------------</w:t>
      </w:r>
      <w:r w:rsidR="000E48FC">
        <w:rPr>
          <w:rFonts w:ascii="Palatino Linotype" w:hAnsi="Palatino Linotype" w:cs="Arial"/>
          <w:sz w:val="22"/>
          <w:szCs w:val="22"/>
        </w:rPr>
        <w:t>------------------------------------------------------------------------------------------------------------------------------------------------</w:t>
      </w:r>
    </w:p>
    <w:p w14:paraId="33F0C57E" w14:textId="0325253D" w:rsidR="003740F3" w:rsidRPr="000E48FC" w:rsidRDefault="00DE0E29" w:rsidP="00B31659">
      <w:pPr>
        <w:spacing w:line="360" w:lineRule="auto"/>
        <w:jc w:val="both"/>
        <w:rPr>
          <w:rFonts w:ascii="Palatino Linotype" w:hAnsi="Palatino Linotype" w:cs="Arial"/>
          <w:sz w:val="14"/>
          <w:szCs w:val="22"/>
        </w:rPr>
      </w:pPr>
      <w:r w:rsidRPr="000E48FC">
        <w:rPr>
          <w:rFonts w:ascii="Palatino Linotype" w:hAnsi="Palatino Linotype" w:cs="Arial"/>
          <w:sz w:val="14"/>
          <w:szCs w:val="22"/>
        </w:rPr>
        <w:t>JMV/CCR/</w:t>
      </w:r>
      <w:r w:rsidR="000E48FC">
        <w:rPr>
          <w:rFonts w:ascii="Palatino Linotype" w:hAnsi="Palatino Linotype" w:cs="Arial"/>
          <w:sz w:val="14"/>
          <w:szCs w:val="22"/>
        </w:rPr>
        <w:t>FJJC</w:t>
      </w:r>
    </w:p>
    <w:p w14:paraId="36D5499E" w14:textId="77777777" w:rsidR="003740F3" w:rsidRDefault="003740F3" w:rsidP="00B31659"/>
    <w:p w14:paraId="2F75F9E2" w14:textId="77777777" w:rsidR="003740F3" w:rsidRDefault="003740F3" w:rsidP="00B31659"/>
    <w:p w14:paraId="5C001184" w14:textId="77777777" w:rsidR="003740F3" w:rsidRDefault="003740F3" w:rsidP="00B31659"/>
    <w:p w14:paraId="09ACDA8F" w14:textId="77777777" w:rsidR="003740F3" w:rsidRDefault="003740F3" w:rsidP="00B31659"/>
    <w:p w14:paraId="47495F1D" w14:textId="77777777" w:rsidR="003740F3" w:rsidRDefault="003740F3" w:rsidP="00B31659"/>
    <w:p w14:paraId="64D2BA18" w14:textId="77777777" w:rsidR="003740F3" w:rsidRDefault="003740F3" w:rsidP="00B31659"/>
    <w:p w14:paraId="033A0D67" w14:textId="77777777" w:rsidR="003740F3" w:rsidRDefault="003740F3" w:rsidP="00B31659"/>
    <w:p w14:paraId="6520E45C" w14:textId="77777777" w:rsidR="003740F3" w:rsidRDefault="003740F3" w:rsidP="00B31659"/>
    <w:p w14:paraId="39E58341" w14:textId="77777777" w:rsidR="003740F3" w:rsidRDefault="003740F3" w:rsidP="00B31659"/>
    <w:p w14:paraId="34E91953" w14:textId="77777777" w:rsidR="003740F3" w:rsidRDefault="003740F3" w:rsidP="00B31659"/>
    <w:p w14:paraId="6D7D4E48" w14:textId="77777777" w:rsidR="003740F3" w:rsidRDefault="003740F3" w:rsidP="00B31659"/>
    <w:p w14:paraId="7B3104C8" w14:textId="77777777" w:rsidR="003740F3" w:rsidRDefault="003740F3" w:rsidP="00B31659"/>
    <w:p w14:paraId="22916AC3" w14:textId="77777777" w:rsidR="003740F3" w:rsidRDefault="003740F3" w:rsidP="00B31659"/>
    <w:p w14:paraId="3FB9894A" w14:textId="77777777" w:rsidR="003740F3" w:rsidRDefault="003740F3" w:rsidP="00B31659"/>
    <w:p w14:paraId="4BD4BC8A" w14:textId="77777777" w:rsidR="003740F3" w:rsidRDefault="003740F3" w:rsidP="00B31659"/>
    <w:p w14:paraId="3B51E01C" w14:textId="77777777" w:rsidR="003740F3" w:rsidRDefault="003740F3" w:rsidP="00B31659"/>
    <w:p w14:paraId="4F0F742D" w14:textId="77777777" w:rsidR="003740F3" w:rsidRDefault="003740F3" w:rsidP="00B31659"/>
    <w:p w14:paraId="1EE8D2AB" w14:textId="77777777" w:rsidR="003740F3" w:rsidRDefault="003740F3" w:rsidP="00B31659"/>
    <w:p w14:paraId="64E6A84F" w14:textId="77777777" w:rsidR="003740F3" w:rsidRDefault="003740F3" w:rsidP="00B31659"/>
    <w:p w14:paraId="7FD3D5C2" w14:textId="77777777" w:rsidR="003740F3" w:rsidRDefault="003740F3" w:rsidP="00B31659"/>
    <w:p w14:paraId="7CBC655D" w14:textId="77777777" w:rsidR="003740F3" w:rsidRDefault="003740F3" w:rsidP="00B31659"/>
    <w:p w14:paraId="6289A495" w14:textId="77777777" w:rsidR="003740F3" w:rsidRDefault="003740F3" w:rsidP="00B31659"/>
    <w:p w14:paraId="557BD573" w14:textId="77777777" w:rsidR="003740F3" w:rsidRDefault="003740F3" w:rsidP="00B31659"/>
    <w:p w14:paraId="0AB87725" w14:textId="77777777" w:rsidR="003740F3" w:rsidRDefault="003740F3" w:rsidP="00B31659"/>
    <w:p w14:paraId="61BF7C2A" w14:textId="77777777" w:rsidR="003740F3" w:rsidRDefault="003740F3" w:rsidP="00B31659"/>
    <w:p w14:paraId="0A0B3A2B" w14:textId="77777777" w:rsidR="003740F3" w:rsidRDefault="003740F3" w:rsidP="00B31659"/>
    <w:p w14:paraId="6BC32E1A" w14:textId="77777777" w:rsidR="003740F3" w:rsidRDefault="003740F3" w:rsidP="00B31659"/>
    <w:p w14:paraId="39CC9B46" w14:textId="77777777" w:rsidR="003740F3" w:rsidRDefault="003740F3" w:rsidP="00B31659"/>
    <w:p w14:paraId="796DA1C5" w14:textId="77777777" w:rsidR="003740F3" w:rsidRDefault="003740F3" w:rsidP="00B31659"/>
    <w:p w14:paraId="7DE3FE7F" w14:textId="77777777" w:rsidR="003740F3" w:rsidRDefault="003740F3" w:rsidP="00B31659"/>
    <w:p w14:paraId="2EA738C3" w14:textId="77777777" w:rsidR="003740F3" w:rsidRDefault="003740F3" w:rsidP="00B31659"/>
    <w:p w14:paraId="60395699" w14:textId="77777777" w:rsidR="003740F3" w:rsidRDefault="003740F3" w:rsidP="00B31659"/>
    <w:p w14:paraId="12BC098C" w14:textId="77777777" w:rsidR="00A518A0" w:rsidRDefault="00A518A0" w:rsidP="00B31659"/>
    <w:sectPr w:rsidR="00A518A0" w:rsidSect="00D2197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BC604" w14:textId="77777777" w:rsidR="00F61DD6" w:rsidRDefault="00F61DD6" w:rsidP="003740F3">
      <w:r>
        <w:separator/>
      </w:r>
    </w:p>
  </w:endnote>
  <w:endnote w:type="continuationSeparator" w:id="0">
    <w:p w14:paraId="732B13D2" w14:textId="77777777" w:rsidR="00F61DD6" w:rsidRDefault="00F61DD6" w:rsidP="003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E6A2" w14:textId="77777777" w:rsidR="00DE7981" w:rsidRPr="00A2780F" w:rsidRDefault="00DE7981"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615A">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615A">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919" w14:textId="77777777" w:rsidR="00DE7981" w:rsidRPr="00070856" w:rsidRDefault="00DE7981" w:rsidP="00D2197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615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615A">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88A3" w14:textId="77777777" w:rsidR="00F61DD6" w:rsidRDefault="00F61DD6" w:rsidP="003740F3">
      <w:r>
        <w:separator/>
      </w:r>
    </w:p>
  </w:footnote>
  <w:footnote w:type="continuationSeparator" w:id="0">
    <w:p w14:paraId="466E9BCF" w14:textId="77777777" w:rsidR="00F61DD6" w:rsidRDefault="00F61DD6" w:rsidP="003740F3">
      <w:r>
        <w:continuationSeparator/>
      </w:r>
    </w:p>
  </w:footnote>
  <w:footnote w:id="1">
    <w:p w14:paraId="709E824A" w14:textId="77777777" w:rsidR="00DE7981" w:rsidRPr="005552A8" w:rsidRDefault="00DE7981" w:rsidP="003740F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BF95416" w14:textId="77777777" w:rsidR="00DE7981" w:rsidRPr="005552A8" w:rsidRDefault="00DE7981" w:rsidP="003740F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DE7981" w:rsidRPr="008F2CCC" w14:paraId="013FC9CD" w14:textId="77777777" w:rsidTr="00D21971">
      <w:tc>
        <w:tcPr>
          <w:tcW w:w="3620" w:type="dxa"/>
        </w:tcPr>
        <w:p w14:paraId="54DFA5EC" w14:textId="77777777" w:rsidR="00DE7981" w:rsidRPr="007E5FC4" w:rsidRDefault="00DE7981"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22ED3610" w14:textId="7B7D06E2" w:rsidR="00DE7981" w:rsidRPr="00664658" w:rsidRDefault="00DE7981" w:rsidP="003740F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04040/INFOEM/IP/RR/2025</w:t>
          </w:r>
        </w:p>
      </w:tc>
    </w:tr>
    <w:tr w:rsidR="00DE7981" w:rsidRPr="008F2CCC" w14:paraId="5C3D0DA1" w14:textId="77777777" w:rsidTr="00D21971">
      <w:tc>
        <w:tcPr>
          <w:tcW w:w="3620" w:type="dxa"/>
        </w:tcPr>
        <w:p w14:paraId="072D639D" w14:textId="77777777" w:rsidR="00DE7981" w:rsidRPr="007E5FC4" w:rsidRDefault="00DE7981"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735342F8" w14:textId="574687A8" w:rsidR="00DE7981" w:rsidRPr="00664658" w:rsidRDefault="00DE7981" w:rsidP="00D21971">
          <w:pPr>
            <w:spacing w:line="276" w:lineRule="auto"/>
            <w:jc w:val="right"/>
            <w:rPr>
              <w:rFonts w:ascii="Palatino Linotype" w:hAnsi="Palatino Linotype"/>
              <w:b/>
              <w:sz w:val="22"/>
              <w:szCs w:val="22"/>
              <w:lang w:val="es-ES_tradnl"/>
            </w:rPr>
          </w:pPr>
          <w:r w:rsidRPr="00AF224A">
            <w:rPr>
              <w:rFonts w:ascii="Palatino Linotype" w:hAnsi="Palatino Linotype"/>
              <w:b/>
              <w:sz w:val="22"/>
              <w:szCs w:val="22"/>
            </w:rPr>
            <w:t>Sistema Municipal Para el Desarrollo Integral de la Familia de Toluca</w:t>
          </w:r>
        </w:p>
      </w:tc>
    </w:tr>
    <w:tr w:rsidR="00DE7981" w:rsidRPr="008F2CCC" w14:paraId="621B2A95" w14:textId="77777777" w:rsidTr="00D21971">
      <w:trPr>
        <w:trHeight w:val="228"/>
      </w:trPr>
      <w:tc>
        <w:tcPr>
          <w:tcW w:w="3620" w:type="dxa"/>
        </w:tcPr>
        <w:p w14:paraId="2D40C084" w14:textId="77777777" w:rsidR="00DE7981" w:rsidRPr="007E5FC4" w:rsidRDefault="00DE7981" w:rsidP="00D2197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2826586E" w14:textId="77777777" w:rsidR="00DE7981" w:rsidRPr="00664658" w:rsidRDefault="00DE7981" w:rsidP="00D2197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73D7FED" w14:textId="77777777" w:rsidR="00DE7981" w:rsidRDefault="00DE7981" w:rsidP="00D21971">
    <w:pPr>
      <w:pStyle w:val="Encabezado"/>
      <w:tabs>
        <w:tab w:val="clear" w:pos="4252"/>
        <w:tab w:val="clear" w:pos="8504"/>
        <w:tab w:val="left" w:pos="2326"/>
      </w:tabs>
      <w:rPr>
        <w:rFonts w:ascii="Palatino Linotype" w:hAnsi="Palatino Linotype"/>
        <w:sz w:val="20"/>
      </w:rPr>
    </w:pPr>
  </w:p>
  <w:p w14:paraId="1D619339" w14:textId="77777777" w:rsidR="00DE7981" w:rsidRPr="001779E0" w:rsidRDefault="00DE7981" w:rsidP="00D2197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3FE9F5" wp14:editId="21FF279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E7981" w:rsidRPr="008F2CCC" w14:paraId="4F92C55F" w14:textId="77777777" w:rsidTr="001E615A">
      <w:trPr>
        <w:trHeight w:val="568"/>
      </w:trPr>
      <w:tc>
        <w:tcPr>
          <w:tcW w:w="2977" w:type="dxa"/>
        </w:tcPr>
        <w:p w14:paraId="3F1C68AC" w14:textId="77777777" w:rsidR="00DE7981" w:rsidRPr="007E5FC4" w:rsidRDefault="00DE7981"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FE8585D" w14:textId="5B3E33AB" w:rsidR="00DE7981" w:rsidRPr="008F2CCC" w:rsidRDefault="00DE7981" w:rsidP="00AF224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04040/INFOEM/IP/RR/2025</w:t>
          </w:r>
        </w:p>
      </w:tc>
    </w:tr>
    <w:tr w:rsidR="00DE7981" w:rsidRPr="008F2CCC" w14:paraId="4717ADDD" w14:textId="77777777" w:rsidTr="00D21971">
      <w:tc>
        <w:tcPr>
          <w:tcW w:w="2977" w:type="dxa"/>
          <w:vAlign w:val="center"/>
        </w:tcPr>
        <w:p w14:paraId="4CAAA255" w14:textId="77777777" w:rsidR="00DE7981" w:rsidRPr="007E5FC4" w:rsidRDefault="00DE7981"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9226208" w14:textId="3A3B1A84" w:rsidR="00DE7981" w:rsidRPr="008F2CCC" w:rsidRDefault="001E615A"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DE7981" w:rsidRPr="008F2CCC" w14:paraId="50A77898" w14:textId="77777777" w:rsidTr="00D21971">
      <w:trPr>
        <w:trHeight w:val="228"/>
      </w:trPr>
      <w:tc>
        <w:tcPr>
          <w:tcW w:w="2977" w:type="dxa"/>
        </w:tcPr>
        <w:p w14:paraId="7275D2C5" w14:textId="77777777" w:rsidR="00DE7981" w:rsidRPr="007E5FC4" w:rsidRDefault="00DE7981"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D23C774" w14:textId="52E5876A" w:rsidR="00DE7981" w:rsidRPr="00DC41C8" w:rsidRDefault="00DE7981" w:rsidP="00D21971">
          <w:pPr>
            <w:spacing w:line="360" w:lineRule="auto"/>
            <w:jc w:val="right"/>
            <w:rPr>
              <w:rFonts w:ascii="Palatino Linotype" w:hAnsi="Palatino Linotype"/>
              <w:b/>
              <w:sz w:val="22"/>
              <w:szCs w:val="22"/>
            </w:rPr>
          </w:pPr>
          <w:r w:rsidRPr="00AF224A">
            <w:rPr>
              <w:rFonts w:ascii="Palatino Linotype" w:hAnsi="Palatino Linotype"/>
              <w:b/>
              <w:sz w:val="22"/>
              <w:szCs w:val="22"/>
            </w:rPr>
            <w:t>Sistema Municipal Para el Desarrollo Integral de la Familia de Toluca</w:t>
          </w:r>
        </w:p>
      </w:tc>
    </w:tr>
    <w:tr w:rsidR="00DE7981" w:rsidRPr="008F2CCC" w14:paraId="568BCF92" w14:textId="77777777" w:rsidTr="00D21971">
      <w:tc>
        <w:tcPr>
          <w:tcW w:w="2977" w:type="dxa"/>
        </w:tcPr>
        <w:p w14:paraId="43CA35B0" w14:textId="77777777" w:rsidR="00DE7981" w:rsidRPr="007E5FC4" w:rsidRDefault="00DE7981" w:rsidP="00D2197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F7A6BF1" w14:textId="77777777" w:rsidR="00DE7981" w:rsidRPr="008F2CCC" w:rsidRDefault="00DE7981" w:rsidP="00D2197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A6F7C5" w14:textId="77777777" w:rsidR="00DE7981" w:rsidRPr="009F1AB6" w:rsidRDefault="00DE798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9F49B6" wp14:editId="7DDBB43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2FDE"/>
    <w:multiLevelType w:val="hybridMultilevel"/>
    <w:tmpl w:val="DBF2615E"/>
    <w:lvl w:ilvl="0" w:tplc="586A430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85139CE"/>
    <w:multiLevelType w:val="hybridMultilevel"/>
    <w:tmpl w:val="C69E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078A2"/>
    <w:multiLevelType w:val="hybridMultilevel"/>
    <w:tmpl w:val="3F749F40"/>
    <w:lvl w:ilvl="0" w:tplc="56845E4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7C8531C"/>
    <w:multiLevelType w:val="hybridMultilevel"/>
    <w:tmpl w:val="55A62F7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28254B"/>
    <w:multiLevelType w:val="hybridMultilevel"/>
    <w:tmpl w:val="2640CB52"/>
    <w:lvl w:ilvl="0" w:tplc="BC1CEF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5"/>
  </w:num>
  <w:num w:numId="2">
    <w:abstractNumId w:val="1"/>
  </w:num>
  <w:num w:numId="3">
    <w:abstractNumId w:val="7"/>
  </w:num>
  <w:num w:numId="4">
    <w:abstractNumId w:val="2"/>
  </w:num>
  <w:num w:numId="5">
    <w:abstractNumId w:val="4"/>
  </w:num>
  <w:num w:numId="6">
    <w:abstractNumId w:val="6"/>
  </w:num>
  <w:num w:numId="7">
    <w:abstractNumId w:val="8"/>
  </w:num>
  <w:num w:numId="8">
    <w:abstractNumId w:val="3"/>
  </w:num>
  <w:num w:numId="9">
    <w:abstractNumId w:val="10"/>
  </w:num>
  <w:num w:numId="10">
    <w:abstractNumId w:val="13"/>
  </w:num>
  <w:num w:numId="11">
    <w:abstractNumId w:val="14"/>
  </w:num>
  <w:num w:numId="12">
    <w:abstractNumId w:val="11"/>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F3"/>
    <w:rsid w:val="00007F38"/>
    <w:rsid w:val="00046C81"/>
    <w:rsid w:val="0006631D"/>
    <w:rsid w:val="00073177"/>
    <w:rsid w:val="000E48FC"/>
    <w:rsid w:val="00172637"/>
    <w:rsid w:val="001E615A"/>
    <w:rsid w:val="002C5336"/>
    <w:rsid w:val="00341E0E"/>
    <w:rsid w:val="003740F3"/>
    <w:rsid w:val="003A79A6"/>
    <w:rsid w:val="004B185C"/>
    <w:rsid w:val="00525A55"/>
    <w:rsid w:val="005936E2"/>
    <w:rsid w:val="00596BEB"/>
    <w:rsid w:val="0091147B"/>
    <w:rsid w:val="0099197C"/>
    <w:rsid w:val="00A47040"/>
    <w:rsid w:val="00A518A0"/>
    <w:rsid w:val="00A77664"/>
    <w:rsid w:val="00AF224A"/>
    <w:rsid w:val="00B070D6"/>
    <w:rsid w:val="00B31659"/>
    <w:rsid w:val="00BB22EE"/>
    <w:rsid w:val="00C52743"/>
    <w:rsid w:val="00C86F89"/>
    <w:rsid w:val="00CA7C46"/>
    <w:rsid w:val="00D21971"/>
    <w:rsid w:val="00DE0E29"/>
    <w:rsid w:val="00DE7981"/>
    <w:rsid w:val="00E75D93"/>
    <w:rsid w:val="00E9344E"/>
    <w:rsid w:val="00EC115F"/>
    <w:rsid w:val="00ED4C72"/>
    <w:rsid w:val="00F07883"/>
    <w:rsid w:val="00F61DD6"/>
    <w:rsid w:val="00F816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9F32F"/>
  <w15:chartTrackingRefBased/>
  <w15:docId w15:val="{4DF1E53A-23E8-4A98-9D39-423BF3D8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0F3"/>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AF224A"/>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40F3"/>
    <w:rPr>
      <w:rFonts w:eastAsiaTheme="minorEastAsia"/>
      <w:sz w:val="24"/>
      <w:szCs w:val="24"/>
      <w:lang w:val="es-ES_tradnl" w:eastAsia="es-ES"/>
    </w:rPr>
  </w:style>
  <w:style w:type="paragraph" w:styleId="Piedepgina">
    <w:name w:val="footer"/>
    <w:basedOn w:val="Normal"/>
    <w:link w:val="PiedepginaCar"/>
    <w:uiPriority w:val="99"/>
    <w:unhideWhenUsed/>
    <w:rsid w:val="003740F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40F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40F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40F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740F3"/>
    <w:pPr>
      <w:spacing w:after="0" w:line="240" w:lineRule="auto"/>
    </w:pPr>
  </w:style>
  <w:style w:type="character" w:customStyle="1" w:styleId="SinespaciadoCar">
    <w:name w:val="Sin espaciado Car"/>
    <w:aliases w:val="Francesa Car,INAI Car"/>
    <w:link w:val="Sinespaciado"/>
    <w:uiPriority w:val="1"/>
    <w:locked/>
    <w:rsid w:val="003740F3"/>
  </w:style>
  <w:style w:type="character" w:styleId="Hipervnculo">
    <w:name w:val="Hyperlink"/>
    <w:aliases w:val="Hipervínculo1,Hipervínculo11,Hipervínculo12,Hipervínculo13,Hipervínculo14,Hipervínculo15"/>
    <w:basedOn w:val="Fuentedeprrafopredeter"/>
    <w:uiPriority w:val="99"/>
    <w:unhideWhenUsed/>
    <w:rsid w:val="003740F3"/>
    <w:rPr>
      <w:color w:val="0563C1" w:themeColor="hyperlink"/>
      <w:u w:val="single"/>
    </w:rPr>
  </w:style>
  <w:style w:type="paragraph" w:customStyle="1" w:styleId="INFOEM">
    <w:name w:val="INFOEM"/>
    <w:basedOn w:val="Normal"/>
    <w:qFormat/>
    <w:rsid w:val="003740F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740F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740F3"/>
    <w:rPr>
      <w:vertAlign w:val="superscript"/>
    </w:rPr>
  </w:style>
  <w:style w:type="paragraph" w:customStyle="1" w:styleId="infoemcitas">
    <w:name w:val="infoem citas"/>
    <w:basedOn w:val="Normal"/>
    <w:qFormat/>
    <w:rsid w:val="003740F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7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740F3"/>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Ttulo2Car">
    <w:name w:val="Título 2 Car"/>
    <w:aliases w:val="Subtítulos Car"/>
    <w:basedOn w:val="Fuentedeprrafopredeter"/>
    <w:link w:val="Ttulo2"/>
    <w:uiPriority w:val="9"/>
    <w:rsid w:val="00AF224A"/>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5507</Words>
  <Characters>30291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2025-08-08T16:59:00Z</cp:lastPrinted>
  <dcterms:created xsi:type="dcterms:W3CDTF">2025-07-15T22:21:00Z</dcterms:created>
  <dcterms:modified xsi:type="dcterms:W3CDTF">2025-08-27T23:41:00Z</dcterms:modified>
</cp:coreProperties>
</file>