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1EC62" w14:textId="75767AA0" w:rsidR="00C53D21" w:rsidRPr="003555AE" w:rsidRDefault="000A4FA3">
      <w:pPr>
        <w:spacing w:before="240" w:after="240" w:line="360" w:lineRule="auto"/>
        <w:jc w:val="both"/>
        <w:rPr>
          <w:rFonts w:ascii="Palatino Linotype" w:eastAsia="Palatino Linotype" w:hAnsi="Palatino Linotype" w:cs="Palatino Linotype"/>
        </w:rPr>
      </w:pPr>
      <w:bookmarkStart w:id="0" w:name="_heading=h.3rdcrjn" w:colFirst="0" w:colLast="0"/>
      <w:bookmarkEnd w:id="0"/>
      <w:r w:rsidRPr="003555A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4A0700" w:rsidRPr="003555AE">
        <w:rPr>
          <w:rFonts w:ascii="Palatino Linotype" w:eastAsia="Palatino Linotype" w:hAnsi="Palatino Linotype" w:cs="Palatino Linotype"/>
        </w:rPr>
        <w:t>diez de septiembre</w:t>
      </w:r>
      <w:r w:rsidRPr="003555AE">
        <w:rPr>
          <w:rFonts w:ascii="Palatino Linotype" w:eastAsia="Palatino Linotype" w:hAnsi="Palatino Linotype" w:cs="Palatino Linotype"/>
        </w:rPr>
        <w:t xml:space="preserve"> de dos mil veinticinco. </w:t>
      </w:r>
    </w:p>
    <w:p w14:paraId="24F67685" w14:textId="50BCFEB0" w:rsidR="00C53D21" w:rsidRPr="003555AE" w:rsidRDefault="000A4FA3">
      <w:pPr>
        <w:tabs>
          <w:tab w:val="left" w:pos="5812"/>
        </w:tabs>
        <w:spacing w:before="240" w:after="240" w:line="360" w:lineRule="auto"/>
        <w:jc w:val="both"/>
        <w:rPr>
          <w:rFonts w:ascii="Palatino Linotype" w:eastAsia="Palatino Linotype" w:hAnsi="Palatino Linotype" w:cs="Palatino Linotype"/>
        </w:rPr>
      </w:pPr>
      <w:bookmarkStart w:id="1" w:name="_heading=h.daj3j2xo6q66" w:colFirst="0" w:colLast="0"/>
      <w:bookmarkEnd w:id="1"/>
      <w:r w:rsidRPr="003555AE">
        <w:rPr>
          <w:rFonts w:ascii="Palatino Linotype" w:eastAsia="Palatino Linotype" w:hAnsi="Palatino Linotype" w:cs="Palatino Linotype"/>
          <w:b/>
        </w:rPr>
        <w:t>VISTO</w:t>
      </w:r>
      <w:r w:rsidRPr="003555AE">
        <w:rPr>
          <w:rFonts w:ascii="Palatino Linotype" w:eastAsia="Palatino Linotype" w:hAnsi="Palatino Linotype" w:cs="Palatino Linotype"/>
        </w:rPr>
        <w:t xml:space="preserve"> el expediente formado con motivo del recurso de revisión </w:t>
      </w:r>
      <w:r w:rsidR="004A0700" w:rsidRPr="003555AE">
        <w:rPr>
          <w:rFonts w:ascii="Palatino Linotype" w:eastAsia="Palatino Linotype" w:hAnsi="Palatino Linotype" w:cs="Palatino Linotype"/>
          <w:b/>
        </w:rPr>
        <w:t>07594</w:t>
      </w:r>
      <w:r w:rsidRPr="003555AE">
        <w:rPr>
          <w:rFonts w:ascii="Palatino Linotype" w:eastAsia="Palatino Linotype" w:hAnsi="Palatino Linotype" w:cs="Palatino Linotype"/>
          <w:b/>
        </w:rPr>
        <w:t>/INFOEM/IP/RR/2025</w:t>
      </w:r>
      <w:r w:rsidRPr="003555AE">
        <w:rPr>
          <w:rFonts w:ascii="Palatino Linotype" w:eastAsia="Palatino Linotype" w:hAnsi="Palatino Linotype" w:cs="Palatino Linotype"/>
        </w:rPr>
        <w:t>, interpuesto por</w:t>
      </w:r>
      <w:r w:rsidRPr="003555AE">
        <w:rPr>
          <w:rFonts w:ascii="Palatino Linotype" w:eastAsia="Palatino Linotype" w:hAnsi="Palatino Linotype" w:cs="Palatino Linotype"/>
          <w:b/>
        </w:rPr>
        <w:t xml:space="preserve"> una persona que no proporcionó nombre o seudónimo,</w:t>
      </w:r>
      <w:r w:rsidRPr="003555AE">
        <w:rPr>
          <w:rFonts w:ascii="Palatino Linotype" w:eastAsia="Palatino Linotype" w:hAnsi="Palatino Linotype" w:cs="Palatino Linotype"/>
        </w:rPr>
        <w:t xml:space="preserve"> en lo sucesivo</w:t>
      </w:r>
      <w:r w:rsidRPr="003555AE">
        <w:rPr>
          <w:rFonts w:ascii="Palatino Linotype" w:eastAsia="Palatino Linotype" w:hAnsi="Palatino Linotype" w:cs="Palatino Linotype"/>
          <w:b/>
        </w:rPr>
        <w:t xml:space="preserve"> </w:t>
      </w:r>
      <w:r w:rsidRPr="003555AE">
        <w:rPr>
          <w:rFonts w:ascii="Palatino Linotype" w:eastAsia="Palatino Linotype" w:hAnsi="Palatino Linotype" w:cs="Palatino Linotype"/>
        </w:rPr>
        <w:t xml:space="preserve">la parte </w:t>
      </w:r>
      <w:r w:rsidRPr="003555AE">
        <w:rPr>
          <w:rFonts w:ascii="Palatino Linotype" w:eastAsia="Palatino Linotype" w:hAnsi="Palatino Linotype" w:cs="Palatino Linotype"/>
          <w:b/>
        </w:rPr>
        <w:t>Recurrente,</w:t>
      </w:r>
      <w:r w:rsidRPr="003555AE">
        <w:rPr>
          <w:rFonts w:ascii="Palatino Linotype" w:eastAsia="Palatino Linotype" w:hAnsi="Palatino Linotype" w:cs="Palatino Linotype"/>
        </w:rPr>
        <w:t xml:space="preserve"> en contra de la respuesta a la solicitud de información con número de folio</w:t>
      </w:r>
      <w:r w:rsidRPr="003555AE">
        <w:rPr>
          <w:rFonts w:ascii="Palatino Linotype" w:eastAsia="Palatino Linotype" w:hAnsi="Palatino Linotype" w:cs="Palatino Linotype"/>
          <w:b/>
        </w:rPr>
        <w:t xml:space="preserve"> </w:t>
      </w:r>
      <w:r w:rsidR="004A0700" w:rsidRPr="003555AE">
        <w:rPr>
          <w:rFonts w:ascii="Palatino Linotype" w:eastAsia="Palatino Linotype" w:hAnsi="Palatino Linotype" w:cs="Palatino Linotype"/>
          <w:b/>
        </w:rPr>
        <w:t>00374/ATLACOM/IP/2025</w:t>
      </w:r>
      <w:r w:rsidRPr="003555AE">
        <w:rPr>
          <w:rFonts w:ascii="Palatino Linotype" w:eastAsia="Palatino Linotype" w:hAnsi="Palatino Linotype" w:cs="Palatino Linotype"/>
          <w:b/>
        </w:rPr>
        <w:t xml:space="preserve">, </w:t>
      </w:r>
      <w:r w:rsidRPr="003555AE">
        <w:rPr>
          <w:rFonts w:ascii="Palatino Linotype" w:eastAsia="Palatino Linotype" w:hAnsi="Palatino Linotype" w:cs="Palatino Linotype"/>
        </w:rPr>
        <w:t xml:space="preserve">por parte del </w:t>
      </w:r>
      <w:r w:rsidR="004A0700" w:rsidRPr="003555AE">
        <w:rPr>
          <w:rFonts w:ascii="Palatino Linotype" w:eastAsia="Palatino Linotype" w:hAnsi="Palatino Linotype" w:cs="Palatino Linotype"/>
          <w:b/>
        </w:rPr>
        <w:t>Ayuntamiento de Atlacomulco</w:t>
      </w:r>
      <w:r w:rsidRPr="003555AE">
        <w:rPr>
          <w:rFonts w:ascii="Palatino Linotype" w:eastAsia="Palatino Linotype" w:hAnsi="Palatino Linotype" w:cs="Palatino Linotype"/>
          <w:b/>
        </w:rPr>
        <w:t xml:space="preserve">, </w:t>
      </w:r>
      <w:r w:rsidRPr="003555AE">
        <w:rPr>
          <w:rFonts w:ascii="Palatino Linotype" w:eastAsia="Palatino Linotype" w:hAnsi="Palatino Linotype" w:cs="Palatino Linotype"/>
        </w:rPr>
        <w:t xml:space="preserve">en lo sucesivo el </w:t>
      </w:r>
      <w:r w:rsidRPr="003555AE">
        <w:rPr>
          <w:rFonts w:ascii="Palatino Linotype" w:eastAsia="Palatino Linotype" w:hAnsi="Palatino Linotype" w:cs="Palatino Linotype"/>
          <w:b/>
        </w:rPr>
        <w:t xml:space="preserve">Sujeto Obligado, </w:t>
      </w:r>
      <w:r w:rsidRPr="003555AE">
        <w:rPr>
          <w:rFonts w:ascii="Palatino Linotype" w:eastAsia="Palatino Linotype" w:hAnsi="Palatino Linotype" w:cs="Palatino Linotype"/>
        </w:rPr>
        <w:t xml:space="preserve">se procede a dictar la presente resolución con base en los siguientes: </w:t>
      </w:r>
    </w:p>
    <w:p w14:paraId="1E2D9D2B" w14:textId="77777777" w:rsidR="00C53D21" w:rsidRPr="003555AE" w:rsidRDefault="000A4FA3">
      <w:pPr>
        <w:spacing w:before="240" w:after="240" w:line="360" w:lineRule="auto"/>
        <w:jc w:val="center"/>
        <w:rPr>
          <w:rFonts w:ascii="Palatino Linotype" w:eastAsia="Palatino Linotype" w:hAnsi="Palatino Linotype" w:cs="Palatino Linotype"/>
          <w:b/>
        </w:rPr>
      </w:pPr>
      <w:r w:rsidRPr="003555AE">
        <w:rPr>
          <w:rFonts w:ascii="Palatino Linotype" w:eastAsia="Palatino Linotype" w:hAnsi="Palatino Linotype" w:cs="Palatino Linotype"/>
          <w:b/>
        </w:rPr>
        <w:t>I. A N T E C E D E N T E S</w:t>
      </w:r>
    </w:p>
    <w:p w14:paraId="56F32DB9" w14:textId="79F6B1D7" w:rsidR="00C53D21" w:rsidRPr="003555AE" w:rsidRDefault="000A4FA3">
      <w:pPr>
        <w:spacing w:before="240" w:after="240" w:line="360" w:lineRule="auto"/>
        <w:jc w:val="both"/>
        <w:rPr>
          <w:rFonts w:ascii="Palatino Linotype" w:eastAsia="Palatino Linotype" w:hAnsi="Palatino Linotype" w:cs="Palatino Linotype"/>
        </w:rPr>
      </w:pPr>
      <w:bookmarkStart w:id="2" w:name="_heading=h.gjdgxs" w:colFirst="0" w:colLast="0"/>
      <w:bookmarkEnd w:id="2"/>
      <w:r w:rsidRPr="003555AE">
        <w:rPr>
          <w:rFonts w:ascii="Palatino Linotype" w:eastAsia="Palatino Linotype" w:hAnsi="Palatino Linotype" w:cs="Palatino Linotype"/>
          <w:b/>
        </w:rPr>
        <w:t>1. Solicitud de acceso a la información.</w:t>
      </w:r>
      <w:r w:rsidRPr="003555AE">
        <w:rPr>
          <w:rFonts w:ascii="Palatino Linotype" w:eastAsia="Palatino Linotype" w:hAnsi="Palatino Linotype" w:cs="Palatino Linotype"/>
        </w:rPr>
        <w:t xml:space="preserve"> El </w:t>
      </w:r>
      <w:r w:rsidR="004A0700" w:rsidRPr="003555AE">
        <w:rPr>
          <w:rFonts w:ascii="Palatino Linotype" w:eastAsia="Palatino Linotype" w:hAnsi="Palatino Linotype" w:cs="Palatino Linotype"/>
          <w:b/>
        </w:rPr>
        <w:t>treinta de mayo</w:t>
      </w:r>
      <w:r w:rsidRPr="003555AE">
        <w:rPr>
          <w:rFonts w:ascii="Palatino Linotype" w:eastAsia="Palatino Linotype" w:hAnsi="Palatino Linotype" w:cs="Palatino Linotype"/>
          <w:b/>
        </w:rPr>
        <w:t xml:space="preserve"> de dos mil veinticinco,</w:t>
      </w:r>
      <w:r w:rsidRPr="003555AE">
        <w:rPr>
          <w:rFonts w:ascii="Palatino Linotype" w:eastAsia="Palatino Linotype" w:hAnsi="Palatino Linotype" w:cs="Palatino Linotype"/>
        </w:rPr>
        <w:t xml:space="preserve"> la parte </w:t>
      </w:r>
      <w:r w:rsidRPr="003555AE">
        <w:rPr>
          <w:rFonts w:ascii="Palatino Linotype" w:eastAsia="Palatino Linotype" w:hAnsi="Palatino Linotype" w:cs="Palatino Linotype"/>
          <w:b/>
        </w:rPr>
        <w:t xml:space="preserve">Recurrente </w:t>
      </w:r>
      <w:r w:rsidRPr="003555AE">
        <w:rPr>
          <w:rFonts w:ascii="Palatino Linotype" w:eastAsia="Palatino Linotype" w:hAnsi="Palatino Linotype" w:cs="Palatino Linotype"/>
        </w:rPr>
        <w:t xml:space="preserve">presentó la solicitud de acceso a la información pública ante el </w:t>
      </w:r>
      <w:r w:rsidRPr="003555AE">
        <w:rPr>
          <w:rFonts w:ascii="Palatino Linotype" w:eastAsia="Palatino Linotype" w:hAnsi="Palatino Linotype" w:cs="Palatino Linotype"/>
          <w:b/>
        </w:rPr>
        <w:t>Sujeto Obligado</w:t>
      </w:r>
      <w:r w:rsidRPr="003555AE">
        <w:rPr>
          <w:rFonts w:ascii="Palatino Linotype" w:eastAsia="Palatino Linotype" w:hAnsi="Palatino Linotype" w:cs="Palatino Linotype"/>
        </w:rPr>
        <w:t xml:space="preserve">, a través del Sistema de Acceso a la Información Mexiquense, en lo subsecuente el </w:t>
      </w:r>
      <w:r w:rsidRPr="003555AE">
        <w:rPr>
          <w:rFonts w:ascii="Palatino Linotype" w:eastAsia="Palatino Linotype" w:hAnsi="Palatino Linotype" w:cs="Palatino Linotype"/>
          <w:b/>
        </w:rPr>
        <w:t>SAIMEX,</w:t>
      </w:r>
      <w:r w:rsidRPr="003555AE">
        <w:rPr>
          <w:rFonts w:ascii="Palatino Linotype" w:eastAsia="Palatino Linotype" w:hAnsi="Palatino Linotype" w:cs="Palatino Linotype"/>
        </w:rPr>
        <w:t xml:space="preserve"> mediante la cual requirió lo siguiente:</w:t>
      </w:r>
    </w:p>
    <w:p w14:paraId="4A2DE766" w14:textId="24490006" w:rsidR="00C53D21" w:rsidRPr="003555AE" w:rsidRDefault="000A4FA3">
      <w:pPr>
        <w:spacing w:before="120" w:after="120"/>
        <w:ind w:left="851" w:right="902"/>
        <w:jc w:val="both"/>
        <w:rPr>
          <w:rFonts w:ascii="Palatino Linotype" w:eastAsia="Palatino Linotype" w:hAnsi="Palatino Linotype" w:cs="Palatino Linotype"/>
          <w:b/>
          <w:i/>
          <w:sz w:val="22"/>
          <w:szCs w:val="22"/>
        </w:rPr>
      </w:pPr>
      <w:r w:rsidRPr="003555AE">
        <w:rPr>
          <w:rFonts w:ascii="Palatino Linotype" w:eastAsia="Palatino Linotype" w:hAnsi="Palatino Linotype" w:cs="Palatino Linotype"/>
          <w:i/>
          <w:sz w:val="22"/>
          <w:szCs w:val="22"/>
        </w:rPr>
        <w:t xml:space="preserve"> “</w:t>
      </w:r>
      <w:r w:rsidR="004A0700" w:rsidRPr="003555AE">
        <w:rPr>
          <w:rFonts w:ascii="Palatino Linotype" w:eastAsia="Palatino Linotype" w:hAnsi="Palatino Linotype" w:cs="Palatino Linotype"/>
          <w:i/>
          <w:sz w:val="22"/>
          <w:szCs w:val="22"/>
        </w:rPr>
        <w:t>Presupuesto desglosado 2025 por área</w:t>
      </w:r>
      <w:r w:rsidRPr="003555AE">
        <w:rPr>
          <w:rFonts w:ascii="Palatino Linotype" w:eastAsia="Palatino Linotype" w:hAnsi="Palatino Linotype" w:cs="Palatino Linotype"/>
          <w:b/>
          <w:i/>
          <w:sz w:val="22"/>
          <w:szCs w:val="22"/>
        </w:rPr>
        <w:t>”</w:t>
      </w:r>
      <w:r w:rsidRPr="003555AE">
        <w:rPr>
          <w:rFonts w:ascii="Palatino Linotype" w:eastAsia="Palatino Linotype" w:hAnsi="Palatino Linotype" w:cs="Palatino Linotype"/>
          <w:i/>
          <w:sz w:val="22"/>
          <w:szCs w:val="22"/>
        </w:rPr>
        <w:t xml:space="preserve"> (sic) </w:t>
      </w:r>
    </w:p>
    <w:p w14:paraId="5E13220C" w14:textId="77777777" w:rsidR="00C53D21" w:rsidRPr="003555AE" w:rsidRDefault="000A4FA3">
      <w:pPr>
        <w:spacing w:before="240" w:after="240" w:line="360" w:lineRule="auto"/>
        <w:jc w:val="both"/>
        <w:rPr>
          <w:rFonts w:ascii="Palatino Linotype" w:eastAsia="Palatino Linotype" w:hAnsi="Palatino Linotype" w:cs="Palatino Linotype"/>
        </w:rPr>
      </w:pPr>
      <w:bookmarkStart w:id="3" w:name="_heading=h.3dy6vkm" w:colFirst="0" w:colLast="0"/>
      <w:bookmarkEnd w:id="3"/>
      <w:r w:rsidRPr="003555AE">
        <w:rPr>
          <w:rFonts w:ascii="Palatino Linotype" w:eastAsia="Palatino Linotype" w:hAnsi="Palatino Linotype" w:cs="Palatino Linotype"/>
          <w:b/>
        </w:rPr>
        <w:t>Modalidad de Entrega:</w:t>
      </w:r>
      <w:r w:rsidRPr="003555AE">
        <w:rPr>
          <w:rFonts w:ascii="Palatino Linotype" w:eastAsia="Palatino Linotype" w:hAnsi="Palatino Linotype" w:cs="Palatino Linotype"/>
        </w:rPr>
        <w:t xml:space="preserve"> a través del</w:t>
      </w:r>
      <w:r w:rsidRPr="003555AE">
        <w:rPr>
          <w:rFonts w:ascii="Palatino Linotype" w:eastAsia="Palatino Linotype" w:hAnsi="Palatino Linotype" w:cs="Palatino Linotype"/>
          <w:b/>
        </w:rPr>
        <w:t xml:space="preserve"> SAIMEX.</w:t>
      </w:r>
    </w:p>
    <w:p w14:paraId="1F0E1914" w14:textId="4641A675" w:rsidR="00C53D21" w:rsidRPr="003555AE" w:rsidRDefault="000A4FA3">
      <w:pPr>
        <w:spacing w:before="240" w:after="240" w:line="360" w:lineRule="auto"/>
        <w:jc w:val="both"/>
        <w:rPr>
          <w:rFonts w:ascii="Palatino Linotype" w:eastAsia="Palatino Linotype" w:hAnsi="Palatino Linotype" w:cs="Palatino Linotype"/>
        </w:rPr>
      </w:pPr>
      <w:r w:rsidRPr="003555AE">
        <w:rPr>
          <w:rFonts w:ascii="Palatino Linotype" w:eastAsia="Palatino Linotype" w:hAnsi="Palatino Linotype" w:cs="Palatino Linotype"/>
          <w:b/>
        </w:rPr>
        <w:t xml:space="preserve">2. Respuesta. </w:t>
      </w:r>
      <w:r w:rsidRPr="003555AE">
        <w:rPr>
          <w:rFonts w:ascii="Palatino Linotype" w:eastAsia="Palatino Linotype" w:hAnsi="Palatino Linotype" w:cs="Palatino Linotype"/>
        </w:rPr>
        <w:t xml:space="preserve">El </w:t>
      </w:r>
      <w:r w:rsidR="00E33A32" w:rsidRPr="003555AE">
        <w:rPr>
          <w:rFonts w:ascii="Palatino Linotype" w:eastAsia="Palatino Linotype" w:hAnsi="Palatino Linotype" w:cs="Palatino Linotype"/>
          <w:b/>
        </w:rPr>
        <w:t>dieci</w:t>
      </w:r>
      <w:r w:rsidR="007F4DB8" w:rsidRPr="003555AE">
        <w:rPr>
          <w:rFonts w:ascii="Palatino Linotype" w:eastAsia="Palatino Linotype" w:hAnsi="Palatino Linotype" w:cs="Palatino Linotype"/>
          <w:b/>
        </w:rPr>
        <w:t>nueve</w:t>
      </w:r>
      <w:r w:rsidR="00842B64" w:rsidRPr="003555AE">
        <w:rPr>
          <w:rFonts w:ascii="Palatino Linotype" w:eastAsia="Palatino Linotype" w:hAnsi="Palatino Linotype" w:cs="Palatino Linotype"/>
          <w:b/>
        </w:rPr>
        <w:t xml:space="preserve"> de </w:t>
      </w:r>
      <w:r w:rsidR="00E33A32" w:rsidRPr="003555AE">
        <w:rPr>
          <w:rFonts w:ascii="Palatino Linotype" w:eastAsia="Palatino Linotype" w:hAnsi="Palatino Linotype" w:cs="Palatino Linotype"/>
          <w:b/>
        </w:rPr>
        <w:t xml:space="preserve">junio </w:t>
      </w:r>
      <w:r w:rsidR="00842B64" w:rsidRPr="003555AE">
        <w:rPr>
          <w:rFonts w:ascii="Palatino Linotype" w:eastAsia="Palatino Linotype" w:hAnsi="Palatino Linotype" w:cs="Palatino Linotype"/>
          <w:b/>
        </w:rPr>
        <w:t>d</w:t>
      </w:r>
      <w:r w:rsidRPr="003555AE">
        <w:rPr>
          <w:rFonts w:ascii="Palatino Linotype" w:eastAsia="Palatino Linotype" w:hAnsi="Palatino Linotype" w:cs="Palatino Linotype"/>
          <w:b/>
        </w:rPr>
        <w:t>e dos mil veinticinco,</w:t>
      </w:r>
      <w:r w:rsidRPr="003555AE">
        <w:rPr>
          <w:rFonts w:ascii="Palatino Linotype" w:eastAsia="Palatino Linotype" w:hAnsi="Palatino Linotype" w:cs="Palatino Linotype"/>
        </w:rPr>
        <w:t xml:space="preserve"> el </w:t>
      </w:r>
      <w:r w:rsidRPr="003555AE">
        <w:rPr>
          <w:rFonts w:ascii="Palatino Linotype" w:eastAsia="Palatino Linotype" w:hAnsi="Palatino Linotype" w:cs="Palatino Linotype"/>
          <w:b/>
        </w:rPr>
        <w:t xml:space="preserve">Sujeto Obligado </w:t>
      </w:r>
      <w:r w:rsidRPr="003555AE">
        <w:rPr>
          <w:rFonts w:ascii="Palatino Linotype" w:eastAsia="Palatino Linotype" w:hAnsi="Palatino Linotype" w:cs="Palatino Linotype"/>
        </w:rPr>
        <w:t xml:space="preserve">envió su respuesta a la solicitud de acceso a la información a través del SAIMEX, sustancialmente en los términos siguientes:   </w:t>
      </w:r>
    </w:p>
    <w:p w14:paraId="7AE4CB42" w14:textId="4D97584C" w:rsidR="00C53D21" w:rsidRPr="003555AE" w:rsidRDefault="000A4FA3">
      <w:pPr>
        <w:spacing w:before="240" w:after="240"/>
        <w:ind w:left="851" w:right="902"/>
        <w:jc w:val="both"/>
        <w:rPr>
          <w:rFonts w:ascii="Palatino Linotype" w:eastAsia="Palatino Linotype" w:hAnsi="Palatino Linotype" w:cs="Palatino Linotype"/>
          <w:i/>
          <w:sz w:val="22"/>
          <w:szCs w:val="22"/>
        </w:rPr>
      </w:pPr>
      <w:r w:rsidRPr="003555AE">
        <w:rPr>
          <w:rFonts w:ascii="Palatino Linotype" w:eastAsia="Palatino Linotype" w:hAnsi="Palatino Linotype" w:cs="Palatino Linotype"/>
          <w:i/>
          <w:sz w:val="22"/>
          <w:szCs w:val="22"/>
        </w:rPr>
        <w:t>“…</w:t>
      </w:r>
      <w:r w:rsidR="00E33A32" w:rsidRPr="003555AE">
        <w:rPr>
          <w:rFonts w:ascii="Palatino Linotype" w:eastAsia="Palatino Linotype" w:hAnsi="Palatino Linotype" w:cs="Palatino Linotype"/>
          <w:i/>
          <w:sz w:val="22"/>
          <w:szCs w:val="22"/>
        </w:rPr>
        <w:t>Me permito remitir a usted, respuesta a su solicitud de información.</w:t>
      </w:r>
      <w:r w:rsidRPr="003555AE">
        <w:rPr>
          <w:rFonts w:ascii="Palatino Linotype" w:eastAsia="Palatino Linotype" w:hAnsi="Palatino Linotype" w:cs="Palatino Linotype"/>
          <w:i/>
          <w:sz w:val="22"/>
          <w:szCs w:val="22"/>
        </w:rPr>
        <w:t>..” (sic)</w:t>
      </w:r>
    </w:p>
    <w:p w14:paraId="3656AF9E" w14:textId="77777777" w:rsidR="00C53D21" w:rsidRPr="003555AE" w:rsidRDefault="000A4FA3">
      <w:pPr>
        <w:spacing w:before="240" w:after="240" w:line="360" w:lineRule="auto"/>
        <w:ind w:right="49"/>
        <w:jc w:val="both"/>
        <w:rPr>
          <w:rFonts w:ascii="Palatino Linotype" w:eastAsia="Palatino Linotype" w:hAnsi="Palatino Linotype" w:cs="Palatino Linotype"/>
        </w:rPr>
      </w:pPr>
      <w:r w:rsidRPr="003555AE">
        <w:rPr>
          <w:rFonts w:ascii="Palatino Linotype" w:eastAsia="Palatino Linotype" w:hAnsi="Palatino Linotype" w:cs="Palatino Linotype"/>
        </w:rPr>
        <w:lastRenderedPageBreak/>
        <w:t xml:space="preserve">El </w:t>
      </w:r>
      <w:r w:rsidRPr="003555AE">
        <w:rPr>
          <w:rFonts w:ascii="Palatino Linotype" w:eastAsia="Palatino Linotype" w:hAnsi="Palatino Linotype" w:cs="Palatino Linotype"/>
          <w:b/>
        </w:rPr>
        <w:t xml:space="preserve">Sujeto Obligado </w:t>
      </w:r>
      <w:r w:rsidRPr="003555AE">
        <w:rPr>
          <w:rFonts w:ascii="Palatino Linotype" w:eastAsia="Palatino Linotype" w:hAnsi="Palatino Linotype" w:cs="Palatino Linotype"/>
        </w:rPr>
        <w:t>adjuntó lo siguiente:</w:t>
      </w:r>
    </w:p>
    <w:p w14:paraId="369C17FE" w14:textId="6802E24D" w:rsidR="00666F49" w:rsidRPr="003555AE" w:rsidRDefault="000A4FA3" w:rsidP="00CF7CA1">
      <w:pPr>
        <w:spacing w:before="240" w:after="240" w:line="360" w:lineRule="auto"/>
        <w:ind w:left="142" w:right="49"/>
        <w:jc w:val="both"/>
        <w:rPr>
          <w:rFonts w:ascii="Palatino Linotype" w:eastAsia="Palatino Linotype" w:hAnsi="Palatino Linotype" w:cs="Palatino Linotype"/>
        </w:rPr>
      </w:pPr>
      <w:r w:rsidRPr="003555AE">
        <w:rPr>
          <w:rFonts w:ascii="Palatino Linotype" w:eastAsia="Palatino Linotype" w:hAnsi="Palatino Linotype" w:cs="Palatino Linotype"/>
        </w:rPr>
        <w:t xml:space="preserve">- </w:t>
      </w:r>
      <w:r w:rsidR="00666F49" w:rsidRPr="003555AE">
        <w:rPr>
          <w:rFonts w:ascii="Palatino Linotype" w:eastAsia="Palatino Linotype" w:hAnsi="Palatino Linotype" w:cs="Palatino Linotype"/>
        </w:rPr>
        <w:t xml:space="preserve">Oficio número </w:t>
      </w:r>
      <w:r w:rsidR="00E33A32" w:rsidRPr="003555AE">
        <w:rPr>
          <w:rFonts w:ascii="Palatino Linotype" w:eastAsia="Palatino Linotype" w:hAnsi="Palatino Linotype" w:cs="Palatino Linotype"/>
        </w:rPr>
        <w:t xml:space="preserve">PM/UT/374/2025 </w:t>
      </w:r>
      <w:r w:rsidR="006D428E" w:rsidRPr="003555AE">
        <w:rPr>
          <w:rFonts w:ascii="Palatino Linotype" w:eastAsia="Palatino Linotype" w:hAnsi="Palatino Linotype" w:cs="Palatino Linotype"/>
        </w:rPr>
        <w:t xml:space="preserve">mediante el cual el Titular de la Unidad de Transparencia </w:t>
      </w:r>
      <w:r w:rsidR="001D3CB2" w:rsidRPr="003555AE">
        <w:rPr>
          <w:rFonts w:ascii="Palatino Linotype" w:eastAsia="Palatino Linotype" w:hAnsi="Palatino Linotype" w:cs="Palatino Linotype"/>
        </w:rPr>
        <w:t xml:space="preserve">notificó a la persona solicitante la respuesta proporcionada por </w:t>
      </w:r>
      <w:r w:rsidR="00E33A32" w:rsidRPr="003555AE">
        <w:rPr>
          <w:rFonts w:ascii="Palatino Linotype" w:eastAsia="Palatino Linotype" w:hAnsi="Palatino Linotype" w:cs="Palatino Linotype"/>
        </w:rPr>
        <w:t>la Tesorería Municipal</w:t>
      </w:r>
      <w:r w:rsidR="00880DE4" w:rsidRPr="003555AE">
        <w:rPr>
          <w:rFonts w:ascii="Palatino Linotype" w:eastAsia="Palatino Linotype" w:hAnsi="Palatino Linotype" w:cs="Palatino Linotype"/>
        </w:rPr>
        <w:t>.</w:t>
      </w:r>
    </w:p>
    <w:p w14:paraId="3603399E" w14:textId="0819D3BC" w:rsidR="00E33A32" w:rsidRPr="003555AE" w:rsidRDefault="00565CC2" w:rsidP="00E33A32">
      <w:pPr>
        <w:spacing w:before="240" w:after="240" w:line="360" w:lineRule="auto"/>
        <w:ind w:left="142" w:right="49"/>
        <w:jc w:val="both"/>
        <w:rPr>
          <w:rFonts w:ascii="Palatino Linotype" w:hAnsi="Palatino Linotype"/>
        </w:rPr>
      </w:pPr>
      <w:r w:rsidRPr="003555AE">
        <w:rPr>
          <w:rFonts w:ascii="Palatino Linotype" w:eastAsia="Palatino Linotype" w:hAnsi="Palatino Linotype" w:cs="Palatino Linotype"/>
        </w:rPr>
        <w:t xml:space="preserve">- </w:t>
      </w:r>
      <w:r w:rsidR="00E33A32" w:rsidRPr="003555AE">
        <w:rPr>
          <w:rFonts w:ascii="Palatino Linotype" w:eastAsia="Palatino Linotype" w:hAnsi="Palatino Linotype" w:cs="Palatino Linotype"/>
        </w:rPr>
        <w:t xml:space="preserve">Oficio número </w:t>
      </w:r>
      <w:r w:rsidR="00E33A32" w:rsidRPr="003555AE">
        <w:rPr>
          <w:rFonts w:ascii="Palatino Linotype" w:hAnsi="Palatino Linotype"/>
        </w:rPr>
        <w:t>TMA/STE/747/06/2025, mediante el cual el Tesorero Municipal señaló que la información solicitada es información pública de conformidad con la Ley General de Contabilidad Gubernamental y están plasmadas en el formato "Estado Analítico del Ejercicio del Presupuesto de Egresos Detallado - LDF Clasificación Administrativa" del Primer Trimestre del Ejercicio Fiscal 2025 en la columna "Aprobado", el cual puede consultar y/o  descargar en la página institucional del Municipio de Atlacomulco de la página 74 a la 80, asimismo, para efectos de la consulta proporciono la dirección electrónica en formato cerrado y una captura de pantalla del documento referido.</w:t>
      </w:r>
    </w:p>
    <w:p w14:paraId="4E06C70C" w14:textId="4850E02F" w:rsidR="00C53D21" w:rsidRPr="003555AE" w:rsidRDefault="000A4FA3">
      <w:pPr>
        <w:spacing w:before="240" w:after="240" w:line="360" w:lineRule="auto"/>
        <w:ind w:right="49"/>
        <w:jc w:val="both"/>
        <w:rPr>
          <w:rFonts w:ascii="Palatino Linotype" w:eastAsia="Palatino Linotype" w:hAnsi="Palatino Linotype" w:cs="Palatino Linotype"/>
        </w:rPr>
      </w:pPr>
      <w:r w:rsidRPr="003555AE">
        <w:rPr>
          <w:rFonts w:ascii="Palatino Linotype" w:eastAsia="Palatino Linotype" w:hAnsi="Palatino Linotype" w:cs="Palatino Linotype"/>
          <w:b/>
        </w:rPr>
        <w:t xml:space="preserve">3. Interposición del recurso de revisión. </w:t>
      </w:r>
      <w:r w:rsidRPr="003555AE">
        <w:rPr>
          <w:rFonts w:ascii="Palatino Linotype" w:eastAsia="Palatino Linotype" w:hAnsi="Palatino Linotype" w:cs="Palatino Linotype"/>
        </w:rPr>
        <w:t xml:space="preserve">Inconforme con los términos de la respuesta emitida por parte del </w:t>
      </w:r>
      <w:r w:rsidRPr="003555AE">
        <w:rPr>
          <w:rFonts w:ascii="Palatino Linotype" w:eastAsia="Palatino Linotype" w:hAnsi="Palatino Linotype" w:cs="Palatino Linotype"/>
          <w:b/>
        </w:rPr>
        <w:t>Sujeto Obligado</w:t>
      </w:r>
      <w:r w:rsidRPr="003555AE">
        <w:rPr>
          <w:rFonts w:ascii="Palatino Linotype" w:eastAsia="Palatino Linotype" w:hAnsi="Palatino Linotype" w:cs="Palatino Linotype"/>
        </w:rPr>
        <w:t xml:space="preserve">, el </w:t>
      </w:r>
      <w:r w:rsidR="007F4DB8" w:rsidRPr="003555AE">
        <w:rPr>
          <w:rFonts w:ascii="Palatino Linotype" w:eastAsia="Palatino Linotype" w:hAnsi="Palatino Linotype" w:cs="Palatino Linotype"/>
          <w:b/>
        </w:rPr>
        <w:t xml:space="preserve">veintidós </w:t>
      </w:r>
      <w:r w:rsidR="00E33A32" w:rsidRPr="003555AE">
        <w:rPr>
          <w:rFonts w:ascii="Palatino Linotype" w:eastAsia="Palatino Linotype" w:hAnsi="Palatino Linotype" w:cs="Palatino Linotype"/>
          <w:b/>
        </w:rPr>
        <w:t>de junio</w:t>
      </w:r>
      <w:r w:rsidRPr="003555AE">
        <w:rPr>
          <w:rFonts w:ascii="Palatino Linotype" w:eastAsia="Palatino Linotype" w:hAnsi="Palatino Linotype" w:cs="Palatino Linotype"/>
          <w:b/>
        </w:rPr>
        <w:t xml:space="preserve"> de dos mil veinticinco,</w:t>
      </w:r>
      <w:r w:rsidRPr="003555AE">
        <w:rPr>
          <w:rFonts w:ascii="Palatino Linotype" w:eastAsia="Palatino Linotype" w:hAnsi="Palatino Linotype" w:cs="Palatino Linotype"/>
        </w:rPr>
        <w:t xml:space="preserve"> la parte </w:t>
      </w:r>
      <w:r w:rsidRPr="003555AE">
        <w:rPr>
          <w:rFonts w:ascii="Palatino Linotype" w:eastAsia="Palatino Linotype" w:hAnsi="Palatino Linotype" w:cs="Palatino Linotype"/>
          <w:b/>
        </w:rPr>
        <w:t>Recurrente</w:t>
      </w:r>
      <w:r w:rsidRPr="003555AE">
        <w:rPr>
          <w:rFonts w:ascii="Palatino Linotype" w:eastAsia="Palatino Linotype" w:hAnsi="Palatino Linotype" w:cs="Palatino Linotype"/>
        </w:rPr>
        <w:t xml:space="preserve"> interpuso el recurso de revisión a través de </w:t>
      </w:r>
      <w:r w:rsidRPr="003555AE">
        <w:rPr>
          <w:rFonts w:ascii="Palatino Linotype" w:eastAsia="Palatino Linotype" w:hAnsi="Palatino Linotype" w:cs="Palatino Linotype"/>
          <w:b/>
        </w:rPr>
        <w:t>SAIMEX,</w:t>
      </w:r>
      <w:r w:rsidR="007F4DB8" w:rsidRPr="003555AE">
        <w:rPr>
          <w:rFonts w:ascii="Palatino Linotype" w:eastAsia="Palatino Linotype" w:hAnsi="Palatino Linotype" w:cs="Palatino Linotype"/>
          <w:b/>
        </w:rPr>
        <w:t xml:space="preserve"> </w:t>
      </w:r>
      <w:r w:rsidR="007F4DB8" w:rsidRPr="003555AE">
        <w:rPr>
          <w:rFonts w:ascii="Palatino Linotype" w:eastAsia="Palatino Linotype" w:hAnsi="Palatino Linotype" w:cs="Palatino Linotype"/>
        </w:rPr>
        <w:t xml:space="preserve">sin embargo, al corresponder a un día inhábil se tuvo por presentado el día </w:t>
      </w:r>
      <w:r w:rsidR="007F4DB8" w:rsidRPr="003555AE">
        <w:rPr>
          <w:rFonts w:ascii="Palatino Linotype" w:eastAsia="Palatino Linotype" w:hAnsi="Palatino Linotype" w:cs="Palatino Linotype"/>
          <w:b/>
        </w:rPr>
        <w:t>veintitrés de junio de dos mil veinticinco,</w:t>
      </w:r>
      <w:r w:rsidRPr="003555AE">
        <w:rPr>
          <w:rFonts w:ascii="Palatino Linotype" w:eastAsia="Palatino Linotype" w:hAnsi="Palatino Linotype" w:cs="Palatino Linotype"/>
          <w:b/>
        </w:rPr>
        <w:t xml:space="preserve"> </w:t>
      </w:r>
      <w:r w:rsidRPr="003555AE">
        <w:rPr>
          <w:rFonts w:ascii="Palatino Linotype" w:eastAsia="Palatino Linotype" w:hAnsi="Palatino Linotype" w:cs="Palatino Linotype"/>
        </w:rPr>
        <w:t>en donde se manifestó de la siguiente manera:</w:t>
      </w:r>
    </w:p>
    <w:p w14:paraId="750F00B5" w14:textId="77777777" w:rsidR="00C53D21" w:rsidRPr="003555AE" w:rsidRDefault="000A4FA3">
      <w:pPr>
        <w:spacing w:before="240" w:after="240" w:line="360" w:lineRule="auto"/>
        <w:ind w:right="49"/>
        <w:jc w:val="both"/>
        <w:rPr>
          <w:rFonts w:ascii="Palatino Linotype" w:eastAsia="Palatino Linotype" w:hAnsi="Palatino Linotype" w:cs="Palatino Linotype"/>
          <w:b/>
        </w:rPr>
      </w:pPr>
      <w:r w:rsidRPr="003555AE">
        <w:rPr>
          <w:rFonts w:ascii="Palatino Linotype" w:eastAsia="Palatino Linotype" w:hAnsi="Palatino Linotype" w:cs="Palatino Linotype"/>
          <w:b/>
        </w:rPr>
        <w:t xml:space="preserve">Acto impugnado: </w:t>
      </w:r>
    </w:p>
    <w:p w14:paraId="5B9B086D" w14:textId="0130D3DB" w:rsidR="00C53D21" w:rsidRPr="003555AE" w:rsidRDefault="000A4FA3">
      <w:pPr>
        <w:tabs>
          <w:tab w:val="left" w:pos="2745"/>
        </w:tabs>
        <w:spacing w:before="240" w:after="240"/>
        <w:ind w:left="851" w:right="900"/>
        <w:jc w:val="both"/>
        <w:rPr>
          <w:rFonts w:ascii="Palatino Linotype" w:eastAsia="Palatino Linotype" w:hAnsi="Palatino Linotype" w:cs="Palatino Linotype"/>
          <w:i/>
          <w:sz w:val="22"/>
          <w:szCs w:val="22"/>
        </w:rPr>
      </w:pPr>
      <w:r w:rsidRPr="003555AE">
        <w:rPr>
          <w:rFonts w:ascii="Palatino Linotype" w:eastAsia="Palatino Linotype" w:hAnsi="Palatino Linotype" w:cs="Palatino Linotype"/>
          <w:i/>
          <w:sz w:val="22"/>
          <w:szCs w:val="22"/>
        </w:rPr>
        <w:t>“</w:t>
      </w:r>
      <w:r w:rsidR="00E33A32" w:rsidRPr="003555AE">
        <w:rPr>
          <w:rFonts w:ascii="Palatino Linotype" w:eastAsia="Palatino Linotype" w:hAnsi="Palatino Linotype" w:cs="Palatino Linotype"/>
          <w:i/>
          <w:sz w:val="22"/>
          <w:szCs w:val="22"/>
        </w:rPr>
        <w:t>No entregan información</w:t>
      </w:r>
      <w:r w:rsidRPr="003555AE">
        <w:rPr>
          <w:rFonts w:ascii="Palatino Linotype" w:eastAsia="Palatino Linotype" w:hAnsi="Palatino Linotype" w:cs="Palatino Linotype"/>
          <w:i/>
          <w:sz w:val="22"/>
          <w:szCs w:val="22"/>
        </w:rPr>
        <w:t>” (sic)</w:t>
      </w:r>
    </w:p>
    <w:p w14:paraId="659F345B" w14:textId="77777777" w:rsidR="00C53D21" w:rsidRPr="003555AE" w:rsidRDefault="000A4FA3">
      <w:pPr>
        <w:spacing w:line="360" w:lineRule="auto"/>
        <w:jc w:val="both"/>
        <w:rPr>
          <w:rFonts w:ascii="Palatino Linotype" w:eastAsia="Palatino Linotype" w:hAnsi="Palatino Linotype" w:cs="Palatino Linotype"/>
        </w:rPr>
      </w:pPr>
      <w:bookmarkStart w:id="4" w:name="_heading=h.30j0zll" w:colFirst="0" w:colLast="0"/>
      <w:bookmarkEnd w:id="4"/>
      <w:r w:rsidRPr="003555AE">
        <w:rPr>
          <w:rFonts w:ascii="Palatino Linotype" w:eastAsia="Palatino Linotype" w:hAnsi="Palatino Linotype" w:cs="Palatino Linotype"/>
          <w:b/>
        </w:rPr>
        <w:t>Y, Razones o motivos de inconformidad</w:t>
      </w:r>
      <w:r w:rsidRPr="003555AE">
        <w:rPr>
          <w:rFonts w:ascii="Palatino Linotype" w:eastAsia="Palatino Linotype" w:hAnsi="Palatino Linotype" w:cs="Palatino Linotype"/>
        </w:rPr>
        <w:t>:</w:t>
      </w:r>
    </w:p>
    <w:p w14:paraId="27A88371" w14:textId="770EBC09" w:rsidR="00C53D21" w:rsidRPr="003555AE" w:rsidRDefault="000A4FA3">
      <w:pPr>
        <w:tabs>
          <w:tab w:val="left" w:pos="2745"/>
        </w:tabs>
        <w:spacing w:before="240" w:after="240"/>
        <w:ind w:left="851" w:right="900"/>
        <w:jc w:val="both"/>
        <w:rPr>
          <w:rFonts w:ascii="Palatino Linotype" w:eastAsia="Palatino Linotype" w:hAnsi="Palatino Linotype" w:cs="Palatino Linotype"/>
          <w:i/>
          <w:sz w:val="22"/>
          <w:szCs w:val="22"/>
        </w:rPr>
      </w:pPr>
      <w:r w:rsidRPr="003555AE">
        <w:rPr>
          <w:rFonts w:ascii="Palatino Linotype" w:eastAsia="Palatino Linotype" w:hAnsi="Palatino Linotype" w:cs="Palatino Linotype"/>
          <w:i/>
          <w:sz w:val="22"/>
          <w:szCs w:val="22"/>
        </w:rPr>
        <w:lastRenderedPageBreak/>
        <w:t>“</w:t>
      </w:r>
      <w:r w:rsidR="00E33A32" w:rsidRPr="003555AE">
        <w:rPr>
          <w:rFonts w:ascii="Palatino Linotype" w:eastAsia="Palatino Linotype" w:hAnsi="Palatino Linotype" w:cs="Palatino Linotype"/>
          <w:i/>
          <w:sz w:val="22"/>
          <w:szCs w:val="22"/>
        </w:rPr>
        <w:t>Negativa</w:t>
      </w:r>
      <w:r w:rsidRPr="003555AE">
        <w:rPr>
          <w:rFonts w:ascii="Palatino Linotype" w:eastAsia="Palatino Linotype" w:hAnsi="Palatino Linotype" w:cs="Palatino Linotype"/>
          <w:i/>
          <w:sz w:val="22"/>
          <w:szCs w:val="22"/>
        </w:rPr>
        <w:t>” (sic)</w:t>
      </w:r>
    </w:p>
    <w:p w14:paraId="06C74D9C" w14:textId="77777777" w:rsidR="00C53D21" w:rsidRPr="003555AE" w:rsidRDefault="000A4FA3">
      <w:pPr>
        <w:spacing w:line="360" w:lineRule="auto"/>
        <w:jc w:val="both"/>
        <w:rPr>
          <w:rFonts w:ascii="Palatino Linotype" w:eastAsia="Palatino Linotype" w:hAnsi="Palatino Linotype" w:cs="Palatino Linotype"/>
        </w:rPr>
      </w:pPr>
      <w:r w:rsidRPr="003555AE">
        <w:rPr>
          <w:rFonts w:ascii="Palatino Linotype" w:eastAsia="Palatino Linotype" w:hAnsi="Palatino Linotype" w:cs="Palatino Linotype"/>
          <w:b/>
        </w:rPr>
        <w:t xml:space="preserve">4. Turno. </w:t>
      </w:r>
      <w:r w:rsidRPr="003555AE">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3555AE">
        <w:rPr>
          <w:rFonts w:ascii="Palatino Linotype" w:eastAsia="Palatino Linotype" w:hAnsi="Palatino Linotype" w:cs="Palatino Linotype"/>
          <w:b/>
        </w:rPr>
        <w:t xml:space="preserve">Guadalupe Ramírez Peña, </w:t>
      </w:r>
      <w:r w:rsidRPr="003555AE">
        <w:rPr>
          <w:rFonts w:ascii="Palatino Linotype" w:eastAsia="Palatino Linotype" w:hAnsi="Palatino Linotype" w:cs="Palatino Linotype"/>
        </w:rPr>
        <w:t xml:space="preserve">a efecto de que analizara sobre su admisión o su </w:t>
      </w:r>
      <w:proofErr w:type="spellStart"/>
      <w:r w:rsidRPr="003555AE">
        <w:rPr>
          <w:rFonts w:ascii="Palatino Linotype" w:eastAsia="Palatino Linotype" w:hAnsi="Palatino Linotype" w:cs="Palatino Linotype"/>
        </w:rPr>
        <w:t>desechamiento</w:t>
      </w:r>
      <w:proofErr w:type="spellEnd"/>
      <w:r w:rsidRPr="003555AE">
        <w:rPr>
          <w:rFonts w:ascii="Palatino Linotype" w:eastAsia="Palatino Linotype" w:hAnsi="Palatino Linotype" w:cs="Palatino Linotype"/>
        </w:rPr>
        <w:t>.</w:t>
      </w:r>
    </w:p>
    <w:p w14:paraId="26F91F0F" w14:textId="6DA675D8" w:rsidR="00C53D21" w:rsidRPr="003555AE" w:rsidRDefault="000A4FA3">
      <w:pPr>
        <w:spacing w:before="240" w:after="240" w:line="360" w:lineRule="auto"/>
        <w:jc w:val="both"/>
        <w:rPr>
          <w:rFonts w:ascii="Palatino Linotype" w:eastAsia="Palatino Linotype" w:hAnsi="Palatino Linotype" w:cs="Palatino Linotype"/>
          <w:b/>
        </w:rPr>
      </w:pPr>
      <w:r w:rsidRPr="003555AE">
        <w:rPr>
          <w:rFonts w:ascii="Palatino Linotype" w:eastAsia="Palatino Linotype" w:hAnsi="Palatino Linotype" w:cs="Palatino Linotype"/>
          <w:b/>
        </w:rPr>
        <w:t>5. Admisión del Recurso de revisión.</w:t>
      </w:r>
      <w:r w:rsidRPr="003555AE">
        <w:rPr>
          <w:rFonts w:ascii="Palatino Linotype" w:eastAsia="Palatino Linotype" w:hAnsi="Palatino Linotype" w:cs="Palatino Linotype"/>
        </w:rPr>
        <w:t xml:space="preserve"> El</w:t>
      </w:r>
      <w:r w:rsidRPr="003555AE">
        <w:rPr>
          <w:rFonts w:ascii="Palatino Linotype" w:eastAsia="Palatino Linotype" w:hAnsi="Palatino Linotype" w:cs="Palatino Linotype"/>
          <w:b/>
        </w:rPr>
        <w:t xml:space="preserve"> </w:t>
      </w:r>
      <w:r w:rsidR="00E33A32" w:rsidRPr="003555AE">
        <w:rPr>
          <w:rFonts w:ascii="Palatino Linotype" w:eastAsia="Palatino Linotype" w:hAnsi="Palatino Linotype" w:cs="Palatino Linotype"/>
          <w:b/>
        </w:rPr>
        <w:t xml:space="preserve">veintiséis de junio </w:t>
      </w:r>
      <w:r w:rsidRPr="003555AE">
        <w:rPr>
          <w:rFonts w:ascii="Palatino Linotype" w:eastAsia="Palatino Linotype" w:hAnsi="Palatino Linotype" w:cs="Palatino Linotype"/>
          <w:b/>
        </w:rPr>
        <w:t xml:space="preserve">de dos mil veinticinco, </w:t>
      </w:r>
      <w:r w:rsidRPr="003555AE">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3555AE">
        <w:rPr>
          <w:rFonts w:ascii="Palatino Linotype" w:eastAsia="Palatino Linotype" w:hAnsi="Palatino Linotype" w:cs="Palatino Linotype"/>
          <w:b/>
        </w:rPr>
        <w:t xml:space="preserve">Sujeto Obligado </w:t>
      </w:r>
      <w:r w:rsidRPr="003555AE">
        <w:rPr>
          <w:rFonts w:ascii="Palatino Linotype" w:eastAsia="Palatino Linotype" w:hAnsi="Palatino Linotype" w:cs="Palatino Linotype"/>
        </w:rPr>
        <w:t>presentara su informe justificado.</w:t>
      </w:r>
    </w:p>
    <w:p w14:paraId="1CA47D29" w14:textId="65FD2FBA" w:rsidR="00E33A32" w:rsidRPr="003555AE" w:rsidRDefault="000A4FA3" w:rsidP="00E33A32">
      <w:pPr>
        <w:spacing w:before="240" w:after="240" w:line="360" w:lineRule="auto"/>
        <w:jc w:val="both"/>
        <w:rPr>
          <w:rFonts w:ascii="Palatino Linotype" w:eastAsia="Palatino Linotype" w:hAnsi="Palatino Linotype" w:cs="Palatino Linotype"/>
        </w:rPr>
      </w:pPr>
      <w:bookmarkStart w:id="5" w:name="_heading=h.2s8eyo1" w:colFirst="0" w:colLast="0"/>
      <w:bookmarkEnd w:id="5"/>
      <w:r w:rsidRPr="003555AE">
        <w:rPr>
          <w:rFonts w:ascii="Palatino Linotype" w:eastAsia="Palatino Linotype" w:hAnsi="Palatino Linotype" w:cs="Palatino Linotype"/>
          <w:b/>
        </w:rPr>
        <w:t>6. Manifestaciones</w:t>
      </w:r>
      <w:r w:rsidRPr="003555AE">
        <w:rPr>
          <w:rFonts w:ascii="Palatino Linotype" w:eastAsia="Palatino Linotype" w:hAnsi="Palatino Linotype" w:cs="Palatino Linotype"/>
        </w:rPr>
        <w:t xml:space="preserve">. </w:t>
      </w:r>
      <w:r w:rsidR="00E33A32" w:rsidRPr="003555AE">
        <w:rPr>
          <w:rFonts w:ascii="Palatino Linotype" w:eastAsia="Palatino Linotype" w:hAnsi="Palatino Linotype" w:cs="Palatino Linotype"/>
        </w:rPr>
        <w:t xml:space="preserve">El </w:t>
      </w:r>
      <w:r w:rsidR="00E33A32" w:rsidRPr="003555AE">
        <w:rPr>
          <w:rFonts w:ascii="Palatino Linotype" w:eastAsia="Palatino Linotype" w:hAnsi="Palatino Linotype" w:cs="Palatino Linotype"/>
          <w:b/>
        </w:rPr>
        <w:t xml:space="preserve">cuatro de julio de dos mil veinticinco, </w:t>
      </w:r>
      <w:r w:rsidR="00E33A32" w:rsidRPr="003555AE">
        <w:rPr>
          <w:rFonts w:ascii="Palatino Linotype" w:eastAsia="Palatino Linotype" w:hAnsi="Palatino Linotype" w:cs="Palatino Linotype"/>
        </w:rPr>
        <w:t xml:space="preserve">el </w:t>
      </w:r>
      <w:r w:rsidR="00E33A32" w:rsidRPr="003555AE">
        <w:rPr>
          <w:rFonts w:ascii="Palatino Linotype" w:eastAsia="Palatino Linotype" w:hAnsi="Palatino Linotype" w:cs="Palatino Linotype"/>
          <w:b/>
        </w:rPr>
        <w:t>Sujeto Obligado</w:t>
      </w:r>
      <w:r w:rsidR="00E33A32" w:rsidRPr="003555AE">
        <w:rPr>
          <w:rFonts w:ascii="Palatino Linotype" w:eastAsia="Palatino Linotype" w:hAnsi="Palatino Linotype" w:cs="Palatino Linotype"/>
        </w:rPr>
        <w:t xml:space="preserve"> remitió, a través del SAIMEX, lo siguiente:</w:t>
      </w:r>
    </w:p>
    <w:p w14:paraId="3D1CDACC" w14:textId="732920E5" w:rsidR="00E33A32" w:rsidRPr="003555AE" w:rsidRDefault="00E33A32" w:rsidP="00E33A32">
      <w:pPr>
        <w:spacing w:before="240" w:after="240" w:line="360" w:lineRule="auto"/>
        <w:jc w:val="both"/>
        <w:rPr>
          <w:rFonts w:ascii="Palatino Linotype" w:eastAsia="Palatino Linotype" w:hAnsi="Palatino Linotype" w:cs="Palatino Linotype"/>
        </w:rPr>
      </w:pPr>
      <w:r w:rsidRPr="003555AE">
        <w:rPr>
          <w:rFonts w:ascii="Palatino Linotype" w:eastAsia="Palatino Linotype" w:hAnsi="Palatino Linotype" w:cs="Palatino Linotype"/>
        </w:rPr>
        <w:t xml:space="preserve">- </w:t>
      </w:r>
      <w:r w:rsidR="00CF69EE" w:rsidRPr="003555AE">
        <w:rPr>
          <w:rFonts w:ascii="Palatino Linotype" w:eastAsia="Palatino Linotype" w:hAnsi="Palatino Linotype" w:cs="Palatino Linotype"/>
        </w:rPr>
        <w:t xml:space="preserve">Oficio número </w:t>
      </w:r>
      <w:r w:rsidR="00CF69EE" w:rsidRPr="003555AE">
        <w:rPr>
          <w:rFonts w:ascii="Palatino Linotype" w:hAnsi="Palatino Linotype"/>
        </w:rPr>
        <w:t>PM/UT/RR/0313/2025, mediante el cual, el titular de la Unidad de Transparencia</w:t>
      </w:r>
      <w:r w:rsidR="002539DE" w:rsidRPr="003555AE">
        <w:rPr>
          <w:rFonts w:ascii="Palatino Linotype" w:hAnsi="Palatino Linotype"/>
        </w:rPr>
        <w:t xml:space="preserve">, con relación a los motivos de inconformidad alegados por la parte </w:t>
      </w:r>
      <w:r w:rsidR="002539DE" w:rsidRPr="003555AE">
        <w:rPr>
          <w:rFonts w:ascii="Palatino Linotype" w:hAnsi="Palatino Linotype"/>
          <w:b/>
        </w:rPr>
        <w:t>Recurrente</w:t>
      </w:r>
      <w:r w:rsidR="00A55A0F" w:rsidRPr="003555AE">
        <w:rPr>
          <w:rFonts w:ascii="Palatino Linotype" w:hAnsi="Palatino Linotype"/>
          <w:b/>
        </w:rPr>
        <w:t xml:space="preserve">, </w:t>
      </w:r>
      <w:r w:rsidR="00A55A0F" w:rsidRPr="003555AE">
        <w:rPr>
          <w:rFonts w:ascii="Palatino Linotype" w:hAnsi="Palatino Linotype"/>
        </w:rPr>
        <w:t>refirió que la persona servidora pública habilitada del área administrativa modificó su respuesta</w:t>
      </w:r>
      <w:r w:rsidR="00D50363" w:rsidRPr="003555AE">
        <w:rPr>
          <w:rFonts w:ascii="Palatino Linotype" w:hAnsi="Palatino Linotype"/>
        </w:rPr>
        <w:t>, adjuntando en formato PDF, el  Estado Analítico del Ejercicio del Presupuesto de Egresos Clasificación Administrativa cor</w:t>
      </w:r>
      <w:r w:rsidR="00C3525A" w:rsidRPr="003555AE">
        <w:rPr>
          <w:rFonts w:ascii="Palatino Linotype" w:hAnsi="Palatino Linotype"/>
        </w:rPr>
        <w:t>00</w:t>
      </w:r>
      <w:r w:rsidR="00D50363" w:rsidRPr="003555AE">
        <w:rPr>
          <w:rFonts w:ascii="Palatino Linotype" w:hAnsi="Palatino Linotype"/>
        </w:rPr>
        <w:t xml:space="preserve">respondiente al Primer Trimestre del Ejercicio Fiscal 2025, documento soporte </w:t>
      </w:r>
      <w:r w:rsidR="00D50363" w:rsidRPr="003555AE">
        <w:rPr>
          <w:rFonts w:ascii="Palatino Linotype" w:hAnsi="Palatino Linotype"/>
        </w:rPr>
        <w:lastRenderedPageBreak/>
        <w:t>el cual en la columna "APROBADO" consta el Presupuesto de Egresos aprobado por área para el Ejercicio Fiscal 2025.</w:t>
      </w:r>
    </w:p>
    <w:p w14:paraId="7461631E" w14:textId="264BB22B" w:rsidR="00646372" w:rsidRPr="003555AE" w:rsidRDefault="00D50363" w:rsidP="00646372">
      <w:pPr>
        <w:spacing w:before="240" w:after="240" w:line="360" w:lineRule="auto"/>
        <w:jc w:val="both"/>
        <w:rPr>
          <w:rFonts w:ascii="Palatino Linotype" w:hAnsi="Palatino Linotype"/>
        </w:rPr>
      </w:pPr>
      <w:r w:rsidRPr="003555AE">
        <w:rPr>
          <w:rFonts w:ascii="Palatino Linotype" w:eastAsia="Palatino Linotype" w:hAnsi="Palatino Linotype" w:cs="Palatino Linotype"/>
        </w:rPr>
        <w:t xml:space="preserve">- Oficio número </w:t>
      </w:r>
      <w:r w:rsidRPr="003555AE">
        <w:rPr>
          <w:rFonts w:ascii="Palatino Linotype" w:hAnsi="Palatino Linotype"/>
        </w:rPr>
        <w:t xml:space="preserve">PM/UT/RR/0282/2025, mediante el cual </w:t>
      </w:r>
      <w:r w:rsidR="00646372" w:rsidRPr="003555AE">
        <w:rPr>
          <w:rFonts w:ascii="Palatino Linotype" w:hAnsi="Palatino Linotype"/>
        </w:rPr>
        <w:t>la</w:t>
      </w:r>
      <w:r w:rsidRPr="003555AE">
        <w:rPr>
          <w:rFonts w:ascii="Palatino Linotype" w:hAnsi="Palatino Linotype"/>
        </w:rPr>
        <w:t xml:space="preserve"> titular de la Unidad de Transparencia </w:t>
      </w:r>
      <w:r w:rsidR="00646372" w:rsidRPr="003555AE">
        <w:rPr>
          <w:rFonts w:ascii="Palatino Linotype" w:hAnsi="Palatino Linotype"/>
        </w:rPr>
        <w:t>informó al Tesorero Municipal sobre la interposición del recurso de revisión, solicitando su apoyo efecto de manifestar lo que a su derecho conviniera, y estar en condiciones de rendir el informe justificado.</w:t>
      </w:r>
    </w:p>
    <w:p w14:paraId="5FBEB177" w14:textId="7B522788" w:rsidR="00961B21" w:rsidRPr="003555AE" w:rsidRDefault="00961B21" w:rsidP="00E33A32">
      <w:pPr>
        <w:spacing w:before="240" w:after="240" w:line="360" w:lineRule="auto"/>
        <w:jc w:val="both"/>
        <w:rPr>
          <w:rFonts w:ascii="Palatino Linotype" w:hAnsi="Palatino Linotype"/>
        </w:rPr>
      </w:pPr>
      <w:r w:rsidRPr="003555AE">
        <w:rPr>
          <w:rFonts w:ascii="Palatino Linotype" w:hAnsi="Palatino Linotype"/>
        </w:rPr>
        <w:t>- Oficio número TMA/STE/847/07/2025, mediante el cual el Tesorero Municipal</w:t>
      </w:r>
      <w:r w:rsidR="00CE147E" w:rsidRPr="003555AE">
        <w:rPr>
          <w:rFonts w:ascii="Palatino Linotype" w:hAnsi="Palatino Linotype"/>
        </w:rPr>
        <w:t xml:space="preserve"> modificó su respuesta de inicio, adjuntando en formato PDF, el Estado Analítico del Ejercicio del Presupuesto de Egresos Clasificación Administrativa correspondiente al Primer Trimestre del Ejercicio Fiscal 2025, documento soporte el cual en la columna “APROBADO" consta el Presupuesto de Egresos aprobado por área para el Ejercicio Fiscal 2025.</w:t>
      </w:r>
    </w:p>
    <w:p w14:paraId="6A08F4F6" w14:textId="77777777" w:rsidR="00CE147E" w:rsidRPr="003555AE" w:rsidRDefault="00CE147E" w:rsidP="00E33A32">
      <w:pPr>
        <w:spacing w:before="240" w:after="240" w:line="360" w:lineRule="auto"/>
        <w:jc w:val="both"/>
        <w:rPr>
          <w:rFonts w:ascii="Palatino Linotype" w:hAnsi="Palatino Linotype"/>
        </w:rPr>
      </w:pPr>
      <w:r w:rsidRPr="003555AE">
        <w:rPr>
          <w:rFonts w:ascii="Palatino Linotype" w:hAnsi="Palatino Linotype"/>
        </w:rPr>
        <w:t>- Estado Analítico del Ejercicio del Presupuesto de Egresos Clasificación Administrativa correspondiente al Primer Trimestre del Ejercicio Fiscal 2025, en formato PDF.</w:t>
      </w:r>
    </w:p>
    <w:p w14:paraId="1DDB65EA" w14:textId="17F5C39B" w:rsidR="00C53D21" w:rsidRPr="003555AE" w:rsidRDefault="003348C0">
      <w:pPr>
        <w:spacing w:before="240" w:after="240" w:line="360" w:lineRule="auto"/>
        <w:jc w:val="both"/>
        <w:rPr>
          <w:rFonts w:ascii="Palatino Linotype" w:eastAsia="Palatino Linotype" w:hAnsi="Palatino Linotype" w:cs="Palatino Linotype"/>
          <w:b/>
        </w:rPr>
      </w:pPr>
      <w:r w:rsidRPr="003555AE">
        <w:rPr>
          <w:rFonts w:ascii="Palatino Linotype" w:eastAsia="Palatino Linotype" w:hAnsi="Palatino Linotype" w:cs="Palatino Linotype"/>
        </w:rPr>
        <w:t>7</w:t>
      </w:r>
      <w:r w:rsidR="000A4FA3" w:rsidRPr="003555AE">
        <w:rPr>
          <w:rFonts w:ascii="Palatino Linotype" w:eastAsia="Palatino Linotype" w:hAnsi="Palatino Linotype" w:cs="Palatino Linotype"/>
        </w:rPr>
        <w:t xml:space="preserve">. </w:t>
      </w:r>
      <w:r w:rsidR="000A4FA3" w:rsidRPr="003555AE">
        <w:rPr>
          <w:rFonts w:ascii="Palatino Linotype" w:eastAsia="Palatino Linotype" w:hAnsi="Palatino Linotype" w:cs="Palatino Linotype"/>
          <w:b/>
        </w:rPr>
        <w:t>Ampliación del término para resolver</w:t>
      </w:r>
      <w:r w:rsidR="000A4FA3" w:rsidRPr="003555AE">
        <w:rPr>
          <w:rFonts w:ascii="Palatino Linotype" w:eastAsia="Palatino Linotype" w:hAnsi="Palatino Linotype" w:cs="Palatino Linotype"/>
        </w:rPr>
        <w:t xml:space="preserve">. El </w:t>
      </w:r>
      <w:r w:rsidR="007F4DB8" w:rsidRPr="003555AE">
        <w:rPr>
          <w:rFonts w:ascii="Palatino Linotype" w:eastAsia="Palatino Linotype" w:hAnsi="Palatino Linotype" w:cs="Palatino Linotype"/>
          <w:b/>
        </w:rPr>
        <w:t>cuatro de septiembre</w:t>
      </w:r>
      <w:r w:rsidR="000A4FA3" w:rsidRPr="003555AE">
        <w:rPr>
          <w:rFonts w:ascii="Palatino Linotype" w:eastAsia="Palatino Linotype" w:hAnsi="Palatino Linotype" w:cs="Palatino Linotype"/>
          <w:b/>
        </w:rPr>
        <w:t xml:space="preserve"> de dos mil veinticinco</w:t>
      </w:r>
      <w:r w:rsidR="000A4FA3" w:rsidRPr="003555AE">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04E17FD4" w14:textId="77777777" w:rsidR="00C53D21" w:rsidRPr="003555AE" w:rsidRDefault="000A4FA3">
      <w:pPr>
        <w:spacing w:before="240" w:after="240" w:line="360" w:lineRule="auto"/>
        <w:jc w:val="both"/>
        <w:rPr>
          <w:rFonts w:ascii="Palatino Linotype" w:eastAsia="Palatino Linotype" w:hAnsi="Palatino Linotype" w:cs="Palatino Linotype"/>
        </w:rPr>
      </w:pPr>
      <w:r w:rsidRPr="003555AE">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circunstancia atípica que ha rebasado las capacidades </w:t>
      </w:r>
      <w:r w:rsidRPr="003555AE">
        <w:rPr>
          <w:rFonts w:ascii="Palatino Linotype" w:eastAsia="Palatino Linotype" w:hAnsi="Palatino Linotype" w:cs="Palatino Linotype"/>
        </w:rPr>
        <w:lastRenderedPageBreak/>
        <w:t>técnicas y humanas del personal encargado de la proyección de las resoluciones a dichos medios de impugnación.</w:t>
      </w:r>
    </w:p>
    <w:p w14:paraId="59F195DF" w14:textId="77777777" w:rsidR="00C53D21" w:rsidRPr="003555AE" w:rsidRDefault="000A4FA3">
      <w:pPr>
        <w:spacing w:before="240" w:after="240" w:line="360" w:lineRule="auto"/>
        <w:jc w:val="both"/>
        <w:rPr>
          <w:rFonts w:ascii="Palatino Linotype" w:eastAsia="Palatino Linotype" w:hAnsi="Palatino Linotype" w:cs="Palatino Linotype"/>
        </w:rPr>
      </w:pPr>
      <w:r w:rsidRPr="003555AE">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40F6C26" w14:textId="77777777" w:rsidR="00C53D21" w:rsidRPr="003555AE" w:rsidRDefault="000A4FA3">
      <w:pPr>
        <w:spacing w:before="240" w:after="240" w:line="360" w:lineRule="auto"/>
        <w:jc w:val="both"/>
        <w:rPr>
          <w:rFonts w:ascii="Palatino Linotype" w:eastAsia="Palatino Linotype" w:hAnsi="Palatino Linotype" w:cs="Palatino Linotype"/>
        </w:rPr>
      </w:pPr>
      <w:r w:rsidRPr="003555AE">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EB4A300" w14:textId="77777777" w:rsidR="00C53D21" w:rsidRPr="003555AE" w:rsidRDefault="000A4FA3">
      <w:pPr>
        <w:spacing w:before="240" w:after="240" w:line="360" w:lineRule="auto"/>
        <w:jc w:val="both"/>
        <w:rPr>
          <w:rFonts w:ascii="Palatino Linotype" w:eastAsia="Palatino Linotype" w:hAnsi="Palatino Linotype" w:cs="Palatino Linotype"/>
        </w:rPr>
      </w:pPr>
      <w:r w:rsidRPr="003555AE">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2DE35DA" w14:textId="77777777" w:rsidR="00C53D21" w:rsidRPr="003555AE" w:rsidRDefault="000A4FA3">
      <w:pPr>
        <w:spacing w:before="240" w:after="240" w:line="360" w:lineRule="auto"/>
        <w:jc w:val="both"/>
        <w:rPr>
          <w:rFonts w:ascii="Palatino Linotype" w:eastAsia="Palatino Linotype" w:hAnsi="Palatino Linotype" w:cs="Palatino Linotype"/>
          <w:strike/>
        </w:rPr>
      </w:pPr>
      <w:r w:rsidRPr="003555AE">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1C4D9F7" w14:textId="77777777" w:rsidR="00C53D21" w:rsidRPr="003555AE" w:rsidRDefault="000A4FA3">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3555AE">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07EAB69F" w14:textId="77777777" w:rsidR="00C53D21" w:rsidRPr="003555AE" w:rsidRDefault="000A4FA3">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3555AE">
        <w:rPr>
          <w:rFonts w:ascii="Palatino Linotype" w:eastAsia="Palatino Linotype" w:hAnsi="Palatino Linotype" w:cs="Palatino Linotype"/>
        </w:rPr>
        <w:t>Actividad Procesal del interesado. Acciones u omisiones del interesado.</w:t>
      </w:r>
    </w:p>
    <w:p w14:paraId="526C95BA" w14:textId="77777777" w:rsidR="00C53D21" w:rsidRPr="003555AE" w:rsidRDefault="000A4FA3">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3555AE">
        <w:rPr>
          <w:rFonts w:ascii="Palatino Linotype" w:eastAsia="Palatino Linotype" w:hAnsi="Palatino Linotype" w:cs="Palatino Linotype"/>
        </w:rPr>
        <w:lastRenderedPageBreak/>
        <w:t>Conducta de la Autoridad: Las Acciones u omisiones realizadas en el procedimiento. Así como si la autoridad actuó con la debida diligencia.</w:t>
      </w:r>
    </w:p>
    <w:p w14:paraId="2AB8E19B" w14:textId="77777777" w:rsidR="00C53D21" w:rsidRPr="003555AE" w:rsidRDefault="000A4FA3">
      <w:pPr>
        <w:tabs>
          <w:tab w:val="left" w:pos="567"/>
        </w:tabs>
        <w:spacing w:before="240" w:after="240" w:line="360" w:lineRule="auto"/>
        <w:ind w:left="284"/>
        <w:jc w:val="both"/>
        <w:rPr>
          <w:rFonts w:ascii="Palatino Linotype" w:eastAsia="Palatino Linotype" w:hAnsi="Palatino Linotype" w:cs="Palatino Linotype"/>
        </w:rPr>
      </w:pPr>
      <w:r w:rsidRPr="003555AE">
        <w:rPr>
          <w:rFonts w:ascii="Palatino Linotype" w:eastAsia="Palatino Linotype" w:hAnsi="Palatino Linotype" w:cs="Palatino Linotype"/>
        </w:rPr>
        <w:t>d) La afectación generada en la situación jurídica de la persona involucrada en el proceso: Violación a sus derechos humanos.</w:t>
      </w:r>
    </w:p>
    <w:p w14:paraId="11B3B367" w14:textId="77777777" w:rsidR="00C53D21" w:rsidRPr="003555AE" w:rsidRDefault="000A4FA3">
      <w:pPr>
        <w:spacing w:before="240" w:after="240" w:line="360" w:lineRule="auto"/>
        <w:jc w:val="both"/>
        <w:rPr>
          <w:rFonts w:ascii="Palatino Linotype" w:eastAsia="Palatino Linotype" w:hAnsi="Palatino Linotype" w:cs="Palatino Linotype"/>
        </w:rPr>
      </w:pPr>
      <w:r w:rsidRPr="003555AE">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F643D2" w14:textId="77777777" w:rsidR="00C53D21" w:rsidRPr="003555AE" w:rsidRDefault="000A4FA3">
      <w:pPr>
        <w:spacing w:before="240" w:after="240" w:line="360" w:lineRule="auto"/>
        <w:jc w:val="both"/>
        <w:rPr>
          <w:rFonts w:ascii="Palatino Linotype" w:eastAsia="Palatino Linotype" w:hAnsi="Palatino Linotype" w:cs="Palatino Linotype"/>
          <w:b/>
        </w:rPr>
      </w:pPr>
      <w:r w:rsidRPr="003555AE">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3555AE">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3555AE">
        <w:rPr>
          <w:rFonts w:ascii="Palatino Linotype" w:eastAsia="Palatino Linotype" w:hAnsi="Palatino Linotype" w:cs="Palatino Linotype"/>
        </w:rPr>
        <w:t>, visible en la Gaceta del Seminario Judicial de la Federación con el registro digital 205635.</w:t>
      </w:r>
    </w:p>
    <w:p w14:paraId="43949B1E" w14:textId="77777777" w:rsidR="00C53D21" w:rsidRPr="003555AE" w:rsidRDefault="000A4FA3">
      <w:pPr>
        <w:spacing w:before="240" w:after="240" w:line="360" w:lineRule="auto"/>
        <w:jc w:val="both"/>
        <w:rPr>
          <w:rFonts w:ascii="Palatino Linotype" w:eastAsia="Palatino Linotype" w:hAnsi="Palatino Linotype" w:cs="Palatino Linotype"/>
        </w:rPr>
      </w:pPr>
      <w:r w:rsidRPr="003555AE">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3555AE">
        <w:rPr>
          <w:rFonts w:ascii="Palatino Linotype" w:eastAsia="Palatino Linotype" w:hAnsi="Palatino Linotype" w:cs="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370FA0D8" w14:textId="77777777" w:rsidR="00C53D21" w:rsidRPr="003555AE" w:rsidRDefault="000A4FA3">
      <w:pPr>
        <w:spacing w:before="240" w:after="240" w:line="360" w:lineRule="auto"/>
        <w:jc w:val="both"/>
        <w:rPr>
          <w:rFonts w:ascii="Palatino Linotype" w:eastAsia="Palatino Linotype" w:hAnsi="Palatino Linotype" w:cs="Palatino Linotype"/>
        </w:rPr>
      </w:pPr>
      <w:r w:rsidRPr="003555AE">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D9A5B3A" w14:textId="77777777" w:rsidR="00C53D21" w:rsidRPr="003555AE" w:rsidRDefault="000A4FA3">
      <w:pPr>
        <w:spacing w:before="120" w:after="120"/>
        <w:ind w:left="851" w:right="902"/>
        <w:jc w:val="both"/>
        <w:rPr>
          <w:rFonts w:ascii="Palatino Linotype" w:eastAsia="Palatino Linotype" w:hAnsi="Palatino Linotype" w:cs="Palatino Linotype"/>
          <w:sz w:val="22"/>
          <w:szCs w:val="22"/>
        </w:rPr>
      </w:pPr>
      <w:r w:rsidRPr="003555AE">
        <w:rPr>
          <w:rFonts w:ascii="Palatino Linotype" w:eastAsia="Palatino Linotype" w:hAnsi="Palatino Linotype" w:cs="Palatino Linotype"/>
          <w:sz w:val="22"/>
          <w:szCs w:val="22"/>
        </w:rPr>
        <w:t xml:space="preserve"> </w:t>
      </w:r>
      <w:r w:rsidRPr="003555AE">
        <w:rPr>
          <w:rFonts w:ascii="Palatino Linotype" w:eastAsia="Palatino Linotype" w:hAnsi="Palatino Linotype" w:cs="Palatino Linotype"/>
          <w:i/>
          <w:sz w:val="22"/>
          <w:szCs w:val="22"/>
        </w:rPr>
        <w:t>“</w:t>
      </w:r>
      <w:r w:rsidRPr="003555AE">
        <w:rPr>
          <w:rFonts w:ascii="Palatino Linotype" w:eastAsia="Palatino Linotype" w:hAnsi="Palatino Linotype" w:cs="Palatino Linotype"/>
          <w:b/>
          <w:i/>
          <w:sz w:val="22"/>
          <w:szCs w:val="22"/>
        </w:rPr>
        <w:t>PLAZO RAZONABLE PARA RESOLVER. DIMENSIÓN Y EFECTOS DE ESTE CONCEPTO CUANDO SE ADUCE EXCESIVA CARGA DE TRABAJO</w:t>
      </w:r>
      <w:r w:rsidRPr="003555AE">
        <w:rPr>
          <w:rFonts w:ascii="Palatino Linotype" w:eastAsia="Palatino Linotype" w:hAnsi="Palatino Linotype" w:cs="Palatino Linotype"/>
          <w:i/>
          <w:sz w:val="22"/>
          <w:szCs w:val="22"/>
        </w:rPr>
        <w:t>.”</w:t>
      </w:r>
      <w:r w:rsidRPr="003555AE">
        <w:rPr>
          <w:rFonts w:ascii="Palatino Linotype" w:eastAsia="Palatino Linotype" w:hAnsi="Palatino Linotype" w:cs="Palatino Linotype"/>
          <w:sz w:val="22"/>
          <w:szCs w:val="22"/>
        </w:rPr>
        <w:t xml:space="preserve"> consultable en el Seminario Judicial de la Federación y su gaceta, con el registro digital 2002351.</w:t>
      </w:r>
    </w:p>
    <w:p w14:paraId="55AABB54" w14:textId="77777777" w:rsidR="00C53D21" w:rsidRPr="003555AE" w:rsidRDefault="000A4FA3">
      <w:pPr>
        <w:spacing w:before="120" w:after="120"/>
        <w:ind w:left="851" w:right="902"/>
        <w:jc w:val="both"/>
        <w:rPr>
          <w:rFonts w:ascii="Palatino Linotype" w:eastAsia="Palatino Linotype" w:hAnsi="Palatino Linotype" w:cs="Palatino Linotype"/>
          <w:sz w:val="22"/>
          <w:szCs w:val="22"/>
        </w:rPr>
      </w:pPr>
      <w:r w:rsidRPr="003555AE">
        <w:rPr>
          <w:rFonts w:ascii="Palatino Linotype" w:eastAsia="Palatino Linotype" w:hAnsi="Palatino Linotype" w:cs="Palatino Linotype"/>
          <w:i/>
          <w:sz w:val="22"/>
          <w:szCs w:val="22"/>
        </w:rPr>
        <w:t>“</w:t>
      </w:r>
      <w:r w:rsidRPr="003555AE">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3555AE">
        <w:rPr>
          <w:rFonts w:ascii="Palatino Linotype" w:eastAsia="Palatino Linotype" w:hAnsi="Palatino Linotype" w:cs="Palatino Linotype"/>
          <w:i/>
          <w:sz w:val="22"/>
          <w:szCs w:val="22"/>
        </w:rPr>
        <w:t>.”</w:t>
      </w:r>
      <w:r w:rsidRPr="003555AE">
        <w:rPr>
          <w:rFonts w:ascii="Palatino Linotype" w:eastAsia="Palatino Linotype" w:hAnsi="Palatino Linotype" w:cs="Palatino Linotype"/>
          <w:sz w:val="22"/>
          <w:szCs w:val="22"/>
        </w:rPr>
        <w:t>, visible en el Seminario Judicial de la Federación y su gaceta, con el registro digital 2002350.</w:t>
      </w:r>
    </w:p>
    <w:p w14:paraId="11E157B7" w14:textId="4A5DD8DD" w:rsidR="00C53D21" w:rsidRPr="003555AE" w:rsidRDefault="000A4FA3">
      <w:pPr>
        <w:spacing w:before="240" w:after="240" w:line="360" w:lineRule="auto"/>
        <w:jc w:val="both"/>
        <w:rPr>
          <w:rFonts w:ascii="Palatino Linotype" w:eastAsia="Palatino Linotype" w:hAnsi="Palatino Linotype" w:cs="Palatino Linotype"/>
        </w:rPr>
      </w:pPr>
      <w:r w:rsidRPr="003555AE">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46A4E64" w14:textId="57104CAF" w:rsidR="003348C0" w:rsidRPr="003555AE" w:rsidRDefault="003348C0" w:rsidP="003348C0">
      <w:pPr>
        <w:spacing w:before="240" w:after="240" w:line="360" w:lineRule="auto"/>
        <w:jc w:val="both"/>
        <w:rPr>
          <w:rFonts w:ascii="Palatino Linotype" w:eastAsia="Palatino Linotype" w:hAnsi="Palatino Linotype" w:cs="Palatino Linotype"/>
        </w:rPr>
      </w:pPr>
      <w:r w:rsidRPr="003555AE">
        <w:rPr>
          <w:rFonts w:ascii="Palatino Linotype" w:eastAsia="Palatino Linotype" w:hAnsi="Palatino Linotype" w:cs="Palatino Linotype"/>
          <w:b/>
        </w:rPr>
        <w:t xml:space="preserve">8. Cierre de instrucción. </w:t>
      </w:r>
      <w:r w:rsidRPr="003555AE">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3555AE">
        <w:rPr>
          <w:rFonts w:ascii="Palatino Linotype" w:eastAsia="Palatino Linotype" w:hAnsi="Palatino Linotype" w:cs="Palatino Linotype"/>
          <w:b/>
        </w:rPr>
        <w:t>cuatro de septiembre de dos mil veinticinco</w:t>
      </w:r>
      <w:r w:rsidRPr="003555AE">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D558209" w14:textId="77777777" w:rsidR="003348C0" w:rsidRPr="003555AE" w:rsidRDefault="003348C0">
      <w:pPr>
        <w:spacing w:before="240" w:after="240" w:line="360" w:lineRule="auto"/>
        <w:jc w:val="both"/>
        <w:rPr>
          <w:rFonts w:ascii="Palatino Linotype" w:eastAsia="Palatino Linotype" w:hAnsi="Palatino Linotype" w:cs="Palatino Linotype"/>
        </w:rPr>
      </w:pPr>
    </w:p>
    <w:p w14:paraId="0CEEC4ED" w14:textId="77777777" w:rsidR="00C53D21" w:rsidRPr="003555AE" w:rsidRDefault="000A4FA3">
      <w:pPr>
        <w:spacing w:before="240" w:after="240" w:line="360" w:lineRule="auto"/>
        <w:jc w:val="both"/>
        <w:rPr>
          <w:rFonts w:ascii="Palatino Linotype" w:eastAsia="Palatino Linotype" w:hAnsi="Palatino Linotype" w:cs="Palatino Linotype"/>
        </w:rPr>
      </w:pPr>
      <w:r w:rsidRPr="003555AE">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3F05697A" w14:textId="77777777" w:rsidR="00C53D21" w:rsidRPr="003555AE" w:rsidRDefault="000A4FA3">
      <w:pPr>
        <w:widowControl w:val="0"/>
        <w:spacing w:before="240" w:after="240" w:line="360" w:lineRule="auto"/>
        <w:jc w:val="center"/>
        <w:rPr>
          <w:rFonts w:ascii="Palatino Linotype" w:eastAsia="Palatino Linotype" w:hAnsi="Palatino Linotype" w:cs="Palatino Linotype"/>
          <w:b/>
        </w:rPr>
      </w:pPr>
      <w:r w:rsidRPr="003555AE">
        <w:rPr>
          <w:rFonts w:ascii="Palatino Linotype" w:eastAsia="Palatino Linotype" w:hAnsi="Palatino Linotype" w:cs="Palatino Linotype"/>
          <w:b/>
        </w:rPr>
        <w:t>II. C O N S I D E R A N D O S</w:t>
      </w:r>
    </w:p>
    <w:p w14:paraId="4DAC3BB2" w14:textId="77777777" w:rsidR="00C53D21" w:rsidRPr="003555AE" w:rsidRDefault="000A4FA3">
      <w:pPr>
        <w:spacing w:before="240" w:after="240" w:line="360" w:lineRule="auto"/>
        <w:jc w:val="both"/>
        <w:rPr>
          <w:rFonts w:ascii="Palatino Linotype" w:eastAsia="Palatino Linotype" w:hAnsi="Palatino Linotype" w:cs="Palatino Linotype"/>
        </w:rPr>
      </w:pPr>
      <w:r w:rsidRPr="003555AE">
        <w:rPr>
          <w:rFonts w:ascii="Palatino Linotype" w:eastAsia="Palatino Linotype" w:hAnsi="Palatino Linotype" w:cs="Palatino Linotype"/>
          <w:b/>
        </w:rPr>
        <w:t>Primero. Competencia.</w:t>
      </w:r>
      <w:r w:rsidRPr="003555AE">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37AF55A" w14:textId="77777777" w:rsidR="00C53D21" w:rsidRPr="003555AE" w:rsidRDefault="000A4FA3">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3555AE">
        <w:rPr>
          <w:rFonts w:ascii="Palatino Linotype" w:eastAsia="Palatino Linotype" w:hAnsi="Palatino Linotype" w:cs="Palatino Linotype"/>
          <w:b/>
        </w:rPr>
        <w:t>Segundo. Oportunidad y Procedibilidad del Recurso de Revisión</w:t>
      </w:r>
      <w:r w:rsidRPr="003555AE">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F2367CA" w14:textId="0031FCD1" w:rsidR="00C53D21" w:rsidRPr="003555AE" w:rsidRDefault="000A4FA3">
      <w:pPr>
        <w:spacing w:before="240" w:after="240" w:line="360" w:lineRule="auto"/>
        <w:jc w:val="both"/>
        <w:rPr>
          <w:rFonts w:ascii="Palatino Linotype" w:eastAsia="Palatino Linotype" w:hAnsi="Palatino Linotype" w:cs="Palatino Linotype"/>
        </w:rPr>
      </w:pPr>
      <w:r w:rsidRPr="003555AE">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3555AE">
        <w:rPr>
          <w:rFonts w:ascii="Palatino Linotype" w:eastAsia="Palatino Linotype" w:hAnsi="Palatino Linotype" w:cs="Palatino Linotype"/>
          <w:b/>
        </w:rPr>
        <w:t xml:space="preserve">Sujeto Obligado </w:t>
      </w:r>
      <w:r w:rsidRPr="003555AE">
        <w:rPr>
          <w:rFonts w:ascii="Palatino Linotype" w:eastAsia="Palatino Linotype" w:hAnsi="Palatino Linotype" w:cs="Palatino Linotype"/>
        </w:rPr>
        <w:t xml:space="preserve">remitió </w:t>
      </w:r>
      <w:r w:rsidRPr="003555AE">
        <w:rPr>
          <w:rFonts w:ascii="Palatino Linotype" w:eastAsia="Palatino Linotype" w:hAnsi="Palatino Linotype" w:cs="Palatino Linotype"/>
        </w:rPr>
        <w:lastRenderedPageBreak/>
        <w:t xml:space="preserve">la respuesta a la solicitud de información el día </w:t>
      </w:r>
      <w:r w:rsidR="007F4DB8" w:rsidRPr="003555AE">
        <w:rPr>
          <w:rFonts w:ascii="Palatino Linotype" w:eastAsia="Palatino Linotype" w:hAnsi="Palatino Linotype" w:cs="Palatino Linotype"/>
          <w:b/>
        </w:rPr>
        <w:t>diecinueve de junio</w:t>
      </w:r>
      <w:r w:rsidR="006D005C" w:rsidRPr="003555AE">
        <w:rPr>
          <w:rFonts w:ascii="Palatino Linotype" w:eastAsia="Palatino Linotype" w:hAnsi="Palatino Linotype" w:cs="Palatino Linotype"/>
          <w:b/>
        </w:rPr>
        <w:t xml:space="preserve"> </w:t>
      </w:r>
      <w:r w:rsidRPr="003555AE">
        <w:rPr>
          <w:rFonts w:ascii="Palatino Linotype" w:eastAsia="Palatino Linotype" w:hAnsi="Palatino Linotype" w:cs="Palatino Linotype"/>
          <w:b/>
        </w:rPr>
        <w:t xml:space="preserve">de dos mil veinticinco, </w:t>
      </w:r>
      <w:r w:rsidRPr="003555AE">
        <w:rPr>
          <w:rFonts w:ascii="Palatino Linotype" w:eastAsia="Palatino Linotype" w:hAnsi="Palatino Linotype" w:cs="Palatino Linotype"/>
        </w:rPr>
        <w:t xml:space="preserve">mientras que el recurso de revisión interpuesto por la parte </w:t>
      </w:r>
      <w:r w:rsidRPr="003555AE">
        <w:rPr>
          <w:rFonts w:ascii="Palatino Linotype" w:eastAsia="Palatino Linotype" w:hAnsi="Palatino Linotype" w:cs="Palatino Linotype"/>
          <w:b/>
        </w:rPr>
        <w:t xml:space="preserve">Recurrente, </w:t>
      </w:r>
      <w:r w:rsidRPr="003555AE">
        <w:rPr>
          <w:rFonts w:ascii="Palatino Linotype" w:eastAsia="Palatino Linotype" w:hAnsi="Palatino Linotype" w:cs="Palatino Linotype"/>
        </w:rPr>
        <w:t>se tuvo por presentado el día</w:t>
      </w:r>
      <w:r w:rsidRPr="003555AE">
        <w:rPr>
          <w:rFonts w:ascii="Palatino Linotype" w:eastAsia="Palatino Linotype" w:hAnsi="Palatino Linotype" w:cs="Palatino Linotype"/>
          <w:b/>
        </w:rPr>
        <w:t xml:space="preserve"> </w:t>
      </w:r>
      <w:r w:rsidR="007F4DB8" w:rsidRPr="003555AE">
        <w:rPr>
          <w:rFonts w:ascii="Palatino Linotype" w:eastAsia="Palatino Linotype" w:hAnsi="Palatino Linotype" w:cs="Palatino Linotype"/>
          <w:b/>
        </w:rPr>
        <w:t xml:space="preserve">veintitrés de junio </w:t>
      </w:r>
      <w:r w:rsidRPr="003555AE">
        <w:rPr>
          <w:rFonts w:ascii="Palatino Linotype" w:eastAsia="Palatino Linotype" w:hAnsi="Palatino Linotype" w:cs="Palatino Linotype"/>
          <w:b/>
        </w:rPr>
        <w:t xml:space="preserve">de dos mil veinticinco, </w:t>
      </w:r>
      <w:r w:rsidRPr="003555AE">
        <w:rPr>
          <w:rFonts w:ascii="Palatino Linotype" w:eastAsia="Palatino Linotype" w:hAnsi="Palatino Linotype" w:cs="Palatino Linotype"/>
        </w:rPr>
        <w:t xml:space="preserve">esto es, al </w:t>
      </w:r>
      <w:r w:rsidR="007F4DB8" w:rsidRPr="003555AE">
        <w:rPr>
          <w:rFonts w:ascii="Palatino Linotype" w:eastAsia="Palatino Linotype" w:hAnsi="Palatino Linotype" w:cs="Palatino Linotype"/>
        </w:rPr>
        <w:t>segundo</w:t>
      </w:r>
      <w:r w:rsidRPr="003555AE">
        <w:rPr>
          <w:rFonts w:ascii="Palatino Linotype" w:eastAsia="Palatino Linotype" w:hAnsi="Palatino Linotype" w:cs="Palatino Linotype"/>
        </w:rPr>
        <w:t xml:space="preserve"> día hábil posterior a aquel en el que tuvo conocimiento de la respuesta impugnada. En este sentido, se concluye que el presente recurso de revisión se encuentra dentro de los márgenes temporales previstos en las disposiciones legales referidas.</w:t>
      </w:r>
    </w:p>
    <w:p w14:paraId="0C51B862" w14:textId="77777777" w:rsidR="00C53D21" w:rsidRPr="003555AE" w:rsidRDefault="000A4FA3">
      <w:pPr>
        <w:spacing w:line="360" w:lineRule="auto"/>
        <w:jc w:val="both"/>
        <w:rPr>
          <w:rFonts w:ascii="Palatino Linotype" w:eastAsia="Palatino Linotype" w:hAnsi="Palatino Linotype" w:cs="Palatino Linotype"/>
        </w:rPr>
      </w:pPr>
      <w:bookmarkStart w:id="7" w:name="_heading=h.3znysh7" w:colFirst="0" w:colLast="0"/>
      <w:bookmarkEnd w:id="7"/>
      <w:r w:rsidRPr="003555AE">
        <w:rPr>
          <w:rFonts w:ascii="Palatino Linotype" w:eastAsia="Palatino Linotype" w:hAnsi="Palatino Linotype" w:cs="Palatino Linotype"/>
        </w:rPr>
        <w:t>Además, por cuanto hace a la procedibilidad del recurso de revisión, es de suma importancia señalar que la parte</w:t>
      </w:r>
      <w:r w:rsidRPr="003555AE">
        <w:rPr>
          <w:rFonts w:ascii="Palatino Linotype" w:eastAsia="Palatino Linotype" w:hAnsi="Palatino Linotype" w:cs="Palatino Linotype"/>
          <w:b/>
        </w:rPr>
        <w:t xml:space="preserve"> Recurrente</w:t>
      </w:r>
      <w:r w:rsidRPr="003555AE">
        <w:rPr>
          <w:rFonts w:ascii="Palatino Linotype" w:eastAsia="Palatino Linotype" w:hAnsi="Palatino Linotype" w:cs="Palatino Linotype"/>
        </w:rPr>
        <w:t xml:space="preserve">, no señaló un </w:t>
      </w:r>
      <w:r w:rsidRPr="003555AE">
        <w:rPr>
          <w:rFonts w:ascii="Palatino Linotype" w:eastAsia="Palatino Linotype" w:hAnsi="Palatino Linotype" w:cs="Palatino Linotype"/>
          <w:b/>
        </w:rPr>
        <w:t>nombre</w:t>
      </w:r>
      <w:r w:rsidRPr="003555AE">
        <w:rPr>
          <w:rFonts w:ascii="Palatino Linotype" w:eastAsia="Palatino Linotype" w:hAnsi="Palatino Linotype" w:cs="Palatino Linotype"/>
        </w:rPr>
        <w:t xml:space="preserve">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61B2ECA" w14:textId="77777777" w:rsidR="00C53D21" w:rsidRPr="003555AE" w:rsidRDefault="000A4FA3">
      <w:pPr>
        <w:spacing w:before="120" w:after="120"/>
        <w:ind w:left="851" w:right="902"/>
        <w:jc w:val="both"/>
        <w:rPr>
          <w:rFonts w:ascii="Palatino Linotype" w:eastAsia="Palatino Linotype" w:hAnsi="Palatino Linotype" w:cs="Palatino Linotype"/>
          <w:i/>
          <w:sz w:val="22"/>
          <w:szCs w:val="22"/>
        </w:rPr>
      </w:pPr>
      <w:r w:rsidRPr="003555AE">
        <w:rPr>
          <w:rFonts w:ascii="Palatino Linotype" w:eastAsia="Palatino Linotype" w:hAnsi="Palatino Linotype" w:cs="Palatino Linotype"/>
          <w:i/>
          <w:sz w:val="22"/>
          <w:szCs w:val="22"/>
        </w:rPr>
        <w:t>"</w:t>
      </w:r>
      <w:r w:rsidRPr="003555AE">
        <w:rPr>
          <w:rFonts w:ascii="Palatino Linotype" w:eastAsia="Palatino Linotype" w:hAnsi="Palatino Linotype" w:cs="Palatino Linotype"/>
          <w:b/>
          <w:i/>
          <w:sz w:val="22"/>
          <w:szCs w:val="22"/>
        </w:rPr>
        <w:t>Las solicitudes anónimas</w:t>
      </w:r>
      <w:r w:rsidRPr="003555AE">
        <w:rPr>
          <w:rFonts w:ascii="Palatino Linotype" w:eastAsia="Palatino Linotype" w:hAnsi="Palatino Linotype" w:cs="Palatino Linotype"/>
          <w:i/>
          <w:sz w:val="22"/>
          <w:szCs w:val="22"/>
        </w:rPr>
        <w:t xml:space="preserve">, con nombre incompleto o </w:t>
      </w:r>
      <w:r w:rsidRPr="003555AE">
        <w:rPr>
          <w:rFonts w:ascii="Palatino Linotype" w:eastAsia="Palatino Linotype" w:hAnsi="Palatino Linotype" w:cs="Palatino Linotype"/>
          <w:b/>
          <w:i/>
          <w:sz w:val="22"/>
          <w:szCs w:val="22"/>
        </w:rPr>
        <w:t>seudónimo</w:t>
      </w:r>
      <w:r w:rsidRPr="003555AE">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4BDED526" w14:textId="77777777" w:rsidR="00C53D21" w:rsidRPr="003555AE" w:rsidRDefault="000A4FA3">
      <w:pPr>
        <w:spacing w:before="240" w:after="240" w:line="360" w:lineRule="auto"/>
        <w:jc w:val="both"/>
        <w:rPr>
          <w:rFonts w:ascii="Palatino Linotype" w:eastAsia="Palatino Linotype" w:hAnsi="Palatino Linotype" w:cs="Palatino Linotype"/>
          <w:b/>
        </w:rPr>
      </w:pPr>
      <w:r w:rsidRPr="003555AE">
        <w:rPr>
          <w:rFonts w:ascii="Palatino Linotype" w:eastAsia="Palatino Linotype" w:hAnsi="Palatino Linotype" w:cs="Palatino Linotype"/>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3555AE">
        <w:rPr>
          <w:rFonts w:ascii="Palatino Linotype" w:eastAsia="Palatino Linotype" w:hAnsi="Palatino Linotype" w:cs="Palatino Linotype"/>
          <w:b/>
        </w:rPr>
        <w:t xml:space="preserve"> SAIMEX.</w:t>
      </w:r>
    </w:p>
    <w:p w14:paraId="3EA3DD82" w14:textId="23238C97" w:rsidR="00C53D21" w:rsidRPr="003555AE" w:rsidRDefault="000A4FA3">
      <w:pPr>
        <w:spacing w:before="240" w:after="240" w:line="360" w:lineRule="auto"/>
        <w:jc w:val="both"/>
        <w:rPr>
          <w:rFonts w:ascii="Palatino Linotype" w:eastAsia="Palatino Linotype" w:hAnsi="Palatino Linotype" w:cs="Palatino Linotype"/>
        </w:rPr>
      </w:pPr>
      <w:r w:rsidRPr="003555AE">
        <w:rPr>
          <w:rFonts w:ascii="Palatino Linotype" w:eastAsia="Palatino Linotype" w:hAnsi="Palatino Linotype" w:cs="Palatino Linotype"/>
        </w:rPr>
        <w:lastRenderedPageBreak/>
        <w:t xml:space="preserve">Finalmente, se advierte que resulta procedente la interposición del recurso, según lo manifestado por la parte </w:t>
      </w:r>
      <w:r w:rsidRPr="003555AE">
        <w:rPr>
          <w:rFonts w:ascii="Palatino Linotype" w:eastAsia="Palatino Linotype" w:hAnsi="Palatino Linotype" w:cs="Palatino Linotype"/>
          <w:b/>
        </w:rPr>
        <w:t>Recurrente</w:t>
      </w:r>
      <w:r w:rsidRPr="003555AE">
        <w:rPr>
          <w:rFonts w:ascii="Palatino Linotype" w:eastAsia="Palatino Linotype" w:hAnsi="Palatino Linotype" w:cs="Palatino Linotype"/>
        </w:rPr>
        <w:t xml:space="preserve"> en sus motivos de inconformidad, de acu</w:t>
      </w:r>
      <w:r w:rsidR="007F4DB8" w:rsidRPr="003555AE">
        <w:rPr>
          <w:rFonts w:ascii="Palatino Linotype" w:eastAsia="Palatino Linotype" w:hAnsi="Palatino Linotype" w:cs="Palatino Linotype"/>
        </w:rPr>
        <w:t>erdo al artículo 179, fracción I</w:t>
      </w:r>
      <w:r w:rsidRPr="003555AE">
        <w:rPr>
          <w:rFonts w:ascii="Palatino Linotype" w:eastAsia="Palatino Linotype" w:hAnsi="Palatino Linotype" w:cs="Palatino Linotype"/>
        </w:rPr>
        <w:t xml:space="preserve"> del ordenamiento legal citado, que a la letra dice: </w:t>
      </w:r>
    </w:p>
    <w:p w14:paraId="2F75A1BD" w14:textId="77777777" w:rsidR="00C53D21" w:rsidRPr="003555AE" w:rsidRDefault="000A4FA3">
      <w:pPr>
        <w:tabs>
          <w:tab w:val="left" w:pos="7938"/>
        </w:tabs>
        <w:spacing w:before="120" w:after="120"/>
        <w:ind w:left="851" w:right="902"/>
        <w:jc w:val="both"/>
        <w:rPr>
          <w:rFonts w:ascii="Palatino Linotype" w:eastAsia="Palatino Linotype" w:hAnsi="Palatino Linotype" w:cs="Palatino Linotype"/>
          <w:i/>
          <w:sz w:val="22"/>
          <w:szCs w:val="22"/>
        </w:rPr>
      </w:pPr>
      <w:r w:rsidRPr="003555AE">
        <w:rPr>
          <w:rFonts w:ascii="Palatino Linotype" w:eastAsia="Palatino Linotype" w:hAnsi="Palatino Linotype" w:cs="Palatino Linotype"/>
          <w:i/>
          <w:sz w:val="22"/>
          <w:szCs w:val="22"/>
        </w:rPr>
        <w:t>“</w:t>
      </w:r>
      <w:r w:rsidRPr="003555AE">
        <w:rPr>
          <w:rFonts w:ascii="Palatino Linotype" w:eastAsia="Palatino Linotype" w:hAnsi="Palatino Linotype" w:cs="Palatino Linotype"/>
          <w:b/>
          <w:i/>
          <w:sz w:val="22"/>
          <w:szCs w:val="22"/>
        </w:rPr>
        <w:t>Artículo 179.</w:t>
      </w:r>
      <w:r w:rsidRPr="003555AE">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E0979DD" w14:textId="13A84890" w:rsidR="00C53D21" w:rsidRPr="003555AE" w:rsidRDefault="007F4DB8" w:rsidP="007F4DB8">
      <w:pPr>
        <w:tabs>
          <w:tab w:val="left" w:pos="7938"/>
        </w:tabs>
        <w:spacing w:before="120" w:after="120"/>
        <w:ind w:left="851" w:right="900"/>
        <w:jc w:val="both"/>
        <w:rPr>
          <w:rFonts w:ascii="Palatino Linotype" w:eastAsia="Palatino Linotype" w:hAnsi="Palatino Linotype" w:cs="Palatino Linotype"/>
          <w:i/>
          <w:sz w:val="22"/>
          <w:szCs w:val="22"/>
        </w:rPr>
      </w:pPr>
      <w:r w:rsidRPr="003555AE">
        <w:rPr>
          <w:rFonts w:ascii="Palatino Linotype" w:hAnsi="Palatino Linotype"/>
          <w:b/>
          <w:i/>
          <w:sz w:val="22"/>
          <w:szCs w:val="22"/>
        </w:rPr>
        <w:t>I</w:t>
      </w:r>
      <w:r w:rsidRPr="003555AE">
        <w:rPr>
          <w:rFonts w:ascii="Palatino Linotype" w:hAnsi="Palatino Linotype"/>
          <w:i/>
          <w:sz w:val="22"/>
          <w:szCs w:val="22"/>
        </w:rPr>
        <w:t>. La negativa a la información solicitada;</w:t>
      </w:r>
      <w:r w:rsidR="000A4FA3" w:rsidRPr="003555AE">
        <w:rPr>
          <w:rFonts w:ascii="Palatino Linotype" w:eastAsia="Palatino Linotype" w:hAnsi="Palatino Linotype" w:cs="Palatino Linotype"/>
          <w:i/>
          <w:sz w:val="22"/>
          <w:szCs w:val="22"/>
        </w:rPr>
        <w:t>”</w:t>
      </w:r>
    </w:p>
    <w:p w14:paraId="35B375E8" w14:textId="77777777" w:rsidR="00094237" w:rsidRPr="003555AE" w:rsidRDefault="00094237" w:rsidP="00094237">
      <w:pPr>
        <w:spacing w:before="240" w:after="240" w:line="360" w:lineRule="auto"/>
        <w:jc w:val="both"/>
        <w:rPr>
          <w:rFonts w:ascii="Palatino Linotype" w:eastAsia="Palatino Linotype" w:hAnsi="Palatino Linotype" w:cs="Palatino Linotype"/>
        </w:rPr>
      </w:pPr>
      <w:r w:rsidRPr="003555AE">
        <w:rPr>
          <w:rFonts w:ascii="Palatino Linotype" w:eastAsia="Palatino Linotype" w:hAnsi="Palatino Linotype" w:cs="Palatino Linotype"/>
          <w:b/>
        </w:rPr>
        <w:t>Tercero. Análisis de las causales de improcedencia y sobreseimiento del recurso de revisión.</w:t>
      </w:r>
      <w:r w:rsidRPr="003555AE">
        <w:rPr>
          <w:rFonts w:ascii="Palatino Linotype" w:hAnsi="Palatino Linotype"/>
        </w:rPr>
        <w:t xml:space="preserve"> </w:t>
      </w:r>
      <w:r w:rsidRPr="003555AE">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0BF0798" w14:textId="77777777" w:rsidR="00094237" w:rsidRPr="003555AE" w:rsidRDefault="00094237" w:rsidP="00094237">
      <w:pPr>
        <w:spacing w:before="240" w:after="240" w:line="360" w:lineRule="auto"/>
        <w:jc w:val="both"/>
        <w:rPr>
          <w:rFonts w:ascii="Palatino Linotype" w:eastAsia="Palatino Linotype" w:hAnsi="Palatino Linotype" w:cs="Palatino Linotype"/>
        </w:rPr>
      </w:pPr>
      <w:r w:rsidRPr="003555AE">
        <w:rPr>
          <w:rFonts w:ascii="Palatino Linotype" w:eastAsia="Palatino Linotype" w:hAnsi="Palatino Linotype" w:cs="Palatino Linotype"/>
        </w:rPr>
        <w:t xml:space="preserve">Es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w:t>
      </w:r>
      <w:r w:rsidRPr="003555AE">
        <w:rPr>
          <w:rFonts w:ascii="Palatino Linotype" w:eastAsia="Palatino Linotype" w:hAnsi="Palatino Linotype" w:cs="Palatino Linotype"/>
        </w:rPr>
        <w:lastRenderedPageBreak/>
        <w:t>derecho de acceso a la justicia, ya que este no se coarta por regular causas de improcedencia y sobreseimiento con tales fines.</w:t>
      </w:r>
    </w:p>
    <w:p w14:paraId="7B93228A" w14:textId="77777777" w:rsidR="00094237" w:rsidRPr="003555AE" w:rsidRDefault="00094237" w:rsidP="00094237">
      <w:pPr>
        <w:spacing w:before="240" w:after="240" w:line="360" w:lineRule="auto"/>
        <w:ind w:right="51"/>
        <w:jc w:val="both"/>
        <w:rPr>
          <w:rFonts w:ascii="Palatino Linotype" w:eastAsia="Palatino Linotype" w:hAnsi="Palatino Linotype" w:cs="Palatino Linotype"/>
        </w:rPr>
      </w:pPr>
      <w:r w:rsidRPr="003555AE">
        <w:rPr>
          <w:rFonts w:ascii="Palatino Linotype" w:eastAsia="Palatino Linotype" w:hAnsi="Palatino Linotype" w:cs="Palatino Linotype"/>
        </w:rPr>
        <w:t>De manera preliminar en el caso concreto conviene analizar si se actualiza alguna de las causales de sobreseimiento del recurso de revisión.</w:t>
      </w:r>
    </w:p>
    <w:p w14:paraId="56A0FD8B" w14:textId="77777777" w:rsidR="00094237" w:rsidRPr="003555AE" w:rsidRDefault="00094237" w:rsidP="00094237">
      <w:pPr>
        <w:spacing w:before="240" w:after="240" w:line="360" w:lineRule="auto"/>
        <w:jc w:val="both"/>
        <w:rPr>
          <w:rFonts w:ascii="Palatino Linotype" w:eastAsia="Palatino Linotype" w:hAnsi="Palatino Linotype" w:cs="Palatino Linotype"/>
          <w:bCs/>
        </w:rPr>
      </w:pPr>
      <w:r w:rsidRPr="003555AE">
        <w:rPr>
          <w:rFonts w:ascii="Palatino Linotype" w:eastAsia="Palatino Linotype" w:hAnsi="Palatino Linotype" w:cs="Palatino Linotype"/>
        </w:rPr>
        <w:t xml:space="preserve">Así, del análisis de la solicitud de información motivo del recurso de revisión que ahora se resuelve, se advierte que la persona solicitante requirió al </w:t>
      </w:r>
      <w:r w:rsidRPr="003555AE">
        <w:rPr>
          <w:rFonts w:ascii="Palatino Linotype" w:eastAsia="Palatino Linotype" w:hAnsi="Palatino Linotype" w:cs="Palatino Linotype"/>
          <w:b/>
        </w:rPr>
        <w:t xml:space="preserve">Sujeto Obligado, </w:t>
      </w:r>
      <w:r w:rsidRPr="003555AE">
        <w:rPr>
          <w:rFonts w:ascii="Palatino Linotype" w:eastAsia="Palatino Linotype" w:hAnsi="Palatino Linotype" w:cs="Palatino Linotype"/>
          <w:bCs/>
        </w:rPr>
        <w:t>lo siguiente:</w:t>
      </w:r>
    </w:p>
    <w:p w14:paraId="74F86C7A" w14:textId="06126BFB" w:rsidR="00094237" w:rsidRPr="003555AE" w:rsidRDefault="00094237" w:rsidP="00094237">
      <w:pPr>
        <w:spacing w:before="240" w:after="240" w:line="360" w:lineRule="auto"/>
        <w:ind w:left="567"/>
        <w:jc w:val="both"/>
        <w:rPr>
          <w:rFonts w:ascii="Palatino Linotype" w:eastAsia="Palatino Linotype" w:hAnsi="Palatino Linotype" w:cs="Palatino Linotype"/>
          <w:bCs/>
        </w:rPr>
      </w:pPr>
      <w:r w:rsidRPr="003555AE">
        <w:rPr>
          <w:rFonts w:ascii="Palatino Linotype" w:eastAsia="Palatino Linotype" w:hAnsi="Palatino Linotype" w:cs="Palatino Linotype"/>
          <w:bCs/>
        </w:rPr>
        <w:t>1. Presupuesto desglosado 2025 por área.</w:t>
      </w:r>
    </w:p>
    <w:p w14:paraId="781DD0A1" w14:textId="5D55FE4B" w:rsidR="00465C2C" w:rsidRPr="003555AE" w:rsidRDefault="00094237" w:rsidP="00465C2C">
      <w:pPr>
        <w:spacing w:before="240" w:after="240" w:line="360" w:lineRule="auto"/>
        <w:ind w:left="142" w:right="49"/>
        <w:jc w:val="both"/>
        <w:rPr>
          <w:rFonts w:ascii="Palatino Linotype" w:hAnsi="Palatino Linotype"/>
        </w:rPr>
      </w:pPr>
      <w:r w:rsidRPr="003555AE">
        <w:rPr>
          <w:rFonts w:ascii="Palatino Linotype" w:eastAsia="Palatino Linotype" w:hAnsi="Palatino Linotype" w:cs="Palatino Linotype"/>
        </w:rPr>
        <w:t xml:space="preserve">En respuesta, el </w:t>
      </w:r>
      <w:r w:rsidRPr="003555AE">
        <w:rPr>
          <w:rFonts w:ascii="Palatino Linotype" w:eastAsia="Palatino Linotype" w:hAnsi="Palatino Linotype" w:cs="Palatino Linotype"/>
          <w:b/>
        </w:rPr>
        <w:t xml:space="preserve">Sujeto Obligado, </w:t>
      </w:r>
      <w:r w:rsidRPr="003555AE">
        <w:rPr>
          <w:rFonts w:ascii="Palatino Linotype" w:eastAsia="Palatino Linotype" w:hAnsi="Palatino Linotype" w:cs="Palatino Linotype"/>
        </w:rPr>
        <w:t xml:space="preserve">por conducto del </w:t>
      </w:r>
      <w:r w:rsidRPr="003555AE">
        <w:rPr>
          <w:rFonts w:ascii="Palatino Linotype" w:hAnsi="Palatino Linotype"/>
        </w:rPr>
        <w:t xml:space="preserve">Tesorero Municipal, </w:t>
      </w:r>
      <w:r w:rsidR="00465C2C" w:rsidRPr="003555AE">
        <w:rPr>
          <w:rFonts w:ascii="Palatino Linotype" w:hAnsi="Palatino Linotype"/>
        </w:rPr>
        <w:t>señaló que la información solicitada es información pública de conformidad con la Ley General de Contabilidad Gubernamental y están plasmadas en el formato "Estado Analítico del Ejercicio del Presupuesto de Egresos Detallado - LDF Clasificación Administrativa" del Primer Trimestre del Ejercicio Fiscal 2025 en la columna "Aprobado", el cual se puede consultar y/o  descargar en la página institucional del Municipio de Atlacomulco de la página 74 a la 80, asimismo, para efectos de la consulta proporciono la dirección electrónica en formato cerrado y una captura de pantalla del documento referido, como se ilustra a continuación:</w:t>
      </w:r>
    </w:p>
    <w:p w14:paraId="5E4EA42E" w14:textId="7E464A4F" w:rsidR="00465C2C" w:rsidRPr="003555AE" w:rsidRDefault="00465C2C" w:rsidP="00465C2C">
      <w:pPr>
        <w:spacing w:before="240" w:after="240" w:line="360" w:lineRule="auto"/>
        <w:ind w:left="142" w:right="49"/>
        <w:jc w:val="both"/>
        <w:rPr>
          <w:rFonts w:ascii="Palatino Linotype" w:hAnsi="Palatino Linotype"/>
        </w:rPr>
      </w:pPr>
      <w:r w:rsidRPr="003555AE">
        <w:rPr>
          <w:rFonts w:ascii="Palatino Linotype" w:hAnsi="Palatino Linotype"/>
          <w:noProof/>
        </w:rPr>
        <w:lastRenderedPageBreak/>
        <w:drawing>
          <wp:inline distT="0" distB="0" distL="0" distR="0" wp14:anchorId="699DBA8C" wp14:editId="630A84D1">
            <wp:extent cx="5544324" cy="259116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44324" cy="2591162"/>
                    </a:xfrm>
                    <a:prstGeom prst="rect">
                      <a:avLst/>
                    </a:prstGeom>
                  </pic:spPr>
                </pic:pic>
              </a:graphicData>
            </a:graphic>
          </wp:inline>
        </w:drawing>
      </w:r>
    </w:p>
    <w:p w14:paraId="30A982BF" w14:textId="08885842" w:rsidR="00465C2C" w:rsidRPr="003555AE" w:rsidRDefault="00465C2C" w:rsidP="00465C2C">
      <w:pPr>
        <w:spacing w:before="240" w:after="240" w:line="360" w:lineRule="auto"/>
        <w:jc w:val="both"/>
        <w:rPr>
          <w:rFonts w:ascii="Palatino Linotype" w:eastAsia="Palatino Linotype" w:hAnsi="Palatino Linotype" w:cs="Palatino Linotype"/>
        </w:rPr>
      </w:pPr>
      <w:r w:rsidRPr="003555AE">
        <w:rPr>
          <w:rFonts w:ascii="Palatino Linotype" w:eastAsia="Palatino Linotype" w:hAnsi="Palatino Linotype" w:cs="Palatino Linotype"/>
        </w:rPr>
        <w:t xml:space="preserve">Al no estar conforme con la respuesta, la persona solicitante interpuso el recurso de revisión que nos ocupa, en el cual señaló como motivo de inconformidad que </w:t>
      </w:r>
      <w:r w:rsidR="00606080" w:rsidRPr="003555AE">
        <w:rPr>
          <w:rFonts w:ascii="Palatino Linotype" w:eastAsia="Palatino Linotype" w:hAnsi="Palatino Linotype" w:cs="Palatino Linotype"/>
        </w:rPr>
        <w:t xml:space="preserve">no </w:t>
      </w:r>
      <w:r w:rsidRPr="003555AE">
        <w:rPr>
          <w:rFonts w:ascii="Palatino Linotype" w:eastAsia="Palatino Linotype" w:hAnsi="Palatino Linotype" w:cs="Palatino Linotype"/>
        </w:rPr>
        <w:t>le fue entregada</w:t>
      </w:r>
      <w:r w:rsidR="00606080" w:rsidRPr="003555AE">
        <w:rPr>
          <w:rFonts w:ascii="Palatino Linotype" w:eastAsia="Palatino Linotype" w:hAnsi="Palatino Linotype" w:cs="Palatino Linotype"/>
        </w:rPr>
        <w:t xml:space="preserve"> la información.</w:t>
      </w:r>
    </w:p>
    <w:p w14:paraId="2C9DB450" w14:textId="5299FE9A" w:rsidR="00606080" w:rsidRPr="003555AE" w:rsidRDefault="00465C2C" w:rsidP="00606080">
      <w:pPr>
        <w:spacing w:before="240" w:after="240" w:line="360" w:lineRule="auto"/>
        <w:jc w:val="both"/>
        <w:rPr>
          <w:rFonts w:ascii="Palatino Linotype" w:hAnsi="Palatino Linotype"/>
        </w:rPr>
      </w:pPr>
      <w:r w:rsidRPr="003555AE">
        <w:rPr>
          <w:rFonts w:ascii="Palatino Linotype" w:eastAsia="Palatino Linotype" w:hAnsi="Palatino Linotype" w:cs="Palatino Linotype"/>
        </w:rPr>
        <w:t xml:space="preserve"> </w:t>
      </w:r>
      <w:r w:rsidR="00606080" w:rsidRPr="003555AE">
        <w:rPr>
          <w:rFonts w:ascii="Palatino Linotype" w:eastAsia="Palatino Linotype" w:hAnsi="Palatino Linotype" w:cs="Palatino Linotype"/>
        </w:rPr>
        <w:t xml:space="preserve">En la etapa de manifestaciones el </w:t>
      </w:r>
      <w:r w:rsidR="00606080" w:rsidRPr="003555AE">
        <w:rPr>
          <w:rFonts w:ascii="Palatino Linotype" w:eastAsia="Palatino Linotype" w:hAnsi="Palatino Linotype" w:cs="Palatino Linotype"/>
          <w:b/>
        </w:rPr>
        <w:t xml:space="preserve">Sujeto Obligado, </w:t>
      </w:r>
      <w:r w:rsidR="00606080" w:rsidRPr="003555AE">
        <w:rPr>
          <w:rFonts w:ascii="Palatino Linotype" w:eastAsia="Palatino Linotype" w:hAnsi="Palatino Linotype" w:cs="Palatino Linotype"/>
          <w:bCs/>
        </w:rPr>
        <w:t xml:space="preserve">por conducto de la </w:t>
      </w:r>
      <w:r w:rsidR="00606080" w:rsidRPr="003555AE">
        <w:rPr>
          <w:rFonts w:ascii="Palatino Linotype" w:eastAsia="Palatino Linotype" w:hAnsi="Palatino Linotype" w:cs="Palatino Linotype"/>
        </w:rPr>
        <w:t xml:space="preserve">persona servidora pública habilitada de Tesorería Municipal hizo entrega del </w:t>
      </w:r>
      <w:r w:rsidR="00606080" w:rsidRPr="003555AE">
        <w:rPr>
          <w:rFonts w:ascii="Palatino Linotype" w:hAnsi="Palatino Linotype"/>
        </w:rPr>
        <w:t>Estado Analítico del Ejercicio del Presupuesto de Egresos Clasificación Administrativa correspondiente al Primer Trimestre del Ejercicio Fiscal 2025, en formato PDF, precisando que en la columna “APROBADO” se advierte el Presupuesto de Egresos aprobado por área para el ejercicio fiscal 2025, como se ilustra a continuación para mejor referencia:</w:t>
      </w:r>
    </w:p>
    <w:p w14:paraId="78C92AF1" w14:textId="04D84E69" w:rsidR="00606080" w:rsidRPr="003555AE" w:rsidRDefault="00CD35B4" w:rsidP="00606080">
      <w:pPr>
        <w:spacing w:before="240" w:after="240" w:line="360" w:lineRule="auto"/>
        <w:jc w:val="both"/>
        <w:rPr>
          <w:rFonts w:ascii="Palatino Linotype" w:hAnsi="Palatino Linotype"/>
        </w:rPr>
      </w:pPr>
      <w:r w:rsidRPr="003555AE">
        <w:rPr>
          <w:rFonts w:ascii="Palatino Linotype" w:hAnsi="Palatino Linotype"/>
          <w:noProof/>
        </w:rPr>
        <w:lastRenderedPageBreak/>
        <mc:AlternateContent>
          <mc:Choice Requires="wps">
            <w:drawing>
              <wp:anchor distT="0" distB="0" distL="114300" distR="114300" simplePos="0" relativeHeight="251659264" behindDoc="0" locked="0" layoutInCell="1" allowOverlap="1" wp14:anchorId="7944D25B" wp14:editId="74491BE2">
                <wp:simplePos x="0" y="0"/>
                <wp:positionH relativeFrom="column">
                  <wp:posOffset>282839</wp:posOffset>
                </wp:positionH>
                <wp:positionV relativeFrom="paragraph">
                  <wp:posOffset>664150</wp:posOffset>
                </wp:positionV>
                <wp:extent cx="2242424" cy="2562045"/>
                <wp:effectExtent l="57150" t="38100" r="81915" b="86360"/>
                <wp:wrapNone/>
                <wp:docPr id="4" name="Rectángulo 4"/>
                <wp:cNvGraphicFramePr/>
                <a:graphic xmlns:a="http://schemas.openxmlformats.org/drawingml/2006/main">
                  <a:graphicData uri="http://schemas.microsoft.com/office/word/2010/wordprocessingShape">
                    <wps:wsp>
                      <wps:cNvSpPr/>
                      <wps:spPr>
                        <a:xfrm>
                          <a:off x="0" y="0"/>
                          <a:ext cx="2242424" cy="2562045"/>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75D7FB" id="Rectángulo 4" o:spid="_x0000_s1026" style="position:absolute;margin-left:22.25pt;margin-top:52.3pt;width:176.55pt;height:20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" filled="f" strokecolor="#c00000" strokeweight="3pt">
                <v:shadow on="t" color="black" opacity="22937f" origin=",.5" offset="0,.63889mm"/>
              </v:rect>
            </w:pict>
          </mc:Fallback>
        </mc:AlternateContent>
      </w:r>
      <w:r w:rsidRPr="003555AE">
        <w:rPr>
          <w:rFonts w:ascii="Palatino Linotype" w:hAnsi="Palatino Linotype"/>
          <w:noProof/>
        </w:rPr>
        <w:drawing>
          <wp:inline distT="0" distB="0" distL="0" distR="0" wp14:anchorId="25E17C8B" wp14:editId="05627064">
            <wp:extent cx="5612130" cy="318897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188970"/>
                    </a:xfrm>
                    <a:prstGeom prst="rect">
                      <a:avLst/>
                    </a:prstGeom>
                  </pic:spPr>
                </pic:pic>
              </a:graphicData>
            </a:graphic>
          </wp:inline>
        </w:drawing>
      </w:r>
    </w:p>
    <w:p w14:paraId="6ABA892B" w14:textId="584C3051" w:rsidR="00CD35B4" w:rsidRPr="003555AE" w:rsidRDefault="00CD35B4" w:rsidP="00CD35B4">
      <w:pPr>
        <w:spacing w:before="240" w:after="240" w:line="360" w:lineRule="auto"/>
        <w:jc w:val="both"/>
        <w:rPr>
          <w:rFonts w:ascii="Palatino Linotype" w:eastAsia="Palatino Linotype" w:hAnsi="Palatino Linotype" w:cs="Palatino Linotype"/>
        </w:rPr>
      </w:pPr>
      <w:r w:rsidRPr="003555AE">
        <w:rPr>
          <w:rFonts w:ascii="Palatino Linotype" w:eastAsia="Palatino Linotype" w:hAnsi="Palatino Linotype" w:cs="Palatino Linotype"/>
        </w:rPr>
        <w:t>No obsta mencionar que la Tesorera Municipal es el órgano encargado de administrar la hacienda pública</w:t>
      </w:r>
      <w:r w:rsidR="00B90E8C" w:rsidRPr="003555AE">
        <w:rPr>
          <w:rFonts w:ascii="Palatino Linotype" w:eastAsia="Palatino Linotype" w:hAnsi="Palatino Linotype" w:cs="Palatino Linotype"/>
        </w:rPr>
        <w:t>; d</w:t>
      </w:r>
      <w:r w:rsidRPr="003555AE">
        <w:rPr>
          <w:rFonts w:ascii="Palatino Linotype" w:eastAsia="Palatino Linotype" w:hAnsi="Palatino Linotype" w:cs="Palatino Linotype"/>
        </w:rPr>
        <w:t xml:space="preserve">e la recaudación de los ingresos municipales y responsable de realizar las erogaciones que haga el ayuntamiento a través de los registros contables, financieros y administrativos de los ingresos, egresos e inventarios; </w:t>
      </w:r>
      <w:r w:rsidR="00B90E8C" w:rsidRPr="003555AE">
        <w:rPr>
          <w:rFonts w:ascii="Palatino Linotype" w:eastAsia="Palatino Linotype" w:hAnsi="Palatino Linotype" w:cs="Palatino Linotype"/>
        </w:rPr>
        <w:t xml:space="preserve">de proporcionar todos los datos o informes que sean necesarios para la formulación del presupuesto de egresos municipales, </w:t>
      </w:r>
      <w:r w:rsidRPr="003555AE">
        <w:rPr>
          <w:rFonts w:ascii="Palatino Linotype" w:eastAsia="Palatino Linotype" w:hAnsi="Palatino Linotype" w:cs="Palatino Linotype"/>
        </w:rPr>
        <w:t xml:space="preserve">entre otras atribuciones, de conformidad con lo establecido en los </w:t>
      </w:r>
      <w:r w:rsidR="00B90E8C" w:rsidRPr="003555AE">
        <w:rPr>
          <w:rFonts w:ascii="Palatino Linotype" w:eastAsia="Palatino Linotype" w:hAnsi="Palatino Linotype" w:cs="Palatino Linotype"/>
        </w:rPr>
        <w:t xml:space="preserve">artículos 93 y 95, fracciones I, </w:t>
      </w:r>
      <w:r w:rsidRPr="003555AE">
        <w:rPr>
          <w:rFonts w:ascii="Palatino Linotype" w:eastAsia="Palatino Linotype" w:hAnsi="Palatino Linotype" w:cs="Palatino Linotype"/>
        </w:rPr>
        <w:t>IV</w:t>
      </w:r>
      <w:r w:rsidR="00B90E8C" w:rsidRPr="003555AE">
        <w:rPr>
          <w:rFonts w:ascii="Palatino Linotype" w:eastAsia="Palatino Linotype" w:hAnsi="Palatino Linotype" w:cs="Palatino Linotype"/>
        </w:rPr>
        <w:t xml:space="preserve"> y V</w:t>
      </w:r>
      <w:r w:rsidRPr="003555AE">
        <w:rPr>
          <w:rFonts w:ascii="Palatino Linotype" w:eastAsia="Palatino Linotype" w:hAnsi="Palatino Linotype" w:cs="Palatino Linotype"/>
        </w:rPr>
        <w:t xml:space="preserve"> de la Ley Orgánica Municipal del Estado de México, a saber:</w:t>
      </w:r>
    </w:p>
    <w:p w14:paraId="112D1C4D" w14:textId="77777777" w:rsidR="00CD35B4" w:rsidRPr="003555AE" w:rsidRDefault="00CD35B4" w:rsidP="00CD35B4">
      <w:pPr>
        <w:spacing w:before="120" w:after="120"/>
        <w:ind w:left="851" w:right="902"/>
        <w:jc w:val="both"/>
        <w:rPr>
          <w:rFonts w:ascii="Palatino Linotype" w:eastAsia="Palatino Linotype" w:hAnsi="Palatino Linotype" w:cs="Palatino Linotype"/>
          <w:i/>
          <w:sz w:val="22"/>
        </w:rPr>
      </w:pPr>
      <w:r w:rsidRPr="003555AE">
        <w:rPr>
          <w:rFonts w:ascii="Palatino Linotype" w:eastAsia="Palatino Linotype" w:hAnsi="Palatino Linotype" w:cs="Palatino Linotype"/>
          <w:i/>
          <w:sz w:val="22"/>
        </w:rPr>
        <w:t>“</w:t>
      </w:r>
      <w:r w:rsidRPr="003555AE">
        <w:rPr>
          <w:rFonts w:ascii="Palatino Linotype" w:eastAsia="Palatino Linotype" w:hAnsi="Palatino Linotype" w:cs="Palatino Linotype"/>
          <w:b/>
          <w:i/>
          <w:sz w:val="22"/>
        </w:rPr>
        <w:t>Artículo 93</w:t>
      </w:r>
      <w:r w:rsidRPr="003555AE">
        <w:rPr>
          <w:rFonts w:ascii="Palatino Linotype" w:eastAsia="Palatino Linotype" w:hAnsi="Palatino Linotype" w:cs="Palatino Linotype"/>
          <w:i/>
          <w:sz w:val="22"/>
        </w:rPr>
        <w:t>.- La tesorería municipal es el órgano encargado de la recaudación de los ingresos municipales y responsable de realizar las erogaciones que haga el ayuntamiento.</w:t>
      </w:r>
    </w:p>
    <w:p w14:paraId="0AA37C1C" w14:textId="77777777" w:rsidR="00CD35B4" w:rsidRPr="003555AE" w:rsidRDefault="00CD35B4" w:rsidP="00CD35B4">
      <w:pPr>
        <w:spacing w:before="120" w:after="120"/>
        <w:ind w:left="851" w:right="902"/>
        <w:jc w:val="both"/>
        <w:rPr>
          <w:rFonts w:ascii="Palatino Linotype" w:eastAsia="Palatino Linotype" w:hAnsi="Palatino Linotype" w:cs="Palatino Linotype"/>
          <w:i/>
          <w:sz w:val="22"/>
        </w:rPr>
      </w:pPr>
      <w:r w:rsidRPr="003555AE">
        <w:rPr>
          <w:rFonts w:ascii="Palatino Linotype" w:eastAsia="Palatino Linotype" w:hAnsi="Palatino Linotype" w:cs="Palatino Linotype"/>
          <w:i/>
          <w:sz w:val="22"/>
        </w:rPr>
        <w:t>…</w:t>
      </w:r>
    </w:p>
    <w:p w14:paraId="3CDCF23F" w14:textId="77777777" w:rsidR="00CD35B4" w:rsidRPr="003555AE" w:rsidRDefault="00CD35B4" w:rsidP="00CD35B4">
      <w:pPr>
        <w:spacing w:before="120" w:after="120"/>
        <w:ind w:left="851" w:right="902"/>
        <w:jc w:val="both"/>
        <w:rPr>
          <w:rFonts w:ascii="Palatino Linotype" w:eastAsia="Palatino Linotype" w:hAnsi="Palatino Linotype" w:cs="Palatino Linotype"/>
          <w:i/>
          <w:sz w:val="22"/>
        </w:rPr>
      </w:pPr>
      <w:r w:rsidRPr="003555AE">
        <w:rPr>
          <w:rFonts w:ascii="Palatino Linotype" w:eastAsia="Palatino Linotype" w:hAnsi="Palatino Linotype" w:cs="Palatino Linotype"/>
          <w:b/>
          <w:i/>
          <w:sz w:val="22"/>
        </w:rPr>
        <w:t>Artículo 95</w:t>
      </w:r>
      <w:r w:rsidRPr="003555AE">
        <w:rPr>
          <w:rFonts w:ascii="Palatino Linotype" w:eastAsia="Palatino Linotype" w:hAnsi="Palatino Linotype" w:cs="Palatino Linotype"/>
          <w:i/>
          <w:sz w:val="22"/>
        </w:rPr>
        <w:t xml:space="preserve">.- Son atribuciones del tesorero municipal: </w:t>
      </w:r>
    </w:p>
    <w:p w14:paraId="03463DF2" w14:textId="77777777" w:rsidR="00CD35B4" w:rsidRPr="003555AE" w:rsidRDefault="00CD35B4" w:rsidP="00CD35B4">
      <w:pPr>
        <w:spacing w:before="120" w:after="120"/>
        <w:ind w:left="1134" w:right="902"/>
        <w:jc w:val="both"/>
        <w:rPr>
          <w:rFonts w:ascii="Palatino Linotype" w:eastAsia="Palatino Linotype" w:hAnsi="Palatino Linotype" w:cs="Palatino Linotype"/>
          <w:i/>
          <w:sz w:val="22"/>
        </w:rPr>
      </w:pPr>
      <w:r w:rsidRPr="003555AE">
        <w:rPr>
          <w:rFonts w:ascii="Palatino Linotype" w:eastAsia="Palatino Linotype" w:hAnsi="Palatino Linotype" w:cs="Palatino Linotype"/>
          <w:b/>
          <w:i/>
          <w:sz w:val="22"/>
        </w:rPr>
        <w:lastRenderedPageBreak/>
        <w:t>I</w:t>
      </w:r>
      <w:r w:rsidRPr="003555AE">
        <w:rPr>
          <w:rFonts w:ascii="Palatino Linotype" w:eastAsia="Palatino Linotype" w:hAnsi="Palatino Linotype" w:cs="Palatino Linotype"/>
          <w:i/>
          <w:sz w:val="22"/>
        </w:rPr>
        <w:t xml:space="preserve">. </w:t>
      </w:r>
      <w:r w:rsidRPr="003555AE">
        <w:rPr>
          <w:rFonts w:ascii="Palatino Linotype" w:eastAsia="Palatino Linotype" w:hAnsi="Palatino Linotype" w:cs="Palatino Linotype"/>
          <w:b/>
          <w:i/>
          <w:sz w:val="22"/>
        </w:rPr>
        <w:t>Administrar la hacienda pública municipal</w:t>
      </w:r>
      <w:r w:rsidRPr="003555AE">
        <w:rPr>
          <w:rFonts w:ascii="Palatino Linotype" w:eastAsia="Palatino Linotype" w:hAnsi="Palatino Linotype" w:cs="Palatino Linotype"/>
          <w:i/>
          <w:sz w:val="22"/>
        </w:rPr>
        <w:t>, de conformidad con las disposiciones legales aplicables;</w:t>
      </w:r>
    </w:p>
    <w:p w14:paraId="38C32556" w14:textId="77777777" w:rsidR="00CD35B4" w:rsidRPr="003555AE" w:rsidRDefault="00CD35B4" w:rsidP="00CD35B4">
      <w:pPr>
        <w:spacing w:before="120" w:after="120"/>
        <w:ind w:left="1134" w:right="902"/>
        <w:jc w:val="both"/>
        <w:rPr>
          <w:rFonts w:ascii="Palatino Linotype" w:eastAsia="Palatino Linotype" w:hAnsi="Palatino Linotype" w:cs="Palatino Linotype"/>
          <w:i/>
          <w:sz w:val="22"/>
          <w:szCs w:val="22"/>
        </w:rPr>
      </w:pPr>
      <w:r w:rsidRPr="003555AE">
        <w:rPr>
          <w:rFonts w:ascii="Palatino Linotype" w:eastAsia="Palatino Linotype" w:hAnsi="Palatino Linotype" w:cs="Palatino Linotype"/>
          <w:i/>
          <w:sz w:val="22"/>
          <w:szCs w:val="22"/>
        </w:rPr>
        <w:t>…</w:t>
      </w:r>
    </w:p>
    <w:p w14:paraId="7736E685" w14:textId="77777777" w:rsidR="00B90E8C" w:rsidRPr="003555AE" w:rsidRDefault="00CD35B4" w:rsidP="00CD35B4">
      <w:pPr>
        <w:spacing w:before="120" w:after="120"/>
        <w:ind w:left="1134" w:right="902"/>
        <w:jc w:val="both"/>
        <w:rPr>
          <w:rFonts w:ascii="Palatino Linotype" w:eastAsia="Palatino Linotype" w:hAnsi="Palatino Linotype" w:cs="Palatino Linotype"/>
          <w:i/>
          <w:sz w:val="22"/>
          <w:szCs w:val="22"/>
        </w:rPr>
      </w:pPr>
      <w:r w:rsidRPr="003555AE">
        <w:rPr>
          <w:rFonts w:ascii="Palatino Linotype" w:eastAsia="Palatino Linotype" w:hAnsi="Palatino Linotype" w:cs="Palatino Linotype"/>
          <w:b/>
          <w:i/>
          <w:sz w:val="22"/>
          <w:szCs w:val="22"/>
        </w:rPr>
        <w:t>IV.</w:t>
      </w:r>
      <w:r w:rsidRPr="003555AE">
        <w:rPr>
          <w:rFonts w:ascii="Palatino Linotype" w:eastAsia="Palatino Linotype" w:hAnsi="Palatino Linotype" w:cs="Palatino Linotype"/>
          <w:i/>
          <w:sz w:val="22"/>
          <w:szCs w:val="22"/>
        </w:rPr>
        <w:t xml:space="preserve"> </w:t>
      </w:r>
      <w:r w:rsidRPr="003555AE">
        <w:rPr>
          <w:rFonts w:ascii="Palatino Linotype" w:eastAsia="Palatino Linotype" w:hAnsi="Palatino Linotype" w:cs="Palatino Linotype"/>
          <w:b/>
          <w:i/>
          <w:sz w:val="22"/>
          <w:szCs w:val="22"/>
          <w:u w:val="single"/>
        </w:rPr>
        <w:t>Llevar los registros contables, financieros y administrativos</w:t>
      </w:r>
      <w:r w:rsidRPr="003555AE">
        <w:rPr>
          <w:rFonts w:ascii="Palatino Linotype" w:eastAsia="Palatino Linotype" w:hAnsi="Palatino Linotype" w:cs="Palatino Linotype"/>
          <w:b/>
          <w:i/>
          <w:sz w:val="22"/>
          <w:szCs w:val="22"/>
        </w:rPr>
        <w:t xml:space="preserve"> de los ingresos, egresos</w:t>
      </w:r>
      <w:r w:rsidRPr="003555AE">
        <w:rPr>
          <w:rFonts w:ascii="Palatino Linotype" w:eastAsia="Palatino Linotype" w:hAnsi="Palatino Linotype" w:cs="Palatino Linotype"/>
          <w:i/>
          <w:sz w:val="22"/>
          <w:szCs w:val="22"/>
        </w:rPr>
        <w:t>, e inventarios;</w:t>
      </w:r>
    </w:p>
    <w:p w14:paraId="317C2578" w14:textId="254FF264" w:rsidR="00CD35B4" w:rsidRPr="003555AE" w:rsidRDefault="00B90E8C" w:rsidP="00CD35B4">
      <w:pPr>
        <w:spacing w:before="120" w:after="120"/>
        <w:ind w:left="1134" w:right="902"/>
        <w:jc w:val="both"/>
        <w:rPr>
          <w:rFonts w:ascii="Palatino Linotype" w:eastAsia="Palatino Linotype" w:hAnsi="Palatino Linotype" w:cs="Palatino Linotype"/>
          <w:i/>
          <w:sz w:val="22"/>
          <w:szCs w:val="22"/>
        </w:rPr>
      </w:pPr>
      <w:r w:rsidRPr="003555AE">
        <w:rPr>
          <w:rFonts w:ascii="Palatino Linotype" w:hAnsi="Palatino Linotype"/>
          <w:b/>
          <w:i/>
          <w:sz w:val="22"/>
          <w:szCs w:val="22"/>
        </w:rPr>
        <w:t>V</w:t>
      </w:r>
      <w:r w:rsidRPr="003555AE">
        <w:rPr>
          <w:rFonts w:ascii="Palatino Linotype" w:hAnsi="Palatino Linotype"/>
          <w:i/>
          <w:sz w:val="22"/>
          <w:szCs w:val="22"/>
        </w:rPr>
        <w:t xml:space="preserve">. </w:t>
      </w:r>
      <w:r w:rsidRPr="003555AE">
        <w:rPr>
          <w:rFonts w:ascii="Palatino Linotype" w:hAnsi="Palatino Linotype"/>
          <w:b/>
          <w:i/>
          <w:sz w:val="22"/>
          <w:szCs w:val="22"/>
        </w:rPr>
        <w:t>Proporcionar</w:t>
      </w:r>
      <w:r w:rsidRPr="003555AE">
        <w:rPr>
          <w:rFonts w:ascii="Palatino Linotype" w:hAnsi="Palatino Linotype"/>
          <w:i/>
          <w:sz w:val="22"/>
          <w:szCs w:val="22"/>
        </w:rPr>
        <w:t xml:space="preserve"> oportunamente al ayuntamiento todos </w:t>
      </w:r>
      <w:r w:rsidRPr="003555AE">
        <w:rPr>
          <w:rFonts w:ascii="Palatino Linotype" w:hAnsi="Palatino Linotype"/>
          <w:b/>
          <w:i/>
          <w:sz w:val="22"/>
          <w:szCs w:val="22"/>
        </w:rPr>
        <w:t xml:space="preserve">los datos o informes que sean necesarios </w:t>
      </w:r>
      <w:r w:rsidRPr="003555AE">
        <w:rPr>
          <w:rFonts w:ascii="Palatino Linotype" w:hAnsi="Palatino Linotype"/>
          <w:b/>
          <w:i/>
          <w:sz w:val="22"/>
          <w:szCs w:val="22"/>
          <w:u w:val="single"/>
        </w:rPr>
        <w:t>para la formulación del Presupuesto de Egresos Municipales</w:t>
      </w:r>
      <w:r w:rsidRPr="003555AE">
        <w:rPr>
          <w:rFonts w:ascii="Palatino Linotype" w:hAnsi="Palatino Linotype"/>
          <w:b/>
          <w:i/>
          <w:sz w:val="22"/>
          <w:szCs w:val="22"/>
        </w:rPr>
        <w:t xml:space="preserve">, </w:t>
      </w:r>
      <w:r w:rsidRPr="003555AE">
        <w:rPr>
          <w:rFonts w:ascii="Palatino Linotype" w:hAnsi="Palatino Linotype"/>
          <w:i/>
          <w:sz w:val="22"/>
          <w:szCs w:val="22"/>
        </w:rPr>
        <w:t>vigilando que se ajuste a las disposiciones de esta Ley y otros ordenamientos aplicables;</w:t>
      </w:r>
      <w:r w:rsidRPr="003555AE">
        <w:rPr>
          <w:rFonts w:ascii="Palatino Linotype" w:eastAsia="Palatino Linotype" w:hAnsi="Palatino Linotype" w:cs="Palatino Linotype"/>
          <w:i/>
          <w:sz w:val="22"/>
          <w:szCs w:val="22"/>
        </w:rPr>
        <w:t xml:space="preserve"> </w:t>
      </w:r>
      <w:r w:rsidR="00CD35B4" w:rsidRPr="003555AE">
        <w:rPr>
          <w:rFonts w:ascii="Palatino Linotype" w:eastAsia="Palatino Linotype" w:hAnsi="Palatino Linotype" w:cs="Palatino Linotype"/>
          <w:i/>
          <w:sz w:val="22"/>
          <w:szCs w:val="22"/>
        </w:rPr>
        <w:t>…”</w:t>
      </w:r>
    </w:p>
    <w:p w14:paraId="067AD0D0" w14:textId="09EC96D0" w:rsidR="00465C2C" w:rsidRPr="003555AE" w:rsidRDefault="00CD35B4" w:rsidP="00B90E8C">
      <w:pPr>
        <w:spacing w:before="240" w:after="240" w:line="360" w:lineRule="auto"/>
        <w:jc w:val="both"/>
        <w:rPr>
          <w:rFonts w:ascii="Palatino Linotype" w:eastAsia="Palatino Linotype" w:hAnsi="Palatino Linotype" w:cs="Palatino Linotype"/>
        </w:rPr>
      </w:pPr>
      <w:r w:rsidRPr="003555AE">
        <w:rPr>
          <w:rFonts w:ascii="Palatino Linotype" w:eastAsia="Palatino Linotype" w:hAnsi="Palatino Linotype" w:cs="Palatino Linotype"/>
        </w:rPr>
        <w:t xml:space="preserve">En los mismos términos el artículo 76 del Bando Municipal de Atlacomulco </w:t>
      </w:r>
      <w:r w:rsidR="00B90E8C" w:rsidRPr="003555AE">
        <w:rPr>
          <w:rFonts w:ascii="Palatino Linotype" w:eastAsia="Palatino Linotype" w:hAnsi="Palatino Linotype" w:cs="Palatino Linotype"/>
        </w:rPr>
        <w:t>dispone que la Tesorería Municipal, es el órgano encargado de la recaudación de los ingresos municipales y responsable de realizar las erogaciones que haga el ayuntamiento, cuyas atribuciones se encuentran establecidas en el artículo 95 de Ley Orgánica Municipal del Estado de México.</w:t>
      </w:r>
    </w:p>
    <w:p w14:paraId="300F20EA" w14:textId="49F00E7F" w:rsidR="00B90E8C" w:rsidRPr="003555AE" w:rsidRDefault="00B90E8C" w:rsidP="00B90E8C">
      <w:pPr>
        <w:spacing w:before="240" w:after="240" w:line="360" w:lineRule="auto"/>
        <w:ind w:right="49"/>
        <w:jc w:val="both"/>
        <w:rPr>
          <w:rFonts w:ascii="Palatino Linotype" w:eastAsia="Palatino Linotype" w:hAnsi="Palatino Linotype" w:cs="Palatino Linotype"/>
        </w:rPr>
      </w:pPr>
      <w:r w:rsidRPr="003555AE">
        <w:rPr>
          <w:rFonts w:ascii="Palatino Linotype" w:eastAsia="Palatino Linotype" w:hAnsi="Palatino Linotype" w:cs="Palatino Linotype"/>
        </w:rPr>
        <w:t xml:space="preserve">En este tenor, se advierte que la Tesorería Municipal cuenta con competencia para generar, administrar y/o poseer la información que es del interés de la persona solicitante, por lo tanto, se colige que la Unidad de Transparencia, en cumplimiento en los artículos 53, fracción IV y  162 de la Ley de Transparencia y Acceso a la Información Pública del Estado de México y Municipios, garantizó el procedimiento de búsqueda, el cual se constituye como la garantía primaria del derecho humano de acceso a la información pública, y se rige por los principios de simplicidad, rapidez, gratuidad del procedimiento, auxilio y orientación a los particulares con el fin de otorgar la protección más amplia de este derecho, en virtud de que llevó a cabo los pasos que le conmina sus funciones, de acuerdo con la referida Ley, ya que solicitó la información a la unidad administrativa que de acuerdo con sus atribuciones puede dar atención a la misma, cuya persona servidora pública </w:t>
      </w:r>
      <w:r w:rsidRPr="003555AE">
        <w:rPr>
          <w:rFonts w:ascii="Palatino Linotype" w:eastAsia="Palatino Linotype" w:hAnsi="Palatino Linotype" w:cs="Palatino Linotype"/>
        </w:rPr>
        <w:lastRenderedPageBreak/>
        <w:t xml:space="preserve">habilitada hizo entrega, en la etapa de manifestaciones, del </w:t>
      </w:r>
      <w:r w:rsidRPr="003555AE">
        <w:rPr>
          <w:rFonts w:ascii="Palatino Linotype" w:eastAsia="Palatino Linotype" w:hAnsi="Palatino Linotype" w:cs="Palatino Linotype"/>
          <w:b/>
        </w:rPr>
        <w:t>documento que da cuenta del presupuesto asignado a</w:t>
      </w:r>
      <w:r w:rsidR="006A5B9B" w:rsidRPr="003555AE">
        <w:rPr>
          <w:rFonts w:ascii="Palatino Linotype" w:eastAsia="Palatino Linotype" w:hAnsi="Palatino Linotype" w:cs="Palatino Linotype"/>
          <w:b/>
        </w:rPr>
        <w:t xml:space="preserve"> cada una de</w:t>
      </w:r>
      <w:r w:rsidRPr="003555AE">
        <w:rPr>
          <w:rFonts w:ascii="Palatino Linotype" w:eastAsia="Palatino Linotype" w:hAnsi="Palatino Linotype" w:cs="Palatino Linotype"/>
          <w:b/>
        </w:rPr>
        <w:t xml:space="preserve"> las </w:t>
      </w:r>
      <w:r w:rsidR="005A6214" w:rsidRPr="003555AE">
        <w:rPr>
          <w:rFonts w:ascii="Palatino Linotype" w:eastAsia="Palatino Linotype" w:hAnsi="Palatino Linotype" w:cs="Palatino Linotype"/>
          <w:b/>
        </w:rPr>
        <w:t xml:space="preserve">unidades administrativas </w:t>
      </w:r>
      <w:r w:rsidRPr="003555AE">
        <w:rPr>
          <w:rFonts w:ascii="Palatino Linotype" w:eastAsia="Palatino Linotype" w:hAnsi="Palatino Linotype" w:cs="Palatino Linotype"/>
          <w:b/>
        </w:rPr>
        <w:t>que integran su estructura orgánica</w:t>
      </w:r>
      <w:r w:rsidR="006A5B9B" w:rsidRPr="003555AE">
        <w:rPr>
          <w:rFonts w:ascii="Palatino Linotype" w:eastAsia="Palatino Linotype" w:hAnsi="Palatino Linotype" w:cs="Palatino Linotype"/>
          <w:b/>
        </w:rPr>
        <w:t>.</w:t>
      </w:r>
    </w:p>
    <w:p w14:paraId="2ED14170" w14:textId="48ABE461" w:rsidR="005A6214" w:rsidRPr="003555AE" w:rsidRDefault="005A6214" w:rsidP="00B90E8C">
      <w:pPr>
        <w:spacing w:before="240" w:after="240" w:line="360" w:lineRule="auto"/>
        <w:ind w:right="49"/>
        <w:jc w:val="both"/>
        <w:rPr>
          <w:rFonts w:ascii="Palatino Linotype" w:hAnsi="Palatino Linotype"/>
        </w:rPr>
      </w:pPr>
      <w:r w:rsidRPr="003555AE">
        <w:rPr>
          <w:rFonts w:ascii="Palatino Linotype" w:eastAsia="Palatino Linotype" w:hAnsi="Palatino Linotype" w:cs="Palatino Linotype"/>
        </w:rPr>
        <w:t xml:space="preserve">Además, cabe señalar que el formato Estado Analítico </w:t>
      </w:r>
      <w:r w:rsidR="00ED3E01" w:rsidRPr="003555AE">
        <w:rPr>
          <w:rFonts w:ascii="Palatino Linotype" w:hAnsi="Palatino Linotype"/>
        </w:rPr>
        <w:t>del Ejercicio del Presupuesto de Egresos, tiene como finalidad informar de manera periódica y confiable sobre el seguimiento del ejercicio de los egresos presupuestarios, es decir, mostrar a una fecha determinada del ejercicio los movimientos y la situación de cada concepto que integran las distintas clasificaciones con la desagregación de las mismas, siendo la estructura de dicho formato la siguiente:</w:t>
      </w:r>
    </w:p>
    <w:p w14:paraId="056539B4" w14:textId="74735E48" w:rsidR="00ED3E01" w:rsidRPr="003555AE" w:rsidRDefault="00ED3E01" w:rsidP="00B90E8C">
      <w:pPr>
        <w:spacing w:before="240" w:after="240" w:line="360" w:lineRule="auto"/>
        <w:ind w:right="49"/>
        <w:jc w:val="both"/>
        <w:rPr>
          <w:rFonts w:ascii="Palatino Linotype" w:eastAsia="Palatino Linotype" w:hAnsi="Palatino Linotype" w:cs="Palatino Linotype"/>
        </w:rPr>
      </w:pPr>
      <w:r w:rsidRPr="003555AE">
        <w:rPr>
          <w:rFonts w:ascii="Palatino Linotype" w:eastAsia="Palatino Linotype" w:hAnsi="Palatino Linotype" w:cs="Palatino Linotype"/>
          <w:noProof/>
        </w:rPr>
        <w:drawing>
          <wp:inline distT="0" distB="0" distL="0" distR="0" wp14:anchorId="08F4E0A1" wp14:editId="69DD3285">
            <wp:extent cx="5612130" cy="315214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3152140"/>
                    </a:xfrm>
                    <a:prstGeom prst="rect">
                      <a:avLst/>
                    </a:prstGeom>
                  </pic:spPr>
                </pic:pic>
              </a:graphicData>
            </a:graphic>
          </wp:inline>
        </w:drawing>
      </w:r>
    </w:p>
    <w:p w14:paraId="0BC534E8" w14:textId="4A530AEB" w:rsidR="00094237" w:rsidRPr="003555AE" w:rsidRDefault="00ED3E01" w:rsidP="00094237">
      <w:pPr>
        <w:spacing w:before="240" w:after="240" w:line="360" w:lineRule="auto"/>
        <w:jc w:val="both"/>
        <w:rPr>
          <w:rFonts w:ascii="Palatino Linotype" w:hAnsi="Palatino Linotype"/>
        </w:rPr>
      </w:pPr>
      <w:r w:rsidRPr="003555AE">
        <w:rPr>
          <w:rFonts w:ascii="Palatino Linotype" w:eastAsia="Palatino Linotype" w:hAnsi="Palatino Linotype" w:cs="Palatino Linotype"/>
        </w:rPr>
        <w:t xml:space="preserve">De conformidad con el Instructivo general de llenado, de los formatos del Estado Analítico del Ejercicio del Presupuesto de Egresos en sus diferentes clasificaciones, </w:t>
      </w:r>
      <w:r w:rsidR="006A5B9B" w:rsidRPr="003555AE">
        <w:rPr>
          <w:rFonts w:ascii="Palatino Linotype" w:eastAsia="Palatino Linotype" w:hAnsi="Palatino Linotype" w:cs="Palatino Linotype"/>
        </w:rPr>
        <w:lastRenderedPageBreak/>
        <w:t xml:space="preserve">la columna “Aprobado” </w:t>
      </w:r>
      <w:r w:rsidRPr="003555AE">
        <w:rPr>
          <w:rFonts w:ascii="Palatino Linotype" w:eastAsia="Palatino Linotype" w:hAnsi="Palatino Linotype" w:cs="Palatino Linotype"/>
          <w:b/>
          <w:u w:val="single"/>
        </w:rPr>
        <w:t xml:space="preserve">refleja </w:t>
      </w:r>
      <w:r w:rsidRPr="003555AE">
        <w:rPr>
          <w:rFonts w:ascii="Palatino Linotype" w:hAnsi="Palatino Linotype"/>
          <w:b/>
          <w:u w:val="single"/>
        </w:rPr>
        <w:t>los montos que se aprueban anualmente en el Presupuesto de Egresos</w:t>
      </w:r>
      <w:r w:rsidRPr="003555AE">
        <w:rPr>
          <w:rFonts w:ascii="Palatino Linotype" w:hAnsi="Palatino Linotype"/>
        </w:rPr>
        <w:t>.</w:t>
      </w:r>
    </w:p>
    <w:p w14:paraId="61FD1831" w14:textId="77777777" w:rsidR="006A5B9B" w:rsidRPr="003555AE" w:rsidRDefault="006A5B9B" w:rsidP="006A5B9B">
      <w:pPr>
        <w:spacing w:before="240" w:after="240" w:line="360" w:lineRule="auto"/>
        <w:jc w:val="both"/>
        <w:rPr>
          <w:rFonts w:ascii="Palatino Linotype" w:eastAsia="Palatino Linotype" w:hAnsi="Palatino Linotype" w:cs="Palatino Linotype"/>
        </w:rPr>
      </w:pPr>
      <w:r w:rsidRPr="003555AE">
        <w:rPr>
          <w:rFonts w:ascii="Palatino Linotype" w:eastAsia="Palatino Linotype" w:hAnsi="Palatino Linotype" w:cs="Palatino Linotype"/>
        </w:rPr>
        <w:t>En este sentido, se estima que el presente caso actualiza el supuesto previsto en el artículo 192, fracción III de la Ley de Transparencia y Acceso a la Información Pública del Estado de México y Municipios vigente, a saber:</w:t>
      </w:r>
    </w:p>
    <w:p w14:paraId="4595EE23" w14:textId="77777777" w:rsidR="006A5B9B" w:rsidRPr="003555AE" w:rsidRDefault="006A5B9B" w:rsidP="006A5B9B">
      <w:pPr>
        <w:spacing w:before="240" w:after="240"/>
        <w:ind w:left="851" w:right="900"/>
        <w:jc w:val="both"/>
        <w:rPr>
          <w:rFonts w:ascii="Palatino Linotype" w:eastAsia="Palatino Linotype" w:hAnsi="Palatino Linotype" w:cs="Palatino Linotype"/>
          <w:i/>
          <w:sz w:val="22"/>
          <w:szCs w:val="22"/>
        </w:rPr>
      </w:pPr>
      <w:r w:rsidRPr="003555AE">
        <w:rPr>
          <w:rFonts w:ascii="Palatino Linotype" w:eastAsia="Palatino Linotype" w:hAnsi="Palatino Linotype" w:cs="Palatino Linotype"/>
          <w:i/>
          <w:sz w:val="22"/>
          <w:szCs w:val="22"/>
        </w:rPr>
        <w:t>“</w:t>
      </w:r>
      <w:r w:rsidRPr="003555AE">
        <w:rPr>
          <w:rFonts w:ascii="Palatino Linotype" w:eastAsia="Palatino Linotype" w:hAnsi="Palatino Linotype" w:cs="Palatino Linotype"/>
          <w:b/>
          <w:i/>
          <w:sz w:val="22"/>
          <w:szCs w:val="22"/>
        </w:rPr>
        <w:t>Artículo 192</w:t>
      </w:r>
      <w:r w:rsidRPr="003555AE">
        <w:rPr>
          <w:rFonts w:ascii="Palatino Linotype" w:eastAsia="Palatino Linotype" w:hAnsi="Palatino Linotype" w:cs="Palatino Linotype"/>
          <w:i/>
          <w:sz w:val="22"/>
          <w:szCs w:val="22"/>
        </w:rPr>
        <w:t xml:space="preserve">. </w:t>
      </w:r>
      <w:r w:rsidRPr="003555AE">
        <w:rPr>
          <w:rFonts w:ascii="Palatino Linotype" w:eastAsia="Palatino Linotype" w:hAnsi="Palatino Linotype" w:cs="Palatino Linotype"/>
          <w:b/>
          <w:i/>
          <w:sz w:val="22"/>
          <w:szCs w:val="22"/>
        </w:rPr>
        <w:t>El recurso será sobreseído</w:t>
      </w:r>
      <w:r w:rsidRPr="003555AE">
        <w:rPr>
          <w:rFonts w:ascii="Palatino Linotype" w:eastAsia="Palatino Linotype" w:hAnsi="Palatino Linotype" w:cs="Palatino Linotype"/>
          <w:i/>
          <w:sz w:val="22"/>
          <w:szCs w:val="22"/>
        </w:rPr>
        <w:t xml:space="preserve">, </w:t>
      </w:r>
      <w:r w:rsidRPr="003555AE">
        <w:rPr>
          <w:rFonts w:ascii="Palatino Linotype" w:eastAsia="Palatino Linotype" w:hAnsi="Palatino Linotype" w:cs="Palatino Linotype"/>
          <w:b/>
          <w:i/>
          <w:sz w:val="22"/>
          <w:szCs w:val="22"/>
        </w:rPr>
        <w:t>en todo o en parte,</w:t>
      </w:r>
      <w:r w:rsidRPr="003555AE">
        <w:rPr>
          <w:rFonts w:ascii="Palatino Linotype" w:eastAsia="Palatino Linotype" w:hAnsi="Palatino Linotype" w:cs="Palatino Linotype"/>
          <w:i/>
          <w:sz w:val="22"/>
          <w:szCs w:val="22"/>
        </w:rPr>
        <w:t xml:space="preserve"> </w:t>
      </w:r>
      <w:r w:rsidRPr="003555AE">
        <w:rPr>
          <w:rFonts w:ascii="Palatino Linotype" w:eastAsia="Palatino Linotype" w:hAnsi="Palatino Linotype" w:cs="Palatino Linotype"/>
          <w:b/>
          <w:i/>
          <w:sz w:val="22"/>
          <w:szCs w:val="22"/>
        </w:rPr>
        <w:t>cuando una vez admitido, se actualicen alguno de los siguientes supuestos</w:t>
      </w:r>
      <w:r w:rsidRPr="003555AE">
        <w:rPr>
          <w:rFonts w:ascii="Palatino Linotype" w:eastAsia="Palatino Linotype" w:hAnsi="Palatino Linotype" w:cs="Palatino Linotype"/>
          <w:i/>
          <w:sz w:val="22"/>
          <w:szCs w:val="22"/>
        </w:rPr>
        <w:t xml:space="preserve">: </w:t>
      </w:r>
    </w:p>
    <w:p w14:paraId="23DD827E" w14:textId="77777777" w:rsidR="006A5B9B" w:rsidRPr="003555AE" w:rsidRDefault="006A5B9B" w:rsidP="006A5B9B">
      <w:pPr>
        <w:spacing w:before="240" w:after="240"/>
        <w:ind w:left="1134" w:right="900"/>
        <w:jc w:val="both"/>
        <w:rPr>
          <w:rFonts w:ascii="Palatino Linotype" w:eastAsia="Palatino Linotype" w:hAnsi="Palatino Linotype" w:cs="Palatino Linotype"/>
          <w:i/>
          <w:sz w:val="22"/>
          <w:szCs w:val="22"/>
        </w:rPr>
      </w:pPr>
      <w:r w:rsidRPr="003555AE">
        <w:rPr>
          <w:rFonts w:ascii="Palatino Linotype" w:eastAsia="Palatino Linotype" w:hAnsi="Palatino Linotype" w:cs="Palatino Linotype"/>
          <w:i/>
          <w:sz w:val="22"/>
          <w:szCs w:val="22"/>
        </w:rPr>
        <w:t>(…)</w:t>
      </w:r>
    </w:p>
    <w:p w14:paraId="03E3E415" w14:textId="77777777" w:rsidR="006A5B9B" w:rsidRPr="003555AE" w:rsidRDefault="006A5B9B" w:rsidP="006A5B9B">
      <w:pPr>
        <w:spacing w:before="240" w:after="240"/>
        <w:ind w:left="1134" w:right="900"/>
        <w:jc w:val="both"/>
        <w:rPr>
          <w:rFonts w:ascii="Palatino Linotype" w:eastAsia="Palatino Linotype" w:hAnsi="Palatino Linotype" w:cs="Palatino Linotype"/>
          <w:i/>
          <w:sz w:val="22"/>
          <w:szCs w:val="22"/>
        </w:rPr>
      </w:pPr>
      <w:r w:rsidRPr="003555AE">
        <w:rPr>
          <w:rFonts w:ascii="Palatino Linotype" w:eastAsia="Palatino Linotype" w:hAnsi="Palatino Linotype" w:cs="Palatino Linotype"/>
          <w:b/>
          <w:i/>
          <w:sz w:val="22"/>
          <w:szCs w:val="22"/>
        </w:rPr>
        <w:t>III. El sujeto obligado responsable del acto, lo modifique o revoque de tal manera que el recurso de revisión quede sin materia...</w:t>
      </w:r>
      <w:r w:rsidRPr="003555AE">
        <w:rPr>
          <w:rFonts w:ascii="Palatino Linotype" w:eastAsia="Palatino Linotype" w:hAnsi="Palatino Linotype" w:cs="Palatino Linotype"/>
          <w:i/>
          <w:sz w:val="22"/>
          <w:szCs w:val="22"/>
        </w:rPr>
        <w:t>”</w:t>
      </w:r>
    </w:p>
    <w:p w14:paraId="58B1B7F8" w14:textId="77777777" w:rsidR="006A5B9B" w:rsidRPr="003555AE" w:rsidRDefault="006A5B9B" w:rsidP="006A5B9B">
      <w:pPr>
        <w:spacing w:before="240" w:after="240" w:line="360" w:lineRule="auto"/>
        <w:jc w:val="both"/>
        <w:rPr>
          <w:rFonts w:ascii="Palatino Linotype" w:eastAsia="Palatino Linotype" w:hAnsi="Palatino Linotype" w:cs="Palatino Linotype"/>
        </w:rPr>
      </w:pPr>
      <w:r w:rsidRPr="003555AE">
        <w:rPr>
          <w:rFonts w:ascii="Palatino Linotype" w:eastAsia="Palatino Linotype" w:hAnsi="Palatino Linotype" w:cs="Palatino Linotype"/>
        </w:rPr>
        <w:t>De lo establecido en el precepto legal citado se advierte que el sobreseimiento del recurso de revisión procede en los siguientes casos:</w:t>
      </w:r>
    </w:p>
    <w:p w14:paraId="34EB83BB" w14:textId="77777777" w:rsidR="006A5B9B" w:rsidRPr="003555AE" w:rsidRDefault="006A5B9B" w:rsidP="006A5B9B">
      <w:pPr>
        <w:spacing w:before="240" w:after="240" w:line="360" w:lineRule="auto"/>
        <w:ind w:left="284"/>
        <w:jc w:val="both"/>
        <w:rPr>
          <w:rFonts w:ascii="Palatino Linotype" w:eastAsia="Palatino Linotype" w:hAnsi="Palatino Linotype" w:cs="Palatino Linotype"/>
        </w:rPr>
      </w:pPr>
      <w:bookmarkStart w:id="8" w:name="_heading=h.4d34og8" w:colFirst="0" w:colLast="0"/>
      <w:bookmarkEnd w:id="8"/>
      <w:r w:rsidRPr="003555AE">
        <w:rPr>
          <w:rFonts w:ascii="Palatino Linotype" w:eastAsia="Palatino Linotype" w:hAnsi="Palatino Linotype" w:cs="Palatino Linotype"/>
        </w:rPr>
        <w:t xml:space="preserve">a) Cuando el sujeto obligado modifique el acto impugnado. </w:t>
      </w:r>
    </w:p>
    <w:p w14:paraId="4A296038" w14:textId="77777777" w:rsidR="006A5B9B" w:rsidRPr="003555AE" w:rsidRDefault="006A5B9B" w:rsidP="006A5B9B">
      <w:pPr>
        <w:spacing w:before="240" w:after="240" w:line="360" w:lineRule="auto"/>
        <w:ind w:left="284"/>
        <w:jc w:val="both"/>
        <w:rPr>
          <w:rFonts w:ascii="Palatino Linotype" w:eastAsia="Palatino Linotype" w:hAnsi="Palatino Linotype" w:cs="Palatino Linotype"/>
        </w:rPr>
      </w:pPr>
      <w:r w:rsidRPr="003555AE">
        <w:rPr>
          <w:rFonts w:ascii="Palatino Linotype" w:eastAsia="Palatino Linotype" w:hAnsi="Palatino Linotype" w:cs="Palatino Linotype"/>
        </w:rPr>
        <w:t xml:space="preserve">b) Cuando el sujeto obligado revoque el acto impugnado; </w:t>
      </w:r>
    </w:p>
    <w:p w14:paraId="305D2288" w14:textId="77777777" w:rsidR="006A5B9B" w:rsidRPr="003555AE" w:rsidRDefault="006A5B9B" w:rsidP="006A5B9B">
      <w:pPr>
        <w:spacing w:before="240" w:after="240" w:line="360" w:lineRule="auto"/>
        <w:jc w:val="both"/>
        <w:rPr>
          <w:rFonts w:ascii="Palatino Linotype" w:eastAsia="Palatino Linotype" w:hAnsi="Palatino Linotype" w:cs="Palatino Linotype"/>
        </w:rPr>
      </w:pPr>
      <w:r w:rsidRPr="003555AE">
        <w:rPr>
          <w:rFonts w:ascii="Palatino Linotype" w:eastAsia="Palatino Linotype" w:hAnsi="Palatino Linotype" w:cs="Palatino Linotype"/>
        </w:rPr>
        <w:t>Quedando en ambos casos el acto combatido sin materia o sin efectos.</w:t>
      </w:r>
    </w:p>
    <w:p w14:paraId="00027B40" w14:textId="77777777" w:rsidR="006A5B9B" w:rsidRPr="003555AE" w:rsidRDefault="006A5B9B" w:rsidP="006A5B9B">
      <w:pPr>
        <w:spacing w:before="240" w:after="240" w:line="360" w:lineRule="auto"/>
        <w:jc w:val="both"/>
        <w:rPr>
          <w:rFonts w:ascii="Palatino Linotype" w:eastAsia="Palatino Linotype" w:hAnsi="Palatino Linotype" w:cs="Palatino Linotype"/>
          <w:b/>
        </w:rPr>
      </w:pPr>
      <w:r w:rsidRPr="003555AE">
        <w:rPr>
          <w:rFonts w:ascii="Palatino Linotype" w:eastAsia="Palatino Linotype" w:hAnsi="Palatino Linotype" w:cs="Palatino Linotype"/>
        </w:rPr>
        <w:t>Como se observa de lo anterior, un acto impugnado es modificado en aquellos casos en los que el Sujeto Obligado después de haber otorgado una respuesta, o haber omitido hacerlo (acto de no hacer), emite una o una diversa de manera posterior y en esta subsana las deficiencias que hubiera tenido, quedando satisfecho el derecho subjetivo accionado por la parte Recurrente</w:t>
      </w:r>
      <w:r w:rsidRPr="003555AE">
        <w:rPr>
          <w:rFonts w:ascii="Palatino Linotype" w:eastAsia="Palatino Linotype" w:hAnsi="Palatino Linotype" w:cs="Palatino Linotype"/>
          <w:b/>
        </w:rPr>
        <w:t>.</w:t>
      </w:r>
    </w:p>
    <w:p w14:paraId="7A3EF06E" w14:textId="77777777" w:rsidR="006A5B9B" w:rsidRPr="003555AE" w:rsidRDefault="006A5B9B" w:rsidP="006A5B9B">
      <w:pPr>
        <w:spacing w:before="240" w:after="240" w:line="360" w:lineRule="auto"/>
        <w:jc w:val="both"/>
        <w:rPr>
          <w:rFonts w:ascii="Palatino Linotype" w:eastAsia="Palatino Linotype" w:hAnsi="Palatino Linotype" w:cs="Palatino Linotype"/>
        </w:rPr>
      </w:pPr>
      <w:r w:rsidRPr="003555AE">
        <w:rPr>
          <w:rFonts w:ascii="Palatino Linotype" w:eastAsia="Palatino Linotype" w:hAnsi="Palatino Linotype" w:cs="Palatino Linotype"/>
        </w:rPr>
        <w:lastRenderedPageBreak/>
        <w:t>Por lo que hace a la revocación, ésta se actualiza cuando el Sujeto Obligado deja sin efectos la primera respuesta o su primer acto y en su lugar emite otro con las características y cualidades suficientes para dejar satisfecho el ejercicio del derecho al acceso a la información pública.</w:t>
      </w:r>
    </w:p>
    <w:p w14:paraId="5B9AB647" w14:textId="77777777" w:rsidR="006A5B9B" w:rsidRPr="003555AE" w:rsidRDefault="006A5B9B" w:rsidP="006A5B9B">
      <w:pPr>
        <w:spacing w:before="240" w:after="240" w:line="360" w:lineRule="auto"/>
        <w:jc w:val="both"/>
        <w:rPr>
          <w:rFonts w:ascii="Palatino Linotype" w:eastAsia="Palatino Linotype" w:hAnsi="Palatino Linotype" w:cs="Palatino Linotype"/>
        </w:rPr>
      </w:pPr>
      <w:r w:rsidRPr="003555AE">
        <w:rPr>
          <w:rFonts w:ascii="Palatino Linotype" w:eastAsia="Palatino Linotype" w:hAnsi="Palatino Linotype" w:cs="Palatino Linotype"/>
        </w:rPr>
        <w:t>En este orden de ideas, un acto impugnado queda sin efectos, cuando aun existiendo jurídicamente (esto es, que no se ha modificado, ni revocado) ya no genera ninguna consecuencia legal.</w:t>
      </w:r>
    </w:p>
    <w:p w14:paraId="594FB568" w14:textId="77777777" w:rsidR="006A5B9B" w:rsidRPr="003555AE" w:rsidRDefault="006A5B9B" w:rsidP="006A5B9B">
      <w:pPr>
        <w:spacing w:before="240" w:after="240" w:line="360" w:lineRule="auto"/>
        <w:jc w:val="both"/>
        <w:rPr>
          <w:rFonts w:ascii="Palatino Linotype" w:eastAsia="Palatino Linotype" w:hAnsi="Palatino Linotype" w:cs="Palatino Linotype"/>
        </w:rPr>
      </w:pPr>
      <w:r w:rsidRPr="003555AE">
        <w:rPr>
          <w:rFonts w:ascii="Palatino Linotype" w:eastAsia="Palatino Linotype" w:hAnsi="Palatino Linotype" w:cs="Palatino Linotype"/>
        </w:rPr>
        <w:t>En tanto que, un acto impugnado queda sin materia, cuando ha sido satisfecha la pretensión de la parte Recurrente de manera que el Sujeto Obligado entrega una respuesta, aunque sea posterior a los términos previstos en la ley y mediante ésta concede la información solicitada.</w:t>
      </w:r>
    </w:p>
    <w:p w14:paraId="61EF3B09" w14:textId="77777777" w:rsidR="006A5B9B" w:rsidRPr="003555AE" w:rsidRDefault="006A5B9B" w:rsidP="006A5B9B">
      <w:pPr>
        <w:spacing w:before="240" w:after="240" w:line="360" w:lineRule="auto"/>
        <w:jc w:val="both"/>
        <w:rPr>
          <w:rFonts w:ascii="Palatino Linotype" w:eastAsia="Palatino Linotype" w:hAnsi="Palatino Linotype" w:cs="Palatino Linotype"/>
        </w:rPr>
      </w:pPr>
      <w:r w:rsidRPr="003555AE">
        <w:rPr>
          <w:rFonts w:ascii="Palatino Linotype" w:eastAsia="Palatino Linotype" w:hAnsi="Palatino Linotype" w:cs="Palatino Linotype"/>
        </w:rPr>
        <w:t xml:space="preserve">Con base en los argumentos expuestos, resulta evidente que en el presente asunto, el </w:t>
      </w:r>
      <w:r w:rsidRPr="003555AE">
        <w:rPr>
          <w:rFonts w:ascii="Palatino Linotype" w:eastAsia="Palatino Linotype" w:hAnsi="Palatino Linotype" w:cs="Palatino Linotype"/>
          <w:b/>
        </w:rPr>
        <w:t>Sujeto Obligado</w:t>
      </w:r>
      <w:r w:rsidRPr="003555AE">
        <w:rPr>
          <w:rFonts w:ascii="Palatino Linotype" w:eastAsia="Palatino Linotype" w:hAnsi="Palatino Linotype" w:cs="Palatino Linotype"/>
        </w:rPr>
        <w:t xml:space="preserve"> modificó la respuesta a la solicitud de la persona solicitante, aunque ello haya sido de manera posterior a su respuesta inicial, información que se hizo su conocimiento con la finalidad de que manifestara lo que a su derecho estimara conveniente, sin que obre constancia en el expediente electrónico de que hubiera ejercido dicha prerrogativa hasta el momento de decretar el cierre de instrucción correspondiente. </w:t>
      </w:r>
    </w:p>
    <w:p w14:paraId="5837BB12" w14:textId="77777777" w:rsidR="006A5B9B" w:rsidRPr="003555AE" w:rsidRDefault="006A5B9B" w:rsidP="006A5B9B">
      <w:pPr>
        <w:spacing w:before="240" w:after="240" w:line="360" w:lineRule="auto"/>
        <w:jc w:val="both"/>
        <w:rPr>
          <w:rFonts w:ascii="Palatino Linotype" w:eastAsia="Palatino Linotype" w:hAnsi="Palatino Linotype" w:cs="Palatino Linotype"/>
        </w:rPr>
      </w:pPr>
      <w:r w:rsidRPr="003555AE">
        <w:rPr>
          <w:rFonts w:ascii="Palatino Linotype" w:eastAsia="Palatino Linotype" w:hAnsi="Palatino Linotype" w:cs="Palatino Linotype"/>
        </w:rPr>
        <w:t xml:space="preserve">Es así que se concluye que la información remitida por el </w:t>
      </w:r>
      <w:r w:rsidRPr="003555AE">
        <w:rPr>
          <w:rFonts w:ascii="Palatino Linotype" w:eastAsia="Palatino Linotype" w:hAnsi="Palatino Linotype" w:cs="Palatino Linotype"/>
          <w:b/>
        </w:rPr>
        <w:t xml:space="preserve">Sujeto Obligado </w:t>
      </w:r>
      <w:r w:rsidRPr="003555AE">
        <w:rPr>
          <w:rFonts w:ascii="Palatino Linotype" w:eastAsia="Palatino Linotype" w:hAnsi="Palatino Linotype" w:cs="Palatino Linotype"/>
        </w:rPr>
        <w:t>en la etapa de manifestaciones satisface el requerimiento de información combatido, con lo cual quedó sin materia el presente recurso de revisión, actualizando entonces la causal prevista en la fracción III del artículo 192 de la Ley de Transparencia y Acceso a la Información Pública del Estado de México y Municipios, a saber:</w:t>
      </w:r>
    </w:p>
    <w:p w14:paraId="6D108501" w14:textId="77777777" w:rsidR="006A5B9B" w:rsidRPr="003555AE" w:rsidRDefault="006A5B9B" w:rsidP="006A5B9B">
      <w:pPr>
        <w:spacing w:before="120" w:after="120"/>
        <w:ind w:left="851" w:right="902"/>
        <w:jc w:val="both"/>
        <w:rPr>
          <w:rFonts w:ascii="Palatino Linotype" w:eastAsia="Palatino Linotype" w:hAnsi="Palatino Linotype" w:cs="Palatino Linotype"/>
          <w:i/>
          <w:sz w:val="22"/>
          <w:szCs w:val="22"/>
        </w:rPr>
      </w:pPr>
      <w:r w:rsidRPr="003555AE">
        <w:rPr>
          <w:rFonts w:ascii="Palatino Linotype" w:eastAsia="Palatino Linotype" w:hAnsi="Palatino Linotype" w:cs="Palatino Linotype"/>
          <w:i/>
          <w:sz w:val="20"/>
          <w:szCs w:val="20"/>
        </w:rPr>
        <w:lastRenderedPageBreak/>
        <w:t>“</w:t>
      </w:r>
      <w:r w:rsidRPr="003555AE">
        <w:rPr>
          <w:rFonts w:ascii="Palatino Linotype" w:eastAsia="Palatino Linotype" w:hAnsi="Palatino Linotype" w:cs="Palatino Linotype"/>
          <w:b/>
          <w:i/>
          <w:sz w:val="22"/>
          <w:szCs w:val="22"/>
        </w:rPr>
        <w:t xml:space="preserve">Artículo </w:t>
      </w:r>
      <w:r w:rsidRPr="003555AE">
        <w:rPr>
          <w:rFonts w:ascii="Palatino Linotype" w:eastAsia="Palatino Linotype" w:hAnsi="Palatino Linotype" w:cs="Palatino Linotype"/>
          <w:i/>
          <w:sz w:val="22"/>
          <w:szCs w:val="22"/>
        </w:rPr>
        <w:t>192. El recurso será sobreseído, en todo o en parte, cuando una vez admitido, se actualicen alguno de los siguientes supuestos:</w:t>
      </w:r>
    </w:p>
    <w:p w14:paraId="2DCB6941" w14:textId="77777777" w:rsidR="006A5B9B" w:rsidRPr="003555AE" w:rsidRDefault="006A5B9B" w:rsidP="006A5B9B">
      <w:pPr>
        <w:spacing w:before="120" w:after="120"/>
        <w:ind w:left="1134" w:right="902"/>
        <w:jc w:val="both"/>
        <w:rPr>
          <w:rFonts w:ascii="Palatino Linotype" w:eastAsia="Palatino Linotype" w:hAnsi="Palatino Linotype" w:cs="Palatino Linotype"/>
          <w:i/>
          <w:sz w:val="22"/>
          <w:szCs w:val="22"/>
        </w:rPr>
      </w:pPr>
      <w:r w:rsidRPr="003555AE">
        <w:rPr>
          <w:rFonts w:ascii="Palatino Linotype" w:eastAsia="Palatino Linotype" w:hAnsi="Palatino Linotype" w:cs="Palatino Linotype"/>
          <w:i/>
          <w:sz w:val="22"/>
          <w:szCs w:val="22"/>
        </w:rPr>
        <w:t>...</w:t>
      </w:r>
    </w:p>
    <w:p w14:paraId="6F91C00C" w14:textId="77777777" w:rsidR="006A5B9B" w:rsidRPr="003555AE" w:rsidRDefault="006A5B9B" w:rsidP="006A5B9B">
      <w:pPr>
        <w:spacing w:before="120" w:after="120"/>
        <w:ind w:left="1134" w:right="902"/>
        <w:jc w:val="both"/>
        <w:rPr>
          <w:rFonts w:ascii="Palatino Linotype" w:eastAsia="Palatino Linotype" w:hAnsi="Palatino Linotype" w:cs="Palatino Linotype"/>
          <w:i/>
          <w:sz w:val="22"/>
          <w:szCs w:val="22"/>
        </w:rPr>
      </w:pPr>
      <w:r w:rsidRPr="003555AE">
        <w:rPr>
          <w:rFonts w:ascii="Palatino Linotype" w:eastAsia="Palatino Linotype" w:hAnsi="Palatino Linotype" w:cs="Palatino Linotype"/>
          <w:b/>
          <w:i/>
          <w:sz w:val="22"/>
          <w:szCs w:val="22"/>
        </w:rPr>
        <w:t>III</w:t>
      </w:r>
      <w:r w:rsidRPr="003555AE">
        <w:rPr>
          <w:rFonts w:ascii="Palatino Linotype" w:eastAsia="Palatino Linotype" w:hAnsi="Palatino Linotype" w:cs="Palatino Linotype"/>
          <w:i/>
          <w:sz w:val="22"/>
          <w:szCs w:val="22"/>
        </w:rPr>
        <w:t>. El sujeto obligado responsable del acto lo modifique o revoque de tal manera que el recurso de revisión quede sin materia;”</w:t>
      </w:r>
    </w:p>
    <w:p w14:paraId="4581799B" w14:textId="77777777" w:rsidR="006A5B9B" w:rsidRPr="003555AE" w:rsidRDefault="006A5B9B" w:rsidP="006A5B9B">
      <w:pPr>
        <w:spacing w:before="240" w:after="240" w:line="360" w:lineRule="auto"/>
        <w:jc w:val="both"/>
        <w:rPr>
          <w:rFonts w:ascii="Palatino Linotype" w:eastAsia="Palatino Linotype" w:hAnsi="Palatino Linotype" w:cs="Palatino Linotype"/>
          <w:b/>
        </w:rPr>
      </w:pPr>
      <w:r w:rsidRPr="003555AE">
        <w:rPr>
          <w:rFonts w:ascii="Palatino Linotype" w:eastAsia="Palatino Linotype" w:hAnsi="Palatino Linotype" w:cs="Palatino Linotype"/>
        </w:rPr>
        <w:t xml:space="preserve">El </w:t>
      </w:r>
      <w:r w:rsidRPr="003555AE">
        <w:rPr>
          <w:rFonts w:ascii="Palatino Linotype" w:eastAsia="Palatino Linotype" w:hAnsi="Palatino Linotype" w:cs="Palatino Linotype"/>
          <w:i/>
        </w:rPr>
        <w:t>sobreseimiento</w:t>
      </w:r>
      <w:r w:rsidRPr="003555AE">
        <w:rPr>
          <w:rFonts w:ascii="Palatino Linotype" w:eastAsia="Palatino Linotype" w:hAnsi="Palatino Linotype" w:cs="Palatino Linotype"/>
        </w:rPr>
        <w:t xml:space="preserve"> es un acto que da por terminado el procedimiento administrativo de impugnación por alguna causa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3555AE">
        <w:rPr>
          <w:rFonts w:ascii="Palatino Linotype" w:eastAsia="Palatino Linotype" w:hAnsi="Palatino Linotype" w:cs="Palatino Linotype"/>
          <w:b/>
        </w:rPr>
        <w:t>SOBRESEIMIENTO, NO PERMITE ENTRAR AL ESTUDIO DE LAS CUESTIONES DE FONDO</w:t>
      </w:r>
      <w:r w:rsidRPr="003555AE">
        <w:rPr>
          <w:rFonts w:ascii="Palatino Linotype" w:eastAsia="Palatino Linotype" w:hAnsi="Palatino Linotype" w:cs="Palatino Linotype"/>
          <w:b/>
          <w:vertAlign w:val="superscript"/>
        </w:rPr>
        <w:footnoteReference w:id="1"/>
      </w:r>
      <w:r w:rsidRPr="003555AE">
        <w:rPr>
          <w:rFonts w:ascii="Palatino Linotype" w:eastAsia="Palatino Linotype" w:hAnsi="Palatino Linotype" w:cs="Palatino Linotype"/>
          <w:b/>
        </w:rPr>
        <w:t>.</w:t>
      </w:r>
    </w:p>
    <w:p w14:paraId="425C6C14" w14:textId="77777777" w:rsidR="00C53D21" w:rsidRPr="003555AE" w:rsidRDefault="000A4FA3">
      <w:pPr>
        <w:spacing w:before="240" w:after="240" w:line="360" w:lineRule="auto"/>
        <w:jc w:val="both"/>
        <w:rPr>
          <w:rFonts w:ascii="Palatino Linotype" w:eastAsia="Palatino Linotype" w:hAnsi="Palatino Linotype" w:cs="Palatino Linotype"/>
        </w:rPr>
      </w:pPr>
      <w:r w:rsidRPr="003555AE">
        <w:rPr>
          <w:rFonts w:ascii="Palatino Linotype" w:eastAsia="Palatino Linotype" w:hAnsi="Palatino Linotype" w:cs="Palatino Linotype"/>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6EAB031F" w14:textId="77777777" w:rsidR="00C53D21" w:rsidRPr="003555AE" w:rsidRDefault="000A4FA3">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3555AE">
        <w:rPr>
          <w:rFonts w:ascii="Palatino Linotype" w:eastAsia="Palatino Linotype" w:hAnsi="Palatino Linotype" w:cs="Palatino Linotype"/>
          <w:b/>
        </w:rPr>
        <w:t>III. R E S U E L V E</w:t>
      </w:r>
    </w:p>
    <w:p w14:paraId="1D741B09" w14:textId="092EC424" w:rsidR="00DF6EB5" w:rsidRPr="003555AE" w:rsidRDefault="00DF6EB5" w:rsidP="00DF6EB5">
      <w:pPr>
        <w:spacing w:before="160" w:line="360" w:lineRule="auto"/>
        <w:jc w:val="both"/>
        <w:rPr>
          <w:rFonts w:ascii="Palatino Linotype" w:eastAsia="Palatino Linotype" w:hAnsi="Palatino Linotype" w:cs="Palatino Linotype"/>
        </w:rPr>
      </w:pPr>
      <w:bookmarkStart w:id="9" w:name="_heading=h.1t3h5sf" w:colFirst="0" w:colLast="0"/>
      <w:bookmarkStart w:id="10" w:name="_heading=h.lnxbz9" w:colFirst="0" w:colLast="0"/>
      <w:bookmarkEnd w:id="9"/>
      <w:bookmarkEnd w:id="10"/>
      <w:r w:rsidRPr="003555AE">
        <w:rPr>
          <w:rFonts w:ascii="Palatino Linotype" w:eastAsia="Palatino Linotype" w:hAnsi="Palatino Linotype" w:cs="Palatino Linotype"/>
          <w:b/>
        </w:rPr>
        <w:t xml:space="preserve">Primero. </w:t>
      </w:r>
      <w:r w:rsidRPr="003555AE">
        <w:rPr>
          <w:rFonts w:ascii="Palatino Linotype" w:eastAsia="Palatino Linotype" w:hAnsi="Palatino Linotype" w:cs="Palatino Linotype"/>
        </w:rPr>
        <w:t>Se</w:t>
      </w:r>
      <w:r w:rsidRPr="003555AE">
        <w:rPr>
          <w:rFonts w:ascii="Palatino Linotype" w:eastAsia="Palatino Linotype" w:hAnsi="Palatino Linotype" w:cs="Palatino Linotype"/>
          <w:b/>
        </w:rPr>
        <w:t xml:space="preserve"> Sobresee </w:t>
      </w:r>
      <w:r w:rsidRPr="003555AE">
        <w:rPr>
          <w:rFonts w:ascii="Palatino Linotype" w:eastAsia="Palatino Linotype" w:hAnsi="Palatino Linotype" w:cs="Palatino Linotype"/>
        </w:rPr>
        <w:t xml:space="preserve">el recurso de revisión número </w:t>
      </w:r>
      <w:r w:rsidRPr="003555AE">
        <w:rPr>
          <w:rFonts w:ascii="Palatino Linotype" w:eastAsia="Palatino Linotype" w:hAnsi="Palatino Linotype" w:cs="Palatino Linotype"/>
          <w:b/>
        </w:rPr>
        <w:t xml:space="preserve">07594/INFOEM/IP/RR/2025, </w:t>
      </w:r>
      <w:r w:rsidRPr="003555AE">
        <w:rPr>
          <w:rFonts w:ascii="Palatino Linotype" w:eastAsia="Palatino Linotype" w:hAnsi="Palatino Linotype" w:cs="Palatino Linotype"/>
        </w:rPr>
        <w:t xml:space="preserve">porque al </w:t>
      </w:r>
      <w:r w:rsidRPr="003555AE">
        <w:rPr>
          <w:rFonts w:ascii="Palatino Linotype" w:eastAsia="Palatino Linotype" w:hAnsi="Palatino Linotype" w:cs="Palatino Linotype"/>
          <w:b/>
        </w:rPr>
        <w:t>modificar la respuesta</w:t>
      </w:r>
      <w:r w:rsidRPr="003555AE">
        <w:rPr>
          <w:rFonts w:ascii="Palatino Linotype" w:eastAsia="Palatino Linotype" w:hAnsi="Palatino Linotype" w:cs="Palatino Linotype"/>
        </w:rPr>
        <w:t xml:space="preserve"> se actualizó la causal prevista en el artículo 192, </w:t>
      </w:r>
      <w:r w:rsidRPr="003555AE">
        <w:rPr>
          <w:rFonts w:ascii="Palatino Linotype" w:eastAsia="Palatino Linotype" w:hAnsi="Palatino Linotype" w:cs="Palatino Linotype"/>
        </w:rPr>
        <w:lastRenderedPageBreak/>
        <w:t xml:space="preserve">fracción III, de la Ley de Transparencia y Acceso a la Información Pública del Estado de México y Municipios, quedando sin materia en términos del considerando </w:t>
      </w:r>
      <w:r w:rsidRPr="003555AE">
        <w:rPr>
          <w:rFonts w:ascii="Palatino Linotype" w:eastAsia="Palatino Linotype" w:hAnsi="Palatino Linotype" w:cs="Palatino Linotype"/>
          <w:b/>
        </w:rPr>
        <w:t xml:space="preserve">Tercero </w:t>
      </w:r>
      <w:r w:rsidRPr="003555AE">
        <w:rPr>
          <w:rFonts w:ascii="Palatino Linotype" w:eastAsia="Palatino Linotype" w:hAnsi="Palatino Linotype" w:cs="Palatino Linotype"/>
        </w:rPr>
        <w:t>de la presente Resolución.</w:t>
      </w:r>
    </w:p>
    <w:p w14:paraId="0A3DF620" w14:textId="77777777" w:rsidR="00DF6EB5" w:rsidRPr="003555AE" w:rsidRDefault="00DF6EB5" w:rsidP="00DF6EB5">
      <w:pPr>
        <w:spacing w:before="240" w:after="240" w:line="360" w:lineRule="auto"/>
        <w:jc w:val="both"/>
        <w:rPr>
          <w:rFonts w:ascii="Palatino Linotype" w:eastAsia="Palatino Linotype" w:hAnsi="Palatino Linotype" w:cs="Palatino Linotype"/>
        </w:rPr>
      </w:pPr>
      <w:r w:rsidRPr="003555AE">
        <w:rPr>
          <w:rFonts w:ascii="Palatino Linotype" w:eastAsia="Palatino Linotype" w:hAnsi="Palatino Linotype" w:cs="Palatino Linotype"/>
          <w:b/>
        </w:rPr>
        <w:t xml:space="preserve">Segundo. Notifíquese, </w:t>
      </w:r>
      <w:r w:rsidRPr="003555AE">
        <w:rPr>
          <w:rFonts w:ascii="Palatino Linotype" w:eastAsia="Palatino Linotype" w:hAnsi="Palatino Linotype" w:cs="Palatino Linotype"/>
        </w:rPr>
        <w:t>vía</w:t>
      </w:r>
      <w:r w:rsidRPr="003555AE">
        <w:rPr>
          <w:rFonts w:ascii="Palatino Linotype" w:eastAsia="Palatino Linotype" w:hAnsi="Palatino Linotype" w:cs="Palatino Linotype"/>
          <w:b/>
        </w:rPr>
        <w:t xml:space="preserve"> SAIMEX</w:t>
      </w:r>
      <w:r w:rsidRPr="003555AE">
        <w:rPr>
          <w:rFonts w:ascii="Palatino Linotype" w:eastAsia="Palatino Linotype" w:hAnsi="Palatino Linotype" w:cs="Palatino Linotype"/>
          <w:b/>
          <w:i/>
        </w:rPr>
        <w:t xml:space="preserve">, </w:t>
      </w:r>
      <w:r w:rsidRPr="003555AE">
        <w:rPr>
          <w:rFonts w:ascii="Palatino Linotype" w:eastAsia="Palatino Linotype" w:hAnsi="Palatino Linotype" w:cs="Palatino Linotype"/>
        </w:rPr>
        <w:t xml:space="preserve">al Titular de la Unidad de Transparencia del </w:t>
      </w:r>
      <w:r w:rsidRPr="003555AE">
        <w:rPr>
          <w:rFonts w:ascii="Palatino Linotype" w:eastAsia="Palatino Linotype" w:hAnsi="Palatino Linotype" w:cs="Palatino Linotype"/>
          <w:b/>
        </w:rPr>
        <w:t>Sujeto Obligado</w:t>
      </w:r>
      <w:r w:rsidRPr="003555AE">
        <w:rPr>
          <w:rFonts w:ascii="Palatino Linotype" w:eastAsia="Palatino Linotype" w:hAnsi="Palatino Linotype" w:cs="Palatino Linotype"/>
        </w:rPr>
        <w:t xml:space="preserve"> la presente resolución, para su conocimiento.</w:t>
      </w:r>
    </w:p>
    <w:p w14:paraId="0617D28A" w14:textId="77777777" w:rsidR="00DF6EB5" w:rsidRPr="003555AE" w:rsidRDefault="00DF6EB5" w:rsidP="00DF6EB5">
      <w:pPr>
        <w:spacing w:before="240" w:after="240" w:line="360" w:lineRule="auto"/>
        <w:jc w:val="both"/>
        <w:rPr>
          <w:rFonts w:ascii="Palatino Linotype" w:eastAsia="Palatino Linotype" w:hAnsi="Palatino Linotype" w:cs="Palatino Linotype"/>
        </w:rPr>
      </w:pPr>
      <w:bookmarkStart w:id="11" w:name="_heading=h.26in1rg" w:colFirst="0" w:colLast="0"/>
      <w:bookmarkEnd w:id="11"/>
      <w:r w:rsidRPr="003555AE">
        <w:rPr>
          <w:rFonts w:ascii="Palatino Linotype" w:eastAsia="Palatino Linotype" w:hAnsi="Palatino Linotype" w:cs="Palatino Linotype"/>
          <w:b/>
        </w:rPr>
        <w:t xml:space="preserve">Tercero. Notifíquese, </w:t>
      </w:r>
      <w:r w:rsidRPr="003555AE">
        <w:rPr>
          <w:rFonts w:ascii="Palatino Linotype" w:eastAsia="Palatino Linotype" w:hAnsi="Palatino Linotype" w:cs="Palatino Linotype"/>
        </w:rPr>
        <w:t>vía</w:t>
      </w:r>
      <w:r w:rsidRPr="003555AE">
        <w:rPr>
          <w:rFonts w:ascii="Palatino Linotype" w:eastAsia="Palatino Linotype" w:hAnsi="Palatino Linotype" w:cs="Palatino Linotype"/>
          <w:b/>
        </w:rPr>
        <w:t xml:space="preserve"> SAIMEX</w:t>
      </w:r>
      <w:r w:rsidRPr="003555AE">
        <w:rPr>
          <w:rFonts w:ascii="Palatino Linotype" w:eastAsia="Palatino Linotype" w:hAnsi="Palatino Linotype" w:cs="Palatino Linotype"/>
        </w:rPr>
        <w:t>, a</w:t>
      </w:r>
      <w:r w:rsidRPr="003555AE">
        <w:rPr>
          <w:rFonts w:ascii="Palatino Linotype" w:eastAsia="Palatino Linotype" w:hAnsi="Palatino Linotype" w:cs="Palatino Linotype"/>
          <w:b/>
        </w:rPr>
        <w:t xml:space="preserve"> </w:t>
      </w:r>
      <w:r w:rsidRPr="003555AE">
        <w:rPr>
          <w:rFonts w:ascii="Palatino Linotype" w:eastAsia="Palatino Linotype" w:hAnsi="Palatino Linotype" w:cs="Palatino Linotype"/>
        </w:rPr>
        <w:t xml:space="preserve">la parte </w:t>
      </w:r>
      <w:r w:rsidRPr="003555AE">
        <w:rPr>
          <w:rFonts w:ascii="Palatino Linotype" w:eastAsia="Palatino Linotype" w:hAnsi="Palatino Linotype" w:cs="Palatino Linotype"/>
          <w:b/>
        </w:rPr>
        <w:t>Recurrente</w:t>
      </w:r>
      <w:r w:rsidRPr="003555AE">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292891F9" w14:textId="2A8DA026" w:rsidR="00C53D21" w:rsidRPr="00711884" w:rsidRDefault="000A4FA3" w:rsidP="00A94F42">
      <w:pPr>
        <w:tabs>
          <w:tab w:val="left" w:pos="8647"/>
        </w:tabs>
        <w:spacing w:before="240" w:after="240" w:line="360" w:lineRule="auto"/>
        <w:ind w:right="51"/>
        <w:jc w:val="both"/>
        <w:rPr>
          <w:rFonts w:ascii="Palatino Linotype" w:eastAsia="Palatino Linotype" w:hAnsi="Palatino Linotype" w:cs="Palatino Linotype"/>
        </w:rPr>
      </w:pPr>
      <w:r w:rsidRPr="003555AE">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A0700" w:rsidRPr="003555AE">
        <w:rPr>
          <w:rFonts w:ascii="Palatino Linotype" w:eastAsia="Palatino Linotype" w:hAnsi="Palatino Linotype" w:cs="Palatino Linotype"/>
        </w:rPr>
        <w:t>TRIGÉSIMA SEGUNDA</w:t>
      </w:r>
      <w:r w:rsidRPr="003555AE">
        <w:rPr>
          <w:rFonts w:ascii="Palatino Linotype" w:eastAsia="Palatino Linotype" w:hAnsi="Palatino Linotype" w:cs="Palatino Linotype"/>
        </w:rPr>
        <w:t xml:space="preserve"> SESIÓN ORDINARIA CELEBRADA EL </w:t>
      </w:r>
      <w:r w:rsidR="004A0700" w:rsidRPr="003555AE">
        <w:rPr>
          <w:rFonts w:ascii="Palatino Linotype" w:eastAsia="Palatino Linotype" w:hAnsi="Palatino Linotype" w:cs="Palatino Linotype"/>
        </w:rPr>
        <w:t>DIEZ DE SEPTIEMBRE</w:t>
      </w:r>
      <w:r w:rsidRPr="003555AE">
        <w:rPr>
          <w:rFonts w:ascii="Palatino Linotype" w:eastAsia="Palatino Linotype" w:hAnsi="Palatino Linotype" w:cs="Palatino Linotype"/>
        </w:rPr>
        <w:t xml:space="preserve"> DE DOS MIL VEINTICINCO, ANTE EL SECRETARIO TÉCNICO DEL PLENO ALEXIS TAPIA RAMÍREZ.</w:t>
      </w:r>
    </w:p>
    <w:p w14:paraId="1474D86C" w14:textId="77777777" w:rsidR="00C53D21" w:rsidRPr="00711884" w:rsidRDefault="00C53D21">
      <w:pPr>
        <w:spacing w:line="360" w:lineRule="auto"/>
        <w:jc w:val="both"/>
        <w:rPr>
          <w:rFonts w:ascii="Palatino Linotype" w:eastAsia="Palatino Linotype" w:hAnsi="Palatino Linotype" w:cs="Palatino Linotype"/>
        </w:rPr>
      </w:pPr>
    </w:p>
    <w:p w14:paraId="619F6E57" w14:textId="6584AC3D" w:rsidR="00C53D21" w:rsidRPr="00711884" w:rsidRDefault="00711884" w:rsidP="00711884">
      <w:pPr>
        <w:tabs>
          <w:tab w:val="left" w:pos="1470"/>
        </w:tabs>
        <w:spacing w:line="360" w:lineRule="auto"/>
        <w:jc w:val="both"/>
        <w:rPr>
          <w:rFonts w:ascii="Palatino Linotype" w:eastAsia="Palatino Linotype" w:hAnsi="Palatino Linotype" w:cs="Palatino Linotype"/>
        </w:rPr>
      </w:pPr>
      <w:r w:rsidRPr="00711884">
        <w:rPr>
          <w:rFonts w:ascii="Palatino Linotype" w:eastAsia="Palatino Linotype" w:hAnsi="Palatino Linotype" w:cs="Palatino Linotype"/>
        </w:rPr>
        <w:tab/>
      </w:r>
    </w:p>
    <w:p w14:paraId="3C58E7E8" w14:textId="77777777" w:rsidR="00C53D21" w:rsidRPr="00711884" w:rsidRDefault="00C53D21">
      <w:pPr>
        <w:spacing w:line="360" w:lineRule="auto"/>
        <w:jc w:val="both"/>
        <w:rPr>
          <w:rFonts w:ascii="Palatino Linotype" w:eastAsia="Palatino Linotype" w:hAnsi="Palatino Linotype" w:cs="Palatino Linotype"/>
        </w:rPr>
      </w:pPr>
    </w:p>
    <w:p w14:paraId="39C58320" w14:textId="77777777" w:rsidR="00C53D21" w:rsidRPr="00711884" w:rsidRDefault="00C53D21">
      <w:pPr>
        <w:spacing w:line="360" w:lineRule="auto"/>
        <w:jc w:val="both"/>
        <w:rPr>
          <w:rFonts w:ascii="Palatino Linotype" w:eastAsia="Palatino Linotype" w:hAnsi="Palatino Linotype" w:cs="Palatino Linotype"/>
        </w:rPr>
      </w:pPr>
    </w:p>
    <w:p w14:paraId="69444647" w14:textId="77777777" w:rsidR="00C53D21" w:rsidRPr="00711884" w:rsidRDefault="00C53D21">
      <w:pPr>
        <w:spacing w:line="360" w:lineRule="auto"/>
        <w:jc w:val="both"/>
        <w:rPr>
          <w:rFonts w:ascii="Palatino Linotype" w:eastAsia="Palatino Linotype" w:hAnsi="Palatino Linotype" w:cs="Palatino Linotype"/>
        </w:rPr>
      </w:pPr>
    </w:p>
    <w:p w14:paraId="7B4901F5" w14:textId="77777777" w:rsidR="00C53D21" w:rsidRPr="00711884" w:rsidRDefault="00C53D21">
      <w:pPr>
        <w:spacing w:line="360" w:lineRule="auto"/>
        <w:jc w:val="both"/>
        <w:rPr>
          <w:rFonts w:ascii="Palatino Linotype" w:eastAsia="Palatino Linotype" w:hAnsi="Palatino Linotype" w:cs="Palatino Linotype"/>
        </w:rPr>
      </w:pPr>
    </w:p>
    <w:p w14:paraId="3ADD10FC" w14:textId="77777777" w:rsidR="00C53D21" w:rsidRPr="00711884" w:rsidRDefault="00C53D21">
      <w:pPr>
        <w:spacing w:line="360" w:lineRule="auto"/>
        <w:jc w:val="both"/>
        <w:rPr>
          <w:rFonts w:ascii="Palatino Linotype" w:eastAsia="Palatino Linotype" w:hAnsi="Palatino Linotype" w:cs="Palatino Linotype"/>
        </w:rPr>
      </w:pPr>
    </w:p>
    <w:p w14:paraId="4DE16C7C" w14:textId="77777777" w:rsidR="00C53D21" w:rsidRPr="00711884" w:rsidRDefault="00C53D21">
      <w:pPr>
        <w:spacing w:line="360" w:lineRule="auto"/>
        <w:jc w:val="both"/>
        <w:rPr>
          <w:rFonts w:ascii="Palatino Linotype" w:eastAsia="Palatino Linotype" w:hAnsi="Palatino Linotype" w:cs="Palatino Linotype"/>
        </w:rPr>
      </w:pPr>
    </w:p>
    <w:p w14:paraId="5C0BC230" w14:textId="77777777" w:rsidR="00C53D21" w:rsidRPr="00711884" w:rsidRDefault="00C53D21">
      <w:pPr>
        <w:spacing w:line="360" w:lineRule="auto"/>
        <w:jc w:val="both"/>
        <w:rPr>
          <w:rFonts w:ascii="Palatino Linotype" w:eastAsia="Palatino Linotype" w:hAnsi="Palatino Linotype" w:cs="Palatino Linotype"/>
        </w:rPr>
      </w:pPr>
    </w:p>
    <w:p w14:paraId="4A258FEB" w14:textId="77777777" w:rsidR="00C53D21" w:rsidRPr="00711884" w:rsidRDefault="00C53D21">
      <w:pPr>
        <w:spacing w:line="360" w:lineRule="auto"/>
        <w:jc w:val="both"/>
        <w:rPr>
          <w:rFonts w:ascii="Palatino Linotype" w:eastAsia="Palatino Linotype" w:hAnsi="Palatino Linotype" w:cs="Palatino Linotype"/>
        </w:rPr>
      </w:pPr>
    </w:p>
    <w:p w14:paraId="1E0EF41A" w14:textId="77777777" w:rsidR="00C53D21" w:rsidRPr="00711884" w:rsidRDefault="00C53D21">
      <w:pPr>
        <w:spacing w:line="360" w:lineRule="auto"/>
        <w:jc w:val="both"/>
        <w:rPr>
          <w:rFonts w:ascii="Palatino Linotype" w:eastAsia="Palatino Linotype" w:hAnsi="Palatino Linotype" w:cs="Palatino Linotype"/>
        </w:rPr>
      </w:pPr>
    </w:p>
    <w:p w14:paraId="3EB75918" w14:textId="77777777" w:rsidR="00C53D21" w:rsidRPr="00711884" w:rsidRDefault="00C53D21">
      <w:pPr>
        <w:spacing w:line="360" w:lineRule="auto"/>
        <w:jc w:val="both"/>
        <w:rPr>
          <w:rFonts w:ascii="Palatino Linotype" w:eastAsia="Palatino Linotype" w:hAnsi="Palatino Linotype" w:cs="Palatino Linotype"/>
        </w:rPr>
      </w:pPr>
    </w:p>
    <w:p w14:paraId="1AE1CAC8" w14:textId="77777777" w:rsidR="00C53D21" w:rsidRPr="00711884" w:rsidRDefault="00C53D21">
      <w:pPr>
        <w:spacing w:line="360" w:lineRule="auto"/>
        <w:jc w:val="both"/>
        <w:rPr>
          <w:rFonts w:ascii="Palatino Linotype" w:eastAsia="Palatino Linotype" w:hAnsi="Palatino Linotype" w:cs="Palatino Linotype"/>
        </w:rPr>
      </w:pPr>
    </w:p>
    <w:p w14:paraId="632D250F" w14:textId="77777777" w:rsidR="00C53D21" w:rsidRPr="00711884" w:rsidRDefault="00C53D21">
      <w:pPr>
        <w:spacing w:line="360" w:lineRule="auto"/>
        <w:jc w:val="both"/>
        <w:rPr>
          <w:rFonts w:ascii="Palatino Linotype" w:eastAsia="Palatino Linotype" w:hAnsi="Palatino Linotype" w:cs="Palatino Linotype"/>
        </w:rPr>
      </w:pPr>
    </w:p>
    <w:p w14:paraId="55F39873" w14:textId="77777777" w:rsidR="00C53D21" w:rsidRPr="00711884" w:rsidRDefault="00C53D21">
      <w:pPr>
        <w:spacing w:line="360" w:lineRule="auto"/>
        <w:jc w:val="both"/>
        <w:rPr>
          <w:rFonts w:ascii="Palatino Linotype" w:eastAsia="Palatino Linotype" w:hAnsi="Palatino Linotype" w:cs="Palatino Linotype"/>
        </w:rPr>
      </w:pPr>
    </w:p>
    <w:p w14:paraId="7D2C521C" w14:textId="77777777" w:rsidR="00C53D21" w:rsidRPr="00711884" w:rsidRDefault="00C53D21">
      <w:pPr>
        <w:spacing w:line="360" w:lineRule="auto"/>
        <w:jc w:val="both"/>
        <w:rPr>
          <w:rFonts w:ascii="Palatino Linotype" w:eastAsia="Palatino Linotype" w:hAnsi="Palatino Linotype" w:cs="Palatino Linotype"/>
        </w:rPr>
      </w:pPr>
    </w:p>
    <w:p w14:paraId="2856F050" w14:textId="77777777" w:rsidR="00C53D21" w:rsidRPr="00711884" w:rsidRDefault="00C53D21">
      <w:pPr>
        <w:spacing w:line="360" w:lineRule="auto"/>
        <w:jc w:val="both"/>
        <w:rPr>
          <w:rFonts w:ascii="Palatino Linotype" w:eastAsia="Palatino Linotype" w:hAnsi="Palatino Linotype" w:cs="Palatino Linotype"/>
        </w:rPr>
      </w:pPr>
    </w:p>
    <w:p w14:paraId="2A4DF585" w14:textId="77777777" w:rsidR="00C53D21" w:rsidRPr="00711884" w:rsidRDefault="00C53D21">
      <w:pPr>
        <w:spacing w:line="360" w:lineRule="auto"/>
        <w:jc w:val="both"/>
        <w:rPr>
          <w:rFonts w:ascii="Palatino Linotype" w:eastAsia="Palatino Linotype" w:hAnsi="Palatino Linotype" w:cs="Palatino Linotype"/>
        </w:rPr>
      </w:pPr>
    </w:p>
    <w:p w14:paraId="0BD0BB99" w14:textId="77777777" w:rsidR="00C53D21" w:rsidRPr="00711884" w:rsidRDefault="00C53D21">
      <w:pPr>
        <w:spacing w:line="360" w:lineRule="auto"/>
        <w:jc w:val="both"/>
        <w:rPr>
          <w:rFonts w:ascii="Palatino Linotype" w:eastAsia="Palatino Linotype" w:hAnsi="Palatino Linotype" w:cs="Palatino Linotype"/>
        </w:rPr>
      </w:pPr>
    </w:p>
    <w:p w14:paraId="61B98C9C" w14:textId="77777777" w:rsidR="00C53D21" w:rsidRPr="00711884" w:rsidRDefault="00C53D21">
      <w:pPr>
        <w:spacing w:line="360" w:lineRule="auto"/>
        <w:jc w:val="both"/>
        <w:rPr>
          <w:rFonts w:ascii="Palatino Linotype" w:eastAsia="Palatino Linotype" w:hAnsi="Palatino Linotype" w:cs="Palatino Linotype"/>
        </w:rPr>
      </w:pPr>
    </w:p>
    <w:p w14:paraId="26542712" w14:textId="77777777" w:rsidR="00C53D21" w:rsidRPr="00711884" w:rsidRDefault="00C53D21">
      <w:pPr>
        <w:spacing w:line="360" w:lineRule="auto"/>
        <w:jc w:val="both"/>
        <w:rPr>
          <w:rFonts w:ascii="Palatino Linotype" w:eastAsia="Palatino Linotype" w:hAnsi="Palatino Linotype" w:cs="Palatino Linotype"/>
        </w:rPr>
      </w:pPr>
    </w:p>
    <w:p w14:paraId="056BB4AF" w14:textId="77777777" w:rsidR="00C53D21" w:rsidRPr="00711884" w:rsidRDefault="00C53D21">
      <w:pPr>
        <w:spacing w:line="360" w:lineRule="auto"/>
        <w:jc w:val="both"/>
        <w:rPr>
          <w:rFonts w:ascii="Palatino Linotype" w:eastAsia="Palatino Linotype" w:hAnsi="Palatino Linotype" w:cs="Palatino Linotype"/>
        </w:rPr>
      </w:pPr>
    </w:p>
    <w:p w14:paraId="0FFF5A92" w14:textId="77777777" w:rsidR="00C53D21" w:rsidRPr="00711884" w:rsidRDefault="00C53D21">
      <w:pPr>
        <w:spacing w:line="360" w:lineRule="auto"/>
        <w:jc w:val="both"/>
        <w:rPr>
          <w:rFonts w:ascii="Palatino Linotype" w:eastAsia="Palatino Linotype" w:hAnsi="Palatino Linotype" w:cs="Palatino Linotype"/>
        </w:rPr>
      </w:pPr>
    </w:p>
    <w:p w14:paraId="524240F8" w14:textId="77777777" w:rsidR="00C53D21" w:rsidRPr="00711884" w:rsidRDefault="00C53D21">
      <w:pPr>
        <w:spacing w:line="360" w:lineRule="auto"/>
        <w:jc w:val="both"/>
        <w:rPr>
          <w:rFonts w:ascii="Palatino Linotype" w:eastAsia="Palatino Linotype" w:hAnsi="Palatino Linotype" w:cs="Palatino Linotype"/>
        </w:rPr>
      </w:pPr>
    </w:p>
    <w:p w14:paraId="52C35132" w14:textId="77777777" w:rsidR="00C53D21" w:rsidRPr="00711884" w:rsidRDefault="00C53D21">
      <w:pPr>
        <w:spacing w:line="360" w:lineRule="auto"/>
        <w:jc w:val="both"/>
        <w:rPr>
          <w:rFonts w:ascii="Palatino Linotype" w:eastAsia="Palatino Linotype" w:hAnsi="Palatino Linotype" w:cs="Palatino Linotype"/>
        </w:rPr>
      </w:pPr>
    </w:p>
    <w:sectPr w:rsidR="00C53D21" w:rsidRPr="00711884">
      <w:headerReference w:type="even" r:id="rId11"/>
      <w:headerReference w:type="default" r:id="rId12"/>
      <w:footerReference w:type="even"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EDFF6" w14:textId="77777777" w:rsidR="00D97F93" w:rsidRDefault="00D97F93">
      <w:r>
        <w:separator/>
      </w:r>
    </w:p>
  </w:endnote>
  <w:endnote w:type="continuationSeparator" w:id="0">
    <w:p w14:paraId="0912CB0B" w14:textId="77777777" w:rsidR="00D97F93" w:rsidRDefault="00D97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9DDCE" w14:textId="77777777" w:rsidR="00811506" w:rsidRDefault="0081150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3692" w14:textId="77777777" w:rsidR="00800385" w:rsidRDefault="0080038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555AE">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555AE">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p>
  <w:p w14:paraId="5AC941F3" w14:textId="77777777" w:rsidR="00800385" w:rsidRDefault="0080038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0C5B2" w14:textId="77777777" w:rsidR="00800385" w:rsidRDefault="0080038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555A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555AE">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p>
  <w:p w14:paraId="1FFD29CA" w14:textId="77777777" w:rsidR="00800385" w:rsidRDefault="0080038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DF72A" w14:textId="77777777" w:rsidR="00D97F93" w:rsidRDefault="00D97F93">
      <w:r>
        <w:separator/>
      </w:r>
    </w:p>
  </w:footnote>
  <w:footnote w:type="continuationSeparator" w:id="0">
    <w:p w14:paraId="7362C512" w14:textId="77777777" w:rsidR="00D97F93" w:rsidRDefault="00D97F93">
      <w:r>
        <w:continuationSeparator/>
      </w:r>
    </w:p>
  </w:footnote>
  <w:footnote w:id="1">
    <w:p w14:paraId="41315357" w14:textId="77777777" w:rsidR="006A5B9B" w:rsidRDefault="006A5B9B" w:rsidP="006A5B9B">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Cuerpo de tesis:</w:t>
      </w:r>
      <w:r>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1C570AE6" w14:textId="77777777" w:rsidR="006A5B9B" w:rsidRDefault="006A5B9B" w:rsidP="006A5B9B">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Localización</w:t>
      </w:r>
      <w:r>
        <w:rPr>
          <w:rFonts w:ascii="Palatino Linotype" w:eastAsia="Palatino Linotype" w:hAnsi="Palatino Linotype" w:cs="Palatino Linotype"/>
          <w:color w:val="000000"/>
          <w:sz w:val="16"/>
          <w:szCs w:val="16"/>
        </w:rPr>
        <w:t>: 2</w:t>
      </w:r>
      <w:r>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A02EF" w14:textId="77777777" w:rsidR="00811506" w:rsidRDefault="0081150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4FA9" w14:textId="77777777" w:rsidR="00800385" w:rsidRDefault="00800385">
    <w:pPr>
      <w:rPr>
        <w:rFonts w:ascii="Cambria" w:eastAsia="Cambria" w:hAnsi="Cambria" w:cs="Cambria"/>
        <w:color w:val="000000"/>
      </w:rPr>
    </w:pPr>
    <w:r>
      <w:rPr>
        <w:noProof/>
      </w:rPr>
      <w:drawing>
        <wp:anchor distT="0" distB="0" distL="0" distR="0" simplePos="0" relativeHeight="251658240" behindDoc="1" locked="0" layoutInCell="1" hidden="0" allowOverlap="1" wp14:anchorId="2ED1547D" wp14:editId="2FA2FC54">
          <wp:simplePos x="0" y="0"/>
          <wp:positionH relativeFrom="column">
            <wp:posOffset>-1080091</wp:posOffset>
          </wp:positionH>
          <wp:positionV relativeFrom="paragraph">
            <wp:posOffset>-488262</wp:posOffset>
          </wp:positionV>
          <wp:extent cx="7809865" cy="10165715"/>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a"/>
      <w:tblW w:w="5953" w:type="dxa"/>
      <w:tblInd w:w="3261" w:type="dxa"/>
      <w:tblLayout w:type="fixed"/>
      <w:tblLook w:val="0400" w:firstRow="0" w:lastRow="0" w:firstColumn="0" w:lastColumn="0" w:noHBand="0" w:noVBand="1"/>
    </w:tblPr>
    <w:tblGrid>
      <w:gridCol w:w="2489"/>
      <w:gridCol w:w="3464"/>
    </w:tblGrid>
    <w:tr w:rsidR="00800385" w14:paraId="48722335" w14:textId="77777777">
      <w:tc>
        <w:tcPr>
          <w:tcW w:w="2489" w:type="dxa"/>
        </w:tcPr>
        <w:p w14:paraId="0D5105C7" w14:textId="77777777" w:rsidR="00800385" w:rsidRDefault="0080038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78574EAC" w14:textId="448962CA" w:rsidR="00800385" w:rsidRDefault="00800385" w:rsidP="00DF6EB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DF6EB5">
            <w:rPr>
              <w:rFonts w:ascii="Palatino Linotype" w:eastAsia="Palatino Linotype" w:hAnsi="Palatino Linotype" w:cs="Palatino Linotype"/>
              <w:b/>
              <w:sz w:val="22"/>
              <w:szCs w:val="22"/>
            </w:rPr>
            <w:t>7594</w:t>
          </w:r>
          <w:r>
            <w:rPr>
              <w:rFonts w:ascii="Palatino Linotype" w:eastAsia="Palatino Linotype" w:hAnsi="Palatino Linotype" w:cs="Palatino Linotype"/>
              <w:b/>
              <w:sz w:val="22"/>
              <w:szCs w:val="22"/>
            </w:rPr>
            <w:t>/INFOEM/IP/RR/2025</w:t>
          </w:r>
        </w:p>
      </w:tc>
    </w:tr>
    <w:tr w:rsidR="00800385" w14:paraId="475D6076" w14:textId="77777777">
      <w:trPr>
        <w:trHeight w:val="228"/>
      </w:trPr>
      <w:tc>
        <w:tcPr>
          <w:tcW w:w="2489" w:type="dxa"/>
          <w:vAlign w:val="center"/>
        </w:tcPr>
        <w:p w14:paraId="5DBD7282" w14:textId="77777777" w:rsidR="00800385" w:rsidRDefault="0080038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47DEBF4A" w14:textId="02A3EDB4" w:rsidR="00800385" w:rsidRDefault="00DF6EB5">
          <w:pPr>
            <w:ind w:left="-45" w:right="176"/>
            <w:jc w:val="both"/>
            <w:rPr>
              <w:rFonts w:ascii="Palatino Linotype" w:eastAsia="Palatino Linotype" w:hAnsi="Palatino Linotype" w:cs="Palatino Linotype"/>
              <w:b/>
              <w:sz w:val="22"/>
              <w:szCs w:val="22"/>
            </w:rPr>
          </w:pPr>
          <w:r w:rsidRPr="00DF6EB5">
            <w:rPr>
              <w:rFonts w:ascii="Palatino Linotype" w:eastAsia="Palatino Linotype" w:hAnsi="Palatino Linotype" w:cs="Palatino Linotype"/>
              <w:b/>
              <w:sz w:val="22"/>
              <w:szCs w:val="22"/>
            </w:rPr>
            <w:t>Ayuntamiento de Atlacomulco</w:t>
          </w:r>
        </w:p>
      </w:tc>
    </w:tr>
    <w:tr w:rsidR="00800385" w14:paraId="0290A8B0" w14:textId="77777777">
      <w:tc>
        <w:tcPr>
          <w:tcW w:w="2489" w:type="dxa"/>
          <w:vAlign w:val="center"/>
        </w:tcPr>
        <w:p w14:paraId="644A5BE4" w14:textId="77777777" w:rsidR="00800385" w:rsidRDefault="00800385">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13B42F8B" w14:textId="77777777" w:rsidR="00800385" w:rsidRDefault="0080038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2A41C77" w14:textId="77777777" w:rsidR="00800385" w:rsidRDefault="00800385">
    <w:pPr>
      <w:rPr>
        <w:rFonts w:ascii="Cambria" w:eastAsia="Cambria" w:hAnsi="Cambria" w:cs="Cambria"/>
        <w:color w:val="000000"/>
      </w:rPr>
    </w:pPr>
    <w:r>
      <w:rPr>
        <w:rFonts w:ascii="Cambria" w:eastAsia="Cambria" w:hAnsi="Cambria" w:cs="Cambria"/>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DDFFE" w14:textId="77777777" w:rsidR="00800385" w:rsidRDefault="0080038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AB6EFD8" wp14:editId="771BF653">
          <wp:simplePos x="0" y="0"/>
          <wp:positionH relativeFrom="column">
            <wp:posOffset>-1080134</wp:posOffset>
          </wp:positionH>
          <wp:positionV relativeFrom="paragraph">
            <wp:posOffset>-369892</wp:posOffset>
          </wp:positionV>
          <wp:extent cx="7809865" cy="1016571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b"/>
      <w:tblW w:w="5953" w:type="dxa"/>
      <w:tblInd w:w="3261" w:type="dxa"/>
      <w:tblLayout w:type="fixed"/>
      <w:tblLook w:val="0400" w:firstRow="0" w:lastRow="0" w:firstColumn="0" w:lastColumn="0" w:noHBand="0" w:noVBand="1"/>
    </w:tblPr>
    <w:tblGrid>
      <w:gridCol w:w="2489"/>
      <w:gridCol w:w="3464"/>
    </w:tblGrid>
    <w:tr w:rsidR="00800385" w14:paraId="3500E9D4" w14:textId="77777777">
      <w:tc>
        <w:tcPr>
          <w:tcW w:w="2489" w:type="dxa"/>
        </w:tcPr>
        <w:p w14:paraId="45C6E206" w14:textId="77777777" w:rsidR="00800385" w:rsidRDefault="0080038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79D9D658" w14:textId="067F7932" w:rsidR="00800385" w:rsidRDefault="00800385" w:rsidP="0049199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07594/INFOEM/IP/RR/2025</w:t>
          </w:r>
        </w:p>
      </w:tc>
    </w:tr>
    <w:tr w:rsidR="00800385" w14:paraId="26848097" w14:textId="77777777">
      <w:tc>
        <w:tcPr>
          <w:tcW w:w="2489" w:type="dxa"/>
        </w:tcPr>
        <w:p w14:paraId="7F17273B" w14:textId="77777777" w:rsidR="00800385" w:rsidRDefault="0080038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3648EBA2" w14:textId="77777777" w:rsidR="00800385" w:rsidRDefault="00800385">
          <w:pPr>
            <w:ind w:right="175"/>
            <w:jc w:val="both"/>
            <w:rPr>
              <w:rFonts w:ascii="Palatino Linotype" w:eastAsia="Palatino Linotype" w:hAnsi="Palatino Linotype" w:cs="Palatino Linotype"/>
              <w:b/>
              <w:color w:val="FF0000"/>
              <w:sz w:val="22"/>
              <w:szCs w:val="22"/>
              <w:highlight w:val="yellow"/>
            </w:rPr>
          </w:pPr>
        </w:p>
      </w:tc>
    </w:tr>
    <w:tr w:rsidR="00800385" w14:paraId="4CFCC47D" w14:textId="77777777">
      <w:trPr>
        <w:trHeight w:val="228"/>
      </w:trPr>
      <w:tc>
        <w:tcPr>
          <w:tcW w:w="2489" w:type="dxa"/>
          <w:vAlign w:val="center"/>
        </w:tcPr>
        <w:p w14:paraId="4445F96C" w14:textId="77777777" w:rsidR="00800385" w:rsidRDefault="0080038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4B7E7289" w14:textId="67C724AD" w:rsidR="00800385" w:rsidRDefault="00811506">
          <w:pPr>
            <w:ind w:left="-45" w:right="176"/>
            <w:jc w:val="both"/>
            <w:rPr>
              <w:rFonts w:ascii="Palatino Linotype" w:eastAsia="Palatino Linotype" w:hAnsi="Palatino Linotype" w:cs="Palatino Linotype"/>
              <w:b/>
              <w:sz w:val="22"/>
              <w:szCs w:val="22"/>
            </w:rPr>
          </w:pPr>
          <w:r w:rsidRPr="00811506">
            <w:rPr>
              <w:rFonts w:ascii="Palatino Linotype" w:eastAsia="Palatino Linotype" w:hAnsi="Palatino Linotype" w:cs="Palatino Linotype"/>
              <w:b/>
              <w:sz w:val="22"/>
              <w:szCs w:val="22"/>
            </w:rPr>
            <w:t>Ayuntamiento de Atlacomulco</w:t>
          </w:r>
        </w:p>
      </w:tc>
    </w:tr>
    <w:tr w:rsidR="00800385" w14:paraId="3E715262" w14:textId="77777777">
      <w:tc>
        <w:tcPr>
          <w:tcW w:w="2489" w:type="dxa"/>
          <w:vAlign w:val="center"/>
        </w:tcPr>
        <w:p w14:paraId="180ADDA2" w14:textId="77777777" w:rsidR="00800385" w:rsidRDefault="00800385">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73E54ABE" w14:textId="77777777" w:rsidR="00800385" w:rsidRDefault="0080038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C726114" w14:textId="77777777" w:rsidR="00800385" w:rsidRDefault="008003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A3A421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7EB3694B"/>
    <w:multiLevelType w:val="multilevel"/>
    <w:tmpl w:val="57409220"/>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399208463">
    <w:abstractNumId w:val="1"/>
  </w:num>
  <w:num w:numId="2" w16cid:durableId="1555459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D21"/>
    <w:rsid w:val="00005555"/>
    <w:rsid w:val="00045C42"/>
    <w:rsid w:val="00054677"/>
    <w:rsid w:val="000660B2"/>
    <w:rsid w:val="00094237"/>
    <w:rsid w:val="000A4FA3"/>
    <w:rsid w:val="000F1620"/>
    <w:rsid w:val="000F7136"/>
    <w:rsid w:val="00103E7E"/>
    <w:rsid w:val="00154887"/>
    <w:rsid w:val="00156D8A"/>
    <w:rsid w:val="00162145"/>
    <w:rsid w:val="00162FCD"/>
    <w:rsid w:val="001D05E3"/>
    <w:rsid w:val="001D3CB2"/>
    <w:rsid w:val="001F3225"/>
    <w:rsid w:val="002016AC"/>
    <w:rsid w:val="00235BA2"/>
    <w:rsid w:val="002539DE"/>
    <w:rsid w:val="00262457"/>
    <w:rsid w:val="002759BF"/>
    <w:rsid w:val="00292EB8"/>
    <w:rsid w:val="002A0EB6"/>
    <w:rsid w:val="002C4002"/>
    <w:rsid w:val="003348C0"/>
    <w:rsid w:val="003555AE"/>
    <w:rsid w:val="003F375C"/>
    <w:rsid w:val="0040400C"/>
    <w:rsid w:val="004120EF"/>
    <w:rsid w:val="0043218B"/>
    <w:rsid w:val="00465C2C"/>
    <w:rsid w:val="00470517"/>
    <w:rsid w:val="00491991"/>
    <w:rsid w:val="004A0700"/>
    <w:rsid w:val="004A112D"/>
    <w:rsid w:val="004C3443"/>
    <w:rsid w:val="004D6196"/>
    <w:rsid w:val="004E1FF7"/>
    <w:rsid w:val="004F268D"/>
    <w:rsid w:val="00542F12"/>
    <w:rsid w:val="00565CC2"/>
    <w:rsid w:val="005A6214"/>
    <w:rsid w:val="005A7993"/>
    <w:rsid w:val="005B7855"/>
    <w:rsid w:val="005B7A8A"/>
    <w:rsid w:val="00606080"/>
    <w:rsid w:val="00606866"/>
    <w:rsid w:val="00632983"/>
    <w:rsid w:val="00646372"/>
    <w:rsid w:val="00666F49"/>
    <w:rsid w:val="006A5B9B"/>
    <w:rsid w:val="006D005C"/>
    <w:rsid w:val="006D428E"/>
    <w:rsid w:val="006E6440"/>
    <w:rsid w:val="006E7A2D"/>
    <w:rsid w:val="0070518C"/>
    <w:rsid w:val="00711884"/>
    <w:rsid w:val="007522D0"/>
    <w:rsid w:val="00764BA4"/>
    <w:rsid w:val="00770075"/>
    <w:rsid w:val="007742D2"/>
    <w:rsid w:val="007B00C6"/>
    <w:rsid w:val="007B3847"/>
    <w:rsid w:val="007B7F5A"/>
    <w:rsid w:val="007F4DB8"/>
    <w:rsid w:val="00800385"/>
    <w:rsid w:val="00811506"/>
    <w:rsid w:val="008267F2"/>
    <w:rsid w:val="00842B64"/>
    <w:rsid w:val="00880DE4"/>
    <w:rsid w:val="008939DD"/>
    <w:rsid w:val="008A445D"/>
    <w:rsid w:val="008F7E07"/>
    <w:rsid w:val="00923665"/>
    <w:rsid w:val="00936CBF"/>
    <w:rsid w:val="0093704B"/>
    <w:rsid w:val="00961B21"/>
    <w:rsid w:val="00997E58"/>
    <w:rsid w:val="009B51C2"/>
    <w:rsid w:val="009C234E"/>
    <w:rsid w:val="00A034D2"/>
    <w:rsid w:val="00A55A0F"/>
    <w:rsid w:val="00A94F42"/>
    <w:rsid w:val="00AE752E"/>
    <w:rsid w:val="00B06043"/>
    <w:rsid w:val="00B90E8C"/>
    <w:rsid w:val="00BA351D"/>
    <w:rsid w:val="00C001C4"/>
    <w:rsid w:val="00C07A3D"/>
    <w:rsid w:val="00C11810"/>
    <w:rsid w:val="00C128BB"/>
    <w:rsid w:val="00C16DC5"/>
    <w:rsid w:val="00C3525A"/>
    <w:rsid w:val="00C53D21"/>
    <w:rsid w:val="00C66BB7"/>
    <w:rsid w:val="00CB7E1E"/>
    <w:rsid w:val="00CC06D3"/>
    <w:rsid w:val="00CD35B4"/>
    <w:rsid w:val="00CD38E8"/>
    <w:rsid w:val="00CE147E"/>
    <w:rsid w:val="00CF1FFB"/>
    <w:rsid w:val="00CF69EE"/>
    <w:rsid w:val="00CF7451"/>
    <w:rsid w:val="00CF7CA1"/>
    <w:rsid w:val="00D27C1E"/>
    <w:rsid w:val="00D50363"/>
    <w:rsid w:val="00D54B2C"/>
    <w:rsid w:val="00D624CD"/>
    <w:rsid w:val="00D97F93"/>
    <w:rsid w:val="00DB318C"/>
    <w:rsid w:val="00DF3250"/>
    <w:rsid w:val="00DF6EB5"/>
    <w:rsid w:val="00E07FB5"/>
    <w:rsid w:val="00E33A32"/>
    <w:rsid w:val="00E96207"/>
    <w:rsid w:val="00EA7808"/>
    <w:rsid w:val="00ED3E01"/>
    <w:rsid w:val="00F03318"/>
    <w:rsid w:val="00F20BD2"/>
    <w:rsid w:val="00F42D71"/>
    <w:rsid w:val="00F665AD"/>
    <w:rsid w:val="00F7680F"/>
    <w:rsid w:val="00FA1838"/>
    <w:rsid w:val="00FA4F15"/>
    <w:rsid w:val="00FB1DF3"/>
    <w:rsid w:val="00FC3C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797CF"/>
  <w15:docId w15:val="{81F4F760-2450-482D-9CD5-CAC9B3DEE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paragraph" w:styleId="Lista">
    <w:name w:val="List"/>
    <w:basedOn w:val="Normal"/>
    <w:uiPriority w:val="99"/>
    <w:unhideWhenUsed/>
    <w:rsid w:val="00054677"/>
    <w:pPr>
      <w:ind w:left="283" w:hanging="283"/>
      <w:contextualSpacing/>
    </w:pPr>
  </w:style>
  <w:style w:type="paragraph" w:styleId="Lista2">
    <w:name w:val="List 2"/>
    <w:basedOn w:val="Normal"/>
    <w:uiPriority w:val="99"/>
    <w:unhideWhenUsed/>
    <w:rsid w:val="00054677"/>
    <w:pPr>
      <w:ind w:left="566" w:hanging="283"/>
      <w:contextualSpacing/>
    </w:pPr>
  </w:style>
  <w:style w:type="paragraph" w:styleId="Listaconvietas2">
    <w:name w:val="List Bullet 2"/>
    <w:basedOn w:val="Normal"/>
    <w:uiPriority w:val="99"/>
    <w:unhideWhenUsed/>
    <w:rsid w:val="00054677"/>
    <w:pPr>
      <w:numPr>
        <w:numId w:val="2"/>
      </w:numPr>
      <w:contextualSpacing/>
    </w:pPr>
  </w:style>
  <w:style w:type="paragraph" w:styleId="Textoindependiente">
    <w:name w:val="Body Text"/>
    <w:basedOn w:val="Normal"/>
    <w:link w:val="TextoindependienteCar"/>
    <w:uiPriority w:val="99"/>
    <w:unhideWhenUsed/>
    <w:rsid w:val="00054677"/>
    <w:pPr>
      <w:spacing w:after="120"/>
    </w:pPr>
  </w:style>
  <w:style w:type="character" w:customStyle="1" w:styleId="TextoindependienteCar">
    <w:name w:val="Texto independiente Car"/>
    <w:basedOn w:val="Fuentedeprrafopredeter"/>
    <w:link w:val="Textoindependiente"/>
    <w:uiPriority w:val="99"/>
    <w:rsid w:val="00054677"/>
  </w:style>
  <w:style w:type="paragraph" w:styleId="Sangradetextonormal">
    <w:name w:val="Body Text Indent"/>
    <w:basedOn w:val="Normal"/>
    <w:link w:val="SangradetextonormalCar"/>
    <w:uiPriority w:val="99"/>
    <w:unhideWhenUsed/>
    <w:rsid w:val="00054677"/>
    <w:pPr>
      <w:spacing w:after="120"/>
      <w:ind w:left="283"/>
    </w:pPr>
  </w:style>
  <w:style w:type="character" w:customStyle="1" w:styleId="SangradetextonormalCar">
    <w:name w:val="Sangría de texto normal Car"/>
    <w:basedOn w:val="Fuentedeprrafopredeter"/>
    <w:link w:val="Sangradetextonormal"/>
    <w:uiPriority w:val="99"/>
    <w:rsid w:val="00054677"/>
  </w:style>
  <w:style w:type="paragraph" w:styleId="Textoindependienteprimerasangra2">
    <w:name w:val="Body Text First Indent 2"/>
    <w:basedOn w:val="Sangradetextonormal"/>
    <w:link w:val="Textoindependienteprimerasangra2Car"/>
    <w:uiPriority w:val="99"/>
    <w:unhideWhenUsed/>
    <w:rsid w:val="0005467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54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ILqFAlVWZ6sfMN7PcRZrJBTOug==">CgMxLjAyCWguM3JkY3JqbjIOaC5kYWozajJ4bzZxNjYyCGguZ2pkZ3hzMgloLjNkeTZ2a20yCWguMzBqMHpsbDIJaC4yczhleW8xMghoLnR5amN3dDIJaC4zem55c2g3MgloLjJldDkycDAyDmguOGdhaXBlejdyczhxMgloLjF0M2g1c2YyCWguMWZvYjl0ZTIOaC5obnp4c2NoNWd5c3oyDmgub3QzcXE2dnhhMDhmMghoLmxueGJ6OTgAciExUF85NTNGdHNnYVNmWGlvWnlCV3BfcUtDX01ULTVpYj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4205</Words>
  <Characters>22427</Characters>
  <Application>Microsoft Office Word</Application>
  <DocSecurity>0</DocSecurity>
  <Lines>411</Lines>
  <Paragraphs>96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2025-09-11T16:50:00Z</cp:lastPrinted>
  <dcterms:created xsi:type="dcterms:W3CDTF">2025-10-06T17:46:00Z</dcterms:created>
  <dcterms:modified xsi:type="dcterms:W3CDTF">2025-10-06T17:46:00Z</dcterms:modified>
</cp:coreProperties>
</file>