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99025" w14:textId="77777777" w:rsidR="00FC2B2A" w:rsidRDefault="00FC2B2A">
      <w:pPr>
        <w:widowControl w:val="0"/>
        <w:pBdr>
          <w:top w:val="nil"/>
          <w:left w:val="nil"/>
          <w:bottom w:val="nil"/>
          <w:right w:val="nil"/>
          <w:between w:val="nil"/>
        </w:pBdr>
        <w:spacing w:after="0" w:line="276" w:lineRule="auto"/>
        <w:jc w:val="left"/>
      </w:pPr>
    </w:p>
    <w:p w14:paraId="4FAB8AF2" w14:textId="77777777" w:rsidR="00FC2B2A" w:rsidRDefault="00FC2B2A">
      <w:pPr>
        <w:widowControl w:val="0"/>
        <w:pBdr>
          <w:top w:val="nil"/>
          <w:left w:val="nil"/>
          <w:bottom w:val="nil"/>
          <w:right w:val="nil"/>
          <w:between w:val="nil"/>
        </w:pBdr>
        <w:spacing w:after="0" w:line="360" w:lineRule="auto"/>
        <w:jc w:val="left"/>
      </w:pPr>
    </w:p>
    <w:p w14:paraId="02FE45E7" w14:textId="77777777" w:rsidR="00FC2B2A" w:rsidRDefault="00BD6B6A">
      <w:pPr>
        <w:keepNext/>
        <w:keepLines/>
        <w:pBdr>
          <w:top w:val="nil"/>
          <w:left w:val="nil"/>
          <w:bottom w:val="nil"/>
          <w:right w:val="nil"/>
          <w:between w:val="nil"/>
        </w:pBdr>
        <w:spacing w:before="240" w:after="0"/>
        <w:jc w:val="left"/>
        <w:rPr>
          <w:rFonts w:ascii="Calibri" w:eastAsia="Calibri" w:hAnsi="Calibri" w:cs="Calibri"/>
          <w:color w:val="2F5496"/>
          <w:sz w:val="32"/>
          <w:szCs w:val="32"/>
        </w:rPr>
      </w:pPr>
      <w:r>
        <w:rPr>
          <w:rFonts w:ascii="Calibri" w:eastAsia="Calibri" w:hAnsi="Calibri" w:cs="Calibri"/>
          <w:color w:val="2F5496"/>
          <w:sz w:val="32"/>
          <w:szCs w:val="32"/>
        </w:rPr>
        <w:t>Tabla de contenido</w:t>
      </w:r>
    </w:p>
    <w:sdt>
      <w:sdtPr>
        <w:id w:val="1390817070"/>
        <w:docPartObj>
          <w:docPartGallery w:val="Table of Contents"/>
          <w:docPartUnique/>
        </w:docPartObj>
      </w:sdtPr>
      <w:sdtContent>
        <w:p w14:paraId="6FCC61A4" w14:textId="77777777" w:rsidR="00FC2B2A" w:rsidRDefault="00BD6B6A">
          <w:pPr>
            <w:pBdr>
              <w:top w:val="nil"/>
              <w:left w:val="nil"/>
              <w:bottom w:val="nil"/>
              <w:right w:val="nil"/>
              <w:between w:val="nil"/>
            </w:pBdr>
            <w:tabs>
              <w:tab w:val="right" w:pos="9204"/>
            </w:tabs>
            <w:spacing w:after="100"/>
            <w:rPr>
              <w:rFonts w:ascii="Calibri" w:eastAsia="Calibri" w:hAnsi="Calibri" w:cs="Calibri"/>
              <w:color w:val="000000"/>
              <w:sz w:val="24"/>
              <w:szCs w:val="24"/>
            </w:rPr>
          </w:pPr>
          <w:r>
            <w:fldChar w:fldCharType="begin"/>
          </w:r>
          <w:r>
            <w:instrText xml:space="preserve"> TOC \h \u \z \t "Heading 1,1,Heading 2,2,Heading 3,3,"</w:instrText>
          </w:r>
          <w:r>
            <w:fldChar w:fldCharType="separate"/>
          </w:r>
          <w:hyperlink w:anchor="_heading=h.p30nn8h9aprs">
            <w:r w:rsidR="00FC2B2A">
              <w:rPr>
                <w:color w:val="000000"/>
              </w:rPr>
              <w:t>A N T E C E D E N T E S</w:t>
            </w:r>
            <w:r w:rsidR="00FC2B2A">
              <w:rPr>
                <w:color w:val="000000"/>
              </w:rPr>
              <w:tab/>
              <w:t>2</w:t>
            </w:r>
          </w:hyperlink>
        </w:p>
        <w:p w14:paraId="0ECACFAA" w14:textId="77777777" w:rsidR="00FC2B2A" w:rsidRDefault="00FC2B2A">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h1iccs4waoxh">
            <w:r>
              <w:rPr>
                <w:color w:val="000000"/>
              </w:rPr>
              <w:t>I. Presentación de la solicitud de información</w:t>
            </w:r>
            <w:r>
              <w:rPr>
                <w:color w:val="000000"/>
              </w:rPr>
              <w:tab/>
              <w:t>2</w:t>
            </w:r>
          </w:hyperlink>
        </w:p>
        <w:p w14:paraId="158D5359" w14:textId="77777777" w:rsidR="00FC2B2A" w:rsidRDefault="00FC2B2A">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4vqoj1prg039">
            <w:r>
              <w:rPr>
                <w:color w:val="000000"/>
              </w:rPr>
              <w:t>II. Respuesta del Sujeto Obligado</w:t>
            </w:r>
            <w:r>
              <w:rPr>
                <w:color w:val="000000"/>
              </w:rPr>
              <w:tab/>
              <w:t>3</w:t>
            </w:r>
          </w:hyperlink>
        </w:p>
        <w:p w14:paraId="69C345B6" w14:textId="77777777" w:rsidR="00FC2B2A" w:rsidRDefault="00FC2B2A">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1639rhxlwskm">
            <w:r>
              <w:rPr>
                <w:color w:val="000000"/>
              </w:rPr>
              <w:t>III. Interposición del Recurso de Revisión</w:t>
            </w:r>
            <w:r>
              <w:rPr>
                <w:color w:val="000000"/>
              </w:rPr>
              <w:tab/>
              <w:t>4</w:t>
            </w:r>
          </w:hyperlink>
        </w:p>
        <w:p w14:paraId="035642CB" w14:textId="77777777" w:rsidR="00FC2B2A" w:rsidRDefault="00FC2B2A">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of7qjczdr0cw">
            <w:r>
              <w:rPr>
                <w:color w:val="000000"/>
              </w:rPr>
              <w:t>IV. Trámite del Recurso de Revisión ante este Instituto</w:t>
            </w:r>
            <w:r>
              <w:rPr>
                <w:color w:val="000000"/>
              </w:rPr>
              <w:tab/>
              <w:t>4</w:t>
            </w:r>
          </w:hyperlink>
        </w:p>
        <w:p w14:paraId="1F4D19E6" w14:textId="77777777" w:rsidR="00FC2B2A" w:rsidRDefault="00FC2B2A">
          <w:pPr>
            <w:pBdr>
              <w:top w:val="nil"/>
              <w:left w:val="nil"/>
              <w:bottom w:val="nil"/>
              <w:right w:val="nil"/>
              <w:between w:val="nil"/>
            </w:pBdr>
            <w:tabs>
              <w:tab w:val="right" w:pos="9204"/>
            </w:tabs>
            <w:spacing w:after="100"/>
            <w:rPr>
              <w:rFonts w:ascii="Calibri" w:eastAsia="Calibri" w:hAnsi="Calibri" w:cs="Calibri"/>
              <w:color w:val="000000"/>
              <w:sz w:val="24"/>
              <w:szCs w:val="24"/>
            </w:rPr>
          </w:pPr>
          <w:hyperlink w:anchor="_heading=h.f1f1n4xya33q">
            <w:r>
              <w:rPr>
                <w:color w:val="000000"/>
              </w:rPr>
              <w:t>C O N S I D E R A N D O S</w:t>
            </w:r>
            <w:r>
              <w:rPr>
                <w:color w:val="000000"/>
              </w:rPr>
              <w:tab/>
              <w:t>6</w:t>
            </w:r>
          </w:hyperlink>
        </w:p>
        <w:p w14:paraId="6BE75036" w14:textId="77777777" w:rsidR="00FC2B2A" w:rsidRDefault="00FC2B2A">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jlzuy0iod8tf">
            <w:r>
              <w:rPr>
                <w:color w:val="000000"/>
              </w:rPr>
              <w:t>PRIMERO. Competencia</w:t>
            </w:r>
            <w:r>
              <w:rPr>
                <w:color w:val="000000"/>
              </w:rPr>
              <w:tab/>
              <w:t>6</w:t>
            </w:r>
          </w:hyperlink>
        </w:p>
        <w:p w14:paraId="23FD28A5" w14:textId="77777777" w:rsidR="00FC2B2A" w:rsidRDefault="00FC2B2A">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8mjycdm5sc8w">
            <w:r>
              <w:rPr>
                <w:color w:val="000000"/>
              </w:rPr>
              <w:t>SEGUNDO. Causales de improcedencia y sobreseimiento</w:t>
            </w:r>
            <w:r>
              <w:rPr>
                <w:color w:val="000000"/>
              </w:rPr>
              <w:tab/>
              <w:t>6</w:t>
            </w:r>
          </w:hyperlink>
        </w:p>
        <w:p w14:paraId="420D13B0" w14:textId="77777777" w:rsidR="00FC2B2A" w:rsidRDefault="00FC2B2A">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gkq9l3vvnvdc">
            <w:r>
              <w:rPr>
                <w:color w:val="000000"/>
              </w:rPr>
              <w:t>CUARTO. Marco normativo aplicable en materia de transparencia y acceso a la información pública</w:t>
            </w:r>
            <w:r>
              <w:rPr>
                <w:color w:val="000000"/>
              </w:rPr>
              <w:tab/>
              <w:t>10</w:t>
            </w:r>
          </w:hyperlink>
        </w:p>
        <w:p w14:paraId="0AB9274D" w14:textId="77777777" w:rsidR="00FC2B2A" w:rsidRDefault="00FC2B2A">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9d2xwuodlv4g">
            <w:r>
              <w:rPr>
                <w:color w:val="000000"/>
              </w:rPr>
              <w:t>QUINTO. Estudio de Fondo</w:t>
            </w:r>
            <w:r>
              <w:rPr>
                <w:color w:val="000000"/>
              </w:rPr>
              <w:tab/>
              <w:t>11</w:t>
            </w:r>
          </w:hyperlink>
        </w:p>
        <w:p w14:paraId="7C2558B6" w14:textId="77777777" w:rsidR="00FC2B2A" w:rsidRDefault="00FC2B2A">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nvpct0mhdms0">
            <w:r>
              <w:rPr>
                <w:color w:val="000000"/>
              </w:rPr>
              <w:t>SEXTO. Decisión</w:t>
            </w:r>
            <w:r>
              <w:rPr>
                <w:color w:val="000000"/>
              </w:rPr>
              <w:tab/>
              <w:t>19</w:t>
            </w:r>
          </w:hyperlink>
        </w:p>
        <w:p w14:paraId="3FC9309C" w14:textId="77777777" w:rsidR="00FC2B2A" w:rsidRDefault="00FC2B2A">
          <w:pPr>
            <w:pBdr>
              <w:top w:val="nil"/>
              <w:left w:val="nil"/>
              <w:bottom w:val="nil"/>
              <w:right w:val="nil"/>
              <w:between w:val="nil"/>
            </w:pBdr>
            <w:tabs>
              <w:tab w:val="right" w:pos="9204"/>
            </w:tabs>
            <w:spacing w:after="100"/>
            <w:rPr>
              <w:rFonts w:ascii="Calibri" w:eastAsia="Calibri" w:hAnsi="Calibri" w:cs="Calibri"/>
              <w:color w:val="000000"/>
              <w:sz w:val="24"/>
              <w:szCs w:val="24"/>
            </w:rPr>
          </w:pPr>
          <w:hyperlink w:anchor="_heading=h.9h2u915o79n">
            <w:r>
              <w:rPr>
                <w:color w:val="000000"/>
              </w:rPr>
              <w:t>R E S U E L V E</w:t>
            </w:r>
            <w:r>
              <w:rPr>
                <w:color w:val="000000"/>
              </w:rPr>
              <w:tab/>
              <w:t>20</w:t>
            </w:r>
          </w:hyperlink>
        </w:p>
        <w:p w14:paraId="245A9921" w14:textId="77777777" w:rsidR="00FC2B2A" w:rsidRDefault="00BD6B6A">
          <w:r>
            <w:fldChar w:fldCharType="end"/>
          </w:r>
        </w:p>
      </w:sdtContent>
    </w:sdt>
    <w:p w14:paraId="42B15344" w14:textId="77777777" w:rsidR="00FC2B2A" w:rsidRDefault="00FC2B2A">
      <w:pPr>
        <w:widowControl w:val="0"/>
        <w:pBdr>
          <w:top w:val="nil"/>
          <w:left w:val="nil"/>
          <w:bottom w:val="nil"/>
          <w:right w:val="nil"/>
          <w:between w:val="nil"/>
        </w:pBdr>
        <w:spacing w:after="0" w:line="360" w:lineRule="auto"/>
        <w:jc w:val="left"/>
      </w:pPr>
    </w:p>
    <w:p w14:paraId="27D42E19" w14:textId="77777777" w:rsidR="00FC2B2A" w:rsidRDefault="00FC2B2A">
      <w:pPr>
        <w:widowControl w:val="0"/>
        <w:pBdr>
          <w:top w:val="nil"/>
          <w:left w:val="nil"/>
          <w:bottom w:val="nil"/>
          <w:right w:val="nil"/>
          <w:between w:val="nil"/>
        </w:pBdr>
        <w:spacing w:after="0" w:line="360" w:lineRule="auto"/>
        <w:jc w:val="left"/>
      </w:pPr>
    </w:p>
    <w:p w14:paraId="11F9391F" w14:textId="77777777" w:rsidR="00FC2B2A" w:rsidRDefault="00BD6B6A">
      <w:pPr>
        <w:pStyle w:val="Ttulo2"/>
        <w:spacing w:before="0" w:after="0"/>
      </w:pPr>
      <w:r>
        <w:br w:type="page"/>
      </w:r>
    </w:p>
    <w:p w14:paraId="21110B0B" w14:textId="77777777" w:rsidR="00FC2B2A" w:rsidRDefault="00FC2B2A">
      <w:pPr>
        <w:widowControl w:val="0"/>
        <w:pBdr>
          <w:top w:val="nil"/>
          <w:left w:val="nil"/>
          <w:bottom w:val="nil"/>
          <w:right w:val="nil"/>
          <w:between w:val="nil"/>
        </w:pBdr>
        <w:spacing w:after="0" w:line="360" w:lineRule="auto"/>
        <w:jc w:val="left"/>
      </w:pPr>
    </w:p>
    <w:p w14:paraId="25E161FD" w14:textId="77777777" w:rsidR="00FC2B2A" w:rsidRDefault="00BD6B6A">
      <w:pPr>
        <w:spacing w:after="0" w:line="360" w:lineRule="auto"/>
      </w:pPr>
      <w:r>
        <w:t>Resolución del Pleno del Instituto de Transparencia, Acceso a la Información Pública y Protección de Datos Personales del Estado de México y Municipios, con domicilio en Metepec, Estado de México, de fecha seis de agosto de dos mil veinticinco.</w:t>
      </w:r>
    </w:p>
    <w:p w14:paraId="5278FB34" w14:textId="77777777" w:rsidR="00FC2B2A" w:rsidRDefault="00FC2B2A">
      <w:pPr>
        <w:spacing w:after="0" w:line="360" w:lineRule="auto"/>
        <w:rPr>
          <w:b/>
        </w:rPr>
      </w:pPr>
    </w:p>
    <w:p w14:paraId="0649E0FF" w14:textId="77777777" w:rsidR="00FC2B2A" w:rsidRDefault="00BD6B6A">
      <w:pPr>
        <w:spacing w:after="0" w:line="360" w:lineRule="auto"/>
      </w:pPr>
      <w:r>
        <w:rPr>
          <w:b/>
        </w:rPr>
        <w:t>VISTO</w:t>
      </w:r>
      <w:r>
        <w:t xml:space="preserve"> el expediente conformado con motivo del Recurso de Revisión </w:t>
      </w:r>
      <w:r w:rsidRPr="00402B07">
        <w:rPr>
          <w:b/>
        </w:rPr>
        <w:t>05006/INFOEM/IP/RR/2025</w:t>
      </w:r>
      <w:r w:rsidRPr="00421B3E">
        <w:rPr>
          <w:bCs/>
        </w:rPr>
        <w:t xml:space="preserve">, interpuesto por la persona Recurrente o Particular, en contra de la respuesta del Sujeto Obligado, </w:t>
      </w:r>
      <w:r w:rsidRPr="00402B07">
        <w:rPr>
          <w:b/>
        </w:rPr>
        <w:t>Ayuntamiento de Toluca</w:t>
      </w:r>
      <w:r>
        <w:t>, se emite la presente Resolución, con base en los antecedentes y considerandos que se exponen a continuación:</w:t>
      </w:r>
    </w:p>
    <w:p w14:paraId="5B4947B7" w14:textId="77777777" w:rsidR="00FC2B2A" w:rsidRDefault="00FC2B2A">
      <w:pPr>
        <w:spacing w:after="0" w:line="360" w:lineRule="auto"/>
      </w:pPr>
    </w:p>
    <w:p w14:paraId="25511059" w14:textId="77777777" w:rsidR="00FC2B2A" w:rsidRDefault="00BD6B6A">
      <w:pPr>
        <w:pStyle w:val="Ttulo1"/>
        <w:spacing w:before="0" w:after="0"/>
        <w:rPr>
          <w:sz w:val="22"/>
          <w:szCs w:val="22"/>
        </w:rPr>
      </w:pPr>
      <w:bookmarkStart w:id="0" w:name="_heading=h.p30nn8h9aprs" w:colFirst="0" w:colLast="0"/>
      <w:bookmarkEnd w:id="0"/>
      <w:r>
        <w:rPr>
          <w:sz w:val="22"/>
          <w:szCs w:val="22"/>
        </w:rPr>
        <w:t>A N T E C E D E N T E S</w:t>
      </w:r>
    </w:p>
    <w:p w14:paraId="31ECEA25" w14:textId="77777777" w:rsidR="00FC2B2A" w:rsidRDefault="00FC2B2A">
      <w:pPr>
        <w:spacing w:after="0" w:line="360" w:lineRule="auto"/>
      </w:pPr>
      <w:bookmarkStart w:id="1" w:name="_heading=h.gjdgxs" w:colFirst="0" w:colLast="0"/>
      <w:bookmarkEnd w:id="1"/>
    </w:p>
    <w:p w14:paraId="68DF4FAD" w14:textId="77777777" w:rsidR="00FC2B2A" w:rsidRDefault="00BD6B6A">
      <w:pPr>
        <w:pStyle w:val="Ttulo2"/>
        <w:spacing w:before="0" w:after="0"/>
      </w:pPr>
      <w:bookmarkStart w:id="2" w:name="_heading=h.h1iccs4waoxh" w:colFirst="0" w:colLast="0"/>
      <w:bookmarkEnd w:id="2"/>
      <w:r>
        <w:t>I. Presentación de la solicitud de información</w:t>
      </w:r>
    </w:p>
    <w:p w14:paraId="5A008F91" w14:textId="77777777" w:rsidR="00FC2B2A" w:rsidRDefault="00FC2B2A">
      <w:pPr>
        <w:tabs>
          <w:tab w:val="left" w:pos="567"/>
        </w:tabs>
        <w:spacing w:after="0" w:line="360" w:lineRule="auto"/>
      </w:pPr>
    </w:p>
    <w:p w14:paraId="629080D8" w14:textId="77777777" w:rsidR="00FC2B2A" w:rsidRDefault="00BD6B6A">
      <w:pPr>
        <w:spacing w:after="0" w:line="360" w:lineRule="auto"/>
      </w:pPr>
      <w:r>
        <w:t>Con fecha doce de marzo de dos mil veinticinco, la parte Solicitante presentó una solicitud de acceso a la información pública, a través del Sistema de Acceso a la Información Mexiquense, en lo sucesivo el SAIMEX, ante el Ayuntamiento de Toluca, en la que requirió lo siguiente:</w:t>
      </w:r>
    </w:p>
    <w:p w14:paraId="5CABD022" w14:textId="77777777" w:rsidR="00FC2B2A" w:rsidRDefault="00FC2B2A">
      <w:pPr>
        <w:spacing w:after="0" w:line="360" w:lineRule="auto"/>
      </w:pPr>
    </w:p>
    <w:p w14:paraId="465C973F" w14:textId="77777777" w:rsidR="00FC2B2A" w:rsidRDefault="00BD6B6A">
      <w:pPr>
        <w:tabs>
          <w:tab w:val="left" w:pos="567"/>
        </w:tabs>
        <w:spacing w:after="0" w:line="360" w:lineRule="auto"/>
        <w:ind w:left="567" w:right="709"/>
        <w:rPr>
          <w:b/>
          <w:sz w:val="20"/>
          <w:szCs w:val="20"/>
        </w:rPr>
      </w:pPr>
      <w:r>
        <w:rPr>
          <w:b/>
          <w:sz w:val="20"/>
          <w:szCs w:val="20"/>
        </w:rPr>
        <w:t>Folio de la solicitud: 01527/TOLUCA/IP/2025</w:t>
      </w:r>
    </w:p>
    <w:p w14:paraId="69231F21" w14:textId="77777777" w:rsidR="00FC2B2A" w:rsidRDefault="00BD6B6A">
      <w:pPr>
        <w:tabs>
          <w:tab w:val="left" w:pos="567"/>
        </w:tabs>
        <w:spacing w:after="0" w:line="360" w:lineRule="auto"/>
        <w:ind w:left="567" w:right="709"/>
        <w:rPr>
          <w:b/>
          <w:sz w:val="20"/>
          <w:szCs w:val="20"/>
        </w:rPr>
      </w:pPr>
      <w:r>
        <w:rPr>
          <w:b/>
          <w:sz w:val="20"/>
          <w:szCs w:val="20"/>
        </w:rPr>
        <w:t>DESCRIPCIÓN CLARA Y PRECISA DE LA INFORMACIÓN SOLICITADA</w:t>
      </w:r>
    </w:p>
    <w:p w14:paraId="036E2DA0" w14:textId="77777777" w:rsidR="00FC2B2A" w:rsidRDefault="00BD6B6A">
      <w:pPr>
        <w:tabs>
          <w:tab w:val="left" w:pos="4667"/>
        </w:tabs>
        <w:spacing w:after="0" w:line="360" w:lineRule="auto"/>
        <w:ind w:left="567" w:right="709"/>
        <w:rPr>
          <w:i/>
          <w:sz w:val="20"/>
          <w:szCs w:val="20"/>
        </w:rPr>
      </w:pPr>
      <w:r>
        <w:rPr>
          <w:i/>
          <w:sz w:val="20"/>
          <w:szCs w:val="20"/>
        </w:rPr>
        <w:t>“Se solicita saber cuantas personas han sido localizadas por la policía municipal y de donde eran originarios cual fue su destino y se dio parte a la fiscaliza en los últimos 6 años y el actual” (Sic.)</w:t>
      </w:r>
    </w:p>
    <w:p w14:paraId="34D91789" w14:textId="77777777" w:rsidR="00FC2B2A" w:rsidRDefault="00FC2B2A">
      <w:pPr>
        <w:tabs>
          <w:tab w:val="left" w:pos="4667"/>
        </w:tabs>
        <w:spacing w:after="0" w:line="360" w:lineRule="auto"/>
        <w:ind w:left="567" w:right="709"/>
        <w:rPr>
          <w:b/>
          <w:sz w:val="20"/>
          <w:szCs w:val="20"/>
        </w:rPr>
      </w:pPr>
    </w:p>
    <w:p w14:paraId="0768B665" w14:textId="77777777" w:rsidR="00FC2B2A" w:rsidRDefault="00BD6B6A">
      <w:pPr>
        <w:tabs>
          <w:tab w:val="left" w:pos="4667"/>
        </w:tabs>
        <w:spacing w:after="0" w:line="360" w:lineRule="auto"/>
        <w:ind w:left="567" w:right="709"/>
        <w:rPr>
          <w:b/>
          <w:sz w:val="20"/>
          <w:szCs w:val="20"/>
        </w:rPr>
      </w:pPr>
      <w:r>
        <w:rPr>
          <w:b/>
          <w:sz w:val="20"/>
          <w:szCs w:val="20"/>
        </w:rPr>
        <w:t xml:space="preserve">MODALIDAD DE ENTREGA </w:t>
      </w:r>
      <w:r>
        <w:rPr>
          <w:i/>
          <w:sz w:val="20"/>
          <w:szCs w:val="20"/>
        </w:rPr>
        <w:t>“A través del SAIMEX.”</w:t>
      </w:r>
    </w:p>
    <w:p w14:paraId="5729E914" w14:textId="77777777" w:rsidR="00FC2B2A" w:rsidRDefault="00FC2B2A">
      <w:pPr>
        <w:tabs>
          <w:tab w:val="left" w:pos="4667"/>
        </w:tabs>
        <w:spacing w:after="0" w:line="360" w:lineRule="auto"/>
        <w:ind w:right="709"/>
        <w:rPr>
          <w:i/>
        </w:rPr>
      </w:pPr>
    </w:p>
    <w:p w14:paraId="7DDF7A6E" w14:textId="77777777" w:rsidR="00FC2B2A" w:rsidRDefault="00BD6B6A">
      <w:pPr>
        <w:pStyle w:val="Ttulo2"/>
        <w:spacing w:before="0" w:after="0"/>
      </w:pPr>
      <w:bookmarkStart w:id="3" w:name="_heading=h.4vqoj1prg039" w:colFirst="0" w:colLast="0"/>
      <w:bookmarkEnd w:id="3"/>
      <w:r>
        <w:t>II. Respuesta del Sujeto Obligado</w:t>
      </w:r>
    </w:p>
    <w:p w14:paraId="0168C9D2" w14:textId="77777777" w:rsidR="00FC2B2A" w:rsidRDefault="00FC2B2A">
      <w:pPr>
        <w:spacing w:after="0" w:line="360" w:lineRule="auto"/>
      </w:pPr>
    </w:p>
    <w:p w14:paraId="2C133A82" w14:textId="77777777" w:rsidR="00FC2B2A" w:rsidRDefault="00BD6B6A">
      <w:pPr>
        <w:spacing w:after="0" w:line="360" w:lineRule="auto"/>
      </w:pPr>
      <w:r>
        <w:lastRenderedPageBreak/>
        <w:t>El tres de abril de dos mil veinticinco, el Sujeto Obligado a través de SAIMEX, dio respuesta en los siguientes términos:</w:t>
      </w:r>
    </w:p>
    <w:p w14:paraId="78B85010" w14:textId="77777777" w:rsidR="00FC2B2A" w:rsidRDefault="00FC2B2A">
      <w:pPr>
        <w:spacing w:after="0" w:line="360" w:lineRule="auto"/>
      </w:pPr>
    </w:p>
    <w:p w14:paraId="51E45C0D" w14:textId="77777777" w:rsidR="00FC2B2A" w:rsidRDefault="00BD6B6A">
      <w:pPr>
        <w:numPr>
          <w:ilvl w:val="0"/>
          <w:numId w:val="1"/>
        </w:numPr>
        <w:pBdr>
          <w:top w:val="nil"/>
          <w:left w:val="nil"/>
          <w:bottom w:val="nil"/>
          <w:right w:val="nil"/>
          <w:between w:val="nil"/>
        </w:pBdr>
        <w:spacing w:after="0" w:line="360" w:lineRule="auto"/>
        <w:rPr>
          <w:b/>
          <w:i/>
          <w:color w:val="000000"/>
        </w:rPr>
      </w:pPr>
      <w:r>
        <w:rPr>
          <w:b/>
          <w:i/>
          <w:color w:val="000000"/>
        </w:rPr>
        <w:t>SAIMEX 01527.pdf</w:t>
      </w:r>
      <w:r>
        <w:rPr>
          <w:color w:val="000000"/>
        </w:rPr>
        <w:t>: Oficio suscrito por el Director Operativo de Seguridad Pública y Protección, por el que remitió el informe y anexos emitidos por el Departamento de Atención a la Violencia de Género, que pertenece a dicha Dirección.</w:t>
      </w:r>
    </w:p>
    <w:p w14:paraId="40AC460D" w14:textId="77777777" w:rsidR="00FC2B2A" w:rsidRDefault="00BD6B6A">
      <w:pPr>
        <w:numPr>
          <w:ilvl w:val="0"/>
          <w:numId w:val="1"/>
        </w:numPr>
        <w:pBdr>
          <w:top w:val="nil"/>
          <w:left w:val="nil"/>
          <w:bottom w:val="nil"/>
          <w:right w:val="nil"/>
          <w:between w:val="nil"/>
        </w:pBdr>
        <w:spacing w:after="0" w:line="360" w:lineRule="auto"/>
        <w:rPr>
          <w:color w:val="000000"/>
        </w:rPr>
      </w:pPr>
      <w:r>
        <w:rPr>
          <w:color w:val="000000"/>
        </w:rPr>
        <w:t>Oficio suscrito por la Coordinadora del Departamento de Atención a la Violencia de Género, en el que medularmente mencionó lo siguiente:</w:t>
      </w:r>
    </w:p>
    <w:p w14:paraId="2C0826B5" w14:textId="77777777" w:rsidR="00FC2B2A" w:rsidRDefault="00BD6B6A">
      <w:pPr>
        <w:numPr>
          <w:ilvl w:val="0"/>
          <w:numId w:val="2"/>
        </w:numPr>
        <w:pBdr>
          <w:top w:val="nil"/>
          <w:left w:val="nil"/>
          <w:bottom w:val="nil"/>
          <w:right w:val="nil"/>
          <w:between w:val="nil"/>
        </w:pBdr>
        <w:spacing w:after="0" w:line="360" w:lineRule="auto"/>
        <w:rPr>
          <w:b/>
          <w:i/>
          <w:color w:val="000000"/>
        </w:rPr>
      </w:pPr>
      <w:r>
        <w:rPr>
          <w:i/>
          <w:color w:val="000000"/>
        </w:rPr>
        <w:t>“…Policía de Género y Célula de Búsqueda han localizado 1,523 personas del año 2020 al 25 de marzo del presente año, al realizar la localización no refieren de donde son originarios y se desconoce cuál será su destino…”</w:t>
      </w:r>
    </w:p>
    <w:p w14:paraId="4FC1BA41" w14:textId="77777777" w:rsidR="00FC2B2A" w:rsidRDefault="00BD6B6A">
      <w:pPr>
        <w:numPr>
          <w:ilvl w:val="0"/>
          <w:numId w:val="2"/>
        </w:numPr>
        <w:pBdr>
          <w:top w:val="nil"/>
          <w:left w:val="nil"/>
          <w:bottom w:val="nil"/>
          <w:right w:val="nil"/>
          <w:between w:val="nil"/>
        </w:pBdr>
        <w:spacing w:after="0" w:line="360" w:lineRule="auto"/>
        <w:rPr>
          <w:b/>
          <w:i/>
          <w:color w:val="000000"/>
        </w:rPr>
      </w:pPr>
      <w:r>
        <w:rPr>
          <w:color w:val="000000"/>
        </w:rPr>
        <w:t xml:space="preserve">Que la Policía de Género de Célula de Búsqueda brinda asesoría para la baja de boletín en la Fiscalía Especializada para la Investigación de Delitos en Materia de Desaparición Forzada de Personas y la Desaparición Cometida por Particulares, y que se han hecho traslados para que puedan dar de baja el boletín generado por dicha institución. Señaló también que hay personas localizadas que no son trasladadas para la realización de la baja del boletín, ya que refieren </w:t>
      </w:r>
      <w:r>
        <w:t>realizarán los trámites</w:t>
      </w:r>
      <w:r>
        <w:rPr>
          <w:color w:val="000000"/>
        </w:rPr>
        <w:t xml:space="preserve"> por sus medios. </w:t>
      </w:r>
    </w:p>
    <w:p w14:paraId="56133AE9" w14:textId="77777777" w:rsidR="00FC2B2A" w:rsidRDefault="00BD6B6A">
      <w:pPr>
        <w:numPr>
          <w:ilvl w:val="0"/>
          <w:numId w:val="2"/>
        </w:numPr>
        <w:pBdr>
          <w:top w:val="nil"/>
          <w:left w:val="nil"/>
          <w:bottom w:val="nil"/>
          <w:right w:val="nil"/>
          <w:between w:val="nil"/>
        </w:pBdr>
        <w:spacing w:after="0" w:line="360" w:lineRule="auto"/>
        <w:rPr>
          <w:color w:val="000000"/>
        </w:rPr>
      </w:pPr>
      <w:r>
        <w:rPr>
          <w:color w:val="000000"/>
        </w:rPr>
        <w:t xml:space="preserve">Señaló que para realizar el trámite se llenan los formatos de Acta de entrevista y el Anexo 3 Formato único de Localización de Persona Desaparecida, de los cuales remitió un formato en blanco; ello con la finalidad de informar a la Fiscalía de Desaparecidos que se han localizado las personas que cuentan con algún boletín de búsqueda, a partir de año 2022, </w:t>
      </w:r>
      <w:r>
        <w:t>realizándose con</w:t>
      </w:r>
      <w:r>
        <w:rPr>
          <w:color w:val="000000"/>
        </w:rPr>
        <w:t xml:space="preserve"> cada una de las personas localizadas.</w:t>
      </w:r>
    </w:p>
    <w:p w14:paraId="3AC7DAAE" w14:textId="77777777" w:rsidR="00FC2B2A" w:rsidRDefault="00FC2B2A">
      <w:pPr>
        <w:pBdr>
          <w:top w:val="nil"/>
          <w:left w:val="nil"/>
          <w:bottom w:val="nil"/>
          <w:right w:val="nil"/>
          <w:between w:val="nil"/>
        </w:pBdr>
        <w:spacing w:after="0" w:line="360" w:lineRule="auto"/>
        <w:ind w:left="720"/>
        <w:rPr>
          <w:color w:val="000000"/>
        </w:rPr>
      </w:pPr>
    </w:p>
    <w:p w14:paraId="201D1D7B" w14:textId="77777777" w:rsidR="00FC2B2A" w:rsidRDefault="00BD6B6A">
      <w:pPr>
        <w:pStyle w:val="Ttulo2"/>
        <w:spacing w:before="0" w:after="0"/>
      </w:pPr>
      <w:bookmarkStart w:id="4" w:name="_heading=h.1639rhxlwskm" w:colFirst="0" w:colLast="0"/>
      <w:bookmarkEnd w:id="4"/>
      <w:r>
        <w:t>III. Interposición del Recurso de Revisión</w:t>
      </w:r>
    </w:p>
    <w:p w14:paraId="1800AA1D" w14:textId="77777777" w:rsidR="00FC2B2A" w:rsidRDefault="00FC2B2A">
      <w:pPr>
        <w:spacing w:after="0" w:line="360" w:lineRule="auto"/>
        <w:rPr>
          <w:b/>
        </w:rPr>
      </w:pPr>
    </w:p>
    <w:p w14:paraId="6C8AD760" w14:textId="77777777" w:rsidR="00FC2B2A" w:rsidRDefault="00BD6B6A">
      <w:pPr>
        <w:spacing w:after="0" w:line="360" w:lineRule="auto"/>
      </w:pPr>
      <w:bookmarkStart w:id="5" w:name="_heading=h.2et92p0" w:colFirst="0" w:colLast="0"/>
      <w:bookmarkEnd w:id="5"/>
      <w:r>
        <w:lastRenderedPageBreak/>
        <w:t>Con fecha dos de mayo de dos mil veinticinco, se recibió en este Instituto, a través del SAIMEX, el Recurso de Revisión interpuesto por la persona Recurrente, en los siguientes términos:</w:t>
      </w:r>
    </w:p>
    <w:p w14:paraId="25756A99" w14:textId="77777777" w:rsidR="00FC2B2A" w:rsidRDefault="00FC2B2A">
      <w:pPr>
        <w:spacing w:after="0" w:line="360" w:lineRule="auto"/>
      </w:pPr>
    </w:p>
    <w:p w14:paraId="248738A4" w14:textId="77777777" w:rsidR="00FC2B2A" w:rsidRDefault="00BD6B6A">
      <w:pPr>
        <w:spacing w:after="0" w:line="360" w:lineRule="auto"/>
        <w:ind w:left="567" w:right="709"/>
        <w:rPr>
          <w:b/>
          <w:sz w:val="20"/>
          <w:szCs w:val="20"/>
        </w:rPr>
      </w:pPr>
      <w:r>
        <w:rPr>
          <w:b/>
          <w:sz w:val="20"/>
          <w:szCs w:val="20"/>
        </w:rPr>
        <w:t>ACTO IMPUGNADO</w:t>
      </w:r>
      <w:r>
        <w:rPr>
          <w:b/>
          <w:sz w:val="20"/>
          <w:szCs w:val="20"/>
        </w:rPr>
        <w:tab/>
      </w:r>
    </w:p>
    <w:p w14:paraId="7294A2DF" w14:textId="77777777" w:rsidR="00FC2B2A" w:rsidRDefault="00BD6B6A">
      <w:pPr>
        <w:spacing w:after="0" w:line="360" w:lineRule="auto"/>
        <w:ind w:left="567" w:right="709"/>
        <w:rPr>
          <w:b/>
          <w:sz w:val="20"/>
          <w:szCs w:val="20"/>
        </w:rPr>
      </w:pPr>
      <w:r>
        <w:rPr>
          <w:i/>
          <w:sz w:val="20"/>
          <w:szCs w:val="20"/>
        </w:rPr>
        <w:t>“La respuesta no entrega la información” (Sic.)</w:t>
      </w:r>
    </w:p>
    <w:p w14:paraId="4B394729" w14:textId="77777777" w:rsidR="00FC2B2A" w:rsidRDefault="00FC2B2A">
      <w:pPr>
        <w:spacing w:after="0" w:line="360" w:lineRule="auto"/>
        <w:ind w:left="567" w:right="709"/>
        <w:rPr>
          <w:sz w:val="20"/>
          <w:szCs w:val="20"/>
        </w:rPr>
      </w:pPr>
    </w:p>
    <w:p w14:paraId="6F6BDD5D" w14:textId="77777777" w:rsidR="00FC2B2A" w:rsidRDefault="00BD6B6A">
      <w:pPr>
        <w:spacing w:after="0" w:line="360" w:lineRule="auto"/>
        <w:ind w:left="567" w:right="709"/>
        <w:rPr>
          <w:b/>
          <w:sz w:val="20"/>
          <w:szCs w:val="20"/>
        </w:rPr>
      </w:pPr>
      <w:r>
        <w:rPr>
          <w:b/>
          <w:sz w:val="20"/>
          <w:szCs w:val="20"/>
        </w:rPr>
        <w:t>RAZONES O MOTIVOS DE LA INCONFORMIDAD</w:t>
      </w:r>
      <w:r>
        <w:rPr>
          <w:b/>
          <w:sz w:val="20"/>
          <w:szCs w:val="20"/>
        </w:rPr>
        <w:tab/>
      </w:r>
    </w:p>
    <w:p w14:paraId="18182117" w14:textId="77777777" w:rsidR="00FC2B2A" w:rsidRDefault="00BD6B6A">
      <w:pPr>
        <w:tabs>
          <w:tab w:val="left" w:pos="4667"/>
        </w:tabs>
        <w:spacing w:after="0" w:line="360" w:lineRule="auto"/>
        <w:ind w:left="567" w:right="709"/>
        <w:rPr>
          <w:i/>
          <w:sz w:val="20"/>
          <w:szCs w:val="20"/>
        </w:rPr>
      </w:pPr>
      <w:r>
        <w:rPr>
          <w:i/>
          <w:sz w:val="20"/>
          <w:szCs w:val="20"/>
        </w:rPr>
        <w:t>“La respuesta incompleta entrega aun foto en blanco” (Sic.)</w:t>
      </w:r>
    </w:p>
    <w:p w14:paraId="70BA1CD6" w14:textId="77777777" w:rsidR="00FC2B2A" w:rsidRDefault="00FC2B2A">
      <w:pPr>
        <w:tabs>
          <w:tab w:val="left" w:pos="4667"/>
        </w:tabs>
        <w:spacing w:after="0" w:line="360" w:lineRule="auto"/>
      </w:pPr>
    </w:p>
    <w:p w14:paraId="2EF12166" w14:textId="77777777" w:rsidR="00FC2B2A" w:rsidRDefault="00BD6B6A">
      <w:pPr>
        <w:pStyle w:val="Ttulo2"/>
        <w:spacing w:before="0" w:after="0"/>
      </w:pPr>
      <w:bookmarkStart w:id="6" w:name="_heading=h.of7qjczdr0cw" w:colFirst="0" w:colLast="0"/>
      <w:bookmarkEnd w:id="6"/>
      <w:r>
        <w:t>IV. Trámite del Recurso de Revisión ante este Instituto</w:t>
      </w:r>
    </w:p>
    <w:p w14:paraId="739B1002" w14:textId="77777777" w:rsidR="00FC2B2A" w:rsidRDefault="00FC2B2A">
      <w:pPr>
        <w:spacing w:after="0" w:line="360" w:lineRule="auto"/>
        <w:rPr>
          <w:b/>
        </w:rPr>
      </w:pPr>
    </w:p>
    <w:p w14:paraId="1EC20148" w14:textId="77777777" w:rsidR="00FC2B2A" w:rsidRDefault="00BD6B6A">
      <w:pPr>
        <w:spacing w:after="0" w:line="360" w:lineRule="auto"/>
      </w:pPr>
      <w:r>
        <w:rPr>
          <w:b/>
        </w:rPr>
        <w:t>a) Turno del Medio de Impugnación.</w:t>
      </w:r>
      <w:r>
        <w:t xml:space="preserve"> El dos de mayo de dos mil veinticinco, el SAIMEX, asignó el número de expediente</w:t>
      </w:r>
      <w:r>
        <w:rPr>
          <w:b/>
        </w:rPr>
        <w:t xml:space="preserve"> 05006/INFOEM/IP/RR/2025, </w:t>
      </w:r>
      <w: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13B7F802" w14:textId="77777777" w:rsidR="00FC2B2A" w:rsidRDefault="00FC2B2A">
      <w:pPr>
        <w:spacing w:after="0" w:line="360" w:lineRule="auto"/>
      </w:pPr>
    </w:p>
    <w:p w14:paraId="13B217D5" w14:textId="77777777" w:rsidR="00FC2B2A" w:rsidRDefault="00BD6B6A">
      <w:pPr>
        <w:spacing w:after="0" w:line="360" w:lineRule="auto"/>
      </w:pPr>
      <w:r>
        <w:rPr>
          <w:b/>
        </w:rPr>
        <w:t>b) Admisión del Recurso de Revisión.</w:t>
      </w:r>
      <w:r>
        <w:t xml:space="preserve"> El ocho de mayo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través del SAIMEX, en el que se les otorgó un plazo de siete días hábiles posteriores a la misma, para que manifestara lo que a su derecho conviniera y formularán alegatos.</w:t>
      </w:r>
    </w:p>
    <w:p w14:paraId="3248F536" w14:textId="77777777" w:rsidR="00FC2B2A" w:rsidRDefault="00FC2B2A">
      <w:pPr>
        <w:spacing w:after="0" w:line="360" w:lineRule="auto"/>
      </w:pPr>
    </w:p>
    <w:p w14:paraId="33F3E040" w14:textId="77777777" w:rsidR="00FC2B2A" w:rsidRDefault="00BD6B6A">
      <w:pPr>
        <w:spacing w:after="0" w:line="360" w:lineRule="auto"/>
      </w:pPr>
      <w:r>
        <w:rPr>
          <w:b/>
        </w:rPr>
        <w:lastRenderedPageBreak/>
        <w:t xml:space="preserve">c) Informe Justificado. </w:t>
      </w:r>
      <w:r>
        <w:t>En fecha diecinueve de mayo y dieciséis de julio de dos mil veinticinco, el Sujeto Obligado rindió informe justificado a través de SAIMEX, mediante los siguientes documentos:</w:t>
      </w:r>
    </w:p>
    <w:p w14:paraId="2DEEC39A" w14:textId="77777777" w:rsidR="00FC2B2A" w:rsidRDefault="00FC2B2A">
      <w:pPr>
        <w:spacing w:after="0" w:line="360" w:lineRule="auto"/>
      </w:pPr>
    </w:p>
    <w:p w14:paraId="3BD2C84E" w14:textId="77777777" w:rsidR="00FC2B2A" w:rsidRDefault="00BD6B6A">
      <w:pPr>
        <w:numPr>
          <w:ilvl w:val="0"/>
          <w:numId w:val="3"/>
        </w:numPr>
        <w:pBdr>
          <w:top w:val="nil"/>
          <w:left w:val="nil"/>
          <w:bottom w:val="nil"/>
          <w:right w:val="nil"/>
          <w:between w:val="nil"/>
        </w:pBdr>
        <w:spacing w:after="0" w:line="360" w:lineRule="auto"/>
        <w:rPr>
          <w:color w:val="000000"/>
        </w:rPr>
      </w:pPr>
      <w:r>
        <w:rPr>
          <w:color w:val="000000"/>
        </w:rPr>
        <w:t>Oficio emitido por el Titular de la Unidad de Transparencia del Sujeto Obligado, en el que ratificó su respuesta inicial.</w:t>
      </w:r>
    </w:p>
    <w:p w14:paraId="205B3E9E" w14:textId="77777777" w:rsidR="00FC2B2A" w:rsidRDefault="00BD6B6A">
      <w:pPr>
        <w:numPr>
          <w:ilvl w:val="0"/>
          <w:numId w:val="3"/>
        </w:numPr>
        <w:pBdr>
          <w:top w:val="nil"/>
          <w:left w:val="nil"/>
          <w:bottom w:val="nil"/>
          <w:right w:val="nil"/>
          <w:between w:val="nil"/>
        </w:pBdr>
        <w:spacing w:after="0" w:line="360" w:lineRule="auto"/>
        <w:rPr>
          <w:color w:val="000000"/>
        </w:rPr>
      </w:pPr>
      <w:r>
        <w:rPr>
          <w:color w:val="000000"/>
        </w:rPr>
        <w:t>Oficio emitido por la Directora Jurídica de Seguridad y Protección del Sujeto Obligado, en el que ratificó su respuesta.</w:t>
      </w:r>
    </w:p>
    <w:p w14:paraId="677DE48D" w14:textId="77777777" w:rsidR="00FC2B2A" w:rsidRDefault="00BD6B6A">
      <w:pPr>
        <w:numPr>
          <w:ilvl w:val="0"/>
          <w:numId w:val="3"/>
        </w:numPr>
        <w:pBdr>
          <w:top w:val="nil"/>
          <w:left w:val="nil"/>
          <w:bottom w:val="nil"/>
          <w:right w:val="nil"/>
          <w:between w:val="nil"/>
        </w:pBdr>
        <w:spacing w:after="0" w:line="360" w:lineRule="auto"/>
        <w:rPr>
          <w:color w:val="000000"/>
        </w:rPr>
      </w:pPr>
      <w:r>
        <w:rPr>
          <w:color w:val="000000"/>
        </w:rPr>
        <w:t xml:space="preserve">Oficio emitido por el Director Operativo de Seguridad Pública y Protección, en el que mencionó lo siguiente: </w:t>
      </w:r>
      <w:r>
        <w:rPr>
          <w:i/>
          <w:color w:val="000000"/>
        </w:rPr>
        <w:t>“… de las 1523 personas localizadas de año 2020 al 25 de marzo del presente año, el 30 % fueron canalizadas a las diferentes fiscalías para realizar el trámite correspondiente a la baja del boletín de búsqueda, mientras el 70% restante, mencionan realizar dicho trámite por sus propios medios…”</w:t>
      </w:r>
    </w:p>
    <w:p w14:paraId="63B5D50E" w14:textId="77777777" w:rsidR="00FC2B2A" w:rsidRDefault="00FC2B2A">
      <w:pPr>
        <w:spacing w:after="0" w:line="360" w:lineRule="auto"/>
      </w:pPr>
    </w:p>
    <w:p w14:paraId="51BB6023" w14:textId="77777777" w:rsidR="00FC2B2A" w:rsidRDefault="00BD6B6A">
      <w:pPr>
        <w:spacing w:after="0" w:line="360" w:lineRule="auto"/>
      </w:pPr>
      <w:r>
        <w:rPr>
          <w:b/>
        </w:rPr>
        <w:t>d) Vista del Informe Justificado.</w:t>
      </w:r>
      <w:r>
        <w:t xml:space="preserve"> El dieciséis de julio de dos mil veinticinco, se dictó acuerdo por medio del cual se puso a la vista de la persona Recurrente el informe justificado entregado por el Sujeto Obligado, el cual fue notificado a las partes, el mismo día, a través del SAIMEX.</w:t>
      </w:r>
    </w:p>
    <w:p w14:paraId="1C6407B1" w14:textId="77777777" w:rsidR="00FC2B2A" w:rsidRDefault="00FC2B2A">
      <w:pPr>
        <w:spacing w:after="0" w:line="360" w:lineRule="auto"/>
        <w:rPr>
          <w:b/>
        </w:rPr>
      </w:pPr>
    </w:p>
    <w:p w14:paraId="4487D722" w14:textId="77777777" w:rsidR="00FC2B2A" w:rsidRDefault="00BD6B6A">
      <w:pPr>
        <w:spacing w:after="0" w:line="360" w:lineRule="auto"/>
      </w:pPr>
      <w:r>
        <w:rPr>
          <w:b/>
        </w:rPr>
        <w:t xml:space="preserve">e) Manifestaciones de la parte Recurrente. </w:t>
      </w:r>
      <w:r>
        <w:t xml:space="preserve">De las constancias que obran en el SAIMEX, se advierte que la parte Recurrente no añadió manifestaciones. </w:t>
      </w:r>
    </w:p>
    <w:p w14:paraId="2A551848" w14:textId="77777777" w:rsidR="00FC2B2A" w:rsidRDefault="00FC2B2A">
      <w:pPr>
        <w:spacing w:after="0" w:line="360" w:lineRule="auto"/>
      </w:pPr>
    </w:p>
    <w:p w14:paraId="1D914F56" w14:textId="77777777" w:rsidR="00FC2B2A" w:rsidRDefault="00BD6B6A">
      <w:pPr>
        <w:spacing w:after="0" w:line="360" w:lineRule="auto"/>
        <w:rPr>
          <w:b/>
          <w:color w:val="000000"/>
        </w:rPr>
      </w:pPr>
      <w:r>
        <w:rPr>
          <w:b/>
        </w:rPr>
        <w:t>f)</w:t>
      </w:r>
      <w:r>
        <w:t xml:space="preserve"> </w:t>
      </w:r>
      <w:r>
        <w:rPr>
          <w:b/>
        </w:rPr>
        <w:t>Ampliación de plazo para resolver</w:t>
      </w:r>
      <w:r>
        <w:t>. El diecinueve de junio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en la misma fecha, mediante el SAIMEX.</w:t>
      </w:r>
    </w:p>
    <w:p w14:paraId="6A9D4D2A" w14:textId="77777777" w:rsidR="00FC2B2A" w:rsidRDefault="00FC2B2A">
      <w:pPr>
        <w:spacing w:after="0" w:line="360" w:lineRule="auto"/>
      </w:pPr>
    </w:p>
    <w:p w14:paraId="2FA62391" w14:textId="77777777" w:rsidR="00FC2B2A" w:rsidRDefault="00BD6B6A">
      <w:pPr>
        <w:spacing w:after="0" w:line="360" w:lineRule="auto"/>
      </w:pPr>
      <w:r>
        <w:rPr>
          <w:b/>
        </w:rPr>
        <w:lastRenderedPageBreak/>
        <w:t>g) Cierre de instrucción.</w:t>
      </w:r>
      <w:r>
        <w:t xml:space="preserve"> El cinco de agosto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13AF4D51" w14:textId="77777777" w:rsidR="00FC2B2A" w:rsidRDefault="00FC2B2A">
      <w:pPr>
        <w:spacing w:after="0" w:line="360" w:lineRule="auto"/>
        <w:rPr>
          <w:color w:val="000000"/>
        </w:rPr>
      </w:pPr>
    </w:p>
    <w:p w14:paraId="4735D585" w14:textId="77777777" w:rsidR="00FC2B2A" w:rsidRDefault="00BD6B6A">
      <w:pPr>
        <w:spacing w:after="0" w:line="360" w:lineRule="auto"/>
      </w:pPr>
      <w:r>
        <w:t xml:space="preserve">En razón de que fue debidamente sustanciado e integrado el expediente electrónico y no existir diligencia pendiente de desahogo, se emite la resolución que conforme a Derecho proceda, de acuerdo a los siguientes: </w:t>
      </w:r>
    </w:p>
    <w:p w14:paraId="774D38E3" w14:textId="77777777" w:rsidR="00FC2B2A" w:rsidRDefault="00FC2B2A">
      <w:pPr>
        <w:spacing w:after="0" w:line="360" w:lineRule="auto"/>
      </w:pPr>
    </w:p>
    <w:p w14:paraId="688C5A0B" w14:textId="77777777" w:rsidR="00FC2B2A" w:rsidRDefault="00BD6B6A">
      <w:pPr>
        <w:pStyle w:val="Ttulo1"/>
        <w:spacing w:before="0" w:after="0"/>
        <w:rPr>
          <w:sz w:val="22"/>
          <w:szCs w:val="22"/>
        </w:rPr>
      </w:pPr>
      <w:bookmarkStart w:id="7" w:name="_heading=h.f1f1n4xya33q" w:colFirst="0" w:colLast="0"/>
      <w:bookmarkEnd w:id="7"/>
      <w:r>
        <w:rPr>
          <w:sz w:val="22"/>
          <w:szCs w:val="22"/>
        </w:rPr>
        <w:t>C O N S I D E R A N D O S</w:t>
      </w:r>
    </w:p>
    <w:p w14:paraId="6B674251" w14:textId="77777777" w:rsidR="00FC2B2A" w:rsidRDefault="00FC2B2A">
      <w:pPr>
        <w:spacing w:after="0" w:line="360" w:lineRule="auto"/>
        <w:rPr>
          <w:b/>
        </w:rPr>
      </w:pPr>
    </w:p>
    <w:p w14:paraId="736813F6" w14:textId="77777777" w:rsidR="00FC2B2A" w:rsidRDefault="00BD6B6A">
      <w:pPr>
        <w:pStyle w:val="Ttulo2"/>
        <w:spacing w:before="0" w:after="0"/>
      </w:pPr>
      <w:bookmarkStart w:id="8" w:name="_heading=h.jlzuy0iod8tf" w:colFirst="0" w:colLast="0"/>
      <w:bookmarkEnd w:id="8"/>
      <w:r>
        <w:t>PRIMERO. Competencia</w:t>
      </w:r>
    </w:p>
    <w:p w14:paraId="7AD2ABFD" w14:textId="77777777" w:rsidR="00FC2B2A" w:rsidRDefault="00FC2B2A">
      <w:pPr>
        <w:spacing w:after="0" w:line="360" w:lineRule="auto"/>
      </w:pPr>
    </w:p>
    <w:p w14:paraId="1929E151" w14:textId="3C6B41F9" w:rsidR="00FC2B2A" w:rsidRDefault="00BD6B6A">
      <w:pPr>
        <w:spacing w:after="0" w:line="360" w:lineRule="auto"/>
      </w:pPr>
      <w:r w:rsidRPr="00BD6B6A">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E950B34" w14:textId="77777777" w:rsidR="00BD6B6A" w:rsidRDefault="00BD6B6A">
      <w:pPr>
        <w:spacing w:after="0" w:line="360" w:lineRule="auto"/>
      </w:pPr>
    </w:p>
    <w:p w14:paraId="76B5A9C7" w14:textId="77777777" w:rsidR="00FC2B2A" w:rsidRDefault="00BD6B6A">
      <w:pPr>
        <w:pStyle w:val="Ttulo2"/>
        <w:spacing w:before="0" w:after="0"/>
        <w:jc w:val="both"/>
        <w:rPr>
          <w:color w:val="000000"/>
        </w:rPr>
      </w:pPr>
      <w:bookmarkStart w:id="9" w:name="_heading=h.8mjycdm5sc8w" w:colFirst="0" w:colLast="0"/>
      <w:bookmarkEnd w:id="9"/>
      <w:r>
        <w:rPr>
          <w:color w:val="000000"/>
        </w:rPr>
        <w:t>SEGUNDO. Causales de improcedencia y sobreseimiento</w:t>
      </w:r>
    </w:p>
    <w:p w14:paraId="323F30D4" w14:textId="77777777" w:rsidR="00FC2B2A" w:rsidRDefault="00FC2B2A">
      <w:pPr>
        <w:spacing w:after="0" w:line="360" w:lineRule="auto"/>
        <w:rPr>
          <w:b/>
          <w:color w:val="000000"/>
        </w:rPr>
      </w:pPr>
    </w:p>
    <w:p w14:paraId="2EED47F2" w14:textId="77777777" w:rsidR="00421B3E" w:rsidRPr="00FA7206" w:rsidRDefault="00421B3E" w:rsidP="00421B3E">
      <w:pPr>
        <w:spacing w:after="0" w:line="360" w:lineRule="auto"/>
        <w:rPr>
          <w:color w:val="000000"/>
        </w:rPr>
      </w:pPr>
      <w:r w:rsidRPr="00FA7206">
        <w:rPr>
          <w:color w:val="000000"/>
        </w:rPr>
        <w:lastRenderedPageBreak/>
        <w:t xml:space="preserve">De las constancias que forma parte del Recurso de Revisión que se analiza, se advierte que previo al estudio del fondo de la </w:t>
      </w:r>
      <w:r w:rsidRPr="00FA7206">
        <w:rPr>
          <w:i/>
          <w:color w:val="000000"/>
        </w:rPr>
        <w:t>litis</w:t>
      </w:r>
      <w:r w:rsidRPr="00FA7206">
        <w:rPr>
          <w:color w:val="000000"/>
        </w:rPr>
        <w:t>, es necesario estudiar las causales de improcedencia y sobreseimiento que se adviertan, para determinar lo que en Derecho proceda.</w:t>
      </w:r>
    </w:p>
    <w:p w14:paraId="5FEDEE12" w14:textId="77777777" w:rsidR="00421B3E" w:rsidRPr="00FA7206" w:rsidRDefault="00421B3E" w:rsidP="00421B3E">
      <w:pPr>
        <w:spacing w:after="0" w:line="360" w:lineRule="auto"/>
        <w:rPr>
          <w:color w:val="000000"/>
        </w:rPr>
      </w:pPr>
    </w:p>
    <w:p w14:paraId="45D31C9A" w14:textId="77777777" w:rsidR="00421B3E" w:rsidRPr="00FA7206" w:rsidRDefault="00421B3E" w:rsidP="00421B3E">
      <w:pPr>
        <w:spacing w:after="0" w:line="360" w:lineRule="auto"/>
        <w:rPr>
          <w:b/>
        </w:rPr>
      </w:pPr>
      <w:r w:rsidRPr="00FA7206">
        <w:rPr>
          <w:b/>
        </w:rPr>
        <w:t>Causales de improcedencia</w:t>
      </w:r>
    </w:p>
    <w:p w14:paraId="4EFD27A5" w14:textId="77777777" w:rsidR="00421B3E" w:rsidRPr="00FA7206" w:rsidRDefault="00421B3E" w:rsidP="00421B3E">
      <w:pPr>
        <w:spacing w:after="0" w:line="360" w:lineRule="auto"/>
        <w:rPr>
          <w:b/>
        </w:rPr>
      </w:pPr>
    </w:p>
    <w:p w14:paraId="60E6CDC4" w14:textId="77777777" w:rsidR="00421B3E" w:rsidRPr="00FA7206" w:rsidRDefault="00421B3E" w:rsidP="00421B3E">
      <w:pPr>
        <w:spacing w:after="0" w:line="360" w:lineRule="auto"/>
        <w:rPr>
          <w:color w:val="000000"/>
        </w:rPr>
      </w:pPr>
      <w:r w:rsidRPr="00FA7206">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170B677" w14:textId="77777777" w:rsidR="00421B3E" w:rsidRPr="00FA7206" w:rsidRDefault="00421B3E" w:rsidP="00421B3E">
      <w:pPr>
        <w:spacing w:after="0" w:line="360" w:lineRule="auto"/>
        <w:rPr>
          <w:color w:val="000000"/>
        </w:rPr>
      </w:pPr>
    </w:p>
    <w:p w14:paraId="2C14BA0A" w14:textId="77777777" w:rsidR="00421B3E" w:rsidRPr="00FA7206" w:rsidRDefault="00421B3E" w:rsidP="00421B3E">
      <w:pPr>
        <w:spacing w:after="0" w:line="360" w:lineRule="auto"/>
        <w:rPr>
          <w:color w:val="000000"/>
        </w:rPr>
      </w:pPr>
      <w:r w:rsidRPr="00FA7206">
        <w:rPr>
          <w:color w:val="000000"/>
        </w:rPr>
        <w:t>En el presente caso, </w:t>
      </w:r>
      <w:r w:rsidRPr="00FA7206">
        <w:rPr>
          <w:b/>
          <w:color w:val="000000"/>
        </w:rPr>
        <w:t>no se actualiza ninguna de las causales de improcedencia</w:t>
      </w:r>
      <w:r w:rsidRPr="00FA7206">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D1E7763" w14:textId="77777777" w:rsidR="00FC2B2A" w:rsidRDefault="00FC2B2A">
      <w:pPr>
        <w:spacing w:after="0" w:line="360" w:lineRule="auto"/>
        <w:rPr>
          <w:color w:val="000000"/>
        </w:rPr>
      </w:pPr>
    </w:p>
    <w:p w14:paraId="34D6D141" w14:textId="77777777" w:rsidR="00FC2B2A" w:rsidRDefault="00BD6B6A">
      <w:pPr>
        <w:spacing w:after="0" w:line="360" w:lineRule="auto"/>
        <w:rPr>
          <w:color w:val="000000"/>
        </w:rPr>
      </w:pPr>
      <w:r>
        <w:rPr>
          <w:color w:val="000000"/>
        </w:rPr>
        <w:t>Conforme a lo anterior, se actualiza la causal de procedencia señalada en el artículo 179, fracción V, de la Ley de la materia, toda vez que el Solicitante se inconformó por la entrega de información incompleta.</w:t>
      </w:r>
    </w:p>
    <w:p w14:paraId="30267E9C" w14:textId="77777777" w:rsidR="00FC2B2A" w:rsidRDefault="00FC2B2A">
      <w:pPr>
        <w:spacing w:after="0" w:line="360" w:lineRule="auto"/>
        <w:rPr>
          <w:color w:val="000000"/>
        </w:rPr>
      </w:pPr>
    </w:p>
    <w:p w14:paraId="4FD3F1E6" w14:textId="50EE8269" w:rsidR="00FC2B2A" w:rsidRDefault="00BD6B6A" w:rsidP="00421B3E">
      <w:pPr>
        <w:pBdr>
          <w:top w:val="nil"/>
          <w:left w:val="nil"/>
          <w:bottom w:val="nil"/>
          <w:right w:val="nil"/>
          <w:between w:val="nil"/>
        </w:pBdr>
        <w:spacing w:after="0" w:line="360" w:lineRule="auto"/>
        <w:rPr>
          <w:b/>
          <w:color w:val="0D0D0D"/>
        </w:rPr>
      </w:pPr>
      <w:r>
        <w:rPr>
          <w:b/>
          <w:color w:val="0D0D0D"/>
        </w:rPr>
        <w:t>Causales de sobreseimiento</w:t>
      </w:r>
    </w:p>
    <w:p w14:paraId="1CB7F5AB" w14:textId="77777777" w:rsidR="008E7E63" w:rsidRDefault="008E7E63" w:rsidP="00421B3E">
      <w:pPr>
        <w:pBdr>
          <w:top w:val="nil"/>
          <w:left w:val="nil"/>
          <w:bottom w:val="nil"/>
          <w:right w:val="nil"/>
          <w:between w:val="nil"/>
        </w:pBdr>
        <w:spacing w:after="0" w:line="360" w:lineRule="auto"/>
        <w:rPr>
          <w:b/>
          <w:color w:val="0D0D0D"/>
        </w:rPr>
      </w:pPr>
    </w:p>
    <w:p w14:paraId="5A856393" w14:textId="77777777" w:rsidR="00421B3E" w:rsidRPr="00FA7206" w:rsidRDefault="00421B3E" w:rsidP="00421B3E">
      <w:pPr>
        <w:spacing w:after="0" w:line="360" w:lineRule="auto"/>
        <w:rPr>
          <w:color w:val="0D0D0D"/>
        </w:rPr>
      </w:pPr>
      <w:bookmarkStart w:id="10" w:name="_heading=h.858mvc4tpp1z" w:colFirst="0" w:colLast="0"/>
      <w:bookmarkEnd w:id="10"/>
      <w:r w:rsidRPr="00FA7206">
        <w:rPr>
          <w:color w:val="0D0D0D"/>
        </w:rPr>
        <w:t>Por ser de previo y especial pronunciamiento, este Instituto analiza si se actualiza alguna causal de sobreseimiento.</w:t>
      </w:r>
    </w:p>
    <w:p w14:paraId="4A49D3AC" w14:textId="77777777" w:rsidR="00421B3E" w:rsidRPr="00FA7206" w:rsidRDefault="00421B3E" w:rsidP="00421B3E">
      <w:pPr>
        <w:spacing w:after="0" w:line="360" w:lineRule="auto"/>
        <w:rPr>
          <w:color w:val="0D0D0D"/>
        </w:rPr>
      </w:pPr>
    </w:p>
    <w:p w14:paraId="0D4A3C16" w14:textId="2DC63731" w:rsidR="00421B3E" w:rsidRPr="00FA7206" w:rsidRDefault="00421B3E" w:rsidP="00421B3E">
      <w:pPr>
        <w:spacing w:after="0" w:line="360" w:lineRule="auto"/>
        <w:rPr>
          <w:color w:val="0D0D0D"/>
        </w:rPr>
      </w:pPr>
      <w:r w:rsidRPr="00FA7206">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w:t>
      </w:r>
      <w:r>
        <w:rPr>
          <w:color w:val="0D0D0D"/>
        </w:rPr>
        <w:t>, IV</w:t>
      </w:r>
      <w:r w:rsidRPr="00FA7206">
        <w:rPr>
          <w:color w:val="0D0D0D"/>
        </w:rPr>
        <w:t xml:space="preserve"> y V, toda vez que no hay constancias en el expediente en que se actúa, de que la Recurrente se haya desistido, haya fallecido,</w:t>
      </w:r>
      <w:r>
        <w:rPr>
          <w:color w:val="0D0D0D"/>
        </w:rPr>
        <w:t xml:space="preserve"> actualice alguna causal de improcedencia,</w:t>
      </w:r>
      <w:r w:rsidRPr="00FA7206">
        <w:rPr>
          <w:color w:val="0D0D0D"/>
        </w:rPr>
        <w:t xml:space="preserve"> haya modificado o revocado su respuesta o bien, que el Recurso de Revisión haya quedado sin materia.</w:t>
      </w:r>
    </w:p>
    <w:p w14:paraId="148DF6B6" w14:textId="77777777" w:rsidR="00421B3E" w:rsidRDefault="00421B3E">
      <w:pPr>
        <w:spacing w:after="0" w:line="360" w:lineRule="auto"/>
      </w:pPr>
    </w:p>
    <w:p w14:paraId="65013235" w14:textId="1296EACD" w:rsidR="00421B3E" w:rsidRPr="00421B3E" w:rsidRDefault="00421B3E">
      <w:pPr>
        <w:spacing w:after="0" w:line="360" w:lineRule="auto"/>
        <w:rPr>
          <w:color w:val="000000"/>
        </w:rPr>
      </w:pPr>
      <w:r w:rsidRPr="00FA7206">
        <w:rPr>
          <w:color w:val="000000"/>
        </w:rPr>
        <w:t>En ese orden de ideas, se considera procedente entrar al fondo del presente asunto, al no quedar sin materia.</w:t>
      </w:r>
    </w:p>
    <w:p w14:paraId="675C49BA" w14:textId="77777777" w:rsidR="00421B3E" w:rsidRDefault="00421B3E">
      <w:pPr>
        <w:spacing w:after="0" w:line="360" w:lineRule="auto"/>
      </w:pPr>
    </w:p>
    <w:p w14:paraId="6C201DB9" w14:textId="253E7006" w:rsidR="00FC2B2A" w:rsidRDefault="00BD6B6A">
      <w:pPr>
        <w:spacing w:after="0" w:line="360" w:lineRule="auto"/>
        <w:rPr>
          <w:b/>
          <w:color w:val="000000"/>
        </w:rPr>
      </w:pPr>
      <w:r>
        <w:rPr>
          <w:b/>
        </w:rPr>
        <w:t>TERCERO. Determinación de la Controversia</w:t>
      </w:r>
    </w:p>
    <w:p w14:paraId="272142B7" w14:textId="77777777" w:rsidR="00FC2B2A" w:rsidRDefault="00FC2B2A">
      <w:pPr>
        <w:spacing w:after="0" w:line="360" w:lineRule="auto"/>
      </w:pPr>
    </w:p>
    <w:p w14:paraId="09E2CCE6" w14:textId="0E064657" w:rsidR="00FC2B2A" w:rsidRDefault="00BD6B6A">
      <w:pPr>
        <w:spacing w:after="0" w:line="360" w:lineRule="auto"/>
      </w:pPr>
      <w:r>
        <w:t xml:space="preserve">En este sentido, vale la pena recordar que la parte Recurrente, realizó una solicitud de información cuya redacción se formuló a manera de cuestionamientos, sin embargo, se advierte que pretende la entrega </w:t>
      </w:r>
      <w:r w:rsidR="00421B3E">
        <w:t xml:space="preserve">respecto a las personas lolizadas por la Policía Municipal, </w:t>
      </w:r>
      <w:r>
        <w:t>del 12 de marzo de 2019 al 12 de marzo de 2025</w:t>
      </w:r>
      <w:r w:rsidR="00421B3E">
        <w:t>, lo siguiente:</w:t>
      </w:r>
    </w:p>
    <w:p w14:paraId="25490856" w14:textId="77777777" w:rsidR="00421B3E" w:rsidRDefault="00421B3E">
      <w:pPr>
        <w:spacing w:after="0" w:line="360" w:lineRule="auto"/>
      </w:pPr>
    </w:p>
    <w:p w14:paraId="5CDB5138" w14:textId="2F00DA69" w:rsidR="00FC2B2A" w:rsidRDefault="00421B3E">
      <w:pPr>
        <w:numPr>
          <w:ilvl w:val="0"/>
          <w:numId w:val="3"/>
        </w:numPr>
        <w:pBdr>
          <w:top w:val="nil"/>
          <w:left w:val="nil"/>
          <w:bottom w:val="nil"/>
          <w:right w:val="nil"/>
          <w:between w:val="nil"/>
        </w:pBdr>
        <w:spacing w:after="0" w:line="360" w:lineRule="auto"/>
        <w:rPr>
          <w:color w:val="000000"/>
        </w:rPr>
      </w:pPr>
      <w:r>
        <w:rPr>
          <w:color w:val="000000"/>
        </w:rPr>
        <w:t>Número total de personas localizadas;</w:t>
      </w:r>
    </w:p>
    <w:p w14:paraId="64C7BDFD" w14:textId="7EBB62FC" w:rsidR="00FC2B2A" w:rsidRDefault="00BD6B6A">
      <w:pPr>
        <w:numPr>
          <w:ilvl w:val="0"/>
          <w:numId w:val="3"/>
        </w:numPr>
        <w:pBdr>
          <w:top w:val="nil"/>
          <w:left w:val="nil"/>
          <w:bottom w:val="nil"/>
          <w:right w:val="nil"/>
          <w:between w:val="nil"/>
        </w:pBdr>
        <w:spacing w:after="0" w:line="360" w:lineRule="auto"/>
        <w:rPr>
          <w:color w:val="000000"/>
        </w:rPr>
      </w:pPr>
      <w:r>
        <w:rPr>
          <w:color w:val="000000"/>
        </w:rPr>
        <w:t xml:space="preserve">Lugar </w:t>
      </w:r>
      <w:r w:rsidR="00421B3E">
        <w:rPr>
          <w:color w:val="000000"/>
        </w:rPr>
        <w:t>de origen;</w:t>
      </w:r>
      <w:r>
        <w:rPr>
          <w:color w:val="000000"/>
        </w:rPr>
        <w:t xml:space="preserve"> </w:t>
      </w:r>
    </w:p>
    <w:p w14:paraId="5DD07B49" w14:textId="2F85077F" w:rsidR="00FC2B2A" w:rsidRDefault="00BD6B6A">
      <w:pPr>
        <w:numPr>
          <w:ilvl w:val="0"/>
          <w:numId w:val="3"/>
        </w:numPr>
        <w:pBdr>
          <w:top w:val="nil"/>
          <w:left w:val="nil"/>
          <w:bottom w:val="nil"/>
          <w:right w:val="nil"/>
          <w:between w:val="nil"/>
        </w:pBdr>
        <w:spacing w:after="0" w:line="360" w:lineRule="auto"/>
        <w:rPr>
          <w:color w:val="000000"/>
        </w:rPr>
      </w:pPr>
      <w:r>
        <w:rPr>
          <w:color w:val="000000"/>
        </w:rPr>
        <w:t>Destino</w:t>
      </w:r>
      <w:r w:rsidR="00421B3E">
        <w:rPr>
          <w:color w:val="000000"/>
        </w:rPr>
        <w:t>, y</w:t>
      </w:r>
    </w:p>
    <w:p w14:paraId="22167A56" w14:textId="3860FC93" w:rsidR="00FC2B2A" w:rsidRDefault="00421B3E">
      <w:pPr>
        <w:numPr>
          <w:ilvl w:val="0"/>
          <w:numId w:val="3"/>
        </w:numPr>
        <w:pBdr>
          <w:top w:val="nil"/>
          <w:left w:val="nil"/>
          <w:bottom w:val="nil"/>
          <w:right w:val="nil"/>
          <w:between w:val="nil"/>
        </w:pBdr>
        <w:spacing w:after="0" w:line="360" w:lineRule="auto"/>
        <w:rPr>
          <w:color w:val="000000"/>
        </w:rPr>
      </w:pPr>
      <w:r>
        <w:rPr>
          <w:color w:val="000000"/>
        </w:rPr>
        <w:t>Si se le hizo del conocimiento a la Fiscalía.</w:t>
      </w:r>
    </w:p>
    <w:p w14:paraId="535FEE69" w14:textId="77777777" w:rsidR="00FC2B2A" w:rsidRDefault="00FC2B2A">
      <w:pPr>
        <w:spacing w:after="0" w:line="360" w:lineRule="auto"/>
      </w:pPr>
    </w:p>
    <w:p w14:paraId="224A22B0" w14:textId="77777777" w:rsidR="00FC2B2A" w:rsidRDefault="00BD6B6A">
      <w:pPr>
        <w:spacing w:after="0" w:line="360" w:lineRule="auto"/>
      </w:pPr>
      <w:r>
        <w:lastRenderedPageBreak/>
        <w:t xml:space="preserve">En respuesta, el Sujeto Obligado a través del Director Operativo de Seguridad Pública y Protección y del Departamento de Atención a la Violencia de Género, informaron que la policía de género y cédula de búsqueda, han localizado 1,523 personas en el periodo del 2020 al 25 de  marzo del año en curso, que al momento de encontrarlos, no refieren de donde son originarios y que se desconoce su destino, además informó que realiza un apoyo de asesoría para la baja del boletín ante la Fiscalía Especializada para la Investigación de Delitos en Materia de Desaparición Forzada de Personas y Desaparición Cometida por Particulares y que incluso han hecho traslados para que realicen el trámite, pero que existen casos en los que las personas lo realizan por sus propios medios.  </w:t>
      </w:r>
    </w:p>
    <w:p w14:paraId="11218D09" w14:textId="77777777" w:rsidR="00FC2B2A" w:rsidRDefault="00FC2B2A">
      <w:pPr>
        <w:spacing w:after="0" w:line="360" w:lineRule="auto"/>
      </w:pPr>
    </w:p>
    <w:p w14:paraId="4F2C569B" w14:textId="77777777" w:rsidR="00FC2B2A" w:rsidRDefault="00BD6B6A">
      <w:pPr>
        <w:spacing w:after="0" w:line="360" w:lineRule="auto"/>
      </w:pPr>
      <w:r>
        <w:t>Derivado de la respuesta, la parte Recurrente se inconformó por la entrega de la información incompleta, y si bien precisó que se entrega una foto en blanco y dicho argumento no se relaciona con las actuaciones del presente, se advierten elementos suficientes para analizar la entrega de información incompleta.</w:t>
      </w:r>
    </w:p>
    <w:p w14:paraId="730344F5" w14:textId="77777777" w:rsidR="00FC2B2A" w:rsidRDefault="00FC2B2A">
      <w:pPr>
        <w:spacing w:after="0" w:line="360" w:lineRule="auto"/>
      </w:pPr>
    </w:p>
    <w:p w14:paraId="5F79643C" w14:textId="06BB70CD" w:rsidR="00FC2B2A" w:rsidRDefault="00BD6B6A">
      <w:pPr>
        <w:spacing w:after="0" w:line="360" w:lineRule="auto"/>
      </w:pPr>
      <w:r>
        <w:t xml:space="preserve">Durante la sustanciación del Recurso de Revisión el Sujeto Obligado ratificó su respuesta inicial e informó que, de las personas localizadas del año 2020 al 25 de marzo del 2025, el 30% de las personas fueron canalizadas a diferentes </w:t>
      </w:r>
      <w:r w:rsidR="00421B3E">
        <w:t>F</w:t>
      </w:r>
      <w:r>
        <w:t xml:space="preserve">iscalías para realizar el trámite de baja de boletín, y que el otro 70% realizó el trámite por sus propios medios. Por su parte, la persona Recurrente omitió añadir manifestaciones adicionales. </w:t>
      </w:r>
    </w:p>
    <w:p w14:paraId="4F074E1A" w14:textId="77777777" w:rsidR="00FC2B2A" w:rsidRDefault="00FC2B2A">
      <w:pPr>
        <w:spacing w:after="0" w:line="360" w:lineRule="auto"/>
      </w:pPr>
    </w:p>
    <w:p w14:paraId="664C2265" w14:textId="77777777" w:rsidR="00FC2B2A" w:rsidRDefault="00BD6B6A">
      <w:pPr>
        <w:spacing w:after="0" w:line="360" w:lineRule="auto"/>
      </w:pPr>
      <w:r>
        <w:t>Así pues, de las constancias que integran el expediente, se advierte que en el asunto que nos ocupa se actualiza la causal de procedencia señalada en el artículo 179, fracción V, de la Ley de la materia; por la entrega de información incompleta.</w:t>
      </w:r>
    </w:p>
    <w:p w14:paraId="28A274B5" w14:textId="77777777" w:rsidR="00421B3E" w:rsidRDefault="00421B3E">
      <w:pPr>
        <w:spacing w:after="0" w:line="360" w:lineRule="auto"/>
      </w:pPr>
    </w:p>
    <w:p w14:paraId="11D06C90" w14:textId="77777777" w:rsidR="00FC2B2A" w:rsidRDefault="00BD6B6A">
      <w:pPr>
        <w:spacing w:after="0" w:line="360" w:lineRule="auto"/>
      </w:pPr>
      <w:r>
        <w:t xml:space="preserve">Establecido lo anterior, lo consecuente es analizar el agravio manifestado por el ahora Recurrente, de conformidad con lo dispuesto por la Ley de Transparencia y Acceso a la </w:t>
      </w:r>
      <w:r>
        <w:lastRenderedPageBreak/>
        <w:t>Información Pública del Estado de México y Municipios y demás disposiciones legales aplicables a la materia que se resuelve.</w:t>
      </w:r>
    </w:p>
    <w:p w14:paraId="03E18B0F" w14:textId="77777777" w:rsidR="00FC2B2A" w:rsidRDefault="00FC2B2A">
      <w:pPr>
        <w:spacing w:after="0" w:line="360" w:lineRule="auto"/>
      </w:pPr>
    </w:p>
    <w:p w14:paraId="7EA08182" w14:textId="77777777" w:rsidR="00FC2B2A" w:rsidRDefault="00BD6B6A">
      <w:pPr>
        <w:pStyle w:val="Ttulo2"/>
        <w:spacing w:before="0" w:after="0"/>
        <w:jc w:val="both"/>
        <w:rPr>
          <w:b w:val="0"/>
        </w:rPr>
      </w:pPr>
      <w:bookmarkStart w:id="11" w:name="_heading=h.gkq9l3vvnvdc" w:colFirst="0" w:colLast="0"/>
      <w:bookmarkEnd w:id="11"/>
      <w:r>
        <w:t>CUARTO. Marco normativo aplicable en materia de transparencia y acceso a la información pública</w:t>
      </w:r>
    </w:p>
    <w:p w14:paraId="6E9547DE" w14:textId="77777777" w:rsidR="00FC2B2A" w:rsidRDefault="00FC2B2A">
      <w:pPr>
        <w:spacing w:after="0" w:line="360" w:lineRule="auto"/>
      </w:pPr>
    </w:p>
    <w:p w14:paraId="6FF3025C" w14:textId="77777777" w:rsidR="00FC2B2A" w:rsidRDefault="00BD6B6A">
      <w:pPr>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8AE8738" w14:textId="77777777" w:rsidR="00FC2B2A" w:rsidRDefault="00FC2B2A">
      <w:pPr>
        <w:spacing w:after="0" w:line="360" w:lineRule="auto"/>
      </w:pPr>
    </w:p>
    <w:p w14:paraId="3A865CAA" w14:textId="77777777" w:rsidR="00FC2B2A" w:rsidRDefault="00BD6B6A">
      <w:pPr>
        <w:spacing w:after="0" w:line="360" w:lineRule="auto"/>
      </w:pPr>
      <w: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F9DC01F" w14:textId="77777777" w:rsidR="00FC2B2A" w:rsidRDefault="00FC2B2A">
      <w:pPr>
        <w:spacing w:after="0" w:line="360" w:lineRule="auto"/>
      </w:pPr>
    </w:p>
    <w:p w14:paraId="71E04159" w14:textId="77777777" w:rsidR="00FC2B2A" w:rsidRDefault="00BD6B6A">
      <w:pPr>
        <w:spacing w:after="0" w:line="360" w:lineRule="auto"/>
      </w:pPr>
      <w:r>
        <w:t>Por su parte, la Ley de Transparencia y Acceso a la Información Pública del Estado de México y Municipios (Reglamentaria del artículo 5° de la Constitución Local), establece lo siguiente:</w:t>
      </w:r>
    </w:p>
    <w:p w14:paraId="4337D63D" w14:textId="77777777" w:rsidR="00FC2B2A" w:rsidRDefault="00FC2B2A">
      <w:pPr>
        <w:spacing w:after="0" w:line="360" w:lineRule="auto"/>
      </w:pPr>
    </w:p>
    <w:p w14:paraId="5022B302" w14:textId="77777777" w:rsidR="00FC2B2A" w:rsidRDefault="00BD6B6A">
      <w:pPr>
        <w:spacing w:after="0" w:line="360" w:lineRule="auto"/>
      </w:pPr>
      <w:r>
        <w:t>El artículo 12 dice que, quienes generen, recopilen, administren, manejen, procesen, archiven o conserven información pública serán responsables de la misma.</w:t>
      </w:r>
    </w:p>
    <w:p w14:paraId="5E3A2D30" w14:textId="77777777" w:rsidR="00FC2B2A" w:rsidRDefault="00FC2B2A">
      <w:pPr>
        <w:spacing w:after="0" w:line="360" w:lineRule="auto"/>
      </w:pPr>
    </w:p>
    <w:p w14:paraId="78E485FE" w14:textId="77777777" w:rsidR="00FC2B2A" w:rsidRDefault="00BD6B6A">
      <w:pPr>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14:paraId="71F54F44" w14:textId="77777777" w:rsidR="00FC2B2A" w:rsidRDefault="00FC2B2A">
      <w:pPr>
        <w:spacing w:after="0" w:line="360" w:lineRule="auto"/>
      </w:pPr>
    </w:p>
    <w:p w14:paraId="6AEED66B" w14:textId="77777777" w:rsidR="00FC2B2A" w:rsidRDefault="00BD6B6A">
      <w:pPr>
        <w:spacing w:after="0" w:line="360" w:lineRule="auto"/>
      </w:pPr>
      <w: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A4A44E" w14:textId="77777777" w:rsidR="00FC2B2A" w:rsidRDefault="00FC2B2A">
      <w:pPr>
        <w:spacing w:after="0" w:line="360" w:lineRule="auto"/>
      </w:pPr>
    </w:p>
    <w:p w14:paraId="324031A8" w14:textId="77777777" w:rsidR="00FC2B2A" w:rsidRDefault="00BD6B6A">
      <w:pPr>
        <w:pStyle w:val="Ttulo2"/>
        <w:spacing w:before="0" w:after="0"/>
        <w:rPr>
          <w:b w:val="0"/>
        </w:rPr>
      </w:pPr>
      <w:bookmarkStart w:id="12" w:name="_heading=h.9d2xwuodlv4g" w:colFirst="0" w:colLast="0"/>
      <w:bookmarkEnd w:id="12"/>
      <w:r>
        <w:t>QUINTO. Estudio de Fondo</w:t>
      </w:r>
    </w:p>
    <w:p w14:paraId="63BDD465" w14:textId="77777777" w:rsidR="00FC2B2A" w:rsidRDefault="00FC2B2A">
      <w:pPr>
        <w:spacing w:after="0" w:line="360" w:lineRule="auto"/>
      </w:pPr>
    </w:p>
    <w:p w14:paraId="048A02C8" w14:textId="77777777" w:rsidR="00FC2B2A" w:rsidRDefault="00BD6B6A">
      <w:pPr>
        <w:spacing w:after="0" w:line="360" w:lineRule="auto"/>
      </w:pPr>
      <w:r>
        <w:t>Al respecto, cabe mencionar que la parte Recurrente solicitó información relacionada con la localización de personas extraviadas, al respecto, se procede a contextualizar la solicitud de información.</w:t>
      </w:r>
    </w:p>
    <w:p w14:paraId="3D996F33" w14:textId="77777777" w:rsidR="00FC2B2A" w:rsidRDefault="00FC2B2A">
      <w:pPr>
        <w:spacing w:after="0" w:line="360" w:lineRule="auto"/>
      </w:pPr>
    </w:p>
    <w:p w14:paraId="424BC860" w14:textId="77777777" w:rsidR="00FC2B2A" w:rsidRDefault="00BD6B6A">
      <w:pPr>
        <w:spacing w:after="0" w:line="360" w:lineRule="auto"/>
      </w:pPr>
      <w:r>
        <w:t xml:space="preserve">En este sentido el artículo 100,  fracción IV, inciso f) de la Ley de Seguridad del Estado de México, refiere que parte de las funciones que tienen asignadas las instituciones policiales, conforme a cada una de sus normatividades, deberán realizar la búsqueda de personas no localizadas, ausentes o extraviadas a petición de la autoridad competente e informar al Ministerio Público de los resultados correspondientes. </w:t>
      </w:r>
    </w:p>
    <w:p w14:paraId="7052E456" w14:textId="77777777" w:rsidR="00FC2B2A" w:rsidRDefault="00FC2B2A">
      <w:pPr>
        <w:spacing w:after="0" w:line="360" w:lineRule="auto"/>
      </w:pPr>
    </w:p>
    <w:p w14:paraId="370EB2CD" w14:textId="77777777" w:rsidR="00FC2B2A" w:rsidRDefault="00BD6B6A">
      <w:pPr>
        <w:spacing w:after="0" w:line="360" w:lineRule="auto"/>
      </w:pPr>
      <w:r>
        <w:t>Por su parte, el artículo 6, fracción XI de la misma Ley de Seguridad del Estado de México prevé que las instituciones policiales, son los cuerpos de policía, de vigilancia y custodia, en general, son todas las dependencias encargadas de la seguridad pública a nivel estatal y municipal. Por lo que dichas instituciones policiales, entre ellas las de nivel municipal deben buscar a las personas no localizadas.</w:t>
      </w:r>
    </w:p>
    <w:p w14:paraId="49EE2A2E" w14:textId="77777777" w:rsidR="00FC2B2A" w:rsidRDefault="00FC2B2A">
      <w:pPr>
        <w:spacing w:after="0" w:line="360" w:lineRule="auto"/>
      </w:pPr>
    </w:p>
    <w:p w14:paraId="50D4FA08" w14:textId="77777777" w:rsidR="00FC2B2A" w:rsidRDefault="00BD6B6A">
      <w:pPr>
        <w:spacing w:after="0" w:line="360" w:lineRule="auto"/>
        <w:rPr>
          <w:b/>
        </w:rPr>
      </w:pPr>
      <w:r>
        <w:t xml:space="preserve">En esta secuencia, se debe tener en cuenta que el artículo 99 del Bando Municipal del Sujeto Obligado, refiere que la persona titular de la Presidencia Municipal tendrá el mando de los integrantes de los cuerpos de seguridad pública municipal; aunado a ello, el artículo 100 de dicha norma, señala que la autoridad municipal tiene la obligación de llevar a cabo la </w:t>
      </w:r>
      <w:r>
        <w:lastRenderedPageBreak/>
        <w:t xml:space="preserve">organización, supervisión y control del cuerpo de seguridad pública para salvaguardar la integridad y los derechos humanos de las personas, garantizando la seguridad pública, el orden, la paz y la armonía, para ello, existe una coordinación con instancias federales y estatales, en materia de seguridad. </w:t>
      </w:r>
      <w:r>
        <w:rPr>
          <w:b/>
        </w:rPr>
        <w:t xml:space="preserve"> En consecuencia, el Sujeto Obligado puede conocer de la información solicitada, al tratarse de un Ayuntamiento que tiene cuerpos de seguridad pública que forman parte de las instituciones policiales que deben buscar a las personas no localizadas. </w:t>
      </w:r>
    </w:p>
    <w:p w14:paraId="1588DE26" w14:textId="77777777" w:rsidR="00FC2B2A" w:rsidRDefault="00FC2B2A">
      <w:pPr>
        <w:spacing w:after="0" w:line="360" w:lineRule="auto"/>
      </w:pPr>
    </w:p>
    <w:p w14:paraId="05DD9FA3" w14:textId="17B7953C" w:rsidR="006D12F3" w:rsidRDefault="00BD6B6A" w:rsidP="006D12F3">
      <w:pPr>
        <w:spacing w:after="0" w:line="360" w:lineRule="auto"/>
      </w:pPr>
      <w:r>
        <w:t>En este sentido, vale la pena recordar que la parte Recurrente, solicitó la entrega</w:t>
      </w:r>
      <w:r w:rsidR="006D12F3">
        <w:t>,</w:t>
      </w:r>
      <w:r>
        <w:t xml:space="preserve"> </w:t>
      </w:r>
      <w:r w:rsidR="006D12F3">
        <w:t>respecto a las personas lolizadas por la Policía Municipal, del 12 de marzo de 2019 al 12 de marzo de 2025, de lo siguiente:</w:t>
      </w:r>
    </w:p>
    <w:p w14:paraId="2241E4D1" w14:textId="77777777" w:rsidR="006D12F3" w:rsidRDefault="006D12F3" w:rsidP="006D12F3">
      <w:pPr>
        <w:spacing w:after="0" w:line="360" w:lineRule="auto"/>
      </w:pPr>
    </w:p>
    <w:p w14:paraId="54F3ED08" w14:textId="77777777" w:rsidR="006D12F3" w:rsidRDefault="006D12F3" w:rsidP="006D12F3">
      <w:pPr>
        <w:numPr>
          <w:ilvl w:val="0"/>
          <w:numId w:val="3"/>
        </w:numPr>
        <w:pBdr>
          <w:top w:val="nil"/>
          <w:left w:val="nil"/>
          <w:bottom w:val="nil"/>
          <w:right w:val="nil"/>
          <w:between w:val="nil"/>
        </w:pBdr>
        <w:spacing w:after="0" w:line="360" w:lineRule="auto"/>
        <w:rPr>
          <w:color w:val="000000"/>
        </w:rPr>
      </w:pPr>
      <w:r>
        <w:rPr>
          <w:color w:val="000000"/>
        </w:rPr>
        <w:t>Número total de personas localizadas;</w:t>
      </w:r>
    </w:p>
    <w:p w14:paraId="2CD93435" w14:textId="77777777" w:rsidR="006D12F3" w:rsidRDefault="006D12F3" w:rsidP="006D12F3">
      <w:pPr>
        <w:numPr>
          <w:ilvl w:val="0"/>
          <w:numId w:val="3"/>
        </w:numPr>
        <w:pBdr>
          <w:top w:val="nil"/>
          <w:left w:val="nil"/>
          <w:bottom w:val="nil"/>
          <w:right w:val="nil"/>
          <w:between w:val="nil"/>
        </w:pBdr>
        <w:spacing w:after="0" w:line="360" w:lineRule="auto"/>
        <w:rPr>
          <w:color w:val="000000"/>
        </w:rPr>
      </w:pPr>
      <w:r>
        <w:rPr>
          <w:color w:val="000000"/>
        </w:rPr>
        <w:t xml:space="preserve">Lugar de origen; </w:t>
      </w:r>
    </w:p>
    <w:p w14:paraId="23B4A91A" w14:textId="77777777" w:rsidR="006D12F3" w:rsidRDefault="006D12F3" w:rsidP="006D12F3">
      <w:pPr>
        <w:numPr>
          <w:ilvl w:val="0"/>
          <w:numId w:val="3"/>
        </w:numPr>
        <w:pBdr>
          <w:top w:val="nil"/>
          <w:left w:val="nil"/>
          <w:bottom w:val="nil"/>
          <w:right w:val="nil"/>
          <w:between w:val="nil"/>
        </w:pBdr>
        <w:spacing w:after="0" w:line="360" w:lineRule="auto"/>
        <w:rPr>
          <w:color w:val="000000"/>
        </w:rPr>
      </w:pPr>
      <w:r>
        <w:rPr>
          <w:color w:val="000000"/>
        </w:rPr>
        <w:t>Destino, y</w:t>
      </w:r>
    </w:p>
    <w:p w14:paraId="64C807BC" w14:textId="77777777" w:rsidR="006D12F3" w:rsidRDefault="006D12F3" w:rsidP="006D12F3">
      <w:pPr>
        <w:numPr>
          <w:ilvl w:val="0"/>
          <w:numId w:val="3"/>
        </w:numPr>
        <w:pBdr>
          <w:top w:val="nil"/>
          <w:left w:val="nil"/>
          <w:bottom w:val="nil"/>
          <w:right w:val="nil"/>
          <w:between w:val="nil"/>
        </w:pBdr>
        <w:spacing w:after="0" w:line="360" w:lineRule="auto"/>
        <w:rPr>
          <w:color w:val="000000"/>
        </w:rPr>
      </w:pPr>
      <w:r>
        <w:rPr>
          <w:color w:val="000000"/>
        </w:rPr>
        <w:t>Si se le hizo del conocimiento a la Fiscalía.</w:t>
      </w:r>
    </w:p>
    <w:p w14:paraId="6E118606" w14:textId="68DDA776" w:rsidR="00FC2B2A" w:rsidRDefault="00FC2B2A" w:rsidP="006D12F3">
      <w:pPr>
        <w:spacing w:after="0" w:line="360" w:lineRule="auto"/>
      </w:pPr>
    </w:p>
    <w:p w14:paraId="26B560A9" w14:textId="2AC64016" w:rsidR="00FC2B2A" w:rsidRDefault="00BD6B6A" w:rsidP="006D12F3">
      <w:pPr>
        <w:spacing w:after="0" w:line="360" w:lineRule="auto"/>
        <w:rPr>
          <w:color w:val="000000"/>
        </w:rPr>
      </w:pPr>
      <w:r>
        <w:rPr>
          <w:color w:val="000000"/>
        </w:rPr>
        <w:t xml:space="preserve">Establecida dicha circunstancia, </w:t>
      </w:r>
      <w:r>
        <w:t xml:space="preserve">se procede analizar la información proporcionada por el Sujeto Obligado, por lo cual, en principio resulta necesario precisar que el Sujeto Obligado turnó la solicitud de información, a la Dirección General de Seguridad y Protección; </w:t>
      </w:r>
      <w:r>
        <w:rPr>
          <w:color w:val="000000"/>
        </w:rPr>
        <w:t xml:space="preserve">por lo que, es necesario hacer referencia al procedimiento de búsqueda que deben de seguir los Sujetos Obligados para localizar la información, el cual se encuentra previsto en </w:t>
      </w:r>
      <w:r w:rsidR="006D12F3">
        <w:rPr>
          <w:color w:val="000000"/>
        </w:rPr>
        <w:t>el artículo</w:t>
      </w:r>
      <w:r>
        <w:rPr>
          <w:color w:val="000000"/>
        </w:rPr>
        <w:t xml:space="preserve"> 162 de la Ley de Transparencia y Acceso a la Información Pública del Estado de México y Municipios, </w:t>
      </w:r>
      <w:r w:rsidR="006D12F3">
        <w:rPr>
          <w:color w:val="000000"/>
        </w:rPr>
        <w:t xml:space="preserve">el cual precisa que las </w:t>
      </w:r>
      <w:r>
        <w:rPr>
          <w:color w:val="000000"/>
        </w:rPr>
        <w:t>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r w:rsidR="006D12F3">
        <w:rPr>
          <w:color w:val="000000"/>
        </w:rPr>
        <w:t>.</w:t>
      </w:r>
    </w:p>
    <w:p w14:paraId="76A41580" w14:textId="77777777" w:rsidR="00FC2B2A" w:rsidRDefault="00FC2B2A">
      <w:pPr>
        <w:spacing w:after="0" w:line="360" w:lineRule="auto"/>
      </w:pPr>
    </w:p>
    <w:p w14:paraId="0FD9BA0D" w14:textId="3A1BF213" w:rsidR="00FC2B2A" w:rsidRPr="006D12F3" w:rsidRDefault="00BD6B6A">
      <w:pPr>
        <w:spacing w:after="0" w:line="360" w:lineRule="auto"/>
      </w:pPr>
      <w:r>
        <w:lastRenderedPageBreak/>
        <w:t xml:space="preserve">En este aspecto, se advierte que se realizó la búsqueda de la información en el área competente, </w:t>
      </w:r>
      <w:r w:rsidR="006D12F3">
        <w:t>toda vez que se</w:t>
      </w:r>
      <w:r>
        <w:t xml:space="preserve"> turno y pronunció la Dirección General de Seguridad y Protección, </w:t>
      </w:r>
      <w:r w:rsidR="006D12F3">
        <w:t xml:space="preserve">que </w:t>
      </w:r>
      <w:r>
        <w:t xml:space="preserve">a través de su Coordinación del Departamento de Atención a la Violencia de Género, </w:t>
      </w:r>
      <w:r w:rsidR="006D12F3">
        <w:t xml:space="preserve">se encarga de en organizar y dirigir la localización de personas extraviadas, ausentes y/o desaparecidas en coordinación con las instituciones municipales, estatales y federales, conforme a lo establecido en el </w:t>
      </w:r>
      <w:r>
        <w:t>Manual de Organización de la Dirección General de Seguridad y Protección</w:t>
      </w:r>
      <w:r w:rsidR="006D12F3">
        <w:t>.</w:t>
      </w:r>
    </w:p>
    <w:p w14:paraId="2EC34397" w14:textId="77777777" w:rsidR="00FC2B2A" w:rsidRDefault="00FC2B2A">
      <w:pPr>
        <w:spacing w:after="0" w:line="360" w:lineRule="auto"/>
        <w:rPr>
          <w:b/>
        </w:rPr>
      </w:pPr>
    </w:p>
    <w:p w14:paraId="1404BA8B" w14:textId="77777777" w:rsidR="00FC2B2A" w:rsidRDefault="00BD6B6A">
      <w:pPr>
        <w:spacing w:after="0" w:line="360" w:lineRule="auto"/>
      </w:pPr>
      <w:r>
        <w:t>En este contexto, se procede a analizar la respuesta otorgada por el Sujeto Obligado, al respecto, a fin de aportar a un análisis esquemático, se procede a insertar un cuadro comparativo, en los siguientes términos:</w:t>
      </w:r>
    </w:p>
    <w:p w14:paraId="1475334D" w14:textId="77777777" w:rsidR="00FC2B2A" w:rsidRDefault="00FC2B2A">
      <w:pPr>
        <w:spacing w:after="0" w:line="360" w:lineRule="auto"/>
      </w:pPr>
    </w:p>
    <w:tbl>
      <w:tblPr>
        <w:tblStyle w:val="afffff8"/>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3544"/>
        <w:gridCol w:w="3113"/>
      </w:tblGrid>
      <w:tr w:rsidR="00FC2B2A" w14:paraId="4560EC93" w14:textId="77777777" w:rsidTr="006D12F3">
        <w:tc>
          <w:tcPr>
            <w:tcW w:w="2546" w:type="dxa"/>
            <w:shd w:val="clear" w:color="auto" w:fill="DEEBF6"/>
            <w:vAlign w:val="center"/>
          </w:tcPr>
          <w:p w14:paraId="6F3DCB6A" w14:textId="77777777" w:rsidR="00FC2B2A" w:rsidRDefault="00BD6B6A">
            <w:pPr>
              <w:jc w:val="center"/>
              <w:rPr>
                <w:b/>
                <w:color w:val="000000"/>
                <w:sz w:val="20"/>
                <w:szCs w:val="20"/>
              </w:rPr>
            </w:pPr>
            <w:r>
              <w:rPr>
                <w:b/>
                <w:color w:val="000000"/>
                <w:sz w:val="20"/>
                <w:szCs w:val="20"/>
              </w:rPr>
              <w:t>SOLICITUD</w:t>
            </w:r>
          </w:p>
        </w:tc>
        <w:tc>
          <w:tcPr>
            <w:tcW w:w="3544" w:type="dxa"/>
            <w:shd w:val="clear" w:color="auto" w:fill="DEEBF6"/>
            <w:vAlign w:val="center"/>
          </w:tcPr>
          <w:p w14:paraId="30B1956C" w14:textId="77777777" w:rsidR="00FC2B2A" w:rsidRDefault="00BD6B6A">
            <w:pPr>
              <w:jc w:val="center"/>
              <w:rPr>
                <w:b/>
                <w:color w:val="000000"/>
                <w:sz w:val="20"/>
                <w:szCs w:val="20"/>
              </w:rPr>
            </w:pPr>
            <w:r>
              <w:rPr>
                <w:b/>
                <w:color w:val="000000"/>
                <w:sz w:val="20"/>
                <w:szCs w:val="20"/>
              </w:rPr>
              <w:t>RESPUESTA E INFORME JUSTIFICADO</w:t>
            </w:r>
          </w:p>
        </w:tc>
        <w:tc>
          <w:tcPr>
            <w:tcW w:w="3113" w:type="dxa"/>
            <w:shd w:val="clear" w:color="auto" w:fill="DEEBF6"/>
            <w:vAlign w:val="center"/>
          </w:tcPr>
          <w:p w14:paraId="27BE2A13" w14:textId="77777777" w:rsidR="00FC2B2A" w:rsidRDefault="00BD6B6A">
            <w:pPr>
              <w:jc w:val="center"/>
              <w:rPr>
                <w:b/>
                <w:color w:val="000000"/>
                <w:sz w:val="20"/>
                <w:szCs w:val="20"/>
              </w:rPr>
            </w:pPr>
            <w:r>
              <w:rPr>
                <w:b/>
                <w:color w:val="000000"/>
                <w:sz w:val="20"/>
                <w:szCs w:val="20"/>
              </w:rPr>
              <w:t>OBSERVACIONES</w:t>
            </w:r>
          </w:p>
        </w:tc>
      </w:tr>
      <w:tr w:rsidR="006D12F3" w14:paraId="3B38DC98" w14:textId="77777777" w:rsidTr="007B7B98">
        <w:tc>
          <w:tcPr>
            <w:tcW w:w="9203" w:type="dxa"/>
            <w:gridSpan w:val="3"/>
          </w:tcPr>
          <w:p w14:paraId="29624D36" w14:textId="7F8945CE" w:rsidR="006D12F3" w:rsidRDefault="006D12F3" w:rsidP="006D12F3">
            <w:pPr>
              <w:ind w:left="720" w:hanging="720"/>
              <w:jc w:val="center"/>
              <w:rPr>
                <w:color w:val="000000"/>
                <w:sz w:val="20"/>
                <w:szCs w:val="20"/>
              </w:rPr>
            </w:pPr>
            <w:r>
              <w:rPr>
                <w:sz w:val="20"/>
                <w:szCs w:val="20"/>
              </w:rPr>
              <w:t>Del 12 de marzo de 2019 al 12 de marzo de 2025</w:t>
            </w:r>
          </w:p>
        </w:tc>
      </w:tr>
      <w:tr w:rsidR="00FC2B2A" w14:paraId="4BAB2119" w14:textId="77777777" w:rsidTr="006D12F3">
        <w:tc>
          <w:tcPr>
            <w:tcW w:w="2546" w:type="dxa"/>
          </w:tcPr>
          <w:p w14:paraId="0F73941B" w14:textId="77777777" w:rsidR="00FC2B2A" w:rsidRDefault="00BD6B6A" w:rsidP="006D12F3">
            <w:pPr>
              <w:numPr>
                <w:ilvl w:val="0"/>
                <w:numId w:val="9"/>
              </w:numPr>
              <w:pBdr>
                <w:top w:val="nil"/>
                <w:left w:val="nil"/>
                <w:bottom w:val="nil"/>
                <w:right w:val="nil"/>
                <w:between w:val="nil"/>
              </w:pBdr>
              <w:ind w:left="317"/>
              <w:rPr>
                <w:color w:val="000000"/>
                <w:sz w:val="20"/>
                <w:szCs w:val="20"/>
              </w:rPr>
            </w:pPr>
            <w:r>
              <w:rPr>
                <w:color w:val="000000"/>
                <w:sz w:val="20"/>
                <w:szCs w:val="20"/>
              </w:rPr>
              <w:t>Cantidad de personas localizadas por la policía municipal</w:t>
            </w:r>
          </w:p>
        </w:tc>
        <w:tc>
          <w:tcPr>
            <w:tcW w:w="3544" w:type="dxa"/>
          </w:tcPr>
          <w:p w14:paraId="60057DF6" w14:textId="5AC7AD4B" w:rsidR="00FC2B2A" w:rsidRPr="006D12F3" w:rsidRDefault="006D12F3">
            <w:pPr>
              <w:rPr>
                <w:iCs/>
                <w:color w:val="000000"/>
                <w:sz w:val="20"/>
                <w:szCs w:val="20"/>
              </w:rPr>
            </w:pPr>
            <w:r>
              <w:rPr>
                <w:iCs/>
                <w:sz w:val="20"/>
                <w:szCs w:val="20"/>
              </w:rPr>
              <w:t>Que</w:t>
            </w:r>
            <w:r w:rsidRPr="006D12F3">
              <w:rPr>
                <w:iCs/>
                <w:sz w:val="20"/>
                <w:szCs w:val="20"/>
              </w:rPr>
              <w:t xml:space="preserve"> la Policía de Género y Célula de Búsqueda ha</w:t>
            </w:r>
            <w:r>
              <w:rPr>
                <w:iCs/>
                <w:sz w:val="20"/>
                <w:szCs w:val="20"/>
              </w:rPr>
              <w:t>bía</w:t>
            </w:r>
            <w:r w:rsidRPr="006D12F3">
              <w:rPr>
                <w:iCs/>
                <w:sz w:val="20"/>
                <w:szCs w:val="20"/>
              </w:rPr>
              <w:t>n localizado 1,523 personas</w:t>
            </w:r>
            <w:r>
              <w:rPr>
                <w:iCs/>
                <w:sz w:val="20"/>
                <w:szCs w:val="20"/>
              </w:rPr>
              <w:t>,</w:t>
            </w:r>
            <w:r w:rsidRPr="006D12F3">
              <w:rPr>
                <w:iCs/>
                <w:sz w:val="20"/>
                <w:szCs w:val="20"/>
              </w:rPr>
              <w:t xml:space="preserve"> del año 2020 al 25 de marzo del presente año</w:t>
            </w:r>
            <w:r>
              <w:rPr>
                <w:iCs/>
                <w:sz w:val="20"/>
                <w:szCs w:val="20"/>
              </w:rPr>
              <w:t>.</w:t>
            </w:r>
          </w:p>
        </w:tc>
        <w:tc>
          <w:tcPr>
            <w:tcW w:w="3113" w:type="dxa"/>
          </w:tcPr>
          <w:p w14:paraId="4DBE425F" w14:textId="77777777" w:rsidR="00FC2B2A" w:rsidRDefault="00BD6B6A">
            <w:pPr>
              <w:rPr>
                <w:color w:val="000000"/>
                <w:sz w:val="20"/>
                <w:szCs w:val="20"/>
              </w:rPr>
            </w:pPr>
            <w:r>
              <w:rPr>
                <w:color w:val="000000"/>
                <w:sz w:val="20"/>
                <w:szCs w:val="20"/>
              </w:rPr>
              <w:t>Colma parcialmente.</w:t>
            </w:r>
          </w:p>
          <w:p w14:paraId="170527F5" w14:textId="77777777" w:rsidR="00FC2B2A" w:rsidRDefault="00FC2B2A">
            <w:pPr>
              <w:rPr>
                <w:color w:val="000000"/>
                <w:sz w:val="20"/>
                <w:szCs w:val="20"/>
              </w:rPr>
            </w:pPr>
          </w:p>
          <w:p w14:paraId="3BDA95A1" w14:textId="77777777" w:rsidR="00FC2B2A" w:rsidRDefault="00BD6B6A">
            <w:pPr>
              <w:rPr>
                <w:color w:val="000000"/>
                <w:sz w:val="20"/>
                <w:szCs w:val="20"/>
              </w:rPr>
            </w:pPr>
            <w:r>
              <w:rPr>
                <w:color w:val="000000"/>
                <w:sz w:val="20"/>
                <w:szCs w:val="20"/>
              </w:rPr>
              <w:t xml:space="preserve">Falta información </w:t>
            </w:r>
            <w:r>
              <w:rPr>
                <w:sz w:val="20"/>
                <w:szCs w:val="20"/>
              </w:rPr>
              <w:t>del 12 de marzo al 31 de diciembre de 2019.</w:t>
            </w:r>
          </w:p>
        </w:tc>
      </w:tr>
      <w:tr w:rsidR="00FC2B2A" w14:paraId="443D1F7D" w14:textId="77777777" w:rsidTr="006D12F3">
        <w:tc>
          <w:tcPr>
            <w:tcW w:w="2546" w:type="dxa"/>
          </w:tcPr>
          <w:p w14:paraId="7F218D3A" w14:textId="77777777" w:rsidR="00FC2B2A" w:rsidRDefault="00BD6B6A" w:rsidP="006D12F3">
            <w:pPr>
              <w:numPr>
                <w:ilvl w:val="0"/>
                <w:numId w:val="9"/>
              </w:numPr>
              <w:pBdr>
                <w:top w:val="nil"/>
                <w:left w:val="nil"/>
                <w:bottom w:val="nil"/>
                <w:right w:val="nil"/>
                <w:between w:val="nil"/>
              </w:pBdr>
              <w:ind w:left="317"/>
              <w:rPr>
                <w:color w:val="000000"/>
                <w:sz w:val="20"/>
                <w:szCs w:val="20"/>
              </w:rPr>
            </w:pPr>
            <w:r>
              <w:rPr>
                <w:color w:val="000000"/>
                <w:sz w:val="20"/>
                <w:szCs w:val="20"/>
              </w:rPr>
              <w:t xml:space="preserve">Lugar de donde son originarios </w:t>
            </w:r>
          </w:p>
        </w:tc>
        <w:tc>
          <w:tcPr>
            <w:tcW w:w="3544" w:type="dxa"/>
          </w:tcPr>
          <w:p w14:paraId="4232D49E" w14:textId="72E7996D" w:rsidR="006D12F3" w:rsidRPr="006D12F3" w:rsidRDefault="006D12F3">
            <w:pPr>
              <w:rPr>
                <w:iCs/>
                <w:sz w:val="20"/>
                <w:szCs w:val="20"/>
              </w:rPr>
            </w:pPr>
            <w:r>
              <w:rPr>
                <w:iCs/>
                <w:sz w:val="20"/>
                <w:szCs w:val="20"/>
              </w:rPr>
              <w:t>Que al realizar la localización, no se indicaba el lugar de origen</w:t>
            </w:r>
          </w:p>
          <w:p w14:paraId="4533DF68" w14:textId="39F5E209" w:rsidR="00FC2B2A" w:rsidRDefault="00FC2B2A">
            <w:pPr>
              <w:rPr>
                <w:color w:val="000000"/>
                <w:sz w:val="20"/>
                <w:szCs w:val="20"/>
              </w:rPr>
            </w:pPr>
          </w:p>
        </w:tc>
        <w:tc>
          <w:tcPr>
            <w:tcW w:w="3113" w:type="dxa"/>
          </w:tcPr>
          <w:p w14:paraId="720E8400" w14:textId="77777777" w:rsidR="00FC2B2A" w:rsidRDefault="00BD6B6A">
            <w:pPr>
              <w:rPr>
                <w:color w:val="000000"/>
                <w:sz w:val="20"/>
                <w:szCs w:val="20"/>
              </w:rPr>
            </w:pPr>
            <w:r>
              <w:rPr>
                <w:color w:val="000000"/>
                <w:sz w:val="20"/>
                <w:szCs w:val="20"/>
              </w:rPr>
              <w:t>Colma de 2020 a 2025.</w:t>
            </w:r>
          </w:p>
          <w:p w14:paraId="31EAF16E" w14:textId="77777777" w:rsidR="00FC2B2A" w:rsidRDefault="00FC2B2A">
            <w:pPr>
              <w:rPr>
                <w:color w:val="000000"/>
                <w:sz w:val="20"/>
                <w:szCs w:val="20"/>
              </w:rPr>
            </w:pPr>
          </w:p>
          <w:p w14:paraId="1D3CE580" w14:textId="77777777" w:rsidR="00FC2B2A" w:rsidRDefault="00BD6B6A">
            <w:pPr>
              <w:rPr>
                <w:color w:val="000000"/>
                <w:sz w:val="20"/>
                <w:szCs w:val="20"/>
              </w:rPr>
            </w:pPr>
            <w:r>
              <w:rPr>
                <w:color w:val="000000"/>
                <w:sz w:val="20"/>
                <w:szCs w:val="20"/>
              </w:rPr>
              <w:t>No se puede ordenar de 2019 dado que sería procesar la información.</w:t>
            </w:r>
          </w:p>
        </w:tc>
      </w:tr>
      <w:tr w:rsidR="00FC2B2A" w14:paraId="2A9E4321" w14:textId="77777777" w:rsidTr="006D12F3">
        <w:tc>
          <w:tcPr>
            <w:tcW w:w="2546" w:type="dxa"/>
          </w:tcPr>
          <w:p w14:paraId="77EDDCE4" w14:textId="77777777" w:rsidR="00FC2B2A" w:rsidRDefault="00BD6B6A" w:rsidP="006D12F3">
            <w:pPr>
              <w:numPr>
                <w:ilvl w:val="0"/>
                <w:numId w:val="9"/>
              </w:numPr>
              <w:pBdr>
                <w:top w:val="nil"/>
                <w:left w:val="nil"/>
                <w:bottom w:val="nil"/>
                <w:right w:val="nil"/>
                <w:between w:val="nil"/>
              </w:pBdr>
              <w:ind w:left="317"/>
              <w:rPr>
                <w:color w:val="000000"/>
                <w:sz w:val="20"/>
                <w:szCs w:val="20"/>
              </w:rPr>
            </w:pPr>
            <w:r>
              <w:rPr>
                <w:color w:val="000000"/>
                <w:sz w:val="20"/>
                <w:szCs w:val="20"/>
              </w:rPr>
              <w:t xml:space="preserve">Destino </w:t>
            </w:r>
          </w:p>
          <w:p w14:paraId="7B4018E6" w14:textId="77777777" w:rsidR="00FC2B2A" w:rsidRDefault="00FC2B2A" w:rsidP="006D12F3">
            <w:pPr>
              <w:ind w:left="317"/>
              <w:rPr>
                <w:color w:val="000000"/>
                <w:sz w:val="20"/>
                <w:szCs w:val="20"/>
              </w:rPr>
            </w:pPr>
          </w:p>
        </w:tc>
        <w:tc>
          <w:tcPr>
            <w:tcW w:w="3544" w:type="dxa"/>
          </w:tcPr>
          <w:p w14:paraId="65083C58" w14:textId="50CDEFC9" w:rsidR="00FC2B2A" w:rsidRPr="006D12F3" w:rsidRDefault="006D12F3">
            <w:pPr>
              <w:rPr>
                <w:b/>
                <w:iCs/>
                <w:sz w:val="20"/>
                <w:szCs w:val="20"/>
              </w:rPr>
            </w:pPr>
            <w:r>
              <w:rPr>
                <w:iCs/>
                <w:sz w:val="20"/>
                <w:szCs w:val="20"/>
              </w:rPr>
              <w:t>Que desconocía el destino de las personas desaparecidas.</w:t>
            </w:r>
          </w:p>
          <w:p w14:paraId="07FFE180" w14:textId="77777777" w:rsidR="00FC2B2A" w:rsidRDefault="00FC2B2A">
            <w:pPr>
              <w:rPr>
                <w:color w:val="000000"/>
                <w:sz w:val="20"/>
                <w:szCs w:val="20"/>
              </w:rPr>
            </w:pPr>
          </w:p>
        </w:tc>
        <w:tc>
          <w:tcPr>
            <w:tcW w:w="3113" w:type="dxa"/>
          </w:tcPr>
          <w:p w14:paraId="7E7AA3B1" w14:textId="77777777" w:rsidR="00FC2B2A" w:rsidRDefault="00BD6B6A">
            <w:pPr>
              <w:rPr>
                <w:color w:val="000000"/>
                <w:sz w:val="20"/>
                <w:szCs w:val="20"/>
              </w:rPr>
            </w:pPr>
            <w:r>
              <w:rPr>
                <w:color w:val="000000"/>
                <w:sz w:val="20"/>
                <w:szCs w:val="20"/>
              </w:rPr>
              <w:t>Colma de 2020 a 2025.</w:t>
            </w:r>
          </w:p>
          <w:p w14:paraId="41E6C658" w14:textId="77777777" w:rsidR="00FC2B2A" w:rsidRDefault="00FC2B2A">
            <w:pPr>
              <w:rPr>
                <w:color w:val="000000"/>
                <w:sz w:val="20"/>
                <w:szCs w:val="20"/>
              </w:rPr>
            </w:pPr>
          </w:p>
          <w:p w14:paraId="4D540059" w14:textId="77777777" w:rsidR="00FC2B2A" w:rsidRDefault="00BD6B6A">
            <w:pPr>
              <w:rPr>
                <w:color w:val="000000"/>
                <w:sz w:val="20"/>
                <w:szCs w:val="20"/>
              </w:rPr>
            </w:pPr>
            <w:r>
              <w:rPr>
                <w:color w:val="000000"/>
                <w:sz w:val="20"/>
                <w:szCs w:val="20"/>
              </w:rPr>
              <w:t>No se puede ordenar de 2019 dado que sería procesar la información.</w:t>
            </w:r>
          </w:p>
        </w:tc>
      </w:tr>
      <w:tr w:rsidR="00FC2B2A" w14:paraId="16C7639F" w14:textId="77777777" w:rsidTr="006D12F3">
        <w:tc>
          <w:tcPr>
            <w:tcW w:w="2546" w:type="dxa"/>
          </w:tcPr>
          <w:p w14:paraId="148218F1" w14:textId="77777777" w:rsidR="00FC2B2A" w:rsidRDefault="00BD6B6A" w:rsidP="006D12F3">
            <w:pPr>
              <w:numPr>
                <w:ilvl w:val="0"/>
                <w:numId w:val="9"/>
              </w:numPr>
              <w:pBdr>
                <w:top w:val="nil"/>
                <w:left w:val="nil"/>
                <w:bottom w:val="nil"/>
                <w:right w:val="nil"/>
                <w:between w:val="nil"/>
              </w:pBdr>
              <w:ind w:left="317"/>
              <w:rPr>
                <w:color w:val="000000"/>
                <w:sz w:val="20"/>
                <w:szCs w:val="20"/>
              </w:rPr>
            </w:pPr>
            <w:r>
              <w:rPr>
                <w:color w:val="000000"/>
                <w:sz w:val="20"/>
                <w:szCs w:val="20"/>
              </w:rPr>
              <w:t xml:space="preserve">Informe sí se dio parte a la fiscalía </w:t>
            </w:r>
          </w:p>
        </w:tc>
        <w:tc>
          <w:tcPr>
            <w:tcW w:w="3544" w:type="dxa"/>
          </w:tcPr>
          <w:p w14:paraId="5E0381C2" w14:textId="54E6FD83" w:rsidR="00FC2B2A" w:rsidRPr="006D12F3" w:rsidRDefault="006D12F3">
            <w:pPr>
              <w:rPr>
                <w:iCs/>
                <w:sz w:val="20"/>
                <w:szCs w:val="20"/>
              </w:rPr>
            </w:pPr>
            <w:r>
              <w:rPr>
                <w:iCs/>
                <w:sz w:val="20"/>
                <w:szCs w:val="20"/>
              </w:rPr>
              <w:t xml:space="preserve">Que el 30% habían sido canalizdas a las diferntes Fiscalías </w:t>
            </w:r>
            <w:r w:rsidRPr="006D12F3">
              <w:rPr>
                <w:iCs/>
                <w:sz w:val="20"/>
                <w:szCs w:val="20"/>
              </w:rPr>
              <w:t>para realizar el trámite correspondiente a la baja del boletín</w:t>
            </w:r>
            <w:r>
              <w:rPr>
                <w:iCs/>
                <w:sz w:val="20"/>
                <w:szCs w:val="20"/>
              </w:rPr>
              <w:t>; mientras que el otro 70%, habían decidido realizar el trámite por su cuenta.</w:t>
            </w:r>
          </w:p>
        </w:tc>
        <w:tc>
          <w:tcPr>
            <w:tcW w:w="3113" w:type="dxa"/>
          </w:tcPr>
          <w:p w14:paraId="4795CFC2" w14:textId="77777777" w:rsidR="00FC2B2A" w:rsidRDefault="00BD6B6A">
            <w:pPr>
              <w:rPr>
                <w:color w:val="000000"/>
                <w:sz w:val="20"/>
                <w:szCs w:val="20"/>
              </w:rPr>
            </w:pPr>
            <w:r>
              <w:rPr>
                <w:color w:val="000000"/>
                <w:sz w:val="20"/>
                <w:szCs w:val="20"/>
              </w:rPr>
              <w:t>Colma de 2020 a 2025.</w:t>
            </w:r>
          </w:p>
          <w:p w14:paraId="59502EF9" w14:textId="77777777" w:rsidR="00FC2B2A" w:rsidRDefault="00FC2B2A">
            <w:pPr>
              <w:rPr>
                <w:color w:val="000000"/>
                <w:sz w:val="20"/>
                <w:szCs w:val="20"/>
              </w:rPr>
            </w:pPr>
          </w:p>
          <w:p w14:paraId="7426FD11" w14:textId="77777777" w:rsidR="00FC2B2A" w:rsidRDefault="00BD6B6A">
            <w:pPr>
              <w:rPr>
                <w:color w:val="000000"/>
                <w:sz w:val="20"/>
                <w:szCs w:val="20"/>
              </w:rPr>
            </w:pPr>
            <w:r>
              <w:rPr>
                <w:color w:val="000000"/>
                <w:sz w:val="20"/>
                <w:szCs w:val="20"/>
              </w:rPr>
              <w:t>No se puede ordenar de 2019 dado que sería procesar la información.</w:t>
            </w:r>
          </w:p>
        </w:tc>
      </w:tr>
    </w:tbl>
    <w:p w14:paraId="7A459AB5" w14:textId="77777777" w:rsidR="00FC2B2A" w:rsidRDefault="00FC2B2A">
      <w:pPr>
        <w:spacing w:after="0" w:line="360" w:lineRule="auto"/>
        <w:rPr>
          <w:color w:val="000000"/>
        </w:rPr>
      </w:pPr>
    </w:p>
    <w:p w14:paraId="5B4D0AB0" w14:textId="77777777" w:rsidR="00FC2B2A" w:rsidRDefault="00BD6B6A">
      <w:pPr>
        <w:spacing w:after="0" w:line="360" w:lineRule="auto"/>
        <w:rPr>
          <w:color w:val="000000"/>
        </w:rPr>
      </w:pPr>
      <w:r>
        <w:rPr>
          <w:color w:val="000000"/>
        </w:rPr>
        <w:lastRenderedPageBreak/>
        <w:t>Así pues, se procede a analizar cada uno de los puntos en cuestión en los siguientes términos:</w:t>
      </w:r>
    </w:p>
    <w:p w14:paraId="359FE25F" w14:textId="77777777" w:rsidR="00FC2B2A" w:rsidRDefault="00FC2B2A">
      <w:pPr>
        <w:spacing w:after="0" w:line="360" w:lineRule="auto"/>
        <w:rPr>
          <w:color w:val="000000"/>
        </w:rPr>
      </w:pPr>
    </w:p>
    <w:p w14:paraId="51BC2795" w14:textId="77777777" w:rsidR="00FC2B2A" w:rsidRDefault="00BD6B6A">
      <w:pPr>
        <w:numPr>
          <w:ilvl w:val="0"/>
          <w:numId w:val="8"/>
        </w:numPr>
        <w:pBdr>
          <w:top w:val="nil"/>
          <w:left w:val="nil"/>
          <w:bottom w:val="nil"/>
          <w:right w:val="nil"/>
          <w:between w:val="nil"/>
        </w:pBdr>
        <w:spacing w:after="0" w:line="360" w:lineRule="auto"/>
        <w:rPr>
          <w:b/>
          <w:color w:val="000000"/>
        </w:rPr>
      </w:pPr>
      <w:r>
        <w:rPr>
          <w:b/>
          <w:color w:val="000000"/>
        </w:rPr>
        <w:t>Cantidad de personas localizadas por la policía municipal</w:t>
      </w:r>
    </w:p>
    <w:p w14:paraId="3A476D80" w14:textId="77777777" w:rsidR="00FC2B2A" w:rsidRDefault="00FC2B2A">
      <w:pPr>
        <w:spacing w:after="0" w:line="360" w:lineRule="auto"/>
      </w:pPr>
    </w:p>
    <w:p w14:paraId="61409054" w14:textId="179B70D3" w:rsidR="00FC2B2A" w:rsidRPr="006D12F3" w:rsidRDefault="00BD6B6A">
      <w:pPr>
        <w:spacing w:after="0" w:line="360" w:lineRule="auto"/>
        <w:rPr>
          <w:bCs/>
        </w:rPr>
      </w:pPr>
      <w:r>
        <w:t xml:space="preserve">Cabe señalar que respecto a la cantidad de personas localizadas, el Sujeto Obligado se pronunció únicamente por cuanto hace al periodo de 2020 al 25 de marzo del año 2025, respecto a lo cual este Organismo Garante no cuenta con facultades para pronunciarse sobre la veracidad de lo entregado, por tanto, se tiene por colmado parcialmente, esto es así, en virtud de que el Sujeto Obligado omitió remitir respuesta por toda la temporalidad requerida, dado que </w:t>
      </w:r>
      <w:r>
        <w:rPr>
          <w:b/>
        </w:rPr>
        <w:t>no contempló del 12 de marzo al 31 de diciembre de 2019</w:t>
      </w:r>
      <w:r w:rsidR="006D12F3">
        <w:rPr>
          <w:bCs/>
        </w:rPr>
        <w:t xml:space="preserve">, esto es, omitió pronunciarse </w:t>
      </w:r>
      <w:r w:rsidR="00EC3C25">
        <w:rPr>
          <w:bCs/>
        </w:rPr>
        <w:t>sobre dicho periodo.</w:t>
      </w:r>
    </w:p>
    <w:p w14:paraId="04EDD5A3" w14:textId="77777777" w:rsidR="00FC2B2A" w:rsidRDefault="00FC2B2A">
      <w:pPr>
        <w:spacing w:after="0" w:line="360" w:lineRule="auto"/>
      </w:pPr>
    </w:p>
    <w:p w14:paraId="60F6FDCC" w14:textId="77777777" w:rsidR="00EC3C25" w:rsidRPr="00CB3953" w:rsidRDefault="00EC3C25" w:rsidP="00EC3C25">
      <w:pPr>
        <w:tabs>
          <w:tab w:val="center" w:pos="4522"/>
        </w:tabs>
        <w:spacing w:after="0" w:line="360" w:lineRule="auto"/>
        <w:contextualSpacing/>
        <w:rPr>
          <w:rFonts w:eastAsia="Calibri" w:cs="Times New Roman"/>
          <w:color w:val="000000"/>
        </w:rPr>
      </w:pPr>
      <w:r w:rsidRPr="00CB3953">
        <w:rPr>
          <w:rFonts w:eastAsia="Calibri" w:cs="Tahoma"/>
          <w:bCs/>
          <w:iCs/>
          <w:color w:val="000000"/>
          <w:szCs w:val="24"/>
        </w:rPr>
        <w:t>En ese contexto</w:t>
      </w:r>
      <w:r w:rsidRPr="00CB3953">
        <w:rPr>
          <w:rFonts w:eastAsia="Calibri" w:cs="Times New Roman"/>
          <w:color w:val="000000"/>
        </w:rPr>
        <w:t xml:space="preserve">, el artículo 1.8, fracción XIII, del Código Administrativo del Estado de México, establece que para que tenga validez, todo acto administrativo deberá resolver todos los puntos propuestos por los interesados; situación que se robustece, con el </w:t>
      </w:r>
      <w:r w:rsidRPr="00CB3953">
        <w:rPr>
          <w:rFonts w:eastAsia="Calibri" w:cs="Tahoma"/>
          <w:bCs/>
          <w:lang w:val="es-ES"/>
        </w:rPr>
        <w:t>el Criterio de Interpretación</w:t>
      </w:r>
      <w:r w:rsidRPr="00CB3953">
        <w:rPr>
          <w:rFonts w:eastAsia="Calibri" w:cs="Tahoma"/>
          <w:bCs/>
          <w:lang w:val="x-none"/>
        </w:rPr>
        <w:t xml:space="preserve">, con clave de control </w:t>
      </w:r>
      <w:r w:rsidRPr="00CB3953">
        <w:rPr>
          <w:rFonts w:eastAsia="Calibri" w:cs="Tahoma"/>
          <w:bCs/>
          <w:lang w:val="es-ES"/>
        </w:rPr>
        <w:t xml:space="preserve">SO/002/2017, de la Segunda Época, emitido por el Instituto Nacional de Transparencia, Acceso a la Información y Protección de Datos Personales, que </w:t>
      </w:r>
      <w:r w:rsidRPr="00CB3953">
        <w:rPr>
          <w:rFonts w:eastAsia="Calibri" w:cs="Times New Roman"/>
          <w:color w:val="000000"/>
        </w:rPr>
        <w:t xml:space="preserve">establece que todo acto administrativo debe apegarse al </w:t>
      </w:r>
      <w:r w:rsidRPr="00CB3953">
        <w:rPr>
          <w:rFonts w:eastAsia="Calibri" w:cs="Times New Roman"/>
          <w:b/>
          <w:bCs/>
          <w:color w:val="000000"/>
        </w:rPr>
        <w:t>principio de exhaustividad</w:t>
      </w:r>
      <w:r w:rsidRPr="00CB3953">
        <w:rPr>
          <w:rFonts w:eastAsia="Calibri" w:cs="Times New Roman"/>
          <w:color w:val="000000"/>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7E73583E" w14:textId="77777777" w:rsidR="00EC3C25" w:rsidRPr="00CB3953" w:rsidRDefault="00EC3C25" w:rsidP="00EC3C25">
      <w:pPr>
        <w:spacing w:after="0" w:line="360" w:lineRule="auto"/>
        <w:rPr>
          <w:rFonts w:eastAsia="Calibri" w:cs="Tahoma"/>
          <w:bCs/>
          <w:color w:val="000000"/>
        </w:rPr>
      </w:pPr>
    </w:p>
    <w:p w14:paraId="51A0ECFF" w14:textId="1F38C15E" w:rsidR="00FC2B2A" w:rsidRPr="00EC3C25" w:rsidRDefault="00EC3C25" w:rsidP="00EC3C25">
      <w:pPr>
        <w:autoSpaceDE w:val="0"/>
        <w:autoSpaceDN w:val="0"/>
        <w:adjustRightInd w:val="0"/>
        <w:spacing w:after="0" w:line="360" w:lineRule="auto"/>
        <w:contextualSpacing/>
        <w:rPr>
          <w:rFonts w:eastAsia="Calibri" w:cs="Times New Roman"/>
          <w:color w:val="000000"/>
        </w:rPr>
      </w:pPr>
      <w:r w:rsidRPr="00CB3953">
        <w:rPr>
          <w:rFonts w:eastAsia="Calibri" w:cs="Times New Roman"/>
          <w:color w:val="000000"/>
        </w:rPr>
        <w:t xml:space="preserve">En esa tesitura, se concluye que el Sujeto Obligado, no satisfizo el derecho de acceso a la información del Solicitante, al no dar atención de manera completa al requerimiento de información, así como, el principio de exhaustividad, pues omitió pronunciarse sobre todos los puntos peticionado, por lo que, deberá hacer la entrega de la información </w:t>
      </w:r>
      <w:r>
        <w:rPr>
          <w:rFonts w:eastAsia="Calibri" w:cs="Times New Roman"/>
          <w:color w:val="000000"/>
        </w:rPr>
        <w:t>faltante.</w:t>
      </w:r>
    </w:p>
    <w:p w14:paraId="25B0E009" w14:textId="77777777" w:rsidR="00FC2B2A" w:rsidRDefault="00BD6B6A">
      <w:pPr>
        <w:numPr>
          <w:ilvl w:val="0"/>
          <w:numId w:val="8"/>
        </w:numPr>
        <w:pBdr>
          <w:top w:val="nil"/>
          <w:left w:val="nil"/>
          <w:bottom w:val="nil"/>
          <w:right w:val="nil"/>
          <w:between w:val="nil"/>
        </w:pBdr>
        <w:spacing w:after="0" w:line="360" w:lineRule="auto"/>
        <w:rPr>
          <w:b/>
          <w:color w:val="000000"/>
        </w:rPr>
      </w:pPr>
      <w:r>
        <w:rPr>
          <w:b/>
          <w:color w:val="000000"/>
        </w:rPr>
        <w:lastRenderedPageBreak/>
        <w:t xml:space="preserve">Lugar de donde son originarios. </w:t>
      </w:r>
    </w:p>
    <w:p w14:paraId="0D8F743E" w14:textId="77777777" w:rsidR="00FC2B2A" w:rsidRDefault="00BD6B6A">
      <w:pPr>
        <w:numPr>
          <w:ilvl w:val="0"/>
          <w:numId w:val="8"/>
        </w:numPr>
        <w:pBdr>
          <w:top w:val="nil"/>
          <w:left w:val="nil"/>
          <w:bottom w:val="nil"/>
          <w:right w:val="nil"/>
          <w:between w:val="nil"/>
        </w:pBdr>
        <w:spacing w:after="0" w:line="360" w:lineRule="auto"/>
        <w:rPr>
          <w:b/>
          <w:color w:val="000000"/>
        </w:rPr>
      </w:pPr>
      <w:r>
        <w:rPr>
          <w:b/>
          <w:color w:val="000000"/>
        </w:rPr>
        <w:t xml:space="preserve">Destino </w:t>
      </w:r>
    </w:p>
    <w:p w14:paraId="536B2020" w14:textId="77777777" w:rsidR="00FC2B2A" w:rsidRDefault="00BD6B6A">
      <w:pPr>
        <w:numPr>
          <w:ilvl w:val="0"/>
          <w:numId w:val="8"/>
        </w:numPr>
        <w:pBdr>
          <w:top w:val="nil"/>
          <w:left w:val="nil"/>
          <w:bottom w:val="nil"/>
          <w:right w:val="nil"/>
          <w:between w:val="nil"/>
        </w:pBdr>
        <w:spacing w:after="0" w:line="360" w:lineRule="auto"/>
        <w:rPr>
          <w:b/>
          <w:color w:val="000000"/>
        </w:rPr>
      </w:pPr>
      <w:r>
        <w:rPr>
          <w:b/>
          <w:color w:val="000000"/>
        </w:rPr>
        <w:t xml:space="preserve">Informe sí se dio parte a la fiscalía </w:t>
      </w:r>
    </w:p>
    <w:p w14:paraId="4FBC4EE8" w14:textId="77777777" w:rsidR="00FC2B2A" w:rsidRDefault="00BD6B6A">
      <w:pPr>
        <w:pBdr>
          <w:top w:val="nil"/>
          <w:left w:val="nil"/>
          <w:bottom w:val="nil"/>
          <w:right w:val="nil"/>
          <w:between w:val="nil"/>
        </w:pBdr>
        <w:spacing w:after="0" w:line="360" w:lineRule="auto"/>
        <w:ind w:left="720"/>
        <w:rPr>
          <w:b/>
          <w:color w:val="000000"/>
        </w:rPr>
      </w:pPr>
      <w:r>
        <w:rPr>
          <w:b/>
          <w:color w:val="000000"/>
        </w:rPr>
        <w:t xml:space="preserve"> </w:t>
      </w:r>
    </w:p>
    <w:p w14:paraId="062BE79C" w14:textId="77777777" w:rsidR="00FC2B2A" w:rsidRDefault="00BD6B6A">
      <w:pPr>
        <w:spacing w:after="0" w:line="360" w:lineRule="auto"/>
        <w:rPr>
          <w:color w:val="000000"/>
        </w:rPr>
      </w:pPr>
      <w:r>
        <w:t xml:space="preserve">Respecto al lugar de origen y el destino, el Sujeto Obligado señaló que la información no era de su conocimiento en virtud de que, al realizar la localización no refieren de donde son originarios y desconoce su destino, con lo que se advierte que satisface lo correspondiente a los años de 2020 a la fecha de la solicitud, al tratarse de una inexistencia de la información, 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14:paraId="5D611088" w14:textId="77777777" w:rsidR="00FC2B2A" w:rsidRDefault="00FC2B2A">
      <w:pPr>
        <w:spacing w:after="0" w:line="360" w:lineRule="auto"/>
      </w:pPr>
    </w:p>
    <w:p w14:paraId="6FC40878" w14:textId="77777777" w:rsidR="00FC2B2A" w:rsidRDefault="00BD6B6A">
      <w:pPr>
        <w:spacing w:after="0" w:line="360" w:lineRule="auto"/>
      </w:pPr>
      <w: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4E85E658" w14:textId="77777777" w:rsidR="00FC2B2A" w:rsidRDefault="00FC2B2A">
      <w:pPr>
        <w:spacing w:after="0" w:line="360" w:lineRule="auto"/>
      </w:pPr>
    </w:p>
    <w:p w14:paraId="01E29677" w14:textId="77777777" w:rsidR="00FC2B2A" w:rsidRDefault="00BD6B6A">
      <w:pPr>
        <w:spacing w:after="0" w:line="360" w:lineRule="auto"/>
      </w:pPr>
      <w:r>
        <w:t xml:space="preserve">Así, es posible concluir que la </w:t>
      </w:r>
      <w:r>
        <w:rPr>
          <w:b/>
        </w:rPr>
        <w:t>inexistencia</w:t>
      </w:r>
      <w:r>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6CB2F432" w14:textId="77777777" w:rsidR="00FC2B2A" w:rsidRDefault="00FC2B2A">
      <w:pPr>
        <w:spacing w:after="0" w:line="360" w:lineRule="auto"/>
      </w:pPr>
    </w:p>
    <w:p w14:paraId="284F1F60" w14:textId="77777777" w:rsidR="00FC2B2A" w:rsidRDefault="00BD6B6A">
      <w:pPr>
        <w:spacing w:after="0" w:line="360" w:lineRule="auto"/>
        <w:rPr>
          <w:color w:val="000000"/>
        </w:rPr>
      </w:pPr>
      <w:r>
        <w:t>En ese sentido</w:t>
      </w:r>
      <w:r>
        <w:rPr>
          <w:color w:val="000000"/>
        </w:rPr>
        <w:t xml:space="preserve">, se logra colegir que la información solicitada por el ahora Recurrente es inexistente, pues el Sujeto Obligado, realizó una búsqueda exhaustiva y razonable en sus </w:t>
      </w:r>
      <w:r>
        <w:rPr>
          <w:color w:val="000000"/>
        </w:rPr>
        <w:lastRenderedPageBreak/>
        <w:t>archivos y señaló los motivos por los cuales no contaba con lo peticionado por la temporalidad referida;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7E735DFE" w14:textId="77777777" w:rsidR="00FC2B2A" w:rsidRDefault="00FC2B2A">
      <w:pPr>
        <w:spacing w:after="0" w:line="360" w:lineRule="auto"/>
        <w:rPr>
          <w:color w:val="000000"/>
        </w:rPr>
      </w:pPr>
    </w:p>
    <w:p w14:paraId="2AE9DB5A" w14:textId="77777777" w:rsidR="00FC2B2A" w:rsidRDefault="00BD6B6A">
      <w:pPr>
        <w:spacing w:after="0" w:line="360" w:lineRule="auto"/>
        <w:rPr>
          <w:color w:val="000000"/>
        </w:rPr>
      </w:pPr>
      <w:r>
        <w:rPr>
          <w:color w:val="000000"/>
        </w:rPr>
        <w:t xml:space="preserve">De la misma manera, el Criterio Orientador con clave de registro SO/007/2017, de la Segunda Época, emitido por el entonces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w:t>
      </w:r>
      <w:r>
        <w:t>apuntó</w:t>
      </w:r>
      <w:r>
        <w:rPr>
          <w:color w:val="000000"/>
        </w:rPr>
        <w:t xml:space="preserve"> a su existencia.</w:t>
      </w:r>
    </w:p>
    <w:p w14:paraId="6890CBC2" w14:textId="77777777" w:rsidR="00FC2B2A" w:rsidRDefault="00FC2B2A">
      <w:pPr>
        <w:spacing w:after="0" w:line="360" w:lineRule="auto"/>
        <w:rPr>
          <w:color w:val="000000"/>
        </w:rPr>
      </w:pPr>
    </w:p>
    <w:p w14:paraId="15E5B6EF" w14:textId="5F5EF469" w:rsidR="00FC2B2A" w:rsidRDefault="00BD6B6A">
      <w:pPr>
        <w:spacing w:after="0" w:line="360" w:lineRule="auto"/>
        <w:rPr>
          <w:b/>
        </w:rPr>
      </w:pPr>
      <w:r>
        <w:rPr>
          <w:color w:val="000000"/>
        </w:rPr>
        <w:t xml:space="preserve">Al respecto, dicho criterio aplica al caso en concreto, ya que, no se localizó algún indicio de que el Sujeto Obligado cuente con la información requerida; por lo cual, se considera que el Sujeto Obligado señaló las razones por las cuales no contaba con lo requerido y cumplió con el segundo párrafo, del artículo 19 de la Ley de Transparencia y Acceso a la Información Pública del Estado de México y Municipios. </w:t>
      </w:r>
      <w:r>
        <w:rPr>
          <w:b/>
          <w:color w:val="000000"/>
        </w:rPr>
        <w:t xml:space="preserve"> </w:t>
      </w:r>
    </w:p>
    <w:p w14:paraId="28A7A00E" w14:textId="77777777" w:rsidR="00FC2B2A" w:rsidRDefault="00FC2B2A">
      <w:pPr>
        <w:spacing w:after="0" w:line="360" w:lineRule="auto"/>
      </w:pPr>
    </w:p>
    <w:p w14:paraId="30786B9D" w14:textId="1140605F" w:rsidR="00FC2B2A" w:rsidRPr="00EC3C25" w:rsidRDefault="00EC3C25">
      <w:pPr>
        <w:spacing w:after="0" w:line="360" w:lineRule="auto"/>
        <w:rPr>
          <w:b/>
        </w:rPr>
      </w:pPr>
      <w:r>
        <w:t xml:space="preserve">Por otra parte, respecto al informe sobre sí se dio parte a la Fiscalía, el Sujeto Obligado señaló en informe justificado que de las personas localizadas entre 2020 y 2025 al 25 de marzo, el 30 % fueron canalizadas a las diferentes fiscalías para realizar el trámite correspondiente a la baja del boletín de búsqueda, mientras el 70% restante, mencionan realizar dicho trámite por sus propios medios, ante lo cual, este Organismo Garante no cuenta con facultades para pronunciarse sobre lo manifestado por el Sujeto Obligado, </w:t>
      </w:r>
      <w:r>
        <w:rPr>
          <w:b/>
        </w:rPr>
        <w:t>por lo que se tiene por atendido el requerimiento de información únicamente por</w:t>
      </w:r>
      <w:r>
        <w:t xml:space="preserve"> </w:t>
      </w:r>
      <w:r>
        <w:rPr>
          <w:b/>
          <w:color w:val="000000"/>
        </w:rPr>
        <w:t xml:space="preserve">la temporalidad informada, </w:t>
      </w:r>
      <w:r>
        <w:rPr>
          <w:b/>
        </w:rPr>
        <w:t>sin embargo, se omitió pronunciamiento respecto al año 2019 en su temporalidad correspondencia.</w:t>
      </w:r>
    </w:p>
    <w:p w14:paraId="16C52906" w14:textId="6DBDDDFF" w:rsidR="00FC2B2A" w:rsidRDefault="00BD6B6A">
      <w:pPr>
        <w:spacing w:after="0" w:line="360" w:lineRule="auto"/>
      </w:pPr>
      <w:r>
        <w:lastRenderedPageBreak/>
        <w:t xml:space="preserve">En este sentido, si bien falta el pronunciamiento respecto a la temporalidad del año 2019, lo cierto es que, a pesar de la respuesta e informe emitido por el Sujeto Obligado en un ejercicio de máxima publicidad y ejercicio de máxima transparencia, </w:t>
      </w:r>
      <w:bookmarkStart w:id="13" w:name="_Hlk203591561"/>
      <w:r>
        <w:t xml:space="preserve">se advierte que la información requerida en el punto en análisis, </w:t>
      </w:r>
      <w:r>
        <w:rPr>
          <w:b/>
        </w:rPr>
        <w:t>corresponde a un cuestionamiento cuya respuesta requiere un procesamiento de la información,</w:t>
      </w:r>
      <w:r>
        <w:t xml:space="preserve"> lo cual, es inatendible en el ejercicio del derecho de acceso a la información pública y a la transparencia; puesto que de conformidad con lo dispuesto en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24C38D7E" w14:textId="77777777" w:rsidR="00FC2B2A" w:rsidRDefault="00FC2B2A">
      <w:pPr>
        <w:spacing w:after="0" w:line="360" w:lineRule="auto"/>
      </w:pPr>
    </w:p>
    <w:p w14:paraId="36F93ED2" w14:textId="77777777" w:rsidR="001B1B2B" w:rsidRDefault="00BD6B6A" w:rsidP="001B1B2B">
      <w:pPr>
        <w:tabs>
          <w:tab w:val="left" w:pos="4962"/>
        </w:tabs>
        <w:spacing w:line="360" w:lineRule="auto"/>
        <w:contextualSpacing/>
      </w:pPr>
      <w:r>
        <w:t xml:space="preserve">De tales circunstancias, se colige que los sujetos obligados únicamente están constreñidos a proporcionar </w:t>
      </w:r>
      <w:r>
        <w:rPr>
          <w:b/>
        </w:rPr>
        <w:t>la documentación que obre en sus archivos</w:t>
      </w:r>
      <w:r>
        <w:t>; por lo que, no están obligados a generar o elaborar documentos </w:t>
      </w:r>
      <w:r>
        <w:rPr>
          <w:i/>
        </w:rPr>
        <w:t>ad hoc, </w:t>
      </w:r>
      <w:r>
        <w:t xml:space="preserve">como es el caso de proporcionar respuesta a un cuestionamiento. </w:t>
      </w:r>
    </w:p>
    <w:p w14:paraId="7E0B846F" w14:textId="77777777" w:rsidR="001B1B2B" w:rsidRDefault="001B1B2B" w:rsidP="001B1B2B">
      <w:pPr>
        <w:tabs>
          <w:tab w:val="left" w:pos="4962"/>
        </w:tabs>
        <w:spacing w:line="360" w:lineRule="auto"/>
        <w:contextualSpacing/>
      </w:pPr>
    </w:p>
    <w:p w14:paraId="302AD5D5" w14:textId="571BEE30" w:rsidR="001B1B2B" w:rsidRPr="00EC3C25" w:rsidRDefault="001B1B2B" w:rsidP="001B1B2B">
      <w:pPr>
        <w:tabs>
          <w:tab w:val="left" w:pos="4962"/>
        </w:tabs>
        <w:spacing w:line="360" w:lineRule="auto"/>
        <w:contextualSpacing/>
        <w:rPr>
          <w:rFonts w:eastAsia="Arial" w:cs="Arial"/>
          <w:b/>
          <w:bCs/>
          <w:iCs/>
        </w:rPr>
      </w:pPr>
      <w:r w:rsidRPr="001414B8">
        <w:rPr>
          <w:rFonts w:cs="Tahoma"/>
        </w:rPr>
        <w:t xml:space="preserve">Además, resulta posible atraer al estudio </w:t>
      </w:r>
      <w:r w:rsidRPr="001414B8">
        <w:rPr>
          <w:rFonts w:eastAsia="Calibri" w:cs="Tahoma"/>
          <w:iCs/>
          <w:lang w:val="es-ES" w:eastAsia="es-ES_tradnl"/>
        </w:rPr>
        <w:t xml:space="preserve">el </w:t>
      </w:r>
      <w:r w:rsidR="00EC3C25">
        <w:rPr>
          <w:rFonts w:eastAsia="Calibri" w:cs="Tahoma"/>
          <w:iCs/>
          <w:lang w:val="es-ES" w:eastAsia="es-ES_tradnl"/>
        </w:rPr>
        <w:t>C</w:t>
      </w:r>
      <w:r w:rsidRPr="001414B8">
        <w:rPr>
          <w:rFonts w:eastAsia="Calibri" w:cs="Tahoma"/>
          <w:iCs/>
          <w:lang w:val="es-ES" w:eastAsia="es-ES_tradnl"/>
        </w:rPr>
        <w:t xml:space="preserve">riterio </w:t>
      </w:r>
      <w:r w:rsidR="00EC3C25">
        <w:rPr>
          <w:rFonts w:eastAsia="Calibri" w:cs="Tahoma"/>
          <w:iCs/>
          <w:lang w:val="es-ES" w:eastAsia="es-ES_tradnl"/>
        </w:rPr>
        <w:t>O</w:t>
      </w:r>
      <w:r w:rsidRPr="001414B8">
        <w:rPr>
          <w:rFonts w:eastAsia="Calibri" w:cs="Tahoma"/>
          <w:iCs/>
          <w:lang w:val="es-ES" w:eastAsia="es-ES_tradnl"/>
        </w:rPr>
        <w:t>rientador</w:t>
      </w:r>
      <w:r w:rsidR="00EC3C25">
        <w:rPr>
          <w:rFonts w:eastAsia="Calibri" w:cs="Tahoma"/>
          <w:iCs/>
          <w:lang w:val="es-ES" w:eastAsia="es-ES_tradnl"/>
        </w:rPr>
        <w:t>, con clave de control SO/0</w:t>
      </w:r>
      <w:r w:rsidRPr="001414B8">
        <w:rPr>
          <w:rFonts w:eastAsia="Calibri" w:cs="Tahoma"/>
          <w:iCs/>
          <w:lang w:val="es-ES" w:eastAsia="es-ES_tradnl"/>
        </w:rPr>
        <w:t>03/</w:t>
      </w:r>
      <w:r w:rsidR="00EC3C25">
        <w:rPr>
          <w:rFonts w:eastAsia="Calibri" w:cs="Tahoma"/>
          <w:iCs/>
          <w:lang w:val="es-ES" w:eastAsia="es-ES_tradnl"/>
        </w:rPr>
        <w:t>20</w:t>
      </w:r>
      <w:r w:rsidRPr="001414B8">
        <w:rPr>
          <w:rFonts w:eastAsia="Calibri" w:cs="Tahoma"/>
          <w:iCs/>
          <w:lang w:val="es-ES" w:eastAsia="es-ES_tradnl"/>
        </w:rPr>
        <w:t>17 del entonces llamado Instituto Nacional de Transparencia, Acceso a la Información y Protección de Datos Personales</w:t>
      </w:r>
      <w:r w:rsidR="00EC3C25">
        <w:rPr>
          <w:rFonts w:eastAsia="Arial" w:cs="Arial"/>
          <w:bCs/>
          <w:i/>
        </w:rPr>
        <w:t>,</w:t>
      </w:r>
      <w:r w:rsidRPr="001414B8">
        <w:rPr>
          <w:rFonts w:eastAsia="Arial" w:cs="Arial"/>
          <w:bCs/>
          <w:i/>
        </w:rPr>
        <w:t xml:space="preserve"> </w:t>
      </w:r>
      <w:r w:rsidRPr="001414B8">
        <w:rPr>
          <w:rFonts w:eastAsia="Arial" w:cs="Arial"/>
          <w:bCs/>
          <w:iCs/>
        </w:rPr>
        <w:t>en el que se precisa que</w:t>
      </w:r>
      <w:r w:rsidRPr="001414B8">
        <w:rPr>
          <w:rFonts w:eastAsia="Arial" w:cs="Arial"/>
          <w:b/>
          <w:iCs/>
        </w:rPr>
        <w:t xml:space="preserve"> </w:t>
      </w:r>
      <w:r w:rsidRPr="001414B8">
        <w:rPr>
          <w:rFonts w:eastAsia="Arial" w:cs="Arial"/>
          <w:iCs/>
        </w:rPr>
        <w:t xml:space="preserve">los Sujetos Obligados deben dar acceso a los documentos que se encuentren en sus archivos y que estén obligados a documentar conforme a sus facultades o funciones, de acuerdo a las características físicas de la información o del lugar donde se encuentre; de forma tal, que los Sujetos Obligados garantizan el derecho de acceso a la información al proporcionar la información que obre en sus archivos, sin que ello implique que deban generar documentos nuevos. </w:t>
      </w:r>
      <w:r w:rsidRPr="001414B8">
        <w:rPr>
          <w:rFonts w:cs="Tahoma"/>
          <w:lang w:val="es-ES"/>
        </w:rPr>
        <w:t xml:space="preserve">Por ello, los Sujetos Obligados únicamente se encuentran obligados a proporcionar los documentos que den cuenta de la información solicitada, como obren en sus archivos, </w:t>
      </w:r>
      <w:r w:rsidRPr="00EC3C25">
        <w:rPr>
          <w:rFonts w:cs="Tahoma"/>
          <w:b/>
          <w:bCs/>
          <w:lang w:val="es-ES"/>
        </w:rPr>
        <w:t>sin tener que elaborarlos a las necesidades de la parte Recurrente.</w:t>
      </w:r>
    </w:p>
    <w:p w14:paraId="765A2C49" w14:textId="75C06137" w:rsidR="001B1B2B" w:rsidRPr="001414B8" w:rsidRDefault="001B1B2B" w:rsidP="001B1B2B">
      <w:pPr>
        <w:tabs>
          <w:tab w:val="left" w:pos="4962"/>
        </w:tabs>
        <w:spacing w:line="360" w:lineRule="auto"/>
        <w:contextualSpacing/>
        <w:rPr>
          <w:rFonts w:eastAsia="Calibri" w:cs="Tahoma"/>
          <w:bCs/>
          <w:color w:val="000000"/>
        </w:rPr>
      </w:pPr>
      <w:r w:rsidRPr="001414B8">
        <w:rPr>
          <w:rFonts w:eastAsia="Calibri" w:cs="Tahoma"/>
          <w:bCs/>
          <w:color w:val="000000"/>
        </w:rPr>
        <w:lastRenderedPageBreak/>
        <w:t>Así pues, lo solicitado en el punto de análisis, tiene otra naturaleza, y puede tratarse de una consulta que implica el ejercicio de un derecho de petición y no de acceso a la información pública</w:t>
      </w:r>
      <w:r>
        <w:rPr>
          <w:rFonts w:eastAsia="Calibri" w:cs="Tahoma"/>
          <w:bCs/>
          <w:color w:val="000000"/>
        </w:rPr>
        <w:t>.</w:t>
      </w:r>
    </w:p>
    <w:p w14:paraId="7C61D989" w14:textId="77777777" w:rsidR="001B1B2B" w:rsidRPr="001414B8" w:rsidRDefault="001B1B2B" w:rsidP="001B1B2B">
      <w:pPr>
        <w:tabs>
          <w:tab w:val="left" w:pos="4962"/>
        </w:tabs>
        <w:spacing w:line="360" w:lineRule="auto"/>
        <w:contextualSpacing/>
        <w:rPr>
          <w:rFonts w:eastAsia="Calibri" w:cs="Tahoma"/>
          <w:bCs/>
          <w:color w:val="000000"/>
        </w:rPr>
      </w:pPr>
    </w:p>
    <w:p w14:paraId="50E3680F" w14:textId="77777777" w:rsidR="001B1B2B" w:rsidRPr="001414B8" w:rsidRDefault="001B1B2B" w:rsidP="001B1B2B">
      <w:pPr>
        <w:tabs>
          <w:tab w:val="left" w:pos="4962"/>
        </w:tabs>
        <w:spacing w:line="360" w:lineRule="auto"/>
        <w:contextualSpacing/>
        <w:rPr>
          <w:color w:val="000000"/>
        </w:rPr>
      </w:pPr>
      <w:r w:rsidRPr="001414B8">
        <w:rPr>
          <w:color w:val="000000"/>
        </w:rPr>
        <w:t xml:space="preserve">En ese tenor, por lo que respecta a la definición del derecho de petición se tiene que el Doctor Ignacio Burgoa Orihuela refiere que </w:t>
      </w:r>
      <w:r w:rsidRPr="001414B8">
        <w:rPr>
          <w:i/>
          <w:color w:val="000000"/>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w:t>
      </w:r>
    </w:p>
    <w:p w14:paraId="3F1BFB10" w14:textId="77777777" w:rsidR="001B1B2B" w:rsidRPr="001414B8" w:rsidRDefault="001B1B2B" w:rsidP="001B1B2B">
      <w:pPr>
        <w:tabs>
          <w:tab w:val="left" w:pos="4962"/>
        </w:tabs>
        <w:spacing w:line="360" w:lineRule="auto"/>
        <w:contextualSpacing/>
        <w:rPr>
          <w:color w:val="000000"/>
        </w:rPr>
      </w:pPr>
    </w:p>
    <w:p w14:paraId="2F7B7911" w14:textId="77777777" w:rsidR="001B1B2B" w:rsidRPr="001414B8" w:rsidRDefault="001B1B2B" w:rsidP="001B1B2B">
      <w:pPr>
        <w:tabs>
          <w:tab w:val="left" w:pos="4962"/>
        </w:tabs>
        <w:spacing w:line="360" w:lineRule="auto"/>
        <w:contextualSpacing/>
        <w:rPr>
          <w:color w:val="000000"/>
        </w:rPr>
      </w:pPr>
      <w:r w:rsidRPr="001414B8">
        <w:rPr>
          <w:color w:val="000000"/>
        </w:rPr>
        <w:t xml:space="preserve">Por otra parte, el derecho de acceso a la información pública, es aquel, en el que, las personas pueden solicitar información referente a aquellos documentos que, en ejercicio de sus atribuciones, reflejen la toma de decisiones de los Sujetos Obligados o de aquellos que por cualquier motivo reciban, administren o apliquen recursos públicos, y está previsto en el artículo 6° de la Constitución Política de los Estados Unidos Mexicanos. </w:t>
      </w:r>
    </w:p>
    <w:p w14:paraId="2EE05C5D" w14:textId="77777777" w:rsidR="001B1B2B" w:rsidRPr="001414B8" w:rsidRDefault="001B1B2B" w:rsidP="001B1B2B">
      <w:pPr>
        <w:spacing w:line="360" w:lineRule="auto"/>
        <w:contextualSpacing/>
        <w:rPr>
          <w:rFonts w:eastAsia="Calibri" w:cs="Tahoma"/>
          <w:lang w:val="es-ES" w:eastAsia="es-ES_tradnl"/>
        </w:rPr>
      </w:pPr>
    </w:p>
    <w:p w14:paraId="704437CB" w14:textId="35E8E5CA" w:rsidR="001B1B2B" w:rsidRPr="00EC3C25" w:rsidRDefault="001B1B2B" w:rsidP="001B1B2B">
      <w:pPr>
        <w:tabs>
          <w:tab w:val="left" w:pos="4962"/>
        </w:tabs>
        <w:spacing w:line="360" w:lineRule="auto"/>
        <w:contextualSpacing/>
        <w:rPr>
          <w:color w:val="000000"/>
        </w:rPr>
      </w:pPr>
      <w:r w:rsidRPr="001414B8">
        <w:rPr>
          <w:color w:val="000000"/>
        </w:rPr>
        <w:t>En consecuencia, lo solicitado en el punto de análisis no pertenece al derecho de acceso a la información sino al derecho de petición, ya que de derivan cuestionamientos, cuya única respuesta implica que se procese la información y se emita un pronunciamiento específico</w:t>
      </w:r>
      <w:r w:rsidRPr="001B1B2B">
        <w:rPr>
          <w:b/>
          <w:bCs/>
          <w:color w:val="000000"/>
        </w:rPr>
        <w:t>; por lo que, corresponde a una consulta</w:t>
      </w:r>
      <w:r w:rsidR="00EC3C25">
        <w:rPr>
          <w:b/>
          <w:bCs/>
          <w:color w:val="000000"/>
        </w:rPr>
        <w:t xml:space="preserve">; </w:t>
      </w:r>
      <w:r w:rsidR="00EC3C25">
        <w:rPr>
          <w:color w:val="000000"/>
        </w:rPr>
        <w:t>además, que en atención al Principio de Máxima Publicidad, el Sujeto Obligado se pronunció de la información que obraba en sus archivos.</w:t>
      </w:r>
    </w:p>
    <w:bookmarkEnd w:id="13"/>
    <w:p w14:paraId="7C73D56F" w14:textId="041D690D" w:rsidR="00FC2B2A" w:rsidRDefault="00FC2B2A" w:rsidP="001B1B2B">
      <w:pPr>
        <w:spacing w:after="0" w:line="360" w:lineRule="auto"/>
        <w:rPr>
          <w:color w:val="000000"/>
        </w:rPr>
      </w:pPr>
    </w:p>
    <w:p w14:paraId="02CFFF56" w14:textId="77777777" w:rsidR="00FC2B2A" w:rsidRDefault="00BD6B6A">
      <w:pPr>
        <w:spacing w:after="0" w:line="360" w:lineRule="auto"/>
      </w:pPr>
      <w:r>
        <w:t xml:space="preserve">En atención a todo lo antes expuesto, resultan </w:t>
      </w:r>
      <w:r>
        <w:rPr>
          <w:b/>
        </w:rPr>
        <w:t>PARCIALMENTE FUNDADOS</w:t>
      </w:r>
      <w:r>
        <w:t xml:space="preserve"> los motivos de inconformidad planteados por la parte Recurrente y es procedente </w:t>
      </w:r>
      <w:r>
        <w:rPr>
          <w:b/>
        </w:rPr>
        <w:t xml:space="preserve">MODIFICAR </w:t>
      </w:r>
      <w:r>
        <w:t xml:space="preserve">la respuesta inicial y </w:t>
      </w:r>
      <w:r>
        <w:rPr>
          <w:b/>
        </w:rPr>
        <w:t>ordenar la cantidad de personas que fueron localizadas por la policía municipal del 12 de marzo al 31 de diciembre de 2019</w:t>
      </w:r>
      <w:r>
        <w:t xml:space="preserve">. Cabe señalar que dicha información es de carácter estadística y por ello, tiene el carácter de información pública. </w:t>
      </w:r>
    </w:p>
    <w:p w14:paraId="00832B09" w14:textId="7FB7D447" w:rsidR="00FC2B2A" w:rsidRDefault="00EC3C25">
      <w:pPr>
        <w:pStyle w:val="Ttulo2"/>
        <w:spacing w:before="0" w:after="0"/>
        <w:rPr>
          <w:b w:val="0"/>
          <w:bCs/>
        </w:rPr>
      </w:pPr>
      <w:bookmarkStart w:id="14" w:name="_heading=h.tts8fum01b5z" w:colFirst="0" w:colLast="0"/>
      <w:bookmarkEnd w:id="14"/>
      <w:r>
        <w:rPr>
          <w:b w:val="0"/>
          <w:bCs/>
        </w:rPr>
        <w:lastRenderedPageBreak/>
        <w:t>Ahora bien, para el caso que durante dicho periodo la Policía Municipal no haya localizado alguna persona, deberá hacerlo del conocimiento de la persona Recurrente de manera clara y precisa, en términos del artícuo 19, párrafo segundo, de la Ley de Transparencia y Acceso a la Información Pública del Estado de México y Municipios.</w:t>
      </w:r>
    </w:p>
    <w:p w14:paraId="68511007" w14:textId="77777777" w:rsidR="00EC3C25" w:rsidRPr="00EC3C25" w:rsidRDefault="00EC3C25" w:rsidP="00EC3C25"/>
    <w:p w14:paraId="4316B2DE" w14:textId="77777777" w:rsidR="00FC2B2A" w:rsidRDefault="00BD6B6A">
      <w:pPr>
        <w:pStyle w:val="Ttulo2"/>
        <w:spacing w:before="0" w:after="0"/>
      </w:pPr>
      <w:bookmarkStart w:id="15" w:name="_heading=h.nvpct0mhdms0" w:colFirst="0" w:colLast="0"/>
      <w:bookmarkEnd w:id="15"/>
      <w:r>
        <w:t>SEXTO. Decisión</w:t>
      </w:r>
    </w:p>
    <w:p w14:paraId="58D8BAC5" w14:textId="77777777" w:rsidR="00FC2B2A" w:rsidRDefault="00FC2B2A">
      <w:pPr>
        <w:spacing w:after="0" w:line="360" w:lineRule="auto"/>
        <w:rPr>
          <w:b/>
        </w:rPr>
      </w:pPr>
    </w:p>
    <w:p w14:paraId="0D81F348" w14:textId="77777777" w:rsidR="00FC2B2A" w:rsidRDefault="00BD6B6A">
      <w:pPr>
        <w:spacing w:after="0" w:line="360" w:lineRule="auto"/>
      </w:pPr>
      <w:r>
        <w:t xml:space="preserve">Con fundamento en el artículo 186, fracción III, de la Ley de Transparencia y Acceso a la Información Pública del Estado de México y Municipios, este Instituto considera procedente </w:t>
      </w:r>
      <w:r>
        <w:rPr>
          <w:b/>
        </w:rPr>
        <w:t>MODIFICAR</w:t>
      </w:r>
      <w:r>
        <w:t xml:space="preserve"> la respuesta otorgada por el Sujeto Obligado a la solicitud de información </w:t>
      </w:r>
      <w:r>
        <w:rPr>
          <w:b/>
        </w:rPr>
        <w:t xml:space="preserve"> </w:t>
      </w:r>
      <w:r>
        <w:rPr>
          <w:b/>
          <w:color w:val="000000"/>
        </w:rPr>
        <w:t>01527/TOLUCA/IP/2025</w:t>
      </w:r>
      <w:r>
        <w:t xml:space="preserve">, por resultar parcialmente fundadas las razones o motivos de inconformidad hechos valer por la parte Recurrente, en el Recurso de Revisión </w:t>
      </w:r>
      <w:r>
        <w:rPr>
          <w:b/>
          <w:color w:val="000000"/>
        </w:rPr>
        <w:t>05006/INFOEM/IP/RR/2025</w:t>
      </w:r>
      <w:r>
        <w:t xml:space="preserve">, en consecuencia procede </w:t>
      </w:r>
      <w:r>
        <w:rPr>
          <w:b/>
        </w:rPr>
        <w:t xml:space="preserve">ORDENAR, </w:t>
      </w:r>
      <w:r>
        <w:t>la entrega de la información faltante en los términos expuestos.</w:t>
      </w:r>
    </w:p>
    <w:p w14:paraId="4D5ED138" w14:textId="77777777" w:rsidR="00FC2B2A" w:rsidRDefault="00FC2B2A">
      <w:pPr>
        <w:spacing w:after="0" w:line="360" w:lineRule="auto"/>
      </w:pPr>
    </w:p>
    <w:p w14:paraId="498D36CC" w14:textId="77777777" w:rsidR="00FC2B2A" w:rsidRDefault="00BD6B6A">
      <w:pPr>
        <w:spacing w:after="0" w:line="360" w:lineRule="auto"/>
        <w:rPr>
          <w:b/>
          <w:u w:val="single"/>
        </w:rPr>
      </w:pPr>
      <w:r>
        <w:rPr>
          <w:b/>
          <w:u w:val="single"/>
        </w:rPr>
        <w:t>Términos de la Resolución para la parte Recurrente:</w:t>
      </w:r>
    </w:p>
    <w:p w14:paraId="497C07B3" w14:textId="77777777" w:rsidR="00FC2B2A" w:rsidRDefault="00FC2B2A">
      <w:pPr>
        <w:spacing w:after="0" w:line="360" w:lineRule="auto"/>
      </w:pPr>
    </w:p>
    <w:p w14:paraId="76ADC7C6" w14:textId="443C4996" w:rsidR="00FC2B2A" w:rsidRPr="000C1789" w:rsidRDefault="00BD6B6A">
      <w:pPr>
        <w:spacing w:after="0" w:line="360" w:lineRule="auto"/>
      </w:pPr>
      <w:r w:rsidRPr="000C1789">
        <w:t xml:space="preserve">Se hace del conocimiento de parte Recurrente que este Organismo Garante determinó concederle parcialmente la razón y se ordena la entrega de la cantidad de personas localizadas por la policía municipal en la temporalidad faltante, es decir del 12 de marzo al 31 de diciembre de 2019. </w:t>
      </w:r>
      <w:r w:rsidR="00EC3C25" w:rsidRPr="000C1789">
        <w:t xml:space="preserve"> </w:t>
      </w:r>
      <w:r w:rsidRPr="000C1789">
        <w:t>Cabe señalar que por cuanto hace al resto de cuestionamiento son inatendibles en el ejercicio de la materia, dado que implican el procesamiento de la información y en materia de transparencia y acceso a la información pública los Sujetos Obligados únicamente deben entregar documentos tal y como obren en sus archivos, sin que ello implique realizar cálculos, investigaciones, o documentos nuevos.  La labor del INFOEM, es apoyar a la población para acceder a la información pública y garantizar la protección de sus datos personales.</w:t>
      </w:r>
    </w:p>
    <w:p w14:paraId="03D5EC59" w14:textId="77777777" w:rsidR="00FC2B2A" w:rsidRDefault="00FC2B2A">
      <w:pPr>
        <w:spacing w:after="0" w:line="360" w:lineRule="auto"/>
        <w:rPr>
          <w:u w:val="single"/>
        </w:rPr>
      </w:pPr>
    </w:p>
    <w:p w14:paraId="40D8B7B9" w14:textId="77777777" w:rsidR="00FC2B2A" w:rsidRDefault="00BD6B6A">
      <w:pPr>
        <w:pStyle w:val="Ttulo1"/>
        <w:spacing w:before="0" w:after="0"/>
        <w:rPr>
          <w:color w:val="000000"/>
          <w:sz w:val="22"/>
          <w:szCs w:val="22"/>
        </w:rPr>
      </w:pPr>
      <w:bookmarkStart w:id="16" w:name="_heading=h.9h2u915o79n" w:colFirst="0" w:colLast="0"/>
      <w:bookmarkEnd w:id="16"/>
      <w:r>
        <w:rPr>
          <w:color w:val="000000"/>
          <w:sz w:val="22"/>
          <w:szCs w:val="22"/>
        </w:rPr>
        <w:lastRenderedPageBreak/>
        <w:t>R E S U E L V E</w:t>
      </w:r>
    </w:p>
    <w:p w14:paraId="550D002F" w14:textId="77777777" w:rsidR="00FC2B2A" w:rsidRDefault="00FC2B2A">
      <w:pPr>
        <w:spacing w:after="0" w:line="360" w:lineRule="auto"/>
        <w:rPr>
          <w:b/>
        </w:rPr>
      </w:pPr>
    </w:p>
    <w:p w14:paraId="6ECCEBF4" w14:textId="3DC06FCF" w:rsidR="00FC2B2A" w:rsidRDefault="00BD6B6A">
      <w:pPr>
        <w:spacing w:after="0" w:line="360" w:lineRule="auto"/>
      </w:pPr>
      <w:r>
        <w:rPr>
          <w:b/>
        </w:rPr>
        <w:t xml:space="preserve">PRIMERO. </w:t>
      </w:r>
      <w:r>
        <w:t xml:space="preserve">Se </w:t>
      </w:r>
      <w:r>
        <w:rPr>
          <w:b/>
        </w:rPr>
        <w:t>MODIFICA</w:t>
      </w:r>
      <w:r>
        <w:t xml:space="preserve"> la respuesta entregada por el </w:t>
      </w:r>
      <w:r>
        <w:rPr>
          <w:b/>
        </w:rPr>
        <w:t>Ayuntamiento de Toluca</w:t>
      </w:r>
      <w:r>
        <w:t xml:space="preserve"> a la solicitud de información </w:t>
      </w:r>
      <w:r w:rsidRPr="000C1789">
        <w:rPr>
          <w:bCs/>
          <w:color w:val="000000"/>
        </w:rPr>
        <w:t xml:space="preserve">01527/TOLUCA/IP/2025 </w:t>
      </w:r>
      <w:r w:rsidRPr="000C1789">
        <w:rPr>
          <w:bCs/>
        </w:rPr>
        <w:t xml:space="preserve">por resultar </w:t>
      </w:r>
      <w:r w:rsidR="000C1789" w:rsidRPr="000C1789">
        <w:rPr>
          <w:b/>
        </w:rPr>
        <w:t>PARCIALMENTE FUNDADAS</w:t>
      </w:r>
      <w:r w:rsidR="000C1789" w:rsidRPr="000C1789">
        <w:rPr>
          <w:bCs/>
        </w:rPr>
        <w:t xml:space="preserve"> </w:t>
      </w:r>
      <w:r w:rsidRPr="000C1789">
        <w:rPr>
          <w:bCs/>
        </w:rPr>
        <w:t>las razones o motivos de inconformidad hechos valer por la parte Recurrente en el Recurso de Revisión 05006/INFOEM/IP/RR/2025</w:t>
      </w:r>
      <w:r>
        <w:t>, en términos de los considerandos QUINTO y SEXTO de la presente Resolución.</w:t>
      </w:r>
    </w:p>
    <w:p w14:paraId="4684EA86" w14:textId="77777777" w:rsidR="00FC2B2A" w:rsidRDefault="00FC2B2A">
      <w:pPr>
        <w:spacing w:after="0" w:line="360" w:lineRule="auto"/>
      </w:pPr>
    </w:p>
    <w:p w14:paraId="7425EC52" w14:textId="1D76239A" w:rsidR="00FC2B2A" w:rsidRDefault="00BD6B6A">
      <w:pPr>
        <w:spacing w:after="0" w:line="360" w:lineRule="auto"/>
      </w:pPr>
      <w:r>
        <w:rPr>
          <w:b/>
        </w:rPr>
        <w:t xml:space="preserve">SEGUNDO. </w:t>
      </w:r>
      <w:r>
        <w:t xml:space="preserve">Se </w:t>
      </w:r>
      <w:r>
        <w:rPr>
          <w:b/>
        </w:rPr>
        <w:t>ORDENA</w:t>
      </w:r>
      <w:r>
        <w:t xml:space="preserve"> al Sujeto Obligado, a efecto de entregue, previa búsqueda exhaustiva y razonable, a través del SAIMEX, el documento donde const</w:t>
      </w:r>
      <w:r w:rsidRPr="000C1789">
        <w:t>e</w:t>
      </w:r>
      <w:r w:rsidRPr="000C1789">
        <w:rPr>
          <w:b/>
          <w:bCs/>
        </w:rPr>
        <w:t xml:space="preserve"> </w:t>
      </w:r>
      <w:r w:rsidR="000C1789" w:rsidRPr="000C1789">
        <w:t>el número total</w:t>
      </w:r>
      <w:r w:rsidRPr="000C1789">
        <w:t xml:space="preserve"> de personas localizadas por la policía municipal</w:t>
      </w:r>
      <w:r w:rsidR="000C1789" w:rsidRPr="000C1789">
        <w:t xml:space="preserve"> </w:t>
      </w:r>
      <w:r w:rsidRPr="000C1789">
        <w:t>del 12 de marzo al 31 de diciembre de 2019.</w:t>
      </w:r>
    </w:p>
    <w:p w14:paraId="6DE7F73A" w14:textId="77777777" w:rsidR="00FC2B2A" w:rsidRDefault="00FC2B2A">
      <w:pPr>
        <w:spacing w:after="0" w:line="360" w:lineRule="auto"/>
      </w:pPr>
    </w:p>
    <w:p w14:paraId="77046C92" w14:textId="77777777" w:rsidR="00FC2B2A" w:rsidRDefault="00BD6B6A">
      <w:pPr>
        <w:spacing w:after="0" w:line="360" w:lineRule="auto"/>
      </w:pPr>
      <w:r>
        <w:t>Para el caso de que en el periodo solicitado no haya localizado personas, bastará con que lo haga del conocimiento de la persona Recurrente de manera precisa y clara.</w:t>
      </w:r>
    </w:p>
    <w:p w14:paraId="7FC60AA8" w14:textId="77777777" w:rsidR="00FC2B2A" w:rsidRDefault="00FC2B2A">
      <w:pPr>
        <w:spacing w:after="0" w:line="360" w:lineRule="auto"/>
      </w:pPr>
    </w:p>
    <w:p w14:paraId="6B93C557" w14:textId="77777777" w:rsidR="00FC2B2A" w:rsidRDefault="00BD6B6A">
      <w:pPr>
        <w:spacing w:after="0" w:line="360" w:lineRule="auto"/>
      </w:pPr>
      <w:bookmarkStart w:id="17" w:name="_heading=h.argy21qnkmhr" w:colFirst="0" w:colLast="0"/>
      <w:bookmarkEnd w:id="17"/>
      <w:r>
        <w:rPr>
          <w:b/>
        </w:rPr>
        <w:t xml:space="preserve">TERCERO. 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1F06939E" w14:textId="77777777" w:rsidR="00FC2B2A" w:rsidRDefault="00FC2B2A">
      <w:pPr>
        <w:spacing w:after="0" w:line="360" w:lineRule="auto"/>
      </w:pPr>
    </w:p>
    <w:p w14:paraId="5A59D55C" w14:textId="77777777" w:rsidR="00FC2B2A" w:rsidRDefault="00BD6B6A">
      <w:pPr>
        <w:spacing w:after="0" w:line="360" w:lineRule="auto"/>
      </w:pPr>
      <w:r>
        <w:t xml:space="preserve">De conformidad con el artículo 198 de la Ley de Transparencia y Acceso a la Información Pública del Estado de México y Municipios, de considerarlo procedente, el Sujeto Obligado de manera </w:t>
      </w:r>
      <w:r>
        <w:lastRenderedPageBreak/>
        <w:t>fundada y motivada, podrá solicitar una ampliación de plazo para el cumplimiento de la presente resolución.</w:t>
      </w:r>
    </w:p>
    <w:p w14:paraId="435B16C5" w14:textId="77777777" w:rsidR="00FC2B2A" w:rsidRDefault="00FC2B2A">
      <w:pPr>
        <w:spacing w:after="0" w:line="360" w:lineRule="auto"/>
      </w:pPr>
    </w:p>
    <w:p w14:paraId="18855012" w14:textId="77777777" w:rsidR="00FC2B2A" w:rsidRDefault="00BD6B6A">
      <w:pPr>
        <w:spacing w:after="0" w:line="360" w:lineRule="auto"/>
      </w:pPr>
      <w:r>
        <w:rPr>
          <w:b/>
        </w:rPr>
        <w:t>CUARTO. NOTIFÍQUESE</w:t>
      </w:r>
      <w:r>
        <w:t xml:space="preserve"> </w:t>
      </w:r>
      <w:r>
        <w:rPr>
          <w:b/>
        </w:rPr>
        <w:t xml:space="preserve">POR SAIMEX </w:t>
      </w:r>
      <w: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D5D8779" w14:textId="77777777" w:rsidR="00FC2B2A" w:rsidRDefault="00FC2B2A">
      <w:pPr>
        <w:spacing w:after="0" w:line="360" w:lineRule="auto"/>
        <w:rPr>
          <w:b/>
        </w:rPr>
      </w:pPr>
    </w:p>
    <w:p w14:paraId="18230AFF" w14:textId="6E7C69FA" w:rsidR="00FC2B2A" w:rsidRDefault="00BD6B6A">
      <w:pPr>
        <w:spacing w:after="0" w:line="360" w:lineRule="auto"/>
        <w:rPr>
          <w:b/>
        </w:rPr>
      </w:pPr>
      <w:r>
        <w:t>ASÍ LO RESUELVE, POR </w:t>
      </w:r>
      <w:r>
        <w:rPr>
          <w:b/>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SEIS DE AGOSTO DE DOS MIL VEINTICINCO, ANTE EL SECRETARIO TÉCNICO DEL PLENO, ALEXIS TAPIA RAMÍREZ.</w:t>
      </w:r>
    </w:p>
    <w:p w14:paraId="13698A8B" w14:textId="77777777" w:rsidR="00FC2B2A" w:rsidRDefault="00FC2B2A">
      <w:pPr>
        <w:spacing w:after="0" w:line="360" w:lineRule="auto"/>
      </w:pPr>
    </w:p>
    <w:p w14:paraId="52F4A8EC" w14:textId="77777777" w:rsidR="00FC2B2A" w:rsidRDefault="00FC2B2A">
      <w:pPr>
        <w:spacing w:after="0" w:line="360" w:lineRule="auto"/>
      </w:pPr>
    </w:p>
    <w:p w14:paraId="0F0148F1" w14:textId="77777777" w:rsidR="00FC2B2A" w:rsidRDefault="00FC2B2A">
      <w:pPr>
        <w:spacing w:after="0" w:line="360" w:lineRule="auto"/>
      </w:pPr>
    </w:p>
    <w:p w14:paraId="3F580BE9" w14:textId="77777777" w:rsidR="00FC2B2A" w:rsidRDefault="00FC2B2A">
      <w:pPr>
        <w:spacing w:after="0" w:line="360" w:lineRule="auto"/>
      </w:pPr>
    </w:p>
    <w:p w14:paraId="2FCDB2A0" w14:textId="77777777" w:rsidR="00FC2B2A" w:rsidRDefault="00FC2B2A">
      <w:pPr>
        <w:spacing w:after="0" w:line="360" w:lineRule="auto"/>
      </w:pPr>
    </w:p>
    <w:p w14:paraId="014A7AD2" w14:textId="77777777" w:rsidR="00FC2B2A" w:rsidRDefault="00FC2B2A">
      <w:pPr>
        <w:spacing w:after="0" w:line="360" w:lineRule="auto"/>
      </w:pPr>
    </w:p>
    <w:p w14:paraId="215683D6" w14:textId="77777777" w:rsidR="00FC2B2A" w:rsidRDefault="00FC2B2A">
      <w:pPr>
        <w:spacing w:after="0" w:line="360" w:lineRule="auto"/>
      </w:pPr>
    </w:p>
    <w:p w14:paraId="0F0C6F67" w14:textId="77777777" w:rsidR="00FC2B2A" w:rsidRDefault="00FC2B2A">
      <w:pPr>
        <w:spacing w:after="0" w:line="360" w:lineRule="auto"/>
      </w:pPr>
    </w:p>
    <w:p w14:paraId="6B1A8C68" w14:textId="77777777" w:rsidR="00FC2B2A" w:rsidRDefault="00FC2B2A">
      <w:pPr>
        <w:spacing w:after="0" w:line="360" w:lineRule="auto"/>
      </w:pPr>
    </w:p>
    <w:p w14:paraId="74896CFF" w14:textId="77777777" w:rsidR="00FC2B2A" w:rsidRDefault="00FC2B2A">
      <w:pPr>
        <w:spacing w:after="0" w:line="360" w:lineRule="auto"/>
      </w:pPr>
    </w:p>
    <w:p w14:paraId="57277AEE" w14:textId="77777777" w:rsidR="00FC2B2A" w:rsidRDefault="00FC2B2A">
      <w:pPr>
        <w:spacing w:after="0" w:line="360" w:lineRule="auto"/>
      </w:pPr>
    </w:p>
    <w:p w14:paraId="20A3E5E3" w14:textId="77777777" w:rsidR="00FC2B2A" w:rsidRDefault="00FC2B2A">
      <w:pPr>
        <w:spacing w:after="0" w:line="360" w:lineRule="auto"/>
      </w:pPr>
    </w:p>
    <w:p w14:paraId="4AB6FEBF" w14:textId="77777777" w:rsidR="00FC2B2A" w:rsidRDefault="00FC2B2A">
      <w:pPr>
        <w:spacing w:after="0" w:line="360" w:lineRule="auto"/>
      </w:pPr>
    </w:p>
    <w:p w14:paraId="6957B196" w14:textId="77777777" w:rsidR="00FC2B2A" w:rsidRDefault="00FC2B2A">
      <w:pPr>
        <w:spacing w:after="0" w:line="360" w:lineRule="auto"/>
      </w:pPr>
    </w:p>
    <w:p w14:paraId="6444BD47" w14:textId="77777777" w:rsidR="00FC2B2A" w:rsidRDefault="00FC2B2A">
      <w:pPr>
        <w:spacing w:after="0" w:line="360" w:lineRule="auto"/>
      </w:pPr>
    </w:p>
    <w:p w14:paraId="3C1E3B50" w14:textId="77777777" w:rsidR="00FC2B2A" w:rsidRDefault="00FC2B2A">
      <w:pPr>
        <w:spacing w:after="0" w:line="360" w:lineRule="auto"/>
      </w:pPr>
    </w:p>
    <w:p w14:paraId="6ED642D4" w14:textId="77777777" w:rsidR="00FC2B2A" w:rsidRDefault="00FC2B2A">
      <w:pPr>
        <w:spacing w:after="0" w:line="360" w:lineRule="auto"/>
      </w:pPr>
    </w:p>
    <w:p w14:paraId="2CCEA5E5" w14:textId="77777777" w:rsidR="00FC2B2A" w:rsidRDefault="00FC2B2A">
      <w:pPr>
        <w:spacing w:after="0" w:line="360" w:lineRule="auto"/>
      </w:pPr>
    </w:p>
    <w:p w14:paraId="0EBF04CE" w14:textId="77777777" w:rsidR="00FC2B2A" w:rsidRDefault="00FC2B2A">
      <w:pPr>
        <w:spacing w:after="0" w:line="360" w:lineRule="auto"/>
      </w:pPr>
    </w:p>
    <w:p w14:paraId="512818AB" w14:textId="77777777" w:rsidR="00FC2B2A" w:rsidRDefault="00FC2B2A">
      <w:pPr>
        <w:spacing w:after="0" w:line="360" w:lineRule="auto"/>
      </w:pPr>
    </w:p>
    <w:p w14:paraId="0A473D0E" w14:textId="77777777" w:rsidR="00FC2B2A" w:rsidRDefault="00FC2B2A">
      <w:pPr>
        <w:spacing w:after="0" w:line="360" w:lineRule="auto"/>
      </w:pPr>
    </w:p>
    <w:p w14:paraId="69FDE8E6" w14:textId="77777777" w:rsidR="00FC2B2A" w:rsidRDefault="00FC2B2A">
      <w:pPr>
        <w:spacing w:after="0" w:line="360" w:lineRule="auto"/>
      </w:pPr>
    </w:p>
    <w:p w14:paraId="4CDC9CD7" w14:textId="77777777" w:rsidR="00FC2B2A" w:rsidRDefault="00FC2B2A">
      <w:pPr>
        <w:spacing w:after="0" w:line="360" w:lineRule="auto"/>
      </w:pPr>
    </w:p>
    <w:p w14:paraId="4679C36A" w14:textId="77777777" w:rsidR="00FC2B2A" w:rsidRDefault="00FC2B2A">
      <w:pPr>
        <w:spacing w:after="0" w:line="360" w:lineRule="auto"/>
      </w:pPr>
    </w:p>
    <w:p w14:paraId="484A9525" w14:textId="77777777" w:rsidR="00FC2B2A" w:rsidRDefault="00FC2B2A">
      <w:pPr>
        <w:pStyle w:val="Ttulo2"/>
        <w:spacing w:before="0" w:after="0"/>
      </w:pPr>
    </w:p>
    <w:sectPr w:rsidR="00FC2B2A">
      <w:headerReference w:type="even" r:id="rId8"/>
      <w:headerReference w:type="default" r:id="rId9"/>
      <w:footerReference w:type="even" r:id="rId10"/>
      <w:footerReference w:type="default" r:id="rId11"/>
      <w:headerReference w:type="first" r:id="rId12"/>
      <w:footerReference w:type="first" r:id="rId13"/>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AAEBE" w14:textId="77777777" w:rsidR="00F6608B" w:rsidRDefault="00F6608B">
      <w:pPr>
        <w:spacing w:after="0" w:line="240" w:lineRule="auto"/>
      </w:pPr>
      <w:r>
        <w:separator/>
      </w:r>
    </w:p>
  </w:endnote>
  <w:endnote w:type="continuationSeparator" w:id="0">
    <w:p w14:paraId="067B0739" w14:textId="77777777" w:rsidR="00F6608B" w:rsidRDefault="00F66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D8CA6922-B515-46A5-9D3B-B562C2E288B1}"/>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4C3E09A1-AC68-40BC-9317-904172566F7D}"/>
    <w:embedBold r:id="rId3" w:fontKey="{B88C5F2F-2CB0-43BB-9736-AB3624F9735A}"/>
    <w:embedItalic r:id="rId4" w:fontKey="{44168155-5987-4CC8-8260-55B2FA62DB90}"/>
    <w:embedBoldItalic r:id="rId5" w:fontKey="{5EE9209C-11D8-4BE5-97BD-913865752DB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D7415FD6-068A-4F74-9CC3-292006CC5B95}"/>
  </w:font>
  <w:font w:name="Georgia">
    <w:panose1 w:val="02040502050405020303"/>
    <w:charset w:val="00"/>
    <w:family w:val="roman"/>
    <w:pitch w:val="variable"/>
    <w:sig w:usb0="00000287" w:usb1="00000000" w:usb2="00000000" w:usb3="00000000" w:csb0="0000009F" w:csb1="00000000"/>
    <w:embedRegular r:id="rId7" w:fontKey="{FE03614C-E6E2-4C08-8161-3926E6DCEF99}"/>
    <w:embedItalic r:id="rId8" w:fontKey="{051A63D4-0BDD-4FF9-AE1A-271435811AEF}"/>
  </w:font>
  <w:font w:name="Calibri">
    <w:panose1 w:val="020F0502020204030204"/>
    <w:charset w:val="00"/>
    <w:family w:val="swiss"/>
    <w:pitch w:val="variable"/>
    <w:sig w:usb0="E4002EFF" w:usb1="C000247B" w:usb2="00000009" w:usb3="00000000" w:csb0="000001FF" w:csb1="00000000"/>
    <w:embedRegular r:id="rId9" w:fontKey="{D60988C9-D701-46B0-87B5-1855EC52668C}"/>
    <w:embedBold r:id="rId10" w:fontKey="{4788A3FB-C6AD-4F61-853A-BD3624BAAAE7}"/>
  </w:font>
  <w:font w:name="Tahoma">
    <w:panose1 w:val="020B0604030504040204"/>
    <w:charset w:val="00"/>
    <w:family w:val="swiss"/>
    <w:pitch w:val="variable"/>
    <w:sig w:usb0="E1002EFF" w:usb1="C000605B" w:usb2="00000029" w:usb3="00000000" w:csb0="000101FF" w:csb1="00000000"/>
    <w:embedRegular r:id="rId11" w:fontKey="{326EA91F-D892-430E-A4B8-0780337F4679}"/>
    <w:embedBold r:id="rId12" w:fontKey="{FC79C25F-158E-4AAE-AC5E-A8217FB5F90E}"/>
    <w:embedItalic r:id="rId13" w:fontKey="{843B1E34-843A-4745-97C1-1EE8F245623E}"/>
    <w:embedBoldItalic r:id="rId14" w:fontKey="{2F548168-C940-4802-AE93-4CA8C3F098E9}"/>
  </w:font>
  <w:font w:name="Garamond">
    <w:panose1 w:val="02020404030301010803"/>
    <w:charset w:val="00"/>
    <w:family w:val="roman"/>
    <w:pitch w:val="variable"/>
    <w:sig w:usb0="00000287" w:usb1="00000000" w:usb2="00000000" w:usb3="00000000" w:csb0="0000009F" w:csb1="00000000"/>
    <w:embedRegular r:id="rId15" w:fontKey="{6A8CC9C9-D8D9-45E3-BF1D-36007140FF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1E715" w14:textId="3D516594" w:rsidR="00FC2B2A" w:rsidRDefault="00BD6B6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173865">
      <w:rPr>
        <w:b/>
        <w:color w:val="000000"/>
        <w:sz w:val="24"/>
        <w:szCs w:val="24"/>
      </w:rPr>
      <w:fldChar w:fldCharType="separate"/>
    </w:r>
    <w:r w:rsidR="00173865">
      <w:rPr>
        <w:b/>
        <w:noProof/>
        <w:color w:val="000000"/>
        <w:sz w:val="24"/>
        <w:szCs w:val="24"/>
      </w:rPr>
      <w:t>22</w:t>
    </w:r>
    <w:r>
      <w:rPr>
        <w:b/>
        <w:color w:val="000000"/>
        <w:sz w:val="24"/>
        <w:szCs w:val="24"/>
      </w:rPr>
      <w:fldChar w:fldCharType="end"/>
    </w:r>
  </w:p>
  <w:p w14:paraId="4D9AFD47" w14:textId="77777777" w:rsidR="00FC2B2A" w:rsidRDefault="00FC2B2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DBDE" w14:textId="77777777" w:rsidR="00FC2B2A" w:rsidRDefault="00BD6B6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E7E63">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E7E63">
      <w:rPr>
        <w:b/>
        <w:noProof/>
        <w:color w:val="000000"/>
        <w:sz w:val="24"/>
        <w:szCs w:val="24"/>
      </w:rPr>
      <w:t>22</w:t>
    </w:r>
    <w:r>
      <w:rPr>
        <w:b/>
        <w:color w:val="000000"/>
        <w:sz w:val="24"/>
        <w:szCs w:val="24"/>
      </w:rPr>
      <w:fldChar w:fldCharType="end"/>
    </w:r>
  </w:p>
  <w:p w14:paraId="66317C1C" w14:textId="77777777" w:rsidR="00FC2B2A" w:rsidRDefault="00FC2B2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F6F" w14:textId="77777777" w:rsidR="00FC2B2A" w:rsidRDefault="00BD6B6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E7E6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E7E63">
      <w:rPr>
        <w:b/>
        <w:noProof/>
        <w:color w:val="000000"/>
        <w:sz w:val="24"/>
        <w:szCs w:val="24"/>
      </w:rPr>
      <w:t>22</w:t>
    </w:r>
    <w:r>
      <w:rPr>
        <w:b/>
        <w:color w:val="000000"/>
        <w:sz w:val="24"/>
        <w:szCs w:val="24"/>
      </w:rPr>
      <w:fldChar w:fldCharType="end"/>
    </w:r>
  </w:p>
  <w:p w14:paraId="54333C65" w14:textId="77777777" w:rsidR="00FC2B2A" w:rsidRDefault="00FC2B2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1071E" w14:textId="77777777" w:rsidR="00F6608B" w:rsidRDefault="00F6608B">
      <w:pPr>
        <w:spacing w:after="0" w:line="240" w:lineRule="auto"/>
      </w:pPr>
      <w:r>
        <w:separator/>
      </w:r>
    </w:p>
  </w:footnote>
  <w:footnote w:type="continuationSeparator" w:id="0">
    <w:p w14:paraId="3CB337F9" w14:textId="77777777" w:rsidR="00F6608B" w:rsidRDefault="00F66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F3A69" w14:textId="77777777" w:rsidR="00FC2B2A" w:rsidRDefault="00FC2B2A">
    <w:pPr>
      <w:widowControl w:val="0"/>
      <w:pBdr>
        <w:top w:val="nil"/>
        <w:left w:val="nil"/>
        <w:bottom w:val="nil"/>
        <w:right w:val="nil"/>
        <w:between w:val="nil"/>
      </w:pBdr>
      <w:spacing w:after="0" w:line="276" w:lineRule="auto"/>
      <w:jc w:val="left"/>
      <w:rPr>
        <w:color w:val="000000"/>
      </w:rPr>
    </w:pPr>
  </w:p>
  <w:tbl>
    <w:tblPr>
      <w:tblStyle w:val="afffff9"/>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FC2B2A" w14:paraId="146FAE95" w14:textId="77777777">
      <w:trPr>
        <w:trHeight w:val="141"/>
      </w:trPr>
      <w:tc>
        <w:tcPr>
          <w:tcW w:w="2404" w:type="dxa"/>
        </w:tcPr>
        <w:p w14:paraId="0900AFA1" w14:textId="77777777" w:rsidR="00FC2B2A" w:rsidRDefault="00BD6B6A">
          <w:pPr>
            <w:tabs>
              <w:tab w:val="right" w:pos="8838"/>
            </w:tabs>
            <w:ind w:right="-105"/>
            <w:rPr>
              <w:b/>
            </w:rPr>
          </w:pPr>
          <w:r>
            <w:rPr>
              <w:b/>
            </w:rPr>
            <w:t>Recurso de Revisión:</w:t>
          </w:r>
        </w:p>
      </w:tc>
      <w:tc>
        <w:tcPr>
          <w:tcW w:w="3587" w:type="dxa"/>
        </w:tcPr>
        <w:p w14:paraId="7A5E7306" w14:textId="77777777" w:rsidR="00FC2B2A" w:rsidRDefault="00BD6B6A">
          <w:pPr>
            <w:tabs>
              <w:tab w:val="right" w:pos="8838"/>
            </w:tabs>
            <w:ind w:left="-28" w:right="683"/>
          </w:pPr>
          <w:r>
            <w:t>04196/INFOEM/IP/RR/2020</w:t>
          </w:r>
        </w:p>
      </w:tc>
    </w:tr>
    <w:tr w:rsidR="00FC2B2A" w14:paraId="1EA19BA7" w14:textId="77777777">
      <w:trPr>
        <w:trHeight w:val="276"/>
      </w:trPr>
      <w:tc>
        <w:tcPr>
          <w:tcW w:w="2404" w:type="dxa"/>
        </w:tcPr>
        <w:p w14:paraId="1B895848" w14:textId="77777777" w:rsidR="00FC2B2A" w:rsidRDefault="00BD6B6A">
          <w:pPr>
            <w:tabs>
              <w:tab w:val="right" w:pos="8838"/>
            </w:tabs>
            <w:ind w:right="-105"/>
            <w:rPr>
              <w:b/>
            </w:rPr>
          </w:pPr>
          <w:r>
            <w:rPr>
              <w:b/>
            </w:rPr>
            <w:t>Sujeto Obligado:</w:t>
          </w:r>
        </w:p>
      </w:tc>
      <w:tc>
        <w:tcPr>
          <w:tcW w:w="3587" w:type="dxa"/>
        </w:tcPr>
        <w:p w14:paraId="7F0C86F0" w14:textId="77777777" w:rsidR="00FC2B2A" w:rsidRDefault="00BD6B6A">
          <w:pPr>
            <w:tabs>
              <w:tab w:val="right" w:pos="8838"/>
            </w:tabs>
            <w:ind w:right="116"/>
          </w:pPr>
          <w:r>
            <w:t>Ayuntamiento de Chapultepec</w:t>
          </w:r>
        </w:p>
      </w:tc>
    </w:tr>
    <w:tr w:rsidR="00FC2B2A" w14:paraId="7B7D4615" w14:textId="77777777">
      <w:trPr>
        <w:trHeight w:val="276"/>
      </w:trPr>
      <w:tc>
        <w:tcPr>
          <w:tcW w:w="2404" w:type="dxa"/>
        </w:tcPr>
        <w:p w14:paraId="38DD0FE3" w14:textId="77777777" w:rsidR="00FC2B2A" w:rsidRDefault="00BD6B6A">
          <w:pPr>
            <w:tabs>
              <w:tab w:val="right" w:pos="8838"/>
            </w:tabs>
            <w:ind w:right="-105"/>
            <w:rPr>
              <w:b/>
            </w:rPr>
          </w:pPr>
          <w:r>
            <w:rPr>
              <w:b/>
            </w:rPr>
            <w:t>Comisionado Ponente:</w:t>
          </w:r>
        </w:p>
      </w:tc>
      <w:tc>
        <w:tcPr>
          <w:tcW w:w="3587" w:type="dxa"/>
        </w:tcPr>
        <w:p w14:paraId="13B7567A" w14:textId="77777777" w:rsidR="00FC2B2A" w:rsidRDefault="00BD6B6A">
          <w:pPr>
            <w:tabs>
              <w:tab w:val="right" w:pos="8838"/>
            </w:tabs>
            <w:ind w:right="-32"/>
          </w:pPr>
          <w:r>
            <w:t>Luis Gustavo Parra Noriega</w:t>
          </w:r>
        </w:p>
      </w:tc>
    </w:tr>
  </w:tbl>
  <w:p w14:paraId="0FF68393" w14:textId="77777777" w:rsidR="00FC2B2A"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0AD38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3DD94" w14:textId="77777777" w:rsidR="00FC2B2A" w:rsidRDefault="00FC2B2A">
    <w:pPr>
      <w:rPr>
        <w:sz w:val="16"/>
        <w:szCs w:val="16"/>
      </w:rPr>
    </w:pPr>
  </w:p>
  <w:tbl>
    <w:tblPr>
      <w:tblStyle w:val="afffffa"/>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FC2B2A" w14:paraId="54190904" w14:textId="77777777">
      <w:trPr>
        <w:trHeight w:val="141"/>
      </w:trPr>
      <w:tc>
        <w:tcPr>
          <w:tcW w:w="2409" w:type="dxa"/>
        </w:tcPr>
        <w:p w14:paraId="2EE85EB1" w14:textId="77777777" w:rsidR="00FC2B2A" w:rsidRDefault="00BD6B6A">
          <w:pPr>
            <w:tabs>
              <w:tab w:val="right" w:pos="8838"/>
            </w:tabs>
            <w:ind w:left="-395" w:right="-105" w:firstLine="395"/>
            <w:rPr>
              <w:b/>
            </w:rPr>
          </w:pPr>
          <w:r>
            <w:rPr>
              <w:b/>
            </w:rPr>
            <w:t>Recurso de Revisión:</w:t>
          </w:r>
        </w:p>
      </w:tc>
      <w:tc>
        <w:tcPr>
          <w:tcW w:w="3686" w:type="dxa"/>
        </w:tcPr>
        <w:p w14:paraId="238583AB" w14:textId="77777777" w:rsidR="00FC2B2A" w:rsidRDefault="00BD6B6A">
          <w:pPr>
            <w:tabs>
              <w:tab w:val="right" w:pos="8838"/>
            </w:tabs>
            <w:ind w:right="176"/>
            <w:rPr>
              <w:b/>
            </w:rPr>
          </w:pPr>
          <w:r>
            <w:rPr>
              <w:b/>
            </w:rPr>
            <w:t>05006/INFOEM/IP/RR/2025</w:t>
          </w:r>
        </w:p>
      </w:tc>
    </w:tr>
    <w:tr w:rsidR="00FC2B2A" w14:paraId="35138AEA" w14:textId="77777777">
      <w:trPr>
        <w:trHeight w:val="276"/>
      </w:trPr>
      <w:tc>
        <w:tcPr>
          <w:tcW w:w="2409" w:type="dxa"/>
        </w:tcPr>
        <w:p w14:paraId="5F7BCCBF" w14:textId="77777777" w:rsidR="00FC2B2A" w:rsidRDefault="00BD6B6A">
          <w:pPr>
            <w:tabs>
              <w:tab w:val="right" w:pos="8838"/>
            </w:tabs>
            <w:ind w:right="-105"/>
            <w:rPr>
              <w:b/>
            </w:rPr>
          </w:pPr>
          <w:r>
            <w:rPr>
              <w:b/>
            </w:rPr>
            <w:t>Sujeto Obligado:</w:t>
          </w:r>
        </w:p>
      </w:tc>
      <w:tc>
        <w:tcPr>
          <w:tcW w:w="3686" w:type="dxa"/>
        </w:tcPr>
        <w:p w14:paraId="2B6AA39D" w14:textId="77777777" w:rsidR="00FC2B2A" w:rsidRDefault="00BD6B6A">
          <w:pPr>
            <w:tabs>
              <w:tab w:val="left" w:pos="3158"/>
              <w:tab w:val="left" w:pos="4292"/>
              <w:tab w:val="right" w:pos="8838"/>
            </w:tabs>
            <w:ind w:right="176"/>
          </w:pPr>
          <w:r>
            <w:t>Ayuntamiento de Toluca</w:t>
          </w:r>
        </w:p>
      </w:tc>
    </w:tr>
    <w:tr w:rsidR="00FC2B2A" w14:paraId="48BCE1BD" w14:textId="77777777">
      <w:trPr>
        <w:trHeight w:val="276"/>
      </w:trPr>
      <w:tc>
        <w:tcPr>
          <w:tcW w:w="2409" w:type="dxa"/>
        </w:tcPr>
        <w:p w14:paraId="49C4F46C" w14:textId="77777777" w:rsidR="00FC2B2A" w:rsidRDefault="00BD6B6A">
          <w:pPr>
            <w:tabs>
              <w:tab w:val="right" w:pos="8838"/>
            </w:tabs>
            <w:ind w:right="-105"/>
            <w:rPr>
              <w:b/>
            </w:rPr>
          </w:pPr>
          <w:r>
            <w:rPr>
              <w:b/>
            </w:rPr>
            <w:t>Comisionado Ponente:</w:t>
          </w:r>
        </w:p>
      </w:tc>
      <w:tc>
        <w:tcPr>
          <w:tcW w:w="3686" w:type="dxa"/>
        </w:tcPr>
        <w:p w14:paraId="23E19CAB" w14:textId="77777777" w:rsidR="00FC2B2A" w:rsidRDefault="00BD6B6A">
          <w:pPr>
            <w:tabs>
              <w:tab w:val="right" w:pos="8838"/>
            </w:tabs>
            <w:ind w:right="176"/>
          </w:pPr>
          <w:r>
            <w:t>Luis Gustavo Parra Noriega</w:t>
          </w:r>
        </w:p>
        <w:p w14:paraId="2143FFE6" w14:textId="77777777" w:rsidR="00FC2B2A" w:rsidRDefault="00FC2B2A">
          <w:pPr>
            <w:tabs>
              <w:tab w:val="right" w:pos="8838"/>
            </w:tabs>
            <w:ind w:right="176"/>
          </w:pPr>
        </w:p>
      </w:tc>
    </w:tr>
  </w:tbl>
  <w:p w14:paraId="112CD892" w14:textId="77777777" w:rsidR="00FC2B2A"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70488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B7712" w14:textId="77777777" w:rsidR="00FC2B2A" w:rsidRDefault="00000000">
    <w:pPr>
      <w:widowControl w:val="0"/>
      <w:pBdr>
        <w:top w:val="nil"/>
        <w:left w:val="nil"/>
        <w:bottom w:val="nil"/>
        <w:right w:val="nil"/>
        <w:between w:val="nil"/>
      </w:pBdr>
      <w:spacing w:after="0" w:line="276" w:lineRule="auto"/>
      <w:jc w:val="left"/>
      <w:rPr>
        <w:color w:val="000000"/>
      </w:rPr>
    </w:pPr>
    <w:r>
      <w:rPr>
        <w:color w:val="000000"/>
      </w:rPr>
      <w:pict w14:anchorId="2A00A2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b"/>
      <w:tblW w:w="9214" w:type="dxa"/>
      <w:tblInd w:w="0" w:type="dxa"/>
      <w:tblLayout w:type="fixed"/>
      <w:tblLook w:val="0400" w:firstRow="0" w:lastRow="0" w:firstColumn="0" w:lastColumn="0" w:noHBand="0" w:noVBand="1"/>
    </w:tblPr>
    <w:tblGrid>
      <w:gridCol w:w="2127"/>
      <w:gridCol w:w="7087"/>
    </w:tblGrid>
    <w:tr w:rsidR="00FC2B2A" w14:paraId="20D7B17B" w14:textId="77777777">
      <w:trPr>
        <w:trHeight w:val="1546"/>
      </w:trPr>
      <w:tc>
        <w:tcPr>
          <w:tcW w:w="2127" w:type="dxa"/>
        </w:tcPr>
        <w:p w14:paraId="0143D16C" w14:textId="77777777" w:rsidR="00FC2B2A" w:rsidRDefault="00FC2B2A">
          <w:pPr>
            <w:tabs>
              <w:tab w:val="right" w:pos="4273"/>
            </w:tabs>
            <w:rPr>
              <w:rFonts w:ascii="Garamond" w:eastAsia="Garamond" w:hAnsi="Garamond" w:cs="Garamond"/>
              <w:sz w:val="16"/>
              <w:szCs w:val="16"/>
            </w:rPr>
          </w:pPr>
        </w:p>
      </w:tc>
      <w:tc>
        <w:tcPr>
          <w:tcW w:w="7087" w:type="dxa"/>
        </w:tcPr>
        <w:p w14:paraId="21C5D495" w14:textId="77777777" w:rsidR="00FC2B2A" w:rsidRDefault="00FC2B2A">
          <w:pPr>
            <w:rPr>
              <w:sz w:val="10"/>
              <w:szCs w:val="10"/>
            </w:rPr>
          </w:pPr>
        </w:p>
        <w:tbl>
          <w:tblPr>
            <w:tblStyle w:val="afffffc"/>
            <w:tblW w:w="5812" w:type="dxa"/>
            <w:tblInd w:w="1167" w:type="dxa"/>
            <w:tblLayout w:type="fixed"/>
            <w:tblLook w:val="0400" w:firstRow="0" w:lastRow="0" w:firstColumn="0" w:lastColumn="0" w:noHBand="0" w:noVBand="1"/>
          </w:tblPr>
          <w:tblGrid>
            <w:gridCol w:w="2410"/>
            <w:gridCol w:w="3402"/>
          </w:tblGrid>
          <w:tr w:rsidR="00FC2B2A" w14:paraId="7932D98C" w14:textId="77777777">
            <w:trPr>
              <w:trHeight w:val="427"/>
            </w:trPr>
            <w:tc>
              <w:tcPr>
                <w:tcW w:w="2410" w:type="dxa"/>
                <w:vAlign w:val="bottom"/>
              </w:tcPr>
              <w:p w14:paraId="3D792262" w14:textId="77777777" w:rsidR="00FC2B2A" w:rsidRDefault="00BD6B6A">
                <w:pPr>
                  <w:tabs>
                    <w:tab w:val="right" w:pos="8838"/>
                  </w:tabs>
                  <w:ind w:right="-105"/>
                  <w:rPr>
                    <w:b/>
                  </w:rPr>
                </w:pPr>
                <w:r>
                  <w:rPr>
                    <w:b/>
                  </w:rPr>
                  <w:t>Recurso de Revisión:</w:t>
                </w:r>
              </w:p>
            </w:tc>
            <w:tc>
              <w:tcPr>
                <w:tcW w:w="3402" w:type="dxa"/>
              </w:tcPr>
              <w:p w14:paraId="6B28EF2A" w14:textId="77777777" w:rsidR="00FC2B2A" w:rsidRDefault="00FC2B2A">
                <w:pPr>
                  <w:tabs>
                    <w:tab w:val="right" w:pos="8838"/>
                  </w:tabs>
                  <w:ind w:left="-28" w:right="-107"/>
                  <w:rPr>
                    <w:b/>
                  </w:rPr>
                </w:pPr>
              </w:p>
              <w:p w14:paraId="1C6C1373" w14:textId="77777777" w:rsidR="00FC2B2A" w:rsidRDefault="00BD6B6A">
                <w:pPr>
                  <w:tabs>
                    <w:tab w:val="right" w:pos="8838"/>
                  </w:tabs>
                  <w:ind w:left="-28" w:right="-107"/>
                  <w:rPr>
                    <w:b/>
                  </w:rPr>
                </w:pPr>
                <w:r>
                  <w:rPr>
                    <w:b/>
                  </w:rPr>
                  <w:t>05006/INFOEM/IP/RR/2025</w:t>
                </w:r>
              </w:p>
            </w:tc>
          </w:tr>
          <w:tr w:rsidR="00FC2B2A" w14:paraId="2044BB89" w14:textId="77777777">
            <w:trPr>
              <w:trHeight w:val="141"/>
            </w:trPr>
            <w:tc>
              <w:tcPr>
                <w:tcW w:w="2410" w:type="dxa"/>
              </w:tcPr>
              <w:p w14:paraId="2ED0C799" w14:textId="77777777" w:rsidR="00FC2B2A" w:rsidRDefault="00BD6B6A">
                <w:pPr>
                  <w:tabs>
                    <w:tab w:val="right" w:pos="8838"/>
                  </w:tabs>
                  <w:ind w:right="-105"/>
                  <w:rPr>
                    <w:b/>
                  </w:rPr>
                </w:pPr>
                <w:r>
                  <w:rPr>
                    <w:b/>
                  </w:rPr>
                  <w:t>Recurrente:</w:t>
                </w:r>
              </w:p>
            </w:tc>
            <w:tc>
              <w:tcPr>
                <w:tcW w:w="3402" w:type="dxa"/>
              </w:tcPr>
              <w:p w14:paraId="1A85F640" w14:textId="77777777" w:rsidR="00FC2B2A" w:rsidRDefault="00FC2B2A">
                <w:pPr>
                  <w:tabs>
                    <w:tab w:val="right" w:pos="8838"/>
                  </w:tabs>
                  <w:ind w:right="-107"/>
                </w:pPr>
              </w:p>
            </w:tc>
          </w:tr>
          <w:tr w:rsidR="00FC2B2A" w14:paraId="20767A21" w14:textId="77777777">
            <w:trPr>
              <w:trHeight w:val="276"/>
            </w:trPr>
            <w:tc>
              <w:tcPr>
                <w:tcW w:w="2410" w:type="dxa"/>
              </w:tcPr>
              <w:p w14:paraId="07DB38C9" w14:textId="77777777" w:rsidR="00FC2B2A" w:rsidRDefault="00BD6B6A">
                <w:pPr>
                  <w:tabs>
                    <w:tab w:val="right" w:pos="8838"/>
                  </w:tabs>
                  <w:ind w:right="-105"/>
                  <w:rPr>
                    <w:b/>
                  </w:rPr>
                </w:pPr>
                <w:r>
                  <w:rPr>
                    <w:b/>
                  </w:rPr>
                  <w:t>Sujeto Obligado:</w:t>
                </w:r>
              </w:p>
            </w:tc>
            <w:tc>
              <w:tcPr>
                <w:tcW w:w="3402" w:type="dxa"/>
              </w:tcPr>
              <w:p w14:paraId="001E2B79" w14:textId="77777777" w:rsidR="00FC2B2A" w:rsidRDefault="00BD6B6A">
                <w:pPr>
                  <w:tabs>
                    <w:tab w:val="right" w:pos="8838"/>
                  </w:tabs>
                  <w:ind w:right="33"/>
                </w:pPr>
                <w:r>
                  <w:t>Ayuntamiento de Toluca</w:t>
                </w:r>
              </w:p>
            </w:tc>
          </w:tr>
          <w:tr w:rsidR="00FC2B2A" w14:paraId="2BC0F06D" w14:textId="77777777">
            <w:trPr>
              <w:trHeight w:val="276"/>
            </w:trPr>
            <w:tc>
              <w:tcPr>
                <w:tcW w:w="2410" w:type="dxa"/>
              </w:tcPr>
              <w:p w14:paraId="7C380E2A" w14:textId="77777777" w:rsidR="00FC2B2A" w:rsidRDefault="00BD6B6A">
                <w:pPr>
                  <w:tabs>
                    <w:tab w:val="right" w:pos="8838"/>
                  </w:tabs>
                  <w:ind w:right="-105"/>
                  <w:rPr>
                    <w:b/>
                  </w:rPr>
                </w:pPr>
                <w:r>
                  <w:rPr>
                    <w:b/>
                  </w:rPr>
                  <w:t>Comisionado Ponente:</w:t>
                </w:r>
              </w:p>
            </w:tc>
            <w:tc>
              <w:tcPr>
                <w:tcW w:w="3402" w:type="dxa"/>
              </w:tcPr>
              <w:p w14:paraId="0D84691B" w14:textId="77777777" w:rsidR="00FC2B2A" w:rsidRDefault="00BD6B6A">
                <w:pPr>
                  <w:tabs>
                    <w:tab w:val="right" w:pos="8838"/>
                  </w:tabs>
                  <w:ind w:right="-107"/>
                </w:pPr>
                <w:r>
                  <w:t>Luis Gustavo Parra Noriega</w:t>
                </w:r>
              </w:p>
            </w:tc>
          </w:tr>
        </w:tbl>
        <w:p w14:paraId="23D4413E" w14:textId="77777777" w:rsidR="00FC2B2A" w:rsidRDefault="00FC2B2A">
          <w:pPr>
            <w:tabs>
              <w:tab w:val="right" w:pos="8838"/>
            </w:tabs>
            <w:ind w:left="-28"/>
            <w:rPr>
              <w:rFonts w:ascii="Arial" w:eastAsia="Arial" w:hAnsi="Arial" w:cs="Arial"/>
              <w:b/>
            </w:rPr>
          </w:pPr>
        </w:p>
      </w:tc>
    </w:tr>
  </w:tbl>
  <w:p w14:paraId="0DC079E1" w14:textId="77777777" w:rsidR="00FC2B2A" w:rsidRDefault="00FC2B2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5AED"/>
    <w:multiLevelType w:val="multilevel"/>
    <w:tmpl w:val="14823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077320"/>
    <w:multiLevelType w:val="multilevel"/>
    <w:tmpl w:val="C28E58DA"/>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3F4D84"/>
    <w:multiLevelType w:val="multilevel"/>
    <w:tmpl w:val="E89E9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2F5336"/>
    <w:multiLevelType w:val="multilevel"/>
    <w:tmpl w:val="ED1041AA"/>
    <w:lvl w:ilvl="0">
      <w:start w:val="2"/>
      <w:numFmt w:val="bullet"/>
      <w:lvlText w:val="-"/>
      <w:lvlJc w:val="left"/>
      <w:pPr>
        <w:ind w:left="1080" w:hanging="360"/>
      </w:pPr>
      <w:rPr>
        <w:rFonts w:ascii="Palatino Linotype" w:eastAsia="Palatino Linotype" w:hAnsi="Palatino Linotype" w:cs="Palatino Linotype"/>
        <w:b w:val="0"/>
        <w:i w:val="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683573E"/>
    <w:multiLevelType w:val="multilevel"/>
    <w:tmpl w:val="48B6DEEC"/>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DC5085"/>
    <w:multiLevelType w:val="multilevel"/>
    <w:tmpl w:val="65642D78"/>
    <w:lvl w:ilvl="0">
      <w:start w:val="1"/>
      <w:numFmt w:val="upperRoman"/>
      <w:lvlText w:val="%1."/>
      <w:lvlJc w:val="righ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DE458B"/>
    <w:multiLevelType w:val="multilevel"/>
    <w:tmpl w:val="7232503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C000BC"/>
    <w:multiLevelType w:val="multilevel"/>
    <w:tmpl w:val="AFF249D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52E5E55"/>
    <w:multiLevelType w:val="multilevel"/>
    <w:tmpl w:val="383E02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1AE5F3F"/>
    <w:multiLevelType w:val="multilevel"/>
    <w:tmpl w:val="5C5A4BF8"/>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47291395">
    <w:abstractNumId w:val="0"/>
  </w:num>
  <w:num w:numId="2" w16cid:durableId="55400790">
    <w:abstractNumId w:val="3"/>
  </w:num>
  <w:num w:numId="3" w16cid:durableId="1305544668">
    <w:abstractNumId w:val="2"/>
  </w:num>
  <w:num w:numId="4" w16cid:durableId="1815296104">
    <w:abstractNumId w:val="7"/>
  </w:num>
  <w:num w:numId="5" w16cid:durableId="751195692">
    <w:abstractNumId w:val="5"/>
  </w:num>
  <w:num w:numId="6" w16cid:durableId="2008363687">
    <w:abstractNumId w:val="6"/>
  </w:num>
  <w:num w:numId="7" w16cid:durableId="119999779">
    <w:abstractNumId w:val="1"/>
  </w:num>
  <w:num w:numId="8" w16cid:durableId="1520194988">
    <w:abstractNumId w:val="4"/>
  </w:num>
  <w:num w:numId="9" w16cid:durableId="1658991740">
    <w:abstractNumId w:val="8"/>
  </w:num>
  <w:num w:numId="10" w16cid:durableId="19109676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B2A"/>
    <w:rsid w:val="00060EC1"/>
    <w:rsid w:val="000C1789"/>
    <w:rsid w:val="00173865"/>
    <w:rsid w:val="001B1B2B"/>
    <w:rsid w:val="003140C2"/>
    <w:rsid w:val="00402B07"/>
    <w:rsid w:val="00421B3E"/>
    <w:rsid w:val="00456A47"/>
    <w:rsid w:val="00591154"/>
    <w:rsid w:val="006D12F3"/>
    <w:rsid w:val="00716C6A"/>
    <w:rsid w:val="008D2281"/>
    <w:rsid w:val="008E7E63"/>
    <w:rsid w:val="00BD6B6A"/>
    <w:rsid w:val="00C17E86"/>
    <w:rsid w:val="00E013AF"/>
    <w:rsid w:val="00EC3C25"/>
    <w:rsid w:val="00EE4281"/>
    <w:rsid w:val="00F6608B"/>
    <w:rsid w:val="00FC2B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14545"/>
  <w15:docId w15:val="{7A0F8119-E8C2-43A6-AE00-BC51FA6A6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0"/>
    <w:pPr>
      <w:spacing w:after="0" w:line="240" w:lineRule="auto"/>
    </w:pPr>
    <w:tblPr>
      <w:tblStyleRowBandSize w:val="1"/>
      <w:tblStyleColBandSize w:val="1"/>
      <w:tblCellMar>
        <w:left w:w="108" w:type="dxa"/>
        <w:right w:w="108" w:type="dxa"/>
      </w:tblCellMar>
    </w:tblPr>
  </w:style>
  <w:style w:type="table" w:customStyle="1" w:styleId="a0">
    <w:basedOn w:val="TableNormalf0"/>
    <w:pPr>
      <w:spacing w:after="0" w:line="240" w:lineRule="auto"/>
    </w:pPr>
    <w:tblPr>
      <w:tblStyleRowBandSize w:val="1"/>
      <w:tblStyleColBandSize w:val="1"/>
      <w:tblCellMar>
        <w:left w:w="108" w:type="dxa"/>
        <w:right w:w="108" w:type="dxa"/>
      </w:tblCellMar>
    </w:tblPr>
  </w:style>
  <w:style w:type="table" w:customStyle="1" w:styleId="a1">
    <w:basedOn w:val="TableNormalf0"/>
    <w:tblPr>
      <w:tblStyleRowBandSize w:val="1"/>
      <w:tblStyleColBandSize w:val="1"/>
      <w:tblCellMar>
        <w:left w:w="115" w:type="dxa"/>
        <w:right w:w="115" w:type="dxa"/>
      </w:tblCellMar>
    </w:tblPr>
  </w:style>
  <w:style w:type="table" w:customStyle="1" w:styleId="a2">
    <w:basedOn w:val="TableNormalf0"/>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0"/>
    <w:pPr>
      <w:spacing w:after="0" w:line="240" w:lineRule="auto"/>
    </w:pPr>
    <w:tblPr>
      <w:tblStyleRowBandSize w:val="1"/>
      <w:tblStyleColBandSize w:val="1"/>
      <w:tblCellMar>
        <w:left w:w="108" w:type="dxa"/>
        <w:right w:w="108" w:type="dxa"/>
      </w:tblCellMar>
    </w:tblPr>
  </w:style>
  <w:style w:type="table" w:customStyle="1" w:styleId="a4">
    <w:basedOn w:val="TableNormalf0"/>
    <w:pPr>
      <w:spacing w:after="0" w:line="240" w:lineRule="auto"/>
    </w:pPr>
    <w:tblPr>
      <w:tblStyleRowBandSize w:val="1"/>
      <w:tblStyleColBandSize w:val="1"/>
      <w:tblCellMar>
        <w:left w:w="108" w:type="dxa"/>
        <w:right w:w="108" w:type="dxa"/>
      </w:tblCellMar>
    </w:tblPr>
  </w:style>
  <w:style w:type="table" w:customStyle="1" w:styleId="a5">
    <w:basedOn w:val="TableNormalf0"/>
    <w:pPr>
      <w:spacing w:after="0" w:line="240" w:lineRule="auto"/>
    </w:pPr>
    <w:tblPr>
      <w:tblStyleRowBandSize w:val="1"/>
      <w:tblStyleColBandSize w:val="1"/>
      <w:tblCellMar>
        <w:left w:w="108" w:type="dxa"/>
        <w:right w:w="108" w:type="dxa"/>
      </w:tblCellMar>
    </w:tblPr>
  </w:style>
  <w:style w:type="table" w:customStyle="1" w:styleId="a6">
    <w:basedOn w:val="TableNormalf0"/>
    <w:pPr>
      <w:spacing w:after="0" w:line="240" w:lineRule="auto"/>
    </w:pPr>
    <w:tblPr>
      <w:tblStyleRowBandSize w:val="1"/>
      <w:tblStyleColBandSize w:val="1"/>
      <w:tblCellMar>
        <w:left w:w="108" w:type="dxa"/>
        <w:right w:w="108" w:type="dxa"/>
      </w:tblCellMar>
    </w:tblPr>
  </w:style>
  <w:style w:type="table" w:customStyle="1" w:styleId="a7">
    <w:basedOn w:val="TableNormalf"/>
    <w:pPr>
      <w:spacing w:after="0" w:line="240" w:lineRule="auto"/>
    </w:pPr>
    <w:tblPr>
      <w:tblStyleRowBandSize w:val="1"/>
      <w:tblStyleColBandSize w:val="1"/>
      <w:tblCellMar>
        <w:left w:w="108" w:type="dxa"/>
        <w:right w:w="108" w:type="dxa"/>
      </w:tblCellMar>
    </w:tblPr>
  </w:style>
  <w:style w:type="table" w:customStyle="1" w:styleId="a8">
    <w:basedOn w:val="TableNormalf"/>
    <w:pPr>
      <w:spacing w:after="0" w:line="240" w:lineRule="auto"/>
    </w:pPr>
    <w:tblPr>
      <w:tblStyleRowBandSize w:val="1"/>
      <w:tblStyleColBandSize w:val="1"/>
      <w:tblCellMar>
        <w:left w:w="108" w:type="dxa"/>
        <w:right w:w="108" w:type="dxa"/>
      </w:tblCellMar>
    </w:tblPr>
  </w:style>
  <w:style w:type="table" w:customStyle="1" w:styleId="a9">
    <w:basedOn w:val="TableNormalf"/>
    <w:pPr>
      <w:spacing w:after="0" w:line="240" w:lineRule="auto"/>
    </w:pPr>
    <w:tblPr>
      <w:tblStyleRowBandSize w:val="1"/>
      <w:tblStyleColBandSize w:val="1"/>
      <w:tblCellMar>
        <w:left w:w="108" w:type="dxa"/>
        <w:right w:w="108" w:type="dxa"/>
      </w:tblCellMar>
    </w:tblPr>
  </w:style>
  <w:style w:type="table" w:customStyle="1" w:styleId="aa">
    <w:basedOn w:val="TableNormalf"/>
    <w:pPr>
      <w:spacing w:after="0" w:line="240" w:lineRule="auto"/>
    </w:pPr>
    <w:tblPr>
      <w:tblStyleRowBandSize w:val="1"/>
      <w:tblStyleColBandSize w:val="1"/>
      <w:tblCellMar>
        <w:left w:w="108" w:type="dxa"/>
        <w:right w:w="108" w:type="dxa"/>
      </w:tblCellMar>
    </w:tblPr>
  </w:style>
  <w:style w:type="table" w:customStyle="1" w:styleId="ab">
    <w:basedOn w:val="TableNormale"/>
    <w:pPr>
      <w:spacing w:after="0" w:line="240" w:lineRule="auto"/>
    </w:pPr>
    <w:tblPr>
      <w:tblStyleRowBandSize w:val="1"/>
      <w:tblStyleColBandSize w:val="1"/>
      <w:tblCellMar>
        <w:left w:w="108" w:type="dxa"/>
        <w:right w:w="108" w:type="dxa"/>
      </w:tblCellMar>
    </w:tblPr>
  </w:style>
  <w:style w:type="table" w:customStyle="1" w:styleId="ac">
    <w:basedOn w:val="TableNormale"/>
    <w:pPr>
      <w:spacing w:after="0" w:line="240" w:lineRule="auto"/>
    </w:pPr>
    <w:tblPr>
      <w:tblStyleRowBandSize w:val="1"/>
      <w:tblStyleColBandSize w:val="1"/>
      <w:tblCellMar>
        <w:left w:w="108" w:type="dxa"/>
        <w:right w:w="108" w:type="dxa"/>
      </w:tblCellMar>
    </w:tblPr>
  </w:style>
  <w:style w:type="table" w:customStyle="1" w:styleId="ad">
    <w:basedOn w:val="TableNormale"/>
    <w:pPr>
      <w:spacing w:after="0" w:line="240" w:lineRule="auto"/>
    </w:pPr>
    <w:tblPr>
      <w:tblStyleRowBandSize w:val="1"/>
      <w:tblStyleColBandSize w:val="1"/>
      <w:tblCellMar>
        <w:left w:w="108" w:type="dxa"/>
        <w:right w:w="108" w:type="dxa"/>
      </w:tblCellMar>
    </w:tblPr>
  </w:style>
  <w:style w:type="table" w:customStyle="1" w:styleId="ae">
    <w:basedOn w:val="TableNormale"/>
    <w:pPr>
      <w:spacing w:after="0" w:line="240" w:lineRule="auto"/>
    </w:pPr>
    <w:tblPr>
      <w:tblStyleRowBandSize w:val="1"/>
      <w:tblStyleColBandSize w:val="1"/>
      <w:tblCellMar>
        <w:left w:w="108" w:type="dxa"/>
        <w:right w:w="108" w:type="dxa"/>
      </w:tblCellMar>
    </w:tblPr>
  </w:style>
  <w:style w:type="table" w:customStyle="1" w:styleId="af">
    <w:basedOn w:val="TableNormald"/>
    <w:pPr>
      <w:spacing w:after="0" w:line="240" w:lineRule="auto"/>
    </w:pPr>
    <w:tblPr>
      <w:tblStyleRowBandSize w:val="1"/>
      <w:tblStyleColBandSize w:val="1"/>
      <w:tblCellMar>
        <w:left w:w="108" w:type="dxa"/>
        <w:right w:w="108" w:type="dxa"/>
      </w:tblCellMar>
    </w:tblPr>
  </w:style>
  <w:style w:type="table" w:customStyle="1" w:styleId="af0">
    <w:basedOn w:val="TableNormald"/>
    <w:pPr>
      <w:spacing w:after="0" w:line="240" w:lineRule="auto"/>
    </w:pPr>
    <w:tblPr>
      <w:tblStyleRowBandSize w:val="1"/>
      <w:tblStyleColBandSize w:val="1"/>
      <w:tblCellMar>
        <w:left w:w="108" w:type="dxa"/>
        <w:right w:w="108" w:type="dxa"/>
      </w:tblCellMar>
    </w:tblPr>
  </w:style>
  <w:style w:type="table" w:customStyle="1" w:styleId="af1">
    <w:basedOn w:val="TableNormald"/>
    <w:pPr>
      <w:spacing w:after="0" w:line="240" w:lineRule="auto"/>
    </w:pPr>
    <w:tblPr>
      <w:tblStyleRowBandSize w:val="1"/>
      <w:tblStyleColBandSize w:val="1"/>
      <w:tblCellMar>
        <w:left w:w="108" w:type="dxa"/>
        <w:right w:w="108" w:type="dxa"/>
      </w:tblCellMar>
    </w:tblPr>
  </w:style>
  <w:style w:type="table" w:customStyle="1" w:styleId="af2">
    <w:basedOn w:val="TableNormald"/>
    <w:pPr>
      <w:spacing w:after="0" w:line="240" w:lineRule="auto"/>
    </w:pPr>
    <w:tblPr>
      <w:tblStyleRowBandSize w:val="1"/>
      <w:tblStyleColBandSize w:val="1"/>
      <w:tblCellMar>
        <w:left w:w="108" w:type="dxa"/>
        <w:right w:w="108" w:type="dxa"/>
      </w:tblCellMar>
    </w:tblPr>
  </w:style>
  <w:style w:type="table" w:customStyle="1" w:styleId="af3">
    <w:basedOn w:val="TableNormalc"/>
    <w:pPr>
      <w:spacing w:after="0" w:line="240" w:lineRule="auto"/>
    </w:pPr>
    <w:tblPr>
      <w:tblStyleRowBandSize w:val="1"/>
      <w:tblStyleColBandSize w:val="1"/>
      <w:tblCellMar>
        <w:left w:w="108" w:type="dxa"/>
        <w:right w:w="108" w:type="dxa"/>
      </w:tblCellMar>
    </w:tblPr>
  </w:style>
  <w:style w:type="table" w:customStyle="1" w:styleId="af4">
    <w:basedOn w:val="TableNormalc"/>
    <w:pPr>
      <w:spacing w:after="0" w:line="240" w:lineRule="auto"/>
    </w:pPr>
    <w:tblPr>
      <w:tblStyleRowBandSize w:val="1"/>
      <w:tblStyleColBandSize w:val="1"/>
      <w:tblCellMar>
        <w:left w:w="108" w:type="dxa"/>
        <w:right w:w="108" w:type="dxa"/>
      </w:tblCellMar>
    </w:tblPr>
  </w:style>
  <w:style w:type="table" w:customStyle="1" w:styleId="af5">
    <w:basedOn w:val="TableNormalc"/>
    <w:pPr>
      <w:spacing w:after="0" w:line="240" w:lineRule="auto"/>
    </w:pPr>
    <w:tblPr>
      <w:tblStyleRowBandSize w:val="1"/>
      <w:tblStyleColBandSize w:val="1"/>
      <w:tblCellMar>
        <w:left w:w="108" w:type="dxa"/>
        <w:right w:w="108" w:type="dxa"/>
      </w:tblCellMar>
    </w:tblPr>
  </w:style>
  <w:style w:type="table" w:customStyle="1" w:styleId="af6">
    <w:basedOn w:val="TableNormalc"/>
    <w:pPr>
      <w:spacing w:after="0" w:line="240" w:lineRule="auto"/>
    </w:pPr>
    <w:tblPr>
      <w:tblStyleRowBandSize w:val="1"/>
      <w:tblStyleColBandSize w:val="1"/>
      <w:tblCellMar>
        <w:left w:w="108" w:type="dxa"/>
        <w:right w:w="108" w:type="dxa"/>
      </w:tblCellMar>
    </w:tblPr>
  </w:style>
  <w:style w:type="table" w:customStyle="1" w:styleId="af7">
    <w:basedOn w:val="TableNormalb"/>
    <w:pPr>
      <w:spacing w:after="0" w:line="240" w:lineRule="auto"/>
    </w:pPr>
    <w:tblPr>
      <w:tblStyleRowBandSize w:val="1"/>
      <w:tblStyleColBandSize w:val="1"/>
      <w:tblCellMar>
        <w:left w:w="108" w:type="dxa"/>
        <w:right w:w="108" w:type="dxa"/>
      </w:tblCellMar>
    </w:tblPr>
  </w:style>
  <w:style w:type="table" w:customStyle="1" w:styleId="af8">
    <w:basedOn w:val="TableNormalb"/>
    <w:pPr>
      <w:spacing w:after="0" w:line="240" w:lineRule="auto"/>
    </w:pPr>
    <w:tblPr>
      <w:tblStyleRowBandSize w:val="1"/>
      <w:tblStyleColBandSize w:val="1"/>
      <w:tblCellMar>
        <w:left w:w="108" w:type="dxa"/>
        <w:right w:w="108" w:type="dxa"/>
      </w:tblCellMar>
    </w:tblPr>
  </w:style>
  <w:style w:type="table" w:customStyle="1" w:styleId="af9">
    <w:basedOn w:val="TableNormalb"/>
    <w:pPr>
      <w:spacing w:after="0" w:line="240" w:lineRule="auto"/>
    </w:pPr>
    <w:tblPr>
      <w:tblStyleRowBandSize w:val="1"/>
      <w:tblStyleColBandSize w:val="1"/>
      <w:tblCellMar>
        <w:left w:w="108" w:type="dxa"/>
        <w:right w:w="108" w:type="dxa"/>
      </w:tblCellMar>
    </w:tblPr>
  </w:style>
  <w:style w:type="table" w:customStyle="1" w:styleId="afa">
    <w:basedOn w:val="TableNormalb"/>
    <w:pPr>
      <w:spacing w:after="0" w:line="240" w:lineRule="auto"/>
    </w:pPr>
    <w:tblPr>
      <w:tblStyleRowBandSize w:val="1"/>
      <w:tblStyleColBandSize w:val="1"/>
      <w:tblCellMar>
        <w:left w:w="108" w:type="dxa"/>
        <w:right w:w="108" w:type="dxa"/>
      </w:tblCellMar>
    </w:tblPr>
  </w:style>
  <w:style w:type="table" w:customStyle="1" w:styleId="afb">
    <w:basedOn w:val="TableNormala"/>
    <w:pPr>
      <w:spacing w:after="0" w:line="240" w:lineRule="auto"/>
    </w:pPr>
    <w:tblPr>
      <w:tblStyleRowBandSize w:val="1"/>
      <w:tblStyleColBandSize w:val="1"/>
      <w:tblCellMar>
        <w:left w:w="108" w:type="dxa"/>
        <w:right w:w="108" w:type="dxa"/>
      </w:tblCellMar>
    </w:tblPr>
  </w:style>
  <w:style w:type="table" w:customStyle="1" w:styleId="afc">
    <w:basedOn w:val="TableNormala"/>
    <w:pPr>
      <w:spacing w:after="0" w:line="240" w:lineRule="auto"/>
    </w:pPr>
    <w:tblPr>
      <w:tblStyleRowBandSize w:val="1"/>
      <w:tblStyleColBandSize w:val="1"/>
      <w:tblCellMar>
        <w:left w:w="108" w:type="dxa"/>
        <w:right w:w="108" w:type="dxa"/>
      </w:tblCellMar>
    </w:tblPr>
  </w:style>
  <w:style w:type="table" w:customStyle="1" w:styleId="afd">
    <w:basedOn w:val="TableNormala"/>
    <w:pPr>
      <w:spacing w:after="0" w:line="240" w:lineRule="auto"/>
    </w:pPr>
    <w:tblPr>
      <w:tblStyleRowBandSize w:val="1"/>
      <w:tblStyleColBandSize w:val="1"/>
      <w:tblCellMar>
        <w:left w:w="108" w:type="dxa"/>
        <w:right w:w="108" w:type="dxa"/>
      </w:tblCellMar>
    </w:tblPr>
  </w:style>
  <w:style w:type="table" w:customStyle="1" w:styleId="afe">
    <w:basedOn w:val="TableNormala"/>
    <w:pPr>
      <w:spacing w:after="0" w:line="240" w:lineRule="auto"/>
    </w:pPr>
    <w:tblPr>
      <w:tblStyleRowBandSize w:val="1"/>
      <w:tblStyleColBandSize w:val="1"/>
      <w:tblCellMar>
        <w:left w:w="108" w:type="dxa"/>
        <w:right w:w="108" w:type="dxa"/>
      </w:tblCellMar>
    </w:tblPr>
  </w:style>
  <w:style w:type="table" w:customStyle="1" w:styleId="aff">
    <w:basedOn w:val="TableNormal9"/>
    <w:pPr>
      <w:spacing w:after="0" w:line="240" w:lineRule="auto"/>
    </w:pPr>
    <w:tblPr>
      <w:tblStyleRowBandSize w:val="1"/>
      <w:tblStyleColBandSize w:val="1"/>
      <w:tblCellMar>
        <w:left w:w="108" w:type="dxa"/>
        <w:right w:w="108" w:type="dxa"/>
      </w:tblCellMar>
    </w:tblPr>
  </w:style>
  <w:style w:type="table" w:customStyle="1" w:styleId="aff0">
    <w:basedOn w:val="TableNormal9"/>
    <w:pPr>
      <w:spacing w:after="0" w:line="240" w:lineRule="auto"/>
    </w:pPr>
    <w:tblPr>
      <w:tblStyleRowBandSize w:val="1"/>
      <w:tblStyleColBandSize w:val="1"/>
      <w:tblCellMar>
        <w:left w:w="108" w:type="dxa"/>
        <w:right w:w="108" w:type="dxa"/>
      </w:tblCellMar>
    </w:tblPr>
  </w:style>
  <w:style w:type="table" w:customStyle="1" w:styleId="aff1">
    <w:basedOn w:val="TableNormal9"/>
    <w:pPr>
      <w:spacing w:after="0" w:line="240" w:lineRule="auto"/>
    </w:pPr>
    <w:tblPr>
      <w:tblStyleRowBandSize w:val="1"/>
      <w:tblStyleColBandSize w:val="1"/>
      <w:tblCellMar>
        <w:left w:w="108" w:type="dxa"/>
        <w:right w:w="108" w:type="dxa"/>
      </w:tblCellMar>
    </w:tblPr>
  </w:style>
  <w:style w:type="table" w:customStyle="1" w:styleId="aff2">
    <w:basedOn w:val="TableNormal9"/>
    <w:pPr>
      <w:spacing w:after="0" w:line="240" w:lineRule="auto"/>
    </w:pPr>
    <w:tblPr>
      <w:tblStyleRowBandSize w:val="1"/>
      <w:tblStyleColBandSize w:val="1"/>
      <w:tblCellMar>
        <w:left w:w="108" w:type="dxa"/>
        <w:right w:w="108" w:type="dxa"/>
      </w:tblCellMar>
    </w:tblPr>
  </w:style>
  <w:style w:type="table" w:customStyle="1" w:styleId="aff3">
    <w:basedOn w:val="TableNormal8"/>
    <w:pPr>
      <w:spacing w:after="0" w:line="240" w:lineRule="auto"/>
    </w:pPr>
    <w:tblPr>
      <w:tblStyleRowBandSize w:val="1"/>
      <w:tblStyleColBandSize w:val="1"/>
      <w:tblCellMar>
        <w:left w:w="108" w:type="dxa"/>
        <w:right w:w="108" w:type="dxa"/>
      </w:tblCellMar>
    </w:tblPr>
  </w:style>
  <w:style w:type="table" w:customStyle="1" w:styleId="aff4">
    <w:basedOn w:val="TableNormal8"/>
    <w:pPr>
      <w:spacing w:after="0" w:line="240" w:lineRule="auto"/>
    </w:pPr>
    <w:tblPr>
      <w:tblStyleRowBandSize w:val="1"/>
      <w:tblStyleColBandSize w:val="1"/>
      <w:tblCellMar>
        <w:left w:w="108" w:type="dxa"/>
        <w:right w:w="108" w:type="dxa"/>
      </w:tblCellMar>
    </w:tblPr>
  </w:style>
  <w:style w:type="table" w:customStyle="1" w:styleId="aff5">
    <w:basedOn w:val="TableNormal8"/>
    <w:pPr>
      <w:spacing w:after="0" w:line="240" w:lineRule="auto"/>
    </w:pPr>
    <w:tblPr>
      <w:tblStyleRowBandSize w:val="1"/>
      <w:tblStyleColBandSize w:val="1"/>
      <w:tblCellMar>
        <w:left w:w="108" w:type="dxa"/>
        <w:right w:w="108" w:type="dxa"/>
      </w:tblCellMar>
    </w:tblPr>
  </w:style>
  <w:style w:type="table" w:customStyle="1" w:styleId="aff6">
    <w:basedOn w:val="TableNormal8"/>
    <w:pPr>
      <w:spacing w:after="0" w:line="240" w:lineRule="auto"/>
    </w:pPr>
    <w:tblPr>
      <w:tblStyleRowBandSize w:val="1"/>
      <w:tblStyleColBandSize w:val="1"/>
      <w:tblCellMar>
        <w:left w:w="108" w:type="dxa"/>
        <w:right w:w="108" w:type="dxa"/>
      </w:tblCellMar>
    </w:tblPr>
  </w:style>
  <w:style w:type="table" w:customStyle="1" w:styleId="aff7">
    <w:basedOn w:val="TableNormal7"/>
    <w:pPr>
      <w:spacing w:after="0" w:line="240" w:lineRule="auto"/>
    </w:pPr>
    <w:tblPr>
      <w:tblStyleRowBandSize w:val="1"/>
      <w:tblStyleColBandSize w:val="1"/>
      <w:tblCellMar>
        <w:left w:w="108" w:type="dxa"/>
        <w:right w:w="108" w:type="dxa"/>
      </w:tblCellMar>
    </w:tblPr>
  </w:style>
  <w:style w:type="table" w:customStyle="1" w:styleId="aff8">
    <w:basedOn w:val="TableNormal7"/>
    <w:pPr>
      <w:spacing w:after="0" w:line="240" w:lineRule="auto"/>
    </w:pPr>
    <w:tblPr>
      <w:tblStyleRowBandSize w:val="1"/>
      <w:tblStyleColBandSize w:val="1"/>
      <w:tblCellMar>
        <w:left w:w="108" w:type="dxa"/>
        <w:right w:w="108" w:type="dxa"/>
      </w:tblCellMar>
    </w:tblPr>
  </w:style>
  <w:style w:type="table" w:customStyle="1" w:styleId="aff9">
    <w:basedOn w:val="TableNormal7"/>
    <w:pPr>
      <w:spacing w:after="0" w:line="240" w:lineRule="auto"/>
    </w:pPr>
    <w:tblPr>
      <w:tblStyleRowBandSize w:val="1"/>
      <w:tblStyleColBandSize w:val="1"/>
      <w:tblCellMar>
        <w:left w:w="108" w:type="dxa"/>
        <w:right w:w="108" w:type="dxa"/>
      </w:tblCellMar>
    </w:tblPr>
  </w:style>
  <w:style w:type="table" w:customStyle="1" w:styleId="affa">
    <w:basedOn w:val="TableNormal7"/>
    <w:pPr>
      <w:spacing w:after="0" w:line="240" w:lineRule="auto"/>
    </w:pPr>
    <w:tblPr>
      <w:tblStyleRowBandSize w:val="1"/>
      <w:tblStyleColBandSize w:val="1"/>
      <w:tblCellMar>
        <w:left w:w="108" w:type="dxa"/>
        <w:right w:w="108" w:type="dxa"/>
      </w:tblCellMar>
    </w:tblPr>
  </w:style>
  <w:style w:type="table" w:customStyle="1" w:styleId="affb">
    <w:basedOn w:val="TableNormal7"/>
    <w:pPr>
      <w:spacing w:after="0" w:line="240" w:lineRule="auto"/>
    </w:pPr>
    <w:tblPr>
      <w:tblStyleRowBandSize w:val="1"/>
      <w:tblStyleColBandSize w:val="1"/>
      <w:tblCellMar>
        <w:left w:w="108" w:type="dxa"/>
        <w:right w:w="108" w:type="dxa"/>
      </w:tblCellMar>
    </w:tblPr>
  </w:style>
  <w:style w:type="table" w:customStyle="1" w:styleId="affc">
    <w:basedOn w:val="TableNormal7"/>
    <w:pPr>
      <w:spacing w:after="0" w:line="240" w:lineRule="auto"/>
    </w:pPr>
    <w:tblPr>
      <w:tblStyleRowBandSize w:val="1"/>
      <w:tblStyleColBandSize w:val="1"/>
      <w:tblCellMar>
        <w:left w:w="108" w:type="dxa"/>
        <w:right w:w="108" w:type="dxa"/>
      </w:tblCellMar>
    </w:tblPr>
  </w:style>
  <w:style w:type="table" w:customStyle="1" w:styleId="affd">
    <w:basedOn w:val="TableNormal7"/>
    <w:pPr>
      <w:spacing w:after="0" w:line="240" w:lineRule="auto"/>
    </w:pPr>
    <w:tblPr>
      <w:tblStyleRowBandSize w:val="1"/>
      <w:tblStyleColBandSize w:val="1"/>
      <w:tblCellMar>
        <w:left w:w="108" w:type="dxa"/>
        <w:right w:w="108" w:type="dxa"/>
      </w:tblCellMar>
    </w:tblPr>
  </w:style>
  <w:style w:type="table" w:customStyle="1" w:styleId="affe">
    <w:basedOn w:val="TableNormal7"/>
    <w:pPr>
      <w:spacing w:after="0" w:line="240" w:lineRule="auto"/>
    </w:pPr>
    <w:tblPr>
      <w:tblStyleRowBandSize w:val="1"/>
      <w:tblStyleColBandSize w:val="1"/>
      <w:tblCellMar>
        <w:left w:w="108" w:type="dxa"/>
        <w:right w:w="108" w:type="dxa"/>
      </w:tblCellMar>
    </w:tblPr>
  </w:style>
  <w:style w:type="table" w:customStyle="1" w:styleId="afff">
    <w:basedOn w:val="TableNormal7"/>
    <w:pPr>
      <w:spacing w:after="0" w:line="240" w:lineRule="auto"/>
    </w:pPr>
    <w:tblPr>
      <w:tblStyleRowBandSize w:val="1"/>
      <w:tblStyleColBandSize w:val="1"/>
      <w:tblCellMar>
        <w:left w:w="108" w:type="dxa"/>
        <w:right w:w="108" w:type="dxa"/>
      </w:tblCellMar>
    </w:tblPr>
  </w:style>
  <w:style w:type="table" w:customStyle="1" w:styleId="afff0">
    <w:basedOn w:val="TableNormal7"/>
    <w:pPr>
      <w:spacing w:after="0" w:line="240" w:lineRule="auto"/>
    </w:pPr>
    <w:tblPr>
      <w:tblStyleRowBandSize w:val="1"/>
      <w:tblStyleColBandSize w:val="1"/>
      <w:tblCellMar>
        <w:left w:w="108" w:type="dxa"/>
        <w:right w:w="108" w:type="dxa"/>
      </w:tblCellMar>
    </w:tblPr>
  </w:style>
  <w:style w:type="table" w:customStyle="1" w:styleId="afff1">
    <w:basedOn w:val="TableNormal7"/>
    <w:pPr>
      <w:spacing w:after="0" w:line="240" w:lineRule="auto"/>
    </w:pPr>
    <w:tblPr>
      <w:tblStyleRowBandSize w:val="1"/>
      <w:tblStyleColBandSize w:val="1"/>
      <w:tblCellMar>
        <w:left w:w="108" w:type="dxa"/>
        <w:right w:w="108" w:type="dxa"/>
      </w:tblCellMar>
    </w:tblPr>
  </w:style>
  <w:style w:type="table" w:customStyle="1" w:styleId="afff2">
    <w:basedOn w:val="TableNormal7"/>
    <w:pPr>
      <w:spacing w:after="0" w:line="240" w:lineRule="auto"/>
    </w:pPr>
    <w:tblPr>
      <w:tblStyleRowBandSize w:val="1"/>
      <w:tblStyleColBandSize w:val="1"/>
      <w:tblCellMar>
        <w:left w:w="108" w:type="dxa"/>
        <w:right w:w="108" w:type="dxa"/>
      </w:tblCellMar>
    </w:tblPr>
  </w:style>
  <w:style w:type="table" w:customStyle="1" w:styleId="afff3">
    <w:basedOn w:val="TableNormal7"/>
    <w:pPr>
      <w:spacing w:after="0" w:line="240" w:lineRule="auto"/>
    </w:pPr>
    <w:tblPr>
      <w:tblStyleRowBandSize w:val="1"/>
      <w:tblStyleColBandSize w:val="1"/>
      <w:tblCellMar>
        <w:left w:w="108" w:type="dxa"/>
        <w:right w:w="108" w:type="dxa"/>
      </w:tblCellMar>
    </w:tblPr>
  </w:style>
  <w:style w:type="table" w:customStyle="1" w:styleId="afff4">
    <w:basedOn w:val="TableNormal7"/>
    <w:pPr>
      <w:spacing w:after="0" w:line="240" w:lineRule="auto"/>
    </w:pPr>
    <w:tblPr>
      <w:tblStyleRowBandSize w:val="1"/>
      <w:tblStyleColBandSize w:val="1"/>
      <w:tblCellMar>
        <w:left w:w="108" w:type="dxa"/>
        <w:right w:w="108" w:type="dxa"/>
      </w:tblCellMar>
    </w:tblPr>
  </w:style>
  <w:style w:type="table" w:customStyle="1" w:styleId="afff5">
    <w:basedOn w:val="TableNormal7"/>
    <w:pPr>
      <w:spacing w:after="0" w:line="240" w:lineRule="auto"/>
    </w:pPr>
    <w:tblPr>
      <w:tblStyleRowBandSize w:val="1"/>
      <w:tblStyleColBandSize w:val="1"/>
      <w:tblCellMar>
        <w:left w:w="108" w:type="dxa"/>
        <w:right w:w="108" w:type="dxa"/>
      </w:tblCellMar>
    </w:tblPr>
  </w:style>
  <w:style w:type="table" w:customStyle="1" w:styleId="afff6">
    <w:basedOn w:val="TableNormal7"/>
    <w:pPr>
      <w:spacing w:after="0" w:line="240" w:lineRule="auto"/>
    </w:pPr>
    <w:tblPr>
      <w:tblStyleRowBandSize w:val="1"/>
      <w:tblStyleColBandSize w:val="1"/>
      <w:tblCellMar>
        <w:left w:w="108" w:type="dxa"/>
        <w:right w:w="108" w:type="dxa"/>
      </w:tblCellMar>
    </w:tblPr>
  </w:style>
  <w:style w:type="table" w:customStyle="1" w:styleId="afff7">
    <w:basedOn w:val="TableNormal7"/>
    <w:pPr>
      <w:spacing w:after="0" w:line="240" w:lineRule="auto"/>
    </w:pPr>
    <w:tblPr>
      <w:tblStyleRowBandSize w:val="1"/>
      <w:tblStyleColBandSize w:val="1"/>
      <w:tblCellMar>
        <w:left w:w="108" w:type="dxa"/>
        <w:right w:w="108" w:type="dxa"/>
      </w:tblCellMar>
    </w:tblPr>
  </w:style>
  <w:style w:type="table" w:customStyle="1" w:styleId="afff8">
    <w:basedOn w:val="TableNormal7"/>
    <w:pPr>
      <w:spacing w:after="0" w:line="240" w:lineRule="auto"/>
    </w:pPr>
    <w:tblPr>
      <w:tblStyleRowBandSize w:val="1"/>
      <w:tblStyleColBandSize w:val="1"/>
      <w:tblCellMar>
        <w:left w:w="108" w:type="dxa"/>
        <w:right w:w="108" w:type="dxa"/>
      </w:tblCellMar>
    </w:tblPr>
  </w:style>
  <w:style w:type="table" w:customStyle="1" w:styleId="afff9">
    <w:basedOn w:val="TableNormal7"/>
    <w:pPr>
      <w:spacing w:after="0" w:line="240" w:lineRule="auto"/>
    </w:pPr>
    <w:tblPr>
      <w:tblStyleRowBandSize w:val="1"/>
      <w:tblStyleColBandSize w:val="1"/>
      <w:tblCellMar>
        <w:left w:w="108" w:type="dxa"/>
        <w:right w:w="108" w:type="dxa"/>
      </w:tblCellMar>
    </w:tblPr>
  </w:style>
  <w:style w:type="table" w:customStyle="1" w:styleId="afffa">
    <w:basedOn w:val="TableNormal7"/>
    <w:pPr>
      <w:spacing w:after="0" w:line="240" w:lineRule="auto"/>
    </w:pPr>
    <w:tblPr>
      <w:tblStyleRowBandSize w:val="1"/>
      <w:tblStyleColBandSize w:val="1"/>
      <w:tblCellMar>
        <w:left w:w="108" w:type="dxa"/>
        <w:right w:w="108" w:type="dxa"/>
      </w:tblCellMar>
    </w:tblPr>
  </w:style>
  <w:style w:type="table" w:customStyle="1" w:styleId="afffb">
    <w:basedOn w:val="TableNormal7"/>
    <w:pPr>
      <w:spacing w:after="0" w:line="240" w:lineRule="auto"/>
    </w:pPr>
    <w:tblPr>
      <w:tblStyleRowBandSize w:val="1"/>
      <w:tblStyleColBandSize w:val="1"/>
      <w:tblCellMar>
        <w:left w:w="108" w:type="dxa"/>
        <w:right w:w="108" w:type="dxa"/>
      </w:tblCellMar>
    </w:tblPr>
  </w:style>
  <w:style w:type="table" w:customStyle="1" w:styleId="afffc">
    <w:basedOn w:val="TableNormal7"/>
    <w:pPr>
      <w:spacing w:after="0" w:line="240" w:lineRule="auto"/>
    </w:pPr>
    <w:tblPr>
      <w:tblStyleRowBandSize w:val="1"/>
      <w:tblStyleColBandSize w:val="1"/>
      <w:tblCellMar>
        <w:left w:w="108" w:type="dxa"/>
        <w:right w:w="108" w:type="dxa"/>
      </w:tblCellMar>
    </w:tblPr>
  </w:style>
  <w:style w:type="table" w:customStyle="1" w:styleId="afffd">
    <w:basedOn w:val="TableNormal6"/>
    <w:pPr>
      <w:spacing w:after="0" w:line="240" w:lineRule="auto"/>
    </w:pPr>
    <w:tblPr>
      <w:tblStyleRowBandSize w:val="1"/>
      <w:tblStyleColBandSize w:val="1"/>
      <w:tblCellMar>
        <w:left w:w="108" w:type="dxa"/>
        <w:right w:w="108" w:type="dxa"/>
      </w:tblCellMar>
    </w:tblPr>
  </w:style>
  <w:style w:type="table" w:customStyle="1" w:styleId="afffe">
    <w:basedOn w:val="TableNormal6"/>
    <w:pPr>
      <w:spacing w:after="0" w:line="240" w:lineRule="auto"/>
    </w:pPr>
    <w:tblPr>
      <w:tblStyleRowBandSize w:val="1"/>
      <w:tblStyleColBandSize w:val="1"/>
      <w:tblCellMar>
        <w:left w:w="108" w:type="dxa"/>
        <w:right w:w="108" w:type="dxa"/>
      </w:tblCellMar>
    </w:tblPr>
  </w:style>
  <w:style w:type="table" w:customStyle="1" w:styleId="affff">
    <w:basedOn w:val="TableNormal6"/>
    <w:pPr>
      <w:spacing w:after="0" w:line="240" w:lineRule="auto"/>
    </w:pPr>
    <w:tblPr>
      <w:tblStyleRowBandSize w:val="1"/>
      <w:tblStyleColBandSize w:val="1"/>
      <w:tblCellMar>
        <w:left w:w="108" w:type="dxa"/>
        <w:right w:w="108" w:type="dxa"/>
      </w:tblCellMar>
    </w:tblPr>
  </w:style>
  <w:style w:type="table" w:customStyle="1" w:styleId="affff0">
    <w:basedOn w:val="TableNormal6"/>
    <w:pPr>
      <w:spacing w:after="0" w:line="240" w:lineRule="auto"/>
    </w:pPr>
    <w:tblPr>
      <w:tblStyleRowBandSize w:val="1"/>
      <w:tblStyleColBandSize w:val="1"/>
      <w:tblCellMar>
        <w:left w:w="108" w:type="dxa"/>
        <w:right w:w="108" w:type="dxa"/>
      </w:tblCellMar>
    </w:tblPr>
  </w:style>
  <w:style w:type="table" w:customStyle="1" w:styleId="affff1">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5"/>
    <w:pPr>
      <w:spacing w:after="0" w:line="240" w:lineRule="auto"/>
    </w:pPr>
    <w:tblPr>
      <w:tblStyleRowBandSize w:val="1"/>
      <w:tblStyleColBandSize w:val="1"/>
      <w:tblCellMar>
        <w:left w:w="108" w:type="dxa"/>
        <w:right w:w="108" w:type="dxa"/>
      </w:tblCellMar>
    </w:tblPr>
  </w:style>
  <w:style w:type="table" w:customStyle="1" w:styleId="affff3">
    <w:basedOn w:val="TableNormal5"/>
    <w:pPr>
      <w:spacing w:after="0" w:line="240" w:lineRule="auto"/>
    </w:pPr>
    <w:tblPr>
      <w:tblStyleRowBandSize w:val="1"/>
      <w:tblStyleColBandSize w:val="1"/>
      <w:tblCellMar>
        <w:left w:w="108" w:type="dxa"/>
        <w:right w:w="108" w:type="dxa"/>
      </w:tblCellMar>
    </w:tblPr>
  </w:style>
  <w:style w:type="table" w:customStyle="1" w:styleId="affff4">
    <w:basedOn w:val="TableNormal5"/>
    <w:pPr>
      <w:spacing w:after="0" w:line="240" w:lineRule="auto"/>
    </w:pPr>
    <w:tblPr>
      <w:tblStyleRowBandSize w:val="1"/>
      <w:tblStyleColBandSize w:val="1"/>
      <w:tblCellMar>
        <w:left w:w="108" w:type="dxa"/>
        <w:right w:w="108" w:type="dxa"/>
      </w:tblCellMar>
    </w:tblPr>
  </w:style>
  <w:style w:type="table" w:customStyle="1" w:styleId="affff5">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4"/>
    <w:pPr>
      <w:spacing w:after="0" w:line="240" w:lineRule="auto"/>
    </w:pPr>
    <w:tblPr>
      <w:tblStyleRowBandSize w:val="1"/>
      <w:tblStyleColBandSize w:val="1"/>
      <w:tblCellMar>
        <w:left w:w="108" w:type="dxa"/>
        <w:right w:w="108" w:type="dxa"/>
      </w:tblCellMar>
    </w:tblPr>
  </w:style>
  <w:style w:type="table" w:customStyle="1" w:styleId="affff7">
    <w:basedOn w:val="TableNormal4"/>
    <w:pPr>
      <w:spacing w:after="0" w:line="240" w:lineRule="auto"/>
    </w:pPr>
    <w:tblPr>
      <w:tblStyleRowBandSize w:val="1"/>
      <w:tblStyleColBandSize w:val="1"/>
      <w:tblCellMar>
        <w:left w:w="108" w:type="dxa"/>
        <w:right w:w="108" w:type="dxa"/>
      </w:tblCellMar>
    </w:tblPr>
  </w:style>
  <w:style w:type="table" w:customStyle="1" w:styleId="affff8">
    <w:basedOn w:val="TableNormal4"/>
    <w:pPr>
      <w:spacing w:after="0" w:line="240" w:lineRule="auto"/>
    </w:pPr>
    <w:tblPr>
      <w:tblStyleRowBandSize w:val="1"/>
      <w:tblStyleColBandSize w:val="1"/>
      <w:tblCellMar>
        <w:left w:w="108" w:type="dxa"/>
        <w:right w:w="108" w:type="dxa"/>
      </w:tblCellMar>
    </w:tblPr>
  </w:style>
  <w:style w:type="table" w:customStyle="1" w:styleId="affff9">
    <w:basedOn w:val="TableNormal4"/>
    <w:pPr>
      <w:spacing w:after="0" w:line="240" w:lineRule="auto"/>
    </w:pPr>
    <w:tblPr>
      <w:tblStyleRowBandSize w:val="1"/>
      <w:tblStyleColBandSize w:val="1"/>
      <w:tblCellMar>
        <w:left w:w="108" w:type="dxa"/>
        <w:right w:w="108" w:type="dxa"/>
      </w:tblCellMar>
    </w:tblPr>
  </w:style>
  <w:style w:type="table" w:customStyle="1" w:styleId="affffa">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3"/>
    <w:pPr>
      <w:spacing w:after="0" w:line="240" w:lineRule="auto"/>
    </w:pPr>
    <w:tblPr>
      <w:tblStyleRowBandSize w:val="1"/>
      <w:tblStyleColBandSize w:val="1"/>
      <w:tblCellMar>
        <w:left w:w="108" w:type="dxa"/>
        <w:right w:w="108" w:type="dxa"/>
      </w:tblCellMar>
    </w:tblPr>
  </w:style>
  <w:style w:type="table" w:customStyle="1" w:styleId="affffc">
    <w:basedOn w:val="TableNormal3"/>
    <w:pPr>
      <w:spacing w:after="0" w:line="240" w:lineRule="auto"/>
    </w:pPr>
    <w:tblPr>
      <w:tblStyleRowBandSize w:val="1"/>
      <w:tblStyleColBandSize w:val="1"/>
      <w:tblCellMar>
        <w:left w:w="108" w:type="dxa"/>
        <w:right w:w="108" w:type="dxa"/>
      </w:tblCellMar>
    </w:tblPr>
  </w:style>
  <w:style w:type="table" w:customStyle="1" w:styleId="affffd">
    <w:basedOn w:val="TableNormal3"/>
    <w:pPr>
      <w:spacing w:after="0" w:line="240" w:lineRule="auto"/>
    </w:pPr>
    <w:tblPr>
      <w:tblStyleRowBandSize w:val="1"/>
      <w:tblStyleColBandSize w:val="1"/>
      <w:tblCellMar>
        <w:left w:w="108" w:type="dxa"/>
        <w:right w:w="108" w:type="dxa"/>
      </w:tblCellMar>
    </w:tblPr>
  </w:style>
  <w:style w:type="table" w:customStyle="1" w:styleId="affffe">
    <w:basedOn w:val="TableNormal3"/>
    <w:pPr>
      <w:spacing w:after="0" w:line="240" w:lineRule="auto"/>
    </w:pPr>
    <w:tblPr>
      <w:tblStyleRowBandSize w:val="1"/>
      <w:tblStyleColBandSize w:val="1"/>
      <w:tblCellMar>
        <w:left w:w="108" w:type="dxa"/>
        <w:right w:w="108" w:type="dxa"/>
      </w:tblCellMar>
    </w:tblPr>
  </w:style>
  <w:style w:type="table" w:customStyle="1" w:styleId="afffff">
    <w:basedOn w:val="TableNormal2"/>
    <w:pPr>
      <w:spacing w:after="0" w:line="240" w:lineRule="auto"/>
    </w:pPr>
    <w:tblPr>
      <w:tblStyleRowBandSize w:val="1"/>
      <w:tblStyleColBandSize w:val="1"/>
      <w:tblCellMar>
        <w:left w:w="108" w:type="dxa"/>
        <w:right w:w="108" w:type="dxa"/>
      </w:tblCellMar>
    </w:tblPr>
  </w:style>
  <w:style w:type="table" w:customStyle="1" w:styleId="afffff0">
    <w:basedOn w:val="TableNormal2"/>
    <w:pPr>
      <w:spacing w:after="0" w:line="240" w:lineRule="auto"/>
    </w:pPr>
    <w:tblPr>
      <w:tblStyleRowBandSize w:val="1"/>
      <w:tblStyleColBandSize w:val="1"/>
      <w:tblCellMar>
        <w:left w:w="108" w:type="dxa"/>
        <w:right w:w="108" w:type="dxa"/>
      </w:tblCellMar>
    </w:tblPr>
  </w:style>
  <w:style w:type="table" w:customStyle="1" w:styleId="afffff1">
    <w:basedOn w:val="TableNormal2"/>
    <w:pPr>
      <w:spacing w:after="0" w:line="240" w:lineRule="auto"/>
    </w:pPr>
    <w:tblPr>
      <w:tblStyleRowBandSize w:val="1"/>
      <w:tblStyleColBandSize w:val="1"/>
      <w:tblCellMar>
        <w:left w:w="108" w:type="dxa"/>
        <w:right w:w="108" w:type="dxa"/>
      </w:tblCellMar>
    </w:tblPr>
  </w:style>
  <w:style w:type="table" w:customStyle="1" w:styleId="afffff2">
    <w:basedOn w:val="TableNormal2"/>
    <w:pPr>
      <w:spacing w:after="0" w:line="240" w:lineRule="auto"/>
    </w:pPr>
    <w:tblPr>
      <w:tblStyleRowBandSize w:val="1"/>
      <w:tblStyleColBandSize w:val="1"/>
      <w:tblCellMar>
        <w:left w:w="108" w:type="dxa"/>
        <w:right w:w="108" w:type="dxa"/>
      </w:tblCellMar>
    </w:tblPr>
  </w:style>
  <w:style w:type="table" w:customStyle="1" w:styleId="afffff3">
    <w:basedOn w:val="TableNormal2"/>
    <w:pPr>
      <w:spacing w:after="0" w:line="240" w:lineRule="auto"/>
    </w:pPr>
    <w:tblPr>
      <w:tblStyleRowBandSize w:val="1"/>
      <w:tblStyleColBandSize w:val="1"/>
      <w:tblCellMar>
        <w:left w:w="108" w:type="dxa"/>
        <w:right w:w="108" w:type="dxa"/>
      </w:tblCellMar>
    </w:tblPr>
  </w:style>
  <w:style w:type="table" w:customStyle="1" w:styleId="afffff4">
    <w:basedOn w:val="TableNormal1"/>
    <w:pPr>
      <w:spacing w:after="0" w:line="240" w:lineRule="auto"/>
    </w:pPr>
    <w:tblPr>
      <w:tblStyleRowBandSize w:val="1"/>
      <w:tblStyleColBandSize w:val="1"/>
      <w:tblCellMar>
        <w:left w:w="108" w:type="dxa"/>
        <w:right w:w="108" w:type="dxa"/>
      </w:tblCellMar>
    </w:tblPr>
  </w:style>
  <w:style w:type="table" w:customStyle="1" w:styleId="afffff5">
    <w:basedOn w:val="TableNormal1"/>
    <w:pPr>
      <w:spacing w:after="0" w:line="240" w:lineRule="auto"/>
    </w:pPr>
    <w:tblPr>
      <w:tblStyleRowBandSize w:val="1"/>
      <w:tblStyleColBandSize w:val="1"/>
      <w:tblCellMar>
        <w:left w:w="108" w:type="dxa"/>
        <w:right w:w="108" w:type="dxa"/>
      </w:tblCellMar>
    </w:tblPr>
  </w:style>
  <w:style w:type="table" w:customStyle="1" w:styleId="afffff6">
    <w:basedOn w:val="TableNormal1"/>
    <w:pPr>
      <w:spacing w:after="0" w:line="240" w:lineRule="auto"/>
    </w:pPr>
    <w:tblPr>
      <w:tblStyleRowBandSize w:val="1"/>
      <w:tblStyleColBandSize w:val="1"/>
      <w:tblCellMar>
        <w:left w:w="108" w:type="dxa"/>
        <w:right w:w="108" w:type="dxa"/>
      </w:tblCellMar>
    </w:tblPr>
  </w:style>
  <w:style w:type="table" w:customStyle="1" w:styleId="afffff7">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paragraph" w:styleId="Listaconvietas2">
    <w:name w:val="List Bullet 2"/>
    <w:basedOn w:val="Normal"/>
    <w:uiPriority w:val="99"/>
    <w:unhideWhenUsed/>
    <w:rsid w:val="000F639C"/>
    <w:pPr>
      <w:numPr>
        <w:numId w:val="10"/>
      </w:numPr>
      <w:spacing w:after="0" w:line="240" w:lineRule="auto"/>
      <w:contextualSpacing/>
      <w:jc w:val="left"/>
    </w:pPr>
    <w:rPr>
      <w:rFonts w:ascii="Times New Roman" w:eastAsia="Times New Roman" w:hAnsi="Times New Roman" w:cs="Times New Roman"/>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8">
    <w:basedOn w:val="TableNormal0"/>
    <w:pPr>
      <w:spacing w:after="0" w:line="240" w:lineRule="auto"/>
    </w:pPr>
    <w:tblPr>
      <w:tblStyleRowBandSize w:val="1"/>
      <w:tblStyleColBandSize w:val="1"/>
      <w:tblCellMar>
        <w:left w:w="108" w:type="dxa"/>
        <w:right w:w="108" w:type="dxa"/>
      </w:tblCellMar>
    </w:tblPr>
  </w:style>
  <w:style w:type="table" w:customStyle="1" w:styleId="afffff9">
    <w:basedOn w:val="TableNormal0"/>
    <w:pPr>
      <w:spacing w:after="0" w:line="240" w:lineRule="auto"/>
    </w:pPr>
    <w:tblPr>
      <w:tblStyleRowBandSize w:val="1"/>
      <w:tblStyleColBandSize w:val="1"/>
      <w:tblCellMar>
        <w:left w:w="108" w:type="dxa"/>
        <w:right w:w="108" w:type="dxa"/>
      </w:tblCellMar>
    </w:tblPr>
  </w:style>
  <w:style w:type="table" w:customStyle="1" w:styleId="afffffa">
    <w:basedOn w:val="TableNormal0"/>
    <w:pPr>
      <w:spacing w:after="0" w:line="240" w:lineRule="auto"/>
    </w:pPr>
    <w:tblPr>
      <w:tblStyleRowBandSize w:val="1"/>
      <w:tblStyleColBandSize w:val="1"/>
      <w:tblCellMar>
        <w:left w:w="108" w:type="dxa"/>
        <w:right w:w="108" w:type="dxa"/>
      </w:tblCellMar>
    </w:tblPr>
  </w:style>
  <w:style w:type="table" w:customStyle="1" w:styleId="afffffb">
    <w:basedOn w:val="TableNormal0"/>
    <w:pPr>
      <w:spacing w:after="0" w:line="240" w:lineRule="auto"/>
    </w:pPr>
    <w:tblPr>
      <w:tblStyleRowBandSize w:val="1"/>
      <w:tblStyleColBandSize w:val="1"/>
      <w:tblCellMar>
        <w:left w:w="108" w:type="dxa"/>
        <w:right w:w="108" w:type="dxa"/>
      </w:tblCellMar>
    </w:tbl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nH9cLM/Or3WanhvFRd/rlq1bVg==">CgMxLjAyDmgucDMwbm44aDlhcHJzMghoLmdqZGd4czIOaC5oMWljY3M0d2FveGgyDmguNHZxb2oxcHJnMDM5Mg5oLjE2MzlyaHhsd3NrbTIJaC4yZXQ5MnAwMg5oLm9mN3FqY3pkcjBjdzIOaC5mMWYxbjR4eWEzM3EyDmguamx6dXkwaW9kOHRmMg5oLjhtanljZG01c2M4dzIOaC44NThtdmM0dHBwMXoyDmguZ2txOWwzdnZudmRjMg5oLjlkMnh3dW9kbHY0ZzIOaC50dHM4ZnVtMDFiNXoyDmgubnZwY3QwbWhkbXMwMg1oLjloMnU5MTVvNzluMg5oLmFyZ3kyMXFua21ocjgAciExT0paSk5WejJuU0twclduUmVWVzJPVm1zUnBPTEM5Z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5443</Words>
  <Characters>29940</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Office</cp:lastModifiedBy>
  <cp:revision>4</cp:revision>
  <cp:lastPrinted>2025-08-08T06:34:00Z</cp:lastPrinted>
  <dcterms:created xsi:type="dcterms:W3CDTF">2025-08-08T06:34:00Z</dcterms:created>
  <dcterms:modified xsi:type="dcterms:W3CDTF">2025-08-08T06:34:00Z</dcterms:modified>
</cp:coreProperties>
</file>